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717FA" w14:textId="7D0AFEAE" w:rsidR="006727E5" w:rsidRPr="00183F91" w:rsidRDefault="00EB1136" w:rsidP="006E0934">
      <w:pPr>
        <w:spacing w:line="240" w:lineRule="auto"/>
        <w:rPr>
          <w:sz w:val="6"/>
          <w:lang w:val="fr-FR"/>
        </w:rPr>
        <w:sectPr w:rsidR="006727E5" w:rsidRPr="00183F91" w:rsidSect="006E0934">
          <w:headerReference w:type="even" r:id="rId8"/>
          <w:headerReference w:type="default" r:id="rId9"/>
          <w:footerReference w:type="even" r:id="rId10"/>
          <w:footerReference w:type="default" r:id="rId11"/>
          <w:headerReference w:type="first" r:id="rId12"/>
          <w:footerReference w:type="first" r:id="rId13"/>
          <w:pgSz w:w="12240" w:h="15840"/>
          <w:pgMar w:top="1440" w:right="1200" w:bottom="1728" w:left="1200" w:header="432" w:footer="576" w:gutter="0"/>
          <w:cols w:space="720"/>
          <w:titlePg/>
          <w:docGrid w:linePitch="360"/>
        </w:sectPr>
      </w:pPr>
      <w:r w:rsidRPr="00183F91">
        <w:rPr>
          <w:sz w:val="6"/>
          <w:lang w:val="fr-FR"/>
        </w:rPr>
        <w:t xml:space="preserve"> </w:t>
      </w:r>
      <w:commentRangeStart w:id="0"/>
      <w:commentRangeEnd w:id="0"/>
      <w:r w:rsidR="006E0934" w:rsidRPr="00183F91">
        <w:rPr>
          <w:rStyle w:val="CommentReference"/>
          <w:lang w:val="fr-FR"/>
        </w:rPr>
        <w:commentReference w:id="0"/>
      </w:r>
    </w:p>
    <w:p w14:paraId="26DD9BF9" w14:textId="30BA6099" w:rsidR="006E0934" w:rsidRPr="00183F91" w:rsidRDefault="006E0934" w:rsidP="000821D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620"/>
        <w:rPr>
          <w:lang w:val="fr-FR"/>
        </w:rPr>
      </w:pPr>
      <w:r w:rsidRPr="00183F91">
        <w:rPr>
          <w:lang w:val="fr-FR"/>
        </w:rPr>
        <w:t>Comité pour l</w:t>
      </w:r>
      <w:r w:rsidR="00442D55" w:rsidRPr="00183F91">
        <w:rPr>
          <w:lang w:val="fr-FR"/>
        </w:rPr>
        <w:t>’</w:t>
      </w:r>
      <w:r w:rsidRPr="00183F91">
        <w:rPr>
          <w:lang w:val="fr-FR"/>
        </w:rPr>
        <w:t>élimination de la discrimination à l</w:t>
      </w:r>
      <w:r w:rsidR="00442D55" w:rsidRPr="00183F91">
        <w:rPr>
          <w:lang w:val="fr-FR"/>
        </w:rPr>
        <w:t>’</w:t>
      </w:r>
      <w:r w:rsidRPr="00183F91">
        <w:rPr>
          <w:lang w:val="fr-FR"/>
        </w:rPr>
        <w:t>égard des femmes</w:t>
      </w:r>
    </w:p>
    <w:p w14:paraId="6CB1EB61" w14:textId="009FCCF2" w:rsidR="00EB1136" w:rsidRPr="00183F91" w:rsidRDefault="00EB1136" w:rsidP="00EB1136">
      <w:pPr>
        <w:pStyle w:val="SingleTxt"/>
        <w:spacing w:after="0" w:line="120" w:lineRule="exact"/>
        <w:rPr>
          <w:sz w:val="10"/>
          <w:lang w:val="fr-FR"/>
        </w:rPr>
      </w:pPr>
    </w:p>
    <w:p w14:paraId="0D861830" w14:textId="6C5AACB9" w:rsidR="00EB1136" w:rsidRPr="00183F91" w:rsidRDefault="00EB1136" w:rsidP="00EB1136">
      <w:pPr>
        <w:pStyle w:val="SingleTxt"/>
        <w:spacing w:after="0" w:line="120" w:lineRule="exact"/>
        <w:rPr>
          <w:sz w:val="10"/>
          <w:lang w:val="fr-FR"/>
        </w:rPr>
      </w:pPr>
    </w:p>
    <w:p w14:paraId="6DA11EE4" w14:textId="592B05CA" w:rsidR="00EB1136" w:rsidRPr="00183F91" w:rsidRDefault="00EB1136" w:rsidP="00EB1136">
      <w:pPr>
        <w:pStyle w:val="SingleTxt"/>
        <w:spacing w:after="0" w:line="120" w:lineRule="exact"/>
        <w:rPr>
          <w:sz w:val="10"/>
          <w:lang w:val="fr-FR"/>
        </w:rPr>
      </w:pPr>
    </w:p>
    <w:p w14:paraId="1EB5643E" w14:textId="7218B955" w:rsidR="006E0934" w:rsidRPr="00183F91" w:rsidRDefault="006E0934" w:rsidP="00EB1136">
      <w:pPr>
        <w:pStyle w:val="TitleHCH"/>
        <w:ind w:right="1260"/>
        <w:rPr>
          <w:b w:val="0"/>
          <w:bCs/>
          <w:sz w:val="20"/>
          <w:szCs w:val="20"/>
          <w:lang w:val="fr-FR"/>
        </w:rPr>
      </w:pPr>
      <w:r w:rsidRPr="00183F91">
        <w:rPr>
          <w:lang w:val="fr-FR"/>
        </w:rPr>
        <w:tab/>
      </w:r>
      <w:r w:rsidRPr="00183F91">
        <w:rPr>
          <w:lang w:val="fr-FR"/>
        </w:rPr>
        <w:tab/>
        <w:t>Dixième rapport périodique soumis par la Mongolie en</w:t>
      </w:r>
      <w:r w:rsidR="00EB1136" w:rsidRPr="00183F91">
        <w:rPr>
          <w:lang w:val="fr-FR"/>
        </w:rPr>
        <w:t> </w:t>
      </w:r>
      <w:r w:rsidRPr="00183F91">
        <w:rPr>
          <w:lang w:val="fr-FR"/>
        </w:rPr>
        <w:t>application de l</w:t>
      </w:r>
      <w:r w:rsidR="00442D55" w:rsidRPr="00183F91">
        <w:rPr>
          <w:lang w:val="fr-FR"/>
        </w:rPr>
        <w:t>’</w:t>
      </w:r>
      <w:r w:rsidRPr="00183F91">
        <w:rPr>
          <w:lang w:val="fr-FR"/>
        </w:rPr>
        <w:t>article 18 de la Convention, attendu</w:t>
      </w:r>
      <w:r w:rsidR="001B34E6" w:rsidRPr="00183F91">
        <w:rPr>
          <w:lang w:val="fr-FR"/>
        </w:rPr>
        <w:t> </w:t>
      </w:r>
      <w:r w:rsidRPr="00183F91">
        <w:rPr>
          <w:lang w:val="fr-FR"/>
        </w:rPr>
        <w:t>en</w:t>
      </w:r>
      <w:r w:rsidR="00EB1136" w:rsidRPr="00183F91">
        <w:rPr>
          <w:lang w:val="fr-FR"/>
        </w:rPr>
        <w:t> </w:t>
      </w:r>
      <w:r w:rsidRPr="00183F91">
        <w:rPr>
          <w:lang w:val="fr-FR"/>
        </w:rPr>
        <w:t>2020</w:t>
      </w:r>
      <w:r w:rsidRPr="00183F91">
        <w:rPr>
          <w:b w:val="0"/>
          <w:bCs/>
          <w:sz w:val="20"/>
          <w:szCs w:val="20"/>
          <w:lang w:val="fr-FR"/>
        </w:rPr>
        <w:footnoteReference w:customMarkFollows="1" w:id="1"/>
        <w:t>*</w:t>
      </w:r>
    </w:p>
    <w:p w14:paraId="292D7C12" w14:textId="50FD84AC" w:rsidR="00EB1136" w:rsidRPr="00183F91" w:rsidRDefault="00EB1136" w:rsidP="00EB1136">
      <w:pPr>
        <w:pStyle w:val="SingleTxt"/>
        <w:spacing w:after="0" w:line="120" w:lineRule="exact"/>
        <w:rPr>
          <w:sz w:val="10"/>
          <w:lang w:val="fr-FR"/>
        </w:rPr>
      </w:pPr>
    </w:p>
    <w:p w14:paraId="2FD36EA0" w14:textId="0B90B624" w:rsidR="006E0934" w:rsidRPr="00183F91" w:rsidRDefault="006E0934" w:rsidP="00EB1136">
      <w:pPr>
        <w:pStyle w:val="SingleTxt"/>
        <w:jc w:val="right"/>
        <w:rPr>
          <w:lang w:val="fr-FR"/>
        </w:rPr>
      </w:pPr>
      <w:r w:rsidRPr="00183F91">
        <w:rPr>
          <w:lang w:val="fr-FR"/>
        </w:rPr>
        <w:t>[Date de réception</w:t>
      </w:r>
      <w:r w:rsidR="00442D55" w:rsidRPr="00183F91">
        <w:rPr>
          <w:lang w:val="fr-FR"/>
        </w:rPr>
        <w:t> :</w:t>
      </w:r>
      <w:r w:rsidRPr="00183F91">
        <w:rPr>
          <w:lang w:val="fr-FR"/>
        </w:rPr>
        <w:t xml:space="preserve"> 22 avril 2020]</w:t>
      </w:r>
    </w:p>
    <w:p w14:paraId="614E0F53" w14:textId="37BDCE0C" w:rsidR="006E0934" w:rsidRPr="00183F91" w:rsidRDefault="006E0934">
      <w:pPr>
        <w:spacing w:after="200" w:line="276" w:lineRule="auto"/>
        <w:rPr>
          <w:lang w:val="fr-FR"/>
        </w:rPr>
      </w:pPr>
      <w:r w:rsidRPr="00183F91">
        <w:rPr>
          <w:lang w:val="fr-FR"/>
        </w:rPr>
        <w:br w:type="page"/>
      </w:r>
    </w:p>
    <w:p w14:paraId="496CBB7D" w14:textId="77D84D56" w:rsidR="006E0934" w:rsidRPr="00183F91" w:rsidRDefault="00EB1136" w:rsidP="00EB113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83F91">
        <w:rPr>
          <w:lang w:val="fr-FR"/>
        </w:rPr>
        <w:lastRenderedPageBreak/>
        <w:tab/>
      </w:r>
      <w:r w:rsidRPr="00183F91">
        <w:rPr>
          <w:lang w:val="fr-FR"/>
        </w:rPr>
        <w:tab/>
      </w:r>
      <w:r w:rsidR="006E0934" w:rsidRPr="00183F91">
        <w:rPr>
          <w:lang w:val="fr-FR"/>
        </w:rPr>
        <w:t>Réponses à la liste préalable de points à traiter (</w:t>
      </w:r>
      <w:hyperlink r:id="rId17" w:history="1">
        <w:r w:rsidR="006E0934" w:rsidRPr="00183F91">
          <w:rPr>
            <w:rStyle w:val="Hyperlink"/>
            <w:lang w:val="fr-FR"/>
          </w:rPr>
          <w:t>CEDAW/C/MNG/QPR/10</w:t>
        </w:r>
      </w:hyperlink>
      <w:r w:rsidR="006E0934" w:rsidRPr="00183F91">
        <w:rPr>
          <w:lang w:val="fr-FR"/>
        </w:rPr>
        <w:t>)</w:t>
      </w:r>
    </w:p>
    <w:p w14:paraId="65EB6648" w14:textId="12BFBAFD" w:rsidR="00EB1136" w:rsidRPr="00183F91" w:rsidRDefault="00EB1136" w:rsidP="00EB1136">
      <w:pPr>
        <w:pStyle w:val="SingleTxt"/>
        <w:spacing w:after="0" w:line="120" w:lineRule="exact"/>
        <w:rPr>
          <w:sz w:val="10"/>
          <w:lang w:val="fr-FR"/>
        </w:rPr>
      </w:pPr>
    </w:p>
    <w:p w14:paraId="607545CA" w14:textId="0E0333F9" w:rsidR="00EB1136" w:rsidRPr="00183F91" w:rsidRDefault="00EB1136" w:rsidP="00EB1136">
      <w:pPr>
        <w:pStyle w:val="SingleTxt"/>
        <w:spacing w:after="0" w:line="120" w:lineRule="exact"/>
        <w:rPr>
          <w:sz w:val="10"/>
          <w:lang w:val="fr-FR"/>
        </w:rPr>
      </w:pPr>
    </w:p>
    <w:p w14:paraId="6B61957B" w14:textId="596FA847" w:rsidR="006E0934" w:rsidRPr="00183F91" w:rsidRDefault="00EB1136" w:rsidP="00EB113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83F91">
        <w:rPr>
          <w:lang w:val="fr-FR"/>
        </w:rPr>
        <w:tab/>
      </w:r>
      <w:r w:rsidR="006E0934" w:rsidRPr="00183F91">
        <w:rPr>
          <w:lang w:val="fr-FR"/>
        </w:rPr>
        <w:t>A.</w:t>
      </w:r>
      <w:r w:rsidR="006E0934" w:rsidRPr="00183F91">
        <w:rPr>
          <w:lang w:val="fr-FR"/>
        </w:rPr>
        <w:tab/>
        <w:t>Réponse au paragraphe 1 de la liste de points</w:t>
      </w:r>
    </w:p>
    <w:p w14:paraId="205FACAF" w14:textId="11708719" w:rsidR="00EB1136" w:rsidRPr="00183F91" w:rsidRDefault="00EB1136" w:rsidP="00EB1136">
      <w:pPr>
        <w:pStyle w:val="SingleTxt"/>
        <w:spacing w:after="0" w:line="120" w:lineRule="exact"/>
        <w:rPr>
          <w:sz w:val="10"/>
          <w:lang w:val="fr-FR"/>
        </w:rPr>
      </w:pPr>
    </w:p>
    <w:p w14:paraId="24FB9589" w14:textId="62A47F3C" w:rsidR="00EB1136" w:rsidRPr="00183F91" w:rsidRDefault="00EB1136" w:rsidP="00EB1136">
      <w:pPr>
        <w:pStyle w:val="SingleTxt"/>
        <w:spacing w:after="0" w:line="120" w:lineRule="exact"/>
        <w:rPr>
          <w:sz w:val="10"/>
          <w:lang w:val="fr-FR"/>
        </w:rPr>
      </w:pPr>
    </w:p>
    <w:p w14:paraId="19B07F2E" w14:textId="3BFCDBC2" w:rsidR="006E0934" w:rsidRPr="00183F91" w:rsidRDefault="006E0934" w:rsidP="00442D55">
      <w:pPr>
        <w:pStyle w:val="SingleTxt"/>
        <w:numPr>
          <w:ilvl w:val="0"/>
          <w:numId w:val="41"/>
        </w:numPr>
        <w:tabs>
          <w:tab w:val="clear" w:pos="475"/>
          <w:tab w:val="num" w:pos="158"/>
        </w:tabs>
        <w:spacing w:line="240" w:lineRule="exact"/>
        <w:ind w:left="1267"/>
        <w:rPr>
          <w:lang w:val="fr-FR"/>
        </w:rPr>
      </w:pPr>
      <w:r w:rsidRPr="00183F91">
        <w:rPr>
          <w:lang w:val="fr-FR"/>
        </w:rPr>
        <w:t>En 2019, la Mongolie comptait 3</w:t>
      </w:r>
      <w:r w:rsidR="00AA6B42" w:rsidRPr="00183F91">
        <w:rPr>
          <w:lang w:val="fr-FR"/>
        </w:rPr>
        <w:t> </w:t>
      </w:r>
      <w:r w:rsidRPr="00183F91">
        <w:rPr>
          <w:lang w:val="fr-FR"/>
        </w:rPr>
        <w:t>238</w:t>
      </w:r>
      <w:r w:rsidR="00AA6B42" w:rsidRPr="00183F91">
        <w:rPr>
          <w:lang w:val="fr-FR"/>
        </w:rPr>
        <w:t> </w:t>
      </w:r>
      <w:r w:rsidRPr="00183F91">
        <w:rPr>
          <w:lang w:val="fr-FR"/>
        </w:rPr>
        <w:t>447 habitants, dont 50,7</w:t>
      </w:r>
      <w:r w:rsidR="00AA6B42" w:rsidRPr="00183F91">
        <w:rPr>
          <w:lang w:val="fr-FR"/>
        </w:rPr>
        <w:t> </w:t>
      </w:r>
      <w:r w:rsidRPr="00183F91">
        <w:rPr>
          <w:lang w:val="fr-FR"/>
        </w:rPr>
        <w:t>% (soit 1</w:t>
      </w:r>
      <w:r w:rsidR="00AA6B42" w:rsidRPr="00183F91">
        <w:rPr>
          <w:lang w:val="fr-FR"/>
        </w:rPr>
        <w:t> </w:t>
      </w:r>
      <w:r w:rsidRPr="00183F91">
        <w:rPr>
          <w:lang w:val="fr-FR"/>
        </w:rPr>
        <w:t>646</w:t>
      </w:r>
      <w:r w:rsidR="00AA6B42" w:rsidRPr="00183F91">
        <w:rPr>
          <w:lang w:val="fr-FR"/>
        </w:rPr>
        <w:t> </w:t>
      </w:r>
      <w:r w:rsidRPr="00183F91">
        <w:rPr>
          <w:lang w:val="fr-FR"/>
        </w:rPr>
        <w:t>631) étaient des femmes. Bien qu</w:t>
      </w:r>
      <w:r w:rsidR="00442D55" w:rsidRPr="00183F91">
        <w:rPr>
          <w:lang w:val="fr-FR"/>
        </w:rPr>
        <w:t>’</w:t>
      </w:r>
      <w:r w:rsidRPr="00183F91">
        <w:rPr>
          <w:lang w:val="fr-FR"/>
        </w:rPr>
        <w:t>il y ait 96,7 hommes pour 100 femmes, le ratio femmes-hommes est très différent selon les groupes d</w:t>
      </w:r>
      <w:r w:rsidR="00442D55" w:rsidRPr="00183F91">
        <w:rPr>
          <w:lang w:val="fr-FR"/>
        </w:rPr>
        <w:t>’</w:t>
      </w:r>
      <w:r w:rsidRPr="00183F91">
        <w:rPr>
          <w:lang w:val="fr-FR"/>
        </w:rPr>
        <w:t>âge de la population dans les zones urbaines et rurales. Par exemple, les hommes sont majoritaires dans la tranche d</w:t>
      </w:r>
      <w:r w:rsidR="00442D55" w:rsidRPr="00183F91">
        <w:rPr>
          <w:lang w:val="fr-FR"/>
        </w:rPr>
        <w:t>’</w:t>
      </w:r>
      <w:r w:rsidRPr="00183F91">
        <w:rPr>
          <w:lang w:val="fr-FR"/>
        </w:rPr>
        <w:t>âge des 0-24 ans alors que les femmes ont tendance à être plus nombreuses dans les tranches d</w:t>
      </w:r>
      <w:r w:rsidR="00442D55" w:rsidRPr="00183F91">
        <w:rPr>
          <w:lang w:val="fr-FR"/>
        </w:rPr>
        <w:t>’</w:t>
      </w:r>
      <w:r w:rsidRPr="00183F91">
        <w:rPr>
          <w:lang w:val="fr-FR"/>
        </w:rPr>
        <w:t>âge des plus de 35 ans. Ces écarts s</w:t>
      </w:r>
      <w:r w:rsidR="00442D55" w:rsidRPr="00183F91">
        <w:rPr>
          <w:lang w:val="fr-FR"/>
        </w:rPr>
        <w:t>’</w:t>
      </w:r>
      <w:r w:rsidRPr="00183F91">
        <w:rPr>
          <w:lang w:val="fr-FR"/>
        </w:rPr>
        <w:t>expliquent par le taux élevé de mortalité masculine et la prédominance des hommes dans l</w:t>
      </w:r>
      <w:r w:rsidR="00442D55" w:rsidRPr="00183F91">
        <w:rPr>
          <w:lang w:val="fr-FR"/>
        </w:rPr>
        <w:t>’</w:t>
      </w:r>
      <w:r w:rsidRPr="00183F91">
        <w:rPr>
          <w:lang w:val="fr-FR"/>
        </w:rPr>
        <w:t>émigration, en particulier dans l</w:t>
      </w:r>
      <w:r w:rsidR="00442D55" w:rsidRPr="00183F91">
        <w:rPr>
          <w:lang w:val="fr-FR"/>
        </w:rPr>
        <w:t>’</w:t>
      </w:r>
      <w:r w:rsidRPr="00183F91">
        <w:rPr>
          <w:lang w:val="fr-FR"/>
        </w:rPr>
        <w:t xml:space="preserve">émigration de travail. </w:t>
      </w:r>
    </w:p>
    <w:p w14:paraId="230BC5FA" w14:textId="0FBC5336" w:rsidR="006E0934" w:rsidRPr="00183F91" w:rsidRDefault="006E0934" w:rsidP="00442D55">
      <w:pPr>
        <w:pStyle w:val="SingleTxt"/>
        <w:numPr>
          <w:ilvl w:val="0"/>
          <w:numId w:val="46"/>
        </w:numPr>
        <w:spacing w:line="240" w:lineRule="exact"/>
        <w:ind w:left="1267"/>
        <w:rPr>
          <w:lang w:val="fr-FR"/>
        </w:rPr>
      </w:pPr>
      <w:r w:rsidRPr="00183F91">
        <w:rPr>
          <w:lang w:val="fr-FR"/>
        </w:rPr>
        <w:t>Le rythme de l</w:t>
      </w:r>
      <w:r w:rsidR="00442D55" w:rsidRPr="00183F91">
        <w:rPr>
          <w:lang w:val="fr-FR"/>
        </w:rPr>
        <w:t>’</w:t>
      </w:r>
      <w:r w:rsidRPr="00183F91">
        <w:rPr>
          <w:lang w:val="fr-FR"/>
        </w:rPr>
        <w:t>urbanisation du pays s</w:t>
      </w:r>
      <w:r w:rsidR="00442D55" w:rsidRPr="00183F91">
        <w:rPr>
          <w:lang w:val="fr-FR"/>
        </w:rPr>
        <w:t>’</w:t>
      </w:r>
      <w:r w:rsidRPr="00183F91">
        <w:rPr>
          <w:lang w:val="fr-FR"/>
        </w:rPr>
        <w:t>intensifie encore. Désormais, 68</w:t>
      </w:r>
      <w:r w:rsidR="00AA6B42" w:rsidRPr="00183F91">
        <w:rPr>
          <w:lang w:val="fr-FR"/>
        </w:rPr>
        <w:t> </w:t>
      </w:r>
      <w:r w:rsidRPr="00183F91">
        <w:rPr>
          <w:lang w:val="fr-FR"/>
        </w:rPr>
        <w:t>% de la population vit en ville, en particulier à Oulan-Bator, qui concentre 46</w:t>
      </w:r>
      <w:r w:rsidR="00AA6B42" w:rsidRPr="00183F91">
        <w:rPr>
          <w:lang w:val="fr-FR"/>
        </w:rPr>
        <w:t> </w:t>
      </w:r>
      <w:r w:rsidRPr="00183F91">
        <w:rPr>
          <w:lang w:val="fr-FR"/>
        </w:rPr>
        <w:t>% de la population. L</w:t>
      </w:r>
      <w:r w:rsidR="00442D55" w:rsidRPr="00183F91">
        <w:rPr>
          <w:lang w:val="fr-FR"/>
        </w:rPr>
        <w:t>’</w:t>
      </w:r>
      <w:r w:rsidRPr="00183F91">
        <w:rPr>
          <w:lang w:val="fr-FR"/>
        </w:rPr>
        <w:t>exode rural reste principalement motivé par la possibilité d</w:t>
      </w:r>
      <w:r w:rsidR="00442D55" w:rsidRPr="00183F91">
        <w:rPr>
          <w:lang w:val="fr-FR"/>
        </w:rPr>
        <w:t>’</w:t>
      </w:r>
      <w:r w:rsidRPr="00183F91">
        <w:rPr>
          <w:lang w:val="fr-FR"/>
        </w:rPr>
        <w:t>accéder à des soins de santé, à une éducation et à des services publics de qualité dans les zones urbaines, ainsi que par l</w:t>
      </w:r>
      <w:r w:rsidR="00442D55" w:rsidRPr="00183F91">
        <w:rPr>
          <w:lang w:val="fr-FR"/>
        </w:rPr>
        <w:t>’</w:t>
      </w:r>
      <w:r w:rsidRPr="00183F91">
        <w:rPr>
          <w:lang w:val="fr-FR"/>
        </w:rPr>
        <w:t>espoir de trouver plus facilement un emploi rémunéré. Il y a 103,4 hommes pour 100 femmes dans les zones rurales, alors qu</w:t>
      </w:r>
      <w:r w:rsidR="00442D55" w:rsidRPr="00183F91">
        <w:rPr>
          <w:lang w:val="fr-FR"/>
        </w:rPr>
        <w:t>’</w:t>
      </w:r>
      <w:r w:rsidRPr="00183F91">
        <w:rPr>
          <w:lang w:val="fr-FR"/>
        </w:rPr>
        <w:t>il y a 93,8 hommes pour 100 femmes dans les villes. La proportion plus importante de femmes qui migrent des campagnes vers les villes pour suivre une formation ou pour profiter des possibilités d</w:t>
      </w:r>
      <w:r w:rsidR="00442D55" w:rsidRPr="00183F91">
        <w:rPr>
          <w:lang w:val="fr-FR"/>
        </w:rPr>
        <w:t>’</w:t>
      </w:r>
      <w:r w:rsidRPr="00183F91">
        <w:rPr>
          <w:lang w:val="fr-FR"/>
        </w:rPr>
        <w:t>éducation des enfants d</w:t>
      </w:r>
      <w:r w:rsidR="00442D55" w:rsidRPr="00183F91">
        <w:rPr>
          <w:lang w:val="fr-FR"/>
        </w:rPr>
        <w:t>’</w:t>
      </w:r>
      <w:r w:rsidRPr="00183F91">
        <w:rPr>
          <w:lang w:val="fr-FR"/>
        </w:rPr>
        <w:t>âge préscolaire et scolaire est l</w:t>
      </w:r>
      <w:r w:rsidR="00442D55" w:rsidRPr="00183F91">
        <w:rPr>
          <w:lang w:val="fr-FR"/>
        </w:rPr>
        <w:t>’</w:t>
      </w:r>
      <w:r w:rsidRPr="00183F91">
        <w:rPr>
          <w:lang w:val="fr-FR"/>
        </w:rPr>
        <w:t>une des principales causes de la répartition différente des sexes entre les zones urbaines et rurales.</w:t>
      </w:r>
    </w:p>
    <w:p w14:paraId="15B6DF7D" w14:textId="2BD17700" w:rsidR="006E0934" w:rsidRPr="00183F91" w:rsidRDefault="006E0934" w:rsidP="00442D55">
      <w:pPr>
        <w:pStyle w:val="SingleTxt"/>
        <w:numPr>
          <w:ilvl w:val="0"/>
          <w:numId w:val="46"/>
        </w:numPr>
        <w:spacing w:line="240" w:lineRule="exact"/>
        <w:ind w:left="1267"/>
        <w:rPr>
          <w:lang w:val="fr-FR"/>
        </w:rPr>
      </w:pPr>
      <w:r w:rsidRPr="00183F91">
        <w:rPr>
          <w:lang w:val="fr-FR"/>
        </w:rPr>
        <w:t>Sur le plan ethnique, 84,5</w:t>
      </w:r>
      <w:r w:rsidR="00AA6B42" w:rsidRPr="00183F91">
        <w:rPr>
          <w:lang w:val="fr-FR"/>
        </w:rPr>
        <w:t> </w:t>
      </w:r>
      <w:r w:rsidRPr="00183F91">
        <w:rPr>
          <w:lang w:val="fr-FR"/>
        </w:rPr>
        <w:t>% de la population sont des Khalkhas et 3,9</w:t>
      </w:r>
      <w:r w:rsidR="00AA6B42" w:rsidRPr="00183F91">
        <w:rPr>
          <w:lang w:val="fr-FR"/>
        </w:rPr>
        <w:t> </w:t>
      </w:r>
      <w:r w:rsidRPr="00183F91">
        <w:rPr>
          <w:lang w:val="fr-FR"/>
        </w:rPr>
        <w:t>% sont des Kazakhs. La part de la population khalkha est en augmentation. Les autres groupes ethniques</w:t>
      </w:r>
      <w:r w:rsidR="00AA6B42" w:rsidRPr="00183F91">
        <w:rPr>
          <w:lang w:val="fr-FR"/>
        </w:rPr>
        <w:t> – </w:t>
      </w:r>
      <w:r w:rsidRPr="00183F91">
        <w:rPr>
          <w:lang w:val="fr-FR"/>
        </w:rPr>
        <w:t>Dörbètes (2,4</w:t>
      </w:r>
      <w:r w:rsidR="00AA6B42" w:rsidRPr="00183F91">
        <w:rPr>
          <w:lang w:val="fr-FR"/>
        </w:rPr>
        <w:t> </w:t>
      </w:r>
      <w:r w:rsidRPr="00183F91">
        <w:rPr>
          <w:lang w:val="fr-FR"/>
        </w:rPr>
        <w:t>%), Bayates (1,7</w:t>
      </w:r>
      <w:r w:rsidR="00AA6B42" w:rsidRPr="00183F91">
        <w:rPr>
          <w:lang w:val="fr-FR"/>
        </w:rPr>
        <w:t> </w:t>
      </w:r>
      <w:r w:rsidRPr="00183F91">
        <w:rPr>
          <w:lang w:val="fr-FR"/>
        </w:rPr>
        <w:t>%), Bouriates (1,3</w:t>
      </w:r>
      <w:r w:rsidR="00AA6B42" w:rsidRPr="00183F91">
        <w:rPr>
          <w:lang w:val="fr-FR"/>
        </w:rPr>
        <w:t> </w:t>
      </w:r>
      <w:r w:rsidRPr="00183F91">
        <w:rPr>
          <w:lang w:val="fr-FR"/>
        </w:rPr>
        <w:t>%) et Tzakhtchines (1</w:t>
      </w:r>
      <w:r w:rsidR="00AA6B42" w:rsidRPr="00183F91">
        <w:rPr>
          <w:lang w:val="fr-FR"/>
        </w:rPr>
        <w:t> </w:t>
      </w:r>
      <w:r w:rsidRPr="00183F91">
        <w:rPr>
          <w:lang w:val="fr-FR"/>
        </w:rPr>
        <w:t xml:space="preserve">%) </w:t>
      </w:r>
      <w:r w:rsidR="00AA6B42" w:rsidRPr="00183F91">
        <w:rPr>
          <w:lang w:val="fr-FR"/>
        </w:rPr>
        <w:t>–</w:t>
      </w:r>
      <w:r w:rsidRPr="00183F91">
        <w:rPr>
          <w:lang w:val="fr-FR"/>
        </w:rPr>
        <w:t xml:space="preserve"> ne représentent que 1 à 2,4</w:t>
      </w:r>
      <w:r w:rsidR="00AA6B42" w:rsidRPr="00183F91">
        <w:rPr>
          <w:lang w:val="fr-FR"/>
        </w:rPr>
        <w:t> </w:t>
      </w:r>
      <w:r w:rsidRPr="00183F91">
        <w:rPr>
          <w:lang w:val="fr-FR"/>
        </w:rPr>
        <w:t>% de la population et leur poids démographique continue de diminuer.</w:t>
      </w:r>
    </w:p>
    <w:p w14:paraId="23A885D2" w14:textId="599C4C1D" w:rsidR="006E0934" w:rsidRPr="00183F91" w:rsidRDefault="006E0934" w:rsidP="00AA6B42">
      <w:pPr>
        <w:pStyle w:val="SingleTxt"/>
        <w:numPr>
          <w:ilvl w:val="0"/>
          <w:numId w:val="45"/>
        </w:numPr>
        <w:spacing w:line="240" w:lineRule="exact"/>
        <w:ind w:left="1267"/>
        <w:rPr>
          <w:lang w:val="fr-FR"/>
        </w:rPr>
      </w:pPr>
      <w:r w:rsidRPr="00183F91">
        <w:rPr>
          <w:lang w:val="fr-FR"/>
        </w:rPr>
        <w:t>Quelque 61,4</w:t>
      </w:r>
      <w:r w:rsidR="00AA6B42" w:rsidRPr="00183F91">
        <w:rPr>
          <w:lang w:val="fr-FR"/>
        </w:rPr>
        <w:t> </w:t>
      </w:r>
      <w:r w:rsidRPr="00183F91">
        <w:rPr>
          <w:lang w:val="fr-FR"/>
        </w:rPr>
        <w:t>% (1,17 million) des plus de 15 ans pratiquent une religion, dont la majorité (86,2</w:t>
      </w:r>
      <w:r w:rsidR="00AA6B42" w:rsidRPr="00183F91">
        <w:rPr>
          <w:lang w:val="fr-FR"/>
        </w:rPr>
        <w:t> </w:t>
      </w:r>
      <w:r w:rsidRPr="00183F91">
        <w:rPr>
          <w:lang w:val="fr-FR"/>
        </w:rPr>
        <w:t>%) sont bouddhistes. Les femmes sont plus nombreuses que les hommes à pratiquer une religion (65,6</w:t>
      </w:r>
      <w:r w:rsidR="00AA6B42" w:rsidRPr="00183F91">
        <w:rPr>
          <w:lang w:val="fr-FR"/>
        </w:rPr>
        <w:t> </w:t>
      </w:r>
      <w:r w:rsidRPr="00183F91">
        <w:rPr>
          <w:lang w:val="fr-FR"/>
        </w:rPr>
        <w:t>% contre 57,1</w:t>
      </w:r>
      <w:r w:rsidR="00AA6B42" w:rsidRPr="00183F91">
        <w:rPr>
          <w:lang w:val="fr-FR"/>
        </w:rPr>
        <w:t> </w:t>
      </w:r>
      <w:r w:rsidRPr="00183F91">
        <w:rPr>
          <w:lang w:val="fr-FR"/>
        </w:rPr>
        <w:t>%) et l</w:t>
      </w:r>
      <w:r w:rsidR="00442D55" w:rsidRPr="00183F91">
        <w:rPr>
          <w:lang w:val="fr-FR"/>
        </w:rPr>
        <w:t>’</w:t>
      </w:r>
      <w:r w:rsidRPr="00183F91">
        <w:rPr>
          <w:lang w:val="fr-FR"/>
        </w:rPr>
        <w:t>écart entre les sexes est le plus important chez les bouddhistes et les chrétiens.</w:t>
      </w:r>
    </w:p>
    <w:p w14:paraId="660E2FF1" w14:textId="49522E6E" w:rsidR="00EB1136" w:rsidRPr="00183F91" w:rsidRDefault="00EB1136" w:rsidP="00EB1136">
      <w:pPr>
        <w:pStyle w:val="SingleTxt"/>
        <w:spacing w:after="0" w:line="120" w:lineRule="exact"/>
        <w:rPr>
          <w:sz w:val="10"/>
          <w:lang w:val="fr-FR"/>
        </w:rPr>
      </w:pPr>
    </w:p>
    <w:p w14:paraId="132280BD" w14:textId="7240C30B" w:rsidR="006E0934" w:rsidRPr="00183F91" w:rsidRDefault="006E0934" w:rsidP="00EB11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83F91">
        <w:rPr>
          <w:lang w:val="fr-FR"/>
        </w:rPr>
        <w:tab/>
      </w:r>
      <w:r w:rsidRPr="00183F91">
        <w:rPr>
          <w:lang w:val="fr-FR"/>
        </w:rPr>
        <w:tab/>
        <w:t>Amélioration du contrôle de l</w:t>
      </w:r>
      <w:r w:rsidR="00442D55" w:rsidRPr="00183F91">
        <w:rPr>
          <w:lang w:val="fr-FR"/>
        </w:rPr>
        <w:t>’</w:t>
      </w:r>
      <w:r w:rsidRPr="00183F91">
        <w:rPr>
          <w:lang w:val="fr-FR"/>
        </w:rPr>
        <w:t>application de la Convention et de la réalisation des objectifs de développement durable</w:t>
      </w:r>
    </w:p>
    <w:p w14:paraId="56998D5C" w14:textId="5BD0F6B6" w:rsidR="00EB1136" w:rsidRPr="00183F91" w:rsidRDefault="00EB1136" w:rsidP="00EB1136">
      <w:pPr>
        <w:pStyle w:val="SingleTxt"/>
        <w:spacing w:after="0" w:line="120" w:lineRule="exact"/>
        <w:rPr>
          <w:sz w:val="10"/>
          <w:lang w:val="fr-FR"/>
        </w:rPr>
      </w:pPr>
    </w:p>
    <w:p w14:paraId="2DB19606" w14:textId="25B77439" w:rsidR="006E0934" w:rsidRPr="00183F91" w:rsidRDefault="006E0934" w:rsidP="00AA6B42">
      <w:pPr>
        <w:pStyle w:val="SingleTxt"/>
        <w:numPr>
          <w:ilvl w:val="0"/>
          <w:numId w:val="45"/>
        </w:numPr>
        <w:spacing w:line="240" w:lineRule="exact"/>
        <w:ind w:left="1267"/>
        <w:rPr>
          <w:lang w:val="fr-FR"/>
        </w:rPr>
      </w:pPr>
      <w:r w:rsidRPr="00183F91">
        <w:rPr>
          <w:lang w:val="fr-FR"/>
        </w:rPr>
        <w:t>Afin de contrôler et d</w:t>
      </w:r>
      <w:r w:rsidR="00442D55" w:rsidRPr="00183F91">
        <w:rPr>
          <w:lang w:val="fr-FR"/>
        </w:rPr>
        <w:t>’</w:t>
      </w:r>
      <w:r w:rsidRPr="00183F91">
        <w:rPr>
          <w:lang w:val="fr-FR"/>
        </w:rPr>
        <w:t>évaluer l</w:t>
      </w:r>
      <w:r w:rsidR="00442D55" w:rsidRPr="00183F91">
        <w:rPr>
          <w:lang w:val="fr-FR"/>
        </w:rPr>
        <w:t>’</w:t>
      </w:r>
      <w:r w:rsidRPr="00183F91">
        <w:rPr>
          <w:lang w:val="fr-FR"/>
        </w:rPr>
        <w:t>application de la Convention et la réalisation des objectifs de développement durable, l</w:t>
      </w:r>
      <w:r w:rsidR="00442D55" w:rsidRPr="00183F91">
        <w:rPr>
          <w:lang w:val="fr-FR"/>
        </w:rPr>
        <w:t>’</w:t>
      </w:r>
      <w:r w:rsidRPr="00183F91">
        <w:rPr>
          <w:lang w:val="fr-FR"/>
        </w:rPr>
        <w:t>institut national de la statistique a lancé en janvier 2019 un tableau de bord concernant les objectifs de développement durable</w:t>
      </w:r>
      <w:r w:rsidRPr="00183F91">
        <w:rPr>
          <w:vertAlign w:val="superscript"/>
          <w:lang w:val="fr-FR"/>
        </w:rPr>
        <w:footnoteReference w:id="2"/>
      </w:r>
      <w:r w:rsidRPr="00183F91">
        <w:rPr>
          <w:lang w:val="fr-FR"/>
        </w:rPr>
        <w:t xml:space="preserve">. La Banque asiatique de développement </w:t>
      </w:r>
      <w:r w:rsidR="00A860FC" w:rsidRPr="00183F91">
        <w:rPr>
          <w:lang w:val="fr-FR"/>
        </w:rPr>
        <w:t xml:space="preserve">(BAsD) </w:t>
      </w:r>
      <w:r w:rsidRPr="00183F91">
        <w:rPr>
          <w:lang w:val="fr-FR"/>
        </w:rPr>
        <w:t>a apporté son assistance technique pour renforcer la capacité de la Mongolie à utiliser de multiples sources de données, administratives et non traditionnelles, aux fins de l</w:t>
      </w:r>
      <w:r w:rsidR="00442D55" w:rsidRPr="00183F91">
        <w:rPr>
          <w:lang w:val="fr-FR"/>
        </w:rPr>
        <w:t>’</w:t>
      </w:r>
      <w:r w:rsidRPr="00183F91">
        <w:rPr>
          <w:lang w:val="fr-FR"/>
        </w:rPr>
        <w:t>évaluation et du suivi de la réalisation des objectifs de développement durable</w:t>
      </w:r>
      <w:r w:rsidRPr="00183F91">
        <w:rPr>
          <w:vertAlign w:val="superscript"/>
          <w:lang w:val="fr-FR"/>
        </w:rPr>
        <w:footnoteReference w:id="3"/>
      </w:r>
      <w:r w:rsidR="00AA6B42" w:rsidRPr="00183F91">
        <w:rPr>
          <w:lang w:val="fr-FR"/>
        </w:rPr>
        <w:t>.</w:t>
      </w:r>
    </w:p>
    <w:p w14:paraId="10D522F9" w14:textId="39E77550" w:rsidR="006E0934" w:rsidRPr="00183F91" w:rsidRDefault="006E0934" w:rsidP="00AA6B42">
      <w:pPr>
        <w:pStyle w:val="SingleTxt"/>
        <w:numPr>
          <w:ilvl w:val="0"/>
          <w:numId w:val="45"/>
        </w:numPr>
        <w:spacing w:line="240" w:lineRule="exact"/>
        <w:ind w:left="1267"/>
        <w:rPr>
          <w:lang w:val="fr-FR"/>
        </w:rPr>
      </w:pPr>
      <w:r w:rsidRPr="00183F91">
        <w:rPr>
          <w:lang w:val="fr-FR"/>
        </w:rPr>
        <w:t xml:space="preserve">La </w:t>
      </w:r>
      <w:bookmarkStart w:id="1" w:name="_Hlk43361404"/>
      <w:r w:rsidRPr="00183F91">
        <w:rPr>
          <w:lang w:val="fr-FR"/>
        </w:rPr>
        <w:t>Commission nationale sur l</w:t>
      </w:r>
      <w:r w:rsidR="00442D55" w:rsidRPr="00183F91">
        <w:rPr>
          <w:lang w:val="fr-FR"/>
        </w:rPr>
        <w:t>’</w:t>
      </w:r>
      <w:r w:rsidRPr="00183F91">
        <w:rPr>
          <w:lang w:val="fr-FR"/>
        </w:rPr>
        <w:t xml:space="preserve">égalité des sexes </w:t>
      </w:r>
      <w:bookmarkEnd w:id="1"/>
      <w:r w:rsidRPr="00183F91">
        <w:rPr>
          <w:lang w:val="fr-FR"/>
        </w:rPr>
        <w:t>a signé en 2018 un protocole d</w:t>
      </w:r>
      <w:r w:rsidR="00442D55" w:rsidRPr="00183F91">
        <w:rPr>
          <w:lang w:val="fr-FR"/>
        </w:rPr>
        <w:t>’</w:t>
      </w:r>
      <w:r w:rsidRPr="00183F91">
        <w:rPr>
          <w:lang w:val="fr-FR"/>
        </w:rPr>
        <w:t>accord avec l</w:t>
      </w:r>
      <w:r w:rsidR="00442D55" w:rsidRPr="00183F91">
        <w:rPr>
          <w:lang w:val="fr-FR"/>
        </w:rPr>
        <w:t>’</w:t>
      </w:r>
      <w:r w:rsidRPr="00183F91">
        <w:rPr>
          <w:lang w:val="fr-FR"/>
        </w:rPr>
        <w:t>institut national de la statistique en vue de garantir la transparence, l</w:t>
      </w:r>
      <w:r w:rsidR="00442D55" w:rsidRPr="00183F91">
        <w:rPr>
          <w:lang w:val="fr-FR"/>
        </w:rPr>
        <w:t>’</w:t>
      </w:r>
      <w:r w:rsidRPr="00183F91">
        <w:rPr>
          <w:lang w:val="fr-FR"/>
        </w:rPr>
        <w:t>accessibilité et l</w:t>
      </w:r>
      <w:r w:rsidR="00442D55" w:rsidRPr="00183F91">
        <w:rPr>
          <w:lang w:val="fr-FR"/>
        </w:rPr>
        <w:t>’</w:t>
      </w:r>
      <w:r w:rsidRPr="00183F91">
        <w:rPr>
          <w:lang w:val="fr-FR"/>
        </w:rPr>
        <w:t>adéquation de statistiques officielles et d</w:t>
      </w:r>
      <w:r w:rsidR="00442D55" w:rsidRPr="00183F91">
        <w:rPr>
          <w:lang w:val="fr-FR"/>
        </w:rPr>
        <w:t>’</w:t>
      </w:r>
      <w:r w:rsidRPr="00183F91">
        <w:rPr>
          <w:lang w:val="fr-FR"/>
        </w:rPr>
        <w:t xml:space="preserve">autres informations </w:t>
      </w:r>
      <w:r w:rsidRPr="00183F91">
        <w:rPr>
          <w:lang w:val="fr-FR"/>
        </w:rPr>
        <w:lastRenderedPageBreak/>
        <w:t>ventilées par sexe, de créer une base de données sur le genre, d</w:t>
      </w:r>
      <w:r w:rsidR="00442D55" w:rsidRPr="00183F91">
        <w:rPr>
          <w:lang w:val="fr-FR"/>
        </w:rPr>
        <w:t>’</w:t>
      </w:r>
      <w:r w:rsidRPr="00183F91">
        <w:rPr>
          <w:lang w:val="fr-FR"/>
        </w:rPr>
        <w:t>établir un réseau commun, de compiler des statistiques ventilées par sexe aux niveaux sectoriel et local, et de développer des méthodes d</w:t>
      </w:r>
      <w:r w:rsidR="00442D55" w:rsidRPr="00183F91">
        <w:rPr>
          <w:lang w:val="fr-FR"/>
        </w:rPr>
        <w:t>’</w:t>
      </w:r>
      <w:r w:rsidRPr="00183F91">
        <w:rPr>
          <w:lang w:val="fr-FR"/>
        </w:rPr>
        <w:t>utilisation de ces statistiques dans l</w:t>
      </w:r>
      <w:r w:rsidR="00442D55" w:rsidRPr="00183F91">
        <w:rPr>
          <w:lang w:val="fr-FR"/>
        </w:rPr>
        <w:t>’</w:t>
      </w:r>
      <w:r w:rsidRPr="00183F91">
        <w:rPr>
          <w:lang w:val="fr-FR"/>
        </w:rPr>
        <w:t>élaboration et l</w:t>
      </w:r>
      <w:r w:rsidR="00442D55" w:rsidRPr="00183F91">
        <w:rPr>
          <w:lang w:val="fr-FR"/>
        </w:rPr>
        <w:t>’</w:t>
      </w:r>
      <w:r w:rsidRPr="00183F91">
        <w:rPr>
          <w:lang w:val="fr-FR"/>
        </w:rPr>
        <w:t>application des politiques, comme le précisent la loi de 2011 sur la promotion de l</w:t>
      </w:r>
      <w:r w:rsidR="00442D55" w:rsidRPr="00183F91">
        <w:rPr>
          <w:lang w:val="fr-FR"/>
        </w:rPr>
        <w:t>’</w:t>
      </w:r>
      <w:r w:rsidRPr="00183F91">
        <w:rPr>
          <w:lang w:val="fr-FR"/>
        </w:rPr>
        <w:t xml:space="preserve">égalité des sexes et </w:t>
      </w:r>
      <w:r w:rsidRPr="00ED2DBC">
        <w:rPr>
          <w:lang w:val="fr-FR"/>
        </w:rPr>
        <w:t xml:space="preserve">le </w:t>
      </w:r>
      <w:r w:rsidR="00ED2DBC" w:rsidRPr="000821D9">
        <w:rPr>
          <w:color w:val="201F1E"/>
          <w:szCs w:val="20"/>
          <w:bdr w:val="none" w:sz="0" w:space="0" w:color="auto" w:frame="1"/>
          <w:shd w:val="clear" w:color="auto" w:fill="FFFFFF"/>
        </w:rPr>
        <w:t>programme national relatif à l’égalité des sexes</w:t>
      </w:r>
      <w:r w:rsidR="00ED2DBC" w:rsidRPr="00183F91" w:rsidDel="00ED2DBC">
        <w:rPr>
          <w:lang w:val="fr-FR"/>
        </w:rPr>
        <w:t xml:space="preserve"> </w:t>
      </w:r>
      <w:r w:rsidRPr="00183F91">
        <w:rPr>
          <w:lang w:val="fr-FR"/>
        </w:rPr>
        <w:t>(2017). À cet égard</w:t>
      </w:r>
      <w:r w:rsidR="00442D55" w:rsidRPr="00183F91">
        <w:rPr>
          <w:lang w:val="fr-FR"/>
        </w:rPr>
        <w:t> :</w:t>
      </w:r>
    </w:p>
    <w:p w14:paraId="5BAB662C" w14:textId="401BCF08" w:rsidR="006E0934" w:rsidRPr="00183F91" w:rsidRDefault="00EB1136" w:rsidP="00EB1136">
      <w:pPr>
        <w:pStyle w:val="SingleTxt"/>
        <w:tabs>
          <w:tab w:val="right" w:pos="1685"/>
        </w:tabs>
        <w:ind w:left="1742" w:hanging="475"/>
        <w:rPr>
          <w:lang w:val="fr-FR"/>
        </w:rPr>
      </w:pPr>
      <w:r w:rsidRPr="00183F91">
        <w:rPr>
          <w:lang w:val="fr-FR"/>
        </w:rPr>
        <w:tab/>
        <w:t>•</w:t>
      </w:r>
      <w:r w:rsidRPr="00183F91">
        <w:rPr>
          <w:lang w:val="fr-FR"/>
        </w:rPr>
        <w:tab/>
      </w:r>
      <w:r w:rsidR="00366B99" w:rsidRPr="000821D9">
        <w:rPr>
          <w:lang w:val="fr-FR"/>
        </w:rPr>
        <w:t>En coopération avec la Commission nationale sur l’égalité des sexes</w:t>
      </w:r>
      <w:r w:rsidR="006E0934" w:rsidRPr="00183F91">
        <w:rPr>
          <w:lang w:val="fr-FR"/>
        </w:rPr>
        <w:t>, l</w:t>
      </w:r>
      <w:r w:rsidR="00442D55" w:rsidRPr="00183F91">
        <w:rPr>
          <w:lang w:val="fr-FR"/>
        </w:rPr>
        <w:t>’</w:t>
      </w:r>
      <w:r w:rsidR="006E0934" w:rsidRPr="00183F91">
        <w:rPr>
          <w:lang w:val="fr-FR"/>
        </w:rPr>
        <w:t>institut national de la statistique a revu le cadre d</w:t>
      </w:r>
      <w:r w:rsidR="00442D55" w:rsidRPr="00183F91">
        <w:rPr>
          <w:lang w:val="fr-FR"/>
        </w:rPr>
        <w:t>’</w:t>
      </w:r>
      <w:r w:rsidR="006E0934" w:rsidRPr="00183F91">
        <w:rPr>
          <w:lang w:val="fr-FR"/>
        </w:rPr>
        <w:t>indicateurs et les méthodes de calcul des statistiques genrées approuvés par le décret n</w:t>
      </w:r>
      <w:r w:rsidR="00AA6B42" w:rsidRPr="00183F91">
        <w:rPr>
          <w:vertAlign w:val="superscript"/>
          <w:lang w:val="fr-FR"/>
        </w:rPr>
        <w:t>o</w:t>
      </w:r>
      <w:r w:rsidR="00AA6B42" w:rsidRPr="00183F91">
        <w:rPr>
          <w:lang w:val="fr-FR"/>
        </w:rPr>
        <w:t> </w:t>
      </w:r>
      <w:hyperlink r:id="rId18" w:history="1">
        <w:r w:rsidR="006E0934" w:rsidRPr="00183F91">
          <w:rPr>
            <w:rStyle w:val="Hyperlink"/>
            <w:lang w:val="fr-FR"/>
          </w:rPr>
          <w:t>A/173</w:t>
        </w:r>
      </w:hyperlink>
      <w:r w:rsidR="006E0934" w:rsidRPr="00183F91">
        <w:rPr>
          <w:lang w:val="fr-FR"/>
        </w:rPr>
        <w:t xml:space="preserve"> du président de l</w:t>
      </w:r>
      <w:r w:rsidR="00442D55" w:rsidRPr="00183F91">
        <w:rPr>
          <w:lang w:val="fr-FR"/>
        </w:rPr>
        <w:t>’</w:t>
      </w:r>
      <w:r w:rsidR="006E0934" w:rsidRPr="00183F91">
        <w:rPr>
          <w:lang w:val="fr-FR"/>
        </w:rPr>
        <w:t>institut en date du 19 novembre 2019. Ce cadre couvre au total 241 indicateurs répartis en 14 chapitres, dont 12 indicateurs mesurent la réalisation des objectifs de développement durable. Pour ce qui est des sources, 129 de ces indicateurs s</w:t>
      </w:r>
      <w:r w:rsidR="00442D55" w:rsidRPr="00183F91">
        <w:rPr>
          <w:lang w:val="fr-FR"/>
        </w:rPr>
        <w:t>’</w:t>
      </w:r>
      <w:r w:rsidR="006E0934" w:rsidRPr="00183F91">
        <w:rPr>
          <w:lang w:val="fr-FR"/>
        </w:rPr>
        <w:t>appuient sur des statistiques officielles et administratives, 96 sur des enquêtes statistiques et 16 sur des données de recensement.</w:t>
      </w:r>
    </w:p>
    <w:p w14:paraId="597B9D45" w14:textId="05E24A3D" w:rsidR="006E0934" w:rsidRPr="00183F91" w:rsidRDefault="00EB1136" w:rsidP="00EB1136">
      <w:pPr>
        <w:pStyle w:val="SingleTxt"/>
        <w:tabs>
          <w:tab w:val="right" w:pos="1685"/>
        </w:tabs>
        <w:ind w:left="1742" w:hanging="475"/>
        <w:rPr>
          <w:lang w:val="fr-FR"/>
        </w:rPr>
      </w:pPr>
      <w:r w:rsidRPr="00183F91">
        <w:rPr>
          <w:lang w:val="fr-FR"/>
        </w:rPr>
        <w:tab/>
        <w:t>•</w:t>
      </w:r>
      <w:r w:rsidRPr="00183F91">
        <w:rPr>
          <w:lang w:val="fr-FR"/>
        </w:rPr>
        <w:tab/>
      </w:r>
      <w:r w:rsidR="006E0934" w:rsidRPr="00183F91">
        <w:rPr>
          <w:lang w:val="fr-FR"/>
        </w:rPr>
        <w:t>Sur le site Web de la base de données de statistiques intégrées de l</w:t>
      </w:r>
      <w:r w:rsidR="00442D55" w:rsidRPr="00183F91">
        <w:rPr>
          <w:lang w:val="fr-FR"/>
        </w:rPr>
        <w:t>’</w:t>
      </w:r>
      <w:r w:rsidR="006E0934" w:rsidRPr="00183F91">
        <w:rPr>
          <w:lang w:val="fr-FR"/>
        </w:rPr>
        <w:t>institut national de la statistique (</w:t>
      </w:r>
      <w:hyperlink r:id="rId19" w:history="1">
        <w:r w:rsidR="00AA6B42" w:rsidRPr="00183F91">
          <w:rPr>
            <w:rStyle w:val="Hyperlink"/>
            <w:lang w:val="fr-FR"/>
          </w:rPr>
          <w:t>www.1212.mn</w:t>
        </w:r>
      </w:hyperlink>
      <w:r w:rsidR="006E0934" w:rsidRPr="00183F91">
        <w:rPr>
          <w:lang w:val="fr-FR"/>
        </w:rPr>
        <w:t xml:space="preserve">), la section </w:t>
      </w:r>
      <w:r w:rsidR="00442D55" w:rsidRPr="00183F91">
        <w:rPr>
          <w:lang w:val="fr-FR"/>
        </w:rPr>
        <w:t>« </w:t>
      </w:r>
      <w:r w:rsidR="006E0934" w:rsidRPr="00183F91">
        <w:rPr>
          <w:lang w:val="fr-FR"/>
        </w:rPr>
        <w:t>genre</w:t>
      </w:r>
      <w:r w:rsidR="00442D55" w:rsidRPr="00183F91">
        <w:rPr>
          <w:lang w:val="fr-FR"/>
        </w:rPr>
        <w:t> »</w:t>
      </w:r>
      <w:r w:rsidR="006E0934" w:rsidRPr="00183F91">
        <w:rPr>
          <w:lang w:val="fr-FR"/>
        </w:rPr>
        <w:t xml:space="preserve"> renvoie à la page Web </w:t>
      </w:r>
      <w:r w:rsidR="00F11F87" w:rsidRPr="00183F91">
        <w:rPr>
          <w:lang w:val="fr-FR"/>
        </w:rPr>
        <w:t xml:space="preserve">de la </w:t>
      </w:r>
      <w:r w:rsidR="00F11F87" w:rsidRPr="000821D9">
        <w:rPr>
          <w:lang w:val="fr-FR"/>
        </w:rPr>
        <w:t>Commission nationale sur l’égalité des sexes</w:t>
      </w:r>
      <w:r w:rsidR="006E0934" w:rsidRPr="00183F91">
        <w:rPr>
          <w:lang w:val="fr-FR"/>
        </w:rPr>
        <w:t>, ce qui permet d</w:t>
      </w:r>
      <w:r w:rsidR="00442D55" w:rsidRPr="00183F91">
        <w:rPr>
          <w:lang w:val="fr-FR"/>
        </w:rPr>
        <w:t>’</w:t>
      </w:r>
      <w:r w:rsidR="006E0934" w:rsidRPr="00183F91">
        <w:rPr>
          <w:lang w:val="fr-FR"/>
        </w:rPr>
        <w:t>accéder à des statistiques ventilées par sexe en anglais et en mongol.</w:t>
      </w:r>
    </w:p>
    <w:p w14:paraId="764D407F" w14:textId="332454B9" w:rsidR="006E0934" w:rsidRPr="00183F91" w:rsidRDefault="00EB1136" w:rsidP="00EB1136">
      <w:pPr>
        <w:pStyle w:val="SingleTxt"/>
        <w:tabs>
          <w:tab w:val="right" w:pos="1685"/>
        </w:tabs>
        <w:ind w:left="1742" w:hanging="475"/>
        <w:rPr>
          <w:lang w:val="fr-FR"/>
        </w:rPr>
      </w:pPr>
      <w:r w:rsidRPr="00183F91">
        <w:rPr>
          <w:lang w:val="fr-FR"/>
        </w:rPr>
        <w:tab/>
        <w:t>•</w:t>
      </w:r>
      <w:r w:rsidRPr="00183F91">
        <w:rPr>
          <w:lang w:val="fr-FR"/>
        </w:rPr>
        <w:tab/>
      </w:r>
      <w:r w:rsidR="006E0934" w:rsidRPr="00183F91">
        <w:rPr>
          <w:lang w:val="fr-FR"/>
        </w:rPr>
        <w:t>Le Conseil de la fonction publique rend compte chaque année du respect des quotas fixés dans la loi sur la promotion de l</w:t>
      </w:r>
      <w:r w:rsidR="00442D55" w:rsidRPr="00183F91">
        <w:rPr>
          <w:lang w:val="fr-FR"/>
        </w:rPr>
        <w:t>’</w:t>
      </w:r>
      <w:r w:rsidR="006E0934" w:rsidRPr="00183F91">
        <w:rPr>
          <w:lang w:val="fr-FR"/>
        </w:rPr>
        <w:t>égalité des sexes. Conformément aux alinéas 10.1.1 à 10.1.4 de l</w:t>
      </w:r>
      <w:r w:rsidR="00442D55" w:rsidRPr="00183F91">
        <w:rPr>
          <w:lang w:val="fr-FR"/>
        </w:rPr>
        <w:t>’</w:t>
      </w:r>
      <w:r w:rsidR="006E0934" w:rsidRPr="00183F91">
        <w:rPr>
          <w:lang w:val="fr-FR"/>
        </w:rPr>
        <w:t>article 10 de la loi sur la promotion de l</w:t>
      </w:r>
      <w:r w:rsidR="00442D55" w:rsidRPr="00183F91">
        <w:rPr>
          <w:lang w:val="fr-FR"/>
        </w:rPr>
        <w:t>’</w:t>
      </w:r>
      <w:r w:rsidR="006E0934" w:rsidRPr="00183F91">
        <w:rPr>
          <w:lang w:val="fr-FR"/>
        </w:rPr>
        <w:t>égalité des sexes, le modèle d</w:t>
      </w:r>
      <w:r w:rsidR="00442D55" w:rsidRPr="00183F91">
        <w:rPr>
          <w:lang w:val="fr-FR"/>
        </w:rPr>
        <w:t>’</w:t>
      </w:r>
      <w:r w:rsidR="006E0934" w:rsidRPr="00183F91">
        <w:rPr>
          <w:lang w:val="fr-FR"/>
        </w:rPr>
        <w:t>enquête sur l</w:t>
      </w:r>
      <w:r w:rsidR="00442D55" w:rsidRPr="00183F91">
        <w:rPr>
          <w:lang w:val="fr-FR"/>
        </w:rPr>
        <w:t>’</w:t>
      </w:r>
      <w:r w:rsidR="006E0934" w:rsidRPr="00183F91">
        <w:rPr>
          <w:lang w:val="fr-FR"/>
        </w:rPr>
        <w:t>équilibre entre les sexes dans les administrations centrales et locales a été fusionné avec le formulaire relatif à la composition, les mouvements et les statistiques du personnel de la fonction publique, avec l</w:t>
      </w:r>
      <w:r w:rsidR="00442D55" w:rsidRPr="00183F91">
        <w:rPr>
          <w:lang w:val="fr-FR"/>
        </w:rPr>
        <w:t>’</w:t>
      </w:r>
      <w:r w:rsidR="006E0934" w:rsidRPr="00183F91">
        <w:rPr>
          <w:lang w:val="fr-FR"/>
        </w:rPr>
        <w:t>approbation de l</w:t>
      </w:r>
      <w:r w:rsidR="00442D55" w:rsidRPr="00183F91">
        <w:rPr>
          <w:lang w:val="fr-FR"/>
        </w:rPr>
        <w:t>’</w:t>
      </w:r>
      <w:r w:rsidR="006E0934" w:rsidRPr="00183F91">
        <w:rPr>
          <w:lang w:val="fr-FR"/>
        </w:rPr>
        <w:t xml:space="preserve">institut national de la statistique. Au cours des trois dernières années, le taux de déclaration au </w:t>
      </w:r>
      <w:bookmarkStart w:id="2" w:name="_Hlk43361699"/>
      <w:r w:rsidR="006E0934" w:rsidRPr="00183F91">
        <w:rPr>
          <w:lang w:val="fr-FR"/>
        </w:rPr>
        <w:t xml:space="preserve">Conseil de la fonction publique </w:t>
      </w:r>
      <w:bookmarkEnd w:id="2"/>
      <w:r w:rsidR="006E0934" w:rsidRPr="00183F91">
        <w:rPr>
          <w:lang w:val="fr-FR"/>
        </w:rPr>
        <w:t>a été en moyenne de 96</w:t>
      </w:r>
      <w:r w:rsidR="00AA6B42" w:rsidRPr="00183F91">
        <w:rPr>
          <w:lang w:val="fr-FR"/>
        </w:rPr>
        <w:t> </w:t>
      </w:r>
      <w:r w:rsidR="006E0934" w:rsidRPr="00183F91">
        <w:rPr>
          <w:lang w:val="fr-FR"/>
        </w:rPr>
        <w:t>% et l</w:t>
      </w:r>
      <w:r w:rsidR="00442D55" w:rsidRPr="00183F91">
        <w:rPr>
          <w:lang w:val="fr-FR"/>
        </w:rPr>
        <w:t>’</w:t>
      </w:r>
      <w:r w:rsidR="006E0934" w:rsidRPr="00183F91">
        <w:rPr>
          <w:lang w:val="fr-FR"/>
        </w:rPr>
        <w:t>application des quotas est supérieure à 30</w:t>
      </w:r>
      <w:r w:rsidR="00AA6B42" w:rsidRPr="00183F91">
        <w:rPr>
          <w:lang w:val="fr-FR"/>
        </w:rPr>
        <w:t> </w:t>
      </w:r>
      <w:r w:rsidR="006E0934" w:rsidRPr="00183F91">
        <w:rPr>
          <w:lang w:val="fr-FR"/>
        </w:rPr>
        <w:t>% au niveau national.</w:t>
      </w:r>
    </w:p>
    <w:p w14:paraId="17786270" w14:textId="006529F3" w:rsidR="00EB1136" w:rsidRPr="00183F91" w:rsidRDefault="00EB1136" w:rsidP="00EB1136">
      <w:pPr>
        <w:pStyle w:val="SingleTxt"/>
        <w:tabs>
          <w:tab w:val="right" w:pos="1685"/>
        </w:tabs>
        <w:spacing w:after="0" w:line="120" w:lineRule="exact"/>
        <w:ind w:left="1742" w:hanging="475"/>
        <w:rPr>
          <w:sz w:val="10"/>
          <w:lang w:val="fr-FR"/>
        </w:rPr>
      </w:pPr>
    </w:p>
    <w:p w14:paraId="0CB03F93" w14:textId="5DA5CBF1" w:rsidR="006E0934" w:rsidRPr="00183F91" w:rsidRDefault="006E0934" w:rsidP="00EB11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83F91">
        <w:rPr>
          <w:lang w:val="fr-FR"/>
        </w:rPr>
        <w:tab/>
      </w:r>
      <w:r w:rsidRPr="00183F91">
        <w:rPr>
          <w:lang w:val="fr-FR"/>
        </w:rPr>
        <w:tab/>
        <w:t>Soutien à la décision politique et à l</w:t>
      </w:r>
      <w:r w:rsidR="00442D55" w:rsidRPr="00183F91">
        <w:rPr>
          <w:lang w:val="fr-FR"/>
        </w:rPr>
        <w:t>’</w:t>
      </w:r>
      <w:r w:rsidRPr="00183F91">
        <w:rPr>
          <w:lang w:val="fr-FR"/>
        </w:rPr>
        <w:t>élaboration de programmes</w:t>
      </w:r>
    </w:p>
    <w:p w14:paraId="74C83E56" w14:textId="410C4D92" w:rsidR="00EB1136" w:rsidRPr="00183F91" w:rsidRDefault="00EB1136" w:rsidP="00EB1136">
      <w:pPr>
        <w:pStyle w:val="SingleTxt"/>
        <w:spacing w:after="0" w:line="120" w:lineRule="exact"/>
        <w:rPr>
          <w:sz w:val="10"/>
          <w:lang w:val="fr-FR"/>
        </w:rPr>
      </w:pPr>
    </w:p>
    <w:p w14:paraId="6083B28E" w14:textId="71D7EFF7" w:rsidR="006E0934" w:rsidRPr="00183F91" w:rsidRDefault="006E0934" w:rsidP="00AA6B42">
      <w:pPr>
        <w:pStyle w:val="SingleTxt"/>
        <w:numPr>
          <w:ilvl w:val="0"/>
          <w:numId w:val="45"/>
        </w:numPr>
        <w:spacing w:line="240" w:lineRule="exact"/>
        <w:ind w:left="1267"/>
        <w:rPr>
          <w:lang w:val="fr-FR"/>
        </w:rPr>
      </w:pPr>
      <w:r w:rsidRPr="00183F91">
        <w:rPr>
          <w:lang w:val="fr-FR"/>
        </w:rPr>
        <w:t>En collaboration avec des organismes internationaux, l</w:t>
      </w:r>
      <w:r w:rsidR="00442D55" w:rsidRPr="00183F91">
        <w:rPr>
          <w:lang w:val="fr-FR"/>
        </w:rPr>
        <w:t>’</w:t>
      </w:r>
      <w:r w:rsidRPr="00183F91">
        <w:rPr>
          <w:lang w:val="fr-FR"/>
        </w:rPr>
        <w:t>institut national de la statistique a généralisé la pratique d</w:t>
      </w:r>
      <w:r w:rsidR="00442D55" w:rsidRPr="00183F91">
        <w:rPr>
          <w:lang w:val="fr-FR"/>
        </w:rPr>
        <w:t>’</w:t>
      </w:r>
      <w:r w:rsidRPr="00183F91">
        <w:rPr>
          <w:lang w:val="fr-FR"/>
        </w:rPr>
        <w:t>enquêtes genrées à grande échelle, notamment une enquête pilote sur la propriété et l</w:t>
      </w:r>
      <w:r w:rsidR="00442D55" w:rsidRPr="00183F91">
        <w:rPr>
          <w:lang w:val="fr-FR"/>
        </w:rPr>
        <w:t>’</w:t>
      </w:r>
      <w:r w:rsidRPr="00183F91">
        <w:rPr>
          <w:lang w:val="fr-FR"/>
        </w:rPr>
        <w:t>entrepreneuriat en fonction du sexe, une enquête sur la violence de genre, une enquête sur les budgets-temps et une enquête sur les principaux indicateurs sociaux.</w:t>
      </w:r>
      <w:r w:rsidRPr="000821D9">
        <w:rPr>
          <w:spacing w:val="3"/>
          <w:lang w:val="fr-FR"/>
        </w:rPr>
        <w:t xml:space="preserve"> Un rapport intitulé </w:t>
      </w:r>
      <w:r w:rsidR="00442D55" w:rsidRPr="000821D9">
        <w:rPr>
          <w:spacing w:val="3"/>
          <w:lang w:val="fr-FR"/>
        </w:rPr>
        <w:t>« </w:t>
      </w:r>
      <w:r w:rsidRPr="000821D9">
        <w:rPr>
          <w:spacing w:val="3"/>
          <w:lang w:val="fr-FR"/>
        </w:rPr>
        <w:t>Analyse de la situation des genres en Mongolie</w:t>
      </w:r>
      <w:r w:rsidR="00442D55" w:rsidRPr="000821D9">
        <w:rPr>
          <w:spacing w:val="3"/>
          <w:lang w:val="fr-FR"/>
        </w:rPr>
        <w:t> :</w:t>
      </w:r>
      <w:r w:rsidRPr="000821D9">
        <w:rPr>
          <w:spacing w:val="3"/>
          <w:lang w:val="fr-FR"/>
        </w:rPr>
        <w:t xml:space="preserve"> progrès, difficultés et enseignements tirés depuis 2005</w:t>
      </w:r>
      <w:r w:rsidR="00442D55" w:rsidRPr="000821D9">
        <w:rPr>
          <w:spacing w:val="3"/>
          <w:lang w:val="fr-FR"/>
        </w:rPr>
        <w:t> »</w:t>
      </w:r>
      <w:r w:rsidRPr="000821D9">
        <w:rPr>
          <w:spacing w:val="3"/>
          <w:lang w:val="fr-FR"/>
        </w:rPr>
        <w:t xml:space="preserve"> a été élaboré et largement promu auprès des parties intéressées, des collectivités locales et des organisations non gouvernementales en 2019. Ce rapport d</w:t>
      </w:r>
      <w:r w:rsidR="00442D55" w:rsidRPr="000821D9">
        <w:rPr>
          <w:spacing w:val="3"/>
          <w:lang w:val="fr-FR"/>
        </w:rPr>
        <w:t>’</w:t>
      </w:r>
      <w:r w:rsidRPr="000821D9">
        <w:rPr>
          <w:spacing w:val="3"/>
          <w:lang w:val="fr-FR"/>
        </w:rPr>
        <w:t>analyse compile les statistiques nationales des 14 dernières années et a servi de référence pour l</w:t>
      </w:r>
      <w:r w:rsidR="00442D55" w:rsidRPr="000821D9">
        <w:rPr>
          <w:spacing w:val="3"/>
          <w:lang w:val="fr-FR"/>
        </w:rPr>
        <w:t>’</w:t>
      </w:r>
      <w:r w:rsidRPr="000821D9">
        <w:rPr>
          <w:spacing w:val="3"/>
          <w:lang w:val="fr-FR"/>
        </w:rPr>
        <w:t>élaboration des politiques, la planification et l</w:t>
      </w:r>
      <w:r w:rsidR="00442D55" w:rsidRPr="000821D9">
        <w:rPr>
          <w:spacing w:val="3"/>
          <w:lang w:val="fr-FR"/>
        </w:rPr>
        <w:t>’</w:t>
      </w:r>
      <w:r w:rsidRPr="000821D9">
        <w:rPr>
          <w:spacing w:val="3"/>
          <w:lang w:val="fr-FR"/>
        </w:rPr>
        <w:t>évaluation pour les 5 ou 10</w:t>
      </w:r>
      <w:r w:rsidR="00B61A09" w:rsidRPr="00183F91">
        <w:rPr>
          <w:spacing w:val="3"/>
          <w:lang w:val="fr-FR"/>
        </w:rPr>
        <w:t xml:space="preserve"> </w:t>
      </w:r>
      <w:r w:rsidRPr="000821D9">
        <w:rPr>
          <w:spacing w:val="3"/>
          <w:lang w:val="fr-FR"/>
        </w:rPr>
        <w:t>prochaines années.</w:t>
      </w:r>
    </w:p>
    <w:p w14:paraId="3765EEB8" w14:textId="3B58CCB9" w:rsidR="006E0934" w:rsidRPr="00183F91" w:rsidRDefault="006E0934" w:rsidP="00AA6B42">
      <w:pPr>
        <w:pStyle w:val="SingleTxt"/>
        <w:numPr>
          <w:ilvl w:val="0"/>
          <w:numId w:val="45"/>
        </w:numPr>
        <w:spacing w:line="240" w:lineRule="exact"/>
        <w:ind w:left="1267"/>
        <w:rPr>
          <w:lang w:val="fr-FR"/>
        </w:rPr>
      </w:pPr>
      <w:r w:rsidRPr="00183F91">
        <w:rPr>
          <w:lang w:val="fr-FR"/>
        </w:rPr>
        <w:t>Un programme de lutte contre la violence domestique à l</w:t>
      </w:r>
      <w:r w:rsidR="00442D55" w:rsidRPr="00183F91">
        <w:rPr>
          <w:lang w:val="fr-FR"/>
        </w:rPr>
        <w:t>’</w:t>
      </w:r>
      <w:r w:rsidRPr="00183F91">
        <w:rPr>
          <w:lang w:val="fr-FR"/>
        </w:rPr>
        <w:t>égard des femmes et des enfants a été lancé pour 2018-2022 afin de combattre et de prévenir la violence de genre et d</w:t>
      </w:r>
      <w:r w:rsidR="00442D55" w:rsidRPr="00183F91">
        <w:rPr>
          <w:lang w:val="fr-FR"/>
        </w:rPr>
        <w:t>’</w:t>
      </w:r>
      <w:r w:rsidRPr="00183F91">
        <w:rPr>
          <w:lang w:val="fr-FR"/>
        </w:rPr>
        <w:t>appliquer la loi sur la lutte contre la violence familiale</w:t>
      </w:r>
      <w:r w:rsidRPr="00183F91">
        <w:rPr>
          <w:vertAlign w:val="superscript"/>
          <w:lang w:val="fr-FR"/>
        </w:rPr>
        <w:footnoteReference w:id="4"/>
      </w:r>
      <w:r w:rsidRPr="00183F91">
        <w:rPr>
          <w:lang w:val="fr-FR"/>
        </w:rPr>
        <w:t>, comme le prévoit le plan stratégique de la Banque asiatique de développement pour 2017</w:t>
      </w:r>
      <w:r w:rsidR="00AA6B42" w:rsidRPr="00183F91">
        <w:rPr>
          <w:lang w:val="fr-FR"/>
        </w:rPr>
        <w:t>-</w:t>
      </w:r>
      <w:r w:rsidRPr="00183F91">
        <w:rPr>
          <w:lang w:val="fr-FR"/>
        </w:rPr>
        <w:t>2021. Doté d</w:t>
      </w:r>
      <w:r w:rsidR="00442D55" w:rsidRPr="00183F91">
        <w:rPr>
          <w:lang w:val="fr-FR"/>
        </w:rPr>
        <w:t>’</w:t>
      </w:r>
      <w:r w:rsidRPr="00183F91">
        <w:rPr>
          <w:lang w:val="fr-FR"/>
        </w:rPr>
        <w:t>un budget total de 3 millions de dollars (dont 10</w:t>
      </w:r>
      <w:r w:rsidR="00AA6B42" w:rsidRPr="00183F91">
        <w:rPr>
          <w:lang w:val="fr-FR"/>
        </w:rPr>
        <w:t> </w:t>
      </w:r>
      <w:r w:rsidRPr="00183F91">
        <w:rPr>
          <w:lang w:val="fr-FR"/>
        </w:rPr>
        <w:t>% sont des investissements publics non monétaires), il est financé par le Ministère du travail et de la protection sociale.</w:t>
      </w:r>
    </w:p>
    <w:p w14:paraId="5C83C95B" w14:textId="23859927" w:rsidR="006E0934" w:rsidRPr="00183F91" w:rsidRDefault="006E0934" w:rsidP="00AA6B42">
      <w:pPr>
        <w:pStyle w:val="SingleTxt"/>
        <w:numPr>
          <w:ilvl w:val="0"/>
          <w:numId w:val="45"/>
        </w:numPr>
        <w:spacing w:line="240" w:lineRule="exact"/>
        <w:ind w:left="1267"/>
        <w:rPr>
          <w:lang w:val="fr-FR"/>
        </w:rPr>
      </w:pPr>
      <w:r w:rsidRPr="00183F91">
        <w:rPr>
          <w:lang w:val="fr-FR"/>
        </w:rPr>
        <w:t>La charte de la Commission nationale sur l</w:t>
      </w:r>
      <w:r w:rsidR="00442D55" w:rsidRPr="00183F91">
        <w:rPr>
          <w:lang w:val="fr-FR"/>
        </w:rPr>
        <w:t>’</w:t>
      </w:r>
      <w:r w:rsidRPr="00183F91">
        <w:rPr>
          <w:lang w:val="fr-FR"/>
        </w:rPr>
        <w:t>égalité des sexes, approuvée par la résolution gouvernementale n</w:t>
      </w:r>
      <w:r w:rsidRPr="000821D9">
        <w:rPr>
          <w:vertAlign w:val="superscript"/>
          <w:lang w:val="fr-FR"/>
        </w:rPr>
        <w:t>o</w:t>
      </w:r>
      <w:r w:rsidRPr="00183F91">
        <w:rPr>
          <w:lang w:val="fr-FR"/>
        </w:rPr>
        <w:t xml:space="preserve"> 323</w:t>
      </w:r>
      <w:r w:rsidR="00366B99" w:rsidRPr="000821D9">
        <w:rPr>
          <w:lang w:val="fr-FR"/>
        </w:rPr>
        <w:t xml:space="preserve"> de 2011</w:t>
      </w:r>
      <w:r w:rsidRPr="00183F91">
        <w:rPr>
          <w:lang w:val="fr-FR"/>
        </w:rPr>
        <w:t xml:space="preserve">, dispose que les antennes de la </w:t>
      </w:r>
      <w:r w:rsidRPr="00183F91">
        <w:rPr>
          <w:lang w:val="fr-FR"/>
        </w:rPr>
        <w:lastRenderedPageBreak/>
        <w:t>Commission dans chaque ministère sont présidées par le secrétaire d</w:t>
      </w:r>
      <w:r w:rsidR="00442D55" w:rsidRPr="00183F91">
        <w:rPr>
          <w:lang w:val="fr-FR"/>
        </w:rPr>
        <w:t>’</w:t>
      </w:r>
      <w:r w:rsidRPr="00183F91">
        <w:rPr>
          <w:lang w:val="fr-FR"/>
        </w:rPr>
        <w:t>État du ministère et que les sous-comités de la Commission sont présidés par le gouverneur de l</w:t>
      </w:r>
      <w:r w:rsidR="00442D55" w:rsidRPr="00183F91">
        <w:rPr>
          <w:lang w:val="fr-FR"/>
        </w:rPr>
        <w:t>’</w:t>
      </w:r>
      <w:r w:rsidRPr="00183F91">
        <w:rPr>
          <w:lang w:val="fr-FR"/>
        </w:rPr>
        <w:t>échelon correspondant, qui approuve leur composition et leurs méthodes de travail. À ce titre, 13 comités sur le genre ont été créés au niveau de l</w:t>
      </w:r>
      <w:r w:rsidR="00442D55" w:rsidRPr="00183F91">
        <w:rPr>
          <w:lang w:val="fr-FR"/>
        </w:rPr>
        <w:t>’</w:t>
      </w:r>
      <w:r w:rsidRPr="00183F91">
        <w:rPr>
          <w:lang w:val="fr-FR"/>
        </w:rPr>
        <w:t>administration centrale de l</w:t>
      </w:r>
      <w:r w:rsidR="00442D55" w:rsidRPr="00183F91">
        <w:rPr>
          <w:lang w:val="fr-FR"/>
        </w:rPr>
        <w:t>’</w:t>
      </w:r>
      <w:r w:rsidRPr="00183F91">
        <w:rPr>
          <w:lang w:val="fr-FR"/>
        </w:rPr>
        <w:t xml:space="preserve">État et 31 sous-comités ont été créés dans les </w:t>
      </w:r>
      <w:bookmarkStart w:id="3" w:name="_Hlk43361951"/>
      <w:r w:rsidRPr="00183F91">
        <w:rPr>
          <w:lang w:val="fr-FR"/>
        </w:rPr>
        <w:t>aïmags</w:t>
      </w:r>
      <w:bookmarkEnd w:id="3"/>
      <w:r w:rsidRPr="00183F91">
        <w:rPr>
          <w:lang w:val="fr-FR"/>
        </w:rPr>
        <w:t>, la capitale et les districts</w:t>
      </w:r>
      <w:r w:rsidR="00442D55" w:rsidRPr="00183F91">
        <w:rPr>
          <w:lang w:val="fr-FR"/>
        </w:rPr>
        <w:t> ;</w:t>
      </w:r>
      <w:r w:rsidRPr="00183F91">
        <w:rPr>
          <w:lang w:val="fr-FR"/>
        </w:rPr>
        <w:t xml:space="preserve"> chacun a approuvé ses méthodes de travail respectives. Huit comités de la Commission nationale sur l</w:t>
      </w:r>
      <w:r w:rsidR="00442D55" w:rsidRPr="00183F91">
        <w:rPr>
          <w:lang w:val="fr-FR"/>
        </w:rPr>
        <w:t>’</w:t>
      </w:r>
      <w:r w:rsidRPr="00183F91">
        <w:rPr>
          <w:lang w:val="fr-FR"/>
        </w:rPr>
        <w:t>égalité des sexes (soit 60</w:t>
      </w:r>
      <w:r w:rsidR="00AA6B42" w:rsidRPr="00183F91">
        <w:rPr>
          <w:lang w:val="fr-FR"/>
        </w:rPr>
        <w:t> </w:t>
      </w:r>
      <w:r w:rsidRPr="00183F91">
        <w:rPr>
          <w:lang w:val="fr-FR"/>
        </w:rPr>
        <w:t>% du total) ont approuvé et mis en œuvre une politique de genre et un comité a élaboré un plan d</w:t>
      </w:r>
      <w:r w:rsidR="00442D55" w:rsidRPr="00183F91">
        <w:rPr>
          <w:lang w:val="fr-FR"/>
        </w:rPr>
        <w:t>’</w:t>
      </w:r>
      <w:r w:rsidRPr="00183F91">
        <w:rPr>
          <w:lang w:val="fr-FR"/>
        </w:rPr>
        <w:t>action pour l</w:t>
      </w:r>
      <w:r w:rsidR="00442D55" w:rsidRPr="00183F91">
        <w:rPr>
          <w:lang w:val="fr-FR"/>
        </w:rPr>
        <w:t>’</w:t>
      </w:r>
      <w:r w:rsidRPr="00183F91">
        <w:rPr>
          <w:lang w:val="fr-FR"/>
        </w:rPr>
        <w:t xml:space="preserve">égalité des sexes. Une évaluation de la situation des femmes dans le domaine des affaires étrangères, de la défense et de la santé a été réalisée et une politique de genre dans ces domaines doit être approuvée pour application en 2020. Les comités sur le genre des ministères ont élaboré et diffusé une directive pour coopérer avec les </w:t>
      </w:r>
      <w:bookmarkStart w:id="4" w:name="_Hlk43361998"/>
      <w:r w:rsidRPr="00183F91">
        <w:rPr>
          <w:lang w:val="fr-FR"/>
        </w:rPr>
        <w:t xml:space="preserve">soums, bags et khoroos </w:t>
      </w:r>
      <w:bookmarkEnd w:id="4"/>
      <w:r w:rsidRPr="00183F91">
        <w:rPr>
          <w:lang w:val="fr-FR"/>
        </w:rPr>
        <w:t>en vue de l</w:t>
      </w:r>
      <w:r w:rsidR="00442D55" w:rsidRPr="00183F91">
        <w:rPr>
          <w:lang w:val="fr-FR"/>
        </w:rPr>
        <w:t>’</w:t>
      </w:r>
      <w:r w:rsidRPr="00183F91">
        <w:rPr>
          <w:lang w:val="fr-FR"/>
        </w:rPr>
        <w:t>application de la loi sur la promotion de l</w:t>
      </w:r>
      <w:r w:rsidR="00442D55" w:rsidRPr="00183F91">
        <w:rPr>
          <w:lang w:val="fr-FR"/>
        </w:rPr>
        <w:t>’</w:t>
      </w:r>
      <w:r w:rsidRPr="00183F91">
        <w:rPr>
          <w:lang w:val="fr-FR"/>
        </w:rPr>
        <w:t>égalité des sexes. En conséquence, 90</w:t>
      </w:r>
      <w:r w:rsidR="00AA6B42" w:rsidRPr="00183F91">
        <w:rPr>
          <w:lang w:val="fr-FR"/>
        </w:rPr>
        <w:t> </w:t>
      </w:r>
      <w:r w:rsidRPr="00183F91">
        <w:rPr>
          <w:lang w:val="fr-FR"/>
        </w:rPr>
        <w:t>% des entités concernées, soit 18 aïmags, la capitale et deux districts de la capitale ont approuvé leur sous-programme sur le genre.</w:t>
      </w:r>
    </w:p>
    <w:p w14:paraId="2A2EFDD4" w14:textId="67CC7A84" w:rsidR="00EB1136" w:rsidRPr="00183F91" w:rsidRDefault="00EB1136" w:rsidP="00EB1136">
      <w:pPr>
        <w:pStyle w:val="SingleTxt"/>
        <w:spacing w:after="0" w:line="120" w:lineRule="exact"/>
        <w:rPr>
          <w:sz w:val="10"/>
          <w:lang w:val="fr-FR"/>
        </w:rPr>
      </w:pPr>
    </w:p>
    <w:p w14:paraId="2A850541" w14:textId="4C274649" w:rsidR="00EB1136" w:rsidRPr="00183F91" w:rsidRDefault="00EB1136" w:rsidP="00EB1136">
      <w:pPr>
        <w:pStyle w:val="SingleTxt"/>
        <w:spacing w:after="0" w:line="120" w:lineRule="exact"/>
        <w:rPr>
          <w:sz w:val="10"/>
          <w:lang w:val="fr-FR"/>
        </w:rPr>
      </w:pPr>
    </w:p>
    <w:p w14:paraId="46D090F5" w14:textId="443A0968" w:rsidR="006E0934" w:rsidRPr="00183F91" w:rsidRDefault="00EB1136" w:rsidP="00EB113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83F91">
        <w:rPr>
          <w:lang w:val="fr-FR"/>
        </w:rPr>
        <w:tab/>
      </w:r>
      <w:r w:rsidR="006E0934" w:rsidRPr="00183F91">
        <w:rPr>
          <w:lang w:val="fr-FR"/>
        </w:rPr>
        <w:t>B.</w:t>
      </w:r>
      <w:r w:rsidR="006E0934" w:rsidRPr="00183F91">
        <w:rPr>
          <w:lang w:val="fr-FR"/>
        </w:rPr>
        <w:tab/>
        <w:t>Réponse au paragraphe 2 de la liste de points</w:t>
      </w:r>
    </w:p>
    <w:p w14:paraId="0187A125" w14:textId="4B3DAB0F" w:rsidR="00EB1136" w:rsidRPr="00183F91" w:rsidRDefault="00EB1136" w:rsidP="00EB1136">
      <w:pPr>
        <w:pStyle w:val="SingleTxt"/>
        <w:spacing w:after="0" w:line="120" w:lineRule="exact"/>
        <w:rPr>
          <w:sz w:val="10"/>
          <w:lang w:val="fr-FR"/>
        </w:rPr>
      </w:pPr>
    </w:p>
    <w:p w14:paraId="17D83525" w14:textId="5C7B9173" w:rsidR="00EB1136" w:rsidRPr="00183F91" w:rsidRDefault="00EB1136" w:rsidP="00EB1136">
      <w:pPr>
        <w:pStyle w:val="SingleTxt"/>
        <w:spacing w:after="0" w:line="120" w:lineRule="exact"/>
        <w:rPr>
          <w:sz w:val="10"/>
          <w:lang w:val="fr-FR"/>
        </w:rPr>
      </w:pPr>
    </w:p>
    <w:p w14:paraId="4A55EC3B" w14:textId="262C2201" w:rsidR="006E0934" w:rsidRPr="00183F91" w:rsidRDefault="006E0934" w:rsidP="00AA6B42">
      <w:pPr>
        <w:pStyle w:val="SingleTxt"/>
        <w:numPr>
          <w:ilvl w:val="0"/>
          <w:numId w:val="45"/>
        </w:numPr>
        <w:spacing w:line="240" w:lineRule="exact"/>
        <w:ind w:left="1267"/>
        <w:rPr>
          <w:lang w:val="fr-FR"/>
        </w:rPr>
      </w:pPr>
      <w:r w:rsidRPr="00183F91">
        <w:rPr>
          <w:lang w:val="fr-FR"/>
        </w:rPr>
        <w:t xml:space="preserve">Un financement de 1,0 milliard de </w:t>
      </w:r>
      <w:r w:rsidR="00A66DA3" w:rsidRPr="00183F91">
        <w:rPr>
          <w:lang w:val="fr-FR"/>
        </w:rPr>
        <w:t>togrog</w:t>
      </w:r>
      <w:r w:rsidRPr="00183F91">
        <w:rPr>
          <w:lang w:val="fr-FR"/>
        </w:rPr>
        <w:t>s a été alloué sur le budget de l</w:t>
      </w:r>
      <w:r w:rsidR="00442D55" w:rsidRPr="00183F91">
        <w:rPr>
          <w:lang w:val="fr-FR"/>
        </w:rPr>
        <w:t>’</w:t>
      </w:r>
      <w:r w:rsidRPr="00183F91">
        <w:rPr>
          <w:lang w:val="fr-FR"/>
        </w:rPr>
        <w:t xml:space="preserve">État pour mettre en œuvre le </w:t>
      </w:r>
      <w:r w:rsidR="00653A21">
        <w:rPr>
          <w:lang w:val="fr-FR"/>
        </w:rPr>
        <w:t>programme national relatif à l’égalité des sexes</w:t>
      </w:r>
      <w:r w:rsidRPr="00183F91">
        <w:rPr>
          <w:vertAlign w:val="superscript"/>
          <w:lang w:val="fr-FR"/>
        </w:rPr>
        <w:footnoteReference w:id="5"/>
      </w:r>
      <w:r w:rsidRPr="00183F91">
        <w:rPr>
          <w:lang w:val="fr-FR"/>
        </w:rPr>
        <w:t xml:space="preserve"> pour 2017-2021. À cette fin, la Mongolie réalise un certain nombre de projets, dont l</w:t>
      </w:r>
      <w:r w:rsidR="00442D55" w:rsidRPr="00183F91">
        <w:rPr>
          <w:lang w:val="fr-FR"/>
        </w:rPr>
        <w:t>’</w:t>
      </w:r>
      <w:r w:rsidRPr="00183F91">
        <w:rPr>
          <w:lang w:val="fr-FR"/>
        </w:rPr>
        <w:t>un relatif à la lutte contre les violences de genre (2017-2020), doté d</w:t>
      </w:r>
      <w:r w:rsidR="00442D55" w:rsidRPr="00183F91">
        <w:rPr>
          <w:lang w:val="fr-FR"/>
        </w:rPr>
        <w:t>’</w:t>
      </w:r>
      <w:r w:rsidRPr="00183F91">
        <w:rPr>
          <w:lang w:val="fr-FR"/>
        </w:rPr>
        <w:t>un budget de 5,6 millions de francs suisses, mené conjointement avec le Fonds des Nations Unies pour la population (FNUAP), et deux projets d</w:t>
      </w:r>
      <w:r w:rsidR="00442D55" w:rsidRPr="00183F91">
        <w:rPr>
          <w:lang w:val="fr-FR"/>
        </w:rPr>
        <w:t>’</w:t>
      </w:r>
      <w:r w:rsidRPr="00183F91">
        <w:rPr>
          <w:lang w:val="fr-FR"/>
        </w:rPr>
        <w:t>assistance technique relatifs à la prise en compte du genre dans la planification et les mesures de développement sectoriel et local (2017-2019) et à la participation de la société civile au combat pour l</w:t>
      </w:r>
      <w:r w:rsidR="00442D55" w:rsidRPr="00183F91">
        <w:rPr>
          <w:lang w:val="fr-FR"/>
        </w:rPr>
        <w:t>’</w:t>
      </w:r>
      <w:r w:rsidRPr="00183F91">
        <w:rPr>
          <w:lang w:val="fr-FR"/>
        </w:rPr>
        <w:t>égalité des genres (2020-2021), dotés de budgets respectifs de</w:t>
      </w:r>
      <w:r w:rsidR="00EB1136" w:rsidRPr="00183F91">
        <w:rPr>
          <w:lang w:val="fr-FR"/>
        </w:rPr>
        <w:t xml:space="preserve"> </w:t>
      </w:r>
      <w:r w:rsidRPr="00183F91">
        <w:rPr>
          <w:lang w:val="fr-FR"/>
        </w:rPr>
        <w:t>700</w:t>
      </w:r>
      <w:r w:rsidR="00AA6B42" w:rsidRPr="00183F91">
        <w:rPr>
          <w:lang w:val="fr-FR"/>
        </w:rPr>
        <w:t> </w:t>
      </w:r>
      <w:r w:rsidRPr="00183F91">
        <w:rPr>
          <w:lang w:val="fr-FR"/>
        </w:rPr>
        <w:t>000 et 500</w:t>
      </w:r>
      <w:r w:rsidR="00AA6B42" w:rsidRPr="00183F91">
        <w:rPr>
          <w:lang w:val="fr-FR"/>
        </w:rPr>
        <w:t> </w:t>
      </w:r>
      <w:r w:rsidRPr="00183F91">
        <w:rPr>
          <w:lang w:val="fr-FR"/>
        </w:rPr>
        <w:t>000 dollars.</w:t>
      </w:r>
    </w:p>
    <w:p w14:paraId="5D547C7B" w14:textId="115A2150" w:rsidR="006E0934" w:rsidRPr="00183F91" w:rsidRDefault="006E0934" w:rsidP="00AA6B42">
      <w:pPr>
        <w:pStyle w:val="SingleTxt"/>
        <w:numPr>
          <w:ilvl w:val="0"/>
          <w:numId w:val="45"/>
        </w:numPr>
        <w:spacing w:line="240" w:lineRule="exact"/>
        <w:ind w:left="1267"/>
        <w:rPr>
          <w:lang w:val="fr-FR"/>
        </w:rPr>
      </w:pPr>
      <w:r w:rsidRPr="00183F91">
        <w:rPr>
          <w:lang w:val="fr-FR"/>
        </w:rPr>
        <w:t>Le secrétariat de la Commission nationale sur l</w:t>
      </w:r>
      <w:r w:rsidR="00442D55" w:rsidRPr="00183F91">
        <w:rPr>
          <w:lang w:val="fr-FR"/>
        </w:rPr>
        <w:t>’</w:t>
      </w:r>
      <w:r w:rsidRPr="00183F91">
        <w:rPr>
          <w:lang w:val="fr-FR"/>
        </w:rPr>
        <w:t>égalité des sexes a traduit en mongol les observations du Comité pour l</w:t>
      </w:r>
      <w:r w:rsidR="00442D55" w:rsidRPr="00183F91">
        <w:rPr>
          <w:lang w:val="fr-FR"/>
        </w:rPr>
        <w:t>’</w:t>
      </w:r>
      <w:r w:rsidRPr="00183F91">
        <w:rPr>
          <w:lang w:val="fr-FR"/>
        </w:rPr>
        <w:t>élimination de la discrimination à l</w:t>
      </w:r>
      <w:r w:rsidR="00442D55" w:rsidRPr="00183F91">
        <w:rPr>
          <w:lang w:val="fr-FR"/>
        </w:rPr>
        <w:t>’</w:t>
      </w:r>
      <w:r w:rsidRPr="00183F91">
        <w:rPr>
          <w:lang w:val="fr-FR"/>
        </w:rPr>
        <w:t>égard des femmes et les observations finales sur les huitième et neuvième rapports périodiques combinés de la Mongolie, qui ont été publiées en anglais et en mongol et remises aux autorités compétentes. En 2016-2017, les recommandations du Comité ont été présentées aux membres de la Commission parlementaire permanente de la politique sociale, de l</w:t>
      </w:r>
      <w:r w:rsidR="00442D55" w:rsidRPr="00183F91">
        <w:rPr>
          <w:lang w:val="fr-FR"/>
        </w:rPr>
        <w:t>’</w:t>
      </w:r>
      <w:r w:rsidRPr="00183F91">
        <w:rPr>
          <w:lang w:val="fr-FR"/>
        </w:rPr>
        <w:t xml:space="preserve">éducation, de la culture et de la science et à ceux de la Commission permanente du budget. Un séminaire a été organisé pour les fonctionnaires concernés des ministères responsables de la mise en œuvre des recommandations de la Convention. </w:t>
      </w:r>
    </w:p>
    <w:p w14:paraId="0D386DDA" w14:textId="13E29C83" w:rsidR="006E0934" w:rsidRPr="00183F91" w:rsidRDefault="006E0934" w:rsidP="00AA6B42">
      <w:pPr>
        <w:pStyle w:val="SingleTxt"/>
        <w:numPr>
          <w:ilvl w:val="0"/>
          <w:numId w:val="45"/>
        </w:numPr>
        <w:spacing w:line="240" w:lineRule="exact"/>
        <w:ind w:left="1267"/>
        <w:rPr>
          <w:lang w:val="fr-FR"/>
        </w:rPr>
      </w:pPr>
      <w:r w:rsidRPr="00183F91">
        <w:rPr>
          <w:lang w:val="fr-FR"/>
        </w:rPr>
        <w:t>Aucune affaire n</w:t>
      </w:r>
      <w:r w:rsidR="00442D55" w:rsidRPr="00183F91">
        <w:rPr>
          <w:lang w:val="fr-FR"/>
        </w:rPr>
        <w:t>’</w:t>
      </w:r>
      <w:r w:rsidRPr="00183F91">
        <w:rPr>
          <w:lang w:val="fr-FR"/>
        </w:rPr>
        <w:t>a été portée devant les tribunaux en application de la Convention au cours des cinq dernières années. L</w:t>
      </w:r>
      <w:r w:rsidR="00442D55" w:rsidRPr="00183F91">
        <w:rPr>
          <w:lang w:val="fr-FR"/>
        </w:rPr>
        <w:t>’</w:t>
      </w:r>
      <w:r w:rsidRPr="00183F91">
        <w:rPr>
          <w:lang w:val="fr-FR"/>
        </w:rPr>
        <w:t>article 14.1 du Code pénal, tel que modifié en 2015, criminalise la discrimination. Selon le paragraphe 2.3 de l</w:t>
      </w:r>
      <w:r w:rsidR="00442D55" w:rsidRPr="00183F91">
        <w:rPr>
          <w:lang w:val="fr-FR"/>
        </w:rPr>
        <w:t>’</w:t>
      </w:r>
      <w:r w:rsidRPr="00183F91">
        <w:rPr>
          <w:lang w:val="fr-FR"/>
        </w:rPr>
        <w:t>article</w:t>
      </w:r>
      <w:r w:rsidR="00AA6B42" w:rsidRPr="00183F91">
        <w:rPr>
          <w:lang w:val="fr-FR"/>
        </w:rPr>
        <w:t> </w:t>
      </w:r>
      <w:r w:rsidRPr="00183F91">
        <w:rPr>
          <w:lang w:val="fr-FR"/>
        </w:rPr>
        <w:t>14.1 du Code pénal, tout fonctionnaire qui abuse de ses fonctions, de ses prérogatives ou de son influence est passible d</w:t>
      </w:r>
      <w:r w:rsidR="00442D55" w:rsidRPr="00183F91">
        <w:rPr>
          <w:lang w:val="fr-FR"/>
        </w:rPr>
        <w:t>’</w:t>
      </w:r>
      <w:r w:rsidRPr="00183F91">
        <w:rPr>
          <w:lang w:val="fr-FR"/>
        </w:rPr>
        <w:t>une amende de 5</w:t>
      </w:r>
      <w:r w:rsidR="00AA6B42" w:rsidRPr="00183F91">
        <w:rPr>
          <w:lang w:val="fr-FR"/>
        </w:rPr>
        <w:t> </w:t>
      </w:r>
      <w:r w:rsidRPr="00183F91">
        <w:rPr>
          <w:lang w:val="fr-FR"/>
        </w:rPr>
        <w:t>400 à 27</w:t>
      </w:r>
      <w:r w:rsidR="00AA6B42" w:rsidRPr="00183F91">
        <w:rPr>
          <w:lang w:val="fr-FR"/>
        </w:rPr>
        <w:t> </w:t>
      </w:r>
      <w:r w:rsidRPr="00183F91">
        <w:rPr>
          <w:lang w:val="fr-FR"/>
        </w:rPr>
        <w:t>000 unités</w:t>
      </w:r>
      <w:r w:rsidRPr="00183F91">
        <w:rPr>
          <w:vertAlign w:val="superscript"/>
          <w:lang w:val="fr-FR"/>
        </w:rPr>
        <w:footnoteReference w:id="6"/>
      </w:r>
      <w:r w:rsidRPr="00183F91">
        <w:rPr>
          <w:lang w:val="fr-FR"/>
        </w:rPr>
        <w:t>, d</w:t>
      </w:r>
      <w:r w:rsidR="00442D55" w:rsidRPr="00183F91">
        <w:rPr>
          <w:lang w:val="fr-FR"/>
        </w:rPr>
        <w:t>’</w:t>
      </w:r>
      <w:r w:rsidRPr="00183F91">
        <w:rPr>
          <w:lang w:val="fr-FR"/>
        </w:rPr>
        <w:t>une interdiction de voyager d</w:t>
      </w:r>
      <w:r w:rsidR="00442D55" w:rsidRPr="00183F91">
        <w:rPr>
          <w:lang w:val="fr-FR"/>
        </w:rPr>
        <w:t>’</w:t>
      </w:r>
      <w:r w:rsidRPr="00183F91">
        <w:rPr>
          <w:lang w:val="fr-FR"/>
        </w:rPr>
        <w:t>un à cinq ans ou d</w:t>
      </w:r>
      <w:r w:rsidR="00442D55" w:rsidRPr="00183F91">
        <w:rPr>
          <w:lang w:val="fr-FR"/>
        </w:rPr>
        <w:t>’</w:t>
      </w:r>
      <w:r w:rsidRPr="00183F91">
        <w:rPr>
          <w:lang w:val="fr-FR"/>
        </w:rPr>
        <w:t>une peine de prison allant jusqu</w:t>
      </w:r>
      <w:r w:rsidR="00442D55" w:rsidRPr="00183F91">
        <w:rPr>
          <w:lang w:val="fr-FR"/>
        </w:rPr>
        <w:t>’</w:t>
      </w:r>
      <w:r w:rsidRPr="00183F91">
        <w:rPr>
          <w:lang w:val="fr-FR"/>
        </w:rPr>
        <w:t xml:space="preserve">à cinq ans. De 2015 à 2018, aucune affaire de discrimination au sens du </w:t>
      </w:r>
      <w:bookmarkStart w:id="5" w:name="_Hlk43362275"/>
      <w:r w:rsidRPr="00183F91">
        <w:rPr>
          <w:lang w:val="fr-FR"/>
        </w:rPr>
        <w:t xml:space="preserve">Code pénal </w:t>
      </w:r>
      <w:bookmarkEnd w:id="5"/>
      <w:r w:rsidRPr="00183F91">
        <w:rPr>
          <w:lang w:val="fr-FR"/>
        </w:rPr>
        <w:t>n</w:t>
      </w:r>
      <w:r w:rsidR="00442D55" w:rsidRPr="00183F91">
        <w:rPr>
          <w:lang w:val="fr-FR"/>
        </w:rPr>
        <w:t>’</w:t>
      </w:r>
      <w:r w:rsidRPr="00183F91">
        <w:rPr>
          <w:lang w:val="fr-FR"/>
        </w:rPr>
        <w:t>a été enregistrée.</w:t>
      </w:r>
    </w:p>
    <w:p w14:paraId="48DAFEA4" w14:textId="1C127C0C" w:rsidR="006E0934" w:rsidRPr="00183F91" w:rsidRDefault="006E0934" w:rsidP="00AA6B42">
      <w:pPr>
        <w:pStyle w:val="SingleTxt"/>
        <w:numPr>
          <w:ilvl w:val="0"/>
          <w:numId w:val="45"/>
        </w:numPr>
        <w:spacing w:line="240" w:lineRule="exact"/>
        <w:ind w:left="1267"/>
        <w:rPr>
          <w:lang w:val="fr-FR"/>
        </w:rPr>
      </w:pPr>
      <w:r w:rsidRPr="00183F91">
        <w:rPr>
          <w:lang w:val="fr-FR"/>
        </w:rPr>
        <w:t>Conformément à la loi de 1995 sur le traitement des plaintes et des recours auprès des institutions publiques et des fonctionnaires du gouvernement, les plaintes et observations sur le comportement, l</w:t>
      </w:r>
      <w:r w:rsidR="00442D55" w:rsidRPr="00183F91">
        <w:rPr>
          <w:lang w:val="fr-FR"/>
        </w:rPr>
        <w:t>’</w:t>
      </w:r>
      <w:r w:rsidRPr="00183F91">
        <w:rPr>
          <w:lang w:val="fr-FR"/>
        </w:rPr>
        <w:t>éthique et le respect des procédures des agents de police sont reçues par écrit ou oralement via le centre d</w:t>
      </w:r>
      <w:r w:rsidR="00442D55" w:rsidRPr="00183F91">
        <w:rPr>
          <w:lang w:val="fr-FR"/>
        </w:rPr>
        <w:t>’</w:t>
      </w:r>
      <w:r w:rsidRPr="00183F91">
        <w:rPr>
          <w:lang w:val="fr-FR"/>
        </w:rPr>
        <w:t xml:space="preserve">appel 11-11 du Centre de </w:t>
      </w:r>
      <w:r w:rsidRPr="00183F91">
        <w:rPr>
          <w:lang w:val="fr-FR"/>
        </w:rPr>
        <w:lastRenderedPageBreak/>
        <w:t>relations avec la population du Secrétariat du Gouvernement et la ligne d</w:t>
      </w:r>
      <w:r w:rsidR="00442D55" w:rsidRPr="00183F91">
        <w:rPr>
          <w:lang w:val="fr-FR"/>
        </w:rPr>
        <w:t>’</w:t>
      </w:r>
      <w:r w:rsidRPr="00183F91">
        <w:rPr>
          <w:lang w:val="fr-FR"/>
        </w:rPr>
        <w:t>urgence 126 de la Police nationale, et des enquêtes sont menées en conséquence. La loi de 2017 sur la fonction publique et la loi de 2017 sur les services de police prévoient des mesures disciplinaires contre tout fonctionnaire coupable de manquements, y compris sa rétrogradation ou son licenciement. Aucun cas de discrimination commis par des policiers dans l</w:t>
      </w:r>
      <w:r w:rsidR="00442D55" w:rsidRPr="00183F91">
        <w:rPr>
          <w:lang w:val="fr-FR"/>
        </w:rPr>
        <w:t>’</w:t>
      </w:r>
      <w:r w:rsidRPr="00183F91">
        <w:rPr>
          <w:lang w:val="fr-FR"/>
        </w:rPr>
        <w:t>exercice de leurs fonctions n</w:t>
      </w:r>
      <w:r w:rsidR="00442D55" w:rsidRPr="00183F91">
        <w:rPr>
          <w:lang w:val="fr-FR"/>
        </w:rPr>
        <w:t>’</w:t>
      </w:r>
      <w:r w:rsidRPr="00183F91">
        <w:rPr>
          <w:lang w:val="fr-FR"/>
        </w:rPr>
        <w:t>a été signalé.</w:t>
      </w:r>
    </w:p>
    <w:p w14:paraId="1467A722" w14:textId="21739CC3" w:rsidR="006E0934" w:rsidRPr="00183F91" w:rsidRDefault="006E0934" w:rsidP="00AA6B42">
      <w:pPr>
        <w:pStyle w:val="SingleTxt"/>
        <w:numPr>
          <w:ilvl w:val="0"/>
          <w:numId w:val="45"/>
        </w:numPr>
        <w:spacing w:line="240" w:lineRule="exact"/>
        <w:ind w:left="1267"/>
        <w:rPr>
          <w:lang w:val="fr-FR"/>
        </w:rPr>
      </w:pPr>
      <w:r w:rsidRPr="00183F91">
        <w:rPr>
          <w:lang w:val="fr-FR"/>
        </w:rPr>
        <w:t>Selon les informations fournies par le Bureau du Procureur général, en 2018, sur cinq affaires de discrimination raciale et ethnique ouvertes au titre de l</w:t>
      </w:r>
      <w:r w:rsidR="00442D55" w:rsidRPr="00183F91">
        <w:rPr>
          <w:lang w:val="fr-FR"/>
        </w:rPr>
        <w:t>’</w:t>
      </w:r>
      <w:r w:rsidRPr="00183F91">
        <w:rPr>
          <w:lang w:val="fr-FR"/>
        </w:rPr>
        <w:t>article 14.1 du Code pénal, une affaire est en cours d</w:t>
      </w:r>
      <w:r w:rsidR="00442D55" w:rsidRPr="00183F91">
        <w:rPr>
          <w:lang w:val="fr-FR"/>
        </w:rPr>
        <w:t>’</w:t>
      </w:r>
      <w:r w:rsidRPr="00183F91">
        <w:rPr>
          <w:lang w:val="fr-FR"/>
        </w:rPr>
        <w:t>instruction par le procureur. Un crime impliquant un groupe nationaliste et ses membres a été commis, dont les auteurs ont été condamnés par le tribunal sur la base de l</w:t>
      </w:r>
      <w:r w:rsidR="00442D55" w:rsidRPr="00183F91">
        <w:rPr>
          <w:lang w:val="fr-FR"/>
        </w:rPr>
        <w:t>’</w:t>
      </w:r>
      <w:r w:rsidRPr="00183F91">
        <w:rPr>
          <w:lang w:val="fr-FR"/>
        </w:rPr>
        <w:t>acte d</w:t>
      </w:r>
      <w:r w:rsidR="00442D55" w:rsidRPr="00183F91">
        <w:rPr>
          <w:lang w:val="fr-FR"/>
        </w:rPr>
        <w:t>’</w:t>
      </w:r>
      <w:r w:rsidRPr="00183F91">
        <w:rPr>
          <w:lang w:val="fr-FR"/>
        </w:rPr>
        <w:t>accusation dressé par le procureur.</w:t>
      </w:r>
    </w:p>
    <w:p w14:paraId="0B861A85" w14:textId="32B4295F" w:rsidR="00EB1136" w:rsidRPr="00183F91" w:rsidRDefault="00EB1136" w:rsidP="00EB1136">
      <w:pPr>
        <w:pStyle w:val="SingleTxt"/>
        <w:spacing w:after="0" w:line="120" w:lineRule="exact"/>
        <w:rPr>
          <w:sz w:val="10"/>
          <w:lang w:val="fr-FR"/>
        </w:rPr>
      </w:pPr>
    </w:p>
    <w:p w14:paraId="44A3FF2C" w14:textId="628116C5" w:rsidR="00EB1136" w:rsidRPr="00183F91" w:rsidRDefault="00EB1136" w:rsidP="00EB1136">
      <w:pPr>
        <w:pStyle w:val="SingleTxt"/>
        <w:spacing w:after="0" w:line="120" w:lineRule="exact"/>
        <w:rPr>
          <w:sz w:val="10"/>
          <w:lang w:val="fr-FR"/>
        </w:rPr>
      </w:pPr>
    </w:p>
    <w:p w14:paraId="678376C0" w14:textId="7EA0A0FD" w:rsidR="006E0934" w:rsidRPr="00183F91" w:rsidRDefault="00EB1136" w:rsidP="00EB113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83F91">
        <w:rPr>
          <w:lang w:val="fr-FR"/>
        </w:rPr>
        <w:tab/>
      </w:r>
      <w:r w:rsidR="006E0934" w:rsidRPr="00183F91">
        <w:rPr>
          <w:lang w:val="fr-FR"/>
        </w:rPr>
        <w:t>C.</w:t>
      </w:r>
      <w:r w:rsidR="006E0934" w:rsidRPr="00183F91">
        <w:rPr>
          <w:lang w:val="fr-FR"/>
        </w:rPr>
        <w:tab/>
        <w:t>Réponse au paragraphe 3 de la liste de points</w:t>
      </w:r>
    </w:p>
    <w:p w14:paraId="734D138D" w14:textId="6EF3FBFC" w:rsidR="00EB1136" w:rsidRPr="00183F91" w:rsidRDefault="00EB1136" w:rsidP="00EB1136">
      <w:pPr>
        <w:pStyle w:val="SingleTxt"/>
        <w:spacing w:after="0" w:line="120" w:lineRule="exact"/>
        <w:rPr>
          <w:sz w:val="10"/>
          <w:lang w:val="fr-FR"/>
        </w:rPr>
      </w:pPr>
    </w:p>
    <w:p w14:paraId="2116E4D1" w14:textId="0654D98E" w:rsidR="00EB1136" w:rsidRPr="00183F91" w:rsidRDefault="00EB1136" w:rsidP="00EB1136">
      <w:pPr>
        <w:pStyle w:val="SingleTxt"/>
        <w:spacing w:after="0" w:line="120" w:lineRule="exact"/>
        <w:rPr>
          <w:sz w:val="10"/>
          <w:lang w:val="fr-FR"/>
        </w:rPr>
      </w:pPr>
    </w:p>
    <w:p w14:paraId="396F94D1" w14:textId="07132139" w:rsidR="006E0934" w:rsidRPr="00183F91" w:rsidRDefault="006E0934" w:rsidP="00AA6B42">
      <w:pPr>
        <w:pStyle w:val="SingleTxt"/>
        <w:numPr>
          <w:ilvl w:val="0"/>
          <w:numId w:val="45"/>
        </w:numPr>
        <w:spacing w:line="240" w:lineRule="exact"/>
        <w:ind w:left="1267"/>
        <w:rPr>
          <w:lang w:val="fr-FR"/>
        </w:rPr>
      </w:pPr>
      <w:r w:rsidRPr="00183F91">
        <w:rPr>
          <w:lang w:val="fr-FR"/>
        </w:rPr>
        <w:t>Dans le cadre d</w:t>
      </w:r>
      <w:r w:rsidR="00442D55" w:rsidRPr="00183F91">
        <w:rPr>
          <w:lang w:val="fr-FR"/>
        </w:rPr>
        <w:t>’</w:t>
      </w:r>
      <w:r w:rsidRPr="00183F91">
        <w:rPr>
          <w:lang w:val="fr-FR"/>
        </w:rPr>
        <w:t>un projet de lutte contre les violences de genre en Mongolie mis en œuvre par l</w:t>
      </w:r>
      <w:r w:rsidR="00442D55" w:rsidRPr="00183F91">
        <w:rPr>
          <w:lang w:val="fr-FR"/>
        </w:rPr>
        <w:t>’</w:t>
      </w:r>
      <w:r w:rsidRPr="00183F91">
        <w:rPr>
          <w:lang w:val="fr-FR"/>
        </w:rPr>
        <w:t>Organisation internationale de droit du développement, une entité financée par le Canada, les organisations de la société civile qui fournissent une assistance et des services aux victimes de violences ont organisé une session de formation juridique de base (4 jours) pour les victimes de violence, à laquelle ont participé plus de 60 représentantes et représentants de 45 organisations de la société civile de 9 districts de la capitale et de 19 aïmags.</w:t>
      </w:r>
    </w:p>
    <w:p w14:paraId="08ACF371" w14:textId="3A72CF19" w:rsidR="006E0934" w:rsidRPr="00183F91" w:rsidRDefault="006E0934" w:rsidP="00AA6B42">
      <w:pPr>
        <w:pStyle w:val="SingleTxt"/>
        <w:numPr>
          <w:ilvl w:val="0"/>
          <w:numId w:val="45"/>
        </w:numPr>
        <w:spacing w:line="240" w:lineRule="exact"/>
        <w:ind w:left="1267"/>
        <w:rPr>
          <w:lang w:val="fr-FR"/>
        </w:rPr>
      </w:pPr>
      <w:r w:rsidRPr="00183F91">
        <w:rPr>
          <w:lang w:val="fr-FR"/>
        </w:rPr>
        <w:t>Afin de faire évoluer le cadre juridique de l</w:t>
      </w:r>
      <w:r w:rsidR="00442D55" w:rsidRPr="00183F91">
        <w:rPr>
          <w:lang w:val="fr-FR"/>
        </w:rPr>
        <w:t>’</w:t>
      </w:r>
      <w:r w:rsidRPr="00183F91">
        <w:rPr>
          <w:lang w:val="fr-FR"/>
        </w:rPr>
        <w:t>Organisation nationale de défense des droits de la personne pour le mettre en conformité avec les normes internationales, la loi sur la Commission nationale des droits de la personne a été révisée et approuvée par le Parlement en janvier 2020. Le groupe de travail pour la révision comprenait des représentantes et représentants de la Commission nationale des droits de la personne, d</w:t>
      </w:r>
      <w:r w:rsidR="00442D55" w:rsidRPr="00183F91">
        <w:rPr>
          <w:lang w:val="fr-FR"/>
        </w:rPr>
        <w:t>’</w:t>
      </w:r>
      <w:r w:rsidRPr="00183F91">
        <w:rPr>
          <w:lang w:val="fr-FR"/>
        </w:rPr>
        <w:t>organisations non gouvernementales et d</w:t>
      </w:r>
      <w:r w:rsidR="00442D55" w:rsidRPr="00183F91">
        <w:rPr>
          <w:lang w:val="fr-FR"/>
        </w:rPr>
        <w:t>’</w:t>
      </w:r>
      <w:r w:rsidRPr="00183F91">
        <w:rPr>
          <w:lang w:val="fr-FR"/>
        </w:rPr>
        <w:t>instituts de recherche. La loi révisée prévoit un budget suffisant pour la mise en œuvre indépendante des activités de la Commission nationale des droits de la personne</w:t>
      </w:r>
      <w:r w:rsidRPr="00183F91">
        <w:rPr>
          <w:vertAlign w:val="superscript"/>
          <w:lang w:val="fr-FR"/>
        </w:rPr>
        <w:footnoteReference w:id="7"/>
      </w:r>
      <w:r w:rsidRPr="00183F91">
        <w:rPr>
          <w:lang w:val="fr-FR"/>
        </w:rPr>
        <w:t xml:space="preserve"> et la procédure d</w:t>
      </w:r>
      <w:r w:rsidR="00442D55" w:rsidRPr="00183F91">
        <w:rPr>
          <w:lang w:val="fr-FR"/>
        </w:rPr>
        <w:t>’</w:t>
      </w:r>
      <w:r w:rsidRPr="00183F91">
        <w:rPr>
          <w:lang w:val="fr-FR"/>
        </w:rPr>
        <w:t>élaboration, d</w:t>
      </w:r>
      <w:r w:rsidR="00442D55" w:rsidRPr="00183F91">
        <w:rPr>
          <w:lang w:val="fr-FR"/>
        </w:rPr>
        <w:t>’</w:t>
      </w:r>
      <w:r w:rsidRPr="00183F91">
        <w:rPr>
          <w:lang w:val="fr-FR"/>
        </w:rPr>
        <w:t>examen et d</w:t>
      </w:r>
      <w:r w:rsidR="00442D55" w:rsidRPr="00183F91">
        <w:rPr>
          <w:lang w:val="fr-FR"/>
        </w:rPr>
        <w:t>’</w:t>
      </w:r>
      <w:r w:rsidRPr="00183F91">
        <w:rPr>
          <w:lang w:val="fr-FR"/>
        </w:rPr>
        <w:t>approbation de la proposition de budget est clairement définie afin de garantir et protéger les libertés et les droits de la personne, de prévenir les conflits, de rétablir les droits violés, de promouvoir et de soutenir l</w:t>
      </w:r>
      <w:r w:rsidR="00442D55" w:rsidRPr="00183F91">
        <w:rPr>
          <w:lang w:val="fr-FR"/>
        </w:rPr>
        <w:t>’</w:t>
      </w:r>
      <w:r w:rsidRPr="00183F91">
        <w:rPr>
          <w:lang w:val="fr-FR"/>
        </w:rPr>
        <w:t>éducation du grand public aux droits de la personne et de prévenir la torture.</w:t>
      </w:r>
    </w:p>
    <w:p w14:paraId="6E03DD89" w14:textId="67E3A8BC" w:rsidR="006E0934" w:rsidRPr="00183F91" w:rsidRDefault="006E0934" w:rsidP="00AA6B42">
      <w:pPr>
        <w:pStyle w:val="SingleTxt"/>
        <w:numPr>
          <w:ilvl w:val="0"/>
          <w:numId w:val="45"/>
        </w:numPr>
        <w:spacing w:line="240" w:lineRule="exact"/>
        <w:ind w:left="1267"/>
        <w:rPr>
          <w:lang w:val="fr-FR"/>
        </w:rPr>
      </w:pPr>
      <w:r w:rsidRPr="00183F91">
        <w:rPr>
          <w:lang w:val="fr-FR"/>
        </w:rPr>
        <w:t>La loi dispose également que l</w:t>
      </w:r>
      <w:r w:rsidR="00442D55" w:rsidRPr="00183F91">
        <w:rPr>
          <w:lang w:val="fr-FR"/>
        </w:rPr>
        <w:t>’</w:t>
      </w:r>
      <w:r w:rsidRPr="00183F91">
        <w:rPr>
          <w:lang w:val="fr-FR"/>
        </w:rPr>
        <w:t>égalité des genres est prise en compte lors de la nomination des membres de la Commission et que la proportion de femmes (ou d</w:t>
      </w:r>
      <w:r w:rsidR="00442D55" w:rsidRPr="00183F91">
        <w:rPr>
          <w:lang w:val="fr-FR"/>
        </w:rPr>
        <w:t>’</w:t>
      </w:r>
      <w:r w:rsidRPr="00183F91">
        <w:rPr>
          <w:lang w:val="fr-FR"/>
        </w:rPr>
        <w:t>hommes) parmi les membres de la Commission ne peut être inférieure à 40 %</w:t>
      </w:r>
      <w:r w:rsidRPr="00183F91">
        <w:rPr>
          <w:vertAlign w:val="superscript"/>
          <w:lang w:val="fr-FR"/>
        </w:rPr>
        <w:footnoteReference w:id="8"/>
      </w:r>
      <w:r w:rsidRPr="00183F91">
        <w:rPr>
          <w:lang w:val="fr-FR"/>
        </w:rPr>
        <w:t>. À l</w:t>
      </w:r>
      <w:r w:rsidR="00442D55" w:rsidRPr="00183F91">
        <w:rPr>
          <w:lang w:val="fr-FR"/>
        </w:rPr>
        <w:t>’</w:t>
      </w:r>
      <w:r w:rsidRPr="00183F91">
        <w:rPr>
          <w:lang w:val="fr-FR"/>
        </w:rPr>
        <w:t>heure actuelle, la mission et les activités de la Commission ainsi que l</w:t>
      </w:r>
      <w:r w:rsidR="00442D55" w:rsidRPr="00183F91">
        <w:rPr>
          <w:lang w:val="fr-FR"/>
        </w:rPr>
        <w:t>’</w:t>
      </w:r>
      <w:r w:rsidRPr="00183F91">
        <w:rPr>
          <w:lang w:val="fr-FR"/>
        </w:rPr>
        <w:t xml:space="preserve">exécution des mandats de ses membres, qui consistent à sensibiliser la population, à fournir des conseils juridiques, à recevoir des plaintes et des observations, à organiser des activités de formation pour les agents administratifs et les agents de la force publique locaux et à mener des inspections et des enquêtes ont été financées et organisées dans le cadre de projets et de programmes et grâce au soutien financier des organisations internationales auxquelles la Mongolie est partie. </w:t>
      </w:r>
    </w:p>
    <w:p w14:paraId="2556C669" w14:textId="4195B440" w:rsidR="006E0934" w:rsidRPr="00183F91" w:rsidRDefault="006E0934" w:rsidP="00AA6B42">
      <w:pPr>
        <w:pStyle w:val="SingleTxt"/>
        <w:numPr>
          <w:ilvl w:val="0"/>
          <w:numId w:val="45"/>
        </w:numPr>
        <w:spacing w:line="240" w:lineRule="exact"/>
        <w:ind w:left="1267"/>
        <w:rPr>
          <w:lang w:val="fr-FR"/>
        </w:rPr>
      </w:pPr>
      <w:r w:rsidRPr="00183F91">
        <w:rPr>
          <w:lang w:val="fr-FR"/>
        </w:rPr>
        <w:t>Toutefois, ces financements supplémentaires sont conditionnés aux buts et objectifs des organisations chargées de la mise en œuvre du projet et sont conçus pour traiter les difficultés de groupes cibles spécifiques. Ils sont donc insuffisants pour permettre à la Commission nationale des droits de la personne d</w:t>
      </w:r>
      <w:r w:rsidR="00442D55" w:rsidRPr="00183F91">
        <w:rPr>
          <w:lang w:val="fr-FR"/>
        </w:rPr>
        <w:t>’</w:t>
      </w:r>
      <w:r w:rsidRPr="00183F91">
        <w:rPr>
          <w:lang w:val="fr-FR"/>
        </w:rPr>
        <w:t xml:space="preserve">exercer les </w:t>
      </w:r>
      <w:r w:rsidR="004F6AD7" w:rsidRPr="00183F91">
        <w:rPr>
          <w:lang w:val="fr-FR"/>
        </w:rPr>
        <w:lastRenderedPageBreak/>
        <w:t>prérogatives</w:t>
      </w:r>
      <w:r w:rsidRPr="00183F91">
        <w:rPr>
          <w:lang w:val="fr-FR"/>
        </w:rPr>
        <w:t xml:space="preserve"> et le mandat énoncés dans la loi sur la Commission et ses activités indépendantes.</w:t>
      </w:r>
    </w:p>
    <w:p w14:paraId="4778CBEC" w14:textId="0033F35B" w:rsidR="00EB1136" w:rsidRPr="00183F91" w:rsidRDefault="00EB1136" w:rsidP="00EB1136">
      <w:pPr>
        <w:pStyle w:val="SingleTxt"/>
        <w:spacing w:after="0" w:line="120" w:lineRule="exact"/>
        <w:rPr>
          <w:sz w:val="10"/>
          <w:lang w:val="fr-FR"/>
        </w:rPr>
      </w:pPr>
    </w:p>
    <w:p w14:paraId="640B9CA2" w14:textId="2C84E3FF" w:rsidR="00EB1136" w:rsidRPr="00183F91" w:rsidRDefault="00EB1136" w:rsidP="00EB1136">
      <w:pPr>
        <w:pStyle w:val="SingleTxt"/>
        <w:spacing w:after="0" w:line="120" w:lineRule="exact"/>
        <w:rPr>
          <w:sz w:val="10"/>
          <w:lang w:val="fr-FR"/>
        </w:rPr>
      </w:pPr>
    </w:p>
    <w:p w14:paraId="0D066484" w14:textId="2D175D21" w:rsidR="006E0934" w:rsidRPr="00183F91" w:rsidRDefault="00EB1136" w:rsidP="00EB113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83F91">
        <w:rPr>
          <w:lang w:val="fr-FR"/>
        </w:rPr>
        <w:tab/>
      </w:r>
      <w:r w:rsidR="006E0934" w:rsidRPr="00183F91">
        <w:rPr>
          <w:lang w:val="fr-FR"/>
        </w:rPr>
        <w:t>D.</w:t>
      </w:r>
      <w:r w:rsidR="006E0934" w:rsidRPr="00183F91">
        <w:rPr>
          <w:lang w:val="fr-FR"/>
        </w:rPr>
        <w:tab/>
        <w:t>Réponse au paragraphe 4 de la liste de points</w:t>
      </w:r>
    </w:p>
    <w:p w14:paraId="745C7880" w14:textId="1A87CB93" w:rsidR="00EB1136" w:rsidRPr="00183F91" w:rsidRDefault="00EB1136" w:rsidP="00EB1136">
      <w:pPr>
        <w:pStyle w:val="SingleTxt"/>
        <w:spacing w:after="0" w:line="120" w:lineRule="exact"/>
        <w:rPr>
          <w:sz w:val="10"/>
          <w:lang w:val="fr-FR"/>
        </w:rPr>
      </w:pPr>
    </w:p>
    <w:p w14:paraId="669990A7" w14:textId="2C4F5719" w:rsidR="00EB1136" w:rsidRPr="00183F91" w:rsidRDefault="00EB1136" w:rsidP="00EB1136">
      <w:pPr>
        <w:pStyle w:val="SingleTxt"/>
        <w:spacing w:after="0" w:line="120" w:lineRule="exact"/>
        <w:rPr>
          <w:sz w:val="10"/>
          <w:lang w:val="fr-FR"/>
        </w:rPr>
      </w:pPr>
    </w:p>
    <w:p w14:paraId="494AE289" w14:textId="1D027548" w:rsidR="006E0934" w:rsidRPr="00183F91" w:rsidRDefault="006E0934" w:rsidP="00AA6B42">
      <w:pPr>
        <w:pStyle w:val="SingleTxt"/>
        <w:numPr>
          <w:ilvl w:val="0"/>
          <w:numId w:val="45"/>
        </w:numPr>
        <w:spacing w:line="240" w:lineRule="exact"/>
        <w:ind w:left="1267"/>
        <w:rPr>
          <w:lang w:val="fr-FR"/>
        </w:rPr>
      </w:pPr>
      <w:r w:rsidRPr="00183F91">
        <w:rPr>
          <w:lang w:val="fr-FR"/>
        </w:rPr>
        <w:t xml:space="preserve">La section du </w:t>
      </w:r>
      <w:r w:rsidR="00653A21">
        <w:rPr>
          <w:lang w:val="fr-FR"/>
        </w:rPr>
        <w:t>programme national relatif à l’égalité des sexes</w:t>
      </w:r>
      <w:r w:rsidRPr="00183F91">
        <w:rPr>
          <w:lang w:val="fr-FR"/>
        </w:rPr>
        <w:t xml:space="preserve"> (2017-2021) relative à la mise en œuvre des objectifs de développement durable prévoit que l</w:t>
      </w:r>
      <w:r w:rsidR="00442D55" w:rsidRPr="00183F91">
        <w:rPr>
          <w:lang w:val="fr-FR"/>
        </w:rPr>
        <w:t>’</w:t>
      </w:r>
      <w:r w:rsidRPr="00183F91">
        <w:rPr>
          <w:lang w:val="fr-FR"/>
        </w:rPr>
        <w:t>objectif de l</w:t>
      </w:r>
      <w:r w:rsidR="00442D55" w:rsidRPr="00183F91">
        <w:rPr>
          <w:lang w:val="fr-FR"/>
        </w:rPr>
        <w:t>’</w:t>
      </w:r>
      <w:r w:rsidRPr="00183F91">
        <w:rPr>
          <w:lang w:val="fr-FR"/>
        </w:rPr>
        <w:t>égalité des genres consiste à faire appliquer la loi et à assurer l</w:t>
      </w:r>
      <w:r w:rsidR="00442D55" w:rsidRPr="00183F91">
        <w:rPr>
          <w:lang w:val="fr-FR"/>
        </w:rPr>
        <w:t>’</w:t>
      </w:r>
      <w:r w:rsidRPr="00183F91">
        <w:rPr>
          <w:lang w:val="fr-FR"/>
        </w:rPr>
        <w:t xml:space="preserve">égalité des genres dans les relations politiques, économiques, sociales, culturelles et familiales grâce à des mesures globales visant à introduire des politiques et une planification tenant compte des questions de genre, et à faire reculer les stéréotypes relatifs au genre. Le principal agent de réalisation du </w:t>
      </w:r>
      <w:r w:rsidR="00ED2DBC">
        <w:rPr>
          <w:lang w:val="fr-FR"/>
        </w:rPr>
        <w:t>p</w:t>
      </w:r>
      <w:r w:rsidRPr="00183F91">
        <w:rPr>
          <w:lang w:val="fr-FR"/>
        </w:rPr>
        <w:t>rogramme est la Commission nationale sur l</w:t>
      </w:r>
      <w:r w:rsidR="00442D55" w:rsidRPr="00183F91">
        <w:rPr>
          <w:lang w:val="fr-FR"/>
        </w:rPr>
        <w:t>’</w:t>
      </w:r>
      <w:r w:rsidRPr="00183F91">
        <w:rPr>
          <w:lang w:val="fr-FR"/>
        </w:rPr>
        <w:t>égalité des sexes, assistée du Ministère du travail et de la protection sociale, d</w:t>
      </w:r>
      <w:r w:rsidR="00442D55" w:rsidRPr="00183F91">
        <w:rPr>
          <w:lang w:val="fr-FR"/>
        </w:rPr>
        <w:t>’</w:t>
      </w:r>
      <w:r w:rsidRPr="00183F91">
        <w:rPr>
          <w:lang w:val="fr-FR"/>
        </w:rPr>
        <w:t>organisations gouvernementales et non gouvernementales et d</w:t>
      </w:r>
      <w:r w:rsidR="00442D55" w:rsidRPr="00183F91">
        <w:rPr>
          <w:lang w:val="fr-FR"/>
        </w:rPr>
        <w:t>’</w:t>
      </w:r>
      <w:r w:rsidRPr="00183F91">
        <w:rPr>
          <w:lang w:val="fr-FR"/>
        </w:rPr>
        <w:t>organisations de la société civile. Ils contrôlent l</w:t>
      </w:r>
      <w:r w:rsidR="00442D55" w:rsidRPr="00183F91">
        <w:rPr>
          <w:lang w:val="fr-FR"/>
        </w:rPr>
        <w:t>’</w:t>
      </w:r>
      <w:r w:rsidRPr="00183F91">
        <w:rPr>
          <w:lang w:val="fr-FR"/>
        </w:rPr>
        <w:t>exécution du programme et font rapport chaque année aux parties prenantes.</w:t>
      </w:r>
    </w:p>
    <w:p w14:paraId="58E17FA7" w14:textId="0102498D" w:rsidR="006E0934" w:rsidRPr="00183F91" w:rsidRDefault="006E0934" w:rsidP="00AA6B42">
      <w:pPr>
        <w:pStyle w:val="SingleTxt"/>
        <w:numPr>
          <w:ilvl w:val="0"/>
          <w:numId w:val="45"/>
        </w:numPr>
        <w:spacing w:line="240" w:lineRule="exact"/>
        <w:ind w:left="1267"/>
        <w:rPr>
          <w:lang w:val="fr-FR"/>
        </w:rPr>
      </w:pPr>
      <w:r w:rsidRPr="00183F91">
        <w:rPr>
          <w:lang w:val="fr-FR"/>
        </w:rPr>
        <w:t>Le taux de réalisation des activités prévues dans le plan d</w:t>
      </w:r>
      <w:r w:rsidR="00442D55" w:rsidRPr="00183F91">
        <w:rPr>
          <w:lang w:val="fr-FR"/>
        </w:rPr>
        <w:t>’</w:t>
      </w:r>
      <w:r w:rsidRPr="00183F91">
        <w:rPr>
          <w:lang w:val="fr-FR"/>
        </w:rPr>
        <w:t xml:space="preserve">action du </w:t>
      </w:r>
      <w:r w:rsidR="00653A21">
        <w:rPr>
          <w:lang w:val="fr-FR"/>
        </w:rPr>
        <w:t>programme national relatif à l’égalité des sexes</w:t>
      </w:r>
      <w:r w:rsidRPr="00183F91">
        <w:rPr>
          <w:lang w:val="fr-FR"/>
        </w:rPr>
        <w:t xml:space="preserve"> était de 70</w:t>
      </w:r>
      <w:r w:rsidR="00AA6B42" w:rsidRPr="00183F91">
        <w:rPr>
          <w:lang w:val="fr-FR"/>
        </w:rPr>
        <w:t> </w:t>
      </w:r>
      <w:r w:rsidRPr="00183F91">
        <w:rPr>
          <w:lang w:val="fr-FR"/>
        </w:rPr>
        <w:t>% en 2018 et de 89</w:t>
      </w:r>
      <w:r w:rsidR="00AA6B42" w:rsidRPr="00183F91">
        <w:rPr>
          <w:lang w:val="fr-FR"/>
        </w:rPr>
        <w:t> </w:t>
      </w:r>
      <w:r w:rsidRPr="00183F91">
        <w:rPr>
          <w:lang w:val="fr-FR"/>
        </w:rPr>
        <w:t>% en 2019. Les principales réalisations sont les suivantes</w:t>
      </w:r>
      <w:r w:rsidR="00442D55" w:rsidRPr="00183F91">
        <w:rPr>
          <w:lang w:val="fr-FR"/>
        </w:rPr>
        <w:t> :</w:t>
      </w:r>
    </w:p>
    <w:p w14:paraId="5DEB1A5C" w14:textId="28BC42E9" w:rsidR="006E0934" w:rsidRPr="00183F91" w:rsidRDefault="00EB1136" w:rsidP="00D04411">
      <w:pPr>
        <w:pStyle w:val="SingleTxt"/>
        <w:tabs>
          <w:tab w:val="right" w:pos="1685"/>
        </w:tabs>
        <w:ind w:left="1742" w:hanging="475"/>
        <w:rPr>
          <w:lang w:val="fr-FR"/>
        </w:rPr>
      </w:pPr>
      <w:r w:rsidRPr="00183F91">
        <w:rPr>
          <w:lang w:val="fr-FR"/>
        </w:rPr>
        <w:tab/>
        <w:t>•</w:t>
      </w:r>
      <w:r w:rsidRPr="00183F91">
        <w:rPr>
          <w:lang w:val="fr-FR"/>
        </w:rPr>
        <w:tab/>
      </w:r>
      <w:r w:rsidR="006E0934" w:rsidRPr="00183F91">
        <w:rPr>
          <w:lang w:val="fr-FR"/>
        </w:rPr>
        <w:t>70</w:t>
      </w:r>
      <w:r w:rsidR="00AA6B42" w:rsidRPr="00183F91">
        <w:rPr>
          <w:lang w:val="fr-FR"/>
        </w:rPr>
        <w:t> </w:t>
      </w:r>
      <w:r w:rsidR="006E0934" w:rsidRPr="00183F91">
        <w:rPr>
          <w:lang w:val="fr-FR"/>
        </w:rPr>
        <w:t>% des secteurs (9 ministères) ont adopté des politiques et des plans d</w:t>
      </w:r>
      <w:r w:rsidR="00442D55" w:rsidRPr="00183F91">
        <w:rPr>
          <w:lang w:val="fr-FR"/>
        </w:rPr>
        <w:t>’</w:t>
      </w:r>
      <w:r w:rsidR="006E0934" w:rsidRPr="00183F91">
        <w:rPr>
          <w:lang w:val="fr-FR"/>
        </w:rPr>
        <w:t>égalité des genres.</w:t>
      </w:r>
    </w:p>
    <w:p w14:paraId="1F5F1C75" w14:textId="793305AF" w:rsidR="006E0934" w:rsidRPr="00183F91" w:rsidRDefault="00EB1136" w:rsidP="00D04411">
      <w:pPr>
        <w:pStyle w:val="SingleTxt"/>
        <w:tabs>
          <w:tab w:val="right" w:pos="1685"/>
        </w:tabs>
        <w:ind w:left="1742" w:hanging="475"/>
        <w:rPr>
          <w:lang w:val="fr-FR"/>
        </w:rPr>
      </w:pPr>
      <w:r w:rsidRPr="00183F91">
        <w:rPr>
          <w:lang w:val="fr-FR"/>
        </w:rPr>
        <w:tab/>
        <w:t>•</w:t>
      </w:r>
      <w:r w:rsidRPr="00183F91">
        <w:rPr>
          <w:lang w:val="fr-FR"/>
        </w:rPr>
        <w:tab/>
      </w:r>
      <w:r w:rsidR="006E0934" w:rsidRPr="00183F91">
        <w:rPr>
          <w:lang w:val="fr-FR"/>
        </w:rPr>
        <w:t>91</w:t>
      </w:r>
      <w:r w:rsidR="00AA6B42" w:rsidRPr="00183F91">
        <w:rPr>
          <w:lang w:val="fr-FR"/>
        </w:rPr>
        <w:t> </w:t>
      </w:r>
      <w:r w:rsidR="006E0934" w:rsidRPr="00183F91">
        <w:rPr>
          <w:lang w:val="fr-FR"/>
        </w:rPr>
        <w:t>% des aïmags (19 aïmags) et 60</w:t>
      </w:r>
      <w:r w:rsidR="00AA6B42" w:rsidRPr="00183F91">
        <w:rPr>
          <w:lang w:val="fr-FR"/>
        </w:rPr>
        <w:t> </w:t>
      </w:r>
      <w:r w:rsidR="006E0934" w:rsidRPr="00183F91">
        <w:rPr>
          <w:lang w:val="fr-FR"/>
        </w:rPr>
        <w:t>% de la zone métropolitaine (6 districts) ont approuvé le sous-programme sur le genre.</w:t>
      </w:r>
    </w:p>
    <w:p w14:paraId="1ED37099" w14:textId="1A0C611E" w:rsidR="006E0934" w:rsidRPr="00183F91" w:rsidRDefault="00EB1136" w:rsidP="00D04411">
      <w:pPr>
        <w:pStyle w:val="SingleTxt"/>
        <w:tabs>
          <w:tab w:val="right" w:pos="1685"/>
        </w:tabs>
        <w:ind w:left="1742" w:hanging="475"/>
        <w:rPr>
          <w:lang w:val="fr-FR"/>
        </w:rPr>
      </w:pPr>
      <w:r w:rsidRPr="00183F91">
        <w:rPr>
          <w:lang w:val="fr-FR"/>
        </w:rPr>
        <w:tab/>
        <w:t>•</w:t>
      </w:r>
      <w:r w:rsidRPr="00183F91">
        <w:rPr>
          <w:lang w:val="fr-FR"/>
        </w:rPr>
        <w:tab/>
      </w:r>
      <w:r w:rsidR="006E0934" w:rsidRPr="00183F91">
        <w:rPr>
          <w:lang w:val="fr-FR"/>
        </w:rPr>
        <w:t>Une salle de formation et de recherche a été ouverte par la Commission nationale sur l</w:t>
      </w:r>
      <w:r w:rsidR="00442D55" w:rsidRPr="00183F91">
        <w:rPr>
          <w:lang w:val="fr-FR"/>
        </w:rPr>
        <w:t>’</w:t>
      </w:r>
      <w:r w:rsidR="006E0934" w:rsidRPr="00183F91">
        <w:rPr>
          <w:lang w:val="fr-FR"/>
        </w:rPr>
        <w:t>égalité des sexes, un manuel et un module de formation sur le genre et la planification des politiques ont été élaborés, qui permettent de former étape par étape les formateurs nationaux pour les questions d</w:t>
      </w:r>
      <w:r w:rsidR="00442D55" w:rsidRPr="00183F91">
        <w:rPr>
          <w:lang w:val="fr-FR"/>
        </w:rPr>
        <w:t>’</w:t>
      </w:r>
      <w:r w:rsidR="006E0934" w:rsidRPr="00183F91">
        <w:rPr>
          <w:lang w:val="fr-FR"/>
        </w:rPr>
        <w:t>égalité des genres. Au total, 104 formateurs ont été formés à l</w:t>
      </w:r>
      <w:r w:rsidR="00442D55" w:rsidRPr="00183F91">
        <w:rPr>
          <w:lang w:val="fr-FR"/>
        </w:rPr>
        <w:t>’</w:t>
      </w:r>
      <w:r w:rsidR="006E0934" w:rsidRPr="00183F91">
        <w:rPr>
          <w:lang w:val="fr-FR"/>
        </w:rPr>
        <w:t>échelle nationale dans le cadre de quatre cours.</w:t>
      </w:r>
    </w:p>
    <w:p w14:paraId="30936AFC" w14:textId="7834B857" w:rsidR="006E0934" w:rsidRPr="00183F91" w:rsidRDefault="00EB1136" w:rsidP="00D04411">
      <w:pPr>
        <w:pStyle w:val="SingleTxt"/>
        <w:tabs>
          <w:tab w:val="right" w:pos="1685"/>
        </w:tabs>
        <w:ind w:left="1742" w:hanging="475"/>
        <w:rPr>
          <w:lang w:val="fr-FR"/>
        </w:rPr>
      </w:pPr>
      <w:r w:rsidRPr="00183F91">
        <w:rPr>
          <w:lang w:val="fr-FR"/>
        </w:rPr>
        <w:tab/>
        <w:t>•</w:t>
      </w:r>
      <w:r w:rsidRPr="00183F91">
        <w:rPr>
          <w:lang w:val="fr-FR"/>
        </w:rPr>
        <w:tab/>
      </w:r>
      <w:r w:rsidR="006E0934" w:rsidRPr="00183F91">
        <w:rPr>
          <w:lang w:val="fr-FR"/>
        </w:rPr>
        <w:t>En outre, 50</w:t>
      </w:r>
      <w:r w:rsidR="00AA6B42" w:rsidRPr="00183F91">
        <w:rPr>
          <w:lang w:val="fr-FR"/>
        </w:rPr>
        <w:t> </w:t>
      </w:r>
      <w:r w:rsidR="006E0934" w:rsidRPr="00183F91">
        <w:rPr>
          <w:lang w:val="fr-FR"/>
        </w:rPr>
        <w:t>% des agents de l</w:t>
      </w:r>
      <w:r w:rsidR="00442D55" w:rsidRPr="00183F91">
        <w:rPr>
          <w:lang w:val="fr-FR"/>
        </w:rPr>
        <w:t>’</w:t>
      </w:r>
      <w:r w:rsidR="006E0934" w:rsidRPr="00183F91">
        <w:rPr>
          <w:lang w:val="fr-FR"/>
        </w:rPr>
        <w:t>État et 26</w:t>
      </w:r>
      <w:r w:rsidR="00AA6B42" w:rsidRPr="00183F91">
        <w:rPr>
          <w:lang w:val="fr-FR"/>
        </w:rPr>
        <w:t> </w:t>
      </w:r>
      <w:r w:rsidR="006E0934" w:rsidRPr="00183F91">
        <w:rPr>
          <w:lang w:val="fr-FR"/>
        </w:rPr>
        <w:t>% des cadres supérieurs ont suivi une formation spécifique aux questions de genre.</w:t>
      </w:r>
    </w:p>
    <w:p w14:paraId="227C1160" w14:textId="10212BF4" w:rsidR="006E0934" w:rsidRPr="00183F91" w:rsidRDefault="00EB1136" w:rsidP="00D04411">
      <w:pPr>
        <w:pStyle w:val="SingleTxt"/>
        <w:tabs>
          <w:tab w:val="right" w:pos="1685"/>
        </w:tabs>
        <w:ind w:left="1742" w:hanging="475"/>
        <w:rPr>
          <w:lang w:val="fr-FR"/>
        </w:rPr>
      </w:pPr>
      <w:r w:rsidRPr="00183F91">
        <w:rPr>
          <w:lang w:val="fr-FR"/>
        </w:rPr>
        <w:tab/>
        <w:t>•</w:t>
      </w:r>
      <w:r w:rsidRPr="00183F91">
        <w:rPr>
          <w:lang w:val="fr-FR"/>
        </w:rPr>
        <w:tab/>
      </w:r>
      <w:r w:rsidR="006E0934" w:rsidRPr="00183F91">
        <w:rPr>
          <w:lang w:val="fr-FR"/>
        </w:rPr>
        <w:t>L</w:t>
      </w:r>
      <w:r w:rsidR="00442D55" w:rsidRPr="00183F91">
        <w:rPr>
          <w:lang w:val="fr-FR"/>
        </w:rPr>
        <w:t>’</w:t>
      </w:r>
      <w:r w:rsidR="006E0934" w:rsidRPr="00183F91">
        <w:rPr>
          <w:lang w:val="fr-FR"/>
        </w:rPr>
        <w:t>évolution de la situation des femmes en Mongolie de 2005 à 2018 a fait l</w:t>
      </w:r>
      <w:r w:rsidR="00442D55" w:rsidRPr="00183F91">
        <w:rPr>
          <w:lang w:val="fr-FR"/>
        </w:rPr>
        <w:t>’</w:t>
      </w:r>
      <w:r w:rsidR="006E0934" w:rsidRPr="00183F91">
        <w:rPr>
          <w:lang w:val="fr-FR"/>
        </w:rPr>
        <w:t>objet d</w:t>
      </w:r>
      <w:r w:rsidR="00442D55" w:rsidRPr="00183F91">
        <w:rPr>
          <w:lang w:val="fr-FR"/>
        </w:rPr>
        <w:t>’</w:t>
      </w:r>
      <w:r w:rsidR="006E0934" w:rsidRPr="00183F91">
        <w:rPr>
          <w:lang w:val="fr-FR"/>
        </w:rPr>
        <w:t>une analyse dont les résultats ont été publiés et présentés aux parties concernées en anglais et en mongol.</w:t>
      </w:r>
    </w:p>
    <w:p w14:paraId="0CB362D3" w14:textId="3E22338E" w:rsidR="006E0934" w:rsidRPr="00183F91" w:rsidRDefault="00EB1136" w:rsidP="00D04411">
      <w:pPr>
        <w:pStyle w:val="SingleTxt"/>
        <w:tabs>
          <w:tab w:val="right" w:pos="1685"/>
        </w:tabs>
        <w:ind w:left="1742" w:hanging="475"/>
        <w:rPr>
          <w:lang w:val="fr-FR"/>
        </w:rPr>
      </w:pPr>
      <w:r w:rsidRPr="00183F91">
        <w:rPr>
          <w:lang w:val="fr-FR"/>
        </w:rPr>
        <w:tab/>
        <w:t>•</w:t>
      </w:r>
      <w:r w:rsidRPr="00183F91">
        <w:rPr>
          <w:lang w:val="fr-FR"/>
        </w:rPr>
        <w:tab/>
      </w:r>
      <w:r w:rsidR="006E0934" w:rsidRPr="00183F91">
        <w:rPr>
          <w:lang w:val="fr-FR"/>
        </w:rPr>
        <w:t>Cinq nouvelles unités de soins de santé pour les hommes ont été créées.</w:t>
      </w:r>
    </w:p>
    <w:p w14:paraId="58E2EF0D" w14:textId="0E9C09A6" w:rsidR="006E0934" w:rsidRPr="00183F91" w:rsidRDefault="00D04411" w:rsidP="00D04411">
      <w:pPr>
        <w:pStyle w:val="SingleTxt"/>
        <w:tabs>
          <w:tab w:val="right" w:pos="1685"/>
        </w:tabs>
        <w:ind w:left="1742" w:hanging="475"/>
        <w:rPr>
          <w:lang w:val="fr-FR"/>
        </w:rPr>
      </w:pPr>
      <w:r w:rsidRPr="00183F91">
        <w:rPr>
          <w:lang w:val="fr-FR"/>
        </w:rPr>
        <w:tab/>
        <w:t>•</w:t>
      </w:r>
      <w:r w:rsidRPr="00183F91">
        <w:rPr>
          <w:lang w:val="fr-FR"/>
        </w:rPr>
        <w:tab/>
      </w:r>
      <w:r w:rsidR="006E0934" w:rsidRPr="00183F91">
        <w:rPr>
          <w:lang w:val="fr-FR"/>
        </w:rPr>
        <w:t>Il existe 17 refuges et 15 centres de services à guichet unique dans les aïmags et les districts pour les victimes de violence de genre.</w:t>
      </w:r>
    </w:p>
    <w:p w14:paraId="14F99A9F" w14:textId="02A5EE52" w:rsidR="006E0934" w:rsidRPr="00183F91" w:rsidRDefault="00D04411" w:rsidP="00D04411">
      <w:pPr>
        <w:pStyle w:val="SingleTxt"/>
        <w:tabs>
          <w:tab w:val="right" w:pos="1685"/>
        </w:tabs>
        <w:ind w:left="1742" w:hanging="475"/>
        <w:rPr>
          <w:lang w:val="fr-FR"/>
        </w:rPr>
      </w:pPr>
      <w:r w:rsidRPr="00183F91">
        <w:rPr>
          <w:lang w:val="fr-FR"/>
        </w:rPr>
        <w:tab/>
        <w:t>•</w:t>
      </w:r>
      <w:r w:rsidRPr="00183F91">
        <w:rPr>
          <w:lang w:val="fr-FR"/>
        </w:rPr>
        <w:tab/>
      </w:r>
      <w:r w:rsidR="006E0934" w:rsidRPr="00183F91">
        <w:rPr>
          <w:lang w:val="fr-FR"/>
        </w:rPr>
        <w:t>L</w:t>
      </w:r>
      <w:r w:rsidR="00442D55" w:rsidRPr="00183F91">
        <w:rPr>
          <w:lang w:val="fr-FR"/>
        </w:rPr>
        <w:t>’</w:t>
      </w:r>
      <w:r w:rsidR="006E0934" w:rsidRPr="00183F91">
        <w:rPr>
          <w:lang w:val="fr-FR"/>
        </w:rPr>
        <w:t>établissement de lignes directrices pour l</w:t>
      </w:r>
      <w:r w:rsidR="00442D55" w:rsidRPr="00183F91">
        <w:rPr>
          <w:lang w:val="fr-FR"/>
        </w:rPr>
        <w:t>’</w:t>
      </w:r>
      <w:r w:rsidR="006E0934" w:rsidRPr="00183F91">
        <w:rPr>
          <w:lang w:val="fr-FR"/>
        </w:rPr>
        <w:t>élaboration et la mise en œuvre de plans d</w:t>
      </w:r>
      <w:r w:rsidR="00442D55" w:rsidRPr="00183F91">
        <w:rPr>
          <w:lang w:val="fr-FR"/>
        </w:rPr>
        <w:t>’</w:t>
      </w:r>
      <w:r w:rsidR="006E0934" w:rsidRPr="00183F91">
        <w:rPr>
          <w:lang w:val="fr-FR"/>
        </w:rPr>
        <w:t>égalité des genres dans les organisations commerciales et la définition et l</w:t>
      </w:r>
      <w:r w:rsidR="00442D55" w:rsidRPr="00183F91">
        <w:rPr>
          <w:lang w:val="fr-FR"/>
        </w:rPr>
        <w:t>’</w:t>
      </w:r>
      <w:r w:rsidR="006E0934" w:rsidRPr="00183F91">
        <w:rPr>
          <w:lang w:val="fr-FR"/>
        </w:rPr>
        <w:t>approbation d</w:t>
      </w:r>
      <w:r w:rsidR="00442D55" w:rsidRPr="00183F91">
        <w:rPr>
          <w:lang w:val="fr-FR"/>
        </w:rPr>
        <w:t>’</w:t>
      </w:r>
      <w:r w:rsidR="006E0934" w:rsidRPr="00183F91">
        <w:rPr>
          <w:lang w:val="fr-FR"/>
        </w:rPr>
        <w:t>une politique de sensibilisation aux questions de genre sur le lieu de travail figurent dans l</w:t>
      </w:r>
      <w:r w:rsidR="00442D55" w:rsidRPr="00183F91">
        <w:rPr>
          <w:lang w:val="fr-FR"/>
        </w:rPr>
        <w:t>’</w:t>
      </w:r>
      <w:r w:rsidR="006E0934" w:rsidRPr="00183F91">
        <w:rPr>
          <w:lang w:val="fr-FR"/>
        </w:rPr>
        <w:t xml:space="preserve">Accord national tripartite sur le travail et les affaires sociales pour 2019-2020. </w:t>
      </w:r>
    </w:p>
    <w:p w14:paraId="46AD7185" w14:textId="33702AB1" w:rsidR="006E0934" w:rsidRPr="00183F91" w:rsidRDefault="00D04411" w:rsidP="00D04411">
      <w:pPr>
        <w:pStyle w:val="SingleTxt"/>
        <w:tabs>
          <w:tab w:val="right" w:pos="1685"/>
        </w:tabs>
        <w:ind w:left="1742" w:hanging="475"/>
        <w:rPr>
          <w:lang w:val="fr-FR"/>
        </w:rPr>
      </w:pPr>
      <w:r w:rsidRPr="00183F91">
        <w:rPr>
          <w:lang w:val="fr-FR"/>
        </w:rPr>
        <w:tab/>
        <w:t>•</w:t>
      </w:r>
      <w:r w:rsidRPr="00183F91">
        <w:rPr>
          <w:lang w:val="fr-FR"/>
        </w:rPr>
        <w:tab/>
      </w:r>
      <w:r w:rsidR="006E0934" w:rsidRPr="00183F91">
        <w:rPr>
          <w:lang w:val="fr-FR"/>
        </w:rPr>
        <w:t xml:space="preserve">Au total, 584 organisations ont </w:t>
      </w:r>
      <w:r w:rsidR="004F6AD7" w:rsidRPr="00183F91">
        <w:rPr>
          <w:lang w:val="fr-FR"/>
        </w:rPr>
        <w:t>inclus</w:t>
      </w:r>
      <w:r w:rsidR="006E0934" w:rsidRPr="00183F91">
        <w:rPr>
          <w:lang w:val="fr-FR"/>
        </w:rPr>
        <w:t xml:space="preserve"> l</w:t>
      </w:r>
      <w:r w:rsidR="00442D55" w:rsidRPr="00183F91">
        <w:rPr>
          <w:lang w:val="fr-FR"/>
        </w:rPr>
        <w:t>’</w:t>
      </w:r>
      <w:r w:rsidR="006E0934" w:rsidRPr="00183F91">
        <w:rPr>
          <w:lang w:val="fr-FR"/>
        </w:rPr>
        <w:t xml:space="preserve">accord sur la prévention des violences sexuelles sur le lieu de travail dans leur règlement intérieur. Parmi elles, on compte 17 ministères et </w:t>
      </w:r>
      <w:r w:rsidR="004F6AD7" w:rsidRPr="00183F91">
        <w:rPr>
          <w:lang w:val="fr-FR"/>
        </w:rPr>
        <w:t>organismes</w:t>
      </w:r>
      <w:r w:rsidR="006E0934" w:rsidRPr="00183F91">
        <w:rPr>
          <w:lang w:val="fr-FR"/>
        </w:rPr>
        <w:t xml:space="preserve"> publics, 533 administrations locales et 34</w:t>
      </w:r>
      <w:r w:rsidR="00AA6B42" w:rsidRPr="00183F91">
        <w:rPr>
          <w:lang w:val="fr-FR"/>
        </w:rPr>
        <w:t> </w:t>
      </w:r>
      <w:r w:rsidR="006E0934" w:rsidRPr="00183F91">
        <w:rPr>
          <w:lang w:val="fr-FR"/>
        </w:rPr>
        <w:t>organisations non gouvernementales.</w:t>
      </w:r>
    </w:p>
    <w:p w14:paraId="06E8D828" w14:textId="2052CE9D" w:rsidR="006E0934" w:rsidRPr="00183F91" w:rsidRDefault="00D04411" w:rsidP="00D04411">
      <w:pPr>
        <w:pStyle w:val="SingleTxt"/>
        <w:tabs>
          <w:tab w:val="right" w:pos="1685"/>
        </w:tabs>
        <w:ind w:left="1742" w:hanging="475"/>
        <w:rPr>
          <w:lang w:val="fr-FR"/>
        </w:rPr>
      </w:pPr>
      <w:r w:rsidRPr="00183F91">
        <w:rPr>
          <w:lang w:val="fr-FR"/>
        </w:rPr>
        <w:tab/>
        <w:t>•</w:t>
      </w:r>
      <w:r w:rsidRPr="00183F91">
        <w:rPr>
          <w:lang w:val="fr-FR"/>
        </w:rPr>
        <w:tab/>
      </w:r>
      <w:r w:rsidR="006E0934" w:rsidRPr="00183F91">
        <w:rPr>
          <w:lang w:val="fr-FR"/>
        </w:rPr>
        <w:t>En 2019, un protocole de coopération a été signé entre la Commission nationale sur l</w:t>
      </w:r>
      <w:r w:rsidR="00442D55" w:rsidRPr="00183F91">
        <w:rPr>
          <w:lang w:val="fr-FR"/>
        </w:rPr>
        <w:t>’</w:t>
      </w:r>
      <w:r w:rsidR="006E0934" w:rsidRPr="00183F91">
        <w:rPr>
          <w:lang w:val="fr-FR"/>
        </w:rPr>
        <w:t xml:space="preserve">égalité des sexes et le Mongolian National Broadcaster (MNB), entreprise </w:t>
      </w:r>
      <w:r w:rsidR="006E0934" w:rsidRPr="00183F91">
        <w:rPr>
          <w:lang w:val="fr-FR"/>
        </w:rPr>
        <w:lastRenderedPageBreak/>
        <w:t>audiovisuelle publique, dans le but d</w:t>
      </w:r>
      <w:r w:rsidR="00442D55" w:rsidRPr="00183F91">
        <w:rPr>
          <w:lang w:val="fr-FR"/>
        </w:rPr>
        <w:t>’</w:t>
      </w:r>
      <w:r w:rsidR="006E0934" w:rsidRPr="00183F91">
        <w:rPr>
          <w:lang w:val="fr-FR"/>
        </w:rPr>
        <w:t>introduire et de promouvoir des politiques d</w:t>
      </w:r>
      <w:r w:rsidR="00442D55" w:rsidRPr="00183F91">
        <w:rPr>
          <w:lang w:val="fr-FR"/>
        </w:rPr>
        <w:t>’</w:t>
      </w:r>
      <w:r w:rsidR="006E0934" w:rsidRPr="00183F91">
        <w:rPr>
          <w:lang w:val="fr-FR"/>
        </w:rPr>
        <w:t>État sur le genre, de fournir des programmes spécialisés et des informations sur la promotion de la conscience des questions de genre et de poursuivre le travail de sensibilisation. Des campagnes à l</w:t>
      </w:r>
      <w:r w:rsidR="00442D55" w:rsidRPr="00183F91">
        <w:rPr>
          <w:lang w:val="fr-FR"/>
        </w:rPr>
        <w:t>’</w:t>
      </w:r>
      <w:r w:rsidR="006E0934" w:rsidRPr="00183F91">
        <w:rPr>
          <w:lang w:val="fr-FR"/>
        </w:rPr>
        <w:t>intention du public sont régulièrement organisées dans le cadre de la Journée internationale des femmes, des 16 journées d</w:t>
      </w:r>
      <w:r w:rsidR="00442D55" w:rsidRPr="00183F91">
        <w:rPr>
          <w:lang w:val="fr-FR"/>
        </w:rPr>
        <w:t>’</w:t>
      </w:r>
      <w:r w:rsidR="006E0934" w:rsidRPr="00183F91">
        <w:rPr>
          <w:lang w:val="fr-FR"/>
        </w:rPr>
        <w:t>action contre la violence de genre et de la Campagne du ruban blanc.</w:t>
      </w:r>
    </w:p>
    <w:p w14:paraId="2DB92C08" w14:textId="6F602544" w:rsidR="006E0934" w:rsidRPr="00183F91" w:rsidRDefault="006E0934" w:rsidP="00AA6B42">
      <w:pPr>
        <w:pStyle w:val="SingleTxt"/>
        <w:numPr>
          <w:ilvl w:val="0"/>
          <w:numId w:val="45"/>
        </w:numPr>
        <w:spacing w:line="240" w:lineRule="exact"/>
        <w:ind w:left="1267"/>
        <w:rPr>
          <w:lang w:val="fr-FR"/>
        </w:rPr>
      </w:pPr>
      <w:r w:rsidRPr="00183F91">
        <w:rPr>
          <w:lang w:val="fr-FR"/>
        </w:rPr>
        <w:t>Conformément aux résolutions gouvernementales n</w:t>
      </w:r>
      <w:r w:rsidR="00AA6B42" w:rsidRPr="00183F91">
        <w:rPr>
          <w:vertAlign w:val="superscript"/>
          <w:lang w:val="fr-FR"/>
        </w:rPr>
        <w:t>o</w:t>
      </w:r>
      <w:r w:rsidR="00AA6B42" w:rsidRPr="00183F91">
        <w:rPr>
          <w:lang w:val="fr-FR"/>
        </w:rPr>
        <w:t> </w:t>
      </w:r>
      <w:r w:rsidRPr="00183F91">
        <w:rPr>
          <w:lang w:val="fr-FR"/>
        </w:rPr>
        <w:t>111 et 285 de 2018, le secrétariat de la Commission nationale sur l</w:t>
      </w:r>
      <w:r w:rsidR="00442D55" w:rsidRPr="00183F91">
        <w:rPr>
          <w:lang w:val="fr-FR"/>
        </w:rPr>
        <w:t>’</w:t>
      </w:r>
      <w:r w:rsidRPr="00183F91">
        <w:rPr>
          <w:lang w:val="fr-FR"/>
        </w:rPr>
        <w:t>égalité des sexes ne relève plus du Ministère du travail et de la protection sociale, mais constitue depuis janvier 2019 une entité indépendante placée directement sous l</w:t>
      </w:r>
      <w:r w:rsidR="00442D55" w:rsidRPr="00183F91">
        <w:rPr>
          <w:lang w:val="fr-FR"/>
        </w:rPr>
        <w:t>’</w:t>
      </w:r>
      <w:r w:rsidRPr="00183F91">
        <w:rPr>
          <w:lang w:val="fr-FR"/>
        </w:rPr>
        <w:t xml:space="preserve">égide du Premier </w:t>
      </w:r>
      <w:r w:rsidR="00562C61" w:rsidRPr="00183F91">
        <w:rPr>
          <w:lang w:val="fr-FR"/>
        </w:rPr>
        <w:t>M</w:t>
      </w:r>
      <w:r w:rsidRPr="00183F91">
        <w:rPr>
          <w:lang w:val="fr-FR"/>
        </w:rPr>
        <w:t>inistre. En raison de cette restructuration, le secrétariat emploie désormais 8 personnes, aussi la masse salariale et les coûts de fonctionnement sont-ils inclus dans le budget de l</w:t>
      </w:r>
      <w:r w:rsidR="00442D55" w:rsidRPr="00183F91">
        <w:rPr>
          <w:lang w:val="fr-FR"/>
        </w:rPr>
        <w:t>’</w:t>
      </w:r>
      <w:r w:rsidRPr="00183F91">
        <w:rPr>
          <w:lang w:val="fr-FR"/>
        </w:rPr>
        <w:t xml:space="preserve">État au titre des activités du Premier </w:t>
      </w:r>
      <w:r w:rsidR="00562C61" w:rsidRPr="00183F91">
        <w:rPr>
          <w:lang w:val="fr-FR"/>
        </w:rPr>
        <w:t>M</w:t>
      </w:r>
      <w:r w:rsidRPr="00183F91">
        <w:rPr>
          <w:lang w:val="fr-FR"/>
        </w:rPr>
        <w:t>inistre.</w:t>
      </w:r>
    </w:p>
    <w:p w14:paraId="33DAFCE8" w14:textId="561CD8DA" w:rsidR="006E0934" w:rsidRPr="00183F91" w:rsidRDefault="006E0934" w:rsidP="00AA6B42">
      <w:pPr>
        <w:pStyle w:val="SingleTxt"/>
        <w:numPr>
          <w:ilvl w:val="0"/>
          <w:numId w:val="45"/>
        </w:numPr>
        <w:spacing w:line="240" w:lineRule="exact"/>
        <w:ind w:left="1267"/>
        <w:rPr>
          <w:lang w:val="fr-FR"/>
        </w:rPr>
      </w:pPr>
      <w:r w:rsidRPr="00183F91">
        <w:rPr>
          <w:lang w:val="fr-FR"/>
        </w:rPr>
        <w:t>Lors de sa session ordinaire de 2018, la Commission a réorganisé le Groupe d</w:t>
      </w:r>
      <w:r w:rsidR="00442D55" w:rsidRPr="00183F91">
        <w:rPr>
          <w:lang w:val="fr-FR"/>
        </w:rPr>
        <w:t>’</w:t>
      </w:r>
      <w:r w:rsidRPr="00183F91">
        <w:rPr>
          <w:lang w:val="fr-FR"/>
        </w:rPr>
        <w:t>experts nationaux sur le genre, le Groupe sur la science et la recherche et le Conseil des médias, avec lesquels elle coopère.</w:t>
      </w:r>
    </w:p>
    <w:p w14:paraId="73252D7D" w14:textId="0917445F" w:rsidR="006E0934" w:rsidRPr="00183F91" w:rsidRDefault="006E0934" w:rsidP="00AA6B42">
      <w:pPr>
        <w:pStyle w:val="SingleTxt"/>
        <w:numPr>
          <w:ilvl w:val="0"/>
          <w:numId w:val="45"/>
        </w:numPr>
        <w:spacing w:line="240" w:lineRule="exact"/>
        <w:ind w:left="1267"/>
        <w:rPr>
          <w:lang w:val="fr-FR"/>
        </w:rPr>
      </w:pPr>
      <w:r w:rsidRPr="00183F91">
        <w:rPr>
          <w:lang w:val="fr-FR"/>
        </w:rPr>
        <w:t xml:space="preserve">Une ligne budgétaire de 1,0 milliard de </w:t>
      </w:r>
      <w:r w:rsidR="00A66DA3" w:rsidRPr="00183F91">
        <w:rPr>
          <w:lang w:val="fr-FR"/>
        </w:rPr>
        <w:t>togrog</w:t>
      </w:r>
      <w:r w:rsidRPr="00183F91">
        <w:rPr>
          <w:lang w:val="fr-FR"/>
        </w:rPr>
        <w:t xml:space="preserve">s, nécessaire au financement de la mise en œuvre du </w:t>
      </w:r>
      <w:r w:rsidR="00653A21">
        <w:rPr>
          <w:lang w:val="fr-FR"/>
        </w:rPr>
        <w:t>programme national relatif à l’égalité des sexes</w:t>
      </w:r>
      <w:r w:rsidRPr="00183F91">
        <w:rPr>
          <w:lang w:val="fr-FR"/>
        </w:rPr>
        <w:t>, a été incluse dans le budget de l</w:t>
      </w:r>
      <w:r w:rsidR="00442D55" w:rsidRPr="00183F91">
        <w:rPr>
          <w:lang w:val="fr-FR"/>
        </w:rPr>
        <w:t>’</w:t>
      </w:r>
      <w:r w:rsidRPr="00183F91">
        <w:rPr>
          <w:lang w:val="fr-FR"/>
        </w:rPr>
        <w:t xml:space="preserve">État, dont 200,0 millions de </w:t>
      </w:r>
      <w:r w:rsidR="00A66DA3" w:rsidRPr="00183F91">
        <w:rPr>
          <w:lang w:val="fr-FR"/>
        </w:rPr>
        <w:t>togrog</w:t>
      </w:r>
      <w:r w:rsidRPr="00183F91">
        <w:rPr>
          <w:lang w:val="fr-FR"/>
        </w:rPr>
        <w:t xml:space="preserve">s en 2017, 300,0 millions de </w:t>
      </w:r>
      <w:r w:rsidR="00A66DA3" w:rsidRPr="00183F91">
        <w:rPr>
          <w:lang w:val="fr-FR"/>
        </w:rPr>
        <w:t>togrog</w:t>
      </w:r>
      <w:r w:rsidRPr="00183F91">
        <w:rPr>
          <w:lang w:val="fr-FR"/>
        </w:rPr>
        <w:t xml:space="preserve">s en 2018, 300,0 millions de </w:t>
      </w:r>
      <w:r w:rsidR="00A66DA3" w:rsidRPr="00183F91">
        <w:rPr>
          <w:lang w:val="fr-FR"/>
        </w:rPr>
        <w:t>togrog</w:t>
      </w:r>
      <w:r w:rsidRPr="00183F91">
        <w:rPr>
          <w:lang w:val="fr-FR"/>
        </w:rPr>
        <w:t xml:space="preserve">s en 2019 et 200,0 millions de </w:t>
      </w:r>
      <w:r w:rsidR="00A66DA3" w:rsidRPr="00183F91">
        <w:rPr>
          <w:lang w:val="fr-FR"/>
        </w:rPr>
        <w:t>togrog</w:t>
      </w:r>
      <w:r w:rsidRPr="00183F91">
        <w:rPr>
          <w:lang w:val="fr-FR"/>
        </w:rPr>
        <w:t xml:space="preserve">s en 2020. Dans le cadre de la mise en œuvre du programme, le </w:t>
      </w:r>
      <w:r w:rsidR="00562C61" w:rsidRPr="00183F91">
        <w:rPr>
          <w:lang w:val="fr-FR"/>
        </w:rPr>
        <w:t>G</w:t>
      </w:r>
      <w:r w:rsidRPr="00183F91">
        <w:rPr>
          <w:lang w:val="fr-FR"/>
        </w:rPr>
        <w:t>ouvernement de Mongolie a mis en œuvre divers projets, dont l</w:t>
      </w:r>
      <w:r w:rsidR="00442D55" w:rsidRPr="00183F91">
        <w:rPr>
          <w:lang w:val="fr-FR"/>
        </w:rPr>
        <w:t>’</w:t>
      </w:r>
      <w:r w:rsidRPr="00183F91">
        <w:rPr>
          <w:lang w:val="fr-FR"/>
        </w:rPr>
        <w:t>un relatif à la lutte contre les violences de genre (2017-2020), doté d</w:t>
      </w:r>
      <w:r w:rsidR="00442D55" w:rsidRPr="00183F91">
        <w:rPr>
          <w:lang w:val="fr-FR"/>
        </w:rPr>
        <w:t>’</w:t>
      </w:r>
      <w:r w:rsidRPr="00183F91">
        <w:rPr>
          <w:lang w:val="fr-FR"/>
        </w:rPr>
        <w:t>un budget de 5,6 millions de francs suisses, mené conjointement avec le Fonds des Nations Unies pour la population (FNUAP), ainsi qu</w:t>
      </w:r>
      <w:r w:rsidR="00442D55" w:rsidRPr="00183F91">
        <w:rPr>
          <w:lang w:val="fr-FR"/>
        </w:rPr>
        <w:t>’</w:t>
      </w:r>
      <w:r w:rsidRPr="00183F91">
        <w:rPr>
          <w:lang w:val="fr-FR"/>
        </w:rPr>
        <w:t>un projet d</w:t>
      </w:r>
      <w:r w:rsidR="00442D55" w:rsidRPr="00183F91">
        <w:rPr>
          <w:lang w:val="fr-FR"/>
        </w:rPr>
        <w:t>’</w:t>
      </w:r>
      <w:r w:rsidRPr="00183F91">
        <w:rPr>
          <w:lang w:val="fr-FR"/>
        </w:rPr>
        <w:t>assistance technique relatif à la prise en compte du genre dans la planification et les mesures de développement sectoriel et local (2017-2019), mené conjointement avec la Banque d</w:t>
      </w:r>
      <w:r w:rsidR="00442D55" w:rsidRPr="00183F91">
        <w:rPr>
          <w:lang w:val="fr-FR"/>
        </w:rPr>
        <w:t>’</w:t>
      </w:r>
      <w:r w:rsidRPr="00183F91">
        <w:rPr>
          <w:lang w:val="fr-FR"/>
        </w:rPr>
        <w:t>assistance asiatique et doté d</w:t>
      </w:r>
      <w:r w:rsidR="00442D55" w:rsidRPr="00183F91">
        <w:rPr>
          <w:lang w:val="fr-FR"/>
        </w:rPr>
        <w:t>’</w:t>
      </w:r>
      <w:r w:rsidRPr="00183F91">
        <w:rPr>
          <w:lang w:val="fr-FR"/>
        </w:rPr>
        <w:t>un budget de 700</w:t>
      </w:r>
      <w:r w:rsidR="00AA6B42" w:rsidRPr="00183F91">
        <w:rPr>
          <w:lang w:val="fr-FR"/>
        </w:rPr>
        <w:t> </w:t>
      </w:r>
      <w:r w:rsidRPr="00183F91">
        <w:rPr>
          <w:lang w:val="fr-FR"/>
        </w:rPr>
        <w:t>000 dollars, et un projet d</w:t>
      </w:r>
      <w:r w:rsidR="00442D55" w:rsidRPr="00183F91">
        <w:rPr>
          <w:lang w:val="fr-FR"/>
        </w:rPr>
        <w:t>’</w:t>
      </w:r>
      <w:r w:rsidRPr="00183F91">
        <w:rPr>
          <w:lang w:val="fr-FR"/>
        </w:rPr>
        <w:t>assistance technique relatif à la participation de la société civile au combat pour l</w:t>
      </w:r>
      <w:r w:rsidR="00442D55" w:rsidRPr="00183F91">
        <w:rPr>
          <w:lang w:val="fr-FR"/>
        </w:rPr>
        <w:t>’</w:t>
      </w:r>
      <w:r w:rsidRPr="00183F91">
        <w:rPr>
          <w:lang w:val="fr-FR"/>
        </w:rPr>
        <w:t>égalité des genres (2020-2021), mené en partenariat avec la Banque asiatique de développement et doté d</w:t>
      </w:r>
      <w:r w:rsidR="00442D55" w:rsidRPr="00183F91">
        <w:rPr>
          <w:lang w:val="fr-FR"/>
        </w:rPr>
        <w:t>’</w:t>
      </w:r>
      <w:r w:rsidRPr="00183F91">
        <w:rPr>
          <w:lang w:val="fr-FR"/>
        </w:rPr>
        <w:t>un budget de 500</w:t>
      </w:r>
      <w:r w:rsidR="00AA6B42" w:rsidRPr="00183F91">
        <w:rPr>
          <w:lang w:val="fr-FR"/>
        </w:rPr>
        <w:t> </w:t>
      </w:r>
      <w:r w:rsidRPr="00183F91">
        <w:rPr>
          <w:lang w:val="fr-FR"/>
        </w:rPr>
        <w:t>000 dollars.</w:t>
      </w:r>
    </w:p>
    <w:p w14:paraId="45454694" w14:textId="0DB16DE4" w:rsidR="00D04411" w:rsidRPr="00183F91" w:rsidRDefault="00D04411" w:rsidP="00D04411">
      <w:pPr>
        <w:pStyle w:val="SingleTxt"/>
        <w:spacing w:after="0" w:line="120" w:lineRule="exact"/>
        <w:rPr>
          <w:sz w:val="10"/>
          <w:lang w:val="fr-FR"/>
        </w:rPr>
      </w:pPr>
    </w:p>
    <w:p w14:paraId="6AD17A4C" w14:textId="014DB7D7" w:rsidR="00D04411" w:rsidRPr="00183F91" w:rsidRDefault="00D04411" w:rsidP="00D04411">
      <w:pPr>
        <w:pStyle w:val="SingleTxt"/>
        <w:spacing w:after="0" w:line="120" w:lineRule="exact"/>
        <w:rPr>
          <w:sz w:val="10"/>
          <w:lang w:val="fr-FR"/>
        </w:rPr>
      </w:pPr>
    </w:p>
    <w:p w14:paraId="744F131C" w14:textId="52350107" w:rsidR="006E0934" w:rsidRPr="00183F91" w:rsidRDefault="00D04411" w:rsidP="00D0441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83F91">
        <w:rPr>
          <w:lang w:val="fr-FR"/>
        </w:rPr>
        <w:tab/>
      </w:r>
      <w:r w:rsidR="006E0934" w:rsidRPr="00183F91">
        <w:rPr>
          <w:lang w:val="fr-FR"/>
        </w:rPr>
        <w:t>E.</w:t>
      </w:r>
      <w:r w:rsidR="006E0934" w:rsidRPr="00183F91">
        <w:rPr>
          <w:lang w:val="fr-FR"/>
        </w:rPr>
        <w:tab/>
        <w:t>Réponse au paragraphe 5 de la liste de points</w:t>
      </w:r>
    </w:p>
    <w:p w14:paraId="567541F5" w14:textId="6B703ABA" w:rsidR="00D04411" w:rsidRPr="00183F91" w:rsidRDefault="00D04411" w:rsidP="00D04411">
      <w:pPr>
        <w:pStyle w:val="SingleTxt"/>
        <w:spacing w:after="0" w:line="120" w:lineRule="exact"/>
        <w:rPr>
          <w:sz w:val="10"/>
          <w:lang w:val="fr-FR"/>
        </w:rPr>
      </w:pPr>
    </w:p>
    <w:p w14:paraId="4B89F2E5" w14:textId="063828D1" w:rsidR="00D04411" w:rsidRPr="00183F91" w:rsidRDefault="00D04411" w:rsidP="00D04411">
      <w:pPr>
        <w:pStyle w:val="SingleTxt"/>
        <w:spacing w:after="0" w:line="120" w:lineRule="exact"/>
        <w:rPr>
          <w:sz w:val="10"/>
          <w:lang w:val="fr-FR"/>
        </w:rPr>
      </w:pPr>
    </w:p>
    <w:p w14:paraId="189D1F5F" w14:textId="6AFCBF66" w:rsidR="006E0934" w:rsidRPr="00183F91" w:rsidRDefault="006E0934" w:rsidP="00D044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83F91">
        <w:rPr>
          <w:lang w:val="fr-FR"/>
        </w:rPr>
        <w:tab/>
      </w:r>
      <w:r w:rsidRPr="00183F91">
        <w:rPr>
          <w:lang w:val="fr-FR"/>
        </w:rPr>
        <w:tab/>
        <w:t>En ce qui concerne la garantie de l</w:t>
      </w:r>
      <w:r w:rsidR="00442D55" w:rsidRPr="00183F91">
        <w:rPr>
          <w:lang w:val="fr-FR"/>
        </w:rPr>
        <w:t>’</w:t>
      </w:r>
      <w:r w:rsidRPr="00183F91">
        <w:rPr>
          <w:lang w:val="fr-FR"/>
        </w:rPr>
        <w:t>égalité des genres dans la fonction publique</w:t>
      </w:r>
    </w:p>
    <w:p w14:paraId="61FE9A49" w14:textId="7F71CBA4" w:rsidR="00D04411" w:rsidRPr="00183F91" w:rsidRDefault="00D04411" w:rsidP="00D04411">
      <w:pPr>
        <w:pStyle w:val="SingleTxt"/>
        <w:spacing w:after="0" w:line="120" w:lineRule="exact"/>
        <w:rPr>
          <w:sz w:val="10"/>
          <w:lang w:val="fr-FR"/>
        </w:rPr>
      </w:pPr>
    </w:p>
    <w:p w14:paraId="5EC93F46" w14:textId="00892B9A" w:rsidR="006E0934" w:rsidRPr="00183F91" w:rsidRDefault="006E0934" w:rsidP="00AA6B42">
      <w:pPr>
        <w:pStyle w:val="SingleTxt"/>
        <w:numPr>
          <w:ilvl w:val="0"/>
          <w:numId w:val="45"/>
        </w:numPr>
        <w:spacing w:line="240" w:lineRule="exact"/>
        <w:ind w:left="1267"/>
        <w:rPr>
          <w:lang w:val="fr-FR"/>
        </w:rPr>
      </w:pPr>
      <w:r w:rsidRPr="00183F91">
        <w:rPr>
          <w:lang w:val="fr-FR"/>
        </w:rPr>
        <w:t>À la demande du Conseil de la fonction publique, l</w:t>
      </w:r>
      <w:r w:rsidR="00442D55" w:rsidRPr="00183F91">
        <w:rPr>
          <w:lang w:val="fr-FR"/>
        </w:rPr>
        <w:t>’</w:t>
      </w:r>
      <w:r w:rsidR="008E6639" w:rsidRPr="00183F91">
        <w:rPr>
          <w:lang w:val="fr-FR"/>
        </w:rPr>
        <w:t xml:space="preserve">Association mongole </w:t>
      </w:r>
      <w:r w:rsidRPr="00183F91">
        <w:rPr>
          <w:lang w:val="fr-FR"/>
        </w:rPr>
        <w:t>des femmes juristes a réalisé en 2019 une analyse des questions de genre portant sur le respect de la loi sur la promotion de l</w:t>
      </w:r>
      <w:r w:rsidR="00442D55" w:rsidRPr="00183F91">
        <w:rPr>
          <w:lang w:val="fr-FR"/>
        </w:rPr>
        <w:t>’</w:t>
      </w:r>
      <w:r w:rsidRPr="00183F91">
        <w:rPr>
          <w:lang w:val="fr-FR"/>
        </w:rPr>
        <w:t>égalité des sexes et du cadre juridique de la fonction publique. Elle a formulé des recommandations concernant la gestion, la prise de décision et l</w:t>
      </w:r>
      <w:r w:rsidR="00442D55" w:rsidRPr="00183F91">
        <w:rPr>
          <w:lang w:val="fr-FR"/>
        </w:rPr>
        <w:t>’</w:t>
      </w:r>
      <w:r w:rsidRPr="00183F91">
        <w:rPr>
          <w:lang w:val="fr-FR"/>
        </w:rPr>
        <w:t>organisation de la fonction publique, la situation ventilée par sexe des ressources humaines, la sensibilisation aux questions de genre et l</w:t>
      </w:r>
      <w:r w:rsidR="00442D55" w:rsidRPr="00183F91">
        <w:rPr>
          <w:lang w:val="fr-FR"/>
        </w:rPr>
        <w:t>’</w:t>
      </w:r>
      <w:r w:rsidRPr="00183F91">
        <w:rPr>
          <w:lang w:val="fr-FR"/>
        </w:rPr>
        <w:t xml:space="preserve">attitude des fonctionnaires. Les résultats ont été présentés en conséquence. </w:t>
      </w:r>
    </w:p>
    <w:p w14:paraId="698D505F" w14:textId="295A6D9E" w:rsidR="006E0934" w:rsidRPr="00183F91" w:rsidRDefault="006E0934" w:rsidP="00AA6B42">
      <w:pPr>
        <w:pStyle w:val="SingleTxt"/>
        <w:numPr>
          <w:ilvl w:val="0"/>
          <w:numId w:val="45"/>
        </w:numPr>
        <w:spacing w:line="240" w:lineRule="exact"/>
        <w:ind w:left="1267"/>
        <w:rPr>
          <w:lang w:val="fr-FR"/>
        </w:rPr>
      </w:pPr>
      <w:r w:rsidRPr="00183F91">
        <w:rPr>
          <w:lang w:val="fr-FR"/>
        </w:rPr>
        <w:t>Le nombre de fonctionnaires a augmenté de façon spectaculaire au cours des deux dernières décennies. Plus de 60,4</w:t>
      </w:r>
      <w:r w:rsidR="00AA6B42" w:rsidRPr="00183F91">
        <w:rPr>
          <w:lang w:val="fr-FR"/>
        </w:rPr>
        <w:t> </w:t>
      </w:r>
      <w:r w:rsidRPr="00183F91">
        <w:rPr>
          <w:lang w:val="fr-FR"/>
        </w:rPr>
        <w:t xml:space="preserve">% du total des fonctionnaires sont des femmes, ce qui atteste de la forte contribution des femmes aux services publics. En général, le ratio </w:t>
      </w:r>
      <w:r w:rsidR="0071705E" w:rsidRPr="00183F91">
        <w:rPr>
          <w:lang w:val="fr-FR"/>
        </w:rPr>
        <w:t>femmes-hommes</w:t>
      </w:r>
      <w:r w:rsidRPr="00183F91">
        <w:rPr>
          <w:lang w:val="fr-FR"/>
        </w:rPr>
        <w:t xml:space="preserve"> semble assez équilibré, mais il y a très peu de femmes aux postes à hautes responsabilités, malgré une proportion équitable de femmes aux postes de direction. En particulier, les différences entre les sexes sont très élevées et les déséquilibres de pouvoir sont plus prononcés en haut de l</w:t>
      </w:r>
      <w:r w:rsidR="00442D55" w:rsidRPr="00183F91">
        <w:rPr>
          <w:lang w:val="fr-FR"/>
        </w:rPr>
        <w:t>’</w:t>
      </w:r>
      <w:r w:rsidRPr="00183F91">
        <w:rPr>
          <w:lang w:val="fr-FR"/>
        </w:rPr>
        <w:t>échelle. Ainsi</w:t>
      </w:r>
      <w:r w:rsidR="00442D55" w:rsidRPr="00183F91">
        <w:rPr>
          <w:lang w:val="fr-FR"/>
        </w:rPr>
        <w:t> :</w:t>
      </w:r>
    </w:p>
    <w:p w14:paraId="6D513496" w14:textId="6235942B" w:rsidR="006E0934" w:rsidRPr="00183F91" w:rsidRDefault="00D04411" w:rsidP="00D04411">
      <w:pPr>
        <w:pStyle w:val="SingleTxt"/>
        <w:tabs>
          <w:tab w:val="right" w:pos="1685"/>
        </w:tabs>
        <w:ind w:left="1742" w:hanging="475"/>
        <w:rPr>
          <w:lang w:val="fr-FR"/>
        </w:rPr>
      </w:pPr>
      <w:r w:rsidRPr="00183F91">
        <w:rPr>
          <w:lang w:val="fr-FR"/>
        </w:rPr>
        <w:tab/>
        <w:t>•</w:t>
      </w:r>
      <w:r w:rsidRPr="00183F91">
        <w:rPr>
          <w:lang w:val="fr-FR"/>
        </w:rPr>
        <w:tab/>
      </w:r>
      <w:r w:rsidR="006E0934" w:rsidRPr="00183F91">
        <w:rPr>
          <w:lang w:val="fr-FR"/>
        </w:rPr>
        <w:t>La représentation des femmes au Parlement (17,1</w:t>
      </w:r>
      <w:r w:rsidR="00AA6B42" w:rsidRPr="00183F91">
        <w:rPr>
          <w:lang w:val="fr-FR"/>
        </w:rPr>
        <w:t> </w:t>
      </w:r>
      <w:r w:rsidR="006E0934" w:rsidRPr="00183F91">
        <w:rPr>
          <w:lang w:val="fr-FR"/>
        </w:rPr>
        <w:t>%) est inférieure à la moyenne mondiale (23,7</w:t>
      </w:r>
      <w:r w:rsidR="00AA6B42" w:rsidRPr="00183F91">
        <w:rPr>
          <w:lang w:val="fr-FR"/>
        </w:rPr>
        <w:t> </w:t>
      </w:r>
      <w:r w:rsidR="006E0934" w:rsidRPr="00183F91">
        <w:rPr>
          <w:lang w:val="fr-FR"/>
        </w:rPr>
        <w:t>%) et à peu près égale à la moyenne de la région de l</w:t>
      </w:r>
      <w:r w:rsidR="00442D55" w:rsidRPr="00183F91">
        <w:rPr>
          <w:lang w:val="fr-FR"/>
        </w:rPr>
        <w:t>’</w:t>
      </w:r>
      <w:r w:rsidR="006E0934" w:rsidRPr="00183F91">
        <w:rPr>
          <w:lang w:val="fr-FR"/>
        </w:rPr>
        <w:t xml:space="preserve">Asie de </w:t>
      </w:r>
      <w:r w:rsidR="006E0934" w:rsidRPr="00183F91">
        <w:rPr>
          <w:lang w:val="fr-FR"/>
        </w:rPr>
        <w:lastRenderedPageBreak/>
        <w:t>l</w:t>
      </w:r>
      <w:r w:rsidR="00442D55" w:rsidRPr="00183F91">
        <w:rPr>
          <w:lang w:val="fr-FR"/>
        </w:rPr>
        <w:t>’</w:t>
      </w:r>
      <w:r w:rsidR="006E0934" w:rsidRPr="00183F91">
        <w:rPr>
          <w:lang w:val="fr-FR"/>
        </w:rPr>
        <w:t>Est et du Pacifique (19,7</w:t>
      </w:r>
      <w:r w:rsidR="00AA6B42" w:rsidRPr="00183F91">
        <w:rPr>
          <w:lang w:val="fr-FR"/>
        </w:rPr>
        <w:t> </w:t>
      </w:r>
      <w:r w:rsidR="006E0934" w:rsidRPr="00183F91">
        <w:rPr>
          <w:lang w:val="fr-FR"/>
        </w:rPr>
        <w:t>%). Dans l</w:t>
      </w:r>
      <w:r w:rsidR="00442D55" w:rsidRPr="00183F91">
        <w:rPr>
          <w:lang w:val="fr-FR"/>
        </w:rPr>
        <w:t>’</w:t>
      </w:r>
      <w:r w:rsidR="006E0934" w:rsidRPr="00183F91">
        <w:rPr>
          <w:lang w:val="fr-FR"/>
        </w:rPr>
        <w:t>édition 2017 du Rapport sur l</w:t>
      </w:r>
      <w:r w:rsidR="00442D55" w:rsidRPr="00183F91">
        <w:rPr>
          <w:lang w:val="fr-FR"/>
        </w:rPr>
        <w:t>’</w:t>
      </w:r>
      <w:r w:rsidR="006E0934" w:rsidRPr="00183F91">
        <w:rPr>
          <w:lang w:val="fr-FR"/>
        </w:rPr>
        <w:t>écart entre les sexes dans le monde, la Mongolie est classée 107</w:t>
      </w:r>
      <w:r w:rsidR="006E0934" w:rsidRPr="000821D9">
        <w:rPr>
          <w:vertAlign w:val="superscript"/>
          <w:lang w:val="fr-FR"/>
        </w:rPr>
        <w:t>e</w:t>
      </w:r>
      <w:r w:rsidR="006E0934" w:rsidRPr="00183F91">
        <w:rPr>
          <w:lang w:val="fr-FR"/>
        </w:rPr>
        <w:t xml:space="preserve"> sur 144 pays pour ce qui est du pouvoir politique.</w:t>
      </w:r>
    </w:p>
    <w:p w14:paraId="5F5B43CB" w14:textId="22F65CB9" w:rsidR="006E0934" w:rsidRPr="00183F91" w:rsidRDefault="00D04411" w:rsidP="00B4234E">
      <w:pPr>
        <w:pStyle w:val="SingleTxt"/>
        <w:tabs>
          <w:tab w:val="right" w:pos="1685"/>
        </w:tabs>
        <w:ind w:left="1742" w:hanging="475"/>
        <w:rPr>
          <w:lang w:val="fr-FR"/>
        </w:rPr>
      </w:pPr>
      <w:r w:rsidRPr="00183F91">
        <w:rPr>
          <w:lang w:val="fr-FR"/>
        </w:rPr>
        <w:tab/>
        <w:t>•</w:t>
      </w:r>
      <w:r w:rsidRPr="00183F91">
        <w:rPr>
          <w:lang w:val="fr-FR"/>
        </w:rPr>
        <w:tab/>
      </w:r>
      <w:r w:rsidR="006E0934" w:rsidRPr="00183F91">
        <w:rPr>
          <w:lang w:val="fr-FR"/>
        </w:rPr>
        <w:t>Aucun quota n</w:t>
      </w:r>
      <w:r w:rsidR="00442D55" w:rsidRPr="00183F91">
        <w:rPr>
          <w:lang w:val="fr-FR"/>
        </w:rPr>
        <w:t>’</w:t>
      </w:r>
      <w:r w:rsidR="006E0934" w:rsidRPr="00183F91">
        <w:rPr>
          <w:lang w:val="fr-FR"/>
        </w:rPr>
        <w:t>est appliqué pour les élections locales. À l</w:t>
      </w:r>
      <w:r w:rsidR="00442D55" w:rsidRPr="00183F91">
        <w:rPr>
          <w:lang w:val="fr-FR"/>
        </w:rPr>
        <w:t>’</w:t>
      </w:r>
      <w:r w:rsidR="006E0934" w:rsidRPr="00183F91">
        <w:rPr>
          <w:lang w:val="fr-FR"/>
        </w:rPr>
        <w:t>issue des élections locales de 2016, les khourals (corps élus) des aïmags, de la capitale, des soums et des districts comptaient 26,7 % de femmes, le Présidium en comptait 27,8</w:t>
      </w:r>
      <w:r w:rsidR="00AA6B42" w:rsidRPr="00183F91">
        <w:rPr>
          <w:lang w:val="fr-FR"/>
        </w:rPr>
        <w:t> </w:t>
      </w:r>
      <w:r w:rsidR="006E0934" w:rsidRPr="00183F91">
        <w:rPr>
          <w:lang w:val="fr-FR"/>
        </w:rPr>
        <w:t>% et 13,8</w:t>
      </w:r>
      <w:r w:rsidR="00AA6B42" w:rsidRPr="00183F91">
        <w:rPr>
          <w:lang w:val="fr-FR"/>
        </w:rPr>
        <w:t> </w:t>
      </w:r>
      <w:r w:rsidR="006E0934" w:rsidRPr="00183F91">
        <w:rPr>
          <w:lang w:val="fr-FR"/>
        </w:rPr>
        <w:t>% des khourals étaient présidés par des femmes. Cependant, aucune femme n</w:t>
      </w:r>
      <w:r w:rsidR="00442D55" w:rsidRPr="00183F91">
        <w:rPr>
          <w:lang w:val="fr-FR"/>
        </w:rPr>
        <w:t>’</w:t>
      </w:r>
      <w:r w:rsidR="006E0934" w:rsidRPr="00183F91">
        <w:rPr>
          <w:lang w:val="fr-FR"/>
        </w:rPr>
        <w:t>a été nommée gouverneur ou élue à la présidence d</w:t>
      </w:r>
      <w:r w:rsidR="00442D55" w:rsidRPr="00183F91">
        <w:rPr>
          <w:lang w:val="fr-FR"/>
        </w:rPr>
        <w:t>’</w:t>
      </w:r>
      <w:r w:rsidR="006E0934" w:rsidRPr="00183F91">
        <w:rPr>
          <w:lang w:val="fr-FR"/>
        </w:rPr>
        <w:t>un khoural d</w:t>
      </w:r>
      <w:r w:rsidR="00442D55" w:rsidRPr="00183F91">
        <w:rPr>
          <w:lang w:val="fr-FR"/>
        </w:rPr>
        <w:t>’</w:t>
      </w:r>
      <w:r w:rsidR="006E0934" w:rsidRPr="00183F91">
        <w:rPr>
          <w:lang w:val="fr-FR"/>
        </w:rPr>
        <w:t>un aïmag ou de la capitale.</w:t>
      </w:r>
    </w:p>
    <w:p w14:paraId="4B44B2C3" w14:textId="2CDB1358" w:rsidR="006E0934" w:rsidRPr="00183F91" w:rsidRDefault="00D04411" w:rsidP="00D04411">
      <w:pPr>
        <w:pStyle w:val="SingleTxt"/>
        <w:tabs>
          <w:tab w:val="right" w:pos="1685"/>
        </w:tabs>
        <w:ind w:left="1742" w:hanging="475"/>
        <w:rPr>
          <w:lang w:val="fr-FR"/>
        </w:rPr>
      </w:pPr>
      <w:r w:rsidRPr="00183F91">
        <w:rPr>
          <w:lang w:val="fr-FR"/>
        </w:rPr>
        <w:tab/>
        <w:t>•</w:t>
      </w:r>
      <w:r w:rsidRPr="00183F91">
        <w:rPr>
          <w:lang w:val="fr-FR"/>
        </w:rPr>
        <w:tab/>
      </w:r>
      <w:r w:rsidR="006E0934" w:rsidRPr="00183F91">
        <w:rPr>
          <w:lang w:val="fr-FR"/>
        </w:rPr>
        <w:t>La majorité absolue des décideurs sont des hommes. Sur les 16 ministères, un seul est dirigé par une femme. Jusqu</w:t>
      </w:r>
      <w:r w:rsidR="00442D55" w:rsidRPr="00183F91">
        <w:rPr>
          <w:lang w:val="fr-FR"/>
        </w:rPr>
        <w:t>’</w:t>
      </w:r>
      <w:r w:rsidR="006E0934" w:rsidRPr="00183F91">
        <w:rPr>
          <w:lang w:val="fr-FR"/>
        </w:rPr>
        <w:t>à présent, aucune femme n</w:t>
      </w:r>
      <w:r w:rsidR="00442D55" w:rsidRPr="00183F91">
        <w:rPr>
          <w:lang w:val="fr-FR"/>
        </w:rPr>
        <w:t>’</w:t>
      </w:r>
      <w:r w:rsidR="006E0934" w:rsidRPr="00183F91">
        <w:rPr>
          <w:lang w:val="fr-FR"/>
        </w:rPr>
        <w:t>a jamais été nommée au plus haut poste du gouvernorat d</w:t>
      </w:r>
      <w:r w:rsidR="00442D55" w:rsidRPr="00183F91">
        <w:rPr>
          <w:lang w:val="fr-FR"/>
        </w:rPr>
        <w:t>’</w:t>
      </w:r>
      <w:r w:rsidR="006E0934" w:rsidRPr="00183F91">
        <w:rPr>
          <w:lang w:val="fr-FR"/>
        </w:rPr>
        <w:t xml:space="preserve">un aïmag ou de la capitale. Toutefois, grâce au système de nomination politique, la promotion de femmes aux postes de vice-ministre, de vice-gouverneur des aïmags et de la capitale a légèrement augmenté. </w:t>
      </w:r>
    </w:p>
    <w:p w14:paraId="258AD1E3" w14:textId="69AC31CA" w:rsidR="006E0934" w:rsidRPr="00183F91" w:rsidRDefault="00D04411" w:rsidP="00D04411">
      <w:pPr>
        <w:pStyle w:val="SingleTxt"/>
        <w:tabs>
          <w:tab w:val="right" w:pos="1685"/>
        </w:tabs>
        <w:ind w:left="1742" w:hanging="475"/>
        <w:rPr>
          <w:lang w:val="fr-FR"/>
        </w:rPr>
      </w:pPr>
      <w:r w:rsidRPr="00183F91">
        <w:rPr>
          <w:lang w:val="fr-FR"/>
        </w:rPr>
        <w:tab/>
        <w:t>•</w:t>
      </w:r>
      <w:r w:rsidRPr="00183F91">
        <w:rPr>
          <w:lang w:val="fr-FR"/>
        </w:rPr>
        <w:tab/>
      </w:r>
      <w:r w:rsidR="006E0934" w:rsidRPr="00183F91">
        <w:rPr>
          <w:lang w:val="fr-FR"/>
        </w:rPr>
        <w:t>Les hommes dominent également parmi les postes de l</w:t>
      </w:r>
      <w:r w:rsidR="00442D55" w:rsidRPr="00183F91">
        <w:rPr>
          <w:lang w:val="fr-FR"/>
        </w:rPr>
        <w:t>’</w:t>
      </w:r>
      <w:r w:rsidR="006E0934" w:rsidRPr="00183F91">
        <w:rPr>
          <w:lang w:val="fr-FR"/>
        </w:rPr>
        <w:t>administration publique. Historiquement, une seule femme a occupé la présidence d</w:t>
      </w:r>
      <w:r w:rsidR="00442D55" w:rsidRPr="00183F91">
        <w:rPr>
          <w:lang w:val="fr-FR"/>
        </w:rPr>
        <w:t>’</w:t>
      </w:r>
      <w:r w:rsidR="006E0934" w:rsidRPr="00183F91">
        <w:rPr>
          <w:lang w:val="fr-FR"/>
        </w:rPr>
        <w:t>un khoural des aïmags ou de la capitale (l</w:t>
      </w:r>
      <w:r w:rsidR="00442D55" w:rsidRPr="00183F91">
        <w:rPr>
          <w:lang w:val="fr-FR"/>
        </w:rPr>
        <w:t>’</w:t>
      </w:r>
      <w:r w:rsidR="006E0934" w:rsidRPr="00183F91">
        <w:rPr>
          <w:lang w:val="fr-FR"/>
        </w:rPr>
        <w:t xml:space="preserve">aïmag de Govisümber, de 2012-2016). </w:t>
      </w:r>
    </w:p>
    <w:p w14:paraId="59A2AC48" w14:textId="0D2C027F" w:rsidR="006E0934" w:rsidRPr="00183F91" w:rsidRDefault="00D04411" w:rsidP="00D04411">
      <w:pPr>
        <w:pStyle w:val="SingleTxt"/>
        <w:tabs>
          <w:tab w:val="right" w:pos="1685"/>
        </w:tabs>
        <w:ind w:left="1742" w:hanging="475"/>
        <w:rPr>
          <w:lang w:val="fr-FR"/>
        </w:rPr>
      </w:pPr>
      <w:r w:rsidRPr="00183F91">
        <w:rPr>
          <w:lang w:val="fr-FR"/>
        </w:rPr>
        <w:tab/>
        <w:t>•</w:t>
      </w:r>
      <w:r w:rsidRPr="00183F91">
        <w:rPr>
          <w:lang w:val="fr-FR"/>
        </w:rPr>
        <w:tab/>
      </w:r>
      <w:r w:rsidR="006E0934" w:rsidRPr="00183F91">
        <w:rPr>
          <w:lang w:val="fr-FR"/>
        </w:rPr>
        <w:t>L</w:t>
      </w:r>
      <w:r w:rsidR="00442D55" w:rsidRPr="00183F91">
        <w:rPr>
          <w:lang w:val="fr-FR"/>
        </w:rPr>
        <w:t>’</w:t>
      </w:r>
      <w:r w:rsidR="006E0934" w:rsidRPr="00183F91">
        <w:rPr>
          <w:lang w:val="fr-FR"/>
        </w:rPr>
        <w:t>équilibre entre les sexes, en particulier pour les postes des fonctionnaires de rang supérieur, a considérablement évolué par rapport à 2010. Plus précisément, en 2010, les femmes représentaient 7,8</w:t>
      </w:r>
      <w:r w:rsidR="00AA6B42" w:rsidRPr="00183F91">
        <w:rPr>
          <w:lang w:val="fr-FR"/>
        </w:rPr>
        <w:t> </w:t>
      </w:r>
      <w:r w:rsidR="006E0934" w:rsidRPr="00183F91">
        <w:rPr>
          <w:lang w:val="fr-FR"/>
        </w:rPr>
        <w:t>% des membres de la haute direction</w:t>
      </w:r>
      <w:r w:rsidR="00442D55" w:rsidRPr="00183F91">
        <w:rPr>
          <w:lang w:val="fr-FR"/>
        </w:rPr>
        <w:t> ;</w:t>
      </w:r>
      <w:r w:rsidR="006E0934" w:rsidRPr="00183F91">
        <w:rPr>
          <w:lang w:val="fr-FR"/>
        </w:rPr>
        <w:t xml:space="preserve"> en 2018, la proportion de femmes atteignait 26,6</w:t>
      </w:r>
      <w:r w:rsidR="00AA6B42" w:rsidRPr="00183F91">
        <w:rPr>
          <w:lang w:val="fr-FR"/>
        </w:rPr>
        <w:t> </w:t>
      </w:r>
      <w:r w:rsidR="006E0934" w:rsidRPr="00183F91">
        <w:rPr>
          <w:lang w:val="fr-FR"/>
        </w:rPr>
        <w:t>%. Parallèlement, alors qu</w:t>
      </w:r>
      <w:r w:rsidR="00442D55" w:rsidRPr="00183F91">
        <w:rPr>
          <w:lang w:val="fr-FR"/>
        </w:rPr>
        <w:t>’</w:t>
      </w:r>
      <w:r w:rsidR="006E0934" w:rsidRPr="00183F91">
        <w:rPr>
          <w:lang w:val="fr-FR"/>
        </w:rPr>
        <w:t>en 2010, 26,8</w:t>
      </w:r>
      <w:r w:rsidR="00AA6B42" w:rsidRPr="00183F91">
        <w:rPr>
          <w:lang w:val="fr-FR"/>
        </w:rPr>
        <w:t> </w:t>
      </w:r>
      <w:r w:rsidR="006E0934" w:rsidRPr="00183F91">
        <w:rPr>
          <w:lang w:val="fr-FR"/>
        </w:rPr>
        <w:t>% des agents de niveau intermédiaire étaient des femmes, ce chiffre a atteint 35,4</w:t>
      </w:r>
      <w:r w:rsidR="00AA6B42" w:rsidRPr="00183F91">
        <w:rPr>
          <w:lang w:val="fr-FR"/>
        </w:rPr>
        <w:t> </w:t>
      </w:r>
      <w:r w:rsidR="006E0934" w:rsidRPr="00183F91">
        <w:rPr>
          <w:lang w:val="fr-FR"/>
        </w:rPr>
        <w:t>% en 2018. Dans les grades inférieurs, la proportion de femmes (débutants</w:t>
      </w:r>
      <w:r w:rsidR="00442D55" w:rsidRPr="00183F91">
        <w:rPr>
          <w:lang w:val="fr-FR"/>
        </w:rPr>
        <w:t> :</w:t>
      </w:r>
      <w:r w:rsidR="006E0934" w:rsidRPr="00183F91">
        <w:rPr>
          <w:lang w:val="fr-FR"/>
        </w:rPr>
        <w:t xml:space="preserve"> 63,4</w:t>
      </w:r>
      <w:r w:rsidR="00AA6B42" w:rsidRPr="00183F91">
        <w:rPr>
          <w:lang w:val="fr-FR"/>
        </w:rPr>
        <w:t> </w:t>
      </w:r>
      <w:r w:rsidR="006E0934" w:rsidRPr="00183F91">
        <w:rPr>
          <w:lang w:val="fr-FR"/>
        </w:rPr>
        <w:t>% et adjoints</w:t>
      </w:r>
      <w:r w:rsidR="00442D55" w:rsidRPr="00183F91">
        <w:rPr>
          <w:lang w:val="fr-FR"/>
        </w:rPr>
        <w:t> :</w:t>
      </w:r>
      <w:r w:rsidR="006E0934" w:rsidRPr="00183F91">
        <w:rPr>
          <w:lang w:val="fr-FR"/>
        </w:rPr>
        <w:t xml:space="preserve"> 51</w:t>
      </w:r>
      <w:r w:rsidR="00AA6B42" w:rsidRPr="00183F91">
        <w:rPr>
          <w:lang w:val="fr-FR"/>
        </w:rPr>
        <w:t> </w:t>
      </w:r>
      <w:r w:rsidR="006E0934" w:rsidRPr="00183F91">
        <w:rPr>
          <w:lang w:val="fr-FR"/>
        </w:rPr>
        <w:t xml:space="preserve">%) est plus élevée que celle des hommes, tandis que le ratio </w:t>
      </w:r>
      <w:r w:rsidR="00E46268" w:rsidRPr="00183F91">
        <w:rPr>
          <w:lang w:val="fr-FR"/>
        </w:rPr>
        <w:t>femmes-hommes</w:t>
      </w:r>
      <w:r w:rsidR="006E0934" w:rsidRPr="00183F91">
        <w:rPr>
          <w:lang w:val="fr-FR"/>
        </w:rPr>
        <w:t xml:space="preserve"> dans les grades supérieurs est le même.</w:t>
      </w:r>
    </w:p>
    <w:p w14:paraId="50B8368C" w14:textId="580D9BAE" w:rsidR="006E0934" w:rsidRPr="00183F91" w:rsidRDefault="006E0934" w:rsidP="00AA6B42">
      <w:pPr>
        <w:pStyle w:val="SingleTxt"/>
        <w:numPr>
          <w:ilvl w:val="0"/>
          <w:numId w:val="45"/>
        </w:numPr>
        <w:spacing w:line="240" w:lineRule="exact"/>
        <w:ind w:left="1267"/>
        <w:rPr>
          <w:lang w:val="fr-FR"/>
        </w:rPr>
      </w:pPr>
      <w:r w:rsidRPr="00183F91">
        <w:rPr>
          <w:lang w:val="fr-FR"/>
        </w:rPr>
        <w:t>Le système et la structure des administrations publiques changent tous les quatre ans et les nominations politiques à des postes supérieurs continuent d</w:t>
      </w:r>
      <w:r w:rsidR="00442D55" w:rsidRPr="00183F91">
        <w:rPr>
          <w:lang w:val="fr-FR"/>
        </w:rPr>
        <w:t>’</w:t>
      </w:r>
      <w:r w:rsidRPr="00183F91">
        <w:rPr>
          <w:lang w:val="fr-FR"/>
        </w:rPr>
        <w:t>entraver la promotion et le maintien des femmes à ces postes. Cependant, la loi révisée sur la fonction publique (2017), qui entrera en vigueur le 1</w:t>
      </w:r>
      <w:r w:rsidRPr="00183F91">
        <w:rPr>
          <w:vertAlign w:val="superscript"/>
          <w:lang w:val="fr-FR"/>
        </w:rPr>
        <w:t>er</w:t>
      </w:r>
      <w:r w:rsidRPr="00183F91">
        <w:rPr>
          <w:lang w:val="fr-FR"/>
        </w:rPr>
        <w:t xml:space="preserve"> janvier 2019, devrait introduire de nouvelles normes concernant la sélection, le licenciement, l</w:t>
      </w:r>
      <w:r w:rsidR="00442D55" w:rsidRPr="00183F91">
        <w:rPr>
          <w:lang w:val="fr-FR"/>
        </w:rPr>
        <w:t>’</w:t>
      </w:r>
      <w:r w:rsidRPr="00183F91">
        <w:rPr>
          <w:lang w:val="fr-FR"/>
        </w:rPr>
        <w:t>évaluation des performances, la nomination et la promotion dans la fonction publique, le principe du mérite ou des connaissances, la formation, la spécialisation, les compétences, l</w:t>
      </w:r>
      <w:r w:rsidR="00442D55" w:rsidRPr="00183F91">
        <w:rPr>
          <w:lang w:val="fr-FR"/>
        </w:rPr>
        <w:t>’</w:t>
      </w:r>
      <w:r w:rsidRPr="00183F91">
        <w:rPr>
          <w:lang w:val="fr-FR"/>
        </w:rPr>
        <w:t>expérience et le travail. Elle prévoit l</w:t>
      </w:r>
      <w:r w:rsidR="00442D55" w:rsidRPr="00183F91">
        <w:rPr>
          <w:lang w:val="fr-FR"/>
        </w:rPr>
        <w:t>’</w:t>
      </w:r>
      <w:r w:rsidRPr="00183F91">
        <w:rPr>
          <w:lang w:val="fr-FR"/>
        </w:rPr>
        <w:t>amélioration des possibilités de promotion des femmes à des postes de haut niveau.</w:t>
      </w:r>
    </w:p>
    <w:p w14:paraId="4F0B8C92" w14:textId="091CA45E" w:rsidR="00D04411" w:rsidRPr="00183F91" w:rsidRDefault="00D04411" w:rsidP="00D04411">
      <w:pPr>
        <w:pStyle w:val="SingleTxt"/>
        <w:spacing w:after="0" w:line="120" w:lineRule="exact"/>
        <w:rPr>
          <w:sz w:val="10"/>
          <w:lang w:val="fr-FR"/>
        </w:rPr>
      </w:pPr>
    </w:p>
    <w:p w14:paraId="46118462" w14:textId="190C94DB" w:rsidR="006E0934" w:rsidRPr="00183F91" w:rsidRDefault="006E0934" w:rsidP="00D044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83F91">
        <w:rPr>
          <w:lang w:val="fr-FR"/>
        </w:rPr>
        <w:tab/>
      </w:r>
      <w:r w:rsidRPr="00183F91">
        <w:rPr>
          <w:lang w:val="fr-FR"/>
        </w:rPr>
        <w:tab/>
        <w:t>Dans le cadre du renforcement des capacités des fonctionnaires</w:t>
      </w:r>
    </w:p>
    <w:p w14:paraId="12B75A7F" w14:textId="1F1771D0" w:rsidR="00D04411" w:rsidRPr="00183F91" w:rsidRDefault="00D04411" w:rsidP="00D04411">
      <w:pPr>
        <w:pStyle w:val="SingleTxt"/>
        <w:spacing w:after="0" w:line="120" w:lineRule="exact"/>
        <w:rPr>
          <w:sz w:val="10"/>
          <w:lang w:val="fr-FR"/>
        </w:rPr>
      </w:pPr>
    </w:p>
    <w:p w14:paraId="2910702E" w14:textId="0215D3FB" w:rsidR="006E0934" w:rsidRPr="00183F91" w:rsidRDefault="006E0934" w:rsidP="00AA6B42">
      <w:pPr>
        <w:pStyle w:val="SingleTxt"/>
        <w:numPr>
          <w:ilvl w:val="0"/>
          <w:numId w:val="45"/>
        </w:numPr>
        <w:spacing w:line="240" w:lineRule="exact"/>
        <w:ind w:left="1267"/>
        <w:rPr>
          <w:lang w:val="fr-FR"/>
        </w:rPr>
      </w:pPr>
      <w:r w:rsidRPr="00183F91">
        <w:rPr>
          <w:lang w:val="fr-FR"/>
        </w:rPr>
        <w:t>Dans le cadre de la révision de la loi sur la fonction publique (2017), en vigueur depuis le 1</w:t>
      </w:r>
      <w:r w:rsidRPr="00183F91">
        <w:rPr>
          <w:vertAlign w:val="superscript"/>
          <w:lang w:val="fr-FR"/>
        </w:rPr>
        <w:t>er</w:t>
      </w:r>
      <w:r w:rsidRPr="00183F91">
        <w:rPr>
          <w:lang w:val="fr-FR"/>
        </w:rPr>
        <w:t xml:space="preserve"> janvier 2019, le programme de formation des fonctionnaires aborde des sujets tels que le genre, la pression sur le lieu de travail, la prise en compte du genre dans la budgétisation, les statistiques genrées, le suivi et l</w:t>
      </w:r>
      <w:r w:rsidR="00442D55" w:rsidRPr="00183F91">
        <w:rPr>
          <w:lang w:val="fr-FR"/>
        </w:rPr>
        <w:t>’</w:t>
      </w:r>
      <w:r w:rsidRPr="00183F91">
        <w:rPr>
          <w:lang w:val="fr-FR"/>
        </w:rPr>
        <w:t>évaluation. Les formations correspondantes sont organisées à l</w:t>
      </w:r>
      <w:r w:rsidR="00442D55" w:rsidRPr="00183F91">
        <w:rPr>
          <w:lang w:val="fr-FR"/>
        </w:rPr>
        <w:t>’</w:t>
      </w:r>
      <w:r w:rsidRPr="00183F91">
        <w:rPr>
          <w:lang w:val="fr-FR"/>
        </w:rPr>
        <w:t>Académie d</w:t>
      </w:r>
      <w:r w:rsidR="00442D55" w:rsidRPr="00183F91">
        <w:rPr>
          <w:lang w:val="fr-FR"/>
        </w:rPr>
        <w:t>’</w:t>
      </w:r>
      <w:r w:rsidRPr="00183F91">
        <w:rPr>
          <w:lang w:val="fr-FR"/>
        </w:rPr>
        <w:t>administration publique. Un Bureau de la formation et de la recherche a été créé au sein de la Commission nationale sur l</w:t>
      </w:r>
      <w:r w:rsidR="00442D55" w:rsidRPr="00183F91">
        <w:rPr>
          <w:lang w:val="fr-FR"/>
        </w:rPr>
        <w:t>’</w:t>
      </w:r>
      <w:r w:rsidRPr="00183F91">
        <w:rPr>
          <w:lang w:val="fr-FR"/>
        </w:rPr>
        <w:t>égalité des sexes et un manuel de l</w:t>
      </w:r>
      <w:r w:rsidR="00442D55" w:rsidRPr="00183F91">
        <w:rPr>
          <w:lang w:val="fr-FR"/>
        </w:rPr>
        <w:t>’</w:t>
      </w:r>
      <w:r w:rsidRPr="00183F91">
        <w:rPr>
          <w:lang w:val="fr-FR"/>
        </w:rPr>
        <w:t>instructeur ainsi qu</w:t>
      </w:r>
      <w:r w:rsidR="00442D55" w:rsidRPr="00183F91">
        <w:rPr>
          <w:lang w:val="fr-FR"/>
        </w:rPr>
        <w:t>’</w:t>
      </w:r>
      <w:r w:rsidRPr="00183F91">
        <w:rPr>
          <w:lang w:val="fr-FR"/>
        </w:rPr>
        <w:t>un module sur le genre et la planification des politiques ont été élaborés. Depuis 2018, 4 sessions de formation ont été organisées et 112 formateurs ont été formés. Un module d</w:t>
      </w:r>
      <w:r w:rsidR="00442D55" w:rsidRPr="00183F91">
        <w:rPr>
          <w:lang w:val="fr-FR"/>
        </w:rPr>
        <w:t>’</w:t>
      </w:r>
      <w:r w:rsidRPr="00183F91">
        <w:rPr>
          <w:lang w:val="fr-FR"/>
        </w:rPr>
        <w:t>apprentissage en ligne sur l</w:t>
      </w:r>
      <w:r w:rsidR="00442D55" w:rsidRPr="00183F91">
        <w:rPr>
          <w:lang w:val="fr-FR"/>
        </w:rPr>
        <w:t>’</w:t>
      </w:r>
      <w:r w:rsidRPr="00183F91">
        <w:rPr>
          <w:lang w:val="fr-FR"/>
        </w:rPr>
        <w:t>égalité des sexes destiné aux hauts fonctionnaires de l</w:t>
      </w:r>
      <w:r w:rsidR="00442D55" w:rsidRPr="00183F91">
        <w:rPr>
          <w:lang w:val="fr-FR"/>
        </w:rPr>
        <w:t>’</w:t>
      </w:r>
      <w:r w:rsidRPr="00183F91">
        <w:rPr>
          <w:lang w:val="fr-FR"/>
        </w:rPr>
        <w:t>administration publique a été élaboré et mis en ligne sur le site Web de la Commission et sur le site d</w:t>
      </w:r>
      <w:r w:rsidR="00442D55" w:rsidRPr="00183F91">
        <w:rPr>
          <w:lang w:val="fr-FR"/>
        </w:rPr>
        <w:t>’</w:t>
      </w:r>
      <w:r w:rsidRPr="00183F91">
        <w:rPr>
          <w:lang w:val="fr-FR"/>
        </w:rPr>
        <w:t>apprentissage en ligne de la Commission nationale des droits de la personne. Au total, 527 fonctionnaires ont accédé à cette formation en ligne, dont 302 ont été certifiés.</w:t>
      </w:r>
    </w:p>
    <w:p w14:paraId="76AC609C" w14:textId="0D0E2B65" w:rsidR="006E0934" w:rsidRPr="00183F91" w:rsidRDefault="006E0934" w:rsidP="00D044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83F91">
        <w:rPr>
          <w:lang w:val="fr-FR"/>
        </w:rPr>
        <w:lastRenderedPageBreak/>
        <w:tab/>
      </w:r>
      <w:r w:rsidRPr="00183F91">
        <w:rPr>
          <w:lang w:val="fr-FR"/>
        </w:rPr>
        <w:tab/>
        <w:t>S</w:t>
      </w:r>
      <w:r w:rsidR="00442D55" w:rsidRPr="00183F91">
        <w:rPr>
          <w:lang w:val="fr-FR"/>
        </w:rPr>
        <w:t>’</w:t>
      </w:r>
      <w:r w:rsidRPr="00183F91">
        <w:rPr>
          <w:lang w:val="fr-FR"/>
        </w:rPr>
        <w:t>agissant des modifications de la loi électorale</w:t>
      </w:r>
    </w:p>
    <w:p w14:paraId="332A70D8" w14:textId="7E37CCF5" w:rsidR="00D04411" w:rsidRPr="00183F91" w:rsidRDefault="00D04411" w:rsidP="00D04411">
      <w:pPr>
        <w:pStyle w:val="SingleTxt"/>
        <w:spacing w:after="0" w:line="120" w:lineRule="exact"/>
        <w:rPr>
          <w:sz w:val="10"/>
          <w:lang w:val="fr-FR"/>
        </w:rPr>
      </w:pPr>
    </w:p>
    <w:p w14:paraId="4E0340F3" w14:textId="4D94E015" w:rsidR="006E0934" w:rsidRPr="00183F91" w:rsidRDefault="006E0934" w:rsidP="00AA6B42">
      <w:pPr>
        <w:pStyle w:val="SingleTxt"/>
        <w:numPr>
          <w:ilvl w:val="0"/>
          <w:numId w:val="45"/>
        </w:numPr>
        <w:spacing w:line="240" w:lineRule="exact"/>
        <w:ind w:left="1267"/>
        <w:rPr>
          <w:lang w:val="fr-FR"/>
        </w:rPr>
      </w:pPr>
      <w:r w:rsidRPr="00183F91">
        <w:rPr>
          <w:lang w:val="fr-FR"/>
        </w:rPr>
        <w:t>La loi sur les élections législatives adoptée en 2005 dispose qu</w:t>
      </w:r>
      <w:r w:rsidR="00442D55" w:rsidRPr="00183F91">
        <w:rPr>
          <w:lang w:val="fr-FR"/>
        </w:rPr>
        <w:t>’</w:t>
      </w:r>
      <w:r w:rsidRPr="00183F91">
        <w:rPr>
          <w:lang w:val="fr-FR"/>
        </w:rPr>
        <w:t>au moins 30</w:t>
      </w:r>
      <w:r w:rsidR="00AA6B42" w:rsidRPr="00183F91">
        <w:rPr>
          <w:lang w:val="fr-FR"/>
        </w:rPr>
        <w:t> </w:t>
      </w:r>
      <w:r w:rsidRPr="00183F91">
        <w:rPr>
          <w:lang w:val="fr-FR"/>
        </w:rPr>
        <w:t>% des candidats parlementaires des partis ou des coalitions doivent être des femmes. Il faut en moyenne 10 jours pour qu</w:t>
      </w:r>
      <w:r w:rsidR="00442D55" w:rsidRPr="00183F91">
        <w:rPr>
          <w:lang w:val="fr-FR"/>
        </w:rPr>
        <w:t>’</w:t>
      </w:r>
      <w:r w:rsidRPr="00183F91">
        <w:rPr>
          <w:lang w:val="fr-FR"/>
        </w:rPr>
        <w:t>un projet de loi soit soumis au Parlement et examiné conformément à la procédure, mais à la veille des élections de 2008, un projet de loi visant à supprimer la disposition susmentionnée relative au quota de femmes candidates au Parlement a été présenté et approuvé en deux jours. En conséquence, à l</w:t>
      </w:r>
      <w:r w:rsidR="00442D55" w:rsidRPr="00183F91">
        <w:rPr>
          <w:lang w:val="fr-FR"/>
        </w:rPr>
        <w:t>’</w:t>
      </w:r>
      <w:r w:rsidRPr="00183F91">
        <w:rPr>
          <w:lang w:val="fr-FR"/>
        </w:rPr>
        <w:t>élection de 2008, seules trois femmes ont été élues au Parlement, soit une chute sans précédent dans l</w:t>
      </w:r>
      <w:r w:rsidR="00442D55" w:rsidRPr="00183F91">
        <w:rPr>
          <w:lang w:val="fr-FR"/>
        </w:rPr>
        <w:t>’</w:t>
      </w:r>
      <w:r w:rsidRPr="00183F91">
        <w:rPr>
          <w:lang w:val="fr-FR"/>
        </w:rPr>
        <w:t>histoire du nouveau Parlement. Toutefois, en 2016, la loi électorale du Parlement de Mongolie a institué un nombre minimum (20</w:t>
      </w:r>
      <w:r w:rsidR="00AA6B42" w:rsidRPr="00183F91">
        <w:rPr>
          <w:lang w:val="fr-FR"/>
        </w:rPr>
        <w:t> </w:t>
      </w:r>
      <w:r w:rsidRPr="00183F91">
        <w:rPr>
          <w:lang w:val="fr-FR"/>
        </w:rPr>
        <w:t>%) de femmes candidates pour chaque parti et coalition. Le programme d</w:t>
      </w:r>
      <w:r w:rsidR="00442D55" w:rsidRPr="00183F91">
        <w:rPr>
          <w:lang w:val="fr-FR"/>
        </w:rPr>
        <w:t>’</w:t>
      </w:r>
      <w:r w:rsidRPr="00183F91">
        <w:rPr>
          <w:lang w:val="fr-FR"/>
        </w:rPr>
        <w:t>action 2016-2020 du gouvernement a notamment pour objectif d</w:t>
      </w:r>
      <w:r w:rsidR="00442D55" w:rsidRPr="00183F91">
        <w:rPr>
          <w:lang w:val="fr-FR"/>
        </w:rPr>
        <w:t>’</w:t>
      </w:r>
      <w:r w:rsidRPr="00183F91">
        <w:rPr>
          <w:lang w:val="fr-FR"/>
        </w:rPr>
        <w:t>accroître la participation des femmes au niveau de la prise de décision. Bien que la Commission nationale sur l</w:t>
      </w:r>
      <w:r w:rsidR="00442D55" w:rsidRPr="00183F91">
        <w:rPr>
          <w:lang w:val="fr-FR"/>
        </w:rPr>
        <w:t>’</w:t>
      </w:r>
      <w:r w:rsidRPr="00183F91">
        <w:rPr>
          <w:lang w:val="fr-FR"/>
        </w:rPr>
        <w:t>égalité des sexes ait élaboré une proposition de loi électorale visant à porter à 30</w:t>
      </w:r>
      <w:r w:rsidR="00AA6B42" w:rsidRPr="00183F91">
        <w:rPr>
          <w:lang w:val="fr-FR"/>
        </w:rPr>
        <w:t> </w:t>
      </w:r>
      <w:r w:rsidRPr="00183F91">
        <w:rPr>
          <w:lang w:val="fr-FR"/>
        </w:rPr>
        <w:t>% le quota de femmes candidates au Parlement de Mongolie, l</w:t>
      </w:r>
      <w:r w:rsidR="00442D55" w:rsidRPr="00183F91">
        <w:rPr>
          <w:lang w:val="fr-FR"/>
        </w:rPr>
        <w:t>’</w:t>
      </w:r>
      <w:r w:rsidRPr="00183F91">
        <w:rPr>
          <w:lang w:val="fr-FR"/>
        </w:rPr>
        <w:t>ait soumise au groupe de travail établi par le Parlement et ait mené une campagne de sensibilisation, la loi a été modifiée en décembre 2019 sans qu</w:t>
      </w:r>
      <w:r w:rsidR="00442D55" w:rsidRPr="00183F91">
        <w:rPr>
          <w:lang w:val="fr-FR"/>
        </w:rPr>
        <w:t>’</w:t>
      </w:r>
      <w:r w:rsidRPr="00183F91">
        <w:rPr>
          <w:lang w:val="fr-FR"/>
        </w:rPr>
        <w:t xml:space="preserve">y figure cette proposition de quota. </w:t>
      </w:r>
    </w:p>
    <w:p w14:paraId="30296479" w14:textId="3F0040BC" w:rsidR="00D04411" w:rsidRPr="00183F91" w:rsidRDefault="00D04411" w:rsidP="00D04411">
      <w:pPr>
        <w:pStyle w:val="SingleTxt"/>
        <w:spacing w:after="0" w:line="120" w:lineRule="exact"/>
        <w:rPr>
          <w:sz w:val="10"/>
          <w:lang w:val="fr-FR"/>
        </w:rPr>
      </w:pPr>
    </w:p>
    <w:p w14:paraId="07C050C8" w14:textId="77E7AC05" w:rsidR="00D04411" w:rsidRPr="00183F91" w:rsidRDefault="00D04411" w:rsidP="00D04411">
      <w:pPr>
        <w:pStyle w:val="SingleTxt"/>
        <w:spacing w:after="0" w:line="120" w:lineRule="exact"/>
        <w:rPr>
          <w:sz w:val="10"/>
          <w:lang w:val="fr-FR"/>
        </w:rPr>
      </w:pPr>
    </w:p>
    <w:p w14:paraId="6DDF82EA" w14:textId="1B9FFC8B" w:rsidR="006E0934" w:rsidRPr="00183F91" w:rsidRDefault="00D04411" w:rsidP="00D0441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83F91">
        <w:rPr>
          <w:lang w:val="fr-FR"/>
        </w:rPr>
        <w:tab/>
      </w:r>
      <w:r w:rsidR="006E0934" w:rsidRPr="00183F91">
        <w:rPr>
          <w:lang w:val="fr-FR"/>
        </w:rPr>
        <w:t>F.</w:t>
      </w:r>
      <w:r w:rsidR="006E0934" w:rsidRPr="00183F91">
        <w:rPr>
          <w:lang w:val="fr-FR"/>
        </w:rPr>
        <w:tab/>
        <w:t>Réponse au paragraphe 6 de la liste de points</w:t>
      </w:r>
    </w:p>
    <w:p w14:paraId="63A81E29" w14:textId="4399F78A" w:rsidR="00D04411" w:rsidRPr="00183F91" w:rsidRDefault="00D04411" w:rsidP="00D04411">
      <w:pPr>
        <w:pStyle w:val="SingleTxt"/>
        <w:spacing w:after="0" w:line="120" w:lineRule="exact"/>
        <w:rPr>
          <w:sz w:val="10"/>
          <w:lang w:val="fr-FR"/>
        </w:rPr>
      </w:pPr>
    </w:p>
    <w:p w14:paraId="04BA5183" w14:textId="7AD5C309" w:rsidR="00D04411" w:rsidRPr="00183F91" w:rsidRDefault="00D04411" w:rsidP="00D04411">
      <w:pPr>
        <w:pStyle w:val="SingleTxt"/>
        <w:spacing w:after="0" w:line="120" w:lineRule="exact"/>
        <w:rPr>
          <w:sz w:val="10"/>
          <w:lang w:val="fr-FR"/>
        </w:rPr>
      </w:pPr>
    </w:p>
    <w:p w14:paraId="32AE46A4" w14:textId="44EC5AAB" w:rsidR="006E0934" w:rsidRPr="00183F91" w:rsidRDefault="006E0934" w:rsidP="00D044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83F91">
        <w:rPr>
          <w:lang w:val="fr-FR"/>
        </w:rPr>
        <w:tab/>
      </w:r>
      <w:r w:rsidRPr="00183F91">
        <w:rPr>
          <w:lang w:val="fr-FR"/>
        </w:rPr>
        <w:tab/>
        <w:t>En ce qui concerne l</w:t>
      </w:r>
      <w:r w:rsidR="00442D55" w:rsidRPr="00183F91">
        <w:rPr>
          <w:lang w:val="fr-FR"/>
        </w:rPr>
        <w:t>’</w:t>
      </w:r>
      <w:r w:rsidRPr="00183F91">
        <w:rPr>
          <w:lang w:val="fr-FR"/>
        </w:rPr>
        <w:t>élimination de la discrimination fondée sur le genre</w:t>
      </w:r>
    </w:p>
    <w:p w14:paraId="26DD4084" w14:textId="1100CF23" w:rsidR="00D04411" w:rsidRPr="00183F91" w:rsidRDefault="00D04411" w:rsidP="00D04411">
      <w:pPr>
        <w:pStyle w:val="SingleTxt"/>
        <w:spacing w:after="0" w:line="120" w:lineRule="exact"/>
        <w:rPr>
          <w:sz w:val="10"/>
          <w:lang w:val="fr-FR"/>
        </w:rPr>
      </w:pPr>
    </w:p>
    <w:p w14:paraId="62D8D053" w14:textId="706E2ACE" w:rsidR="006E0934" w:rsidRPr="00183F91" w:rsidRDefault="006E0934" w:rsidP="00AA6B42">
      <w:pPr>
        <w:pStyle w:val="SingleTxt"/>
        <w:numPr>
          <w:ilvl w:val="0"/>
          <w:numId w:val="45"/>
        </w:numPr>
        <w:spacing w:line="240" w:lineRule="exact"/>
        <w:ind w:left="1267"/>
        <w:rPr>
          <w:lang w:val="fr-FR"/>
        </w:rPr>
      </w:pPr>
      <w:r w:rsidRPr="00183F91">
        <w:rPr>
          <w:lang w:val="fr-FR"/>
        </w:rPr>
        <w:t>La Commission nationale sur l</w:t>
      </w:r>
      <w:r w:rsidR="00442D55" w:rsidRPr="00183F91">
        <w:rPr>
          <w:lang w:val="fr-FR"/>
        </w:rPr>
        <w:t>’</w:t>
      </w:r>
      <w:r w:rsidRPr="00183F91">
        <w:rPr>
          <w:lang w:val="fr-FR"/>
        </w:rPr>
        <w:t xml:space="preserve">égalité des sexes a lancé une initiative pour développer un journalisme tenant compte des questions de genre. </w:t>
      </w:r>
    </w:p>
    <w:p w14:paraId="32BCFCAF" w14:textId="53F356AA" w:rsidR="006E0934" w:rsidRPr="00183F91" w:rsidRDefault="006E0934" w:rsidP="00AA6B42">
      <w:pPr>
        <w:pStyle w:val="SingleTxt"/>
        <w:numPr>
          <w:ilvl w:val="0"/>
          <w:numId w:val="45"/>
        </w:numPr>
        <w:spacing w:line="240" w:lineRule="exact"/>
        <w:ind w:left="1267"/>
        <w:rPr>
          <w:lang w:val="fr-FR"/>
        </w:rPr>
      </w:pPr>
      <w:r w:rsidRPr="00183F91">
        <w:rPr>
          <w:lang w:val="fr-FR"/>
        </w:rPr>
        <w:t>Le Bureau de la Commission, en partenariat avec l</w:t>
      </w:r>
      <w:r w:rsidR="00442D55" w:rsidRPr="00183F91">
        <w:rPr>
          <w:lang w:val="fr-FR"/>
        </w:rPr>
        <w:t>’</w:t>
      </w:r>
      <w:r w:rsidRPr="00183F91">
        <w:rPr>
          <w:lang w:val="fr-FR"/>
        </w:rPr>
        <w:t>Institut mongol de la presse, a élaboré et testé localement une stratégie de communication pour sensibiliser le public à l</w:t>
      </w:r>
      <w:r w:rsidR="00442D55" w:rsidRPr="00183F91">
        <w:rPr>
          <w:lang w:val="fr-FR"/>
        </w:rPr>
        <w:t>’</w:t>
      </w:r>
      <w:r w:rsidRPr="00183F91">
        <w:rPr>
          <w:lang w:val="fr-FR"/>
        </w:rPr>
        <w:t>égalité des genres. Dans ce cadre, une campagne de trois mois a été organisée pour informer les fonctionnaires, les représentantes et représentants de la société civile et le grand public sur les politiques et activités locales tenant compte de l</w:t>
      </w:r>
      <w:r w:rsidR="00442D55" w:rsidRPr="00183F91">
        <w:rPr>
          <w:lang w:val="fr-FR"/>
        </w:rPr>
        <w:t>’</w:t>
      </w:r>
      <w:r w:rsidRPr="00183F91">
        <w:rPr>
          <w:lang w:val="fr-FR"/>
        </w:rPr>
        <w:t>égalité des genres qui viennent en aide aux groupes vulnérables et favorisent l</w:t>
      </w:r>
      <w:r w:rsidR="00442D55" w:rsidRPr="00183F91">
        <w:rPr>
          <w:lang w:val="fr-FR"/>
        </w:rPr>
        <w:t>’</w:t>
      </w:r>
      <w:r w:rsidRPr="00183F91">
        <w:rPr>
          <w:lang w:val="fr-FR"/>
        </w:rPr>
        <w:t>inclusion des différentes couches sociales sur un pied d</w:t>
      </w:r>
      <w:r w:rsidR="00442D55" w:rsidRPr="00183F91">
        <w:rPr>
          <w:lang w:val="fr-FR"/>
        </w:rPr>
        <w:t>’</w:t>
      </w:r>
      <w:r w:rsidRPr="00183F91">
        <w:rPr>
          <w:lang w:val="fr-FR"/>
        </w:rPr>
        <w:t>égalité. Elle s</w:t>
      </w:r>
      <w:r w:rsidR="00442D55" w:rsidRPr="00183F91">
        <w:rPr>
          <w:lang w:val="fr-FR"/>
        </w:rPr>
        <w:t>’</w:t>
      </w:r>
      <w:r w:rsidRPr="00183F91">
        <w:rPr>
          <w:lang w:val="fr-FR"/>
        </w:rPr>
        <w:t>est déroulée en trois phases, compte tenu du degré variable de connaissance des questions d</w:t>
      </w:r>
      <w:r w:rsidR="00442D55" w:rsidRPr="00183F91">
        <w:rPr>
          <w:lang w:val="fr-FR"/>
        </w:rPr>
        <w:t>’</w:t>
      </w:r>
      <w:r w:rsidRPr="00183F91">
        <w:rPr>
          <w:lang w:val="fr-FR"/>
        </w:rPr>
        <w:t>égalité des genres et des stéréotypes chez les hauts fonctionnaires et les agents chargés de la diffusion et de la mise en œuvre des politiques et activités locales en matière d</w:t>
      </w:r>
      <w:r w:rsidR="00442D55" w:rsidRPr="00183F91">
        <w:rPr>
          <w:lang w:val="fr-FR"/>
        </w:rPr>
        <w:t>’</w:t>
      </w:r>
      <w:r w:rsidRPr="00183F91">
        <w:rPr>
          <w:lang w:val="fr-FR"/>
        </w:rPr>
        <w:t xml:space="preserve">égalité des genres. </w:t>
      </w:r>
    </w:p>
    <w:p w14:paraId="17369B12" w14:textId="30D48422" w:rsidR="006E0934" w:rsidRPr="00183F91" w:rsidRDefault="00D04411" w:rsidP="00D04411">
      <w:pPr>
        <w:pStyle w:val="SingleTxt"/>
        <w:tabs>
          <w:tab w:val="right" w:pos="1685"/>
        </w:tabs>
        <w:ind w:left="1742" w:hanging="475"/>
        <w:rPr>
          <w:lang w:val="fr-FR"/>
        </w:rPr>
      </w:pPr>
      <w:r w:rsidRPr="00183F91">
        <w:rPr>
          <w:lang w:val="fr-FR"/>
        </w:rPr>
        <w:tab/>
        <w:t>•</w:t>
      </w:r>
      <w:r w:rsidRPr="00183F91">
        <w:rPr>
          <w:lang w:val="fr-FR"/>
        </w:rPr>
        <w:tab/>
      </w:r>
      <w:r w:rsidR="006E0934" w:rsidRPr="00183F91">
        <w:rPr>
          <w:lang w:val="fr-FR"/>
        </w:rPr>
        <w:t>Grâce à la campagne d</w:t>
      </w:r>
      <w:r w:rsidR="00442D55" w:rsidRPr="00183F91">
        <w:rPr>
          <w:lang w:val="fr-FR"/>
        </w:rPr>
        <w:t>’</w:t>
      </w:r>
      <w:r w:rsidR="006E0934" w:rsidRPr="00183F91">
        <w:rPr>
          <w:lang w:val="fr-FR"/>
        </w:rPr>
        <w:t>information locale, plus de 60 personnes dans deux aïmags ont appris comment diffuser efficacement les politiques et les pratiques en matière d</w:t>
      </w:r>
      <w:r w:rsidR="00442D55" w:rsidRPr="00183F91">
        <w:rPr>
          <w:lang w:val="fr-FR"/>
        </w:rPr>
        <w:t>’</w:t>
      </w:r>
      <w:r w:rsidR="006E0934" w:rsidRPr="00183F91">
        <w:rPr>
          <w:lang w:val="fr-FR"/>
        </w:rPr>
        <w:t>égalité des genres auprès de la population et gagner son soutien. Les participantes et participants ont pu acquérir une vision claire de la coopération dans le cadre des politiques et activités relatives au genre et des besoins et des possibilités de soutien mutuel, et ont signé un protocole d</w:t>
      </w:r>
      <w:r w:rsidR="00442D55" w:rsidRPr="00183F91">
        <w:rPr>
          <w:lang w:val="fr-FR"/>
        </w:rPr>
        <w:t>’</w:t>
      </w:r>
      <w:r w:rsidR="006E0934" w:rsidRPr="00183F91">
        <w:rPr>
          <w:lang w:val="fr-FR"/>
        </w:rPr>
        <w:t>accord pour mettre en œuvre certaines étapes de coopération. Par la suite, des mesures ont été prises pour améliorer la diffusion de l</w:t>
      </w:r>
      <w:r w:rsidR="00442D55" w:rsidRPr="00183F91">
        <w:rPr>
          <w:lang w:val="fr-FR"/>
        </w:rPr>
        <w:t>’</w:t>
      </w:r>
      <w:r w:rsidR="006E0934" w:rsidRPr="00183F91">
        <w:rPr>
          <w:lang w:val="fr-FR"/>
        </w:rPr>
        <w:t>information et la participation de la population à la diffusion et à l</w:t>
      </w:r>
      <w:r w:rsidR="00442D55" w:rsidRPr="00183F91">
        <w:rPr>
          <w:lang w:val="fr-FR"/>
        </w:rPr>
        <w:t>’</w:t>
      </w:r>
      <w:r w:rsidR="006E0934" w:rsidRPr="00183F91">
        <w:rPr>
          <w:lang w:val="fr-FR"/>
        </w:rPr>
        <w:t>application des décisions locales en matière d</w:t>
      </w:r>
      <w:r w:rsidR="00442D55" w:rsidRPr="00183F91">
        <w:rPr>
          <w:lang w:val="fr-FR"/>
        </w:rPr>
        <w:t>’</w:t>
      </w:r>
      <w:r w:rsidR="006E0934" w:rsidRPr="00183F91">
        <w:rPr>
          <w:lang w:val="fr-FR"/>
        </w:rPr>
        <w:t>égalité des genres. En outre, la prise de conscience des stéréotypes de genre contribue à une attitude plus ouverte à l</w:t>
      </w:r>
      <w:r w:rsidR="00442D55" w:rsidRPr="00183F91">
        <w:rPr>
          <w:lang w:val="fr-FR"/>
        </w:rPr>
        <w:t>’</w:t>
      </w:r>
      <w:r w:rsidR="006E0934" w:rsidRPr="00183F91">
        <w:rPr>
          <w:lang w:val="fr-FR"/>
        </w:rPr>
        <w:t>égard des politiques locales relatives au genre.</w:t>
      </w:r>
    </w:p>
    <w:p w14:paraId="24E7BEAF" w14:textId="6C6874AC" w:rsidR="006E0934" w:rsidRPr="00183F91" w:rsidRDefault="00D04411" w:rsidP="00D04411">
      <w:pPr>
        <w:pStyle w:val="SingleTxt"/>
        <w:tabs>
          <w:tab w:val="right" w:pos="1685"/>
        </w:tabs>
        <w:ind w:left="1742" w:hanging="475"/>
        <w:rPr>
          <w:lang w:val="fr-FR"/>
        </w:rPr>
      </w:pPr>
      <w:r w:rsidRPr="00183F91">
        <w:rPr>
          <w:lang w:val="fr-FR"/>
        </w:rPr>
        <w:tab/>
        <w:t>•</w:t>
      </w:r>
      <w:r w:rsidRPr="00183F91">
        <w:rPr>
          <w:lang w:val="fr-FR"/>
        </w:rPr>
        <w:tab/>
      </w:r>
      <w:r w:rsidR="006E0934" w:rsidRPr="00183F91">
        <w:rPr>
          <w:lang w:val="fr-FR"/>
        </w:rPr>
        <w:t>Dans le cadre du renforcement de la sensibilisation aux questions de genre, environ 80 heures d</w:t>
      </w:r>
      <w:r w:rsidR="00442D55" w:rsidRPr="00183F91">
        <w:rPr>
          <w:lang w:val="fr-FR"/>
        </w:rPr>
        <w:t>’</w:t>
      </w:r>
      <w:r w:rsidR="006E0934" w:rsidRPr="00183F91">
        <w:rPr>
          <w:lang w:val="fr-FR"/>
        </w:rPr>
        <w:t>ateliers et de séminaires concernant la loi sur l</w:t>
      </w:r>
      <w:r w:rsidR="00442D55" w:rsidRPr="00183F91">
        <w:rPr>
          <w:lang w:val="fr-FR"/>
        </w:rPr>
        <w:t>’</w:t>
      </w:r>
      <w:r w:rsidR="006E0934" w:rsidRPr="00183F91">
        <w:rPr>
          <w:lang w:val="fr-FR"/>
        </w:rPr>
        <w:t>égalité des sexes, les programmes nationaux, les notions de base du genre et l</w:t>
      </w:r>
      <w:r w:rsidR="00442D55" w:rsidRPr="00183F91">
        <w:rPr>
          <w:lang w:val="fr-FR"/>
        </w:rPr>
        <w:t>’</w:t>
      </w:r>
      <w:r w:rsidR="006E0934" w:rsidRPr="00183F91">
        <w:rPr>
          <w:lang w:val="fr-FR"/>
        </w:rPr>
        <w:t>équilibre entre vie professionnelle et vie familiale ont été organisées. Environ 800</w:t>
      </w:r>
      <w:r w:rsidR="00AB13D0" w:rsidRPr="00183F91">
        <w:rPr>
          <w:lang w:val="fr-FR"/>
        </w:rPr>
        <w:t> </w:t>
      </w:r>
      <w:r w:rsidR="006E0934" w:rsidRPr="00183F91">
        <w:rPr>
          <w:lang w:val="fr-FR"/>
        </w:rPr>
        <w:t>personnes y ont participé (agents et civils confondus).</w:t>
      </w:r>
    </w:p>
    <w:p w14:paraId="698AFB71" w14:textId="5AE506B0" w:rsidR="006E0934" w:rsidRPr="00183F91" w:rsidRDefault="006E0934" w:rsidP="00D044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83F91">
        <w:rPr>
          <w:lang w:val="fr-FR"/>
        </w:rPr>
        <w:lastRenderedPageBreak/>
        <w:tab/>
      </w:r>
      <w:r w:rsidRPr="00183F91">
        <w:rPr>
          <w:lang w:val="fr-FR"/>
        </w:rPr>
        <w:tab/>
        <w:t>Renforcement du partenariat avec la société civile et les médias</w:t>
      </w:r>
    </w:p>
    <w:p w14:paraId="1F3E6FCC" w14:textId="3953A121" w:rsidR="00D04411" w:rsidRPr="00183F91" w:rsidRDefault="00D04411" w:rsidP="00D04411">
      <w:pPr>
        <w:pStyle w:val="SingleTxt"/>
        <w:spacing w:after="0" w:line="120" w:lineRule="exact"/>
        <w:rPr>
          <w:sz w:val="10"/>
          <w:lang w:val="fr-FR"/>
        </w:rPr>
      </w:pPr>
    </w:p>
    <w:p w14:paraId="13DCFCEA" w14:textId="56462F88" w:rsidR="006E0934" w:rsidRPr="00183F91" w:rsidRDefault="006E0934" w:rsidP="00AA6B42">
      <w:pPr>
        <w:pStyle w:val="SingleTxt"/>
        <w:numPr>
          <w:ilvl w:val="0"/>
          <w:numId w:val="45"/>
        </w:numPr>
        <w:spacing w:line="240" w:lineRule="exact"/>
        <w:ind w:left="1267"/>
        <w:rPr>
          <w:lang w:val="fr-FR"/>
        </w:rPr>
      </w:pPr>
      <w:r w:rsidRPr="00183F91">
        <w:rPr>
          <w:lang w:val="fr-FR"/>
        </w:rPr>
        <w:t>Conformément au protocole d</w:t>
      </w:r>
      <w:r w:rsidR="00442D55" w:rsidRPr="00183F91">
        <w:rPr>
          <w:lang w:val="fr-FR"/>
        </w:rPr>
        <w:t>’</w:t>
      </w:r>
      <w:r w:rsidRPr="00183F91">
        <w:rPr>
          <w:lang w:val="fr-FR"/>
        </w:rPr>
        <w:t>accord signé entre la Commission nationale sur l</w:t>
      </w:r>
      <w:r w:rsidR="00442D55" w:rsidRPr="00183F91">
        <w:rPr>
          <w:lang w:val="fr-FR"/>
        </w:rPr>
        <w:t>’</w:t>
      </w:r>
      <w:r w:rsidRPr="00183F91">
        <w:rPr>
          <w:lang w:val="fr-FR"/>
        </w:rPr>
        <w:t>égalité des sexes et le MNB, des émissions et des informations sur l</w:t>
      </w:r>
      <w:r w:rsidR="00442D55" w:rsidRPr="00183F91">
        <w:rPr>
          <w:lang w:val="fr-FR"/>
        </w:rPr>
        <w:t>’</w:t>
      </w:r>
      <w:r w:rsidRPr="00183F91">
        <w:rPr>
          <w:lang w:val="fr-FR"/>
        </w:rPr>
        <w:t>égalité des genres sont régulièrement diffusées toutes les deux semaines, notamment une table ronde sur la situation actuelle des femmes et des hommes en Mongolie et les solutions à ces problèmes, des entretiens sur la perception du genre et sur le genre lui-même, des programmes télévisés sur les questions de genre, la situation actuelle des femmes et des hommes en Mongolie et les solutions à ces problèmes, la notion d</w:t>
      </w:r>
      <w:r w:rsidR="00442D55" w:rsidRPr="00183F91">
        <w:rPr>
          <w:lang w:val="fr-FR"/>
        </w:rPr>
        <w:t>’</w:t>
      </w:r>
      <w:r w:rsidRPr="00183F91">
        <w:rPr>
          <w:lang w:val="fr-FR"/>
        </w:rPr>
        <w:t>égalité des genres dans la communauté locale, une table ronde et des programmes télévisés sur la différence d</w:t>
      </w:r>
      <w:r w:rsidR="00442D55" w:rsidRPr="00183F91">
        <w:rPr>
          <w:lang w:val="fr-FR"/>
        </w:rPr>
        <w:t>’</w:t>
      </w:r>
      <w:r w:rsidRPr="00183F91">
        <w:rPr>
          <w:lang w:val="fr-FR"/>
        </w:rPr>
        <w:t>espérance de vie entre les hommes et les femmes et les facteurs qui y contribuent, le partenariat social pour la promotion de l</w:t>
      </w:r>
      <w:r w:rsidR="00442D55" w:rsidRPr="00183F91">
        <w:rPr>
          <w:lang w:val="fr-FR"/>
        </w:rPr>
        <w:t>’</w:t>
      </w:r>
      <w:r w:rsidRPr="00183F91">
        <w:rPr>
          <w:lang w:val="fr-FR"/>
        </w:rPr>
        <w:t>égalité des genres, l</w:t>
      </w:r>
      <w:r w:rsidR="00442D55" w:rsidRPr="00183F91">
        <w:rPr>
          <w:lang w:val="fr-FR"/>
        </w:rPr>
        <w:t>’</w:t>
      </w:r>
      <w:r w:rsidRPr="00183F91">
        <w:rPr>
          <w:lang w:val="fr-FR"/>
        </w:rPr>
        <w:t>égalité des sexes dans la communauté locale, des formations régionales et le programme d</w:t>
      </w:r>
      <w:r w:rsidR="00442D55" w:rsidRPr="00183F91">
        <w:rPr>
          <w:lang w:val="fr-FR"/>
        </w:rPr>
        <w:t>’</w:t>
      </w:r>
      <w:r w:rsidRPr="00183F91">
        <w:rPr>
          <w:lang w:val="fr-FR"/>
        </w:rPr>
        <w:t xml:space="preserve">information </w:t>
      </w:r>
      <w:r w:rsidR="00442D55" w:rsidRPr="00183F91">
        <w:rPr>
          <w:lang w:val="fr-FR"/>
        </w:rPr>
        <w:t>« </w:t>
      </w:r>
      <w:r w:rsidRPr="00183F91">
        <w:rPr>
          <w:lang w:val="fr-FR"/>
        </w:rPr>
        <w:t>Tsagiin Hurd</w:t>
      </w:r>
      <w:r w:rsidR="00442D55" w:rsidRPr="00183F91">
        <w:rPr>
          <w:lang w:val="fr-FR"/>
        </w:rPr>
        <w:t> »</w:t>
      </w:r>
      <w:r w:rsidRPr="00183F91">
        <w:rPr>
          <w:lang w:val="fr-FR"/>
        </w:rPr>
        <w:t xml:space="preserve"> pour rendre compte des résultats de l</w:t>
      </w:r>
      <w:r w:rsidR="00442D55" w:rsidRPr="00183F91">
        <w:rPr>
          <w:lang w:val="fr-FR"/>
        </w:rPr>
        <w:t>’</w:t>
      </w:r>
      <w:r w:rsidRPr="00183F91">
        <w:rPr>
          <w:lang w:val="fr-FR"/>
        </w:rPr>
        <w:t>analyse de la situation des sexes en Mongolie et des progrès, défis et leçons apprises depuis la loi de 2005 sur la promotion de l</w:t>
      </w:r>
      <w:r w:rsidR="00442D55" w:rsidRPr="00183F91">
        <w:rPr>
          <w:lang w:val="fr-FR"/>
        </w:rPr>
        <w:t>’</w:t>
      </w:r>
      <w:r w:rsidRPr="00183F91">
        <w:rPr>
          <w:lang w:val="fr-FR"/>
        </w:rPr>
        <w:t>égalité des sexes.</w:t>
      </w:r>
    </w:p>
    <w:p w14:paraId="1FDF4ED6" w14:textId="168B8589" w:rsidR="006E0934" w:rsidRPr="00183F91" w:rsidRDefault="006E0934" w:rsidP="00AA6B42">
      <w:pPr>
        <w:pStyle w:val="SingleTxt"/>
        <w:numPr>
          <w:ilvl w:val="0"/>
          <w:numId w:val="45"/>
        </w:numPr>
        <w:spacing w:line="240" w:lineRule="exact"/>
        <w:ind w:left="1267"/>
        <w:rPr>
          <w:lang w:val="fr-FR"/>
        </w:rPr>
      </w:pPr>
      <w:r w:rsidRPr="00183F91">
        <w:rPr>
          <w:lang w:val="fr-FR"/>
        </w:rPr>
        <w:t>Le site Web de la Commission nationale sur l</w:t>
      </w:r>
      <w:r w:rsidR="00442D55" w:rsidRPr="00183F91">
        <w:rPr>
          <w:lang w:val="fr-FR"/>
        </w:rPr>
        <w:t>’</w:t>
      </w:r>
      <w:r w:rsidRPr="00183F91">
        <w:rPr>
          <w:lang w:val="fr-FR"/>
        </w:rPr>
        <w:t>égalité des sexes (</w:t>
      </w:r>
      <w:hyperlink r:id="rId20" w:history="1">
        <w:r w:rsidR="00BE2441" w:rsidRPr="00183F91">
          <w:rPr>
            <w:rStyle w:val="Hyperlink"/>
            <w:lang w:val="fr-FR"/>
          </w:rPr>
          <w:t>www.gender.gov.mn</w:t>
        </w:r>
      </w:hyperlink>
      <w:r w:rsidRPr="00183F91">
        <w:rPr>
          <w:lang w:val="fr-FR"/>
        </w:rPr>
        <w:t>) fonctionne en mongol et en anglais. Il publie régulièrement les rapports du Bureau national des questions de genre, des bulletins d</w:t>
      </w:r>
      <w:r w:rsidR="00442D55" w:rsidRPr="00183F91">
        <w:rPr>
          <w:lang w:val="fr-FR"/>
        </w:rPr>
        <w:t>’</w:t>
      </w:r>
      <w:r w:rsidRPr="00183F91">
        <w:rPr>
          <w:lang w:val="fr-FR"/>
        </w:rPr>
        <w:t>information, des brochures, des photos et des vidéos. Sur les médias sociaux, la page Facebook disponible à l</w:t>
      </w:r>
      <w:r w:rsidR="00442D55" w:rsidRPr="00183F91">
        <w:rPr>
          <w:lang w:val="fr-FR"/>
        </w:rPr>
        <w:t>’</w:t>
      </w:r>
      <w:r w:rsidRPr="00183F91">
        <w:rPr>
          <w:lang w:val="fr-FR"/>
        </w:rPr>
        <w:t xml:space="preserve">adresse </w:t>
      </w:r>
      <w:hyperlink r:id="rId21" w:history="1">
        <w:r w:rsidR="00B4234E" w:rsidRPr="00183F91">
          <w:rPr>
            <w:rStyle w:val="Hyperlink"/>
            <w:lang w:val="fr-FR"/>
          </w:rPr>
          <w:t>https://www.facebook.com/gender.gov.mn</w:t>
        </w:r>
      </w:hyperlink>
      <w:r w:rsidRPr="00183F91">
        <w:rPr>
          <w:lang w:val="fr-FR"/>
        </w:rPr>
        <w:t xml:space="preserve"> est activement mise à jour pour permettre à la Commission de diffuser régulièrement des nouvelles et des rapports sur l</w:t>
      </w:r>
      <w:r w:rsidR="00442D55" w:rsidRPr="00183F91">
        <w:rPr>
          <w:lang w:val="fr-FR"/>
        </w:rPr>
        <w:t>’</w:t>
      </w:r>
      <w:r w:rsidRPr="00183F91">
        <w:rPr>
          <w:lang w:val="fr-FR"/>
        </w:rPr>
        <w:t>égalité des sexes auprès du grand public.</w:t>
      </w:r>
    </w:p>
    <w:p w14:paraId="54E03990" w14:textId="218BB139" w:rsidR="006E0934" w:rsidRPr="00183F91" w:rsidRDefault="006E0934" w:rsidP="00AA6B42">
      <w:pPr>
        <w:pStyle w:val="SingleTxt"/>
        <w:numPr>
          <w:ilvl w:val="0"/>
          <w:numId w:val="45"/>
        </w:numPr>
        <w:spacing w:line="240" w:lineRule="exact"/>
        <w:ind w:left="1267"/>
        <w:rPr>
          <w:lang w:val="fr-FR"/>
        </w:rPr>
      </w:pPr>
      <w:r w:rsidRPr="00183F91">
        <w:rPr>
          <w:lang w:val="fr-FR"/>
        </w:rPr>
        <w:t>En partenariat avec diverses ONG (</w:t>
      </w:r>
      <w:r w:rsidR="00442D55" w:rsidRPr="00183F91">
        <w:rPr>
          <w:lang w:val="fr-FR"/>
        </w:rPr>
        <w:t>« </w:t>
      </w:r>
      <w:r w:rsidRPr="00183F91">
        <w:rPr>
          <w:lang w:val="fr-FR"/>
        </w:rPr>
        <w:t>Hommes mongols pour le développement</w:t>
      </w:r>
      <w:r w:rsidR="00442D55" w:rsidRPr="00183F91">
        <w:rPr>
          <w:lang w:val="fr-FR"/>
        </w:rPr>
        <w:t> »</w:t>
      </w:r>
      <w:r w:rsidRPr="00183F91">
        <w:rPr>
          <w:lang w:val="fr-FR"/>
        </w:rPr>
        <w:t xml:space="preserve">, </w:t>
      </w:r>
      <w:r w:rsidR="00442D55" w:rsidRPr="00183F91">
        <w:rPr>
          <w:lang w:val="fr-FR"/>
        </w:rPr>
        <w:t>« </w:t>
      </w:r>
      <w:r w:rsidRPr="00183F91">
        <w:rPr>
          <w:lang w:val="fr-FR"/>
        </w:rPr>
        <w:t>Association pour le développement des hommes mongols</w:t>
      </w:r>
      <w:r w:rsidR="00442D55" w:rsidRPr="00183F91">
        <w:rPr>
          <w:lang w:val="fr-FR"/>
        </w:rPr>
        <w:t> »</w:t>
      </w:r>
      <w:r w:rsidRPr="00183F91">
        <w:rPr>
          <w:lang w:val="fr-FR"/>
        </w:rPr>
        <w:t xml:space="preserve"> et</w:t>
      </w:r>
      <w:r w:rsidR="00EB1136" w:rsidRPr="00183F91">
        <w:rPr>
          <w:lang w:val="fr-FR"/>
        </w:rPr>
        <w:t xml:space="preserve"> </w:t>
      </w:r>
      <w:r w:rsidR="00442D55" w:rsidRPr="00183F91">
        <w:rPr>
          <w:lang w:val="fr-FR"/>
        </w:rPr>
        <w:t>« </w:t>
      </w:r>
      <w:r w:rsidRPr="00183F91">
        <w:rPr>
          <w:lang w:val="fr-FR"/>
        </w:rPr>
        <w:t>Association pour le développement des hommes et de la famille</w:t>
      </w:r>
      <w:r w:rsidR="00442D55" w:rsidRPr="00183F91">
        <w:rPr>
          <w:lang w:val="fr-FR"/>
        </w:rPr>
        <w:t> »</w:t>
      </w:r>
      <w:r w:rsidRPr="00183F91">
        <w:rPr>
          <w:lang w:val="fr-FR"/>
        </w:rPr>
        <w:t>), des formations ont été dispensées afin d</w:t>
      </w:r>
      <w:r w:rsidR="00442D55" w:rsidRPr="00183F91">
        <w:rPr>
          <w:lang w:val="fr-FR"/>
        </w:rPr>
        <w:t>’</w:t>
      </w:r>
      <w:r w:rsidRPr="00183F91">
        <w:rPr>
          <w:lang w:val="fr-FR"/>
        </w:rPr>
        <w:t>accroître la conscience et la compréhension des questions d</w:t>
      </w:r>
      <w:r w:rsidR="00442D55" w:rsidRPr="00183F91">
        <w:rPr>
          <w:lang w:val="fr-FR"/>
        </w:rPr>
        <w:t>’</w:t>
      </w:r>
      <w:r w:rsidRPr="00183F91">
        <w:rPr>
          <w:lang w:val="fr-FR"/>
        </w:rPr>
        <w:t>égalité des genres, de la violence de genre et des modes de vie sains, avec la participation d</w:t>
      </w:r>
      <w:r w:rsidR="00442D55" w:rsidRPr="00183F91">
        <w:rPr>
          <w:lang w:val="fr-FR"/>
        </w:rPr>
        <w:t>’</w:t>
      </w:r>
      <w:r w:rsidRPr="00183F91">
        <w:rPr>
          <w:lang w:val="fr-FR"/>
        </w:rPr>
        <w:t>enseignants et d</w:t>
      </w:r>
      <w:r w:rsidR="00442D55" w:rsidRPr="00183F91">
        <w:rPr>
          <w:lang w:val="fr-FR"/>
        </w:rPr>
        <w:t>’</w:t>
      </w:r>
      <w:r w:rsidRPr="00183F91">
        <w:rPr>
          <w:lang w:val="fr-FR"/>
        </w:rPr>
        <w:t>agents de l</w:t>
      </w:r>
      <w:r w:rsidR="00442D55" w:rsidRPr="00183F91">
        <w:rPr>
          <w:lang w:val="fr-FR"/>
        </w:rPr>
        <w:t>’</w:t>
      </w:r>
      <w:r w:rsidRPr="00183F91">
        <w:rPr>
          <w:lang w:val="fr-FR"/>
        </w:rPr>
        <w:t>Université nationale d</w:t>
      </w:r>
      <w:r w:rsidR="00442D55" w:rsidRPr="00183F91">
        <w:rPr>
          <w:lang w:val="fr-FR"/>
        </w:rPr>
        <w:t>’</w:t>
      </w:r>
      <w:r w:rsidRPr="00183F91">
        <w:rPr>
          <w:lang w:val="fr-FR"/>
        </w:rPr>
        <w:t>éducation de Mongolie, d</w:t>
      </w:r>
      <w:r w:rsidR="00442D55" w:rsidRPr="00183F91">
        <w:rPr>
          <w:lang w:val="fr-FR"/>
        </w:rPr>
        <w:t>’</w:t>
      </w:r>
      <w:r w:rsidRPr="00183F91">
        <w:rPr>
          <w:lang w:val="fr-FR"/>
        </w:rPr>
        <w:t>agents du Département de la police métropolitaine, de membres et de sympathisants de l</w:t>
      </w:r>
      <w:r w:rsidR="00442D55" w:rsidRPr="00183F91">
        <w:rPr>
          <w:lang w:val="fr-FR"/>
        </w:rPr>
        <w:t>’</w:t>
      </w:r>
      <w:r w:rsidRPr="00183F91">
        <w:rPr>
          <w:lang w:val="fr-FR"/>
        </w:rPr>
        <w:t>Association pour le développement de shommes mongols et d</w:t>
      </w:r>
      <w:r w:rsidR="00442D55" w:rsidRPr="00183F91">
        <w:rPr>
          <w:lang w:val="fr-FR"/>
        </w:rPr>
        <w:t>’</w:t>
      </w:r>
      <w:r w:rsidRPr="00183F91">
        <w:rPr>
          <w:lang w:val="fr-FR"/>
        </w:rPr>
        <w:t>étudiants de l</w:t>
      </w:r>
      <w:r w:rsidR="00442D55" w:rsidRPr="00183F91">
        <w:rPr>
          <w:lang w:val="fr-FR"/>
        </w:rPr>
        <w:t>’</w:t>
      </w:r>
      <w:r w:rsidRPr="00183F91">
        <w:rPr>
          <w:lang w:val="fr-FR"/>
        </w:rPr>
        <w:t>Université d</w:t>
      </w:r>
      <w:r w:rsidR="00442D55" w:rsidRPr="00183F91">
        <w:rPr>
          <w:lang w:val="fr-FR"/>
        </w:rPr>
        <w:t>’</w:t>
      </w:r>
      <w:r w:rsidRPr="00183F91">
        <w:rPr>
          <w:lang w:val="fr-FR"/>
        </w:rPr>
        <w:t>Oulan-Bator Erdem. Au total, environ 300 garçons et hommes et 50 filles et femmes y ont participé.</w:t>
      </w:r>
    </w:p>
    <w:p w14:paraId="2AAF346F" w14:textId="1E7B5D18" w:rsidR="00D04411" w:rsidRPr="00183F91" w:rsidRDefault="00D04411" w:rsidP="00D04411">
      <w:pPr>
        <w:pStyle w:val="SingleTxt"/>
        <w:spacing w:after="0" w:line="120" w:lineRule="exact"/>
        <w:rPr>
          <w:sz w:val="10"/>
          <w:lang w:val="fr-FR"/>
        </w:rPr>
      </w:pPr>
    </w:p>
    <w:p w14:paraId="7DAF223B" w14:textId="42C11A55" w:rsidR="00D04411" w:rsidRPr="00183F91" w:rsidRDefault="00D04411" w:rsidP="00D04411">
      <w:pPr>
        <w:pStyle w:val="SingleTxt"/>
        <w:spacing w:after="0" w:line="120" w:lineRule="exact"/>
        <w:rPr>
          <w:sz w:val="10"/>
          <w:lang w:val="fr-FR"/>
        </w:rPr>
      </w:pPr>
    </w:p>
    <w:p w14:paraId="0540710B" w14:textId="513C58D0" w:rsidR="006E0934" w:rsidRPr="00183F91" w:rsidRDefault="00D04411" w:rsidP="00D0441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83F91">
        <w:rPr>
          <w:lang w:val="fr-FR"/>
        </w:rPr>
        <w:tab/>
        <w:t>G.</w:t>
      </w:r>
      <w:r w:rsidRPr="00183F91">
        <w:rPr>
          <w:lang w:val="fr-FR"/>
        </w:rPr>
        <w:tab/>
      </w:r>
      <w:r w:rsidR="006E0934" w:rsidRPr="00183F91">
        <w:rPr>
          <w:lang w:val="fr-FR"/>
        </w:rPr>
        <w:t>Réponse au paragraphe 7 de la liste de points</w:t>
      </w:r>
    </w:p>
    <w:p w14:paraId="1327F16B" w14:textId="7E653EC7" w:rsidR="00D04411" w:rsidRPr="00183F91" w:rsidRDefault="00D04411" w:rsidP="00D04411">
      <w:pPr>
        <w:pStyle w:val="SingleTxt"/>
        <w:spacing w:after="0" w:line="120" w:lineRule="exact"/>
        <w:rPr>
          <w:sz w:val="10"/>
          <w:lang w:val="fr-FR"/>
        </w:rPr>
      </w:pPr>
    </w:p>
    <w:p w14:paraId="0D265F3E" w14:textId="1420863F" w:rsidR="00D04411" w:rsidRPr="00183F91" w:rsidRDefault="00D04411" w:rsidP="00D04411">
      <w:pPr>
        <w:pStyle w:val="SingleTxt"/>
        <w:spacing w:after="0" w:line="120" w:lineRule="exact"/>
        <w:rPr>
          <w:sz w:val="10"/>
          <w:lang w:val="fr-FR"/>
        </w:rPr>
      </w:pPr>
    </w:p>
    <w:p w14:paraId="143D66ED" w14:textId="38397187" w:rsidR="006E0934" w:rsidRPr="00183F91" w:rsidRDefault="006E0934" w:rsidP="00D044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83F91">
        <w:rPr>
          <w:lang w:val="fr-FR"/>
        </w:rPr>
        <w:tab/>
      </w:r>
      <w:r w:rsidRPr="00183F91">
        <w:rPr>
          <w:lang w:val="fr-FR"/>
        </w:rPr>
        <w:tab/>
        <w:t>Mesures visant à assurer l</w:t>
      </w:r>
      <w:r w:rsidR="00442D55" w:rsidRPr="00183F91">
        <w:rPr>
          <w:lang w:val="fr-FR"/>
        </w:rPr>
        <w:t>’</w:t>
      </w:r>
      <w:r w:rsidRPr="00183F91">
        <w:rPr>
          <w:lang w:val="fr-FR"/>
        </w:rPr>
        <w:t>application et le suivi de la loi de 2017 sur la lutte contre la violence familiale et des procédures pertinentes et à augmenter les</w:t>
      </w:r>
      <w:r w:rsidR="00D04411" w:rsidRPr="00183F91">
        <w:rPr>
          <w:lang w:val="fr-FR"/>
        </w:rPr>
        <w:t> </w:t>
      </w:r>
      <w:r w:rsidRPr="00183F91">
        <w:rPr>
          <w:lang w:val="fr-FR"/>
        </w:rPr>
        <w:t>ressources financières qui leur sont consacrées</w:t>
      </w:r>
    </w:p>
    <w:p w14:paraId="0EB30B07" w14:textId="05BABB47" w:rsidR="00D04411" w:rsidRPr="00183F91" w:rsidRDefault="00D04411" w:rsidP="00D04411">
      <w:pPr>
        <w:pStyle w:val="SingleTxt"/>
        <w:spacing w:after="0" w:line="120" w:lineRule="exact"/>
        <w:rPr>
          <w:sz w:val="10"/>
          <w:lang w:val="fr-FR"/>
        </w:rPr>
      </w:pPr>
    </w:p>
    <w:p w14:paraId="12A240DB" w14:textId="7E50EB52" w:rsidR="006E0934" w:rsidRPr="00183F91" w:rsidRDefault="006E0934" w:rsidP="00AA6B42">
      <w:pPr>
        <w:pStyle w:val="SingleTxt"/>
        <w:numPr>
          <w:ilvl w:val="0"/>
          <w:numId w:val="45"/>
        </w:numPr>
        <w:spacing w:line="240" w:lineRule="exact"/>
        <w:ind w:left="1267"/>
        <w:rPr>
          <w:lang w:val="fr-FR"/>
        </w:rPr>
      </w:pPr>
      <w:r w:rsidRPr="00183F91">
        <w:rPr>
          <w:lang w:val="fr-FR"/>
        </w:rPr>
        <w:t>Dans le cadre des travaux visant à assurer l</w:t>
      </w:r>
      <w:r w:rsidR="00442D55" w:rsidRPr="00183F91">
        <w:rPr>
          <w:lang w:val="fr-FR"/>
        </w:rPr>
        <w:t>’</w:t>
      </w:r>
      <w:r w:rsidRPr="00183F91">
        <w:rPr>
          <w:lang w:val="fr-FR"/>
        </w:rPr>
        <w:t xml:space="preserve">application de la loi </w:t>
      </w:r>
      <w:r w:rsidRPr="00183F91">
        <w:rPr>
          <w:bCs/>
          <w:lang w:val="fr-FR"/>
        </w:rPr>
        <w:t>sur la lutte contre la violence familiale</w:t>
      </w:r>
      <w:r w:rsidRPr="00183F91">
        <w:rPr>
          <w:lang w:val="fr-FR"/>
        </w:rPr>
        <w:t>, 31 règlements et 2 normes ont été adoptés et mis en œuvre. Les normes, méthodes et manuels concernant les obligations découlant de cette loi ont été mis au point et diffusés. Afin d</w:t>
      </w:r>
      <w:r w:rsidR="00442D55" w:rsidRPr="00183F91">
        <w:rPr>
          <w:lang w:val="fr-FR"/>
        </w:rPr>
        <w:t>’</w:t>
      </w:r>
      <w:r w:rsidRPr="00183F91">
        <w:rPr>
          <w:lang w:val="fr-FR"/>
        </w:rPr>
        <w:t>assurer l</w:t>
      </w:r>
      <w:r w:rsidR="00442D55" w:rsidRPr="00183F91">
        <w:rPr>
          <w:lang w:val="fr-FR"/>
        </w:rPr>
        <w:t>’</w:t>
      </w:r>
      <w:r w:rsidRPr="00183F91">
        <w:rPr>
          <w:lang w:val="fr-FR"/>
        </w:rPr>
        <w:t>application de cette loi ainsi que de celles sur les droits de l</w:t>
      </w:r>
      <w:r w:rsidR="00442D55" w:rsidRPr="00183F91">
        <w:rPr>
          <w:lang w:val="fr-FR"/>
        </w:rPr>
        <w:t>’</w:t>
      </w:r>
      <w:r w:rsidRPr="00183F91">
        <w:rPr>
          <w:lang w:val="fr-FR"/>
        </w:rPr>
        <w:t>enfant et la protection de l</w:t>
      </w:r>
      <w:r w:rsidR="00442D55" w:rsidRPr="00183F91">
        <w:rPr>
          <w:lang w:val="fr-FR"/>
        </w:rPr>
        <w:t>’</w:t>
      </w:r>
      <w:r w:rsidRPr="00183F91">
        <w:rPr>
          <w:lang w:val="fr-FR"/>
        </w:rPr>
        <w:t>enfance, un sous-comité chargé de prévenir et de combattre la maltraitance des enfants et les crimes contre les enfants a été créé par l</w:t>
      </w:r>
      <w:r w:rsidR="00442D55" w:rsidRPr="00183F91">
        <w:rPr>
          <w:lang w:val="fr-FR"/>
        </w:rPr>
        <w:t>’</w:t>
      </w:r>
      <w:r w:rsidRPr="00183F91">
        <w:rPr>
          <w:lang w:val="fr-FR"/>
        </w:rPr>
        <w:t>ordonnance n</w:t>
      </w:r>
      <w:r w:rsidR="00BE2441" w:rsidRPr="00183F91">
        <w:rPr>
          <w:vertAlign w:val="superscript"/>
          <w:lang w:val="fr-FR"/>
        </w:rPr>
        <w:t>o</w:t>
      </w:r>
      <w:r w:rsidR="00BE2441" w:rsidRPr="00183F91">
        <w:rPr>
          <w:lang w:val="fr-FR"/>
        </w:rPr>
        <w:t> </w:t>
      </w:r>
      <w:r w:rsidR="006A0F0E" w:rsidRPr="000821D9">
        <w:t>A/27</w:t>
      </w:r>
      <w:r w:rsidRPr="00183F91">
        <w:rPr>
          <w:lang w:val="fr-FR"/>
        </w:rPr>
        <w:t xml:space="preserve"> (2017) du Ministère de la justice et des affaires intérieures. Ce sous-comité réunit des représentants des ministères, organismes et organisations non gouvernementales auxquels la loi impose des obligations.</w:t>
      </w:r>
    </w:p>
    <w:p w14:paraId="759ED238" w14:textId="475A0F94" w:rsidR="006E0934" w:rsidRPr="00183F91" w:rsidRDefault="006E0934" w:rsidP="00AA6B42">
      <w:pPr>
        <w:pStyle w:val="SingleTxt"/>
        <w:numPr>
          <w:ilvl w:val="0"/>
          <w:numId w:val="45"/>
        </w:numPr>
        <w:spacing w:line="240" w:lineRule="exact"/>
        <w:ind w:left="1267"/>
        <w:rPr>
          <w:lang w:val="fr-FR"/>
        </w:rPr>
      </w:pPr>
      <w:r w:rsidRPr="00183F91">
        <w:rPr>
          <w:lang w:val="fr-FR"/>
        </w:rPr>
        <w:t>Conformément à l</w:t>
      </w:r>
      <w:r w:rsidR="00442D55" w:rsidRPr="00183F91">
        <w:rPr>
          <w:lang w:val="fr-FR"/>
        </w:rPr>
        <w:t>’</w:t>
      </w:r>
      <w:r w:rsidRPr="00183F91">
        <w:rPr>
          <w:lang w:val="fr-FR"/>
        </w:rPr>
        <w:t xml:space="preserve">article 25.2 de la </w:t>
      </w:r>
      <w:bookmarkStart w:id="6" w:name="_Hlk43366407"/>
      <w:r w:rsidRPr="00183F91">
        <w:rPr>
          <w:lang w:val="fr-FR"/>
        </w:rPr>
        <w:t xml:space="preserve">loi </w:t>
      </w:r>
      <w:r w:rsidRPr="00183F91">
        <w:rPr>
          <w:bCs/>
          <w:lang w:val="fr-FR"/>
        </w:rPr>
        <w:t>sur la lutte contre la violence familiale</w:t>
      </w:r>
      <w:bookmarkEnd w:id="6"/>
      <w:r w:rsidRPr="00183F91">
        <w:rPr>
          <w:lang w:val="fr-FR"/>
        </w:rPr>
        <w:t>, qui prévoit qu</w:t>
      </w:r>
      <w:r w:rsidR="00442D55" w:rsidRPr="00183F91">
        <w:rPr>
          <w:lang w:val="fr-FR"/>
        </w:rPr>
        <w:t>’</w:t>
      </w:r>
      <w:r w:rsidRPr="00183F91">
        <w:rPr>
          <w:lang w:val="fr-FR"/>
        </w:rPr>
        <w:t xml:space="preserve">une unité composée de policiers spécialisés peut être créée au sein de la police en tenant compte de la taille de la population locale et du contexte en matière </w:t>
      </w:r>
      <w:r w:rsidRPr="00183F91">
        <w:rPr>
          <w:lang w:val="fr-FR"/>
        </w:rPr>
        <w:lastRenderedPageBreak/>
        <w:t>de criminalité et d</w:t>
      </w:r>
      <w:r w:rsidR="00442D55" w:rsidRPr="00183F91">
        <w:rPr>
          <w:lang w:val="fr-FR"/>
        </w:rPr>
        <w:t>’</w:t>
      </w:r>
      <w:r w:rsidRPr="00183F91">
        <w:rPr>
          <w:lang w:val="fr-FR"/>
        </w:rPr>
        <w:t>ordre public, et afin de renforcer l</w:t>
      </w:r>
      <w:r w:rsidR="00442D55" w:rsidRPr="00183F91">
        <w:rPr>
          <w:lang w:val="fr-FR"/>
        </w:rPr>
        <w:t>’</w:t>
      </w:r>
      <w:r w:rsidRPr="00183F91">
        <w:rPr>
          <w:lang w:val="fr-FR"/>
        </w:rPr>
        <w:t>efficacité du dispositif de lutte contre la violence familiale et d</w:t>
      </w:r>
      <w:r w:rsidR="00442D55" w:rsidRPr="00183F91">
        <w:rPr>
          <w:lang w:val="fr-FR"/>
        </w:rPr>
        <w:t>’</w:t>
      </w:r>
      <w:r w:rsidRPr="00183F91">
        <w:rPr>
          <w:lang w:val="fr-FR"/>
        </w:rPr>
        <w:t xml:space="preserve">en améliorer la structure, une unité de lutte contre la violence familiale, composée de </w:t>
      </w:r>
      <w:r w:rsidR="005C0164" w:rsidRPr="00183F91">
        <w:rPr>
          <w:lang w:val="fr-FR"/>
        </w:rPr>
        <w:t xml:space="preserve">quatre </w:t>
      </w:r>
      <w:r w:rsidRPr="00183F91">
        <w:rPr>
          <w:lang w:val="fr-FR"/>
        </w:rPr>
        <w:t>personnes, a été créée par l</w:t>
      </w:r>
      <w:r w:rsidR="00442D55" w:rsidRPr="00183F91">
        <w:rPr>
          <w:lang w:val="fr-FR"/>
        </w:rPr>
        <w:t>’</w:t>
      </w:r>
      <w:r w:rsidRPr="00183F91">
        <w:rPr>
          <w:lang w:val="fr-FR"/>
        </w:rPr>
        <w:t>ordonnance n</w:t>
      </w:r>
      <w:r w:rsidR="00BE2441" w:rsidRPr="00183F91">
        <w:rPr>
          <w:vertAlign w:val="superscript"/>
          <w:lang w:val="fr-FR"/>
        </w:rPr>
        <w:t>o</w:t>
      </w:r>
      <w:r w:rsidR="00BE2441" w:rsidRPr="00183F91">
        <w:rPr>
          <w:lang w:val="fr-FR"/>
        </w:rPr>
        <w:t> </w:t>
      </w:r>
      <w:r w:rsidR="005C0164" w:rsidRPr="000821D9">
        <w:t>A/301</w:t>
      </w:r>
      <w:r w:rsidRPr="00183F91">
        <w:rPr>
          <w:lang w:val="fr-FR"/>
        </w:rPr>
        <w:t xml:space="preserve"> (2011) du chef du Département général de la police.</w:t>
      </w:r>
    </w:p>
    <w:p w14:paraId="68F3A52E" w14:textId="5A7071F6" w:rsidR="006E0934" w:rsidRPr="00183F91" w:rsidRDefault="006E0934" w:rsidP="00AA6B42">
      <w:pPr>
        <w:pStyle w:val="SingleTxt"/>
        <w:numPr>
          <w:ilvl w:val="0"/>
          <w:numId w:val="45"/>
        </w:numPr>
        <w:spacing w:line="240" w:lineRule="exact"/>
        <w:ind w:left="1267"/>
        <w:rPr>
          <w:lang w:val="fr-FR"/>
        </w:rPr>
      </w:pPr>
      <w:r w:rsidRPr="00183F91">
        <w:rPr>
          <w:lang w:val="fr-FR"/>
        </w:rPr>
        <w:t>L</w:t>
      </w:r>
      <w:r w:rsidR="00442D55" w:rsidRPr="00183F91">
        <w:rPr>
          <w:lang w:val="fr-FR"/>
        </w:rPr>
        <w:t>’</w:t>
      </w:r>
      <w:r w:rsidRPr="00183F91">
        <w:rPr>
          <w:lang w:val="fr-FR"/>
        </w:rPr>
        <w:t>unité de lutte contre la violence familiale est chargée de veiller à l</w:t>
      </w:r>
      <w:r w:rsidR="00442D55" w:rsidRPr="00183F91">
        <w:rPr>
          <w:lang w:val="fr-FR"/>
        </w:rPr>
        <w:t>’</w:t>
      </w:r>
      <w:r w:rsidRPr="00183F91">
        <w:rPr>
          <w:lang w:val="fr-FR"/>
        </w:rPr>
        <w:t xml:space="preserve">application de la loi </w:t>
      </w:r>
      <w:r w:rsidRPr="00183F91">
        <w:rPr>
          <w:bCs/>
          <w:lang w:val="fr-FR"/>
        </w:rPr>
        <w:t>sur la lutte contre la violence familiale</w:t>
      </w:r>
      <w:r w:rsidRPr="00183F91">
        <w:rPr>
          <w:lang w:val="fr-FR"/>
        </w:rPr>
        <w:t>, de mettre en place des mesures préventives, de coopérer avec les organisations nationales et non gouvernementales et de fournir des conseils à l</w:t>
      </w:r>
      <w:r w:rsidR="00442D55" w:rsidRPr="00183F91">
        <w:rPr>
          <w:lang w:val="fr-FR"/>
        </w:rPr>
        <w:t>’</w:t>
      </w:r>
      <w:r w:rsidRPr="00183F91">
        <w:rPr>
          <w:lang w:val="fr-FR"/>
        </w:rPr>
        <w:t>intention du personnel de police du territoire concerné. En outre, chaque commissariat de police du territoire concerné dispose d</w:t>
      </w:r>
      <w:r w:rsidR="00442D55" w:rsidRPr="00183F91">
        <w:rPr>
          <w:lang w:val="fr-FR"/>
        </w:rPr>
        <w:t>’</w:t>
      </w:r>
      <w:r w:rsidRPr="00183F91">
        <w:rPr>
          <w:lang w:val="fr-FR"/>
        </w:rPr>
        <w:t>un ou d</w:t>
      </w:r>
      <w:r w:rsidR="00442D55" w:rsidRPr="00183F91">
        <w:rPr>
          <w:lang w:val="fr-FR"/>
        </w:rPr>
        <w:t>’</w:t>
      </w:r>
      <w:r w:rsidRPr="00183F91">
        <w:rPr>
          <w:lang w:val="fr-FR"/>
        </w:rPr>
        <w:t>une spécialiste de la prévention de la violence familiale et des crimes contre les enfants. Afin d</w:t>
      </w:r>
      <w:r w:rsidR="00442D55" w:rsidRPr="00183F91">
        <w:rPr>
          <w:lang w:val="fr-FR"/>
        </w:rPr>
        <w:t>’</w:t>
      </w:r>
      <w:r w:rsidRPr="00183F91">
        <w:rPr>
          <w:lang w:val="fr-FR"/>
        </w:rPr>
        <w:t>assurer et d</w:t>
      </w:r>
      <w:r w:rsidR="00442D55" w:rsidRPr="00183F91">
        <w:rPr>
          <w:lang w:val="fr-FR"/>
        </w:rPr>
        <w:t>’</w:t>
      </w:r>
      <w:r w:rsidRPr="00183F91">
        <w:rPr>
          <w:lang w:val="fr-FR"/>
        </w:rPr>
        <w:t>intensifier l</w:t>
      </w:r>
      <w:r w:rsidR="00442D55" w:rsidRPr="00183F91">
        <w:rPr>
          <w:lang w:val="fr-FR"/>
        </w:rPr>
        <w:t>’</w:t>
      </w:r>
      <w:r w:rsidRPr="00183F91">
        <w:rPr>
          <w:lang w:val="fr-FR"/>
        </w:rPr>
        <w:t>application de la loi et d</w:t>
      </w:r>
      <w:r w:rsidR="00442D55" w:rsidRPr="00183F91">
        <w:rPr>
          <w:lang w:val="fr-FR"/>
        </w:rPr>
        <w:t>’</w:t>
      </w:r>
      <w:r w:rsidRPr="00183F91">
        <w:rPr>
          <w:lang w:val="fr-FR"/>
        </w:rPr>
        <w:t>assurer la coopération et la coordination, notamment intersectorielle, au sein des ministères et des organismes chargés de l</w:t>
      </w:r>
      <w:r w:rsidR="00442D55" w:rsidRPr="00183F91">
        <w:rPr>
          <w:lang w:val="fr-FR"/>
        </w:rPr>
        <w:t>’</w:t>
      </w:r>
      <w:r w:rsidRPr="00183F91">
        <w:rPr>
          <w:lang w:val="fr-FR"/>
        </w:rPr>
        <w:t>application des lois aux niveaux national, sectoriel et local, la Conférence nationale sur la coopération multilatérale dans la lutte contre la violence familiale a été organisée chaque année en avril à partir de 2017. Cette conférence, qui a été l</w:t>
      </w:r>
      <w:r w:rsidR="00442D55" w:rsidRPr="00183F91">
        <w:rPr>
          <w:lang w:val="fr-FR"/>
        </w:rPr>
        <w:t>’</w:t>
      </w:r>
      <w:r w:rsidRPr="00183F91">
        <w:rPr>
          <w:lang w:val="fr-FR"/>
        </w:rPr>
        <w:t>occasion d</w:t>
      </w:r>
      <w:r w:rsidR="00442D55" w:rsidRPr="00183F91">
        <w:rPr>
          <w:lang w:val="fr-FR"/>
        </w:rPr>
        <w:t>’</w:t>
      </w:r>
      <w:r w:rsidRPr="00183F91">
        <w:rPr>
          <w:lang w:val="fr-FR"/>
        </w:rPr>
        <w:t>examiner le contexte de l</w:t>
      </w:r>
      <w:r w:rsidR="00442D55" w:rsidRPr="00183F91">
        <w:rPr>
          <w:lang w:val="fr-FR"/>
        </w:rPr>
        <w:t>’</w:t>
      </w:r>
      <w:r w:rsidRPr="00183F91">
        <w:rPr>
          <w:lang w:val="fr-FR"/>
        </w:rPr>
        <w:t>application des lois, les résultats obtenus et les difficultés rencontrées, a réuni 200 participants au total, parmi lesquels les secrétaires des sous-comités pour la prévention de la criminalité, des représentants d</w:t>
      </w:r>
      <w:r w:rsidR="00442D55" w:rsidRPr="00183F91">
        <w:rPr>
          <w:lang w:val="fr-FR"/>
        </w:rPr>
        <w:t>’</w:t>
      </w:r>
      <w:r w:rsidRPr="00183F91">
        <w:rPr>
          <w:lang w:val="fr-FR"/>
        </w:rPr>
        <w:t>organismes de santé, d</w:t>
      </w:r>
      <w:r w:rsidR="00442D55" w:rsidRPr="00183F91">
        <w:rPr>
          <w:lang w:val="fr-FR"/>
        </w:rPr>
        <w:t>’</w:t>
      </w:r>
      <w:r w:rsidRPr="00183F91">
        <w:rPr>
          <w:lang w:val="fr-FR"/>
        </w:rPr>
        <w:t>éducation ou de culture et d</w:t>
      </w:r>
      <w:r w:rsidR="00442D55" w:rsidRPr="00183F91">
        <w:rPr>
          <w:lang w:val="fr-FR"/>
        </w:rPr>
        <w:t>’</w:t>
      </w:r>
      <w:r w:rsidRPr="00183F91">
        <w:rPr>
          <w:lang w:val="fr-FR"/>
        </w:rPr>
        <w:t>organismes chargés de la famille, de la jeunesse et du développement de l</w:t>
      </w:r>
      <w:r w:rsidR="00442D55" w:rsidRPr="00183F91">
        <w:rPr>
          <w:lang w:val="fr-FR"/>
        </w:rPr>
        <w:t>’</w:t>
      </w:r>
      <w:r w:rsidRPr="00183F91">
        <w:rPr>
          <w:lang w:val="fr-FR"/>
        </w:rPr>
        <w:t>enfant, et des policiers de 21 aïmags, de la capitale et de 9 districts.</w:t>
      </w:r>
    </w:p>
    <w:p w14:paraId="6614B2D8" w14:textId="31ECF7F6" w:rsidR="006E0934" w:rsidRPr="00183F91" w:rsidRDefault="006E0934" w:rsidP="00AA6B42">
      <w:pPr>
        <w:pStyle w:val="SingleTxt"/>
        <w:numPr>
          <w:ilvl w:val="0"/>
          <w:numId w:val="45"/>
        </w:numPr>
        <w:spacing w:line="240" w:lineRule="exact"/>
        <w:ind w:left="1267"/>
        <w:rPr>
          <w:lang w:val="fr-FR"/>
        </w:rPr>
      </w:pPr>
      <w:r w:rsidRPr="00183F91">
        <w:rPr>
          <w:lang w:val="fr-FR"/>
        </w:rPr>
        <w:t>Dans le cadre du projet intitulé «</w:t>
      </w:r>
      <w:r w:rsidR="003313DA" w:rsidRPr="00183F91">
        <w:rPr>
          <w:lang w:val="fr-FR"/>
        </w:rPr>
        <w:t> </w:t>
      </w:r>
      <w:r w:rsidRPr="00183F91">
        <w:rPr>
          <w:lang w:val="fr-FR"/>
        </w:rPr>
        <w:t>Combattre la violence sexiste</w:t>
      </w:r>
      <w:r w:rsidR="003313DA" w:rsidRPr="00183F91">
        <w:rPr>
          <w:lang w:val="fr-FR"/>
        </w:rPr>
        <w:t> </w:t>
      </w:r>
      <w:r w:rsidRPr="00183F91">
        <w:rPr>
          <w:lang w:val="fr-FR"/>
        </w:rPr>
        <w:t>» mené conjointement par le Gouvernement mongol et le FNUAP, le chef du Département général de la police a signé avec des représentants du FNUAP un accord de coopération pour 2017-2021. Au titre de cet accord, de 2017 à 2019, des dépenses d</w:t>
      </w:r>
      <w:r w:rsidR="00442D55" w:rsidRPr="00183F91">
        <w:rPr>
          <w:lang w:val="fr-FR"/>
        </w:rPr>
        <w:t>’</w:t>
      </w:r>
      <w:r w:rsidRPr="00183F91">
        <w:rPr>
          <w:lang w:val="fr-FR"/>
        </w:rPr>
        <w:t>un montant de 215</w:t>
      </w:r>
      <w:r w:rsidR="00BE2441" w:rsidRPr="00183F91">
        <w:rPr>
          <w:lang w:val="fr-FR"/>
        </w:rPr>
        <w:t> </w:t>
      </w:r>
      <w:r w:rsidRPr="00183F91">
        <w:rPr>
          <w:lang w:val="fr-FR"/>
        </w:rPr>
        <w:t>465 dollars ont été engagées pour la création de bases de données, la formation, les consultations et la sensibilisation.</w:t>
      </w:r>
    </w:p>
    <w:p w14:paraId="19A4AC0D" w14:textId="5D6923D8" w:rsidR="00D04411" w:rsidRPr="00183F91" w:rsidRDefault="00D04411" w:rsidP="00D04411">
      <w:pPr>
        <w:pStyle w:val="SingleTxt"/>
        <w:spacing w:after="0" w:line="120" w:lineRule="exact"/>
        <w:rPr>
          <w:sz w:val="10"/>
          <w:lang w:val="fr-FR"/>
        </w:rPr>
      </w:pPr>
    </w:p>
    <w:p w14:paraId="431E0034" w14:textId="48BA2783" w:rsidR="006E0934" w:rsidRPr="00183F91" w:rsidRDefault="006E0934" w:rsidP="00D044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83F91">
        <w:rPr>
          <w:lang w:val="fr-FR"/>
        </w:rPr>
        <w:tab/>
      </w:r>
      <w:r w:rsidRPr="00183F91">
        <w:rPr>
          <w:lang w:val="fr-FR"/>
        </w:rPr>
        <w:tab/>
        <w:t>Activités de prévention et de sensibilisation</w:t>
      </w:r>
    </w:p>
    <w:p w14:paraId="288AA30F" w14:textId="699E4173" w:rsidR="00D04411" w:rsidRPr="00183F91" w:rsidRDefault="00D04411" w:rsidP="00D04411">
      <w:pPr>
        <w:pStyle w:val="SingleTxt"/>
        <w:spacing w:after="0" w:line="120" w:lineRule="exact"/>
        <w:rPr>
          <w:sz w:val="10"/>
          <w:lang w:val="fr-FR"/>
        </w:rPr>
      </w:pPr>
    </w:p>
    <w:p w14:paraId="70FAAEC4" w14:textId="4A25460F" w:rsidR="006E0934" w:rsidRPr="00183F91" w:rsidRDefault="006E0934" w:rsidP="00AA6B42">
      <w:pPr>
        <w:pStyle w:val="SingleTxt"/>
        <w:numPr>
          <w:ilvl w:val="0"/>
          <w:numId w:val="45"/>
        </w:numPr>
        <w:spacing w:line="240" w:lineRule="exact"/>
        <w:ind w:left="1267"/>
        <w:rPr>
          <w:lang w:val="fr-FR"/>
        </w:rPr>
      </w:pPr>
      <w:r w:rsidRPr="00183F91">
        <w:rPr>
          <w:lang w:val="fr-FR"/>
        </w:rPr>
        <w:t>Comme suite à la décision de l</w:t>
      </w:r>
      <w:r w:rsidR="00442D55" w:rsidRPr="00183F91">
        <w:rPr>
          <w:lang w:val="fr-FR"/>
        </w:rPr>
        <w:t>’</w:t>
      </w:r>
      <w:r w:rsidRPr="00183F91">
        <w:rPr>
          <w:lang w:val="fr-FR"/>
        </w:rPr>
        <w:t>Assemblée générale sur le sujet, tous les 25</w:t>
      </w:r>
      <w:r w:rsidR="00BE2441" w:rsidRPr="00183F91">
        <w:rPr>
          <w:lang w:val="fr-FR"/>
        </w:rPr>
        <w:t> </w:t>
      </w:r>
      <w:r w:rsidRPr="00183F91">
        <w:rPr>
          <w:lang w:val="fr-FR"/>
        </w:rPr>
        <w:t>novembre depuis 1999, le pays célèbre la Journée internationale du ruban blanc pour la prévention de la violence à l</w:t>
      </w:r>
      <w:r w:rsidR="00442D55" w:rsidRPr="00183F91">
        <w:rPr>
          <w:lang w:val="fr-FR"/>
        </w:rPr>
        <w:t>’</w:t>
      </w:r>
      <w:r w:rsidRPr="00183F91">
        <w:rPr>
          <w:lang w:val="fr-FR"/>
        </w:rPr>
        <w:t>égard des femmes. Ainsi, la Mongolie a organisé des campagnes nationales sur les thèmes « Aimer et protéger » en 2017, « Être positif » en 2018 et « Comprendre et respecter » en 2019. À l</w:t>
      </w:r>
      <w:r w:rsidR="00442D55" w:rsidRPr="00183F91">
        <w:rPr>
          <w:lang w:val="fr-FR"/>
        </w:rPr>
        <w:t>’</w:t>
      </w:r>
      <w:r w:rsidRPr="00183F91">
        <w:rPr>
          <w:lang w:val="fr-FR"/>
        </w:rPr>
        <w:t>occasion de ces manifestations, des contenus ont été élaborés à des fins de sensibilisation et diffusés dans les médias traditionnels et sur les médias sociaux pour faire prendre conscience de l</w:t>
      </w:r>
      <w:r w:rsidR="00442D55" w:rsidRPr="00183F91">
        <w:rPr>
          <w:lang w:val="fr-FR"/>
        </w:rPr>
        <w:t>’</w:t>
      </w:r>
      <w:r w:rsidRPr="00183F91">
        <w:rPr>
          <w:lang w:val="fr-FR"/>
        </w:rPr>
        <w:t>importance de la participation de chacun et de chacune à la prévention et à l</w:t>
      </w:r>
      <w:r w:rsidR="00442D55" w:rsidRPr="00183F91">
        <w:rPr>
          <w:lang w:val="fr-FR"/>
        </w:rPr>
        <w:t>’</w:t>
      </w:r>
      <w:r w:rsidRPr="00183F91">
        <w:rPr>
          <w:lang w:val="fr-FR"/>
        </w:rPr>
        <w:t>élimination de la violence contre les enfants et les femmes, notamment au moyen de chansons et de vidéos créées par des personnalités reconnues donnant des informations sur l</w:t>
      </w:r>
      <w:r w:rsidR="00442D55" w:rsidRPr="00183F91">
        <w:rPr>
          <w:lang w:val="fr-FR"/>
        </w:rPr>
        <w:t>’</w:t>
      </w:r>
      <w:r w:rsidRPr="00183F91">
        <w:rPr>
          <w:lang w:val="fr-FR"/>
        </w:rPr>
        <w:t>impact du comportement des hommes, sur la non-violence et sur l</w:t>
      </w:r>
      <w:r w:rsidR="00442D55" w:rsidRPr="00183F91">
        <w:rPr>
          <w:lang w:val="fr-FR"/>
        </w:rPr>
        <w:t>’</w:t>
      </w:r>
      <w:r w:rsidRPr="00183F91">
        <w:rPr>
          <w:lang w:val="fr-FR"/>
        </w:rPr>
        <w:t>obligation légale qu</w:t>
      </w:r>
      <w:r w:rsidR="00442D55" w:rsidRPr="00183F91">
        <w:rPr>
          <w:lang w:val="fr-FR"/>
        </w:rPr>
        <w:t>’</w:t>
      </w:r>
      <w:r w:rsidRPr="00183F91">
        <w:rPr>
          <w:lang w:val="fr-FR"/>
        </w:rPr>
        <w:t>ont les citoyens de signaler les faits de violence. Ces contenus, diffusés auprès du grand public, ont collectivement atteint 7,1 millions de citoyens. Grâce à ce travail de sensibilisation, le nombre d</w:t>
      </w:r>
      <w:r w:rsidR="00442D55" w:rsidRPr="00183F91">
        <w:rPr>
          <w:lang w:val="fr-FR"/>
        </w:rPr>
        <w:t>’</w:t>
      </w:r>
      <w:r w:rsidRPr="00183F91">
        <w:rPr>
          <w:lang w:val="fr-FR"/>
        </w:rPr>
        <w:t>appels et de signalements que reçoit la police concernant des faits de violence familiale et de maltraitance d</w:t>
      </w:r>
      <w:r w:rsidR="00442D55" w:rsidRPr="00183F91">
        <w:rPr>
          <w:lang w:val="fr-FR"/>
        </w:rPr>
        <w:t>’</w:t>
      </w:r>
      <w:r w:rsidRPr="00183F91">
        <w:rPr>
          <w:lang w:val="fr-FR"/>
        </w:rPr>
        <w:t>enfants est en augmentation, tandis que la non-tolérance de la violence et le soutien et l</w:t>
      </w:r>
      <w:r w:rsidR="00442D55" w:rsidRPr="00183F91">
        <w:rPr>
          <w:lang w:val="fr-FR"/>
        </w:rPr>
        <w:t>’</w:t>
      </w:r>
      <w:r w:rsidRPr="00183F91">
        <w:rPr>
          <w:lang w:val="fr-FR"/>
        </w:rPr>
        <w:t>attention aux autres sont de plus en plus manifestes dans la société.</w:t>
      </w:r>
    </w:p>
    <w:p w14:paraId="5D9E600C" w14:textId="345555A5" w:rsidR="006E0934" w:rsidRPr="00183F91" w:rsidRDefault="006E0934" w:rsidP="00AA6B42">
      <w:pPr>
        <w:pStyle w:val="SingleTxt"/>
        <w:numPr>
          <w:ilvl w:val="0"/>
          <w:numId w:val="45"/>
        </w:numPr>
        <w:spacing w:line="240" w:lineRule="exact"/>
        <w:ind w:left="1267"/>
        <w:rPr>
          <w:lang w:val="fr-FR"/>
        </w:rPr>
      </w:pPr>
      <w:r w:rsidRPr="00183F91">
        <w:rPr>
          <w:lang w:val="fr-FR"/>
        </w:rPr>
        <w:t>L</w:t>
      </w:r>
      <w:r w:rsidR="00442D55" w:rsidRPr="00183F91">
        <w:rPr>
          <w:lang w:val="fr-FR"/>
        </w:rPr>
        <w:t>’</w:t>
      </w:r>
      <w:r w:rsidRPr="00183F91">
        <w:rPr>
          <w:lang w:val="fr-FR"/>
        </w:rPr>
        <w:t xml:space="preserve">application de la loi </w:t>
      </w:r>
      <w:r w:rsidRPr="00183F91">
        <w:rPr>
          <w:bCs/>
          <w:lang w:val="fr-FR"/>
        </w:rPr>
        <w:t>sur la lutte contre la violence familiale</w:t>
      </w:r>
      <w:r w:rsidRPr="00183F91">
        <w:rPr>
          <w:lang w:val="fr-FR"/>
        </w:rPr>
        <w:t xml:space="preserve"> a été évaluée par le Ministère de la justice et des affaires intérieures, le Conseil de coordination pour la prévention de la criminalité, le Ministère de la santé et la police.</w:t>
      </w:r>
      <w:r w:rsidR="00D04411" w:rsidRPr="00183F91">
        <w:rPr>
          <w:lang w:val="fr-FR"/>
        </w:rPr>
        <w:t xml:space="preserve"> </w:t>
      </w:r>
      <w:r w:rsidRPr="00183F91">
        <w:rPr>
          <w:lang w:val="fr-FR"/>
        </w:rPr>
        <w:t>Afin d</w:t>
      </w:r>
      <w:r w:rsidR="00442D55" w:rsidRPr="00183F91">
        <w:rPr>
          <w:lang w:val="fr-FR"/>
        </w:rPr>
        <w:t>’</w:t>
      </w:r>
      <w:r w:rsidRPr="00183F91">
        <w:rPr>
          <w:lang w:val="fr-FR"/>
        </w:rPr>
        <w:t>accélérer l</w:t>
      </w:r>
      <w:r w:rsidR="00442D55" w:rsidRPr="00183F91">
        <w:rPr>
          <w:lang w:val="fr-FR"/>
        </w:rPr>
        <w:t>’</w:t>
      </w:r>
      <w:r w:rsidRPr="00183F91">
        <w:rPr>
          <w:lang w:val="fr-FR"/>
        </w:rPr>
        <w:t xml:space="preserve">application de cette loi au niveau local, quatre réunions consultatives régionales sur le thème de la coopération multilatérale dans la lutte contre la violence familiale ont été organisées en 2018. Cela a abouti à une amélioration de la coopération en matière </w:t>
      </w:r>
      <w:r w:rsidRPr="00183F91">
        <w:rPr>
          <w:lang w:val="fr-FR"/>
        </w:rPr>
        <w:lastRenderedPageBreak/>
        <w:t>de protection des victimes de violence familiale entre aïmags voisins, qui procèdent notamment à des échanges des victimes les plus vulnérables au moyen d</w:t>
      </w:r>
      <w:r w:rsidR="00442D55" w:rsidRPr="00183F91">
        <w:rPr>
          <w:lang w:val="fr-FR"/>
        </w:rPr>
        <w:t>’</w:t>
      </w:r>
      <w:r w:rsidRPr="00183F91">
        <w:rPr>
          <w:lang w:val="fr-FR"/>
        </w:rPr>
        <w:t>un système d</w:t>
      </w:r>
      <w:r w:rsidR="00442D55" w:rsidRPr="00183F91">
        <w:rPr>
          <w:lang w:val="fr-FR"/>
        </w:rPr>
        <w:t>’</w:t>
      </w:r>
      <w:r w:rsidRPr="00183F91">
        <w:rPr>
          <w:lang w:val="fr-FR"/>
        </w:rPr>
        <w:t>aiguillage et apprennent des pratiques de chacun grâce à un système d</w:t>
      </w:r>
      <w:r w:rsidR="00442D55" w:rsidRPr="00183F91">
        <w:rPr>
          <w:lang w:val="fr-FR"/>
        </w:rPr>
        <w:t>’</w:t>
      </w:r>
      <w:r w:rsidRPr="00183F91">
        <w:rPr>
          <w:lang w:val="fr-FR"/>
        </w:rPr>
        <w:t>échange de spécialistes et de stagiaires.</w:t>
      </w:r>
    </w:p>
    <w:p w14:paraId="0329453D" w14:textId="6151DF0B" w:rsidR="00D04411" w:rsidRPr="00183F91" w:rsidRDefault="00D04411" w:rsidP="00D04411">
      <w:pPr>
        <w:pStyle w:val="SingleTxt"/>
        <w:spacing w:after="0" w:line="120" w:lineRule="exact"/>
        <w:rPr>
          <w:sz w:val="10"/>
          <w:lang w:val="fr-FR"/>
        </w:rPr>
      </w:pPr>
    </w:p>
    <w:p w14:paraId="1FD7866D" w14:textId="7A297D20" w:rsidR="006E0934" w:rsidRPr="00183F91" w:rsidRDefault="006E0934" w:rsidP="00D044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83F91">
        <w:rPr>
          <w:lang w:val="fr-FR"/>
        </w:rPr>
        <w:tab/>
      </w:r>
      <w:r w:rsidRPr="00183F91">
        <w:rPr>
          <w:lang w:val="fr-FR"/>
        </w:rPr>
        <w:tab/>
        <w:t>Création de foyers et de centres de services à guichet unique</w:t>
      </w:r>
    </w:p>
    <w:p w14:paraId="24B21DFA" w14:textId="6034C248" w:rsidR="00D04411" w:rsidRPr="00183F91" w:rsidRDefault="00D04411" w:rsidP="00D04411">
      <w:pPr>
        <w:pStyle w:val="SingleTxt"/>
        <w:spacing w:after="0" w:line="120" w:lineRule="exact"/>
        <w:rPr>
          <w:sz w:val="10"/>
          <w:lang w:val="fr-FR"/>
        </w:rPr>
      </w:pPr>
    </w:p>
    <w:p w14:paraId="2A4CC3D0" w14:textId="5141354D" w:rsidR="006E0934" w:rsidRPr="00183F91" w:rsidRDefault="006E0934" w:rsidP="00AA6B42">
      <w:pPr>
        <w:pStyle w:val="SingleTxt"/>
        <w:numPr>
          <w:ilvl w:val="0"/>
          <w:numId w:val="45"/>
        </w:numPr>
        <w:spacing w:line="240" w:lineRule="exact"/>
        <w:ind w:left="1267"/>
        <w:rPr>
          <w:lang w:val="fr-FR"/>
        </w:rPr>
      </w:pPr>
      <w:r w:rsidRPr="00183F91">
        <w:rPr>
          <w:lang w:val="fr-FR"/>
        </w:rPr>
        <w:t>Une enquête sur la prévalence de la violence fondée sur le genre et de la violence familiale en Mongolie, menée en 2017 auprès de plus de 7</w:t>
      </w:r>
      <w:r w:rsidR="00BE2441" w:rsidRPr="00183F91">
        <w:rPr>
          <w:lang w:val="fr-FR"/>
        </w:rPr>
        <w:t> </w:t>
      </w:r>
      <w:r w:rsidRPr="00183F91">
        <w:rPr>
          <w:lang w:val="fr-FR"/>
        </w:rPr>
        <w:t>300 femmes, a permis de déterminer le niveau de violence que subissent les femmes aux mains de leurs proches et d</w:t>
      </w:r>
      <w:r w:rsidR="00442D55" w:rsidRPr="00183F91">
        <w:rPr>
          <w:lang w:val="fr-FR"/>
        </w:rPr>
        <w:t>’</w:t>
      </w:r>
      <w:r w:rsidRPr="00183F91">
        <w:rPr>
          <w:lang w:val="fr-FR"/>
        </w:rPr>
        <w:t>autres personnes. Au vu des résultats de l</w:t>
      </w:r>
      <w:r w:rsidR="00442D55" w:rsidRPr="00183F91">
        <w:rPr>
          <w:lang w:val="fr-FR"/>
        </w:rPr>
        <w:t>’</w:t>
      </w:r>
      <w:r w:rsidRPr="00183F91">
        <w:rPr>
          <w:lang w:val="fr-FR"/>
        </w:rPr>
        <w:t>enquête, des centres de services à guichet unique ont été créés à l</w:t>
      </w:r>
      <w:r w:rsidR="00442D55" w:rsidRPr="00183F91">
        <w:rPr>
          <w:lang w:val="fr-FR"/>
        </w:rPr>
        <w:t>’</w:t>
      </w:r>
      <w:r w:rsidRPr="00183F91">
        <w:rPr>
          <w:lang w:val="fr-FR"/>
        </w:rPr>
        <w:t>intention des victimes de violence familiale dans les aïmags de Bayan-Ölgii, Darkhan-Uul, Dornod, Övörkhangai, Ömnögovi, Khövsgöl et Khentii et dans les districts de Bayanzurkh et Khan-Uul, où la violence familiale est répandue et où les besoins en matière de protection des victimes sont élevés.</w:t>
      </w:r>
    </w:p>
    <w:p w14:paraId="5E00CF96" w14:textId="3CA6858B" w:rsidR="006E0934" w:rsidRPr="00183F91" w:rsidRDefault="006E0934" w:rsidP="00AA6B42">
      <w:pPr>
        <w:pStyle w:val="SingleTxt"/>
        <w:numPr>
          <w:ilvl w:val="0"/>
          <w:numId w:val="45"/>
        </w:numPr>
        <w:spacing w:line="240" w:lineRule="exact"/>
        <w:ind w:left="1267"/>
        <w:rPr>
          <w:lang w:val="fr-FR"/>
        </w:rPr>
      </w:pPr>
      <w:r w:rsidRPr="00183F91">
        <w:rPr>
          <w:lang w:val="fr-FR"/>
        </w:rPr>
        <w:t>La création de ces centres a mobilisé 623 millions de togrogs provenant des budgets locaux et 764,5 millions de togrogs provenant du projet du FNUAP sur la violence sexiste. En 2019, il existait 14 foyers temporaires et 15 centres de services à guichet unique pour les victimes de violence familiale dans le pays.</w:t>
      </w:r>
    </w:p>
    <w:p w14:paraId="5B5E07A7" w14:textId="4158698F" w:rsidR="00D04411" w:rsidRPr="00183F91" w:rsidRDefault="00D04411" w:rsidP="00D04411">
      <w:pPr>
        <w:pStyle w:val="SingleTxt"/>
        <w:spacing w:after="0" w:line="120" w:lineRule="exact"/>
        <w:rPr>
          <w:sz w:val="10"/>
          <w:lang w:val="fr-FR"/>
        </w:rPr>
      </w:pPr>
    </w:p>
    <w:p w14:paraId="6028A334" w14:textId="0640779E" w:rsidR="006E0934" w:rsidRPr="00183F91" w:rsidRDefault="00EA21A9" w:rsidP="00EA21A9">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83F91">
        <w:rPr>
          <w:lang w:val="fr-FR"/>
        </w:rPr>
        <w:tab/>
      </w:r>
      <w:r w:rsidRPr="00183F91">
        <w:rPr>
          <w:lang w:val="fr-FR"/>
        </w:rPr>
        <w:tab/>
      </w:r>
      <w:r w:rsidR="006E0934" w:rsidRPr="00183F91">
        <w:rPr>
          <w:lang w:val="fr-FR"/>
        </w:rPr>
        <w:t>Tableau 7.1</w:t>
      </w:r>
    </w:p>
    <w:p w14:paraId="1209E972" w14:textId="26689A32" w:rsidR="006E0934" w:rsidRPr="00183F91" w:rsidRDefault="00EA21A9" w:rsidP="00EA21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83F91">
        <w:rPr>
          <w:lang w:val="fr-FR"/>
        </w:rPr>
        <w:tab/>
      </w:r>
      <w:r w:rsidRPr="00183F91">
        <w:rPr>
          <w:lang w:val="fr-FR"/>
        </w:rPr>
        <w:tab/>
      </w:r>
      <w:r w:rsidR="006E0934" w:rsidRPr="00183F91">
        <w:rPr>
          <w:lang w:val="fr-FR"/>
        </w:rPr>
        <w:t xml:space="preserve">Nombre de foyers, de centres et de bénéficiaires (2016-2019) </w:t>
      </w:r>
    </w:p>
    <w:p w14:paraId="07966307" w14:textId="78772EC9" w:rsidR="006727E5" w:rsidRPr="00183F91" w:rsidRDefault="006727E5" w:rsidP="00D04411">
      <w:pPr>
        <w:pStyle w:val="SingleTxt"/>
        <w:spacing w:after="0" w:line="120" w:lineRule="exact"/>
        <w:rPr>
          <w:sz w:val="10"/>
          <w:lang w:val="fr-FR"/>
        </w:rPr>
      </w:pPr>
    </w:p>
    <w:p w14:paraId="0F4ABFF2" w14:textId="41B2622F" w:rsidR="00D04411" w:rsidRPr="00183F91" w:rsidRDefault="00D04411" w:rsidP="00D04411">
      <w:pPr>
        <w:pStyle w:val="SingleTxt"/>
        <w:spacing w:after="0" w:line="120" w:lineRule="exact"/>
        <w:rPr>
          <w:sz w:val="10"/>
          <w:lang w:val="fr-FR"/>
        </w:rPr>
      </w:pPr>
    </w:p>
    <w:tbl>
      <w:tblPr>
        <w:tblW w:w="0" w:type="auto"/>
        <w:tblInd w:w="1260" w:type="dxa"/>
        <w:tblLayout w:type="fixed"/>
        <w:tblCellMar>
          <w:left w:w="0" w:type="dxa"/>
          <w:right w:w="0" w:type="dxa"/>
        </w:tblCellMar>
        <w:tblLook w:val="0000" w:firstRow="0" w:lastRow="0" w:firstColumn="0" w:lastColumn="0" w:noHBand="0" w:noVBand="0"/>
      </w:tblPr>
      <w:tblGrid>
        <w:gridCol w:w="2736"/>
        <w:gridCol w:w="1146"/>
        <w:gridCol w:w="1146"/>
        <w:gridCol w:w="1146"/>
        <w:gridCol w:w="1146"/>
      </w:tblGrid>
      <w:tr w:rsidR="00B4234E" w:rsidRPr="00183F91" w14:paraId="3098F43C" w14:textId="77777777" w:rsidTr="00B4234E">
        <w:trPr>
          <w:tblHeader/>
        </w:trPr>
        <w:tc>
          <w:tcPr>
            <w:tcW w:w="2736" w:type="dxa"/>
            <w:tcBorders>
              <w:top w:val="single" w:sz="4" w:space="0" w:color="auto"/>
              <w:bottom w:val="single" w:sz="12" w:space="0" w:color="auto"/>
            </w:tcBorders>
            <w:shd w:val="clear" w:color="auto" w:fill="auto"/>
            <w:noWrap/>
            <w:tcMar>
              <w:top w:w="0" w:type="dxa"/>
              <w:left w:w="0" w:type="dxa"/>
              <w:bottom w:w="0" w:type="dxa"/>
              <w:right w:w="0" w:type="dxa"/>
            </w:tcMar>
            <w:vAlign w:val="bottom"/>
          </w:tcPr>
          <w:p w14:paraId="715E77CA" w14:textId="77777777" w:rsidR="006E0934" w:rsidRPr="00183F91" w:rsidRDefault="006E0934" w:rsidP="00B4234E">
            <w:pPr>
              <w:suppressAutoHyphens/>
              <w:spacing w:before="81" w:after="81" w:line="160" w:lineRule="exact"/>
              <w:ind w:right="40"/>
              <w:rPr>
                <w:i/>
                <w:sz w:val="14"/>
                <w:lang w:val="fr-FR"/>
              </w:rPr>
            </w:pPr>
            <w:r w:rsidRPr="00183F91">
              <w:rPr>
                <w:i/>
                <w:sz w:val="14"/>
                <w:lang w:val="fr-FR"/>
              </w:rPr>
              <w:t>Indicateurs</w:t>
            </w:r>
          </w:p>
        </w:tc>
        <w:tc>
          <w:tcPr>
            <w:tcW w:w="1146" w:type="dxa"/>
            <w:tcBorders>
              <w:top w:val="single" w:sz="4" w:space="0" w:color="auto"/>
              <w:bottom w:val="single" w:sz="12" w:space="0" w:color="auto"/>
            </w:tcBorders>
            <w:shd w:val="clear" w:color="auto" w:fill="auto"/>
            <w:noWrap/>
            <w:tcMar>
              <w:top w:w="0" w:type="dxa"/>
              <w:left w:w="0" w:type="dxa"/>
              <w:bottom w:w="0" w:type="dxa"/>
              <w:right w:w="0" w:type="dxa"/>
            </w:tcMar>
            <w:vAlign w:val="bottom"/>
          </w:tcPr>
          <w:p w14:paraId="50266E60" w14:textId="77777777" w:rsidR="006E0934" w:rsidRPr="00183F91" w:rsidRDefault="006E0934" w:rsidP="00B4234E">
            <w:pPr>
              <w:suppressAutoHyphens/>
              <w:spacing w:before="81" w:after="81" w:line="160" w:lineRule="exact"/>
              <w:ind w:right="43"/>
              <w:jc w:val="right"/>
              <w:rPr>
                <w:i/>
                <w:sz w:val="14"/>
                <w:lang w:val="fr-FR"/>
              </w:rPr>
            </w:pPr>
            <w:r w:rsidRPr="00183F91">
              <w:rPr>
                <w:i/>
                <w:sz w:val="14"/>
                <w:lang w:val="fr-FR"/>
              </w:rPr>
              <w:t xml:space="preserve">2016 </w:t>
            </w:r>
          </w:p>
        </w:tc>
        <w:tc>
          <w:tcPr>
            <w:tcW w:w="1146" w:type="dxa"/>
            <w:tcBorders>
              <w:top w:val="single" w:sz="4" w:space="0" w:color="auto"/>
              <w:bottom w:val="single" w:sz="12" w:space="0" w:color="auto"/>
            </w:tcBorders>
            <w:shd w:val="clear" w:color="auto" w:fill="auto"/>
            <w:noWrap/>
            <w:tcMar>
              <w:top w:w="0" w:type="dxa"/>
              <w:left w:w="0" w:type="dxa"/>
              <w:bottom w:w="0" w:type="dxa"/>
              <w:right w:w="0" w:type="dxa"/>
            </w:tcMar>
            <w:vAlign w:val="bottom"/>
          </w:tcPr>
          <w:p w14:paraId="6D654B96" w14:textId="77777777" w:rsidR="006E0934" w:rsidRPr="00183F91" w:rsidRDefault="006E0934" w:rsidP="00B4234E">
            <w:pPr>
              <w:suppressAutoHyphens/>
              <w:spacing w:before="81" w:after="81" w:line="160" w:lineRule="exact"/>
              <w:ind w:right="43"/>
              <w:jc w:val="right"/>
              <w:rPr>
                <w:i/>
                <w:sz w:val="14"/>
                <w:lang w:val="fr-FR"/>
              </w:rPr>
            </w:pPr>
            <w:r w:rsidRPr="00183F91">
              <w:rPr>
                <w:i/>
                <w:sz w:val="14"/>
                <w:lang w:val="fr-FR"/>
              </w:rPr>
              <w:t xml:space="preserve">2017 </w:t>
            </w:r>
          </w:p>
        </w:tc>
        <w:tc>
          <w:tcPr>
            <w:tcW w:w="1146" w:type="dxa"/>
            <w:tcBorders>
              <w:top w:val="single" w:sz="4" w:space="0" w:color="auto"/>
              <w:bottom w:val="single" w:sz="12" w:space="0" w:color="auto"/>
            </w:tcBorders>
            <w:shd w:val="clear" w:color="auto" w:fill="auto"/>
            <w:noWrap/>
            <w:tcMar>
              <w:top w:w="0" w:type="dxa"/>
              <w:left w:w="0" w:type="dxa"/>
              <w:bottom w:w="0" w:type="dxa"/>
              <w:right w:w="0" w:type="dxa"/>
            </w:tcMar>
            <w:vAlign w:val="bottom"/>
          </w:tcPr>
          <w:p w14:paraId="6211BD37" w14:textId="77777777" w:rsidR="006E0934" w:rsidRPr="00183F91" w:rsidRDefault="006E0934" w:rsidP="00B4234E">
            <w:pPr>
              <w:suppressAutoHyphens/>
              <w:spacing w:before="81" w:after="81" w:line="160" w:lineRule="exact"/>
              <w:ind w:right="43"/>
              <w:jc w:val="right"/>
              <w:rPr>
                <w:i/>
                <w:sz w:val="14"/>
                <w:lang w:val="fr-FR"/>
              </w:rPr>
            </w:pPr>
            <w:r w:rsidRPr="00183F91">
              <w:rPr>
                <w:i/>
                <w:sz w:val="14"/>
                <w:lang w:val="fr-FR"/>
              </w:rPr>
              <w:t>2018</w:t>
            </w:r>
          </w:p>
        </w:tc>
        <w:tc>
          <w:tcPr>
            <w:tcW w:w="1146" w:type="dxa"/>
            <w:tcBorders>
              <w:top w:val="single" w:sz="4" w:space="0" w:color="auto"/>
              <w:bottom w:val="single" w:sz="12" w:space="0" w:color="auto"/>
            </w:tcBorders>
            <w:shd w:val="clear" w:color="auto" w:fill="auto"/>
            <w:noWrap/>
            <w:tcMar>
              <w:top w:w="0" w:type="dxa"/>
              <w:left w:w="0" w:type="dxa"/>
              <w:bottom w:w="0" w:type="dxa"/>
              <w:right w:w="0" w:type="dxa"/>
            </w:tcMar>
            <w:vAlign w:val="bottom"/>
          </w:tcPr>
          <w:p w14:paraId="5D94CD68" w14:textId="77777777" w:rsidR="006E0934" w:rsidRPr="00183F91" w:rsidRDefault="006E0934" w:rsidP="00B4234E">
            <w:pPr>
              <w:suppressAutoHyphens/>
              <w:spacing w:before="81" w:after="81" w:line="160" w:lineRule="exact"/>
              <w:ind w:right="43"/>
              <w:jc w:val="right"/>
              <w:rPr>
                <w:i/>
                <w:sz w:val="14"/>
                <w:lang w:val="fr-FR"/>
              </w:rPr>
            </w:pPr>
            <w:r w:rsidRPr="00183F91">
              <w:rPr>
                <w:i/>
                <w:sz w:val="14"/>
                <w:lang w:val="fr-FR"/>
              </w:rPr>
              <w:t xml:space="preserve">2019 </w:t>
            </w:r>
          </w:p>
        </w:tc>
      </w:tr>
      <w:tr w:rsidR="00B4234E" w:rsidRPr="00183F91" w14:paraId="0D948AD3" w14:textId="77777777" w:rsidTr="00B4234E">
        <w:trPr>
          <w:trHeight w:hRule="exact" w:val="115"/>
          <w:tblHeader/>
        </w:trPr>
        <w:tc>
          <w:tcPr>
            <w:tcW w:w="2736" w:type="dxa"/>
            <w:tcBorders>
              <w:top w:val="single" w:sz="12" w:space="0" w:color="auto"/>
            </w:tcBorders>
            <w:shd w:val="clear" w:color="auto" w:fill="auto"/>
            <w:noWrap/>
            <w:tcMar>
              <w:top w:w="0" w:type="dxa"/>
              <w:left w:w="0" w:type="dxa"/>
              <w:bottom w:w="0" w:type="dxa"/>
              <w:right w:w="0" w:type="dxa"/>
            </w:tcMar>
            <w:vAlign w:val="bottom"/>
          </w:tcPr>
          <w:p w14:paraId="30FEC356" w14:textId="77777777" w:rsidR="00B4234E" w:rsidRPr="00183F91" w:rsidRDefault="00B4234E" w:rsidP="00B4234E">
            <w:pPr>
              <w:suppressAutoHyphens/>
              <w:spacing w:before="40" w:after="40" w:line="210" w:lineRule="exact"/>
              <w:ind w:right="40"/>
              <w:rPr>
                <w:sz w:val="17"/>
                <w:lang w:val="fr-FR"/>
              </w:rPr>
            </w:pPr>
          </w:p>
        </w:tc>
        <w:tc>
          <w:tcPr>
            <w:tcW w:w="1146" w:type="dxa"/>
            <w:tcBorders>
              <w:top w:val="single" w:sz="12" w:space="0" w:color="auto"/>
            </w:tcBorders>
            <w:shd w:val="clear" w:color="auto" w:fill="auto"/>
            <w:noWrap/>
            <w:tcMar>
              <w:top w:w="0" w:type="dxa"/>
              <w:left w:w="0" w:type="dxa"/>
              <w:bottom w:w="0" w:type="dxa"/>
              <w:right w:w="0" w:type="dxa"/>
            </w:tcMar>
            <w:vAlign w:val="bottom"/>
          </w:tcPr>
          <w:p w14:paraId="38989954" w14:textId="77777777" w:rsidR="00B4234E" w:rsidRPr="00183F91" w:rsidRDefault="00B4234E" w:rsidP="00B4234E">
            <w:pPr>
              <w:suppressAutoHyphens/>
              <w:spacing w:before="40" w:after="40" w:line="210" w:lineRule="exact"/>
              <w:ind w:right="43"/>
              <w:jc w:val="right"/>
              <w:rPr>
                <w:sz w:val="17"/>
                <w:lang w:val="fr-FR"/>
              </w:rPr>
            </w:pPr>
          </w:p>
        </w:tc>
        <w:tc>
          <w:tcPr>
            <w:tcW w:w="1146" w:type="dxa"/>
            <w:tcBorders>
              <w:top w:val="single" w:sz="12" w:space="0" w:color="auto"/>
            </w:tcBorders>
            <w:shd w:val="clear" w:color="auto" w:fill="auto"/>
            <w:noWrap/>
            <w:tcMar>
              <w:top w:w="0" w:type="dxa"/>
              <w:left w:w="0" w:type="dxa"/>
              <w:bottom w:w="0" w:type="dxa"/>
              <w:right w:w="0" w:type="dxa"/>
            </w:tcMar>
            <w:vAlign w:val="bottom"/>
          </w:tcPr>
          <w:p w14:paraId="513EF23F" w14:textId="77777777" w:rsidR="00B4234E" w:rsidRPr="00183F91" w:rsidRDefault="00B4234E" w:rsidP="00B4234E">
            <w:pPr>
              <w:suppressAutoHyphens/>
              <w:spacing w:before="40" w:after="40" w:line="210" w:lineRule="exact"/>
              <w:ind w:right="43"/>
              <w:jc w:val="right"/>
              <w:rPr>
                <w:sz w:val="17"/>
                <w:lang w:val="fr-FR"/>
              </w:rPr>
            </w:pPr>
          </w:p>
        </w:tc>
        <w:tc>
          <w:tcPr>
            <w:tcW w:w="1146" w:type="dxa"/>
            <w:tcBorders>
              <w:top w:val="single" w:sz="12" w:space="0" w:color="auto"/>
            </w:tcBorders>
            <w:shd w:val="clear" w:color="auto" w:fill="auto"/>
            <w:noWrap/>
            <w:tcMar>
              <w:top w:w="0" w:type="dxa"/>
              <w:left w:w="0" w:type="dxa"/>
              <w:bottom w:w="0" w:type="dxa"/>
              <w:right w:w="0" w:type="dxa"/>
            </w:tcMar>
            <w:vAlign w:val="bottom"/>
          </w:tcPr>
          <w:p w14:paraId="76E046B5" w14:textId="77777777" w:rsidR="00B4234E" w:rsidRPr="00183F91" w:rsidRDefault="00B4234E" w:rsidP="00B4234E">
            <w:pPr>
              <w:suppressAutoHyphens/>
              <w:spacing w:before="40" w:after="40" w:line="210" w:lineRule="exact"/>
              <w:ind w:right="43"/>
              <w:jc w:val="right"/>
              <w:rPr>
                <w:sz w:val="17"/>
                <w:lang w:val="fr-FR"/>
              </w:rPr>
            </w:pPr>
          </w:p>
        </w:tc>
        <w:tc>
          <w:tcPr>
            <w:tcW w:w="1146" w:type="dxa"/>
            <w:tcBorders>
              <w:top w:val="single" w:sz="12" w:space="0" w:color="auto"/>
            </w:tcBorders>
            <w:shd w:val="clear" w:color="auto" w:fill="auto"/>
            <w:noWrap/>
            <w:tcMar>
              <w:top w:w="0" w:type="dxa"/>
              <w:left w:w="0" w:type="dxa"/>
              <w:bottom w:w="0" w:type="dxa"/>
              <w:right w:w="0" w:type="dxa"/>
            </w:tcMar>
            <w:vAlign w:val="bottom"/>
          </w:tcPr>
          <w:p w14:paraId="15057635" w14:textId="77777777" w:rsidR="00B4234E" w:rsidRPr="00183F91" w:rsidRDefault="00B4234E" w:rsidP="00B4234E">
            <w:pPr>
              <w:suppressAutoHyphens/>
              <w:spacing w:before="40" w:after="40" w:line="210" w:lineRule="exact"/>
              <w:ind w:right="43"/>
              <w:jc w:val="right"/>
              <w:rPr>
                <w:sz w:val="17"/>
                <w:lang w:val="fr-FR"/>
              </w:rPr>
            </w:pPr>
          </w:p>
        </w:tc>
      </w:tr>
      <w:tr w:rsidR="00B4234E" w:rsidRPr="00183F91" w14:paraId="3BF40775" w14:textId="77777777" w:rsidTr="00B4234E">
        <w:tc>
          <w:tcPr>
            <w:tcW w:w="2736" w:type="dxa"/>
            <w:shd w:val="clear" w:color="auto" w:fill="auto"/>
            <w:noWrap/>
            <w:tcMar>
              <w:top w:w="0" w:type="dxa"/>
              <w:left w:w="0" w:type="dxa"/>
              <w:bottom w:w="0" w:type="dxa"/>
              <w:right w:w="0" w:type="dxa"/>
            </w:tcMar>
            <w:vAlign w:val="bottom"/>
          </w:tcPr>
          <w:p w14:paraId="76DE7963" w14:textId="77777777" w:rsidR="006E0934" w:rsidRPr="00183F91" w:rsidRDefault="006E0934" w:rsidP="00B4234E">
            <w:pPr>
              <w:tabs>
                <w:tab w:val="left" w:pos="288"/>
                <w:tab w:val="left" w:pos="576"/>
                <w:tab w:val="left" w:pos="864"/>
                <w:tab w:val="left" w:pos="1152"/>
              </w:tabs>
              <w:suppressAutoHyphens/>
              <w:spacing w:before="40" w:after="40" w:line="210" w:lineRule="exact"/>
              <w:ind w:right="40"/>
              <w:rPr>
                <w:sz w:val="17"/>
                <w:lang w:val="fr-FR"/>
              </w:rPr>
            </w:pPr>
            <w:r w:rsidRPr="00183F91">
              <w:rPr>
                <w:sz w:val="17"/>
                <w:lang w:val="fr-FR"/>
              </w:rPr>
              <w:t>Centres de services à guichet unique</w:t>
            </w:r>
          </w:p>
        </w:tc>
        <w:tc>
          <w:tcPr>
            <w:tcW w:w="1146" w:type="dxa"/>
            <w:shd w:val="clear" w:color="auto" w:fill="auto"/>
            <w:noWrap/>
            <w:tcMar>
              <w:top w:w="0" w:type="dxa"/>
              <w:left w:w="0" w:type="dxa"/>
              <w:bottom w:w="0" w:type="dxa"/>
              <w:right w:w="0" w:type="dxa"/>
            </w:tcMar>
            <w:vAlign w:val="bottom"/>
          </w:tcPr>
          <w:p w14:paraId="4FE3B1C4" w14:textId="77777777" w:rsidR="006E0934" w:rsidRPr="00183F91" w:rsidRDefault="006E0934" w:rsidP="00B4234E">
            <w:pPr>
              <w:tabs>
                <w:tab w:val="left" w:pos="288"/>
                <w:tab w:val="left" w:pos="576"/>
                <w:tab w:val="left" w:pos="864"/>
                <w:tab w:val="left" w:pos="1152"/>
              </w:tabs>
              <w:suppressAutoHyphens/>
              <w:spacing w:before="40" w:after="40" w:line="210" w:lineRule="exact"/>
              <w:ind w:right="43"/>
              <w:jc w:val="right"/>
              <w:rPr>
                <w:sz w:val="17"/>
                <w:lang w:val="fr-FR"/>
              </w:rPr>
            </w:pPr>
            <w:r w:rsidRPr="00183F91">
              <w:rPr>
                <w:sz w:val="17"/>
                <w:lang w:val="fr-FR"/>
              </w:rPr>
              <w:t>8</w:t>
            </w:r>
          </w:p>
        </w:tc>
        <w:tc>
          <w:tcPr>
            <w:tcW w:w="1146" w:type="dxa"/>
            <w:shd w:val="clear" w:color="auto" w:fill="auto"/>
            <w:noWrap/>
            <w:tcMar>
              <w:top w:w="0" w:type="dxa"/>
              <w:left w:w="0" w:type="dxa"/>
              <w:bottom w:w="0" w:type="dxa"/>
              <w:right w:w="0" w:type="dxa"/>
            </w:tcMar>
            <w:vAlign w:val="bottom"/>
          </w:tcPr>
          <w:p w14:paraId="6D278E22" w14:textId="77777777" w:rsidR="006E0934" w:rsidRPr="00183F91" w:rsidRDefault="006E0934" w:rsidP="00B4234E">
            <w:pPr>
              <w:tabs>
                <w:tab w:val="left" w:pos="288"/>
                <w:tab w:val="left" w:pos="576"/>
                <w:tab w:val="left" w:pos="864"/>
                <w:tab w:val="left" w:pos="1152"/>
              </w:tabs>
              <w:suppressAutoHyphens/>
              <w:spacing w:before="40" w:after="40" w:line="210" w:lineRule="exact"/>
              <w:ind w:right="43"/>
              <w:jc w:val="right"/>
              <w:rPr>
                <w:sz w:val="17"/>
                <w:lang w:val="fr-FR"/>
              </w:rPr>
            </w:pPr>
            <w:r w:rsidRPr="00183F91">
              <w:rPr>
                <w:sz w:val="17"/>
                <w:lang w:val="fr-FR"/>
              </w:rPr>
              <w:t>10</w:t>
            </w:r>
          </w:p>
        </w:tc>
        <w:tc>
          <w:tcPr>
            <w:tcW w:w="1146" w:type="dxa"/>
            <w:shd w:val="clear" w:color="auto" w:fill="auto"/>
            <w:noWrap/>
            <w:tcMar>
              <w:top w:w="0" w:type="dxa"/>
              <w:left w:w="0" w:type="dxa"/>
              <w:bottom w:w="0" w:type="dxa"/>
              <w:right w:w="0" w:type="dxa"/>
            </w:tcMar>
            <w:vAlign w:val="bottom"/>
          </w:tcPr>
          <w:p w14:paraId="218497B4" w14:textId="77777777" w:rsidR="006E0934" w:rsidRPr="00183F91" w:rsidRDefault="006E0934" w:rsidP="00B4234E">
            <w:pPr>
              <w:tabs>
                <w:tab w:val="left" w:pos="288"/>
                <w:tab w:val="left" w:pos="576"/>
                <w:tab w:val="left" w:pos="864"/>
                <w:tab w:val="left" w:pos="1152"/>
              </w:tabs>
              <w:suppressAutoHyphens/>
              <w:spacing w:before="40" w:after="40" w:line="210" w:lineRule="exact"/>
              <w:ind w:right="43"/>
              <w:jc w:val="right"/>
              <w:rPr>
                <w:sz w:val="17"/>
                <w:lang w:val="fr-FR"/>
              </w:rPr>
            </w:pPr>
            <w:r w:rsidRPr="00183F91">
              <w:rPr>
                <w:sz w:val="17"/>
                <w:lang w:val="fr-FR"/>
              </w:rPr>
              <w:t>11</w:t>
            </w:r>
          </w:p>
        </w:tc>
        <w:tc>
          <w:tcPr>
            <w:tcW w:w="1146" w:type="dxa"/>
            <w:shd w:val="clear" w:color="auto" w:fill="auto"/>
            <w:noWrap/>
            <w:tcMar>
              <w:top w:w="0" w:type="dxa"/>
              <w:left w:w="0" w:type="dxa"/>
              <w:bottom w:w="0" w:type="dxa"/>
              <w:right w:w="0" w:type="dxa"/>
            </w:tcMar>
            <w:vAlign w:val="bottom"/>
          </w:tcPr>
          <w:p w14:paraId="76BC96D9" w14:textId="77777777" w:rsidR="006E0934" w:rsidRPr="00183F91" w:rsidRDefault="006E0934" w:rsidP="00B4234E">
            <w:pPr>
              <w:tabs>
                <w:tab w:val="left" w:pos="288"/>
                <w:tab w:val="left" w:pos="576"/>
                <w:tab w:val="left" w:pos="864"/>
                <w:tab w:val="left" w:pos="1152"/>
              </w:tabs>
              <w:suppressAutoHyphens/>
              <w:spacing w:before="40" w:after="40" w:line="210" w:lineRule="exact"/>
              <w:ind w:right="43"/>
              <w:jc w:val="right"/>
              <w:rPr>
                <w:sz w:val="17"/>
                <w:lang w:val="fr-FR"/>
              </w:rPr>
            </w:pPr>
            <w:r w:rsidRPr="00183F91">
              <w:rPr>
                <w:sz w:val="17"/>
                <w:lang w:val="fr-FR"/>
              </w:rPr>
              <w:t>15</w:t>
            </w:r>
          </w:p>
        </w:tc>
      </w:tr>
      <w:tr w:rsidR="006E0934" w:rsidRPr="00183F91" w14:paraId="7760730C" w14:textId="77777777" w:rsidTr="00B4234E">
        <w:tc>
          <w:tcPr>
            <w:tcW w:w="2736" w:type="dxa"/>
            <w:shd w:val="clear" w:color="auto" w:fill="auto"/>
            <w:noWrap/>
            <w:tcMar>
              <w:top w:w="0" w:type="dxa"/>
              <w:left w:w="0" w:type="dxa"/>
              <w:bottom w:w="0" w:type="dxa"/>
              <w:right w:w="0" w:type="dxa"/>
            </w:tcMar>
            <w:vAlign w:val="bottom"/>
          </w:tcPr>
          <w:p w14:paraId="1BCEDA77" w14:textId="77777777" w:rsidR="006E0934" w:rsidRPr="00183F91" w:rsidRDefault="006E0934" w:rsidP="00B4234E">
            <w:pPr>
              <w:tabs>
                <w:tab w:val="left" w:pos="288"/>
                <w:tab w:val="left" w:pos="576"/>
                <w:tab w:val="left" w:pos="864"/>
                <w:tab w:val="left" w:pos="1152"/>
              </w:tabs>
              <w:suppressAutoHyphens/>
              <w:spacing w:before="40" w:after="40" w:line="210" w:lineRule="exact"/>
              <w:ind w:right="40"/>
              <w:rPr>
                <w:sz w:val="17"/>
                <w:lang w:val="fr-FR"/>
              </w:rPr>
            </w:pPr>
            <w:r w:rsidRPr="00183F91">
              <w:rPr>
                <w:sz w:val="17"/>
                <w:lang w:val="fr-FR"/>
              </w:rPr>
              <w:t>Foyers</w:t>
            </w:r>
          </w:p>
        </w:tc>
        <w:tc>
          <w:tcPr>
            <w:tcW w:w="1146" w:type="dxa"/>
            <w:shd w:val="clear" w:color="auto" w:fill="auto"/>
            <w:noWrap/>
            <w:tcMar>
              <w:top w:w="0" w:type="dxa"/>
              <w:left w:w="0" w:type="dxa"/>
              <w:bottom w:w="0" w:type="dxa"/>
              <w:right w:w="0" w:type="dxa"/>
            </w:tcMar>
            <w:vAlign w:val="bottom"/>
          </w:tcPr>
          <w:p w14:paraId="699FBB3A" w14:textId="77777777" w:rsidR="006E0934" w:rsidRPr="00183F91" w:rsidRDefault="006E0934" w:rsidP="00B4234E">
            <w:pPr>
              <w:tabs>
                <w:tab w:val="left" w:pos="288"/>
                <w:tab w:val="left" w:pos="576"/>
                <w:tab w:val="left" w:pos="864"/>
                <w:tab w:val="left" w:pos="1152"/>
              </w:tabs>
              <w:suppressAutoHyphens/>
              <w:spacing w:before="40" w:after="40" w:line="210" w:lineRule="exact"/>
              <w:ind w:right="43"/>
              <w:jc w:val="right"/>
              <w:rPr>
                <w:sz w:val="17"/>
                <w:lang w:val="fr-FR"/>
              </w:rPr>
            </w:pPr>
            <w:r w:rsidRPr="00183F91">
              <w:rPr>
                <w:sz w:val="17"/>
                <w:lang w:val="fr-FR"/>
              </w:rPr>
              <w:t>3</w:t>
            </w:r>
          </w:p>
        </w:tc>
        <w:tc>
          <w:tcPr>
            <w:tcW w:w="1146" w:type="dxa"/>
            <w:shd w:val="clear" w:color="auto" w:fill="auto"/>
            <w:noWrap/>
            <w:tcMar>
              <w:top w:w="0" w:type="dxa"/>
              <w:left w:w="0" w:type="dxa"/>
              <w:bottom w:w="0" w:type="dxa"/>
              <w:right w:w="0" w:type="dxa"/>
            </w:tcMar>
            <w:vAlign w:val="bottom"/>
          </w:tcPr>
          <w:p w14:paraId="2FDEA286" w14:textId="77777777" w:rsidR="006E0934" w:rsidRPr="00183F91" w:rsidRDefault="006E0934" w:rsidP="00B4234E">
            <w:pPr>
              <w:tabs>
                <w:tab w:val="left" w:pos="288"/>
                <w:tab w:val="left" w:pos="576"/>
                <w:tab w:val="left" w:pos="864"/>
                <w:tab w:val="left" w:pos="1152"/>
              </w:tabs>
              <w:suppressAutoHyphens/>
              <w:spacing w:before="40" w:after="40" w:line="210" w:lineRule="exact"/>
              <w:ind w:right="43"/>
              <w:jc w:val="right"/>
              <w:rPr>
                <w:sz w:val="17"/>
                <w:lang w:val="fr-FR"/>
              </w:rPr>
            </w:pPr>
            <w:r w:rsidRPr="00183F91">
              <w:rPr>
                <w:sz w:val="17"/>
                <w:lang w:val="fr-FR"/>
              </w:rPr>
              <w:t>6</w:t>
            </w:r>
          </w:p>
        </w:tc>
        <w:tc>
          <w:tcPr>
            <w:tcW w:w="1146" w:type="dxa"/>
            <w:shd w:val="clear" w:color="auto" w:fill="auto"/>
            <w:noWrap/>
            <w:tcMar>
              <w:top w:w="0" w:type="dxa"/>
              <w:left w:w="0" w:type="dxa"/>
              <w:bottom w:w="0" w:type="dxa"/>
              <w:right w:w="0" w:type="dxa"/>
            </w:tcMar>
            <w:vAlign w:val="bottom"/>
          </w:tcPr>
          <w:p w14:paraId="0B0DAB3A" w14:textId="77777777" w:rsidR="006E0934" w:rsidRPr="00183F91" w:rsidRDefault="006E0934" w:rsidP="00B4234E">
            <w:pPr>
              <w:tabs>
                <w:tab w:val="left" w:pos="288"/>
                <w:tab w:val="left" w:pos="576"/>
                <w:tab w:val="left" w:pos="864"/>
                <w:tab w:val="left" w:pos="1152"/>
              </w:tabs>
              <w:suppressAutoHyphens/>
              <w:spacing w:before="40" w:after="40" w:line="210" w:lineRule="exact"/>
              <w:ind w:right="43"/>
              <w:jc w:val="right"/>
              <w:rPr>
                <w:sz w:val="17"/>
                <w:lang w:val="fr-FR"/>
              </w:rPr>
            </w:pPr>
            <w:r w:rsidRPr="00183F91">
              <w:rPr>
                <w:sz w:val="17"/>
                <w:lang w:val="fr-FR"/>
              </w:rPr>
              <w:t>9</w:t>
            </w:r>
          </w:p>
        </w:tc>
        <w:tc>
          <w:tcPr>
            <w:tcW w:w="1146" w:type="dxa"/>
            <w:shd w:val="clear" w:color="auto" w:fill="auto"/>
            <w:noWrap/>
            <w:tcMar>
              <w:top w:w="0" w:type="dxa"/>
              <w:left w:w="0" w:type="dxa"/>
              <w:bottom w:w="0" w:type="dxa"/>
              <w:right w:w="0" w:type="dxa"/>
            </w:tcMar>
            <w:vAlign w:val="bottom"/>
          </w:tcPr>
          <w:p w14:paraId="266E7A8E" w14:textId="77777777" w:rsidR="006E0934" w:rsidRPr="00183F91" w:rsidRDefault="006E0934" w:rsidP="00B4234E">
            <w:pPr>
              <w:tabs>
                <w:tab w:val="left" w:pos="288"/>
                <w:tab w:val="left" w:pos="576"/>
                <w:tab w:val="left" w:pos="864"/>
                <w:tab w:val="left" w:pos="1152"/>
              </w:tabs>
              <w:suppressAutoHyphens/>
              <w:spacing w:before="40" w:after="40" w:line="210" w:lineRule="exact"/>
              <w:ind w:right="43"/>
              <w:jc w:val="right"/>
              <w:rPr>
                <w:sz w:val="17"/>
                <w:lang w:val="fr-FR"/>
              </w:rPr>
            </w:pPr>
            <w:r w:rsidRPr="00183F91">
              <w:rPr>
                <w:sz w:val="17"/>
                <w:lang w:val="fr-FR"/>
              </w:rPr>
              <w:t>14</w:t>
            </w:r>
          </w:p>
        </w:tc>
      </w:tr>
      <w:tr w:rsidR="00B4234E" w:rsidRPr="00183F91" w14:paraId="24E0F47D" w14:textId="77777777" w:rsidTr="00B4234E">
        <w:tc>
          <w:tcPr>
            <w:tcW w:w="2736" w:type="dxa"/>
            <w:tcBorders>
              <w:bottom w:val="single" w:sz="12" w:space="0" w:color="auto"/>
            </w:tcBorders>
            <w:shd w:val="clear" w:color="auto" w:fill="auto"/>
            <w:noWrap/>
            <w:tcMar>
              <w:top w:w="0" w:type="dxa"/>
              <w:left w:w="0" w:type="dxa"/>
              <w:bottom w:w="0" w:type="dxa"/>
              <w:right w:w="0" w:type="dxa"/>
            </w:tcMar>
            <w:vAlign w:val="bottom"/>
          </w:tcPr>
          <w:p w14:paraId="4A2A8EEA" w14:textId="77777777" w:rsidR="006E0934" w:rsidRPr="00183F91" w:rsidRDefault="006E0934" w:rsidP="00B4234E">
            <w:pPr>
              <w:tabs>
                <w:tab w:val="left" w:pos="288"/>
                <w:tab w:val="left" w:pos="576"/>
                <w:tab w:val="left" w:pos="864"/>
                <w:tab w:val="left" w:pos="1152"/>
              </w:tabs>
              <w:suppressAutoHyphens/>
              <w:spacing w:before="40" w:after="40" w:line="210" w:lineRule="exact"/>
              <w:ind w:right="40"/>
              <w:rPr>
                <w:sz w:val="17"/>
                <w:lang w:val="fr-FR"/>
              </w:rPr>
            </w:pPr>
            <w:r w:rsidRPr="00183F91">
              <w:rPr>
                <w:sz w:val="17"/>
                <w:lang w:val="fr-FR"/>
              </w:rPr>
              <w:t>Bénéficiaires</w:t>
            </w:r>
          </w:p>
        </w:tc>
        <w:tc>
          <w:tcPr>
            <w:tcW w:w="1146" w:type="dxa"/>
            <w:tcBorders>
              <w:bottom w:val="single" w:sz="12" w:space="0" w:color="auto"/>
            </w:tcBorders>
            <w:shd w:val="clear" w:color="auto" w:fill="auto"/>
            <w:noWrap/>
            <w:tcMar>
              <w:top w:w="0" w:type="dxa"/>
              <w:left w:w="0" w:type="dxa"/>
              <w:bottom w:w="0" w:type="dxa"/>
              <w:right w:w="0" w:type="dxa"/>
            </w:tcMar>
            <w:vAlign w:val="bottom"/>
          </w:tcPr>
          <w:p w14:paraId="5DB99513" w14:textId="7D6F85EC" w:rsidR="006E0934" w:rsidRPr="00183F91" w:rsidRDefault="006E0934" w:rsidP="00B4234E">
            <w:pPr>
              <w:tabs>
                <w:tab w:val="left" w:pos="288"/>
                <w:tab w:val="left" w:pos="576"/>
                <w:tab w:val="left" w:pos="864"/>
                <w:tab w:val="left" w:pos="1152"/>
              </w:tabs>
              <w:suppressAutoHyphens/>
              <w:spacing w:before="40" w:after="40" w:line="210" w:lineRule="exact"/>
              <w:ind w:right="43"/>
              <w:jc w:val="right"/>
              <w:rPr>
                <w:sz w:val="17"/>
                <w:lang w:val="fr-FR"/>
              </w:rPr>
            </w:pPr>
            <w:r w:rsidRPr="00183F91">
              <w:rPr>
                <w:sz w:val="17"/>
                <w:lang w:val="fr-FR"/>
              </w:rPr>
              <w:t>1</w:t>
            </w:r>
            <w:r w:rsidR="003F7DB6" w:rsidRPr="00183F91">
              <w:rPr>
                <w:color w:val="FF0000"/>
                <w:sz w:val="17"/>
                <w:lang w:val="fr-FR"/>
              </w:rPr>
              <w:t xml:space="preserve"> </w:t>
            </w:r>
            <w:r w:rsidRPr="00183F91">
              <w:rPr>
                <w:sz w:val="17"/>
                <w:lang w:val="fr-FR"/>
              </w:rPr>
              <w:t>474</w:t>
            </w:r>
          </w:p>
        </w:tc>
        <w:tc>
          <w:tcPr>
            <w:tcW w:w="1146" w:type="dxa"/>
            <w:tcBorders>
              <w:bottom w:val="single" w:sz="12" w:space="0" w:color="auto"/>
            </w:tcBorders>
            <w:shd w:val="clear" w:color="auto" w:fill="auto"/>
            <w:noWrap/>
            <w:tcMar>
              <w:top w:w="0" w:type="dxa"/>
              <w:left w:w="0" w:type="dxa"/>
              <w:bottom w:w="0" w:type="dxa"/>
              <w:right w:w="0" w:type="dxa"/>
            </w:tcMar>
            <w:vAlign w:val="bottom"/>
          </w:tcPr>
          <w:p w14:paraId="3398F396" w14:textId="6611A5B7" w:rsidR="006E0934" w:rsidRPr="00183F91" w:rsidRDefault="006E0934" w:rsidP="00B4234E">
            <w:pPr>
              <w:tabs>
                <w:tab w:val="left" w:pos="288"/>
                <w:tab w:val="left" w:pos="576"/>
                <w:tab w:val="left" w:pos="864"/>
                <w:tab w:val="left" w:pos="1152"/>
              </w:tabs>
              <w:suppressAutoHyphens/>
              <w:spacing w:before="40" w:after="40" w:line="210" w:lineRule="exact"/>
              <w:ind w:right="43"/>
              <w:jc w:val="right"/>
              <w:rPr>
                <w:sz w:val="17"/>
                <w:lang w:val="fr-FR"/>
              </w:rPr>
            </w:pPr>
            <w:r w:rsidRPr="00183F91">
              <w:rPr>
                <w:sz w:val="17"/>
                <w:lang w:val="fr-FR"/>
              </w:rPr>
              <w:t>1</w:t>
            </w:r>
            <w:r w:rsidR="003F7DB6" w:rsidRPr="00183F91">
              <w:rPr>
                <w:color w:val="FF0000"/>
                <w:sz w:val="17"/>
                <w:lang w:val="fr-FR"/>
              </w:rPr>
              <w:t xml:space="preserve"> </w:t>
            </w:r>
            <w:r w:rsidRPr="00183F91">
              <w:rPr>
                <w:sz w:val="17"/>
                <w:lang w:val="fr-FR"/>
              </w:rPr>
              <w:t>488</w:t>
            </w:r>
          </w:p>
        </w:tc>
        <w:tc>
          <w:tcPr>
            <w:tcW w:w="1146" w:type="dxa"/>
            <w:tcBorders>
              <w:bottom w:val="single" w:sz="12" w:space="0" w:color="auto"/>
            </w:tcBorders>
            <w:shd w:val="clear" w:color="auto" w:fill="auto"/>
            <w:noWrap/>
            <w:tcMar>
              <w:top w:w="0" w:type="dxa"/>
              <w:left w:w="0" w:type="dxa"/>
              <w:bottom w:w="0" w:type="dxa"/>
              <w:right w:w="0" w:type="dxa"/>
            </w:tcMar>
            <w:vAlign w:val="bottom"/>
          </w:tcPr>
          <w:p w14:paraId="0DC59ABC" w14:textId="3A71B2AF" w:rsidR="006E0934" w:rsidRPr="00183F91" w:rsidRDefault="006E0934" w:rsidP="00B4234E">
            <w:pPr>
              <w:tabs>
                <w:tab w:val="left" w:pos="288"/>
                <w:tab w:val="left" w:pos="576"/>
                <w:tab w:val="left" w:pos="864"/>
                <w:tab w:val="left" w:pos="1152"/>
              </w:tabs>
              <w:suppressAutoHyphens/>
              <w:spacing w:before="40" w:after="40" w:line="210" w:lineRule="exact"/>
              <w:ind w:right="43"/>
              <w:jc w:val="right"/>
              <w:rPr>
                <w:sz w:val="17"/>
                <w:lang w:val="fr-FR"/>
              </w:rPr>
            </w:pPr>
            <w:r w:rsidRPr="00183F91">
              <w:rPr>
                <w:sz w:val="17"/>
                <w:lang w:val="fr-FR"/>
              </w:rPr>
              <w:t>1</w:t>
            </w:r>
            <w:r w:rsidR="003F7DB6" w:rsidRPr="00183F91">
              <w:rPr>
                <w:color w:val="FF0000"/>
                <w:sz w:val="17"/>
                <w:lang w:val="fr-FR"/>
              </w:rPr>
              <w:t xml:space="preserve"> </w:t>
            </w:r>
            <w:r w:rsidRPr="00183F91">
              <w:rPr>
                <w:sz w:val="17"/>
                <w:lang w:val="fr-FR"/>
              </w:rPr>
              <w:t>866</w:t>
            </w:r>
          </w:p>
        </w:tc>
        <w:tc>
          <w:tcPr>
            <w:tcW w:w="1146" w:type="dxa"/>
            <w:tcBorders>
              <w:bottom w:val="single" w:sz="12" w:space="0" w:color="auto"/>
            </w:tcBorders>
            <w:shd w:val="clear" w:color="auto" w:fill="auto"/>
            <w:noWrap/>
            <w:tcMar>
              <w:top w:w="0" w:type="dxa"/>
              <w:left w:w="0" w:type="dxa"/>
              <w:bottom w:w="0" w:type="dxa"/>
              <w:right w:w="0" w:type="dxa"/>
            </w:tcMar>
            <w:vAlign w:val="bottom"/>
          </w:tcPr>
          <w:p w14:paraId="70CDDE95" w14:textId="36E0B878" w:rsidR="006E0934" w:rsidRPr="00183F91" w:rsidRDefault="006E0934" w:rsidP="00B4234E">
            <w:pPr>
              <w:tabs>
                <w:tab w:val="left" w:pos="288"/>
                <w:tab w:val="left" w:pos="576"/>
                <w:tab w:val="left" w:pos="864"/>
                <w:tab w:val="left" w:pos="1152"/>
              </w:tabs>
              <w:suppressAutoHyphens/>
              <w:spacing w:before="40" w:after="40" w:line="210" w:lineRule="exact"/>
              <w:ind w:right="43"/>
              <w:jc w:val="right"/>
              <w:rPr>
                <w:sz w:val="17"/>
                <w:lang w:val="fr-FR"/>
              </w:rPr>
            </w:pPr>
            <w:r w:rsidRPr="00183F91">
              <w:rPr>
                <w:sz w:val="17"/>
                <w:lang w:val="fr-FR"/>
              </w:rPr>
              <w:t>2</w:t>
            </w:r>
            <w:r w:rsidR="003F7DB6" w:rsidRPr="00183F91">
              <w:rPr>
                <w:color w:val="FF0000"/>
                <w:sz w:val="17"/>
                <w:lang w:val="fr-FR"/>
              </w:rPr>
              <w:t xml:space="preserve"> </w:t>
            </w:r>
            <w:r w:rsidRPr="00183F91">
              <w:rPr>
                <w:sz w:val="17"/>
                <w:lang w:val="fr-FR"/>
              </w:rPr>
              <w:t>537</w:t>
            </w:r>
          </w:p>
        </w:tc>
      </w:tr>
    </w:tbl>
    <w:p w14:paraId="18F7B16E" w14:textId="48D05E05" w:rsidR="006E0934" w:rsidRPr="00183F91" w:rsidRDefault="006E0934" w:rsidP="00D04411">
      <w:pPr>
        <w:pStyle w:val="SingleTxt"/>
        <w:spacing w:after="0" w:line="120" w:lineRule="exact"/>
        <w:rPr>
          <w:sz w:val="10"/>
          <w:lang w:val="fr-FR"/>
        </w:rPr>
      </w:pPr>
    </w:p>
    <w:p w14:paraId="4AB54ED4" w14:textId="6A198E37" w:rsidR="006E0934" w:rsidRPr="00183F91" w:rsidRDefault="006E0934" w:rsidP="00B4234E">
      <w:pPr>
        <w:pStyle w:val="FootnoteText"/>
        <w:tabs>
          <w:tab w:val="right" w:pos="1476"/>
          <w:tab w:val="left" w:pos="1548"/>
          <w:tab w:val="right" w:pos="1836"/>
          <w:tab w:val="left" w:pos="1908"/>
        </w:tabs>
        <w:ind w:left="1548" w:right="1267" w:hanging="288"/>
        <w:rPr>
          <w:lang w:val="fr-FR"/>
        </w:rPr>
      </w:pPr>
      <w:r w:rsidRPr="00183F91">
        <w:rPr>
          <w:i/>
          <w:iCs/>
          <w:lang w:val="fr-FR"/>
        </w:rPr>
        <w:t>Source</w:t>
      </w:r>
      <w:r w:rsidR="00442D55" w:rsidRPr="00183F91">
        <w:rPr>
          <w:i/>
          <w:iCs/>
          <w:lang w:val="fr-FR"/>
        </w:rPr>
        <w:t> </w:t>
      </w:r>
      <w:r w:rsidR="00442D55" w:rsidRPr="00183F91">
        <w:rPr>
          <w:lang w:val="fr-FR"/>
        </w:rPr>
        <w:t>:</w:t>
      </w:r>
      <w:r w:rsidRPr="00183F91">
        <w:rPr>
          <w:lang w:val="fr-FR"/>
        </w:rPr>
        <w:t xml:space="preserve"> Ministère de la justice et des affaires intérieures (2020).</w:t>
      </w:r>
    </w:p>
    <w:p w14:paraId="55A4ABBE" w14:textId="295D7C47" w:rsidR="00D04411" w:rsidRPr="00183F91" w:rsidRDefault="00D04411" w:rsidP="00D04411">
      <w:pPr>
        <w:pStyle w:val="SingleTxt"/>
        <w:spacing w:after="0" w:line="120" w:lineRule="exact"/>
        <w:rPr>
          <w:sz w:val="10"/>
          <w:lang w:val="fr-FR"/>
        </w:rPr>
      </w:pPr>
    </w:p>
    <w:p w14:paraId="02758AFC" w14:textId="21981C5C" w:rsidR="00D04411" w:rsidRPr="00183F91" w:rsidRDefault="00D04411" w:rsidP="001B0EC2">
      <w:pPr>
        <w:pStyle w:val="SingleTxt"/>
        <w:spacing w:after="0" w:line="120" w:lineRule="exact"/>
        <w:rPr>
          <w:sz w:val="10"/>
          <w:lang w:val="fr-FR"/>
        </w:rPr>
      </w:pPr>
    </w:p>
    <w:p w14:paraId="6384ACF1" w14:textId="77777777" w:rsidR="00B33704" w:rsidRPr="00183F91" w:rsidRDefault="00B33704" w:rsidP="00D04411">
      <w:pPr>
        <w:pStyle w:val="SingleTxt"/>
        <w:spacing w:after="0" w:line="120" w:lineRule="exact"/>
        <w:rPr>
          <w:sz w:val="10"/>
          <w:lang w:val="fr-FR"/>
        </w:rPr>
      </w:pPr>
    </w:p>
    <w:p w14:paraId="289E0258" w14:textId="34C0D973" w:rsidR="006E0934" w:rsidRPr="00183F91" w:rsidRDefault="006E0934" w:rsidP="00D044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83F91">
        <w:rPr>
          <w:lang w:val="fr-FR"/>
        </w:rPr>
        <w:tab/>
      </w:r>
      <w:r w:rsidRPr="00183F91">
        <w:rPr>
          <w:lang w:val="fr-FR"/>
        </w:rPr>
        <w:tab/>
        <w:t>Partenariat avec des organisations non gouvernementales fournissant des</w:t>
      </w:r>
      <w:r w:rsidR="00D04411" w:rsidRPr="00183F91">
        <w:rPr>
          <w:lang w:val="fr-FR"/>
        </w:rPr>
        <w:t> </w:t>
      </w:r>
      <w:r w:rsidRPr="00183F91">
        <w:rPr>
          <w:lang w:val="fr-FR"/>
        </w:rPr>
        <w:t>services d</w:t>
      </w:r>
      <w:r w:rsidR="00442D55" w:rsidRPr="00183F91">
        <w:rPr>
          <w:lang w:val="fr-FR"/>
        </w:rPr>
        <w:t>’</w:t>
      </w:r>
      <w:r w:rsidRPr="00183F91">
        <w:rPr>
          <w:lang w:val="fr-FR"/>
        </w:rPr>
        <w:t>hébergement et de réinsertion sociale</w:t>
      </w:r>
      <w:r w:rsidR="00442D55" w:rsidRPr="00183F91">
        <w:rPr>
          <w:lang w:val="fr-FR"/>
        </w:rPr>
        <w:t> :</w:t>
      </w:r>
      <w:r w:rsidRPr="00183F91">
        <w:rPr>
          <w:lang w:val="fr-FR"/>
        </w:rPr>
        <w:t xml:space="preserve"> procédure d</w:t>
      </w:r>
      <w:r w:rsidR="00442D55" w:rsidRPr="00183F91">
        <w:rPr>
          <w:lang w:val="fr-FR"/>
        </w:rPr>
        <w:t>’</w:t>
      </w:r>
      <w:r w:rsidRPr="00183F91">
        <w:rPr>
          <w:lang w:val="fr-FR"/>
        </w:rPr>
        <w:t>accréditation des organisations non gouvernementales offrant des services aux victimes (2017)</w:t>
      </w:r>
    </w:p>
    <w:p w14:paraId="1CAB76E6" w14:textId="78FD08BA" w:rsidR="00D04411" w:rsidRPr="00183F91" w:rsidRDefault="00D04411" w:rsidP="00D04411">
      <w:pPr>
        <w:pStyle w:val="SingleTxt"/>
        <w:spacing w:after="0" w:line="120" w:lineRule="exact"/>
        <w:rPr>
          <w:sz w:val="10"/>
          <w:lang w:val="fr-FR"/>
        </w:rPr>
      </w:pPr>
    </w:p>
    <w:p w14:paraId="50CCAFF3" w14:textId="207D7C73" w:rsidR="006E0934" w:rsidRPr="00183F91" w:rsidRDefault="006E0934" w:rsidP="00AA6B42">
      <w:pPr>
        <w:pStyle w:val="SingleTxt"/>
        <w:numPr>
          <w:ilvl w:val="0"/>
          <w:numId w:val="45"/>
        </w:numPr>
        <w:spacing w:line="240" w:lineRule="exact"/>
        <w:ind w:left="1267"/>
        <w:rPr>
          <w:lang w:val="fr-FR"/>
        </w:rPr>
      </w:pPr>
      <w:r w:rsidRPr="00183F91">
        <w:rPr>
          <w:lang w:val="fr-FR"/>
        </w:rPr>
        <w:t>Compte tenu de la volonté d</w:t>
      </w:r>
      <w:r w:rsidR="00442D55" w:rsidRPr="00183F91">
        <w:rPr>
          <w:lang w:val="fr-FR"/>
        </w:rPr>
        <w:t>’</w:t>
      </w:r>
      <w:r w:rsidRPr="00183F91">
        <w:rPr>
          <w:lang w:val="fr-FR"/>
        </w:rPr>
        <w:t>assurer et de promouvoir la participation des organisations non gouvernementales à l</w:t>
      </w:r>
      <w:r w:rsidR="00442D55" w:rsidRPr="00183F91">
        <w:rPr>
          <w:lang w:val="fr-FR"/>
        </w:rPr>
        <w:t>’</w:t>
      </w:r>
      <w:r w:rsidRPr="00183F91">
        <w:rPr>
          <w:lang w:val="fr-FR"/>
        </w:rPr>
        <w:t xml:space="preserve">application de la loi </w:t>
      </w:r>
      <w:r w:rsidRPr="00183F91">
        <w:rPr>
          <w:bCs/>
          <w:lang w:val="fr-FR"/>
        </w:rPr>
        <w:t>sur la lutte contre la violence familiale</w:t>
      </w:r>
      <w:r w:rsidRPr="00183F91">
        <w:rPr>
          <w:lang w:val="fr-FR"/>
        </w:rPr>
        <w:t xml:space="preserve"> et à l</w:t>
      </w:r>
      <w:r w:rsidR="00442D55" w:rsidRPr="00183F91">
        <w:rPr>
          <w:lang w:val="fr-FR"/>
        </w:rPr>
        <w:t>’</w:t>
      </w:r>
      <w:r w:rsidRPr="00183F91">
        <w:rPr>
          <w:lang w:val="fr-FR"/>
        </w:rPr>
        <w:t>intensification des mesures prises à cet effet, les centres de services à guichet unique des aïmags de Bayankhongor et de Zavkhan et du district de Bayanzurkh de la capitale sont gérés par des organisations non gouvernementales avec lesquelles des contrats ont été conclus. Une formation sur le rôle et l</w:t>
      </w:r>
      <w:r w:rsidR="00442D55" w:rsidRPr="00183F91">
        <w:rPr>
          <w:lang w:val="fr-FR"/>
        </w:rPr>
        <w:t>’</w:t>
      </w:r>
      <w:r w:rsidRPr="00183F91">
        <w:rPr>
          <w:lang w:val="fr-FR"/>
        </w:rPr>
        <w:t>action des gouverneurs et des chefs d</w:t>
      </w:r>
      <w:r w:rsidR="00442D55" w:rsidRPr="00183F91">
        <w:rPr>
          <w:lang w:val="fr-FR"/>
        </w:rPr>
        <w:t>’</w:t>
      </w:r>
      <w:r w:rsidRPr="00183F91">
        <w:rPr>
          <w:lang w:val="fr-FR"/>
        </w:rPr>
        <w:t>unités au niveau des soums et des districts dans la lutte contre la violence familiale, organisée à l</w:t>
      </w:r>
      <w:r w:rsidR="00442D55" w:rsidRPr="00183F91">
        <w:rPr>
          <w:lang w:val="fr-FR"/>
        </w:rPr>
        <w:t>’</w:t>
      </w:r>
      <w:r w:rsidRPr="00183F91">
        <w:rPr>
          <w:lang w:val="fr-FR"/>
        </w:rPr>
        <w:t>échelle nationale, a été suivie par des chefs de khoroos et des policiers issus de 3</w:t>
      </w:r>
      <w:r w:rsidR="00BE2441" w:rsidRPr="00183F91">
        <w:rPr>
          <w:lang w:val="fr-FR"/>
        </w:rPr>
        <w:t> </w:t>
      </w:r>
      <w:r w:rsidRPr="00183F91">
        <w:rPr>
          <w:lang w:val="fr-FR"/>
        </w:rPr>
        <w:t>599 soums et districts.</w:t>
      </w:r>
    </w:p>
    <w:p w14:paraId="5786F024" w14:textId="69E9D94E" w:rsidR="006E0934" w:rsidRPr="00183F91" w:rsidRDefault="006E0934" w:rsidP="00AA6B42">
      <w:pPr>
        <w:pStyle w:val="SingleTxt"/>
        <w:numPr>
          <w:ilvl w:val="0"/>
          <w:numId w:val="45"/>
        </w:numPr>
        <w:spacing w:line="240" w:lineRule="exact"/>
        <w:ind w:left="1267"/>
        <w:rPr>
          <w:lang w:val="fr-FR"/>
        </w:rPr>
      </w:pPr>
      <w:r w:rsidRPr="00183F91">
        <w:rPr>
          <w:lang w:val="fr-FR"/>
        </w:rPr>
        <w:t>Afin de renforcer les capacités des membres des équipes multidisciplinaires, notamment les médecins de famille, les agents de la police locale et les travailleurs sociaux, y compris en milieu scolaire, qui relèvent des gouverneurs des soums et des districts et dont les obligations sont énoncées à l</w:t>
      </w:r>
      <w:r w:rsidR="00442D55" w:rsidRPr="00183F91">
        <w:rPr>
          <w:lang w:val="fr-FR"/>
        </w:rPr>
        <w:t>’</w:t>
      </w:r>
      <w:r w:rsidRPr="00183F91">
        <w:rPr>
          <w:lang w:val="fr-FR"/>
        </w:rPr>
        <w:t xml:space="preserve">article 20 de la loi </w:t>
      </w:r>
      <w:r w:rsidRPr="00183F91">
        <w:rPr>
          <w:bCs/>
          <w:lang w:val="fr-FR"/>
        </w:rPr>
        <w:t>sur la lutte contre la violence familiale</w:t>
      </w:r>
      <w:r w:rsidRPr="00183F91">
        <w:rPr>
          <w:lang w:val="fr-FR"/>
        </w:rPr>
        <w:t>, une formation des formateurs nationaux des équipes multidisciplinaires a été organisée en 2017 et 2019. Les formateurs nationaux ont dispensé des formations de renforcement des capacités à l</w:t>
      </w:r>
      <w:r w:rsidR="00442D55" w:rsidRPr="00183F91">
        <w:rPr>
          <w:lang w:val="fr-FR"/>
        </w:rPr>
        <w:t>’</w:t>
      </w:r>
      <w:r w:rsidRPr="00183F91">
        <w:rPr>
          <w:lang w:val="fr-FR"/>
        </w:rPr>
        <w:t>ensemble des membres des équipes de 21 aïmags et de 9 districts (soit 609 équipes multidisciplinaires comptant 4</w:t>
      </w:r>
      <w:r w:rsidR="00BE2441" w:rsidRPr="00183F91">
        <w:rPr>
          <w:lang w:val="fr-FR"/>
        </w:rPr>
        <w:t> </w:t>
      </w:r>
      <w:r w:rsidRPr="00183F91">
        <w:rPr>
          <w:lang w:val="fr-FR"/>
        </w:rPr>
        <w:t>634 membres au total en 2017 et 676 équipes comptant 4</w:t>
      </w:r>
      <w:r w:rsidR="00BE2441" w:rsidRPr="00183F91">
        <w:rPr>
          <w:lang w:val="fr-FR"/>
        </w:rPr>
        <w:t> </w:t>
      </w:r>
      <w:r w:rsidRPr="00183F91">
        <w:rPr>
          <w:lang w:val="fr-FR"/>
        </w:rPr>
        <w:t>714 membres en 2019).</w:t>
      </w:r>
    </w:p>
    <w:p w14:paraId="6EB7805F" w14:textId="5D90B209" w:rsidR="006E0934" w:rsidRPr="00183F91" w:rsidRDefault="006E0934" w:rsidP="00AA6B42">
      <w:pPr>
        <w:pStyle w:val="SingleTxt"/>
        <w:numPr>
          <w:ilvl w:val="0"/>
          <w:numId w:val="45"/>
        </w:numPr>
        <w:spacing w:line="240" w:lineRule="exact"/>
        <w:ind w:left="1267"/>
        <w:rPr>
          <w:lang w:val="fr-FR"/>
        </w:rPr>
      </w:pPr>
      <w:r w:rsidRPr="00183F91">
        <w:rPr>
          <w:lang w:val="fr-FR"/>
        </w:rPr>
        <w:lastRenderedPageBreak/>
        <w:t>Une formation de renforcement des capacités à l</w:t>
      </w:r>
      <w:r w:rsidR="00442D55" w:rsidRPr="00183F91">
        <w:rPr>
          <w:lang w:val="fr-FR"/>
        </w:rPr>
        <w:t>’</w:t>
      </w:r>
      <w:r w:rsidRPr="00183F91">
        <w:rPr>
          <w:lang w:val="fr-FR"/>
        </w:rPr>
        <w:t>intention des membres du Comité juridique des droits de l</w:t>
      </w:r>
      <w:r w:rsidR="00442D55" w:rsidRPr="00183F91">
        <w:rPr>
          <w:lang w:val="fr-FR"/>
        </w:rPr>
        <w:t>’</w:t>
      </w:r>
      <w:r w:rsidRPr="00183F91">
        <w:rPr>
          <w:lang w:val="fr-FR"/>
        </w:rPr>
        <w:t>enfant a été organisée au niveau régional du 9 au 18</w:t>
      </w:r>
      <w:r w:rsidR="00BE2441" w:rsidRPr="00183F91">
        <w:rPr>
          <w:lang w:val="fr-FR"/>
        </w:rPr>
        <w:t> </w:t>
      </w:r>
      <w:r w:rsidRPr="00183F91">
        <w:rPr>
          <w:lang w:val="fr-FR"/>
        </w:rPr>
        <w:t>décembre 2019, sur la base du manuel établi à leur intention</w:t>
      </w:r>
      <w:r w:rsidR="00442D55" w:rsidRPr="00183F91">
        <w:rPr>
          <w:lang w:val="fr-FR"/>
        </w:rPr>
        <w:t> ;</w:t>
      </w:r>
      <w:r w:rsidRPr="00183F91">
        <w:rPr>
          <w:lang w:val="fr-FR"/>
        </w:rPr>
        <w:t xml:space="preserve"> 270 d</w:t>
      </w:r>
      <w:r w:rsidR="00442D55" w:rsidRPr="00183F91">
        <w:rPr>
          <w:lang w:val="fr-FR"/>
        </w:rPr>
        <w:t>’</w:t>
      </w:r>
      <w:r w:rsidRPr="00183F91">
        <w:rPr>
          <w:lang w:val="fr-FR"/>
        </w:rPr>
        <w:t>entre eux y ont participé.</w:t>
      </w:r>
    </w:p>
    <w:p w14:paraId="10C4C0EA" w14:textId="297A79F5" w:rsidR="006E0934" w:rsidRPr="00183F91" w:rsidRDefault="006E0934" w:rsidP="00AA6B42">
      <w:pPr>
        <w:pStyle w:val="SingleTxt"/>
        <w:numPr>
          <w:ilvl w:val="0"/>
          <w:numId w:val="45"/>
        </w:numPr>
        <w:spacing w:line="240" w:lineRule="exact"/>
        <w:ind w:left="1267"/>
        <w:rPr>
          <w:lang w:val="fr-FR"/>
        </w:rPr>
      </w:pPr>
      <w:r w:rsidRPr="00183F91">
        <w:rPr>
          <w:lang w:val="fr-FR"/>
        </w:rPr>
        <w:t>Un montant de 135,0 millions de togrogs provenant du projet du FNUAP pour la lutte contre la violence fondée sur le genre a été consacré à l</w:t>
      </w:r>
      <w:r w:rsidR="00442D55" w:rsidRPr="00183F91">
        <w:rPr>
          <w:lang w:val="fr-FR"/>
        </w:rPr>
        <w:t>’</w:t>
      </w:r>
      <w:r w:rsidRPr="00183F91">
        <w:rPr>
          <w:lang w:val="fr-FR"/>
        </w:rPr>
        <w:t>amélioration du cadre de formation que le centre d</w:t>
      </w:r>
      <w:r w:rsidR="00442D55" w:rsidRPr="00183F91">
        <w:rPr>
          <w:lang w:val="fr-FR"/>
        </w:rPr>
        <w:t>’</w:t>
      </w:r>
      <w:r w:rsidRPr="00183F91">
        <w:rPr>
          <w:lang w:val="fr-FR"/>
        </w:rPr>
        <w:t>arrestation et de détention rattaché à l</w:t>
      </w:r>
      <w:r w:rsidR="00442D55" w:rsidRPr="00183F91">
        <w:rPr>
          <w:lang w:val="fr-FR"/>
        </w:rPr>
        <w:t>’</w:t>
      </w:r>
      <w:r w:rsidRPr="00183F91">
        <w:rPr>
          <w:lang w:val="fr-FR"/>
        </w:rPr>
        <w:t>Agence générale d</w:t>
      </w:r>
      <w:r w:rsidR="00442D55" w:rsidRPr="00183F91">
        <w:rPr>
          <w:lang w:val="fr-FR"/>
        </w:rPr>
        <w:t>’</w:t>
      </w:r>
      <w:r w:rsidRPr="00183F91">
        <w:rPr>
          <w:lang w:val="fr-FR"/>
        </w:rPr>
        <w:t>exécution des décisions de justice offre aux auteurs de violence domestique tenus de suivre une formation visant à faire évoluer leur comportement, et 50,0 millions de togrogs provenant des fonds consacrés à la prévention de la criminalité ont été dépensés en 2019 pour financer la mise au point et la publication de manuels et la formation.</w:t>
      </w:r>
    </w:p>
    <w:p w14:paraId="7710A586" w14:textId="54AAFEB0" w:rsidR="00D04411" w:rsidRPr="00183F91" w:rsidRDefault="00D04411" w:rsidP="00D04411">
      <w:pPr>
        <w:pStyle w:val="SingleTxt"/>
        <w:spacing w:after="0" w:line="120" w:lineRule="exact"/>
        <w:rPr>
          <w:sz w:val="10"/>
          <w:lang w:val="fr-FR"/>
        </w:rPr>
      </w:pPr>
    </w:p>
    <w:p w14:paraId="3EF98D44" w14:textId="06AD2FB1" w:rsidR="00D04411" w:rsidRPr="00183F91" w:rsidRDefault="00D04411" w:rsidP="00D04411">
      <w:pPr>
        <w:pStyle w:val="SingleTxt"/>
        <w:spacing w:after="0" w:line="120" w:lineRule="exact"/>
        <w:rPr>
          <w:sz w:val="10"/>
          <w:lang w:val="fr-FR"/>
        </w:rPr>
      </w:pPr>
    </w:p>
    <w:p w14:paraId="672982FC" w14:textId="2C566F79" w:rsidR="006E0934" w:rsidRPr="00183F91" w:rsidRDefault="00D04411" w:rsidP="00D0441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83F91">
        <w:rPr>
          <w:lang w:val="fr-FR"/>
        </w:rPr>
        <w:tab/>
      </w:r>
      <w:r w:rsidR="006E0934" w:rsidRPr="00183F91">
        <w:rPr>
          <w:lang w:val="fr-FR"/>
        </w:rPr>
        <w:t>H.</w:t>
      </w:r>
      <w:r w:rsidR="006E0934" w:rsidRPr="00183F91">
        <w:rPr>
          <w:lang w:val="fr-FR"/>
        </w:rPr>
        <w:tab/>
        <w:t>Réponse au paragraphe 8 de la liste de points</w:t>
      </w:r>
    </w:p>
    <w:p w14:paraId="0AFF2E5B" w14:textId="7AA211C7" w:rsidR="00D04411" w:rsidRPr="00183F91" w:rsidRDefault="00D04411" w:rsidP="00D04411">
      <w:pPr>
        <w:pStyle w:val="SingleTxt"/>
        <w:spacing w:after="0" w:line="120" w:lineRule="exact"/>
        <w:rPr>
          <w:sz w:val="10"/>
          <w:lang w:val="fr-FR"/>
        </w:rPr>
      </w:pPr>
    </w:p>
    <w:p w14:paraId="3690EC64" w14:textId="70C97DC9" w:rsidR="00D04411" w:rsidRPr="00183F91" w:rsidRDefault="00D04411" w:rsidP="00D04411">
      <w:pPr>
        <w:pStyle w:val="SingleTxt"/>
        <w:spacing w:after="0" w:line="120" w:lineRule="exact"/>
        <w:rPr>
          <w:sz w:val="10"/>
          <w:lang w:val="fr-FR"/>
        </w:rPr>
      </w:pPr>
    </w:p>
    <w:p w14:paraId="3E92DD4E" w14:textId="6F468D86" w:rsidR="006E0934" w:rsidRPr="00183F91" w:rsidRDefault="006E0934" w:rsidP="00D044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83F91">
        <w:rPr>
          <w:lang w:val="fr-FR"/>
        </w:rPr>
        <w:tab/>
      </w:r>
      <w:r w:rsidRPr="00183F91">
        <w:rPr>
          <w:lang w:val="fr-FR"/>
        </w:rPr>
        <w:tab/>
        <w:t>Crimes de violence familiale et violations liées à la violence familiale</w:t>
      </w:r>
    </w:p>
    <w:p w14:paraId="00B0371C" w14:textId="033ED02B" w:rsidR="00D04411" w:rsidRPr="00183F91" w:rsidRDefault="00D04411" w:rsidP="00D04411">
      <w:pPr>
        <w:pStyle w:val="SingleTxt"/>
        <w:spacing w:after="0" w:line="120" w:lineRule="exact"/>
        <w:rPr>
          <w:sz w:val="10"/>
          <w:lang w:val="fr-FR"/>
        </w:rPr>
      </w:pPr>
    </w:p>
    <w:p w14:paraId="2340D86C" w14:textId="17498C78" w:rsidR="006E0934" w:rsidRPr="00183F91" w:rsidRDefault="006E0934" w:rsidP="00AA6B42">
      <w:pPr>
        <w:pStyle w:val="SingleTxt"/>
        <w:numPr>
          <w:ilvl w:val="0"/>
          <w:numId w:val="45"/>
        </w:numPr>
        <w:spacing w:line="240" w:lineRule="exact"/>
        <w:ind w:left="1267"/>
        <w:rPr>
          <w:lang w:val="fr-FR"/>
        </w:rPr>
      </w:pPr>
      <w:r w:rsidRPr="00183F91">
        <w:rPr>
          <w:lang w:val="fr-FR"/>
        </w:rPr>
        <w:t>Le nombre de crimes de violence familiale tend à diminuer (voir tableau 8.1). On trouvera au tableau 8.2 le nombre d</w:t>
      </w:r>
      <w:r w:rsidR="00442D55" w:rsidRPr="00183F91">
        <w:rPr>
          <w:lang w:val="fr-FR"/>
        </w:rPr>
        <w:t>’</w:t>
      </w:r>
      <w:r w:rsidRPr="00183F91">
        <w:rPr>
          <w:lang w:val="fr-FR"/>
        </w:rPr>
        <w:t>affaires que la police a transmises au parquet pour que des poursuites soient engagées.</w:t>
      </w:r>
    </w:p>
    <w:p w14:paraId="745970FF" w14:textId="2650E1E5" w:rsidR="00D04411" w:rsidRPr="00183F91" w:rsidRDefault="00D04411" w:rsidP="00D04411">
      <w:pPr>
        <w:pStyle w:val="SingleTxt"/>
        <w:spacing w:after="0" w:line="120" w:lineRule="exact"/>
        <w:rPr>
          <w:sz w:val="10"/>
          <w:lang w:val="fr-FR"/>
        </w:rPr>
      </w:pPr>
    </w:p>
    <w:p w14:paraId="09BB6DF8" w14:textId="3CEF6A12" w:rsidR="006E0934" w:rsidRPr="00183F91" w:rsidRDefault="00EA21A9" w:rsidP="00EA21A9">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83F91">
        <w:rPr>
          <w:lang w:val="fr-FR"/>
        </w:rPr>
        <w:tab/>
      </w:r>
      <w:r w:rsidRPr="00183F91">
        <w:rPr>
          <w:lang w:val="fr-FR"/>
        </w:rPr>
        <w:tab/>
      </w:r>
      <w:r w:rsidR="006E0934" w:rsidRPr="00183F91">
        <w:rPr>
          <w:lang w:val="fr-FR"/>
        </w:rPr>
        <w:t>Tableau 8.1</w:t>
      </w:r>
    </w:p>
    <w:p w14:paraId="7676888D" w14:textId="6F8B9C79" w:rsidR="006E0934" w:rsidRPr="00183F91" w:rsidRDefault="00EA21A9" w:rsidP="00EA21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83F91">
        <w:rPr>
          <w:lang w:val="fr-FR"/>
        </w:rPr>
        <w:tab/>
      </w:r>
      <w:r w:rsidRPr="00183F91">
        <w:rPr>
          <w:lang w:val="fr-FR"/>
        </w:rPr>
        <w:tab/>
      </w:r>
      <w:r w:rsidR="006E0934" w:rsidRPr="00183F91">
        <w:rPr>
          <w:lang w:val="fr-FR"/>
        </w:rPr>
        <w:t>Nombre de crimes de violence familiale (2016</w:t>
      </w:r>
      <w:r w:rsidR="00BE2441" w:rsidRPr="00183F91">
        <w:rPr>
          <w:lang w:val="fr-FR"/>
        </w:rPr>
        <w:t>-</w:t>
      </w:r>
      <w:r w:rsidR="006E0934" w:rsidRPr="00183F91">
        <w:rPr>
          <w:lang w:val="fr-FR"/>
        </w:rPr>
        <w:t>2019)</w:t>
      </w:r>
    </w:p>
    <w:p w14:paraId="38437703" w14:textId="250B19C5" w:rsidR="006E0934" w:rsidRPr="00183F91" w:rsidRDefault="006E0934" w:rsidP="00D04411">
      <w:pPr>
        <w:pStyle w:val="SingleTxt"/>
        <w:spacing w:after="0" w:line="120" w:lineRule="exact"/>
        <w:rPr>
          <w:sz w:val="10"/>
          <w:lang w:val="fr-FR"/>
        </w:rPr>
      </w:pPr>
    </w:p>
    <w:p w14:paraId="35E8724F" w14:textId="31760F13" w:rsidR="00D04411" w:rsidRPr="00183F91" w:rsidRDefault="00D04411" w:rsidP="00D04411">
      <w:pPr>
        <w:pStyle w:val="SingleTxt"/>
        <w:spacing w:after="0" w:line="120" w:lineRule="exact"/>
        <w:rPr>
          <w:sz w:val="10"/>
          <w:lang w:val="fr-FR"/>
        </w:rPr>
      </w:pPr>
    </w:p>
    <w:tbl>
      <w:tblPr>
        <w:tblW w:w="0" w:type="auto"/>
        <w:tblInd w:w="1260" w:type="dxa"/>
        <w:tblLayout w:type="fixed"/>
        <w:tblCellMar>
          <w:left w:w="0" w:type="dxa"/>
          <w:right w:w="0" w:type="dxa"/>
        </w:tblCellMar>
        <w:tblLook w:val="0000" w:firstRow="0" w:lastRow="0" w:firstColumn="0" w:lastColumn="0" w:noHBand="0" w:noVBand="0"/>
      </w:tblPr>
      <w:tblGrid>
        <w:gridCol w:w="270"/>
        <w:gridCol w:w="2583"/>
        <w:gridCol w:w="1116"/>
        <w:gridCol w:w="1117"/>
        <w:gridCol w:w="1117"/>
        <w:gridCol w:w="1117"/>
      </w:tblGrid>
      <w:tr w:rsidR="00B4234E" w:rsidRPr="00183F91" w14:paraId="318F5C0F" w14:textId="77777777" w:rsidTr="00B4234E">
        <w:trPr>
          <w:tblHeader/>
        </w:trPr>
        <w:tc>
          <w:tcPr>
            <w:tcW w:w="270" w:type="dxa"/>
            <w:tcBorders>
              <w:top w:val="single" w:sz="4" w:space="0" w:color="auto"/>
              <w:bottom w:val="single" w:sz="12" w:space="0" w:color="auto"/>
            </w:tcBorders>
            <w:shd w:val="clear" w:color="auto" w:fill="auto"/>
            <w:noWrap/>
            <w:tcMar>
              <w:top w:w="0" w:type="dxa"/>
              <w:left w:w="0" w:type="dxa"/>
              <w:bottom w:w="0" w:type="dxa"/>
              <w:right w:w="0" w:type="dxa"/>
            </w:tcMar>
            <w:vAlign w:val="bottom"/>
          </w:tcPr>
          <w:p w14:paraId="5BD03A92" w14:textId="77777777" w:rsidR="006E0934" w:rsidRPr="00183F91" w:rsidRDefault="006E0934" w:rsidP="00B4234E">
            <w:pPr>
              <w:suppressAutoHyphens/>
              <w:spacing w:before="81" w:after="81" w:line="160" w:lineRule="exact"/>
              <w:ind w:right="40"/>
              <w:rPr>
                <w:i/>
                <w:sz w:val="14"/>
                <w:lang w:val="fr-FR"/>
              </w:rPr>
            </w:pPr>
            <w:r w:rsidRPr="00183F91">
              <w:rPr>
                <w:i/>
                <w:sz w:val="14"/>
                <w:lang w:val="fr-FR"/>
              </w:rPr>
              <w:t>N</w:t>
            </w:r>
            <w:r w:rsidRPr="000821D9">
              <w:rPr>
                <w:i/>
                <w:sz w:val="14"/>
                <w:vertAlign w:val="superscript"/>
                <w:lang w:val="fr-FR"/>
              </w:rPr>
              <w:t>o</w:t>
            </w:r>
          </w:p>
        </w:tc>
        <w:tc>
          <w:tcPr>
            <w:tcW w:w="2583" w:type="dxa"/>
            <w:tcBorders>
              <w:top w:val="single" w:sz="4" w:space="0" w:color="auto"/>
              <w:bottom w:val="single" w:sz="12" w:space="0" w:color="auto"/>
            </w:tcBorders>
            <w:shd w:val="clear" w:color="auto" w:fill="auto"/>
            <w:noWrap/>
            <w:tcMar>
              <w:top w:w="0" w:type="dxa"/>
              <w:left w:w="0" w:type="dxa"/>
              <w:bottom w:w="0" w:type="dxa"/>
              <w:right w:w="0" w:type="dxa"/>
            </w:tcMar>
            <w:vAlign w:val="bottom"/>
          </w:tcPr>
          <w:p w14:paraId="5E63E8E6" w14:textId="77777777" w:rsidR="006E0934" w:rsidRPr="00183F91" w:rsidRDefault="006E0934" w:rsidP="00B4234E">
            <w:pPr>
              <w:suppressAutoHyphens/>
              <w:spacing w:before="81" w:after="81" w:line="160" w:lineRule="exact"/>
              <w:ind w:right="43"/>
              <w:rPr>
                <w:i/>
                <w:sz w:val="14"/>
                <w:lang w:val="fr-FR"/>
              </w:rPr>
            </w:pPr>
            <w:r w:rsidRPr="00183F91">
              <w:rPr>
                <w:i/>
                <w:sz w:val="14"/>
                <w:lang w:val="fr-FR"/>
              </w:rPr>
              <w:t>Contexte</w:t>
            </w:r>
          </w:p>
        </w:tc>
        <w:tc>
          <w:tcPr>
            <w:tcW w:w="1116" w:type="dxa"/>
            <w:tcBorders>
              <w:top w:val="single" w:sz="4" w:space="0" w:color="auto"/>
              <w:bottom w:val="single" w:sz="12" w:space="0" w:color="auto"/>
            </w:tcBorders>
            <w:shd w:val="clear" w:color="auto" w:fill="auto"/>
            <w:noWrap/>
            <w:tcMar>
              <w:top w:w="0" w:type="dxa"/>
              <w:left w:w="0" w:type="dxa"/>
              <w:bottom w:w="0" w:type="dxa"/>
              <w:right w:w="0" w:type="dxa"/>
            </w:tcMar>
            <w:vAlign w:val="bottom"/>
          </w:tcPr>
          <w:p w14:paraId="39EAB50B" w14:textId="77777777" w:rsidR="006E0934" w:rsidRPr="00183F91" w:rsidRDefault="006E0934" w:rsidP="00B4234E">
            <w:pPr>
              <w:suppressAutoHyphens/>
              <w:spacing w:before="81" w:after="81" w:line="160" w:lineRule="exact"/>
              <w:ind w:right="43"/>
              <w:jc w:val="right"/>
              <w:rPr>
                <w:i/>
                <w:sz w:val="14"/>
                <w:lang w:val="fr-FR"/>
              </w:rPr>
            </w:pPr>
            <w:r w:rsidRPr="00183F91">
              <w:rPr>
                <w:i/>
                <w:sz w:val="14"/>
                <w:lang w:val="fr-FR"/>
              </w:rPr>
              <w:t xml:space="preserve">2016 </w:t>
            </w:r>
          </w:p>
        </w:tc>
        <w:tc>
          <w:tcPr>
            <w:tcW w:w="1117" w:type="dxa"/>
            <w:tcBorders>
              <w:top w:val="single" w:sz="4" w:space="0" w:color="auto"/>
              <w:bottom w:val="single" w:sz="12" w:space="0" w:color="auto"/>
            </w:tcBorders>
            <w:shd w:val="clear" w:color="auto" w:fill="auto"/>
            <w:noWrap/>
            <w:tcMar>
              <w:top w:w="0" w:type="dxa"/>
              <w:left w:w="0" w:type="dxa"/>
              <w:bottom w:w="0" w:type="dxa"/>
              <w:right w:w="0" w:type="dxa"/>
            </w:tcMar>
            <w:vAlign w:val="bottom"/>
          </w:tcPr>
          <w:p w14:paraId="7C3039A3" w14:textId="77777777" w:rsidR="006E0934" w:rsidRPr="00183F91" w:rsidRDefault="006E0934" w:rsidP="00B4234E">
            <w:pPr>
              <w:suppressAutoHyphens/>
              <w:spacing w:before="81" w:after="81" w:line="160" w:lineRule="exact"/>
              <w:ind w:right="43"/>
              <w:jc w:val="right"/>
              <w:rPr>
                <w:i/>
                <w:sz w:val="14"/>
                <w:lang w:val="fr-FR"/>
              </w:rPr>
            </w:pPr>
            <w:r w:rsidRPr="00183F91">
              <w:rPr>
                <w:i/>
                <w:sz w:val="14"/>
                <w:lang w:val="fr-FR"/>
              </w:rPr>
              <w:t xml:space="preserve">2017 </w:t>
            </w:r>
          </w:p>
        </w:tc>
        <w:tc>
          <w:tcPr>
            <w:tcW w:w="1117" w:type="dxa"/>
            <w:tcBorders>
              <w:top w:val="single" w:sz="4" w:space="0" w:color="auto"/>
              <w:bottom w:val="single" w:sz="12" w:space="0" w:color="auto"/>
            </w:tcBorders>
            <w:shd w:val="clear" w:color="auto" w:fill="auto"/>
            <w:noWrap/>
            <w:tcMar>
              <w:top w:w="0" w:type="dxa"/>
              <w:left w:w="0" w:type="dxa"/>
              <w:bottom w:w="0" w:type="dxa"/>
              <w:right w:w="0" w:type="dxa"/>
            </w:tcMar>
            <w:vAlign w:val="bottom"/>
          </w:tcPr>
          <w:p w14:paraId="61202FD4" w14:textId="77777777" w:rsidR="006E0934" w:rsidRPr="00183F91" w:rsidRDefault="006E0934" w:rsidP="00B4234E">
            <w:pPr>
              <w:suppressAutoHyphens/>
              <w:spacing w:before="81" w:after="81" w:line="160" w:lineRule="exact"/>
              <w:ind w:right="43"/>
              <w:jc w:val="right"/>
              <w:rPr>
                <w:i/>
                <w:sz w:val="14"/>
                <w:lang w:val="fr-FR"/>
              </w:rPr>
            </w:pPr>
            <w:r w:rsidRPr="00183F91">
              <w:rPr>
                <w:i/>
                <w:sz w:val="14"/>
                <w:lang w:val="fr-FR"/>
              </w:rPr>
              <w:t xml:space="preserve">2018 </w:t>
            </w:r>
          </w:p>
        </w:tc>
        <w:tc>
          <w:tcPr>
            <w:tcW w:w="1117" w:type="dxa"/>
            <w:tcBorders>
              <w:top w:val="single" w:sz="4" w:space="0" w:color="auto"/>
              <w:bottom w:val="single" w:sz="12" w:space="0" w:color="auto"/>
            </w:tcBorders>
            <w:shd w:val="clear" w:color="auto" w:fill="auto"/>
            <w:noWrap/>
            <w:tcMar>
              <w:top w:w="0" w:type="dxa"/>
              <w:left w:w="0" w:type="dxa"/>
              <w:bottom w:w="0" w:type="dxa"/>
              <w:right w:w="0" w:type="dxa"/>
            </w:tcMar>
            <w:vAlign w:val="bottom"/>
          </w:tcPr>
          <w:p w14:paraId="2AD7BD8C" w14:textId="77777777" w:rsidR="006E0934" w:rsidRPr="00183F91" w:rsidRDefault="006E0934" w:rsidP="00B4234E">
            <w:pPr>
              <w:suppressAutoHyphens/>
              <w:spacing w:before="81" w:after="81" w:line="160" w:lineRule="exact"/>
              <w:ind w:right="43"/>
              <w:jc w:val="right"/>
              <w:rPr>
                <w:i/>
                <w:sz w:val="14"/>
                <w:lang w:val="fr-FR"/>
              </w:rPr>
            </w:pPr>
            <w:r w:rsidRPr="00183F91">
              <w:rPr>
                <w:i/>
                <w:sz w:val="14"/>
                <w:lang w:val="fr-FR"/>
              </w:rPr>
              <w:t xml:space="preserve">2019 </w:t>
            </w:r>
          </w:p>
        </w:tc>
      </w:tr>
      <w:tr w:rsidR="00B4234E" w:rsidRPr="00183F91" w14:paraId="67E8847E" w14:textId="77777777" w:rsidTr="00B4234E">
        <w:trPr>
          <w:trHeight w:hRule="exact" w:val="115"/>
          <w:tblHeader/>
        </w:trPr>
        <w:tc>
          <w:tcPr>
            <w:tcW w:w="270" w:type="dxa"/>
            <w:tcBorders>
              <w:top w:val="single" w:sz="12" w:space="0" w:color="auto"/>
            </w:tcBorders>
            <w:shd w:val="clear" w:color="auto" w:fill="auto"/>
            <w:noWrap/>
            <w:tcMar>
              <w:top w:w="0" w:type="dxa"/>
              <w:left w:w="0" w:type="dxa"/>
              <w:bottom w:w="0" w:type="dxa"/>
              <w:right w:w="0" w:type="dxa"/>
            </w:tcMar>
            <w:vAlign w:val="bottom"/>
          </w:tcPr>
          <w:p w14:paraId="2AD6686E" w14:textId="77777777" w:rsidR="00B4234E" w:rsidRPr="00183F91" w:rsidRDefault="00B4234E" w:rsidP="00B4234E">
            <w:pPr>
              <w:suppressAutoHyphens/>
              <w:spacing w:before="40" w:after="40" w:line="210" w:lineRule="exact"/>
              <w:ind w:right="40"/>
              <w:rPr>
                <w:sz w:val="17"/>
                <w:lang w:val="fr-FR"/>
              </w:rPr>
            </w:pPr>
          </w:p>
        </w:tc>
        <w:tc>
          <w:tcPr>
            <w:tcW w:w="2583" w:type="dxa"/>
            <w:tcBorders>
              <w:top w:val="single" w:sz="12" w:space="0" w:color="auto"/>
            </w:tcBorders>
            <w:shd w:val="clear" w:color="auto" w:fill="auto"/>
            <w:noWrap/>
            <w:tcMar>
              <w:top w:w="0" w:type="dxa"/>
              <w:left w:w="0" w:type="dxa"/>
              <w:bottom w:w="0" w:type="dxa"/>
              <w:right w:w="0" w:type="dxa"/>
            </w:tcMar>
            <w:vAlign w:val="bottom"/>
          </w:tcPr>
          <w:p w14:paraId="7E7103B9" w14:textId="77777777" w:rsidR="00B4234E" w:rsidRPr="00183F91" w:rsidRDefault="00B4234E" w:rsidP="00B4234E">
            <w:pPr>
              <w:suppressAutoHyphens/>
              <w:spacing w:before="40" w:after="40" w:line="210" w:lineRule="exact"/>
              <w:ind w:right="43"/>
              <w:rPr>
                <w:sz w:val="17"/>
                <w:lang w:val="fr-FR"/>
              </w:rPr>
            </w:pPr>
          </w:p>
        </w:tc>
        <w:tc>
          <w:tcPr>
            <w:tcW w:w="1116" w:type="dxa"/>
            <w:tcBorders>
              <w:top w:val="single" w:sz="12" w:space="0" w:color="auto"/>
            </w:tcBorders>
            <w:shd w:val="clear" w:color="auto" w:fill="auto"/>
            <w:noWrap/>
            <w:tcMar>
              <w:top w:w="0" w:type="dxa"/>
              <w:left w:w="0" w:type="dxa"/>
              <w:bottom w:w="0" w:type="dxa"/>
              <w:right w:w="0" w:type="dxa"/>
            </w:tcMar>
            <w:vAlign w:val="bottom"/>
          </w:tcPr>
          <w:p w14:paraId="50A8C026" w14:textId="77777777" w:rsidR="00B4234E" w:rsidRPr="00183F91" w:rsidRDefault="00B4234E" w:rsidP="00B4234E">
            <w:pPr>
              <w:suppressAutoHyphens/>
              <w:spacing w:before="40" w:after="40" w:line="210" w:lineRule="exact"/>
              <w:ind w:right="43"/>
              <w:jc w:val="right"/>
              <w:rPr>
                <w:sz w:val="17"/>
                <w:lang w:val="fr-FR"/>
              </w:rPr>
            </w:pPr>
          </w:p>
        </w:tc>
        <w:tc>
          <w:tcPr>
            <w:tcW w:w="1117" w:type="dxa"/>
            <w:tcBorders>
              <w:top w:val="single" w:sz="12" w:space="0" w:color="auto"/>
            </w:tcBorders>
            <w:shd w:val="clear" w:color="auto" w:fill="auto"/>
            <w:noWrap/>
            <w:tcMar>
              <w:top w:w="0" w:type="dxa"/>
              <w:left w:w="0" w:type="dxa"/>
              <w:bottom w:w="0" w:type="dxa"/>
              <w:right w:w="0" w:type="dxa"/>
            </w:tcMar>
            <w:vAlign w:val="bottom"/>
          </w:tcPr>
          <w:p w14:paraId="74E05A07" w14:textId="77777777" w:rsidR="00B4234E" w:rsidRPr="00183F91" w:rsidRDefault="00B4234E" w:rsidP="00B4234E">
            <w:pPr>
              <w:suppressAutoHyphens/>
              <w:spacing w:before="40" w:after="40" w:line="210" w:lineRule="exact"/>
              <w:ind w:right="43"/>
              <w:jc w:val="right"/>
              <w:rPr>
                <w:sz w:val="17"/>
                <w:lang w:val="fr-FR"/>
              </w:rPr>
            </w:pPr>
          </w:p>
        </w:tc>
        <w:tc>
          <w:tcPr>
            <w:tcW w:w="1117" w:type="dxa"/>
            <w:tcBorders>
              <w:top w:val="single" w:sz="12" w:space="0" w:color="auto"/>
            </w:tcBorders>
            <w:shd w:val="clear" w:color="auto" w:fill="auto"/>
            <w:noWrap/>
            <w:tcMar>
              <w:top w:w="0" w:type="dxa"/>
              <w:left w:w="0" w:type="dxa"/>
              <w:bottom w:w="0" w:type="dxa"/>
              <w:right w:w="0" w:type="dxa"/>
            </w:tcMar>
            <w:vAlign w:val="bottom"/>
          </w:tcPr>
          <w:p w14:paraId="5DEAB1C8" w14:textId="77777777" w:rsidR="00B4234E" w:rsidRPr="00183F91" w:rsidRDefault="00B4234E" w:rsidP="00B4234E">
            <w:pPr>
              <w:suppressAutoHyphens/>
              <w:spacing w:before="40" w:after="40" w:line="210" w:lineRule="exact"/>
              <w:ind w:right="43"/>
              <w:jc w:val="right"/>
              <w:rPr>
                <w:sz w:val="17"/>
                <w:lang w:val="fr-FR"/>
              </w:rPr>
            </w:pPr>
          </w:p>
        </w:tc>
        <w:tc>
          <w:tcPr>
            <w:tcW w:w="1117" w:type="dxa"/>
            <w:tcBorders>
              <w:top w:val="single" w:sz="12" w:space="0" w:color="auto"/>
            </w:tcBorders>
            <w:shd w:val="clear" w:color="auto" w:fill="auto"/>
            <w:noWrap/>
            <w:tcMar>
              <w:top w:w="0" w:type="dxa"/>
              <w:left w:w="0" w:type="dxa"/>
              <w:bottom w:w="0" w:type="dxa"/>
              <w:right w:w="0" w:type="dxa"/>
            </w:tcMar>
            <w:vAlign w:val="bottom"/>
          </w:tcPr>
          <w:p w14:paraId="0FB32D96" w14:textId="77777777" w:rsidR="00B4234E" w:rsidRPr="00183F91" w:rsidRDefault="00B4234E" w:rsidP="00B4234E">
            <w:pPr>
              <w:suppressAutoHyphens/>
              <w:spacing w:before="40" w:after="40" w:line="210" w:lineRule="exact"/>
              <w:ind w:right="43"/>
              <w:jc w:val="right"/>
              <w:rPr>
                <w:sz w:val="17"/>
                <w:lang w:val="fr-FR"/>
              </w:rPr>
            </w:pPr>
          </w:p>
        </w:tc>
      </w:tr>
      <w:tr w:rsidR="00B4234E" w:rsidRPr="00183F91" w14:paraId="10816F9F" w14:textId="77777777" w:rsidTr="00B4234E">
        <w:tc>
          <w:tcPr>
            <w:tcW w:w="270" w:type="dxa"/>
            <w:shd w:val="clear" w:color="auto" w:fill="auto"/>
            <w:noWrap/>
            <w:tcMar>
              <w:top w:w="0" w:type="dxa"/>
              <w:left w:w="0" w:type="dxa"/>
              <w:bottom w:w="0" w:type="dxa"/>
              <w:right w:w="0" w:type="dxa"/>
            </w:tcMar>
            <w:vAlign w:val="bottom"/>
          </w:tcPr>
          <w:p w14:paraId="63CB67C4" w14:textId="77777777" w:rsidR="006E0934" w:rsidRPr="00183F91" w:rsidRDefault="006E0934" w:rsidP="00B4234E">
            <w:pPr>
              <w:tabs>
                <w:tab w:val="left" w:pos="288"/>
                <w:tab w:val="left" w:pos="576"/>
                <w:tab w:val="left" w:pos="864"/>
                <w:tab w:val="left" w:pos="1152"/>
              </w:tabs>
              <w:suppressAutoHyphens/>
              <w:spacing w:before="40" w:after="40" w:line="210" w:lineRule="exact"/>
              <w:ind w:right="40"/>
              <w:rPr>
                <w:sz w:val="17"/>
                <w:lang w:val="fr-FR"/>
              </w:rPr>
            </w:pPr>
            <w:r w:rsidRPr="00183F91">
              <w:rPr>
                <w:sz w:val="17"/>
                <w:lang w:val="fr-FR"/>
              </w:rPr>
              <w:t>1</w:t>
            </w:r>
          </w:p>
        </w:tc>
        <w:tc>
          <w:tcPr>
            <w:tcW w:w="2583" w:type="dxa"/>
            <w:shd w:val="clear" w:color="auto" w:fill="auto"/>
            <w:noWrap/>
            <w:tcMar>
              <w:top w:w="0" w:type="dxa"/>
              <w:left w:w="0" w:type="dxa"/>
              <w:bottom w:w="0" w:type="dxa"/>
              <w:right w:w="0" w:type="dxa"/>
            </w:tcMar>
            <w:vAlign w:val="bottom"/>
          </w:tcPr>
          <w:p w14:paraId="0D58AC83" w14:textId="77777777" w:rsidR="006E0934" w:rsidRPr="00183F91" w:rsidRDefault="006E0934" w:rsidP="00B4234E">
            <w:pPr>
              <w:tabs>
                <w:tab w:val="left" w:pos="288"/>
                <w:tab w:val="left" w:pos="576"/>
                <w:tab w:val="left" w:pos="864"/>
                <w:tab w:val="left" w:pos="1152"/>
              </w:tabs>
              <w:suppressAutoHyphens/>
              <w:spacing w:before="40" w:after="40" w:line="210" w:lineRule="exact"/>
              <w:ind w:right="43"/>
              <w:rPr>
                <w:sz w:val="17"/>
                <w:lang w:val="fr-FR"/>
              </w:rPr>
            </w:pPr>
            <w:r w:rsidRPr="00183F91">
              <w:rPr>
                <w:sz w:val="17"/>
                <w:lang w:val="fr-FR"/>
              </w:rPr>
              <w:t>Nombre total de crimes</w:t>
            </w:r>
          </w:p>
        </w:tc>
        <w:tc>
          <w:tcPr>
            <w:tcW w:w="1116" w:type="dxa"/>
            <w:shd w:val="clear" w:color="auto" w:fill="auto"/>
            <w:noWrap/>
            <w:tcMar>
              <w:top w:w="0" w:type="dxa"/>
              <w:left w:w="0" w:type="dxa"/>
              <w:bottom w:w="0" w:type="dxa"/>
              <w:right w:w="0" w:type="dxa"/>
            </w:tcMar>
            <w:vAlign w:val="bottom"/>
          </w:tcPr>
          <w:p w14:paraId="1DDEDD0E" w14:textId="77777777" w:rsidR="006E0934" w:rsidRPr="00183F91" w:rsidRDefault="006E0934" w:rsidP="00B4234E">
            <w:pPr>
              <w:tabs>
                <w:tab w:val="left" w:pos="288"/>
                <w:tab w:val="left" w:pos="576"/>
                <w:tab w:val="left" w:pos="864"/>
                <w:tab w:val="left" w:pos="1152"/>
              </w:tabs>
              <w:suppressAutoHyphens/>
              <w:spacing w:before="40" w:after="40" w:line="210" w:lineRule="exact"/>
              <w:ind w:right="43"/>
              <w:jc w:val="right"/>
              <w:rPr>
                <w:sz w:val="17"/>
                <w:lang w:val="fr-FR"/>
              </w:rPr>
            </w:pPr>
            <w:r w:rsidRPr="00183F91">
              <w:rPr>
                <w:sz w:val="17"/>
                <w:lang w:val="fr-FR"/>
              </w:rPr>
              <w:t>27 167</w:t>
            </w:r>
          </w:p>
        </w:tc>
        <w:tc>
          <w:tcPr>
            <w:tcW w:w="1117" w:type="dxa"/>
            <w:shd w:val="clear" w:color="auto" w:fill="auto"/>
            <w:noWrap/>
            <w:tcMar>
              <w:top w:w="0" w:type="dxa"/>
              <w:left w:w="0" w:type="dxa"/>
              <w:bottom w:w="0" w:type="dxa"/>
              <w:right w:w="0" w:type="dxa"/>
            </w:tcMar>
            <w:vAlign w:val="bottom"/>
          </w:tcPr>
          <w:p w14:paraId="09D33629" w14:textId="77777777" w:rsidR="006E0934" w:rsidRPr="00183F91" w:rsidRDefault="006E0934" w:rsidP="00B4234E">
            <w:pPr>
              <w:tabs>
                <w:tab w:val="left" w:pos="288"/>
                <w:tab w:val="left" w:pos="576"/>
                <w:tab w:val="left" w:pos="864"/>
                <w:tab w:val="left" w:pos="1152"/>
              </w:tabs>
              <w:suppressAutoHyphens/>
              <w:spacing w:before="40" w:after="40" w:line="210" w:lineRule="exact"/>
              <w:ind w:right="43"/>
              <w:jc w:val="right"/>
              <w:rPr>
                <w:sz w:val="17"/>
                <w:lang w:val="fr-FR"/>
              </w:rPr>
            </w:pPr>
            <w:r w:rsidRPr="00183F91">
              <w:rPr>
                <w:sz w:val="17"/>
                <w:lang w:val="fr-FR"/>
              </w:rPr>
              <w:t>32 259</w:t>
            </w:r>
          </w:p>
        </w:tc>
        <w:tc>
          <w:tcPr>
            <w:tcW w:w="1117" w:type="dxa"/>
            <w:shd w:val="clear" w:color="auto" w:fill="auto"/>
            <w:noWrap/>
            <w:tcMar>
              <w:top w:w="0" w:type="dxa"/>
              <w:left w:w="0" w:type="dxa"/>
              <w:bottom w:w="0" w:type="dxa"/>
              <w:right w:w="0" w:type="dxa"/>
            </w:tcMar>
            <w:vAlign w:val="bottom"/>
          </w:tcPr>
          <w:p w14:paraId="06D16EBB" w14:textId="77777777" w:rsidR="006E0934" w:rsidRPr="00183F91" w:rsidRDefault="006E0934" w:rsidP="00B4234E">
            <w:pPr>
              <w:tabs>
                <w:tab w:val="left" w:pos="288"/>
                <w:tab w:val="left" w:pos="576"/>
                <w:tab w:val="left" w:pos="864"/>
                <w:tab w:val="left" w:pos="1152"/>
              </w:tabs>
              <w:suppressAutoHyphens/>
              <w:spacing w:before="40" w:after="40" w:line="210" w:lineRule="exact"/>
              <w:ind w:right="43"/>
              <w:jc w:val="right"/>
              <w:rPr>
                <w:sz w:val="17"/>
                <w:lang w:val="fr-FR"/>
              </w:rPr>
            </w:pPr>
            <w:r w:rsidRPr="00183F91">
              <w:rPr>
                <w:sz w:val="17"/>
                <w:lang w:val="fr-FR"/>
              </w:rPr>
              <w:t>36 220</w:t>
            </w:r>
          </w:p>
        </w:tc>
        <w:tc>
          <w:tcPr>
            <w:tcW w:w="1117" w:type="dxa"/>
            <w:shd w:val="clear" w:color="auto" w:fill="auto"/>
            <w:noWrap/>
            <w:tcMar>
              <w:top w:w="0" w:type="dxa"/>
              <w:left w:w="0" w:type="dxa"/>
              <w:bottom w:w="0" w:type="dxa"/>
              <w:right w:w="0" w:type="dxa"/>
            </w:tcMar>
            <w:vAlign w:val="bottom"/>
          </w:tcPr>
          <w:p w14:paraId="2B91B960" w14:textId="77777777" w:rsidR="006E0934" w:rsidRPr="00183F91" w:rsidRDefault="006E0934" w:rsidP="00B4234E">
            <w:pPr>
              <w:tabs>
                <w:tab w:val="left" w:pos="288"/>
                <w:tab w:val="left" w:pos="576"/>
                <w:tab w:val="left" w:pos="864"/>
                <w:tab w:val="left" w:pos="1152"/>
              </w:tabs>
              <w:suppressAutoHyphens/>
              <w:spacing w:before="40" w:after="40" w:line="210" w:lineRule="exact"/>
              <w:ind w:right="43"/>
              <w:jc w:val="right"/>
              <w:rPr>
                <w:sz w:val="17"/>
                <w:lang w:val="fr-FR"/>
              </w:rPr>
            </w:pPr>
            <w:r w:rsidRPr="00183F91">
              <w:rPr>
                <w:sz w:val="17"/>
                <w:lang w:val="fr-FR"/>
              </w:rPr>
              <w:t>35 124</w:t>
            </w:r>
          </w:p>
        </w:tc>
      </w:tr>
      <w:tr w:rsidR="006E0934" w:rsidRPr="00183F91" w14:paraId="1B6F1093" w14:textId="77777777" w:rsidTr="00B4234E">
        <w:tc>
          <w:tcPr>
            <w:tcW w:w="270" w:type="dxa"/>
            <w:shd w:val="clear" w:color="auto" w:fill="auto"/>
            <w:noWrap/>
            <w:tcMar>
              <w:top w:w="0" w:type="dxa"/>
              <w:left w:w="0" w:type="dxa"/>
              <w:bottom w:w="0" w:type="dxa"/>
              <w:right w:w="0" w:type="dxa"/>
            </w:tcMar>
            <w:vAlign w:val="bottom"/>
          </w:tcPr>
          <w:p w14:paraId="50A3CEC6" w14:textId="77777777" w:rsidR="006E0934" w:rsidRPr="00183F91" w:rsidRDefault="006E0934" w:rsidP="00B4234E">
            <w:pPr>
              <w:tabs>
                <w:tab w:val="left" w:pos="288"/>
                <w:tab w:val="left" w:pos="576"/>
                <w:tab w:val="left" w:pos="864"/>
                <w:tab w:val="left" w:pos="1152"/>
              </w:tabs>
              <w:suppressAutoHyphens/>
              <w:spacing w:before="40" w:after="40" w:line="210" w:lineRule="exact"/>
              <w:ind w:right="40"/>
              <w:rPr>
                <w:sz w:val="17"/>
                <w:lang w:val="fr-FR"/>
              </w:rPr>
            </w:pPr>
            <w:r w:rsidRPr="00183F91">
              <w:rPr>
                <w:sz w:val="17"/>
                <w:lang w:val="fr-FR"/>
              </w:rPr>
              <w:t>2</w:t>
            </w:r>
          </w:p>
        </w:tc>
        <w:tc>
          <w:tcPr>
            <w:tcW w:w="2583" w:type="dxa"/>
            <w:shd w:val="clear" w:color="auto" w:fill="auto"/>
            <w:noWrap/>
            <w:tcMar>
              <w:top w:w="0" w:type="dxa"/>
              <w:left w:w="0" w:type="dxa"/>
              <w:bottom w:w="0" w:type="dxa"/>
              <w:right w:w="0" w:type="dxa"/>
            </w:tcMar>
            <w:vAlign w:val="bottom"/>
          </w:tcPr>
          <w:p w14:paraId="37405B9F" w14:textId="77777777" w:rsidR="006E0934" w:rsidRPr="00183F91" w:rsidRDefault="006E0934" w:rsidP="00B4234E">
            <w:pPr>
              <w:tabs>
                <w:tab w:val="left" w:pos="288"/>
                <w:tab w:val="left" w:pos="576"/>
                <w:tab w:val="left" w:pos="864"/>
                <w:tab w:val="left" w:pos="1152"/>
              </w:tabs>
              <w:suppressAutoHyphens/>
              <w:spacing w:before="40" w:after="40" w:line="210" w:lineRule="exact"/>
              <w:ind w:right="43"/>
              <w:rPr>
                <w:sz w:val="17"/>
                <w:lang w:val="fr-FR"/>
              </w:rPr>
            </w:pPr>
            <w:r w:rsidRPr="00183F91">
              <w:rPr>
                <w:sz w:val="17"/>
                <w:lang w:val="fr-FR"/>
              </w:rPr>
              <w:t>Crimes de violence familiale</w:t>
            </w:r>
          </w:p>
        </w:tc>
        <w:tc>
          <w:tcPr>
            <w:tcW w:w="1116" w:type="dxa"/>
            <w:shd w:val="clear" w:color="auto" w:fill="auto"/>
            <w:noWrap/>
            <w:tcMar>
              <w:top w:w="0" w:type="dxa"/>
              <w:left w:w="0" w:type="dxa"/>
              <w:bottom w:w="0" w:type="dxa"/>
              <w:right w:w="0" w:type="dxa"/>
            </w:tcMar>
            <w:vAlign w:val="bottom"/>
          </w:tcPr>
          <w:p w14:paraId="3B07A67F" w14:textId="77777777" w:rsidR="006E0934" w:rsidRPr="00183F91" w:rsidRDefault="006E0934" w:rsidP="00B4234E">
            <w:pPr>
              <w:tabs>
                <w:tab w:val="left" w:pos="288"/>
                <w:tab w:val="left" w:pos="576"/>
                <w:tab w:val="left" w:pos="864"/>
                <w:tab w:val="left" w:pos="1152"/>
              </w:tabs>
              <w:suppressAutoHyphens/>
              <w:spacing w:before="40" w:after="40" w:line="210" w:lineRule="exact"/>
              <w:ind w:right="43"/>
              <w:jc w:val="right"/>
              <w:rPr>
                <w:sz w:val="17"/>
                <w:lang w:val="fr-FR"/>
              </w:rPr>
            </w:pPr>
            <w:r w:rsidRPr="00183F91">
              <w:rPr>
                <w:sz w:val="17"/>
                <w:lang w:val="fr-FR"/>
              </w:rPr>
              <w:t>1 449</w:t>
            </w:r>
          </w:p>
        </w:tc>
        <w:tc>
          <w:tcPr>
            <w:tcW w:w="1117" w:type="dxa"/>
            <w:shd w:val="clear" w:color="auto" w:fill="auto"/>
            <w:noWrap/>
            <w:tcMar>
              <w:top w:w="0" w:type="dxa"/>
              <w:left w:w="0" w:type="dxa"/>
              <w:bottom w:w="0" w:type="dxa"/>
              <w:right w:w="0" w:type="dxa"/>
            </w:tcMar>
            <w:vAlign w:val="bottom"/>
          </w:tcPr>
          <w:p w14:paraId="2F8B37C5" w14:textId="77777777" w:rsidR="006E0934" w:rsidRPr="00183F91" w:rsidRDefault="006E0934" w:rsidP="00B4234E">
            <w:pPr>
              <w:tabs>
                <w:tab w:val="left" w:pos="288"/>
                <w:tab w:val="left" w:pos="576"/>
                <w:tab w:val="left" w:pos="864"/>
                <w:tab w:val="left" w:pos="1152"/>
              </w:tabs>
              <w:suppressAutoHyphens/>
              <w:spacing w:before="40" w:after="40" w:line="210" w:lineRule="exact"/>
              <w:ind w:right="43"/>
              <w:jc w:val="right"/>
              <w:rPr>
                <w:sz w:val="17"/>
                <w:lang w:val="fr-FR"/>
              </w:rPr>
            </w:pPr>
            <w:r w:rsidRPr="00183F91">
              <w:rPr>
                <w:sz w:val="17"/>
                <w:lang w:val="fr-FR"/>
              </w:rPr>
              <w:t>1 286</w:t>
            </w:r>
          </w:p>
        </w:tc>
        <w:tc>
          <w:tcPr>
            <w:tcW w:w="1117" w:type="dxa"/>
            <w:shd w:val="clear" w:color="auto" w:fill="auto"/>
            <w:noWrap/>
            <w:tcMar>
              <w:top w:w="0" w:type="dxa"/>
              <w:left w:w="0" w:type="dxa"/>
              <w:bottom w:w="0" w:type="dxa"/>
              <w:right w:w="0" w:type="dxa"/>
            </w:tcMar>
            <w:vAlign w:val="bottom"/>
          </w:tcPr>
          <w:p w14:paraId="0AE74E0C" w14:textId="77777777" w:rsidR="006E0934" w:rsidRPr="00183F91" w:rsidRDefault="006E0934" w:rsidP="00B4234E">
            <w:pPr>
              <w:tabs>
                <w:tab w:val="left" w:pos="288"/>
                <w:tab w:val="left" w:pos="576"/>
                <w:tab w:val="left" w:pos="864"/>
                <w:tab w:val="left" w:pos="1152"/>
              </w:tabs>
              <w:suppressAutoHyphens/>
              <w:spacing w:before="40" w:after="40" w:line="210" w:lineRule="exact"/>
              <w:ind w:right="43"/>
              <w:jc w:val="right"/>
              <w:rPr>
                <w:sz w:val="17"/>
                <w:lang w:val="fr-FR"/>
              </w:rPr>
            </w:pPr>
            <w:r w:rsidRPr="00183F91">
              <w:rPr>
                <w:sz w:val="17"/>
                <w:lang w:val="fr-FR"/>
              </w:rPr>
              <w:t>1 070</w:t>
            </w:r>
          </w:p>
        </w:tc>
        <w:tc>
          <w:tcPr>
            <w:tcW w:w="1117" w:type="dxa"/>
            <w:shd w:val="clear" w:color="auto" w:fill="auto"/>
            <w:noWrap/>
            <w:tcMar>
              <w:top w:w="0" w:type="dxa"/>
              <w:left w:w="0" w:type="dxa"/>
              <w:bottom w:w="0" w:type="dxa"/>
              <w:right w:w="0" w:type="dxa"/>
            </w:tcMar>
            <w:vAlign w:val="bottom"/>
          </w:tcPr>
          <w:p w14:paraId="66A9CECA" w14:textId="77777777" w:rsidR="006E0934" w:rsidRPr="00183F91" w:rsidRDefault="006E0934" w:rsidP="00B4234E">
            <w:pPr>
              <w:tabs>
                <w:tab w:val="left" w:pos="288"/>
                <w:tab w:val="left" w:pos="576"/>
                <w:tab w:val="left" w:pos="864"/>
                <w:tab w:val="left" w:pos="1152"/>
              </w:tabs>
              <w:suppressAutoHyphens/>
              <w:spacing w:before="40" w:after="40" w:line="210" w:lineRule="exact"/>
              <w:ind w:right="43"/>
              <w:jc w:val="right"/>
              <w:rPr>
                <w:sz w:val="17"/>
                <w:lang w:val="fr-FR"/>
              </w:rPr>
            </w:pPr>
            <w:r w:rsidRPr="00183F91">
              <w:rPr>
                <w:sz w:val="17"/>
                <w:lang w:val="fr-FR"/>
              </w:rPr>
              <w:t>985</w:t>
            </w:r>
          </w:p>
        </w:tc>
      </w:tr>
      <w:tr w:rsidR="006E0934" w:rsidRPr="00183F91" w14:paraId="1A906F04" w14:textId="77777777" w:rsidTr="00B4234E">
        <w:tc>
          <w:tcPr>
            <w:tcW w:w="270" w:type="dxa"/>
            <w:shd w:val="clear" w:color="auto" w:fill="auto"/>
            <w:noWrap/>
            <w:tcMar>
              <w:top w:w="0" w:type="dxa"/>
              <w:left w:w="0" w:type="dxa"/>
              <w:bottom w:w="0" w:type="dxa"/>
              <w:right w:w="0" w:type="dxa"/>
            </w:tcMar>
            <w:vAlign w:val="bottom"/>
          </w:tcPr>
          <w:p w14:paraId="0EDB8E2E" w14:textId="77777777" w:rsidR="006E0934" w:rsidRPr="00183F91" w:rsidRDefault="006E0934" w:rsidP="00B4234E">
            <w:pPr>
              <w:tabs>
                <w:tab w:val="left" w:pos="288"/>
                <w:tab w:val="left" w:pos="576"/>
                <w:tab w:val="left" w:pos="864"/>
                <w:tab w:val="left" w:pos="1152"/>
              </w:tabs>
              <w:suppressAutoHyphens/>
              <w:spacing w:before="40" w:after="40" w:line="210" w:lineRule="exact"/>
              <w:ind w:right="40"/>
              <w:rPr>
                <w:sz w:val="17"/>
                <w:lang w:val="fr-FR"/>
              </w:rPr>
            </w:pPr>
            <w:r w:rsidRPr="00183F91">
              <w:rPr>
                <w:sz w:val="17"/>
                <w:lang w:val="fr-FR"/>
              </w:rPr>
              <w:t>3</w:t>
            </w:r>
          </w:p>
        </w:tc>
        <w:tc>
          <w:tcPr>
            <w:tcW w:w="2583" w:type="dxa"/>
            <w:shd w:val="clear" w:color="auto" w:fill="auto"/>
            <w:noWrap/>
            <w:tcMar>
              <w:top w:w="0" w:type="dxa"/>
              <w:left w:w="0" w:type="dxa"/>
              <w:bottom w:w="0" w:type="dxa"/>
              <w:right w:w="0" w:type="dxa"/>
            </w:tcMar>
            <w:vAlign w:val="bottom"/>
          </w:tcPr>
          <w:p w14:paraId="17EA25B9" w14:textId="0C24A4E5" w:rsidR="006E0934" w:rsidRPr="00183F91" w:rsidRDefault="006E0934" w:rsidP="00B4234E">
            <w:pPr>
              <w:tabs>
                <w:tab w:val="left" w:pos="288"/>
                <w:tab w:val="left" w:pos="576"/>
                <w:tab w:val="left" w:pos="864"/>
                <w:tab w:val="left" w:pos="1152"/>
              </w:tabs>
              <w:suppressAutoHyphens/>
              <w:spacing w:before="40" w:after="40" w:line="210" w:lineRule="exact"/>
              <w:ind w:right="43"/>
              <w:rPr>
                <w:sz w:val="17"/>
                <w:lang w:val="fr-FR"/>
              </w:rPr>
            </w:pPr>
            <w:r w:rsidRPr="00183F91">
              <w:rPr>
                <w:sz w:val="17"/>
                <w:lang w:val="fr-FR"/>
              </w:rPr>
              <w:t>Variation par rapport à l</w:t>
            </w:r>
            <w:r w:rsidR="00442D55" w:rsidRPr="00183F91">
              <w:rPr>
                <w:sz w:val="17"/>
                <w:lang w:val="fr-FR"/>
              </w:rPr>
              <w:t>’</w:t>
            </w:r>
            <w:r w:rsidRPr="00183F91">
              <w:rPr>
                <w:sz w:val="17"/>
                <w:lang w:val="fr-FR"/>
              </w:rPr>
              <w:t>année précédente (en pourcentage)</w:t>
            </w:r>
          </w:p>
        </w:tc>
        <w:tc>
          <w:tcPr>
            <w:tcW w:w="1116" w:type="dxa"/>
            <w:shd w:val="clear" w:color="auto" w:fill="auto"/>
            <w:noWrap/>
            <w:tcMar>
              <w:top w:w="0" w:type="dxa"/>
              <w:left w:w="0" w:type="dxa"/>
              <w:bottom w:w="0" w:type="dxa"/>
              <w:right w:w="0" w:type="dxa"/>
            </w:tcMar>
            <w:vAlign w:val="bottom"/>
          </w:tcPr>
          <w:p w14:paraId="0CB5E7BA" w14:textId="0D34003F" w:rsidR="006E0934" w:rsidRPr="00183F91" w:rsidRDefault="00B4234E" w:rsidP="00B4234E">
            <w:pPr>
              <w:tabs>
                <w:tab w:val="left" w:pos="288"/>
                <w:tab w:val="left" w:pos="576"/>
                <w:tab w:val="left" w:pos="864"/>
                <w:tab w:val="left" w:pos="1152"/>
              </w:tabs>
              <w:suppressAutoHyphens/>
              <w:spacing w:before="40" w:after="40" w:line="210" w:lineRule="exact"/>
              <w:ind w:right="43"/>
              <w:jc w:val="right"/>
              <w:rPr>
                <w:sz w:val="17"/>
                <w:lang w:val="fr-FR"/>
              </w:rPr>
            </w:pPr>
            <w:r w:rsidRPr="00183F91">
              <w:rPr>
                <w:sz w:val="17"/>
                <w:lang w:val="fr-FR"/>
              </w:rPr>
              <w:t>–</w:t>
            </w:r>
          </w:p>
        </w:tc>
        <w:tc>
          <w:tcPr>
            <w:tcW w:w="1117" w:type="dxa"/>
            <w:shd w:val="clear" w:color="auto" w:fill="auto"/>
            <w:noWrap/>
            <w:tcMar>
              <w:top w:w="0" w:type="dxa"/>
              <w:left w:w="0" w:type="dxa"/>
              <w:bottom w:w="0" w:type="dxa"/>
              <w:right w:w="0" w:type="dxa"/>
            </w:tcMar>
            <w:vAlign w:val="bottom"/>
          </w:tcPr>
          <w:p w14:paraId="398782EB" w14:textId="77777777" w:rsidR="006E0934" w:rsidRPr="00183F91" w:rsidRDefault="006E0934" w:rsidP="00B4234E">
            <w:pPr>
              <w:tabs>
                <w:tab w:val="left" w:pos="288"/>
                <w:tab w:val="left" w:pos="576"/>
                <w:tab w:val="left" w:pos="864"/>
                <w:tab w:val="left" w:pos="1152"/>
              </w:tabs>
              <w:suppressAutoHyphens/>
              <w:spacing w:before="40" w:after="40" w:line="210" w:lineRule="exact"/>
              <w:ind w:right="43"/>
              <w:jc w:val="right"/>
              <w:rPr>
                <w:sz w:val="17"/>
                <w:lang w:val="fr-FR"/>
              </w:rPr>
            </w:pPr>
            <w:r w:rsidRPr="00183F91">
              <w:rPr>
                <w:sz w:val="17"/>
                <w:lang w:val="fr-FR"/>
              </w:rPr>
              <w:t>-11,2</w:t>
            </w:r>
          </w:p>
        </w:tc>
        <w:tc>
          <w:tcPr>
            <w:tcW w:w="1117" w:type="dxa"/>
            <w:shd w:val="clear" w:color="auto" w:fill="auto"/>
            <w:noWrap/>
            <w:tcMar>
              <w:top w:w="0" w:type="dxa"/>
              <w:left w:w="0" w:type="dxa"/>
              <w:bottom w:w="0" w:type="dxa"/>
              <w:right w:w="0" w:type="dxa"/>
            </w:tcMar>
            <w:vAlign w:val="bottom"/>
          </w:tcPr>
          <w:p w14:paraId="1EB63BA1" w14:textId="77777777" w:rsidR="006E0934" w:rsidRPr="00183F91" w:rsidRDefault="006E0934" w:rsidP="00B4234E">
            <w:pPr>
              <w:tabs>
                <w:tab w:val="left" w:pos="288"/>
                <w:tab w:val="left" w:pos="576"/>
                <w:tab w:val="left" w:pos="864"/>
                <w:tab w:val="left" w:pos="1152"/>
              </w:tabs>
              <w:suppressAutoHyphens/>
              <w:spacing w:before="40" w:after="40" w:line="210" w:lineRule="exact"/>
              <w:ind w:right="43"/>
              <w:jc w:val="right"/>
              <w:rPr>
                <w:sz w:val="17"/>
                <w:lang w:val="fr-FR"/>
              </w:rPr>
            </w:pPr>
            <w:r w:rsidRPr="00183F91">
              <w:rPr>
                <w:sz w:val="17"/>
                <w:lang w:val="fr-FR"/>
              </w:rPr>
              <w:t>-16,8</w:t>
            </w:r>
          </w:p>
        </w:tc>
        <w:tc>
          <w:tcPr>
            <w:tcW w:w="1117" w:type="dxa"/>
            <w:shd w:val="clear" w:color="auto" w:fill="auto"/>
            <w:noWrap/>
            <w:tcMar>
              <w:top w:w="0" w:type="dxa"/>
              <w:left w:w="0" w:type="dxa"/>
              <w:bottom w:w="0" w:type="dxa"/>
              <w:right w:w="0" w:type="dxa"/>
            </w:tcMar>
            <w:vAlign w:val="bottom"/>
          </w:tcPr>
          <w:p w14:paraId="501A4330" w14:textId="77777777" w:rsidR="006E0934" w:rsidRPr="00183F91" w:rsidRDefault="006E0934" w:rsidP="00B4234E">
            <w:pPr>
              <w:tabs>
                <w:tab w:val="left" w:pos="288"/>
                <w:tab w:val="left" w:pos="576"/>
                <w:tab w:val="left" w:pos="864"/>
                <w:tab w:val="left" w:pos="1152"/>
              </w:tabs>
              <w:suppressAutoHyphens/>
              <w:spacing w:before="40" w:after="40" w:line="210" w:lineRule="exact"/>
              <w:ind w:right="43"/>
              <w:jc w:val="right"/>
              <w:rPr>
                <w:sz w:val="17"/>
                <w:lang w:val="fr-FR"/>
              </w:rPr>
            </w:pPr>
            <w:r w:rsidRPr="00183F91">
              <w:rPr>
                <w:sz w:val="17"/>
                <w:lang w:val="fr-FR"/>
              </w:rPr>
              <w:t>-7,9</w:t>
            </w:r>
          </w:p>
        </w:tc>
      </w:tr>
      <w:tr w:rsidR="006E0934" w:rsidRPr="00183F91" w14:paraId="7104FB28" w14:textId="77777777" w:rsidTr="00B4234E">
        <w:tc>
          <w:tcPr>
            <w:tcW w:w="270" w:type="dxa"/>
            <w:shd w:val="clear" w:color="auto" w:fill="auto"/>
            <w:noWrap/>
            <w:tcMar>
              <w:top w:w="0" w:type="dxa"/>
              <w:left w:w="0" w:type="dxa"/>
              <w:bottom w:w="0" w:type="dxa"/>
              <w:right w:w="0" w:type="dxa"/>
            </w:tcMar>
            <w:vAlign w:val="bottom"/>
          </w:tcPr>
          <w:p w14:paraId="31FFB97B" w14:textId="77777777" w:rsidR="006E0934" w:rsidRPr="00183F91" w:rsidRDefault="006E0934" w:rsidP="00B4234E">
            <w:pPr>
              <w:tabs>
                <w:tab w:val="left" w:pos="288"/>
                <w:tab w:val="left" w:pos="576"/>
                <w:tab w:val="left" w:pos="864"/>
                <w:tab w:val="left" w:pos="1152"/>
              </w:tabs>
              <w:suppressAutoHyphens/>
              <w:spacing w:before="40" w:after="40" w:line="210" w:lineRule="exact"/>
              <w:ind w:right="40"/>
              <w:rPr>
                <w:sz w:val="17"/>
                <w:lang w:val="fr-FR"/>
              </w:rPr>
            </w:pPr>
            <w:r w:rsidRPr="00183F91">
              <w:rPr>
                <w:sz w:val="17"/>
                <w:lang w:val="fr-FR"/>
              </w:rPr>
              <w:t>4</w:t>
            </w:r>
          </w:p>
        </w:tc>
        <w:tc>
          <w:tcPr>
            <w:tcW w:w="2583" w:type="dxa"/>
            <w:shd w:val="clear" w:color="auto" w:fill="auto"/>
            <w:noWrap/>
            <w:tcMar>
              <w:top w:w="0" w:type="dxa"/>
              <w:left w:w="0" w:type="dxa"/>
              <w:bottom w:w="0" w:type="dxa"/>
              <w:right w:w="0" w:type="dxa"/>
            </w:tcMar>
            <w:vAlign w:val="bottom"/>
          </w:tcPr>
          <w:p w14:paraId="3A7B7309" w14:textId="77777777" w:rsidR="006E0934" w:rsidRPr="00183F91" w:rsidRDefault="006E0934" w:rsidP="00B4234E">
            <w:pPr>
              <w:tabs>
                <w:tab w:val="left" w:pos="288"/>
                <w:tab w:val="left" w:pos="576"/>
                <w:tab w:val="left" w:pos="864"/>
                <w:tab w:val="left" w:pos="1152"/>
              </w:tabs>
              <w:suppressAutoHyphens/>
              <w:spacing w:before="40" w:after="40" w:line="210" w:lineRule="exact"/>
              <w:ind w:right="43"/>
              <w:rPr>
                <w:sz w:val="17"/>
                <w:lang w:val="fr-FR"/>
              </w:rPr>
            </w:pPr>
            <w:r w:rsidRPr="00183F91">
              <w:rPr>
                <w:sz w:val="17"/>
                <w:lang w:val="fr-FR"/>
              </w:rPr>
              <w:t>Nombre de victimes</w:t>
            </w:r>
          </w:p>
        </w:tc>
        <w:tc>
          <w:tcPr>
            <w:tcW w:w="1116" w:type="dxa"/>
            <w:shd w:val="clear" w:color="auto" w:fill="auto"/>
            <w:noWrap/>
            <w:tcMar>
              <w:top w:w="0" w:type="dxa"/>
              <w:left w:w="0" w:type="dxa"/>
              <w:bottom w:w="0" w:type="dxa"/>
              <w:right w:w="0" w:type="dxa"/>
            </w:tcMar>
            <w:vAlign w:val="bottom"/>
          </w:tcPr>
          <w:p w14:paraId="2CF8E175" w14:textId="77777777" w:rsidR="006E0934" w:rsidRPr="00183F91" w:rsidRDefault="006E0934" w:rsidP="00B4234E">
            <w:pPr>
              <w:tabs>
                <w:tab w:val="left" w:pos="288"/>
                <w:tab w:val="left" w:pos="576"/>
                <w:tab w:val="left" w:pos="864"/>
                <w:tab w:val="left" w:pos="1152"/>
              </w:tabs>
              <w:suppressAutoHyphens/>
              <w:spacing w:before="40" w:after="40" w:line="210" w:lineRule="exact"/>
              <w:ind w:right="43"/>
              <w:jc w:val="right"/>
              <w:rPr>
                <w:sz w:val="17"/>
                <w:lang w:val="fr-FR"/>
              </w:rPr>
            </w:pPr>
            <w:r w:rsidRPr="00183F91">
              <w:rPr>
                <w:sz w:val="17"/>
                <w:lang w:val="fr-FR"/>
              </w:rPr>
              <w:t>1 357</w:t>
            </w:r>
          </w:p>
        </w:tc>
        <w:tc>
          <w:tcPr>
            <w:tcW w:w="1117" w:type="dxa"/>
            <w:shd w:val="clear" w:color="auto" w:fill="auto"/>
            <w:noWrap/>
            <w:tcMar>
              <w:top w:w="0" w:type="dxa"/>
              <w:left w:w="0" w:type="dxa"/>
              <w:bottom w:w="0" w:type="dxa"/>
              <w:right w:w="0" w:type="dxa"/>
            </w:tcMar>
            <w:vAlign w:val="bottom"/>
          </w:tcPr>
          <w:p w14:paraId="62EE2064" w14:textId="77777777" w:rsidR="006E0934" w:rsidRPr="00183F91" w:rsidRDefault="006E0934" w:rsidP="00B4234E">
            <w:pPr>
              <w:tabs>
                <w:tab w:val="left" w:pos="288"/>
                <w:tab w:val="left" w:pos="576"/>
                <w:tab w:val="left" w:pos="864"/>
                <w:tab w:val="left" w:pos="1152"/>
              </w:tabs>
              <w:suppressAutoHyphens/>
              <w:spacing w:before="40" w:after="40" w:line="210" w:lineRule="exact"/>
              <w:ind w:right="43"/>
              <w:jc w:val="right"/>
              <w:rPr>
                <w:sz w:val="17"/>
                <w:lang w:val="fr-FR"/>
              </w:rPr>
            </w:pPr>
            <w:r w:rsidRPr="00183F91">
              <w:rPr>
                <w:sz w:val="17"/>
                <w:lang w:val="fr-FR"/>
              </w:rPr>
              <w:t>1 120</w:t>
            </w:r>
          </w:p>
        </w:tc>
        <w:tc>
          <w:tcPr>
            <w:tcW w:w="1117" w:type="dxa"/>
            <w:shd w:val="clear" w:color="auto" w:fill="auto"/>
            <w:noWrap/>
            <w:tcMar>
              <w:top w:w="0" w:type="dxa"/>
              <w:left w:w="0" w:type="dxa"/>
              <w:bottom w:w="0" w:type="dxa"/>
              <w:right w:w="0" w:type="dxa"/>
            </w:tcMar>
            <w:vAlign w:val="bottom"/>
          </w:tcPr>
          <w:p w14:paraId="645D82D4" w14:textId="77777777" w:rsidR="006E0934" w:rsidRPr="00183F91" w:rsidRDefault="006E0934" w:rsidP="00B4234E">
            <w:pPr>
              <w:tabs>
                <w:tab w:val="left" w:pos="288"/>
                <w:tab w:val="left" w:pos="576"/>
                <w:tab w:val="left" w:pos="864"/>
                <w:tab w:val="left" w:pos="1152"/>
              </w:tabs>
              <w:suppressAutoHyphens/>
              <w:spacing w:before="40" w:after="40" w:line="210" w:lineRule="exact"/>
              <w:ind w:right="43"/>
              <w:jc w:val="right"/>
              <w:rPr>
                <w:sz w:val="17"/>
                <w:lang w:val="fr-FR"/>
              </w:rPr>
            </w:pPr>
            <w:r w:rsidRPr="00183F91">
              <w:rPr>
                <w:sz w:val="17"/>
                <w:lang w:val="fr-FR"/>
              </w:rPr>
              <w:t>797</w:t>
            </w:r>
          </w:p>
        </w:tc>
        <w:tc>
          <w:tcPr>
            <w:tcW w:w="1117" w:type="dxa"/>
            <w:shd w:val="clear" w:color="auto" w:fill="auto"/>
            <w:noWrap/>
            <w:tcMar>
              <w:top w:w="0" w:type="dxa"/>
              <w:left w:w="0" w:type="dxa"/>
              <w:bottom w:w="0" w:type="dxa"/>
              <w:right w:w="0" w:type="dxa"/>
            </w:tcMar>
            <w:vAlign w:val="bottom"/>
          </w:tcPr>
          <w:p w14:paraId="7270EB6F" w14:textId="77777777" w:rsidR="006E0934" w:rsidRPr="00183F91" w:rsidRDefault="006E0934" w:rsidP="00B4234E">
            <w:pPr>
              <w:tabs>
                <w:tab w:val="left" w:pos="288"/>
                <w:tab w:val="left" w:pos="576"/>
                <w:tab w:val="left" w:pos="864"/>
                <w:tab w:val="left" w:pos="1152"/>
              </w:tabs>
              <w:suppressAutoHyphens/>
              <w:spacing w:before="40" w:after="40" w:line="210" w:lineRule="exact"/>
              <w:ind w:right="43"/>
              <w:jc w:val="right"/>
              <w:rPr>
                <w:sz w:val="17"/>
                <w:lang w:val="fr-FR"/>
              </w:rPr>
            </w:pPr>
            <w:r w:rsidRPr="00183F91">
              <w:rPr>
                <w:sz w:val="17"/>
                <w:lang w:val="fr-FR"/>
              </w:rPr>
              <w:t>894</w:t>
            </w:r>
          </w:p>
        </w:tc>
      </w:tr>
      <w:tr w:rsidR="006E0934" w:rsidRPr="00183F91" w14:paraId="6645EFA3" w14:textId="77777777" w:rsidTr="00B4234E">
        <w:tc>
          <w:tcPr>
            <w:tcW w:w="270" w:type="dxa"/>
            <w:shd w:val="clear" w:color="auto" w:fill="auto"/>
            <w:noWrap/>
            <w:tcMar>
              <w:top w:w="0" w:type="dxa"/>
              <w:left w:w="0" w:type="dxa"/>
              <w:bottom w:w="0" w:type="dxa"/>
              <w:right w:w="0" w:type="dxa"/>
            </w:tcMar>
            <w:vAlign w:val="bottom"/>
          </w:tcPr>
          <w:p w14:paraId="672414DB" w14:textId="77777777" w:rsidR="006E0934" w:rsidRPr="00183F91" w:rsidRDefault="006E0934" w:rsidP="00B4234E">
            <w:pPr>
              <w:tabs>
                <w:tab w:val="left" w:pos="288"/>
                <w:tab w:val="left" w:pos="576"/>
                <w:tab w:val="left" w:pos="864"/>
                <w:tab w:val="left" w:pos="1152"/>
              </w:tabs>
              <w:suppressAutoHyphens/>
              <w:spacing w:before="40" w:after="40" w:line="210" w:lineRule="exact"/>
              <w:ind w:right="40"/>
              <w:rPr>
                <w:sz w:val="17"/>
                <w:lang w:val="fr-FR"/>
              </w:rPr>
            </w:pPr>
            <w:r w:rsidRPr="00183F91">
              <w:rPr>
                <w:sz w:val="17"/>
                <w:lang w:val="fr-FR"/>
              </w:rPr>
              <w:t>5</w:t>
            </w:r>
          </w:p>
        </w:tc>
        <w:tc>
          <w:tcPr>
            <w:tcW w:w="2583" w:type="dxa"/>
            <w:shd w:val="clear" w:color="auto" w:fill="auto"/>
            <w:noWrap/>
            <w:tcMar>
              <w:top w:w="0" w:type="dxa"/>
              <w:left w:w="0" w:type="dxa"/>
              <w:bottom w:w="0" w:type="dxa"/>
              <w:right w:w="0" w:type="dxa"/>
            </w:tcMar>
            <w:vAlign w:val="bottom"/>
          </w:tcPr>
          <w:p w14:paraId="6E4101FA" w14:textId="69E4D02F" w:rsidR="006E0934" w:rsidRPr="00183F91" w:rsidRDefault="006E0934" w:rsidP="00B4234E">
            <w:pPr>
              <w:tabs>
                <w:tab w:val="left" w:pos="288"/>
                <w:tab w:val="left" w:pos="576"/>
                <w:tab w:val="left" w:pos="864"/>
                <w:tab w:val="left" w:pos="1152"/>
              </w:tabs>
              <w:suppressAutoHyphens/>
              <w:spacing w:before="40" w:after="40" w:line="210" w:lineRule="exact"/>
              <w:ind w:right="43"/>
              <w:rPr>
                <w:sz w:val="17"/>
                <w:lang w:val="fr-FR"/>
              </w:rPr>
            </w:pPr>
            <w:r w:rsidRPr="00183F91">
              <w:rPr>
                <w:sz w:val="17"/>
                <w:lang w:val="fr-FR"/>
              </w:rPr>
              <w:t>Variation par rapport à l</w:t>
            </w:r>
            <w:r w:rsidR="00442D55" w:rsidRPr="00183F91">
              <w:rPr>
                <w:sz w:val="17"/>
                <w:lang w:val="fr-FR"/>
              </w:rPr>
              <w:t>’</w:t>
            </w:r>
            <w:r w:rsidRPr="00183F91">
              <w:rPr>
                <w:sz w:val="17"/>
                <w:lang w:val="fr-FR"/>
              </w:rPr>
              <w:t>année précédente (en pourcentage)</w:t>
            </w:r>
          </w:p>
        </w:tc>
        <w:tc>
          <w:tcPr>
            <w:tcW w:w="1116" w:type="dxa"/>
            <w:shd w:val="clear" w:color="auto" w:fill="auto"/>
            <w:noWrap/>
            <w:tcMar>
              <w:top w:w="0" w:type="dxa"/>
              <w:left w:w="0" w:type="dxa"/>
              <w:bottom w:w="0" w:type="dxa"/>
              <w:right w:w="0" w:type="dxa"/>
            </w:tcMar>
            <w:vAlign w:val="bottom"/>
          </w:tcPr>
          <w:p w14:paraId="4EF5CDA7" w14:textId="38203B52" w:rsidR="006E0934" w:rsidRPr="00183F91" w:rsidRDefault="00B4234E" w:rsidP="00B4234E">
            <w:pPr>
              <w:tabs>
                <w:tab w:val="left" w:pos="288"/>
                <w:tab w:val="left" w:pos="576"/>
                <w:tab w:val="left" w:pos="864"/>
                <w:tab w:val="left" w:pos="1152"/>
              </w:tabs>
              <w:suppressAutoHyphens/>
              <w:spacing w:before="40" w:after="40" w:line="210" w:lineRule="exact"/>
              <w:ind w:right="43"/>
              <w:jc w:val="right"/>
              <w:rPr>
                <w:sz w:val="17"/>
                <w:lang w:val="fr-FR"/>
              </w:rPr>
            </w:pPr>
            <w:r w:rsidRPr="00183F91">
              <w:rPr>
                <w:sz w:val="17"/>
                <w:lang w:val="fr-FR"/>
              </w:rPr>
              <w:t>–</w:t>
            </w:r>
          </w:p>
        </w:tc>
        <w:tc>
          <w:tcPr>
            <w:tcW w:w="1117" w:type="dxa"/>
            <w:shd w:val="clear" w:color="auto" w:fill="auto"/>
            <w:noWrap/>
            <w:tcMar>
              <w:top w:w="0" w:type="dxa"/>
              <w:left w:w="0" w:type="dxa"/>
              <w:bottom w:w="0" w:type="dxa"/>
              <w:right w:w="0" w:type="dxa"/>
            </w:tcMar>
            <w:vAlign w:val="bottom"/>
          </w:tcPr>
          <w:p w14:paraId="46DF66FE" w14:textId="77777777" w:rsidR="006E0934" w:rsidRPr="00183F91" w:rsidRDefault="006E0934" w:rsidP="00B4234E">
            <w:pPr>
              <w:tabs>
                <w:tab w:val="left" w:pos="288"/>
                <w:tab w:val="left" w:pos="576"/>
                <w:tab w:val="left" w:pos="864"/>
                <w:tab w:val="left" w:pos="1152"/>
              </w:tabs>
              <w:suppressAutoHyphens/>
              <w:spacing w:before="40" w:after="40" w:line="210" w:lineRule="exact"/>
              <w:ind w:right="43"/>
              <w:jc w:val="right"/>
              <w:rPr>
                <w:sz w:val="17"/>
                <w:lang w:val="fr-FR"/>
              </w:rPr>
            </w:pPr>
            <w:r w:rsidRPr="00183F91">
              <w:rPr>
                <w:sz w:val="17"/>
                <w:lang w:val="fr-FR"/>
              </w:rPr>
              <w:t>-17,4</w:t>
            </w:r>
          </w:p>
        </w:tc>
        <w:tc>
          <w:tcPr>
            <w:tcW w:w="1117" w:type="dxa"/>
            <w:shd w:val="clear" w:color="auto" w:fill="auto"/>
            <w:noWrap/>
            <w:tcMar>
              <w:top w:w="0" w:type="dxa"/>
              <w:left w:w="0" w:type="dxa"/>
              <w:bottom w:w="0" w:type="dxa"/>
              <w:right w:w="0" w:type="dxa"/>
            </w:tcMar>
            <w:vAlign w:val="bottom"/>
          </w:tcPr>
          <w:p w14:paraId="037F0AA0" w14:textId="77777777" w:rsidR="006E0934" w:rsidRPr="00183F91" w:rsidRDefault="006E0934" w:rsidP="00B4234E">
            <w:pPr>
              <w:tabs>
                <w:tab w:val="left" w:pos="288"/>
                <w:tab w:val="left" w:pos="576"/>
                <w:tab w:val="left" w:pos="864"/>
                <w:tab w:val="left" w:pos="1152"/>
              </w:tabs>
              <w:suppressAutoHyphens/>
              <w:spacing w:before="40" w:after="40" w:line="210" w:lineRule="exact"/>
              <w:ind w:right="43"/>
              <w:jc w:val="right"/>
              <w:rPr>
                <w:sz w:val="17"/>
                <w:lang w:val="fr-FR"/>
              </w:rPr>
            </w:pPr>
            <w:r w:rsidRPr="00183F91">
              <w:rPr>
                <w:sz w:val="17"/>
                <w:lang w:val="fr-FR"/>
              </w:rPr>
              <w:t>-28,8</w:t>
            </w:r>
          </w:p>
        </w:tc>
        <w:tc>
          <w:tcPr>
            <w:tcW w:w="1117" w:type="dxa"/>
            <w:shd w:val="clear" w:color="auto" w:fill="auto"/>
            <w:noWrap/>
            <w:tcMar>
              <w:top w:w="0" w:type="dxa"/>
              <w:left w:w="0" w:type="dxa"/>
              <w:bottom w:w="0" w:type="dxa"/>
              <w:right w:w="0" w:type="dxa"/>
            </w:tcMar>
            <w:vAlign w:val="bottom"/>
          </w:tcPr>
          <w:p w14:paraId="3BC74244" w14:textId="77777777" w:rsidR="006E0934" w:rsidRPr="00183F91" w:rsidRDefault="006E0934" w:rsidP="00B4234E">
            <w:pPr>
              <w:tabs>
                <w:tab w:val="left" w:pos="288"/>
                <w:tab w:val="left" w:pos="576"/>
                <w:tab w:val="left" w:pos="864"/>
                <w:tab w:val="left" w:pos="1152"/>
              </w:tabs>
              <w:suppressAutoHyphens/>
              <w:spacing w:before="40" w:after="40" w:line="210" w:lineRule="exact"/>
              <w:ind w:right="43"/>
              <w:jc w:val="right"/>
              <w:rPr>
                <w:sz w:val="17"/>
                <w:lang w:val="fr-FR"/>
              </w:rPr>
            </w:pPr>
            <w:r w:rsidRPr="00183F91">
              <w:rPr>
                <w:sz w:val="17"/>
                <w:lang w:val="fr-FR"/>
              </w:rPr>
              <w:t>+12,1</w:t>
            </w:r>
          </w:p>
        </w:tc>
      </w:tr>
      <w:tr w:rsidR="006E0934" w:rsidRPr="00183F91" w14:paraId="1382DC36" w14:textId="77777777" w:rsidTr="00B4234E">
        <w:tc>
          <w:tcPr>
            <w:tcW w:w="270" w:type="dxa"/>
            <w:shd w:val="clear" w:color="auto" w:fill="auto"/>
            <w:noWrap/>
            <w:tcMar>
              <w:top w:w="0" w:type="dxa"/>
              <w:left w:w="0" w:type="dxa"/>
              <w:bottom w:w="0" w:type="dxa"/>
              <w:right w:w="0" w:type="dxa"/>
            </w:tcMar>
            <w:vAlign w:val="bottom"/>
          </w:tcPr>
          <w:p w14:paraId="24071E40" w14:textId="77777777" w:rsidR="006E0934" w:rsidRPr="00183F91" w:rsidRDefault="006E0934" w:rsidP="00B4234E">
            <w:pPr>
              <w:tabs>
                <w:tab w:val="left" w:pos="288"/>
                <w:tab w:val="left" w:pos="576"/>
                <w:tab w:val="left" w:pos="864"/>
                <w:tab w:val="left" w:pos="1152"/>
              </w:tabs>
              <w:suppressAutoHyphens/>
              <w:spacing w:before="40" w:after="40" w:line="210" w:lineRule="exact"/>
              <w:ind w:right="40"/>
              <w:rPr>
                <w:sz w:val="17"/>
                <w:lang w:val="fr-FR"/>
              </w:rPr>
            </w:pPr>
            <w:r w:rsidRPr="00183F91">
              <w:rPr>
                <w:sz w:val="17"/>
                <w:lang w:val="fr-FR"/>
              </w:rPr>
              <w:t>6</w:t>
            </w:r>
          </w:p>
        </w:tc>
        <w:tc>
          <w:tcPr>
            <w:tcW w:w="2583" w:type="dxa"/>
            <w:shd w:val="clear" w:color="auto" w:fill="auto"/>
            <w:noWrap/>
            <w:tcMar>
              <w:top w:w="0" w:type="dxa"/>
              <w:left w:w="0" w:type="dxa"/>
              <w:bottom w:w="0" w:type="dxa"/>
              <w:right w:w="0" w:type="dxa"/>
            </w:tcMar>
            <w:vAlign w:val="bottom"/>
          </w:tcPr>
          <w:p w14:paraId="40205584" w14:textId="77777777" w:rsidR="006E0934" w:rsidRPr="00183F91" w:rsidRDefault="006E0934" w:rsidP="00B4234E">
            <w:pPr>
              <w:tabs>
                <w:tab w:val="left" w:pos="288"/>
                <w:tab w:val="left" w:pos="576"/>
                <w:tab w:val="left" w:pos="864"/>
                <w:tab w:val="left" w:pos="1152"/>
              </w:tabs>
              <w:suppressAutoHyphens/>
              <w:spacing w:before="40" w:after="40" w:line="210" w:lineRule="exact"/>
              <w:ind w:right="43"/>
              <w:rPr>
                <w:sz w:val="17"/>
                <w:lang w:val="fr-FR"/>
              </w:rPr>
            </w:pPr>
            <w:r w:rsidRPr="00183F91">
              <w:rPr>
                <w:sz w:val="17"/>
                <w:lang w:val="fr-FR"/>
              </w:rPr>
              <w:t>Violations</w:t>
            </w:r>
          </w:p>
        </w:tc>
        <w:tc>
          <w:tcPr>
            <w:tcW w:w="1116" w:type="dxa"/>
            <w:shd w:val="clear" w:color="auto" w:fill="auto"/>
            <w:noWrap/>
            <w:tcMar>
              <w:top w:w="0" w:type="dxa"/>
              <w:left w:w="0" w:type="dxa"/>
              <w:bottom w:w="0" w:type="dxa"/>
              <w:right w:w="0" w:type="dxa"/>
            </w:tcMar>
            <w:vAlign w:val="bottom"/>
          </w:tcPr>
          <w:p w14:paraId="337D81BF" w14:textId="77777777" w:rsidR="006E0934" w:rsidRPr="00183F91" w:rsidRDefault="006E0934" w:rsidP="00B4234E">
            <w:pPr>
              <w:tabs>
                <w:tab w:val="left" w:pos="288"/>
                <w:tab w:val="left" w:pos="576"/>
                <w:tab w:val="left" w:pos="864"/>
                <w:tab w:val="left" w:pos="1152"/>
              </w:tabs>
              <w:suppressAutoHyphens/>
              <w:spacing w:before="40" w:after="40" w:line="210" w:lineRule="exact"/>
              <w:ind w:right="43"/>
              <w:jc w:val="right"/>
              <w:rPr>
                <w:sz w:val="17"/>
                <w:lang w:val="fr-FR"/>
              </w:rPr>
            </w:pPr>
            <w:r w:rsidRPr="00183F91">
              <w:rPr>
                <w:sz w:val="17"/>
                <w:lang w:val="fr-FR"/>
              </w:rPr>
              <w:t>1 886</w:t>
            </w:r>
          </w:p>
        </w:tc>
        <w:tc>
          <w:tcPr>
            <w:tcW w:w="1117" w:type="dxa"/>
            <w:shd w:val="clear" w:color="auto" w:fill="auto"/>
            <w:noWrap/>
            <w:tcMar>
              <w:top w:w="0" w:type="dxa"/>
              <w:left w:w="0" w:type="dxa"/>
              <w:bottom w:w="0" w:type="dxa"/>
              <w:right w:w="0" w:type="dxa"/>
            </w:tcMar>
            <w:vAlign w:val="bottom"/>
          </w:tcPr>
          <w:p w14:paraId="70E7393A" w14:textId="77777777" w:rsidR="006E0934" w:rsidRPr="00183F91" w:rsidRDefault="006E0934" w:rsidP="00B4234E">
            <w:pPr>
              <w:tabs>
                <w:tab w:val="left" w:pos="288"/>
                <w:tab w:val="left" w:pos="576"/>
                <w:tab w:val="left" w:pos="864"/>
                <w:tab w:val="left" w:pos="1152"/>
              </w:tabs>
              <w:suppressAutoHyphens/>
              <w:spacing w:before="40" w:after="40" w:line="210" w:lineRule="exact"/>
              <w:ind w:right="43"/>
              <w:jc w:val="right"/>
              <w:rPr>
                <w:sz w:val="17"/>
                <w:lang w:val="fr-FR"/>
              </w:rPr>
            </w:pPr>
            <w:r w:rsidRPr="00183F91">
              <w:rPr>
                <w:sz w:val="17"/>
                <w:lang w:val="fr-FR"/>
              </w:rPr>
              <w:t>4 369</w:t>
            </w:r>
          </w:p>
        </w:tc>
        <w:tc>
          <w:tcPr>
            <w:tcW w:w="1117" w:type="dxa"/>
            <w:shd w:val="clear" w:color="auto" w:fill="auto"/>
            <w:noWrap/>
            <w:tcMar>
              <w:top w:w="0" w:type="dxa"/>
              <w:left w:w="0" w:type="dxa"/>
              <w:bottom w:w="0" w:type="dxa"/>
              <w:right w:w="0" w:type="dxa"/>
            </w:tcMar>
            <w:vAlign w:val="bottom"/>
          </w:tcPr>
          <w:p w14:paraId="718B52CA" w14:textId="77777777" w:rsidR="006E0934" w:rsidRPr="00183F91" w:rsidRDefault="006E0934" w:rsidP="00B4234E">
            <w:pPr>
              <w:tabs>
                <w:tab w:val="left" w:pos="288"/>
                <w:tab w:val="left" w:pos="576"/>
                <w:tab w:val="left" w:pos="864"/>
                <w:tab w:val="left" w:pos="1152"/>
              </w:tabs>
              <w:suppressAutoHyphens/>
              <w:spacing w:before="40" w:after="40" w:line="210" w:lineRule="exact"/>
              <w:ind w:right="43"/>
              <w:jc w:val="right"/>
              <w:rPr>
                <w:sz w:val="17"/>
                <w:lang w:val="fr-FR"/>
              </w:rPr>
            </w:pPr>
            <w:r w:rsidRPr="00183F91">
              <w:rPr>
                <w:sz w:val="17"/>
                <w:lang w:val="fr-FR"/>
              </w:rPr>
              <w:t>5 821</w:t>
            </w:r>
          </w:p>
        </w:tc>
        <w:tc>
          <w:tcPr>
            <w:tcW w:w="1117" w:type="dxa"/>
            <w:shd w:val="clear" w:color="auto" w:fill="auto"/>
            <w:noWrap/>
            <w:tcMar>
              <w:top w:w="0" w:type="dxa"/>
              <w:left w:w="0" w:type="dxa"/>
              <w:bottom w:w="0" w:type="dxa"/>
              <w:right w:w="0" w:type="dxa"/>
            </w:tcMar>
            <w:vAlign w:val="bottom"/>
          </w:tcPr>
          <w:p w14:paraId="08F3FECE" w14:textId="77777777" w:rsidR="006E0934" w:rsidRPr="00183F91" w:rsidRDefault="006E0934" w:rsidP="00B4234E">
            <w:pPr>
              <w:tabs>
                <w:tab w:val="left" w:pos="288"/>
                <w:tab w:val="left" w:pos="576"/>
                <w:tab w:val="left" w:pos="864"/>
                <w:tab w:val="left" w:pos="1152"/>
              </w:tabs>
              <w:suppressAutoHyphens/>
              <w:spacing w:before="40" w:after="40" w:line="210" w:lineRule="exact"/>
              <w:ind w:right="43"/>
              <w:jc w:val="right"/>
              <w:rPr>
                <w:sz w:val="17"/>
                <w:lang w:val="fr-FR"/>
              </w:rPr>
            </w:pPr>
            <w:r w:rsidRPr="00183F91">
              <w:rPr>
                <w:sz w:val="17"/>
                <w:lang w:val="fr-FR"/>
              </w:rPr>
              <w:t>8 962</w:t>
            </w:r>
          </w:p>
        </w:tc>
      </w:tr>
      <w:tr w:rsidR="00EA21A9" w:rsidRPr="00183F91" w14:paraId="0B9BBBF9" w14:textId="77777777" w:rsidTr="00B4234E">
        <w:tc>
          <w:tcPr>
            <w:tcW w:w="270" w:type="dxa"/>
            <w:tcBorders>
              <w:bottom w:val="single" w:sz="12" w:space="0" w:color="auto"/>
            </w:tcBorders>
            <w:shd w:val="clear" w:color="auto" w:fill="auto"/>
            <w:noWrap/>
            <w:tcMar>
              <w:top w:w="0" w:type="dxa"/>
              <w:left w:w="0" w:type="dxa"/>
              <w:bottom w:w="0" w:type="dxa"/>
              <w:right w:w="0" w:type="dxa"/>
            </w:tcMar>
            <w:vAlign w:val="bottom"/>
          </w:tcPr>
          <w:p w14:paraId="1E46C003" w14:textId="77777777" w:rsidR="006E0934" w:rsidRPr="00183F91" w:rsidRDefault="006E0934" w:rsidP="00B4234E">
            <w:pPr>
              <w:tabs>
                <w:tab w:val="left" w:pos="288"/>
                <w:tab w:val="left" w:pos="576"/>
                <w:tab w:val="left" w:pos="864"/>
                <w:tab w:val="left" w:pos="1152"/>
              </w:tabs>
              <w:suppressAutoHyphens/>
              <w:spacing w:before="40" w:after="40" w:line="210" w:lineRule="exact"/>
              <w:ind w:right="40"/>
              <w:rPr>
                <w:sz w:val="17"/>
                <w:lang w:val="fr-FR"/>
              </w:rPr>
            </w:pPr>
            <w:r w:rsidRPr="00183F91">
              <w:rPr>
                <w:sz w:val="17"/>
                <w:lang w:val="fr-FR"/>
              </w:rPr>
              <w:t>7</w:t>
            </w:r>
          </w:p>
        </w:tc>
        <w:tc>
          <w:tcPr>
            <w:tcW w:w="2583" w:type="dxa"/>
            <w:tcBorders>
              <w:bottom w:val="single" w:sz="12" w:space="0" w:color="auto"/>
            </w:tcBorders>
            <w:shd w:val="clear" w:color="auto" w:fill="auto"/>
            <w:noWrap/>
            <w:tcMar>
              <w:top w:w="0" w:type="dxa"/>
              <w:left w:w="0" w:type="dxa"/>
              <w:bottom w:w="0" w:type="dxa"/>
              <w:right w:w="0" w:type="dxa"/>
            </w:tcMar>
            <w:vAlign w:val="bottom"/>
          </w:tcPr>
          <w:p w14:paraId="1B40F601" w14:textId="2B9AD717" w:rsidR="006E0934" w:rsidRPr="00183F91" w:rsidRDefault="006E0934" w:rsidP="00B4234E">
            <w:pPr>
              <w:tabs>
                <w:tab w:val="left" w:pos="288"/>
                <w:tab w:val="left" w:pos="576"/>
                <w:tab w:val="left" w:pos="864"/>
                <w:tab w:val="left" w:pos="1152"/>
              </w:tabs>
              <w:suppressAutoHyphens/>
              <w:spacing w:before="40" w:after="40" w:line="210" w:lineRule="exact"/>
              <w:ind w:right="43"/>
              <w:rPr>
                <w:sz w:val="17"/>
                <w:lang w:val="fr-FR"/>
              </w:rPr>
            </w:pPr>
            <w:r w:rsidRPr="00183F91">
              <w:rPr>
                <w:sz w:val="17"/>
                <w:lang w:val="fr-FR"/>
              </w:rPr>
              <w:t>Variation par rapport à l</w:t>
            </w:r>
            <w:r w:rsidR="00442D55" w:rsidRPr="00183F91">
              <w:rPr>
                <w:sz w:val="17"/>
                <w:lang w:val="fr-FR"/>
              </w:rPr>
              <w:t>’</w:t>
            </w:r>
            <w:r w:rsidRPr="00183F91">
              <w:rPr>
                <w:sz w:val="17"/>
                <w:lang w:val="fr-FR"/>
              </w:rPr>
              <w:t>année précédente (en pourcentage)</w:t>
            </w:r>
          </w:p>
        </w:tc>
        <w:tc>
          <w:tcPr>
            <w:tcW w:w="1116" w:type="dxa"/>
            <w:tcBorders>
              <w:bottom w:val="single" w:sz="12" w:space="0" w:color="auto"/>
            </w:tcBorders>
            <w:shd w:val="clear" w:color="auto" w:fill="auto"/>
            <w:noWrap/>
            <w:tcMar>
              <w:top w:w="0" w:type="dxa"/>
              <w:left w:w="0" w:type="dxa"/>
              <w:bottom w:w="0" w:type="dxa"/>
              <w:right w:w="0" w:type="dxa"/>
            </w:tcMar>
            <w:vAlign w:val="bottom"/>
          </w:tcPr>
          <w:p w14:paraId="262A3FB5" w14:textId="3FF2069D" w:rsidR="006E0934" w:rsidRPr="00183F91" w:rsidRDefault="00B4234E" w:rsidP="00B4234E">
            <w:pPr>
              <w:tabs>
                <w:tab w:val="left" w:pos="288"/>
                <w:tab w:val="left" w:pos="576"/>
                <w:tab w:val="left" w:pos="864"/>
                <w:tab w:val="left" w:pos="1152"/>
              </w:tabs>
              <w:suppressAutoHyphens/>
              <w:spacing w:before="40" w:after="40" w:line="210" w:lineRule="exact"/>
              <w:ind w:right="43"/>
              <w:jc w:val="right"/>
              <w:rPr>
                <w:sz w:val="17"/>
                <w:lang w:val="fr-FR"/>
              </w:rPr>
            </w:pPr>
            <w:r w:rsidRPr="00183F91">
              <w:rPr>
                <w:sz w:val="17"/>
                <w:lang w:val="fr-FR"/>
              </w:rPr>
              <w:t>–</w:t>
            </w:r>
          </w:p>
        </w:tc>
        <w:tc>
          <w:tcPr>
            <w:tcW w:w="1117" w:type="dxa"/>
            <w:tcBorders>
              <w:bottom w:val="single" w:sz="12" w:space="0" w:color="auto"/>
            </w:tcBorders>
            <w:shd w:val="clear" w:color="auto" w:fill="auto"/>
            <w:noWrap/>
            <w:tcMar>
              <w:top w:w="0" w:type="dxa"/>
              <w:left w:w="0" w:type="dxa"/>
              <w:bottom w:w="0" w:type="dxa"/>
              <w:right w:w="0" w:type="dxa"/>
            </w:tcMar>
            <w:vAlign w:val="bottom"/>
          </w:tcPr>
          <w:p w14:paraId="3DDAD733" w14:textId="77777777" w:rsidR="006E0934" w:rsidRPr="00183F91" w:rsidRDefault="006E0934" w:rsidP="00B4234E">
            <w:pPr>
              <w:tabs>
                <w:tab w:val="left" w:pos="288"/>
                <w:tab w:val="left" w:pos="576"/>
                <w:tab w:val="left" w:pos="864"/>
                <w:tab w:val="left" w:pos="1152"/>
              </w:tabs>
              <w:suppressAutoHyphens/>
              <w:spacing w:before="40" w:after="40" w:line="210" w:lineRule="exact"/>
              <w:ind w:right="43"/>
              <w:jc w:val="right"/>
              <w:rPr>
                <w:sz w:val="17"/>
                <w:lang w:val="fr-FR"/>
              </w:rPr>
            </w:pPr>
            <w:r w:rsidRPr="00183F91">
              <w:rPr>
                <w:sz w:val="17"/>
                <w:lang w:val="fr-FR"/>
              </w:rPr>
              <w:t>+2,3</w:t>
            </w:r>
          </w:p>
        </w:tc>
        <w:tc>
          <w:tcPr>
            <w:tcW w:w="1117" w:type="dxa"/>
            <w:tcBorders>
              <w:bottom w:val="single" w:sz="12" w:space="0" w:color="auto"/>
            </w:tcBorders>
            <w:shd w:val="clear" w:color="auto" w:fill="auto"/>
            <w:noWrap/>
            <w:tcMar>
              <w:top w:w="0" w:type="dxa"/>
              <w:left w:w="0" w:type="dxa"/>
              <w:bottom w:w="0" w:type="dxa"/>
              <w:right w:w="0" w:type="dxa"/>
            </w:tcMar>
            <w:vAlign w:val="bottom"/>
          </w:tcPr>
          <w:p w14:paraId="0F7E8E35" w14:textId="77777777" w:rsidR="006E0934" w:rsidRPr="00183F91" w:rsidRDefault="006E0934" w:rsidP="00B4234E">
            <w:pPr>
              <w:tabs>
                <w:tab w:val="left" w:pos="288"/>
                <w:tab w:val="left" w:pos="576"/>
                <w:tab w:val="left" w:pos="864"/>
                <w:tab w:val="left" w:pos="1152"/>
              </w:tabs>
              <w:suppressAutoHyphens/>
              <w:spacing w:before="40" w:after="40" w:line="210" w:lineRule="exact"/>
              <w:ind w:right="43"/>
              <w:jc w:val="right"/>
              <w:rPr>
                <w:sz w:val="17"/>
                <w:lang w:val="fr-FR"/>
              </w:rPr>
            </w:pPr>
            <w:r w:rsidRPr="00183F91">
              <w:rPr>
                <w:sz w:val="17"/>
                <w:lang w:val="fr-FR"/>
              </w:rPr>
              <w:t>+33,2</w:t>
            </w:r>
          </w:p>
        </w:tc>
        <w:tc>
          <w:tcPr>
            <w:tcW w:w="1117" w:type="dxa"/>
            <w:tcBorders>
              <w:bottom w:val="single" w:sz="12" w:space="0" w:color="auto"/>
            </w:tcBorders>
            <w:shd w:val="clear" w:color="auto" w:fill="auto"/>
            <w:noWrap/>
            <w:tcMar>
              <w:top w:w="0" w:type="dxa"/>
              <w:left w:w="0" w:type="dxa"/>
              <w:bottom w:w="0" w:type="dxa"/>
              <w:right w:w="0" w:type="dxa"/>
            </w:tcMar>
            <w:vAlign w:val="bottom"/>
          </w:tcPr>
          <w:p w14:paraId="05223018" w14:textId="77777777" w:rsidR="006E0934" w:rsidRPr="00183F91" w:rsidRDefault="006E0934" w:rsidP="00B4234E">
            <w:pPr>
              <w:tabs>
                <w:tab w:val="left" w:pos="288"/>
                <w:tab w:val="left" w:pos="576"/>
                <w:tab w:val="left" w:pos="864"/>
                <w:tab w:val="left" w:pos="1152"/>
              </w:tabs>
              <w:suppressAutoHyphens/>
              <w:spacing w:before="40" w:after="40" w:line="210" w:lineRule="exact"/>
              <w:ind w:right="43"/>
              <w:jc w:val="right"/>
              <w:rPr>
                <w:sz w:val="17"/>
                <w:lang w:val="fr-FR"/>
              </w:rPr>
            </w:pPr>
            <w:r w:rsidRPr="00183F91">
              <w:rPr>
                <w:sz w:val="17"/>
                <w:lang w:val="fr-FR"/>
              </w:rPr>
              <w:t>+53,9</w:t>
            </w:r>
          </w:p>
        </w:tc>
      </w:tr>
    </w:tbl>
    <w:p w14:paraId="22F994DA" w14:textId="7407FBF3" w:rsidR="006E0934" w:rsidRPr="00183F91" w:rsidRDefault="006E0934" w:rsidP="00D04411">
      <w:pPr>
        <w:pStyle w:val="SingleTxt"/>
        <w:spacing w:after="0" w:line="120" w:lineRule="exact"/>
        <w:rPr>
          <w:sz w:val="10"/>
          <w:lang w:val="fr-FR"/>
        </w:rPr>
      </w:pPr>
    </w:p>
    <w:p w14:paraId="53248E2E" w14:textId="1BFB21AA" w:rsidR="006E0934" w:rsidRPr="00183F91" w:rsidRDefault="006E0934" w:rsidP="00B4234E">
      <w:pPr>
        <w:pStyle w:val="FootnoteText"/>
        <w:tabs>
          <w:tab w:val="right" w:pos="1476"/>
          <w:tab w:val="left" w:pos="1548"/>
          <w:tab w:val="right" w:pos="1836"/>
          <w:tab w:val="left" w:pos="1908"/>
        </w:tabs>
        <w:ind w:left="1548" w:right="1267" w:hanging="288"/>
        <w:rPr>
          <w:lang w:val="fr-FR"/>
        </w:rPr>
      </w:pPr>
      <w:r w:rsidRPr="00183F91">
        <w:rPr>
          <w:i/>
          <w:iCs/>
          <w:lang w:val="fr-FR"/>
        </w:rPr>
        <w:t>Source</w:t>
      </w:r>
      <w:r w:rsidR="00442D55" w:rsidRPr="00183F91">
        <w:rPr>
          <w:lang w:val="fr-FR"/>
        </w:rPr>
        <w:t> :</w:t>
      </w:r>
      <w:r w:rsidRPr="00183F91">
        <w:rPr>
          <w:lang w:val="fr-FR"/>
        </w:rPr>
        <w:t xml:space="preserve"> Agence nationale de la police, 2020.</w:t>
      </w:r>
    </w:p>
    <w:p w14:paraId="31E0C206" w14:textId="168031DB" w:rsidR="00D04411" w:rsidRPr="00183F91" w:rsidRDefault="00D04411" w:rsidP="00D04411">
      <w:pPr>
        <w:pStyle w:val="SingleTxt"/>
        <w:spacing w:after="0" w:line="120" w:lineRule="exact"/>
        <w:rPr>
          <w:sz w:val="10"/>
          <w:lang w:val="fr-FR"/>
        </w:rPr>
      </w:pPr>
    </w:p>
    <w:p w14:paraId="4F055196" w14:textId="368BCC5A" w:rsidR="00D04411" w:rsidRPr="00183F91" w:rsidRDefault="00D04411" w:rsidP="001B0EC2">
      <w:pPr>
        <w:pStyle w:val="SingleTxt"/>
        <w:spacing w:after="0" w:line="120" w:lineRule="exact"/>
        <w:rPr>
          <w:sz w:val="10"/>
          <w:lang w:val="fr-FR"/>
        </w:rPr>
      </w:pPr>
    </w:p>
    <w:p w14:paraId="2C2B60DA" w14:textId="77777777" w:rsidR="00087093" w:rsidRPr="00183F91" w:rsidRDefault="00087093" w:rsidP="00D04411">
      <w:pPr>
        <w:pStyle w:val="SingleTxt"/>
        <w:spacing w:after="0" w:line="120" w:lineRule="exact"/>
        <w:rPr>
          <w:sz w:val="10"/>
          <w:lang w:val="fr-FR"/>
        </w:rPr>
      </w:pPr>
    </w:p>
    <w:p w14:paraId="3C6F542D" w14:textId="1F4ECB9C" w:rsidR="006E0934" w:rsidRPr="00183F91" w:rsidRDefault="00EA21A9" w:rsidP="00EA21A9">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83F91">
        <w:rPr>
          <w:lang w:val="fr-FR"/>
        </w:rPr>
        <w:tab/>
      </w:r>
      <w:r w:rsidRPr="00183F91">
        <w:rPr>
          <w:lang w:val="fr-FR"/>
        </w:rPr>
        <w:tab/>
      </w:r>
      <w:r w:rsidR="006E0934" w:rsidRPr="00183F91">
        <w:rPr>
          <w:lang w:val="fr-FR"/>
        </w:rPr>
        <w:t>Tableau 8.2</w:t>
      </w:r>
    </w:p>
    <w:p w14:paraId="15FD178B" w14:textId="08402854" w:rsidR="006E0934" w:rsidRPr="00183F91" w:rsidRDefault="00EA21A9" w:rsidP="00EA21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83F91">
        <w:rPr>
          <w:lang w:val="fr-FR"/>
        </w:rPr>
        <w:tab/>
      </w:r>
      <w:r w:rsidRPr="00183F91">
        <w:rPr>
          <w:lang w:val="fr-FR"/>
        </w:rPr>
        <w:tab/>
      </w:r>
      <w:r w:rsidR="006E0934" w:rsidRPr="00183F91">
        <w:rPr>
          <w:lang w:val="fr-FR"/>
        </w:rPr>
        <w:t>Affaires de violence familiale et issue de ces affaires (2016</w:t>
      </w:r>
      <w:r w:rsidR="003313DA" w:rsidRPr="00183F91">
        <w:rPr>
          <w:lang w:val="fr-FR"/>
        </w:rPr>
        <w:t>-</w:t>
      </w:r>
      <w:r w:rsidR="006E0934" w:rsidRPr="00183F91">
        <w:rPr>
          <w:lang w:val="fr-FR"/>
        </w:rPr>
        <w:t>2019)</w:t>
      </w:r>
    </w:p>
    <w:p w14:paraId="7E944B26" w14:textId="7EFFFC8E" w:rsidR="006E0934" w:rsidRPr="00183F91" w:rsidRDefault="006E0934" w:rsidP="00D04411">
      <w:pPr>
        <w:pStyle w:val="SingleTxt"/>
        <w:spacing w:after="0" w:line="120" w:lineRule="exact"/>
        <w:rPr>
          <w:sz w:val="10"/>
          <w:lang w:val="fr-FR"/>
        </w:rPr>
      </w:pPr>
    </w:p>
    <w:p w14:paraId="3D88DAD5" w14:textId="463FF1F9" w:rsidR="00D04411" w:rsidRPr="00183F91" w:rsidRDefault="00D04411" w:rsidP="00D04411">
      <w:pPr>
        <w:pStyle w:val="SingleTxt"/>
        <w:spacing w:after="0" w:line="120" w:lineRule="exact"/>
        <w:rPr>
          <w:sz w:val="10"/>
          <w:lang w:val="fr-FR"/>
        </w:rPr>
      </w:pPr>
    </w:p>
    <w:tbl>
      <w:tblPr>
        <w:tblStyle w:val="TableGrid"/>
        <w:tblW w:w="8588"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2"/>
        <w:gridCol w:w="2685"/>
        <w:gridCol w:w="2685"/>
        <w:gridCol w:w="2686"/>
      </w:tblGrid>
      <w:tr w:rsidR="006E0934" w:rsidRPr="00183F91" w14:paraId="378501CF" w14:textId="77777777" w:rsidTr="000821D9">
        <w:trPr>
          <w:tblHeader/>
        </w:trPr>
        <w:tc>
          <w:tcPr>
            <w:tcW w:w="310" w:type="pct"/>
            <w:tcBorders>
              <w:top w:val="single" w:sz="4" w:space="0" w:color="auto"/>
              <w:bottom w:val="single" w:sz="12" w:space="0" w:color="auto"/>
            </w:tcBorders>
            <w:shd w:val="clear" w:color="auto" w:fill="auto"/>
            <w:noWrap/>
            <w:vAlign w:val="bottom"/>
          </w:tcPr>
          <w:p w14:paraId="565A3EE5" w14:textId="77777777" w:rsidR="006E0934" w:rsidRPr="00183F91" w:rsidRDefault="006E0934" w:rsidP="00B4234E">
            <w:pPr>
              <w:spacing w:before="81" w:after="81" w:line="160" w:lineRule="exact"/>
              <w:ind w:right="40"/>
              <w:rPr>
                <w:i/>
                <w:sz w:val="14"/>
                <w:lang w:val="fr-FR"/>
              </w:rPr>
            </w:pPr>
            <w:r w:rsidRPr="00183F91">
              <w:rPr>
                <w:i/>
                <w:sz w:val="14"/>
                <w:lang w:val="fr-FR"/>
              </w:rPr>
              <w:t>Année</w:t>
            </w:r>
          </w:p>
        </w:tc>
        <w:tc>
          <w:tcPr>
            <w:tcW w:w="1563" w:type="pct"/>
            <w:tcBorders>
              <w:top w:val="single" w:sz="4" w:space="0" w:color="auto"/>
              <w:bottom w:val="single" w:sz="12" w:space="0" w:color="auto"/>
            </w:tcBorders>
            <w:shd w:val="clear" w:color="auto" w:fill="auto"/>
            <w:noWrap/>
            <w:vAlign w:val="bottom"/>
          </w:tcPr>
          <w:p w14:paraId="5F2BBD3E" w14:textId="77777777" w:rsidR="006E0934" w:rsidRPr="00183F91" w:rsidRDefault="006E0934" w:rsidP="00B4234E">
            <w:pPr>
              <w:spacing w:before="81" w:after="81" w:line="160" w:lineRule="exact"/>
              <w:ind w:left="144" w:right="43"/>
              <w:rPr>
                <w:i/>
                <w:sz w:val="14"/>
                <w:lang w:val="fr-FR"/>
              </w:rPr>
            </w:pPr>
            <w:r w:rsidRPr="00183F91">
              <w:rPr>
                <w:i/>
                <w:sz w:val="14"/>
                <w:lang w:val="fr-FR"/>
              </w:rPr>
              <w:t>Police</w:t>
            </w:r>
          </w:p>
        </w:tc>
        <w:tc>
          <w:tcPr>
            <w:tcW w:w="1563" w:type="pct"/>
            <w:tcBorders>
              <w:top w:val="single" w:sz="4" w:space="0" w:color="auto"/>
              <w:bottom w:val="single" w:sz="12" w:space="0" w:color="auto"/>
            </w:tcBorders>
            <w:shd w:val="clear" w:color="auto" w:fill="auto"/>
            <w:noWrap/>
            <w:vAlign w:val="bottom"/>
          </w:tcPr>
          <w:p w14:paraId="2C07DC80" w14:textId="77777777" w:rsidR="006E0934" w:rsidRPr="00183F91" w:rsidRDefault="006E0934" w:rsidP="00B4234E">
            <w:pPr>
              <w:spacing w:before="81" w:after="81" w:line="160" w:lineRule="exact"/>
              <w:ind w:left="144" w:right="43"/>
              <w:rPr>
                <w:i/>
                <w:sz w:val="14"/>
                <w:lang w:val="fr-FR"/>
              </w:rPr>
            </w:pPr>
            <w:r w:rsidRPr="00183F91">
              <w:rPr>
                <w:i/>
                <w:sz w:val="14"/>
                <w:lang w:val="fr-FR"/>
              </w:rPr>
              <w:t>Parquet</w:t>
            </w:r>
          </w:p>
        </w:tc>
        <w:tc>
          <w:tcPr>
            <w:tcW w:w="1564" w:type="pct"/>
            <w:tcBorders>
              <w:top w:val="single" w:sz="4" w:space="0" w:color="auto"/>
              <w:bottom w:val="single" w:sz="12" w:space="0" w:color="auto"/>
            </w:tcBorders>
            <w:shd w:val="clear" w:color="auto" w:fill="auto"/>
            <w:noWrap/>
            <w:vAlign w:val="bottom"/>
          </w:tcPr>
          <w:p w14:paraId="44A2E055" w14:textId="77777777" w:rsidR="006E0934" w:rsidRPr="00183F91" w:rsidRDefault="006E0934" w:rsidP="00B4234E">
            <w:pPr>
              <w:spacing w:before="81" w:after="81" w:line="160" w:lineRule="exact"/>
              <w:ind w:left="144" w:right="43"/>
              <w:rPr>
                <w:i/>
                <w:sz w:val="14"/>
                <w:lang w:val="fr-FR"/>
              </w:rPr>
            </w:pPr>
            <w:r w:rsidRPr="00183F91">
              <w:rPr>
                <w:i/>
                <w:sz w:val="14"/>
                <w:lang w:val="fr-FR"/>
              </w:rPr>
              <w:t>Magistrature</w:t>
            </w:r>
          </w:p>
        </w:tc>
      </w:tr>
      <w:tr w:rsidR="00B4234E" w:rsidRPr="00183F91" w14:paraId="50BC0B18" w14:textId="77777777" w:rsidTr="000821D9">
        <w:trPr>
          <w:trHeight w:hRule="exact" w:val="115"/>
          <w:tblHeader/>
        </w:trPr>
        <w:tc>
          <w:tcPr>
            <w:tcW w:w="310" w:type="pct"/>
            <w:tcBorders>
              <w:top w:val="single" w:sz="12" w:space="0" w:color="auto"/>
            </w:tcBorders>
            <w:shd w:val="clear" w:color="auto" w:fill="auto"/>
            <w:noWrap/>
            <w:vAlign w:val="bottom"/>
          </w:tcPr>
          <w:p w14:paraId="549F4B74" w14:textId="77777777" w:rsidR="00B4234E" w:rsidRPr="00183F91" w:rsidRDefault="00B4234E" w:rsidP="00B4234E">
            <w:pPr>
              <w:spacing w:before="40" w:after="80"/>
              <w:ind w:right="40"/>
              <w:rPr>
                <w:lang w:val="fr-FR"/>
              </w:rPr>
            </w:pPr>
          </w:p>
        </w:tc>
        <w:tc>
          <w:tcPr>
            <w:tcW w:w="1563" w:type="pct"/>
            <w:tcBorders>
              <w:top w:val="single" w:sz="12" w:space="0" w:color="auto"/>
            </w:tcBorders>
            <w:shd w:val="clear" w:color="auto" w:fill="auto"/>
            <w:noWrap/>
            <w:vAlign w:val="bottom"/>
          </w:tcPr>
          <w:p w14:paraId="7E1E870A" w14:textId="77777777" w:rsidR="00B4234E" w:rsidRPr="00183F91" w:rsidRDefault="00B4234E" w:rsidP="00B4234E">
            <w:pPr>
              <w:spacing w:before="40" w:after="80"/>
              <w:ind w:left="144" w:right="43"/>
              <w:rPr>
                <w:lang w:val="fr-FR"/>
              </w:rPr>
            </w:pPr>
          </w:p>
        </w:tc>
        <w:tc>
          <w:tcPr>
            <w:tcW w:w="1563" w:type="pct"/>
            <w:tcBorders>
              <w:top w:val="single" w:sz="12" w:space="0" w:color="auto"/>
            </w:tcBorders>
            <w:shd w:val="clear" w:color="auto" w:fill="auto"/>
            <w:noWrap/>
            <w:vAlign w:val="bottom"/>
          </w:tcPr>
          <w:p w14:paraId="742F8C08" w14:textId="77777777" w:rsidR="00B4234E" w:rsidRPr="00183F91" w:rsidRDefault="00B4234E" w:rsidP="00B4234E">
            <w:pPr>
              <w:spacing w:before="40" w:after="80"/>
              <w:ind w:left="144" w:right="43"/>
              <w:rPr>
                <w:lang w:val="fr-FR"/>
              </w:rPr>
            </w:pPr>
          </w:p>
        </w:tc>
        <w:tc>
          <w:tcPr>
            <w:tcW w:w="1564" w:type="pct"/>
            <w:tcBorders>
              <w:top w:val="single" w:sz="12" w:space="0" w:color="auto"/>
            </w:tcBorders>
            <w:shd w:val="clear" w:color="auto" w:fill="auto"/>
            <w:noWrap/>
            <w:vAlign w:val="bottom"/>
          </w:tcPr>
          <w:p w14:paraId="5F1C036B" w14:textId="77777777" w:rsidR="00B4234E" w:rsidRPr="00183F91" w:rsidRDefault="00B4234E" w:rsidP="00B4234E">
            <w:pPr>
              <w:spacing w:before="40" w:after="80"/>
              <w:ind w:left="144" w:right="43"/>
              <w:rPr>
                <w:lang w:val="fr-FR"/>
              </w:rPr>
            </w:pPr>
          </w:p>
        </w:tc>
      </w:tr>
      <w:tr w:rsidR="006E0934" w:rsidRPr="00183F91" w14:paraId="2C820839" w14:textId="77777777" w:rsidTr="000821D9">
        <w:tc>
          <w:tcPr>
            <w:tcW w:w="310" w:type="pct"/>
            <w:shd w:val="clear" w:color="auto" w:fill="auto"/>
            <w:noWrap/>
          </w:tcPr>
          <w:p w14:paraId="04A32F61" w14:textId="77777777" w:rsidR="006E0934" w:rsidRPr="00183F91" w:rsidRDefault="006E0934" w:rsidP="00B4234E">
            <w:pPr>
              <w:tabs>
                <w:tab w:val="left" w:pos="288"/>
                <w:tab w:val="left" w:pos="576"/>
                <w:tab w:val="left" w:pos="864"/>
                <w:tab w:val="left" w:pos="1152"/>
              </w:tabs>
              <w:spacing w:before="40" w:after="80"/>
              <w:ind w:right="40"/>
              <w:rPr>
                <w:lang w:val="fr-FR"/>
              </w:rPr>
            </w:pPr>
            <w:r w:rsidRPr="00183F91">
              <w:rPr>
                <w:lang w:val="fr-FR"/>
              </w:rPr>
              <w:t>2016</w:t>
            </w:r>
          </w:p>
        </w:tc>
        <w:tc>
          <w:tcPr>
            <w:tcW w:w="1563" w:type="pct"/>
            <w:shd w:val="clear" w:color="auto" w:fill="auto"/>
            <w:noWrap/>
          </w:tcPr>
          <w:p w14:paraId="2E4C2B34" w14:textId="65147C8D" w:rsidR="006E0934" w:rsidRPr="00183F91" w:rsidRDefault="006E0934" w:rsidP="00B4234E">
            <w:pPr>
              <w:tabs>
                <w:tab w:val="left" w:pos="288"/>
                <w:tab w:val="left" w:pos="576"/>
                <w:tab w:val="left" w:pos="864"/>
                <w:tab w:val="left" w:pos="1152"/>
              </w:tabs>
              <w:spacing w:before="40" w:after="80"/>
              <w:ind w:left="144" w:right="43"/>
              <w:rPr>
                <w:lang w:val="fr-FR"/>
              </w:rPr>
            </w:pPr>
            <w:r w:rsidRPr="00183F91">
              <w:rPr>
                <w:lang w:val="fr-FR"/>
              </w:rPr>
              <w:t>Nouvelles affaires de violence domestique enregistrées</w:t>
            </w:r>
            <w:r w:rsidR="00B4234E" w:rsidRPr="00183F91">
              <w:rPr>
                <w:lang w:val="fr-FR"/>
              </w:rPr>
              <w:br/>
            </w:r>
            <w:r w:rsidRPr="00183F91">
              <w:rPr>
                <w:lang w:val="fr-FR"/>
              </w:rPr>
              <w:t>1</w:t>
            </w:r>
            <w:r w:rsidR="00BE2441" w:rsidRPr="00183F91">
              <w:rPr>
                <w:lang w:val="fr-FR"/>
              </w:rPr>
              <w:t> </w:t>
            </w:r>
            <w:r w:rsidRPr="00183F91">
              <w:rPr>
                <w:lang w:val="fr-FR"/>
              </w:rPr>
              <w:t>286 affaires restent sans issue car ce n</w:t>
            </w:r>
            <w:r w:rsidR="00442D55" w:rsidRPr="00183F91">
              <w:rPr>
                <w:lang w:val="fr-FR"/>
              </w:rPr>
              <w:t>’</w:t>
            </w:r>
            <w:r w:rsidRPr="00183F91">
              <w:rPr>
                <w:lang w:val="fr-FR"/>
              </w:rPr>
              <w:t>est que le 22</w:t>
            </w:r>
            <w:r w:rsidR="00CD4CB2">
              <w:rPr>
                <w:lang w:val="fr-FR"/>
              </w:rPr>
              <w:t> </w:t>
            </w:r>
            <w:r w:rsidRPr="00183F91">
              <w:rPr>
                <w:lang w:val="fr-FR"/>
              </w:rPr>
              <w:t xml:space="preserve">décembre 2016 que les faits de violence familiale ont été érigés en crime au </w:t>
            </w:r>
            <w:r w:rsidRPr="00183F91">
              <w:rPr>
                <w:lang w:val="fr-FR"/>
              </w:rPr>
              <w:lastRenderedPageBreak/>
              <w:t>titre de l</w:t>
            </w:r>
            <w:r w:rsidR="00442D55" w:rsidRPr="00183F91">
              <w:rPr>
                <w:lang w:val="fr-FR"/>
              </w:rPr>
              <w:t>’</w:t>
            </w:r>
            <w:r w:rsidRPr="00183F91">
              <w:rPr>
                <w:lang w:val="fr-FR"/>
              </w:rPr>
              <w:t>article 120.1 du Code pénal</w:t>
            </w:r>
          </w:p>
        </w:tc>
        <w:tc>
          <w:tcPr>
            <w:tcW w:w="1563" w:type="pct"/>
            <w:shd w:val="clear" w:color="auto" w:fill="auto"/>
            <w:noWrap/>
          </w:tcPr>
          <w:p w14:paraId="2CD22B81" w14:textId="5DFB1A9E" w:rsidR="006E0934" w:rsidRPr="00183F91" w:rsidRDefault="006E0934" w:rsidP="00B4234E">
            <w:pPr>
              <w:tabs>
                <w:tab w:val="left" w:pos="288"/>
                <w:tab w:val="left" w:pos="576"/>
                <w:tab w:val="left" w:pos="864"/>
                <w:tab w:val="left" w:pos="1152"/>
              </w:tabs>
              <w:spacing w:before="40" w:after="80"/>
              <w:ind w:left="144" w:right="43"/>
              <w:rPr>
                <w:lang w:val="fr-FR"/>
              </w:rPr>
            </w:pPr>
            <w:r w:rsidRPr="00183F91">
              <w:rPr>
                <w:lang w:val="fr-FR"/>
              </w:rPr>
              <w:lastRenderedPageBreak/>
              <w:t>Au titre de l</w:t>
            </w:r>
            <w:r w:rsidR="00442D55" w:rsidRPr="00183F91">
              <w:rPr>
                <w:lang w:val="fr-FR"/>
              </w:rPr>
              <w:t>’</w:t>
            </w:r>
            <w:r w:rsidRPr="00183F91">
              <w:rPr>
                <w:lang w:val="fr-FR"/>
              </w:rPr>
              <w:t>article 120.1 du Code pénal (2002)</w:t>
            </w:r>
            <w:r w:rsidR="00442D55" w:rsidRPr="00183F91">
              <w:rPr>
                <w:lang w:val="fr-FR"/>
              </w:rPr>
              <w:t> :</w:t>
            </w:r>
            <w:r w:rsidRPr="00183F91">
              <w:rPr>
                <w:lang w:val="fr-FR"/>
              </w:rPr>
              <w:t xml:space="preserve"> 111</w:t>
            </w:r>
            <w:r w:rsidR="00CD4CB2">
              <w:rPr>
                <w:lang w:val="fr-FR"/>
              </w:rPr>
              <w:t> </w:t>
            </w:r>
            <w:r w:rsidRPr="00183F91">
              <w:rPr>
                <w:lang w:val="fr-FR"/>
              </w:rPr>
              <w:t>affaires</w:t>
            </w:r>
            <w:r w:rsidR="00B4234E" w:rsidRPr="00183F91">
              <w:rPr>
                <w:lang w:val="fr-FR"/>
              </w:rPr>
              <w:br/>
            </w:r>
            <w:r w:rsidRPr="00183F91">
              <w:rPr>
                <w:lang w:val="fr-FR"/>
              </w:rPr>
              <w:t>Au titre de la disposition spéciale 11.7 du Code pénal (2015)</w:t>
            </w:r>
            <w:r w:rsidR="00442D55" w:rsidRPr="00183F91">
              <w:rPr>
                <w:lang w:val="fr-FR"/>
              </w:rPr>
              <w:t> :</w:t>
            </w:r>
            <w:r w:rsidRPr="00183F91">
              <w:rPr>
                <w:lang w:val="fr-FR"/>
              </w:rPr>
              <w:t xml:space="preserve"> 199 affaires</w:t>
            </w:r>
          </w:p>
        </w:tc>
        <w:tc>
          <w:tcPr>
            <w:tcW w:w="1564" w:type="pct"/>
            <w:shd w:val="clear" w:color="auto" w:fill="auto"/>
            <w:noWrap/>
          </w:tcPr>
          <w:p w14:paraId="290B2B1F" w14:textId="3896A3D6" w:rsidR="006E0934" w:rsidRPr="00183F91" w:rsidRDefault="006E0934" w:rsidP="00B4234E">
            <w:pPr>
              <w:tabs>
                <w:tab w:val="left" w:pos="288"/>
                <w:tab w:val="left" w:pos="576"/>
                <w:tab w:val="left" w:pos="864"/>
                <w:tab w:val="left" w:pos="1152"/>
              </w:tabs>
              <w:spacing w:before="40" w:after="80"/>
              <w:ind w:left="144" w:right="43"/>
              <w:rPr>
                <w:lang w:val="fr-FR"/>
              </w:rPr>
            </w:pPr>
            <w:r w:rsidRPr="00183F91">
              <w:rPr>
                <w:lang w:val="fr-FR"/>
              </w:rPr>
              <w:t>Au titre de l</w:t>
            </w:r>
            <w:r w:rsidR="00442D55" w:rsidRPr="00183F91">
              <w:rPr>
                <w:lang w:val="fr-FR"/>
              </w:rPr>
              <w:t>’</w:t>
            </w:r>
            <w:r w:rsidRPr="00183F91">
              <w:rPr>
                <w:lang w:val="fr-FR"/>
              </w:rPr>
              <w:t>article 120.1 du Code pénal (2002)</w:t>
            </w:r>
            <w:r w:rsidR="00442D55" w:rsidRPr="00183F91">
              <w:rPr>
                <w:lang w:val="fr-FR"/>
              </w:rPr>
              <w:t> :</w:t>
            </w:r>
            <w:r w:rsidRPr="00183F91">
              <w:rPr>
                <w:lang w:val="fr-FR"/>
              </w:rPr>
              <w:t xml:space="preserve"> 0</w:t>
            </w:r>
            <w:r w:rsidR="00CD4CB2">
              <w:rPr>
                <w:lang w:val="fr-FR"/>
              </w:rPr>
              <w:t> </w:t>
            </w:r>
            <w:r w:rsidRPr="00183F91">
              <w:rPr>
                <w:lang w:val="fr-FR"/>
              </w:rPr>
              <w:t>affaire</w:t>
            </w:r>
            <w:r w:rsidR="00B4234E" w:rsidRPr="00183F91">
              <w:rPr>
                <w:lang w:val="fr-FR"/>
              </w:rPr>
              <w:br/>
            </w:r>
            <w:r w:rsidRPr="00183F91">
              <w:rPr>
                <w:lang w:val="fr-FR"/>
              </w:rPr>
              <w:t>Au titre de la disposition spéciale 11.7 du Code pénal (2015)</w:t>
            </w:r>
            <w:r w:rsidR="00442D55" w:rsidRPr="00183F91">
              <w:rPr>
                <w:lang w:val="fr-FR"/>
              </w:rPr>
              <w:t> :</w:t>
            </w:r>
            <w:r w:rsidRPr="00183F91">
              <w:rPr>
                <w:lang w:val="fr-FR"/>
              </w:rPr>
              <w:t xml:space="preserve"> 65 affaires, dont 59</w:t>
            </w:r>
            <w:r w:rsidR="00CD4CB2">
              <w:rPr>
                <w:lang w:val="fr-FR"/>
              </w:rPr>
              <w:t> </w:t>
            </w:r>
            <w:r w:rsidRPr="00183F91">
              <w:rPr>
                <w:lang w:val="fr-FR"/>
              </w:rPr>
              <w:t>réglées</w:t>
            </w:r>
          </w:p>
        </w:tc>
      </w:tr>
      <w:tr w:rsidR="006E0934" w:rsidRPr="00183F91" w14:paraId="34D3EBAF" w14:textId="77777777" w:rsidTr="000821D9">
        <w:tc>
          <w:tcPr>
            <w:tcW w:w="310" w:type="pct"/>
            <w:shd w:val="clear" w:color="auto" w:fill="auto"/>
            <w:noWrap/>
          </w:tcPr>
          <w:p w14:paraId="138242E2" w14:textId="77777777" w:rsidR="006E0934" w:rsidRPr="00183F91" w:rsidRDefault="006E0934" w:rsidP="00B4234E">
            <w:pPr>
              <w:tabs>
                <w:tab w:val="left" w:pos="288"/>
                <w:tab w:val="left" w:pos="576"/>
                <w:tab w:val="left" w:pos="864"/>
                <w:tab w:val="left" w:pos="1152"/>
              </w:tabs>
              <w:spacing w:before="40" w:after="80"/>
              <w:ind w:right="40"/>
              <w:rPr>
                <w:lang w:val="fr-FR"/>
              </w:rPr>
            </w:pPr>
            <w:r w:rsidRPr="00183F91">
              <w:rPr>
                <w:lang w:val="fr-FR"/>
              </w:rPr>
              <w:t>2017</w:t>
            </w:r>
          </w:p>
        </w:tc>
        <w:tc>
          <w:tcPr>
            <w:tcW w:w="1563" w:type="pct"/>
            <w:shd w:val="clear" w:color="auto" w:fill="auto"/>
            <w:noWrap/>
          </w:tcPr>
          <w:p w14:paraId="209EA6E7" w14:textId="06181626" w:rsidR="006E0934" w:rsidRPr="00183F91" w:rsidRDefault="006E0934" w:rsidP="00B4234E">
            <w:pPr>
              <w:tabs>
                <w:tab w:val="left" w:pos="288"/>
                <w:tab w:val="left" w:pos="576"/>
                <w:tab w:val="left" w:pos="864"/>
                <w:tab w:val="left" w:pos="1152"/>
              </w:tabs>
              <w:spacing w:before="40" w:after="80"/>
              <w:ind w:left="144" w:right="43"/>
              <w:rPr>
                <w:lang w:val="fr-FR"/>
              </w:rPr>
            </w:pPr>
            <w:bookmarkStart w:id="7" w:name="_Hlk43367591"/>
            <w:r w:rsidRPr="00183F91">
              <w:rPr>
                <w:lang w:val="fr-FR"/>
              </w:rPr>
              <w:t>Au titre de l</w:t>
            </w:r>
            <w:r w:rsidR="00442D55" w:rsidRPr="00183F91">
              <w:rPr>
                <w:lang w:val="fr-FR"/>
              </w:rPr>
              <w:t>’</w:t>
            </w:r>
            <w:r w:rsidRPr="00183F91">
              <w:rPr>
                <w:lang w:val="fr-FR"/>
              </w:rPr>
              <w:t xml:space="preserve">article 120.1 du </w:t>
            </w:r>
            <w:bookmarkEnd w:id="7"/>
            <w:r w:rsidRPr="00183F91">
              <w:rPr>
                <w:lang w:val="fr-FR"/>
              </w:rPr>
              <w:t>Code pénal, sur 105 affaires nouvellement enregistrées, 25</w:t>
            </w:r>
            <w:r w:rsidR="00BC5F94" w:rsidRPr="00183F91">
              <w:rPr>
                <w:lang w:val="fr-FR"/>
              </w:rPr>
              <w:t> </w:t>
            </w:r>
            <w:r w:rsidRPr="00183F91">
              <w:rPr>
                <w:lang w:val="fr-FR"/>
              </w:rPr>
              <w:t>ont été rejetées, 75 ont été transmises au parquet pour que des poursuites soient engagées et 5 ont été consolidées</w:t>
            </w:r>
            <w:r w:rsidR="00B4234E" w:rsidRPr="00183F91">
              <w:rPr>
                <w:lang w:val="fr-FR"/>
              </w:rPr>
              <w:br/>
            </w:r>
            <w:r w:rsidRPr="00183F91">
              <w:rPr>
                <w:lang w:val="fr-FR"/>
              </w:rPr>
              <w:t>Au titre de la disposition spéciale 11.7 du Code pénal, sur 223 affaires, 81 ont été rejeté</w:t>
            </w:r>
            <w:r w:rsidR="006D74CA" w:rsidRPr="00183F91">
              <w:rPr>
                <w:lang w:val="fr-FR"/>
              </w:rPr>
              <w:t>e</w:t>
            </w:r>
            <w:r w:rsidRPr="00183F91">
              <w:rPr>
                <w:lang w:val="fr-FR"/>
              </w:rPr>
              <w:t>s, 132 ont été transmises au parquet, 10</w:t>
            </w:r>
            <w:r w:rsidR="007A7DAC">
              <w:rPr>
                <w:lang w:val="fr-FR"/>
              </w:rPr>
              <w:t> </w:t>
            </w:r>
            <w:r w:rsidRPr="00183F91">
              <w:rPr>
                <w:lang w:val="fr-FR"/>
              </w:rPr>
              <w:t>ont été consolidées</w:t>
            </w:r>
          </w:p>
        </w:tc>
        <w:tc>
          <w:tcPr>
            <w:tcW w:w="1563" w:type="pct"/>
            <w:shd w:val="clear" w:color="auto" w:fill="auto"/>
            <w:noWrap/>
          </w:tcPr>
          <w:p w14:paraId="0175B02F" w14:textId="28FD4EDA" w:rsidR="006E0934" w:rsidRPr="00183F91" w:rsidRDefault="006E0934" w:rsidP="00B4234E">
            <w:pPr>
              <w:tabs>
                <w:tab w:val="left" w:pos="288"/>
                <w:tab w:val="left" w:pos="576"/>
                <w:tab w:val="left" w:pos="864"/>
                <w:tab w:val="left" w:pos="1152"/>
              </w:tabs>
              <w:spacing w:before="40" w:after="80"/>
              <w:ind w:left="144" w:right="43"/>
              <w:rPr>
                <w:lang w:val="fr-FR"/>
              </w:rPr>
            </w:pPr>
            <w:r w:rsidRPr="00183F91">
              <w:rPr>
                <w:lang w:val="fr-FR"/>
              </w:rPr>
              <w:t>519 enquêtes menées, 370</w:t>
            </w:r>
            <w:r w:rsidR="007A7DAC">
              <w:rPr>
                <w:lang w:val="fr-FR"/>
              </w:rPr>
              <w:t> </w:t>
            </w:r>
            <w:r w:rsidRPr="00183F91">
              <w:rPr>
                <w:lang w:val="fr-FR"/>
              </w:rPr>
              <w:t>affaires enregistrées, 217</w:t>
            </w:r>
            <w:r w:rsidR="006D74CA" w:rsidRPr="00183F91">
              <w:rPr>
                <w:lang w:val="fr-FR"/>
              </w:rPr>
              <w:t> </w:t>
            </w:r>
            <w:r w:rsidRPr="00183F91">
              <w:rPr>
                <w:lang w:val="fr-FR"/>
              </w:rPr>
              <w:t>enquêtes closes, 165</w:t>
            </w:r>
            <w:r w:rsidR="007A7DAC">
              <w:rPr>
                <w:lang w:val="fr-FR"/>
              </w:rPr>
              <w:t> </w:t>
            </w:r>
            <w:r w:rsidRPr="00183F91">
              <w:rPr>
                <w:lang w:val="fr-FR"/>
              </w:rPr>
              <w:t>affaires transmises à un tribunal</w:t>
            </w:r>
          </w:p>
        </w:tc>
        <w:tc>
          <w:tcPr>
            <w:tcW w:w="1564" w:type="pct"/>
            <w:shd w:val="clear" w:color="auto" w:fill="auto"/>
            <w:noWrap/>
          </w:tcPr>
          <w:p w14:paraId="1AF49A66" w14:textId="1F10027B" w:rsidR="006E0934" w:rsidRPr="00183F91" w:rsidRDefault="006E0934" w:rsidP="00B4234E">
            <w:pPr>
              <w:tabs>
                <w:tab w:val="left" w:pos="288"/>
                <w:tab w:val="left" w:pos="576"/>
                <w:tab w:val="left" w:pos="864"/>
                <w:tab w:val="left" w:pos="1152"/>
              </w:tabs>
              <w:spacing w:before="40" w:after="80"/>
              <w:ind w:left="144" w:right="43"/>
              <w:rPr>
                <w:lang w:val="fr-FR"/>
              </w:rPr>
            </w:pPr>
            <w:r w:rsidRPr="00183F91">
              <w:rPr>
                <w:lang w:val="fr-FR"/>
              </w:rPr>
              <w:t>138 affaires classées, 115</w:t>
            </w:r>
            <w:r w:rsidR="007A7DAC">
              <w:rPr>
                <w:lang w:val="fr-FR"/>
              </w:rPr>
              <w:t> </w:t>
            </w:r>
            <w:r w:rsidRPr="00183F91">
              <w:rPr>
                <w:lang w:val="fr-FR"/>
              </w:rPr>
              <w:t>affaires examinées, 1</w:t>
            </w:r>
            <w:r w:rsidR="007A7DAC">
              <w:rPr>
                <w:lang w:val="fr-FR"/>
              </w:rPr>
              <w:t> </w:t>
            </w:r>
            <w:r w:rsidRPr="00183F91">
              <w:rPr>
                <w:lang w:val="fr-FR"/>
              </w:rPr>
              <w:t xml:space="preserve">affaire rejetée </w:t>
            </w:r>
          </w:p>
        </w:tc>
      </w:tr>
      <w:tr w:rsidR="006E0934" w:rsidRPr="00183F91" w14:paraId="0292128E" w14:textId="77777777" w:rsidTr="000821D9">
        <w:tc>
          <w:tcPr>
            <w:tcW w:w="310" w:type="pct"/>
            <w:shd w:val="clear" w:color="auto" w:fill="auto"/>
            <w:noWrap/>
          </w:tcPr>
          <w:p w14:paraId="4105797F" w14:textId="77777777" w:rsidR="006E0934" w:rsidRPr="00183F91" w:rsidRDefault="006E0934" w:rsidP="00B4234E">
            <w:pPr>
              <w:tabs>
                <w:tab w:val="left" w:pos="288"/>
                <w:tab w:val="left" w:pos="576"/>
                <w:tab w:val="left" w:pos="864"/>
                <w:tab w:val="left" w:pos="1152"/>
              </w:tabs>
              <w:spacing w:before="40" w:after="80"/>
              <w:ind w:right="40"/>
              <w:rPr>
                <w:lang w:val="fr-FR"/>
              </w:rPr>
            </w:pPr>
            <w:r w:rsidRPr="00183F91">
              <w:rPr>
                <w:lang w:val="fr-FR"/>
              </w:rPr>
              <w:t>2018</w:t>
            </w:r>
          </w:p>
        </w:tc>
        <w:tc>
          <w:tcPr>
            <w:tcW w:w="1563" w:type="pct"/>
            <w:shd w:val="clear" w:color="auto" w:fill="auto"/>
            <w:noWrap/>
          </w:tcPr>
          <w:p w14:paraId="0A12C1F6" w14:textId="443BDF28" w:rsidR="006E0934" w:rsidRPr="00183F91" w:rsidRDefault="006E0934" w:rsidP="00B4234E">
            <w:pPr>
              <w:tabs>
                <w:tab w:val="left" w:pos="288"/>
                <w:tab w:val="left" w:pos="576"/>
                <w:tab w:val="left" w:pos="864"/>
                <w:tab w:val="left" w:pos="1152"/>
              </w:tabs>
              <w:spacing w:before="40" w:after="80"/>
              <w:ind w:left="144" w:right="43"/>
              <w:rPr>
                <w:lang w:val="fr-FR"/>
              </w:rPr>
            </w:pPr>
            <w:r w:rsidRPr="00183F91">
              <w:rPr>
                <w:lang w:val="fr-FR"/>
              </w:rPr>
              <w:t>Au titre de l</w:t>
            </w:r>
            <w:r w:rsidR="00442D55" w:rsidRPr="00183F91">
              <w:rPr>
                <w:lang w:val="fr-FR"/>
              </w:rPr>
              <w:t>’</w:t>
            </w:r>
            <w:r w:rsidRPr="00183F91">
              <w:rPr>
                <w:lang w:val="fr-FR"/>
              </w:rPr>
              <w:t>article 11.7 du Code pénal, sur 210</w:t>
            </w:r>
            <w:r w:rsidR="007A7DAC">
              <w:rPr>
                <w:lang w:val="fr-FR"/>
              </w:rPr>
              <w:t> </w:t>
            </w:r>
            <w:r w:rsidRPr="00183F91">
              <w:rPr>
                <w:lang w:val="fr-FR"/>
              </w:rPr>
              <w:t>nouvelles affaires enregistrées, 34 ont été rejetées, 165 ont été transmises au parquet pour que des poursuites soient engagées, et 11</w:t>
            </w:r>
            <w:r w:rsidR="00BC5F94" w:rsidRPr="00183F91">
              <w:rPr>
                <w:lang w:val="fr-FR"/>
              </w:rPr>
              <w:t> </w:t>
            </w:r>
            <w:r w:rsidRPr="00183F91">
              <w:rPr>
                <w:lang w:val="fr-FR"/>
              </w:rPr>
              <w:t>ont été consolidées</w:t>
            </w:r>
          </w:p>
        </w:tc>
        <w:tc>
          <w:tcPr>
            <w:tcW w:w="1563" w:type="pct"/>
            <w:shd w:val="clear" w:color="auto" w:fill="auto"/>
            <w:noWrap/>
          </w:tcPr>
          <w:p w14:paraId="0CA7BACF" w14:textId="64F639B1" w:rsidR="006E0934" w:rsidRPr="00183F91" w:rsidRDefault="006E0934" w:rsidP="00B4234E">
            <w:pPr>
              <w:tabs>
                <w:tab w:val="left" w:pos="288"/>
                <w:tab w:val="left" w:pos="576"/>
                <w:tab w:val="left" w:pos="864"/>
                <w:tab w:val="left" w:pos="1152"/>
              </w:tabs>
              <w:spacing w:before="40" w:after="80"/>
              <w:ind w:left="144" w:right="43"/>
              <w:rPr>
                <w:lang w:val="fr-FR"/>
              </w:rPr>
            </w:pPr>
            <w:r w:rsidRPr="00183F91">
              <w:rPr>
                <w:lang w:val="fr-FR"/>
              </w:rPr>
              <w:t>519 affaires au total ont fait l</w:t>
            </w:r>
            <w:r w:rsidR="00442D55" w:rsidRPr="00183F91">
              <w:rPr>
                <w:lang w:val="fr-FR"/>
              </w:rPr>
              <w:t>’</w:t>
            </w:r>
            <w:r w:rsidRPr="00183F91">
              <w:rPr>
                <w:lang w:val="fr-FR"/>
              </w:rPr>
              <w:t>objet d</w:t>
            </w:r>
            <w:r w:rsidR="00442D55" w:rsidRPr="00183F91">
              <w:rPr>
                <w:lang w:val="fr-FR"/>
              </w:rPr>
              <w:t>’</w:t>
            </w:r>
            <w:r w:rsidRPr="00183F91">
              <w:rPr>
                <w:lang w:val="fr-FR"/>
              </w:rPr>
              <w:t>une enquête (370</w:t>
            </w:r>
            <w:r w:rsidR="007A7DAC">
              <w:rPr>
                <w:lang w:val="fr-FR"/>
              </w:rPr>
              <w:t> </w:t>
            </w:r>
            <w:r w:rsidRPr="00183F91">
              <w:rPr>
                <w:lang w:val="fr-FR"/>
              </w:rPr>
              <w:t>affaires consolidées au cours de la période), 217</w:t>
            </w:r>
            <w:r w:rsidR="00FB17AD" w:rsidRPr="00183F91">
              <w:rPr>
                <w:lang w:val="fr-FR"/>
              </w:rPr>
              <w:t> </w:t>
            </w:r>
            <w:r w:rsidRPr="00183F91">
              <w:rPr>
                <w:lang w:val="fr-FR"/>
              </w:rPr>
              <w:t>enquêtes ont été closes, 165 affaires ont été transmises à un tribunal</w:t>
            </w:r>
          </w:p>
        </w:tc>
        <w:tc>
          <w:tcPr>
            <w:tcW w:w="1564" w:type="pct"/>
            <w:shd w:val="clear" w:color="auto" w:fill="auto"/>
            <w:noWrap/>
          </w:tcPr>
          <w:p w14:paraId="19B652C5" w14:textId="55101883" w:rsidR="006E0934" w:rsidRPr="00183F91" w:rsidRDefault="006E0934" w:rsidP="00B4234E">
            <w:pPr>
              <w:tabs>
                <w:tab w:val="left" w:pos="288"/>
                <w:tab w:val="left" w:pos="576"/>
                <w:tab w:val="left" w:pos="864"/>
                <w:tab w:val="left" w:pos="1152"/>
              </w:tabs>
              <w:spacing w:before="40" w:after="80"/>
              <w:ind w:left="144" w:right="43"/>
              <w:rPr>
                <w:lang w:val="fr-FR"/>
              </w:rPr>
            </w:pPr>
            <w:r w:rsidRPr="00183F91">
              <w:rPr>
                <w:lang w:val="fr-FR"/>
              </w:rPr>
              <w:t>138 affaires n</w:t>
            </w:r>
            <w:r w:rsidR="00442D55" w:rsidRPr="00183F91">
              <w:rPr>
                <w:lang w:val="fr-FR"/>
              </w:rPr>
              <w:t>’</w:t>
            </w:r>
            <w:r w:rsidRPr="00183F91">
              <w:rPr>
                <w:lang w:val="fr-FR"/>
              </w:rPr>
              <w:t>ont pas encore été réglées, 115</w:t>
            </w:r>
            <w:r w:rsidR="00A235E6" w:rsidRPr="00183F91">
              <w:rPr>
                <w:lang w:val="fr-FR"/>
              </w:rPr>
              <w:t> </w:t>
            </w:r>
            <w:r w:rsidRPr="00183F91">
              <w:rPr>
                <w:lang w:val="fr-FR"/>
              </w:rPr>
              <w:t>ont été examinées, 1</w:t>
            </w:r>
            <w:r w:rsidR="00BC5F94" w:rsidRPr="00183F91">
              <w:rPr>
                <w:lang w:val="fr-FR"/>
              </w:rPr>
              <w:t> </w:t>
            </w:r>
            <w:r w:rsidRPr="00183F91">
              <w:rPr>
                <w:lang w:val="fr-FR"/>
              </w:rPr>
              <w:t>jugement a été annulé</w:t>
            </w:r>
          </w:p>
        </w:tc>
      </w:tr>
      <w:tr w:rsidR="006E0934" w:rsidRPr="00183F91" w14:paraId="1E5FF042" w14:textId="77777777" w:rsidTr="000821D9">
        <w:tc>
          <w:tcPr>
            <w:tcW w:w="310" w:type="pct"/>
            <w:tcBorders>
              <w:bottom w:val="single" w:sz="12" w:space="0" w:color="auto"/>
            </w:tcBorders>
            <w:shd w:val="clear" w:color="auto" w:fill="auto"/>
            <w:noWrap/>
          </w:tcPr>
          <w:p w14:paraId="38DE93E6" w14:textId="77777777" w:rsidR="006E0934" w:rsidRPr="00183F91" w:rsidRDefault="006E0934" w:rsidP="00B4234E">
            <w:pPr>
              <w:tabs>
                <w:tab w:val="left" w:pos="288"/>
                <w:tab w:val="left" w:pos="576"/>
                <w:tab w:val="left" w:pos="864"/>
                <w:tab w:val="left" w:pos="1152"/>
              </w:tabs>
              <w:spacing w:before="40" w:after="80"/>
              <w:ind w:right="40"/>
              <w:rPr>
                <w:lang w:val="fr-FR"/>
              </w:rPr>
            </w:pPr>
            <w:r w:rsidRPr="00183F91">
              <w:rPr>
                <w:lang w:val="fr-FR"/>
              </w:rPr>
              <w:t>2019</w:t>
            </w:r>
          </w:p>
        </w:tc>
        <w:tc>
          <w:tcPr>
            <w:tcW w:w="1563" w:type="pct"/>
            <w:tcBorders>
              <w:bottom w:val="single" w:sz="12" w:space="0" w:color="auto"/>
            </w:tcBorders>
            <w:shd w:val="clear" w:color="auto" w:fill="auto"/>
            <w:noWrap/>
          </w:tcPr>
          <w:p w14:paraId="4DDCAEE1" w14:textId="54CD1E1E" w:rsidR="006E0934" w:rsidRPr="00183F91" w:rsidRDefault="006E0934" w:rsidP="00B4234E">
            <w:pPr>
              <w:tabs>
                <w:tab w:val="left" w:pos="288"/>
                <w:tab w:val="left" w:pos="576"/>
                <w:tab w:val="left" w:pos="864"/>
                <w:tab w:val="left" w:pos="1152"/>
              </w:tabs>
              <w:spacing w:before="40" w:after="80"/>
              <w:ind w:left="144" w:right="43"/>
              <w:rPr>
                <w:lang w:val="fr-FR"/>
              </w:rPr>
            </w:pPr>
            <w:r w:rsidRPr="00183F91">
              <w:rPr>
                <w:lang w:val="fr-FR"/>
              </w:rPr>
              <w:t>Au titre de l</w:t>
            </w:r>
            <w:r w:rsidR="00442D55" w:rsidRPr="00183F91">
              <w:rPr>
                <w:lang w:val="fr-FR"/>
              </w:rPr>
              <w:t>’</w:t>
            </w:r>
            <w:r w:rsidRPr="00183F91">
              <w:rPr>
                <w:lang w:val="fr-FR"/>
              </w:rPr>
              <w:t>article 11.7 du Code pénal, sur 207 nouvelles affaires enregistrées, 17 ont été rejetées, 158 ont été transmises au parquet pour que des poursuites soient engagées, 8</w:t>
            </w:r>
            <w:r w:rsidR="00BC5F94" w:rsidRPr="00183F91">
              <w:rPr>
                <w:lang w:val="fr-FR"/>
              </w:rPr>
              <w:t> </w:t>
            </w:r>
            <w:r w:rsidRPr="00183F91">
              <w:rPr>
                <w:lang w:val="fr-FR"/>
              </w:rPr>
              <w:t>ont été consolidées et 24 font l</w:t>
            </w:r>
            <w:r w:rsidR="00442D55" w:rsidRPr="00183F91">
              <w:rPr>
                <w:lang w:val="fr-FR"/>
              </w:rPr>
              <w:t>’</w:t>
            </w:r>
            <w:r w:rsidRPr="00183F91">
              <w:rPr>
                <w:lang w:val="fr-FR"/>
              </w:rPr>
              <w:t>objet d</w:t>
            </w:r>
            <w:r w:rsidR="00442D55" w:rsidRPr="00183F91">
              <w:rPr>
                <w:lang w:val="fr-FR"/>
              </w:rPr>
              <w:t>’</w:t>
            </w:r>
            <w:r w:rsidRPr="00183F91">
              <w:rPr>
                <w:lang w:val="fr-FR"/>
              </w:rPr>
              <w:t>une procédure toujours en cours</w:t>
            </w:r>
          </w:p>
        </w:tc>
        <w:tc>
          <w:tcPr>
            <w:tcW w:w="1563" w:type="pct"/>
            <w:tcBorders>
              <w:bottom w:val="single" w:sz="12" w:space="0" w:color="auto"/>
            </w:tcBorders>
            <w:shd w:val="clear" w:color="auto" w:fill="auto"/>
            <w:noWrap/>
          </w:tcPr>
          <w:p w14:paraId="262DD3CB" w14:textId="658931EE" w:rsidR="006E0934" w:rsidRPr="00183F91" w:rsidRDefault="006E0934" w:rsidP="00B4234E">
            <w:pPr>
              <w:tabs>
                <w:tab w:val="left" w:pos="288"/>
                <w:tab w:val="left" w:pos="576"/>
                <w:tab w:val="left" w:pos="864"/>
                <w:tab w:val="left" w:pos="1152"/>
              </w:tabs>
              <w:spacing w:before="40" w:after="80"/>
              <w:ind w:left="144" w:right="43"/>
              <w:rPr>
                <w:lang w:val="fr-FR"/>
              </w:rPr>
            </w:pPr>
            <w:r w:rsidRPr="00183F91">
              <w:rPr>
                <w:lang w:val="fr-FR"/>
              </w:rPr>
              <w:t>16 affaires de violence familiale ayant entraîné un décès ont été transmises à un tribunal</w:t>
            </w:r>
          </w:p>
        </w:tc>
        <w:tc>
          <w:tcPr>
            <w:tcW w:w="1564" w:type="pct"/>
            <w:tcBorders>
              <w:bottom w:val="single" w:sz="12" w:space="0" w:color="auto"/>
            </w:tcBorders>
            <w:shd w:val="clear" w:color="auto" w:fill="auto"/>
            <w:noWrap/>
          </w:tcPr>
          <w:p w14:paraId="4722D55B" w14:textId="77777777" w:rsidR="006E0934" w:rsidRPr="00183F91" w:rsidRDefault="006E0934" w:rsidP="00B4234E">
            <w:pPr>
              <w:tabs>
                <w:tab w:val="left" w:pos="288"/>
                <w:tab w:val="left" w:pos="576"/>
                <w:tab w:val="left" w:pos="864"/>
                <w:tab w:val="left" w:pos="1152"/>
              </w:tabs>
              <w:spacing w:before="40" w:after="80"/>
              <w:ind w:left="144" w:right="43"/>
              <w:rPr>
                <w:lang w:val="fr-FR"/>
              </w:rPr>
            </w:pPr>
            <w:r w:rsidRPr="00183F91">
              <w:rPr>
                <w:lang w:val="fr-FR"/>
              </w:rPr>
              <w:t xml:space="preserve">12 affaires ont été réglées </w:t>
            </w:r>
          </w:p>
        </w:tc>
      </w:tr>
    </w:tbl>
    <w:p w14:paraId="5D9A6C1C" w14:textId="1B190B80" w:rsidR="006E0934" w:rsidRPr="00183F91" w:rsidRDefault="006E0934" w:rsidP="00D04411">
      <w:pPr>
        <w:pStyle w:val="SingleTxt"/>
        <w:spacing w:after="0" w:line="120" w:lineRule="exact"/>
        <w:rPr>
          <w:sz w:val="10"/>
          <w:lang w:val="fr-FR"/>
        </w:rPr>
      </w:pPr>
    </w:p>
    <w:p w14:paraId="0D3581A9" w14:textId="698DF420" w:rsidR="006E0934" w:rsidRPr="00183F91" w:rsidRDefault="006E0934" w:rsidP="00B4234E">
      <w:pPr>
        <w:pStyle w:val="FootnoteText"/>
        <w:tabs>
          <w:tab w:val="right" w:pos="1476"/>
          <w:tab w:val="left" w:pos="1548"/>
          <w:tab w:val="right" w:pos="1836"/>
          <w:tab w:val="left" w:pos="1908"/>
        </w:tabs>
        <w:ind w:left="1548" w:hanging="288"/>
        <w:rPr>
          <w:lang w:val="fr-FR"/>
        </w:rPr>
      </w:pPr>
      <w:r w:rsidRPr="00183F91">
        <w:rPr>
          <w:i/>
          <w:iCs/>
          <w:lang w:val="fr-FR"/>
        </w:rPr>
        <w:t>Source</w:t>
      </w:r>
      <w:r w:rsidR="00442D55" w:rsidRPr="00183F91">
        <w:rPr>
          <w:i/>
          <w:iCs/>
          <w:lang w:val="fr-FR"/>
        </w:rPr>
        <w:t> </w:t>
      </w:r>
      <w:r w:rsidR="00442D55" w:rsidRPr="00183F91">
        <w:rPr>
          <w:lang w:val="fr-FR"/>
        </w:rPr>
        <w:t>:</w:t>
      </w:r>
      <w:r w:rsidRPr="00183F91">
        <w:rPr>
          <w:lang w:val="fr-FR"/>
        </w:rPr>
        <w:t xml:space="preserve"> Livre blanc sur la criminalité publié par la Mongolie en 2016, 2017, 2018.</w:t>
      </w:r>
    </w:p>
    <w:p w14:paraId="543AA866" w14:textId="695B21E6" w:rsidR="00D04411" w:rsidRPr="00183F91" w:rsidRDefault="00D04411" w:rsidP="00D04411">
      <w:pPr>
        <w:pStyle w:val="SingleTxt"/>
        <w:spacing w:after="0" w:line="120" w:lineRule="exact"/>
        <w:rPr>
          <w:sz w:val="10"/>
          <w:lang w:val="fr-FR"/>
        </w:rPr>
      </w:pPr>
    </w:p>
    <w:p w14:paraId="68307461" w14:textId="25EDA8CC" w:rsidR="00D04411" w:rsidRPr="00183F91" w:rsidRDefault="00D04411" w:rsidP="00D04411">
      <w:pPr>
        <w:pStyle w:val="SingleTxt"/>
        <w:spacing w:after="0" w:line="120" w:lineRule="exact"/>
        <w:rPr>
          <w:sz w:val="10"/>
          <w:lang w:val="fr-FR"/>
        </w:rPr>
      </w:pPr>
    </w:p>
    <w:p w14:paraId="58BBF8B3" w14:textId="135E8B6F" w:rsidR="006E0934" w:rsidRPr="00183F91" w:rsidRDefault="006E0934" w:rsidP="00AA6B42">
      <w:pPr>
        <w:pStyle w:val="SingleTxt"/>
        <w:numPr>
          <w:ilvl w:val="0"/>
          <w:numId w:val="45"/>
        </w:numPr>
        <w:spacing w:line="240" w:lineRule="exact"/>
        <w:ind w:left="1267"/>
        <w:rPr>
          <w:lang w:val="fr-FR"/>
        </w:rPr>
      </w:pPr>
      <w:r w:rsidRPr="00183F91">
        <w:rPr>
          <w:lang w:val="fr-FR"/>
        </w:rPr>
        <w:t>Dans le cadre du projet de l</w:t>
      </w:r>
      <w:r w:rsidR="00442D55" w:rsidRPr="00183F91">
        <w:rPr>
          <w:lang w:val="fr-FR"/>
        </w:rPr>
        <w:t>’</w:t>
      </w:r>
      <w:r w:rsidRPr="00183F91">
        <w:rPr>
          <w:lang w:val="fr-FR"/>
        </w:rPr>
        <w:t xml:space="preserve">Organisation internationale de droit du développement financé par le Gouvernement des États-Unis visant à renforcer le cadre juridique de la lutte contre la violence familiale, une formation a été organisée afin de renforcer les capacités et la coordination du secteur juridique dans le cadre de la lutte </w:t>
      </w:r>
      <w:r w:rsidR="00B011F4" w:rsidRPr="00183F91">
        <w:rPr>
          <w:lang w:val="fr-FR"/>
        </w:rPr>
        <w:t xml:space="preserve">contre </w:t>
      </w:r>
      <w:r w:rsidRPr="00183F91">
        <w:rPr>
          <w:lang w:val="fr-FR"/>
        </w:rPr>
        <w:t>cette violence</w:t>
      </w:r>
      <w:r w:rsidR="00442D55" w:rsidRPr="00183F91">
        <w:rPr>
          <w:lang w:val="fr-FR"/>
        </w:rPr>
        <w:t> ;</w:t>
      </w:r>
      <w:r w:rsidRPr="00183F91">
        <w:rPr>
          <w:lang w:val="fr-FR"/>
        </w:rPr>
        <w:t xml:space="preserve"> y ont participé 980 personnes issues de la capitale et de 20</w:t>
      </w:r>
      <w:r w:rsidR="00BE2441" w:rsidRPr="00183F91">
        <w:rPr>
          <w:lang w:val="fr-FR"/>
        </w:rPr>
        <w:t> </w:t>
      </w:r>
      <w:r w:rsidRPr="00183F91">
        <w:rPr>
          <w:lang w:val="fr-FR"/>
        </w:rPr>
        <w:t>aïmags, dont des policiers, des procureurs, des juges, des avocats, des travailleurs sociaux et des membres du service chargé de coordonner la prévention de la criminalité.</w:t>
      </w:r>
    </w:p>
    <w:p w14:paraId="3E40CFBB" w14:textId="3CB2BA0B" w:rsidR="006E0934" w:rsidRPr="00183F91" w:rsidRDefault="006E0934" w:rsidP="00D04411">
      <w:pPr>
        <w:pStyle w:val="SingleTxt"/>
        <w:numPr>
          <w:ilvl w:val="0"/>
          <w:numId w:val="43"/>
        </w:numPr>
        <w:spacing w:line="240" w:lineRule="exact"/>
        <w:ind w:left="1267"/>
        <w:rPr>
          <w:lang w:val="fr-FR"/>
        </w:rPr>
      </w:pPr>
      <w:r w:rsidRPr="00183F91">
        <w:rPr>
          <w:lang w:val="fr-FR"/>
        </w:rPr>
        <w:t>Une autre formation a été organisée afin de renforcer les capacités et la coordination du secteur juridique dans le cadre de la lutte contre la violence familiale, à laquelle ont participé 1</w:t>
      </w:r>
      <w:r w:rsidR="00BE2441" w:rsidRPr="00183F91">
        <w:rPr>
          <w:lang w:val="fr-FR"/>
        </w:rPr>
        <w:t> </w:t>
      </w:r>
      <w:r w:rsidRPr="00183F91">
        <w:rPr>
          <w:lang w:val="fr-FR"/>
        </w:rPr>
        <w:t xml:space="preserve">000 personnes issues de la capitale et de 21 aïmags, dont des policiers, des procureurs, des juges, des avocats, des travailleurs sociaux et des </w:t>
      </w:r>
      <w:r w:rsidRPr="00183F91">
        <w:rPr>
          <w:lang w:val="fr-FR"/>
        </w:rPr>
        <w:lastRenderedPageBreak/>
        <w:t>membres du service chargé de coordonner la prévention de la criminalité. Un cours sur la lutte contre la violence domestique a été inclus dans le tronc commun des cursus de l</w:t>
      </w:r>
      <w:r w:rsidR="00442D55" w:rsidRPr="00183F91">
        <w:rPr>
          <w:lang w:val="fr-FR"/>
        </w:rPr>
        <w:t>’</w:t>
      </w:r>
      <w:r w:rsidRPr="00183F91">
        <w:rPr>
          <w:lang w:val="fr-FR"/>
        </w:rPr>
        <w:t>Académie de police de Mongolie à partir de l</w:t>
      </w:r>
      <w:r w:rsidR="00442D55" w:rsidRPr="00183F91">
        <w:rPr>
          <w:lang w:val="fr-FR"/>
        </w:rPr>
        <w:t>’</w:t>
      </w:r>
      <w:r w:rsidRPr="00183F91">
        <w:rPr>
          <w:lang w:val="fr-FR"/>
        </w:rPr>
        <w:t>année universitaire 2017.</w:t>
      </w:r>
    </w:p>
    <w:p w14:paraId="10D40E2A" w14:textId="3230127D" w:rsidR="00D04411" w:rsidRPr="00183F91" w:rsidRDefault="00D04411" w:rsidP="00D04411">
      <w:pPr>
        <w:pStyle w:val="SingleTxt"/>
        <w:spacing w:after="0" w:line="120" w:lineRule="exact"/>
        <w:rPr>
          <w:sz w:val="10"/>
          <w:lang w:val="fr-FR"/>
        </w:rPr>
      </w:pPr>
    </w:p>
    <w:p w14:paraId="576E1791" w14:textId="692EA99E" w:rsidR="006E0934" w:rsidRPr="00183F91" w:rsidRDefault="00D04411" w:rsidP="001B0EC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83F91">
        <w:rPr>
          <w:lang w:val="fr-FR"/>
        </w:rPr>
        <w:tab/>
      </w:r>
      <w:r w:rsidR="006E0934" w:rsidRPr="00183F91">
        <w:rPr>
          <w:lang w:val="fr-FR"/>
        </w:rPr>
        <w:t>I.</w:t>
      </w:r>
      <w:r w:rsidR="006E0934" w:rsidRPr="00183F91">
        <w:rPr>
          <w:lang w:val="fr-FR"/>
        </w:rPr>
        <w:tab/>
        <w:t>Réponse au paragraphe 9 a) et b) de la liste de points</w:t>
      </w:r>
    </w:p>
    <w:p w14:paraId="3E2E0411" w14:textId="065EC8B6" w:rsidR="00D04411" w:rsidRPr="00183F91" w:rsidRDefault="00D04411" w:rsidP="000821D9">
      <w:pPr>
        <w:pStyle w:val="SingleTxt"/>
        <w:keepNext/>
        <w:spacing w:after="0" w:line="120" w:lineRule="exact"/>
        <w:rPr>
          <w:sz w:val="10"/>
          <w:lang w:val="fr-FR"/>
        </w:rPr>
      </w:pPr>
    </w:p>
    <w:p w14:paraId="7D469AFF" w14:textId="18B52146" w:rsidR="00D04411" w:rsidRPr="00183F91" w:rsidRDefault="00D04411" w:rsidP="000821D9">
      <w:pPr>
        <w:pStyle w:val="SingleTxt"/>
        <w:keepNext/>
        <w:spacing w:after="0" w:line="120" w:lineRule="exact"/>
        <w:rPr>
          <w:sz w:val="10"/>
          <w:lang w:val="fr-FR"/>
        </w:rPr>
      </w:pPr>
    </w:p>
    <w:p w14:paraId="358AFF53" w14:textId="30D64B76" w:rsidR="006E0934" w:rsidRPr="00183F91" w:rsidRDefault="006E0934" w:rsidP="00D04411">
      <w:pPr>
        <w:pStyle w:val="SingleTxt"/>
        <w:numPr>
          <w:ilvl w:val="0"/>
          <w:numId w:val="43"/>
        </w:numPr>
        <w:spacing w:line="240" w:lineRule="exact"/>
        <w:ind w:left="1267"/>
        <w:rPr>
          <w:lang w:val="fr-FR"/>
        </w:rPr>
      </w:pPr>
      <w:r w:rsidRPr="00183F91">
        <w:rPr>
          <w:lang w:val="fr-FR"/>
        </w:rPr>
        <w:t>Le programme d</w:t>
      </w:r>
      <w:r w:rsidR="00442D55" w:rsidRPr="00183F91">
        <w:rPr>
          <w:lang w:val="fr-FR"/>
        </w:rPr>
        <w:t>’</w:t>
      </w:r>
      <w:r w:rsidRPr="00183F91">
        <w:rPr>
          <w:lang w:val="fr-FR"/>
        </w:rPr>
        <w:t>action national (2016-2020) prévoit la mise en place de nouveaux programmes pour prévenir et combattre le blanchiment d</w:t>
      </w:r>
      <w:r w:rsidR="00442D55" w:rsidRPr="00183F91">
        <w:rPr>
          <w:lang w:val="fr-FR"/>
        </w:rPr>
        <w:t>’</w:t>
      </w:r>
      <w:r w:rsidRPr="00183F91">
        <w:rPr>
          <w:lang w:val="fr-FR"/>
        </w:rPr>
        <w:t>argent, la traite, le trafic de drogue et la cybercriminalité. Dans cette perspective, le Ministère de la justice et des affaires intérieures a adopté un plan national de lutte contre la traite des personnes, approuvé par la résolution gouvernementale n</w:t>
      </w:r>
      <w:r w:rsidR="00BE2441" w:rsidRPr="00183F91">
        <w:rPr>
          <w:vertAlign w:val="superscript"/>
          <w:lang w:val="fr-FR"/>
        </w:rPr>
        <w:t>o</w:t>
      </w:r>
      <w:r w:rsidR="00BE2441" w:rsidRPr="00183F91">
        <w:rPr>
          <w:lang w:val="fr-FR"/>
        </w:rPr>
        <w:t> </w:t>
      </w:r>
      <w:r w:rsidRPr="00183F91">
        <w:rPr>
          <w:lang w:val="fr-FR"/>
        </w:rPr>
        <w:t>148 de 2017. Pour assurer l</w:t>
      </w:r>
      <w:r w:rsidR="00442D55" w:rsidRPr="00183F91">
        <w:rPr>
          <w:lang w:val="fr-FR"/>
        </w:rPr>
        <w:t>’</w:t>
      </w:r>
      <w:r w:rsidRPr="00183F91">
        <w:rPr>
          <w:lang w:val="fr-FR"/>
        </w:rPr>
        <w:t>application de la loi contre la traite et du plan national susmentionné et intensifier les mesures prises à cet effet, un sous-comité a été créé en 2017 pour coordonner la prévention de la traite des personnes, fournir des conseils aux professionnels concernés et superviser l</w:t>
      </w:r>
      <w:r w:rsidR="00442D55" w:rsidRPr="00183F91">
        <w:rPr>
          <w:lang w:val="fr-FR"/>
        </w:rPr>
        <w:t>’</w:t>
      </w:r>
      <w:r w:rsidRPr="00183F91">
        <w:rPr>
          <w:lang w:val="fr-FR"/>
        </w:rPr>
        <w:t>application de la loi de 2017 contre la traite. Plusieurs études ont été menées, notamment une évaluation des incidences de l</w:t>
      </w:r>
      <w:r w:rsidR="00442D55" w:rsidRPr="00183F91">
        <w:rPr>
          <w:lang w:val="fr-FR"/>
        </w:rPr>
        <w:t>’</w:t>
      </w:r>
      <w:r w:rsidRPr="00183F91">
        <w:rPr>
          <w:lang w:val="fr-FR"/>
        </w:rPr>
        <w:t>application de la loi contre la traite et une enquête visant à évaluer les connaissances, les compétences spécialisées, l</w:t>
      </w:r>
      <w:r w:rsidR="00442D55" w:rsidRPr="00183F91">
        <w:rPr>
          <w:lang w:val="fr-FR"/>
        </w:rPr>
        <w:t>’</w:t>
      </w:r>
      <w:r w:rsidRPr="00183F91">
        <w:rPr>
          <w:lang w:val="fr-FR"/>
        </w:rPr>
        <w:t>expérience et les capacités du personnel de maintien de l</w:t>
      </w:r>
      <w:r w:rsidR="00442D55" w:rsidRPr="00183F91">
        <w:rPr>
          <w:lang w:val="fr-FR"/>
        </w:rPr>
        <w:t>’</w:t>
      </w:r>
      <w:r w:rsidRPr="00183F91">
        <w:rPr>
          <w:lang w:val="fr-FR"/>
        </w:rPr>
        <w:t>ordre et des membres de l</w:t>
      </w:r>
      <w:r w:rsidR="00442D55" w:rsidRPr="00183F91">
        <w:rPr>
          <w:lang w:val="fr-FR"/>
        </w:rPr>
        <w:t>’</w:t>
      </w:r>
      <w:r w:rsidRPr="00183F91">
        <w:rPr>
          <w:lang w:val="fr-FR"/>
        </w:rPr>
        <w:t>appareil judiciaire en ce qui concerne la traite des personnes. Citons également une analyse comparative des lois et des manuels de formation dont le pays s</w:t>
      </w:r>
      <w:r w:rsidR="00442D55" w:rsidRPr="00183F91">
        <w:rPr>
          <w:lang w:val="fr-FR"/>
        </w:rPr>
        <w:t>’</w:t>
      </w:r>
      <w:r w:rsidRPr="00183F91">
        <w:rPr>
          <w:lang w:val="fr-FR"/>
        </w:rPr>
        <w:t>est doté concernant l</w:t>
      </w:r>
      <w:r w:rsidR="00442D55" w:rsidRPr="00183F91">
        <w:rPr>
          <w:lang w:val="fr-FR"/>
        </w:rPr>
        <w:t>’</w:t>
      </w:r>
      <w:r w:rsidRPr="00183F91">
        <w:rPr>
          <w:lang w:val="fr-FR"/>
        </w:rPr>
        <w:t>adoption d</w:t>
      </w:r>
      <w:r w:rsidR="00442D55" w:rsidRPr="00183F91">
        <w:rPr>
          <w:lang w:val="fr-FR"/>
        </w:rPr>
        <w:t>’</w:t>
      </w:r>
      <w:r w:rsidRPr="00183F91">
        <w:rPr>
          <w:lang w:val="fr-FR"/>
        </w:rPr>
        <w:t>une approche centrée sur la victime pour lutter contre la traite et une évaluation des capacités du personnel.</w:t>
      </w:r>
    </w:p>
    <w:p w14:paraId="3071F157" w14:textId="4117DE6E" w:rsidR="006E0934" w:rsidRPr="00183F91" w:rsidRDefault="006E0934" w:rsidP="00D04411">
      <w:pPr>
        <w:pStyle w:val="SingleTxt"/>
        <w:numPr>
          <w:ilvl w:val="0"/>
          <w:numId w:val="43"/>
        </w:numPr>
        <w:spacing w:line="240" w:lineRule="exact"/>
        <w:ind w:left="1267"/>
        <w:rPr>
          <w:lang w:val="fr-FR"/>
        </w:rPr>
      </w:pPr>
      <w:r w:rsidRPr="00183F91">
        <w:rPr>
          <w:lang w:val="fr-FR"/>
        </w:rPr>
        <w:t>En application de l</w:t>
      </w:r>
      <w:r w:rsidR="00442D55" w:rsidRPr="00183F91">
        <w:rPr>
          <w:lang w:val="fr-FR"/>
        </w:rPr>
        <w:t>’</w:t>
      </w:r>
      <w:r w:rsidRPr="00183F91">
        <w:rPr>
          <w:lang w:val="fr-FR"/>
        </w:rPr>
        <w:t>ordonnance n</w:t>
      </w:r>
      <w:r w:rsidRPr="000821D9">
        <w:rPr>
          <w:vertAlign w:val="superscript"/>
          <w:lang w:val="fr-FR"/>
        </w:rPr>
        <w:t>o</w:t>
      </w:r>
      <w:r w:rsidRPr="00183F91">
        <w:rPr>
          <w:lang w:val="fr-FR"/>
        </w:rPr>
        <w:t xml:space="preserve"> B/284 (2017) du chef du Département général de la police, le Département de la lutte contre la criminalité organisée a été rebaptisé Département de la lutte contre la criminalité organisée et la traite et la Division de la lutte contre la traite a été créée. En ce qui concerne la résolution gouvernementale n</w:t>
      </w:r>
      <w:r w:rsidR="00BE2441" w:rsidRPr="00183F91">
        <w:rPr>
          <w:vertAlign w:val="superscript"/>
          <w:lang w:val="fr-FR"/>
        </w:rPr>
        <w:t>o</w:t>
      </w:r>
      <w:r w:rsidR="00BE2441" w:rsidRPr="00183F91">
        <w:rPr>
          <w:lang w:val="fr-FR"/>
        </w:rPr>
        <w:t> </w:t>
      </w:r>
      <w:r w:rsidRPr="00183F91">
        <w:rPr>
          <w:lang w:val="fr-FR"/>
        </w:rPr>
        <w:t>4 du 27 juillet 2016, en application de laquelle l</w:t>
      </w:r>
      <w:r w:rsidR="00442D55" w:rsidRPr="00183F91">
        <w:rPr>
          <w:lang w:val="fr-FR"/>
        </w:rPr>
        <w:t>’</w:t>
      </w:r>
      <w:r w:rsidRPr="00183F91">
        <w:rPr>
          <w:lang w:val="fr-FR"/>
        </w:rPr>
        <w:t>Agence des capitaines de gendarmerie (Takhar) a été dissoute et ses responsabilités transférées à la police, une Division de la protection des témoins et des victimes a été incluse dans l</w:t>
      </w:r>
      <w:r w:rsidR="00442D55" w:rsidRPr="00183F91">
        <w:rPr>
          <w:lang w:val="fr-FR"/>
        </w:rPr>
        <w:t>’</w:t>
      </w:r>
      <w:r w:rsidRPr="00183F91">
        <w:rPr>
          <w:lang w:val="fr-FR"/>
        </w:rPr>
        <w:t>organigramme de la police, conformément à l</w:t>
      </w:r>
      <w:r w:rsidR="00442D55" w:rsidRPr="00183F91">
        <w:rPr>
          <w:lang w:val="fr-FR"/>
        </w:rPr>
        <w:t>’</w:t>
      </w:r>
      <w:r w:rsidRPr="00183F91">
        <w:rPr>
          <w:lang w:val="fr-FR"/>
        </w:rPr>
        <w:t>ordonnance n</w:t>
      </w:r>
      <w:r w:rsidRPr="000821D9">
        <w:rPr>
          <w:vertAlign w:val="superscript"/>
          <w:lang w:val="fr-FR"/>
        </w:rPr>
        <w:t>o</w:t>
      </w:r>
      <w:r w:rsidRPr="00183F91">
        <w:rPr>
          <w:lang w:val="fr-FR"/>
        </w:rPr>
        <w:t xml:space="preserve"> 444 du 11 août 2016 du chef du Département général de la police. Dans le cadre d</w:t>
      </w:r>
      <w:r w:rsidR="00442D55" w:rsidRPr="00183F91">
        <w:rPr>
          <w:lang w:val="fr-FR"/>
        </w:rPr>
        <w:t>’</w:t>
      </w:r>
      <w:r w:rsidRPr="00183F91">
        <w:rPr>
          <w:lang w:val="fr-FR"/>
        </w:rPr>
        <w:t>un accord de partenariat avec des organismes internationaux, tels que l</w:t>
      </w:r>
      <w:r w:rsidR="00442D55" w:rsidRPr="00183F91">
        <w:rPr>
          <w:lang w:val="fr-FR"/>
        </w:rPr>
        <w:t>’</w:t>
      </w:r>
      <w:r w:rsidRPr="00183F91">
        <w:rPr>
          <w:lang w:val="fr-FR"/>
        </w:rPr>
        <w:t>Organisation internationale pour les migrations et The Asia Foundation, ainsi qu</w:t>
      </w:r>
      <w:r w:rsidR="00442D55" w:rsidRPr="00183F91">
        <w:rPr>
          <w:lang w:val="fr-FR"/>
        </w:rPr>
        <w:t>’</w:t>
      </w:r>
      <w:r w:rsidRPr="00183F91">
        <w:rPr>
          <w:lang w:val="fr-FR"/>
        </w:rPr>
        <w:t>avec le Gouvernement de la République de Corée, des projets et des programmes ont été mis en place pour offrir des formations de renforcement des capacités et des formations qualifiantes à l</w:t>
      </w:r>
      <w:r w:rsidR="00442D55" w:rsidRPr="00183F91">
        <w:rPr>
          <w:lang w:val="fr-FR"/>
        </w:rPr>
        <w:t>’</w:t>
      </w:r>
      <w:r w:rsidRPr="00183F91">
        <w:rPr>
          <w:lang w:val="fr-FR"/>
        </w:rPr>
        <w:t xml:space="preserve">intention des </w:t>
      </w:r>
      <w:r w:rsidR="00F534C9" w:rsidRPr="00183F91">
        <w:rPr>
          <w:lang w:val="fr-FR"/>
        </w:rPr>
        <w:t>membres des services de police et du Parquet</w:t>
      </w:r>
      <w:r w:rsidRPr="00183F91">
        <w:rPr>
          <w:lang w:val="fr-FR"/>
        </w:rPr>
        <w:t xml:space="preserve"> chargés des enquêtes sur ce type de crimes et de la fourniture de services de réinsertion et de protection des victimes, </w:t>
      </w:r>
      <w:bookmarkStart w:id="8" w:name="_Hlk43368538"/>
      <w:r w:rsidRPr="00183F91">
        <w:rPr>
          <w:lang w:val="fr-FR"/>
        </w:rPr>
        <w:t xml:space="preserve">ainsi que </w:t>
      </w:r>
      <w:r w:rsidR="00F534C9" w:rsidRPr="00183F91">
        <w:rPr>
          <w:lang w:val="fr-FR"/>
        </w:rPr>
        <w:t>du personnel</w:t>
      </w:r>
      <w:r w:rsidRPr="00183F91">
        <w:rPr>
          <w:lang w:val="fr-FR"/>
        </w:rPr>
        <w:t xml:space="preserve"> des services de protection des frontières et d</w:t>
      </w:r>
      <w:r w:rsidR="00442D55" w:rsidRPr="00183F91">
        <w:rPr>
          <w:lang w:val="fr-FR"/>
        </w:rPr>
        <w:t>’</w:t>
      </w:r>
      <w:r w:rsidRPr="00183F91">
        <w:rPr>
          <w:lang w:val="fr-FR"/>
        </w:rPr>
        <w:t>immigration, des juges, des avocats, des travailleurs sociaux et des médecins.</w:t>
      </w:r>
      <w:bookmarkEnd w:id="8"/>
    </w:p>
    <w:p w14:paraId="79A8C503" w14:textId="5A9B0BDC" w:rsidR="00D04411" w:rsidRPr="00183F91" w:rsidRDefault="00D04411" w:rsidP="00D04411">
      <w:pPr>
        <w:pStyle w:val="SingleTxt"/>
        <w:spacing w:after="0" w:line="120" w:lineRule="exact"/>
        <w:rPr>
          <w:sz w:val="10"/>
          <w:lang w:val="fr-FR"/>
        </w:rPr>
      </w:pPr>
    </w:p>
    <w:p w14:paraId="0922D5DC" w14:textId="187311B8" w:rsidR="00D04411" w:rsidRPr="00183F91" w:rsidRDefault="00D04411" w:rsidP="00D04411">
      <w:pPr>
        <w:pStyle w:val="SingleTxt"/>
        <w:spacing w:after="0" w:line="120" w:lineRule="exact"/>
        <w:rPr>
          <w:sz w:val="10"/>
          <w:lang w:val="fr-FR"/>
        </w:rPr>
      </w:pPr>
    </w:p>
    <w:p w14:paraId="1E445672" w14:textId="64A9E5CA" w:rsidR="006E0934" w:rsidRPr="00183F91" w:rsidRDefault="00D04411" w:rsidP="00D0441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83F91">
        <w:rPr>
          <w:lang w:val="fr-FR"/>
        </w:rPr>
        <w:tab/>
      </w:r>
      <w:r w:rsidR="006E0934" w:rsidRPr="00183F91">
        <w:rPr>
          <w:lang w:val="fr-FR"/>
        </w:rPr>
        <w:t>J.</w:t>
      </w:r>
      <w:r w:rsidR="006E0934" w:rsidRPr="00183F91">
        <w:rPr>
          <w:lang w:val="fr-FR"/>
        </w:rPr>
        <w:tab/>
        <w:t>Réponse au paragraphe 9 c) de la liste de points</w:t>
      </w:r>
    </w:p>
    <w:p w14:paraId="64E1692C" w14:textId="368CA150" w:rsidR="00D04411" w:rsidRPr="00183F91" w:rsidRDefault="00D04411" w:rsidP="00D04411">
      <w:pPr>
        <w:pStyle w:val="SingleTxt"/>
        <w:spacing w:after="0" w:line="120" w:lineRule="exact"/>
        <w:rPr>
          <w:sz w:val="10"/>
          <w:lang w:val="fr-FR"/>
        </w:rPr>
      </w:pPr>
    </w:p>
    <w:p w14:paraId="4C155C38" w14:textId="6A7FA83B" w:rsidR="00D04411" w:rsidRPr="00183F91" w:rsidRDefault="00D04411" w:rsidP="00D04411">
      <w:pPr>
        <w:pStyle w:val="SingleTxt"/>
        <w:spacing w:after="0" w:line="120" w:lineRule="exact"/>
        <w:rPr>
          <w:sz w:val="10"/>
          <w:lang w:val="fr-FR"/>
        </w:rPr>
      </w:pPr>
    </w:p>
    <w:p w14:paraId="3EB523F6" w14:textId="6D87CE7A" w:rsidR="006E0934" w:rsidRPr="00183F91" w:rsidRDefault="006E0934" w:rsidP="00D04411">
      <w:pPr>
        <w:pStyle w:val="SingleTxt"/>
        <w:numPr>
          <w:ilvl w:val="0"/>
          <w:numId w:val="43"/>
        </w:numPr>
        <w:spacing w:line="240" w:lineRule="exact"/>
        <w:ind w:left="1267"/>
        <w:rPr>
          <w:lang w:val="fr-FR"/>
        </w:rPr>
      </w:pPr>
      <w:r w:rsidRPr="00183F91">
        <w:rPr>
          <w:lang w:val="fr-FR"/>
        </w:rPr>
        <w:t>Une manifestation spéciale baptisée «</w:t>
      </w:r>
      <w:r w:rsidR="00442D55" w:rsidRPr="00183F91">
        <w:rPr>
          <w:lang w:val="fr-FR"/>
        </w:rPr>
        <w:t> </w:t>
      </w:r>
      <w:r w:rsidRPr="00183F91">
        <w:rPr>
          <w:lang w:val="fr-FR"/>
        </w:rPr>
        <w:t>UNFRIEND</w:t>
      </w:r>
      <w:r w:rsidR="00442D55" w:rsidRPr="00183F91">
        <w:rPr>
          <w:lang w:val="fr-FR"/>
        </w:rPr>
        <w:t> </w:t>
      </w:r>
      <w:r w:rsidRPr="00183F91">
        <w:rPr>
          <w:lang w:val="fr-FR"/>
        </w:rPr>
        <w:t>» a été organisée en vue de promouvoir une bonne utilisation du cyberespace et de protéger les enfants de la cybercriminalité, y compris la traite et l</w:t>
      </w:r>
      <w:r w:rsidR="00442D55" w:rsidRPr="00183F91">
        <w:rPr>
          <w:lang w:val="fr-FR"/>
        </w:rPr>
        <w:t>’</w:t>
      </w:r>
      <w:r w:rsidRPr="00183F91">
        <w:rPr>
          <w:lang w:val="fr-FR"/>
        </w:rPr>
        <w:t>exploitation sexuelle. Dans le cadre de cette initiative, 55 affiches, 15 publicités vidéo, plusieurs émissions et une chanson ont été conçues et diffusées par 31 chaînes de télévision et médias sociaux, atteignant 6</w:t>
      </w:r>
      <w:r w:rsidR="00BE2441" w:rsidRPr="00183F91">
        <w:rPr>
          <w:lang w:val="fr-FR"/>
        </w:rPr>
        <w:t> </w:t>
      </w:r>
      <w:r w:rsidRPr="00183F91">
        <w:rPr>
          <w:lang w:val="fr-FR"/>
        </w:rPr>
        <w:t>101</w:t>
      </w:r>
      <w:r w:rsidR="00BE2441" w:rsidRPr="00183F91">
        <w:rPr>
          <w:lang w:val="fr-FR"/>
        </w:rPr>
        <w:t> </w:t>
      </w:r>
      <w:r w:rsidRPr="00183F91">
        <w:rPr>
          <w:lang w:val="fr-FR"/>
        </w:rPr>
        <w:t>000 personnes au total.</w:t>
      </w:r>
    </w:p>
    <w:p w14:paraId="46317852" w14:textId="3710A273" w:rsidR="006E0934" w:rsidRPr="00183F91" w:rsidRDefault="006E0934" w:rsidP="00D04411">
      <w:pPr>
        <w:pStyle w:val="SingleTxt"/>
        <w:numPr>
          <w:ilvl w:val="0"/>
          <w:numId w:val="43"/>
        </w:numPr>
        <w:spacing w:line="240" w:lineRule="exact"/>
        <w:ind w:left="1267"/>
        <w:rPr>
          <w:lang w:val="fr-FR"/>
        </w:rPr>
      </w:pPr>
      <w:r w:rsidRPr="00183F91">
        <w:rPr>
          <w:lang w:val="fr-FR"/>
        </w:rPr>
        <w:t>Grâce à ce travail de sensibilisation, les citoyens sont davantage sensibles à la question de la traite des personnes et sont mieux à même d</w:t>
      </w:r>
      <w:r w:rsidR="00442D55" w:rsidRPr="00183F91">
        <w:rPr>
          <w:lang w:val="fr-FR"/>
        </w:rPr>
        <w:t>’</w:t>
      </w:r>
      <w:r w:rsidRPr="00183F91">
        <w:rPr>
          <w:lang w:val="fr-FR"/>
        </w:rPr>
        <w:t>évaluer s</w:t>
      </w:r>
      <w:r w:rsidR="00442D55" w:rsidRPr="00183F91">
        <w:rPr>
          <w:lang w:val="fr-FR"/>
        </w:rPr>
        <w:t>’</w:t>
      </w:r>
      <w:r w:rsidRPr="00183F91">
        <w:rPr>
          <w:lang w:val="fr-FR"/>
        </w:rPr>
        <w:t>ils ont été exposés à ce type de crime. En outre, les capacités permettant aux fonctionnaires et aux prestataires de services de détecter ces crime</w:t>
      </w:r>
      <w:r w:rsidR="000F3F39" w:rsidRPr="00183F91">
        <w:rPr>
          <w:lang w:val="fr-FR"/>
        </w:rPr>
        <w:t>s</w:t>
      </w:r>
      <w:r w:rsidRPr="00183F91">
        <w:rPr>
          <w:lang w:val="fr-FR"/>
        </w:rPr>
        <w:t>, qu</w:t>
      </w:r>
      <w:r w:rsidR="00442D55" w:rsidRPr="00183F91">
        <w:rPr>
          <w:lang w:val="fr-FR"/>
        </w:rPr>
        <w:t>’</w:t>
      </w:r>
      <w:r w:rsidRPr="00183F91">
        <w:rPr>
          <w:lang w:val="fr-FR"/>
        </w:rPr>
        <w:t>ils soient commis à l</w:t>
      </w:r>
      <w:r w:rsidR="00442D55" w:rsidRPr="00183F91">
        <w:rPr>
          <w:lang w:val="fr-FR"/>
        </w:rPr>
        <w:t>’</w:t>
      </w:r>
      <w:r w:rsidRPr="00183F91">
        <w:rPr>
          <w:lang w:val="fr-FR"/>
        </w:rPr>
        <w:t>intérieur ou à l</w:t>
      </w:r>
      <w:r w:rsidR="00442D55" w:rsidRPr="00183F91">
        <w:rPr>
          <w:lang w:val="fr-FR"/>
        </w:rPr>
        <w:t>’</w:t>
      </w:r>
      <w:r w:rsidRPr="00183F91">
        <w:rPr>
          <w:lang w:val="fr-FR"/>
        </w:rPr>
        <w:t>extérieur du pays, ont été renforcées. Du fait de l</w:t>
      </w:r>
      <w:r w:rsidR="00442D55" w:rsidRPr="00183F91">
        <w:rPr>
          <w:lang w:val="fr-FR"/>
        </w:rPr>
        <w:t>’</w:t>
      </w:r>
      <w:r w:rsidRPr="00183F91">
        <w:rPr>
          <w:lang w:val="fr-FR"/>
        </w:rPr>
        <w:t xml:space="preserve">amélioration des services aux </w:t>
      </w:r>
      <w:r w:rsidRPr="00183F91">
        <w:rPr>
          <w:lang w:val="fr-FR"/>
        </w:rPr>
        <w:lastRenderedPageBreak/>
        <w:t>victimes, et avec l</w:t>
      </w:r>
      <w:r w:rsidR="00442D55" w:rsidRPr="00183F91">
        <w:rPr>
          <w:lang w:val="fr-FR"/>
        </w:rPr>
        <w:t>’</w:t>
      </w:r>
      <w:r w:rsidRPr="00183F91">
        <w:rPr>
          <w:lang w:val="fr-FR"/>
        </w:rPr>
        <w:t>aide d</w:t>
      </w:r>
      <w:r w:rsidR="00442D55" w:rsidRPr="00183F91">
        <w:rPr>
          <w:lang w:val="fr-FR"/>
        </w:rPr>
        <w:t>’</w:t>
      </w:r>
      <w:r w:rsidRPr="00183F91">
        <w:rPr>
          <w:lang w:val="fr-FR"/>
        </w:rPr>
        <w:t>organisations internationales, 19 personnes ont été rapatriées en Mongolie en toute sécurité en 2018, et 7 autres en 2019.</w:t>
      </w:r>
    </w:p>
    <w:p w14:paraId="77163AF2" w14:textId="2AE052D2" w:rsidR="00D04411" w:rsidRPr="00183F91" w:rsidRDefault="00D04411" w:rsidP="00D04411">
      <w:pPr>
        <w:pStyle w:val="SingleTxt"/>
        <w:spacing w:after="0" w:line="120" w:lineRule="exact"/>
        <w:rPr>
          <w:sz w:val="10"/>
          <w:lang w:val="fr-FR"/>
        </w:rPr>
      </w:pPr>
    </w:p>
    <w:p w14:paraId="7AD61455" w14:textId="01D6FD1D" w:rsidR="00D04411" w:rsidRPr="00183F91" w:rsidRDefault="00D04411" w:rsidP="00D04411">
      <w:pPr>
        <w:pStyle w:val="SingleTxt"/>
        <w:spacing w:after="0" w:line="120" w:lineRule="exact"/>
        <w:rPr>
          <w:sz w:val="10"/>
          <w:lang w:val="fr-FR"/>
        </w:rPr>
      </w:pPr>
    </w:p>
    <w:p w14:paraId="72E1C777" w14:textId="6647F90C" w:rsidR="006E0934" w:rsidRPr="00183F91" w:rsidRDefault="00D04411" w:rsidP="00D0441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83F91">
        <w:rPr>
          <w:lang w:val="fr-FR"/>
        </w:rPr>
        <w:tab/>
      </w:r>
      <w:r w:rsidR="006E0934" w:rsidRPr="00183F91">
        <w:rPr>
          <w:lang w:val="fr-FR"/>
        </w:rPr>
        <w:t>K.</w:t>
      </w:r>
      <w:r w:rsidR="006E0934" w:rsidRPr="00183F91">
        <w:rPr>
          <w:lang w:val="fr-FR"/>
        </w:rPr>
        <w:tab/>
        <w:t>Réponse au paragraphe 10 de la liste de points</w:t>
      </w:r>
    </w:p>
    <w:p w14:paraId="722A25FC" w14:textId="56003293" w:rsidR="00D04411" w:rsidRPr="00183F91" w:rsidRDefault="00D04411" w:rsidP="00D04411">
      <w:pPr>
        <w:pStyle w:val="SingleTxt"/>
        <w:spacing w:after="0" w:line="120" w:lineRule="exact"/>
        <w:rPr>
          <w:sz w:val="10"/>
          <w:lang w:val="fr-FR"/>
        </w:rPr>
      </w:pPr>
    </w:p>
    <w:p w14:paraId="60A11F52" w14:textId="203B788A" w:rsidR="00D04411" w:rsidRPr="00183F91" w:rsidRDefault="00D04411" w:rsidP="00D04411">
      <w:pPr>
        <w:pStyle w:val="SingleTxt"/>
        <w:spacing w:after="0" w:line="120" w:lineRule="exact"/>
        <w:rPr>
          <w:sz w:val="10"/>
          <w:lang w:val="fr-FR"/>
        </w:rPr>
      </w:pPr>
    </w:p>
    <w:p w14:paraId="5AAE0CBA" w14:textId="437A9938" w:rsidR="006E0934" w:rsidRPr="00183F91" w:rsidRDefault="006E0934" w:rsidP="00D04411">
      <w:pPr>
        <w:pStyle w:val="SingleTxt"/>
        <w:numPr>
          <w:ilvl w:val="0"/>
          <w:numId w:val="43"/>
        </w:numPr>
        <w:spacing w:line="240" w:lineRule="exact"/>
        <w:ind w:left="1267"/>
        <w:rPr>
          <w:lang w:val="fr-FR"/>
        </w:rPr>
      </w:pPr>
      <w:r w:rsidRPr="00183F91">
        <w:rPr>
          <w:lang w:val="fr-FR"/>
        </w:rPr>
        <w:t>Dans le cadre du projet de l</w:t>
      </w:r>
      <w:r w:rsidR="00442D55" w:rsidRPr="00183F91">
        <w:rPr>
          <w:lang w:val="fr-FR"/>
        </w:rPr>
        <w:t>’</w:t>
      </w:r>
      <w:r w:rsidRPr="00183F91">
        <w:rPr>
          <w:lang w:val="fr-FR"/>
        </w:rPr>
        <w:t xml:space="preserve">Asia Foundation, financé par le Gouvernement des </w:t>
      </w:r>
      <w:r w:rsidR="004F6AD7" w:rsidRPr="00183F91">
        <w:rPr>
          <w:lang w:val="fr-FR"/>
        </w:rPr>
        <w:t>États-Unis</w:t>
      </w:r>
      <w:r w:rsidRPr="00183F91">
        <w:rPr>
          <w:lang w:val="fr-FR"/>
        </w:rPr>
        <w:t>, qui vise à renforcer les capacités d</w:t>
      </w:r>
      <w:r w:rsidR="00442D55" w:rsidRPr="00183F91">
        <w:rPr>
          <w:lang w:val="fr-FR"/>
        </w:rPr>
        <w:t>’</w:t>
      </w:r>
      <w:r w:rsidRPr="00183F91">
        <w:rPr>
          <w:lang w:val="fr-FR"/>
        </w:rPr>
        <w:t>enquête et de poursuite centrées sur les victimes dans les affaires de traite en Mongolie, une analyse comparative des lois mongoles et des manuels de formation concernant l</w:t>
      </w:r>
      <w:r w:rsidR="00442D55" w:rsidRPr="00183F91">
        <w:rPr>
          <w:lang w:val="fr-FR"/>
        </w:rPr>
        <w:t>’</w:t>
      </w:r>
      <w:r w:rsidRPr="00183F91">
        <w:rPr>
          <w:lang w:val="fr-FR"/>
        </w:rPr>
        <w:t>adoption d</w:t>
      </w:r>
      <w:r w:rsidR="00442D55" w:rsidRPr="00183F91">
        <w:rPr>
          <w:lang w:val="fr-FR"/>
        </w:rPr>
        <w:t>’</w:t>
      </w:r>
      <w:r w:rsidRPr="00183F91">
        <w:rPr>
          <w:lang w:val="fr-FR"/>
        </w:rPr>
        <w:t>une approche centrée sur la victime dans les enquêtes et les poursuites en matière de traite a été effectuée et un rapport d</w:t>
      </w:r>
      <w:r w:rsidR="00442D55" w:rsidRPr="00183F91">
        <w:rPr>
          <w:lang w:val="fr-FR"/>
        </w:rPr>
        <w:t>’</w:t>
      </w:r>
      <w:r w:rsidRPr="00183F91">
        <w:rPr>
          <w:lang w:val="fr-FR"/>
        </w:rPr>
        <w:t>évaluation des capacités du personnel a été établi. Une formation de renforcement des capacités sur le thème des enquêtes et des poursuites centrées sur les victimes dans les affaires de traite en Mongolie a également été organisée.</w:t>
      </w:r>
    </w:p>
    <w:p w14:paraId="622B1602" w14:textId="1B88A088" w:rsidR="006E0934" w:rsidRPr="00183F91" w:rsidRDefault="006E0934" w:rsidP="00D04411">
      <w:pPr>
        <w:pStyle w:val="SingleTxt"/>
        <w:numPr>
          <w:ilvl w:val="0"/>
          <w:numId w:val="43"/>
        </w:numPr>
        <w:spacing w:line="240" w:lineRule="exact"/>
        <w:ind w:left="1267"/>
        <w:rPr>
          <w:lang w:val="fr-FR"/>
        </w:rPr>
      </w:pPr>
      <w:r w:rsidRPr="00183F91">
        <w:rPr>
          <w:lang w:val="fr-FR"/>
        </w:rPr>
        <w:t>À l</w:t>
      </w:r>
      <w:r w:rsidR="00442D55" w:rsidRPr="00183F91">
        <w:rPr>
          <w:lang w:val="fr-FR"/>
        </w:rPr>
        <w:t>’</w:t>
      </w:r>
      <w:r w:rsidRPr="00183F91">
        <w:rPr>
          <w:lang w:val="fr-FR"/>
        </w:rPr>
        <w:t>échelle nationale, le personnel de maintien de l</w:t>
      </w:r>
      <w:r w:rsidR="00442D55" w:rsidRPr="00183F91">
        <w:rPr>
          <w:lang w:val="fr-FR"/>
        </w:rPr>
        <w:t>’</w:t>
      </w:r>
      <w:r w:rsidRPr="00183F91">
        <w:rPr>
          <w:lang w:val="fr-FR"/>
        </w:rPr>
        <w:t>ordre, les procureurs, les juges, les agents de protection des frontières et les agents de l</w:t>
      </w:r>
      <w:r w:rsidR="00442D55" w:rsidRPr="00183F91">
        <w:rPr>
          <w:lang w:val="fr-FR"/>
        </w:rPr>
        <w:t>’</w:t>
      </w:r>
      <w:r w:rsidRPr="00183F91">
        <w:rPr>
          <w:lang w:val="fr-FR"/>
        </w:rPr>
        <w:t>immigration de la capitale et de 21 aïmags ont participé à une formation dans leur région. Au total, 710</w:t>
      </w:r>
      <w:r w:rsidR="00991D27" w:rsidRPr="00183F91">
        <w:rPr>
          <w:lang w:val="fr-FR"/>
        </w:rPr>
        <w:t> </w:t>
      </w:r>
      <w:r w:rsidRPr="00183F91">
        <w:rPr>
          <w:lang w:val="fr-FR"/>
        </w:rPr>
        <w:t>agents et environ 1</w:t>
      </w:r>
      <w:r w:rsidR="00BE2441" w:rsidRPr="00183F91">
        <w:rPr>
          <w:lang w:val="fr-FR"/>
        </w:rPr>
        <w:t> </w:t>
      </w:r>
      <w:r w:rsidRPr="00183F91">
        <w:rPr>
          <w:lang w:val="fr-FR"/>
        </w:rPr>
        <w:t>900 élèves de l</w:t>
      </w:r>
      <w:r w:rsidR="00442D55" w:rsidRPr="00183F91">
        <w:rPr>
          <w:lang w:val="fr-FR"/>
        </w:rPr>
        <w:t>’</w:t>
      </w:r>
      <w:r w:rsidRPr="00183F91">
        <w:rPr>
          <w:lang w:val="fr-FR"/>
        </w:rPr>
        <w:t>Académie de police y ont assisté.</w:t>
      </w:r>
    </w:p>
    <w:p w14:paraId="29F82DC9" w14:textId="59C6F621" w:rsidR="006E0934" w:rsidRPr="00183F91" w:rsidRDefault="006E0934" w:rsidP="00D04411">
      <w:pPr>
        <w:pStyle w:val="SingleTxt"/>
        <w:numPr>
          <w:ilvl w:val="0"/>
          <w:numId w:val="43"/>
        </w:numPr>
        <w:spacing w:line="240" w:lineRule="exact"/>
        <w:ind w:left="1267"/>
        <w:rPr>
          <w:lang w:val="fr-FR"/>
        </w:rPr>
      </w:pPr>
      <w:r w:rsidRPr="00183F91">
        <w:rPr>
          <w:lang w:val="fr-FR"/>
        </w:rPr>
        <w:t>On trouvera au tableau 8.3 des renseignements sur le nombre d</w:t>
      </w:r>
      <w:r w:rsidR="00442D55" w:rsidRPr="00183F91">
        <w:rPr>
          <w:lang w:val="fr-FR"/>
        </w:rPr>
        <w:t>’</w:t>
      </w:r>
      <w:r w:rsidRPr="00183F91">
        <w:rPr>
          <w:lang w:val="fr-FR"/>
        </w:rPr>
        <w:t>affaires de traite des personnes et leur issue.</w:t>
      </w:r>
    </w:p>
    <w:p w14:paraId="1B0742E3" w14:textId="009DB83D" w:rsidR="00D04411" w:rsidRPr="00183F91" w:rsidRDefault="00D04411" w:rsidP="00D04411">
      <w:pPr>
        <w:pStyle w:val="SingleTxt"/>
        <w:spacing w:after="0" w:line="120" w:lineRule="exact"/>
        <w:rPr>
          <w:sz w:val="10"/>
          <w:lang w:val="fr-FR"/>
        </w:rPr>
      </w:pPr>
    </w:p>
    <w:p w14:paraId="01C3B1BA" w14:textId="658FBE64" w:rsidR="006E0934" w:rsidRPr="00183F91" w:rsidRDefault="00EA21A9" w:rsidP="00EA21A9">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83F91">
        <w:rPr>
          <w:lang w:val="fr-FR"/>
        </w:rPr>
        <w:tab/>
      </w:r>
      <w:r w:rsidRPr="00183F91">
        <w:rPr>
          <w:lang w:val="fr-FR"/>
        </w:rPr>
        <w:tab/>
      </w:r>
      <w:r w:rsidR="006E0934" w:rsidRPr="00183F91">
        <w:rPr>
          <w:lang w:val="fr-FR"/>
        </w:rPr>
        <w:t>Tableau 8.3</w:t>
      </w:r>
    </w:p>
    <w:p w14:paraId="4B85E3DE" w14:textId="3674DF84" w:rsidR="006E0934" w:rsidRPr="00183F91" w:rsidRDefault="00EA21A9" w:rsidP="00EA21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83F91">
        <w:rPr>
          <w:lang w:val="fr-FR"/>
        </w:rPr>
        <w:tab/>
      </w:r>
      <w:r w:rsidRPr="00183F91">
        <w:rPr>
          <w:lang w:val="fr-FR"/>
        </w:rPr>
        <w:tab/>
      </w:r>
      <w:r w:rsidR="006E0934" w:rsidRPr="00183F91">
        <w:rPr>
          <w:lang w:val="fr-FR"/>
        </w:rPr>
        <w:t>Affaires de traite des personnes et issue de ces affaires (2017</w:t>
      </w:r>
      <w:r w:rsidR="00BE2441" w:rsidRPr="00183F91">
        <w:rPr>
          <w:lang w:val="fr-FR"/>
        </w:rPr>
        <w:t>-</w:t>
      </w:r>
      <w:r w:rsidR="006E0934" w:rsidRPr="00183F91">
        <w:rPr>
          <w:lang w:val="fr-FR"/>
        </w:rPr>
        <w:t>2019)</w:t>
      </w:r>
    </w:p>
    <w:p w14:paraId="0BE9EBAD" w14:textId="64EDEEE9" w:rsidR="006E0934" w:rsidRPr="00183F91" w:rsidRDefault="006E0934" w:rsidP="00D04411">
      <w:pPr>
        <w:pStyle w:val="SingleTxt"/>
        <w:spacing w:after="0" w:line="120" w:lineRule="exact"/>
        <w:rPr>
          <w:sz w:val="10"/>
          <w:lang w:val="fr-FR"/>
        </w:rPr>
      </w:pPr>
    </w:p>
    <w:p w14:paraId="16F359CE" w14:textId="10C902AA" w:rsidR="00D04411" w:rsidRPr="00183F91" w:rsidRDefault="00D04411" w:rsidP="00D04411">
      <w:pPr>
        <w:pStyle w:val="SingleTxt"/>
        <w:spacing w:after="0" w:line="120" w:lineRule="exact"/>
        <w:rPr>
          <w:sz w:val="10"/>
          <w:lang w:val="fr-FR"/>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0"/>
        <w:gridCol w:w="2547"/>
        <w:gridCol w:w="2283"/>
        <w:gridCol w:w="2070"/>
      </w:tblGrid>
      <w:tr w:rsidR="006E0934" w:rsidRPr="00183F91" w14:paraId="7F16986F" w14:textId="77777777" w:rsidTr="00BC5F94">
        <w:trPr>
          <w:tblHeader/>
        </w:trPr>
        <w:tc>
          <w:tcPr>
            <w:tcW w:w="470" w:type="dxa"/>
            <w:tcBorders>
              <w:top w:val="single" w:sz="4" w:space="0" w:color="auto"/>
              <w:bottom w:val="single" w:sz="12" w:space="0" w:color="auto"/>
            </w:tcBorders>
            <w:shd w:val="clear" w:color="auto" w:fill="auto"/>
            <w:noWrap/>
            <w:vAlign w:val="bottom"/>
          </w:tcPr>
          <w:p w14:paraId="2A692169" w14:textId="77777777" w:rsidR="006E0934" w:rsidRPr="00183F91" w:rsidRDefault="006E0934" w:rsidP="00BC5F94">
            <w:pPr>
              <w:spacing w:before="81" w:after="81" w:line="160" w:lineRule="exact"/>
              <w:ind w:right="40"/>
              <w:rPr>
                <w:i/>
                <w:sz w:val="14"/>
                <w:lang w:val="fr-FR"/>
              </w:rPr>
            </w:pPr>
            <w:r w:rsidRPr="00183F91">
              <w:rPr>
                <w:i/>
                <w:sz w:val="14"/>
                <w:lang w:val="fr-FR"/>
              </w:rPr>
              <w:t>Année</w:t>
            </w:r>
          </w:p>
        </w:tc>
        <w:tc>
          <w:tcPr>
            <w:tcW w:w="2547" w:type="dxa"/>
            <w:tcBorders>
              <w:top w:val="single" w:sz="4" w:space="0" w:color="auto"/>
              <w:bottom w:val="single" w:sz="12" w:space="0" w:color="auto"/>
            </w:tcBorders>
            <w:shd w:val="clear" w:color="auto" w:fill="auto"/>
            <w:noWrap/>
            <w:vAlign w:val="bottom"/>
          </w:tcPr>
          <w:p w14:paraId="1E33807B" w14:textId="77777777" w:rsidR="006E0934" w:rsidRPr="00183F91" w:rsidRDefault="006E0934" w:rsidP="00BC5F94">
            <w:pPr>
              <w:spacing w:before="81" w:after="81" w:line="160" w:lineRule="exact"/>
              <w:ind w:left="144" w:right="43"/>
              <w:rPr>
                <w:i/>
                <w:sz w:val="14"/>
                <w:lang w:val="fr-FR"/>
              </w:rPr>
            </w:pPr>
            <w:r w:rsidRPr="00183F91">
              <w:rPr>
                <w:i/>
                <w:sz w:val="14"/>
                <w:lang w:val="fr-FR"/>
              </w:rPr>
              <w:t>Police</w:t>
            </w:r>
          </w:p>
        </w:tc>
        <w:tc>
          <w:tcPr>
            <w:tcW w:w="2283" w:type="dxa"/>
            <w:tcBorders>
              <w:top w:val="single" w:sz="4" w:space="0" w:color="auto"/>
              <w:bottom w:val="single" w:sz="12" w:space="0" w:color="auto"/>
            </w:tcBorders>
            <w:shd w:val="clear" w:color="auto" w:fill="auto"/>
            <w:noWrap/>
            <w:vAlign w:val="bottom"/>
          </w:tcPr>
          <w:p w14:paraId="38D49F2A" w14:textId="77777777" w:rsidR="006E0934" w:rsidRPr="00183F91" w:rsidRDefault="006E0934" w:rsidP="00BC5F94">
            <w:pPr>
              <w:spacing w:before="81" w:after="81" w:line="160" w:lineRule="exact"/>
              <w:ind w:left="144" w:right="43"/>
              <w:rPr>
                <w:i/>
                <w:sz w:val="14"/>
                <w:lang w:val="fr-FR"/>
              </w:rPr>
            </w:pPr>
            <w:r w:rsidRPr="00183F91">
              <w:rPr>
                <w:i/>
                <w:sz w:val="14"/>
                <w:lang w:val="fr-FR"/>
              </w:rPr>
              <w:t>Parquet</w:t>
            </w:r>
          </w:p>
        </w:tc>
        <w:tc>
          <w:tcPr>
            <w:tcW w:w="2070" w:type="dxa"/>
            <w:tcBorders>
              <w:top w:val="single" w:sz="4" w:space="0" w:color="auto"/>
              <w:bottom w:val="single" w:sz="12" w:space="0" w:color="auto"/>
            </w:tcBorders>
            <w:shd w:val="clear" w:color="auto" w:fill="auto"/>
            <w:noWrap/>
            <w:vAlign w:val="bottom"/>
          </w:tcPr>
          <w:p w14:paraId="4FEAD5BD" w14:textId="77777777" w:rsidR="006E0934" w:rsidRPr="00183F91" w:rsidRDefault="006E0934" w:rsidP="00BC5F94">
            <w:pPr>
              <w:spacing w:before="81" w:after="81" w:line="160" w:lineRule="exact"/>
              <w:ind w:left="144" w:right="43"/>
              <w:rPr>
                <w:i/>
                <w:sz w:val="14"/>
                <w:lang w:val="fr-FR"/>
              </w:rPr>
            </w:pPr>
            <w:r w:rsidRPr="00183F91">
              <w:rPr>
                <w:i/>
                <w:sz w:val="14"/>
                <w:lang w:val="fr-FR"/>
              </w:rPr>
              <w:t>Magistrature</w:t>
            </w:r>
          </w:p>
        </w:tc>
      </w:tr>
      <w:tr w:rsidR="00BC5F94" w:rsidRPr="00183F91" w14:paraId="71CC36F9" w14:textId="77777777" w:rsidTr="00BC5F94">
        <w:trPr>
          <w:trHeight w:hRule="exact" w:val="115"/>
          <w:tblHeader/>
        </w:trPr>
        <w:tc>
          <w:tcPr>
            <w:tcW w:w="470" w:type="dxa"/>
            <w:tcBorders>
              <w:top w:val="single" w:sz="12" w:space="0" w:color="auto"/>
            </w:tcBorders>
            <w:shd w:val="clear" w:color="auto" w:fill="auto"/>
            <w:noWrap/>
            <w:vAlign w:val="bottom"/>
          </w:tcPr>
          <w:p w14:paraId="778040BC" w14:textId="77777777" w:rsidR="00BC5F94" w:rsidRPr="00183F91" w:rsidRDefault="00BC5F94" w:rsidP="00BC5F94">
            <w:pPr>
              <w:spacing w:before="40" w:after="80"/>
              <w:ind w:right="40"/>
              <w:rPr>
                <w:lang w:val="fr-FR"/>
              </w:rPr>
            </w:pPr>
          </w:p>
        </w:tc>
        <w:tc>
          <w:tcPr>
            <w:tcW w:w="2547" w:type="dxa"/>
            <w:tcBorders>
              <w:top w:val="single" w:sz="12" w:space="0" w:color="auto"/>
            </w:tcBorders>
            <w:shd w:val="clear" w:color="auto" w:fill="auto"/>
            <w:noWrap/>
            <w:vAlign w:val="bottom"/>
          </w:tcPr>
          <w:p w14:paraId="0E405BDE" w14:textId="77777777" w:rsidR="00BC5F94" w:rsidRPr="00183F91" w:rsidRDefault="00BC5F94" w:rsidP="00BC5F94">
            <w:pPr>
              <w:spacing w:before="40" w:after="80"/>
              <w:ind w:left="144" w:right="43"/>
              <w:rPr>
                <w:lang w:val="fr-FR"/>
              </w:rPr>
            </w:pPr>
          </w:p>
        </w:tc>
        <w:tc>
          <w:tcPr>
            <w:tcW w:w="2283" w:type="dxa"/>
            <w:tcBorders>
              <w:top w:val="single" w:sz="12" w:space="0" w:color="auto"/>
            </w:tcBorders>
            <w:shd w:val="clear" w:color="auto" w:fill="auto"/>
            <w:noWrap/>
            <w:vAlign w:val="bottom"/>
          </w:tcPr>
          <w:p w14:paraId="561118F5" w14:textId="77777777" w:rsidR="00BC5F94" w:rsidRPr="00183F91" w:rsidRDefault="00BC5F94" w:rsidP="00BC5F94">
            <w:pPr>
              <w:spacing w:before="40" w:after="80"/>
              <w:ind w:left="144" w:right="43"/>
              <w:rPr>
                <w:lang w:val="fr-FR"/>
              </w:rPr>
            </w:pPr>
          </w:p>
        </w:tc>
        <w:tc>
          <w:tcPr>
            <w:tcW w:w="2070" w:type="dxa"/>
            <w:tcBorders>
              <w:top w:val="single" w:sz="12" w:space="0" w:color="auto"/>
            </w:tcBorders>
            <w:shd w:val="clear" w:color="auto" w:fill="auto"/>
            <w:noWrap/>
            <w:vAlign w:val="bottom"/>
          </w:tcPr>
          <w:p w14:paraId="68F74984" w14:textId="77777777" w:rsidR="00BC5F94" w:rsidRPr="00183F91" w:rsidRDefault="00BC5F94" w:rsidP="00BC5F94">
            <w:pPr>
              <w:spacing w:before="40" w:after="80"/>
              <w:ind w:left="144" w:right="43"/>
              <w:rPr>
                <w:lang w:val="fr-FR"/>
              </w:rPr>
            </w:pPr>
          </w:p>
        </w:tc>
      </w:tr>
      <w:tr w:rsidR="006E0934" w:rsidRPr="00183F91" w14:paraId="0C791CEC" w14:textId="77777777" w:rsidTr="00BC5F94">
        <w:tc>
          <w:tcPr>
            <w:tcW w:w="470" w:type="dxa"/>
            <w:shd w:val="clear" w:color="auto" w:fill="auto"/>
            <w:noWrap/>
          </w:tcPr>
          <w:p w14:paraId="20E2E64B" w14:textId="77777777" w:rsidR="006E0934" w:rsidRPr="00183F91" w:rsidRDefault="006E0934" w:rsidP="00BC5F94">
            <w:pPr>
              <w:tabs>
                <w:tab w:val="left" w:pos="288"/>
                <w:tab w:val="left" w:pos="576"/>
                <w:tab w:val="left" w:pos="864"/>
                <w:tab w:val="left" w:pos="1152"/>
              </w:tabs>
              <w:spacing w:before="40" w:after="80"/>
              <w:ind w:right="40"/>
              <w:rPr>
                <w:lang w:val="fr-FR"/>
              </w:rPr>
            </w:pPr>
            <w:r w:rsidRPr="00183F91">
              <w:rPr>
                <w:lang w:val="fr-FR"/>
              </w:rPr>
              <w:t>2016</w:t>
            </w:r>
          </w:p>
        </w:tc>
        <w:tc>
          <w:tcPr>
            <w:tcW w:w="2547" w:type="dxa"/>
            <w:shd w:val="clear" w:color="auto" w:fill="auto"/>
            <w:noWrap/>
          </w:tcPr>
          <w:p w14:paraId="3BA98A69" w14:textId="0091B092" w:rsidR="006E0934" w:rsidRPr="00183F91" w:rsidRDefault="006E0934" w:rsidP="00BC5F94">
            <w:pPr>
              <w:tabs>
                <w:tab w:val="left" w:pos="288"/>
                <w:tab w:val="left" w:pos="576"/>
                <w:tab w:val="left" w:pos="864"/>
                <w:tab w:val="left" w:pos="1152"/>
              </w:tabs>
              <w:spacing w:before="40" w:after="80"/>
              <w:ind w:left="144" w:right="43"/>
              <w:rPr>
                <w:lang w:val="fr-FR"/>
              </w:rPr>
            </w:pPr>
            <w:r w:rsidRPr="00183F91">
              <w:rPr>
                <w:lang w:val="fr-FR"/>
              </w:rPr>
              <w:t>Au titre de l</w:t>
            </w:r>
            <w:r w:rsidR="00442D55" w:rsidRPr="00183F91">
              <w:rPr>
                <w:lang w:val="fr-FR"/>
              </w:rPr>
              <w:t>’</w:t>
            </w:r>
            <w:r w:rsidRPr="00183F91">
              <w:rPr>
                <w:lang w:val="fr-FR"/>
              </w:rPr>
              <w:t>article 113 du Code pénal, sur 3 affaires nouvellement enregistrées, 1 a été rejetée et 2 ont été transmises au parquet pour que des poursuites soient engagées</w:t>
            </w:r>
          </w:p>
        </w:tc>
        <w:tc>
          <w:tcPr>
            <w:tcW w:w="2283" w:type="dxa"/>
            <w:shd w:val="clear" w:color="auto" w:fill="auto"/>
            <w:noWrap/>
          </w:tcPr>
          <w:p w14:paraId="722FBCB4" w14:textId="77777777" w:rsidR="006E0934" w:rsidRPr="00183F91" w:rsidRDefault="006E0934" w:rsidP="00BC5F94">
            <w:pPr>
              <w:tabs>
                <w:tab w:val="left" w:pos="288"/>
                <w:tab w:val="left" w:pos="576"/>
                <w:tab w:val="left" w:pos="864"/>
                <w:tab w:val="left" w:pos="1152"/>
              </w:tabs>
              <w:spacing w:before="40" w:after="80"/>
              <w:ind w:left="144" w:right="43"/>
              <w:rPr>
                <w:lang w:val="fr-FR"/>
              </w:rPr>
            </w:pPr>
          </w:p>
        </w:tc>
        <w:tc>
          <w:tcPr>
            <w:tcW w:w="2070" w:type="dxa"/>
            <w:shd w:val="clear" w:color="auto" w:fill="auto"/>
            <w:noWrap/>
          </w:tcPr>
          <w:p w14:paraId="2C672813" w14:textId="77777777" w:rsidR="006E0934" w:rsidRPr="00183F91" w:rsidRDefault="006E0934" w:rsidP="00BC5F94">
            <w:pPr>
              <w:tabs>
                <w:tab w:val="left" w:pos="288"/>
                <w:tab w:val="left" w:pos="576"/>
                <w:tab w:val="left" w:pos="864"/>
                <w:tab w:val="left" w:pos="1152"/>
              </w:tabs>
              <w:spacing w:before="40" w:after="80"/>
              <w:ind w:left="144" w:right="43"/>
              <w:rPr>
                <w:lang w:val="fr-FR"/>
              </w:rPr>
            </w:pPr>
          </w:p>
        </w:tc>
      </w:tr>
      <w:tr w:rsidR="006E0934" w:rsidRPr="00183F91" w14:paraId="20C612A9" w14:textId="77777777" w:rsidTr="00BC5F94">
        <w:tc>
          <w:tcPr>
            <w:tcW w:w="470" w:type="dxa"/>
            <w:shd w:val="clear" w:color="auto" w:fill="auto"/>
            <w:noWrap/>
          </w:tcPr>
          <w:p w14:paraId="1D57502B" w14:textId="77777777" w:rsidR="006E0934" w:rsidRPr="00183F91" w:rsidRDefault="006E0934" w:rsidP="00BC5F94">
            <w:pPr>
              <w:tabs>
                <w:tab w:val="left" w:pos="288"/>
                <w:tab w:val="left" w:pos="576"/>
                <w:tab w:val="left" w:pos="864"/>
                <w:tab w:val="left" w:pos="1152"/>
              </w:tabs>
              <w:spacing w:before="40" w:after="80"/>
              <w:ind w:right="40"/>
              <w:rPr>
                <w:lang w:val="fr-FR"/>
              </w:rPr>
            </w:pPr>
            <w:r w:rsidRPr="00183F91">
              <w:rPr>
                <w:lang w:val="fr-FR"/>
              </w:rPr>
              <w:t>2017</w:t>
            </w:r>
          </w:p>
        </w:tc>
        <w:tc>
          <w:tcPr>
            <w:tcW w:w="2547" w:type="dxa"/>
            <w:shd w:val="clear" w:color="auto" w:fill="auto"/>
            <w:noWrap/>
          </w:tcPr>
          <w:p w14:paraId="7C65209B" w14:textId="7D628760" w:rsidR="006E0934" w:rsidRPr="00183F91" w:rsidRDefault="006E0934" w:rsidP="00BC5F94">
            <w:pPr>
              <w:tabs>
                <w:tab w:val="left" w:pos="288"/>
                <w:tab w:val="left" w:pos="576"/>
                <w:tab w:val="left" w:pos="864"/>
                <w:tab w:val="left" w:pos="1152"/>
              </w:tabs>
              <w:spacing w:before="40" w:after="80"/>
              <w:ind w:left="144" w:right="43"/>
              <w:rPr>
                <w:lang w:val="fr-FR"/>
              </w:rPr>
            </w:pPr>
            <w:r w:rsidRPr="00183F91">
              <w:rPr>
                <w:lang w:val="fr-FR"/>
              </w:rPr>
              <w:t>Au titre de l</w:t>
            </w:r>
            <w:r w:rsidR="00442D55" w:rsidRPr="00183F91">
              <w:rPr>
                <w:lang w:val="fr-FR"/>
              </w:rPr>
              <w:t>’</w:t>
            </w:r>
            <w:r w:rsidRPr="00183F91">
              <w:rPr>
                <w:lang w:val="fr-FR"/>
              </w:rPr>
              <w:t>article 113 du Code pénal, sur 4 affaires nouvellement enregistrées, 3 ont été transmises au parquet pour que des poursuites soient engagées et 1 a été consolidée</w:t>
            </w:r>
            <w:r w:rsidR="00BC5F94" w:rsidRPr="00183F91">
              <w:rPr>
                <w:lang w:val="fr-FR"/>
              </w:rPr>
              <w:br/>
            </w:r>
            <w:r w:rsidRPr="00183F91">
              <w:rPr>
                <w:lang w:val="fr-FR"/>
              </w:rPr>
              <w:t>Au titre de l</w:t>
            </w:r>
            <w:r w:rsidR="00442D55" w:rsidRPr="00183F91">
              <w:rPr>
                <w:lang w:val="fr-FR"/>
              </w:rPr>
              <w:t>’</w:t>
            </w:r>
            <w:r w:rsidRPr="00183F91">
              <w:rPr>
                <w:lang w:val="fr-FR"/>
              </w:rPr>
              <w:t>article 13.1 du Code pénal, sur 8 affaires, 5 ont été rejeté</w:t>
            </w:r>
            <w:r w:rsidR="00E94CF8" w:rsidRPr="00183F91">
              <w:rPr>
                <w:lang w:val="fr-FR"/>
              </w:rPr>
              <w:t>e</w:t>
            </w:r>
            <w:r w:rsidRPr="00183F91">
              <w:rPr>
                <w:lang w:val="fr-FR"/>
              </w:rPr>
              <w:t>s, 1 a été transmise au parquet, 1 a été consolidée et 1 fait l</w:t>
            </w:r>
            <w:r w:rsidR="00442D55" w:rsidRPr="00183F91">
              <w:rPr>
                <w:lang w:val="fr-FR"/>
              </w:rPr>
              <w:t>’</w:t>
            </w:r>
            <w:r w:rsidRPr="00183F91">
              <w:rPr>
                <w:lang w:val="fr-FR"/>
              </w:rPr>
              <w:t>objet d</w:t>
            </w:r>
            <w:r w:rsidR="00442D55" w:rsidRPr="00183F91">
              <w:rPr>
                <w:lang w:val="fr-FR"/>
              </w:rPr>
              <w:t>’</w:t>
            </w:r>
            <w:r w:rsidRPr="00183F91">
              <w:rPr>
                <w:lang w:val="fr-FR"/>
              </w:rPr>
              <w:t>une procédure en cours</w:t>
            </w:r>
          </w:p>
        </w:tc>
        <w:tc>
          <w:tcPr>
            <w:tcW w:w="2283" w:type="dxa"/>
            <w:shd w:val="clear" w:color="auto" w:fill="auto"/>
            <w:noWrap/>
          </w:tcPr>
          <w:p w14:paraId="4EA0E0F4" w14:textId="1F33AAA7" w:rsidR="006E0934" w:rsidRPr="00183F91" w:rsidRDefault="006E0934" w:rsidP="00BC5F94">
            <w:pPr>
              <w:tabs>
                <w:tab w:val="left" w:pos="288"/>
                <w:tab w:val="left" w:pos="576"/>
                <w:tab w:val="left" w:pos="864"/>
                <w:tab w:val="left" w:pos="1152"/>
              </w:tabs>
              <w:spacing w:before="40" w:after="80"/>
              <w:ind w:left="144" w:right="43"/>
              <w:rPr>
                <w:lang w:val="fr-FR"/>
              </w:rPr>
            </w:pPr>
            <w:r w:rsidRPr="00183F91">
              <w:rPr>
                <w:lang w:val="fr-FR"/>
              </w:rPr>
              <w:t>10 affaires relevant de l</w:t>
            </w:r>
            <w:r w:rsidR="00442D55" w:rsidRPr="00183F91">
              <w:rPr>
                <w:lang w:val="fr-FR"/>
              </w:rPr>
              <w:t>’</w:t>
            </w:r>
            <w:r w:rsidRPr="00183F91">
              <w:rPr>
                <w:lang w:val="fr-FR"/>
              </w:rPr>
              <w:t>article 113 du Code pénal et 6 relevant de l</w:t>
            </w:r>
            <w:r w:rsidR="00442D55" w:rsidRPr="00183F91">
              <w:rPr>
                <w:lang w:val="fr-FR"/>
              </w:rPr>
              <w:t>’</w:t>
            </w:r>
            <w:r w:rsidRPr="00183F91">
              <w:rPr>
                <w:lang w:val="fr-FR"/>
              </w:rPr>
              <w:t>article 13.1 (2015)</w:t>
            </w:r>
          </w:p>
        </w:tc>
        <w:tc>
          <w:tcPr>
            <w:tcW w:w="2070" w:type="dxa"/>
            <w:shd w:val="clear" w:color="auto" w:fill="auto"/>
            <w:noWrap/>
          </w:tcPr>
          <w:p w14:paraId="51EA337D" w14:textId="37D34005" w:rsidR="006E0934" w:rsidRPr="00183F91" w:rsidRDefault="006E0934" w:rsidP="00BC5F94">
            <w:pPr>
              <w:tabs>
                <w:tab w:val="left" w:pos="288"/>
                <w:tab w:val="left" w:pos="576"/>
                <w:tab w:val="left" w:pos="864"/>
                <w:tab w:val="left" w:pos="1152"/>
              </w:tabs>
              <w:spacing w:before="40" w:after="80"/>
              <w:ind w:left="144" w:right="43"/>
              <w:rPr>
                <w:lang w:val="fr-FR"/>
              </w:rPr>
            </w:pPr>
            <w:r w:rsidRPr="00183F91">
              <w:rPr>
                <w:lang w:val="fr-FR"/>
              </w:rPr>
              <w:t>1 affaire relevant de l</w:t>
            </w:r>
            <w:r w:rsidR="00442D55" w:rsidRPr="00183F91">
              <w:rPr>
                <w:lang w:val="fr-FR"/>
              </w:rPr>
              <w:t>’</w:t>
            </w:r>
            <w:r w:rsidRPr="00183F91">
              <w:rPr>
                <w:lang w:val="fr-FR"/>
              </w:rPr>
              <w:t xml:space="preserve">article </w:t>
            </w:r>
            <w:r w:rsidR="00E94CF8" w:rsidRPr="000821D9">
              <w:t>113 (2002)</w:t>
            </w:r>
            <w:r w:rsidRPr="00183F91">
              <w:rPr>
                <w:lang w:val="fr-FR"/>
              </w:rPr>
              <w:t xml:space="preserve"> du Code pénal a été réglée et classée</w:t>
            </w:r>
            <w:r w:rsidR="00BC5F94" w:rsidRPr="00183F91">
              <w:rPr>
                <w:lang w:val="fr-FR"/>
              </w:rPr>
              <w:br/>
            </w:r>
            <w:r w:rsidRPr="00183F91">
              <w:rPr>
                <w:lang w:val="fr-FR"/>
              </w:rPr>
              <w:t>2 affaires relevant de l</w:t>
            </w:r>
            <w:r w:rsidR="00442D55" w:rsidRPr="00183F91">
              <w:rPr>
                <w:lang w:val="fr-FR"/>
              </w:rPr>
              <w:t>’</w:t>
            </w:r>
            <w:r w:rsidRPr="00183F91">
              <w:rPr>
                <w:lang w:val="fr-FR"/>
              </w:rPr>
              <w:t>article 13.1 (2015) du Code pénal ont été réglées et classées</w:t>
            </w:r>
            <w:r w:rsidR="00BC5F94" w:rsidRPr="00183F91">
              <w:rPr>
                <w:lang w:val="fr-FR"/>
              </w:rPr>
              <w:br/>
            </w:r>
          </w:p>
        </w:tc>
      </w:tr>
      <w:tr w:rsidR="006E0934" w:rsidRPr="00183F91" w14:paraId="78FFB6DF" w14:textId="77777777" w:rsidTr="00BC5F94">
        <w:tc>
          <w:tcPr>
            <w:tcW w:w="470" w:type="dxa"/>
            <w:shd w:val="clear" w:color="auto" w:fill="auto"/>
            <w:noWrap/>
          </w:tcPr>
          <w:p w14:paraId="69C6A579" w14:textId="77777777" w:rsidR="006E0934" w:rsidRPr="00183F91" w:rsidRDefault="006E0934" w:rsidP="00BC5F94">
            <w:pPr>
              <w:tabs>
                <w:tab w:val="left" w:pos="288"/>
                <w:tab w:val="left" w:pos="576"/>
                <w:tab w:val="left" w:pos="864"/>
                <w:tab w:val="left" w:pos="1152"/>
              </w:tabs>
              <w:spacing w:before="40" w:after="80"/>
              <w:ind w:right="40"/>
              <w:rPr>
                <w:lang w:val="fr-FR"/>
              </w:rPr>
            </w:pPr>
            <w:r w:rsidRPr="00183F91">
              <w:rPr>
                <w:lang w:val="fr-FR"/>
              </w:rPr>
              <w:t>2018</w:t>
            </w:r>
          </w:p>
        </w:tc>
        <w:tc>
          <w:tcPr>
            <w:tcW w:w="2547" w:type="dxa"/>
            <w:shd w:val="clear" w:color="auto" w:fill="auto"/>
            <w:noWrap/>
          </w:tcPr>
          <w:p w14:paraId="04C7091F" w14:textId="4FC89A4D" w:rsidR="006E0934" w:rsidRPr="00183F91" w:rsidRDefault="006E0934" w:rsidP="00BC5F94">
            <w:pPr>
              <w:tabs>
                <w:tab w:val="left" w:pos="288"/>
                <w:tab w:val="left" w:pos="576"/>
                <w:tab w:val="left" w:pos="864"/>
                <w:tab w:val="left" w:pos="1152"/>
              </w:tabs>
              <w:spacing w:before="40" w:after="80"/>
              <w:ind w:left="144" w:right="43"/>
              <w:rPr>
                <w:lang w:val="fr-FR"/>
              </w:rPr>
            </w:pPr>
            <w:r w:rsidRPr="00183F91">
              <w:rPr>
                <w:lang w:val="fr-FR"/>
              </w:rPr>
              <w:t>Au titre de l</w:t>
            </w:r>
            <w:r w:rsidR="00442D55" w:rsidRPr="00183F91">
              <w:rPr>
                <w:lang w:val="fr-FR"/>
              </w:rPr>
              <w:t>’</w:t>
            </w:r>
            <w:r w:rsidRPr="00183F91">
              <w:rPr>
                <w:lang w:val="fr-FR"/>
              </w:rPr>
              <w:t xml:space="preserve">article 13.1 du Code pénal, sur 10 affaires nouvellement enregistrées, 5 ont été rejetées et 5 ont été transmises au parquet </w:t>
            </w:r>
            <w:r w:rsidRPr="00183F91">
              <w:rPr>
                <w:lang w:val="fr-FR"/>
              </w:rPr>
              <w:lastRenderedPageBreak/>
              <w:t>pour que des poursuites soient engagées</w:t>
            </w:r>
          </w:p>
        </w:tc>
        <w:tc>
          <w:tcPr>
            <w:tcW w:w="2283" w:type="dxa"/>
            <w:shd w:val="clear" w:color="auto" w:fill="auto"/>
            <w:noWrap/>
          </w:tcPr>
          <w:p w14:paraId="6F036FB7" w14:textId="2AEE8EE0" w:rsidR="006E0934" w:rsidRPr="00183F91" w:rsidRDefault="006E0934" w:rsidP="00BC5F94">
            <w:pPr>
              <w:tabs>
                <w:tab w:val="left" w:pos="288"/>
                <w:tab w:val="left" w:pos="576"/>
                <w:tab w:val="left" w:pos="864"/>
                <w:tab w:val="left" w:pos="1152"/>
              </w:tabs>
              <w:spacing w:before="40" w:after="80"/>
              <w:ind w:left="144" w:right="43"/>
              <w:rPr>
                <w:lang w:val="fr-FR"/>
              </w:rPr>
            </w:pPr>
            <w:r w:rsidRPr="00183F91">
              <w:rPr>
                <w:lang w:val="fr-FR"/>
              </w:rPr>
              <w:lastRenderedPageBreak/>
              <w:t>2 affaires font l</w:t>
            </w:r>
            <w:r w:rsidR="00442D55" w:rsidRPr="00183F91">
              <w:rPr>
                <w:lang w:val="fr-FR"/>
              </w:rPr>
              <w:t>’</w:t>
            </w:r>
            <w:r w:rsidRPr="00183F91">
              <w:rPr>
                <w:lang w:val="fr-FR"/>
              </w:rPr>
              <w:t>objet d</w:t>
            </w:r>
            <w:r w:rsidR="00442D55" w:rsidRPr="00183F91">
              <w:rPr>
                <w:lang w:val="fr-FR"/>
              </w:rPr>
              <w:t>’</w:t>
            </w:r>
            <w:r w:rsidRPr="00183F91">
              <w:rPr>
                <w:lang w:val="fr-FR"/>
              </w:rPr>
              <w:t>une enquête</w:t>
            </w:r>
            <w:r w:rsidR="00BC5F94" w:rsidRPr="00183F91">
              <w:rPr>
                <w:lang w:val="fr-FR"/>
              </w:rPr>
              <w:br/>
            </w:r>
            <w:r w:rsidRPr="00183F91">
              <w:rPr>
                <w:lang w:val="fr-FR"/>
              </w:rPr>
              <w:t>1 nouvelle affaire reçue</w:t>
            </w:r>
          </w:p>
        </w:tc>
        <w:tc>
          <w:tcPr>
            <w:tcW w:w="2070" w:type="dxa"/>
            <w:shd w:val="clear" w:color="auto" w:fill="auto"/>
            <w:noWrap/>
          </w:tcPr>
          <w:p w14:paraId="71E1A83A" w14:textId="77777777" w:rsidR="006E0934" w:rsidRPr="00183F91" w:rsidRDefault="006E0934" w:rsidP="00BC5F94">
            <w:pPr>
              <w:tabs>
                <w:tab w:val="left" w:pos="288"/>
                <w:tab w:val="left" w:pos="576"/>
                <w:tab w:val="left" w:pos="864"/>
                <w:tab w:val="left" w:pos="1152"/>
              </w:tabs>
              <w:spacing w:before="40" w:after="80"/>
              <w:ind w:left="144" w:right="43"/>
              <w:rPr>
                <w:lang w:val="fr-FR"/>
              </w:rPr>
            </w:pPr>
            <w:r w:rsidRPr="00183F91">
              <w:rPr>
                <w:lang w:val="fr-FR"/>
              </w:rPr>
              <w:t>Aucune affaire reçue</w:t>
            </w:r>
          </w:p>
        </w:tc>
      </w:tr>
      <w:tr w:rsidR="006E0934" w:rsidRPr="00183F91" w14:paraId="5EE86D31" w14:textId="77777777" w:rsidTr="000821D9">
        <w:tc>
          <w:tcPr>
            <w:tcW w:w="470" w:type="dxa"/>
            <w:shd w:val="clear" w:color="auto" w:fill="auto"/>
            <w:noWrap/>
          </w:tcPr>
          <w:p w14:paraId="05178852" w14:textId="77777777" w:rsidR="006E0934" w:rsidRPr="00183F91" w:rsidRDefault="006E0934" w:rsidP="00BC5F94">
            <w:pPr>
              <w:tabs>
                <w:tab w:val="left" w:pos="288"/>
                <w:tab w:val="left" w:pos="576"/>
                <w:tab w:val="left" w:pos="864"/>
                <w:tab w:val="left" w:pos="1152"/>
              </w:tabs>
              <w:spacing w:before="40" w:after="80"/>
              <w:ind w:right="40"/>
              <w:rPr>
                <w:lang w:val="fr-FR"/>
              </w:rPr>
            </w:pPr>
            <w:r w:rsidRPr="00183F91">
              <w:rPr>
                <w:lang w:val="fr-FR"/>
              </w:rPr>
              <w:t>2019</w:t>
            </w:r>
          </w:p>
        </w:tc>
        <w:tc>
          <w:tcPr>
            <w:tcW w:w="2547" w:type="dxa"/>
            <w:shd w:val="clear" w:color="auto" w:fill="auto"/>
            <w:noWrap/>
          </w:tcPr>
          <w:p w14:paraId="72D55647" w14:textId="6B4139CF" w:rsidR="006E0934" w:rsidRPr="00183F91" w:rsidRDefault="006E0934" w:rsidP="00BC5F94">
            <w:pPr>
              <w:tabs>
                <w:tab w:val="left" w:pos="288"/>
                <w:tab w:val="left" w:pos="576"/>
                <w:tab w:val="left" w:pos="864"/>
                <w:tab w:val="left" w:pos="1152"/>
              </w:tabs>
              <w:spacing w:before="40" w:after="80"/>
              <w:ind w:left="144" w:right="43"/>
              <w:rPr>
                <w:lang w:val="fr-FR"/>
              </w:rPr>
            </w:pPr>
            <w:r w:rsidRPr="00183F91">
              <w:rPr>
                <w:lang w:val="fr-FR"/>
              </w:rPr>
              <w:t>Au titre de l</w:t>
            </w:r>
            <w:r w:rsidR="00442D55" w:rsidRPr="00183F91">
              <w:rPr>
                <w:lang w:val="fr-FR"/>
              </w:rPr>
              <w:t>’</w:t>
            </w:r>
            <w:r w:rsidRPr="00183F91">
              <w:rPr>
                <w:lang w:val="fr-FR"/>
              </w:rPr>
              <w:t>article 13.1 du Code pénal, sur 14 affaires nouvellement enregistrées, 2 ont été rejetées, 2 ont été transmises au parquet pour que des poursuites soient engagées et 10 font l</w:t>
            </w:r>
            <w:r w:rsidR="00442D55" w:rsidRPr="00183F91">
              <w:rPr>
                <w:lang w:val="fr-FR"/>
              </w:rPr>
              <w:t>’</w:t>
            </w:r>
            <w:r w:rsidRPr="00183F91">
              <w:rPr>
                <w:lang w:val="fr-FR"/>
              </w:rPr>
              <w:t>objet d</w:t>
            </w:r>
            <w:r w:rsidR="00442D55" w:rsidRPr="00183F91">
              <w:rPr>
                <w:lang w:val="fr-FR"/>
              </w:rPr>
              <w:t>’</w:t>
            </w:r>
            <w:r w:rsidRPr="00183F91">
              <w:rPr>
                <w:lang w:val="fr-FR"/>
              </w:rPr>
              <w:t>une enquête</w:t>
            </w:r>
          </w:p>
        </w:tc>
        <w:tc>
          <w:tcPr>
            <w:tcW w:w="2283" w:type="dxa"/>
            <w:shd w:val="clear" w:color="auto" w:fill="auto"/>
            <w:noWrap/>
          </w:tcPr>
          <w:p w14:paraId="7D5BCD3D" w14:textId="77777777" w:rsidR="006E0934" w:rsidRPr="00183F91" w:rsidRDefault="006E0934" w:rsidP="00BC5F94">
            <w:pPr>
              <w:tabs>
                <w:tab w:val="left" w:pos="288"/>
                <w:tab w:val="left" w:pos="576"/>
                <w:tab w:val="left" w:pos="864"/>
                <w:tab w:val="left" w:pos="1152"/>
              </w:tabs>
              <w:spacing w:before="40" w:after="80"/>
              <w:ind w:left="144" w:right="43"/>
              <w:rPr>
                <w:lang w:val="fr-FR"/>
              </w:rPr>
            </w:pPr>
          </w:p>
        </w:tc>
        <w:tc>
          <w:tcPr>
            <w:tcW w:w="2070" w:type="dxa"/>
            <w:shd w:val="clear" w:color="auto" w:fill="auto"/>
            <w:noWrap/>
          </w:tcPr>
          <w:p w14:paraId="45DD8948" w14:textId="77777777" w:rsidR="006E0934" w:rsidRPr="00183F91" w:rsidRDefault="006E0934" w:rsidP="00BC5F94">
            <w:pPr>
              <w:tabs>
                <w:tab w:val="left" w:pos="288"/>
                <w:tab w:val="left" w:pos="576"/>
                <w:tab w:val="left" w:pos="864"/>
                <w:tab w:val="left" w:pos="1152"/>
              </w:tabs>
              <w:spacing w:before="40" w:after="80"/>
              <w:ind w:left="144" w:right="43"/>
              <w:rPr>
                <w:lang w:val="fr-FR"/>
              </w:rPr>
            </w:pPr>
          </w:p>
        </w:tc>
      </w:tr>
      <w:tr w:rsidR="004F14F3" w:rsidRPr="00183F91" w14:paraId="64E489C4" w14:textId="77777777" w:rsidTr="00BC5F94">
        <w:tc>
          <w:tcPr>
            <w:tcW w:w="470" w:type="dxa"/>
            <w:tcBorders>
              <w:bottom w:val="single" w:sz="12" w:space="0" w:color="auto"/>
            </w:tcBorders>
            <w:shd w:val="clear" w:color="auto" w:fill="auto"/>
            <w:noWrap/>
          </w:tcPr>
          <w:p w14:paraId="47943C27" w14:textId="77777777" w:rsidR="004F14F3" w:rsidRPr="000821D9" w:rsidRDefault="004F14F3" w:rsidP="000821D9">
            <w:pPr>
              <w:tabs>
                <w:tab w:val="left" w:pos="288"/>
                <w:tab w:val="left" w:pos="576"/>
                <w:tab w:val="left" w:pos="864"/>
                <w:tab w:val="left" w:pos="1152"/>
              </w:tabs>
              <w:spacing w:line="240" w:lineRule="auto"/>
              <w:ind w:right="40"/>
              <w:rPr>
                <w:color w:val="FF0000"/>
                <w:sz w:val="2"/>
                <w:lang w:val="fr-FR"/>
              </w:rPr>
            </w:pPr>
          </w:p>
        </w:tc>
        <w:tc>
          <w:tcPr>
            <w:tcW w:w="2547" w:type="dxa"/>
            <w:tcBorders>
              <w:bottom w:val="single" w:sz="12" w:space="0" w:color="auto"/>
            </w:tcBorders>
            <w:shd w:val="clear" w:color="auto" w:fill="auto"/>
            <w:noWrap/>
          </w:tcPr>
          <w:p w14:paraId="1CD486ED" w14:textId="77777777" w:rsidR="004F14F3" w:rsidRPr="000821D9" w:rsidRDefault="004F14F3" w:rsidP="000821D9">
            <w:pPr>
              <w:tabs>
                <w:tab w:val="left" w:pos="288"/>
                <w:tab w:val="left" w:pos="576"/>
                <w:tab w:val="left" w:pos="864"/>
                <w:tab w:val="left" w:pos="1152"/>
              </w:tabs>
              <w:spacing w:line="240" w:lineRule="auto"/>
              <w:ind w:left="144" w:right="43"/>
              <w:rPr>
                <w:sz w:val="2"/>
                <w:lang w:val="fr-FR"/>
              </w:rPr>
            </w:pPr>
          </w:p>
        </w:tc>
        <w:tc>
          <w:tcPr>
            <w:tcW w:w="2283" w:type="dxa"/>
            <w:tcBorders>
              <w:bottom w:val="single" w:sz="12" w:space="0" w:color="auto"/>
            </w:tcBorders>
            <w:shd w:val="clear" w:color="auto" w:fill="auto"/>
            <w:noWrap/>
          </w:tcPr>
          <w:p w14:paraId="2048F503" w14:textId="77777777" w:rsidR="004F14F3" w:rsidRPr="000821D9" w:rsidRDefault="004F14F3" w:rsidP="000821D9">
            <w:pPr>
              <w:tabs>
                <w:tab w:val="left" w:pos="288"/>
                <w:tab w:val="left" w:pos="576"/>
                <w:tab w:val="left" w:pos="864"/>
                <w:tab w:val="left" w:pos="1152"/>
              </w:tabs>
              <w:spacing w:line="240" w:lineRule="auto"/>
              <w:ind w:left="144" w:right="43"/>
              <w:rPr>
                <w:sz w:val="2"/>
                <w:lang w:val="fr-FR"/>
              </w:rPr>
            </w:pPr>
          </w:p>
        </w:tc>
        <w:tc>
          <w:tcPr>
            <w:tcW w:w="2070" w:type="dxa"/>
            <w:tcBorders>
              <w:bottom w:val="single" w:sz="12" w:space="0" w:color="auto"/>
            </w:tcBorders>
            <w:shd w:val="clear" w:color="auto" w:fill="auto"/>
            <w:noWrap/>
          </w:tcPr>
          <w:p w14:paraId="29EC2F6F" w14:textId="77777777" w:rsidR="004F14F3" w:rsidRPr="000821D9" w:rsidRDefault="004F14F3" w:rsidP="000821D9">
            <w:pPr>
              <w:tabs>
                <w:tab w:val="left" w:pos="288"/>
                <w:tab w:val="left" w:pos="576"/>
                <w:tab w:val="left" w:pos="864"/>
                <w:tab w:val="left" w:pos="1152"/>
              </w:tabs>
              <w:spacing w:line="240" w:lineRule="auto"/>
              <w:ind w:left="144" w:right="43"/>
              <w:rPr>
                <w:sz w:val="2"/>
                <w:lang w:val="fr-FR"/>
              </w:rPr>
            </w:pPr>
          </w:p>
        </w:tc>
      </w:tr>
    </w:tbl>
    <w:p w14:paraId="25CFA7E7" w14:textId="30B872D3" w:rsidR="006E0934" w:rsidRPr="00183F91" w:rsidRDefault="006E0934" w:rsidP="004417E0">
      <w:pPr>
        <w:pStyle w:val="SingleTxt"/>
        <w:spacing w:after="0" w:line="120" w:lineRule="exact"/>
        <w:rPr>
          <w:sz w:val="10"/>
          <w:lang w:val="fr-FR"/>
        </w:rPr>
      </w:pPr>
    </w:p>
    <w:p w14:paraId="59A0BC32" w14:textId="49928F4C" w:rsidR="006E0934" w:rsidRPr="00183F91" w:rsidRDefault="006E0934" w:rsidP="00BC5F94">
      <w:pPr>
        <w:pStyle w:val="FootnoteText"/>
        <w:tabs>
          <w:tab w:val="right" w:pos="1476"/>
          <w:tab w:val="left" w:pos="1548"/>
          <w:tab w:val="right" w:pos="1836"/>
          <w:tab w:val="left" w:pos="1908"/>
        </w:tabs>
        <w:ind w:left="1548" w:hanging="288"/>
        <w:rPr>
          <w:lang w:val="fr-FR"/>
        </w:rPr>
      </w:pPr>
      <w:r w:rsidRPr="000821D9">
        <w:rPr>
          <w:i/>
          <w:iCs/>
          <w:lang w:val="fr-FR"/>
        </w:rPr>
        <w:t>Source</w:t>
      </w:r>
      <w:r w:rsidR="00442D55" w:rsidRPr="00183F91">
        <w:rPr>
          <w:lang w:val="fr-FR"/>
        </w:rPr>
        <w:t> :</w:t>
      </w:r>
      <w:r w:rsidRPr="00183F91">
        <w:rPr>
          <w:lang w:val="fr-FR"/>
        </w:rPr>
        <w:t xml:space="preserve"> Livre blanc sur la criminalité publié par la Mongolie en 2016, 2017, 2018.</w:t>
      </w:r>
    </w:p>
    <w:p w14:paraId="697E6DA8" w14:textId="1D13B1E5" w:rsidR="004417E0" w:rsidRPr="00183F91" w:rsidRDefault="004417E0" w:rsidP="004417E0">
      <w:pPr>
        <w:pStyle w:val="SingleTxt"/>
        <w:spacing w:after="0" w:line="120" w:lineRule="exact"/>
        <w:rPr>
          <w:sz w:val="10"/>
          <w:lang w:val="fr-FR"/>
        </w:rPr>
      </w:pPr>
    </w:p>
    <w:p w14:paraId="179C5CFC" w14:textId="77777777" w:rsidR="004417E0" w:rsidRPr="00183F91" w:rsidRDefault="004417E0" w:rsidP="004417E0">
      <w:pPr>
        <w:pStyle w:val="SingleTxt"/>
        <w:spacing w:after="0" w:line="120" w:lineRule="exact"/>
        <w:rPr>
          <w:sz w:val="10"/>
          <w:lang w:val="fr-FR"/>
        </w:rPr>
      </w:pPr>
    </w:p>
    <w:p w14:paraId="1C3CED10" w14:textId="685F4638" w:rsidR="004417E0" w:rsidRPr="00183F91" w:rsidRDefault="004417E0" w:rsidP="004417E0">
      <w:pPr>
        <w:pStyle w:val="SingleTxt"/>
        <w:spacing w:after="0" w:line="120" w:lineRule="exact"/>
        <w:rPr>
          <w:bCs/>
          <w:sz w:val="10"/>
          <w:lang w:val="fr-FR"/>
        </w:rPr>
      </w:pPr>
    </w:p>
    <w:p w14:paraId="06609FF6" w14:textId="18F960A1" w:rsidR="006E0934" w:rsidRPr="00183F91" w:rsidRDefault="004417E0" w:rsidP="004417E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83F91">
        <w:rPr>
          <w:lang w:val="fr-FR"/>
        </w:rPr>
        <w:tab/>
      </w:r>
      <w:r w:rsidR="006E0934" w:rsidRPr="00183F91">
        <w:rPr>
          <w:lang w:val="fr-FR"/>
        </w:rPr>
        <w:t>L.</w:t>
      </w:r>
      <w:r w:rsidR="006E0934" w:rsidRPr="00183F91">
        <w:rPr>
          <w:lang w:val="fr-FR"/>
        </w:rPr>
        <w:tab/>
        <w:t>Réponse au paragraphe 11 de la liste de points</w:t>
      </w:r>
    </w:p>
    <w:p w14:paraId="31FCBA8F" w14:textId="478DD106" w:rsidR="004417E0" w:rsidRPr="00183F91" w:rsidRDefault="004417E0" w:rsidP="004417E0">
      <w:pPr>
        <w:pStyle w:val="SingleTxt"/>
        <w:spacing w:after="0" w:line="120" w:lineRule="exact"/>
        <w:rPr>
          <w:sz w:val="10"/>
          <w:lang w:val="fr-FR"/>
        </w:rPr>
      </w:pPr>
    </w:p>
    <w:p w14:paraId="26989B30" w14:textId="47864945" w:rsidR="004417E0" w:rsidRPr="00183F91" w:rsidRDefault="004417E0" w:rsidP="004417E0">
      <w:pPr>
        <w:pStyle w:val="SingleTxt"/>
        <w:spacing w:after="0" w:line="120" w:lineRule="exact"/>
        <w:rPr>
          <w:sz w:val="10"/>
          <w:lang w:val="fr-FR"/>
        </w:rPr>
      </w:pPr>
    </w:p>
    <w:p w14:paraId="43E55305" w14:textId="106BA368" w:rsidR="006E0934" w:rsidRPr="00183F91" w:rsidRDefault="006E0934" w:rsidP="004417E0">
      <w:pPr>
        <w:pStyle w:val="SingleTxt"/>
        <w:numPr>
          <w:ilvl w:val="0"/>
          <w:numId w:val="43"/>
        </w:numPr>
        <w:spacing w:line="240" w:lineRule="exact"/>
        <w:ind w:left="1267"/>
        <w:rPr>
          <w:lang w:val="fr-FR"/>
        </w:rPr>
      </w:pPr>
      <w:r w:rsidRPr="00183F91">
        <w:rPr>
          <w:lang w:val="fr-FR"/>
        </w:rPr>
        <w:t>La Commission nationale sur l</w:t>
      </w:r>
      <w:r w:rsidR="00442D55" w:rsidRPr="00183F91">
        <w:rPr>
          <w:lang w:val="fr-FR"/>
        </w:rPr>
        <w:t>’</w:t>
      </w:r>
      <w:r w:rsidRPr="00183F91">
        <w:rPr>
          <w:lang w:val="fr-FR"/>
        </w:rPr>
        <w:t>égalité des sexes s</w:t>
      </w:r>
      <w:r w:rsidR="00442D55" w:rsidRPr="00183F91">
        <w:rPr>
          <w:lang w:val="fr-FR"/>
        </w:rPr>
        <w:t>’</w:t>
      </w:r>
      <w:r w:rsidRPr="00183F91">
        <w:rPr>
          <w:lang w:val="fr-FR"/>
        </w:rPr>
        <w:t>emploie continuellement à démontrer à quel point il importe d</w:t>
      </w:r>
      <w:r w:rsidR="00442D55" w:rsidRPr="00183F91">
        <w:rPr>
          <w:lang w:val="fr-FR"/>
        </w:rPr>
        <w:t>’</w:t>
      </w:r>
      <w:r w:rsidRPr="00183F91">
        <w:rPr>
          <w:lang w:val="fr-FR"/>
        </w:rPr>
        <w:t>élire des femmes à des postes de décision, ainsi qu</w:t>
      </w:r>
      <w:r w:rsidR="00442D55" w:rsidRPr="00183F91">
        <w:rPr>
          <w:lang w:val="fr-FR"/>
        </w:rPr>
        <w:t>’</w:t>
      </w:r>
      <w:r w:rsidRPr="00183F91">
        <w:rPr>
          <w:lang w:val="fr-FR"/>
        </w:rPr>
        <w:t>à former les femmes qui travaillent actuellement ou prévoient de travailler à de tels postes. Par exemple, une formation consacrée à la démocratie interne des partis et à la politique d</w:t>
      </w:r>
      <w:r w:rsidR="00442D55" w:rsidRPr="00183F91">
        <w:rPr>
          <w:lang w:val="fr-FR"/>
        </w:rPr>
        <w:t>’</w:t>
      </w:r>
      <w:r w:rsidRPr="00183F91">
        <w:rPr>
          <w:lang w:val="fr-FR"/>
        </w:rPr>
        <w:t>appui à la participation des femmes à la vie politique et des formations de renforcement des capacités ont été organisées à l</w:t>
      </w:r>
      <w:r w:rsidR="00442D55" w:rsidRPr="00183F91">
        <w:rPr>
          <w:lang w:val="fr-FR"/>
        </w:rPr>
        <w:t>’</w:t>
      </w:r>
      <w:r w:rsidRPr="00183F91">
        <w:rPr>
          <w:lang w:val="fr-FR"/>
        </w:rPr>
        <w:t>intention des membres d</w:t>
      </w:r>
      <w:r w:rsidR="00442D55" w:rsidRPr="00183F91">
        <w:rPr>
          <w:lang w:val="fr-FR"/>
        </w:rPr>
        <w:t>’</w:t>
      </w:r>
      <w:r w:rsidRPr="00183F91">
        <w:rPr>
          <w:lang w:val="fr-FR"/>
        </w:rPr>
        <w:t>organisations de femmes au sein des partis politiques représentés au Parlement, des femmes occupant des postes de décision à l</w:t>
      </w:r>
      <w:r w:rsidR="00442D55" w:rsidRPr="00183F91">
        <w:rPr>
          <w:lang w:val="fr-FR"/>
        </w:rPr>
        <w:t>’</w:t>
      </w:r>
      <w:r w:rsidRPr="00183F91">
        <w:rPr>
          <w:lang w:val="fr-FR"/>
        </w:rPr>
        <w:t>échelle locale et des dirigeantes d</w:t>
      </w:r>
      <w:r w:rsidR="00442D55" w:rsidRPr="00183F91">
        <w:rPr>
          <w:lang w:val="fr-FR"/>
        </w:rPr>
        <w:t>’</w:t>
      </w:r>
      <w:r w:rsidRPr="00183F91">
        <w:rPr>
          <w:lang w:val="fr-FR"/>
        </w:rPr>
        <w:t>organisations de femmes au sein des partis politiques. En vue d</w:t>
      </w:r>
      <w:r w:rsidR="00442D55" w:rsidRPr="00183F91">
        <w:rPr>
          <w:lang w:val="fr-FR"/>
        </w:rPr>
        <w:t>’</w:t>
      </w:r>
      <w:r w:rsidRPr="00183F91">
        <w:rPr>
          <w:lang w:val="fr-FR"/>
        </w:rPr>
        <w:t>accroître la participation des femmes à la prise de décisions, les femmes sont encouragées à participer à des émissions télévisées et à s</w:t>
      </w:r>
      <w:r w:rsidR="00442D55" w:rsidRPr="00183F91">
        <w:rPr>
          <w:lang w:val="fr-FR"/>
        </w:rPr>
        <w:t>’</w:t>
      </w:r>
      <w:r w:rsidRPr="00183F91">
        <w:rPr>
          <w:lang w:val="fr-FR"/>
        </w:rPr>
        <w:t>associer avec la télévision nationale et les journalistes pour contribuer à la rédaction et à la diffusion de contenus.</w:t>
      </w:r>
    </w:p>
    <w:p w14:paraId="4FAEB890" w14:textId="10E4A72C" w:rsidR="006E0934" w:rsidRPr="00183F91" w:rsidRDefault="006E0934" w:rsidP="004417E0">
      <w:pPr>
        <w:pStyle w:val="SingleTxt"/>
        <w:numPr>
          <w:ilvl w:val="0"/>
          <w:numId w:val="43"/>
        </w:numPr>
        <w:spacing w:line="240" w:lineRule="exact"/>
        <w:ind w:left="1267"/>
        <w:rPr>
          <w:lang w:val="fr-FR"/>
        </w:rPr>
      </w:pPr>
      <w:r w:rsidRPr="00183F91">
        <w:rPr>
          <w:lang w:val="fr-FR"/>
        </w:rPr>
        <w:t>La loi sur les élections en Mongolie, modifiée en 2019</w:t>
      </w:r>
      <w:r w:rsidRPr="00183F91">
        <w:rPr>
          <w:vertAlign w:val="superscript"/>
          <w:lang w:val="fr-FR"/>
        </w:rPr>
        <w:footnoteReference w:id="9"/>
      </w:r>
      <w:r w:rsidRPr="00183F91">
        <w:rPr>
          <w:lang w:val="fr-FR"/>
        </w:rPr>
        <w:t>, dispose que la représentation de chacun des deux genres doit être d</w:t>
      </w:r>
      <w:r w:rsidR="00442D55" w:rsidRPr="00183F91">
        <w:rPr>
          <w:lang w:val="fr-FR"/>
        </w:rPr>
        <w:t>’</w:t>
      </w:r>
      <w:r w:rsidRPr="00183F91">
        <w:rPr>
          <w:lang w:val="fr-FR"/>
        </w:rPr>
        <w:t>au moins 20</w:t>
      </w:r>
      <w:r w:rsidR="00BE2441" w:rsidRPr="00183F91">
        <w:rPr>
          <w:lang w:val="fr-FR"/>
        </w:rPr>
        <w:t> </w:t>
      </w:r>
      <w:r w:rsidRPr="00183F91">
        <w:rPr>
          <w:lang w:val="fr-FR"/>
        </w:rPr>
        <w:t>%. La proposition de la Commission nationale sur l</w:t>
      </w:r>
      <w:r w:rsidR="00442D55" w:rsidRPr="00183F91">
        <w:rPr>
          <w:lang w:val="fr-FR"/>
        </w:rPr>
        <w:t>’</w:t>
      </w:r>
      <w:r w:rsidRPr="00183F91">
        <w:rPr>
          <w:lang w:val="fr-FR"/>
        </w:rPr>
        <w:t>égalité des sexes était de porter le quota des candidates à 30</w:t>
      </w:r>
      <w:r w:rsidR="00BE2441" w:rsidRPr="00183F91">
        <w:rPr>
          <w:lang w:val="fr-FR"/>
        </w:rPr>
        <w:t> </w:t>
      </w:r>
      <w:r w:rsidRPr="00183F91">
        <w:rPr>
          <w:lang w:val="fr-FR"/>
        </w:rPr>
        <w:t>% dans le projet de loi électorale du Parlement mongol soumis au groupe de travail créé par le Parlement et de mener des activités de sensibilisation, mais cette proposition n</w:t>
      </w:r>
      <w:r w:rsidR="00442D55" w:rsidRPr="00183F91">
        <w:rPr>
          <w:lang w:val="fr-FR"/>
        </w:rPr>
        <w:t>’</w:t>
      </w:r>
      <w:r w:rsidRPr="00183F91">
        <w:rPr>
          <w:lang w:val="fr-FR"/>
        </w:rPr>
        <w:t>a pas été retenue. En vue d</w:t>
      </w:r>
      <w:r w:rsidR="00442D55" w:rsidRPr="00183F91">
        <w:rPr>
          <w:lang w:val="fr-FR"/>
        </w:rPr>
        <w:t>’</w:t>
      </w:r>
      <w:r w:rsidRPr="00183F91">
        <w:rPr>
          <w:lang w:val="fr-FR"/>
        </w:rPr>
        <w:t>atteindre l</w:t>
      </w:r>
      <w:r w:rsidR="00442D55" w:rsidRPr="00183F91">
        <w:rPr>
          <w:lang w:val="fr-FR"/>
        </w:rPr>
        <w:t>’</w:t>
      </w:r>
      <w:r w:rsidRPr="00183F91">
        <w:rPr>
          <w:lang w:val="fr-FR"/>
        </w:rPr>
        <w:t xml:space="preserve">objectif 6 du </w:t>
      </w:r>
      <w:r w:rsidR="00653A21">
        <w:rPr>
          <w:lang w:val="fr-FR"/>
        </w:rPr>
        <w:t>programme national relatif à l’égalité des sexes</w:t>
      </w:r>
      <w:r w:rsidRPr="00183F91">
        <w:rPr>
          <w:lang w:val="fr-FR"/>
        </w:rPr>
        <w:t>, la Commission a entrepris, en coopération avec l</w:t>
      </w:r>
      <w:r w:rsidR="00442D55" w:rsidRPr="00183F91">
        <w:rPr>
          <w:lang w:val="fr-FR"/>
        </w:rPr>
        <w:t>’</w:t>
      </w:r>
      <w:r w:rsidRPr="00183F91">
        <w:rPr>
          <w:lang w:val="fr-FR"/>
        </w:rPr>
        <w:t>Association des femmes mongoles, de mener les activités ci-après visant à aider les femmes à développer des compétences de chef de file afin d</w:t>
      </w:r>
      <w:r w:rsidR="00442D55" w:rsidRPr="00183F91">
        <w:rPr>
          <w:lang w:val="fr-FR"/>
        </w:rPr>
        <w:t>’</w:t>
      </w:r>
      <w:r w:rsidRPr="00183F91">
        <w:rPr>
          <w:lang w:val="fr-FR"/>
        </w:rPr>
        <w:t>accéder à des postes de décision</w:t>
      </w:r>
      <w:r w:rsidR="00442D55" w:rsidRPr="00183F91">
        <w:rPr>
          <w:lang w:val="fr-FR"/>
        </w:rPr>
        <w:t> :</w:t>
      </w:r>
    </w:p>
    <w:p w14:paraId="7CEB4CAB" w14:textId="7BCA1A10" w:rsidR="006E0934" w:rsidRPr="00183F91" w:rsidRDefault="004417E0" w:rsidP="004417E0">
      <w:pPr>
        <w:pStyle w:val="SingleTxt"/>
        <w:tabs>
          <w:tab w:val="right" w:pos="1685"/>
        </w:tabs>
        <w:ind w:left="1742" w:hanging="475"/>
        <w:rPr>
          <w:lang w:val="fr-FR"/>
        </w:rPr>
      </w:pPr>
      <w:r w:rsidRPr="00183F91">
        <w:rPr>
          <w:lang w:val="fr-FR"/>
        </w:rPr>
        <w:tab/>
        <w:t>•</w:t>
      </w:r>
      <w:r w:rsidRPr="00183F91">
        <w:rPr>
          <w:lang w:val="fr-FR"/>
        </w:rPr>
        <w:tab/>
      </w:r>
      <w:r w:rsidR="006E0934" w:rsidRPr="00183F91">
        <w:rPr>
          <w:i/>
          <w:iCs/>
          <w:lang w:val="fr-FR"/>
        </w:rPr>
        <w:t>S</w:t>
      </w:r>
      <w:r w:rsidR="00442D55" w:rsidRPr="00183F91">
        <w:rPr>
          <w:i/>
          <w:iCs/>
          <w:lang w:val="fr-FR"/>
        </w:rPr>
        <w:t>’</w:t>
      </w:r>
      <w:r w:rsidR="006E0934" w:rsidRPr="00183F91">
        <w:rPr>
          <w:i/>
          <w:iCs/>
          <w:lang w:val="fr-FR"/>
        </w:rPr>
        <w:t>agissant du renforcement de la participation des femmes à la vie politique, de leurs compétences de chef de file et de leurs capacités en matière de prise de décisions, ainsi que des partenariats</w:t>
      </w:r>
      <w:r w:rsidR="00442D55" w:rsidRPr="00183F91">
        <w:rPr>
          <w:lang w:val="fr-FR"/>
        </w:rPr>
        <w:t> :</w:t>
      </w:r>
      <w:r w:rsidR="006E0934" w:rsidRPr="00183F91">
        <w:rPr>
          <w:lang w:val="fr-FR"/>
        </w:rPr>
        <w:t xml:space="preserve"> Des réunions de coordination ont été organisées conjointement par des membres du Parlement, des organisations de femmes au sein des partis et des représentants de la Commission des élections générales afin de recenser les obstacles à une participation accrue des femmes à la prise de décisions, d</w:t>
      </w:r>
      <w:r w:rsidR="00442D55" w:rsidRPr="00183F91">
        <w:rPr>
          <w:lang w:val="fr-FR"/>
        </w:rPr>
        <w:t>’</w:t>
      </w:r>
      <w:r w:rsidR="006E0934" w:rsidRPr="00183F91">
        <w:rPr>
          <w:lang w:val="fr-FR"/>
        </w:rPr>
        <w:t>améliorer le cadre juridique pour le rendre plus favorable et de faire en sorte que les femmes restent aux postes de décision. Lors de ces réunions</w:t>
      </w:r>
      <w:bookmarkStart w:id="9" w:name="_Hlk43369458"/>
      <w:r w:rsidR="006E0934" w:rsidRPr="00183F91">
        <w:rPr>
          <w:lang w:val="fr-FR"/>
        </w:rPr>
        <w:t>, les représentants des organisations de femmes des partis politiques ont convenu de créer une coalition, d</w:t>
      </w:r>
      <w:r w:rsidR="00442D55" w:rsidRPr="00183F91">
        <w:rPr>
          <w:lang w:val="fr-FR"/>
        </w:rPr>
        <w:t>’</w:t>
      </w:r>
      <w:r w:rsidR="006E0934" w:rsidRPr="00183F91">
        <w:rPr>
          <w:lang w:val="fr-FR"/>
        </w:rPr>
        <w:t xml:space="preserve">encourager les femmes à coopérer entre elles, </w:t>
      </w:r>
      <w:r w:rsidR="006E0934" w:rsidRPr="00183F91">
        <w:rPr>
          <w:lang w:val="fr-FR"/>
        </w:rPr>
        <w:lastRenderedPageBreak/>
        <w:t>de promouvoir la participation des femmes en élaborant des politiques en la matière et de s</w:t>
      </w:r>
      <w:r w:rsidR="00442D55" w:rsidRPr="00183F91">
        <w:rPr>
          <w:lang w:val="fr-FR"/>
        </w:rPr>
        <w:t>’</w:t>
      </w:r>
      <w:r w:rsidR="006E0934" w:rsidRPr="00183F91">
        <w:rPr>
          <w:lang w:val="fr-FR"/>
        </w:rPr>
        <w:t xml:space="preserve">employer à influencer les organisations concernées. </w:t>
      </w:r>
      <w:bookmarkEnd w:id="9"/>
    </w:p>
    <w:p w14:paraId="69E92C96" w14:textId="2EEE05BF" w:rsidR="006E0934" w:rsidRPr="00183F91" w:rsidRDefault="004417E0" w:rsidP="004417E0">
      <w:pPr>
        <w:pStyle w:val="SingleTxt"/>
        <w:tabs>
          <w:tab w:val="right" w:pos="1685"/>
        </w:tabs>
        <w:ind w:left="1742" w:hanging="475"/>
        <w:rPr>
          <w:lang w:val="fr-FR"/>
        </w:rPr>
      </w:pPr>
      <w:r w:rsidRPr="00183F91">
        <w:rPr>
          <w:lang w:val="fr-FR"/>
        </w:rPr>
        <w:tab/>
        <w:t>•</w:t>
      </w:r>
      <w:r w:rsidRPr="00183F91">
        <w:rPr>
          <w:lang w:val="fr-FR"/>
        </w:rPr>
        <w:tab/>
      </w:r>
      <w:r w:rsidR="006E0934" w:rsidRPr="00183F91">
        <w:rPr>
          <w:i/>
          <w:iCs/>
          <w:lang w:val="fr-FR"/>
        </w:rPr>
        <w:t>S</w:t>
      </w:r>
      <w:r w:rsidR="00442D55" w:rsidRPr="00183F91">
        <w:rPr>
          <w:i/>
          <w:iCs/>
          <w:lang w:val="fr-FR"/>
        </w:rPr>
        <w:t>’</w:t>
      </w:r>
      <w:r w:rsidR="006E0934" w:rsidRPr="00183F91">
        <w:rPr>
          <w:i/>
          <w:iCs/>
          <w:lang w:val="fr-FR"/>
        </w:rPr>
        <w:t>agissant de la sensibilisation des femmes occupant des postes politiques et des postes de décision</w:t>
      </w:r>
      <w:r w:rsidR="00442D55" w:rsidRPr="00183F91">
        <w:rPr>
          <w:lang w:val="fr-FR"/>
        </w:rPr>
        <w:t> :</w:t>
      </w:r>
      <w:r w:rsidR="006E0934" w:rsidRPr="00183F91">
        <w:rPr>
          <w:lang w:val="fr-FR"/>
        </w:rPr>
        <w:t xml:space="preserve"> La première conférence pour la coopération internationale des femmes a été tenue sur le thème «</w:t>
      </w:r>
      <w:r w:rsidR="00442D55" w:rsidRPr="00183F91">
        <w:rPr>
          <w:lang w:val="fr-FR"/>
        </w:rPr>
        <w:t> </w:t>
      </w:r>
      <w:r w:rsidR="006E0934" w:rsidRPr="00183F91">
        <w:rPr>
          <w:lang w:val="fr-FR"/>
        </w:rPr>
        <w:t>Pour un avenir meilleur</w:t>
      </w:r>
      <w:r w:rsidR="00442D55" w:rsidRPr="00183F91">
        <w:rPr>
          <w:lang w:val="fr-FR"/>
        </w:rPr>
        <w:t> </w:t>
      </w:r>
      <w:r w:rsidR="006E0934" w:rsidRPr="00183F91">
        <w:rPr>
          <w:lang w:val="fr-FR"/>
        </w:rPr>
        <w:t>», et a donné lieu à la publication d</w:t>
      </w:r>
      <w:r w:rsidR="00442D55" w:rsidRPr="00183F91">
        <w:rPr>
          <w:lang w:val="fr-FR"/>
        </w:rPr>
        <w:t>’</w:t>
      </w:r>
      <w:r w:rsidR="006E0934" w:rsidRPr="00183F91">
        <w:rPr>
          <w:lang w:val="fr-FR"/>
        </w:rPr>
        <w:t>une déclaration. Plus de 1</w:t>
      </w:r>
      <w:r w:rsidR="00BE2441" w:rsidRPr="00183F91">
        <w:rPr>
          <w:lang w:val="fr-FR"/>
        </w:rPr>
        <w:t> </w:t>
      </w:r>
      <w:r w:rsidR="006E0934" w:rsidRPr="00183F91">
        <w:rPr>
          <w:lang w:val="fr-FR"/>
        </w:rPr>
        <w:t>000 délégués issus des provinces, de la capitale, des soums et des districts du pays et de plus de 10</w:t>
      </w:r>
      <w:r w:rsidR="007044C6" w:rsidRPr="00183F91">
        <w:rPr>
          <w:lang w:val="fr-FR"/>
        </w:rPr>
        <w:t> </w:t>
      </w:r>
      <w:r w:rsidR="006E0934" w:rsidRPr="00183F91">
        <w:rPr>
          <w:lang w:val="fr-FR"/>
        </w:rPr>
        <w:t>pays étrangers, dont la Russie, la Suède, la Chine, la Corée, la Turquie, les États-Unis et le Kazakhstan, y ont participé.</w:t>
      </w:r>
    </w:p>
    <w:p w14:paraId="3160690F" w14:textId="0860ED29" w:rsidR="006E0934" w:rsidRPr="00183F91" w:rsidRDefault="004417E0" w:rsidP="004417E0">
      <w:pPr>
        <w:pStyle w:val="SingleTxt"/>
        <w:tabs>
          <w:tab w:val="right" w:pos="1685"/>
        </w:tabs>
        <w:ind w:left="1742" w:hanging="475"/>
        <w:rPr>
          <w:lang w:val="fr-FR"/>
        </w:rPr>
      </w:pPr>
      <w:r w:rsidRPr="00183F91">
        <w:rPr>
          <w:lang w:val="fr-FR"/>
        </w:rPr>
        <w:tab/>
        <w:t>•</w:t>
      </w:r>
      <w:r w:rsidRPr="00183F91">
        <w:rPr>
          <w:lang w:val="fr-FR"/>
        </w:rPr>
        <w:tab/>
      </w:r>
      <w:r w:rsidR="006E0934" w:rsidRPr="00183F91">
        <w:rPr>
          <w:i/>
          <w:iCs/>
          <w:lang w:val="fr-FR"/>
        </w:rPr>
        <w:t>S</w:t>
      </w:r>
      <w:r w:rsidR="00442D55" w:rsidRPr="00183F91">
        <w:rPr>
          <w:i/>
          <w:iCs/>
          <w:lang w:val="fr-FR"/>
        </w:rPr>
        <w:t>’</w:t>
      </w:r>
      <w:r w:rsidR="006E0934" w:rsidRPr="00183F91">
        <w:rPr>
          <w:i/>
          <w:iCs/>
          <w:lang w:val="fr-FR"/>
        </w:rPr>
        <w:t>agissant de la participation des femmes à la vie politique et à la prise de décisions</w:t>
      </w:r>
      <w:r w:rsidR="00442D55" w:rsidRPr="00183F91">
        <w:rPr>
          <w:lang w:val="fr-FR"/>
        </w:rPr>
        <w:t> :</w:t>
      </w:r>
      <w:r w:rsidR="006E0934" w:rsidRPr="00183F91">
        <w:rPr>
          <w:lang w:val="fr-FR"/>
        </w:rPr>
        <w:t xml:space="preserve"> Les secrétaires des partis politiques se sont engagés par écrit à tenir compte de cette problématique dans les politiques internes de leurs partis, afin de rendre le système électoral plus favorable aux femmes, de permettre aux candidats de rivaliser les uns avec les autres sur le plan des connaissances, de l</w:t>
      </w:r>
      <w:r w:rsidR="00442D55" w:rsidRPr="00183F91">
        <w:rPr>
          <w:lang w:val="fr-FR"/>
        </w:rPr>
        <w:t>’</w:t>
      </w:r>
      <w:r w:rsidR="006E0934" w:rsidRPr="00183F91">
        <w:rPr>
          <w:lang w:val="fr-FR"/>
        </w:rPr>
        <w:t>expérience et des compétences, et d</w:t>
      </w:r>
      <w:r w:rsidR="00442D55" w:rsidRPr="00183F91">
        <w:rPr>
          <w:lang w:val="fr-FR"/>
        </w:rPr>
        <w:t>’</w:t>
      </w:r>
      <w:r w:rsidR="006E0934" w:rsidRPr="00183F91">
        <w:rPr>
          <w:lang w:val="fr-FR"/>
        </w:rPr>
        <w:t>accroître le nombre de femmes à des postes de décision. Grâce à la coopération de la Commission nationale sur l</w:t>
      </w:r>
      <w:r w:rsidR="00442D55" w:rsidRPr="00183F91">
        <w:rPr>
          <w:lang w:val="fr-FR"/>
        </w:rPr>
        <w:t>’</w:t>
      </w:r>
      <w:r w:rsidR="006E0934" w:rsidRPr="00183F91">
        <w:rPr>
          <w:lang w:val="fr-FR"/>
        </w:rPr>
        <w:t>égalité des sexes avec les partis politiques et leurs organisations de femmes, le parti au pouvoir, le People</w:t>
      </w:r>
      <w:r w:rsidR="00442D55" w:rsidRPr="00183F91">
        <w:rPr>
          <w:lang w:val="fr-FR"/>
        </w:rPr>
        <w:t>’</w:t>
      </w:r>
      <w:r w:rsidR="006E0934" w:rsidRPr="00183F91">
        <w:rPr>
          <w:lang w:val="fr-FR"/>
        </w:rPr>
        <w:t>s Party of Mongolia, qui détient 65 sièges sur les 76 que compte le Parlement, a porté son quota de candidates à 30</w:t>
      </w:r>
      <w:r w:rsidR="00BE2441" w:rsidRPr="00183F91">
        <w:rPr>
          <w:lang w:val="fr-FR"/>
        </w:rPr>
        <w:t> </w:t>
      </w:r>
      <w:r w:rsidR="006E0934" w:rsidRPr="00183F91">
        <w:rPr>
          <w:lang w:val="fr-FR"/>
        </w:rPr>
        <w:t>%. De plus, la Commission a convenu avec le Conseil de la fonction publique d</w:t>
      </w:r>
      <w:r w:rsidR="00442D55" w:rsidRPr="00183F91">
        <w:rPr>
          <w:lang w:val="fr-FR"/>
        </w:rPr>
        <w:t>’</w:t>
      </w:r>
      <w:r w:rsidR="006E0934" w:rsidRPr="00183F91">
        <w:rPr>
          <w:lang w:val="fr-FR"/>
        </w:rPr>
        <w:t>œuvrer à la mise en place de quotas pour que 15 à 40 représentants d</w:t>
      </w:r>
      <w:r w:rsidR="00442D55" w:rsidRPr="00183F91">
        <w:rPr>
          <w:lang w:val="fr-FR"/>
        </w:rPr>
        <w:t>’</w:t>
      </w:r>
      <w:r w:rsidR="006E0934" w:rsidRPr="00183F91">
        <w:rPr>
          <w:lang w:val="fr-FR"/>
        </w:rPr>
        <w:t>un même genre soient nommés à des postes de décision après les élections parlementaires et locales de 2020, au titre de la loi sur l</w:t>
      </w:r>
      <w:r w:rsidR="00442D55" w:rsidRPr="00183F91">
        <w:rPr>
          <w:lang w:val="fr-FR"/>
        </w:rPr>
        <w:t>’</w:t>
      </w:r>
      <w:r w:rsidR="006E0934" w:rsidRPr="00183F91">
        <w:rPr>
          <w:lang w:val="fr-FR"/>
        </w:rPr>
        <w:t>égalité des genres.</w:t>
      </w:r>
    </w:p>
    <w:p w14:paraId="60BB6BCD" w14:textId="11237D3A" w:rsidR="004417E0" w:rsidRPr="00183F91" w:rsidRDefault="004417E0" w:rsidP="004417E0">
      <w:pPr>
        <w:pStyle w:val="SingleTxt"/>
        <w:tabs>
          <w:tab w:val="right" w:pos="1685"/>
        </w:tabs>
        <w:spacing w:after="0" w:line="120" w:lineRule="exact"/>
        <w:ind w:left="1742" w:hanging="475"/>
        <w:rPr>
          <w:sz w:val="10"/>
          <w:lang w:val="fr-FR"/>
        </w:rPr>
      </w:pPr>
    </w:p>
    <w:p w14:paraId="1987E72D" w14:textId="0DBC594E" w:rsidR="004417E0" w:rsidRPr="00183F91" w:rsidRDefault="004417E0" w:rsidP="004417E0">
      <w:pPr>
        <w:pStyle w:val="SingleTxt"/>
        <w:tabs>
          <w:tab w:val="right" w:pos="1685"/>
        </w:tabs>
        <w:spacing w:after="0" w:line="120" w:lineRule="exact"/>
        <w:ind w:left="1742" w:hanging="475"/>
        <w:rPr>
          <w:sz w:val="10"/>
          <w:lang w:val="fr-FR"/>
        </w:rPr>
      </w:pPr>
    </w:p>
    <w:p w14:paraId="5AAB33DF" w14:textId="0E462A32" w:rsidR="006E0934" w:rsidRPr="00183F91" w:rsidRDefault="004417E0" w:rsidP="004417E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83F91">
        <w:rPr>
          <w:lang w:val="fr-FR"/>
        </w:rPr>
        <w:tab/>
      </w:r>
      <w:r w:rsidR="006E0934" w:rsidRPr="00183F91">
        <w:rPr>
          <w:lang w:val="fr-FR"/>
        </w:rPr>
        <w:t>M.</w:t>
      </w:r>
      <w:r w:rsidR="006E0934" w:rsidRPr="00183F91">
        <w:rPr>
          <w:lang w:val="fr-FR"/>
        </w:rPr>
        <w:tab/>
        <w:t>Réponse au paragraphe 12 de la liste de points</w:t>
      </w:r>
    </w:p>
    <w:p w14:paraId="34CD719E" w14:textId="488C8FBE" w:rsidR="004417E0" w:rsidRPr="00183F91" w:rsidRDefault="004417E0" w:rsidP="004417E0">
      <w:pPr>
        <w:pStyle w:val="SingleTxt"/>
        <w:spacing w:after="0" w:line="120" w:lineRule="exact"/>
        <w:rPr>
          <w:sz w:val="10"/>
          <w:lang w:val="fr-FR"/>
        </w:rPr>
      </w:pPr>
    </w:p>
    <w:p w14:paraId="53734197" w14:textId="07A82855" w:rsidR="004417E0" w:rsidRPr="00183F91" w:rsidRDefault="004417E0" w:rsidP="004417E0">
      <w:pPr>
        <w:pStyle w:val="SingleTxt"/>
        <w:spacing w:after="0" w:line="120" w:lineRule="exact"/>
        <w:rPr>
          <w:sz w:val="10"/>
          <w:lang w:val="fr-FR"/>
        </w:rPr>
      </w:pPr>
    </w:p>
    <w:p w14:paraId="74F1E087" w14:textId="6DC594C2" w:rsidR="006E0934" w:rsidRPr="00183F91" w:rsidRDefault="006E0934" w:rsidP="004417E0">
      <w:pPr>
        <w:pStyle w:val="SingleTxt"/>
        <w:numPr>
          <w:ilvl w:val="0"/>
          <w:numId w:val="43"/>
        </w:numPr>
        <w:spacing w:line="240" w:lineRule="exact"/>
        <w:ind w:left="1267"/>
        <w:rPr>
          <w:lang w:val="fr-FR"/>
        </w:rPr>
      </w:pPr>
      <w:r w:rsidRPr="00183F91">
        <w:rPr>
          <w:lang w:val="fr-FR"/>
        </w:rPr>
        <w:t>Aucun progrès n</w:t>
      </w:r>
      <w:r w:rsidR="00442D55" w:rsidRPr="00183F91">
        <w:rPr>
          <w:lang w:val="fr-FR"/>
        </w:rPr>
        <w:t>’</w:t>
      </w:r>
      <w:r w:rsidRPr="00183F91">
        <w:rPr>
          <w:lang w:val="fr-FR"/>
        </w:rPr>
        <w:t>a été réalisé en ce qui concerne le droit des personnes handicapées de voter et de se porter candidates à une élection.</w:t>
      </w:r>
    </w:p>
    <w:p w14:paraId="40D308EF" w14:textId="7B0AA205" w:rsidR="004417E0" w:rsidRPr="00183F91" w:rsidRDefault="004417E0" w:rsidP="004417E0">
      <w:pPr>
        <w:pStyle w:val="SingleTxt"/>
        <w:spacing w:after="0" w:line="120" w:lineRule="exact"/>
        <w:rPr>
          <w:sz w:val="10"/>
          <w:lang w:val="fr-FR"/>
        </w:rPr>
      </w:pPr>
    </w:p>
    <w:p w14:paraId="61F69AEB" w14:textId="4CA20203" w:rsidR="004417E0" w:rsidRPr="00183F91" w:rsidRDefault="004417E0" w:rsidP="004417E0">
      <w:pPr>
        <w:pStyle w:val="SingleTxt"/>
        <w:spacing w:after="0" w:line="120" w:lineRule="exact"/>
        <w:rPr>
          <w:sz w:val="10"/>
          <w:lang w:val="fr-FR"/>
        </w:rPr>
      </w:pPr>
    </w:p>
    <w:p w14:paraId="7E3F982B" w14:textId="079911C1" w:rsidR="006E0934" w:rsidRPr="00183F91" w:rsidRDefault="004417E0" w:rsidP="004417E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83F91">
        <w:rPr>
          <w:lang w:val="fr-FR"/>
        </w:rPr>
        <w:tab/>
      </w:r>
      <w:r w:rsidR="006E0934" w:rsidRPr="00183F91">
        <w:rPr>
          <w:lang w:val="fr-FR"/>
        </w:rPr>
        <w:t>N.</w:t>
      </w:r>
      <w:r w:rsidR="006E0934" w:rsidRPr="00183F91">
        <w:rPr>
          <w:lang w:val="fr-FR"/>
        </w:rPr>
        <w:tab/>
        <w:t>Réponse au paragraphe 13 de la liste de points</w:t>
      </w:r>
    </w:p>
    <w:p w14:paraId="164AD163" w14:textId="4F4F8640" w:rsidR="004417E0" w:rsidRPr="00183F91" w:rsidRDefault="004417E0" w:rsidP="004417E0">
      <w:pPr>
        <w:pStyle w:val="SingleTxt"/>
        <w:spacing w:after="0" w:line="120" w:lineRule="exact"/>
        <w:rPr>
          <w:sz w:val="10"/>
          <w:lang w:val="fr-FR"/>
        </w:rPr>
      </w:pPr>
    </w:p>
    <w:p w14:paraId="38DE2370" w14:textId="3D023F87" w:rsidR="004417E0" w:rsidRPr="00183F91" w:rsidRDefault="004417E0" w:rsidP="004417E0">
      <w:pPr>
        <w:pStyle w:val="SingleTxt"/>
        <w:spacing w:after="0" w:line="120" w:lineRule="exact"/>
        <w:rPr>
          <w:sz w:val="10"/>
          <w:lang w:val="fr-FR"/>
        </w:rPr>
      </w:pPr>
    </w:p>
    <w:p w14:paraId="68BDB702" w14:textId="2F2AE972" w:rsidR="006E0934" w:rsidRPr="00183F91" w:rsidRDefault="006E0934" w:rsidP="004417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83F91">
        <w:rPr>
          <w:lang w:val="fr-FR"/>
        </w:rPr>
        <w:tab/>
      </w:r>
      <w:r w:rsidRPr="00183F91">
        <w:rPr>
          <w:lang w:val="fr-FR"/>
        </w:rPr>
        <w:tab/>
        <w:t>Crédits alloués à l</w:t>
      </w:r>
      <w:r w:rsidR="00442D55" w:rsidRPr="00183F91">
        <w:rPr>
          <w:lang w:val="fr-FR"/>
        </w:rPr>
        <w:t>’</w:t>
      </w:r>
      <w:r w:rsidRPr="00183F91">
        <w:rPr>
          <w:lang w:val="fr-FR"/>
        </w:rPr>
        <w:t>éducation</w:t>
      </w:r>
    </w:p>
    <w:p w14:paraId="02FEBCE2" w14:textId="01A0C9F3" w:rsidR="004417E0" w:rsidRPr="00183F91" w:rsidRDefault="004417E0" w:rsidP="004417E0">
      <w:pPr>
        <w:pStyle w:val="SingleTxt"/>
        <w:spacing w:after="0" w:line="120" w:lineRule="exact"/>
        <w:rPr>
          <w:sz w:val="10"/>
          <w:lang w:val="fr-FR"/>
        </w:rPr>
      </w:pPr>
    </w:p>
    <w:p w14:paraId="5122BEA3" w14:textId="5F86DDD1" w:rsidR="006E0934" w:rsidRPr="00183F91" w:rsidRDefault="006E0934" w:rsidP="004417E0">
      <w:pPr>
        <w:pStyle w:val="SingleTxt"/>
        <w:numPr>
          <w:ilvl w:val="0"/>
          <w:numId w:val="43"/>
        </w:numPr>
        <w:spacing w:line="240" w:lineRule="exact"/>
        <w:ind w:left="1267"/>
        <w:rPr>
          <w:lang w:val="fr-FR"/>
        </w:rPr>
      </w:pPr>
      <w:r w:rsidRPr="00183F91">
        <w:rPr>
          <w:lang w:val="fr-FR"/>
        </w:rPr>
        <w:t>Le graphique 13.1 donne à voir la part de l</w:t>
      </w:r>
      <w:r w:rsidR="00442D55" w:rsidRPr="00183F91">
        <w:rPr>
          <w:lang w:val="fr-FR"/>
        </w:rPr>
        <w:t>’</w:t>
      </w:r>
      <w:r w:rsidRPr="00183F91">
        <w:rPr>
          <w:lang w:val="fr-FR"/>
        </w:rPr>
        <w:t>éducation dans le budget de l</w:t>
      </w:r>
      <w:r w:rsidR="00442D55" w:rsidRPr="00183F91">
        <w:rPr>
          <w:lang w:val="fr-FR"/>
        </w:rPr>
        <w:t>’</w:t>
      </w:r>
      <w:r w:rsidRPr="00183F91">
        <w:rPr>
          <w:lang w:val="fr-FR"/>
        </w:rPr>
        <w:t>État et les dépenses consacrées à l</w:t>
      </w:r>
      <w:r w:rsidR="00442D55" w:rsidRPr="00183F91">
        <w:rPr>
          <w:lang w:val="fr-FR"/>
        </w:rPr>
        <w:t>’</w:t>
      </w:r>
      <w:r w:rsidRPr="00183F91">
        <w:rPr>
          <w:lang w:val="fr-FR"/>
        </w:rPr>
        <w:t>éducation par habitant. La part de l</w:t>
      </w:r>
      <w:r w:rsidR="00442D55" w:rsidRPr="00183F91">
        <w:rPr>
          <w:lang w:val="fr-FR"/>
        </w:rPr>
        <w:t>’</w:t>
      </w:r>
      <w:r w:rsidRPr="00183F91">
        <w:rPr>
          <w:lang w:val="fr-FR"/>
        </w:rPr>
        <w:t>éducation dans le budget national a été de 14,7</w:t>
      </w:r>
      <w:r w:rsidR="00BE2441" w:rsidRPr="00183F91">
        <w:rPr>
          <w:lang w:val="fr-FR"/>
        </w:rPr>
        <w:t> </w:t>
      </w:r>
      <w:r w:rsidRPr="00183F91">
        <w:rPr>
          <w:lang w:val="fr-FR"/>
        </w:rPr>
        <w:t>% en moyenne au cours des neuf dernières années. Elle se situait entre 16,8 et 16,9</w:t>
      </w:r>
      <w:r w:rsidR="00BE2441" w:rsidRPr="00183F91">
        <w:rPr>
          <w:lang w:val="fr-FR"/>
        </w:rPr>
        <w:t> </w:t>
      </w:r>
      <w:r w:rsidRPr="00183F91">
        <w:rPr>
          <w:lang w:val="fr-FR"/>
        </w:rPr>
        <w:t>% en 2010 et 2014 mais a chuté à 12,8</w:t>
      </w:r>
      <w:r w:rsidR="00BE2441" w:rsidRPr="00183F91">
        <w:rPr>
          <w:lang w:val="fr-FR"/>
        </w:rPr>
        <w:t> </w:t>
      </w:r>
      <w:r w:rsidRPr="00183F91">
        <w:rPr>
          <w:lang w:val="fr-FR"/>
        </w:rPr>
        <w:t>% pendant la crise économique de 2016.</w:t>
      </w:r>
    </w:p>
    <w:p w14:paraId="3CF8572B" w14:textId="7E3CAE04" w:rsidR="006E0934" w:rsidRPr="00183F91" w:rsidRDefault="006E0934" w:rsidP="004417E0">
      <w:pPr>
        <w:pStyle w:val="SingleTxt"/>
        <w:numPr>
          <w:ilvl w:val="0"/>
          <w:numId w:val="43"/>
        </w:numPr>
        <w:spacing w:line="240" w:lineRule="exact"/>
        <w:ind w:left="1267"/>
        <w:rPr>
          <w:lang w:val="fr-FR"/>
        </w:rPr>
      </w:pPr>
      <w:r w:rsidRPr="00183F91">
        <w:rPr>
          <w:lang w:val="fr-FR"/>
        </w:rPr>
        <w:t>En 2011, année où la Mongolie enregistrait son plus fort taux de croissance (17</w:t>
      </w:r>
      <w:r w:rsidR="00BE2441" w:rsidRPr="00183F91">
        <w:rPr>
          <w:lang w:val="fr-FR"/>
        </w:rPr>
        <w:t> </w:t>
      </w:r>
      <w:r w:rsidRPr="00183F91">
        <w:rPr>
          <w:lang w:val="fr-FR"/>
        </w:rPr>
        <w:t>%), les dépenses en matière d</w:t>
      </w:r>
      <w:r w:rsidR="00442D55" w:rsidRPr="00183F91">
        <w:rPr>
          <w:lang w:val="fr-FR"/>
        </w:rPr>
        <w:t>’</w:t>
      </w:r>
      <w:r w:rsidRPr="00183F91">
        <w:rPr>
          <w:lang w:val="fr-FR"/>
        </w:rPr>
        <w:t>éducation ont diminué de 3,3 points de pourcentage, une situation très préoccupante qui montre que la répartition de la croissance économique dans le pays est inégale.</w:t>
      </w:r>
    </w:p>
    <w:p w14:paraId="208F02D3" w14:textId="430CD058" w:rsidR="00BC5F94" w:rsidRPr="00183F91" w:rsidRDefault="00BC5F94" w:rsidP="000821D9">
      <w:pPr>
        <w:pStyle w:val="SingleTxt"/>
        <w:spacing w:after="0" w:line="240" w:lineRule="auto"/>
        <w:rPr>
          <w:b/>
          <w:bCs/>
          <w:lang w:val="fr-FR"/>
        </w:rPr>
      </w:pPr>
      <w:r w:rsidRPr="00CD4CB2">
        <w:rPr>
          <w:b/>
          <w:bCs/>
          <w:noProof/>
          <w:lang w:val="fr-FR"/>
        </w:rPr>
        <w:lastRenderedPageBreak/>
        <w:drawing>
          <wp:inline distT="0" distB="0" distL="0" distR="0" wp14:anchorId="2417041E" wp14:editId="4E27B8E8">
            <wp:extent cx="4679661" cy="2934994"/>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79661" cy="2934994"/>
                    </a:xfrm>
                    <a:prstGeom prst="rect">
                      <a:avLst/>
                    </a:prstGeom>
                    <a:noFill/>
                  </pic:spPr>
                </pic:pic>
              </a:graphicData>
            </a:graphic>
          </wp:inline>
        </w:drawing>
      </w:r>
    </w:p>
    <w:p w14:paraId="1D476680" w14:textId="77777777" w:rsidR="00BC5F94" w:rsidRPr="00183F91" w:rsidRDefault="00BC5F94" w:rsidP="004417E0">
      <w:pPr>
        <w:pStyle w:val="SingleTxt"/>
        <w:spacing w:after="0" w:line="120" w:lineRule="exact"/>
        <w:rPr>
          <w:sz w:val="10"/>
          <w:lang w:val="fr-FR"/>
        </w:rPr>
      </w:pPr>
    </w:p>
    <w:p w14:paraId="2262C308" w14:textId="41E0D8A8" w:rsidR="004417E0" w:rsidRPr="00183F91" w:rsidRDefault="004417E0" w:rsidP="004417E0">
      <w:pPr>
        <w:pStyle w:val="SingleTxt"/>
        <w:spacing w:after="0" w:line="120" w:lineRule="exact"/>
        <w:rPr>
          <w:sz w:val="10"/>
          <w:lang w:val="fr-FR"/>
        </w:rPr>
      </w:pPr>
    </w:p>
    <w:p w14:paraId="72718211" w14:textId="4A270959" w:rsidR="006E0934" w:rsidRPr="00183F91" w:rsidRDefault="006E0934" w:rsidP="004417E0">
      <w:pPr>
        <w:pStyle w:val="SingleTxt"/>
        <w:numPr>
          <w:ilvl w:val="0"/>
          <w:numId w:val="43"/>
        </w:numPr>
        <w:spacing w:line="240" w:lineRule="exact"/>
        <w:ind w:left="1267"/>
        <w:rPr>
          <w:lang w:val="fr-FR"/>
        </w:rPr>
      </w:pPr>
      <w:r w:rsidRPr="00183F91">
        <w:rPr>
          <w:lang w:val="fr-FR"/>
        </w:rPr>
        <w:t>Les dépenses courantes et les investissements dans le secteur de l</w:t>
      </w:r>
      <w:r w:rsidR="00442D55" w:rsidRPr="00183F91">
        <w:rPr>
          <w:lang w:val="fr-FR"/>
        </w:rPr>
        <w:t>’</w:t>
      </w:r>
      <w:r w:rsidRPr="00183F91">
        <w:rPr>
          <w:lang w:val="fr-FR"/>
        </w:rPr>
        <w:t>éducation ont représenté 4,7</w:t>
      </w:r>
      <w:r w:rsidR="00BE2441" w:rsidRPr="00183F91">
        <w:rPr>
          <w:lang w:val="fr-FR"/>
        </w:rPr>
        <w:t> </w:t>
      </w:r>
      <w:r w:rsidRPr="00183F91">
        <w:rPr>
          <w:lang w:val="fr-FR"/>
        </w:rPr>
        <w:t>% du produit intérieur brut et 17,2</w:t>
      </w:r>
      <w:r w:rsidR="00BE2441" w:rsidRPr="00183F91">
        <w:rPr>
          <w:lang w:val="fr-FR"/>
        </w:rPr>
        <w:t> </w:t>
      </w:r>
      <w:r w:rsidRPr="00183F91">
        <w:rPr>
          <w:lang w:val="fr-FR"/>
        </w:rPr>
        <w:t>% des recettes budgétaires de l</w:t>
      </w:r>
      <w:r w:rsidR="00442D55" w:rsidRPr="00183F91">
        <w:rPr>
          <w:lang w:val="fr-FR"/>
        </w:rPr>
        <w:t>’</w:t>
      </w:r>
      <w:r w:rsidRPr="00183F91">
        <w:rPr>
          <w:lang w:val="fr-FR"/>
        </w:rPr>
        <w:t>État en 2019.</w:t>
      </w:r>
    </w:p>
    <w:p w14:paraId="4EF39405" w14:textId="718262AC" w:rsidR="004417E0" w:rsidRPr="00183F91" w:rsidRDefault="004417E0" w:rsidP="004417E0">
      <w:pPr>
        <w:pStyle w:val="SingleTxt"/>
        <w:spacing w:after="0" w:line="120" w:lineRule="exact"/>
        <w:rPr>
          <w:sz w:val="10"/>
          <w:lang w:val="fr-FR"/>
        </w:rPr>
      </w:pPr>
    </w:p>
    <w:p w14:paraId="0797B1C7" w14:textId="09B28E04" w:rsidR="006E0934" w:rsidRPr="00183F91" w:rsidRDefault="006E0934" w:rsidP="004417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83F91">
        <w:rPr>
          <w:lang w:val="fr-FR"/>
        </w:rPr>
        <w:tab/>
      </w:r>
      <w:r w:rsidRPr="00183F91">
        <w:rPr>
          <w:lang w:val="fr-FR"/>
        </w:rPr>
        <w:tab/>
        <w:t>Mesures prises en faveur du retour à l</w:t>
      </w:r>
      <w:r w:rsidR="00442D55" w:rsidRPr="00183F91">
        <w:rPr>
          <w:lang w:val="fr-FR"/>
        </w:rPr>
        <w:t>’</w:t>
      </w:r>
      <w:r w:rsidRPr="00183F91">
        <w:rPr>
          <w:lang w:val="fr-FR"/>
        </w:rPr>
        <w:t>école des filles enceintes et</w:t>
      </w:r>
      <w:r w:rsidR="004417E0" w:rsidRPr="00183F91">
        <w:rPr>
          <w:lang w:val="fr-FR"/>
        </w:rPr>
        <w:t> </w:t>
      </w:r>
      <w:r w:rsidRPr="00183F91">
        <w:rPr>
          <w:lang w:val="fr-FR"/>
        </w:rPr>
        <w:t>de</w:t>
      </w:r>
      <w:r w:rsidR="004417E0" w:rsidRPr="00183F91">
        <w:rPr>
          <w:lang w:val="fr-FR"/>
        </w:rPr>
        <w:t> </w:t>
      </w:r>
      <w:r w:rsidRPr="00183F91">
        <w:rPr>
          <w:lang w:val="fr-FR"/>
        </w:rPr>
        <w:t>la</w:t>
      </w:r>
      <w:r w:rsidR="004417E0" w:rsidRPr="00183F91">
        <w:rPr>
          <w:lang w:val="fr-FR"/>
        </w:rPr>
        <w:t> </w:t>
      </w:r>
      <w:r w:rsidRPr="00183F91">
        <w:rPr>
          <w:lang w:val="fr-FR"/>
        </w:rPr>
        <w:t>réinsertion des jeunes mères afin de promouvoir l</w:t>
      </w:r>
      <w:r w:rsidR="00442D55" w:rsidRPr="00183F91">
        <w:rPr>
          <w:lang w:val="fr-FR"/>
        </w:rPr>
        <w:t>’</w:t>
      </w:r>
      <w:r w:rsidRPr="00183F91">
        <w:rPr>
          <w:lang w:val="fr-FR"/>
        </w:rPr>
        <w:t>éducation des filles</w:t>
      </w:r>
    </w:p>
    <w:p w14:paraId="55582D56" w14:textId="32D02478" w:rsidR="004417E0" w:rsidRPr="00183F91" w:rsidRDefault="004417E0" w:rsidP="004417E0">
      <w:pPr>
        <w:pStyle w:val="SingleTxt"/>
        <w:spacing w:after="0" w:line="120" w:lineRule="exact"/>
        <w:rPr>
          <w:sz w:val="10"/>
          <w:lang w:val="fr-FR"/>
        </w:rPr>
      </w:pPr>
    </w:p>
    <w:p w14:paraId="618BCC79" w14:textId="6D72CE29" w:rsidR="006E0934" w:rsidRPr="00183F91" w:rsidRDefault="006E0934" w:rsidP="004417E0">
      <w:pPr>
        <w:pStyle w:val="SingleTxt"/>
        <w:numPr>
          <w:ilvl w:val="0"/>
          <w:numId w:val="43"/>
        </w:numPr>
        <w:spacing w:line="240" w:lineRule="exact"/>
        <w:ind w:left="1267"/>
        <w:rPr>
          <w:lang w:val="fr-FR"/>
        </w:rPr>
      </w:pPr>
      <w:r w:rsidRPr="00183F91">
        <w:rPr>
          <w:lang w:val="fr-FR"/>
        </w:rPr>
        <w:t>Aucune statistique officielle sur cette question n</w:t>
      </w:r>
      <w:r w:rsidR="00442D55" w:rsidRPr="00183F91">
        <w:rPr>
          <w:lang w:val="fr-FR"/>
        </w:rPr>
        <w:t>’</w:t>
      </w:r>
      <w:r w:rsidRPr="00183F91">
        <w:rPr>
          <w:lang w:val="fr-FR"/>
        </w:rPr>
        <w:t>est disponible. L</w:t>
      </w:r>
      <w:r w:rsidR="00442D55" w:rsidRPr="00183F91">
        <w:rPr>
          <w:lang w:val="fr-FR"/>
        </w:rPr>
        <w:t>’</w:t>
      </w:r>
      <w:r w:rsidRPr="00183F91">
        <w:rPr>
          <w:lang w:val="fr-FR"/>
        </w:rPr>
        <w:t>enquête par sondage de 2018 sur les indicateurs sociaux, menée par l</w:t>
      </w:r>
      <w:r w:rsidR="00442D55" w:rsidRPr="00183F91">
        <w:rPr>
          <w:lang w:val="fr-FR"/>
        </w:rPr>
        <w:t>’</w:t>
      </w:r>
      <w:r w:rsidRPr="00183F91">
        <w:rPr>
          <w:lang w:val="fr-FR"/>
        </w:rPr>
        <w:t>Institut national de la statistique, a permis de recueillir des données générales sur les enfants nés de mères adolescentes en 2018, mais n</w:t>
      </w:r>
      <w:r w:rsidR="00442D55" w:rsidRPr="00183F91">
        <w:rPr>
          <w:lang w:val="fr-FR"/>
        </w:rPr>
        <w:t>’</w:t>
      </w:r>
      <w:r w:rsidRPr="00183F91">
        <w:rPr>
          <w:lang w:val="fr-FR"/>
        </w:rPr>
        <w:t xml:space="preserve">a pas donné lieu à la collecte de données qui permettraient de savoir si elles avaient été scolarisées durant leur grossesse et si elles avaient abandonné ou repris leurs études. </w:t>
      </w:r>
    </w:p>
    <w:p w14:paraId="4B302C1A" w14:textId="3AE84C0F" w:rsidR="006E0934" w:rsidRPr="00183F91" w:rsidRDefault="006E0934" w:rsidP="004417E0">
      <w:pPr>
        <w:pStyle w:val="SingleTxt"/>
        <w:numPr>
          <w:ilvl w:val="0"/>
          <w:numId w:val="43"/>
        </w:numPr>
        <w:spacing w:line="240" w:lineRule="exact"/>
        <w:ind w:left="1267"/>
        <w:rPr>
          <w:lang w:val="fr-FR"/>
        </w:rPr>
      </w:pPr>
      <w:r w:rsidRPr="00183F91">
        <w:rPr>
          <w:lang w:val="fr-FR"/>
        </w:rPr>
        <w:t>Le taux de natalité des adolescentes de 15 à 19 ans est de 42,6 pour 1</w:t>
      </w:r>
      <w:r w:rsidR="00BE2441" w:rsidRPr="00183F91">
        <w:rPr>
          <w:lang w:val="fr-FR"/>
        </w:rPr>
        <w:t> </w:t>
      </w:r>
      <w:r w:rsidRPr="00183F91">
        <w:rPr>
          <w:lang w:val="fr-FR"/>
        </w:rPr>
        <w:t>000. Il est de 34,7 dans les zones urbaines et de 70,1 dans les zones rurales. Le taux de natalité des adolescentes des régions du Khangai (82,3) et de l</w:t>
      </w:r>
      <w:r w:rsidR="00442D55" w:rsidRPr="00183F91">
        <w:rPr>
          <w:lang w:val="fr-FR"/>
        </w:rPr>
        <w:t>’</w:t>
      </w:r>
      <w:r w:rsidRPr="00183F91">
        <w:rPr>
          <w:lang w:val="fr-FR"/>
        </w:rPr>
        <w:t>Est (79,9) était presque deux fois plus élevé que celui des autres régions (32,4 dans l</w:t>
      </w:r>
      <w:r w:rsidR="00442D55" w:rsidRPr="00183F91">
        <w:rPr>
          <w:lang w:val="fr-FR"/>
        </w:rPr>
        <w:t>’</w:t>
      </w:r>
      <w:r w:rsidRPr="00183F91">
        <w:rPr>
          <w:lang w:val="fr-FR"/>
        </w:rPr>
        <w:t>Ouest, 46,9 au Centre et 32,4</w:t>
      </w:r>
      <w:r w:rsidR="00BE2441" w:rsidRPr="00183F91">
        <w:rPr>
          <w:lang w:val="fr-FR"/>
        </w:rPr>
        <w:t> </w:t>
      </w:r>
      <w:r w:rsidRPr="00183F91">
        <w:rPr>
          <w:lang w:val="fr-FR"/>
        </w:rPr>
        <w:t>à Oulan-Bator).</w:t>
      </w:r>
    </w:p>
    <w:p w14:paraId="784A3CE9" w14:textId="530FABFB" w:rsidR="004417E0" w:rsidRPr="00183F91" w:rsidRDefault="004417E0" w:rsidP="004417E0">
      <w:pPr>
        <w:pStyle w:val="SingleTxt"/>
        <w:spacing w:after="0" w:line="120" w:lineRule="exact"/>
        <w:rPr>
          <w:sz w:val="10"/>
          <w:lang w:val="fr-FR"/>
        </w:rPr>
      </w:pPr>
    </w:p>
    <w:p w14:paraId="1218BBBD" w14:textId="5A3417D9" w:rsidR="006E0934" w:rsidRPr="00183F91" w:rsidRDefault="006E0934" w:rsidP="004417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83F91">
        <w:rPr>
          <w:lang w:val="fr-FR"/>
        </w:rPr>
        <w:tab/>
      </w:r>
      <w:r w:rsidRPr="00183F91">
        <w:rPr>
          <w:lang w:val="fr-FR"/>
        </w:rPr>
        <w:tab/>
        <w:t>Données ventilées par région, par sexe et par niveau de scolarité</w:t>
      </w:r>
    </w:p>
    <w:p w14:paraId="1B83BC39" w14:textId="27D888C3" w:rsidR="004417E0" w:rsidRPr="00183F91" w:rsidRDefault="004417E0" w:rsidP="004417E0">
      <w:pPr>
        <w:pStyle w:val="SingleTxt"/>
        <w:spacing w:after="0" w:line="120" w:lineRule="exact"/>
        <w:rPr>
          <w:sz w:val="10"/>
          <w:lang w:val="fr-FR"/>
        </w:rPr>
      </w:pPr>
    </w:p>
    <w:p w14:paraId="59E6F06A" w14:textId="1FF51EA3" w:rsidR="006E0934" w:rsidRPr="00183F91" w:rsidRDefault="006E0934" w:rsidP="004417E0">
      <w:pPr>
        <w:pStyle w:val="SingleTxt"/>
        <w:numPr>
          <w:ilvl w:val="0"/>
          <w:numId w:val="43"/>
        </w:numPr>
        <w:spacing w:line="240" w:lineRule="exact"/>
        <w:ind w:left="1267"/>
        <w:rPr>
          <w:lang w:val="fr-FR"/>
        </w:rPr>
      </w:pPr>
      <w:r w:rsidRPr="00183F91">
        <w:rPr>
          <w:lang w:val="fr-FR"/>
        </w:rPr>
        <w:t>On trouvera dans le tableau ci-dessous les données de scolarisation pour l</w:t>
      </w:r>
      <w:r w:rsidR="00442D55" w:rsidRPr="00183F91">
        <w:rPr>
          <w:lang w:val="fr-FR"/>
        </w:rPr>
        <w:t>’</w:t>
      </w:r>
      <w:r w:rsidRPr="00183F91">
        <w:rPr>
          <w:lang w:val="fr-FR"/>
        </w:rPr>
        <w:t>année scolaire 2019-2020, ventilées par sexe, par région et par niveau de scolarité (enseignement préscolaire, secondaire général et supérieur).</w:t>
      </w:r>
    </w:p>
    <w:p w14:paraId="1C1F73E7" w14:textId="7DAE2EB8" w:rsidR="004417E0" w:rsidRPr="00183F91" w:rsidRDefault="004417E0" w:rsidP="004417E0">
      <w:pPr>
        <w:pStyle w:val="SingleTxt"/>
        <w:spacing w:after="0" w:line="120" w:lineRule="exact"/>
        <w:rPr>
          <w:sz w:val="10"/>
          <w:lang w:val="fr-FR"/>
        </w:rPr>
      </w:pPr>
    </w:p>
    <w:p w14:paraId="0BA1F98A" w14:textId="38A5592E" w:rsidR="006E0934" w:rsidRPr="00183F91" w:rsidRDefault="00EA21A9">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83F91">
        <w:rPr>
          <w:lang w:val="fr-FR"/>
        </w:rPr>
        <w:lastRenderedPageBreak/>
        <w:tab/>
      </w:r>
      <w:r w:rsidRPr="00183F91">
        <w:rPr>
          <w:lang w:val="fr-FR"/>
        </w:rPr>
        <w:tab/>
      </w:r>
      <w:r w:rsidR="006E0934" w:rsidRPr="00183F91">
        <w:rPr>
          <w:lang w:val="fr-FR"/>
        </w:rPr>
        <w:t>Tableau 13.1</w:t>
      </w:r>
    </w:p>
    <w:p w14:paraId="5FEECD3E" w14:textId="7C5F4427" w:rsidR="006E0934" w:rsidRPr="00183F91" w:rsidRDefault="00EA21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83F91">
        <w:rPr>
          <w:lang w:val="fr-FR"/>
        </w:rPr>
        <w:tab/>
      </w:r>
      <w:r w:rsidRPr="00183F91">
        <w:rPr>
          <w:lang w:val="fr-FR"/>
        </w:rPr>
        <w:tab/>
      </w:r>
      <w:r w:rsidR="006E0934" w:rsidRPr="00183F91">
        <w:rPr>
          <w:lang w:val="fr-FR"/>
        </w:rPr>
        <w:t>Répartition des élèves par niveau de scolarité, par sexe et par région</w:t>
      </w:r>
      <w:r w:rsidR="00832AEF" w:rsidRPr="00183F91">
        <w:rPr>
          <w:lang w:val="fr-FR"/>
        </w:rPr>
        <w:br/>
      </w:r>
      <w:r w:rsidR="006E0934" w:rsidRPr="00183F91">
        <w:rPr>
          <w:lang w:val="fr-FR"/>
        </w:rPr>
        <w:t>(année scolaire 2019</w:t>
      </w:r>
      <w:r w:rsidR="00BE2441" w:rsidRPr="00183F91">
        <w:rPr>
          <w:lang w:val="fr-FR"/>
        </w:rPr>
        <w:t>-</w:t>
      </w:r>
      <w:r w:rsidR="006E0934" w:rsidRPr="00183F91">
        <w:rPr>
          <w:lang w:val="fr-FR"/>
        </w:rPr>
        <w:t xml:space="preserve">2020) </w:t>
      </w:r>
    </w:p>
    <w:p w14:paraId="165C9806" w14:textId="15DA8898" w:rsidR="006E0934" w:rsidRPr="00183F91" w:rsidRDefault="006E0934" w:rsidP="000821D9">
      <w:pPr>
        <w:pStyle w:val="SingleTxt"/>
        <w:keepNext/>
        <w:spacing w:after="0" w:line="120" w:lineRule="exact"/>
        <w:rPr>
          <w:sz w:val="10"/>
          <w:lang w:val="fr-FR"/>
        </w:rPr>
      </w:pPr>
    </w:p>
    <w:p w14:paraId="7BB6F9FE" w14:textId="35A1901E" w:rsidR="004417E0" w:rsidRPr="00183F91" w:rsidRDefault="004417E0" w:rsidP="000821D9">
      <w:pPr>
        <w:pStyle w:val="SingleTxt"/>
        <w:keepNext/>
        <w:spacing w:after="0" w:line="120" w:lineRule="exact"/>
        <w:rPr>
          <w:sz w:val="10"/>
          <w:lang w:val="fr-FR"/>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4"/>
        <w:gridCol w:w="1035"/>
        <w:gridCol w:w="1035"/>
        <w:gridCol w:w="109"/>
        <w:gridCol w:w="926"/>
        <w:gridCol w:w="1035"/>
        <w:gridCol w:w="109"/>
        <w:gridCol w:w="926"/>
        <w:gridCol w:w="1035"/>
      </w:tblGrid>
      <w:tr w:rsidR="00A57ECA" w:rsidRPr="00183F91" w14:paraId="03A12261" w14:textId="77777777" w:rsidTr="00A57ECA">
        <w:trPr>
          <w:tblHeader/>
        </w:trPr>
        <w:tc>
          <w:tcPr>
            <w:tcW w:w="1034" w:type="dxa"/>
            <w:vMerge w:val="restart"/>
            <w:tcBorders>
              <w:top w:val="single" w:sz="4" w:space="0" w:color="auto"/>
            </w:tcBorders>
            <w:shd w:val="clear" w:color="auto" w:fill="auto"/>
            <w:noWrap/>
            <w:vAlign w:val="bottom"/>
          </w:tcPr>
          <w:p w14:paraId="02C5132A" w14:textId="77777777" w:rsidR="00A57ECA" w:rsidRPr="00183F91" w:rsidRDefault="00A57ECA" w:rsidP="000821D9">
            <w:pPr>
              <w:keepNext/>
              <w:spacing w:before="81" w:after="81" w:line="160" w:lineRule="exact"/>
              <w:ind w:right="40"/>
              <w:rPr>
                <w:i/>
                <w:sz w:val="14"/>
                <w:lang w:val="fr-FR"/>
              </w:rPr>
            </w:pPr>
            <w:r w:rsidRPr="00183F91">
              <w:rPr>
                <w:i/>
                <w:sz w:val="14"/>
                <w:lang w:val="fr-FR"/>
              </w:rPr>
              <w:t>Région</w:t>
            </w:r>
          </w:p>
        </w:tc>
        <w:tc>
          <w:tcPr>
            <w:tcW w:w="2070" w:type="dxa"/>
            <w:gridSpan w:val="2"/>
            <w:tcBorders>
              <w:top w:val="single" w:sz="4" w:space="0" w:color="auto"/>
              <w:bottom w:val="single" w:sz="4" w:space="0" w:color="auto"/>
            </w:tcBorders>
            <w:shd w:val="clear" w:color="auto" w:fill="auto"/>
            <w:noWrap/>
            <w:vAlign w:val="bottom"/>
          </w:tcPr>
          <w:p w14:paraId="5D7CE07D" w14:textId="176A917F" w:rsidR="00A57ECA" w:rsidRPr="00183F91" w:rsidRDefault="00A57ECA" w:rsidP="000821D9">
            <w:pPr>
              <w:keepNext/>
              <w:spacing w:before="81" w:after="81" w:line="160" w:lineRule="exact"/>
              <w:ind w:right="43"/>
              <w:jc w:val="center"/>
              <w:rPr>
                <w:i/>
                <w:sz w:val="14"/>
                <w:lang w:val="fr-FR"/>
              </w:rPr>
            </w:pPr>
            <w:r w:rsidRPr="00183F91">
              <w:rPr>
                <w:i/>
                <w:sz w:val="14"/>
                <w:lang w:val="fr-FR"/>
              </w:rPr>
              <w:t>Enseignement préscolaire</w:t>
            </w:r>
          </w:p>
        </w:tc>
        <w:tc>
          <w:tcPr>
            <w:tcW w:w="2070" w:type="dxa"/>
            <w:gridSpan w:val="3"/>
            <w:tcBorders>
              <w:top w:val="single" w:sz="4" w:space="0" w:color="auto"/>
            </w:tcBorders>
            <w:shd w:val="clear" w:color="auto" w:fill="auto"/>
            <w:noWrap/>
            <w:vAlign w:val="bottom"/>
          </w:tcPr>
          <w:p w14:paraId="1ABCF807" w14:textId="6A34190D" w:rsidR="00A57ECA" w:rsidRPr="00183F91" w:rsidRDefault="00A57ECA" w:rsidP="000821D9">
            <w:pPr>
              <w:keepNext/>
              <w:spacing w:before="81" w:after="81" w:line="160" w:lineRule="exact"/>
              <w:ind w:right="43"/>
              <w:jc w:val="center"/>
              <w:rPr>
                <w:i/>
                <w:sz w:val="14"/>
                <w:lang w:val="fr-FR"/>
              </w:rPr>
            </w:pPr>
            <w:r w:rsidRPr="00183F91">
              <w:rPr>
                <w:i/>
                <w:sz w:val="14"/>
                <w:lang w:val="fr-FR"/>
              </w:rPr>
              <w:t>Enseignement secondaire</w:t>
            </w:r>
          </w:p>
        </w:tc>
        <w:tc>
          <w:tcPr>
            <w:tcW w:w="2070" w:type="dxa"/>
            <w:gridSpan w:val="3"/>
            <w:tcBorders>
              <w:top w:val="single" w:sz="4" w:space="0" w:color="auto"/>
            </w:tcBorders>
            <w:shd w:val="clear" w:color="auto" w:fill="auto"/>
            <w:noWrap/>
            <w:vAlign w:val="bottom"/>
          </w:tcPr>
          <w:p w14:paraId="5E83DC23" w14:textId="5E46A40B" w:rsidR="00A57ECA" w:rsidRPr="00183F91" w:rsidRDefault="00A57ECA" w:rsidP="000821D9">
            <w:pPr>
              <w:keepNext/>
              <w:spacing w:before="81" w:after="81" w:line="160" w:lineRule="exact"/>
              <w:ind w:right="43"/>
              <w:jc w:val="center"/>
              <w:rPr>
                <w:i/>
                <w:sz w:val="14"/>
                <w:lang w:val="fr-FR"/>
              </w:rPr>
            </w:pPr>
            <w:r w:rsidRPr="00183F91">
              <w:rPr>
                <w:i/>
                <w:sz w:val="14"/>
                <w:lang w:val="fr-FR"/>
              </w:rPr>
              <w:t>Enseignement supérieur</w:t>
            </w:r>
          </w:p>
        </w:tc>
      </w:tr>
      <w:tr w:rsidR="00A57ECA" w:rsidRPr="00183F91" w14:paraId="39F1B544" w14:textId="77777777" w:rsidTr="00A57ECA">
        <w:trPr>
          <w:tblHeader/>
        </w:trPr>
        <w:tc>
          <w:tcPr>
            <w:tcW w:w="1034" w:type="dxa"/>
            <w:vMerge/>
            <w:tcBorders>
              <w:bottom w:val="single" w:sz="12" w:space="0" w:color="auto"/>
            </w:tcBorders>
            <w:shd w:val="clear" w:color="auto" w:fill="auto"/>
            <w:noWrap/>
            <w:vAlign w:val="bottom"/>
          </w:tcPr>
          <w:p w14:paraId="57B099C9" w14:textId="77777777" w:rsidR="00A57ECA" w:rsidRPr="00183F91" w:rsidRDefault="00A57ECA" w:rsidP="000821D9">
            <w:pPr>
              <w:keepNext/>
              <w:spacing w:before="81" w:after="81" w:line="160" w:lineRule="exact"/>
              <w:ind w:right="40"/>
              <w:rPr>
                <w:i/>
                <w:sz w:val="14"/>
                <w:lang w:val="fr-FR"/>
              </w:rPr>
            </w:pPr>
          </w:p>
        </w:tc>
        <w:tc>
          <w:tcPr>
            <w:tcW w:w="1035" w:type="dxa"/>
            <w:tcBorders>
              <w:top w:val="single" w:sz="4" w:space="0" w:color="auto"/>
              <w:bottom w:val="single" w:sz="12" w:space="0" w:color="auto"/>
            </w:tcBorders>
            <w:shd w:val="clear" w:color="auto" w:fill="auto"/>
            <w:noWrap/>
            <w:vAlign w:val="bottom"/>
          </w:tcPr>
          <w:p w14:paraId="2D0896DA" w14:textId="51A8F8E3" w:rsidR="00A57ECA" w:rsidRPr="00183F91" w:rsidRDefault="00A57ECA" w:rsidP="000821D9">
            <w:pPr>
              <w:keepNext/>
              <w:spacing w:before="81" w:after="81" w:line="160" w:lineRule="exact"/>
              <w:ind w:right="43"/>
              <w:jc w:val="right"/>
              <w:rPr>
                <w:i/>
                <w:sz w:val="14"/>
                <w:lang w:val="fr-FR"/>
              </w:rPr>
            </w:pPr>
            <w:r w:rsidRPr="00183F91">
              <w:rPr>
                <w:i/>
                <w:sz w:val="14"/>
                <w:lang w:val="fr-FR"/>
              </w:rPr>
              <w:t>Total</w:t>
            </w:r>
          </w:p>
        </w:tc>
        <w:tc>
          <w:tcPr>
            <w:tcW w:w="1035" w:type="dxa"/>
            <w:tcBorders>
              <w:top w:val="single" w:sz="4" w:space="0" w:color="auto"/>
              <w:bottom w:val="single" w:sz="12" w:space="0" w:color="auto"/>
            </w:tcBorders>
            <w:shd w:val="clear" w:color="auto" w:fill="auto"/>
            <w:noWrap/>
            <w:vAlign w:val="bottom"/>
          </w:tcPr>
          <w:p w14:paraId="3D8FF313" w14:textId="77777777" w:rsidR="00A57ECA" w:rsidRPr="00183F91" w:rsidRDefault="00A57ECA" w:rsidP="000821D9">
            <w:pPr>
              <w:keepNext/>
              <w:spacing w:before="81" w:after="81" w:line="160" w:lineRule="exact"/>
              <w:ind w:right="43"/>
              <w:jc w:val="right"/>
              <w:rPr>
                <w:i/>
                <w:sz w:val="14"/>
                <w:lang w:val="fr-FR"/>
              </w:rPr>
            </w:pPr>
            <w:r w:rsidRPr="00183F91">
              <w:rPr>
                <w:i/>
                <w:sz w:val="14"/>
                <w:lang w:val="fr-FR"/>
              </w:rPr>
              <w:t>Filles</w:t>
            </w:r>
          </w:p>
        </w:tc>
        <w:tc>
          <w:tcPr>
            <w:tcW w:w="109" w:type="dxa"/>
            <w:tcBorders>
              <w:bottom w:val="single" w:sz="12" w:space="0" w:color="auto"/>
            </w:tcBorders>
            <w:shd w:val="clear" w:color="auto" w:fill="auto"/>
            <w:noWrap/>
            <w:vAlign w:val="bottom"/>
          </w:tcPr>
          <w:p w14:paraId="205FC697" w14:textId="2435E0B7" w:rsidR="00A57ECA" w:rsidRPr="00183F91" w:rsidRDefault="00A57ECA" w:rsidP="000821D9">
            <w:pPr>
              <w:keepNext/>
              <w:spacing w:before="81" w:after="81" w:line="160" w:lineRule="exact"/>
              <w:ind w:right="43"/>
              <w:jc w:val="right"/>
              <w:rPr>
                <w:i/>
                <w:sz w:val="14"/>
                <w:lang w:val="fr-FR"/>
              </w:rPr>
            </w:pPr>
          </w:p>
        </w:tc>
        <w:tc>
          <w:tcPr>
            <w:tcW w:w="926" w:type="dxa"/>
            <w:tcBorders>
              <w:top w:val="single" w:sz="4" w:space="0" w:color="auto"/>
              <w:bottom w:val="single" w:sz="12" w:space="0" w:color="auto"/>
            </w:tcBorders>
            <w:shd w:val="clear" w:color="auto" w:fill="auto"/>
            <w:vAlign w:val="bottom"/>
          </w:tcPr>
          <w:p w14:paraId="566CFD7D" w14:textId="41FA8B45" w:rsidR="00A57ECA" w:rsidRPr="00183F91" w:rsidRDefault="00A57ECA" w:rsidP="000821D9">
            <w:pPr>
              <w:keepNext/>
              <w:spacing w:before="81" w:after="81" w:line="160" w:lineRule="exact"/>
              <w:ind w:right="43"/>
              <w:jc w:val="right"/>
              <w:rPr>
                <w:i/>
                <w:sz w:val="14"/>
                <w:lang w:val="fr-FR"/>
              </w:rPr>
            </w:pPr>
            <w:r w:rsidRPr="00183F91">
              <w:rPr>
                <w:i/>
                <w:sz w:val="14"/>
                <w:lang w:val="fr-FR"/>
              </w:rPr>
              <w:t>Total</w:t>
            </w:r>
          </w:p>
        </w:tc>
        <w:tc>
          <w:tcPr>
            <w:tcW w:w="1035" w:type="dxa"/>
            <w:tcBorders>
              <w:top w:val="single" w:sz="4" w:space="0" w:color="auto"/>
              <w:bottom w:val="single" w:sz="12" w:space="0" w:color="auto"/>
            </w:tcBorders>
            <w:shd w:val="clear" w:color="auto" w:fill="auto"/>
            <w:noWrap/>
            <w:vAlign w:val="bottom"/>
          </w:tcPr>
          <w:p w14:paraId="2E45793B" w14:textId="77777777" w:rsidR="00A57ECA" w:rsidRPr="00183F91" w:rsidRDefault="00A57ECA" w:rsidP="000821D9">
            <w:pPr>
              <w:keepNext/>
              <w:spacing w:before="81" w:after="81" w:line="160" w:lineRule="exact"/>
              <w:ind w:right="43"/>
              <w:jc w:val="right"/>
              <w:rPr>
                <w:i/>
                <w:sz w:val="14"/>
                <w:lang w:val="fr-FR"/>
              </w:rPr>
            </w:pPr>
            <w:r w:rsidRPr="00183F91">
              <w:rPr>
                <w:i/>
                <w:sz w:val="14"/>
                <w:lang w:val="fr-FR"/>
              </w:rPr>
              <w:t>Filles</w:t>
            </w:r>
          </w:p>
        </w:tc>
        <w:tc>
          <w:tcPr>
            <w:tcW w:w="109" w:type="dxa"/>
            <w:tcBorders>
              <w:bottom w:val="single" w:sz="12" w:space="0" w:color="auto"/>
            </w:tcBorders>
            <w:shd w:val="clear" w:color="auto" w:fill="auto"/>
            <w:noWrap/>
            <w:vAlign w:val="bottom"/>
          </w:tcPr>
          <w:p w14:paraId="6F09D494" w14:textId="04792D6C" w:rsidR="00A57ECA" w:rsidRPr="00183F91" w:rsidRDefault="00A57ECA" w:rsidP="000821D9">
            <w:pPr>
              <w:keepNext/>
              <w:spacing w:before="81" w:after="81" w:line="160" w:lineRule="exact"/>
              <w:ind w:right="43"/>
              <w:jc w:val="right"/>
              <w:rPr>
                <w:i/>
                <w:sz w:val="14"/>
                <w:lang w:val="fr-FR"/>
              </w:rPr>
            </w:pPr>
          </w:p>
        </w:tc>
        <w:tc>
          <w:tcPr>
            <w:tcW w:w="926" w:type="dxa"/>
            <w:tcBorders>
              <w:top w:val="single" w:sz="4" w:space="0" w:color="auto"/>
              <w:bottom w:val="single" w:sz="12" w:space="0" w:color="auto"/>
            </w:tcBorders>
            <w:shd w:val="clear" w:color="auto" w:fill="auto"/>
            <w:vAlign w:val="bottom"/>
          </w:tcPr>
          <w:p w14:paraId="3A489796" w14:textId="37D0284E" w:rsidR="00A57ECA" w:rsidRPr="00183F91" w:rsidRDefault="00A57ECA" w:rsidP="000821D9">
            <w:pPr>
              <w:keepNext/>
              <w:spacing w:before="81" w:after="81" w:line="160" w:lineRule="exact"/>
              <w:ind w:right="43"/>
              <w:jc w:val="right"/>
              <w:rPr>
                <w:i/>
                <w:sz w:val="14"/>
                <w:lang w:val="fr-FR"/>
              </w:rPr>
            </w:pPr>
            <w:r w:rsidRPr="00183F91">
              <w:rPr>
                <w:i/>
                <w:sz w:val="14"/>
                <w:lang w:val="fr-FR"/>
              </w:rPr>
              <w:t>Total</w:t>
            </w:r>
          </w:p>
        </w:tc>
        <w:tc>
          <w:tcPr>
            <w:tcW w:w="1035" w:type="dxa"/>
            <w:tcBorders>
              <w:top w:val="single" w:sz="4" w:space="0" w:color="auto"/>
              <w:bottom w:val="single" w:sz="12" w:space="0" w:color="auto"/>
            </w:tcBorders>
            <w:shd w:val="clear" w:color="auto" w:fill="auto"/>
            <w:noWrap/>
            <w:vAlign w:val="bottom"/>
          </w:tcPr>
          <w:p w14:paraId="0DEC3674" w14:textId="77777777" w:rsidR="00A57ECA" w:rsidRPr="00183F91" w:rsidRDefault="00A57ECA" w:rsidP="000821D9">
            <w:pPr>
              <w:keepNext/>
              <w:spacing w:before="81" w:after="81" w:line="160" w:lineRule="exact"/>
              <w:ind w:right="43"/>
              <w:jc w:val="right"/>
              <w:rPr>
                <w:i/>
                <w:sz w:val="14"/>
                <w:lang w:val="fr-FR"/>
              </w:rPr>
            </w:pPr>
            <w:r w:rsidRPr="00183F91">
              <w:rPr>
                <w:i/>
                <w:sz w:val="14"/>
                <w:lang w:val="fr-FR"/>
              </w:rPr>
              <w:t>Filles</w:t>
            </w:r>
          </w:p>
        </w:tc>
      </w:tr>
      <w:tr w:rsidR="00BC5F94" w:rsidRPr="00183F91" w14:paraId="0E261D55" w14:textId="77777777" w:rsidTr="00A57ECA">
        <w:trPr>
          <w:trHeight w:hRule="exact" w:val="115"/>
          <w:tblHeader/>
        </w:trPr>
        <w:tc>
          <w:tcPr>
            <w:tcW w:w="1034" w:type="dxa"/>
            <w:tcBorders>
              <w:top w:val="single" w:sz="12" w:space="0" w:color="auto"/>
            </w:tcBorders>
            <w:shd w:val="clear" w:color="auto" w:fill="auto"/>
            <w:noWrap/>
            <w:vAlign w:val="bottom"/>
          </w:tcPr>
          <w:p w14:paraId="5730C1A3" w14:textId="77777777" w:rsidR="00BC5F94" w:rsidRPr="00183F91" w:rsidRDefault="00BC5F94" w:rsidP="000821D9">
            <w:pPr>
              <w:keepNext/>
              <w:spacing w:before="40" w:after="40" w:line="210" w:lineRule="exact"/>
              <w:ind w:right="40"/>
              <w:rPr>
                <w:sz w:val="17"/>
                <w:lang w:val="fr-FR"/>
              </w:rPr>
            </w:pPr>
          </w:p>
        </w:tc>
        <w:tc>
          <w:tcPr>
            <w:tcW w:w="1035" w:type="dxa"/>
            <w:tcBorders>
              <w:top w:val="single" w:sz="12" w:space="0" w:color="auto"/>
            </w:tcBorders>
            <w:shd w:val="clear" w:color="auto" w:fill="auto"/>
            <w:noWrap/>
            <w:vAlign w:val="bottom"/>
          </w:tcPr>
          <w:p w14:paraId="04816F39" w14:textId="77777777" w:rsidR="00BC5F94" w:rsidRPr="00183F91" w:rsidRDefault="00BC5F94" w:rsidP="000821D9">
            <w:pPr>
              <w:keepNext/>
              <w:spacing w:before="40" w:after="40" w:line="210" w:lineRule="exact"/>
              <w:ind w:right="43"/>
              <w:jc w:val="right"/>
              <w:rPr>
                <w:sz w:val="17"/>
                <w:lang w:val="fr-FR"/>
              </w:rPr>
            </w:pPr>
          </w:p>
        </w:tc>
        <w:tc>
          <w:tcPr>
            <w:tcW w:w="1035" w:type="dxa"/>
            <w:tcBorders>
              <w:top w:val="single" w:sz="12" w:space="0" w:color="auto"/>
            </w:tcBorders>
            <w:shd w:val="clear" w:color="auto" w:fill="auto"/>
            <w:noWrap/>
            <w:vAlign w:val="bottom"/>
          </w:tcPr>
          <w:p w14:paraId="74948B7C" w14:textId="77777777" w:rsidR="00BC5F94" w:rsidRPr="00183F91" w:rsidRDefault="00BC5F94" w:rsidP="000821D9">
            <w:pPr>
              <w:keepNext/>
              <w:spacing w:before="40" w:after="40" w:line="210" w:lineRule="exact"/>
              <w:ind w:right="43"/>
              <w:jc w:val="right"/>
              <w:rPr>
                <w:sz w:val="17"/>
                <w:lang w:val="fr-FR"/>
              </w:rPr>
            </w:pPr>
          </w:p>
        </w:tc>
        <w:tc>
          <w:tcPr>
            <w:tcW w:w="1035" w:type="dxa"/>
            <w:gridSpan w:val="2"/>
            <w:tcBorders>
              <w:top w:val="single" w:sz="12" w:space="0" w:color="auto"/>
            </w:tcBorders>
            <w:shd w:val="clear" w:color="auto" w:fill="auto"/>
            <w:noWrap/>
            <w:vAlign w:val="bottom"/>
          </w:tcPr>
          <w:p w14:paraId="01B81394" w14:textId="77777777" w:rsidR="00BC5F94" w:rsidRPr="00183F91" w:rsidRDefault="00BC5F94" w:rsidP="000821D9">
            <w:pPr>
              <w:keepNext/>
              <w:spacing w:before="40" w:after="40" w:line="210" w:lineRule="exact"/>
              <w:ind w:right="43"/>
              <w:jc w:val="right"/>
              <w:rPr>
                <w:sz w:val="17"/>
                <w:lang w:val="fr-FR"/>
              </w:rPr>
            </w:pPr>
          </w:p>
        </w:tc>
        <w:tc>
          <w:tcPr>
            <w:tcW w:w="1035" w:type="dxa"/>
            <w:tcBorders>
              <w:top w:val="single" w:sz="12" w:space="0" w:color="auto"/>
            </w:tcBorders>
            <w:shd w:val="clear" w:color="auto" w:fill="auto"/>
            <w:noWrap/>
            <w:vAlign w:val="bottom"/>
          </w:tcPr>
          <w:p w14:paraId="0DD3CE3D" w14:textId="77777777" w:rsidR="00BC5F94" w:rsidRPr="00183F91" w:rsidRDefault="00BC5F94" w:rsidP="000821D9">
            <w:pPr>
              <w:keepNext/>
              <w:spacing w:before="40" w:after="40" w:line="210" w:lineRule="exact"/>
              <w:ind w:right="43"/>
              <w:jc w:val="right"/>
              <w:rPr>
                <w:sz w:val="17"/>
                <w:lang w:val="fr-FR"/>
              </w:rPr>
            </w:pPr>
          </w:p>
        </w:tc>
        <w:tc>
          <w:tcPr>
            <w:tcW w:w="1035" w:type="dxa"/>
            <w:gridSpan w:val="2"/>
            <w:tcBorders>
              <w:top w:val="single" w:sz="12" w:space="0" w:color="auto"/>
            </w:tcBorders>
            <w:shd w:val="clear" w:color="auto" w:fill="auto"/>
            <w:noWrap/>
            <w:vAlign w:val="bottom"/>
          </w:tcPr>
          <w:p w14:paraId="119BB9DB" w14:textId="77777777" w:rsidR="00BC5F94" w:rsidRPr="00183F91" w:rsidRDefault="00BC5F94" w:rsidP="000821D9">
            <w:pPr>
              <w:keepNext/>
              <w:spacing w:before="40" w:after="40" w:line="210" w:lineRule="exact"/>
              <w:ind w:right="43"/>
              <w:jc w:val="right"/>
              <w:rPr>
                <w:sz w:val="17"/>
                <w:lang w:val="fr-FR"/>
              </w:rPr>
            </w:pPr>
          </w:p>
        </w:tc>
        <w:tc>
          <w:tcPr>
            <w:tcW w:w="1035" w:type="dxa"/>
            <w:tcBorders>
              <w:top w:val="single" w:sz="12" w:space="0" w:color="auto"/>
            </w:tcBorders>
            <w:shd w:val="clear" w:color="auto" w:fill="auto"/>
            <w:noWrap/>
            <w:vAlign w:val="bottom"/>
          </w:tcPr>
          <w:p w14:paraId="1E35B9D0" w14:textId="77777777" w:rsidR="00BC5F94" w:rsidRPr="00183F91" w:rsidRDefault="00BC5F94" w:rsidP="000821D9">
            <w:pPr>
              <w:keepNext/>
              <w:spacing w:before="40" w:after="40" w:line="210" w:lineRule="exact"/>
              <w:ind w:right="43"/>
              <w:jc w:val="right"/>
              <w:rPr>
                <w:sz w:val="17"/>
                <w:lang w:val="fr-FR"/>
              </w:rPr>
            </w:pPr>
          </w:p>
        </w:tc>
      </w:tr>
      <w:tr w:rsidR="006E0934" w:rsidRPr="00183F91" w14:paraId="7A86AA37" w14:textId="77777777" w:rsidTr="00A57ECA">
        <w:tc>
          <w:tcPr>
            <w:tcW w:w="1034" w:type="dxa"/>
            <w:shd w:val="clear" w:color="auto" w:fill="auto"/>
            <w:noWrap/>
            <w:vAlign w:val="bottom"/>
          </w:tcPr>
          <w:p w14:paraId="08C3C33B" w14:textId="77777777" w:rsidR="006E0934" w:rsidRPr="00183F91" w:rsidRDefault="006E0934" w:rsidP="000821D9">
            <w:pPr>
              <w:keepNext/>
              <w:tabs>
                <w:tab w:val="left" w:pos="288"/>
                <w:tab w:val="left" w:pos="576"/>
                <w:tab w:val="left" w:pos="864"/>
                <w:tab w:val="left" w:pos="1152"/>
              </w:tabs>
              <w:spacing w:before="40" w:after="40" w:line="210" w:lineRule="exact"/>
              <w:ind w:right="40"/>
              <w:rPr>
                <w:sz w:val="17"/>
                <w:lang w:val="fr-FR"/>
              </w:rPr>
            </w:pPr>
            <w:r w:rsidRPr="00183F91">
              <w:rPr>
                <w:sz w:val="17"/>
                <w:lang w:val="fr-FR"/>
              </w:rPr>
              <w:t>Total</w:t>
            </w:r>
          </w:p>
        </w:tc>
        <w:tc>
          <w:tcPr>
            <w:tcW w:w="1035" w:type="dxa"/>
            <w:shd w:val="clear" w:color="auto" w:fill="auto"/>
            <w:noWrap/>
            <w:vAlign w:val="bottom"/>
          </w:tcPr>
          <w:p w14:paraId="59255386" w14:textId="77777777" w:rsidR="006E0934" w:rsidRPr="00183F91" w:rsidRDefault="006E0934" w:rsidP="000821D9">
            <w:pPr>
              <w:keepNext/>
              <w:tabs>
                <w:tab w:val="left" w:pos="288"/>
                <w:tab w:val="left" w:pos="576"/>
                <w:tab w:val="left" w:pos="864"/>
                <w:tab w:val="left" w:pos="1152"/>
              </w:tabs>
              <w:spacing w:before="40" w:after="40" w:line="210" w:lineRule="exact"/>
              <w:ind w:right="43"/>
              <w:jc w:val="right"/>
              <w:rPr>
                <w:sz w:val="17"/>
                <w:lang w:val="fr-FR"/>
              </w:rPr>
            </w:pPr>
            <w:r w:rsidRPr="00183F91">
              <w:rPr>
                <w:sz w:val="17"/>
                <w:lang w:val="fr-FR"/>
              </w:rPr>
              <w:t>263 333</w:t>
            </w:r>
          </w:p>
        </w:tc>
        <w:tc>
          <w:tcPr>
            <w:tcW w:w="1035" w:type="dxa"/>
            <w:shd w:val="clear" w:color="auto" w:fill="auto"/>
            <w:noWrap/>
            <w:vAlign w:val="bottom"/>
          </w:tcPr>
          <w:p w14:paraId="08021227" w14:textId="77777777" w:rsidR="006E0934" w:rsidRPr="00183F91" w:rsidRDefault="006E0934" w:rsidP="000821D9">
            <w:pPr>
              <w:keepNext/>
              <w:tabs>
                <w:tab w:val="left" w:pos="288"/>
                <w:tab w:val="left" w:pos="576"/>
                <w:tab w:val="left" w:pos="864"/>
                <w:tab w:val="left" w:pos="1152"/>
              </w:tabs>
              <w:spacing w:before="40" w:after="40" w:line="210" w:lineRule="exact"/>
              <w:ind w:right="43"/>
              <w:jc w:val="right"/>
              <w:rPr>
                <w:sz w:val="17"/>
                <w:lang w:val="fr-FR"/>
              </w:rPr>
            </w:pPr>
            <w:r w:rsidRPr="00183F91">
              <w:rPr>
                <w:sz w:val="17"/>
                <w:lang w:val="fr-FR"/>
              </w:rPr>
              <w:t>126 946</w:t>
            </w:r>
          </w:p>
        </w:tc>
        <w:tc>
          <w:tcPr>
            <w:tcW w:w="1035" w:type="dxa"/>
            <w:gridSpan w:val="2"/>
            <w:shd w:val="clear" w:color="auto" w:fill="auto"/>
            <w:noWrap/>
            <w:vAlign w:val="bottom"/>
          </w:tcPr>
          <w:p w14:paraId="527F06CF" w14:textId="77777777" w:rsidR="006E0934" w:rsidRPr="00183F91" w:rsidRDefault="006E0934" w:rsidP="000821D9">
            <w:pPr>
              <w:keepNext/>
              <w:tabs>
                <w:tab w:val="left" w:pos="288"/>
                <w:tab w:val="left" w:pos="576"/>
                <w:tab w:val="left" w:pos="864"/>
                <w:tab w:val="left" w:pos="1152"/>
              </w:tabs>
              <w:spacing w:before="40" w:after="40" w:line="210" w:lineRule="exact"/>
              <w:ind w:right="43"/>
              <w:jc w:val="right"/>
              <w:rPr>
                <w:sz w:val="17"/>
                <w:lang w:val="fr-FR"/>
              </w:rPr>
            </w:pPr>
            <w:r w:rsidRPr="00183F91">
              <w:rPr>
                <w:sz w:val="17"/>
                <w:lang w:val="fr-FR"/>
              </w:rPr>
              <w:t>640 449</w:t>
            </w:r>
          </w:p>
        </w:tc>
        <w:tc>
          <w:tcPr>
            <w:tcW w:w="1035" w:type="dxa"/>
            <w:shd w:val="clear" w:color="auto" w:fill="auto"/>
            <w:noWrap/>
            <w:vAlign w:val="bottom"/>
          </w:tcPr>
          <w:p w14:paraId="6E350638" w14:textId="77777777" w:rsidR="006E0934" w:rsidRPr="00183F91" w:rsidRDefault="006E0934" w:rsidP="000821D9">
            <w:pPr>
              <w:keepNext/>
              <w:tabs>
                <w:tab w:val="left" w:pos="288"/>
                <w:tab w:val="left" w:pos="576"/>
                <w:tab w:val="left" w:pos="864"/>
                <w:tab w:val="left" w:pos="1152"/>
              </w:tabs>
              <w:spacing w:before="40" w:after="40" w:line="210" w:lineRule="exact"/>
              <w:ind w:right="43"/>
              <w:jc w:val="right"/>
              <w:rPr>
                <w:sz w:val="17"/>
                <w:lang w:val="fr-FR"/>
              </w:rPr>
            </w:pPr>
            <w:r w:rsidRPr="00183F91">
              <w:rPr>
                <w:sz w:val="17"/>
                <w:lang w:val="fr-FR"/>
              </w:rPr>
              <w:t>319 912</w:t>
            </w:r>
          </w:p>
        </w:tc>
        <w:tc>
          <w:tcPr>
            <w:tcW w:w="1035" w:type="dxa"/>
            <w:gridSpan w:val="2"/>
            <w:shd w:val="clear" w:color="auto" w:fill="auto"/>
            <w:noWrap/>
            <w:vAlign w:val="bottom"/>
          </w:tcPr>
          <w:p w14:paraId="033C7614" w14:textId="77777777" w:rsidR="006E0934" w:rsidRPr="00183F91" w:rsidRDefault="006E0934" w:rsidP="000821D9">
            <w:pPr>
              <w:keepNext/>
              <w:tabs>
                <w:tab w:val="left" w:pos="288"/>
                <w:tab w:val="left" w:pos="576"/>
                <w:tab w:val="left" w:pos="864"/>
                <w:tab w:val="left" w:pos="1152"/>
              </w:tabs>
              <w:spacing w:before="40" w:after="40" w:line="210" w:lineRule="exact"/>
              <w:ind w:right="43"/>
              <w:jc w:val="right"/>
              <w:rPr>
                <w:sz w:val="17"/>
                <w:lang w:val="fr-FR"/>
              </w:rPr>
            </w:pPr>
            <w:r w:rsidRPr="00183F91">
              <w:rPr>
                <w:sz w:val="17"/>
                <w:lang w:val="fr-FR"/>
              </w:rPr>
              <w:t>148 446</w:t>
            </w:r>
          </w:p>
        </w:tc>
        <w:tc>
          <w:tcPr>
            <w:tcW w:w="1035" w:type="dxa"/>
            <w:shd w:val="clear" w:color="auto" w:fill="auto"/>
            <w:noWrap/>
            <w:vAlign w:val="bottom"/>
          </w:tcPr>
          <w:p w14:paraId="418A87C0" w14:textId="77777777" w:rsidR="006E0934" w:rsidRPr="00183F91" w:rsidRDefault="006E0934" w:rsidP="000821D9">
            <w:pPr>
              <w:keepNext/>
              <w:tabs>
                <w:tab w:val="left" w:pos="288"/>
                <w:tab w:val="left" w:pos="576"/>
                <w:tab w:val="left" w:pos="864"/>
                <w:tab w:val="left" w:pos="1152"/>
              </w:tabs>
              <w:spacing w:before="40" w:after="40" w:line="210" w:lineRule="exact"/>
              <w:ind w:right="43"/>
              <w:jc w:val="right"/>
              <w:rPr>
                <w:sz w:val="17"/>
                <w:lang w:val="fr-FR"/>
              </w:rPr>
            </w:pPr>
            <w:r w:rsidRPr="00183F91">
              <w:rPr>
                <w:sz w:val="17"/>
                <w:lang w:val="fr-FR"/>
              </w:rPr>
              <w:t>90 574</w:t>
            </w:r>
          </w:p>
        </w:tc>
      </w:tr>
      <w:tr w:rsidR="006E0934" w:rsidRPr="00183F91" w14:paraId="3E2657F1" w14:textId="77777777" w:rsidTr="00A57ECA">
        <w:tc>
          <w:tcPr>
            <w:tcW w:w="1034" w:type="dxa"/>
            <w:shd w:val="clear" w:color="auto" w:fill="auto"/>
            <w:noWrap/>
            <w:vAlign w:val="bottom"/>
          </w:tcPr>
          <w:p w14:paraId="1B3CEC2E" w14:textId="77777777" w:rsidR="006E0934" w:rsidRPr="00183F91" w:rsidRDefault="006E0934" w:rsidP="000821D9">
            <w:pPr>
              <w:keepNext/>
              <w:tabs>
                <w:tab w:val="left" w:pos="288"/>
                <w:tab w:val="left" w:pos="576"/>
                <w:tab w:val="left" w:pos="864"/>
                <w:tab w:val="left" w:pos="1152"/>
              </w:tabs>
              <w:spacing w:before="40" w:after="40" w:line="210" w:lineRule="exact"/>
              <w:ind w:right="40"/>
              <w:rPr>
                <w:sz w:val="17"/>
                <w:lang w:val="fr-FR"/>
              </w:rPr>
            </w:pPr>
            <w:r w:rsidRPr="00183F91">
              <w:rPr>
                <w:sz w:val="17"/>
                <w:lang w:val="fr-FR"/>
              </w:rPr>
              <w:t>Ouest</w:t>
            </w:r>
          </w:p>
        </w:tc>
        <w:tc>
          <w:tcPr>
            <w:tcW w:w="1035" w:type="dxa"/>
            <w:shd w:val="clear" w:color="auto" w:fill="auto"/>
            <w:noWrap/>
            <w:vAlign w:val="bottom"/>
          </w:tcPr>
          <w:p w14:paraId="0B3D5F48" w14:textId="77777777" w:rsidR="006E0934" w:rsidRPr="00183F91" w:rsidRDefault="006E0934" w:rsidP="000821D9">
            <w:pPr>
              <w:keepNext/>
              <w:tabs>
                <w:tab w:val="left" w:pos="288"/>
                <w:tab w:val="left" w:pos="576"/>
                <w:tab w:val="left" w:pos="864"/>
                <w:tab w:val="left" w:pos="1152"/>
              </w:tabs>
              <w:spacing w:before="40" w:after="40" w:line="210" w:lineRule="exact"/>
              <w:ind w:right="43"/>
              <w:jc w:val="right"/>
              <w:rPr>
                <w:sz w:val="17"/>
                <w:lang w:val="fr-FR"/>
              </w:rPr>
            </w:pPr>
            <w:r w:rsidRPr="00183F91">
              <w:rPr>
                <w:sz w:val="17"/>
                <w:lang w:val="fr-FR"/>
              </w:rPr>
              <w:t>32 254</w:t>
            </w:r>
          </w:p>
        </w:tc>
        <w:tc>
          <w:tcPr>
            <w:tcW w:w="1035" w:type="dxa"/>
            <w:shd w:val="clear" w:color="auto" w:fill="auto"/>
            <w:noWrap/>
            <w:vAlign w:val="bottom"/>
          </w:tcPr>
          <w:p w14:paraId="4C7CF3F8" w14:textId="77777777" w:rsidR="006E0934" w:rsidRPr="00183F91" w:rsidRDefault="006E0934" w:rsidP="000821D9">
            <w:pPr>
              <w:keepNext/>
              <w:tabs>
                <w:tab w:val="left" w:pos="288"/>
                <w:tab w:val="left" w:pos="576"/>
                <w:tab w:val="left" w:pos="864"/>
                <w:tab w:val="left" w:pos="1152"/>
              </w:tabs>
              <w:spacing w:before="40" w:after="40" w:line="210" w:lineRule="exact"/>
              <w:ind w:right="43"/>
              <w:jc w:val="right"/>
              <w:rPr>
                <w:sz w:val="17"/>
                <w:lang w:val="fr-FR"/>
              </w:rPr>
            </w:pPr>
            <w:r w:rsidRPr="00183F91">
              <w:rPr>
                <w:sz w:val="17"/>
                <w:lang w:val="fr-FR"/>
              </w:rPr>
              <w:t>15 665</w:t>
            </w:r>
          </w:p>
        </w:tc>
        <w:tc>
          <w:tcPr>
            <w:tcW w:w="1035" w:type="dxa"/>
            <w:gridSpan w:val="2"/>
            <w:shd w:val="clear" w:color="auto" w:fill="auto"/>
            <w:noWrap/>
            <w:vAlign w:val="bottom"/>
          </w:tcPr>
          <w:p w14:paraId="70A84E60" w14:textId="77777777" w:rsidR="006E0934" w:rsidRPr="00183F91" w:rsidRDefault="006E0934" w:rsidP="000821D9">
            <w:pPr>
              <w:keepNext/>
              <w:tabs>
                <w:tab w:val="left" w:pos="288"/>
                <w:tab w:val="left" w:pos="576"/>
                <w:tab w:val="left" w:pos="864"/>
                <w:tab w:val="left" w:pos="1152"/>
              </w:tabs>
              <w:spacing w:before="40" w:after="40" w:line="210" w:lineRule="exact"/>
              <w:ind w:right="43"/>
              <w:jc w:val="right"/>
              <w:rPr>
                <w:sz w:val="17"/>
                <w:lang w:val="fr-FR"/>
              </w:rPr>
            </w:pPr>
            <w:r w:rsidRPr="00183F91">
              <w:rPr>
                <w:sz w:val="17"/>
                <w:lang w:val="fr-FR"/>
              </w:rPr>
              <w:t>88 046</w:t>
            </w:r>
          </w:p>
        </w:tc>
        <w:tc>
          <w:tcPr>
            <w:tcW w:w="1035" w:type="dxa"/>
            <w:shd w:val="clear" w:color="auto" w:fill="auto"/>
            <w:noWrap/>
            <w:vAlign w:val="bottom"/>
          </w:tcPr>
          <w:p w14:paraId="03D3BE8D" w14:textId="77777777" w:rsidR="006E0934" w:rsidRPr="00183F91" w:rsidRDefault="006E0934" w:rsidP="000821D9">
            <w:pPr>
              <w:keepNext/>
              <w:tabs>
                <w:tab w:val="left" w:pos="288"/>
                <w:tab w:val="left" w:pos="576"/>
                <w:tab w:val="left" w:pos="864"/>
                <w:tab w:val="left" w:pos="1152"/>
              </w:tabs>
              <w:spacing w:before="40" w:after="40" w:line="210" w:lineRule="exact"/>
              <w:ind w:right="43"/>
              <w:jc w:val="right"/>
              <w:rPr>
                <w:sz w:val="17"/>
                <w:lang w:val="fr-FR"/>
              </w:rPr>
            </w:pPr>
            <w:r w:rsidRPr="00183F91">
              <w:rPr>
                <w:sz w:val="17"/>
                <w:lang w:val="fr-FR"/>
              </w:rPr>
              <w:t>44 192</w:t>
            </w:r>
          </w:p>
        </w:tc>
        <w:tc>
          <w:tcPr>
            <w:tcW w:w="1035" w:type="dxa"/>
            <w:gridSpan w:val="2"/>
            <w:shd w:val="clear" w:color="auto" w:fill="auto"/>
            <w:noWrap/>
            <w:vAlign w:val="bottom"/>
          </w:tcPr>
          <w:p w14:paraId="6D41DC7F" w14:textId="77777777" w:rsidR="006E0934" w:rsidRPr="00183F91" w:rsidRDefault="006E0934" w:rsidP="000821D9">
            <w:pPr>
              <w:keepNext/>
              <w:tabs>
                <w:tab w:val="left" w:pos="288"/>
                <w:tab w:val="left" w:pos="576"/>
                <w:tab w:val="left" w:pos="864"/>
                <w:tab w:val="left" w:pos="1152"/>
              </w:tabs>
              <w:spacing w:before="40" w:after="40" w:line="210" w:lineRule="exact"/>
              <w:ind w:right="43"/>
              <w:jc w:val="right"/>
              <w:rPr>
                <w:sz w:val="17"/>
                <w:lang w:val="fr-FR"/>
              </w:rPr>
            </w:pPr>
            <w:r w:rsidRPr="00183F91">
              <w:rPr>
                <w:sz w:val="17"/>
                <w:lang w:val="fr-FR"/>
              </w:rPr>
              <w:t>3 488</w:t>
            </w:r>
          </w:p>
        </w:tc>
        <w:tc>
          <w:tcPr>
            <w:tcW w:w="1035" w:type="dxa"/>
            <w:shd w:val="clear" w:color="auto" w:fill="auto"/>
            <w:noWrap/>
            <w:vAlign w:val="bottom"/>
          </w:tcPr>
          <w:p w14:paraId="12B4D399" w14:textId="77777777" w:rsidR="006E0934" w:rsidRPr="00183F91" w:rsidRDefault="006E0934" w:rsidP="000821D9">
            <w:pPr>
              <w:keepNext/>
              <w:tabs>
                <w:tab w:val="left" w:pos="288"/>
                <w:tab w:val="left" w:pos="576"/>
                <w:tab w:val="left" w:pos="864"/>
                <w:tab w:val="left" w:pos="1152"/>
              </w:tabs>
              <w:spacing w:before="40" w:after="40" w:line="210" w:lineRule="exact"/>
              <w:ind w:right="43"/>
              <w:jc w:val="right"/>
              <w:rPr>
                <w:sz w:val="17"/>
                <w:lang w:val="fr-FR"/>
              </w:rPr>
            </w:pPr>
            <w:r w:rsidRPr="00183F91">
              <w:rPr>
                <w:sz w:val="17"/>
                <w:lang w:val="fr-FR"/>
              </w:rPr>
              <w:t>2 439</w:t>
            </w:r>
          </w:p>
        </w:tc>
      </w:tr>
      <w:tr w:rsidR="006E0934" w:rsidRPr="00183F91" w14:paraId="5C100AFF" w14:textId="77777777" w:rsidTr="00A57ECA">
        <w:tc>
          <w:tcPr>
            <w:tcW w:w="1034" w:type="dxa"/>
            <w:shd w:val="clear" w:color="auto" w:fill="auto"/>
            <w:noWrap/>
            <w:vAlign w:val="bottom"/>
          </w:tcPr>
          <w:p w14:paraId="60089DB4" w14:textId="77777777" w:rsidR="006E0934" w:rsidRPr="00183F91" w:rsidRDefault="006E0934" w:rsidP="000821D9">
            <w:pPr>
              <w:keepNext/>
              <w:tabs>
                <w:tab w:val="left" w:pos="288"/>
                <w:tab w:val="left" w:pos="576"/>
                <w:tab w:val="left" w:pos="864"/>
                <w:tab w:val="left" w:pos="1152"/>
              </w:tabs>
              <w:spacing w:before="40" w:after="40" w:line="210" w:lineRule="exact"/>
              <w:ind w:right="40"/>
              <w:rPr>
                <w:sz w:val="17"/>
                <w:lang w:val="fr-FR"/>
              </w:rPr>
            </w:pPr>
            <w:r w:rsidRPr="00183F91">
              <w:rPr>
                <w:sz w:val="17"/>
                <w:lang w:val="fr-FR"/>
              </w:rPr>
              <w:t>Khangai</w:t>
            </w:r>
          </w:p>
        </w:tc>
        <w:tc>
          <w:tcPr>
            <w:tcW w:w="1035" w:type="dxa"/>
            <w:shd w:val="clear" w:color="auto" w:fill="auto"/>
            <w:noWrap/>
            <w:vAlign w:val="bottom"/>
          </w:tcPr>
          <w:p w14:paraId="4596E479" w14:textId="77777777" w:rsidR="006E0934" w:rsidRPr="00183F91" w:rsidRDefault="006E0934" w:rsidP="000821D9">
            <w:pPr>
              <w:keepNext/>
              <w:tabs>
                <w:tab w:val="left" w:pos="288"/>
                <w:tab w:val="left" w:pos="576"/>
                <w:tab w:val="left" w:pos="864"/>
                <w:tab w:val="left" w:pos="1152"/>
              </w:tabs>
              <w:spacing w:before="40" w:after="40" w:line="210" w:lineRule="exact"/>
              <w:ind w:right="43"/>
              <w:jc w:val="right"/>
              <w:rPr>
                <w:sz w:val="17"/>
                <w:lang w:val="fr-FR"/>
              </w:rPr>
            </w:pPr>
            <w:r w:rsidRPr="00183F91">
              <w:rPr>
                <w:sz w:val="17"/>
                <w:lang w:val="fr-FR"/>
              </w:rPr>
              <w:t>48 790</w:t>
            </w:r>
          </w:p>
        </w:tc>
        <w:tc>
          <w:tcPr>
            <w:tcW w:w="1035" w:type="dxa"/>
            <w:shd w:val="clear" w:color="auto" w:fill="auto"/>
            <w:noWrap/>
            <w:vAlign w:val="bottom"/>
          </w:tcPr>
          <w:p w14:paraId="48C7C6E1" w14:textId="77777777" w:rsidR="006E0934" w:rsidRPr="00183F91" w:rsidRDefault="006E0934" w:rsidP="000821D9">
            <w:pPr>
              <w:keepNext/>
              <w:tabs>
                <w:tab w:val="left" w:pos="288"/>
                <w:tab w:val="left" w:pos="576"/>
                <w:tab w:val="left" w:pos="864"/>
                <w:tab w:val="left" w:pos="1152"/>
              </w:tabs>
              <w:spacing w:before="40" w:after="40" w:line="210" w:lineRule="exact"/>
              <w:ind w:right="43"/>
              <w:jc w:val="right"/>
              <w:rPr>
                <w:sz w:val="17"/>
                <w:lang w:val="fr-FR"/>
              </w:rPr>
            </w:pPr>
            <w:r w:rsidRPr="00183F91">
              <w:rPr>
                <w:sz w:val="17"/>
                <w:lang w:val="fr-FR"/>
              </w:rPr>
              <w:t>23 938</w:t>
            </w:r>
          </w:p>
        </w:tc>
        <w:tc>
          <w:tcPr>
            <w:tcW w:w="1035" w:type="dxa"/>
            <w:gridSpan w:val="2"/>
            <w:shd w:val="clear" w:color="auto" w:fill="auto"/>
            <w:noWrap/>
            <w:vAlign w:val="bottom"/>
          </w:tcPr>
          <w:p w14:paraId="3325862C" w14:textId="77777777" w:rsidR="006E0934" w:rsidRPr="00183F91" w:rsidRDefault="006E0934" w:rsidP="000821D9">
            <w:pPr>
              <w:keepNext/>
              <w:tabs>
                <w:tab w:val="left" w:pos="288"/>
                <w:tab w:val="left" w:pos="576"/>
                <w:tab w:val="left" w:pos="864"/>
                <w:tab w:val="left" w:pos="1152"/>
              </w:tabs>
              <w:spacing w:before="40" w:after="40" w:line="210" w:lineRule="exact"/>
              <w:ind w:right="43"/>
              <w:jc w:val="right"/>
              <w:rPr>
                <w:sz w:val="17"/>
                <w:lang w:val="fr-FR"/>
              </w:rPr>
            </w:pPr>
            <w:r w:rsidRPr="00183F91">
              <w:rPr>
                <w:sz w:val="17"/>
                <w:lang w:val="fr-FR"/>
              </w:rPr>
              <w:t>117 306</w:t>
            </w:r>
          </w:p>
        </w:tc>
        <w:tc>
          <w:tcPr>
            <w:tcW w:w="1035" w:type="dxa"/>
            <w:shd w:val="clear" w:color="auto" w:fill="auto"/>
            <w:noWrap/>
            <w:vAlign w:val="bottom"/>
          </w:tcPr>
          <w:p w14:paraId="4199170F" w14:textId="77777777" w:rsidR="006E0934" w:rsidRPr="00183F91" w:rsidRDefault="006E0934" w:rsidP="000821D9">
            <w:pPr>
              <w:keepNext/>
              <w:tabs>
                <w:tab w:val="left" w:pos="288"/>
                <w:tab w:val="left" w:pos="576"/>
                <w:tab w:val="left" w:pos="864"/>
                <w:tab w:val="left" w:pos="1152"/>
              </w:tabs>
              <w:spacing w:before="40" w:after="40" w:line="210" w:lineRule="exact"/>
              <w:ind w:right="43"/>
              <w:jc w:val="right"/>
              <w:rPr>
                <w:sz w:val="17"/>
                <w:lang w:val="fr-FR"/>
              </w:rPr>
            </w:pPr>
            <w:r w:rsidRPr="00183F91">
              <w:rPr>
                <w:sz w:val="17"/>
                <w:lang w:val="fr-FR"/>
              </w:rPr>
              <w:t>58 941</w:t>
            </w:r>
          </w:p>
        </w:tc>
        <w:tc>
          <w:tcPr>
            <w:tcW w:w="1035" w:type="dxa"/>
            <w:gridSpan w:val="2"/>
            <w:shd w:val="clear" w:color="auto" w:fill="auto"/>
            <w:noWrap/>
            <w:vAlign w:val="bottom"/>
          </w:tcPr>
          <w:p w14:paraId="29166275" w14:textId="77777777" w:rsidR="006E0934" w:rsidRPr="00183F91" w:rsidRDefault="006E0934" w:rsidP="000821D9">
            <w:pPr>
              <w:keepNext/>
              <w:tabs>
                <w:tab w:val="left" w:pos="288"/>
                <w:tab w:val="left" w:pos="576"/>
                <w:tab w:val="left" w:pos="864"/>
                <w:tab w:val="left" w:pos="1152"/>
              </w:tabs>
              <w:spacing w:before="40" w:after="40" w:line="210" w:lineRule="exact"/>
              <w:ind w:right="43"/>
              <w:jc w:val="right"/>
              <w:rPr>
                <w:sz w:val="17"/>
                <w:lang w:val="fr-FR"/>
              </w:rPr>
            </w:pPr>
            <w:r w:rsidRPr="00183F91">
              <w:rPr>
                <w:sz w:val="17"/>
                <w:lang w:val="fr-FR"/>
              </w:rPr>
              <w:t>3 005</w:t>
            </w:r>
          </w:p>
        </w:tc>
        <w:tc>
          <w:tcPr>
            <w:tcW w:w="1035" w:type="dxa"/>
            <w:shd w:val="clear" w:color="auto" w:fill="auto"/>
            <w:noWrap/>
            <w:vAlign w:val="bottom"/>
          </w:tcPr>
          <w:p w14:paraId="5ACBEB55" w14:textId="77777777" w:rsidR="006E0934" w:rsidRPr="00183F91" w:rsidRDefault="006E0934" w:rsidP="000821D9">
            <w:pPr>
              <w:keepNext/>
              <w:tabs>
                <w:tab w:val="left" w:pos="288"/>
                <w:tab w:val="left" w:pos="576"/>
                <w:tab w:val="left" w:pos="864"/>
                <w:tab w:val="left" w:pos="1152"/>
              </w:tabs>
              <w:spacing w:before="40" w:after="40" w:line="210" w:lineRule="exact"/>
              <w:ind w:right="43"/>
              <w:jc w:val="right"/>
              <w:rPr>
                <w:sz w:val="17"/>
                <w:lang w:val="fr-FR"/>
              </w:rPr>
            </w:pPr>
            <w:r w:rsidRPr="00183F91">
              <w:rPr>
                <w:sz w:val="17"/>
                <w:lang w:val="fr-FR"/>
              </w:rPr>
              <w:t>2 229</w:t>
            </w:r>
          </w:p>
        </w:tc>
      </w:tr>
      <w:tr w:rsidR="006E0934" w:rsidRPr="00183F91" w14:paraId="4FD4BEB5" w14:textId="77777777" w:rsidTr="00A57ECA">
        <w:tc>
          <w:tcPr>
            <w:tcW w:w="1034" w:type="dxa"/>
            <w:shd w:val="clear" w:color="auto" w:fill="auto"/>
            <w:noWrap/>
            <w:vAlign w:val="bottom"/>
          </w:tcPr>
          <w:p w14:paraId="6E82C0C9" w14:textId="77777777" w:rsidR="006E0934" w:rsidRPr="00183F91" w:rsidRDefault="006E0934" w:rsidP="00BC5F94">
            <w:pPr>
              <w:tabs>
                <w:tab w:val="left" w:pos="288"/>
                <w:tab w:val="left" w:pos="576"/>
                <w:tab w:val="left" w:pos="864"/>
                <w:tab w:val="left" w:pos="1152"/>
              </w:tabs>
              <w:spacing w:before="40" w:after="40" w:line="210" w:lineRule="exact"/>
              <w:ind w:right="40"/>
              <w:rPr>
                <w:sz w:val="17"/>
                <w:lang w:val="fr-FR"/>
              </w:rPr>
            </w:pPr>
            <w:r w:rsidRPr="00183F91">
              <w:rPr>
                <w:sz w:val="17"/>
                <w:lang w:val="fr-FR"/>
              </w:rPr>
              <w:t>Centre</w:t>
            </w:r>
          </w:p>
        </w:tc>
        <w:tc>
          <w:tcPr>
            <w:tcW w:w="1035" w:type="dxa"/>
            <w:shd w:val="clear" w:color="auto" w:fill="auto"/>
            <w:noWrap/>
            <w:vAlign w:val="bottom"/>
          </w:tcPr>
          <w:p w14:paraId="292ACB4B" w14:textId="77777777" w:rsidR="006E0934" w:rsidRPr="00183F91" w:rsidRDefault="006E0934" w:rsidP="00BC5F94">
            <w:pPr>
              <w:tabs>
                <w:tab w:val="left" w:pos="288"/>
                <w:tab w:val="left" w:pos="576"/>
                <w:tab w:val="left" w:pos="864"/>
                <w:tab w:val="left" w:pos="1152"/>
              </w:tabs>
              <w:spacing w:before="40" w:after="40" w:line="210" w:lineRule="exact"/>
              <w:ind w:right="43"/>
              <w:jc w:val="right"/>
              <w:rPr>
                <w:sz w:val="17"/>
                <w:lang w:val="fr-FR"/>
              </w:rPr>
            </w:pPr>
            <w:r w:rsidRPr="00183F91">
              <w:rPr>
                <w:sz w:val="17"/>
                <w:lang w:val="fr-FR"/>
              </w:rPr>
              <w:t>40 534</w:t>
            </w:r>
          </w:p>
        </w:tc>
        <w:tc>
          <w:tcPr>
            <w:tcW w:w="1035" w:type="dxa"/>
            <w:shd w:val="clear" w:color="auto" w:fill="auto"/>
            <w:noWrap/>
            <w:vAlign w:val="bottom"/>
          </w:tcPr>
          <w:p w14:paraId="69C5C1DA" w14:textId="77777777" w:rsidR="006E0934" w:rsidRPr="00183F91" w:rsidRDefault="006E0934" w:rsidP="00BC5F94">
            <w:pPr>
              <w:tabs>
                <w:tab w:val="left" w:pos="288"/>
                <w:tab w:val="left" w:pos="576"/>
                <w:tab w:val="left" w:pos="864"/>
                <w:tab w:val="left" w:pos="1152"/>
              </w:tabs>
              <w:spacing w:before="40" w:after="40" w:line="210" w:lineRule="exact"/>
              <w:ind w:right="43"/>
              <w:jc w:val="right"/>
              <w:rPr>
                <w:sz w:val="17"/>
                <w:lang w:val="fr-FR"/>
              </w:rPr>
            </w:pPr>
            <w:r w:rsidRPr="00183F91">
              <w:rPr>
                <w:sz w:val="17"/>
                <w:lang w:val="fr-FR"/>
              </w:rPr>
              <w:t>19 715</w:t>
            </w:r>
          </w:p>
        </w:tc>
        <w:tc>
          <w:tcPr>
            <w:tcW w:w="1035" w:type="dxa"/>
            <w:gridSpan w:val="2"/>
            <w:shd w:val="clear" w:color="auto" w:fill="auto"/>
            <w:noWrap/>
            <w:vAlign w:val="bottom"/>
          </w:tcPr>
          <w:p w14:paraId="62AABE95" w14:textId="77777777" w:rsidR="006E0934" w:rsidRPr="00183F91" w:rsidRDefault="006E0934" w:rsidP="00BC5F94">
            <w:pPr>
              <w:tabs>
                <w:tab w:val="left" w:pos="288"/>
                <w:tab w:val="left" w:pos="576"/>
                <w:tab w:val="left" w:pos="864"/>
                <w:tab w:val="left" w:pos="1152"/>
              </w:tabs>
              <w:spacing w:before="40" w:after="40" w:line="210" w:lineRule="exact"/>
              <w:ind w:right="43"/>
              <w:jc w:val="right"/>
              <w:rPr>
                <w:sz w:val="17"/>
                <w:lang w:val="fr-FR"/>
              </w:rPr>
            </w:pPr>
            <w:r w:rsidRPr="00183F91">
              <w:rPr>
                <w:sz w:val="17"/>
                <w:lang w:val="fr-FR"/>
              </w:rPr>
              <w:t>98 222</w:t>
            </w:r>
          </w:p>
        </w:tc>
        <w:tc>
          <w:tcPr>
            <w:tcW w:w="1035" w:type="dxa"/>
            <w:shd w:val="clear" w:color="auto" w:fill="auto"/>
            <w:noWrap/>
            <w:vAlign w:val="bottom"/>
          </w:tcPr>
          <w:p w14:paraId="4B5E33AB" w14:textId="77777777" w:rsidR="006E0934" w:rsidRPr="00183F91" w:rsidRDefault="006E0934" w:rsidP="00BC5F94">
            <w:pPr>
              <w:tabs>
                <w:tab w:val="left" w:pos="288"/>
                <w:tab w:val="left" w:pos="576"/>
                <w:tab w:val="left" w:pos="864"/>
                <w:tab w:val="left" w:pos="1152"/>
              </w:tabs>
              <w:spacing w:before="40" w:after="40" w:line="210" w:lineRule="exact"/>
              <w:ind w:right="43"/>
              <w:jc w:val="right"/>
              <w:rPr>
                <w:sz w:val="17"/>
                <w:lang w:val="fr-FR"/>
              </w:rPr>
            </w:pPr>
            <w:r w:rsidRPr="00183F91">
              <w:rPr>
                <w:sz w:val="17"/>
                <w:lang w:val="fr-FR"/>
              </w:rPr>
              <w:t>48 915</w:t>
            </w:r>
          </w:p>
        </w:tc>
        <w:tc>
          <w:tcPr>
            <w:tcW w:w="1035" w:type="dxa"/>
            <w:gridSpan w:val="2"/>
            <w:shd w:val="clear" w:color="auto" w:fill="auto"/>
            <w:noWrap/>
            <w:vAlign w:val="bottom"/>
          </w:tcPr>
          <w:p w14:paraId="77F10348" w14:textId="77777777" w:rsidR="006E0934" w:rsidRPr="00183F91" w:rsidRDefault="006E0934" w:rsidP="00BC5F94">
            <w:pPr>
              <w:tabs>
                <w:tab w:val="left" w:pos="288"/>
                <w:tab w:val="left" w:pos="576"/>
                <w:tab w:val="left" w:pos="864"/>
                <w:tab w:val="left" w:pos="1152"/>
              </w:tabs>
              <w:spacing w:before="40" w:after="40" w:line="210" w:lineRule="exact"/>
              <w:ind w:right="43"/>
              <w:jc w:val="right"/>
              <w:rPr>
                <w:sz w:val="17"/>
                <w:lang w:val="fr-FR"/>
              </w:rPr>
            </w:pPr>
            <w:r w:rsidRPr="00183F91">
              <w:rPr>
                <w:sz w:val="17"/>
                <w:lang w:val="fr-FR"/>
              </w:rPr>
              <w:t>4 391</w:t>
            </w:r>
          </w:p>
        </w:tc>
        <w:tc>
          <w:tcPr>
            <w:tcW w:w="1035" w:type="dxa"/>
            <w:shd w:val="clear" w:color="auto" w:fill="auto"/>
            <w:noWrap/>
            <w:vAlign w:val="bottom"/>
          </w:tcPr>
          <w:p w14:paraId="7417CB07" w14:textId="77777777" w:rsidR="006E0934" w:rsidRPr="00183F91" w:rsidRDefault="006E0934" w:rsidP="00BC5F94">
            <w:pPr>
              <w:tabs>
                <w:tab w:val="left" w:pos="288"/>
                <w:tab w:val="left" w:pos="576"/>
                <w:tab w:val="left" w:pos="864"/>
                <w:tab w:val="left" w:pos="1152"/>
              </w:tabs>
              <w:spacing w:before="40" w:after="40" w:line="210" w:lineRule="exact"/>
              <w:ind w:right="43"/>
              <w:jc w:val="right"/>
              <w:rPr>
                <w:sz w:val="17"/>
                <w:lang w:val="fr-FR"/>
              </w:rPr>
            </w:pPr>
            <w:r w:rsidRPr="00183F91">
              <w:rPr>
                <w:sz w:val="17"/>
                <w:lang w:val="fr-FR"/>
              </w:rPr>
              <w:t>2 555</w:t>
            </w:r>
          </w:p>
        </w:tc>
      </w:tr>
      <w:tr w:rsidR="006E0934" w:rsidRPr="00183F91" w14:paraId="611A8BA5" w14:textId="77777777" w:rsidTr="00A57ECA">
        <w:tc>
          <w:tcPr>
            <w:tcW w:w="1034" w:type="dxa"/>
            <w:shd w:val="clear" w:color="auto" w:fill="auto"/>
            <w:noWrap/>
            <w:vAlign w:val="bottom"/>
          </w:tcPr>
          <w:p w14:paraId="2FA506A3" w14:textId="77777777" w:rsidR="006E0934" w:rsidRPr="00183F91" w:rsidRDefault="006E0934" w:rsidP="00BC5F94">
            <w:pPr>
              <w:tabs>
                <w:tab w:val="left" w:pos="288"/>
                <w:tab w:val="left" w:pos="576"/>
                <w:tab w:val="left" w:pos="864"/>
                <w:tab w:val="left" w:pos="1152"/>
              </w:tabs>
              <w:spacing w:before="40" w:after="40" w:line="210" w:lineRule="exact"/>
              <w:ind w:right="40"/>
              <w:rPr>
                <w:sz w:val="17"/>
                <w:lang w:val="fr-FR"/>
              </w:rPr>
            </w:pPr>
            <w:r w:rsidRPr="00183F91">
              <w:rPr>
                <w:sz w:val="17"/>
                <w:lang w:val="fr-FR"/>
              </w:rPr>
              <w:t>Est</w:t>
            </w:r>
          </w:p>
        </w:tc>
        <w:tc>
          <w:tcPr>
            <w:tcW w:w="1035" w:type="dxa"/>
            <w:shd w:val="clear" w:color="auto" w:fill="auto"/>
            <w:noWrap/>
            <w:vAlign w:val="bottom"/>
          </w:tcPr>
          <w:p w14:paraId="68FC6FBB" w14:textId="77777777" w:rsidR="006E0934" w:rsidRPr="00183F91" w:rsidRDefault="006E0934" w:rsidP="00BC5F94">
            <w:pPr>
              <w:tabs>
                <w:tab w:val="left" w:pos="288"/>
                <w:tab w:val="left" w:pos="576"/>
                <w:tab w:val="left" w:pos="864"/>
                <w:tab w:val="left" w:pos="1152"/>
              </w:tabs>
              <w:spacing w:before="40" w:after="40" w:line="210" w:lineRule="exact"/>
              <w:ind w:right="43"/>
              <w:jc w:val="right"/>
              <w:rPr>
                <w:sz w:val="17"/>
                <w:lang w:val="fr-FR"/>
              </w:rPr>
            </w:pPr>
            <w:r w:rsidRPr="00183F91">
              <w:rPr>
                <w:sz w:val="17"/>
                <w:lang w:val="fr-FR"/>
              </w:rPr>
              <w:t>18 830</w:t>
            </w:r>
          </w:p>
        </w:tc>
        <w:tc>
          <w:tcPr>
            <w:tcW w:w="1035" w:type="dxa"/>
            <w:shd w:val="clear" w:color="auto" w:fill="auto"/>
            <w:noWrap/>
            <w:vAlign w:val="bottom"/>
          </w:tcPr>
          <w:p w14:paraId="375754F1" w14:textId="77777777" w:rsidR="006E0934" w:rsidRPr="00183F91" w:rsidRDefault="006E0934" w:rsidP="00BC5F94">
            <w:pPr>
              <w:tabs>
                <w:tab w:val="left" w:pos="288"/>
                <w:tab w:val="left" w:pos="576"/>
                <w:tab w:val="left" w:pos="864"/>
                <w:tab w:val="left" w:pos="1152"/>
              </w:tabs>
              <w:spacing w:before="40" w:after="40" w:line="210" w:lineRule="exact"/>
              <w:ind w:right="43"/>
              <w:jc w:val="right"/>
              <w:rPr>
                <w:sz w:val="17"/>
                <w:lang w:val="fr-FR"/>
              </w:rPr>
            </w:pPr>
            <w:r w:rsidRPr="00183F91">
              <w:rPr>
                <w:sz w:val="17"/>
                <w:lang w:val="fr-FR"/>
              </w:rPr>
              <w:t>9 259</w:t>
            </w:r>
          </w:p>
        </w:tc>
        <w:tc>
          <w:tcPr>
            <w:tcW w:w="1035" w:type="dxa"/>
            <w:gridSpan w:val="2"/>
            <w:shd w:val="clear" w:color="auto" w:fill="auto"/>
            <w:noWrap/>
            <w:vAlign w:val="bottom"/>
          </w:tcPr>
          <w:p w14:paraId="2C626CA1" w14:textId="77777777" w:rsidR="006E0934" w:rsidRPr="00183F91" w:rsidRDefault="006E0934" w:rsidP="00BC5F94">
            <w:pPr>
              <w:tabs>
                <w:tab w:val="left" w:pos="288"/>
                <w:tab w:val="left" w:pos="576"/>
                <w:tab w:val="left" w:pos="864"/>
                <w:tab w:val="left" w:pos="1152"/>
              </w:tabs>
              <w:spacing w:before="40" w:after="40" w:line="210" w:lineRule="exact"/>
              <w:ind w:right="43"/>
              <w:jc w:val="right"/>
              <w:rPr>
                <w:sz w:val="17"/>
                <w:lang w:val="fr-FR"/>
              </w:rPr>
            </w:pPr>
            <w:r w:rsidRPr="00183F91">
              <w:rPr>
                <w:sz w:val="17"/>
                <w:lang w:val="fr-FR"/>
              </w:rPr>
              <w:t>44 136</w:t>
            </w:r>
          </w:p>
        </w:tc>
        <w:tc>
          <w:tcPr>
            <w:tcW w:w="1035" w:type="dxa"/>
            <w:shd w:val="clear" w:color="auto" w:fill="auto"/>
            <w:noWrap/>
            <w:vAlign w:val="bottom"/>
          </w:tcPr>
          <w:p w14:paraId="56EE367A" w14:textId="77777777" w:rsidR="006E0934" w:rsidRPr="00183F91" w:rsidRDefault="006E0934" w:rsidP="00BC5F94">
            <w:pPr>
              <w:tabs>
                <w:tab w:val="left" w:pos="288"/>
                <w:tab w:val="left" w:pos="576"/>
                <w:tab w:val="left" w:pos="864"/>
                <w:tab w:val="left" w:pos="1152"/>
              </w:tabs>
              <w:spacing w:before="40" w:after="40" w:line="210" w:lineRule="exact"/>
              <w:ind w:right="43"/>
              <w:jc w:val="right"/>
              <w:rPr>
                <w:sz w:val="17"/>
                <w:lang w:val="fr-FR"/>
              </w:rPr>
            </w:pPr>
            <w:r w:rsidRPr="00183F91">
              <w:rPr>
                <w:sz w:val="17"/>
                <w:lang w:val="fr-FR"/>
              </w:rPr>
              <w:t>22 068</w:t>
            </w:r>
          </w:p>
        </w:tc>
        <w:tc>
          <w:tcPr>
            <w:tcW w:w="1035" w:type="dxa"/>
            <w:gridSpan w:val="2"/>
            <w:shd w:val="clear" w:color="auto" w:fill="auto"/>
            <w:noWrap/>
            <w:vAlign w:val="bottom"/>
          </w:tcPr>
          <w:p w14:paraId="0BACC5EF" w14:textId="77777777" w:rsidR="006E0934" w:rsidRPr="00183F91" w:rsidRDefault="006E0934" w:rsidP="00BC5F94">
            <w:pPr>
              <w:tabs>
                <w:tab w:val="left" w:pos="288"/>
                <w:tab w:val="left" w:pos="576"/>
                <w:tab w:val="left" w:pos="864"/>
                <w:tab w:val="left" w:pos="1152"/>
              </w:tabs>
              <w:spacing w:before="40" w:after="40" w:line="210" w:lineRule="exact"/>
              <w:ind w:right="43"/>
              <w:jc w:val="right"/>
              <w:rPr>
                <w:sz w:val="17"/>
                <w:lang w:val="fr-FR"/>
              </w:rPr>
            </w:pPr>
            <w:r w:rsidRPr="00183F91">
              <w:rPr>
                <w:sz w:val="17"/>
                <w:lang w:val="fr-FR"/>
              </w:rPr>
              <w:t>1 165</w:t>
            </w:r>
          </w:p>
        </w:tc>
        <w:tc>
          <w:tcPr>
            <w:tcW w:w="1035" w:type="dxa"/>
            <w:shd w:val="clear" w:color="auto" w:fill="auto"/>
            <w:noWrap/>
            <w:vAlign w:val="bottom"/>
          </w:tcPr>
          <w:p w14:paraId="7E320C9B" w14:textId="77777777" w:rsidR="006E0934" w:rsidRPr="00183F91" w:rsidRDefault="006E0934" w:rsidP="00BC5F94">
            <w:pPr>
              <w:tabs>
                <w:tab w:val="left" w:pos="288"/>
                <w:tab w:val="left" w:pos="576"/>
                <w:tab w:val="left" w:pos="864"/>
                <w:tab w:val="left" w:pos="1152"/>
              </w:tabs>
              <w:spacing w:before="40" w:after="40" w:line="210" w:lineRule="exact"/>
              <w:ind w:right="43"/>
              <w:jc w:val="right"/>
              <w:rPr>
                <w:sz w:val="17"/>
                <w:lang w:val="fr-FR"/>
              </w:rPr>
            </w:pPr>
            <w:r w:rsidRPr="00183F91">
              <w:rPr>
                <w:sz w:val="17"/>
                <w:lang w:val="fr-FR"/>
              </w:rPr>
              <w:t>971</w:t>
            </w:r>
          </w:p>
        </w:tc>
      </w:tr>
      <w:tr w:rsidR="006E0934" w:rsidRPr="00183F91" w14:paraId="68CE25F8" w14:textId="77777777" w:rsidTr="00A57ECA">
        <w:tc>
          <w:tcPr>
            <w:tcW w:w="1034" w:type="dxa"/>
            <w:tcBorders>
              <w:bottom w:val="single" w:sz="12" w:space="0" w:color="auto"/>
            </w:tcBorders>
            <w:shd w:val="clear" w:color="auto" w:fill="auto"/>
            <w:noWrap/>
            <w:vAlign w:val="bottom"/>
          </w:tcPr>
          <w:p w14:paraId="526C242A" w14:textId="77777777" w:rsidR="006E0934" w:rsidRPr="00183F91" w:rsidRDefault="006E0934" w:rsidP="00BC5F94">
            <w:pPr>
              <w:tabs>
                <w:tab w:val="left" w:pos="288"/>
                <w:tab w:val="left" w:pos="576"/>
                <w:tab w:val="left" w:pos="864"/>
                <w:tab w:val="left" w:pos="1152"/>
              </w:tabs>
              <w:spacing w:before="40" w:after="40" w:line="210" w:lineRule="exact"/>
              <w:ind w:right="40"/>
              <w:rPr>
                <w:sz w:val="17"/>
                <w:lang w:val="fr-FR"/>
              </w:rPr>
            </w:pPr>
            <w:r w:rsidRPr="00183F91">
              <w:rPr>
                <w:sz w:val="17"/>
                <w:lang w:val="fr-FR"/>
              </w:rPr>
              <w:t>Oulan-Bator</w:t>
            </w:r>
          </w:p>
        </w:tc>
        <w:tc>
          <w:tcPr>
            <w:tcW w:w="1035" w:type="dxa"/>
            <w:tcBorders>
              <w:bottom w:val="single" w:sz="12" w:space="0" w:color="auto"/>
            </w:tcBorders>
            <w:shd w:val="clear" w:color="auto" w:fill="auto"/>
            <w:noWrap/>
            <w:vAlign w:val="bottom"/>
          </w:tcPr>
          <w:p w14:paraId="19B43654" w14:textId="7C550AA9" w:rsidR="006E0934" w:rsidRPr="00183F91" w:rsidRDefault="006E0934" w:rsidP="00BC5F94">
            <w:pPr>
              <w:tabs>
                <w:tab w:val="left" w:pos="288"/>
                <w:tab w:val="left" w:pos="576"/>
                <w:tab w:val="left" w:pos="864"/>
                <w:tab w:val="left" w:pos="1152"/>
              </w:tabs>
              <w:spacing w:before="40" w:after="40" w:line="210" w:lineRule="exact"/>
              <w:ind w:right="43"/>
              <w:jc w:val="right"/>
              <w:rPr>
                <w:sz w:val="17"/>
                <w:lang w:val="fr-FR"/>
              </w:rPr>
            </w:pPr>
            <w:r w:rsidRPr="00183F91">
              <w:rPr>
                <w:sz w:val="17"/>
                <w:lang w:val="fr-FR"/>
              </w:rPr>
              <w:t>118</w:t>
            </w:r>
            <w:r w:rsidR="006D4306" w:rsidRPr="00183F91">
              <w:rPr>
                <w:color w:val="FF0000"/>
                <w:sz w:val="17"/>
                <w:lang w:val="fr-FR"/>
              </w:rPr>
              <w:t xml:space="preserve"> </w:t>
            </w:r>
            <w:r w:rsidRPr="00183F91">
              <w:rPr>
                <w:sz w:val="17"/>
                <w:lang w:val="fr-FR"/>
              </w:rPr>
              <w:t>135</w:t>
            </w:r>
          </w:p>
        </w:tc>
        <w:tc>
          <w:tcPr>
            <w:tcW w:w="1035" w:type="dxa"/>
            <w:tcBorders>
              <w:bottom w:val="single" w:sz="12" w:space="0" w:color="auto"/>
            </w:tcBorders>
            <w:shd w:val="clear" w:color="auto" w:fill="auto"/>
            <w:noWrap/>
            <w:vAlign w:val="bottom"/>
          </w:tcPr>
          <w:p w14:paraId="3194EA8A" w14:textId="77777777" w:rsidR="006E0934" w:rsidRPr="00183F91" w:rsidRDefault="006E0934" w:rsidP="00BC5F94">
            <w:pPr>
              <w:tabs>
                <w:tab w:val="left" w:pos="288"/>
                <w:tab w:val="left" w:pos="576"/>
                <w:tab w:val="left" w:pos="864"/>
                <w:tab w:val="left" w:pos="1152"/>
              </w:tabs>
              <w:spacing w:before="40" w:after="40" w:line="210" w:lineRule="exact"/>
              <w:ind w:right="43"/>
              <w:jc w:val="right"/>
              <w:rPr>
                <w:sz w:val="17"/>
                <w:lang w:val="fr-FR"/>
              </w:rPr>
            </w:pPr>
            <w:r w:rsidRPr="00183F91">
              <w:rPr>
                <w:sz w:val="17"/>
                <w:lang w:val="fr-FR"/>
              </w:rPr>
              <w:t>58 031</w:t>
            </w:r>
          </w:p>
        </w:tc>
        <w:tc>
          <w:tcPr>
            <w:tcW w:w="1035" w:type="dxa"/>
            <w:gridSpan w:val="2"/>
            <w:tcBorders>
              <w:bottom w:val="single" w:sz="12" w:space="0" w:color="auto"/>
            </w:tcBorders>
            <w:shd w:val="clear" w:color="auto" w:fill="auto"/>
            <w:noWrap/>
            <w:vAlign w:val="bottom"/>
          </w:tcPr>
          <w:p w14:paraId="38F6888D" w14:textId="77777777" w:rsidR="006E0934" w:rsidRPr="00183F91" w:rsidRDefault="006E0934" w:rsidP="00BC5F94">
            <w:pPr>
              <w:tabs>
                <w:tab w:val="left" w:pos="288"/>
                <w:tab w:val="left" w:pos="576"/>
                <w:tab w:val="left" w:pos="864"/>
                <w:tab w:val="left" w:pos="1152"/>
              </w:tabs>
              <w:spacing w:before="40" w:after="40" w:line="210" w:lineRule="exact"/>
              <w:ind w:right="43"/>
              <w:jc w:val="right"/>
              <w:rPr>
                <w:sz w:val="17"/>
                <w:lang w:val="fr-FR"/>
              </w:rPr>
            </w:pPr>
            <w:r w:rsidRPr="00183F91">
              <w:rPr>
                <w:sz w:val="17"/>
                <w:lang w:val="fr-FR"/>
              </w:rPr>
              <w:t>291 516</w:t>
            </w:r>
          </w:p>
        </w:tc>
        <w:tc>
          <w:tcPr>
            <w:tcW w:w="1035" w:type="dxa"/>
            <w:tcBorders>
              <w:bottom w:val="single" w:sz="12" w:space="0" w:color="auto"/>
            </w:tcBorders>
            <w:shd w:val="clear" w:color="auto" w:fill="auto"/>
            <w:noWrap/>
            <w:vAlign w:val="bottom"/>
          </w:tcPr>
          <w:p w14:paraId="64E14996" w14:textId="77777777" w:rsidR="006E0934" w:rsidRPr="00183F91" w:rsidRDefault="006E0934" w:rsidP="00BC5F94">
            <w:pPr>
              <w:tabs>
                <w:tab w:val="left" w:pos="288"/>
                <w:tab w:val="left" w:pos="576"/>
                <w:tab w:val="left" w:pos="864"/>
                <w:tab w:val="left" w:pos="1152"/>
              </w:tabs>
              <w:spacing w:before="40" w:after="40" w:line="210" w:lineRule="exact"/>
              <w:ind w:right="43"/>
              <w:jc w:val="right"/>
              <w:rPr>
                <w:sz w:val="17"/>
                <w:lang w:val="fr-FR"/>
              </w:rPr>
            </w:pPr>
            <w:r w:rsidRPr="00183F91">
              <w:rPr>
                <w:sz w:val="17"/>
                <w:lang w:val="fr-FR"/>
              </w:rPr>
              <w:t>145 223</w:t>
            </w:r>
          </w:p>
        </w:tc>
        <w:tc>
          <w:tcPr>
            <w:tcW w:w="1035" w:type="dxa"/>
            <w:gridSpan w:val="2"/>
            <w:tcBorders>
              <w:bottom w:val="single" w:sz="12" w:space="0" w:color="auto"/>
            </w:tcBorders>
            <w:shd w:val="clear" w:color="auto" w:fill="auto"/>
            <w:noWrap/>
            <w:vAlign w:val="bottom"/>
          </w:tcPr>
          <w:p w14:paraId="31D0DA75" w14:textId="77777777" w:rsidR="006E0934" w:rsidRPr="00183F91" w:rsidRDefault="006E0934" w:rsidP="00BC5F94">
            <w:pPr>
              <w:tabs>
                <w:tab w:val="left" w:pos="288"/>
                <w:tab w:val="left" w:pos="576"/>
                <w:tab w:val="left" w:pos="864"/>
                <w:tab w:val="left" w:pos="1152"/>
              </w:tabs>
              <w:spacing w:before="40" w:after="40" w:line="210" w:lineRule="exact"/>
              <w:ind w:right="43"/>
              <w:jc w:val="right"/>
              <w:rPr>
                <w:sz w:val="17"/>
                <w:lang w:val="fr-FR"/>
              </w:rPr>
            </w:pPr>
            <w:r w:rsidRPr="00183F91">
              <w:rPr>
                <w:sz w:val="17"/>
                <w:lang w:val="fr-FR"/>
              </w:rPr>
              <w:t>136 397</w:t>
            </w:r>
          </w:p>
        </w:tc>
        <w:tc>
          <w:tcPr>
            <w:tcW w:w="1035" w:type="dxa"/>
            <w:tcBorders>
              <w:bottom w:val="single" w:sz="12" w:space="0" w:color="auto"/>
            </w:tcBorders>
            <w:shd w:val="clear" w:color="auto" w:fill="auto"/>
            <w:noWrap/>
            <w:vAlign w:val="bottom"/>
          </w:tcPr>
          <w:p w14:paraId="3459819D" w14:textId="77777777" w:rsidR="006E0934" w:rsidRPr="00183F91" w:rsidRDefault="006E0934" w:rsidP="00BC5F94">
            <w:pPr>
              <w:tabs>
                <w:tab w:val="left" w:pos="288"/>
                <w:tab w:val="left" w:pos="576"/>
                <w:tab w:val="left" w:pos="864"/>
                <w:tab w:val="left" w:pos="1152"/>
              </w:tabs>
              <w:spacing w:before="40" w:after="40" w:line="210" w:lineRule="exact"/>
              <w:ind w:right="43"/>
              <w:jc w:val="right"/>
              <w:rPr>
                <w:sz w:val="17"/>
                <w:lang w:val="fr-FR"/>
              </w:rPr>
            </w:pPr>
            <w:r w:rsidRPr="00183F91">
              <w:rPr>
                <w:sz w:val="17"/>
                <w:lang w:val="fr-FR"/>
              </w:rPr>
              <w:t>82 380</w:t>
            </w:r>
          </w:p>
        </w:tc>
      </w:tr>
    </w:tbl>
    <w:p w14:paraId="7C1668F2" w14:textId="54490802" w:rsidR="006E0934" w:rsidRPr="00183F91" w:rsidRDefault="006E0934" w:rsidP="004417E0">
      <w:pPr>
        <w:pStyle w:val="SingleTxt"/>
        <w:spacing w:after="0" w:line="120" w:lineRule="exact"/>
        <w:rPr>
          <w:sz w:val="10"/>
          <w:lang w:val="fr-FR"/>
        </w:rPr>
      </w:pPr>
    </w:p>
    <w:p w14:paraId="503CBFF4" w14:textId="018E8EB9" w:rsidR="006E0934" w:rsidRPr="00183F91" w:rsidRDefault="006E0934" w:rsidP="00A57ECA">
      <w:pPr>
        <w:pStyle w:val="FootnoteText"/>
        <w:tabs>
          <w:tab w:val="right" w:pos="1476"/>
          <w:tab w:val="left" w:pos="1548"/>
          <w:tab w:val="right" w:pos="1836"/>
          <w:tab w:val="left" w:pos="1908"/>
        </w:tabs>
        <w:ind w:left="1548" w:right="1267" w:hanging="288"/>
        <w:rPr>
          <w:lang w:val="fr-FR"/>
        </w:rPr>
      </w:pPr>
      <w:r w:rsidRPr="000821D9">
        <w:rPr>
          <w:i/>
          <w:iCs/>
          <w:lang w:val="fr-FR"/>
        </w:rPr>
        <w:t>Source</w:t>
      </w:r>
      <w:r w:rsidR="00442D55" w:rsidRPr="00183F91">
        <w:rPr>
          <w:lang w:val="fr-FR"/>
        </w:rPr>
        <w:t> :</w:t>
      </w:r>
      <w:r w:rsidRPr="00183F91">
        <w:rPr>
          <w:lang w:val="fr-FR"/>
        </w:rPr>
        <w:t xml:space="preserve"> Institut national de la statistique, </w:t>
      </w:r>
      <w:hyperlink r:id="rId23" w:history="1">
        <w:r w:rsidR="004417E0" w:rsidRPr="000821D9">
          <w:rPr>
            <w:rStyle w:val="Hyperlink"/>
            <w:lang w:val="fr-FR"/>
          </w:rPr>
          <w:t>www.1212.mn</w:t>
        </w:r>
      </w:hyperlink>
      <w:r w:rsidRPr="00183F91">
        <w:rPr>
          <w:lang w:val="fr-FR"/>
        </w:rPr>
        <w:t>.</w:t>
      </w:r>
    </w:p>
    <w:p w14:paraId="0430130A" w14:textId="7F208354" w:rsidR="004417E0" w:rsidRPr="000821D9" w:rsidRDefault="004417E0" w:rsidP="004417E0">
      <w:pPr>
        <w:pStyle w:val="SingleTxt"/>
        <w:spacing w:after="0" w:line="120" w:lineRule="exact"/>
        <w:rPr>
          <w:i/>
          <w:iCs/>
          <w:sz w:val="10"/>
          <w:lang w:val="fr-FR"/>
        </w:rPr>
      </w:pPr>
    </w:p>
    <w:p w14:paraId="1D5B221B" w14:textId="6D2FB29E" w:rsidR="004417E0" w:rsidRPr="00183F91" w:rsidRDefault="004417E0" w:rsidP="001B0EC2">
      <w:pPr>
        <w:pStyle w:val="SingleTxt"/>
        <w:spacing w:after="0" w:line="120" w:lineRule="exact"/>
        <w:rPr>
          <w:i/>
          <w:sz w:val="10"/>
          <w:lang w:val="fr-FR"/>
        </w:rPr>
      </w:pPr>
    </w:p>
    <w:p w14:paraId="59E45307" w14:textId="77777777" w:rsidR="00093F62" w:rsidRPr="000821D9" w:rsidRDefault="00093F62" w:rsidP="004417E0">
      <w:pPr>
        <w:pStyle w:val="SingleTxt"/>
        <w:spacing w:after="0" w:line="120" w:lineRule="exact"/>
        <w:rPr>
          <w:i/>
          <w:sz w:val="10"/>
          <w:lang w:val="fr-FR"/>
        </w:rPr>
      </w:pPr>
    </w:p>
    <w:p w14:paraId="459CD1FA" w14:textId="5FD3D90A" w:rsidR="006E0934" w:rsidRPr="00183F91" w:rsidRDefault="006E0934" w:rsidP="004417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83F91">
        <w:rPr>
          <w:lang w:val="fr-FR"/>
        </w:rPr>
        <w:tab/>
      </w:r>
      <w:r w:rsidRPr="00183F91">
        <w:rPr>
          <w:lang w:val="fr-FR"/>
        </w:rPr>
        <w:tab/>
        <w:t>Taux d</w:t>
      </w:r>
      <w:r w:rsidR="00442D55" w:rsidRPr="00183F91">
        <w:rPr>
          <w:lang w:val="fr-FR"/>
        </w:rPr>
        <w:t>’</w:t>
      </w:r>
      <w:r w:rsidRPr="00183F91">
        <w:rPr>
          <w:lang w:val="fr-FR"/>
        </w:rPr>
        <w:t>abandon des filles enceintes et taux de retour à l</w:t>
      </w:r>
      <w:r w:rsidR="00442D55" w:rsidRPr="00183F91">
        <w:rPr>
          <w:lang w:val="fr-FR"/>
        </w:rPr>
        <w:t>’</w:t>
      </w:r>
      <w:r w:rsidRPr="00183F91">
        <w:rPr>
          <w:lang w:val="fr-FR"/>
        </w:rPr>
        <w:t>école</w:t>
      </w:r>
    </w:p>
    <w:p w14:paraId="757DE5D9" w14:textId="79E7A745" w:rsidR="004417E0" w:rsidRPr="00183F91" w:rsidRDefault="004417E0" w:rsidP="004417E0">
      <w:pPr>
        <w:pStyle w:val="SingleTxt"/>
        <w:spacing w:after="0" w:line="120" w:lineRule="exact"/>
        <w:rPr>
          <w:sz w:val="10"/>
          <w:lang w:val="fr-FR"/>
        </w:rPr>
      </w:pPr>
    </w:p>
    <w:p w14:paraId="2C303199" w14:textId="1DE474CF" w:rsidR="006E0934" w:rsidRPr="00183F91" w:rsidRDefault="006E0934" w:rsidP="004417E0">
      <w:pPr>
        <w:pStyle w:val="SingleTxt"/>
        <w:numPr>
          <w:ilvl w:val="0"/>
          <w:numId w:val="43"/>
        </w:numPr>
        <w:spacing w:line="240" w:lineRule="exact"/>
        <w:ind w:left="1267"/>
        <w:rPr>
          <w:lang w:val="fr-FR"/>
        </w:rPr>
      </w:pPr>
      <w:r w:rsidRPr="00183F91">
        <w:rPr>
          <w:lang w:val="fr-FR"/>
        </w:rPr>
        <w:t>Aucune statistique officielle sur cette question n</w:t>
      </w:r>
      <w:r w:rsidR="00442D55" w:rsidRPr="00183F91">
        <w:rPr>
          <w:lang w:val="fr-FR"/>
        </w:rPr>
        <w:t>’</w:t>
      </w:r>
      <w:r w:rsidRPr="00183F91">
        <w:rPr>
          <w:lang w:val="fr-FR"/>
        </w:rPr>
        <w:t>est disponible.</w:t>
      </w:r>
    </w:p>
    <w:p w14:paraId="5976D9A6" w14:textId="3F8899B5" w:rsidR="004417E0" w:rsidRPr="00183F91" w:rsidRDefault="004417E0" w:rsidP="004417E0">
      <w:pPr>
        <w:pStyle w:val="SingleTxt"/>
        <w:spacing w:after="0" w:line="120" w:lineRule="exact"/>
        <w:rPr>
          <w:sz w:val="10"/>
          <w:lang w:val="fr-FR"/>
        </w:rPr>
      </w:pPr>
    </w:p>
    <w:p w14:paraId="4FEB82E3" w14:textId="3DE7EAF6" w:rsidR="006E0934" w:rsidRPr="00183F91" w:rsidRDefault="006E0934" w:rsidP="004417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83F91">
        <w:rPr>
          <w:lang w:val="fr-FR"/>
        </w:rPr>
        <w:tab/>
      </w:r>
      <w:r w:rsidRPr="00183F91">
        <w:rPr>
          <w:lang w:val="fr-FR"/>
        </w:rPr>
        <w:tab/>
        <w:t>Nombre de filles absentes de l</w:t>
      </w:r>
      <w:r w:rsidR="00442D55" w:rsidRPr="00183F91">
        <w:rPr>
          <w:lang w:val="fr-FR"/>
        </w:rPr>
        <w:t>’</w:t>
      </w:r>
      <w:r w:rsidRPr="00183F91">
        <w:rPr>
          <w:lang w:val="fr-FR"/>
        </w:rPr>
        <w:t>école en raison de leurs obligations relatives à</w:t>
      </w:r>
      <w:r w:rsidR="004417E0" w:rsidRPr="00183F91">
        <w:rPr>
          <w:lang w:val="fr-FR"/>
        </w:rPr>
        <w:t> </w:t>
      </w:r>
      <w:r w:rsidRPr="00183F91">
        <w:rPr>
          <w:lang w:val="fr-FR"/>
        </w:rPr>
        <w:t>l</w:t>
      </w:r>
      <w:r w:rsidR="00442D55" w:rsidRPr="00183F91">
        <w:rPr>
          <w:lang w:val="fr-FR"/>
        </w:rPr>
        <w:t>’</w:t>
      </w:r>
      <w:r w:rsidRPr="00183F91">
        <w:rPr>
          <w:lang w:val="fr-FR"/>
        </w:rPr>
        <w:t>élevage du bétail</w:t>
      </w:r>
    </w:p>
    <w:p w14:paraId="4C341C10" w14:textId="06256DAE" w:rsidR="004417E0" w:rsidRPr="00183F91" w:rsidRDefault="004417E0" w:rsidP="004417E0">
      <w:pPr>
        <w:pStyle w:val="SingleTxt"/>
        <w:spacing w:after="0" w:line="120" w:lineRule="exact"/>
        <w:rPr>
          <w:sz w:val="10"/>
          <w:lang w:val="fr-FR"/>
        </w:rPr>
      </w:pPr>
    </w:p>
    <w:p w14:paraId="1909232C" w14:textId="3E2F9A7D" w:rsidR="006E0934" w:rsidRPr="00183F91" w:rsidRDefault="006E0934" w:rsidP="004417E0">
      <w:pPr>
        <w:pStyle w:val="SingleTxt"/>
        <w:numPr>
          <w:ilvl w:val="0"/>
          <w:numId w:val="43"/>
        </w:numPr>
        <w:spacing w:line="240" w:lineRule="exact"/>
        <w:ind w:left="1267"/>
        <w:rPr>
          <w:lang w:val="fr-FR"/>
        </w:rPr>
      </w:pPr>
      <w:r w:rsidRPr="00183F91">
        <w:rPr>
          <w:lang w:val="fr-FR"/>
        </w:rPr>
        <w:t>Selon les données relatives aux enfants non scolarisés, durant l</w:t>
      </w:r>
      <w:r w:rsidR="00442D55" w:rsidRPr="00183F91">
        <w:rPr>
          <w:lang w:val="fr-FR"/>
        </w:rPr>
        <w:t>’</w:t>
      </w:r>
      <w:r w:rsidRPr="00183F91">
        <w:rPr>
          <w:lang w:val="fr-FR"/>
        </w:rPr>
        <w:t>année scolaire 2018-2019, 15</w:t>
      </w:r>
      <w:r w:rsidR="00BE2441" w:rsidRPr="00183F91">
        <w:rPr>
          <w:lang w:val="fr-FR"/>
        </w:rPr>
        <w:t> </w:t>
      </w:r>
      <w:r w:rsidRPr="00183F91">
        <w:rPr>
          <w:lang w:val="fr-FR"/>
        </w:rPr>
        <w:t>317 enfants âgés de 6 à 10 ans (dont 52,2</w:t>
      </w:r>
      <w:r w:rsidR="00BE2441" w:rsidRPr="00183F91">
        <w:rPr>
          <w:lang w:val="fr-FR"/>
        </w:rPr>
        <w:t> </w:t>
      </w:r>
      <w:r w:rsidRPr="00183F91">
        <w:rPr>
          <w:lang w:val="fr-FR"/>
        </w:rPr>
        <w:t>% de garçons et 47,8</w:t>
      </w:r>
      <w:r w:rsidR="00BE2441" w:rsidRPr="00183F91">
        <w:rPr>
          <w:lang w:val="fr-FR"/>
        </w:rPr>
        <w:t> </w:t>
      </w:r>
      <w:r w:rsidRPr="00183F91">
        <w:rPr>
          <w:lang w:val="fr-FR"/>
        </w:rPr>
        <w:t>% de filles) qui devaient fréquenter les classes de niveaux 1 à 5 et 13</w:t>
      </w:r>
      <w:r w:rsidR="00BE2441" w:rsidRPr="00183F91">
        <w:rPr>
          <w:lang w:val="fr-FR"/>
        </w:rPr>
        <w:t> </w:t>
      </w:r>
      <w:r w:rsidRPr="00183F91">
        <w:rPr>
          <w:lang w:val="fr-FR"/>
        </w:rPr>
        <w:t>835 enfants âgés de 11 à 14 ans (dont 52,9</w:t>
      </w:r>
      <w:r w:rsidR="00BE2441" w:rsidRPr="00183F91">
        <w:rPr>
          <w:lang w:val="fr-FR"/>
        </w:rPr>
        <w:t> </w:t>
      </w:r>
      <w:r w:rsidRPr="00183F91">
        <w:rPr>
          <w:lang w:val="fr-FR"/>
        </w:rPr>
        <w:t>% de garçons et 47,1</w:t>
      </w:r>
      <w:r w:rsidR="00BE2441" w:rsidRPr="00183F91">
        <w:rPr>
          <w:lang w:val="fr-FR"/>
        </w:rPr>
        <w:t> </w:t>
      </w:r>
      <w:r w:rsidRPr="00183F91">
        <w:rPr>
          <w:lang w:val="fr-FR"/>
        </w:rPr>
        <w:t>% de filles) qui devraient fréquenter les classes de niveaux 6 à 9 n</w:t>
      </w:r>
      <w:r w:rsidR="00442D55" w:rsidRPr="00183F91">
        <w:rPr>
          <w:lang w:val="fr-FR"/>
        </w:rPr>
        <w:t>’</w:t>
      </w:r>
      <w:r w:rsidRPr="00183F91">
        <w:rPr>
          <w:lang w:val="fr-FR"/>
        </w:rPr>
        <w:t>avaient pas été scolarisés pour une raison ou une autre. Il n</w:t>
      </w:r>
      <w:r w:rsidR="00442D55" w:rsidRPr="00183F91">
        <w:rPr>
          <w:lang w:val="fr-FR"/>
        </w:rPr>
        <w:t>’</w:t>
      </w:r>
      <w:r w:rsidRPr="00183F91">
        <w:rPr>
          <w:lang w:val="fr-FR"/>
        </w:rPr>
        <w:t>est pas possible de déterminer si leur non-scolarisation est due à l</w:t>
      </w:r>
      <w:r w:rsidR="00442D55" w:rsidRPr="00183F91">
        <w:rPr>
          <w:lang w:val="fr-FR"/>
        </w:rPr>
        <w:t>’</w:t>
      </w:r>
      <w:r w:rsidRPr="00183F91">
        <w:rPr>
          <w:lang w:val="fr-FR"/>
        </w:rPr>
        <w:t>élevage du bétail car ces renseignements n</w:t>
      </w:r>
      <w:r w:rsidR="00442D55" w:rsidRPr="00183F91">
        <w:rPr>
          <w:lang w:val="fr-FR"/>
        </w:rPr>
        <w:t>’</w:t>
      </w:r>
      <w:r w:rsidRPr="00183F91">
        <w:rPr>
          <w:lang w:val="fr-FR"/>
        </w:rPr>
        <w:t>ont pas été recueillis ni traités.</w:t>
      </w:r>
    </w:p>
    <w:p w14:paraId="0E970742" w14:textId="3E5D30F5" w:rsidR="006E0934" w:rsidRPr="00183F91" w:rsidRDefault="006E0934" w:rsidP="004417E0">
      <w:pPr>
        <w:pStyle w:val="SingleTxt"/>
        <w:spacing w:after="0" w:line="120" w:lineRule="exact"/>
        <w:rPr>
          <w:sz w:val="10"/>
          <w:lang w:val="fr-FR"/>
        </w:rPr>
      </w:pPr>
    </w:p>
    <w:p w14:paraId="182BE99E" w14:textId="67AE183B" w:rsidR="004417E0" w:rsidRPr="00183F91" w:rsidRDefault="004417E0" w:rsidP="004417E0">
      <w:pPr>
        <w:pStyle w:val="SingleTxt"/>
        <w:spacing w:after="0" w:line="120" w:lineRule="exact"/>
        <w:rPr>
          <w:sz w:val="10"/>
          <w:lang w:val="fr-FR"/>
        </w:rPr>
      </w:pPr>
    </w:p>
    <w:p w14:paraId="0F5C550F" w14:textId="4DB257FB" w:rsidR="00EB1136" w:rsidRPr="00183F91" w:rsidRDefault="004417E0" w:rsidP="004417E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83F91">
        <w:rPr>
          <w:lang w:val="fr-FR"/>
        </w:rPr>
        <w:tab/>
      </w:r>
      <w:r w:rsidR="00EB1136" w:rsidRPr="00183F91">
        <w:rPr>
          <w:lang w:val="fr-FR"/>
        </w:rPr>
        <w:t>O.</w:t>
      </w:r>
      <w:r w:rsidR="00EB1136" w:rsidRPr="00183F91">
        <w:rPr>
          <w:lang w:val="fr-FR"/>
        </w:rPr>
        <w:tab/>
        <w:t>Réponse au paragraphe 14 de la liste de points</w:t>
      </w:r>
    </w:p>
    <w:p w14:paraId="4DE60476" w14:textId="0C45F943" w:rsidR="004417E0" w:rsidRPr="00183F91" w:rsidRDefault="004417E0" w:rsidP="004417E0">
      <w:pPr>
        <w:pStyle w:val="SingleTxt"/>
        <w:spacing w:after="0" w:line="120" w:lineRule="exact"/>
        <w:rPr>
          <w:sz w:val="10"/>
          <w:lang w:val="fr-FR"/>
        </w:rPr>
      </w:pPr>
    </w:p>
    <w:p w14:paraId="7378435F" w14:textId="67BD9104" w:rsidR="004417E0" w:rsidRPr="00183F91" w:rsidRDefault="004417E0" w:rsidP="004417E0">
      <w:pPr>
        <w:pStyle w:val="SingleTxt"/>
        <w:spacing w:after="0" w:line="120" w:lineRule="exact"/>
        <w:rPr>
          <w:sz w:val="10"/>
          <w:lang w:val="fr-FR"/>
        </w:rPr>
      </w:pPr>
    </w:p>
    <w:p w14:paraId="6437D1D3" w14:textId="05044550" w:rsidR="00EB1136" w:rsidRPr="00183F91" w:rsidRDefault="00EB1136" w:rsidP="004417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83F91">
        <w:rPr>
          <w:lang w:val="fr-FR"/>
        </w:rPr>
        <w:tab/>
      </w:r>
      <w:r w:rsidRPr="00183F91">
        <w:rPr>
          <w:lang w:val="fr-FR"/>
        </w:rPr>
        <w:tab/>
        <w:t>Modèle de l</w:t>
      </w:r>
      <w:r w:rsidR="00442D55" w:rsidRPr="00183F91">
        <w:rPr>
          <w:lang w:val="fr-FR"/>
        </w:rPr>
        <w:t>’</w:t>
      </w:r>
      <w:r w:rsidRPr="00183F91">
        <w:rPr>
          <w:lang w:val="fr-FR"/>
        </w:rPr>
        <w:t>école sûre</w:t>
      </w:r>
    </w:p>
    <w:p w14:paraId="43A838EA" w14:textId="279C4EC3" w:rsidR="004417E0" w:rsidRPr="00183F91" w:rsidRDefault="004417E0" w:rsidP="004417E0">
      <w:pPr>
        <w:pStyle w:val="SingleTxt"/>
        <w:spacing w:after="0" w:line="120" w:lineRule="exact"/>
        <w:rPr>
          <w:sz w:val="10"/>
          <w:lang w:val="fr-FR"/>
        </w:rPr>
      </w:pPr>
    </w:p>
    <w:p w14:paraId="4C798064" w14:textId="15F9B4DF" w:rsidR="00EB1136" w:rsidRPr="00183F91" w:rsidRDefault="00EB1136" w:rsidP="004417E0">
      <w:pPr>
        <w:pStyle w:val="SingleTxt"/>
        <w:numPr>
          <w:ilvl w:val="0"/>
          <w:numId w:val="43"/>
        </w:numPr>
        <w:spacing w:line="240" w:lineRule="exact"/>
        <w:ind w:left="1267"/>
        <w:rPr>
          <w:lang w:val="fr-FR"/>
        </w:rPr>
      </w:pPr>
      <w:r w:rsidRPr="00183F91">
        <w:rPr>
          <w:lang w:val="fr-FR"/>
        </w:rPr>
        <w:t>Beaucoup d</w:t>
      </w:r>
      <w:r w:rsidR="00442D55" w:rsidRPr="00183F91">
        <w:rPr>
          <w:lang w:val="fr-FR"/>
        </w:rPr>
        <w:t>’</w:t>
      </w:r>
      <w:r w:rsidRPr="00183F91">
        <w:rPr>
          <w:lang w:val="fr-FR"/>
        </w:rPr>
        <w:t>efforts ont été déployés pour assurer la sécurité des enfants d</w:t>
      </w:r>
      <w:r w:rsidR="00442D55" w:rsidRPr="00183F91">
        <w:rPr>
          <w:lang w:val="fr-FR"/>
        </w:rPr>
        <w:t>’</w:t>
      </w:r>
      <w:r w:rsidRPr="00183F91">
        <w:rPr>
          <w:lang w:val="fr-FR"/>
        </w:rPr>
        <w:t>âge scolaire et pour protéger les enfants contre les abus à l</w:t>
      </w:r>
      <w:r w:rsidR="00442D55" w:rsidRPr="00183F91">
        <w:rPr>
          <w:lang w:val="fr-FR"/>
        </w:rPr>
        <w:t>’</w:t>
      </w:r>
      <w:r w:rsidRPr="00183F91">
        <w:rPr>
          <w:lang w:val="fr-FR"/>
        </w:rPr>
        <w:t>école, dans les internats et dans d</w:t>
      </w:r>
      <w:r w:rsidR="00442D55" w:rsidRPr="00183F91">
        <w:rPr>
          <w:lang w:val="fr-FR"/>
        </w:rPr>
        <w:t>’</w:t>
      </w:r>
      <w:r w:rsidRPr="00183F91">
        <w:rPr>
          <w:lang w:val="fr-FR"/>
        </w:rPr>
        <w:t>autres contextes sociaux. Par exemple, le programme consacré à la protection de l</w:t>
      </w:r>
      <w:r w:rsidR="00442D55" w:rsidRPr="00183F91">
        <w:rPr>
          <w:lang w:val="fr-FR"/>
        </w:rPr>
        <w:t>’</w:t>
      </w:r>
      <w:r w:rsidRPr="00183F91">
        <w:rPr>
          <w:lang w:val="fr-FR"/>
        </w:rPr>
        <w:t>enfance à l</w:t>
      </w:r>
      <w:r w:rsidR="00442D55" w:rsidRPr="00183F91">
        <w:rPr>
          <w:lang w:val="fr-FR"/>
        </w:rPr>
        <w:t>’</w:t>
      </w:r>
      <w:r w:rsidRPr="00183F91">
        <w:rPr>
          <w:lang w:val="fr-FR"/>
        </w:rPr>
        <w:t>école est mis en œuvre dans 32 écoles de 21 aïmags et 9 districts. Dans ce cadre, 54 formations et campagnes de sensibilisation ont été organisées pour mobiliser davantage les parents et les enfants, ce qui a permis de fournir des informations à plus de 7</w:t>
      </w:r>
      <w:r w:rsidR="00BE2441" w:rsidRPr="00183F91">
        <w:rPr>
          <w:lang w:val="fr-FR"/>
        </w:rPr>
        <w:t> </w:t>
      </w:r>
      <w:r w:rsidRPr="00183F91">
        <w:rPr>
          <w:lang w:val="fr-FR"/>
        </w:rPr>
        <w:t>500 parents et 29</w:t>
      </w:r>
      <w:r w:rsidR="00BE2441" w:rsidRPr="00183F91">
        <w:rPr>
          <w:lang w:val="fr-FR"/>
        </w:rPr>
        <w:t> </w:t>
      </w:r>
      <w:r w:rsidRPr="00183F91">
        <w:rPr>
          <w:lang w:val="fr-FR"/>
        </w:rPr>
        <w:t>000 enfants. En conséquence, les crimes contre les enfants et le taux de criminalité dans ces 32 écoles ont diminué de 12,8</w:t>
      </w:r>
      <w:r w:rsidR="00BE2441" w:rsidRPr="00183F91">
        <w:rPr>
          <w:lang w:val="fr-FR"/>
        </w:rPr>
        <w:t> </w:t>
      </w:r>
      <w:r w:rsidRPr="00183F91">
        <w:rPr>
          <w:lang w:val="fr-FR"/>
        </w:rPr>
        <w:t>% au cours du premier semestre de 2019 par rapport à 2018.</w:t>
      </w:r>
    </w:p>
    <w:p w14:paraId="6C3F5604" w14:textId="75712557" w:rsidR="00EB1136" w:rsidRPr="00183F91" w:rsidRDefault="00EB1136" w:rsidP="004417E0">
      <w:pPr>
        <w:pStyle w:val="SingleTxt"/>
        <w:numPr>
          <w:ilvl w:val="0"/>
          <w:numId w:val="43"/>
        </w:numPr>
        <w:spacing w:line="240" w:lineRule="exact"/>
        <w:ind w:left="1267"/>
        <w:rPr>
          <w:lang w:val="fr-FR"/>
        </w:rPr>
      </w:pPr>
      <w:r w:rsidRPr="00183F91">
        <w:rPr>
          <w:lang w:val="fr-FR"/>
        </w:rPr>
        <w:t xml:space="preserve">Le programme </w:t>
      </w:r>
      <w:r w:rsidR="00442D55" w:rsidRPr="00183F91">
        <w:rPr>
          <w:lang w:val="fr-FR"/>
        </w:rPr>
        <w:t>« </w:t>
      </w:r>
      <w:r w:rsidRPr="00183F91">
        <w:rPr>
          <w:lang w:val="fr-FR"/>
        </w:rPr>
        <w:t>Vivre en sécurité</w:t>
      </w:r>
      <w:r w:rsidR="00442D55" w:rsidRPr="00183F91">
        <w:rPr>
          <w:lang w:val="fr-FR"/>
        </w:rPr>
        <w:t> »</w:t>
      </w:r>
      <w:r w:rsidRPr="00183F91">
        <w:rPr>
          <w:lang w:val="fr-FR"/>
        </w:rPr>
        <w:t xml:space="preserve"> a été approuvé par arrêté du Ministère de l</w:t>
      </w:r>
      <w:r w:rsidR="00442D55" w:rsidRPr="00183F91">
        <w:rPr>
          <w:lang w:val="fr-FR"/>
        </w:rPr>
        <w:t>’</w:t>
      </w:r>
      <w:r w:rsidRPr="00183F91">
        <w:rPr>
          <w:lang w:val="fr-FR"/>
        </w:rPr>
        <w:t>éducation, de la culture et des sciences n</w:t>
      </w:r>
      <w:r w:rsidR="00BE2441" w:rsidRPr="00183F91">
        <w:rPr>
          <w:vertAlign w:val="superscript"/>
          <w:lang w:val="fr-FR"/>
        </w:rPr>
        <w:t>o</w:t>
      </w:r>
      <w:r w:rsidR="00BE2441" w:rsidRPr="00183F91">
        <w:rPr>
          <w:lang w:val="fr-FR"/>
        </w:rPr>
        <w:t> </w:t>
      </w:r>
      <w:r w:rsidR="00FE3428" w:rsidRPr="000821D9">
        <w:t>A/181</w:t>
      </w:r>
      <w:r w:rsidRPr="00183F91">
        <w:rPr>
          <w:lang w:val="fr-FR"/>
        </w:rPr>
        <w:t xml:space="preserve"> de 2018 et a été publié avec un manuel pour l</w:t>
      </w:r>
      <w:r w:rsidR="00442D55" w:rsidRPr="00183F91">
        <w:rPr>
          <w:lang w:val="fr-FR"/>
        </w:rPr>
        <w:t>’</w:t>
      </w:r>
      <w:r w:rsidRPr="00183F91">
        <w:rPr>
          <w:lang w:val="fr-FR"/>
        </w:rPr>
        <w:t>enseignement préprimaire et secondaire et distribué aux écoles et garderies dans tout le pays. Le programme a vocation à aider les enfants à acquérir les compétences et les connaissances appropriées à leur âge pour aider les autres, se protéger ou demander de l</w:t>
      </w:r>
      <w:r w:rsidR="00442D55" w:rsidRPr="00183F91">
        <w:rPr>
          <w:lang w:val="fr-FR"/>
        </w:rPr>
        <w:t>’</w:t>
      </w:r>
      <w:r w:rsidRPr="00183F91">
        <w:rPr>
          <w:lang w:val="fr-FR"/>
        </w:rPr>
        <w:t>aide dans des situations à risque, comme un tremblement de terre, une catastrophe, une épidémie ou d</w:t>
      </w:r>
      <w:r w:rsidR="00442D55" w:rsidRPr="00183F91">
        <w:rPr>
          <w:lang w:val="fr-FR"/>
        </w:rPr>
        <w:t>’</w:t>
      </w:r>
      <w:r w:rsidRPr="00183F91">
        <w:rPr>
          <w:lang w:val="fr-FR"/>
        </w:rPr>
        <w:t>autres conditions météorologiques extrêmes.</w:t>
      </w:r>
    </w:p>
    <w:p w14:paraId="54D3C18D" w14:textId="2AA26300" w:rsidR="00EB1136" w:rsidRPr="00183F91" w:rsidRDefault="00EB1136" w:rsidP="004417E0">
      <w:pPr>
        <w:pStyle w:val="SingleTxt"/>
        <w:numPr>
          <w:ilvl w:val="0"/>
          <w:numId w:val="43"/>
        </w:numPr>
        <w:spacing w:line="240" w:lineRule="exact"/>
        <w:ind w:left="1267"/>
        <w:rPr>
          <w:lang w:val="fr-FR"/>
        </w:rPr>
      </w:pPr>
      <w:r w:rsidRPr="00183F91">
        <w:rPr>
          <w:lang w:val="fr-FR"/>
        </w:rPr>
        <w:lastRenderedPageBreak/>
        <w:t>Afin de mettre en œuvre efficacement le programme, l</w:t>
      </w:r>
      <w:r w:rsidR="00442D55" w:rsidRPr="00183F91">
        <w:rPr>
          <w:lang w:val="fr-FR"/>
        </w:rPr>
        <w:t>’</w:t>
      </w:r>
      <w:r w:rsidRPr="00183F91">
        <w:rPr>
          <w:lang w:val="fr-FR"/>
        </w:rPr>
        <w:t>arrêté conjoint du Ministre de l</w:t>
      </w:r>
      <w:r w:rsidR="00442D55" w:rsidRPr="00183F91">
        <w:rPr>
          <w:lang w:val="fr-FR"/>
        </w:rPr>
        <w:t>’</w:t>
      </w:r>
      <w:r w:rsidRPr="00183F91">
        <w:rPr>
          <w:lang w:val="fr-FR"/>
        </w:rPr>
        <w:t xml:space="preserve">éducation, de la culture et des sports et du Vice-Premier </w:t>
      </w:r>
      <w:r w:rsidR="00D61BD1" w:rsidRPr="00183F91">
        <w:rPr>
          <w:lang w:val="fr-FR"/>
        </w:rPr>
        <w:t>M</w:t>
      </w:r>
      <w:r w:rsidRPr="00183F91">
        <w:rPr>
          <w:lang w:val="fr-FR"/>
        </w:rPr>
        <w:t>inistre de Mongolie a été approuvé dans le but d</w:t>
      </w:r>
      <w:r w:rsidR="00442D55" w:rsidRPr="00183F91">
        <w:rPr>
          <w:lang w:val="fr-FR"/>
        </w:rPr>
        <w:t>’</w:t>
      </w:r>
      <w:r w:rsidRPr="00183F91">
        <w:rPr>
          <w:lang w:val="fr-FR"/>
        </w:rPr>
        <w:t>améliorer la coopération et d</w:t>
      </w:r>
      <w:r w:rsidR="00442D55" w:rsidRPr="00183F91">
        <w:rPr>
          <w:lang w:val="fr-FR"/>
        </w:rPr>
        <w:t>’</w:t>
      </w:r>
      <w:r w:rsidRPr="00183F91">
        <w:rPr>
          <w:lang w:val="fr-FR"/>
        </w:rPr>
        <w:t>instaurer un climat favorable entre l</w:t>
      </w:r>
      <w:r w:rsidR="00442D55" w:rsidRPr="00183F91">
        <w:rPr>
          <w:lang w:val="fr-FR"/>
        </w:rPr>
        <w:t>’</w:t>
      </w:r>
      <w:r w:rsidRPr="00183F91">
        <w:rPr>
          <w:lang w:val="fr-FR"/>
        </w:rPr>
        <w:t>administration de l</w:t>
      </w:r>
      <w:r w:rsidR="00442D55" w:rsidRPr="00183F91">
        <w:rPr>
          <w:lang w:val="fr-FR"/>
        </w:rPr>
        <w:t>’</w:t>
      </w:r>
      <w:r w:rsidRPr="00183F91">
        <w:rPr>
          <w:lang w:val="fr-FR"/>
        </w:rPr>
        <w:t>État et les autorités locales, les écoles, les garderies et les organisations spécialisées. En outre, conformément à l</w:t>
      </w:r>
      <w:r w:rsidR="00442D55" w:rsidRPr="00183F91">
        <w:rPr>
          <w:lang w:val="fr-FR"/>
        </w:rPr>
        <w:t>’</w:t>
      </w:r>
      <w:r w:rsidRPr="00183F91">
        <w:rPr>
          <w:lang w:val="fr-FR"/>
        </w:rPr>
        <w:t>arrêté n</w:t>
      </w:r>
      <w:r w:rsidR="00BE2441" w:rsidRPr="00183F91">
        <w:rPr>
          <w:vertAlign w:val="superscript"/>
          <w:lang w:val="fr-FR"/>
        </w:rPr>
        <w:t>o</w:t>
      </w:r>
      <w:r w:rsidR="00BE2441" w:rsidRPr="00183F91">
        <w:rPr>
          <w:lang w:val="fr-FR"/>
        </w:rPr>
        <w:t> </w:t>
      </w:r>
      <w:r w:rsidR="002011DB" w:rsidRPr="000821D9">
        <w:t>A/10</w:t>
      </w:r>
      <w:r w:rsidRPr="00183F91">
        <w:rPr>
          <w:lang w:val="fr-FR"/>
        </w:rPr>
        <w:t xml:space="preserve"> de 2019, des recommandations méthodologiques ont été élaborées et envoyées aux enseignants aux fins de la mise en œuvre du programme d</w:t>
      </w:r>
      <w:r w:rsidR="00442D55" w:rsidRPr="00183F91">
        <w:rPr>
          <w:lang w:val="fr-FR"/>
        </w:rPr>
        <w:t>’</w:t>
      </w:r>
      <w:r w:rsidRPr="00183F91">
        <w:rPr>
          <w:lang w:val="fr-FR"/>
        </w:rPr>
        <w:t xml:space="preserve">études </w:t>
      </w:r>
      <w:r w:rsidR="00442D55" w:rsidRPr="00183F91">
        <w:rPr>
          <w:lang w:val="fr-FR"/>
        </w:rPr>
        <w:t>« </w:t>
      </w:r>
      <w:r w:rsidRPr="00183F91">
        <w:rPr>
          <w:lang w:val="fr-FR"/>
        </w:rPr>
        <w:t>Vivre en sécurité</w:t>
      </w:r>
      <w:r w:rsidR="00442D55" w:rsidRPr="00183F91">
        <w:rPr>
          <w:lang w:val="fr-FR"/>
        </w:rPr>
        <w:t> »</w:t>
      </w:r>
      <w:r w:rsidRPr="00183F91">
        <w:rPr>
          <w:lang w:val="fr-FR"/>
        </w:rPr>
        <w:t xml:space="preserve"> dans les écoles secondaires. </w:t>
      </w:r>
    </w:p>
    <w:p w14:paraId="5AB51FDA" w14:textId="0C352CDD" w:rsidR="00EB1136" w:rsidRPr="00183F91" w:rsidRDefault="00EB1136" w:rsidP="004417E0">
      <w:pPr>
        <w:pStyle w:val="SingleTxt"/>
        <w:numPr>
          <w:ilvl w:val="0"/>
          <w:numId w:val="43"/>
        </w:numPr>
        <w:spacing w:line="240" w:lineRule="exact"/>
        <w:ind w:left="1267"/>
        <w:rPr>
          <w:lang w:val="fr-FR"/>
        </w:rPr>
      </w:pPr>
      <w:r w:rsidRPr="00183F91">
        <w:rPr>
          <w:lang w:val="fr-FR"/>
        </w:rPr>
        <w:t xml:space="preserve">En 2019, 489 milliards de </w:t>
      </w:r>
      <w:r w:rsidR="00A66DA3" w:rsidRPr="00183F91">
        <w:rPr>
          <w:lang w:val="fr-FR"/>
        </w:rPr>
        <w:t>togrog</w:t>
      </w:r>
      <w:r w:rsidRPr="00183F91">
        <w:rPr>
          <w:lang w:val="fr-FR"/>
        </w:rPr>
        <w:t>s ont été injectés dans le secteur de l</w:t>
      </w:r>
      <w:r w:rsidR="00442D55" w:rsidRPr="00183F91">
        <w:rPr>
          <w:lang w:val="fr-FR"/>
        </w:rPr>
        <w:t>’</w:t>
      </w:r>
      <w:r w:rsidRPr="00183F91">
        <w:rPr>
          <w:lang w:val="fr-FR"/>
        </w:rPr>
        <w:t>enseignement général, soit une augmentation de 131,1</w:t>
      </w:r>
      <w:r w:rsidR="00BE2441" w:rsidRPr="00183F91">
        <w:rPr>
          <w:lang w:val="fr-FR"/>
        </w:rPr>
        <w:t> </w:t>
      </w:r>
      <w:r w:rsidRPr="00183F91">
        <w:rPr>
          <w:lang w:val="fr-FR"/>
        </w:rPr>
        <w:t>% par rapport à 2017, et, en 2020, pour la première fois dans l</w:t>
      </w:r>
      <w:r w:rsidR="00442D55" w:rsidRPr="00183F91">
        <w:rPr>
          <w:lang w:val="fr-FR"/>
        </w:rPr>
        <w:t>’</w:t>
      </w:r>
      <w:r w:rsidRPr="00183F91">
        <w:rPr>
          <w:lang w:val="fr-FR"/>
        </w:rPr>
        <w:t>histoire de l</w:t>
      </w:r>
      <w:r w:rsidR="00442D55" w:rsidRPr="00183F91">
        <w:rPr>
          <w:lang w:val="fr-FR"/>
        </w:rPr>
        <w:t>’</w:t>
      </w:r>
      <w:r w:rsidRPr="00183F91">
        <w:rPr>
          <w:lang w:val="fr-FR"/>
        </w:rPr>
        <w:t>enseignement général, il n</w:t>
      </w:r>
      <w:r w:rsidR="00442D55" w:rsidRPr="00183F91">
        <w:rPr>
          <w:lang w:val="fr-FR"/>
        </w:rPr>
        <w:t>’</w:t>
      </w:r>
      <w:r w:rsidRPr="00183F91">
        <w:rPr>
          <w:lang w:val="fr-FR"/>
        </w:rPr>
        <w:t>y a pas d</w:t>
      </w:r>
      <w:r w:rsidR="00442D55" w:rsidRPr="00183F91">
        <w:rPr>
          <w:lang w:val="fr-FR"/>
        </w:rPr>
        <w:t>’</w:t>
      </w:r>
      <w:r w:rsidRPr="00183F91">
        <w:rPr>
          <w:lang w:val="fr-FR"/>
        </w:rPr>
        <w:t>écoles à vacation triple. Les élèves devraient ressentir une nette différence car cela leur évitera de se retrouver dans des situations risquées</w:t>
      </w:r>
      <w:r w:rsidR="00442D55" w:rsidRPr="00183F91">
        <w:rPr>
          <w:lang w:val="fr-FR"/>
        </w:rPr>
        <w:t> :</w:t>
      </w:r>
      <w:r w:rsidRPr="00183F91">
        <w:rPr>
          <w:lang w:val="fr-FR"/>
        </w:rPr>
        <w:t xml:space="preserve"> par exemple, rentrer tard chez eux dans l</w:t>
      </w:r>
      <w:r w:rsidR="00442D55" w:rsidRPr="00183F91">
        <w:rPr>
          <w:lang w:val="fr-FR"/>
        </w:rPr>
        <w:t>’</w:t>
      </w:r>
      <w:r w:rsidRPr="00183F91">
        <w:rPr>
          <w:lang w:val="fr-FR"/>
        </w:rPr>
        <w:t>obscurité.</w:t>
      </w:r>
    </w:p>
    <w:p w14:paraId="7193E208" w14:textId="0B02D439" w:rsidR="00EB1136" w:rsidRPr="00183F91" w:rsidRDefault="00EB1136" w:rsidP="004417E0">
      <w:pPr>
        <w:pStyle w:val="SingleTxt"/>
        <w:numPr>
          <w:ilvl w:val="0"/>
          <w:numId w:val="43"/>
        </w:numPr>
        <w:spacing w:line="240" w:lineRule="exact"/>
        <w:ind w:left="1267"/>
        <w:rPr>
          <w:lang w:val="fr-FR"/>
        </w:rPr>
      </w:pPr>
      <w:bookmarkStart w:id="10" w:name="_Hlk43371905"/>
      <w:r w:rsidRPr="00183F91">
        <w:rPr>
          <w:lang w:val="fr-FR"/>
        </w:rPr>
        <w:t>Dans le cadre du service de bus scolaire mis en place pour assurer la sécurité des élèves des écoles secondaires générales des grandes agglomérations et villes, qui parcourent de nombreux kilomètres entre leur école et leur domicile éloigné, 6 bus ont été mis en service en octobre 2019 pour desservir 5 écoles d</w:t>
      </w:r>
      <w:r w:rsidR="00442D55" w:rsidRPr="00183F91">
        <w:rPr>
          <w:lang w:val="fr-FR"/>
        </w:rPr>
        <w:t>’</w:t>
      </w:r>
      <w:r w:rsidRPr="00183F91">
        <w:rPr>
          <w:lang w:val="fr-FR"/>
        </w:rPr>
        <w:t xml:space="preserve">enseignement spécialisé et 1 garderie. </w:t>
      </w:r>
      <w:bookmarkEnd w:id="10"/>
      <w:r w:rsidRPr="00183F91">
        <w:rPr>
          <w:lang w:val="fr-FR"/>
        </w:rPr>
        <w:t>Aujourd</w:t>
      </w:r>
      <w:r w:rsidR="00442D55" w:rsidRPr="00183F91">
        <w:rPr>
          <w:lang w:val="fr-FR"/>
        </w:rPr>
        <w:t>’</w:t>
      </w:r>
      <w:r w:rsidRPr="00183F91">
        <w:rPr>
          <w:lang w:val="fr-FR"/>
        </w:rPr>
        <w:t>hui, le ramassage scolaire concerne 7</w:t>
      </w:r>
      <w:r w:rsidR="00BE2441" w:rsidRPr="00183F91">
        <w:rPr>
          <w:lang w:val="fr-FR"/>
        </w:rPr>
        <w:t> </w:t>
      </w:r>
      <w:r w:rsidRPr="00183F91">
        <w:rPr>
          <w:lang w:val="fr-FR"/>
        </w:rPr>
        <w:t>209 élèves au total</w:t>
      </w:r>
      <w:r w:rsidR="00442D55" w:rsidRPr="00183F91">
        <w:rPr>
          <w:lang w:val="fr-FR"/>
        </w:rPr>
        <w:t> :</w:t>
      </w:r>
      <w:r w:rsidRPr="00183F91">
        <w:rPr>
          <w:lang w:val="fr-FR"/>
        </w:rPr>
        <w:t xml:space="preserve"> 152 bus pour 56 écoles, dont 41 bus dans 33 écoles et 1 jardin d</w:t>
      </w:r>
      <w:r w:rsidR="00442D55" w:rsidRPr="00183F91">
        <w:rPr>
          <w:lang w:val="fr-FR"/>
        </w:rPr>
        <w:t>’</w:t>
      </w:r>
      <w:r w:rsidRPr="00183F91">
        <w:rPr>
          <w:lang w:val="fr-FR"/>
        </w:rPr>
        <w:t>enfants du système publique, 127 bus dans 25 écoles privées. Onze bus supplémentaires sont en service par rapport à la même période en 2018. Dans 8 aïmags, 26 bus sont en service pour transporter 4</w:t>
      </w:r>
      <w:r w:rsidR="00BE2441" w:rsidRPr="00183F91">
        <w:rPr>
          <w:lang w:val="fr-FR"/>
        </w:rPr>
        <w:t> </w:t>
      </w:r>
      <w:r w:rsidRPr="00183F91">
        <w:rPr>
          <w:lang w:val="fr-FR"/>
        </w:rPr>
        <w:t>377 élèves.</w:t>
      </w:r>
    </w:p>
    <w:p w14:paraId="51534611" w14:textId="757A87B4" w:rsidR="00EB1136" w:rsidRPr="00183F91" w:rsidRDefault="00EB1136" w:rsidP="004417E0">
      <w:pPr>
        <w:pStyle w:val="SingleTxt"/>
        <w:numPr>
          <w:ilvl w:val="0"/>
          <w:numId w:val="43"/>
        </w:numPr>
        <w:spacing w:line="240" w:lineRule="exact"/>
        <w:ind w:left="1267"/>
        <w:rPr>
          <w:bCs/>
          <w:lang w:val="fr-FR"/>
        </w:rPr>
      </w:pPr>
      <w:r w:rsidRPr="00183F91">
        <w:rPr>
          <w:lang w:val="fr-FR"/>
        </w:rPr>
        <w:t>L</w:t>
      </w:r>
      <w:r w:rsidR="00442D55" w:rsidRPr="00183F91">
        <w:rPr>
          <w:lang w:val="fr-FR"/>
        </w:rPr>
        <w:t>’</w:t>
      </w:r>
      <w:r w:rsidRPr="00183F91">
        <w:rPr>
          <w:lang w:val="fr-FR"/>
        </w:rPr>
        <w:t>arrêté du Ministère de l</w:t>
      </w:r>
      <w:r w:rsidR="00442D55" w:rsidRPr="00183F91">
        <w:rPr>
          <w:lang w:val="fr-FR"/>
        </w:rPr>
        <w:t>’</w:t>
      </w:r>
      <w:r w:rsidRPr="00183F91">
        <w:rPr>
          <w:lang w:val="fr-FR"/>
        </w:rPr>
        <w:t>éducation, de la culture et des sciences n</w:t>
      </w:r>
      <w:r w:rsidR="00BE2441" w:rsidRPr="00183F91">
        <w:rPr>
          <w:vertAlign w:val="superscript"/>
          <w:lang w:val="fr-FR"/>
        </w:rPr>
        <w:t>o</w:t>
      </w:r>
      <w:r w:rsidR="00BE2441" w:rsidRPr="00183F91">
        <w:rPr>
          <w:lang w:val="fr-FR"/>
        </w:rPr>
        <w:t> </w:t>
      </w:r>
      <w:r w:rsidR="009041B2" w:rsidRPr="000821D9">
        <w:t>A/119</w:t>
      </w:r>
      <w:r w:rsidRPr="00183F91">
        <w:rPr>
          <w:lang w:val="fr-FR"/>
        </w:rPr>
        <w:t xml:space="preserve"> de 2019 porte approbation d</w:t>
      </w:r>
      <w:r w:rsidR="00442D55" w:rsidRPr="00183F91">
        <w:rPr>
          <w:lang w:val="fr-FR"/>
        </w:rPr>
        <w:t>’</w:t>
      </w:r>
      <w:r w:rsidRPr="00183F91">
        <w:rPr>
          <w:lang w:val="fr-FR"/>
        </w:rPr>
        <w:t>une procédure visant à accroître la participation et la responsabilité des parents, des tuteurs, des citoyens et de la communauté dans l</w:t>
      </w:r>
      <w:r w:rsidR="00442D55" w:rsidRPr="00183F91">
        <w:rPr>
          <w:lang w:val="fr-FR"/>
        </w:rPr>
        <w:t>’</w:t>
      </w:r>
      <w:r w:rsidRPr="00183F91">
        <w:rPr>
          <w:lang w:val="fr-FR"/>
        </w:rPr>
        <w:t>enseignement secondaire général. Dans le cadre de cette procédure, tous les directeurs ont été chargés de mettre en œuvre un plan visant à mobiliser davantage les parents, les tuteurs, les citoyens et le grand public dans les activités de l</w:t>
      </w:r>
      <w:r w:rsidR="00442D55" w:rsidRPr="00183F91">
        <w:rPr>
          <w:lang w:val="fr-FR"/>
        </w:rPr>
        <w:t>’</w:t>
      </w:r>
      <w:r w:rsidRPr="00183F91">
        <w:rPr>
          <w:lang w:val="fr-FR"/>
        </w:rPr>
        <w:t>école primaire et à accroître leurs responsabilités. En outre, l</w:t>
      </w:r>
      <w:r w:rsidR="00442D55" w:rsidRPr="00183F91">
        <w:rPr>
          <w:lang w:val="fr-FR"/>
        </w:rPr>
        <w:t>’</w:t>
      </w:r>
      <w:r w:rsidRPr="00183F91">
        <w:rPr>
          <w:lang w:val="fr-FR"/>
        </w:rPr>
        <w:t>arrêté ministériel n</w:t>
      </w:r>
      <w:r w:rsidR="00BE2441" w:rsidRPr="00183F91">
        <w:rPr>
          <w:vertAlign w:val="superscript"/>
          <w:lang w:val="fr-FR"/>
        </w:rPr>
        <w:t>o</w:t>
      </w:r>
      <w:r w:rsidR="00BE2441" w:rsidRPr="00183F91">
        <w:rPr>
          <w:lang w:val="fr-FR"/>
        </w:rPr>
        <w:t> </w:t>
      </w:r>
      <w:r w:rsidR="009041B2" w:rsidRPr="000821D9">
        <w:t>A/508</w:t>
      </w:r>
      <w:r w:rsidRPr="00183F91">
        <w:rPr>
          <w:lang w:val="fr-FR"/>
        </w:rPr>
        <w:t xml:space="preserve"> (2019) porte création et approbation du modèle d</w:t>
      </w:r>
      <w:r w:rsidR="00442D55" w:rsidRPr="00183F91">
        <w:rPr>
          <w:lang w:val="fr-FR"/>
        </w:rPr>
        <w:t>’</w:t>
      </w:r>
      <w:r w:rsidRPr="00183F91">
        <w:rPr>
          <w:lang w:val="fr-FR"/>
        </w:rPr>
        <w:t>accords entre écoles maternelles et secondaires d</w:t>
      </w:r>
      <w:r w:rsidR="00442D55" w:rsidRPr="00183F91">
        <w:rPr>
          <w:lang w:val="fr-FR"/>
        </w:rPr>
        <w:t>’</w:t>
      </w:r>
      <w:r w:rsidRPr="00183F91">
        <w:rPr>
          <w:lang w:val="fr-FR"/>
        </w:rPr>
        <w:t>une part et parents et tuteurs d</w:t>
      </w:r>
      <w:r w:rsidR="00442D55" w:rsidRPr="00183F91">
        <w:rPr>
          <w:lang w:val="fr-FR"/>
        </w:rPr>
        <w:t>’</w:t>
      </w:r>
      <w:r w:rsidRPr="00183F91">
        <w:rPr>
          <w:lang w:val="fr-FR"/>
        </w:rPr>
        <w:t>autre part.</w:t>
      </w:r>
    </w:p>
    <w:p w14:paraId="02B3C914" w14:textId="78B5008B" w:rsidR="00EB1136" w:rsidRPr="00183F91" w:rsidRDefault="00EB1136" w:rsidP="004417E0">
      <w:pPr>
        <w:pStyle w:val="SingleTxt"/>
        <w:numPr>
          <w:ilvl w:val="0"/>
          <w:numId w:val="43"/>
        </w:numPr>
        <w:spacing w:line="240" w:lineRule="exact"/>
        <w:ind w:left="1267"/>
        <w:rPr>
          <w:bCs/>
          <w:lang w:val="fr-FR"/>
        </w:rPr>
      </w:pPr>
      <w:r w:rsidRPr="00183F91">
        <w:rPr>
          <w:lang w:val="fr-FR"/>
        </w:rPr>
        <w:t>Conformément à l</w:t>
      </w:r>
      <w:r w:rsidR="00442D55" w:rsidRPr="00183F91">
        <w:rPr>
          <w:lang w:val="fr-FR"/>
        </w:rPr>
        <w:t>’</w:t>
      </w:r>
      <w:r w:rsidRPr="00183F91">
        <w:rPr>
          <w:lang w:val="fr-FR"/>
        </w:rPr>
        <w:t>arrêté ministériel n</w:t>
      </w:r>
      <w:r w:rsidR="00BE2441" w:rsidRPr="00183F91">
        <w:rPr>
          <w:vertAlign w:val="superscript"/>
          <w:lang w:val="fr-FR"/>
        </w:rPr>
        <w:t>o</w:t>
      </w:r>
      <w:r w:rsidR="00BE2441" w:rsidRPr="00183F91">
        <w:rPr>
          <w:lang w:val="fr-FR"/>
        </w:rPr>
        <w:t> </w:t>
      </w:r>
      <w:r w:rsidR="009041B2" w:rsidRPr="000821D9">
        <w:t>A/426</w:t>
      </w:r>
      <w:r w:rsidRPr="00183F91">
        <w:rPr>
          <w:lang w:val="fr-FR"/>
        </w:rPr>
        <w:t>, le Plan à moyen terme pour l</w:t>
      </w:r>
      <w:r w:rsidR="00442D55" w:rsidRPr="00183F91">
        <w:rPr>
          <w:lang w:val="fr-FR"/>
        </w:rPr>
        <w:t>’</w:t>
      </w:r>
      <w:r w:rsidRPr="00183F91">
        <w:rPr>
          <w:lang w:val="fr-FR"/>
        </w:rPr>
        <w:t>amélioration de l</w:t>
      </w:r>
      <w:r w:rsidR="00442D55" w:rsidRPr="00183F91">
        <w:rPr>
          <w:lang w:val="fr-FR"/>
        </w:rPr>
        <w:t>’</w:t>
      </w:r>
      <w:r w:rsidRPr="00183F91">
        <w:rPr>
          <w:lang w:val="fr-FR"/>
        </w:rPr>
        <w:t>environnement et des services en internat a été approuvé et mis en œuvre sur la base des résultats de l</w:t>
      </w:r>
      <w:r w:rsidR="00442D55" w:rsidRPr="00183F91">
        <w:rPr>
          <w:lang w:val="fr-FR"/>
        </w:rPr>
        <w:t>’</w:t>
      </w:r>
      <w:r w:rsidRPr="00183F91">
        <w:rPr>
          <w:lang w:val="fr-FR"/>
        </w:rPr>
        <w:t>étude de l</w:t>
      </w:r>
      <w:r w:rsidR="00442D55" w:rsidRPr="00183F91">
        <w:rPr>
          <w:lang w:val="fr-FR"/>
        </w:rPr>
        <w:t>’</w:t>
      </w:r>
      <w:r w:rsidRPr="00183F91">
        <w:rPr>
          <w:lang w:val="fr-FR"/>
        </w:rPr>
        <w:t>état actuel des conditions de vie en internat et du développement et de la protection des enfants dans les écoles secondaires générales.</w:t>
      </w:r>
    </w:p>
    <w:p w14:paraId="4635C202" w14:textId="0272B623" w:rsidR="00EB1136" w:rsidRPr="00183F91" w:rsidRDefault="00EB1136" w:rsidP="004417E0">
      <w:pPr>
        <w:pStyle w:val="SingleTxt"/>
        <w:numPr>
          <w:ilvl w:val="0"/>
          <w:numId w:val="43"/>
        </w:numPr>
        <w:spacing w:line="240" w:lineRule="exact"/>
        <w:ind w:left="1267"/>
        <w:rPr>
          <w:lang w:val="fr-FR"/>
        </w:rPr>
      </w:pPr>
      <w:r w:rsidRPr="00183F91">
        <w:rPr>
          <w:lang w:val="fr-FR"/>
        </w:rPr>
        <w:t>Conformément à l</w:t>
      </w:r>
      <w:r w:rsidR="00442D55" w:rsidRPr="00183F91">
        <w:rPr>
          <w:lang w:val="fr-FR"/>
        </w:rPr>
        <w:t>’</w:t>
      </w:r>
      <w:r w:rsidRPr="00183F91">
        <w:rPr>
          <w:lang w:val="fr-FR"/>
        </w:rPr>
        <w:t>arrêté du chef de la normalisation et de la métrologie n</w:t>
      </w:r>
      <w:r w:rsidR="00BE2441" w:rsidRPr="00183F91">
        <w:rPr>
          <w:vertAlign w:val="superscript"/>
          <w:lang w:val="fr-FR"/>
        </w:rPr>
        <w:t>o</w:t>
      </w:r>
      <w:r w:rsidR="00BE2441" w:rsidRPr="00183F91">
        <w:rPr>
          <w:lang w:val="fr-FR"/>
        </w:rPr>
        <w:t> </w:t>
      </w:r>
      <w:r w:rsidRPr="00183F91">
        <w:rPr>
          <w:lang w:val="fr-FR"/>
        </w:rPr>
        <w:t>C/40 de 2019, la norme MNS6781 de 2019 sur les exigences générales relatives aux installations et services d</w:t>
      </w:r>
      <w:r w:rsidR="00442D55" w:rsidRPr="00183F91">
        <w:rPr>
          <w:lang w:val="fr-FR"/>
        </w:rPr>
        <w:t>’</w:t>
      </w:r>
      <w:r w:rsidRPr="00183F91">
        <w:rPr>
          <w:lang w:val="fr-FR"/>
        </w:rPr>
        <w:t>internat pour les élèves des écoles secondaires générales et la norme MNS6799 de 2019 sur l</w:t>
      </w:r>
      <w:r w:rsidR="00442D55" w:rsidRPr="00183F91">
        <w:rPr>
          <w:lang w:val="fr-FR"/>
        </w:rPr>
        <w:t>’</w:t>
      </w:r>
      <w:r w:rsidRPr="00183F91">
        <w:rPr>
          <w:lang w:val="fr-FR"/>
        </w:rPr>
        <w:t>hygiène des jardins d</w:t>
      </w:r>
      <w:r w:rsidR="00442D55" w:rsidRPr="00183F91">
        <w:rPr>
          <w:lang w:val="fr-FR"/>
        </w:rPr>
        <w:t>’</w:t>
      </w:r>
      <w:r w:rsidRPr="00183F91">
        <w:rPr>
          <w:lang w:val="fr-FR"/>
        </w:rPr>
        <w:t>enfants et garderies et des écoles secondaires générales ont été approuvées. Grâce à ces normes, les internes peuvent bénéficier d</w:t>
      </w:r>
      <w:r w:rsidR="00442D55" w:rsidRPr="00183F91">
        <w:rPr>
          <w:lang w:val="fr-FR"/>
        </w:rPr>
        <w:t>’</w:t>
      </w:r>
      <w:r w:rsidRPr="00183F91">
        <w:rPr>
          <w:lang w:val="fr-FR"/>
        </w:rPr>
        <w:t>un environnement sain et confortable dans les dortoirs, ainsi que d</w:t>
      </w:r>
      <w:r w:rsidR="00442D55" w:rsidRPr="00183F91">
        <w:rPr>
          <w:lang w:val="fr-FR"/>
        </w:rPr>
        <w:t>’</w:t>
      </w:r>
      <w:r w:rsidRPr="00183F91">
        <w:rPr>
          <w:lang w:val="fr-FR"/>
        </w:rPr>
        <w:t xml:space="preserve">autres possibilités de développement personnel et de protection contre les dangers domestiques. En outre, ils sont protégés contre la violence, les influences extérieures et la criminalité. </w:t>
      </w:r>
      <w:bookmarkStart w:id="11" w:name="_Hlk43372158"/>
      <w:r w:rsidRPr="00183F91">
        <w:rPr>
          <w:lang w:val="fr-FR"/>
        </w:rPr>
        <w:t>Selon cette norme, un enseignant infirmier</w:t>
      </w:r>
      <w:r w:rsidR="00EC69C4" w:rsidRPr="00183F91">
        <w:rPr>
          <w:lang w:val="fr-FR"/>
        </w:rPr>
        <w:t xml:space="preserve"> ou enseignante infirmière</w:t>
      </w:r>
      <w:r w:rsidRPr="00183F91">
        <w:rPr>
          <w:lang w:val="fr-FR"/>
        </w:rPr>
        <w:t xml:space="preserve"> est chargé</w:t>
      </w:r>
      <w:r w:rsidR="00EC69C4" w:rsidRPr="00183F91">
        <w:rPr>
          <w:lang w:val="fr-FR"/>
        </w:rPr>
        <w:t>(e)</w:t>
      </w:r>
      <w:r w:rsidRPr="00183F91">
        <w:rPr>
          <w:lang w:val="fr-FR"/>
        </w:rPr>
        <w:t xml:space="preserve"> de s</w:t>
      </w:r>
      <w:r w:rsidR="00442D55" w:rsidRPr="00183F91">
        <w:rPr>
          <w:lang w:val="fr-FR"/>
        </w:rPr>
        <w:t>’</w:t>
      </w:r>
      <w:r w:rsidRPr="00183F91">
        <w:rPr>
          <w:lang w:val="fr-FR"/>
        </w:rPr>
        <w:t>occuper des enfants âgés de 6 à 8 ans</w:t>
      </w:r>
      <w:bookmarkEnd w:id="11"/>
      <w:r w:rsidRPr="00183F91">
        <w:rPr>
          <w:lang w:val="fr-FR"/>
        </w:rPr>
        <w:t xml:space="preserve"> et le budget de 2019 a été calculé pour recruter un total de 122 enseignants avec un financement à hauteur de 824,6 millions de </w:t>
      </w:r>
      <w:r w:rsidR="00A66DA3" w:rsidRPr="00183F91">
        <w:rPr>
          <w:lang w:val="fr-FR"/>
        </w:rPr>
        <w:t>togrog</w:t>
      </w:r>
      <w:r w:rsidRPr="00183F91">
        <w:rPr>
          <w:lang w:val="fr-FR"/>
        </w:rPr>
        <w:t>s, mais en réalité, seuls 85 enseignants ont été recrutés. Pour garantir la mise en pratique de cette norme, un atelier national a été organisé en août 2019 à l</w:t>
      </w:r>
      <w:r w:rsidR="00442D55" w:rsidRPr="00183F91">
        <w:rPr>
          <w:lang w:val="fr-FR"/>
        </w:rPr>
        <w:t>’</w:t>
      </w:r>
      <w:r w:rsidRPr="00183F91">
        <w:rPr>
          <w:lang w:val="fr-FR"/>
        </w:rPr>
        <w:t>intention des instructeurs, des enseignants du primaire et des travailleurs sociaux. Actuellement, dans les écoles où il n</w:t>
      </w:r>
      <w:r w:rsidR="00442D55" w:rsidRPr="00183F91">
        <w:rPr>
          <w:lang w:val="fr-FR"/>
        </w:rPr>
        <w:t>’</w:t>
      </w:r>
      <w:r w:rsidRPr="00183F91">
        <w:rPr>
          <w:lang w:val="fr-FR"/>
        </w:rPr>
        <w:t xml:space="preserve">y a pas de soin parental ou infirmier, </w:t>
      </w:r>
      <w:r w:rsidRPr="00183F91">
        <w:rPr>
          <w:lang w:val="fr-FR"/>
        </w:rPr>
        <w:lastRenderedPageBreak/>
        <w:t>les administrations des écoles ont pris des dispositions internes pour affecter des enseignants à la garde des enfants âgés de 6 à 8 ans.</w:t>
      </w:r>
    </w:p>
    <w:p w14:paraId="7EFA856F" w14:textId="6BDDEDFB" w:rsidR="004417E0" w:rsidRPr="00183F91" w:rsidRDefault="004417E0" w:rsidP="004417E0">
      <w:pPr>
        <w:pStyle w:val="SingleTxt"/>
        <w:spacing w:after="0" w:line="120" w:lineRule="exact"/>
        <w:rPr>
          <w:sz w:val="10"/>
          <w:lang w:val="fr-FR"/>
        </w:rPr>
      </w:pPr>
    </w:p>
    <w:p w14:paraId="176093FC" w14:textId="24BED73C" w:rsidR="00EB1136" w:rsidRPr="00183F91" w:rsidRDefault="00EB1136" w:rsidP="001B0EC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83F91">
        <w:rPr>
          <w:lang w:val="fr-FR"/>
        </w:rPr>
        <w:tab/>
      </w:r>
      <w:r w:rsidRPr="00183F91">
        <w:rPr>
          <w:lang w:val="fr-FR"/>
        </w:rPr>
        <w:tab/>
        <w:t>Réadaptation et réparation des victimes de violences sexuelles dans les écoles et</w:t>
      </w:r>
      <w:r w:rsidR="004417E0" w:rsidRPr="00183F91">
        <w:rPr>
          <w:lang w:val="fr-FR"/>
        </w:rPr>
        <w:t> </w:t>
      </w:r>
      <w:r w:rsidRPr="00183F91">
        <w:rPr>
          <w:lang w:val="fr-FR"/>
        </w:rPr>
        <w:t>les internats</w:t>
      </w:r>
    </w:p>
    <w:p w14:paraId="5E438FFE" w14:textId="60F7E9B3" w:rsidR="004417E0" w:rsidRPr="00183F91" w:rsidRDefault="004417E0" w:rsidP="000821D9">
      <w:pPr>
        <w:pStyle w:val="SingleTxt"/>
        <w:keepNext/>
        <w:spacing w:after="0" w:line="120" w:lineRule="exact"/>
        <w:rPr>
          <w:sz w:val="10"/>
          <w:lang w:val="fr-FR"/>
        </w:rPr>
      </w:pPr>
    </w:p>
    <w:p w14:paraId="6F19D913" w14:textId="1E231909" w:rsidR="00EB1136" w:rsidRPr="00183F91" w:rsidRDefault="00EB1136" w:rsidP="004417E0">
      <w:pPr>
        <w:pStyle w:val="SingleTxt"/>
        <w:numPr>
          <w:ilvl w:val="0"/>
          <w:numId w:val="43"/>
        </w:numPr>
        <w:spacing w:line="240" w:lineRule="exact"/>
        <w:ind w:left="1267"/>
        <w:rPr>
          <w:lang w:val="fr-FR"/>
        </w:rPr>
      </w:pPr>
      <w:r w:rsidRPr="00183F91">
        <w:rPr>
          <w:lang w:val="fr-FR"/>
        </w:rPr>
        <w:t>Bien qu</w:t>
      </w:r>
      <w:r w:rsidR="00442D55" w:rsidRPr="00183F91">
        <w:rPr>
          <w:lang w:val="fr-FR"/>
        </w:rPr>
        <w:t>’</w:t>
      </w:r>
      <w:r w:rsidRPr="00183F91">
        <w:rPr>
          <w:lang w:val="fr-FR"/>
        </w:rPr>
        <w:t>il existe des réglementations juridiques pour réparer les dommages physiques et mentaux des enfants et pour soutenir leur retour à la vie normale, aucune donnée statistique n</w:t>
      </w:r>
      <w:r w:rsidR="00442D55" w:rsidRPr="00183F91">
        <w:rPr>
          <w:lang w:val="fr-FR"/>
        </w:rPr>
        <w:t>’</w:t>
      </w:r>
      <w:r w:rsidRPr="00183F91">
        <w:rPr>
          <w:lang w:val="fr-FR"/>
        </w:rPr>
        <w:t>a jamais été enregistrée.</w:t>
      </w:r>
    </w:p>
    <w:p w14:paraId="4DA9A663" w14:textId="05C1FB70" w:rsidR="00EB1136" w:rsidRPr="00183F91" w:rsidRDefault="00EB1136" w:rsidP="004417E0">
      <w:pPr>
        <w:pStyle w:val="SingleTxt"/>
        <w:numPr>
          <w:ilvl w:val="0"/>
          <w:numId w:val="43"/>
        </w:numPr>
        <w:spacing w:line="240" w:lineRule="exact"/>
        <w:ind w:left="1267"/>
        <w:rPr>
          <w:bCs/>
          <w:lang w:val="fr-FR"/>
        </w:rPr>
      </w:pPr>
      <w:r w:rsidRPr="00183F91">
        <w:rPr>
          <w:lang w:val="fr-FR"/>
        </w:rPr>
        <w:t>La procédure relative à la prévention de la violence contre les enfants en milieu scolaire et dans les internats des établissements d</w:t>
      </w:r>
      <w:r w:rsidR="00442D55" w:rsidRPr="00183F91">
        <w:rPr>
          <w:lang w:val="fr-FR"/>
        </w:rPr>
        <w:t>’</w:t>
      </w:r>
      <w:r w:rsidRPr="00183F91">
        <w:rPr>
          <w:lang w:val="fr-FR"/>
        </w:rPr>
        <w:t>enseignement a été adoptée par l</w:t>
      </w:r>
      <w:r w:rsidR="00442D55" w:rsidRPr="00183F91">
        <w:rPr>
          <w:lang w:val="fr-FR"/>
        </w:rPr>
        <w:t>’</w:t>
      </w:r>
      <w:r w:rsidRPr="00183F91">
        <w:rPr>
          <w:lang w:val="fr-FR"/>
        </w:rPr>
        <w:t>arrêté ministériel n</w:t>
      </w:r>
      <w:r w:rsidR="00BE2441" w:rsidRPr="00183F91">
        <w:rPr>
          <w:vertAlign w:val="superscript"/>
          <w:lang w:val="fr-FR"/>
        </w:rPr>
        <w:t>o</w:t>
      </w:r>
      <w:r w:rsidR="00BE2441" w:rsidRPr="00183F91">
        <w:rPr>
          <w:lang w:val="fr-FR"/>
        </w:rPr>
        <w:t> </w:t>
      </w:r>
      <w:r w:rsidR="00290F36" w:rsidRPr="000821D9">
        <w:t>A/239</w:t>
      </w:r>
      <w:r w:rsidRPr="00183F91">
        <w:rPr>
          <w:lang w:val="fr-FR"/>
        </w:rPr>
        <w:t xml:space="preserve"> de 2018. Le règlement prévoit la protection et la prise en charge des enfants en internat, les réponses à apporter en cas d</w:t>
      </w:r>
      <w:r w:rsidR="00442D55" w:rsidRPr="00183F91">
        <w:rPr>
          <w:lang w:val="fr-FR"/>
        </w:rPr>
        <w:t>’</w:t>
      </w:r>
      <w:r w:rsidRPr="00183F91">
        <w:rPr>
          <w:lang w:val="fr-FR"/>
        </w:rPr>
        <w:t>abus et la gestion des conséquences sur les plans physique et psychologique.</w:t>
      </w:r>
    </w:p>
    <w:p w14:paraId="414ABEDE" w14:textId="6B8919B2" w:rsidR="004417E0" w:rsidRPr="00183F91" w:rsidRDefault="004417E0" w:rsidP="004417E0">
      <w:pPr>
        <w:pStyle w:val="SingleTxt"/>
        <w:spacing w:after="0" w:line="120" w:lineRule="exact"/>
        <w:rPr>
          <w:sz w:val="10"/>
          <w:lang w:val="fr-FR"/>
        </w:rPr>
      </w:pPr>
    </w:p>
    <w:p w14:paraId="006100CE" w14:textId="1BD162D3" w:rsidR="00EB1136" w:rsidRPr="00183F91" w:rsidRDefault="00EB1136" w:rsidP="004417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83F91">
        <w:rPr>
          <w:lang w:val="fr-FR"/>
        </w:rPr>
        <w:tab/>
      </w:r>
      <w:r w:rsidRPr="00183F91">
        <w:rPr>
          <w:lang w:val="fr-FR"/>
        </w:rPr>
        <w:tab/>
        <w:t>Données sur le nombre d</w:t>
      </w:r>
      <w:r w:rsidR="00442D55" w:rsidRPr="00183F91">
        <w:rPr>
          <w:lang w:val="fr-FR"/>
        </w:rPr>
        <w:t>’</w:t>
      </w:r>
      <w:r w:rsidRPr="00183F91">
        <w:rPr>
          <w:lang w:val="fr-FR"/>
        </w:rPr>
        <w:t>enquêtes menées, de poursuites engagées et de sanctions infligées dans les affaires de violence sexuelle et de sévices en milieu éducatif</w:t>
      </w:r>
    </w:p>
    <w:p w14:paraId="287C3C96" w14:textId="412D1265" w:rsidR="004417E0" w:rsidRPr="00183F91" w:rsidRDefault="004417E0" w:rsidP="004417E0">
      <w:pPr>
        <w:pStyle w:val="SingleTxt"/>
        <w:spacing w:after="0" w:line="120" w:lineRule="exact"/>
        <w:rPr>
          <w:sz w:val="10"/>
          <w:lang w:val="fr-FR"/>
        </w:rPr>
      </w:pPr>
    </w:p>
    <w:p w14:paraId="24689456" w14:textId="1D9B0BAC" w:rsidR="00EB1136" w:rsidRPr="00183F91" w:rsidRDefault="00EB1136" w:rsidP="004417E0">
      <w:pPr>
        <w:pStyle w:val="SingleTxt"/>
        <w:numPr>
          <w:ilvl w:val="0"/>
          <w:numId w:val="43"/>
        </w:numPr>
        <w:spacing w:line="240" w:lineRule="exact"/>
        <w:ind w:left="1267"/>
        <w:rPr>
          <w:lang w:val="fr-FR"/>
        </w:rPr>
      </w:pPr>
      <w:r w:rsidRPr="00183F91">
        <w:rPr>
          <w:lang w:val="fr-FR"/>
        </w:rPr>
        <w:t>Aucune statistique officielle n</w:t>
      </w:r>
      <w:r w:rsidR="00442D55" w:rsidRPr="00183F91">
        <w:rPr>
          <w:lang w:val="fr-FR"/>
        </w:rPr>
        <w:t>’</w:t>
      </w:r>
      <w:r w:rsidRPr="00183F91">
        <w:rPr>
          <w:lang w:val="fr-FR"/>
        </w:rPr>
        <w:t>est disponible sur cette question.</w:t>
      </w:r>
    </w:p>
    <w:p w14:paraId="5A744C67" w14:textId="3AA3FCDC" w:rsidR="004417E0" w:rsidRPr="00183F91" w:rsidRDefault="004417E0" w:rsidP="004417E0">
      <w:pPr>
        <w:pStyle w:val="SingleTxt"/>
        <w:spacing w:after="0" w:line="120" w:lineRule="exact"/>
        <w:rPr>
          <w:sz w:val="10"/>
          <w:lang w:val="fr-FR"/>
        </w:rPr>
      </w:pPr>
    </w:p>
    <w:p w14:paraId="5B0F753E" w14:textId="05D87DD8" w:rsidR="00EB1136" w:rsidRPr="00183F91" w:rsidRDefault="00EB1136" w:rsidP="004417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83F91">
        <w:rPr>
          <w:lang w:val="fr-FR"/>
        </w:rPr>
        <w:tab/>
      </w:r>
      <w:r w:rsidRPr="00183F91">
        <w:rPr>
          <w:lang w:val="fr-FR"/>
        </w:rPr>
        <w:tab/>
        <w:t>Mesures mises en place pour modifier la législation interne et pour mettre au</w:t>
      </w:r>
      <w:r w:rsidR="004417E0" w:rsidRPr="00183F91">
        <w:rPr>
          <w:lang w:val="fr-FR"/>
        </w:rPr>
        <w:t> </w:t>
      </w:r>
      <w:r w:rsidRPr="00183F91">
        <w:rPr>
          <w:lang w:val="fr-FR"/>
        </w:rPr>
        <w:t>point des politiques et des réglementations conformes à la loi de 2016 relative aux droits des personnes handicapées afin de garantir une éducation inclusive et</w:t>
      </w:r>
      <w:r w:rsidR="004417E0" w:rsidRPr="00183F91">
        <w:rPr>
          <w:lang w:val="fr-FR"/>
        </w:rPr>
        <w:t> </w:t>
      </w:r>
      <w:r w:rsidRPr="00183F91">
        <w:rPr>
          <w:lang w:val="fr-FR"/>
        </w:rPr>
        <w:t>accessible aux femmes et aux filles handicapées</w:t>
      </w:r>
    </w:p>
    <w:p w14:paraId="128908D1" w14:textId="2E23FEA3" w:rsidR="004417E0" w:rsidRPr="00183F91" w:rsidRDefault="004417E0" w:rsidP="004417E0">
      <w:pPr>
        <w:pStyle w:val="SingleTxt"/>
        <w:spacing w:after="0" w:line="120" w:lineRule="exact"/>
        <w:rPr>
          <w:sz w:val="10"/>
          <w:lang w:val="fr-FR"/>
        </w:rPr>
      </w:pPr>
    </w:p>
    <w:p w14:paraId="7B11B71E" w14:textId="5A4C956E" w:rsidR="00EB1136" w:rsidRPr="00183F91" w:rsidRDefault="00EB1136" w:rsidP="004417E0">
      <w:pPr>
        <w:pStyle w:val="SingleTxt"/>
        <w:numPr>
          <w:ilvl w:val="0"/>
          <w:numId w:val="43"/>
        </w:numPr>
        <w:spacing w:line="240" w:lineRule="exact"/>
        <w:ind w:left="1267"/>
        <w:rPr>
          <w:lang w:val="fr-FR"/>
        </w:rPr>
      </w:pPr>
      <w:r w:rsidRPr="00183F91">
        <w:rPr>
          <w:lang w:val="fr-FR"/>
        </w:rPr>
        <w:t>L</w:t>
      </w:r>
      <w:r w:rsidR="00442D55" w:rsidRPr="00183F91">
        <w:rPr>
          <w:lang w:val="fr-FR"/>
        </w:rPr>
        <w:t>’</w:t>
      </w:r>
      <w:r w:rsidRPr="00183F91">
        <w:rPr>
          <w:lang w:val="fr-FR"/>
        </w:rPr>
        <w:t>article 40 de la loi relative à la protection des droits des personnes handicapées prévoit la création d</w:t>
      </w:r>
      <w:r w:rsidR="00442D55" w:rsidRPr="00183F91">
        <w:rPr>
          <w:lang w:val="fr-FR"/>
        </w:rPr>
        <w:t>’</w:t>
      </w:r>
      <w:r w:rsidRPr="00183F91">
        <w:rPr>
          <w:lang w:val="fr-FR"/>
        </w:rPr>
        <w:t>un organe central du Gouvernement chargé des personnes handicapées pour faire appliquer à l</w:t>
      </w:r>
      <w:r w:rsidR="00442D55" w:rsidRPr="00183F91">
        <w:rPr>
          <w:lang w:val="fr-FR"/>
        </w:rPr>
        <w:t>’</w:t>
      </w:r>
      <w:r w:rsidRPr="00183F91">
        <w:rPr>
          <w:lang w:val="fr-FR"/>
        </w:rPr>
        <w:t>échelle nationale la Convention relative aux droits des personnes handicapées et la législation connexe, assurer le fonctionnement synchronisé des secteurs, garantir les droits des personnes handicapées et accroître leur participation dans divers domaines. En conséquence, l</w:t>
      </w:r>
      <w:r w:rsidR="00442D55" w:rsidRPr="00183F91">
        <w:rPr>
          <w:lang w:val="fr-FR"/>
        </w:rPr>
        <w:t>’</w:t>
      </w:r>
      <w:r w:rsidRPr="00183F91">
        <w:rPr>
          <w:lang w:val="fr-FR"/>
        </w:rPr>
        <w:t>Agence générale pour le développement des personnes handicapées, organisme d</w:t>
      </w:r>
      <w:r w:rsidR="00442D55" w:rsidRPr="00183F91">
        <w:rPr>
          <w:lang w:val="fr-FR"/>
        </w:rPr>
        <w:t>’</w:t>
      </w:r>
      <w:r w:rsidRPr="00183F91">
        <w:rPr>
          <w:lang w:val="fr-FR"/>
        </w:rPr>
        <w:t>exécution du gouvernement, a été créée conformément à la résolution parlementaire n</w:t>
      </w:r>
      <w:r w:rsidR="00BE2441" w:rsidRPr="00183F91">
        <w:rPr>
          <w:vertAlign w:val="superscript"/>
          <w:lang w:val="fr-FR"/>
        </w:rPr>
        <w:t>o</w:t>
      </w:r>
      <w:r w:rsidR="00BE2441" w:rsidRPr="00183F91">
        <w:rPr>
          <w:lang w:val="fr-FR"/>
        </w:rPr>
        <w:t> </w:t>
      </w:r>
      <w:r w:rsidRPr="00183F91">
        <w:rPr>
          <w:lang w:val="fr-FR"/>
        </w:rPr>
        <w:t>56 de 2018 et à la résolution gouvernementale n</w:t>
      </w:r>
      <w:r w:rsidR="00BE2441" w:rsidRPr="00183F91">
        <w:rPr>
          <w:vertAlign w:val="superscript"/>
          <w:lang w:val="fr-FR"/>
        </w:rPr>
        <w:t>o</w:t>
      </w:r>
      <w:r w:rsidR="00BE2441" w:rsidRPr="00183F91">
        <w:rPr>
          <w:lang w:val="fr-FR"/>
        </w:rPr>
        <w:t> </w:t>
      </w:r>
      <w:r w:rsidRPr="00183F91">
        <w:rPr>
          <w:lang w:val="fr-FR"/>
        </w:rPr>
        <w:t>250 de 2018 par la restructuration du Centre de réhabilitation, de formation et de production. L</w:t>
      </w:r>
      <w:r w:rsidR="00442D55" w:rsidRPr="00183F91">
        <w:rPr>
          <w:lang w:val="fr-FR"/>
        </w:rPr>
        <w:t>’</w:t>
      </w:r>
      <w:r w:rsidRPr="00183F91">
        <w:rPr>
          <w:lang w:val="fr-FR"/>
        </w:rPr>
        <w:t>Agence relève du Ministre du travail et de la protection sociale.</w:t>
      </w:r>
    </w:p>
    <w:p w14:paraId="71AAF3CE" w14:textId="7DD7BD4B" w:rsidR="00EB1136" w:rsidRPr="00183F91" w:rsidRDefault="00EB1136" w:rsidP="004417E0">
      <w:pPr>
        <w:pStyle w:val="SingleTxt"/>
        <w:numPr>
          <w:ilvl w:val="0"/>
          <w:numId w:val="43"/>
        </w:numPr>
        <w:spacing w:line="240" w:lineRule="exact"/>
        <w:ind w:left="1267"/>
        <w:rPr>
          <w:lang w:val="fr-FR"/>
        </w:rPr>
      </w:pPr>
      <w:r w:rsidRPr="00183F91">
        <w:rPr>
          <w:lang w:val="fr-FR"/>
        </w:rPr>
        <w:t>La Procédure relative à l</w:t>
      </w:r>
      <w:r w:rsidR="00442D55" w:rsidRPr="00183F91">
        <w:rPr>
          <w:lang w:val="fr-FR"/>
        </w:rPr>
        <w:t>’</w:t>
      </w:r>
      <w:r w:rsidRPr="00183F91">
        <w:rPr>
          <w:lang w:val="fr-FR"/>
        </w:rPr>
        <w:t>enseignement général inclusif pour les enfants handicapés a été approuvée par l</w:t>
      </w:r>
      <w:r w:rsidR="00442D55" w:rsidRPr="00183F91">
        <w:rPr>
          <w:lang w:val="fr-FR"/>
        </w:rPr>
        <w:t>’</w:t>
      </w:r>
      <w:r w:rsidRPr="00183F91">
        <w:rPr>
          <w:lang w:val="fr-FR"/>
        </w:rPr>
        <w:t>arrêté ministériel n</w:t>
      </w:r>
      <w:r w:rsidR="00BE2441" w:rsidRPr="00183F91">
        <w:rPr>
          <w:vertAlign w:val="superscript"/>
          <w:lang w:val="fr-FR"/>
        </w:rPr>
        <w:t>o</w:t>
      </w:r>
      <w:r w:rsidR="00BE2441" w:rsidRPr="00183F91">
        <w:rPr>
          <w:lang w:val="fr-FR"/>
        </w:rPr>
        <w:t> </w:t>
      </w:r>
      <w:r w:rsidRPr="00183F91">
        <w:rPr>
          <w:lang w:val="fr-FR"/>
        </w:rPr>
        <w:t>C/292 de 2019. Ce règlement prévoit de poser un diagnostic de l</w:t>
      </w:r>
      <w:r w:rsidR="00442D55" w:rsidRPr="00183F91">
        <w:rPr>
          <w:lang w:val="fr-FR"/>
        </w:rPr>
        <w:t>’</w:t>
      </w:r>
      <w:r w:rsidRPr="00183F91">
        <w:rPr>
          <w:lang w:val="fr-FR"/>
        </w:rPr>
        <w:t>enfant handicapé et d</w:t>
      </w:r>
      <w:r w:rsidR="00442D55" w:rsidRPr="00183F91">
        <w:rPr>
          <w:lang w:val="fr-FR"/>
        </w:rPr>
        <w:t>’</w:t>
      </w:r>
      <w:r w:rsidRPr="00183F91">
        <w:rPr>
          <w:lang w:val="fr-FR"/>
        </w:rPr>
        <w:t>organiser une formation méthodologique afin d</w:t>
      </w:r>
      <w:r w:rsidR="00442D55" w:rsidRPr="00183F91">
        <w:rPr>
          <w:lang w:val="fr-FR"/>
        </w:rPr>
        <w:t>’</w:t>
      </w:r>
      <w:r w:rsidRPr="00183F91">
        <w:rPr>
          <w:lang w:val="fr-FR"/>
        </w:rPr>
        <w:t>élaborer un programme individuel compte tenu du développement de l</w:t>
      </w:r>
      <w:r w:rsidR="00442D55" w:rsidRPr="00183F91">
        <w:rPr>
          <w:lang w:val="fr-FR"/>
        </w:rPr>
        <w:t>’</w:t>
      </w:r>
      <w:r w:rsidRPr="00183F91">
        <w:rPr>
          <w:lang w:val="fr-FR"/>
        </w:rPr>
        <w:t>enfant et 80 enseignants des écoles secondaires et 210</w:t>
      </w:r>
      <w:r w:rsidR="00055CEB" w:rsidRPr="00183F91">
        <w:rPr>
          <w:lang w:val="fr-FR"/>
        </w:rPr>
        <w:t> </w:t>
      </w:r>
      <w:r w:rsidRPr="00183F91">
        <w:rPr>
          <w:lang w:val="fr-FR"/>
        </w:rPr>
        <w:t>enseignants de l</w:t>
      </w:r>
      <w:r w:rsidR="00442D55" w:rsidRPr="00183F91">
        <w:rPr>
          <w:lang w:val="fr-FR"/>
        </w:rPr>
        <w:t>’</w:t>
      </w:r>
      <w:r w:rsidRPr="00183F91">
        <w:rPr>
          <w:lang w:val="fr-FR"/>
        </w:rPr>
        <w:t>éducation permanente ont suivi cette procédure. Grâce aux efforts de formation, les effectifs de 60 écoles secondaires et de 30 centres informels d</w:t>
      </w:r>
      <w:r w:rsidR="00442D55" w:rsidRPr="00183F91">
        <w:rPr>
          <w:lang w:val="fr-FR"/>
        </w:rPr>
        <w:t>’</w:t>
      </w:r>
      <w:r w:rsidRPr="00183F91">
        <w:rPr>
          <w:lang w:val="fr-FR"/>
        </w:rPr>
        <w:t>éducation permanente dans les aïmags et les districts ont été renforcés. Ces centres s</w:t>
      </w:r>
      <w:r w:rsidR="00442D55" w:rsidRPr="00183F91">
        <w:rPr>
          <w:lang w:val="fr-FR"/>
        </w:rPr>
        <w:t>’</w:t>
      </w:r>
      <w:r w:rsidRPr="00183F91">
        <w:rPr>
          <w:lang w:val="fr-FR"/>
        </w:rPr>
        <w:t>occupent des enfants handicapés, protègent leurs droits à l</w:t>
      </w:r>
      <w:r w:rsidR="00442D55" w:rsidRPr="00183F91">
        <w:rPr>
          <w:lang w:val="fr-FR"/>
        </w:rPr>
        <w:t>’</w:t>
      </w:r>
      <w:r w:rsidRPr="00183F91">
        <w:rPr>
          <w:lang w:val="fr-FR"/>
        </w:rPr>
        <w:t xml:space="preserve">éducation et à la protection et les protègent contre les risques potentiels ou la violence. </w:t>
      </w:r>
    </w:p>
    <w:p w14:paraId="4658140E" w14:textId="38AF1E36" w:rsidR="00EB1136" w:rsidRPr="00183F91" w:rsidRDefault="00EB1136" w:rsidP="004417E0">
      <w:pPr>
        <w:pStyle w:val="SingleTxt"/>
        <w:numPr>
          <w:ilvl w:val="0"/>
          <w:numId w:val="43"/>
        </w:numPr>
        <w:spacing w:line="240" w:lineRule="exact"/>
        <w:ind w:left="1267"/>
        <w:rPr>
          <w:lang w:val="fr-FR"/>
        </w:rPr>
      </w:pPr>
      <w:r w:rsidRPr="00183F91">
        <w:rPr>
          <w:lang w:val="fr-FR"/>
        </w:rPr>
        <w:t>La norme relative au braille mongol (MNS 6800 de 2019) a été approuvée par le Comité technique de normalisation des soins de santé et des services médicaux. L</w:t>
      </w:r>
      <w:r w:rsidR="00442D55" w:rsidRPr="00183F91">
        <w:rPr>
          <w:lang w:val="fr-FR"/>
        </w:rPr>
        <w:t>’</w:t>
      </w:r>
      <w:r w:rsidRPr="00183F91">
        <w:rPr>
          <w:lang w:val="fr-FR"/>
        </w:rPr>
        <w:t>adoption de cette norme internationale permet aux personnes aveugles et malvoyantes de pouvoir interagir avec les autres sur un pied d</w:t>
      </w:r>
      <w:r w:rsidR="00442D55" w:rsidRPr="00183F91">
        <w:rPr>
          <w:lang w:val="fr-FR"/>
        </w:rPr>
        <w:t>’</w:t>
      </w:r>
      <w:r w:rsidRPr="00183F91">
        <w:rPr>
          <w:lang w:val="fr-FR"/>
        </w:rPr>
        <w:t>égalité, de communiquer avec d</w:t>
      </w:r>
      <w:r w:rsidR="00442D55" w:rsidRPr="00183F91">
        <w:rPr>
          <w:lang w:val="fr-FR"/>
        </w:rPr>
        <w:t>’</w:t>
      </w:r>
      <w:r w:rsidRPr="00183F91">
        <w:rPr>
          <w:lang w:val="fr-FR"/>
        </w:rPr>
        <w:t>autres personnes malvoyantes grâce au braille, de s</w:t>
      </w:r>
      <w:r w:rsidR="00442D55" w:rsidRPr="00183F91">
        <w:rPr>
          <w:lang w:val="fr-FR"/>
        </w:rPr>
        <w:t>’</w:t>
      </w:r>
      <w:r w:rsidRPr="00183F91">
        <w:rPr>
          <w:lang w:val="fr-FR"/>
        </w:rPr>
        <w:t>entraider et de se soutenir mutuellement, ce qui constitue un outil de communication important.</w:t>
      </w:r>
    </w:p>
    <w:p w14:paraId="3C063E6B" w14:textId="25E028C1" w:rsidR="00EB1136" w:rsidRPr="00183F91" w:rsidRDefault="00EB1136" w:rsidP="004417E0">
      <w:pPr>
        <w:pStyle w:val="SingleTxt"/>
        <w:numPr>
          <w:ilvl w:val="0"/>
          <w:numId w:val="43"/>
        </w:numPr>
        <w:spacing w:line="240" w:lineRule="exact"/>
        <w:ind w:left="1267"/>
        <w:rPr>
          <w:lang w:val="fr-FR"/>
        </w:rPr>
      </w:pPr>
      <w:r w:rsidRPr="00183F91">
        <w:rPr>
          <w:lang w:val="fr-FR"/>
        </w:rPr>
        <w:t>Cinquante enseignants ont suivi un atelier de formation sur les méthodes visant à garantir le droit au travail, à l</w:t>
      </w:r>
      <w:r w:rsidR="00442D55" w:rsidRPr="00183F91">
        <w:rPr>
          <w:lang w:val="fr-FR"/>
        </w:rPr>
        <w:t>’</w:t>
      </w:r>
      <w:r w:rsidRPr="00183F91">
        <w:rPr>
          <w:lang w:val="fr-FR"/>
        </w:rPr>
        <w:t xml:space="preserve">apprentissage et à la protection des enfants handicapés </w:t>
      </w:r>
      <w:r w:rsidRPr="00183F91">
        <w:rPr>
          <w:lang w:val="fr-FR"/>
        </w:rPr>
        <w:lastRenderedPageBreak/>
        <w:t>et se conforment à la clause 3.3.1 du plan de mise en œuvre du programme de promotion des droits et de la participation des personnes handicapées. La formation sur la scolarisation des enfants atteints de troubles autistiques, qui s</w:t>
      </w:r>
      <w:r w:rsidR="00442D55" w:rsidRPr="00183F91">
        <w:rPr>
          <w:lang w:val="fr-FR"/>
        </w:rPr>
        <w:t>’</w:t>
      </w:r>
      <w:r w:rsidRPr="00183F91">
        <w:rPr>
          <w:lang w:val="fr-FR"/>
        </w:rPr>
        <w:t xml:space="preserve">est tenue en décembre 2019, a rassemblé 500 personnes, dont des responsables de la formation, des travailleurs sociaux et des enseignants de </w:t>
      </w:r>
      <w:r w:rsidR="00A66DA3" w:rsidRPr="00183F91">
        <w:rPr>
          <w:lang w:val="fr-FR"/>
        </w:rPr>
        <w:t xml:space="preserve">six </w:t>
      </w:r>
      <w:r w:rsidRPr="00183F91">
        <w:rPr>
          <w:lang w:val="fr-FR"/>
        </w:rPr>
        <w:t>districts de la capitale, et des supports de formation sur DVD ont été distribués dans toutes les provinces.</w:t>
      </w:r>
    </w:p>
    <w:p w14:paraId="2122E749" w14:textId="530FAA7E" w:rsidR="004417E0" w:rsidRPr="00183F91" w:rsidRDefault="004417E0" w:rsidP="004417E0">
      <w:pPr>
        <w:pStyle w:val="SingleTxt"/>
        <w:spacing w:after="0" w:line="120" w:lineRule="exact"/>
        <w:rPr>
          <w:sz w:val="10"/>
          <w:lang w:val="fr-FR"/>
        </w:rPr>
      </w:pPr>
    </w:p>
    <w:p w14:paraId="569566D6" w14:textId="43DB1856" w:rsidR="00EB1136" w:rsidRPr="00183F91" w:rsidRDefault="00EB1136" w:rsidP="004417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83F91">
        <w:rPr>
          <w:lang w:val="fr-FR"/>
        </w:rPr>
        <w:tab/>
      </w:r>
      <w:r w:rsidRPr="00183F91">
        <w:rPr>
          <w:lang w:val="fr-FR"/>
        </w:rPr>
        <w:tab/>
        <w:t>Formation des enseignants à l</w:t>
      </w:r>
      <w:r w:rsidR="00442D55" w:rsidRPr="00183F91">
        <w:rPr>
          <w:lang w:val="fr-FR"/>
        </w:rPr>
        <w:t>’</w:t>
      </w:r>
      <w:r w:rsidRPr="00183F91">
        <w:rPr>
          <w:lang w:val="fr-FR"/>
        </w:rPr>
        <w:t>éducation inclusive et besoins éducatifs spéciaux des femmes et des filles handicapées</w:t>
      </w:r>
    </w:p>
    <w:p w14:paraId="27C638FF" w14:textId="7A85664D" w:rsidR="004417E0" w:rsidRPr="00183F91" w:rsidRDefault="004417E0" w:rsidP="004417E0">
      <w:pPr>
        <w:pStyle w:val="SingleTxt"/>
        <w:spacing w:after="0" w:line="120" w:lineRule="exact"/>
        <w:rPr>
          <w:sz w:val="10"/>
          <w:lang w:val="fr-FR"/>
        </w:rPr>
      </w:pPr>
    </w:p>
    <w:p w14:paraId="3C970306" w14:textId="3A972FB1" w:rsidR="00EB1136" w:rsidRPr="00183F91" w:rsidRDefault="00EB1136" w:rsidP="004417E0">
      <w:pPr>
        <w:pStyle w:val="SingleTxt"/>
        <w:numPr>
          <w:ilvl w:val="0"/>
          <w:numId w:val="43"/>
        </w:numPr>
        <w:tabs>
          <w:tab w:val="num" w:pos="2804"/>
        </w:tabs>
        <w:spacing w:line="240" w:lineRule="exact"/>
        <w:ind w:left="1267"/>
        <w:rPr>
          <w:lang w:val="fr-FR"/>
        </w:rPr>
      </w:pPr>
      <w:r w:rsidRPr="00183F91">
        <w:rPr>
          <w:lang w:val="fr-FR"/>
        </w:rPr>
        <w:t>Dans le domaine de l</w:t>
      </w:r>
      <w:r w:rsidR="00442D55" w:rsidRPr="00183F91">
        <w:rPr>
          <w:lang w:val="fr-FR"/>
        </w:rPr>
        <w:t>’</w:t>
      </w:r>
      <w:r w:rsidRPr="00183F91">
        <w:rPr>
          <w:lang w:val="fr-FR"/>
        </w:rPr>
        <w:t xml:space="preserve">éducation, </w:t>
      </w:r>
      <w:r w:rsidR="00DA5B0C" w:rsidRPr="00183F91">
        <w:rPr>
          <w:lang w:val="fr-FR"/>
        </w:rPr>
        <w:t xml:space="preserve">neuf </w:t>
      </w:r>
      <w:r w:rsidRPr="00183F91">
        <w:rPr>
          <w:lang w:val="fr-FR"/>
        </w:rPr>
        <w:t>nouveaux documents juridiques relatifs aux personnes handicapées ont été approuvés en 2018. Il s</w:t>
      </w:r>
      <w:r w:rsidR="00442D55" w:rsidRPr="00183F91">
        <w:rPr>
          <w:lang w:val="fr-FR"/>
        </w:rPr>
        <w:t>’</w:t>
      </w:r>
      <w:r w:rsidRPr="00183F91">
        <w:rPr>
          <w:lang w:val="fr-FR"/>
        </w:rPr>
        <w:t>agit des documents suivants</w:t>
      </w:r>
      <w:r w:rsidR="00442D55" w:rsidRPr="00183F91">
        <w:rPr>
          <w:lang w:val="fr-FR"/>
        </w:rPr>
        <w:t> :</w:t>
      </w:r>
    </w:p>
    <w:p w14:paraId="085BCA82" w14:textId="40DA055B" w:rsidR="00EB1136" w:rsidRPr="00183F91" w:rsidRDefault="004417E0" w:rsidP="004417E0">
      <w:pPr>
        <w:pStyle w:val="SingleTxt"/>
        <w:tabs>
          <w:tab w:val="right" w:pos="1685"/>
        </w:tabs>
        <w:ind w:left="1742" w:hanging="475"/>
        <w:rPr>
          <w:lang w:val="fr-FR"/>
        </w:rPr>
      </w:pPr>
      <w:r w:rsidRPr="00183F91">
        <w:rPr>
          <w:lang w:val="fr-FR"/>
        </w:rPr>
        <w:tab/>
        <w:t>•</w:t>
      </w:r>
      <w:r w:rsidRPr="00183F91">
        <w:rPr>
          <w:lang w:val="fr-FR"/>
        </w:rPr>
        <w:tab/>
      </w:r>
      <w:r w:rsidR="00EB1136" w:rsidRPr="00183F91">
        <w:rPr>
          <w:lang w:val="fr-FR"/>
        </w:rPr>
        <w:t>La norme relative aux effectifs de l</w:t>
      </w:r>
      <w:r w:rsidR="00442D55" w:rsidRPr="00183F91">
        <w:rPr>
          <w:lang w:val="fr-FR"/>
        </w:rPr>
        <w:t>’</w:t>
      </w:r>
      <w:r w:rsidR="00EB1136" w:rsidRPr="00183F91">
        <w:rPr>
          <w:lang w:val="fr-FR"/>
        </w:rPr>
        <w:t>administration et du personnel éducatif dans son ensemble, à l</w:t>
      </w:r>
      <w:r w:rsidR="00442D55" w:rsidRPr="00183F91">
        <w:rPr>
          <w:lang w:val="fr-FR"/>
        </w:rPr>
        <w:t>’</w:t>
      </w:r>
      <w:r w:rsidR="00EB1136" w:rsidRPr="00183F91">
        <w:rPr>
          <w:lang w:val="fr-FR"/>
        </w:rPr>
        <w:t>exception des enseignants des écoles secondaires placés sous la tutelle de l</w:t>
      </w:r>
      <w:r w:rsidR="00442D55" w:rsidRPr="00183F91">
        <w:rPr>
          <w:lang w:val="fr-FR"/>
        </w:rPr>
        <w:t>’</w:t>
      </w:r>
      <w:r w:rsidR="004F6AD7" w:rsidRPr="00183F91">
        <w:rPr>
          <w:lang w:val="fr-FR"/>
        </w:rPr>
        <w:t>État</w:t>
      </w:r>
      <w:r w:rsidR="00EB1136" w:rsidRPr="00183F91">
        <w:rPr>
          <w:lang w:val="fr-FR"/>
        </w:rPr>
        <w:t xml:space="preserve"> et des collectivités locales, a été approuvée par l</w:t>
      </w:r>
      <w:r w:rsidR="00442D55" w:rsidRPr="00183F91">
        <w:rPr>
          <w:lang w:val="fr-FR"/>
        </w:rPr>
        <w:t>’</w:t>
      </w:r>
      <w:r w:rsidR="00EB1136" w:rsidRPr="00183F91">
        <w:rPr>
          <w:lang w:val="fr-FR"/>
        </w:rPr>
        <w:t>arrêté conjoint du Ministère de l</w:t>
      </w:r>
      <w:r w:rsidR="00442D55" w:rsidRPr="00183F91">
        <w:rPr>
          <w:lang w:val="fr-FR"/>
        </w:rPr>
        <w:t>’</w:t>
      </w:r>
      <w:r w:rsidR="00EB1136" w:rsidRPr="00183F91">
        <w:rPr>
          <w:lang w:val="fr-FR"/>
        </w:rPr>
        <w:t>éducation, de la culture et des sciences et du Ministère du travail et de la protection sociale (n</w:t>
      </w:r>
      <w:r w:rsidR="00BE2441" w:rsidRPr="00183F91">
        <w:rPr>
          <w:vertAlign w:val="superscript"/>
          <w:lang w:val="fr-FR"/>
        </w:rPr>
        <w:t>o</w:t>
      </w:r>
      <w:r w:rsidR="00BE2441" w:rsidRPr="00183F91">
        <w:rPr>
          <w:lang w:val="fr-FR"/>
        </w:rPr>
        <w:t> </w:t>
      </w:r>
      <w:r w:rsidR="00EB1136" w:rsidRPr="00183F91">
        <w:rPr>
          <w:lang w:val="fr-FR"/>
        </w:rPr>
        <w:t>А/024, А/11 du 23 janvier 2018). L</w:t>
      </w:r>
      <w:r w:rsidR="00442D55" w:rsidRPr="00183F91">
        <w:rPr>
          <w:lang w:val="fr-FR"/>
        </w:rPr>
        <w:t>’</w:t>
      </w:r>
      <w:r w:rsidR="00EB1136" w:rsidRPr="00183F91">
        <w:rPr>
          <w:lang w:val="fr-FR"/>
        </w:rPr>
        <w:t>article 5 de l</w:t>
      </w:r>
      <w:r w:rsidR="00442D55" w:rsidRPr="00183F91">
        <w:rPr>
          <w:lang w:val="fr-FR"/>
        </w:rPr>
        <w:t>’</w:t>
      </w:r>
      <w:r w:rsidR="00EB1136" w:rsidRPr="00183F91">
        <w:rPr>
          <w:lang w:val="fr-FR"/>
        </w:rPr>
        <w:t>annexe à l</w:t>
      </w:r>
      <w:r w:rsidR="00442D55" w:rsidRPr="00183F91">
        <w:rPr>
          <w:lang w:val="fr-FR"/>
        </w:rPr>
        <w:t>’</w:t>
      </w:r>
      <w:r w:rsidR="00EB1136" w:rsidRPr="00183F91">
        <w:rPr>
          <w:lang w:val="fr-FR"/>
        </w:rPr>
        <w:t>arrêté prévoit qu</w:t>
      </w:r>
      <w:r w:rsidR="00442D55" w:rsidRPr="00183F91">
        <w:rPr>
          <w:lang w:val="fr-FR"/>
        </w:rPr>
        <w:t>’</w:t>
      </w:r>
      <w:r w:rsidR="00EB1136" w:rsidRPr="00183F91">
        <w:rPr>
          <w:lang w:val="fr-FR"/>
        </w:rPr>
        <w:t>en fonction des spécificités de l</w:t>
      </w:r>
      <w:r w:rsidR="00442D55" w:rsidRPr="00183F91">
        <w:rPr>
          <w:lang w:val="fr-FR"/>
        </w:rPr>
        <w:t>’</w:t>
      </w:r>
      <w:r w:rsidR="00EB1136" w:rsidRPr="00183F91">
        <w:rPr>
          <w:lang w:val="fr-FR"/>
        </w:rPr>
        <w:t>activité, une école secondaire spéciale peut augmenter de cinq le nombre de postes vacants prévus dans les normes, conformément aux exigences énoncées à l</w:t>
      </w:r>
      <w:r w:rsidR="00442D55" w:rsidRPr="00183F91">
        <w:rPr>
          <w:lang w:val="fr-FR"/>
        </w:rPr>
        <w:t>’</w:t>
      </w:r>
      <w:r w:rsidR="00EB1136" w:rsidRPr="00183F91">
        <w:rPr>
          <w:lang w:val="fr-FR"/>
        </w:rPr>
        <w:t>article 13.6 de la loi sur l</w:t>
      </w:r>
      <w:r w:rsidR="00442D55" w:rsidRPr="00183F91">
        <w:rPr>
          <w:lang w:val="fr-FR"/>
        </w:rPr>
        <w:t>’</w:t>
      </w:r>
      <w:r w:rsidR="00EB1136" w:rsidRPr="00183F91">
        <w:rPr>
          <w:lang w:val="fr-FR"/>
        </w:rPr>
        <w:t>enseignement primaire et secondaire.</w:t>
      </w:r>
    </w:p>
    <w:p w14:paraId="4474A216" w14:textId="550D5FBB" w:rsidR="00EB1136" w:rsidRPr="00183F91" w:rsidRDefault="004417E0" w:rsidP="004417E0">
      <w:pPr>
        <w:pStyle w:val="SingleTxt"/>
        <w:tabs>
          <w:tab w:val="right" w:pos="1685"/>
        </w:tabs>
        <w:ind w:left="1742" w:hanging="475"/>
        <w:rPr>
          <w:lang w:val="fr-FR"/>
        </w:rPr>
      </w:pPr>
      <w:r w:rsidRPr="00183F91">
        <w:rPr>
          <w:lang w:val="fr-FR"/>
        </w:rPr>
        <w:tab/>
        <w:t>•</w:t>
      </w:r>
      <w:r w:rsidRPr="00183F91">
        <w:rPr>
          <w:lang w:val="fr-FR"/>
        </w:rPr>
        <w:tab/>
      </w:r>
      <w:r w:rsidR="00EB1136" w:rsidRPr="00183F91">
        <w:rPr>
          <w:lang w:val="fr-FR"/>
        </w:rPr>
        <w:t>Afin de soutenir une éducation appropriée pour les enfants handicapés et de fournir une formation flexible aux besoins et exigences spécifiques du développement individuel de l</w:t>
      </w:r>
      <w:r w:rsidR="00442D55" w:rsidRPr="00183F91">
        <w:rPr>
          <w:lang w:val="fr-FR"/>
        </w:rPr>
        <w:t>’</w:t>
      </w:r>
      <w:r w:rsidR="00EB1136" w:rsidRPr="00183F91">
        <w:rPr>
          <w:lang w:val="fr-FR"/>
        </w:rPr>
        <w:t>enfant, le Plan de formation individuel et la méthodologie du programme d</w:t>
      </w:r>
      <w:r w:rsidR="00442D55" w:rsidRPr="00183F91">
        <w:rPr>
          <w:lang w:val="fr-FR"/>
        </w:rPr>
        <w:t>’</w:t>
      </w:r>
      <w:r w:rsidR="00EB1136" w:rsidRPr="00183F91">
        <w:rPr>
          <w:lang w:val="fr-FR"/>
        </w:rPr>
        <w:t>études ont tous deux été approuvés (arrêté du ministre du Ministère de l</w:t>
      </w:r>
      <w:r w:rsidR="00442D55" w:rsidRPr="00183F91">
        <w:rPr>
          <w:lang w:val="fr-FR"/>
        </w:rPr>
        <w:t>’</w:t>
      </w:r>
      <w:r w:rsidR="00EB1136" w:rsidRPr="00183F91">
        <w:rPr>
          <w:lang w:val="fr-FR"/>
        </w:rPr>
        <w:t>éducation, de la culture et des sciences n</w:t>
      </w:r>
      <w:r w:rsidR="00BE2441" w:rsidRPr="00183F91">
        <w:rPr>
          <w:vertAlign w:val="superscript"/>
          <w:lang w:val="fr-FR"/>
        </w:rPr>
        <w:t>o</w:t>
      </w:r>
      <w:r w:rsidR="00BE2441" w:rsidRPr="00183F91">
        <w:rPr>
          <w:lang w:val="fr-FR"/>
        </w:rPr>
        <w:t> </w:t>
      </w:r>
      <w:r w:rsidR="00DA5B0C" w:rsidRPr="000821D9">
        <w:t>A/155</w:t>
      </w:r>
      <w:r w:rsidR="00EB1136" w:rsidRPr="00183F91">
        <w:rPr>
          <w:lang w:val="fr-FR"/>
        </w:rPr>
        <w:t xml:space="preserve"> du 29 mars 2018).</w:t>
      </w:r>
    </w:p>
    <w:p w14:paraId="497AFD0F" w14:textId="78FAE10C" w:rsidR="00EB1136" w:rsidRPr="00183F91" w:rsidRDefault="004417E0" w:rsidP="004417E0">
      <w:pPr>
        <w:pStyle w:val="SingleTxt"/>
        <w:tabs>
          <w:tab w:val="right" w:pos="1685"/>
        </w:tabs>
        <w:ind w:left="1742" w:hanging="475"/>
        <w:rPr>
          <w:lang w:val="fr-FR"/>
        </w:rPr>
      </w:pPr>
      <w:r w:rsidRPr="00183F91">
        <w:rPr>
          <w:lang w:val="fr-FR"/>
        </w:rPr>
        <w:tab/>
        <w:t>•</w:t>
      </w:r>
      <w:r w:rsidRPr="00183F91">
        <w:rPr>
          <w:lang w:val="fr-FR"/>
        </w:rPr>
        <w:tab/>
      </w:r>
      <w:r w:rsidR="00EB1136" w:rsidRPr="00183F91">
        <w:rPr>
          <w:lang w:val="fr-FR"/>
        </w:rPr>
        <w:t>Les programmes d</w:t>
      </w:r>
      <w:r w:rsidR="00442D55" w:rsidRPr="00183F91">
        <w:rPr>
          <w:lang w:val="fr-FR"/>
        </w:rPr>
        <w:t>’</w:t>
      </w:r>
      <w:r w:rsidR="00EB1136" w:rsidRPr="00183F91">
        <w:rPr>
          <w:lang w:val="fr-FR"/>
        </w:rPr>
        <w:t>études pour les enfants handicapés mentaux dans l</w:t>
      </w:r>
      <w:r w:rsidR="00442D55" w:rsidRPr="00183F91">
        <w:rPr>
          <w:lang w:val="fr-FR"/>
        </w:rPr>
        <w:t>’</w:t>
      </w:r>
      <w:r w:rsidR="00EB1136" w:rsidRPr="00183F91">
        <w:rPr>
          <w:lang w:val="fr-FR"/>
        </w:rPr>
        <w:t>enseignement général, les programmes d</w:t>
      </w:r>
      <w:r w:rsidR="00442D55" w:rsidRPr="00183F91">
        <w:rPr>
          <w:lang w:val="fr-FR"/>
        </w:rPr>
        <w:t>’</w:t>
      </w:r>
      <w:r w:rsidR="00EB1136" w:rsidRPr="00183F91">
        <w:rPr>
          <w:lang w:val="fr-FR"/>
        </w:rPr>
        <w:t>études pour les lycéens handicapés mentaux, les programmes d</w:t>
      </w:r>
      <w:r w:rsidR="00442D55" w:rsidRPr="00183F91">
        <w:rPr>
          <w:lang w:val="fr-FR"/>
        </w:rPr>
        <w:t>’</w:t>
      </w:r>
      <w:r w:rsidR="00EB1136" w:rsidRPr="00183F91">
        <w:rPr>
          <w:lang w:val="fr-FR"/>
        </w:rPr>
        <w:t>études pour les enfants malentendants et les programmes d</w:t>
      </w:r>
      <w:r w:rsidR="00442D55" w:rsidRPr="00183F91">
        <w:rPr>
          <w:lang w:val="fr-FR"/>
        </w:rPr>
        <w:t>’</w:t>
      </w:r>
      <w:r w:rsidR="00EB1136" w:rsidRPr="00183F91">
        <w:rPr>
          <w:lang w:val="fr-FR"/>
        </w:rPr>
        <w:t>études pour les enfants malvoyants ont tous été renouvelés (arrêté du ministre du Ministère de l</w:t>
      </w:r>
      <w:r w:rsidR="00442D55" w:rsidRPr="00183F91">
        <w:rPr>
          <w:lang w:val="fr-FR"/>
        </w:rPr>
        <w:t>’</w:t>
      </w:r>
      <w:r w:rsidR="00EB1136" w:rsidRPr="00183F91">
        <w:rPr>
          <w:lang w:val="fr-FR"/>
        </w:rPr>
        <w:t>éducation, de la culture et des sciences n</w:t>
      </w:r>
      <w:r w:rsidR="00BE2441" w:rsidRPr="00183F91">
        <w:rPr>
          <w:vertAlign w:val="superscript"/>
          <w:lang w:val="fr-FR"/>
        </w:rPr>
        <w:t>o</w:t>
      </w:r>
      <w:r w:rsidR="00BE2441" w:rsidRPr="00183F91">
        <w:rPr>
          <w:lang w:val="fr-FR"/>
        </w:rPr>
        <w:t> </w:t>
      </w:r>
      <w:r w:rsidR="00EB1136" w:rsidRPr="00183F91">
        <w:rPr>
          <w:lang w:val="fr-FR"/>
        </w:rPr>
        <w:t>А/491 du 6 août 2018).</w:t>
      </w:r>
    </w:p>
    <w:p w14:paraId="0E4B04D7" w14:textId="7D1E7F3E" w:rsidR="00EB1136" w:rsidRPr="00183F91" w:rsidRDefault="004417E0" w:rsidP="004417E0">
      <w:pPr>
        <w:pStyle w:val="SingleTxt"/>
        <w:tabs>
          <w:tab w:val="right" w:pos="1685"/>
        </w:tabs>
        <w:ind w:left="1742" w:hanging="475"/>
        <w:rPr>
          <w:lang w:val="fr-FR"/>
        </w:rPr>
      </w:pPr>
      <w:r w:rsidRPr="00183F91">
        <w:rPr>
          <w:lang w:val="fr-FR"/>
        </w:rPr>
        <w:tab/>
        <w:t>•</w:t>
      </w:r>
      <w:r w:rsidRPr="00183F91">
        <w:rPr>
          <w:lang w:val="fr-FR"/>
        </w:rPr>
        <w:tab/>
      </w:r>
      <w:r w:rsidR="00EB1136" w:rsidRPr="00183F91">
        <w:rPr>
          <w:lang w:val="fr-FR"/>
        </w:rPr>
        <w:t>Les programmes de l</w:t>
      </w:r>
      <w:r w:rsidR="00442D55" w:rsidRPr="00183F91">
        <w:rPr>
          <w:lang w:val="fr-FR"/>
        </w:rPr>
        <w:t>’</w:t>
      </w:r>
      <w:r w:rsidR="00EB1136" w:rsidRPr="00183F91">
        <w:rPr>
          <w:lang w:val="fr-FR"/>
        </w:rPr>
        <w:t>école spéciale n</w:t>
      </w:r>
      <w:r w:rsidR="00BE2441" w:rsidRPr="00183F91">
        <w:rPr>
          <w:vertAlign w:val="superscript"/>
          <w:lang w:val="fr-FR"/>
        </w:rPr>
        <w:t>o</w:t>
      </w:r>
      <w:r w:rsidR="00BE2441" w:rsidRPr="00183F91">
        <w:rPr>
          <w:lang w:val="fr-FR"/>
        </w:rPr>
        <w:t> </w:t>
      </w:r>
      <w:r w:rsidR="00EB1136" w:rsidRPr="00183F91">
        <w:rPr>
          <w:lang w:val="fr-FR"/>
        </w:rPr>
        <w:t>29 ont été approuvés pour le cours préparatoire, la langue mongole, les mathématiques, la pratique du langage, les objets physiques et l</w:t>
      </w:r>
      <w:r w:rsidR="00442D55" w:rsidRPr="00183F91">
        <w:rPr>
          <w:lang w:val="fr-FR"/>
        </w:rPr>
        <w:t>’</w:t>
      </w:r>
      <w:r w:rsidR="00EB1136" w:rsidRPr="00183F91">
        <w:rPr>
          <w:lang w:val="fr-FR"/>
        </w:rPr>
        <w:t>exercice physique rythmique (arrêté du ministre du Ministère de l</w:t>
      </w:r>
      <w:r w:rsidR="00442D55" w:rsidRPr="00183F91">
        <w:rPr>
          <w:lang w:val="fr-FR"/>
        </w:rPr>
        <w:t>’</w:t>
      </w:r>
      <w:r w:rsidR="00EB1136" w:rsidRPr="00183F91">
        <w:rPr>
          <w:lang w:val="fr-FR"/>
        </w:rPr>
        <w:t>éducation, de la culture et des sciences n</w:t>
      </w:r>
      <w:r w:rsidR="00BE2441" w:rsidRPr="00183F91">
        <w:rPr>
          <w:vertAlign w:val="superscript"/>
          <w:lang w:val="fr-FR"/>
        </w:rPr>
        <w:t>o</w:t>
      </w:r>
      <w:r w:rsidR="00BE2441" w:rsidRPr="00183F91">
        <w:rPr>
          <w:lang w:val="fr-FR"/>
        </w:rPr>
        <w:t> </w:t>
      </w:r>
      <w:r w:rsidR="00DA5B0C" w:rsidRPr="000821D9">
        <w:t>A/492</w:t>
      </w:r>
      <w:r w:rsidR="00EB1136" w:rsidRPr="00183F91">
        <w:rPr>
          <w:lang w:val="fr-FR"/>
        </w:rPr>
        <w:t xml:space="preserve"> du 6 août 2018).</w:t>
      </w:r>
    </w:p>
    <w:p w14:paraId="6F055E28" w14:textId="16046676" w:rsidR="00EB1136" w:rsidRPr="00183F91" w:rsidRDefault="004417E0" w:rsidP="004417E0">
      <w:pPr>
        <w:pStyle w:val="SingleTxt"/>
        <w:tabs>
          <w:tab w:val="right" w:pos="1685"/>
        </w:tabs>
        <w:ind w:left="1742" w:hanging="475"/>
        <w:rPr>
          <w:lang w:val="fr-FR"/>
        </w:rPr>
      </w:pPr>
      <w:r w:rsidRPr="00183F91">
        <w:rPr>
          <w:lang w:val="fr-FR"/>
        </w:rPr>
        <w:tab/>
        <w:t>•</w:t>
      </w:r>
      <w:r w:rsidRPr="00183F91">
        <w:rPr>
          <w:lang w:val="fr-FR"/>
        </w:rPr>
        <w:tab/>
      </w:r>
      <w:r w:rsidR="00EB1136" w:rsidRPr="00183F91">
        <w:rPr>
          <w:lang w:val="fr-FR"/>
        </w:rPr>
        <w:t>Dans le cadre de la politique d</w:t>
      </w:r>
      <w:r w:rsidR="00442D55" w:rsidRPr="00183F91">
        <w:rPr>
          <w:lang w:val="fr-FR"/>
        </w:rPr>
        <w:t>’</w:t>
      </w:r>
      <w:r w:rsidR="00EB1136" w:rsidRPr="00183F91">
        <w:rPr>
          <w:lang w:val="fr-FR"/>
        </w:rPr>
        <w:t>inscription des enfants handicapés dans l</w:t>
      </w:r>
      <w:r w:rsidR="00442D55" w:rsidRPr="00183F91">
        <w:rPr>
          <w:lang w:val="fr-FR"/>
        </w:rPr>
        <w:t>’</w:t>
      </w:r>
      <w:r w:rsidR="00EB1136" w:rsidRPr="00183F91">
        <w:rPr>
          <w:lang w:val="fr-FR"/>
        </w:rPr>
        <w:t>enseignement supérieur, il a été décidé de garantir le plein accès à l</w:t>
      </w:r>
      <w:r w:rsidR="00442D55" w:rsidRPr="00183F91">
        <w:rPr>
          <w:lang w:val="fr-FR"/>
        </w:rPr>
        <w:t>’</w:t>
      </w:r>
      <w:r w:rsidR="00EB1136" w:rsidRPr="00183F91">
        <w:rPr>
          <w:lang w:val="fr-FR"/>
        </w:rPr>
        <w:t>éducation des personnes handicapées dans les établissements d</w:t>
      </w:r>
      <w:r w:rsidR="00442D55" w:rsidRPr="00183F91">
        <w:rPr>
          <w:lang w:val="fr-FR"/>
        </w:rPr>
        <w:t>’</w:t>
      </w:r>
      <w:r w:rsidR="00EB1136" w:rsidRPr="00183F91">
        <w:rPr>
          <w:lang w:val="fr-FR"/>
        </w:rPr>
        <w:t>enseignement supérieur, quel que soit leur statut, de fournir une assistance et un soutien complets et d</w:t>
      </w:r>
      <w:r w:rsidR="00442D55" w:rsidRPr="00183F91">
        <w:rPr>
          <w:lang w:val="fr-FR"/>
        </w:rPr>
        <w:t>’</w:t>
      </w:r>
      <w:r w:rsidR="00EB1136" w:rsidRPr="00183F91">
        <w:rPr>
          <w:lang w:val="fr-FR"/>
        </w:rPr>
        <w:t>orienter les étudiants vers un recrutement qui leur offre des possibilités de développement et de désigner un personnel spécial, à temps plein si les établissements d</w:t>
      </w:r>
      <w:r w:rsidR="00442D55" w:rsidRPr="00183F91">
        <w:rPr>
          <w:lang w:val="fr-FR"/>
        </w:rPr>
        <w:t>’</w:t>
      </w:r>
      <w:r w:rsidR="00EB1136" w:rsidRPr="00183F91">
        <w:rPr>
          <w:lang w:val="fr-FR"/>
        </w:rPr>
        <w:t>enseignement supérieur comptent plus de 300 étudiants ou à temps partiel s</w:t>
      </w:r>
      <w:r w:rsidR="00442D55" w:rsidRPr="00183F91">
        <w:rPr>
          <w:lang w:val="fr-FR"/>
        </w:rPr>
        <w:t>’</w:t>
      </w:r>
      <w:r w:rsidR="00EB1136" w:rsidRPr="00183F91">
        <w:rPr>
          <w:lang w:val="fr-FR"/>
        </w:rPr>
        <w:t>ils en comptent moins (arrêté du ministre du Ministère de l</w:t>
      </w:r>
      <w:r w:rsidR="00442D55" w:rsidRPr="00183F91">
        <w:rPr>
          <w:lang w:val="fr-FR"/>
        </w:rPr>
        <w:t>’</w:t>
      </w:r>
      <w:r w:rsidR="00EB1136" w:rsidRPr="00183F91">
        <w:rPr>
          <w:lang w:val="fr-FR"/>
        </w:rPr>
        <w:t>éducation, de la culture et des sciences n</w:t>
      </w:r>
      <w:r w:rsidR="00BE2441" w:rsidRPr="00183F91">
        <w:rPr>
          <w:vertAlign w:val="superscript"/>
          <w:lang w:val="fr-FR"/>
        </w:rPr>
        <w:t>o</w:t>
      </w:r>
      <w:r w:rsidR="00BE2441" w:rsidRPr="00183F91">
        <w:rPr>
          <w:lang w:val="fr-FR"/>
        </w:rPr>
        <w:t> </w:t>
      </w:r>
      <w:r w:rsidR="005E4D07" w:rsidRPr="000821D9">
        <w:t>A/261</w:t>
      </w:r>
      <w:r w:rsidR="00EB1136" w:rsidRPr="00183F91">
        <w:rPr>
          <w:lang w:val="fr-FR"/>
        </w:rPr>
        <w:t xml:space="preserve"> du 4 mai 2018). </w:t>
      </w:r>
    </w:p>
    <w:p w14:paraId="3BFA0B42" w14:textId="7EED2058" w:rsidR="00EB1136" w:rsidRPr="00183F91" w:rsidRDefault="004417E0" w:rsidP="004417E0">
      <w:pPr>
        <w:pStyle w:val="SingleTxt"/>
        <w:tabs>
          <w:tab w:val="right" w:pos="1685"/>
        </w:tabs>
        <w:ind w:left="1742" w:hanging="475"/>
        <w:rPr>
          <w:lang w:val="fr-FR"/>
        </w:rPr>
      </w:pPr>
      <w:r w:rsidRPr="00183F91">
        <w:rPr>
          <w:lang w:val="fr-FR"/>
        </w:rPr>
        <w:tab/>
        <w:t>•</w:t>
      </w:r>
      <w:r w:rsidRPr="00183F91">
        <w:rPr>
          <w:lang w:val="fr-FR"/>
        </w:rPr>
        <w:tab/>
      </w:r>
      <w:r w:rsidR="00EB1136" w:rsidRPr="00183F91">
        <w:rPr>
          <w:lang w:val="fr-FR"/>
        </w:rPr>
        <w:t>La Procédure relative à l</w:t>
      </w:r>
      <w:r w:rsidR="00442D55" w:rsidRPr="00183F91">
        <w:rPr>
          <w:lang w:val="fr-FR"/>
        </w:rPr>
        <w:t>’</w:t>
      </w:r>
      <w:r w:rsidR="00EB1136" w:rsidRPr="00183F91">
        <w:rPr>
          <w:lang w:val="fr-FR"/>
        </w:rPr>
        <w:t>évaluation de la qualité des étudiants et de la formation des établissements d</w:t>
      </w:r>
      <w:r w:rsidR="00442D55" w:rsidRPr="00183F91">
        <w:rPr>
          <w:lang w:val="fr-FR"/>
        </w:rPr>
        <w:t>’</w:t>
      </w:r>
      <w:r w:rsidR="00EB1136" w:rsidRPr="00183F91">
        <w:rPr>
          <w:lang w:val="fr-FR"/>
        </w:rPr>
        <w:t>enseignement général a été approuvée et a pour objet d</w:t>
      </w:r>
      <w:r w:rsidR="00442D55" w:rsidRPr="00183F91">
        <w:rPr>
          <w:lang w:val="fr-FR"/>
        </w:rPr>
        <w:t>’</w:t>
      </w:r>
      <w:r w:rsidR="00EB1136" w:rsidRPr="00183F91">
        <w:rPr>
          <w:lang w:val="fr-FR"/>
        </w:rPr>
        <w:t>évaluer les étudiants handicapés en fonction de leur handicap (</w:t>
      </w:r>
      <w:r w:rsidR="005E4D07" w:rsidRPr="00183F91">
        <w:rPr>
          <w:lang w:val="fr-FR"/>
        </w:rPr>
        <w:t>a</w:t>
      </w:r>
      <w:r w:rsidR="00EB1136" w:rsidRPr="00183F91">
        <w:rPr>
          <w:lang w:val="fr-FR"/>
        </w:rPr>
        <w:t>rrêté ministériel n</w:t>
      </w:r>
      <w:r w:rsidR="00BE2441" w:rsidRPr="00183F91">
        <w:rPr>
          <w:vertAlign w:val="superscript"/>
          <w:lang w:val="fr-FR"/>
        </w:rPr>
        <w:t>o</w:t>
      </w:r>
      <w:r w:rsidR="00BE2441" w:rsidRPr="00183F91">
        <w:rPr>
          <w:lang w:val="fr-FR"/>
        </w:rPr>
        <w:t> </w:t>
      </w:r>
      <w:r w:rsidR="005E4D07" w:rsidRPr="000821D9">
        <w:t>A/425</w:t>
      </w:r>
      <w:r w:rsidR="00EB1136" w:rsidRPr="00183F91">
        <w:rPr>
          <w:lang w:val="fr-FR"/>
        </w:rPr>
        <w:t xml:space="preserve"> du 29 juin 2018).</w:t>
      </w:r>
    </w:p>
    <w:p w14:paraId="028EBE05" w14:textId="200510C7" w:rsidR="00EB1136" w:rsidRPr="00183F91" w:rsidRDefault="004417E0" w:rsidP="004417E0">
      <w:pPr>
        <w:pStyle w:val="SingleTxt"/>
        <w:tabs>
          <w:tab w:val="right" w:pos="1685"/>
        </w:tabs>
        <w:ind w:left="1742" w:hanging="475"/>
        <w:rPr>
          <w:lang w:val="fr-FR"/>
        </w:rPr>
      </w:pPr>
      <w:r w:rsidRPr="00183F91">
        <w:rPr>
          <w:lang w:val="fr-FR"/>
        </w:rPr>
        <w:lastRenderedPageBreak/>
        <w:tab/>
        <w:t>•</w:t>
      </w:r>
      <w:r w:rsidRPr="00183F91">
        <w:rPr>
          <w:lang w:val="fr-FR"/>
        </w:rPr>
        <w:tab/>
      </w:r>
      <w:r w:rsidR="00EB1136" w:rsidRPr="00183F91">
        <w:rPr>
          <w:lang w:val="fr-FR"/>
        </w:rPr>
        <w:t>Le programme axé sur les compétences pratiques en matière de sécurité a été approuvé (arrêté ministériel n</w:t>
      </w:r>
      <w:r w:rsidR="00BE2441" w:rsidRPr="00183F91">
        <w:rPr>
          <w:vertAlign w:val="superscript"/>
          <w:lang w:val="fr-FR"/>
        </w:rPr>
        <w:t>o</w:t>
      </w:r>
      <w:r w:rsidR="00BE2441" w:rsidRPr="00183F91">
        <w:rPr>
          <w:lang w:val="fr-FR"/>
        </w:rPr>
        <w:t> </w:t>
      </w:r>
      <w:r w:rsidR="00EB1136" w:rsidRPr="00183F91">
        <w:rPr>
          <w:lang w:val="fr-FR"/>
        </w:rPr>
        <w:t>1/181 du 6 avril 2018).</w:t>
      </w:r>
    </w:p>
    <w:p w14:paraId="391C6D87" w14:textId="69FEBF29" w:rsidR="00EB1136" w:rsidRPr="00183F91" w:rsidRDefault="004417E0" w:rsidP="004417E0">
      <w:pPr>
        <w:pStyle w:val="SingleTxt"/>
        <w:tabs>
          <w:tab w:val="right" w:pos="1685"/>
        </w:tabs>
        <w:ind w:left="1742" w:hanging="475"/>
        <w:rPr>
          <w:lang w:val="fr-FR"/>
        </w:rPr>
      </w:pPr>
      <w:r w:rsidRPr="00183F91">
        <w:rPr>
          <w:lang w:val="fr-FR"/>
        </w:rPr>
        <w:tab/>
        <w:t>•</w:t>
      </w:r>
      <w:r w:rsidRPr="00183F91">
        <w:rPr>
          <w:lang w:val="fr-FR"/>
        </w:rPr>
        <w:tab/>
      </w:r>
      <w:r w:rsidR="00EB1136" w:rsidRPr="00183F91">
        <w:rPr>
          <w:lang w:val="fr-FR"/>
        </w:rPr>
        <w:t>La procédure de formation par les systèmes d</w:t>
      </w:r>
      <w:r w:rsidR="00442D55" w:rsidRPr="00183F91">
        <w:rPr>
          <w:lang w:val="fr-FR"/>
        </w:rPr>
        <w:t>’</w:t>
      </w:r>
      <w:r w:rsidR="00EB1136" w:rsidRPr="00183F91">
        <w:rPr>
          <w:lang w:val="fr-FR"/>
        </w:rPr>
        <w:t>équivalence de l</w:t>
      </w:r>
      <w:r w:rsidR="00442D55" w:rsidRPr="00183F91">
        <w:rPr>
          <w:lang w:val="fr-FR"/>
        </w:rPr>
        <w:t>’</w:t>
      </w:r>
      <w:r w:rsidR="00EB1136" w:rsidRPr="00183F91">
        <w:rPr>
          <w:lang w:val="fr-FR"/>
        </w:rPr>
        <w:t>enseignement primaire, secondaire et secondaire complet a été approuvée (arrêté du ministériel n</w:t>
      </w:r>
      <w:r w:rsidR="00BE2441" w:rsidRPr="00183F91">
        <w:rPr>
          <w:vertAlign w:val="superscript"/>
          <w:lang w:val="fr-FR"/>
        </w:rPr>
        <w:t>o</w:t>
      </w:r>
      <w:r w:rsidR="00BE2441" w:rsidRPr="00183F91">
        <w:rPr>
          <w:lang w:val="fr-FR"/>
        </w:rPr>
        <w:t> </w:t>
      </w:r>
      <w:r w:rsidR="005E4D07" w:rsidRPr="000821D9">
        <w:t>A/168</w:t>
      </w:r>
      <w:r w:rsidR="00EB1136" w:rsidRPr="00183F91">
        <w:rPr>
          <w:lang w:val="fr-FR"/>
        </w:rPr>
        <w:t xml:space="preserve"> du 5 avril 2018).</w:t>
      </w:r>
    </w:p>
    <w:p w14:paraId="12A2B83A" w14:textId="12FA963E" w:rsidR="00EB1136" w:rsidRPr="00183F91" w:rsidRDefault="004417E0" w:rsidP="004417E0">
      <w:pPr>
        <w:pStyle w:val="SingleTxt"/>
        <w:tabs>
          <w:tab w:val="right" w:pos="1685"/>
        </w:tabs>
        <w:ind w:left="1742" w:hanging="475"/>
        <w:rPr>
          <w:lang w:val="fr-FR"/>
        </w:rPr>
      </w:pPr>
      <w:r w:rsidRPr="00183F91">
        <w:rPr>
          <w:lang w:val="fr-FR"/>
        </w:rPr>
        <w:tab/>
        <w:t>•</w:t>
      </w:r>
      <w:r w:rsidRPr="00183F91">
        <w:rPr>
          <w:lang w:val="fr-FR"/>
        </w:rPr>
        <w:tab/>
      </w:r>
      <w:r w:rsidR="00EB1136" w:rsidRPr="00183F91">
        <w:rPr>
          <w:lang w:val="fr-FR"/>
        </w:rPr>
        <w:t>Le code de conduite pour les enseignants, l</w:t>
      </w:r>
      <w:r w:rsidR="00442D55" w:rsidRPr="00183F91">
        <w:rPr>
          <w:lang w:val="fr-FR"/>
        </w:rPr>
        <w:t>’</w:t>
      </w:r>
      <w:r w:rsidR="00EB1136" w:rsidRPr="00183F91">
        <w:rPr>
          <w:lang w:val="fr-FR"/>
        </w:rPr>
        <w:t>administration et les autres employés des écoles secondaires, des garderies, des centres d</w:t>
      </w:r>
      <w:r w:rsidR="00442D55" w:rsidRPr="00183F91">
        <w:rPr>
          <w:lang w:val="fr-FR"/>
        </w:rPr>
        <w:t>’</w:t>
      </w:r>
      <w:r w:rsidR="00EB1136" w:rsidRPr="00183F91">
        <w:rPr>
          <w:lang w:val="fr-FR"/>
        </w:rPr>
        <w:t>éducation permanente et professionnelle a été approuvé (arrêté ministériel n</w:t>
      </w:r>
      <w:r w:rsidR="00BE2441" w:rsidRPr="00183F91">
        <w:rPr>
          <w:vertAlign w:val="superscript"/>
          <w:lang w:val="fr-FR"/>
        </w:rPr>
        <w:t>o</w:t>
      </w:r>
      <w:r w:rsidR="00BE2441" w:rsidRPr="00183F91">
        <w:rPr>
          <w:lang w:val="fr-FR"/>
        </w:rPr>
        <w:t> </w:t>
      </w:r>
      <w:r w:rsidR="005E4D07" w:rsidRPr="000821D9">
        <w:t>A/243</w:t>
      </w:r>
      <w:r w:rsidR="00EB1136" w:rsidRPr="00183F91">
        <w:rPr>
          <w:lang w:val="fr-FR"/>
        </w:rPr>
        <w:t xml:space="preserve"> du 1</w:t>
      </w:r>
      <w:r w:rsidR="00EB1136" w:rsidRPr="00183F91">
        <w:rPr>
          <w:vertAlign w:val="superscript"/>
          <w:lang w:val="fr-FR"/>
        </w:rPr>
        <w:t>er</w:t>
      </w:r>
      <w:r w:rsidR="005E4D07" w:rsidRPr="00183F91">
        <w:rPr>
          <w:lang w:val="fr-FR"/>
        </w:rPr>
        <w:t> </w:t>
      </w:r>
      <w:r w:rsidR="00EB1136" w:rsidRPr="00183F91">
        <w:rPr>
          <w:lang w:val="fr-FR"/>
        </w:rPr>
        <w:t>mai 2018).</w:t>
      </w:r>
    </w:p>
    <w:p w14:paraId="06F07AEA" w14:textId="52A828B1" w:rsidR="004417E0" w:rsidRPr="00183F91" w:rsidRDefault="004417E0" w:rsidP="004417E0">
      <w:pPr>
        <w:pStyle w:val="SingleTxt"/>
        <w:tabs>
          <w:tab w:val="right" w:pos="1685"/>
        </w:tabs>
        <w:spacing w:after="0" w:line="120" w:lineRule="exact"/>
        <w:ind w:left="1742" w:hanging="475"/>
        <w:rPr>
          <w:sz w:val="10"/>
          <w:lang w:val="fr-FR"/>
        </w:rPr>
      </w:pPr>
    </w:p>
    <w:p w14:paraId="07824DEF" w14:textId="5DF97CE4" w:rsidR="00EB1136" w:rsidRPr="00183F91" w:rsidRDefault="00EB1136" w:rsidP="004417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83F91">
        <w:rPr>
          <w:lang w:val="fr-FR"/>
        </w:rPr>
        <w:tab/>
      </w:r>
      <w:r w:rsidRPr="00183F91">
        <w:rPr>
          <w:lang w:val="fr-FR"/>
        </w:rPr>
        <w:tab/>
        <w:t>Formation des enseignants chargés de l</w:t>
      </w:r>
      <w:r w:rsidR="00442D55" w:rsidRPr="00183F91">
        <w:rPr>
          <w:lang w:val="fr-FR"/>
        </w:rPr>
        <w:t>’</w:t>
      </w:r>
      <w:r w:rsidRPr="00183F91">
        <w:rPr>
          <w:lang w:val="fr-FR"/>
        </w:rPr>
        <w:t>éducation des filles et des femmes handicapées ayant des besoins particuliers</w:t>
      </w:r>
    </w:p>
    <w:p w14:paraId="3EAAAD4B" w14:textId="34C6FC99" w:rsidR="004417E0" w:rsidRPr="00183F91" w:rsidRDefault="004417E0" w:rsidP="004417E0">
      <w:pPr>
        <w:pStyle w:val="SingleTxt"/>
        <w:spacing w:after="0" w:line="120" w:lineRule="exact"/>
        <w:rPr>
          <w:sz w:val="10"/>
          <w:lang w:val="fr-FR"/>
        </w:rPr>
      </w:pPr>
    </w:p>
    <w:p w14:paraId="2CF47A87" w14:textId="0A04BD9A" w:rsidR="00EB1136" w:rsidRPr="00183F91" w:rsidRDefault="00EB1136" w:rsidP="004417E0">
      <w:pPr>
        <w:pStyle w:val="SingleTxt"/>
        <w:numPr>
          <w:ilvl w:val="0"/>
          <w:numId w:val="43"/>
        </w:numPr>
        <w:spacing w:line="240" w:lineRule="exact"/>
        <w:ind w:left="1267"/>
        <w:rPr>
          <w:lang w:val="fr-FR"/>
        </w:rPr>
      </w:pPr>
      <w:r w:rsidRPr="00183F91">
        <w:rPr>
          <w:lang w:val="fr-FR"/>
        </w:rPr>
        <w:t>En 2018, le Département pour l</w:t>
      </w:r>
      <w:r w:rsidR="00442D55" w:rsidRPr="00183F91">
        <w:rPr>
          <w:lang w:val="fr-FR"/>
        </w:rPr>
        <w:t>’</w:t>
      </w:r>
      <w:r w:rsidRPr="00183F91">
        <w:rPr>
          <w:lang w:val="fr-FR"/>
        </w:rPr>
        <w:t>éducation répondant à des besoins particuliers a été créé à la Mongolian State University of Education et actuellement plus de 100</w:t>
      </w:r>
      <w:r w:rsidR="00A66DA3" w:rsidRPr="00183F91">
        <w:rPr>
          <w:lang w:val="fr-FR"/>
        </w:rPr>
        <w:t> </w:t>
      </w:r>
      <w:r w:rsidRPr="00183F91">
        <w:rPr>
          <w:lang w:val="fr-FR"/>
        </w:rPr>
        <w:t>étudiants y sont inscrits. Les étudiants suivent des cours de langue des signes et de didactique pour enfants malentendants et malvoyants et effectuent des stages d</w:t>
      </w:r>
      <w:r w:rsidR="00442D55" w:rsidRPr="00183F91">
        <w:rPr>
          <w:lang w:val="fr-FR"/>
        </w:rPr>
        <w:t>’</w:t>
      </w:r>
      <w:r w:rsidRPr="00183F91">
        <w:rPr>
          <w:lang w:val="fr-FR"/>
        </w:rPr>
        <w:t>enseignement dans une école spécialisée pendant quatre semaines. En outre, les étudiants en pédagogie de l</w:t>
      </w:r>
      <w:r w:rsidR="00442D55" w:rsidRPr="00183F91">
        <w:rPr>
          <w:lang w:val="fr-FR"/>
        </w:rPr>
        <w:t>’</w:t>
      </w:r>
      <w:r w:rsidRPr="00183F91">
        <w:rPr>
          <w:lang w:val="fr-FR"/>
        </w:rPr>
        <w:t>École des sciences de l</w:t>
      </w:r>
      <w:r w:rsidR="00442D55" w:rsidRPr="00183F91">
        <w:rPr>
          <w:lang w:val="fr-FR"/>
        </w:rPr>
        <w:t>’</w:t>
      </w:r>
      <w:r w:rsidRPr="00183F91">
        <w:rPr>
          <w:lang w:val="fr-FR"/>
        </w:rPr>
        <w:t>éducation, de l</w:t>
      </w:r>
      <w:r w:rsidR="00442D55" w:rsidRPr="00183F91">
        <w:rPr>
          <w:lang w:val="fr-FR"/>
        </w:rPr>
        <w:t>’</w:t>
      </w:r>
      <w:r w:rsidRPr="00183F91">
        <w:rPr>
          <w:lang w:val="fr-FR"/>
        </w:rPr>
        <w:t>École d</w:t>
      </w:r>
      <w:r w:rsidR="00442D55" w:rsidRPr="00183F91">
        <w:rPr>
          <w:lang w:val="fr-FR"/>
        </w:rPr>
        <w:t>’</w:t>
      </w:r>
      <w:r w:rsidRPr="00183F91">
        <w:rPr>
          <w:lang w:val="fr-FR"/>
        </w:rPr>
        <w:t>éducation de la petite enfance, de l</w:t>
      </w:r>
      <w:r w:rsidR="00442D55" w:rsidRPr="00183F91">
        <w:rPr>
          <w:lang w:val="fr-FR"/>
        </w:rPr>
        <w:t>’</w:t>
      </w:r>
      <w:r w:rsidRPr="00183F91">
        <w:rPr>
          <w:lang w:val="fr-FR"/>
        </w:rPr>
        <w:t>École des sciences sociales et humaines et de l</w:t>
      </w:r>
      <w:r w:rsidR="00442D55" w:rsidRPr="00183F91">
        <w:rPr>
          <w:lang w:val="fr-FR"/>
        </w:rPr>
        <w:t>’</w:t>
      </w:r>
      <w:r w:rsidRPr="00183F91">
        <w:rPr>
          <w:lang w:val="fr-FR"/>
        </w:rPr>
        <w:t>École des sciences naturelles de la Mongolian State University of Education suivent des cours sur les fondements de l</w:t>
      </w:r>
      <w:r w:rsidR="00442D55" w:rsidRPr="00183F91">
        <w:rPr>
          <w:lang w:val="fr-FR"/>
        </w:rPr>
        <w:t>’</w:t>
      </w:r>
      <w:r w:rsidRPr="00183F91">
        <w:rPr>
          <w:lang w:val="fr-FR"/>
        </w:rPr>
        <w:t>éducation répondant à des besoins particuliers et sur l</w:t>
      </w:r>
      <w:r w:rsidR="00442D55" w:rsidRPr="00183F91">
        <w:rPr>
          <w:lang w:val="fr-FR"/>
        </w:rPr>
        <w:t>’</w:t>
      </w:r>
      <w:r w:rsidRPr="00183F91">
        <w:rPr>
          <w:lang w:val="fr-FR"/>
        </w:rPr>
        <w:t>éducation inclusive dans le cadre des matières de tronc commun ou de cours à option. Par ailleurs, le Département pour l</w:t>
      </w:r>
      <w:r w:rsidR="00442D55" w:rsidRPr="00183F91">
        <w:rPr>
          <w:lang w:val="fr-FR"/>
        </w:rPr>
        <w:t>’</w:t>
      </w:r>
      <w:r w:rsidRPr="00183F91">
        <w:rPr>
          <w:lang w:val="fr-FR"/>
        </w:rPr>
        <w:t>éducation répondant à des besoins particuliers a piloté une formation méthodologique sur l</w:t>
      </w:r>
      <w:r w:rsidR="00442D55" w:rsidRPr="00183F91">
        <w:rPr>
          <w:lang w:val="fr-FR"/>
        </w:rPr>
        <w:t>’</w:t>
      </w:r>
      <w:r w:rsidRPr="00183F91">
        <w:rPr>
          <w:lang w:val="fr-FR"/>
        </w:rPr>
        <w:t>enseignement aux enfants handicapés mentaux au cours de l</w:t>
      </w:r>
      <w:r w:rsidR="00442D55" w:rsidRPr="00183F91">
        <w:rPr>
          <w:lang w:val="fr-FR"/>
        </w:rPr>
        <w:t>’</w:t>
      </w:r>
      <w:r w:rsidRPr="00183F91">
        <w:rPr>
          <w:lang w:val="fr-FR"/>
        </w:rPr>
        <w:t>année scolaire 2018-2019. Sur la base des retours d</w:t>
      </w:r>
      <w:r w:rsidR="00442D55" w:rsidRPr="00183F91">
        <w:rPr>
          <w:lang w:val="fr-FR"/>
        </w:rPr>
        <w:t>’</w:t>
      </w:r>
      <w:r w:rsidRPr="00183F91">
        <w:rPr>
          <w:lang w:val="fr-FR"/>
        </w:rPr>
        <w:t>expérience et des besoins des enseignants des écoles spéciales, une formation en orthophonie a été organisée à l</w:t>
      </w:r>
      <w:r w:rsidR="00442D55" w:rsidRPr="00183F91">
        <w:rPr>
          <w:lang w:val="fr-FR"/>
        </w:rPr>
        <w:t>’</w:t>
      </w:r>
      <w:r w:rsidRPr="00183F91">
        <w:rPr>
          <w:lang w:val="fr-FR"/>
        </w:rPr>
        <w:t>intention de 26 enseignants.</w:t>
      </w:r>
    </w:p>
    <w:p w14:paraId="3A0D696E" w14:textId="5C943301" w:rsidR="00EB1136" w:rsidRPr="00183F91" w:rsidRDefault="00EB1136" w:rsidP="004417E0">
      <w:pPr>
        <w:pStyle w:val="SingleTxt"/>
        <w:numPr>
          <w:ilvl w:val="0"/>
          <w:numId w:val="43"/>
        </w:numPr>
        <w:spacing w:line="240" w:lineRule="exact"/>
        <w:ind w:left="1267"/>
        <w:rPr>
          <w:lang w:val="fr-FR"/>
        </w:rPr>
      </w:pPr>
      <w:r w:rsidRPr="00183F91">
        <w:rPr>
          <w:lang w:val="fr-FR"/>
        </w:rPr>
        <w:t>La formation destinées aux médecins des écoles spéciales a eu lieu au centre de réhabilitation à Irkoutsk, région de Tchita en Russie, pendant l</w:t>
      </w:r>
      <w:r w:rsidR="00442D55" w:rsidRPr="00183F91">
        <w:rPr>
          <w:lang w:val="fr-FR"/>
        </w:rPr>
        <w:t>’</w:t>
      </w:r>
      <w:r w:rsidRPr="00183F91">
        <w:rPr>
          <w:lang w:val="fr-FR"/>
        </w:rPr>
        <w:t>année scolaire 2018-2019. Dix étudiants ont été formés à l</w:t>
      </w:r>
      <w:r w:rsidR="00442D55" w:rsidRPr="00183F91">
        <w:rPr>
          <w:lang w:val="fr-FR"/>
        </w:rPr>
        <w:t>’</w:t>
      </w:r>
      <w:r w:rsidRPr="00183F91">
        <w:rPr>
          <w:lang w:val="fr-FR"/>
        </w:rPr>
        <w:t>éducation répondant à des besoins particuliers à la Baikal State University d</w:t>
      </w:r>
      <w:r w:rsidR="00442D55" w:rsidRPr="00183F91">
        <w:rPr>
          <w:lang w:val="fr-FR"/>
        </w:rPr>
        <w:t>’</w:t>
      </w:r>
      <w:r w:rsidRPr="00183F91">
        <w:rPr>
          <w:lang w:val="fr-FR"/>
        </w:rPr>
        <w:t>Irkoutsk, en Russie, pendant l</w:t>
      </w:r>
      <w:r w:rsidR="00442D55" w:rsidRPr="00183F91">
        <w:rPr>
          <w:lang w:val="fr-FR"/>
        </w:rPr>
        <w:t>’</w:t>
      </w:r>
      <w:r w:rsidRPr="00183F91">
        <w:rPr>
          <w:lang w:val="fr-FR"/>
        </w:rPr>
        <w:t>année universitaire 2018-2019 et huit étudiants ont été envoyés à Moscou, Saint-Pétersbourg et Tomsk, en Russie, pour l</w:t>
      </w:r>
      <w:r w:rsidR="00442D55" w:rsidRPr="00183F91">
        <w:rPr>
          <w:lang w:val="fr-FR"/>
        </w:rPr>
        <w:t>’</w:t>
      </w:r>
      <w:r w:rsidRPr="00183F91">
        <w:rPr>
          <w:lang w:val="fr-FR"/>
        </w:rPr>
        <w:t xml:space="preserve">année universitaire 2019-2020, pour suivre la formation de pathologiste. </w:t>
      </w:r>
    </w:p>
    <w:p w14:paraId="2F927961" w14:textId="78D6C779" w:rsidR="00EB1136" w:rsidRPr="00183F91" w:rsidRDefault="00EB1136" w:rsidP="004417E0">
      <w:pPr>
        <w:pStyle w:val="SingleTxt"/>
        <w:numPr>
          <w:ilvl w:val="0"/>
          <w:numId w:val="43"/>
        </w:numPr>
        <w:spacing w:line="240" w:lineRule="exact"/>
        <w:ind w:left="1267"/>
        <w:rPr>
          <w:lang w:val="fr-FR"/>
        </w:rPr>
      </w:pPr>
      <w:r w:rsidRPr="00183F91">
        <w:rPr>
          <w:lang w:val="fr-FR"/>
        </w:rPr>
        <w:t>Soutenu par l</w:t>
      </w:r>
      <w:r w:rsidR="00442D55" w:rsidRPr="00183F91">
        <w:rPr>
          <w:lang w:val="fr-FR"/>
        </w:rPr>
        <w:t>’</w:t>
      </w:r>
      <w:r w:rsidRPr="00183F91">
        <w:rPr>
          <w:lang w:val="fr-FR"/>
        </w:rPr>
        <w:t>Agence japonaise de coopération internationale, le projet d</w:t>
      </w:r>
      <w:r w:rsidR="00442D55" w:rsidRPr="00183F91">
        <w:rPr>
          <w:lang w:val="fr-FR"/>
        </w:rPr>
        <w:t>’</w:t>
      </w:r>
      <w:r w:rsidRPr="00183F91">
        <w:rPr>
          <w:lang w:val="fr-FR"/>
        </w:rPr>
        <w:t>amélioration des services de santé, d</w:t>
      </w:r>
      <w:r w:rsidR="00442D55" w:rsidRPr="00183F91">
        <w:rPr>
          <w:lang w:val="fr-FR"/>
        </w:rPr>
        <w:t>’</w:t>
      </w:r>
      <w:r w:rsidRPr="00183F91">
        <w:rPr>
          <w:lang w:val="fr-FR"/>
        </w:rPr>
        <w:t>éducation et de protection sociale pour les enfants nécessitant une éducation répondant à des besoins particuliers a été mis en œuvre dans quatre écoles spéciales et huit écoles ordinaires. Dans le cadre du projet, les enseignants et les parents ont pu consulter sur le site Web de l</w:t>
      </w:r>
      <w:r w:rsidR="00442D55" w:rsidRPr="00183F91">
        <w:rPr>
          <w:lang w:val="fr-FR"/>
        </w:rPr>
        <w:t>’</w:t>
      </w:r>
      <w:r w:rsidRPr="00183F91">
        <w:rPr>
          <w:lang w:val="fr-FR"/>
        </w:rPr>
        <w:t>Institut de développement professionnel des enseignants des manuels concernant les outils pédagogiques pour déterminer le niveau de développement des enfants souffrant d</w:t>
      </w:r>
      <w:r w:rsidR="00442D55" w:rsidRPr="00183F91">
        <w:rPr>
          <w:lang w:val="fr-FR"/>
        </w:rPr>
        <w:t>’</w:t>
      </w:r>
      <w:r w:rsidRPr="00183F91">
        <w:rPr>
          <w:lang w:val="fr-FR"/>
        </w:rPr>
        <w:t>un handicap grave, le soutien méthodologique pour les enfants ayant des problèmes de performance et de comportement, la perception et les méthodes appropriées, ainsi que des cours en ligne sur différents thèmes dont l</w:t>
      </w:r>
      <w:r w:rsidR="00442D55" w:rsidRPr="00183F91">
        <w:rPr>
          <w:lang w:val="fr-FR"/>
        </w:rPr>
        <w:t>’</w:t>
      </w:r>
      <w:r w:rsidRPr="00183F91">
        <w:rPr>
          <w:lang w:val="fr-FR"/>
        </w:rPr>
        <w:t>éducation inclusive. Ces supports ont été distribués à tous les enseignants des écoles, des garderies et des centres d</w:t>
      </w:r>
      <w:r w:rsidR="00442D55" w:rsidRPr="00183F91">
        <w:rPr>
          <w:lang w:val="fr-FR"/>
        </w:rPr>
        <w:t>’</w:t>
      </w:r>
      <w:r w:rsidRPr="00183F91">
        <w:rPr>
          <w:lang w:val="fr-FR"/>
        </w:rPr>
        <w:t>éducation permanente.</w:t>
      </w:r>
    </w:p>
    <w:p w14:paraId="21473E9B" w14:textId="72EA7DC1" w:rsidR="00EB1136" w:rsidRPr="00183F91" w:rsidRDefault="00EB1136" w:rsidP="004417E0">
      <w:pPr>
        <w:pStyle w:val="SingleTxt"/>
        <w:numPr>
          <w:ilvl w:val="0"/>
          <w:numId w:val="43"/>
        </w:numPr>
        <w:spacing w:line="240" w:lineRule="exact"/>
        <w:ind w:left="1267"/>
        <w:rPr>
          <w:lang w:val="fr-FR"/>
        </w:rPr>
      </w:pPr>
      <w:r w:rsidRPr="00183F91">
        <w:rPr>
          <w:lang w:val="fr-FR"/>
        </w:rPr>
        <w:t>Au niveau national, en avril-octobre 2019, 10 activités de formation et de renforcement des capacités ont été organisées à l</w:t>
      </w:r>
      <w:r w:rsidR="00442D55" w:rsidRPr="00183F91">
        <w:rPr>
          <w:lang w:val="fr-FR"/>
        </w:rPr>
        <w:t>’</w:t>
      </w:r>
      <w:r w:rsidRPr="00183F91">
        <w:rPr>
          <w:lang w:val="fr-FR"/>
        </w:rPr>
        <w:t>intention des enseignants de l</w:t>
      </w:r>
      <w:r w:rsidR="00442D55" w:rsidRPr="00183F91">
        <w:rPr>
          <w:lang w:val="fr-FR"/>
        </w:rPr>
        <w:t>’</w:t>
      </w:r>
      <w:r w:rsidRPr="00183F91">
        <w:rPr>
          <w:lang w:val="fr-FR"/>
        </w:rPr>
        <w:t>éducation tout au long de la vie, des directeurs d</w:t>
      </w:r>
      <w:r w:rsidR="00442D55" w:rsidRPr="00183F91">
        <w:rPr>
          <w:lang w:val="fr-FR"/>
        </w:rPr>
        <w:t>’</w:t>
      </w:r>
      <w:r w:rsidRPr="00183F91">
        <w:rPr>
          <w:lang w:val="fr-FR"/>
        </w:rPr>
        <w:t>établissement, des responsables de la formation, de l</w:t>
      </w:r>
      <w:r w:rsidR="00442D55" w:rsidRPr="00183F91">
        <w:rPr>
          <w:lang w:val="fr-FR"/>
        </w:rPr>
        <w:t>’</w:t>
      </w:r>
      <w:r w:rsidRPr="00183F91">
        <w:rPr>
          <w:lang w:val="fr-FR"/>
        </w:rPr>
        <w:t>administration locale et des décideurs, soit un total de 620</w:t>
      </w:r>
      <w:r w:rsidR="005E4D07" w:rsidRPr="00183F91">
        <w:rPr>
          <w:lang w:val="fr-FR"/>
        </w:rPr>
        <w:t> </w:t>
      </w:r>
      <w:r w:rsidRPr="00183F91">
        <w:rPr>
          <w:lang w:val="fr-FR"/>
        </w:rPr>
        <w:t xml:space="preserve">enseignants et membres du personnel. Le contenu de ce cours vise à donner aux </w:t>
      </w:r>
      <w:r w:rsidRPr="00183F91">
        <w:rPr>
          <w:lang w:val="fr-FR"/>
        </w:rPr>
        <w:lastRenderedPageBreak/>
        <w:t>enseignants et aux formateurs les moyens d</w:t>
      </w:r>
      <w:r w:rsidR="00442D55" w:rsidRPr="00183F91">
        <w:rPr>
          <w:lang w:val="fr-FR"/>
        </w:rPr>
        <w:t>’</w:t>
      </w:r>
      <w:r w:rsidRPr="00183F91">
        <w:rPr>
          <w:lang w:val="fr-FR"/>
        </w:rPr>
        <w:t>offrir aux enfants handicapés la possibilité de se faire des amis, d</w:t>
      </w:r>
      <w:r w:rsidR="00442D55" w:rsidRPr="00183F91">
        <w:rPr>
          <w:lang w:val="fr-FR"/>
        </w:rPr>
        <w:t>’</w:t>
      </w:r>
      <w:r w:rsidRPr="00183F91">
        <w:rPr>
          <w:lang w:val="fr-FR"/>
        </w:rPr>
        <w:t>interagir avec les autres et de leur apporter un soutien psychologique et professionnel, à eux et aux autres, en cas d</w:t>
      </w:r>
      <w:r w:rsidR="00442D55" w:rsidRPr="00183F91">
        <w:rPr>
          <w:lang w:val="fr-FR"/>
        </w:rPr>
        <w:t>’</w:t>
      </w:r>
      <w:r w:rsidRPr="00183F91">
        <w:rPr>
          <w:lang w:val="fr-FR"/>
        </w:rPr>
        <w:t>abus. En septembre 2019, une formation sur l</w:t>
      </w:r>
      <w:r w:rsidR="00442D55" w:rsidRPr="00183F91">
        <w:rPr>
          <w:lang w:val="fr-FR"/>
        </w:rPr>
        <w:t>’</w:t>
      </w:r>
      <w:r w:rsidRPr="00183F91">
        <w:rPr>
          <w:lang w:val="fr-FR"/>
        </w:rPr>
        <w:t>éducation inclusive a été organisée au niveau régional par les centres d</w:t>
      </w:r>
      <w:r w:rsidR="00442D55" w:rsidRPr="00183F91">
        <w:rPr>
          <w:lang w:val="fr-FR"/>
        </w:rPr>
        <w:t>’</w:t>
      </w:r>
      <w:r w:rsidRPr="00183F91">
        <w:rPr>
          <w:lang w:val="fr-FR"/>
        </w:rPr>
        <w:t>éducation permanente pour un groupe mixte d</w:t>
      </w:r>
      <w:r w:rsidR="00442D55" w:rsidRPr="00183F91">
        <w:rPr>
          <w:lang w:val="fr-FR"/>
        </w:rPr>
        <w:t>’</w:t>
      </w:r>
      <w:r w:rsidRPr="00183F91">
        <w:rPr>
          <w:lang w:val="fr-FR"/>
        </w:rPr>
        <w:t>enseignants (un total de 453 enseignants) dans les provinces d</w:t>
      </w:r>
      <w:r w:rsidR="00442D55" w:rsidRPr="00183F91">
        <w:rPr>
          <w:lang w:val="fr-FR"/>
        </w:rPr>
        <w:t>’</w:t>
      </w:r>
      <w:r w:rsidRPr="00183F91">
        <w:rPr>
          <w:lang w:val="fr-FR"/>
        </w:rPr>
        <w:t>Uvurkhangai, de Dundgovi, de Tuv, de Khovd, de Khuvsgul, de Zavkhan, de Khentii et de Selenge. Dans le secteur de l</w:t>
      </w:r>
      <w:r w:rsidR="00442D55" w:rsidRPr="00183F91">
        <w:rPr>
          <w:lang w:val="fr-FR"/>
        </w:rPr>
        <w:t>’</w:t>
      </w:r>
      <w:r w:rsidRPr="00183F91">
        <w:rPr>
          <w:lang w:val="fr-FR"/>
        </w:rPr>
        <w:t>éducation tout au long de la vie, les efforts de formation en 2019 comprennent des formations et des sessions en ligne destinées à 2</w:t>
      </w:r>
      <w:r w:rsidR="006A5E1F" w:rsidRPr="00183F91">
        <w:rPr>
          <w:lang w:val="fr-FR"/>
        </w:rPr>
        <w:t> </w:t>
      </w:r>
      <w:r w:rsidRPr="00183F91">
        <w:rPr>
          <w:lang w:val="fr-FR"/>
        </w:rPr>
        <w:t>137 enseignants, 112 heures de cours d</w:t>
      </w:r>
      <w:r w:rsidR="00442D55" w:rsidRPr="00183F91">
        <w:rPr>
          <w:lang w:val="fr-FR"/>
        </w:rPr>
        <w:t>’</w:t>
      </w:r>
      <w:r w:rsidRPr="00183F91">
        <w:rPr>
          <w:lang w:val="fr-FR"/>
        </w:rPr>
        <w:t>éducation inclusive pour 2</w:t>
      </w:r>
      <w:r w:rsidR="006A5E1F" w:rsidRPr="00183F91">
        <w:rPr>
          <w:lang w:val="fr-FR"/>
        </w:rPr>
        <w:t> </w:t>
      </w:r>
      <w:r w:rsidRPr="00183F91">
        <w:rPr>
          <w:lang w:val="fr-FR"/>
        </w:rPr>
        <w:t>680 enseignants et une formation sur l</w:t>
      </w:r>
      <w:r w:rsidR="00442D55" w:rsidRPr="00183F91">
        <w:rPr>
          <w:lang w:val="fr-FR"/>
        </w:rPr>
        <w:t>’</w:t>
      </w:r>
      <w:r w:rsidRPr="00183F91">
        <w:rPr>
          <w:lang w:val="fr-FR"/>
        </w:rPr>
        <w:t>enseignement pour enfants atteints de troubles autistiques dispensée à 500 personnes. Tous les supports de formation ont été fournis aux centres d</w:t>
      </w:r>
      <w:r w:rsidR="00442D55" w:rsidRPr="00183F91">
        <w:rPr>
          <w:lang w:val="fr-FR"/>
        </w:rPr>
        <w:t>’</w:t>
      </w:r>
      <w:r w:rsidRPr="00183F91">
        <w:rPr>
          <w:lang w:val="fr-FR"/>
        </w:rPr>
        <w:t>éducation permanente de tous les districts et aïmags.</w:t>
      </w:r>
    </w:p>
    <w:p w14:paraId="453974E9" w14:textId="0C29B439" w:rsidR="00EB1136" w:rsidRPr="00183F91" w:rsidRDefault="00EB1136" w:rsidP="004417E0">
      <w:pPr>
        <w:pStyle w:val="SingleTxt"/>
        <w:numPr>
          <w:ilvl w:val="0"/>
          <w:numId w:val="43"/>
        </w:numPr>
        <w:spacing w:line="240" w:lineRule="exact"/>
        <w:ind w:left="1267"/>
        <w:rPr>
          <w:lang w:val="fr-FR"/>
        </w:rPr>
      </w:pPr>
      <w:r w:rsidRPr="00183F91">
        <w:rPr>
          <w:lang w:val="fr-FR"/>
        </w:rPr>
        <w:t>Une recherche à l</w:t>
      </w:r>
      <w:r w:rsidR="00442D55" w:rsidRPr="00183F91">
        <w:rPr>
          <w:lang w:val="fr-FR"/>
        </w:rPr>
        <w:t>’</w:t>
      </w:r>
      <w:r w:rsidRPr="00183F91">
        <w:rPr>
          <w:lang w:val="fr-FR"/>
        </w:rPr>
        <w:t>échelle nationale a été menée sur le nombre d</w:t>
      </w:r>
      <w:r w:rsidR="00442D55" w:rsidRPr="00183F91">
        <w:rPr>
          <w:lang w:val="fr-FR"/>
        </w:rPr>
        <w:t>’</w:t>
      </w:r>
      <w:r w:rsidRPr="00183F91">
        <w:rPr>
          <w:lang w:val="fr-FR"/>
        </w:rPr>
        <w:t>enfants handicapés alités et souffrant de handicap grave, sur la base des informations des centres d</w:t>
      </w:r>
      <w:r w:rsidR="00442D55" w:rsidRPr="00183F91">
        <w:rPr>
          <w:lang w:val="fr-FR"/>
        </w:rPr>
        <w:t>’</w:t>
      </w:r>
      <w:r w:rsidRPr="00183F91">
        <w:rPr>
          <w:lang w:val="fr-FR"/>
        </w:rPr>
        <w:t>éducation permanente informels des aïmags et des districts. Il en ressort que 3</w:t>
      </w:r>
      <w:r w:rsidR="006A5E1F" w:rsidRPr="00183F91">
        <w:rPr>
          <w:lang w:val="fr-FR"/>
        </w:rPr>
        <w:t> </w:t>
      </w:r>
      <w:r w:rsidRPr="00183F91">
        <w:rPr>
          <w:lang w:val="fr-FR"/>
        </w:rPr>
        <w:t>372 enfants souffrent d</w:t>
      </w:r>
      <w:r w:rsidR="00442D55" w:rsidRPr="00183F91">
        <w:rPr>
          <w:lang w:val="fr-FR"/>
        </w:rPr>
        <w:t>’</w:t>
      </w:r>
      <w:r w:rsidRPr="00183F91">
        <w:rPr>
          <w:lang w:val="fr-FR"/>
        </w:rPr>
        <w:t>un handicap grave les obligeant à garder le lit. La procédure d</w:t>
      </w:r>
      <w:r w:rsidR="00442D55" w:rsidRPr="00183F91">
        <w:rPr>
          <w:lang w:val="fr-FR"/>
        </w:rPr>
        <w:t>’</w:t>
      </w:r>
      <w:r w:rsidRPr="00183F91">
        <w:rPr>
          <w:lang w:val="fr-FR"/>
        </w:rPr>
        <w:t>organisation des services d</w:t>
      </w:r>
      <w:r w:rsidR="00442D55" w:rsidRPr="00183F91">
        <w:rPr>
          <w:lang w:val="fr-FR"/>
        </w:rPr>
        <w:t>’</w:t>
      </w:r>
      <w:r w:rsidRPr="00183F91">
        <w:rPr>
          <w:lang w:val="fr-FR"/>
        </w:rPr>
        <w:t>alphabétisation, d</w:t>
      </w:r>
      <w:r w:rsidR="00442D55" w:rsidRPr="00183F91">
        <w:rPr>
          <w:lang w:val="fr-FR"/>
        </w:rPr>
        <w:t>’</w:t>
      </w:r>
      <w:r w:rsidRPr="00183F91">
        <w:rPr>
          <w:lang w:val="fr-FR"/>
        </w:rPr>
        <w:t>éducation primaire et secondaire pour les enfants alités ou souffrant de handicap grave a été rédigée. En 2018-2019, sur les 2</w:t>
      </w:r>
      <w:r w:rsidR="006A5E1F" w:rsidRPr="00183F91">
        <w:rPr>
          <w:lang w:val="fr-FR"/>
        </w:rPr>
        <w:t> </w:t>
      </w:r>
      <w:r w:rsidRPr="00183F91">
        <w:rPr>
          <w:lang w:val="fr-FR"/>
        </w:rPr>
        <w:t>855 citoyens inscrits dans tout le pays, 588 ont été alphabétisés et 888 ont fait des progrès, dont 37,8</w:t>
      </w:r>
      <w:r w:rsidR="006A5E1F" w:rsidRPr="00183F91">
        <w:rPr>
          <w:lang w:val="fr-FR"/>
        </w:rPr>
        <w:t> </w:t>
      </w:r>
      <w:r w:rsidRPr="00183F91">
        <w:rPr>
          <w:lang w:val="fr-FR"/>
        </w:rPr>
        <w:t>% étaient des enfants alités et gravement handicapés. Les équipements d</w:t>
      </w:r>
      <w:r w:rsidR="00442D55" w:rsidRPr="00183F91">
        <w:rPr>
          <w:lang w:val="fr-FR"/>
        </w:rPr>
        <w:t>’</w:t>
      </w:r>
      <w:r w:rsidRPr="00183F91">
        <w:rPr>
          <w:lang w:val="fr-FR"/>
        </w:rPr>
        <w:t>enseignement à distance ont été mis à jour pour les enfants handicapés dans les centres d</w:t>
      </w:r>
      <w:r w:rsidR="00442D55" w:rsidRPr="00183F91">
        <w:rPr>
          <w:lang w:val="fr-FR"/>
        </w:rPr>
        <w:t>’</w:t>
      </w:r>
      <w:r w:rsidRPr="00183F91">
        <w:rPr>
          <w:lang w:val="fr-FR"/>
        </w:rPr>
        <w:t>éducation permanente et 118 leçons vidéo ont été mises en ligne sur le site Web.</w:t>
      </w:r>
    </w:p>
    <w:p w14:paraId="7FFA3A7E" w14:textId="3DA302D0" w:rsidR="004417E0" w:rsidRPr="00183F91" w:rsidRDefault="004417E0" w:rsidP="004417E0">
      <w:pPr>
        <w:pStyle w:val="SingleTxt"/>
        <w:spacing w:after="0" w:line="120" w:lineRule="exact"/>
        <w:rPr>
          <w:sz w:val="10"/>
          <w:lang w:val="fr-FR"/>
        </w:rPr>
      </w:pPr>
    </w:p>
    <w:p w14:paraId="31AFB5F6" w14:textId="3CE47463" w:rsidR="004417E0" w:rsidRPr="00183F91" w:rsidRDefault="004417E0" w:rsidP="004417E0">
      <w:pPr>
        <w:pStyle w:val="SingleTxt"/>
        <w:spacing w:after="0" w:line="120" w:lineRule="exact"/>
        <w:rPr>
          <w:sz w:val="10"/>
          <w:lang w:val="fr-FR"/>
        </w:rPr>
      </w:pPr>
    </w:p>
    <w:p w14:paraId="4846D5C0" w14:textId="0A4CDD27" w:rsidR="00EB1136" w:rsidRPr="00183F91" w:rsidRDefault="004417E0" w:rsidP="004417E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83F91">
        <w:rPr>
          <w:lang w:val="fr-FR"/>
        </w:rPr>
        <w:tab/>
      </w:r>
      <w:r w:rsidR="00EB1136" w:rsidRPr="00183F91">
        <w:rPr>
          <w:lang w:val="fr-FR"/>
        </w:rPr>
        <w:t>P.</w:t>
      </w:r>
      <w:r w:rsidR="00EB1136" w:rsidRPr="00183F91">
        <w:rPr>
          <w:lang w:val="fr-FR"/>
        </w:rPr>
        <w:tab/>
        <w:t>Réponse au paragraphe 15 de la liste de points</w:t>
      </w:r>
    </w:p>
    <w:p w14:paraId="41CCD5D8" w14:textId="6A348D8B" w:rsidR="004417E0" w:rsidRPr="00183F91" w:rsidRDefault="004417E0" w:rsidP="004417E0">
      <w:pPr>
        <w:pStyle w:val="SingleTxt"/>
        <w:spacing w:after="0" w:line="120" w:lineRule="exact"/>
        <w:rPr>
          <w:sz w:val="10"/>
          <w:lang w:val="fr-FR"/>
        </w:rPr>
      </w:pPr>
    </w:p>
    <w:p w14:paraId="7D26F1AC" w14:textId="5A124E11" w:rsidR="004417E0" w:rsidRPr="00183F91" w:rsidRDefault="004417E0" w:rsidP="004417E0">
      <w:pPr>
        <w:pStyle w:val="SingleTxt"/>
        <w:spacing w:after="0" w:line="120" w:lineRule="exact"/>
        <w:rPr>
          <w:sz w:val="10"/>
          <w:lang w:val="fr-FR"/>
        </w:rPr>
      </w:pPr>
    </w:p>
    <w:p w14:paraId="60830F0C" w14:textId="52C2F694" w:rsidR="00EB1136" w:rsidRPr="000821D9" w:rsidRDefault="00EB11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lang w:val="fr-FR"/>
        </w:rPr>
      </w:pPr>
      <w:r w:rsidRPr="00183F91">
        <w:rPr>
          <w:lang w:val="fr-FR"/>
        </w:rPr>
        <w:tab/>
      </w:r>
      <w:r w:rsidRPr="00183F91">
        <w:rPr>
          <w:lang w:val="fr-FR"/>
        </w:rPr>
        <w:tab/>
      </w:r>
      <w:r w:rsidRPr="001B0B9B">
        <w:rPr>
          <w:szCs w:val="20"/>
          <w:lang w:val="fr-FR"/>
        </w:rPr>
        <w:t>Mesures législatives prises pour renforcer l</w:t>
      </w:r>
      <w:r w:rsidR="00442D55" w:rsidRPr="001B0B9B">
        <w:rPr>
          <w:szCs w:val="20"/>
          <w:lang w:val="fr-FR"/>
        </w:rPr>
        <w:t>’</w:t>
      </w:r>
      <w:r w:rsidRPr="001B0B9B">
        <w:rPr>
          <w:szCs w:val="20"/>
          <w:lang w:val="fr-FR"/>
        </w:rPr>
        <w:t xml:space="preserve">objectif 1 du </w:t>
      </w:r>
      <w:r w:rsidR="00653A21" w:rsidRPr="000821D9">
        <w:rPr>
          <w:color w:val="201F1E"/>
          <w:szCs w:val="20"/>
          <w:shd w:val="clear" w:color="auto" w:fill="FFFFFF"/>
        </w:rPr>
        <w:t>programme national relatif à l’égalité des sexes</w:t>
      </w:r>
      <w:r w:rsidR="00653A21" w:rsidRPr="001B0B9B" w:rsidDel="00F534C9">
        <w:rPr>
          <w:szCs w:val="20"/>
          <w:lang w:val="fr-FR"/>
        </w:rPr>
        <w:t xml:space="preserve"> </w:t>
      </w:r>
      <w:r w:rsidRPr="000821D9">
        <w:rPr>
          <w:szCs w:val="20"/>
          <w:lang w:val="fr-FR"/>
        </w:rPr>
        <w:t>pour 2017-2021 et état d</w:t>
      </w:r>
      <w:r w:rsidR="00442D55" w:rsidRPr="000821D9">
        <w:rPr>
          <w:szCs w:val="20"/>
          <w:lang w:val="fr-FR"/>
        </w:rPr>
        <w:t>’</w:t>
      </w:r>
      <w:r w:rsidRPr="000821D9">
        <w:rPr>
          <w:szCs w:val="20"/>
          <w:lang w:val="fr-FR"/>
        </w:rPr>
        <w:t>avancement et modalités des</w:t>
      </w:r>
      <w:r w:rsidR="004417E0" w:rsidRPr="000821D9">
        <w:rPr>
          <w:szCs w:val="20"/>
          <w:lang w:val="fr-FR"/>
        </w:rPr>
        <w:t> </w:t>
      </w:r>
      <w:r w:rsidRPr="000821D9">
        <w:rPr>
          <w:szCs w:val="20"/>
          <w:lang w:val="fr-FR"/>
        </w:rPr>
        <w:t>modifications apportées aux lois visant la promotion du travail et de l</w:t>
      </w:r>
      <w:r w:rsidR="00442D55" w:rsidRPr="000821D9">
        <w:rPr>
          <w:szCs w:val="20"/>
          <w:lang w:val="fr-FR"/>
        </w:rPr>
        <w:t>’</w:t>
      </w:r>
      <w:r w:rsidRPr="000821D9">
        <w:rPr>
          <w:szCs w:val="20"/>
          <w:lang w:val="fr-FR"/>
        </w:rPr>
        <w:t>emploi</w:t>
      </w:r>
    </w:p>
    <w:p w14:paraId="6FACB19C" w14:textId="4F269346" w:rsidR="004417E0" w:rsidRPr="00183F91" w:rsidRDefault="004417E0" w:rsidP="004417E0">
      <w:pPr>
        <w:pStyle w:val="SingleTxt"/>
        <w:spacing w:after="0" w:line="120" w:lineRule="exact"/>
        <w:rPr>
          <w:sz w:val="10"/>
          <w:lang w:val="fr-FR"/>
        </w:rPr>
      </w:pPr>
    </w:p>
    <w:p w14:paraId="1EE53992" w14:textId="4496F481" w:rsidR="00EB1136" w:rsidRPr="00183F91" w:rsidRDefault="00EB1136" w:rsidP="004417E0">
      <w:pPr>
        <w:pStyle w:val="SingleTxt"/>
        <w:numPr>
          <w:ilvl w:val="0"/>
          <w:numId w:val="43"/>
        </w:numPr>
        <w:spacing w:line="240" w:lineRule="exact"/>
        <w:ind w:left="1267"/>
        <w:rPr>
          <w:lang w:val="fr-FR"/>
        </w:rPr>
      </w:pPr>
      <w:r w:rsidRPr="00183F91">
        <w:rPr>
          <w:lang w:val="fr-FR"/>
        </w:rPr>
        <w:t>L</w:t>
      </w:r>
      <w:r w:rsidR="00442D55" w:rsidRPr="00183F91">
        <w:rPr>
          <w:lang w:val="fr-FR"/>
        </w:rPr>
        <w:t>’</w:t>
      </w:r>
      <w:r w:rsidRPr="00183F91">
        <w:rPr>
          <w:lang w:val="fr-FR"/>
        </w:rPr>
        <w:t>article 6.26 de la loi sur les infractions mineures régit les dispositions visant à ce que le lieu de travail soit exempt de toute forme de discrimination et prévoit des sanctions appropriées en cas de violation</w:t>
      </w:r>
      <w:r w:rsidR="00442D55" w:rsidRPr="00183F91">
        <w:rPr>
          <w:lang w:val="fr-FR"/>
        </w:rPr>
        <w:t> :</w:t>
      </w:r>
      <w:r w:rsidRPr="00183F91">
        <w:rPr>
          <w:lang w:val="fr-FR"/>
        </w:rPr>
        <w:t xml:space="preserve"> 1) Si une personne fait preuve de harcèlement sexuel explicite, verbale ou physique en jouant sur l</w:t>
      </w:r>
      <w:r w:rsidR="00442D55" w:rsidRPr="00183F91">
        <w:rPr>
          <w:lang w:val="fr-FR"/>
        </w:rPr>
        <w:t>’</w:t>
      </w:r>
      <w:r w:rsidRPr="00183F91">
        <w:rPr>
          <w:lang w:val="fr-FR"/>
        </w:rPr>
        <w:t>emploi, la position, l</w:t>
      </w:r>
      <w:r w:rsidR="00442D55" w:rsidRPr="00183F91">
        <w:rPr>
          <w:lang w:val="fr-FR"/>
        </w:rPr>
        <w:t>’</w:t>
      </w:r>
      <w:r w:rsidRPr="00183F91">
        <w:rPr>
          <w:lang w:val="fr-FR"/>
        </w:rPr>
        <w:t>honneur, la reconnaissance, la richesse ou l</w:t>
      </w:r>
      <w:r w:rsidR="00442D55" w:rsidRPr="00183F91">
        <w:rPr>
          <w:lang w:val="fr-FR"/>
        </w:rPr>
        <w:t>’</w:t>
      </w:r>
      <w:r w:rsidRPr="00183F91">
        <w:rPr>
          <w:lang w:val="fr-FR"/>
        </w:rPr>
        <w:t>émotion, elle se verra infliger une amende de 1</w:t>
      </w:r>
      <w:r w:rsidR="006A5E1F" w:rsidRPr="00183F91">
        <w:rPr>
          <w:lang w:val="fr-FR"/>
        </w:rPr>
        <w:t> </w:t>
      </w:r>
      <w:r w:rsidRPr="00183F91">
        <w:rPr>
          <w:lang w:val="fr-FR"/>
        </w:rPr>
        <w:t>000 unités monétaires ou devra suivre obligatoirement une formation et sera également passible de 7 à 30 jours d</w:t>
      </w:r>
      <w:r w:rsidR="00442D55" w:rsidRPr="00183F91">
        <w:rPr>
          <w:lang w:val="fr-FR"/>
        </w:rPr>
        <w:t>’</w:t>
      </w:r>
      <w:r w:rsidRPr="00183F91">
        <w:rPr>
          <w:lang w:val="fr-FR"/>
        </w:rPr>
        <w:t>emprisonnement</w:t>
      </w:r>
      <w:r w:rsidR="00442D55" w:rsidRPr="00183F91">
        <w:rPr>
          <w:lang w:val="fr-FR"/>
        </w:rPr>
        <w:t> ;</w:t>
      </w:r>
      <w:r w:rsidRPr="00183F91">
        <w:rPr>
          <w:lang w:val="fr-FR"/>
        </w:rPr>
        <w:t xml:space="preserve"> 2) Si un employeur ne remplit pas l</w:t>
      </w:r>
      <w:r w:rsidR="00442D55" w:rsidRPr="00183F91">
        <w:rPr>
          <w:lang w:val="fr-FR"/>
        </w:rPr>
        <w:t>’</w:t>
      </w:r>
      <w:r w:rsidRPr="00183F91">
        <w:rPr>
          <w:lang w:val="fr-FR"/>
        </w:rPr>
        <w:t>obligation que lui fait le droit du travail de prévenir le harcèlement sexuel sur le lieu de travail et de régler les conflits, une personne morale est passible d</w:t>
      </w:r>
      <w:r w:rsidR="00442D55" w:rsidRPr="00183F91">
        <w:rPr>
          <w:lang w:val="fr-FR"/>
        </w:rPr>
        <w:t>’</w:t>
      </w:r>
      <w:r w:rsidRPr="00183F91">
        <w:rPr>
          <w:lang w:val="fr-FR"/>
        </w:rPr>
        <w:t>une amende de 1</w:t>
      </w:r>
      <w:r w:rsidR="006A5E1F" w:rsidRPr="00183F91">
        <w:rPr>
          <w:lang w:val="fr-FR"/>
        </w:rPr>
        <w:t> </w:t>
      </w:r>
      <w:r w:rsidRPr="00183F91">
        <w:rPr>
          <w:lang w:val="fr-FR"/>
        </w:rPr>
        <w:t>500 unités monétaires.</w:t>
      </w:r>
    </w:p>
    <w:p w14:paraId="5ADE5354" w14:textId="20429114" w:rsidR="00EB1136" w:rsidRPr="00183F91" w:rsidRDefault="00EB1136" w:rsidP="004417E0">
      <w:pPr>
        <w:pStyle w:val="SingleTxt"/>
        <w:numPr>
          <w:ilvl w:val="0"/>
          <w:numId w:val="43"/>
        </w:numPr>
        <w:spacing w:line="240" w:lineRule="exact"/>
        <w:ind w:left="1267"/>
        <w:rPr>
          <w:lang w:val="fr-FR"/>
        </w:rPr>
      </w:pPr>
      <w:r w:rsidRPr="00183F91">
        <w:rPr>
          <w:lang w:val="fr-FR"/>
        </w:rPr>
        <w:t>En collaboration avec le syndicat, la Commission nationale sur l</w:t>
      </w:r>
      <w:r w:rsidR="00442D55" w:rsidRPr="00183F91">
        <w:rPr>
          <w:lang w:val="fr-FR"/>
        </w:rPr>
        <w:t>’</w:t>
      </w:r>
      <w:r w:rsidRPr="00183F91">
        <w:rPr>
          <w:lang w:val="fr-FR"/>
        </w:rPr>
        <w:t>égalité des sexes a organisé une table ronde sur la politique de l</w:t>
      </w:r>
      <w:r w:rsidR="00442D55" w:rsidRPr="00183F91">
        <w:rPr>
          <w:lang w:val="fr-FR"/>
        </w:rPr>
        <w:t>’</w:t>
      </w:r>
      <w:r w:rsidRPr="00183F91">
        <w:rPr>
          <w:lang w:val="fr-FR"/>
        </w:rPr>
        <w:t>État visant à tenir compte des questions de genre sur le lieu de travail, à laquelle ont participé 40 représentants du syndicat et de l</w:t>
      </w:r>
      <w:r w:rsidR="00442D55" w:rsidRPr="00183F91">
        <w:rPr>
          <w:lang w:val="fr-FR"/>
        </w:rPr>
        <w:t>’</w:t>
      </w:r>
      <w:r w:rsidRPr="00183F91">
        <w:rPr>
          <w:lang w:val="fr-FR"/>
        </w:rPr>
        <w:t>association des employeurs de Mongolie. Au cours du séminaire consacré à l</w:t>
      </w:r>
      <w:r w:rsidR="00442D55" w:rsidRPr="00183F91">
        <w:rPr>
          <w:lang w:val="fr-FR"/>
        </w:rPr>
        <w:t>’</w:t>
      </w:r>
      <w:r w:rsidRPr="00183F91">
        <w:rPr>
          <w:lang w:val="fr-FR"/>
        </w:rPr>
        <w:t>introduction du concept d</w:t>
      </w:r>
      <w:r w:rsidR="00442D55" w:rsidRPr="00183F91">
        <w:rPr>
          <w:lang w:val="fr-FR"/>
        </w:rPr>
        <w:t>’</w:t>
      </w:r>
      <w:r w:rsidRPr="00183F91">
        <w:rPr>
          <w:lang w:val="fr-FR"/>
        </w:rPr>
        <w:t>égalité des sexes dans les politiques et les travaux de l</w:t>
      </w:r>
      <w:r w:rsidR="00442D55" w:rsidRPr="00183F91">
        <w:rPr>
          <w:lang w:val="fr-FR"/>
        </w:rPr>
        <w:t>’</w:t>
      </w:r>
      <w:r w:rsidRPr="00183F91">
        <w:rPr>
          <w:lang w:val="fr-FR"/>
        </w:rPr>
        <w:t>administration locale, des projets de politiques alternatives ont été présentés à un total de 62 organisations, y compris les gouverneurs locaux et les groupes de travail des réunions de représentants des citoyens de 21 aïmags et 9</w:t>
      </w:r>
      <w:r w:rsidR="006A5E1F" w:rsidRPr="00183F91">
        <w:rPr>
          <w:lang w:val="fr-FR"/>
        </w:rPr>
        <w:t> </w:t>
      </w:r>
      <w:r w:rsidRPr="00183F91">
        <w:rPr>
          <w:lang w:val="fr-FR"/>
        </w:rPr>
        <w:t>districts.</w:t>
      </w:r>
    </w:p>
    <w:p w14:paraId="344CA598" w14:textId="7B798C49" w:rsidR="004417E0" w:rsidRPr="00183F91" w:rsidRDefault="004417E0" w:rsidP="004417E0">
      <w:pPr>
        <w:pStyle w:val="SingleTxt"/>
        <w:spacing w:after="0" w:line="120" w:lineRule="exact"/>
        <w:rPr>
          <w:sz w:val="10"/>
          <w:lang w:val="fr-FR"/>
        </w:rPr>
      </w:pPr>
    </w:p>
    <w:p w14:paraId="1E2FADB0" w14:textId="1B7EC18B" w:rsidR="00EB1136" w:rsidRPr="00183F91" w:rsidRDefault="00EB1136" w:rsidP="004417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83F91">
        <w:rPr>
          <w:lang w:val="fr-FR"/>
        </w:rPr>
        <w:lastRenderedPageBreak/>
        <w:tab/>
      </w:r>
      <w:r w:rsidRPr="00183F91">
        <w:rPr>
          <w:lang w:val="fr-FR"/>
        </w:rPr>
        <w:tab/>
        <w:t>Mesures mises en œuvre pour renforcer les compétences professionnelles des</w:t>
      </w:r>
      <w:r w:rsidR="004417E0" w:rsidRPr="00183F91">
        <w:rPr>
          <w:lang w:val="fr-FR"/>
        </w:rPr>
        <w:t> </w:t>
      </w:r>
      <w:r w:rsidRPr="00183F91">
        <w:rPr>
          <w:lang w:val="fr-FR"/>
        </w:rPr>
        <w:t>femmes, notamment les femmes handicapées, de manière qu</w:t>
      </w:r>
      <w:r w:rsidR="00442D55" w:rsidRPr="00183F91">
        <w:rPr>
          <w:lang w:val="fr-FR"/>
        </w:rPr>
        <w:t>’</w:t>
      </w:r>
      <w:r w:rsidRPr="00183F91">
        <w:rPr>
          <w:lang w:val="fr-FR"/>
        </w:rPr>
        <w:t>elles puissent participer à l</w:t>
      </w:r>
      <w:r w:rsidR="00442D55" w:rsidRPr="00183F91">
        <w:rPr>
          <w:lang w:val="fr-FR"/>
        </w:rPr>
        <w:t>’</w:t>
      </w:r>
      <w:r w:rsidRPr="00183F91">
        <w:rPr>
          <w:lang w:val="fr-FR"/>
        </w:rPr>
        <w:t>économie formelle, et pour sensibiliser les employeurs des secteurs public et privé</w:t>
      </w:r>
    </w:p>
    <w:p w14:paraId="47A09D7C" w14:textId="77C6757C" w:rsidR="004417E0" w:rsidRPr="00183F91" w:rsidRDefault="004417E0" w:rsidP="004417E0">
      <w:pPr>
        <w:pStyle w:val="SingleTxt"/>
        <w:spacing w:after="0" w:line="120" w:lineRule="exact"/>
        <w:rPr>
          <w:sz w:val="10"/>
          <w:lang w:val="fr-FR"/>
        </w:rPr>
      </w:pPr>
    </w:p>
    <w:p w14:paraId="2626E931" w14:textId="09BB3481" w:rsidR="00EB1136" w:rsidRPr="00183F91" w:rsidRDefault="00EB1136" w:rsidP="004417E0">
      <w:pPr>
        <w:pStyle w:val="SingleTxt"/>
        <w:numPr>
          <w:ilvl w:val="0"/>
          <w:numId w:val="43"/>
        </w:numPr>
        <w:spacing w:line="240" w:lineRule="exact"/>
        <w:ind w:left="1267"/>
        <w:rPr>
          <w:lang w:val="fr-FR"/>
        </w:rPr>
      </w:pPr>
      <w:r w:rsidRPr="00183F91">
        <w:rPr>
          <w:lang w:val="fr-FR"/>
        </w:rPr>
        <w:t>La législation suivante prévoit que le Gouvernement de la Mongolie apporte soutien et assistance aux personnes handicapées dans l</w:t>
      </w:r>
      <w:r w:rsidR="00442D55" w:rsidRPr="00183F91">
        <w:rPr>
          <w:lang w:val="fr-FR"/>
        </w:rPr>
        <w:t>’</w:t>
      </w:r>
      <w:r w:rsidRPr="00183F91">
        <w:rPr>
          <w:lang w:val="fr-FR"/>
        </w:rPr>
        <w:t>exercice de leur droit au travail. Il s</w:t>
      </w:r>
      <w:r w:rsidR="00442D55" w:rsidRPr="00183F91">
        <w:rPr>
          <w:lang w:val="fr-FR"/>
        </w:rPr>
        <w:t>’</w:t>
      </w:r>
      <w:r w:rsidRPr="00183F91">
        <w:rPr>
          <w:lang w:val="fr-FR"/>
        </w:rPr>
        <w:t>agit notamment de ce qui suit</w:t>
      </w:r>
      <w:r w:rsidR="00442D55" w:rsidRPr="00183F91">
        <w:rPr>
          <w:lang w:val="fr-FR"/>
        </w:rPr>
        <w:t> :</w:t>
      </w:r>
      <w:r w:rsidRPr="00183F91">
        <w:rPr>
          <w:lang w:val="fr-FR"/>
        </w:rPr>
        <w:t xml:space="preserve"> </w:t>
      </w:r>
    </w:p>
    <w:p w14:paraId="3DCCD5BE" w14:textId="76DF2FE7" w:rsidR="00EB1136" w:rsidRPr="00183F91" w:rsidRDefault="004D6E79" w:rsidP="004D6E79">
      <w:pPr>
        <w:pStyle w:val="SingleTxt"/>
        <w:tabs>
          <w:tab w:val="right" w:pos="1685"/>
        </w:tabs>
        <w:ind w:left="1742" w:hanging="475"/>
        <w:rPr>
          <w:lang w:val="fr-FR"/>
        </w:rPr>
      </w:pPr>
      <w:r w:rsidRPr="00183F91">
        <w:rPr>
          <w:lang w:val="fr-FR"/>
        </w:rPr>
        <w:tab/>
        <w:t>•</w:t>
      </w:r>
      <w:r w:rsidRPr="00183F91">
        <w:rPr>
          <w:lang w:val="fr-FR"/>
        </w:rPr>
        <w:tab/>
      </w:r>
      <w:r w:rsidR="00EB1136" w:rsidRPr="00183F91">
        <w:rPr>
          <w:lang w:val="fr-FR"/>
        </w:rPr>
        <w:t>Selon le droit du travail, une entité ou une organisation commerciale comptant 25 employés ou plus doit veiller à ce qu</w:t>
      </w:r>
      <w:r w:rsidR="00442D55" w:rsidRPr="00183F91">
        <w:rPr>
          <w:lang w:val="fr-FR"/>
        </w:rPr>
        <w:t>’</w:t>
      </w:r>
      <w:r w:rsidR="00EB1136" w:rsidRPr="00183F91">
        <w:rPr>
          <w:lang w:val="fr-FR"/>
        </w:rPr>
        <w:t>au moins quatre postes sur cent soit occupés par une personne handicapée ou une personne de petite taille, réduire les heures de travail des employés handicapés, prolonger leurs vacances, fixer des quotas pour l</w:t>
      </w:r>
      <w:r w:rsidR="00442D55" w:rsidRPr="00183F91">
        <w:rPr>
          <w:lang w:val="fr-FR"/>
        </w:rPr>
        <w:t>’</w:t>
      </w:r>
      <w:r w:rsidR="00EB1136" w:rsidRPr="00183F91">
        <w:rPr>
          <w:lang w:val="fr-FR"/>
        </w:rPr>
        <w:t>emploi de personnes handicapées dans les filiales et imposer des amendes en cas de non-respect.</w:t>
      </w:r>
    </w:p>
    <w:p w14:paraId="7630A4CD" w14:textId="34127FED" w:rsidR="00EB1136" w:rsidRPr="00183F91" w:rsidRDefault="004D6E79" w:rsidP="004D6E79">
      <w:pPr>
        <w:pStyle w:val="SingleTxt"/>
        <w:tabs>
          <w:tab w:val="right" w:pos="1685"/>
        </w:tabs>
        <w:ind w:left="1742" w:hanging="475"/>
        <w:rPr>
          <w:lang w:val="fr-FR"/>
        </w:rPr>
      </w:pPr>
      <w:r w:rsidRPr="00183F91">
        <w:rPr>
          <w:lang w:val="fr-FR"/>
        </w:rPr>
        <w:tab/>
        <w:t>•</w:t>
      </w:r>
      <w:r w:rsidRPr="00183F91">
        <w:rPr>
          <w:lang w:val="fr-FR"/>
        </w:rPr>
        <w:tab/>
      </w:r>
      <w:r w:rsidR="00EB1136" w:rsidRPr="00183F91">
        <w:rPr>
          <w:lang w:val="fr-FR"/>
        </w:rPr>
        <w:t>Conformément à la loi mongole sur l</w:t>
      </w:r>
      <w:r w:rsidR="00442D55" w:rsidRPr="00183F91">
        <w:rPr>
          <w:lang w:val="fr-FR"/>
        </w:rPr>
        <w:t>’</w:t>
      </w:r>
      <w:r w:rsidR="00EB1136" w:rsidRPr="00183F91">
        <w:rPr>
          <w:lang w:val="fr-FR"/>
        </w:rPr>
        <w:t>envoi de main-d</w:t>
      </w:r>
      <w:r w:rsidR="00442D55" w:rsidRPr="00183F91">
        <w:rPr>
          <w:lang w:val="fr-FR"/>
        </w:rPr>
        <w:t>’</w:t>
      </w:r>
      <w:r w:rsidR="00EB1136" w:rsidRPr="00183F91">
        <w:rPr>
          <w:lang w:val="fr-FR"/>
        </w:rPr>
        <w:t>œuvre à l</w:t>
      </w:r>
      <w:r w:rsidR="00442D55" w:rsidRPr="00183F91">
        <w:rPr>
          <w:lang w:val="fr-FR"/>
        </w:rPr>
        <w:t>’</w:t>
      </w:r>
      <w:r w:rsidR="00EB1136" w:rsidRPr="00183F91">
        <w:rPr>
          <w:lang w:val="fr-FR"/>
        </w:rPr>
        <w:t>étranger et l</w:t>
      </w:r>
      <w:r w:rsidR="00442D55" w:rsidRPr="00183F91">
        <w:rPr>
          <w:lang w:val="fr-FR"/>
        </w:rPr>
        <w:t>’</w:t>
      </w:r>
      <w:r w:rsidR="00EB1136" w:rsidRPr="00183F91">
        <w:rPr>
          <w:lang w:val="fr-FR"/>
        </w:rPr>
        <w:t>accueil de main-d</w:t>
      </w:r>
      <w:r w:rsidR="00442D55" w:rsidRPr="00183F91">
        <w:rPr>
          <w:lang w:val="fr-FR"/>
        </w:rPr>
        <w:t>’</w:t>
      </w:r>
      <w:r w:rsidR="00EB1136" w:rsidRPr="00183F91">
        <w:rPr>
          <w:lang w:val="fr-FR"/>
        </w:rPr>
        <w:t>œuvre et de spécialistes étrangers, une nouvelle disposition a été ajoutée aux termes de base du contrat signé avec une entité ou une organisation commerciale étrangère qui emploie des citoyens mongols, laquelle comprend le montant de l</w:t>
      </w:r>
      <w:r w:rsidR="00442D55" w:rsidRPr="00183F91">
        <w:rPr>
          <w:lang w:val="fr-FR"/>
        </w:rPr>
        <w:t>’</w:t>
      </w:r>
      <w:r w:rsidR="00EB1136" w:rsidRPr="00183F91">
        <w:rPr>
          <w:lang w:val="fr-FR"/>
        </w:rPr>
        <w:t>indemnisation, des prestations et de la compensation à verser par l</w:t>
      </w:r>
      <w:r w:rsidR="00442D55" w:rsidRPr="00183F91">
        <w:rPr>
          <w:lang w:val="fr-FR"/>
        </w:rPr>
        <w:t>’</w:t>
      </w:r>
      <w:r w:rsidR="00EB1136" w:rsidRPr="00183F91">
        <w:rPr>
          <w:lang w:val="fr-FR"/>
        </w:rPr>
        <w:t>employeur à un citoyen mongol en cas de perte partielle ou totale de la capacité de travailler pendant le séjour à l</w:t>
      </w:r>
      <w:r w:rsidR="00442D55" w:rsidRPr="00183F91">
        <w:rPr>
          <w:lang w:val="fr-FR"/>
        </w:rPr>
        <w:t>’</w:t>
      </w:r>
      <w:r w:rsidR="00EB1136" w:rsidRPr="00183F91">
        <w:rPr>
          <w:lang w:val="fr-FR"/>
        </w:rPr>
        <w:t>étranger. Cela permet d</w:t>
      </w:r>
      <w:r w:rsidR="00442D55" w:rsidRPr="00183F91">
        <w:rPr>
          <w:lang w:val="fr-FR"/>
        </w:rPr>
        <w:t>’</w:t>
      </w:r>
      <w:r w:rsidR="00EB1136" w:rsidRPr="00183F91">
        <w:rPr>
          <w:lang w:val="fr-FR"/>
        </w:rPr>
        <w:t>améliorer la protection sociale des citoyens mongols travaillant à l</w:t>
      </w:r>
      <w:r w:rsidR="00442D55" w:rsidRPr="00183F91">
        <w:rPr>
          <w:lang w:val="fr-FR"/>
        </w:rPr>
        <w:t>’</w:t>
      </w:r>
      <w:r w:rsidR="00EB1136" w:rsidRPr="00183F91">
        <w:rPr>
          <w:lang w:val="fr-FR"/>
        </w:rPr>
        <w:t>étranger et d</w:t>
      </w:r>
      <w:r w:rsidR="00442D55" w:rsidRPr="00183F91">
        <w:rPr>
          <w:lang w:val="fr-FR"/>
        </w:rPr>
        <w:t>’</w:t>
      </w:r>
      <w:r w:rsidR="00EB1136" w:rsidRPr="00183F91">
        <w:rPr>
          <w:lang w:val="fr-FR"/>
        </w:rPr>
        <w:t>accroître leur accès aux services de réadaptation en cas de handicap.</w:t>
      </w:r>
    </w:p>
    <w:p w14:paraId="432F30F4" w14:textId="1C7A6083" w:rsidR="00EB1136" w:rsidRPr="00183F91" w:rsidRDefault="004D6E79" w:rsidP="004D6E79">
      <w:pPr>
        <w:pStyle w:val="SingleTxt"/>
        <w:tabs>
          <w:tab w:val="right" w:pos="1685"/>
        </w:tabs>
        <w:ind w:left="1742" w:hanging="475"/>
        <w:rPr>
          <w:lang w:val="fr-FR"/>
        </w:rPr>
      </w:pPr>
      <w:r w:rsidRPr="00183F91">
        <w:rPr>
          <w:lang w:val="fr-FR"/>
        </w:rPr>
        <w:tab/>
        <w:t>•</w:t>
      </w:r>
      <w:r w:rsidRPr="00183F91">
        <w:rPr>
          <w:lang w:val="fr-FR"/>
        </w:rPr>
        <w:tab/>
      </w:r>
      <w:r w:rsidR="00EB1136" w:rsidRPr="00183F91">
        <w:rPr>
          <w:lang w:val="fr-FR"/>
        </w:rPr>
        <w:t>La loi sur l</w:t>
      </w:r>
      <w:r w:rsidR="00442D55" w:rsidRPr="00183F91">
        <w:rPr>
          <w:lang w:val="fr-FR"/>
        </w:rPr>
        <w:t>’</w:t>
      </w:r>
      <w:r w:rsidR="00EB1136" w:rsidRPr="00183F91">
        <w:rPr>
          <w:lang w:val="fr-FR"/>
        </w:rPr>
        <w:t>impôt sur les sociétés prévoit que si les employés aveugles représentent deux tiers ou plus du nombre total d</w:t>
      </w:r>
      <w:r w:rsidR="00442D55" w:rsidRPr="00183F91">
        <w:rPr>
          <w:lang w:val="fr-FR"/>
        </w:rPr>
        <w:t>’</w:t>
      </w:r>
      <w:r w:rsidR="00EB1136" w:rsidRPr="00183F91">
        <w:rPr>
          <w:lang w:val="fr-FR"/>
        </w:rPr>
        <w:t>employés d</w:t>
      </w:r>
      <w:r w:rsidR="00442D55" w:rsidRPr="00183F91">
        <w:rPr>
          <w:lang w:val="fr-FR"/>
        </w:rPr>
        <w:t>’</w:t>
      </w:r>
      <w:r w:rsidR="00EB1136" w:rsidRPr="00183F91">
        <w:rPr>
          <w:lang w:val="fr-FR"/>
        </w:rPr>
        <w:t>une entité commerciale de plus de 25 employés, l</w:t>
      </w:r>
      <w:r w:rsidR="00442D55" w:rsidRPr="00183F91">
        <w:rPr>
          <w:lang w:val="fr-FR"/>
        </w:rPr>
        <w:t>’</w:t>
      </w:r>
      <w:r w:rsidR="00EB1136" w:rsidRPr="00183F91">
        <w:rPr>
          <w:lang w:val="fr-FR"/>
        </w:rPr>
        <w:t>entité est exemptée de l</w:t>
      </w:r>
      <w:r w:rsidR="00442D55" w:rsidRPr="00183F91">
        <w:rPr>
          <w:lang w:val="fr-FR"/>
        </w:rPr>
        <w:t>’</w:t>
      </w:r>
      <w:r w:rsidR="00EB1136" w:rsidRPr="00183F91">
        <w:rPr>
          <w:lang w:val="fr-FR"/>
        </w:rPr>
        <w:t>impôt sur le revenu, que si des personnes ayant perdu plus de 50</w:t>
      </w:r>
      <w:r w:rsidR="006A5E1F" w:rsidRPr="00183F91">
        <w:rPr>
          <w:lang w:val="fr-FR"/>
        </w:rPr>
        <w:t> </w:t>
      </w:r>
      <w:r w:rsidR="00EB1136" w:rsidRPr="00183F91">
        <w:rPr>
          <w:lang w:val="fr-FR"/>
        </w:rPr>
        <w:t>% de leur capacité de travail ont été recrutées, l</w:t>
      </w:r>
      <w:r w:rsidR="00442D55" w:rsidRPr="00183F91">
        <w:rPr>
          <w:lang w:val="fr-FR"/>
        </w:rPr>
        <w:t>’</w:t>
      </w:r>
      <w:r w:rsidR="00EB1136" w:rsidRPr="00183F91">
        <w:rPr>
          <w:lang w:val="fr-FR"/>
        </w:rPr>
        <w:t>entité commerciale se voit offrir des avantages fiscaux proportionnels au nombre d</w:t>
      </w:r>
      <w:r w:rsidR="00442D55" w:rsidRPr="00183F91">
        <w:rPr>
          <w:lang w:val="fr-FR"/>
        </w:rPr>
        <w:t>’</w:t>
      </w:r>
      <w:r w:rsidR="00EB1136" w:rsidRPr="00183F91">
        <w:rPr>
          <w:lang w:val="fr-FR"/>
        </w:rPr>
        <w:t>employés handicapés. Enfin les dons d</w:t>
      </w:r>
      <w:r w:rsidR="00442D55" w:rsidRPr="00183F91">
        <w:rPr>
          <w:lang w:val="fr-FR"/>
        </w:rPr>
        <w:t>’</w:t>
      </w:r>
      <w:r w:rsidR="00EB1136" w:rsidRPr="00183F91">
        <w:rPr>
          <w:lang w:val="fr-FR"/>
        </w:rPr>
        <w:t>une entité commerciale ou d</w:t>
      </w:r>
      <w:r w:rsidR="00442D55" w:rsidRPr="00183F91">
        <w:rPr>
          <w:lang w:val="fr-FR"/>
        </w:rPr>
        <w:t>’</w:t>
      </w:r>
      <w:r w:rsidR="00EB1136" w:rsidRPr="00183F91">
        <w:rPr>
          <w:lang w:val="fr-FR"/>
        </w:rPr>
        <w:t>un particulier jusqu</w:t>
      </w:r>
      <w:r w:rsidR="00442D55" w:rsidRPr="00183F91">
        <w:rPr>
          <w:lang w:val="fr-FR"/>
        </w:rPr>
        <w:t>’</w:t>
      </w:r>
      <w:r w:rsidR="00EB1136" w:rsidRPr="00183F91">
        <w:rPr>
          <w:lang w:val="fr-FR"/>
        </w:rPr>
        <w:t xml:space="preserve">à 1 million de </w:t>
      </w:r>
      <w:r w:rsidR="00A66DA3" w:rsidRPr="00183F91">
        <w:rPr>
          <w:lang w:val="fr-FR"/>
        </w:rPr>
        <w:t>togrog</w:t>
      </w:r>
      <w:r w:rsidR="00EB1136" w:rsidRPr="00183F91">
        <w:rPr>
          <w:lang w:val="fr-FR"/>
        </w:rPr>
        <w:t>s versés afin de soutenir une ONG fondée par une personne handicapée sont déduits du revenu imposable de l</w:t>
      </w:r>
      <w:r w:rsidR="00442D55" w:rsidRPr="00183F91">
        <w:rPr>
          <w:lang w:val="fr-FR"/>
        </w:rPr>
        <w:t>’</w:t>
      </w:r>
      <w:r w:rsidR="00EB1136" w:rsidRPr="00183F91">
        <w:rPr>
          <w:lang w:val="fr-FR"/>
        </w:rPr>
        <w:t>entité commerciale au cours de l</w:t>
      </w:r>
      <w:r w:rsidR="00442D55" w:rsidRPr="00183F91">
        <w:rPr>
          <w:lang w:val="fr-FR"/>
        </w:rPr>
        <w:t>’</w:t>
      </w:r>
      <w:r w:rsidR="00EB1136" w:rsidRPr="00183F91">
        <w:rPr>
          <w:lang w:val="fr-FR"/>
        </w:rPr>
        <w:t>exercice fiscal donné.</w:t>
      </w:r>
    </w:p>
    <w:p w14:paraId="0475CA73" w14:textId="32EE4C19" w:rsidR="00EB1136" w:rsidRPr="00183F91" w:rsidRDefault="004D6E79" w:rsidP="004D6E79">
      <w:pPr>
        <w:pStyle w:val="SingleTxt"/>
        <w:tabs>
          <w:tab w:val="right" w:pos="1685"/>
        </w:tabs>
        <w:ind w:left="1742" w:hanging="475"/>
        <w:rPr>
          <w:lang w:val="fr-FR"/>
        </w:rPr>
      </w:pPr>
      <w:r w:rsidRPr="00183F91">
        <w:rPr>
          <w:lang w:val="fr-FR"/>
        </w:rPr>
        <w:tab/>
        <w:t>•</w:t>
      </w:r>
      <w:r w:rsidRPr="00183F91">
        <w:rPr>
          <w:lang w:val="fr-FR"/>
        </w:rPr>
        <w:tab/>
      </w:r>
      <w:r w:rsidR="00EB1136" w:rsidRPr="00183F91">
        <w:rPr>
          <w:lang w:val="fr-FR"/>
        </w:rPr>
        <w:t>La loi sur la promotion de l</w:t>
      </w:r>
      <w:r w:rsidR="00442D55" w:rsidRPr="00183F91">
        <w:rPr>
          <w:lang w:val="fr-FR"/>
        </w:rPr>
        <w:t>’</w:t>
      </w:r>
      <w:r w:rsidR="00EB1136" w:rsidRPr="00183F91">
        <w:rPr>
          <w:lang w:val="fr-FR"/>
        </w:rPr>
        <w:t>emploi prévoit qu</w:t>
      </w:r>
      <w:r w:rsidR="00442D55" w:rsidRPr="00183F91">
        <w:rPr>
          <w:lang w:val="fr-FR"/>
        </w:rPr>
        <w:t>’</w:t>
      </w:r>
      <w:r w:rsidR="00EB1136" w:rsidRPr="00183F91">
        <w:rPr>
          <w:lang w:val="fr-FR"/>
        </w:rPr>
        <w:t>un employeur qui fournit des emplois à des personnes handicapées doit bénéficier d</w:t>
      </w:r>
      <w:r w:rsidR="00442D55" w:rsidRPr="00183F91">
        <w:rPr>
          <w:lang w:val="fr-FR"/>
        </w:rPr>
        <w:t>’</w:t>
      </w:r>
      <w:r w:rsidR="00EB1136" w:rsidRPr="00183F91">
        <w:rPr>
          <w:lang w:val="fr-FR"/>
        </w:rPr>
        <w:t>une aide financière et d</w:t>
      </w:r>
      <w:r w:rsidR="00442D55" w:rsidRPr="00183F91">
        <w:rPr>
          <w:lang w:val="fr-FR"/>
        </w:rPr>
        <w:t>’</w:t>
      </w:r>
      <w:r w:rsidR="00EB1136" w:rsidRPr="00183F91">
        <w:rPr>
          <w:lang w:val="fr-FR"/>
        </w:rPr>
        <w:t>incitations s</w:t>
      </w:r>
      <w:r w:rsidR="00442D55" w:rsidRPr="00183F91">
        <w:rPr>
          <w:lang w:val="fr-FR"/>
        </w:rPr>
        <w:t>’</w:t>
      </w:r>
      <w:r w:rsidR="00EB1136" w:rsidRPr="00183F91">
        <w:rPr>
          <w:lang w:val="fr-FR"/>
        </w:rPr>
        <w:t>il a augmenté le nombre d</w:t>
      </w:r>
      <w:r w:rsidR="00442D55" w:rsidRPr="00183F91">
        <w:rPr>
          <w:lang w:val="fr-FR"/>
        </w:rPr>
        <w:t>’</w:t>
      </w:r>
      <w:r w:rsidR="00EB1136" w:rsidRPr="00183F91">
        <w:rPr>
          <w:lang w:val="fr-FR"/>
        </w:rPr>
        <w:t xml:space="preserve">emplois de personnes handicapées et créé des emplois. </w:t>
      </w:r>
    </w:p>
    <w:p w14:paraId="35E44E08" w14:textId="266E01D7" w:rsidR="00EB1136" w:rsidRPr="00183F91" w:rsidRDefault="00EB1136" w:rsidP="004D6E79">
      <w:pPr>
        <w:pStyle w:val="SingleTxt"/>
        <w:numPr>
          <w:ilvl w:val="0"/>
          <w:numId w:val="43"/>
        </w:numPr>
        <w:spacing w:line="240" w:lineRule="exact"/>
        <w:ind w:left="1267"/>
        <w:rPr>
          <w:lang w:val="fr-FR"/>
        </w:rPr>
      </w:pPr>
      <w:r w:rsidRPr="00183F91">
        <w:rPr>
          <w:lang w:val="fr-FR"/>
        </w:rPr>
        <w:t>Dans le cadre de la stratégie visant à créer des possibilités pour les personnes handicapées de participer à la vie sociale, le Conseil national de l</w:t>
      </w:r>
      <w:r w:rsidR="00442D55" w:rsidRPr="00183F91">
        <w:rPr>
          <w:lang w:val="fr-FR"/>
        </w:rPr>
        <w:t>’</w:t>
      </w:r>
      <w:r w:rsidRPr="00183F91">
        <w:rPr>
          <w:lang w:val="fr-FR"/>
        </w:rPr>
        <w:t>emploi approuve et met en œuvre chaque année le Programme de soutien à l</w:t>
      </w:r>
      <w:r w:rsidR="00442D55" w:rsidRPr="00183F91">
        <w:rPr>
          <w:lang w:val="fr-FR"/>
        </w:rPr>
        <w:t>’</w:t>
      </w:r>
      <w:r w:rsidRPr="00183F91">
        <w:rPr>
          <w:lang w:val="fr-FR"/>
        </w:rPr>
        <w:t>emploi pour les personnes handicapées. Dans le cadre de ce programme, 3</w:t>
      </w:r>
      <w:r w:rsidR="006A5E1F" w:rsidRPr="00183F91">
        <w:rPr>
          <w:lang w:val="fr-FR"/>
        </w:rPr>
        <w:t> </w:t>
      </w:r>
      <w:r w:rsidRPr="00183F91">
        <w:rPr>
          <w:lang w:val="fr-FR"/>
        </w:rPr>
        <w:t xml:space="preserve">647,1 millions de </w:t>
      </w:r>
      <w:r w:rsidR="00A66DA3" w:rsidRPr="00183F91">
        <w:rPr>
          <w:lang w:val="fr-FR"/>
        </w:rPr>
        <w:t>togrog</w:t>
      </w:r>
      <w:r w:rsidRPr="00183F91">
        <w:rPr>
          <w:lang w:val="fr-FR"/>
        </w:rPr>
        <w:t>s ont été dépensés en 2018, 5</w:t>
      </w:r>
      <w:r w:rsidR="006A5E1F" w:rsidRPr="00183F91">
        <w:rPr>
          <w:lang w:val="fr-FR"/>
        </w:rPr>
        <w:t> </w:t>
      </w:r>
      <w:r w:rsidRPr="00183F91">
        <w:rPr>
          <w:lang w:val="fr-FR"/>
        </w:rPr>
        <w:t>692 personnes ont été ciblés et 1</w:t>
      </w:r>
      <w:r w:rsidR="006A5E1F" w:rsidRPr="00183F91">
        <w:rPr>
          <w:lang w:val="fr-FR"/>
        </w:rPr>
        <w:t> </w:t>
      </w:r>
      <w:r w:rsidRPr="00183F91">
        <w:rPr>
          <w:lang w:val="fr-FR"/>
        </w:rPr>
        <w:t>209 emplois permanents et 134</w:t>
      </w:r>
      <w:r w:rsidR="003A5953" w:rsidRPr="00183F91">
        <w:rPr>
          <w:lang w:val="fr-FR"/>
        </w:rPr>
        <w:t> </w:t>
      </w:r>
      <w:r w:rsidRPr="00183F91">
        <w:rPr>
          <w:lang w:val="fr-FR"/>
        </w:rPr>
        <w:t>emplois temporaires ont été créés (contre 4</w:t>
      </w:r>
      <w:r w:rsidR="006A5E1F" w:rsidRPr="00183F91">
        <w:rPr>
          <w:lang w:val="fr-FR"/>
        </w:rPr>
        <w:t> </w:t>
      </w:r>
      <w:r w:rsidRPr="00183F91">
        <w:rPr>
          <w:lang w:val="fr-FR"/>
        </w:rPr>
        <w:t>876 personnes pour 2</w:t>
      </w:r>
      <w:r w:rsidR="006A5E1F" w:rsidRPr="00183F91">
        <w:rPr>
          <w:lang w:val="fr-FR"/>
        </w:rPr>
        <w:t> </w:t>
      </w:r>
      <w:r w:rsidRPr="00183F91">
        <w:rPr>
          <w:lang w:val="fr-FR"/>
        </w:rPr>
        <w:t xml:space="preserve">561,7 millions de </w:t>
      </w:r>
      <w:r w:rsidR="00A66DA3" w:rsidRPr="00183F91">
        <w:rPr>
          <w:lang w:val="fr-FR"/>
        </w:rPr>
        <w:t>togrog</w:t>
      </w:r>
      <w:r w:rsidRPr="00183F91">
        <w:rPr>
          <w:lang w:val="fr-FR"/>
        </w:rPr>
        <w:t>s et 968 emplois créés en 2019).</w:t>
      </w:r>
    </w:p>
    <w:p w14:paraId="310ACDC4" w14:textId="068494AD" w:rsidR="004D6E79" w:rsidRPr="00183F91" w:rsidRDefault="004D6E79" w:rsidP="004D6E79">
      <w:pPr>
        <w:pStyle w:val="SingleTxt"/>
        <w:spacing w:after="0" w:line="120" w:lineRule="exact"/>
        <w:rPr>
          <w:sz w:val="10"/>
          <w:lang w:val="fr-FR"/>
        </w:rPr>
      </w:pPr>
    </w:p>
    <w:p w14:paraId="129261D9" w14:textId="1DFEEA8E" w:rsidR="00EB1136" w:rsidRPr="00183F91" w:rsidRDefault="00EA21A9">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83F91">
        <w:rPr>
          <w:lang w:val="fr-FR"/>
        </w:rPr>
        <w:lastRenderedPageBreak/>
        <w:tab/>
      </w:r>
      <w:r w:rsidRPr="00183F91">
        <w:rPr>
          <w:lang w:val="fr-FR"/>
        </w:rPr>
        <w:tab/>
      </w:r>
      <w:r w:rsidR="00EB1136" w:rsidRPr="00183F91">
        <w:rPr>
          <w:lang w:val="fr-FR"/>
        </w:rPr>
        <w:t>Tableau 15.1</w:t>
      </w:r>
    </w:p>
    <w:p w14:paraId="14C08C9D" w14:textId="19835021" w:rsidR="00EB1136" w:rsidRPr="00183F91" w:rsidRDefault="00EA21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83F91">
        <w:rPr>
          <w:lang w:val="fr-FR"/>
        </w:rPr>
        <w:tab/>
      </w:r>
      <w:r w:rsidRPr="00183F91">
        <w:rPr>
          <w:lang w:val="fr-FR"/>
        </w:rPr>
        <w:tab/>
      </w:r>
      <w:r w:rsidR="00EB1136" w:rsidRPr="00183F91">
        <w:rPr>
          <w:lang w:val="fr-FR"/>
        </w:rPr>
        <w:t>Programme de promotion de l</w:t>
      </w:r>
      <w:r w:rsidR="00442D55" w:rsidRPr="00183F91">
        <w:rPr>
          <w:lang w:val="fr-FR"/>
        </w:rPr>
        <w:t>’</w:t>
      </w:r>
      <w:r w:rsidR="00EB1136" w:rsidRPr="00183F91">
        <w:rPr>
          <w:lang w:val="fr-FR"/>
        </w:rPr>
        <w:t>emploi pour les personnes handicapées, par type d</w:t>
      </w:r>
      <w:r w:rsidR="00442D55" w:rsidRPr="00183F91">
        <w:rPr>
          <w:lang w:val="fr-FR"/>
        </w:rPr>
        <w:t>’</w:t>
      </w:r>
      <w:r w:rsidR="00EB1136" w:rsidRPr="00183F91">
        <w:rPr>
          <w:lang w:val="fr-FR"/>
        </w:rPr>
        <w:t>action, 2018</w:t>
      </w:r>
      <w:r w:rsidRPr="00183F91">
        <w:rPr>
          <w:lang w:val="fr-FR"/>
        </w:rPr>
        <w:t>-</w:t>
      </w:r>
      <w:r w:rsidR="00EB1136" w:rsidRPr="00183F91">
        <w:rPr>
          <w:lang w:val="fr-FR"/>
        </w:rPr>
        <w:t>2019</w:t>
      </w:r>
    </w:p>
    <w:p w14:paraId="152D93DE" w14:textId="1CD95160" w:rsidR="006E0934" w:rsidRPr="00183F91" w:rsidRDefault="006E0934" w:rsidP="000821D9">
      <w:pPr>
        <w:pStyle w:val="SingleTxt"/>
        <w:keepNext/>
        <w:spacing w:after="0" w:line="120" w:lineRule="exact"/>
        <w:rPr>
          <w:sz w:val="10"/>
          <w:lang w:val="fr-FR"/>
        </w:rPr>
      </w:pPr>
    </w:p>
    <w:p w14:paraId="58137E54" w14:textId="767C827C" w:rsidR="004D6E79" w:rsidRPr="00183F91" w:rsidRDefault="004D6E79" w:rsidP="000821D9">
      <w:pPr>
        <w:pStyle w:val="SingleTxt"/>
        <w:keepNext/>
        <w:spacing w:after="0" w:line="120" w:lineRule="exact"/>
        <w:rPr>
          <w:sz w:val="10"/>
          <w:lang w:val="fr-FR"/>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5"/>
        <w:gridCol w:w="3060"/>
        <w:gridCol w:w="1008"/>
        <w:gridCol w:w="1009"/>
        <w:gridCol w:w="1009"/>
        <w:gridCol w:w="1010"/>
      </w:tblGrid>
      <w:tr w:rsidR="00EA21A9" w:rsidRPr="00183F91" w14:paraId="5B053B63" w14:textId="77777777" w:rsidTr="000821D9">
        <w:trPr>
          <w:tblHeader/>
        </w:trPr>
        <w:tc>
          <w:tcPr>
            <w:tcW w:w="225" w:type="dxa"/>
            <w:tcBorders>
              <w:top w:val="single" w:sz="4" w:space="0" w:color="auto"/>
              <w:bottom w:val="single" w:sz="12" w:space="0" w:color="auto"/>
            </w:tcBorders>
            <w:shd w:val="clear" w:color="auto" w:fill="auto"/>
            <w:noWrap/>
            <w:vAlign w:val="bottom"/>
          </w:tcPr>
          <w:p w14:paraId="0FACAE6C" w14:textId="77777777" w:rsidR="00EA21A9" w:rsidRPr="00183F91" w:rsidRDefault="00EA21A9" w:rsidP="000821D9">
            <w:pPr>
              <w:keepNext/>
              <w:spacing w:before="81" w:after="81" w:line="160" w:lineRule="exact"/>
              <w:ind w:right="40"/>
              <w:rPr>
                <w:i/>
                <w:sz w:val="14"/>
                <w:lang w:val="fr-FR"/>
              </w:rPr>
            </w:pPr>
          </w:p>
        </w:tc>
        <w:tc>
          <w:tcPr>
            <w:tcW w:w="3060" w:type="dxa"/>
            <w:tcBorders>
              <w:top w:val="single" w:sz="4" w:space="0" w:color="auto"/>
              <w:bottom w:val="single" w:sz="12" w:space="0" w:color="auto"/>
            </w:tcBorders>
            <w:shd w:val="clear" w:color="auto" w:fill="auto"/>
            <w:noWrap/>
            <w:vAlign w:val="bottom"/>
          </w:tcPr>
          <w:p w14:paraId="6EAC1AF5" w14:textId="77777777" w:rsidR="00EA21A9" w:rsidRPr="00183F91" w:rsidRDefault="00EA21A9" w:rsidP="000821D9">
            <w:pPr>
              <w:keepNext/>
              <w:spacing w:before="81" w:after="81" w:line="160" w:lineRule="exact"/>
              <w:ind w:right="43"/>
              <w:rPr>
                <w:i/>
                <w:sz w:val="14"/>
                <w:lang w:val="fr-FR"/>
              </w:rPr>
            </w:pPr>
            <w:r w:rsidRPr="00183F91">
              <w:rPr>
                <w:i/>
                <w:sz w:val="14"/>
                <w:lang w:val="fr-FR"/>
              </w:rPr>
              <w:t>Mesures prises</w:t>
            </w:r>
          </w:p>
        </w:tc>
        <w:tc>
          <w:tcPr>
            <w:tcW w:w="2016" w:type="dxa"/>
            <w:gridSpan w:val="2"/>
            <w:tcBorders>
              <w:top w:val="single" w:sz="4" w:space="0" w:color="auto"/>
              <w:bottom w:val="single" w:sz="12" w:space="0" w:color="auto"/>
            </w:tcBorders>
            <w:shd w:val="clear" w:color="auto" w:fill="auto"/>
            <w:noWrap/>
            <w:vAlign w:val="bottom"/>
          </w:tcPr>
          <w:p w14:paraId="5B931769" w14:textId="53D4904A" w:rsidR="00EA21A9" w:rsidRPr="00183F91" w:rsidRDefault="00EA21A9" w:rsidP="000821D9">
            <w:pPr>
              <w:keepNext/>
              <w:spacing w:before="81" w:after="81" w:line="160" w:lineRule="exact"/>
              <w:ind w:right="43"/>
              <w:jc w:val="center"/>
              <w:rPr>
                <w:i/>
                <w:sz w:val="14"/>
                <w:lang w:val="fr-FR"/>
              </w:rPr>
            </w:pPr>
            <w:r w:rsidRPr="00183F91">
              <w:rPr>
                <w:i/>
                <w:sz w:val="14"/>
                <w:lang w:val="fr-FR"/>
              </w:rPr>
              <w:t>Participants au programme</w:t>
            </w:r>
          </w:p>
        </w:tc>
        <w:tc>
          <w:tcPr>
            <w:tcW w:w="2019" w:type="dxa"/>
            <w:gridSpan w:val="2"/>
            <w:tcBorders>
              <w:top w:val="single" w:sz="4" w:space="0" w:color="auto"/>
              <w:bottom w:val="single" w:sz="12" w:space="0" w:color="auto"/>
            </w:tcBorders>
            <w:shd w:val="clear" w:color="auto" w:fill="auto"/>
            <w:noWrap/>
            <w:vAlign w:val="bottom"/>
          </w:tcPr>
          <w:p w14:paraId="34F5F6AE" w14:textId="65496A26" w:rsidR="00EA21A9" w:rsidRPr="00183F91" w:rsidRDefault="00EA21A9" w:rsidP="000821D9">
            <w:pPr>
              <w:keepNext/>
              <w:spacing w:before="81" w:after="81" w:line="160" w:lineRule="exact"/>
              <w:ind w:right="43"/>
              <w:jc w:val="center"/>
              <w:rPr>
                <w:i/>
                <w:sz w:val="14"/>
                <w:lang w:val="fr-FR"/>
              </w:rPr>
            </w:pPr>
            <w:r w:rsidRPr="00183F91">
              <w:rPr>
                <w:i/>
                <w:sz w:val="14"/>
                <w:lang w:val="fr-FR"/>
              </w:rPr>
              <w:t>Financement total,</w:t>
            </w:r>
            <w:r w:rsidRPr="00183F91">
              <w:rPr>
                <w:i/>
                <w:sz w:val="14"/>
                <w:lang w:val="fr-FR"/>
              </w:rPr>
              <w:br/>
              <w:t xml:space="preserve">en million de </w:t>
            </w:r>
            <w:r w:rsidR="00A66DA3" w:rsidRPr="00183F91">
              <w:rPr>
                <w:i/>
                <w:sz w:val="14"/>
                <w:lang w:val="fr-FR"/>
              </w:rPr>
              <w:t>togrog</w:t>
            </w:r>
            <w:r w:rsidRPr="00183F91">
              <w:rPr>
                <w:i/>
                <w:sz w:val="14"/>
                <w:lang w:val="fr-FR"/>
              </w:rPr>
              <w:t>s</w:t>
            </w:r>
          </w:p>
        </w:tc>
      </w:tr>
      <w:tr w:rsidR="00EA21A9" w:rsidRPr="00183F91" w14:paraId="006CE475" w14:textId="77777777" w:rsidTr="000821D9">
        <w:trPr>
          <w:trHeight w:hRule="exact" w:val="115"/>
          <w:tblHeader/>
        </w:trPr>
        <w:tc>
          <w:tcPr>
            <w:tcW w:w="225" w:type="dxa"/>
            <w:tcBorders>
              <w:top w:val="single" w:sz="12" w:space="0" w:color="auto"/>
            </w:tcBorders>
            <w:shd w:val="clear" w:color="auto" w:fill="auto"/>
            <w:noWrap/>
            <w:vAlign w:val="bottom"/>
          </w:tcPr>
          <w:p w14:paraId="7DE8AF4D" w14:textId="77777777" w:rsidR="00EA21A9" w:rsidRPr="00183F91" w:rsidRDefault="00EA21A9" w:rsidP="000821D9">
            <w:pPr>
              <w:keepNext/>
              <w:spacing w:before="40" w:after="40" w:line="210" w:lineRule="exact"/>
              <w:ind w:right="40"/>
              <w:rPr>
                <w:sz w:val="17"/>
                <w:lang w:val="fr-FR"/>
              </w:rPr>
            </w:pPr>
          </w:p>
        </w:tc>
        <w:tc>
          <w:tcPr>
            <w:tcW w:w="3060" w:type="dxa"/>
            <w:tcBorders>
              <w:top w:val="single" w:sz="12" w:space="0" w:color="auto"/>
            </w:tcBorders>
            <w:shd w:val="clear" w:color="auto" w:fill="auto"/>
            <w:noWrap/>
            <w:vAlign w:val="bottom"/>
          </w:tcPr>
          <w:p w14:paraId="629A0C50" w14:textId="77777777" w:rsidR="00EA21A9" w:rsidRPr="00183F91" w:rsidRDefault="00EA21A9" w:rsidP="000821D9">
            <w:pPr>
              <w:keepNext/>
              <w:spacing w:before="40" w:after="40" w:line="210" w:lineRule="exact"/>
              <w:ind w:right="43"/>
              <w:rPr>
                <w:sz w:val="17"/>
                <w:lang w:val="fr-FR"/>
              </w:rPr>
            </w:pPr>
          </w:p>
        </w:tc>
        <w:tc>
          <w:tcPr>
            <w:tcW w:w="1008" w:type="dxa"/>
            <w:tcBorders>
              <w:top w:val="single" w:sz="12" w:space="0" w:color="auto"/>
            </w:tcBorders>
            <w:shd w:val="clear" w:color="auto" w:fill="auto"/>
            <w:noWrap/>
            <w:vAlign w:val="bottom"/>
          </w:tcPr>
          <w:p w14:paraId="4AD75644" w14:textId="77777777" w:rsidR="00EA21A9" w:rsidRPr="00183F91" w:rsidRDefault="00EA21A9" w:rsidP="000821D9">
            <w:pPr>
              <w:keepNext/>
              <w:spacing w:before="40" w:after="40" w:line="210" w:lineRule="exact"/>
              <w:ind w:right="43"/>
              <w:jc w:val="right"/>
              <w:rPr>
                <w:sz w:val="17"/>
                <w:lang w:val="fr-FR"/>
              </w:rPr>
            </w:pPr>
          </w:p>
        </w:tc>
        <w:tc>
          <w:tcPr>
            <w:tcW w:w="1009" w:type="dxa"/>
            <w:tcBorders>
              <w:top w:val="single" w:sz="12" w:space="0" w:color="auto"/>
            </w:tcBorders>
            <w:shd w:val="clear" w:color="auto" w:fill="auto"/>
            <w:noWrap/>
            <w:vAlign w:val="bottom"/>
          </w:tcPr>
          <w:p w14:paraId="42155C8C" w14:textId="77777777" w:rsidR="00EA21A9" w:rsidRPr="00183F91" w:rsidRDefault="00EA21A9" w:rsidP="000821D9">
            <w:pPr>
              <w:keepNext/>
              <w:spacing w:before="40" w:after="40" w:line="210" w:lineRule="exact"/>
              <w:ind w:right="43"/>
              <w:jc w:val="right"/>
              <w:rPr>
                <w:sz w:val="17"/>
                <w:lang w:val="fr-FR"/>
              </w:rPr>
            </w:pPr>
          </w:p>
        </w:tc>
        <w:tc>
          <w:tcPr>
            <w:tcW w:w="1009" w:type="dxa"/>
            <w:tcBorders>
              <w:top w:val="single" w:sz="12" w:space="0" w:color="auto"/>
            </w:tcBorders>
            <w:shd w:val="clear" w:color="auto" w:fill="auto"/>
            <w:noWrap/>
            <w:vAlign w:val="bottom"/>
          </w:tcPr>
          <w:p w14:paraId="488C4BA3" w14:textId="77777777" w:rsidR="00EA21A9" w:rsidRPr="00183F91" w:rsidRDefault="00EA21A9" w:rsidP="000821D9">
            <w:pPr>
              <w:keepNext/>
              <w:spacing w:before="40" w:after="40" w:line="210" w:lineRule="exact"/>
              <w:ind w:right="43"/>
              <w:jc w:val="right"/>
              <w:rPr>
                <w:sz w:val="17"/>
                <w:lang w:val="fr-FR"/>
              </w:rPr>
            </w:pPr>
          </w:p>
        </w:tc>
        <w:tc>
          <w:tcPr>
            <w:tcW w:w="1009" w:type="dxa"/>
            <w:tcBorders>
              <w:top w:val="single" w:sz="12" w:space="0" w:color="auto"/>
            </w:tcBorders>
            <w:shd w:val="clear" w:color="auto" w:fill="auto"/>
            <w:noWrap/>
            <w:vAlign w:val="bottom"/>
          </w:tcPr>
          <w:p w14:paraId="493E91D1" w14:textId="77777777" w:rsidR="00EA21A9" w:rsidRPr="00183F91" w:rsidRDefault="00EA21A9" w:rsidP="000821D9">
            <w:pPr>
              <w:keepNext/>
              <w:spacing w:before="40" w:after="40" w:line="210" w:lineRule="exact"/>
              <w:ind w:right="43"/>
              <w:jc w:val="right"/>
              <w:rPr>
                <w:sz w:val="17"/>
                <w:lang w:val="fr-FR"/>
              </w:rPr>
            </w:pPr>
          </w:p>
        </w:tc>
      </w:tr>
      <w:tr w:rsidR="00EA21A9" w:rsidRPr="00183F91" w14:paraId="71AC0125" w14:textId="77777777" w:rsidTr="000821D9">
        <w:tc>
          <w:tcPr>
            <w:tcW w:w="225" w:type="dxa"/>
            <w:shd w:val="clear" w:color="auto" w:fill="auto"/>
            <w:noWrap/>
            <w:vAlign w:val="bottom"/>
          </w:tcPr>
          <w:p w14:paraId="35E7E1EE" w14:textId="77777777" w:rsidR="006E2E53" w:rsidRPr="00183F91" w:rsidRDefault="006E2E53" w:rsidP="000821D9">
            <w:pPr>
              <w:keepNext/>
              <w:tabs>
                <w:tab w:val="left" w:pos="288"/>
                <w:tab w:val="left" w:pos="576"/>
                <w:tab w:val="left" w:pos="864"/>
                <w:tab w:val="left" w:pos="1152"/>
              </w:tabs>
              <w:spacing w:before="40" w:after="40" w:line="210" w:lineRule="exact"/>
              <w:ind w:right="40"/>
              <w:rPr>
                <w:sz w:val="17"/>
                <w:lang w:val="fr-FR"/>
              </w:rPr>
            </w:pPr>
          </w:p>
        </w:tc>
        <w:tc>
          <w:tcPr>
            <w:tcW w:w="3060" w:type="dxa"/>
            <w:shd w:val="clear" w:color="auto" w:fill="auto"/>
            <w:noWrap/>
            <w:vAlign w:val="bottom"/>
          </w:tcPr>
          <w:p w14:paraId="1BD33B02" w14:textId="77777777" w:rsidR="006E2E53" w:rsidRPr="00183F91" w:rsidRDefault="006E2E53" w:rsidP="000821D9">
            <w:pPr>
              <w:keepNext/>
              <w:tabs>
                <w:tab w:val="left" w:pos="288"/>
                <w:tab w:val="left" w:pos="576"/>
                <w:tab w:val="left" w:pos="864"/>
                <w:tab w:val="left" w:pos="1152"/>
              </w:tabs>
              <w:spacing w:before="40" w:after="40" w:line="210" w:lineRule="exact"/>
              <w:ind w:right="43"/>
              <w:rPr>
                <w:sz w:val="17"/>
                <w:lang w:val="fr-FR"/>
              </w:rPr>
            </w:pPr>
          </w:p>
        </w:tc>
        <w:tc>
          <w:tcPr>
            <w:tcW w:w="1008" w:type="dxa"/>
            <w:shd w:val="clear" w:color="auto" w:fill="auto"/>
            <w:noWrap/>
            <w:vAlign w:val="bottom"/>
          </w:tcPr>
          <w:p w14:paraId="118B8383" w14:textId="27D478E1" w:rsidR="006E2E53" w:rsidRPr="00183F91" w:rsidRDefault="006E2E53" w:rsidP="000821D9">
            <w:pPr>
              <w:keepNext/>
              <w:tabs>
                <w:tab w:val="left" w:pos="288"/>
                <w:tab w:val="left" w:pos="576"/>
                <w:tab w:val="left" w:pos="864"/>
                <w:tab w:val="left" w:pos="1152"/>
              </w:tabs>
              <w:spacing w:before="40" w:after="40" w:line="210" w:lineRule="exact"/>
              <w:ind w:right="43"/>
              <w:jc w:val="right"/>
              <w:rPr>
                <w:sz w:val="17"/>
                <w:lang w:val="fr-FR"/>
              </w:rPr>
            </w:pPr>
            <w:r w:rsidRPr="00183F91">
              <w:rPr>
                <w:sz w:val="17"/>
                <w:lang w:val="fr-FR"/>
              </w:rPr>
              <w:t>2018</w:t>
            </w:r>
          </w:p>
        </w:tc>
        <w:tc>
          <w:tcPr>
            <w:tcW w:w="1009" w:type="dxa"/>
            <w:shd w:val="clear" w:color="auto" w:fill="auto"/>
            <w:noWrap/>
            <w:vAlign w:val="bottom"/>
          </w:tcPr>
          <w:p w14:paraId="3040EC84" w14:textId="07379E5B" w:rsidR="006E2E53" w:rsidRPr="00183F91" w:rsidRDefault="006E2E53" w:rsidP="000821D9">
            <w:pPr>
              <w:keepNext/>
              <w:tabs>
                <w:tab w:val="left" w:pos="288"/>
                <w:tab w:val="left" w:pos="576"/>
                <w:tab w:val="left" w:pos="864"/>
                <w:tab w:val="left" w:pos="1152"/>
              </w:tabs>
              <w:spacing w:before="40" w:after="40" w:line="210" w:lineRule="exact"/>
              <w:ind w:right="43"/>
              <w:jc w:val="right"/>
              <w:rPr>
                <w:sz w:val="17"/>
                <w:lang w:val="fr-FR"/>
              </w:rPr>
            </w:pPr>
            <w:r w:rsidRPr="00183F91">
              <w:rPr>
                <w:sz w:val="17"/>
                <w:lang w:val="fr-FR"/>
              </w:rPr>
              <w:t>2019</w:t>
            </w:r>
          </w:p>
        </w:tc>
        <w:tc>
          <w:tcPr>
            <w:tcW w:w="1009" w:type="dxa"/>
            <w:shd w:val="clear" w:color="auto" w:fill="auto"/>
            <w:noWrap/>
            <w:vAlign w:val="bottom"/>
          </w:tcPr>
          <w:p w14:paraId="45BE5912" w14:textId="23E903EF" w:rsidR="006E2E53" w:rsidRPr="00183F91" w:rsidRDefault="006E2E53" w:rsidP="000821D9">
            <w:pPr>
              <w:keepNext/>
              <w:tabs>
                <w:tab w:val="left" w:pos="288"/>
                <w:tab w:val="left" w:pos="576"/>
                <w:tab w:val="left" w:pos="864"/>
                <w:tab w:val="left" w:pos="1152"/>
              </w:tabs>
              <w:spacing w:before="40" w:after="40" w:line="210" w:lineRule="exact"/>
              <w:ind w:right="43"/>
              <w:jc w:val="right"/>
              <w:rPr>
                <w:sz w:val="17"/>
                <w:lang w:val="fr-FR"/>
              </w:rPr>
            </w:pPr>
            <w:r w:rsidRPr="00183F91">
              <w:rPr>
                <w:sz w:val="17"/>
                <w:lang w:val="fr-FR"/>
              </w:rPr>
              <w:t>2018</w:t>
            </w:r>
          </w:p>
        </w:tc>
        <w:tc>
          <w:tcPr>
            <w:tcW w:w="1009" w:type="dxa"/>
            <w:shd w:val="clear" w:color="auto" w:fill="auto"/>
            <w:noWrap/>
            <w:vAlign w:val="bottom"/>
          </w:tcPr>
          <w:p w14:paraId="326BEE91" w14:textId="4A44211A" w:rsidR="006E2E53" w:rsidRPr="00183F91" w:rsidRDefault="006E2E53" w:rsidP="000821D9">
            <w:pPr>
              <w:keepNext/>
              <w:tabs>
                <w:tab w:val="left" w:pos="288"/>
                <w:tab w:val="left" w:pos="576"/>
                <w:tab w:val="left" w:pos="864"/>
                <w:tab w:val="left" w:pos="1152"/>
              </w:tabs>
              <w:spacing w:before="40" w:after="40" w:line="210" w:lineRule="exact"/>
              <w:ind w:right="43"/>
              <w:jc w:val="right"/>
              <w:rPr>
                <w:sz w:val="17"/>
                <w:lang w:val="fr-FR"/>
              </w:rPr>
            </w:pPr>
            <w:r w:rsidRPr="00183F91">
              <w:rPr>
                <w:sz w:val="17"/>
                <w:lang w:val="fr-FR"/>
              </w:rPr>
              <w:t>2019</w:t>
            </w:r>
          </w:p>
        </w:tc>
      </w:tr>
      <w:tr w:rsidR="00EA21A9" w:rsidRPr="00183F91" w14:paraId="3C27CAD4" w14:textId="77777777" w:rsidTr="000821D9">
        <w:tc>
          <w:tcPr>
            <w:tcW w:w="225" w:type="dxa"/>
            <w:shd w:val="clear" w:color="auto" w:fill="auto"/>
            <w:noWrap/>
            <w:vAlign w:val="bottom"/>
          </w:tcPr>
          <w:p w14:paraId="71002B38" w14:textId="77777777" w:rsidR="006E2E53" w:rsidRPr="00183F91" w:rsidRDefault="006E2E53" w:rsidP="000821D9">
            <w:pPr>
              <w:keepNext/>
              <w:tabs>
                <w:tab w:val="left" w:pos="288"/>
                <w:tab w:val="left" w:pos="576"/>
                <w:tab w:val="left" w:pos="864"/>
                <w:tab w:val="left" w:pos="1152"/>
              </w:tabs>
              <w:spacing w:before="40" w:after="40" w:line="210" w:lineRule="exact"/>
              <w:ind w:right="40"/>
              <w:rPr>
                <w:sz w:val="17"/>
                <w:lang w:val="fr-FR"/>
              </w:rPr>
            </w:pPr>
            <w:r w:rsidRPr="00183F91">
              <w:rPr>
                <w:sz w:val="17"/>
                <w:lang w:val="fr-FR"/>
              </w:rPr>
              <w:t>1</w:t>
            </w:r>
          </w:p>
        </w:tc>
        <w:tc>
          <w:tcPr>
            <w:tcW w:w="3060" w:type="dxa"/>
            <w:shd w:val="clear" w:color="auto" w:fill="auto"/>
            <w:noWrap/>
            <w:vAlign w:val="bottom"/>
          </w:tcPr>
          <w:p w14:paraId="2E870592" w14:textId="4C7A13DD" w:rsidR="006E2E53" w:rsidRPr="00183F91" w:rsidRDefault="006E2E53" w:rsidP="000821D9">
            <w:pPr>
              <w:keepNext/>
              <w:tabs>
                <w:tab w:val="left" w:pos="288"/>
                <w:tab w:val="left" w:pos="576"/>
                <w:tab w:val="left" w:pos="864"/>
                <w:tab w:val="left" w:pos="1152"/>
              </w:tabs>
              <w:spacing w:before="40" w:after="40" w:line="210" w:lineRule="exact"/>
              <w:ind w:right="43"/>
              <w:rPr>
                <w:sz w:val="17"/>
                <w:lang w:val="fr-FR"/>
              </w:rPr>
            </w:pPr>
            <w:r w:rsidRPr="00183F91">
              <w:rPr>
                <w:sz w:val="17"/>
                <w:lang w:val="fr-FR"/>
              </w:rPr>
              <w:t>Formation pour l</w:t>
            </w:r>
            <w:r w:rsidR="00C15CD7" w:rsidRPr="00183F91">
              <w:rPr>
                <w:sz w:val="17"/>
                <w:lang w:val="fr-FR"/>
              </w:rPr>
              <w:t>’</w:t>
            </w:r>
            <w:r w:rsidRPr="00183F91">
              <w:rPr>
                <w:sz w:val="17"/>
                <w:lang w:val="fr-FR"/>
              </w:rPr>
              <w:t>emploi</w:t>
            </w:r>
          </w:p>
        </w:tc>
        <w:tc>
          <w:tcPr>
            <w:tcW w:w="1008" w:type="dxa"/>
            <w:shd w:val="clear" w:color="auto" w:fill="auto"/>
            <w:noWrap/>
            <w:vAlign w:val="bottom"/>
          </w:tcPr>
          <w:p w14:paraId="0CED8031" w14:textId="77777777" w:rsidR="006E2E53" w:rsidRPr="00183F91" w:rsidRDefault="006E2E53" w:rsidP="000821D9">
            <w:pPr>
              <w:keepNext/>
              <w:tabs>
                <w:tab w:val="left" w:pos="288"/>
                <w:tab w:val="left" w:pos="576"/>
                <w:tab w:val="left" w:pos="864"/>
                <w:tab w:val="left" w:pos="1152"/>
              </w:tabs>
              <w:spacing w:before="40" w:after="40" w:line="210" w:lineRule="exact"/>
              <w:ind w:right="43"/>
              <w:jc w:val="right"/>
              <w:rPr>
                <w:sz w:val="17"/>
                <w:lang w:val="fr-FR"/>
              </w:rPr>
            </w:pPr>
            <w:r w:rsidRPr="00183F91">
              <w:rPr>
                <w:sz w:val="17"/>
                <w:lang w:val="fr-FR"/>
              </w:rPr>
              <w:t>711</w:t>
            </w:r>
          </w:p>
        </w:tc>
        <w:tc>
          <w:tcPr>
            <w:tcW w:w="1009" w:type="dxa"/>
            <w:shd w:val="clear" w:color="auto" w:fill="auto"/>
            <w:noWrap/>
            <w:vAlign w:val="bottom"/>
          </w:tcPr>
          <w:p w14:paraId="0E5B9C97" w14:textId="77777777" w:rsidR="006E2E53" w:rsidRPr="00183F91" w:rsidRDefault="006E2E53" w:rsidP="000821D9">
            <w:pPr>
              <w:keepNext/>
              <w:tabs>
                <w:tab w:val="left" w:pos="288"/>
                <w:tab w:val="left" w:pos="576"/>
                <w:tab w:val="left" w:pos="864"/>
                <w:tab w:val="left" w:pos="1152"/>
              </w:tabs>
              <w:spacing w:before="40" w:after="40" w:line="210" w:lineRule="exact"/>
              <w:ind w:right="43"/>
              <w:jc w:val="right"/>
              <w:rPr>
                <w:sz w:val="17"/>
                <w:lang w:val="fr-FR"/>
              </w:rPr>
            </w:pPr>
            <w:r w:rsidRPr="00183F91">
              <w:rPr>
                <w:sz w:val="17"/>
                <w:lang w:val="fr-FR"/>
              </w:rPr>
              <w:t>703</w:t>
            </w:r>
          </w:p>
        </w:tc>
        <w:tc>
          <w:tcPr>
            <w:tcW w:w="1009" w:type="dxa"/>
            <w:shd w:val="clear" w:color="auto" w:fill="auto"/>
            <w:noWrap/>
            <w:vAlign w:val="bottom"/>
          </w:tcPr>
          <w:p w14:paraId="6B92F697" w14:textId="77777777" w:rsidR="006E2E53" w:rsidRPr="00183F91" w:rsidRDefault="006E2E53" w:rsidP="000821D9">
            <w:pPr>
              <w:keepNext/>
              <w:tabs>
                <w:tab w:val="left" w:pos="288"/>
                <w:tab w:val="left" w:pos="576"/>
                <w:tab w:val="left" w:pos="864"/>
                <w:tab w:val="left" w:pos="1152"/>
              </w:tabs>
              <w:spacing w:before="40" w:after="40" w:line="210" w:lineRule="exact"/>
              <w:ind w:right="43"/>
              <w:jc w:val="right"/>
              <w:rPr>
                <w:sz w:val="17"/>
                <w:lang w:val="fr-FR"/>
              </w:rPr>
            </w:pPr>
            <w:r w:rsidRPr="00183F91">
              <w:rPr>
                <w:sz w:val="17"/>
                <w:lang w:val="fr-FR"/>
              </w:rPr>
              <w:t>49,9</w:t>
            </w:r>
          </w:p>
        </w:tc>
        <w:tc>
          <w:tcPr>
            <w:tcW w:w="1009" w:type="dxa"/>
            <w:shd w:val="clear" w:color="auto" w:fill="auto"/>
            <w:noWrap/>
            <w:vAlign w:val="bottom"/>
          </w:tcPr>
          <w:p w14:paraId="000ADF5E" w14:textId="77777777" w:rsidR="006E2E53" w:rsidRPr="00183F91" w:rsidRDefault="006E2E53" w:rsidP="000821D9">
            <w:pPr>
              <w:keepNext/>
              <w:tabs>
                <w:tab w:val="left" w:pos="288"/>
                <w:tab w:val="left" w:pos="576"/>
                <w:tab w:val="left" w:pos="864"/>
                <w:tab w:val="left" w:pos="1152"/>
              </w:tabs>
              <w:spacing w:before="40" w:after="40" w:line="210" w:lineRule="exact"/>
              <w:ind w:right="43"/>
              <w:jc w:val="right"/>
              <w:rPr>
                <w:sz w:val="17"/>
                <w:lang w:val="fr-FR"/>
              </w:rPr>
            </w:pPr>
            <w:r w:rsidRPr="00183F91">
              <w:rPr>
                <w:sz w:val="17"/>
                <w:lang w:val="fr-FR"/>
              </w:rPr>
              <w:t>43,8</w:t>
            </w:r>
          </w:p>
        </w:tc>
      </w:tr>
      <w:tr w:rsidR="00EA21A9" w:rsidRPr="00183F91" w14:paraId="5EDDFB1C" w14:textId="77777777" w:rsidTr="000821D9">
        <w:tc>
          <w:tcPr>
            <w:tcW w:w="225" w:type="dxa"/>
            <w:shd w:val="clear" w:color="auto" w:fill="auto"/>
            <w:noWrap/>
            <w:vAlign w:val="bottom"/>
          </w:tcPr>
          <w:p w14:paraId="5D9CEAE7" w14:textId="77777777" w:rsidR="006E2E53" w:rsidRPr="00183F91" w:rsidRDefault="006E2E53" w:rsidP="00EE2701">
            <w:pPr>
              <w:tabs>
                <w:tab w:val="left" w:pos="288"/>
                <w:tab w:val="left" w:pos="576"/>
                <w:tab w:val="left" w:pos="864"/>
                <w:tab w:val="left" w:pos="1152"/>
              </w:tabs>
              <w:spacing w:before="40" w:after="40" w:line="210" w:lineRule="exact"/>
              <w:ind w:right="40"/>
              <w:rPr>
                <w:sz w:val="17"/>
                <w:lang w:val="fr-FR"/>
              </w:rPr>
            </w:pPr>
            <w:r w:rsidRPr="00183F91">
              <w:rPr>
                <w:sz w:val="17"/>
                <w:lang w:val="fr-FR"/>
              </w:rPr>
              <w:t>2</w:t>
            </w:r>
          </w:p>
        </w:tc>
        <w:tc>
          <w:tcPr>
            <w:tcW w:w="3060" w:type="dxa"/>
            <w:shd w:val="clear" w:color="auto" w:fill="auto"/>
            <w:noWrap/>
            <w:vAlign w:val="bottom"/>
          </w:tcPr>
          <w:p w14:paraId="67EC76C2" w14:textId="0258D9E2" w:rsidR="006E2E53" w:rsidRPr="00183F91" w:rsidRDefault="006E2E53" w:rsidP="00EA21A9">
            <w:pPr>
              <w:tabs>
                <w:tab w:val="left" w:pos="288"/>
                <w:tab w:val="left" w:pos="576"/>
                <w:tab w:val="left" w:pos="864"/>
                <w:tab w:val="left" w:pos="1152"/>
              </w:tabs>
              <w:spacing w:before="40" w:after="40" w:line="210" w:lineRule="exact"/>
              <w:ind w:right="43"/>
              <w:rPr>
                <w:sz w:val="17"/>
                <w:lang w:val="fr-FR"/>
              </w:rPr>
            </w:pPr>
            <w:r w:rsidRPr="00183F91">
              <w:rPr>
                <w:sz w:val="17"/>
                <w:lang w:val="fr-FR"/>
              </w:rPr>
              <w:t>Soutien financier/à rembourser</w:t>
            </w:r>
          </w:p>
        </w:tc>
        <w:tc>
          <w:tcPr>
            <w:tcW w:w="1008" w:type="dxa"/>
            <w:shd w:val="clear" w:color="auto" w:fill="auto"/>
            <w:noWrap/>
            <w:vAlign w:val="bottom"/>
          </w:tcPr>
          <w:p w14:paraId="7594DE52" w14:textId="77777777" w:rsidR="006E2E53" w:rsidRPr="00183F91" w:rsidRDefault="006E2E53" w:rsidP="00EA21A9">
            <w:pPr>
              <w:tabs>
                <w:tab w:val="left" w:pos="288"/>
                <w:tab w:val="left" w:pos="576"/>
                <w:tab w:val="left" w:pos="864"/>
                <w:tab w:val="left" w:pos="1152"/>
              </w:tabs>
              <w:spacing w:before="40" w:after="40" w:line="210" w:lineRule="exact"/>
              <w:ind w:right="43"/>
              <w:jc w:val="right"/>
              <w:rPr>
                <w:sz w:val="17"/>
                <w:lang w:val="fr-FR"/>
              </w:rPr>
            </w:pPr>
            <w:r w:rsidRPr="00183F91">
              <w:rPr>
                <w:sz w:val="17"/>
                <w:lang w:val="fr-FR"/>
              </w:rPr>
              <w:t>688</w:t>
            </w:r>
          </w:p>
        </w:tc>
        <w:tc>
          <w:tcPr>
            <w:tcW w:w="1009" w:type="dxa"/>
            <w:shd w:val="clear" w:color="auto" w:fill="auto"/>
            <w:noWrap/>
            <w:vAlign w:val="bottom"/>
          </w:tcPr>
          <w:p w14:paraId="6B21D491" w14:textId="77777777" w:rsidR="006E2E53" w:rsidRPr="00183F91" w:rsidRDefault="006E2E53" w:rsidP="00EA21A9">
            <w:pPr>
              <w:tabs>
                <w:tab w:val="left" w:pos="288"/>
                <w:tab w:val="left" w:pos="576"/>
                <w:tab w:val="left" w:pos="864"/>
                <w:tab w:val="left" w:pos="1152"/>
              </w:tabs>
              <w:spacing w:before="40" w:after="40" w:line="210" w:lineRule="exact"/>
              <w:ind w:right="43"/>
              <w:jc w:val="right"/>
              <w:rPr>
                <w:sz w:val="17"/>
                <w:lang w:val="fr-FR"/>
              </w:rPr>
            </w:pPr>
            <w:r w:rsidRPr="00183F91">
              <w:rPr>
                <w:sz w:val="17"/>
                <w:lang w:val="fr-FR"/>
              </w:rPr>
              <w:t>643</w:t>
            </w:r>
          </w:p>
        </w:tc>
        <w:tc>
          <w:tcPr>
            <w:tcW w:w="1009" w:type="dxa"/>
            <w:shd w:val="clear" w:color="auto" w:fill="auto"/>
            <w:noWrap/>
            <w:vAlign w:val="bottom"/>
          </w:tcPr>
          <w:p w14:paraId="0BE4A45B" w14:textId="77777777" w:rsidR="006E2E53" w:rsidRPr="00183F91" w:rsidRDefault="006E2E53" w:rsidP="00EA21A9">
            <w:pPr>
              <w:tabs>
                <w:tab w:val="left" w:pos="288"/>
                <w:tab w:val="left" w:pos="576"/>
                <w:tab w:val="left" w:pos="864"/>
                <w:tab w:val="left" w:pos="1152"/>
              </w:tabs>
              <w:spacing w:before="40" w:after="40" w:line="210" w:lineRule="exact"/>
              <w:ind w:right="43"/>
              <w:jc w:val="right"/>
              <w:rPr>
                <w:sz w:val="17"/>
                <w:lang w:val="fr-FR"/>
              </w:rPr>
            </w:pPr>
            <w:r w:rsidRPr="00183F91">
              <w:rPr>
                <w:sz w:val="17"/>
                <w:lang w:val="fr-FR"/>
              </w:rPr>
              <w:t>2 021,6</w:t>
            </w:r>
          </w:p>
        </w:tc>
        <w:tc>
          <w:tcPr>
            <w:tcW w:w="1009" w:type="dxa"/>
            <w:shd w:val="clear" w:color="auto" w:fill="auto"/>
            <w:noWrap/>
            <w:vAlign w:val="bottom"/>
          </w:tcPr>
          <w:p w14:paraId="5D81FD44" w14:textId="77777777" w:rsidR="006E2E53" w:rsidRPr="00183F91" w:rsidRDefault="006E2E53" w:rsidP="00EA21A9">
            <w:pPr>
              <w:tabs>
                <w:tab w:val="left" w:pos="288"/>
                <w:tab w:val="left" w:pos="576"/>
                <w:tab w:val="left" w:pos="864"/>
                <w:tab w:val="left" w:pos="1152"/>
              </w:tabs>
              <w:spacing w:before="40" w:after="40" w:line="210" w:lineRule="exact"/>
              <w:ind w:right="43"/>
              <w:jc w:val="right"/>
              <w:rPr>
                <w:sz w:val="17"/>
                <w:lang w:val="fr-FR"/>
              </w:rPr>
            </w:pPr>
            <w:r w:rsidRPr="00183F91">
              <w:rPr>
                <w:sz w:val="17"/>
                <w:lang w:val="fr-FR"/>
              </w:rPr>
              <w:t>2 043,9</w:t>
            </w:r>
          </w:p>
        </w:tc>
      </w:tr>
      <w:tr w:rsidR="00EA21A9" w:rsidRPr="00183F91" w14:paraId="45FC460B" w14:textId="77777777" w:rsidTr="000821D9">
        <w:tc>
          <w:tcPr>
            <w:tcW w:w="225" w:type="dxa"/>
            <w:shd w:val="clear" w:color="auto" w:fill="auto"/>
            <w:noWrap/>
            <w:vAlign w:val="bottom"/>
          </w:tcPr>
          <w:p w14:paraId="04F7401C" w14:textId="77777777" w:rsidR="006E2E53" w:rsidRPr="00183F91" w:rsidRDefault="006E2E53" w:rsidP="00EE2701">
            <w:pPr>
              <w:tabs>
                <w:tab w:val="left" w:pos="288"/>
                <w:tab w:val="left" w:pos="576"/>
                <w:tab w:val="left" w:pos="864"/>
                <w:tab w:val="left" w:pos="1152"/>
              </w:tabs>
              <w:spacing w:before="40" w:after="40" w:line="210" w:lineRule="exact"/>
              <w:ind w:right="40"/>
              <w:rPr>
                <w:sz w:val="17"/>
                <w:lang w:val="fr-FR"/>
              </w:rPr>
            </w:pPr>
            <w:r w:rsidRPr="00183F91">
              <w:rPr>
                <w:sz w:val="17"/>
                <w:lang w:val="fr-FR"/>
              </w:rPr>
              <w:t>3</w:t>
            </w:r>
          </w:p>
        </w:tc>
        <w:tc>
          <w:tcPr>
            <w:tcW w:w="3060" w:type="dxa"/>
            <w:shd w:val="clear" w:color="auto" w:fill="auto"/>
            <w:noWrap/>
            <w:vAlign w:val="bottom"/>
          </w:tcPr>
          <w:p w14:paraId="1C632AF8" w14:textId="77777777" w:rsidR="006E2E53" w:rsidRPr="00183F91" w:rsidRDefault="006E2E53" w:rsidP="00EA21A9">
            <w:pPr>
              <w:tabs>
                <w:tab w:val="left" w:pos="288"/>
                <w:tab w:val="left" w:pos="576"/>
                <w:tab w:val="left" w:pos="864"/>
                <w:tab w:val="left" w:pos="1152"/>
              </w:tabs>
              <w:spacing w:before="40" w:after="40" w:line="210" w:lineRule="exact"/>
              <w:ind w:right="43"/>
              <w:rPr>
                <w:sz w:val="17"/>
                <w:lang w:val="fr-FR"/>
              </w:rPr>
            </w:pPr>
            <w:r w:rsidRPr="00183F91">
              <w:rPr>
                <w:sz w:val="17"/>
                <w:lang w:val="fr-FR"/>
              </w:rPr>
              <w:t>Aide à la vente et à la location de locaux</w:t>
            </w:r>
          </w:p>
        </w:tc>
        <w:tc>
          <w:tcPr>
            <w:tcW w:w="1008" w:type="dxa"/>
            <w:shd w:val="clear" w:color="auto" w:fill="auto"/>
            <w:noWrap/>
            <w:vAlign w:val="bottom"/>
          </w:tcPr>
          <w:p w14:paraId="237439CC" w14:textId="77777777" w:rsidR="006E2E53" w:rsidRPr="00183F91" w:rsidRDefault="006E2E53" w:rsidP="00EA21A9">
            <w:pPr>
              <w:tabs>
                <w:tab w:val="left" w:pos="288"/>
                <w:tab w:val="left" w:pos="576"/>
                <w:tab w:val="left" w:pos="864"/>
                <w:tab w:val="left" w:pos="1152"/>
              </w:tabs>
              <w:spacing w:before="40" w:after="40" w:line="210" w:lineRule="exact"/>
              <w:ind w:right="43"/>
              <w:jc w:val="right"/>
              <w:rPr>
                <w:sz w:val="17"/>
                <w:lang w:val="fr-FR"/>
              </w:rPr>
            </w:pPr>
            <w:r w:rsidRPr="00183F91">
              <w:rPr>
                <w:sz w:val="17"/>
                <w:lang w:val="fr-FR"/>
              </w:rPr>
              <w:t>656</w:t>
            </w:r>
          </w:p>
        </w:tc>
        <w:tc>
          <w:tcPr>
            <w:tcW w:w="1009" w:type="dxa"/>
            <w:shd w:val="clear" w:color="auto" w:fill="auto"/>
            <w:noWrap/>
            <w:vAlign w:val="bottom"/>
          </w:tcPr>
          <w:p w14:paraId="3CDA0873" w14:textId="77777777" w:rsidR="006E2E53" w:rsidRPr="00183F91" w:rsidRDefault="006E2E53" w:rsidP="00EA21A9">
            <w:pPr>
              <w:tabs>
                <w:tab w:val="left" w:pos="288"/>
                <w:tab w:val="left" w:pos="576"/>
                <w:tab w:val="left" w:pos="864"/>
                <w:tab w:val="left" w:pos="1152"/>
              </w:tabs>
              <w:spacing w:before="40" w:after="40" w:line="210" w:lineRule="exact"/>
              <w:ind w:right="43"/>
              <w:jc w:val="right"/>
              <w:rPr>
                <w:sz w:val="17"/>
                <w:lang w:val="fr-FR"/>
              </w:rPr>
            </w:pPr>
            <w:r w:rsidRPr="00183F91">
              <w:rPr>
                <w:sz w:val="17"/>
                <w:lang w:val="fr-FR"/>
              </w:rPr>
              <w:t>639</w:t>
            </w:r>
          </w:p>
        </w:tc>
        <w:tc>
          <w:tcPr>
            <w:tcW w:w="1009" w:type="dxa"/>
            <w:shd w:val="clear" w:color="auto" w:fill="auto"/>
            <w:noWrap/>
            <w:vAlign w:val="bottom"/>
          </w:tcPr>
          <w:p w14:paraId="1382E63E" w14:textId="77777777" w:rsidR="006E2E53" w:rsidRPr="00183F91" w:rsidRDefault="006E2E53" w:rsidP="00EA21A9">
            <w:pPr>
              <w:tabs>
                <w:tab w:val="left" w:pos="288"/>
                <w:tab w:val="left" w:pos="576"/>
                <w:tab w:val="left" w:pos="864"/>
                <w:tab w:val="left" w:pos="1152"/>
              </w:tabs>
              <w:spacing w:before="40" w:after="40" w:line="210" w:lineRule="exact"/>
              <w:ind w:right="43"/>
              <w:jc w:val="right"/>
              <w:rPr>
                <w:sz w:val="17"/>
                <w:lang w:val="fr-FR"/>
              </w:rPr>
            </w:pPr>
            <w:r w:rsidRPr="00183F91">
              <w:rPr>
                <w:sz w:val="17"/>
                <w:lang w:val="fr-FR"/>
              </w:rPr>
              <w:t>185,0</w:t>
            </w:r>
          </w:p>
        </w:tc>
        <w:tc>
          <w:tcPr>
            <w:tcW w:w="1009" w:type="dxa"/>
            <w:shd w:val="clear" w:color="auto" w:fill="auto"/>
            <w:noWrap/>
            <w:vAlign w:val="bottom"/>
          </w:tcPr>
          <w:p w14:paraId="1FC7906C" w14:textId="77777777" w:rsidR="006E2E53" w:rsidRPr="00183F91" w:rsidRDefault="006E2E53" w:rsidP="00EA21A9">
            <w:pPr>
              <w:tabs>
                <w:tab w:val="left" w:pos="288"/>
                <w:tab w:val="left" w:pos="576"/>
                <w:tab w:val="left" w:pos="864"/>
                <w:tab w:val="left" w:pos="1152"/>
              </w:tabs>
              <w:spacing w:before="40" w:after="40" w:line="210" w:lineRule="exact"/>
              <w:ind w:right="43"/>
              <w:jc w:val="right"/>
              <w:rPr>
                <w:sz w:val="17"/>
                <w:lang w:val="fr-FR"/>
              </w:rPr>
            </w:pPr>
            <w:r w:rsidRPr="00183F91">
              <w:rPr>
                <w:sz w:val="17"/>
                <w:lang w:val="fr-FR"/>
              </w:rPr>
              <w:t>138,0</w:t>
            </w:r>
          </w:p>
        </w:tc>
      </w:tr>
      <w:tr w:rsidR="00EA21A9" w:rsidRPr="00183F91" w14:paraId="00C8E737" w14:textId="77777777" w:rsidTr="000821D9">
        <w:tc>
          <w:tcPr>
            <w:tcW w:w="225" w:type="dxa"/>
            <w:shd w:val="clear" w:color="auto" w:fill="auto"/>
            <w:noWrap/>
            <w:vAlign w:val="bottom"/>
          </w:tcPr>
          <w:p w14:paraId="7A17E06B" w14:textId="77777777" w:rsidR="006E2E53" w:rsidRPr="00183F91" w:rsidRDefault="006E2E53" w:rsidP="00EE2701">
            <w:pPr>
              <w:tabs>
                <w:tab w:val="left" w:pos="288"/>
                <w:tab w:val="left" w:pos="576"/>
                <w:tab w:val="left" w:pos="864"/>
                <w:tab w:val="left" w:pos="1152"/>
              </w:tabs>
              <w:spacing w:before="40" w:after="40" w:line="210" w:lineRule="exact"/>
              <w:ind w:right="40"/>
              <w:rPr>
                <w:sz w:val="17"/>
                <w:lang w:val="fr-FR"/>
              </w:rPr>
            </w:pPr>
            <w:r w:rsidRPr="00183F91">
              <w:rPr>
                <w:sz w:val="17"/>
                <w:lang w:val="fr-FR"/>
              </w:rPr>
              <w:t>4</w:t>
            </w:r>
          </w:p>
        </w:tc>
        <w:tc>
          <w:tcPr>
            <w:tcW w:w="3060" w:type="dxa"/>
            <w:shd w:val="clear" w:color="auto" w:fill="auto"/>
            <w:noWrap/>
            <w:vAlign w:val="bottom"/>
          </w:tcPr>
          <w:p w14:paraId="01097391" w14:textId="77777777" w:rsidR="006E2E53" w:rsidRPr="00183F91" w:rsidRDefault="006E2E53" w:rsidP="00EA21A9">
            <w:pPr>
              <w:tabs>
                <w:tab w:val="left" w:pos="288"/>
                <w:tab w:val="left" w:pos="576"/>
                <w:tab w:val="left" w:pos="864"/>
                <w:tab w:val="left" w:pos="1152"/>
              </w:tabs>
              <w:spacing w:before="40" w:after="40" w:line="210" w:lineRule="exact"/>
              <w:ind w:right="43"/>
              <w:rPr>
                <w:sz w:val="17"/>
                <w:lang w:val="fr-FR"/>
              </w:rPr>
            </w:pPr>
            <w:r w:rsidRPr="00183F91">
              <w:rPr>
                <w:sz w:val="17"/>
                <w:lang w:val="fr-FR"/>
              </w:rPr>
              <w:t>Formation aux compétences entrepreneuriales</w:t>
            </w:r>
          </w:p>
        </w:tc>
        <w:tc>
          <w:tcPr>
            <w:tcW w:w="1008" w:type="dxa"/>
            <w:shd w:val="clear" w:color="auto" w:fill="auto"/>
            <w:noWrap/>
            <w:vAlign w:val="bottom"/>
          </w:tcPr>
          <w:p w14:paraId="62A33D8B" w14:textId="77777777" w:rsidR="006E2E53" w:rsidRPr="00183F91" w:rsidRDefault="006E2E53" w:rsidP="00EA21A9">
            <w:pPr>
              <w:tabs>
                <w:tab w:val="left" w:pos="288"/>
                <w:tab w:val="left" w:pos="576"/>
                <w:tab w:val="left" w:pos="864"/>
                <w:tab w:val="left" w:pos="1152"/>
              </w:tabs>
              <w:spacing w:before="40" w:after="40" w:line="210" w:lineRule="exact"/>
              <w:ind w:right="43"/>
              <w:jc w:val="right"/>
              <w:rPr>
                <w:sz w:val="17"/>
                <w:lang w:val="fr-FR"/>
              </w:rPr>
            </w:pPr>
            <w:r w:rsidRPr="00183F91">
              <w:rPr>
                <w:sz w:val="17"/>
                <w:lang w:val="fr-FR"/>
              </w:rPr>
              <w:t>2279</w:t>
            </w:r>
          </w:p>
        </w:tc>
        <w:tc>
          <w:tcPr>
            <w:tcW w:w="1009" w:type="dxa"/>
            <w:shd w:val="clear" w:color="auto" w:fill="auto"/>
            <w:noWrap/>
            <w:vAlign w:val="bottom"/>
          </w:tcPr>
          <w:p w14:paraId="2B7CDC5C" w14:textId="77777777" w:rsidR="006E2E53" w:rsidRPr="00183F91" w:rsidRDefault="006E2E53" w:rsidP="00EA21A9">
            <w:pPr>
              <w:tabs>
                <w:tab w:val="left" w:pos="288"/>
                <w:tab w:val="left" w:pos="576"/>
                <w:tab w:val="left" w:pos="864"/>
                <w:tab w:val="left" w:pos="1152"/>
              </w:tabs>
              <w:spacing w:before="40" w:after="40" w:line="210" w:lineRule="exact"/>
              <w:ind w:right="43"/>
              <w:jc w:val="right"/>
              <w:rPr>
                <w:sz w:val="17"/>
                <w:lang w:val="fr-FR"/>
              </w:rPr>
            </w:pPr>
            <w:r w:rsidRPr="00183F91">
              <w:rPr>
                <w:sz w:val="17"/>
                <w:lang w:val="fr-FR"/>
              </w:rPr>
              <w:t>2002</w:t>
            </w:r>
          </w:p>
        </w:tc>
        <w:tc>
          <w:tcPr>
            <w:tcW w:w="1009" w:type="dxa"/>
            <w:shd w:val="clear" w:color="auto" w:fill="auto"/>
            <w:noWrap/>
            <w:vAlign w:val="bottom"/>
          </w:tcPr>
          <w:p w14:paraId="701E72B6" w14:textId="77777777" w:rsidR="006E2E53" w:rsidRPr="00183F91" w:rsidRDefault="006E2E53" w:rsidP="00EA21A9">
            <w:pPr>
              <w:tabs>
                <w:tab w:val="left" w:pos="288"/>
                <w:tab w:val="left" w:pos="576"/>
                <w:tab w:val="left" w:pos="864"/>
                <w:tab w:val="left" w:pos="1152"/>
              </w:tabs>
              <w:spacing w:before="40" w:after="40" w:line="210" w:lineRule="exact"/>
              <w:ind w:right="43"/>
              <w:jc w:val="right"/>
              <w:rPr>
                <w:sz w:val="17"/>
                <w:lang w:val="fr-FR"/>
              </w:rPr>
            </w:pPr>
            <w:r w:rsidRPr="00183F91">
              <w:rPr>
                <w:sz w:val="17"/>
                <w:lang w:val="fr-FR"/>
              </w:rPr>
              <w:t>68,3</w:t>
            </w:r>
          </w:p>
        </w:tc>
        <w:tc>
          <w:tcPr>
            <w:tcW w:w="1009" w:type="dxa"/>
            <w:shd w:val="clear" w:color="auto" w:fill="auto"/>
            <w:noWrap/>
            <w:vAlign w:val="bottom"/>
          </w:tcPr>
          <w:p w14:paraId="5B23A049" w14:textId="77777777" w:rsidR="006E2E53" w:rsidRPr="00183F91" w:rsidRDefault="006E2E53" w:rsidP="00EA21A9">
            <w:pPr>
              <w:tabs>
                <w:tab w:val="left" w:pos="288"/>
                <w:tab w:val="left" w:pos="576"/>
                <w:tab w:val="left" w:pos="864"/>
                <w:tab w:val="left" w:pos="1152"/>
              </w:tabs>
              <w:spacing w:before="40" w:after="40" w:line="210" w:lineRule="exact"/>
              <w:ind w:right="43"/>
              <w:jc w:val="right"/>
              <w:rPr>
                <w:sz w:val="17"/>
                <w:lang w:val="fr-FR"/>
              </w:rPr>
            </w:pPr>
            <w:r w:rsidRPr="00183F91">
              <w:rPr>
                <w:sz w:val="17"/>
                <w:lang w:val="fr-FR"/>
              </w:rPr>
              <w:t>64,6</w:t>
            </w:r>
          </w:p>
        </w:tc>
      </w:tr>
      <w:tr w:rsidR="00EA21A9" w:rsidRPr="00183F91" w14:paraId="7A4C23A3" w14:textId="77777777" w:rsidTr="000821D9">
        <w:tc>
          <w:tcPr>
            <w:tcW w:w="225" w:type="dxa"/>
            <w:shd w:val="clear" w:color="auto" w:fill="auto"/>
            <w:noWrap/>
            <w:vAlign w:val="bottom"/>
          </w:tcPr>
          <w:p w14:paraId="365AE287" w14:textId="77777777" w:rsidR="006E2E53" w:rsidRPr="00183F91" w:rsidRDefault="006E2E53" w:rsidP="00EE2701">
            <w:pPr>
              <w:tabs>
                <w:tab w:val="left" w:pos="288"/>
                <w:tab w:val="left" w:pos="576"/>
                <w:tab w:val="left" w:pos="864"/>
                <w:tab w:val="left" w:pos="1152"/>
              </w:tabs>
              <w:spacing w:before="40" w:after="40" w:line="210" w:lineRule="exact"/>
              <w:ind w:right="40"/>
              <w:rPr>
                <w:sz w:val="17"/>
                <w:lang w:val="fr-FR"/>
              </w:rPr>
            </w:pPr>
            <w:r w:rsidRPr="00183F91">
              <w:rPr>
                <w:sz w:val="17"/>
                <w:lang w:val="fr-FR"/>
              </w:rPr>
              <w:t>5</w:t>
            </w:r>
          </w:p>
        </w:tc>
        <w:tc>
          <w:tcPr>
            <w:tcW w:w="3060" w:type="dxa"/>
            <w:shd w:val="clear" w:color="auto" w:fill="auto"/>
            <w:noWrap/>
            <w:vAlign w:val="bottom"/>
          </w:tcPr>
          <w:p w14:paraId="57B11BB3" w14:textId="25AB695A" w:rsidR="006E2E53" w:rsidRPr="00183F91" w:rsidRDefault="006E2E53" w:rsidP="00EA21A9">
            <w:pPr>
              <w:tabs>
                <w:tab w:val="left" w:pos="288"/>
                <w:tab w:val="left" w:pos="576"/>
                <w:tab w:val="left" w:pos="864"/>
                <w:tab w:val="left" w:pos="1152"/>
              </w:tabs>
              <w:spacing w:before="40" w:after="40" w:line="210" w:lineRule="exact"/>
              <w:ind w:right="43"/>
              <w:rPr>
                <w:sz w:val="17"/>
                <w:lang w:val="fr-FR"/>
              </w:rPr>
            </w:pPr>
            <w:r w:rsidRPr="00183F91">
              <w:rPr>
                <w:sz w:val="17"/>
                <w:lang w:val="fr-FR"/>
              </w:rPr>
              <w:t>Formation à l</w:t>
            </w:r>
            <w:r w:rsidR="00C15CD7" w:rsidRPr="00183F91">
              <w:rPr>
                <w:sz w:val="17"/>
                <w:lang w:val="fr-FR"/>
              </w:rPr>
              <w:t>’</w:t>
            </w:r>
            <w:r w:rsidRPr="00183F91">
              <w:rPr>
                <w:sz w:val="17"/>
                <w:lang w:val="fr-FR"/>
              </w:rPr>
              <w:t>emploi</w:t>
            </w:r>
          </w:p>
        </w:tc>
        <w:tc>
          <w:tcPr>
            <w:tcW w:w="1008" w:type="dxa"/>
            <w:shd w:val="clear" w:color="auto" w:fill="auto"/>
            <w:noWrap/>
            <w:vAlign w:val="bottom"/>
          </w:tcPr>
          <w:p w14:paraId="40809258" w14:textId="77777777" w:rsidR="006E2E53" w:rsidRPr="00183F91" w:rsidRDefault="006E2E53" w:rsidP="00EA21A9">
            <w:pPr>
              <w:tabs>
                <w:tab w:val="left" w:pos="288"/>
                <w:tab w:val="left" w:pos="576"/>
                <w:tab w:val="left" w:pos="864"/>
                <w:tab w:val="left" w:pos="1152"/>
              </w:tabs>
              <w:spacing w:before="40" w:after="40" w:line="210" w:lineRule="exact"/>
              <w:ind w:right="43"/>
              <w:jc w:val="right"/>
              <w:rPr>
                <w:sz w:val="17"/>
                <w:lang w:val="fr-FR"/>
              </w:rPr>
            </w:pPr>
            <w:r w:rsidRPr="00183F91">
              <w:rPr>
                <w:sz w:val="17"/>
                <w:lang w:val="fr-FR"/>
              </w:rPr>
              <w:t>912</w:t>
            </w:r>
          </w:p>
        </w:tc>
        <w:tc>
          <w:tcPr>
            <w:tcW w:w="1009" w:type="dxa"/>
            <w:shd w:val="clear" w:color="auto" w:fill="auto"/>
            <w:noWrap/>
            <w:vAlign w:val="bottom"/>
          </w:tcPr>
          <w:p w14:paraId="1F7B1E86" w14:textId="77777777" w:rsidR="006E2E53" w:rsidRPr="00183F91" w:rsidRDefault="006E2E53" w:rsidP="00EA21A9">
            <w:pPr>
              <w:tabs>
                <w:tab w:val="left" w:pos="288"/>
                <w:tab w:val="left" w:pos="576"/>
                <w:tab w:val="left" w:pos="864"/>
                <w:tab w:val="left" w:pos="1152"/>
              </w:tabs>
              <w:spacing w:before="40" w:after="40" w:line="210" w:lineRule="exact"/>
              <w:ind w:right="43"/>
              <w:jc w:val="right"/>
              <w:rPr>
                <w:sz w:val="17"/>
                <w:lang w:val="fr-FR"/>
              </w:rPr>
            </w:pPr>
            <w:r w:rsidRPr="00183F91">
              <w:rPr>
                <w:sz w:val="17"/>
                <w:lang w:val="fr-FR"/>
              </w:rPr>
              <w:t>726</w:t>
            </w:r>
          </w:p>
        </w:tc>
        <w:tc>
          <w:tcPr>
            <w:tcW w:w="1009" w:type="dxa"/>
            <w:shd w:val="clear" w:color="auto" w:fill="auto"/>
            <w:noWrap/>
            <w:vAlign w:val="bottom"/>
          </w:tcPr>
          <w:p w14:paraId="514ECB60" w14:textId="77777777" w:rsidR="006E2E53" w:rsidRPr="00183F91" w:rsidRDefault="006E2E53" w:rsidP="00EA21A9">
            <w:pPr>
              <w:tabs>
                <w:tab w:val="left" w:pos="288"/>
                <w:tab w:val="left" w:pos="576"/>
                <w:tab w:val="left" w:pos="864"/>
                <w:tab w:val="left" w:pos="1152"/>
              </w:tabs>
              <w:spacing w:before="40" w:after="40" w:line="210" w:lineRule="exact"/>
              <w:ind w:right="43"/>
              <w:jc w:val="right"/>
              <w:rPr>
                <w:sz w:val="17"/>
                <w:lang w:val="fr-FR"/>
              </w:rPr>
            </w:pPr>
            <w:r w:rsidRPr="00183F91">
              <w:rPr>
                <w:sz w:val="17"/>
                <w:lang w:val="fr-FR"/>
              </w:rPr>
              <w:t>152,8</w:t>
            </w:r>
          </w:p>
        </w:tc>
        <w:tc>
          <w:tcPr>
            <w:tcW w:w="1009" w:type="dxa"/>
            <w:shd w:val="clear" w:color="auto" w:fill="auto"/>
            <w:noWrap/>
            <w:vAlign w:val="bottom"/>
          </w:tcPr>
          <w:p w14:paraId="56DD13C4" w14:textId="77777777" w:rsidR="006E2E53" w:rsidRPr="00183F91" w:rsidRDefault="006E2E53" w:rsidP="00EA21A9">
            <w:pPr>
              <w:tabs>
                <w:tab w:val="left" w:pos="288"/>
                <w:tab w:val="left" w:pos="576"/>
                <w:tab w:val="left" w:pos="864"/>
                <w:tab w:val="left" w:pos="1152"/>
              </w:tabs>
              <w:spacing w:before="40" w:after="40" w:line="210" w:lineRule="exact"/>
              <w:ind w:right="43"/>
              <w:jc w:val="right"/>
              <w:rPr>
                <w:sz w:val="17"/>
                <w:lang w:val="fr-FR"/>
              </w:rPr>
            </w:pPr>
            <w:r w:rsidRPr="00183F91">
              <w:rPr>
                <w:sz w:val="17"/>
                <w:lang w:val="fr-FR"/>
              </w:rPr>
              <w:t>149,0</w:t>
            </w:r>
          </w:p>
        </w:tc>
      </w:tr>
      <w:tr w:rsidR="00EA21A9" w:rsidRPr="00183F91" w14:paraId="4C4F256E" w14:textId="77777777" w:rsidTr="000821D9">
        <w:tc>
          <w:tcPr>
            <w:tcW w:w="225" w:type="dxa"/>
            <w:shd w:val="clear" w:color="auto" w:fill="auto"/>
            <w:noWrap/>
            <w:vAlign w:val="bottom"/>
          </w:tcPr>
          <w:p w14:paraId="56001176" w14:textId="77777777" w:rsidR="006E2E53" w:rsidRPr="00183F91" w:rsidRDefault="006E2E53" w:rsidP="00EE2701">
            <w:pPr>
              <w:tabs>
                <w:tab w:val="left" w:pos="288"/>
                <w:tab w:val="left" w:pos="576"/>
                <w:tab w:val="left" w:pos="864"/>
                <w:tab w:val="left" w:pos="1152"/>
              </w:tabs>
              <w:spacing w:before="40" w:after="40" w:line="210" w:lineRule="exact"/>
              <w:ind w:right="40"/>
              <w:rPr>
                <w:sz w:val="17"/>
                <w:lang w:val="fr-FR"/>
              </w:rPr>
            </w:pPr>
            <w:r w:rsidRPr="00183F91">
              <w:rPr>
                <w:sz w:val="17"/>
                <w:lang w:val="fr-FR"/>
              </w:rPr>
              <w:t>6</w:t>
            </w:r>
          </w:p>
        </w:tc>
        <w:tc>
          <w:tcPr>
            <w:tcW w:w="3060" w:type="dxa"/>
            <w:shd w:val="clear" w:color="auto" w:fill="auto"/>
            <w:noWrap/>
            <w:vAlign w:val="bottom"/>
          </w:tcPr>
          <w:p w14:paraId="5BAAAF69" w14:textId="77777777" w:rsidR="006E2E53" w:rsidRPr="00183F91" w:rsidRDefault="006E2E53" w:rsidP="00EA21A9">
            <w:pPr>
              <w:tabs>
                <w:tab w:val="left" w:pos="288"/>
                <w:tab w:val="left" w:pos="576"/>
                <w:tab w:val="left" w:pos="864"/>
                <w:tab w:val="left" w:pos="1152"/>
              </w:tabs>
              <w:spacing w:before="40" w:after="40" w:line="210" w:lineRule="exact"/>
              <w:ind w:right="43"/>
              <w:rPr>
                <w:sz w:val="17"/>
                <w:lang w:val="fr-FR"/>
              </w:rPr>
            </w:pPr>
            <w:r w:rsidRPr="00183F91">
              <w:rPr>
                <w:sz w:val="17"/>
                <w:lang w:val="fr-FR"/>
              </w:rPr>
              <w:t>Soutien aux employeurs</w:t>
            </w:r>
          </w:p>
        </w:tc>
        <w:tc>
          <w:tcPr>
            <w:tcW w:w="1008" w:type="dxa"/>
            <w:shd w:val="clear" w:color="auto" w:fill="auto"/>
            <w:noWrap/>
            <w:vAlign w:val="bottom"/>
          </w:tcPr>
          <w:p w14:paraId="3E183D4A" w14:textId="77777777" w:rsidR="006E2E53" w:rsidRPr="00183F91" w:rsidRDefault="006E2E53" w:rsidP="00EA21A9">
            <w:pPr>
              <w:tabs>
                <w:tab w:val="left" w:pos="288"/>
                <w:tab w:val="left" w:pos="576"/>
                <w:tab w:val="left" w:pos="864"/>
                <w:tab w:val="left" w:pos="1152"/>
              </w:tabs>
              <w:spacing w:before="40" w:after="40" w:line="210" w:lineRule="exact"/>
              <w:ind w:right="43"/>
              <w:jc w:val="right"/>
              <w:rPr>
                <w:sz w:val="17"/>
                <w:lang w:val="fr-FR"/>
              </w:rPr>
            </w:pPr>
            <w:r w:rsidRPr="00183F91">
              <w:rPr>
                <w:sz w:val="17"/>
                <w:lang w:val="fr-FR"/>
              </w:rPr>
              <w:t>312</w:t>
            </w:r>
          </w:p>
        </w:tc>
        <w:tc>
          <w:tcPr>
            <w:tcW w:w="1009" w:type="dxa"/>
            <w:shd w:val="clear" w:color="auto" w:fill="auto"/>
            <w:noWrap/>
            <w:vAlign w:val="bottom"/>
          </w:tcPr>
          <w:p w14:paraId="42F41A2C" w14:textId="77777777" w:rsidR="006E2E53" w:rsidRPr="00183F91" w:rsidRDefault="006E2E53" w:rsidP="00EA21A9">
            <w:pPr>
              <w:tabs>
                <w:tab w:val="left" w:pos="288"/>
                <w:tab w:val="left" w:pos="576"/>
                <w:tab w:val="left" w:pos="864"/>
                <w:tab w:val="left" w:pos="1152"/>
              </w:tabs>
              <w:spacing w:before="40" w:after="40" w:line="210" w:lineRule="exact"/>
              <w:ind w:right="43"/>
              <w:jc w:val="right"/>
              <w:rPr>
                <w:sz w:val="17"/>
                <w:lang w:val="fr-FR"/>
              </w:rPr>
            </w:pPr>
            <w:r w:rsidRPr="00183F91">
              <w:rPr>
                <w:sz w:val="17"/>
                <w:lang w:val="fr-FR"/>
              </w:rPr>
              <w:t>34</w:t>
            </w:r>
          </w:p>
        </w:tc>
        <w:tc>
          <w:tcPr>
            <w:tcW w:w="1009" w:type="dxa"/>
            <w:shd w:val="clear" w:color="auto" w:fill="auto"/>
            <w:noWrap/>
            <w:vAlign w:val="bottom"/>
          </w:tcPr>
          <w:p w14:paraId="299CDF1B" w14:textId="77777777" w:rsidR="006E2E53" w:rsidRPr="00183F91" w:rsidRDefault="006E2E53" w:rsidP="00EA21A9">
            <w:pPr>
              <w:tabs>
                <w:tab w:val="left" w:pos="288"/>
                <w:tab w:val="left" w:pos="576"/>
                <w:tab w:val="left" w:pos="864"/>
                <w:tab w:val="left" w:pos="1152"/>
              </w:tabs>
              <w:spacing w:before="40" w:after="40" w:line="210" w:lineRule="exact"/>
              <w:ind w:right="43"/>
              <w:jc w:val="right"/>
              <w:rPr>
                <w:sz w:val="17"/>
                <w:lang w:val="fr-FR"/>
              </w:rPr>
            </w:pPr>
            <w:r w:rsidRPr="00183F91">
              <w:rPr>
                <w:sz w:val="17"/>
                <w:lang w:val="fr-FR"/>
              </w:rPr>
              <w:t>1 155,6</w:t>
            </w:r>
          </w:p>
        </w:tc>
        <w:tc>
          <w:tcPr>
            <w:tcW w:w="1009" w:type="dxa"/>
            <w:shd w:val="clear" w:color="auto" w:fill="auto"/>
            <w:noWrap/>
            <w:vAlign w:val="bottom"/>
          </w:tcPr>
          <w:p w14:paraId="0227CF7A" w14:textId="77777777" w:rsidR="006E2E53" w:rsidRPr="00183F91" w:rsidRDefault="006E2E53" w:rsidP="00EA21A9">
            <w:pPr>
              <w:tabs>
                <w:tab w:val="left" w:pos="288"/>
                <w:tab w:val="left" w:pos="576"/>
                <w:tab w:val="left" w:pos="864"/>
                <w:tab w:val="left" w:pos="1152"/>
              </w:tabs>
              <w:spacing w:before="40" w:after="40" w:line="210" w:lineRule="exact"/>
              <w:ind w:right="43"/>
              <w:jc w:val="right"/>
              <w:rPr>
                <w:sz w:val="17"/>
                <w:lang w:val="fr-FR"/>
              </w:rPr>
            </w:pPr>
            <w:r w:rsidRPr="00183F91">
              <w:rPr>
                <w:sz w:val="17"/>
                <w:lang w:val="fr-FR"/>
              </w:rPr>
              <w:t>110,3</w:t>
            </w:r>
          </w:p>
        </w:tc>
      </w:tr>
      <w:tr w:rsidR="00EA21A9" w:rsidRPr="00183F91" w14:paraId="49DAC508" w14:textId="77777777" w:rsidTr="000821D9">
        <w:tc>
          <w:tcPr>
            <w:tcW w:w="225" w:type="dxa"/>
            <w:tcBorders>
              <w:bottom w:val="single" w:sz="12" w:space="0" w:color="auto"/>
            </w:tcBorders>
            <w:shd w:val="clear" w:color="auto" w:fill="auto"/>
            <w:noWrap/>
            <w:vAlign w:val="bottom"/>
          </w:tcPr>
          <w:p w14:paraId="135BC9F4" w14:textId="77777777" w:rsidR="006E2E53" w:rsidRPr="00183F91" w:rsidRDefault="006E2E53" w:rsidP="00EE2701">
            <w:pPr>
              <w:tabs>
                <w:tab w:val="left" w:pos="288"/>
                <w:tab w:val="left" w:pos="576"/>
                <w:tab w:val="left" w:pos="864"/>
                <w:tab w:val="left" w:pos="1152"/>
              </w:tabs>
              <w:spacing w:before="40" w:after="40" w:line="210" w:lineRule="exact"/>
              <w:ind w:right="40"/>
              <w:rPr>
                <w:sz w:val="17"/>
                <w:lang w:val="fr-FR"/>
              </w:rPr>
            </w:pPr>
            <w:r w:rsidRPr="00183F91">
              <w:rPr>
                <w:sz w:val="17"/>
                <w:lang w:val="fr-FR"/>
              </w:rPr>
              <w:t>7</w:t>
            </w:r>
          </w:p>
        </w:tc>
        <w:tc>
          <w:tcPr>
            <w:tcW w:w="3060" w:type="dxa"/>
            <w:tcBorders>
              <w:bottom w:val="single" w:sz="12" w:space="0" w:color="auto"/>
            </w:tcBorders>
            <w:shd w:val="clear" w:color="auto" w:fill="auto"/>
            <w:noWrap/>
            <w:vAlign w:val="bottom"/>
          </w:tcPr>
          <w:p w14:paraId="435F49B7" w14:textId="3BF568A8" w:rsidR="006E2E53" w:rsidRPr="00183F91" w:rsidRDefault="006E2E53" w:rsidP="00EA21A9">
            <w:pPr>
              <w:tabs>
                <w:tab w:val="left" w:pos="288"/>
                <w:tab w:val="left" w:pos="576"/>
                <w:tab w:val="left" w:pos="864"/>
                <w:tab w:val="left" w:pos="1152"/>
              </w:tabs>
              <w:spacing w:before="40" w:after="40" w:line="210" w:lineRule="exact"/>
              <w:ind w:right="43"/>
              <w:rPr>
                <w:sz w:val="17"/>
                <w:lang w:val="fr-FR"/>
              </w:rPr>
            </w:pPr>
            <w:r w:rsidRPr="00183F91">
              <w:rPr>
                <w:sz w:val="17"/>
                <w:lang w:val="fr-FR"/>
              </w:rPr>
              <w:t>Aide à la recherche d</w:t>
            </w:r>
            <w:r w:rsidR="00C15CD7" w:rsidRPr="00183F91">
              <w:rPr>
                <w:sz w:val="17"/>
                <w:lang w:val="fr-FR"/>
              </w:rPr>
              <w:t>’</w:t>
            </w:r>
            <w:r w:rsidRPr="00183F91">
              <w:rPr>
                <w:sz w:val="17"/>
                <w:lang w:val="fr-FR"/>
              </w:rPr>
              <w:t>emploi</w:t>
            </w:r>
          </w:p>
        </w:tc>
        <w:tc>
          <w:tcPr>
            <w:tcW w:w="1008" w:type="dxa"/>
            <w:tcBorders>
              <w:bottom w:val="single" w:sz="12" w:space="0" w:color="auto"/>
            </w:tcBorders>
            <w:shd w:val="clear" w:color="auto" w:fill="auto"/>
            <w:noWrap/>
            <w:vAlign w:val="bottom"/>
          </w:tcPr>
          <w:p w14:paraId="399BD489" w14:textId="77777777" w:rsidR="006E2E53" w:rsidRPr="00183F91" w:rsidRDefault="006E2E53" w:rsidP="00EA21A9">
            <w:pPr>
              <w:tabs>
                <w:tab w:val="left" w:pos="288"/>
                <w:tab w:val="left" w:pos="576"/>
                <w:tab w:val="left" w:pos="864"/>
                <w:tab w:val="left" w:pos="1152"/>
              </w:tabs>
              <w:spacing w:before="40" w:after="40" w:line="210" w:lineRule="exact"/>
              <w:ind w:right="43"/>
              <w:jc w:val="right"/>
              <w:rPr>
                <w:sz w:val="17"/>
                <w:lang w:val="fr-FR"/>
              </w:rPr>
            </w:pPr>
            <w:r w:rsidRPr="00183F91">
              <w:rPr>
                <w:sz w:val="17"/>
                <w:lang w:val="fr-FR"/>
              </w:rPr>
              <w:t>137</w:t>
            </w:r>
          </w:p>
        </w:tc>
        <w:tc>
          <w:tcPr>
            <w:tcW w:w="1009" w:type="dxa"/>
            <w:tcBorders>
              <w:bottom w:val="single" w:sz="12" w:space="0" w:color="auto"/>
            </w:tcBorders>
            <w:shd w:val="clear" w:color="auto" w:fill="auto"/>
            <w:noWrap/>
            <w:vAlign w:val="bottom"/>
          </w:tcPr>
          <w:p w14:paraId="2A356A8E" w14:textId="77777777" w:rsidR="006E2E53" w:rsidRPr="00183F91" w:rsidRDefault="006E2E53" w:rsidP="00EA21A9">
            <w:pPr>
              <w:tabs>
                <w:tab w:val="left" w:pos="288"/>
                <w:tab w:val="left" w:pos="576"/>
                <w:tab w:val="left" w:pos="864"/>
                <w:tab w:val="left" w:pos="1152"/>
              </w:tabs>
              <w:spacing w:before="40" w:after="40" w:line="210" w:lineRule="exact"/>
              <w:ind w:right="43"/>
              <w:jc w:val="right"/>
              <w:rPr>
                <w:sz w:val="17"/>
                <w:lang w:val="fr-FR"/>
              </w:rPr>
            </w:pPr>
            <w:r w:rsidRPr="00183F91">
              <w:rPr>
                <w:sz w:val="17"/>
                <w:lang w:val="fr-FR"/>
              </w:rPr>
              <w:t>126</w:t>
            </w:r>
          </w:p>
        </w:tc>
        <w:tc>
          <w:tcPr>
            <w:tcW w:w="1009" w:type="dxa"/>
            <w:tcBorders>
              <w:bottom w:val="single" w:sz="12" w:space="0" w:color="auto"/>
            </w:tcBorders>
            <w:shd w:val="clear" w:color="auto" w:fill="auto"/>
            <w:noWrap/>
            <w:vAlign w:val="bottom"/>
          </w:tcPr>
          <w:p w14:paraId="5E459ACF" w14:textId="77777777" w:rsidR="006E2E53" w:rsidRPr="00183F91" w:rsidRDefault="006E2E53" w:rsidP="00EA21A9">
            <w:pPr>
              <w:tabs>
                <w:tab w:val="left" w:pos="288"/>
                <w:tab w:val="left" w:pos="576"/>
                <w:tab w:val="left" w:pos="864"/>
                <w:tab w:val="left" w:pos="1152"/>
              </w:tabs>
              <w:spacing w:before="40" w:after="40" w:line="210" w:lineRule="exact"/>
              <w:ind w:right="43"/>
              <w:jc w:val="right"/>
              <w:rPr>
                <w:sz w:val="17"/>
                <w:lang w:val="fr-FR"/>
              </w:rPr>
            </w:pPr>
            <w:r w:rsidRPr="00183F91">
              <w:rPr>
                <w:sz w:val="17"/>
                <w:lang w:val="fr-FR"/>
              </w:rPr>
              <w:t>13,1</w:t>
            </w:r>
          </w:p>
        </w:tc>
        <w:tc>
          <w:tcPr>
            <w:tcW w:w="1009" w:type="dxa"/>
            <w:tcBorders>
              <w:bottom w:val="single" w:sz="12" w:space="0" w:color="auto"/>
            </w:tcBorders>
            <w:shd w:val="clear" w:color="auto" w:fill="auto"/>
            <w:noWrap/>
            <w:vAlign w:val="bottom"/>
          </w:tcPr>
          <w:p w14:paraId="2F50CD25" w14:textId="77777777" w:rsidR="006E2E53" w:rsidRPr="00183F91" w:rsidRDefault="006E2E53" w:rsidP="00EA21A9">
            <w:pPr>
              <w:tabs>
                <w:tab w:val="left" w:pos="288"/>
                <w:tab w:val="left" w:pos="576"/>
                <w:tab w:val="left" w:pos="864"/>
                <w:tab w:val="left" w:pos="1152"/>
              </w:tabs>
              <w:spacing w:before="40" w:after="40" w:line="210" w:lineRule="exact"/>
              <w:ind w:right="43"/>
              <w:jc w:val="right"/>
              <w:rPr>
                <w:sz w:val="17"/>
                <w:lang w:val="fr-FR"/>
              </w:rPr>
            </w:pPr>
            <w:r w:rsidRPr="00183F91">
              <w:rPr>
                <w:sz w:val="17"/>
                <w:lang w:val="fr-FR"/>
              </w:rPr>
              <w:t>12,1</w:t>
            </w:r>
          </w:p>
        </w:tc>
      </w:tr>
    </w:tbl>
    <w:p w14:paraId="2E492332" w14:textId="46D7F886" w:rsidR="004D6E79" w:rsidRPr="000821D9" w:rsidRDefault="004D6E79" w:rsidP="004D6E79">
      <w:pPr>
        <w:pStyle w:val="SingleTxt"/>
        <w:spacing w:after="0" w:line="120" w:lineRule="exact"/>
        <w:rPr>
          <w:i/>
          <w:iCs/>
          <w:sz w:val="10"/>
          <w:lang w:val="fr-FR"/>
        </w:rPr>
      </w:pPr>
    </w:p>
    <w:p w14:paraId="27603FE2" w14:textId="5B21A4BA" w:rsidR="00EB1136" w:rsidRPr="00183F91" w:rsidRDefault="00EB1136" w:rsidP="006E2E53">
      <w:pPr>
        <w:pStyle w:val="FootnoteText"/>
        <w:tabs>
          <w:tab w:val="right" w:pos="1476"/>
          <w:tab w:val="left" w:pos="1548"/>
          <w:tab w:val="right" w:pos="1836"/>
          <w:tab w:val="left" w:pos="1908"/>
        </w:tabs>
        <w:ind w:left="1548" w:right="1267" w:hanging="288"/>
        <w:rPr>
          <w:lang w:val="fr-FR"/>
        </w:rPr>
      </w:pPr>
      <w:r w:rsidRPr="000821D9">
        <w:rPr>
          <w:i/>
          <w:iCs/>
          <w:lang w:val="fr-FR"/>
        </w:rPr>
        <w:t>Source</w:t>
      </w:r>
      <w:r w:rsidR="00442D55" w:rsidRPr="00183F91">
        <w:rPr>
          <w:lang w:val="fr-FR"/>
        </w:rPr>
        <w:t> :</w:t>
      </w:r>
      <w:r w:rsidRPr="00183F91">
        <w:rPr>
          <w:lang w:val="fr-FR"/>
        </w:rPr>
        <w:t xml:space="preserve"> Ministère du travail et de la protection sociale, 2020.</w:t>
      </w:r>
    </w:p>
    <w:p w14:paraId="108351CB" w14:textId="18E592D1" w:rsidR="004D6E79" w:rsidRPr="000821D9" w:rsidRDefault="004D6E79" w:rsidP="004D6E79">
      <w:pPr>
        <w:pStyle w:val="SingleTxt"/>
        <w:spacing w:after="0" w:line="120" w:lineRule="exact"/>
        <w:rPr>
          <w:i/>
          <w:iCs/>
          <w:sz w:val="10"/>
          <w:lang w:val="fr-FR"/>
        </w:rPr>
      </w:pPr>
    </w:p>
    <w:p w14:paraId="3A3E2D00" w14:textId="7E512101" w:rsidR="004D6E79" w:rsidRPr="000821D9" w:rsidRDefault="004D6E79" w:rsidP="004D6E79">
      <w:pPr>
        <w:pStyle w:val="SingleTxt"/>
        <w:spacing w:after="0" w:line="120" w:lineRule="exact"/>
        <w:rPr>
          <w:i/>
          <w:sz w:val="10"/>
          <w:lang w:val="fr-FR"/>
        </w:rPr>
      </w:pPr>
    </w:p>
    <w:p w14:paraId="327F7CF8" w14:textId="3E418F2D" w:rsidR="00EB1136" w:rsidRPr="00183F91" w:rsidRDefault="00EB1136" w:rsidP="004D6E79">
      <w:pPr>
        <w:pStyle w:val="SingleTxt"/>
        <w:numPr>
          <w:ilvl w:val="0"/>
          <w:numId w:val="43"/>
        </w:numPr>
        <w:spacing w:line="240" w:lineRule="exact"/>
        <w:ind w:left="1267"/>
        <w:rPr>
          <w:lang w:val="fr-FR"/>
        </w:rPr>
      </w:pPr>
      <w:r w:rsidRPr="00183F91">
        <w:rPr>
          <w:lang w:val="fr-FR"/>
        </w:rPr>
        <w:t>Un projet révisé de la loi sur la promotion de l</w:t>
      </w:r>
      <w:r w:rsidR="00442D55" w:rsidRPr="00183F91">
        <w:rPr>
          <w:lang w:val="fr-FR"/>
        </w:rPr>
        <w:t>’</w:t>
      </w:r>
      <w:r w:rsidRPr="00183F91">
        <w:rPr>
          <w:lang w:val="fr-FR"/>
        </w:rPr>
        <w:t>emploi est en cours d</w:t>
      </w:r>
      <w:r w:rsidR="00442D55" w:rsidRPr="00183F91">
        <w:rPr>
          <w:lang w:val="fr-FR"/>
        </w:rPr>
        <w:t>’</w:t>
      </w:r>
      <w:r w:rsidRPr="00183F91">
        <w:rPr>
          <w:lang w:val="fr-FR"/>
        </w:rPr>
        <w:t>élaboration. L</w:t>
      </w:r>
      <w:r w:rsidR="00442D55" w:rsidRPr="00183F91">
        <w:rPr>
          <w:lang w:val="fr-FR"/>
        </w:rPr>
        <w:t>’</w:t>
      </w:r>
      <w:r w:rsidRPr="00183F91">
        <w:rPr>
          <w:lang w:val="fr-FR"/>
        </w:rPr>
        <w:t>objectif du projet de loi est de créer un fondement juridique pour les activités de promotion de l</w:t>
      </w:r>
      <w:r w:rsidR="00442D55" w:rsidRPr="00183F91">
        <w:rPr>
          <w:lang w:val="fr-FR"/>
        </w:rPr>
        <w:t>’</w:t>
      </w:r>
      <w:r w:rsidRPr="00183F91">
        <w:rPr>
          <w:lang w:val="fr-FR"/>
        </w:rPr>
        <w:t>emploi et de diversifier le type d</w:t>
      </w:r>
      <w:r w:rsidR="00442D55" w:rsidRPr="00183F91">
        <w:rPr>
          <w:lang w:val="fr-FR"/>
        </w:rPr>
        <w:t>’</w:t>
      </w:r>
      <w:r w:rsidRPr="00183F91">
        <w:rPr>
          <w:lang w:val="fr-FR"/>
        </w:rPr>
        <w:t>activités, la forme qu</w:t>
      </w:r>
      <w:r w:rsidR="00442D55" w:rsidRPr="00183F91">
        <w:rPr>
          <w:lang w:val="fr-FR"/>
        </w:rPr>
        <w:t>’</w:t>
      </w:r>
      <w:r w:rsidRPr="00183F91">
        <w:rPr>
          <w:lang w:val="fr-FR"/>
        </w:rPr>
        <w:t>elles prennent, leur portée, leur financement et leurs liens avec les agences pour l</w:t>
      </w:r>
      <w:r w:rsidR="00442D55" w:rsidRPr="00183F91">
        <w:rPr>
          <w:lang w:val="fr-FR"/>
        </w:rPr>
        <w:t>’</w:t>
      </w:r>
      <w:r w:rsidRPr="00183F91">
        <w:rPr>
          <w:lang w:val="fr-FR"/>
        </w:rPr>
        <w:t>emploi. Le concept de la loi a été approuvé par un arrêté conjoint du Ministère de la justice et des affaires intérieures et du Ministère du travail et de la protection sociale, et on y trouve un volet spécial consacré aux personnes handicapées.</w:t>
      </w:r>
    </w:p>
    <w:p w14:paraId="30EB1768" w14:textId="45EDB651" w:rsidR="004D6E79" w:rsidRPr="00183F91" w:rsidRDefault="004D6E79" w:rsidP="004D6E79">
      <w:pPr>
        <w:pStyle w:val="SingleTxt"/>
        <w:spacing w:after="0" w:line="120" w:lineRule="exact"/>
        <w:rPr>
          <w:sz w:val="10"/>
          <w:lang w:val="fr-FR"/>
        </w:rPr>
      </w:pPr>
    </w:p>
    <w:p w14:paraId="5FEA14F4" w14:textId="07B8B69E" w:rsidR="00EB1136" w:rsidRPr="00183F91" w:rsidRDefault="00EB1136" w:rsidP="004D6E7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83F91">
        <w:rPr>
          <w:lang w:val="fr-FR"/>
        </w:rPr>
        <w:tab/>
      </w:r>
      <w:r w:rsidRPr="00183F91">
        <w:rPr>
          <w:lang w:val="fr-FR"/>
        </w:rPr>
        <w:tab/>
        <w:t>Résultats obtenus grâce à l</w:t>
      </w:r>
      <w:r w:rsidR="00442D55" w:rsidRPr="00183F91">
        <w:rPr>
          <w:lang w:val="fr-FR"/>
        </w:rPr>
        <w:t>’</w:t>
      </w:r>
      <w:r w:rsidRPr="00183F91">
        <w:rPr>
          <w:lang w:val="fr-FR"/>
        </w:rPr>
        <w:t>élaboration d</w:t>
      </w:r>
      <w:r w:rsidR="00442D55" w:rsidRPr="00183F91">
        <w:rPr>
          <w:lang w:val="fr-FR"/>
        </w:rPr>
        <w:t>’</w:t>
      </w:r>
      <w:r w:rsidRPr="00183F91">
        <w:rPr>
          <w:lang w:val="fr-FR"/>
        </w:rPr>
        <w:t>une méthode d</w:t>
      </w:r>
      <w:r w:rsidR="00442D55" w:rsidRPr="00183F91">
        <w:rPr>
          <w:lang w:val="fr-FR"/>
        </w:rPr>
        <w:t>’</w:t>
      </w:r>
      <w:r w:rsidRPr="00183F91">
        <w:rPr>
          <w:lang w:val="fr-FR"/>
        </w:rPr>
        <w:t>évaluation de</w:t>
      </w:r>
      <w:r w:rsidR="004D6E79" w:rsidRPr="00183F91">
        <w:rPr>
          <w:lang w:val="fr-FR"/>
        </w:rPr>
        <w:t> </w:t>
      </w:r>
      <w:r w:rsidRPr="00183F91">
        <w:rPr>
          <w:lang w:val="fr-FR"/>
        </w:rPr>
        <w:t>l</w:t>
      </w:r>
      <w:r w:rsidR="00442D55" w:rsidRPr="00183F91">
        <w:rPr>
          <w:lang w:val="fr-FR"/>
        </w:rPr>
        <w:t>’</w:t>
      </w:r>
      <w:r w:rsidRPr="00183F91">
        <w:rPr>
          <w:lang w:val="fr-FR"/>
        </w:rPr>
        <w:t>application du principe d</w:t>
      </w:r>
      <w:r w:rsidR="00442D55" w:rsidRPr="00183F91">
        <w:rPr>
          <w:lang w:val="fr-FR"/>
        </w:rPr>
        <w:t>’</w:t>
      </w:r>
      <w:r w:rsidRPr="00183F91">
        <w:rPr>
          <w:lang w:val="fr-FR"/>
        </w:rPr>
        <w:t>égalité de rémunération et méthode</w:t>
      </w:r>
      <w:r w:rsidR="001430AD" w:rsidRPr="00183F91">
        <w:rPr>
          <w:lang w:val="fr-FR"/>
        </w:rPr>
        <w:br/>
      </w:r>
      <w:r w:rsidRPr="00183F91">
        <w:rPr>
          <w:lang w:val="fr-FR"/>
        </w:rPr>
        <w:t xml:space="preserve">permettant </w:t>
      </w:r>
      <w:r w:rsidR="001430AD" w:rsidRPr="00183F91">
        <w:rPr>
          <w:lang w:val="fr-FR"/>
        </w:rPr>
        <w:t xml:space="preserve">de </w:t>
      </w:r>
      <w:r w:rsidRPr="00183F91">
        <w:rPr>
          <w:lang w:val="fr-FR"/>
        </w:rPr>
        <w:t>réduire l</w:t>
      </w:r>
      <w:r w:rsidR="00442D55" w:rsidRPr="00183F91">
        <w:rPr>
          <w:lang w:val="fr-FR"/>
        </w:rPr>
        <w:t>’</w:t>
      </w:r>
      <w:r w:rsidRPr="00183F91">
        <w:rPr>
          <w:lang w:val="fr-FR"/>
        </w:rPr>
        <w:t>écart de rémunération entre les genres</w:t>
      </w:r>
    </w:p>
    <w:p w14:paraId="716281C1" w14:textId="6B18B682" w:rsidR="004D6E79" w:rsidRPr="00183F91" w:rsidRDefault="004D6E79" w:rsidP="004D6E79">
      <w:pPr>
        <w:pStyle w:val="SingleTxt"/>
        <w:spacing w:after="0" w:line="120" w:lineRule="exact"/>
        <w:rPr>
          <w:sz w:val="10"/>
          <w:lang w:val="fr-FR"/>
        </w:rPr>
      </w:pPr>
    </w:p>
    <w:p w14:paraId="3232ACD5" w14:textId="5C450F4B" w:rsidR="00EB1136" w:rsidRPr="00183F91" w:rsidRDefault="00EB1136" w:rsidP="004D6E79">
      <w:pPr>
        <w:pStyle w:val="SingleTxt"/>
        <w:numPr>
          <w:ilvl w:val="0"/>
          <w:numId w:val="43"/>
        </w:numPr>
        <w:spacing w:line="240" w:lineRule="exact"/>
        <w:ind w:left="1267"/>
        <w:rPr>
          <w:lang w:val="fr-FR"/>
        </w:rPr>
      </w:pPr>
      <w:r w:rsidRPr="00183F91">
        <w:rPr>
          <w:lang w:val="fr-FR"/>
        </w:rPr>
        <w:t xml:space="preserve">Par le </w:t>
      </w:r>
      <w:r w:rsidR="00653A21">
        <w:rPr>
          <w:lang w:val="fr-FR"/>
        </w:rPr>
        <w:t>programme national relatif à l’égalité des sexes</w:t>
      </w:r>
      <w:r w:rsidRPr="00183F91">
        <w:rPr>
          <w:lang w:val="fr-FR"/>
        </w:rPr>
        <w:t xml:space="preserve">, le </w:t>
      </w:r>
      <w:r w:rsidR="000B68FF" w:rsidRPr="00183F91">
        <w:rPr>
          <w:lang w:val="fr-FR"/>
        </w:rPr>
        <w:t>G</w:t>
      </w:r>
      <w:r w:rsidRPr="00183F91">
        <w:rPr>
          <w:lang w:val="fr-FR"/>
        </w:rPr>
        <w:t xml:space="preserve">ouvernement de la Mongolie est incité à mener des recherches pour garantir un salaire égal pour un travail égal, à réduire et éliminer les inégalités salariales et à appliquer efficacement la législation visant à revoir les salaires dans les secteurs où les femmes sont le plus souvent employées. </w:t>
      </w:r>
    </w:p>
    <w:p w14:paraId="5D1D3933" w14:textId="2E6CA2F5" w:rsidR="00EB1136" w:rsidRPr="00183F91" w:rsidRDefault="00EB1136" w:rsidP="004D6E79">
      <w:pPr>
        <w:pStyle w:val="SingleTxt"/>
        <w:numPr>
          <w:ilvl w:val="0"/>
          <w:numId w:val="43"/>
        </w:numPr>
        <w:spacing w:line="240" w:lineRule="exact"/>
        <w:ind w:left="1267"/>
        <w:rPr>
          <w:lang w:val="fr-FR"/>
        </w:rPr>
      </w:pPr>
      <w:r w:rsidRPr="00183F91">
        <w:rPr>
          <w:lang w:val="fr-FR"/>
        </w:rPr>
        <w:t>Afin de promouvoir l</w:t>
      </w:r>
      <w:r w:rsidR="00442D55" w:rsidRPr="00183F91">
        <w:rPr>
          <w:lang w:val="fr-FR"/>
        </w:rPr>
        <w:t>’</w:t>
      </w:r>
      <w:r w:rsidRPr="00183F91">
        <w:rPr>
          <w:lang w:val="fr-FR"/>
        </w:rPr>
        <w:t>égalité, le guide de l</w:t>
      </w:r>
      <w:r w:rsidR="00442D55" w:rsidRPr="00183F91">
        <w:rPr>
          <w:lang w:val="fr-FR"/>
        </w:rPr>
        <w:t>’</w:t>
      </w:r>
      <w:r w:rsidRPr="00183F91">
        <w:rPr>
          <w:lang w:val="fr-FR"/>
        </w:rPr>
        <w:t xml:space="preserve">Organisation internationale du Travail (OIT) intitulé </w:t>
      </w:r>
      <w:r w:rsidR="00442D55" w:rsidRPr="00183F91">
        <w:rPr>
          <w:lang w:val="fr-FR"/>
        </w:rPr>
        <w:t>« </w:t>
      </w:r>
      <w:r w:rsidRPr="00183F91">
        <w:rPr>
          <w:lang w:val="fr-FR"/>
        </w:rPr>
        <w:t>Promouvoir l</w:t>
      </w:r>
      <w:r w:rsidR="00442D55" w:rsidRPr="00183F91">
        <w:rPr>
          <w:lang w:val="fr-FR"/>
        </w:rPr>
        <w:t>’</w:t>
      </w:r>
      <w:r w:rsidRPr="00183F91">
        <w:rPr>
          <w:lang w:val="fr-FR"/>
        </w:rPr>
        <w:t>équité salariale au moyen de l</w:t>
      </w:r>
      <w:r w:rsidR="00442D55" w:rsidRPr="00183F91">
        <w:rPr>
          <w:lang w:val="fr-FR"/>
        </w:rPr>
        <w:t>’</w:t>
      </w:r>
      <w:r w:rsidRPr="00183F91">
        <w:rPr>
          <w:lang w:val="fr-FR"/>
        </w:rPr>
        <w:t>évaluation non sexiste des emplois</w:t>
      </w:r>
      <w:r w:rsidR="00442D55" w:rsidRPr="00183F91">
        <w:rPr>
          <w:lang w:val="fr-FR"/>
        </w:rPr>
        <w:t> :</w:t>
      </w:r>
      <w:r w:rsidRPr="00183F91">
        <w:rPr>
          <w:lang w:val="fr-FR"/>
        </w:rPr>
        <w:t xml:space="preserve"> Guide de mise en </w:t>
      </w:r>
      <w:r w:rsidR="00442D55" w:rsidRPr="00183F91">
        <w:rPr>
          <w:lang w:val="fr-FR"/>
        </w:rPr>
        <w:t>œuvre »</w:t>
      </w:r>
      <w:r w:rsidRPr="00183F91">
        <w:rPr>
          <w:lang w:val="fr-FR"/>
        </w:rPr>
        <w:t xml:space="preserve"> a été traduit, publié et diffusé. Il y est précisé que la publication s</w:t>
      </w:r>
      <w:r w:rsidR="00442D55" w:rsidRPr="00183F91">
        <w:rPr>
          <w:lang w:val="fr-FR"/>
        </w:rPr>
        <w:t>’</w:t>
      </w:r>
      <w:r w:rsidRPr="00183F91">
        <w:rPr>
          <w:lang w:val="fr-FR"/>
        </w:rPr>
        <w:t>inscrit dans le cadre des efforts déployés par l</w:t>
      </w:r>
      <w:r w:rsidR="00442D55" w:rsidRPr="00183F91">
        <w:rPr>
          <w:lang w:val="fr-FR"/>
        </w:rPr>
        <w:t>’</w:t>
      </w:r>
      <w:r w:rsidRPr="00183F91">
        <w:rPr>
          <w:lang w:val="fr-FR"/>
        </w:rPr>
        <w:t>OIT pour éliminer la discrimination, dans le sillage des rapports consacrés à l</w:t>
      </w:r>
      <w:r w:rsidR="00442D55" w:rsidRPr="00183F91">
        <w:rPr>
          <w:lang w:val="fr-FR"/>
        </w:rPr>
        <w:t>’</w:t>
      </w:r>
      <w:r w:rsidRPr="00183F91">
        <w:rPr>
          <w:lang w:val="fr-FR"/>
        </w:rPr>
        <w:t>égalité au travail. Le guide s</w:t>
      </w:r>
      <w:r w:rsidR="00442D55" w:rsidRPr="00183F91">
        <w:rPr>
          <w:lang w:val="fr-FR"/>
        </w:rPr>
        <w:t>’</w:t>
      </w:r>
      <w:r w:rsidRPr="00183F91">
        <w:rPr>
          <w:lang w:val="fr-FR"/>
        </w:rPr>
        <w:t>adresse aux employeurs et aux syndicats, aux organisations de défense de l</w:t>
      </w:r>
      <w:r w:rsidR="00442D55" w:rsidRPr="00183F91">
        <w:rPr>
          <w:lang w:val="fr-FR"/>
        </w:rPr>
        <w:t>’</w:t>
      </w:r>
      <w:r w:rsidRPr="00183F91">
        <w:rPr>
          <w:lang w:val="fr-FR"/>
        </w:rPr>
        <w:t>égalité des genres et aux responsables des ressources humaines, ainsi qu</w:t>
      </w:r>
      <w:r w:rsidR="00442D55" w:rsidRPr="00183F91">
        <w:rPr>
          <w:lang w:val="fr-FR"/>
        </w:rPr>
        <w:t>’</w:t>
      </w:r>
      <w:r w:rsidRPr="00183F91">
        <w:rPr>
          <w:lang w:val="fr-FR"/>
        </w:rPr>
        <w:t>aux spécialistes des questions de genre et d</w:t>
      </w:r>
      <w:r w:rsidR="00442D55" w:rsidRPr="00183F91">
        <w:rPr>
          <w:lang w:val="fr-FR"/>
        </w:rPr>
        <w:t>’</w:t>
      </w:r>
      <w:r w:rsidRPr="00183F91">
        <w:rPr>
          <w:lang w:val="fr-FR"/>
        </w:rPr>
        <w:t>égalité salariale. Sur la base de ce guide, une méthodologie pour l</w:t>
      </w:r>
      <w:r w:rsidR="00442D55" w:rsidRPr="00183F91">
        <w:rPr>
          <w:lang w:val="fr-FR"/>
        </w:rPr>
        <w:t>’</w:t>
      </w:r>
      <w:r w:rsidRPr="00183F91">
        <w:rPr>
          <w:lang w:val="fr-FR"/>
        </w:rPr>
        <w:t>évaluation, le regroupement et le classement des emplois a été développée et approuvée par une résolution du Comité national tripartite sur le travail et le consensus social. En 2017-2018, les services de santé publique, les établissements d</w:t>
      </w:r>
      <w:r w:rsidR="00442D55" w:rsidRPr="00183F91">
        <w:rPr>
          <w:lang w:val="fr-FR"/>
        </w:rPr>
        <w:t>’</w:t>
      </w:r>
      <w:r w:rsidRPr="00183F91">
        <w:rPr>
          <w:lang w:val="fr-FR"/>
        </w:rPr>
        <w:t>enseignement préscolaire, primaire et secondaire et les établissements d</w:t>
      </w:r>
      <w:r w:rsidR="00442D55" w:rsidRPr="00183F91">
        <w:rPr>
          <w:lang w:val="fr-FR"/>
        </w:rPr>
        <w:t>’</w:t>
      </w:r>
      <w:r w:rsidRPr="00183F91">
        <w:rPr>
          <w:lang w:val="fr-FR"/>
        </w:rPr>
        <w:t>enseignement professionnel ont été évalués selon la méthodologie et les classements des emplois ont été mis à jour.</w:t>
      </w:r>
    </w:p>
    <w:p w14:paraId="452840DA" w14:textId="623B4ABE" w:rsidR="00EB1136" w:rsidRPr="00183F91" w:rsidRDefault="00EB1136" w:rsidP="004D6E79">
      <w:pPr>
        <w:pStyle w:val="SingleTxt"/>
        <w:numPr>
          <w:ilvl w:val="0"/>
          <w:numId w:val="43"/>
        </w:numPr>
        <w:spacing w:line="240" w:lineRule="exact"/>
        <w:ind w:left="1267"/>
        <w:rPr>
          <w:lang w:val="fr-FR"/>
        </w:rPr>
      </w:pPr>
      <w:r w:rsidRPr="00183F91">
        <w:rPr>
          <w:lang w:val="fr-FR"/>
        </w:rPr>
        <w:t xml:space="preserve">Il est nécessaire de réviser la politique salariale nationale conformément au concept de développement durable de la Mongolie 2030 approuvé par le Parlement du pays, à la loi révisée sur la fonction publique et au droit du travail, à la politique </w:t>
      </w:r>
      <w:r w:rsidRPr="00183F91">
        <w:rPr>
          <w:lang w:val="fr-FR"/>
        </w:rPr>
        <w:lastRenderedPageBreak/>
        <w:t>de développement axée sur les trois piliers et aux autres documents stratégiques mis en œuvre par le Gouvernement mongol et de se conformer aux tendances internationales en matière de salaires. Par conséquent, les questions ci-dessus ont été prises en compte dans la politique et la Politique salariale nationale pour 2019-2024 ainsi que le plan d</w:t>
      </w:r>
      <w:r w:rsidR="00442D55" w:rsidRPr="00183F91">
        <w:rPr>
          <w:lang w:val="fr-FR"/>
        </w:rPr>
        <w:t>’</w:t>
      </w:r>
      <w:r w:rsidRPr="00183F91">
        <w:rPr>
          <w:lang w:val="fr-FR"/>
        </w:rPr>
        <w:t>action pour sa mise en œuvre ont été approuvés et mis en œuvre par le Comité national tripartite sur le travail et le consensus social en 2019.</w:t>
      </w:r>
    </w:p>
    <w:p w14:paraId="69026150" w14:textId="1B5C30FA" w:rsidR="004D6E79" w:rsidRPr="00183F91" w:rsidRDefault="004D6E79" w:rsidP="004D6E79">
      <w:pPr>
        <w:pStyle w:val="SingleTxt"/>
        <w:spacing w:after="0" w:line="120" w:lineRule="exact"/>
        <w:rPr>
          <w:sz w:val="10"/>
          <w:lang w:val="fr-FR"/>
        </w:rPr>
      </w:pPr>
    </w:p>
    <w:p w14:paraId="3ACFA469" w14:textId="4AE335D2" w:rsidR="004D6E79" w:rsidRPr="00183F91" w:rsidRDefault="004D6E79" w:rsidP="004D6E79">
      <w:pPr>
        <w:pStyle w:val="SingleTxt"/>
        <w:spacing w:after="0" w:line="120" w:lineRule="exact"/>
        <w:rPr>
          <w:sz w:val="10"/>
          <w:lang w:val="fr-FR"/>
        </w:rPr>
      </w:pPr>
    </w:p>
    <w:p w14:paraId="344CD78B" w14:textId="1E72E5BC" w:rsidR="00EB1136" w:rsidRPr="00183F91" w:rsidRDefault="004D6E79" w:rsidP="004D6E7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83F91">
        <w:rPr>
          <w:lang w:val="fr-FR"/>
        </w:rPr>
        <w:tab/>
      </w:r>
      <w:r w:rsidR="00EB1136" w:rsidRPr="00183F91">
        <w:rPr>
          <w:lang w:val="fr-FR"/>
        </w:rPr>
        <w:t>Q.</w:t>
      </w:r>
      <w:r w:rsidR="00EB1136" w:rsidRPr="00183F91">
        <w:rPr>
          <w:lang w:val="fr-FR"/>
        </w:rPr>
        <w:tab/>
        <w:t>Réponse au paragraphe 16 b) de la liste de points</w:t>
      </w:r>
    </w:p>
    <w:p w14:paraId="38E42E85" w14:textId="24D97A43" w:rsidR="004D6E79" w:rsidRPr="00183F91" w:rsidRDefault="004D6E79" w:rsidP="004D6E79">
      <w:pPr>
        <w:pStyle w:val="SingleTxt"/>
        <w:spacing w:after="0" w:line="120" w:lineRule="exact"/>
        <w:rPr>
          <w:sz w:val="10"/>
          <w:lang w:val="fr-FR"/>
        </w:rPr>
      </w:pPr>
    </w:p>
    <w:p w14:paraId="46341CEE" w14:textId="58469FF7" w:rsidR="004D6E79" w:rsidRPr="00183F91" w:rsidRDefault="004D6E79" w:rsidP="004D6E79">
      <w:pPr>
        <w:pStyle w:val="SingleTxt"/>
        <w:spacing w:after="0" w:line="120" w:lineRule="exact"/>
        <w:rPr>
          <w:sz w:val="10"/>
          <w:lang w:val="fr-FR"/>
        </w:rPr>
      </w:pPr>
    </w:p>
    <w:p w14:paraId="02F5BC00" w14:textId="70DB17AE" w:rsidR="00EB1136" w:rsidRPr="00183F91" w:rsidRDefault="00EB1136" w:rsidP="004D6E79">
      <w:pPr>
        <w:pStyle w:val="SingleTxt"/>
        <w:numPr>
          <w:ilvl w:val="0"/>
          <w:numId w:val="43"/>
        </w:numPr>
        <w:spacing w:line="240" w:lineRule="exact"/>
        <w:ind w:left="1267"/>
        <w:rPr>
          <w:lang w:val="fr-FR"/>
        </w:rPr>
      </w:pPr>
      <w:r w:rsidRPr="00183F91">
        <w:rPr>
          <w:lang w:val="fr-FR"/>
        </w:rPr>
        <w:t>Le cinquième programme national de sécurité et de santé au travail est mis en œuvre sur la période 2017-2020. Grâce à une mise en œuvre progressive, de nombreuses questions ont été résolues</w:t>
      </w:r>
      <w:r w:rsidR="00442D55" w:rsidRPr="00183F91">
        <w:rPr>
          <w:lang w:val="fr-FR"/>
        </w:rPr>
        <w:t> :</w:t>
      </w:r>
      <w:r w:rsidRPr="00183F91">
        <w:rPr>
          <w:lang w:val="fr-FR"/>
        </w:rPr>
        <w:t xml:space="preserve"> il s</w:t>
      </w:r>
      <w:r w:rsidR="00442D55" w:rsidRPr="00183F91">
        <w:rPr>
          <w:lang w:val="fr-FR"/>
        </w:rPr>
        <w:t>’</w:t>
      </w:r>
      <w:r w:rsidRPr="00183F91">
        <w:rPr>
          <w:lang w:val="fr-FR"/>
        </w:rPr>
        <w:t>agissait notamment d</w:t>
      </w:r>
      <w:r w:rsidR="00442D55" w:rsidRPr="00183F91">
        <w:rPr>
          <w:lang w:val="fr-FR"/>
        </w:rPr>
        <w:t>’</w:t>
      </w:r>
      <w:r w:rsidRPr="00183F91">
        <w:rPr>
          <w:lang w:val="fr-FR"/>
        </w:rPr>
        <w:t>améliorer le cadre juridique de la sécurité et de la santé au travail, de mettre au point des méthodes d</w:t>
      </w:r>
      <w:r w:rsidR="00442D55" w:rsidRPr="00183F91">
        <w:rPr>
          <w:lang w:val="fr-FR"/>
        </w:rPr>
        <w:t>’</w:t>
      </w:r>
      <w:r w:rsidRPr="00183F91">
        <w:rPr>
          <w:lang w:val="fr-FR"/>
        </w:rPr>
        <w:t>information et de publicité, d</w:t>
      </w:r>
      <w:r w:rsidR="00442D55" w:rsidRPr="00183F91">
        <w:rPr>
          <w:lang w:val="fr-FR"/>
        </w:rPr>
        <w:t>’</w:t>
      </w:r>
      <w:r w:rsidRPr="00183F91">
        <w:rPr>
          <w:lang w:val="fr-FR"/>
        </w:rPr>
        <w:t>intensifier les travaux des commissions nationales et des sous-commissions de la sécurité et de la santé au travail et ceux des conseils des aïmags, de la capitale et des districts, d</w:t>
      </w:r>
      <w:r w:rsidR="00442D55" w:rsidRPr="00183F91">
        <w:rPr>
          <w:lang w:val="fr-FR"/>
        </w:rPr>
        <w:t>’</w:t>
      </w:r>
      <w:r w:rsidRPr="00183F91">
        <w:rPr>
          <w:lang w:val="fr-FR"/>
        </w:rPr>
        <w:t xml:space="preserve">améliorer le système de gestion national ainsi que de mettre à jour le système de statistiques sur les accidents industriels. </w:t>
      </w:r>
    </w:p>
    <w:p w14:paraId="283A10F0" w14:textId="26103975" w:rsidR="00EB1136" w:rsidRPr="00183F91" w:rsidRDefault="00EB1136" w:rsidP="004D6E79">
      <w:pPr>
        <w:pStyle w:val="SingleTxt"/>
        <w:numPr>
          <w:ilvl w:val="0"/>
          <w:numId w:val="43"/>
        </w:numPr>
        <w:spacing w:line="240" w:lineRule="exact"/>
        <w:ind w:left="1267"/>
        <w:rPr>
          <w:lang w:val="fr-FR"/>
        </w:rPr>
      </w:pPr>
      <w:r w:rsidRPr="00183F91">
        <w:rPr>
          <w:lang w:val="fr-FR"/>
        </w:rPr>
        <w:t>La Mongolie se base sur une série de documents lors de l</w:t>
      </w:r>
      <w:r w:rsidR="00442D55" w:rsidRPr="00183F91">
        <w:rPr>
          <w:lang w:val="fr-FR"/>
        </w:rPr>
        <w:t>’</w:t>
      </w:r>
      <w:r w:rsidRPr="00183F91">
        <w:rPr>
          <w:lang w:val="fr-FR"/>
        </w:rPr>
        <w:t>évaluation des conditions de travail, notamment la procédure d</w:t>
      </w:r>
      <w:r w:rsidR="00442D55" w:rsidRPr="00183F91">
        <w:rPr>
          <w:lang w:val="fr-FR"/>
        </w:rPr>
        <w:t>’</w:t>
      </w:r>
      <w:r w:rsidRPr="00183F91">
        <w:rPr>
          <w:lang w:val="fr-FR"/>
        </w:rPr>
        <w:t>évaluation des conditions de travail approuvée par la résolution du Ministre du travail n</w:t>
      </w:r>
      <w:r w:rsidR="006A5E1F" w:rsidRPr="00183F91">
        <w:rPr>
          <w:vertAlign w:val="superscript"/>
          <w:lang w:val="fr-FR"/>
        </w:rPr>
        <w:t>o</w:t>
      </w:r>
      <w:r w:rsidR="006A5E1F" w:rsidRPr="00183F91">
        <w:rPr>
          <w:lang w:val="fr-FR"/>
        </w:rPr>
        <w:t> </w:t>
      </w:r>
      <w:r w:rsidR="000B68FF" w:rsidRPr="000821D9">
        <w:t>A/223</w:t>
      </w:r>
      <w:r w:rsidRPr="00183F91">
        <w:rPr>
          <w:lang w:val="fr-FR"/>
        </w:rPr>
        <w:t xml:space="preserve"> de 2015 et les normes approuvées par la résolution du Comité national sur la sécurité et la santé au travail n</w:t>
      </w:r>
      <w:r w:rsidR="006A5E1F" w:rsidRPr="00183F91">
        <w:rPr>
          <w:vertAlign w:val="superscript"/>
          <w:lang w:val="fr-FR"/>
        </w:rPr>
        <w:t>o</w:t>
      </w:r>
      <w:r w:rsidR="006A5E1F" w:rsidRPr="00183F91">
        <w:rPr>
          <w:lang w:val="fr-FR"/>
        </w:rPr>
        <w:t> </w:t>
      </w:r>
      <w:r w:rsidRPr="00183F91">
        <w:rPr>
          <w:lang w:val="fr-FR"/>
        </w:rPr>
        <w:t>01 de 2016, notamment celles portant sur les recommandations méthodologiques pour l</w:t>
      </w:r>
      <w:r w:rsidR="00442D55" w:rsidRPr="00183F91">
        <w:rPr>
          <w:lang w:val="fr-FR"/>
        </w:rPr>
        <w:t>’</w:t>
      </w:r>
      <w:r w:rsidRPr="00183F91">
        <w:rPr>
          <w:lang w:val="fr-FR"/>
        </w:rPr>
        <w:t>évaluation des conditions de travail sur le lieu de travail, sur la sécurité et la santé au travail, sur les conditions de travail, leur classification et facteurs (MNS</w:t>
      </w:r>
      <w:r w:rsidR="00A66DA3" w:rsidRPr="00183F91">
        <w:rPr>
          <w:lang w:val="fr-FR"/>
        </w:rPr>
        <w:t> </w:t>
      </w:r>
      <w:r w:rsidRPr="00183F91">
        <w:rPr>
          <w:lang w:val="fr-FR"/>
        </w:rPr>
        <w:t>5080</w:t>
      </w:r>
      <w:r w:rsidR="00442D55" w:rsidRPr="00183F91">
        <w:rPr>
          <w:lang w:val="fr-FR"/>
        </w:rPr>
        <w:t> :</w:t>
      </w:r>
      <w:r w:rsidRPr="00183F91">
        <w:rPr>
          <w:lang w:val="fr-FR"/>
        </w:rPr>
        <w:t xml:space="preserve"> 2001).</w:t>
      </w:r>
    </w:p>
    <w:p w14:paraId="56A87EDC" w14:textId="577910E6" w:rsidR="00EB1136" w:rsidRPr="00183F91" w:rsidRDefault="00EB1136" w:rsidP="004D6E79">
      <w:pPr>
        <w:pStyle w:val="SingleTxt"/>
        <w:numPr>
          <w:ilvl w:val="0"/>
          <w:numId w:val="43"/>
        </w:numPr>
        <w:spacing w:line="240" w:lineRule="exact"/>
        <w:ind w:left="1267"/>
        <w:rPr>
          <w:lang w:val="fr-FR"/>
        </w:rPr>
      </w:pPr>
      <w:r w:rsidRPr="00183F91">
        <w:rPr>
          <w:lang w:val="fr-FR"/>
        </w:rPr>
        <w:t>Par ailleurs, le régime tarifaire pour l</w:t>
      </w:r>
      <w:r w:rsidR="00442D55" w:rsidRPr="00183F91">
        <w:rPr>
          <w:lang w:val="fr-FR"/>
        </w:rPr>
        <w:t>’</w:t>
      </w:r>
      <w:r w:rsidRPr="00183F91">
        <w:rPr>
          <w:lang w:val="fr-FR"/>
        </w:rPr>
        <w:t>évaluation de l</w:t>
      </w:r>
      <w:r w:rsidR="00442D55" w:rsidRPr="00183F91">
        <w:rPr>
          <w:lang w:val="fr-FR"/>
        </w:rPr>
        <w:t>’</w:t>
      </w:r>
      <w:r w:rsidRPr="00183F91">
        <w:rPr>
          <w:lang w:val="fr-FR"/>
        </w:rPr>
        <w:t xml:space="preserve">environnement de travail sur le lieu de travail a été </w:t>
      </w:r>
      <w:r w:rsidR="004F6AD7" w:rsidRPr="00183F91">
        <w:rPr>
          <w:lang w:val="fr-FR"/>
        </w:rPr>
        <w:t>réapprouvé</w:t>
      </w:r>
      <w:r w:rsidRPr="00183F91">
        <w:rPr>
          <w:lang w:val="fr-FR"/>
        </w:rPr>
        <w:t xml:space="preserve"> par l</w:t>
      </w:r>
      <w:r w:rsidR="00442D55" w:rsidRPr="00183F91">
        <w:rPr>
          <w:lang w:val="fr-FR"/>
        </w:rPr>
        <w:t>’</w:t>
      </w:r>
      <w:r w:rsidRPr="00183F91">
        <w:rPr>
          <w:lang w:val="fr-FR"/>
        </w:rPr>
        <w:t>arrêté du ministre n</w:t>
      </w:r>
      <w:r w:rsidR="006A5E1F" w:rsidRPr="00183F91">
        <w:rPr>
          <w:vertAlign w:val="superscript"/>
          <w:lang w:val="fr-FR"/>
        </w:rPr>
        <w:t>o</w:t>
      </w:r>
      <w:r w:rsidR="006A5E1F" w:rsidRPr="00183F91">
        <w:rPr>
          <w:lang w:val="fr-FR"/>
        </w:rPr>
        <w:t> </w:t>
      </w:r>
      <w:r w:rsidR="000B68FF" w:rsidRPr="000821D9">
        <w:t>A/74</w:t>
      </w:r>
      <w:r w:rsidRPr="00183F91">
        <w:rPr>
          <w:lang w:val="fr-FR"/>
        </w:rPr>
        <w:t xml:space="preserve"> du 4 mars 2019. En outre, au titre de la loi sur la sécurité et la santé au travail, il incombe à l</w:t>
      </w:r>
      <w:r w:rsidR="00442D55" w:rsidRPr="00183F91">
        <w:rPr>
          <w:lang w:val="fr-FR"/>
        </w:rPr>
        <w:t>’</w:t>
      </w:r>
      <w:r w:rsidRPr="00183F91">
        <w:rPr>
          <w:lang w:val="fr-FR"/>
        </w:rPr>
        <w:t>employeur de procéder à une évaluation des conditions de travail au moins une fois par an si de nouveaux emplois sont créés, si l</w:t>
      </w:r>
      <w:r w:rsidR="00442D55" w:rsidRPr="00183F91">
        <w:rPr>
          <w:lang w:val="fr-FR"/>
        </w:rPr>
        <w:t>’</w:t>
      </w:r>
      <w:r w:rsidRPr="00183F91">
        <w:rPr>
          <w:lang w:val="fr-FR"/>
        </w:rPr>
        <w:t>orientation et les conditions du lieu de travail changent et si des matières premières contenant des produits chimiques toxiques et dangereux sont utilisées.</w:t>
      </w:r>
    </w:p>
    <w:p w14:paraId="1917AD31" w14:textId="01244660" w:rsidR="00EB1136" w:rsidRPr="00183F91" w:rsidRDefault="00EB1136" w:rsidP="004D6E79">
      <w:pPr>
        <w:pStyle w:val="SingleTxt"/>
        <w:numPr>
          <w:ilvl w:val="0"/>
          <w:numId w:val="43"/>
        </w:numPr>
        <w:spacing w:line="240" w:lineRule="exact"/>
        <w:ind w:left="1267"/>
        <w:rPr>
          <w:lang w:val="fr-FR"/>
        </w:rPr>
      </w:pPr>
      <w:r w:rsidRPr="00183F91">
        <w:rPr>
          <w:lang w:val="fr-FR"/>
        </w:rPr>
        <w:t>Les règles de sécurité des mines à ciel ouvert approuvées par les arrêtés conjoints du Ministre des mines et de l</w:t>
      </w:r>
      <w:r w:rsidR="00442D55" w:rsidRPr="00183F91">
        <w:rPr>
          <w:lang w:val="fr-FR"/>
        </w:rPr>
        <w:t>’</w:t>
      </w:r>
      <w:r w:rsidRPr="00183F91">
        <w:rPr>
          <w:lang w:val="fr-FR"/>
        </w:rPr>
        <w:t>industrie lourde et du Ministre du travail et de la protection sociale n</w:t>
      </w:r>
      <w:r w:rsidR="006A5E1F" w:rsidRPr="00183F91">
        <w:rPr>
          <w:vertAlign w:val="superscript"/>
          <w:lang w:val="fr-FR"/>
        </w:rPr>
        <w:t>o</w:t>
      </w:r>
      <w:r w:rsidR="006A5E1F" w:rsidRPr="00183F91">
        <w:rPr>
          <w:lang w:val="fr-FR"/>
        </w:rPr>
        <w:t> </w:t>
      </w:r>
      <w:r w:rsidR="00865E61" w:rsidRPr="000821D9">
        <w:t>A/231</w:t>
      </w:r>
      <w:r w:rsidRPr="00183F91">
        <w:rPr>
          <w:lang w:val="fr-FR"/>
        </w:rPr>
        <w:t xml:space="preserve"> et </w:t>
      </w:r>
      <w:r w:rsidR="00865E61" w:rsidRPr="000821D9">
        <w:t>A/368</w:t>
      </w:r>
      <w:r w:rsidRPr="00183F91">
        <w:rPr>
          <w:lang w:val="fr-FR"/>
        </w:rPr>
        <w:t xml:space="preserve"> du 11 décembre 2019 ont été publiées officiellement et mises en application par des normes administratives.</w:t>
      </w:r>
    </w:p>
    <w:p w14:paraId="7EE3C5E3" w14:textId="032B9BAA" w:rsidR="004D6E79" w:rsidRPr="00183F91" w:rsidRDefault="004D6E79" w:rsidP="004D6E79">
      <w:pPr>
        <w:pStyle w:val="SingleTxt"/>
        <w:spacing w:after="0" w:line="120" w:lineRule="exact"/>
        <w:rPr>
          <w:sz w:val="10"/>
          <w:lang w:val="fr-FR"/>
        </w:rPr>
      </w:pPr>
    </w:p>
    <w:p w14:paraId="3AFF8886" w14:textId="78254642" w:rsidR="004D6E79" w:rsidRPr="00183F91" w:rsidRDefault="004D6E79" w:rsidP="004D6E79">
      <w:pPr>
        <w:pStyle w:val="SingleTxt"/>
        <w:spacing w:after="0" w:line="120" w:lineRule="exact"/>
        <w:rPr>
          <w:sz w:val="10"/>
          <w:lang w:val="fr-FR"/>
        </w:rPr>
      </w:pPr>
    </w:p>
    <w:p w14:paraId="3C5C0086" w14:textId="2B160976" w:rsidR="00EB1136" w:rsidRPr="00183F91" w:rsidRDefault="004D6E79" w:rsidP="004D6E7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83F91">
        <w:rPr>
          <w:lang w:val="fr-FR"/>
        </w:rPr>
        <w:tab/>
      </w:r>
      <w:r w:rsidR="00EB1136" w:rsidRPr="00183F91">
        <w:rPr>
          <w:lang w:val="fr-FR"/>
        </w:rPr>
        <w:t>R.</w:t>
      </w:r>
      <w:r w:rsidR="00EB1136" w:rsidRPr="00183F91">
        <w:rPr>
          <w:lang w:val="fr-FR"/>
        </w:rPr>
        <w:tab/>
        <w:t>Réponse au paragraphe 16 c) de la liste de points</w:t>
      </w:r>
    </w:p>
    <w:p w14:paraId="0775B9C7" w14:textId="4A64CCD3" w:rsidR="004D6E79" w:rsidRPr="00183F91" w:rsidRDefault="004D6E79" w:rsidP="004D6E79">
      <w:pPr>
        <w:pStyle w:val="SingleTxt"/>
        <w:spacing w:after="0" w:line="120" w:lineRule="exact"/>
        <w:rPr>
          <w:sz w:val="10"/>
          <w:lang w:val="fr-FR"/>
        </w:rPr>
      </w:pPr>
    </w:p>
    <w:p w14:paraId="1812AA13" w14:textId="1F135234" w:rsidR="004D6E79" w:rsidRPr="00183F91" w:rsidRDefault="004D6E79" w:rsidP="004D6E79">
      <w:pPr>
        <w:pStyle w:val="SingleTxt"/>
        <w:spacing w:after="0" w:line="120" w:lineRule="exact"/>
        <w:rPr>
          <w:sz w:val="10"/>
          <w:lang w:val="fr-FR"/>
        </w:rPr>
      </w:pPr>
    </w:p>
    <w:p w14:paraId="308CF8B6" w14:textId="2BE36F2F" w:rsidR="00EB1136" w:rsidRPr="00183F91" w:rsidRDefault="00EB1136" w:rsidP="004D6E79">
      <w:pPr>
        <w:pStyle w:val="SingleTxt"/>
        <w:numPr>
          <w:ilvl w:val="0"/>
          <w:numId w:val="43"/>
        </w:numPr>
        <w:spacing w:line="240" w:lineRule="exact"/>
        <w:ind w:left="1267"/>
        <w:rPr>
          <w:lang w:val="fr-FR"/>
        </w:rPr>
      </w:pPr>
      <w:r w:rsidRPr="00183F91">
        <w:rPr>
          <w:lang w:val="fr-FR"/>
        </w:rPr>
        <w:t>En matière d</w:t>
      </w:r>
      <w:r w:rsidR="00442D55" w:rsidRPr="00183F91">
        <w:rPr>
          <w:lang w:val="fr-FR"/>
        </w:rPr>
        <w:t>’</w:t>
      </w:r>
      <w:r w:rsidRPr="00183F91">
        <w:rPr>
          <w:lang w:val="fr-FR"/>
        </w:rPr>
        <w:t>assurance sociale, si l</w:t>
      </w:r>
      <w:r w:rsidR="00442D55" w:rsidRPr="00183F91">
        <w:rPr>
          <w:lang w:val="fr-FR"/>
        </w:rPr>
        <w:t>’</w:t>
      </w:r>
      <w:r w:rsidRPr="00183F91">
        <w:rPr>
          <w:lang w:val="fr-FR"/>
        </w:rPr>
        <w:t>assuré a payé des primes d</w:t>
      </w:r>
      <w:r w:rsidR="00442D55" w:rsidRPr="00183F91">
        <w:rPr>
          <w:lang w:val="fr-FR"/>
        </w:rPr>
        <w:t>’</w:t>
      </w:r>
      <w:r w:rsidRPr="00183F91">
        <w:rPr>
          <w:lang w:val="fr-FR"/>
        </w:rPr>
        <w:t>assurance pension pendant au moins 20 ans, il a droit à une pension de vieillesse à l</w:t>
      </w:r>
      <w:r w:rsidR="00442D55" w:rsidRPr="00183F91">
        <w:rPr>
          <w:lang w:val="fr-FR"/>
        </w:rPr>
        <w:t>’</w:t>
      </w:r>
      <w:r w:rsidRPr="00183F91">
        <w:rPr>
          <w:lang w:val="fr-FR"/>
        </w:rPr>
        <w:t>âge de 65</w:t>
      </w:r>
      <w:r w:rsidR="00865E61" w:rsidRPr="00183F91">
        <w:rPr>
          <w:lang w:val="fr-FR"/>
        </w:rPr>
        <w:t> </w:t>
      </w:r>
      <w:r w:rsidRPr="00183F91">
        <w:rPr>
          <w:lang w:val="fr-FR"/>
        </w:rPr>
        <w:t>ans. Les hommes qui ont payé des primes d</w:t>
      </w:r>
      <w:r w:rsidR="00442D55" w:rsidRPr="00183F91">
        <w:rPr>
          <w:lang w:val="fr-FR"/>
        </w:rPr>
        <w:t>’</w:t>
      </w:r>
      <w:r w:rsidRPr="00183F91">
        <w:rPr>
          <w:lang w:val="fr-FR"/>
        </w:rPr>
        <w:t>assurance pendant au moins 20 ans et qui sont âgés de 60 ans peuvent y prétendre et les femmes qui ont atteint l</w:t>
      </w:r>
      <w:r w:rsidR="00442D55" w:rsidRPr="00183F91">
        <w:rPr>
          <w:lang w:val="fr-FR"/>
        </w:rPr>
        <w:t>’</w:t>
      </w:r>
      <w:r w:rsidRPr="00183F91">
        <w:rPr>
          <w:lang w:val="fr-FR"/>
        </w:rPr>
        <w:t>âge de 55</w:t>
      </w:r>
      <w:r w:rsidR="00865E61" w:rsidRPr="00183F91">
        <w:rPr>
          <w:lang w:val="fr-FR"/>
        </w:rPr>
        <w:t> </w:t>
      </w:r>
      <w:r w:rsidRPr="00183F91">
        <w:rPr>
          <w:lang w:val="fr-FR"/>
        </w:rPr>
        <w:t>ans peuvent recevoir une pension de vieillesse si elles le souhaitent. L</w:t>
      </w:r>
      <w:r w:rsidR="00442D55" w:rsidRPr="00183F91">
        <w:rPr>
          <w:lang w:val="fr-FR"/>
        </w:rPr>
        <w:t>’</w:t>
      </w:r>
      <w:r w:rsidRPr="00183F91">
        <w:rPr>
          <w:lang w:val="fr-FR"/>
        </w:rPr>
        <w:t xml:space="preserve">âge de la retraite sera augmenté de </w:t>
      </w:r>
      <w:r w:rsidR="00865E61" w:rsidRPr="00183F91">
        <w:rPr>
          <w:lang w:val="fr-FR"/>
        </w:rPr>
        <w:t xml:space="preserve">trois </w:t>
      </w:r>
      <w:r w:rsidRPr="00183F91">
        <w:rPr>
          <w:lang w:val="fr-FR"/>
        </w:rPr>
        <w:t>mois chaque année à partir de 2018, en fonction de l</w:t>
      </w:r>
      <w:r w:rsidR="00442D55" w:rsidRPr="00183F91">
        <w:rPr>
          <w:lang w:val="fr-FR"/>
        </w:rPr>
        <w:t>’</w:t>
      </w:r>
      <w:r w:rsidRPr="00183F91">
        <w:rPr>
          <w:lang w:val="fr-FR"/>
        </w:rPr>
        <w:t>année de naissance de l</w:t>
      </w:r>
      <w:r w:rsidR="00442D55" w:rsidRPr="00183F91">
        <w:rPr>
          <w:lang w:val="fr-FR"/>
        </w:rPr>
        <w:t>’</w:t>
      </w:r>
      <w:r w:rsidRPr="00183F91">
        <w:rPr>
          <w:lang w:val="fr-FR"/>
        </w:rPr>
        <w:t>assuré. À l</w:t>
      </w:r>
      <w:r w:rsidR="00442D55" w:rsidRPr="00183F91">
        <w:rPr>
          <w:lang w:val="fr-FR"/>
        </w:rPr>
        <w:t>’</w:t>
      </w:r>
      <w:r w:rsidRPr="00183F91">
        <w:rPr>
          <w:lang w:val="fr-FR"/>
        </w:rPr>
        <w:t>avenir, l</w:t>
      </w:r>
      <w:r w:rsidR="00442D55" w:rsidRPr="00183F91">
        <w:rPr>
          <w:lang w:val="fr-FR"/>
        </w:rPr>
        <w:t>’</w:t>
      </w:r>
      <w:r w:rsidRPr="00183F91">
        <w:rPr>
          <w:lang w:val="fr-FR"/>
        </w:rPr>
        <w:t>âge de la retraite sera porté à 65 ans pour les hommes et les femmes, augmentant ainsi l</w:t>
      </w:r>
      <w:r w:rsidR="00442D55" w:rsidRPr="00183F91">
        <w:rPr>
          <w:lang w:val="fr-FR"/>
        </w:rPr>
        <w:t>’</w:t>
      </w:r>
      <w:r w:rsidRPr="00183F91">
        <w:rPr>
          <w:lang w:val="fr-FR"/>
        </w:rPr>
        <w:t xml:space="preserve">âge légal de </w:t>
      </w:r>
      <w:r w:rsidR="00865E61" w:rsidRPr="00183F91">
        <w:rPr>
          <w:lang w:val="fr-FR"/>
        </w:rPr>
        <w:t xml:space="preserve">trois </w:t>
      </w:r>
      <w:r w:rsidRPr="00183F91">
        <w:rPr>
          <w:lang w:val="fr-FR"/>
        </w:rPr>
        <w:t>ans.</w:t>
      </w:r>
    </w:p>
    <w:p w14:paraId="1C8BAF32" w14:textId="35CCCE28" w:rsidR="004D6E79" w:rsidRPr="00183F91" w:rsidRDefault="004D6E79" w:rsidP="004D6E79">
      <w:pPr>
        <w:pStyle w:val="SingleTxt"/>
        <w:spacing w:after="0" w:line="120" w:lineRule="exact"/>
        <w:rPr>
          <w:sz w:val="10"/>
          <w:lang w:val="fr-FR"/>
        </w:rPr>
      </w:pPr>
    </w:p>
    <w:p w14:paraId="2B2E2467" w14:textId="4870C5E6" w:rsidR="00EB1136" w:rsidRPr="00183F91" w:rsidRDefault="00EB1136" w:rsidP="004D6E7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83F91">
        <w:rPr>
          <w:lang w:val="fr-FR"/>
        </w:rPr>
        <w:lastRenderedPageBreak/>
        <w:tab/>
      </w:r>
      <w:r w:rsidRPr="00183F91">
        <w:rPr>
          <w:lang w:val="fr-FR"/>
        </w:rPr>
        <w:tab/>
        <w:t>Données sur le nombre de travailleuses migrantes étrangères, ventilés en fonction du sexe, de l</w:t>
      </w:r>
      <w:r w:rsidR="00442D55" w:rsidRPr="00183F91">
        <w:rPr>
          <w:lang w:val="fr-FR"/>
        </w:rPr>
        <w:t>’</w:t>
      </w:r>
      <w:r w:rsidRPr="00183F91">
        <w:rPr>
          <w:lang w:val="fr-FR"/>
        </w:rPr>
        <w:t>âge et du pays d</w:t>
      </w:r>
      <w:r w:rsidR="00442D55" w:rsidRPr="00183F91">
        <w:rPr>
          <w:lang w:val="fr-FR"/>
        </w:rPr>
        <w:t>’</w:t>
      </w:r>
      <w:r w:rsidRPr="00183F91">
        <w:rPr>
          <w:lang w:val="fr-FR"/>
        </w:rPr>
        <w:t>origine et précisions sur les mesures prises pour</w:t>
      </w:r>
      <w:r w:rsidR="004D6E79" w:rsidRPr="00183F91">
        <w:rPr>
          <w:lang w:val="fr-FR"/>
        </w:rPr>
        <w:t> </w:t>
      </w:r>
      <w:r w:rsidRPr="00183F91">
        <w:rPr>
          <w:lang w:val="fr-FR"/>
        </w:rPr>
        <w:t>que l</w:t>
      </w:r>
      <w:r w:rsidR="00442D55" w:rsidRPr="00183F91">
        <w:rPr>
          <w:lang w:val="fr-FR"/>
        </w:rPr>
        <w:t>’</w:t>
      </w:r>
      <w:r w:rsidRPr="00183F91">
        <w:rPr>
          <w:lang w:val="fr-FR"/>
        </w:rPr>
        <w:t>application des lois du travail aux femmes migrantes soit identique à</w:t>
      </w:r>
      <w:r w:rsidR="004D6E79" w:rsidRPr="00183F91">
        <w:rPr>
          <w:lang w:val="fr-FR"/>
        </w:rPr>
        <w:t> </w:t>
      </w:r>
      <w:r w:rsidRPr="00183F91">
        <w:rPr>
          <w:lang w:val="fr-FR"/>
        </w:rPr>
        <w:t>celle qui est faite à l</w:t>
      </w:r>
      <w:r w:rsidR="00442D55" w:rsidRPr="00183F91">
        <w:rPr>
          <w:lang w:val="fr-FR"/>
        </w:rPr>
        <w:t>’</w:t>
      </w:r>
      <w:r w:rsidRPr="00183F91">
        <w:rPr>
          <w:lang w:val="fr-FR"/>
        </w:rPr>
        <w:t>ensemble de la population</w:t>
      </w:r>
    </w:p>
    <w:p w14:paraId="42D4FC8E" w14:textId="7FE9AC73" w:rsidR="004D6E79" w:rsidRPr="00183F91" w:rsidRDefault="004D6E79" w:rsidP="004D6E79">
      <w:pPr>
        <w:pStyle w:val="SingleTxt"/>
        <w:spacing w:after="0" w:line="120" w:lineRule="exact"/>
        <w:rPr>
          <w:sz w:val="10"/>
          <w:lang w:val="fr-FR"/>
        </w:rPr>
      </w:pPr>
    </w:p>
    <w:p w14:paraId="2437456F" w14:textId="76090FA7" w:rsidR="00EB1136" w:rsidRPr="00183F91" w:rsidRDefault="00EB1136" w:rsidP="004D6E79">
      <w:pPr>
        <w:pStyle w:val="SingleTxt"/>
        <w:numPr>
          <w:ilvl w:val="0"/>
          <w:numId w:val="43"/>
        </w:numPr>
        <w:spacing w:line="240" w:lineRule="exact"/>
        <w:ind w:left="1267"/>
        <w:rPr>
          <w:lang w:val="fr-FR"/>
        </w:rPr>
      </w:pPr>
      <w:r w:rsidRPr="00183F91">
        <w:rPr>
          <w:lang w:val="fr-FR"/>
        </w:rPr>
        <w:t>Les statistiques des citoyens mongols vivant et travaillant à l</w:t>
      </w:r>
      <w:r w:rsidR="00442D55" w:rsidRPr="00183F91">
        <w:rPr>
          <w:lang w:val="fr-FR"/>
        </w:rPr>
        <w:t>’</w:t>
      </w:r>
      <w:r w:rsidRPr="00183F91">
        <w:rPr>
          <w:lang w:val="fr-FR"/>
        </w:rPr>
        <w:t>étranger varient considérablement. Selon le Ministère des affaires étrangères, en 2010, plus de 134</w:t>
      </w:r>
      <w:r w:rsidR="006A5E1F" w:rsidRPr="00183F91">
        <w:rPr>
          <w:lang w:val="fr-FR"/>
        </w:rPr>
        <w:t> </w:t>
      </w:r>
      <w:r w:rsidRPr="00183F91">
        <w:rPr>
          <w:lang w:val="fr-FR"/>
        </w:rPr>
        <w:t>000 Mongols vivaient et travaillaient à l</w:t>
      </w:r>
      <w:r w:rsidR="00442D55" w:rsidRPr="00183F91">
        <w:rPr>
          <w:lang w:val="fr-FR"/>
        </w:rPr>
        <w:t>’</w:t>
      </w:r>
      <w:r w:rsidRPr="00183F91">
        <w:rPr>
          <w:lang w:val="fr-FR"/>
        </w:rPr>
        <w:t>étranger, tandis que selon le recensement de la population et des logements de l</w:t>
      </w:r>
      <w:r w:rsidR="00442D55" w:rsidRPr="00183F91">
        <w:rPr>
          <w:lang w:val="fr-FR"/>
        </w:rPr>
        <w:t>’</w:t>
      </w:r>
      <w:r w:rsidRPr="00183F91">
        <w:rPr>
          <w:lang w:val="fr-FR"/>
        </w:rPr>
        <w:t>institut national de la statistique de 2010, ils étaient environ 107</w:t>
      </w:r>
      <w:r w:rsidR="006A5E1F" w:rsidRPr="00183F91">
        <w:rPr>
          <w:lang w:val="fr-FR"/>
        </w:rPr>
        <w:t> </w:t>
      </w:r>
      <w:r w:rsidRPr="00183F91">
        <w:rPr>
          <w:lang w:val="fr-FR"/>
        </w:rPr>
        <w:t>000. Selon le recensement intermédiaire de la population et des logements de 2015, 87</w:t>
      </w:r>
      <w:r w:rsidR="006A5E1F" w:rsidRPr="00183F91">
        <w:rPr>
          <w:lang w:val="fr-FR"/>
        </w:rPr>
        <w:t> </w:t>
      </w:r>
      <w:r w:rsidRPr="00183F91">
        <w:rPr>
          <w:lang w:val="fr-FR"/>
        </w:rPr>
        <w:t>400 personnes vivent et travaillent à l</w:t>
      </w:r>
      <w:r w:rsidR="00442D55" w:rsidRPr="00183F91">
        <w:rPr>
          <w:lang w:val="fr-FR"/>
        </w:rPr>
        <w:t>’</w:t>
      </w:r>
      <w:r w:rsidRPr="00183F91">
        <w:rPr>
          <w:lang w:val="fr-FR"/>
        </w:rPr>
        <w:t>étranger.</w:t>
      </w:r>
    </w:p>
    <w:p w14:paraId="776F67C5" w14:textId="0086C0C5" w:rsidR="00EB1136" w:rsidRPr="00183F91" w:rsidRDefault="00EB1136" w:rsidP="004D6E79">
      <w:pPr>
        <w:pStyle w:val="SingleTxt"/>
        <w:numPr>
          <w:ilvl w:val="0"/>
          <w:numId w:val="43"/>
        </w:numPr>
        <w:spacing w:line="240" w:lineRule="exact"/>
        <w:ind w:left="1267"/>
        <w:rPr>
          <w:lang w:val="fr-FR"/>
        </w:rPr>
      </w:pPr>
      <w:r w:rsidRPr="00183F91">
        <w:rPr>
          <w:lang w:val="fr-FR"/>
        </w:rPr>
        <w:t>Selon le recensement de la population et des logements de 2010, la grande majorité des Mongols vivant à l</w:t>
      </w:r>
      <w:r w:rsidR="00442D55" w:rsidRPr="00183F91">
        <w:rPr>
          <w:lang w:val="fr-FR"/>
        </w:rPr>
        <w:t>’</w:t>
      </w:r>
      <w:r w:rsidRPr="00183F91">
        <w:rPr>
          <w:lang w:val="fr-FR"/>
        </w:rPr>
        <w:t>étranger ont entre 20 et 49 ans. Les résultats de deux enquêtes menées auprès des Mongols vivant et travaillant à l</w:t>
      </w:r>
      <w:r w:rsidR="00442D55" w:rsidRPr="00183F91">
        <w:rPr>
          <w:lang w:val="fr-FR"/>
        </w:rPr>
        <w:t>’</w:t>
      </w:r>
      <w:r w:rsidRPr="00183F91">
        <w:rPr>
          <w:lang w:val="fr-FR"/>
        </w:rPr>
        <w:t>étranger montrent également les tendances par tranche d</w:t>
      </w:r>
      <w:r w:rsidR="00442D55" w:rsidRPr="00183F91">
        <w:rPr>
          <w:lang w:val="fr-FR"/>
        </w:rPr>
        <w:t>’</w:t>
      </w:r>
      <w:r w:rsidRPr="00183F91">
        <w:rPr>
          <w:lang w:val="fr-FR"/>
        </w:rPr>
        <w:t>âge. Par exemple, une enquête de 2005 a révélé que la majorité des Mongols travaillant à l</w:t>
      </w:r>
      <w:r w:rsidR="00442D55" w:rsidRPr="00183F91">
        <w:rPr>
          <w:lang w:val="fr-FR"/>
        </w:rPr>
        <w:t>’</w:t>
      </w:r>
      <w:r w:rsidRPr="00183F91">
        <w:rPr>
          <w:lang w:val="fr-FR"/>
        </w:rPr>
        <w:t>étranger étaient des jeunes âgés de 20 à 34</w:t>
      </w:r>
      <w:r w:rsidR="006A5E1F" w:rsidRPr="00183F91">
        <w:rPr>
          <w:lang w:val="fr-FR"/>
        </w:rPr>
        <w:t> </w:t>
      </w:r>
      <w:r w:rsidRPr="00183F91">
        <w:rPr>
          <w:lang w:val="fr-FR"/>
        </w:rPr>
        <w:t>ans, et selon l</w:t>
      </w:r>
      <w:r w:rsidR="00442D55" w:rsidRPr="00183F91">
        <w:rPr>
          <w:lang w:val="fr-FR"/>
        </w:rPr>
        <w:t>’</w:t>
      </w:r>
      <w:r w:rsidRPr="00183F91">
        <w:rPr>
          <w:lang w:val="fr-FR"/>
        </w:rPr>
        <w:t>enquête quantitative et qualitative sur les migrations extérieures de 2016, la majorité des personnes entrant dans cette catégorie étaient encore âgées de 20 à 34 ans.</w:t>
      </w:r>
    </w:p>
    <w:p w14:paraId="07ECF678" w14:textId="26D64F9C" w:rsidR="00EB1136" w:rsidRPr="00183F91" w:rsidRDefault="00EB1136" w:rsidP="004D6E79">
      <w:pPr>
        <w:pStyle w:val="SingleTxt"/>
        <w:numPr>
          <w:ilvl w:val="0"/>
          <w:numId w:val="43"/>
        </w:numPr>
        <w:spacing w:line="240" w:lineRule="exact"/>
        <w:ind w:left="1267"/>
        <w:rPr>
          <w:lang w:val="fr-FR"/>
        </w:rPr>
      </w:pPr>
      <w:r w:rsidRPr="00183F91">
        <w:rPr>
          <w:lang w:val="fr-FR"/>
        </w:rPr>
        <w:t>Le rapport de masculinité des personnes vivant à l</w:t>
      </w:r>
      <w:r w:rsidR="00442D55" w:rsidRPr="00183F91">
        <w:rPr>
          <w:lang w:val="fr-FR"/>
        </w:rPr>
        <w:t>’</w:t>
      </w:r>
      <w:r w:rsidRPr="00183F91">
        <w:rPr>
          <w:lang w:val="fr-FR"/>
        </w:rPr>
        <w:t>étranger est de 87,4 hommes pour 100 femmes. Toutefois, si l</w:t>
      </w:r>
      <w:r w:rsidR="00442D55" w:rsidRPr="00183F91">
        <w:rPr>
          <w:lang w:val="fr-FR"/>
        </w:rPr>
        <w:t>’</w:t>
      </w:r>
      <w:r w:rsidRPr="00183F91">
        <w:rPr>
          <w:lang w:val="fr-FR"/>
        </w:rPr>
        <w:t>on regarde les chiffres ventilés par destination, les hommes représentent la majorité des Mongols expatriés en Corée du Sud et en Russie, tandis que les femmes représentent la majorité aux États-Unis, en Chine, en République tchèque et au Japon.</w:t>
      </w:r>
    </w:p>
    <w:p w14:paraId="28B7FD7C" w14:textId="42A6AE5E" w:rsidR="00EB1136" w:rsidRPr="00183F91" w:rsidRDefault="00EB1136" w:rsidP="004D6E79">
      <w:pPr>
        <w:pStyle w:val="SingleTxt"/>
        <w:numPr>
          <w:ilvl w:val="0"/>
          <w:numId w:val="43"/>
        </w:numPr>
        <w:spacing w:line="240" w:lineRule="exact"/>
        <w:ind w:left="1267"/>
        <w:rPr>
          <w:lang w:val="fr-FR"/>
        </w:rPr>
      </w:pPr>
      <w:r w:rsidRPr="00183F91">
        <w:rPr>
          <w:lang w:val="fr-FR"/>
        </w:rPr>
        <w:t>La République de Corée est le pays qui compte le plus grand nombre d</w:t>
      </w:r>
      <w:r w:rsidR="00442D55" w:rsidRPr="00183F91">
        <w:rPr>
          <w:lang w:val="fr-FR"/>
        </w:rPr>
        <w:t>’</w:t>
      </w:r>
      <w:r w:rsidRPr="00183F91">
        <w:rPr>
          <w:lang w:val="fr-FR"/>
        </w:rPr>
        <w:t>expatriés. 27,6</w:t>
      </w:r>
      <w:r w:rsidR="006A5E1F" w:rsidRPr="00183F91">
        <w:rPr>
          <w:lang w:val="fr-FR"/>
        </w:rPr>
        <w:t> </w:t>
      </w:r>
      <w:r w:rsidRPr="00183F91">
        <w:rPr>
          <w:lang w:val="fr-FR"/>
        </w:rPr>
        <w:t>% des Mongols vivant et travaillant à l</w:t>
      </w:r>
      <w:r w:rsidR="00442D55" w:rsidRPr="00183F91">
        <w:rPr>
          <w:lang w:val="fr-FR"/>
        </w:rPr>
        <w:t>’</w:t>
      </w:r>
      <w:r w:rsidRPr="00183F91">
        <w:rPr>
          <w:lang w:val="fr-FR"/>
        </w:rPr>
        <w:t>étranger vivent et travaillent en République de Corée, 15,9</w:t>
      </w:r>
      <w:r w:rsidR="006A5E1F" w:rsidRPr="00183F91">
        <w:rPr>
          <w:lang w:val="fr-FR"/>
        </w:rPr>
        <w:t> </w:t>
      </w:r>
      <w:r w:rsidRPr="00183F91">
        <w:rPr>
          <w:lang w:val="fr-FR"/>
        </w:rPr>
        <w:t>% aux États-Unis, 6,8</w:t>
      </w:r>
      <w:r w:rsidR="006A5E1F" w:rsidRPr="00183F91">
        <w:rPr>
          <w:lang w:val="fr-FR"/>
        </w:rPr>
        <w:t> </w:t>
      </w:r>
      <w:r w:rsidRPr="00183F91">
        <w:rPr>
          <w:lang w:val="fr-FR"/>
        </w:rPr>
        <w:t>% en République tchèque, 6,8</w:t>
      </w:r>
      <w:r w:rsidR="006A5E1F" w:rsidRPr="00183F91">
        <w:rPr>
          <w:lang w:val="fr-FR"/>
        </w:rPr>
        <w:t> </w:t>
      </w:r>
      <w:r w:rsidRPr="00183F91">
        <w:rPr>
          <w:lang w:val="fr-FR"/>
        </w:rPr>
        <w:t>% en Chine, 5,0</w:t>
      </w:r>
      <w:r w:rsidR="006A5E1F" w:rsidRPr="00183F91">
        <w:rPr>
          <w:lang w:val="fr-FR"/>
        </w:rPr>
        <w:t> </w:t>
      </w:r>
      <w:r w:rsidRPr="00183F91">
        <w:rPr>
          <w:lang w:val="fr-FR"/>
        </w:rPr>
        <w:t>% au Japon et 4,7</w:t>
      </w:r>
      <w:r w:rsidR="006A5E1F" w:rsidRPr="00183F91">
        <w:rPr>
          <w:lang w:val="fr-FR"/>
        </w:rPr>
        <w:t> </w:t>
      </w:r>
      <w:r w:rsidRPr="00183F91">
        <w:rPr>
          <w:lang w:val="fr-FR"/>
        </w:rPr>
        <w:t>% en Russie.</w:t>
      </w:r>
    </w:p>
    <w:p w14:paraId="29AE9675" w14:textId="29CED15C" w:rsidR="004D6E79" w:rsidRPr="00183F91" w:rsidRDefault="004D6E79" w:rsidP="004D6E79">
      <w:pPr>
        <w:pStyle w:val="SingleTxt"/>
        <w:spacing w:after="0" w:line="120" w:lineRule="exact"/>
        <w:rPr>
          <w:sz w:val="10"/>
          <w:lang w:val="fr-FR"/>
        </w:rPr>
      </w:pPr>
    </w:p>
    <w:p w14:paraId="7E427B81" w14:textId="5788EFD5" w:rsidR="004D6E79" w:rsidRPr="00183F91" w:rsidRDefault="004D6E79" w:rsidP="004D6E79">
      <w:pPr>
        <w:pStyle w:val="SingleTxt"/>
        <w:spacing w:after="0" w:line="120" w:lineRule="exact"/>
        <w:rPr>
          <w:sz w:val="10"/>
          <w:lang w:val="fr-FR"/>
        </w:rPr>
      </w:pPr>
    </w:p>
    <w:p w14:paraId="3584581D" w14:textId="601CA226" w:rsidR="00EB1136" w:rsidRPr="00183F91" w:rsidRDefault="004D6E79" w:rsidP="004D6E7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83F91">
        <w:rPr>
          <w:lang w:val="fr-FR"/>
        </w:rPr>
        <w:tab/>
      </w:r>
      <w:r w:rsidR="00EB1136" w:rsidRPr="00183F91">
        <w:rPr>
          <w:lang w:val="fr-FR"/>
        </w:rPr>
        <w:t>S.</w:t>
      </w:r>
      <w:r w:rsidR="00EB1136" w:rsidRPr="00183F91">
        <w:rPr>
          <w:lang w:val="fr-FR"/>
        </w:rPr>
        <w:tab/>
        <w:t>Réponse au paragraphe 17 de la liste de points</w:t>
      </w:r>
    </w:p>
    <w:p w14:paraId="45857B5F" w14:textId="2CDAD71C" w:rsidR="004D6E79" w:rsidRPr="00183F91" w:rsidRDefault="004D6E79" w:rsidP="004D6E79">
      <w:pPr>
        <w:pStyle w:val="SingleTxt"/>
        <w:spacing w:after="0" w:line="120" w:lineRule="exact"/>
        <w:rPr>
          <w:sz w:val="10"/>
          <w:lang w:val="fr-FR"/>
        </w:rPr>
      </w:pPr>
    </w:p>
    <w:p w14:paraId="627B20B7" w14:textId="28A2FAA0" w:rsidR="004D6E79" w:rsidRPr="00183F91" w:rsidRDefault="004D6E79" w:rsidP="004D6E79">
      <w:pPr>
        <w:pStyle w:val="SingleTxt"/>
        <w:spacing w:after="0" w:line="120" w:lineRule="exact"/>
        <w:rPr>
          <w:sz w:val="10"/>
          <w:lang w:val="fr-FR"/>
        </w:rPr>
      </w:pPr>
    </w:p>
    <w:p w14:paraId="313510C0" w14:textId="75DA3DD9" w:rsidR="00EB1136" w:rsidRPr="00183F91" w:rsidRDefault="00EB1136" w:rsidP="004D6E7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83F91">
        <w:rPr>
          <w:lang w:val="fr-FR"/>
        </w:rPr>
        <w:tab/>
      </w:r>
      <w:r w:rsidRPr="00183F91">
        <w:rPr>
          <w:lang w:val="fr-FR"/>
        </w:rPr>
        <w:tab/>
        <w:t>Mesures mises en œuvre dans le cadre de la révision du Code pénal pour ériger en crime le harcèlement sexuel et pour sensibiliser employeurs et employés au</w:t>
      </w:r>
      <w:r w:rsidR="004D6E79" w:rsidRPr="00183F91">
        <w:rPr>
          <w:lang w:val="fr-FR"/>
        </w:rPr>
        <w:t> </w:t>
      </w:r>
      <w:r w:rsidRPr="00183F91">
        <w:rPr>
          <w:lang w:val="fr-FR"/>
        </w:rPr>
        <w:t>problème du harcèlement sexuel et aux dispositions pertinentes</w:t>
      </w:r>
      <w:r w:rsidR="001430AD" w:rsidRPr="00183F91">
        <w:rPr>
          <w:lang w:val="fr-FR"/>
        </w:rPr>
        <w:br/>
      </w:r>
      <w:r w:rsidRPr="00183F91">
        <w:rPr>
          <w:lang w:val="fr-FR"/>
        </w:rPr>
        <w:t xml:space="preserve">de la loi </w:t>
      </w:r>
      <w:r w:rsidR="001430AD" w:rsidRPr="00183F91">
        <w:rPr>
          <w:lang w:val="fr-FR"/>
        </w:rPr>
        <w:t xml:space="preserve">de </w:t>
      </w:r>
      <w:r w:rsidRPr="00183F91">
        <w:rPr>
          <w:lang w:val="fr-FR"/>
        </w:rPr>
        <w:t>2011 sur la promotion de l</w:t>
      </w:r>
      <w:r w:rsidR="00442D55" w:rsidRPr="00183F91">
        <w:rPr>
          <w:lang w:val="fr-FR"/>
        </w:rPr>
        <w:t>’</w:t>
      </w:r>
      <w:r w:rsidRPr="00183F91">
        <w:rPr>
          <w:lang w:val="fr-FR"/>
        </w:rPr>
        <w:t>égalité des sexes</w:t>
      </w:r>
    </w:p>
    <w:p w14:paraId="10AAB228" w14:textId="7F8152A3" w:rsidR="004D6E79" w:rsidRPr="00183F91" w:rsidRDefault="004D6E79" w:rsidP="004D6E79">
      <w:pPr>
        <w:pStyle w:val="SingleTxt"/>
        <w:spacing w:after="0" w:line="120" w:lineRule="exact"/>
        <w:rPr>
          <w:sz w:val="10"/>
          <w:lang w:val="fr-FR"/>
        </w:rPr>
      </w:pPr>
    </w:p>
    <w:p w14:paraId="5BD062C6" w14:textId="018E4126" w:rsidR="00EB1136" w:rsidRPr="00183F91" w:rsidRDefault="00EB1136" w:rsidP="004D6E79">
      <w:pPr>
        <w:pStyle w:val="SingleTxt"/>
        <w:numPr>
          <w:ilvl w:val="0"/>
          <w:numId w:val="43"/>
        </w:numPr>
        <w:spacing w:line="240" w:lineRule="exact"/>
        <w:ind w:left="1267"/>
        <w:rPr>
          <w:lang w:val="fr-FR"/>
        </w:rPr>
      </w:pPr>
      <w:r w:rsidRPr="00183F91">
        <w:rPr>
          <w:lang w:val="fr-FR"/>
        </w:rPr>
        <w:t>Sur la base d</w:t>
      </w:r>
      <w:r w:rsidR="00442D55" w:rsidRPr="00183F91">
        <w:rPr>
          <w:lang w:val="fr-FR"/>
        </w:rPr>
        <w:t>’</w:t>
      </w:r>
      <w:r w:rsidRPr="00183F91">
        <w:rPr>
          <w:lang w:val="fr-FR"/>
        </w:rPr>
        <w:t>enquêtes menées par des organisations gouvernementales et non gouvernementales sur le harcèlement sexuel sur le lieu de travail, les lois y relatives sont amendées progressivement. La sous-commission des droits de l</w:t>
      </w:r>
      <w:r w:rsidR="00442D55" w:rsidRPr="00183F91">
        <w:rPr>
          <w:lang w:val="fr-FR"/>
        </w:rPr>
        <w:t>’</w:t>
      </w:r>
      <w:r w:rsidRPr="00183F91">
        <w:rPr>
          <w:lang w:val="fr-FR"/>
        </w:rPr>
        <w:t xml:space="preserve">homme du Parlement a organisé en 2019 une discussion ouverte sur le thème </w:t>
      </w:r>
      <w:r w:rsidR="00442D55" w:rsidRPr="00183F91">
        <w:rPr>
          <w:lang w:val="fr-FR"/>
        </w:rPr>
        <w:t>« </w:t>
      </w:r>
      <w:r w:rsidRPr="00183F91">
        <w:rPr>
          <w:lang w:val="fr-FR"/>
        </w:rPr>
        <w:t>Un environnement de travail exempt de pression</w:t>
      </w:r>
      <w:r w:rsidR="00442D55" w:rsidRPr="00183F91">
        <w:rPr>
          <w:lang w:val="fr-FR"/>
        </w:rPr>
        <w:t> »</w:t>
      </w:r>
      <w:r w:rsidRPr="00183F91">
        <w:rPr>
          <w:lang w:val="fr-FR"/>
        </w:rPr>
        <w:t xml:space="preserve"> en coopération avec les organisations concernées et travaille à l</w:t>
      </w:r>
      <w:r w:rsidR="00442D55" w:rsidRPr="00183F91">
        <w:rPr>
          <w:lang w:val="fr-FR"/>
        </w:rPr>
        <w:t>’</w:t>
      </w:r>
      <w:r w:rsidRPr="00183F91">
        <w:rPr>
          <w:lang w:val="fr-FR"/>
        </w:rPr>
        <w:t>intégration des propositions soumises par les parties dans le droit du travail. La loi sur les infractions mineures a également été modifiée afin de prévoir des dispositions sur le harcèlement sexuel sur le lieu de travail.</w:t>
      </w:r>
    </w:p>
    <w:p w14:paraId="646A3BA4" w14:textId="50839D66" w:rsidR="00EB1136" w:rsidRPr="00183F91" w:rsidRDefault="00EB1136" w:rsidP="004D6E79">
      <w:pPr>
        <w:pStyle w:val="SingleTxt"/>
        <w:numPr>
          <w:ilvl w:val="0"/>
          <w:numId w:val="43"/>
        </w:numPr>
        <w:spacing w:line="240" w:lineRule="exact"/>
        <w:ind w:left="1267"/>
        <w:rPr>
          <w:lang w:val="fr-FR"/>
        </w:rPr>
      </w:pPr>
      <w:r w:rsidRPr="00183F91">
        <w:rPr>
          <w:lang w:val="fr-FR"/>
        </w:rPr>
        <w:t>Des formations sont régulièrement organisées afin de donner des informations sur la définition du harcèlement sexuel sur le lieu de travail, les principes de garantie de l</w:t>
      </w:r>
      <w:r w:rsidR="00442D55" w:rsidRPr="00183F91">
        <w:rPr>
          <w:lang w:val="fr-FR"/>
        </w:rPr>
        <w:t>’</w:t>
      </w:r>
      <w:r w:rsidRPr="00183F91">
        <w:rPr>
          <w:lang w:val="fr-FR"/>
        </w:rPr>
        <w:t>égalité des sexes et le détail des systèmes de recours en cas de plainte qui doivent être prévus par le règlement intérieur de l</w:t>
      </w:r>
      <w:r w:rsidR="00442D55" w:rsidRPr="00183F91">
        <w:rPr>
          <w:lang w:val="fr-FR"/>
        </w:rPr>
        <w:t>’</w:t>
      </w:r>
      <w:r w:rsidRPr="00183F91">
        <w:rPr>
          <w:lang w:val="fr-FR"/>
        </w:rPr>
        <w:t>entreprise. Par exemple, l</w:t>
      </w:r>
      <w:r w:rsidR="00442D55" w:rsidRPr="00183F91">
        <w:rPr>
          <w:lang w:val="fr-FR"/>
        </w:rPr>
        <w:t>’</w:t>
      </w:r>
      <w:r w:rsidRPr="00183F91">
        <w:rPr>
          <w:lang w:val="fr-FR"/>
        </w:rPr>
        <w:t>arrêté du Ministre de la défense n</w:t>
      </w:r>
      <w:r w:rsidR="006A5E1F" w:rsidRPr="00183F91">
        <w:rPr>
          <w:vertAlign w:val="superscript"/>
          <w:lang w:val="fr-FR"/>
        </w:rPr>
        <w:t>o</w:t>
      </w:r>
      <w:r w:rsidR="006A5E1F" w:rsidRPr="00183F91">
        <w:rPr>
          <w:lang w:val="fr-FR"/>
        </w:rPr>
        <w:t> </w:t>
      </w:r>
      <w:r w:rsidR="00865E61" w:rsidRPr="000821D9">
        <w:t>A/35</w:t>
      </w:r>
      <w:r w:rsidRPr="00183F91">
        <w:rPr>
          <w:lang w:val="fr-FR"/>
        </w:rPr>
        <w:t xml:space="preserve"> de 2014 prévoit que des dispositions visant à assurer l</w:t>
      </w:r>
      <w:r w:rsidR="00442D55" w:rsidRPr="00183F91">
        <w:rPr>
          <w:lang w:val="fr-FR"/>
        </w:rPr>
        <w:t>’</w:t>
      </w:r>
      <w:r w:rsidRPr="00183F91">
        <w:rPr>
          <w:lang w:val="fr-FR"/>
        </w:rPr>
        <w:t>égalité des sexes doivent être intégrées dans le règlement intérieur de l</w:t>
      </w:r>
      <w:r w:rsidR="00442D55" w:rsidRPr="00183F91">
        <w:rPr>
          <w:lang w:val="fr-FR"/>
        </w:rPr>
        <w:t>’</w:t>
      </w:r>
      <w:r w:rsidRPr="00183F91">
        <w:rPr>
          <w:lang w:val="fr-FR"/>
        </w:rPr>
        <w:t>entreprise. En outre, le Ministère des affaires étrangères, conformément à son règlement intérieur du travail, prévoit d</w:t>
      </w:r>
      <w:r w:rsidR="00442D55" w:rsidRPr="00183F91">
        <w:rPr>
          <w:lang w:val="fr-FR"/>
        </w:rPr>
        <w:t>’</w:t>
      </w:r>
      <w:r w:rsidRPr="00183F91">
        <w:rPr>
          <w:lang w:val="fr-FR"/>
        </w:rPr>
        <w:t xml:space="preserve">employer les conjoints des employés des missions diplomatiques </w:t>
      </w:r>
      <w:r w:rsidRPr="00183F91">
        <w:rPr>
          <w:lang w:val="fr-FR"/>
        </w:rPr>
        <w:lastRenderedPageBreak/>
        <w:t>sur une base contractuelle pour des services et des emplois techniques, l</w:t>
      </w:r>
      <w:r w:rsidR="00442D55" w:rsidRPr="00183F91">
        <w:rPr>
          <w:lang w:val="fr-FR"/>
        </w:rPr>
        <w:t>’</w:t>
      </w:r>
      <w:r w:rsidRPr="00183F91">
        <w:rPr>
          <w:lang w:val="fr-FR"/>
        </w:rPr>
        <w:t>objectif étant de maintenir les relations familiales et préserver l</w:t>
      </w:r>
      <w:r w:rsidR="00442D55" w:rsidRPr="00183F91">
        <w:rPr>
          <w:lang w:val="fr-FR"/>
        </w:rPr>
        <w:t>’</w:t>
      </w:r>
      <w:r w:rsidRPr="00183F91">
        <w:rPr>
          <w:lang w:val="fr-FR"/>
        </w:rPr>
        <w:t>égalité des sexes.</w:t>
      </w:r>
    </w:p>
    <w:p w14:paraId="6F3C4726" w14:textId="76825DAF" w:rsidR="004D6E79" w:rsidRPr="00183F91" w:rsidRDefault="004D6E79" w:rsidP="004D6E79">
      <w:pPr>
        <w:pStyle w:val="SingleTxt"/>
        <w:spacing w:after="0" w:line="120" w:lineRule="exact"/>
        <w:rPr>
          <w:sz w:val="10"/>
          <w:lang w:val="fr-FR"/>
        </w:rPr>
      </w:pPr>
    </w:p>
    <w:p w14:paraId="5A7EEA21" w14:textId="295EE316" w:rsidR="00EB1136" w:rsidRPr="00183F91" w:rsidRDefault="00EB1136" w:rsidP="004D6E7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83F91">
        <w:rPr>
          <w:lang w:val="fr-FR"/>
        </w:rPr>
        <w:tab/>
      </w:r>
      <w:r w:rsidRPr="00183F91">
        <w:rPr>
          <w:lang w:val="fr-FR"/>
        </w:rPr>
        <w:tab/>
        <w:t>Mesures prises pour prolonger le congé de maternité intégralement payé</w:t>
      </w:r>
      <w:r w:rsidR="00865E61" w:rsidRPr="00183F91">
        <w:rPr>
          <w:lang w:val="fr-FR"/>
        </w:rPr>
        <w:br/>
      </w:r>
      <w:r w:rsidRPr="00183F91">
        <w:rPr>
          <w:lang w:val="fr-FR"/>
        </w:rPr>
        <w:t>jusqu</w:t>
      </w:r>
      <w:r w:rsidR="00442D55" w:rsidRPr="00183F91">
        <w:rPr>
          <w:lang w:val="fr-FR"/>
        </w:rPr>
        <w:t>’</w:t>
      </w:r>
      <w:r w:rsidRPr="00183F91">
        <w:rPr>
          <w:lang w:val="fr-FR"/>
        </w:rPr>
        <w:t>à 120 jours dans le secteur privé et, ainsi, l</w:t>
      </w:r>
      <w:r w:rsidR="00442D55" w:rsidRPr="00183F91">
        <w:rPr>
          <w:lang w:val="fr-FR"/>
        </w:rPr>
        <w:t>’</w:t>
      </w:r>
      <w:r w:rsidRPr="00183F91">
        <w:rPr>
          <w:lang w:val="fr-FR"/>
        </w:rPr>
        <w:t>uniformiser</w:t>
      </w:r>
      <w:r w:rsidR="00865E61" w:rsidRPr="00183F91">
        <w:rPr>
          <w:lang w:val="fr-FR"/>
        </w:rPr>
        <w:br/>
      </w:r>
      <w:r w:rsidRPr="00183F91">
        <w:rPr>
          <w:lang w:val="fr-FR"/>
        </w:rPr>
        <w:t>à celui du secteur public</w:t>
      </w:r>
    </w:p>
    <w:p w14:paraId="515B5443" w14:textId="37BC68B4" w:rsidR="004D6E79" w:rsidRPr="00183F91" w:rsidRDefault="004D6E79" w:rsidP="004D6E79">
      <w:pPr>
        <w:pStyle w:val="SingleTxt"/>
        <w:spacing w:after="0" w:line="120" w:lineRule="exact"/>
        <w:rPr>
          <w:sz w:val="10"/>
          <w:lang w:val="fr-FR"/>
        </w:rPr>
      </w:pPr>
    </w:p>
    <w:p w14:paraId="51E8CEE0" w14:textId="6181214C" w:rsidR="00EB1136" w:rsidRPr="00183F91" w:rsidRDefault="00EB1136" w:rsidP="004D6E79">
      <w:pPr>
        <w:pStyle w:val="SingleTxt"/>
        <w:numPr>
          <w:ilvl w:val="0"/>
          <w:numId w:val="43"/>
        </w:numPr>
        <w:spacing w:line="240" w:lineRule="exact"/>
        <w:ind w:left="1267"/>
        <w:rPr>
          <w:lang w:val="fr-FR"/>
        </w:rPr>
      </w:pPr>
      <w:r w:rsidRPr="00183F91">
        <w:rPr>
          <w:lang w:val="fr-FR"/>
        </w:rPr>
        <w:t>La Mongolie, comme la plupart des autres pays, offre des avantages spéciaux aux jeunes mères et aux femmes enceintes. La loi prévoit un congé de maternité et un congé parental. La durée légale du congé de maternité est de 120 jours, 60 jours avant la naissance et 60 jours après la naissance. L</w:t>
      </w:r>
      <w:r w:rsidR="00442D55" w:rsidRPr="00183F91">
        <w:rPr>
          <w:lang w:val="fr-FR"/>
        </w:rPr>
        <w:t>’</w:t>
      </w:r>
      <w:r w:rsidRPr="00183F91">
        <w:rPr>
          <w:lang w:val="fr-FR"/>
        </w:rPr>
        <w:t>État paie l</w:t>
      </w:r>
      <w:r w:rsidR="00442D55" w:rsidRPr="00183F91">
        <w:rPr>
          <w:lang w:val="fr-FR"/>
        </w:rPr>
        <w:t>’</w:t>
      </w:r>
      <w:r w:rsidRPr="00183F91">
        <w:rPr>
          <w:lang w:val="fr-FR"/>
        </w:rPr>
        <w:t>assurance sociale pendant le congé de maternité. Le congé parental est accessible à toutes les mères (pères célibataires) ayant des enfants de moins de 3 ans et peut varier selon l</w:t>
      </w:r>
      <w:r w:rsidR="00442D55" w:rsidRPr="00183F91">
        <w:rPr>
          <w:lang w:val="fr-FR"/>
        </w:rPr>
        <w:t>’</w:t>
      </w:r>
      <w:r w:rsidRPr="00183F91">
        <w:rPr>
          <w:lang w:val="fr-FR"/>
        </w:rPr>
        <w:t>employeur. Les cotisations de sécurité sociale pour la période de congé sont versées par l</w:t>
      </w:r>
      <w:r w:rsidR="00442D55" w:rsidRPr="00183F91">
        <w:rPr>
          <w:lang w:val="fr-FR"/>
        </w:rPr>
        <w:t>’</w:t>
      </w:r>
      <w:r w:rsidRPr="00183F91">
        <w:rPr>
          <w:lang w:val="fr-FR"/>
        </w:rPr>
        <w:t>employeur à la caisse d</w:t>
      </w:r>
      <w:r w:rsidR="00442D55" w:rsidRPr="00183F91">
        <w:rPr>
          <w:lang w:val="fr-FR"/>
        </w:rPr>
        <w:t>’</w:t>
      </w:r>
      <w:r w:rsidRPr="00183F91">
        <w:rPr>
          <w:lang w:val="fr-FR"/>
        </w:rPr>
        <w:t>assurance sociale au nom de l</w:t>
      </w:r>
      <w:r w:rsidR="00442D55" w:rsidRPr="00183F91">
        <w:rPr>
          <w:lang w:val="fr-FR"/>
        </w:rPr>
        <w:t>’</w:t>
      </w:r>
      <w:r w:rsidRPr="00183F91">
        <w:rPr>
          <w:lang w:val="fr-FR"/>
        </w:rPr>
        <w:t>employée. À la fin du congé, l</w:t>
      </w:r>
      <w:r w:rsidR="00442D55" w:rsidRPr="00183F91">
        <w:rPr>
          <w:lang w:val="fr-FR"/>
        </w:rPr>
        <w:t>’</w:t>
      </w:r>
      <w:r w:rsidRPr="00183F91">
        <w:rPr>
          <w:lang w:val="fr-FR"/>
        </w:rPr>
        <w:t>employeur est tenu par la loi de réintégrer la personne à son ancien emploi ou de lui en offrir un nouveau. Les pères ayant des enfants de moins de 3 ans peuvent également prendre un congé parental s</w:t>
      </w:r>
      <w:r w:rsidR="00442D55" w:rsidRPr="00183F91">
        <w:rPr>
          <w:lang w:val="fr-FR"/>
        </w:rPr>
        <w:t>’</w:t>
      </w:r>
      <w:r w:rsidRPr="00183F91">
        <w:rPr>
          <w:lang w:val="fr-FR"/>
        </w:rPr>
        <w:t>ils le souhaitent.</w:t>
      </w:r>
    </w:p>
    <w:p w14:paraId="0A35C1D7" w14:textId="4B5A03EF" w:rsidR="004D6E79" w:rsidRPr="00183F91" w:rsidRDefault="004D6E79" w:rsidP="004D6E79">
      <w:pPr>
        <w:pStyle w:val="SingleTxt"/>
        <w:spacing w:after="0" w:line="120" w:lineRule="exact"/>
        <w:rPr>
          <w:sz w:val="10"/>
          <w:lang w:val="fr-FR"/>
        </w:rPr>
      </w:pPr>
    </w:p>
    <w:p w14:paraId="6B554DE0" w14:textId="0F49D8FC" w:rsidR="00EB1136" w:rsidRPr="00183F91" w:rsidRDefault="00EB1136" w:rsidP="007A76A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83F91">
        <w:rPr>
          <w:lang w:val="fr-FR"/>
        </w:rPr>
        <w:tab/>
      </w:r>
      <w:r w:rsidRPr="00183F91">
        <w:rPr>
          <w:lang w:val="fr-FR"/>
        </w:rPr>
        <w:tab/>
        <w:t>Disponibilité et accessibilité des structures d</w:t>
      </w:r>
      <w:r w:rsidR="00442D55" w:rsidRPr="00183F91">
        <w:rPr>
          <w:lang w:val="fr-FR"/>
        </w:rPr>
        <w:t>’</w:t>
      </w:r>
      <w:r w:rsidRPr="00183F91">
        <w:rPr>
          <w:lang w:val="fr-FR"/>
        </w:rPr>
        <w:t>accueil pour enfants permettant aux</w:t>
      </w:r>
      <w:r w:rsidR="004D6E79" w:rsidRPr="00183F91">
        <w:rPr>
          <w:lang w:val="fr-FR"/>
        </w:rPr>
        <w:t> </w:t>
      </w:r>
      <w:r w:rsidRPr="00183F91">
        <w:rPr>
          <w:lang w:val="fr-FR"/>
        </w:rPr>
        <w:t>femmes de mieux concilier travail et vie familiale</w:t>
      </w:r>
    </w:p>
    <w:p w14:paraId="67F761F0" w14:textId="18751A78" w:rsidR="004D6E79" w:rsidRPr="00183F91" w:rsidRDefault="004D6E79" w:rsidP="007A76AE">
      <w:pPr>
        <w:pStyle w:val="SingleTxt"/>
        <w:keepNext/>
        <w:spacing w:after="0" w:line="120" w:lineRule="exact"/>
        <w:rPr>
          <w:sz w:val="10"/>
          <w:lang w:val="fr-FR"/>
        </w:rPr>
      </w:pPr>
    </w:p>
    <w:p w14:paraId="429976CC" w14:textId="707C96CA" w:rsidR="00EB1136" w:rsidRPr="00183F91" w:rsidRDefault="00EB1136" w:rsidP="004D6E79">
      <w:pPr>
        <w:pStyle w:val="SingleTxt"/>
        <w:numPr>
          <w:ilvl w:val="0"/>
          <w:numId w:val="43"/>
        </w:numPr>
        <w:spacing w:line="240" w:lineRule="exact"/>
        <w:ind w:left="1267"/>
        <w:rPr>
          <w:lang w:val="fr-FR"/>
        </w:rPr>
      </w:pPr>
      <w:r w:rsidRPr="00183F91">
        <w:rPr>
          <w:lang w:val="fr-FR"/>
        </w:rPr>
        <w:t>La Commission nationale sur l</w:t>
      </w:r>
      <w:r w:rsidR="00442D55" w:rsidRPr="00183F91">
        <w:rPr>
          <w:lang w:val="fr-FR"/>
        </w:rPr>
        <w:t>’</w:t>
      </w:r>
      <w:r w:rsidRPr="00183F91">
        <w:rPr>
          <w:lang w:val="fr-FR"/>
        </w:rPr>
        <w:t>égalité des sexes a soumis une proposition visant à inclure le concept d</w:t>
      </w:r>
      <w:r w:rsidR="00442D55" w:rsidRPr="00183F91">
        <w:rPr>
          <w:lang w:val="fr-FR"/>
        </w:rPr>
        <w:t>’</w:t>
      </w:r>
      <w:r w:rsidRPr="00183F91">
        <w:rPr>
          <w:lang w:val="fr-FR"/>
        </w:rPr>
        <w:t>équilibre entre vie professionnelle et vie privée dans le projet révisé de la loi sur le travail.</w:t>
      </w:r>
    </w:p>
    <w:p w14:paraId="146F43A8" w14:textId="416E1DE0" w:rsidR="00EB1136" w:rsidRPr="00183F91" w:rsidRDefault="00EB1136" w:rsidP="004D6E79">
      <w:pPr>
        <w:pStyle w:val="SingleTxt"/>
        <w:numPr>
          <w:ilvl w:val="0"/>
          <w:numId w:val="43"/>
        </w:numPr>
        <w:spacing w:line="240" w:lineRule="exact"/>
        <w:ind w:left="1267"/>
        <w:rPr>
          <w:lang w:val="fr-FR"/>
        </w:rPr>
      </w:pPr>
      <w:r w:rsidRPr="00183F91">
        <w:rPr>
          <w:lang w:val="fr-FR"/>
        </w:rPr>
        <w:t>En 2017, le Parlement a approuvé la loi sur les allocations pour les mères et les pères célibataires ayant une famille nombreuse, qui est entrée en vigueur le 1</w:t>
      </w:r>
      <w:r w:rsidRPr="00183F91">
        <w:rPr>
          <w:vertAlign w:val="superscript"/>
          <w:lang w:val="fr-FR"/>
        </w:rPr>
        <w:t>er</w:t>
      </w:r>
      <w:r w:rsidRPr="00183F91">
        <w:rPr>
          <w:lang w:val="fr-FR"/>
        </w:rPr>
        <w:t xml:space="preserve"> janvier 2018. Afin de mettre en œuvre cette loi, la résolution gouvernementale n</w:t>
      </w:r>
      <w:r w:rsidR="006A5E1F" w:rsidRPr="00183F91">
        <w:rPr>
          <w:vertAlign w:val="superscript"/>
          <w:lang w:val="fr-FR"/>
        </w:rPr>
        <w:t>o</w:t>
      </w:r>
      <w:r w:rsidR="006A5E1F" w:rsidRPr="00183F91">
        <w:rPr>
          <w:lang w:val="fr-FR"/>
        </w:rPr>
        <w:t> </w:t>
      </w:r>
      <w:r w:rsidRPr="00183F91">
        <w:rPr>
          <w:lang w:val="fr-FR"/>
        </w:rPr>
        <w:t>340 de 2017 a porté approbation de la procédure d</w:t>
      </w:r>
      <w:r w:rsidR="00442D55" w:rsidRPr="00183F91">
        <w:rPr>
          <w:lang w:val="fr-FR"/>
        </w:rPr>
        <w:t>’</w:t>
      </w:r>
      <w:r w:rsidRPr="00183F91">
        <w:rPr>
          <w:lang w:val="fr-FR"/>
        </w:rPr>
        <w:t>octroi de prestations aux mères et pères célibataires ayant une famille nombreuse. Lesdites prestations s</w:t>
      </w:r>
      <w:r w:rsidR="00442D55" w:rsidRPr="00183F91">
        <w:rPr>
          <w:lang w:val="fr-FR"/>
        </w:rPr>
        <w:t>’</w:t>
      </w:r>
      <w:r w:rsidRPr="00183F91">
        <w:rPr>
          <w:lang w:val="fr-FR"/>
        </w:rPr>
        <w:t>élèvent à 40</w:t>
      </w:r>
      <w:r w:rsidR="006A5E1F" w:rsidRPr="00183F91">
        <w:rPr>
          <w:lang w:val="fr-FR"/>
        </w:rPr>
        <w:t> </w:t>
      </w:r>
      <w:r w:rsidRPr="00183F91">
        <w:rPr>
          <w:lang w:val="fr-FR"/>
        </w:rPr>
        <w:t>000</w:t>
      </w:r>
      <w:r w:rsidR="00865E61" w:rsidRPr="00183F91">
        <w:rPr>
          <w:lang w:val="fr-FR"/>
        </w:rPr>
        <w:t> t</w:t>
      </w:r>
      <w:r w:rsidR="00183F91">
        <w:rPr>
          <w:lang w:val="fr-FR"/>
        </w:rPr>
        <w:t>ogrogs</w:t>
      </w:r>
      <w:r w:rsidRPr="00183F91">
        <w:rPr>
          <w:lang w:val="fr-FR"/>
        </w:rPr>
        <w:t xml:space="preserve"> par mois pour les femmes enceintes du cinquième mois de grossesse à l</w:t>
      </w:r>
      <w:r w:rsidR="00442D55" w:rsidRPr="00183F91">
        <w:rPr>
          <w:lang w:val="fr-FR"/>
        </w:rPr>
        <w:t>’</w:t>
      </w:r>
      <w:r w:rsidRPr="00183F91">
        <w:rPr>
          <w:lang w:val="fr-FR"/>
        </w:rPr>
        <w:t>accouchement, 50 000 par mois pour les mères s</w:t>
      </w:r>
      <w:r w:rsidR="00442D55" w:rsidRPr="00183F91">
        <w:rPr>
          <w:lang w:val="fr-FR"/>
        </w:rPr>
        <w:t>’</w:t>
      </w:r>
      <w:r w:rsidRPr="00183F91">
        <w:rPr>
          <w:lang w:val="fr-FR"/>
        </w:rPr>
        <w:t>occupant d</w:t>
      </w:r>
      <w:r w:rsidR="00442D55" w:rsidRPr="00183F91">
        <w:rPr>
          <w:lang w:val="fr-FR"/>
        </w:rPr>
        <w:t>’</w:t>
      </w:r>
      <w:r w:rsidRPr="00183F91">
        <w:rPr>
          <w:lang w:val="fr-FR"/>
        </w:rPr>
        <w:t>enfants de moins de 3</w:t>
      </w:r>
      <w:r w:rsidR="006A5E1F" w:rsidRPr="00183F91">
        <w:rPr>
          <w:lang w:val="fr-FR"/>
        </w:rPr>
        <w:t> </w:t>
      </w:r>
      <w:r w:rsidRPr="00183F91">
        <w:rPr>
          <w:lang w:val="fr-FR"/>
        </w:rPr>
        <w:t xml:space="preserve">ans, 1 million par mois par enfant pour les mères ayant des jumeaux. Si vous avez plus de </w:t>
      </w:r>
      <w:r w:rsidR="00865E61" w:rsidRPr="00183F91">
        <w:rPr>
          <w:lang w:val="fr-FR"/>
        </w:rPr>
        <w:t xml:space="preserve">trois </w:t>
      </w:r>
      <w:r w:rsidRPr="00183F91">
        <w:rPr>
          <w:lang w:val="fr-FR"/>
        </w:rPr>
        <w:t>enfants ou encore des jumeaux, vous recevrez une allocation unique de 3</w:t>
      </w:r>
      <w:r w:rsidR="006A5E1F" w:rsidRPr="00183F91">
        <w:rPr>
          <w:lang w:val="fr-FR"/>
        </w:rPr>
        <w:t> </w:t>
      </w:r>
      <w:r w:rsidRPr="00183F91">
        <w:rPr>
          <w:lang w:val="fr-FR"/>
        </w:rPr>
        <w:t xml:space="preserve">millions de </w:t>
      </w:r>
      <w:r w:rsidR="00A66DA3" w:rsidRPr="00183F91">
        <w:rPr>
          <w:lang w:val="fr-FR"/>
        </w:rPr>
        <w:t>togrog</w:t>
      </w:r>
      <w:r w:rsidRPr="00183F91">
        <w:rPr>
          <w:lang w:val="fr-FR"/>
        </w:rPr>
        <w:t>s par enfant, et une mère et un père célibataires ayant trois enfants ou plus âgés de 0 à 18 ans recevront une allocation trimestrielle de 320</w:t>
      </w:r>
      <w:r w:rsidR="006A5E1F" w:rsidRPr="00183F91">
        <w:rPr>
          <w:lang w:val="fr-FR"/>
        </w:rPr>
        <w:t> </w:t>
      </w:r>
      <w:r w:rsidRPr="00183F91">
        <w:rPr>
          <w:lang w:val="fr-FR"/>
        </w:rPr>
        <w:t xml:space="preserve">000 </w:t>
      </w:r>
      <w:r w:rsidR="00A66DA3" w:rsidRPr="00183F91">
        <w:rPr>
          <w:lang w:val="fr-FR"/>
        </w:rPr>
        <w:t>togrog</w:t>
      </w:r>
      <w:r w:rsidRPr="00183F91">
        <w:rPr>
          <w:lang w:val="fr-FR"/>
        </w:rPr>
        <w:t>s, ou l</w:t>
      </w:r>
      <w:r w:rsidR="00442D55" w:rsidRPr="00183F91">
        <w:rPr>
          <w:lang w:val="fr-FR"/>
        </w:rPr>
        <w:t>’</w:t>
      </w:r>
      <w:r w:rsidRPr="00183F91">
        <w:rPr>
          <w:lang w:val="fr-FR"/>
        </w:rPr>
        <w:t xml:space="preserve">équivalent du salaire minimum. Les dépenses du budget annuel consacrées à ces mesures se sont élevées à 96,8 milliards de </w:t>
      </w:r>
      <w:r w:rsidR="00A66DA3" w:rsidRPr="00183F91">
        <w:rPr>
          <w:lang w:val="fr-FR"/>
        </w:rPr>
        <w:t>togrog</w:t>
      </w:r>
      <w:r w:rsidRPr="00183F91">
        <w:rPr>
          <w:lang w:val="fr-FR"/>
        </w:rPr>
        <w:t>s en 2018 et 2019, et à 109,7</w:t>
      </w:r>
      <w:r w:rsidR="00865E61" w:rsidRPr="00183F91">
        <w:rPr>
          <w:lang w:val="fr-FR"/>
        </w:rPr>
        <w:t> </w:t>
      </w:r>
      <w:r w:rsidRPr="00183F91">
        <w:rPr>
          <w:lang w:val="fr-FR"/>
        </w:rPr>
        <w:t xml:space="preserve">milliards en 2020. </w:t>
      </w:r>
    </w:p>
    <w:p w14:paraId="0B834BD1" w14:textId="71215467" w:rsidR="00EB1136" w:rsidRPr="00183F91" w:rsidRDefault="00EB1136" w:rsidP="004D6E79">
      <w:pPr>
        <w:pStyle w:val="SingleTxt"/>
        <w:numPr>
          <w:ilvl w:val="0"/>
          <w:numId w:val="43"/>
        </w:numPr>
        <w:spacing w:line="240" w:lineRule="exact"/>
        <w:ind w:left="1267"/>
        <w:rPr>
          <w:lang w:val="fr-FR"/>
        </w:rPr>
      </w:pPr>
      <w:r w:rsidRPr="00183F91">
        <w:rPr>
          <w:lang w:val="fr-FR"/>
        </w:rPr>
        <w:t>Le programme de prestations accordées aux mères existe depuis 2018. 78</w:t>
      </w:r>
      <w:r w:rsidR="006A5E1F" w:rsidRPr="00183F91">
        <w:rPr>
          <w:lang w:val="fr-FR"/>
        </w:rPr>
        <w:t> </w:t>
      </w:r>
      <w:r w:rsidRPr="00183F91">
        <w:rPr>
          <w:lang w:val="fr-FR"/>
        </w:rPr>
        <w:t>400</w:t>
      </w:r>
      <w:r w:rsidR="00865E61" w:rsidRPr="00183F91">
        <w:rPr>
          <w:lang w:val="fr-FR"/>
        </w:rPr>
        <w:t> </w:t>
      </w:r>
      <w:r w:rsidRPr="00183F91">
        <w:rPr>
          <w:lang w:val="fr-FR"/>
        </w:rPr>
        <w:t xml:space="preserve"> mères ont accouché en Mongolie en 2019, ce qui représente une augmentation de 3</w:t>
      </w:r>
      <w:r w:rsidR="006A5E1F" w:rsidRPr="00183F91">
        <w:rPr>
          <w:lang w:val="fr-FR"/>
        </w:rPr>
        <w:t> </w:t>
      </w:r>
      <w:r w:rsidRPr="00183F91">
        <w:rPr>
          <w:lang w:val="fr-FR"/>
        </w:rPr>
        <w:t>928 (soit 5,3</w:t>
      </w:r>
      <w:r w:rsidR="006A5E1F" w:rsidRPr="00183F91">
        <w:rPr>
          <w:lang w:val="fr-FR"/>
        </w:rPr>
        <w:t> </w:t>
      </w:r>
      <w:r w:rsidRPr="00183F91">
        <w:rPr>
          <w:lang w:val="fr-FR"/>
        </w:rPr>
        <w:t>%) par rapport à l</w:t>
      </w:r>
      <w:r w:rsidR="00442D55" w:rsidRPr="00183F91">
        <w:rPr>
          <w:lang w:val="fr-FR"/>
        </w:rPr>
        <w:t>’</w:t>
      </w:r>
      <w:r w:rsidRPr="00183F91">
        <w:rPr>
          <w:lang w:val="fr-FR"/>
        </w:rPr>
        <w:t>année précédente. D</w:t>
      </w:r>
      <w:r w:rsidR="00442D55" w:rsidRPr="00183F91">
        <w:rPr>
          <w:lang w:val="fr-FR"/>
        </w:rPr>
        <w:t>’</w:t>
      </w:r>
      <w:r w:rsidRPr="00183F91">
        <w:rPr>
          <w:lang w:val="fr-FR"/>
        </w:rPr>
        <w:t>une part, les politiques visant à encourager la croissance démographique et à soutenir la fécondité ont porté leurs fruits. D</w:t>
      </w:r>
      <w:r w:rsidR="00442D55" w:rsidRPr="00183F91">
        <w:rPr>
          <w:lang w:val="fr-FR"/>
        </w:rPr>
        <w:t>’</w:t>
      </w:r>
      <w:r w:rsidRPr="00183F91">
        <w:rPr>
          <w:lang w:val="fr-FR"/>
        </w:rPr>
        <w:t xml:space="preserve">autre part, les programmes mis en </w:t>
      </w:r>
      <w:r w:rsidR="004F6AD7" w:rsidRPr="00183F91">
        <w:rPr>
          <w:lang w:val="fr-FR"/>
        </w:rPr>
        <w:t>œuvre</w:t>
      </w:r>
      <w:r w:rsidRPr="00183F91">
        <w:rPr>
          <w:lang w:val="fr-FR"/>
        </w:rPr>
        <w:t xml:space="preserve"> ont permis d</w:t>
      </w:r>
      <w:r w:rsidR="00442D55" w:rsidRPr="00183F91">
        <w:rPr>
          <w:lang w:val="fr-FR"/>
        </w:rPr>
        <w:t>’</w:t>
      </w:r>
      <w:r w:rsidRPr="00183F91">
        <w:rPr>
          <w:lang w:val="fr-FR"/>
        </w:rPr>
        <w:t>améliorer la santé des mères et des nourrissons et d</w:t>
      </w:r>
      <w:r w:rsidR="00442D55" w:rsidRPr="00183F91">
        <w:rPr>
          <w:lang w:val="fr-FR"/>
        </w:rPr>
        <w:t>’</w:t>
      </w:r>
      <w:r w:rsidRPr="00183F91">
        <w:rPr>
          <w:lang w:val="fr-FR"/>
        </w:rPr>
        <w:t>améliorer les moyens de subsistance des familles avec de jeunes enfants à charge et des parents célibataires ayant une famille nombreuse.</w:t>
      </w:r>
    </w:p>
    <w:p w14:paraId="192A8145" w14:textId="0EADED04" w:rsidR="004D6E79" w:rsidRPr="00183F91" w:rsidRDefault="004D6E79" w:rsidP="004D6E79">
      <w:pPr>
        <w:pStyle w:val="SingleTxt"/>
        <w:spacing w:after="0" w:line="120" w:lineRule="exact"/>
        <w:rPr>
          <w:sz w:val="10"/>
          <w:lang w:val="fr-FR"/>
        </w:rPr>
      </w:pPr>
    </w:p>
    <w:p w14:paraId="416A67BA" w14:textId="2A1A2A08" w:rsidR="004D6E79" w:rsidRPr="00183F91" w:rsidRDefault="004D6E79" w:rsidP="004D6E79">
      <w:pPr>
        <w:pStyle w:val="SingleTxt"/>
        <w:spacing w:after="0" w:line="120" w:lineRule="exact"/>
        <w:rPr>
          <w:sz w:val="10"/>
          <w:lang w:val="fr-FR"/>
        </w:rPr>
      </w:pPr>
    </w:p>
    <w:p w14:paraId="63E84233" w14:textId="7B0878DB" w:rsidR="00EB1136" w:rsidRPr="00183F91" w:rsidRDefault="004D6E7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83F91">
        <w:rPr>
          <w:lang w:val="fr-FR"/>
        </w:rPr>
        <w:lastRenderedPageBreak/>
        <w:tab/>
      </w:r>
      <w:r w:rsidR="00EB1136" w:rsidRPr="00183F91">
        <w:rPr>
          <w:lang w:val="fr-FR"/>
        </w:rPr>
        <w:t>T.</w:t>
      </w:r>
      <w:r w:rsidR="00EB1136" w:rsidRPr="00183F91">
        <w:rPr>
          <w:lang w:val="fr-FR"/>
        </w:rPr>
        <w:tab/>
        <w:t>Réponse au paragraphe 18 de la liste de points</w:t>
      </w:r>
    </w:p>
    <w:p w14:paraId="0F116019" w14:textId="28A06059" w:rsidR="004D6E79" w:rsidRPr="00183F91" w:rsidRDefault="004D6E79" w:rsidP="000821D9">
      <w:pPr>
        <w:pStyle w:val="SingleTxt"/>
        <w:keepNext/>
        <w:spacing w:after="0" w:line="120" w:lineRule="exact"/>
        <w:rPr>
          <w:sz w:val="10"/>
          <w:lang w:val="fr-FR"/>
        </w:rPr>
      </w:pPr>
    </w:p>
    <w:p w14:paraId="2B9CF1D4" w14:textId="3EF60E09" w:rsidR="004D6E79" w:rsidRPr="00183F91" w:rsidRDefault="004D6E79" w:rsidP="000821D9">
      <w:pPr>
        <w:pStyle w:val="SingleTxt"/>
        <w:keepNext/>
        <w:spacing w:after="0" w:line="120" w:lineRule="exact"/>
        <w:rPr>
          <w:sz w:val="10"/>
          <w:lang w:val="fr-FR"/>
        </w:rPr>
      </w:pPr>
    </w:p>
    <w:p w14:paraId="60408614" w14:textId="424F1B87" w:rsidR="00EB1136" w:rsidRPr="00183F91" w:rsidRDefault="00EB11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83F91">
        <w:rPr>
          <w:lang w:val="fr-FR"/>
        </w:rPr>
        <w:tab/>
      </w:r>
      <w:r w:rsidRPr="00183F91">
        <w:rPr>
          <w:lang w:val="fr-FR"/>
        </w:rPr>
        <w:tab/>
        <w:t>Mesures adoptées pour offrir un enseignement, adapté à l</w:t>
      </w:r>
      <w:r w:rsidR="00442D55" w:rsidRPr="00183F91">
        <w:rPr>
          <w:lang w:val="fr-FR"/>
        </w:rPr>
        <w:t>’</w:t>
      </w:r>
      <w:r w:rsidRPr="00183F91">
        <w:rPr>
          <w:lang w:val="fr-FR"/>
        </w:rPr>
        <w:t>âge des élèves, sur</w:t>
      </w:r>
      <w:r w:rsidR="004D6E79" w:rsidRPr="00183F91">
        <w:rPr>
          <w:lang w:val="fr-FR"/>
        </w:rPr>
        <w:t> </w:t>
      </w:r>
      <w:r w:rsidRPr="00183F91">
        <w:rPr>
          <w:lang w:val="fr-FR"/>
        </w:rPr>
        <w:t>la</w:t>
      </w:r>
      <w:r w:rsidR="004D6E79" w:rsidRPr="00183F91">
        <w:rPr>
          <w:lang w:val="fr-FR"/>
        </w:rPr>
        <w:t> </w:t>
      </w:r>
      <w:r w:rsidRPr="00183F91">
        <w:rPr>
          <w:lang w:val="fr-FR"/>
        </w:rPr>
        <w:t>santé sexuelle et procréative et sur les droits dans ce domaine</w:t>
      </w:r>
    </w:p>
    <w:p w14:paraId="07F7D770" w14:textId="4A10943E" w:rsidR="004D6E79" w:rsidRPr="00183F91" w:rsidRDefault="004D6E79" w:rsidP="000821D9">
      <w:pPr>
        <w:pStyle w:val="SingleTxt"/>
        <w:keepNext/>
        <w:spacing w:after="0" w:line="120" w:lineRule="exact"/>
        <w:rPr>
          <w:sz w:val="10"/>
          <w:lang w:val="fr-FR"/>
        </w:rPr>
      </w:pPr>
    </w:p>
    <w:p w14:paraId="26648828" w14:textId="472A8C32" w:rsidR="00EB1136" w:rsidRPr="00183F91" w:rsidRDefault="00EB1136" w:rsidP="004D6E79">
      <w:pPr>
        <w:pStyle w:val="SingleTxt"/>
        <w:numPr>
          <w:ilvl w:val="0"/>
          <w:numId w:val="43"/>
        </w:numPr>
        <w:spacing w:line="240" w:lineRule="exact"/>
        <w:ind w:left="1267"/>
        <w:rPr>
          <w:lang w:val="fr-FR"/>
        </w:rPr>
      </w:pPr>
      <w:r w:rsidRPr="00183F91">
        <w:rPr>
          <w:lang w:val="fr-FR"/>
        </w:rPr>
        <w:t>Le programme scolaire sur la santé a été renforcé, approuvé par l</w:t>
      </w:r>
      <w:r w:rsidR="00442D55" w:rsidRPr="00183F91">
        <w:rPr>
          <w:lang w:val="fr-FR"/>
        </w:rPr>
        <w:t>’</w:t>
      </w:r>
      <w:r w:rsidRPr="00183F91">
        <w:rPr>
          <w:lang w:val="fr-FR"/>
        </w:rPr>
        <w:t>arrêté n</w:t>
      </w:r>
      <w:r w:rsidR="006A5E1F" w:rsidRPr="00183F91">
        <w:rPr>
          <w:vertAlign w:val="superscript"/>
          <w:lang w:val="fr-FR"/>
        </w:rPr>
        <w:t>o</w:t>
      </w:r>
      <w:r w:rsidR="006A5E1F" w:rsidRPr="00183F91">
        <w:rPr>
          <w:lang w:val="fr-FR"/>
        </w:rPr>
        <w:t> </w:t>
      </w:r>
      <w:r w:rsidR="00865E61" w:rsidRPr="000821D9">
        <w:t>A/467</w:t>
      </w:r>
      <w:r w:rsidRPr="00183F91">
        <w:rPr>
          <w:lang w:val="fr-FR"/>
        </w:rPr>
        <w:t xml:space="preserve"> du Ministre de l</w:t>
      </w:r>
      <w:r w:rsidR="00442D55" w:rsidRPr="00183F91">
        <w:rPr>
          <w:lang w:val="fr-FR"/>
        </w:rPr>
        <w:t>’</w:t>
      </w:r>
      <w:r w:rsidRPr="00183F91">
        <w:rPr>
          <w:lang w:val="fr-FR"/>
        </w:rPr>
        <w:t>éducation, de la culture et des sciences en 2018, et son application a commencé dans tous les établissements secondaires. Conformément à l</w:t>
      </w:r>
      <w:r w:rsidR="00442D55" w:rsidRPr="00183F91">
        <w:rPr>
          <w:lang w:val="fr-FR"/>
        </w:rPr>
        <w:t>’</w:t>
      </w:r>
      <w:r w:rsidRPr="00183F91">
        <w:rPr>
          <w:lang w:val="fr-FR"/>
        </w:rPr>
        <w:t>arrêté n</w:t>
      </w:r>
      <w:r w:rsidR="006A5E1F" w:rsidRPr="00183F91">
        <w:rPr>
          <w:vertAlign w:val="superscript"/>
          <w:lang w:val="fr-FR"/>
        </w:rPr>
        <w:t>o</w:t>
      </w:r>
      <w:r w:rsidR="006A5E1F" w:rsidRPr="00183F91">
        <w:rPr>
          <w:lang w:val="fr-FR"/>
        </w:rPr>
        <w:t> </w:t>
      </w:r>
      <w:r w:rsidR="00865E61" w:rsidRPr="000821D9">
        <w:t>A/62</w:t>
      </w:r>
      <w:r w:rsidRPr="00183F91">
        <w:rPr>
          <w:lang w:val="fr-FR"/>
        </w:rPr>
        <w:t xml:space="preserve"> du Ministre de l</w:t>
      </w:r>
      <w:r w:rsidR="00442D55" w:rsidRPr="00183F91">
        <w:rPr>
          <w:lang w:val="fr-FR"/>
        </w:rPr>
        <w:t>’</w:t>
      </w:r>
      <w:r w:rsidRPr="00183F91">
        <w:rPr>
          <w:lang w:val="fr-FR"/>
        </w:rPr>
        <w:t>éducation, de la culture et des sciences en 2019, les manuels de santé sont évalués pour vérifier leur conformité avec le programme scolaire, et les manuels de santé de la quatrième à la douzième année sont mis à jour et utilisés dans les écoles secondaires. En outre, une formation pour les enseignants mettant en œuvre des programmes d</w:t>
      </w:r>
      <w:r w:rsidR="00442D55" w:rsidRPr="00183F91">
        <w:rPr>
          <w:lang w:val="fr-FR"/>
        </w:rPr>
        <w:t>’</w:t>
      </w:r>
      <w:r w:rsidRPr="00183F91">
        <w:rPr>
          <w:lang w:val="fr-FR"/>
        </w:rPr>
        <w:t>éducation à la santé a été organisée en 2019, et 18</w:t>
      </w:r>
      <w:r w:rsidR="006A5E1F" w:rsidRPr="00183F91">
        <w:rPr>
          <w:lang w:val="fr-FR"/>
        </w:rPr>
        <w:t> </w:t>
      </w:r>
      <w:r w:rsidRPr="00183F91">
        <w:rPr>
          <w:lang w:val="fr-FR"/>
        </w:rPr>
        <w:t>000 programmes de formation et recommandations ont été publiés et distribués. Une éducation aux domaines de la reproduction et de la famille est dispensée aux élèves dans le cadre des programmes de santé, de biologie, de sciences sociales et d</w:t>
      </w:r>
      <w:r w:rsidR="00442D55" w:rsidRPr="00183F91">
        <w:rPr>
          <w:lang w:val="fr-FR"/>
        </w:rPr>
        <w:t>’</w:t>
      </w:r>
      <w:r w:rsidRPr="00183F91">
        <w:rPr>
          <w:lang w:val="fr-FR"/>
        </w:rPr>
        <w:t>éducation civique dans toutes les écoles secondaires et les lycées.</w:t>
      </w:r>
    </w:p>
    <w:p w14:paraId="79C826AB" w14:textId="346FFA19" w:rsidR="00EB1136" w:rsidRPr="00183F91" w:rsidRDefault="00EB1136" w:rsidP="004D6E79">
      <w:pPr>
        <w:pStyle w:val="SingleTxt"/>
        <w:numPr>
          <w:ilvl w:val="0"/>
          <w:numId w:val="43"/>
        </w:numPr>
        <w:spacing w:line="240" w:lineRule="exact"/>
        <w:ind w:left="1267"/>
        <w:rPr>
          <w:lang w:val="fr-FR"/>
        </w:rPr>
      </w:pPr>
      <w:r w:rsidRPr="00183F91">
        <w:rPr>
          <w:lang w:val="fr-FR"/>
        </w:rPr>
        <w:t>Conformément à l</w:t>
      </w:r>
      <w:r w:rsidR="00442D55" w:rsidRPr="00183F91">
        <w:rPr>
          <w:lang w:val="fr-FR"/>
        </w:rPr>
        <w:t>’</w:t>
      </w:r>
      <w:r w:rsidRPr="00183F91">
        <w:rPr>
          <w:lang w:val="fr-FR"/>
        </w:rPr>
        <w:t>arrêté n</w:t>
      </w:r>
      <w:r w:rsidR="006A5E1F" w:rsidRPr="00183F91">
        <w:rPr>
          <w:vertAlign w:val="superscript"/>
          <w:lang w:val="fr-FR"/>
        </w:rPr>
        <w:t>o</w:t>
      </w:r>
      <w:r w:rsidR="006A5E1F" w:rsidRPr="00183F91">
        <w:rPr>
          <w:lang w:val="fr-FR"/>
        </w:rPr>
        <w:t> </w:t>
      </w:r>
      <w:r w:rsidR="00865E61" w:rsidRPr="000821D9">
        <w:t>A/390</w:t>
      </w:r>
      <w:r w:rsidRPr="00183F91">
        <w:rPr>
          <w:lang w:val="fr-FR"/>
        </w:rPr>
        <w:t xml:space="preserve"> du Ministre de l</w:t>
      </w:r>
      <w:r w:rsidR="00442D55" w:rsidRPr="00183F91">
        <w:rPr>
          <w:lang w:val="fr-FR"/>
        </w:rPr>
        <w:t>’</w:t>
      </w:r>
      <w:r w:rsidRPr="00183F91">
        <w:rPr>
          <w:lang w:val="fr-FR"/>
        </w:rPr>
        <w:t>éducation, de la culture et des sciences en 2019, le programme d</w:t>
      </w:r>
      <w:r w:rsidR="00442D55" w:rsidRPr="00183F91">
        <w:rPr>
          <w:lang w:val="fr-FR"/>
        </w:rPr>
        <w:t>’</w:t>
      </w:r>
      <w:r w:rsidRPr="00183F91">
        <w:rPr>
          <w:lang w:val="fr-FR"/>
        </w:rPr>
        <w:t>éducation civique et d</w:t>
      </w:r>
      <w:r w:rsidR="00442D55" w:rsidRPr="00183F91">
        <w:rPr>
          <w:lang w:val="fr-FR"/>
        </w:rPr>
        <w:t>’</w:t>
      </w:r>
      <w:r w:rsidRPr="00183F91">
        <w:rPr>
          <w:lang w:val="fr-FR"/>
        </w:rPr>
        <w:t>éthique a été approuvé pour les élèves des écoles primaires, des collèges et des lycées. Le programme d</w:t>
      </w:r>
      <w:r w:rsidR="00442D55" w:rsidRPr="00183F91">
        <w:rPr>
          <w:lang w:val="fr-FR"/>
        </w:rPr>
        <w:t>’</w:t>
      </w:r>
      <w:r w:rsidRPr="00183F91">
        <w:rPr>
          <w:lang w:val="fr-FR"/>
        </w:rPr>
        <w:t>éducation civique et d</w:t>
      </w:r>
      <w:r w:rsidR="00442D55" w:rsidRPr="00183F91">
        <w:rPr>
          <w:lang w:val="fr-FR"/>
        </w:rPr>
        <w:t>’</w:t>
      </w:r>
      <w:r w:rsidRPr="00183F91">
        <w:rPr>
          <w:lang w:val="fr-FR"/>
        </w:rPr>
        <w:t>éthique destiné aux élèves du collège et du lycée comprend désormais les thèmes suivants</w:t>
      </w:r>
      <w:r w:rsidR="00442D55" w:rsidRPr="00183F91">
        <w:rPr>
          <w:lang w:val="fr-FR"/>
        </w:rPr>
        <w:t> :</w:t>
      </w:r>
      <w:r w:rsidRPr="00183F91">
        <w:rPr>
          <w:lang w:val="fr-FR"/>
        </w:rPr>
        <w:t xml:space="preserve"> relations familiales</w:t>
      </w:r>
      <w:r w:rsidR="00442D55" w:rsidRPr="00183F91">
        <w:rPr>
          <w:lang w:val="fr-FR"/>
        </w:rPr>
        <w:t> ;</w:t>
      </w:r>
      <w:r w:rsidRPr="00183F91">
        <w:rPr>
          <w:lang w:val="fr-FR"/>
        </w:rPr>
        <w:t xml:space="preserve"> origines ancestrales des Mongols</w:t>
      </w:r>
      <w:r w:rsidR="00442D55" w:rsidRPr="00183F91">
        <w:rPr>
          <w:lang w:val="fr-FR"/>
        </w:rPr>
        <w:t> ;</w:t>
      </w:r>
      <w:r w:rsidRPr="00183F91">
        <w:rPr>
          <w:lang w:val="fr-FR"/>
        </w:rPr>
        <w:t xml:space="preserve"> l</w:t>
      </w:r>
      <w:r w:rsidR="00442D55" w:rsidRPr="00183F91">
        <w:rPr>
          <w:lang w:val="fr-FR"/>
        </w:rPr>
        <w:t>’</w:t>
      </w:r>
      <w:r w:rsidRPr="00183F91">
        <w:rPr>
          <w:lang w:val="fr-FR"/>
        </w:rPr>
        <w:t>importance de reconnaître les descendants de la famille</w:t>
      </w:r>
      <w:r w:rsidR="00442D55" w:rsidRPr="00183F91">
        <w:rPr>
          <w:lang w:val="fr-FR"/>
        </w:rPr>
        <w:t> ;</w:t>
      </w:r>
      <w:r w:rsidRPr="00183F91">
        <w:rPr>
          <w:lang w:val="fr-FR"/>
        </w:rPr>
        <w:t xml:space="preserve"> responsabilités des futurs parents envers la famille</w:t>
      </w:r>
      <w:r w:rsidR="00442D55" w:rsidRPr="00183F91">
        <w:rPr>
          <w:lang w:val="fr-FR"/>
        </w:rPr>
        <w:t> ;</w:t>
      </w:r>
      <w:r w:rsidRPr="00183F91">
        <w:rPr>
          <w:lang w:val="fr-FR"/>
        </w:rPr>
        <w:t xml:space="preserve"> le fait de prendre soin des membres de la famille</w:t>
      </w:r>
      <w:r w:rsidR="00442D55" w:rsidRPr="00183F91">
        <w:rPr>
          <w:lang w:val="fr-FR"/>
        </w:rPr>
        <w:t> ;</w:t>
      </w:r>
      <w:r w:rsidRPr="00183F91">
        <w:rPr>
          <w:lang w:val="fr-FR"/>
        </w:rPr>
        <w:t xml:space="preserve"> la compassion</w:t>
      </w:r>
      <w:r w:rsidR="00442D55" w:rsidRPr="00183F91">
        <w:rPr>
          <w:lang w:val="fr-FR"/>
        </w:rPr>
        <w:t> ;</w:t>
      </w:r>
      <w:r w:rsidRPr="00183F91">
        <w:rPr>
          <w:lang w:val="fr-FR"/>
        </w:rPr>
        <w:t xml:space="preserve"> l</w:t>
      </w:r>
      <w:r w:rsidR="00442D55" w:rsidRPr="00183F91">
        <w:rPr>
          <w:lang w:val="fr-FR"/>
        </w:rPr>
        <w:t>’</w:t>
      </w:r>
      <w:r w:rsidRPr="00183F91">
        <w:rPr>
          <w:lang w:val="fr-FR"/>
        </w:rPr>
        <w:t>importance d</w:t>
      </w:r>
      <w:r w:rsidR="00442D55" w:rsidRPr="00183F91">
        <w:rPr>
          <w:lang w:val="fr-FR"/>
        </w:rPr>
        <w:t>’</w:t>
      </w:r>
      <w:r w:rsidRPr="00183F91">
        <w:rPr>
          <w:lang w:val="fr-FR"/>
        </w:rPr>
        <w:t>aider, de respecter les membres de la famille et leur répondre</w:t>
      </w:r>
      <w:r w:rsidR="00442D55" w:rsidRPr="00183F91">
        <w:rPr>
          <w:lang w:val="fr-FR"/>
        </w:rPr>
        <w:t> ;</w:t>
      </w:r>
      <w:r w:rsidRPr="00183F91">
        <w:rPr>
          <w:lang w:val="fr-FR"/>
        </w:rPr>
        <w:t xml:space="preserve"> la planification familiale. En outre, les écoles et les enseignants ont créé des procédures afin d</w:t>
      </w:r>
      <w:r w:rsidR="00442D55" w:rsidRPr="00183F91">
        <w:rPr>
          <w:lang w:val="fr-FR"/>
        </w:rPr>
        <w:t>’</w:t>
      </w:r>
      <w:r w:rsidRPr="00183F91">
        <w:rPr>
          <w:lang w:val="fr-FR"/>
        </w:rPr>
        <w:t>organiser des formations, de mener des activités de conseils et de partager les pratiques à l</w:t>
      </w:r>
      <w:r w:rsidR="00442D55" w:rsidRPr="00183F91">
        <w:rPr>
          <w:lang w:val="fr-FR"/>
        </w:rPr>
        <w:t>’</w:t>
      </w:r>
      <w:r w:rsidRPr="00183F91">
        <w:rPr>
          <w:lang w:val="fr-FR"/>
        </w:rPr>
        <w:t xml:space="preserve">intention des parents et </w:t>
      </w:r>
      <w:r w:rsidR="00865E61" w:rsidRPr="00183F91">
        <w:rPr>
          <w:lang w:val="fr-FR"/>
        </w:rPr>
        <w:t xml:space="preserve">des </w:t>
      </w:r>
      <w:r w:rsidRPr="00183F91">
        <w:rPr>
          <w:lang w:val="fr-FR"/>
        </w:rPr>
        <w:t xml:space="preserve">tuteurs conformément au programme de formation </w:t>
      </w:r>
      <w:r w:rsidR="00442D55" w:rsidRPr="00183F91">
        <w:rPr>
          <w:lang w:val="fr-FR"/>
        </w:rPr>
        <w:t>« </w:t>
      </w:r>
      <w:r w:rsidRPr="00183F91">
        <w:rPr>
          <w:lang w:val="fr-FR"/>
        </w:rPr>
        <w:t>Éducation civique et éthique</w:t>
      </w:r>
      <w:r w:rsidR="00442D55" w:rsidRPr="00183F91">
        <w:rPr>
          <w:lang w:val="fr-FR"/>
        </w:rPr>
        <w:t> »</w:t>
      </w:r>
      <w:r w:rsidRPr="00183F91">
        <w:rPr>
          <w:lang w:val="fr-FR"/>
        </w:rPr>
        <w:t>.</w:t>
      </w:r>
    </w:p>
    <w:p w14:paraId="5B3F6151" w14:textId="298545BB" w:rsidR="004D6E79" w:rsidRPr="00183F91" w:rsidRDefault="004D6E79" w:rsidP="004D6E79">
      <w:pPr>
        <w:pStyle w:val="SingleTxt"/>
        <w:spacing w:after="0" w:line="120" w:lineRule="exact"/>
        <w:rPr>
          <w:sz w:val="10"/>
          <w:lang w:val="fr-FR"/>
        </w:rPr>
      </w:pPr>
    </w:p>
    <w:p w14:paraId="0E805A8C" w14:textId="5060240C" w:rsidR="00EB1136" w:rsidRPr="00183F91" w:rsidRDefault="00EB1136" w:rsidP="004D6E7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83F91">
        <w:rPr>
          <w:lang w:val="fr-FR"/>
        </w:rPr>
        <w:tab/>
      </w:r>
      <w:r w:rsidRPr="00183F91">
        <w:rPr>
          <w:lang w:val="fr-FR"/>
        </w:rPr>
        <w:tab/>
        <w:t>Mesures adoptées pour garantir des méthodes contraceptives disponibles, accessibles et d</w:t>
      </w:r>
      <w:r w:rsidR="00442D55" w:rsidRPr="00183F91">
        <w:rPr>
          <w:lang w:val="fr-FR"/>
        </w:rPr>
        <w:t>’</w:t>
      </w:r>
      <w:r w:rsidRPr="00183F91">
        <w:rPr>
          <w:lang w:val="fr-FR"/>
        </w:rPr>
        <w:t>un coût abordable et pour assurer des services de planification de</w:t>
      </w:r>
      <w:r w:rsidR="004D6E79" w:rsidRPr="00183F91">
        <w:rPr>
          <w:lang w:val="fr-FR"/>
        </w:rPr>
        <w:t> </w:t>
      </w:r>
      <w:r w:rsidRPr="00183F91">
        <w:rPr>
          <w:lang w:val="fr-FR"/>
        </w:rPr>
        <w:t>la famille adéquats, afin de prévenir les grossesses précoces</w:t>
      </w:r>
    </w:p>
    <w:p w14:paraId="69F46E19" w14:textId="6130B369" w:rsidR="004D6E79" w:rsidRPr="00183F91" w:rsidRDefault="004D6E79" w:rsidP="004D6E79">
      <w:pPr>
        <w:pStyle w:val="SingleTxt"/>
        <w:spacing w:after="0" w:line="120" w:lineRule="exact"/>
        <w:rPr>
          <w:sz w:val="10"/>
          <w:lang w:val="fr-FR"/>
        </w:rPr>
      </w:pPr>
    </w:p>
    <w:p w14:paraId="6D1E5A0A" w14:textId="08418798" w:rsidR="00EB1136" w:rsidRPr="00183F91" w:rsidRDefault="00EB1136" w:rsidP="004D6E79">
      <w:pPr>
        <w:pStyle w:val="SingleTxt"/>
        <w:numPr>
          <w:ilvl w:val="0"/>
          <w:numId w:val="43"/>
        </w:numPr>
        <w:spacing w:line="240" w:lineRule="exact"/>
        <w:ind w:left="1267"/>
        <w:rPr>
          <w:lang w:val="fr-FR"/>
        </w:rPr>
      </w:pPr>
      <w:r w:rsidRPr="00183F91">
        <w:rPr>
          <w:lang w:val="fr-FR"/>
        </w:rPr>
        <w:t>En 2016, le Ministère de la santé, avec le soutien du FNUAP, a mené une enquête sur la disponibilité des contraceptifs modernes, des médicaments vitaux pour la mère et la santé procréative, d</w:t>
      </w:r>
      <w:r w:rsidR="00442D55" w:rsidRPr="00183F91">
        <w:rPr>
          <w:lang w:val="fr-FR"/>
        </w:rPr>
        <w:t>’</w:t>
      </w:r>
      <w:r w:rsidRPr="00183F91">
        <w:rPr>
          <w:lang w:val="fr-FR"/>
        </w:rPr>
        <w:t>une analyse de la situation concernant la planification familiale et de la qualité de la planification pour chaque foyer. L</w:t>
      </w:r>
      <w:r w:rsidR="00442D55" w:rsidRPr="00183F91">
        <w:rPr>
          <w:lang w:val="fr-FR"/>
        </w:rPr>
        <w:t>’</w:t>
      </w:r>
      <w:r w:rsidRPr="00183F91">
        <w:rPr>
          <w:lang w:val="fr-FR"/>
        </w:rPr>
        <w:t>enquête a démontré une connaissance approfondie des prestataires de services de planification familiale, des consommateurs, des systèmes de soins de santé et des décideurs. Cela permet également de fournir également des informations aux nouveaux professionnels de la santé procréative et de la planification familiale.</w:t>
      </w:r>
    </w:p>
    <w:p w14:paraId="40711FC7" w14:textId="46DA5305" w:rsidR="00EB1136" w:rsidRPr="00183F91" w:rsidRDefault="00EB1136" w:rsidP="004D6E79">
      <w:pPr>
        <w:pStyle w:val="SingleTxt"/>
        <w:numPr>
          <w:ilvl w:val="0"/>
          <w:numId w:val="43"/>
        </w:numPr>
        <w:spacing w:line="240" w:lineRule="exact"/>
        <w:ind w:left="1267"/>
        <w:rPr>
          <w:lang w:val="fr-FR"/>
        </w:rPr>
      </w:pPr>
      <w:r w:rsidRPr="00183F91">
        <w:rPr>
          <w:lang w:val="fr-FR"/>
        </w:rPr>
        <w:t xml:space="preserve">Des directives relatives à la fourniture de services adaptés aux jeunes ont été publiées et approuvées en 2017 par un arrêté du Ministre de la santé. Ces documents proposent une approche durable des services adaptés aux jeunes et ont été rebaptisés </w:t>
      </w:r>
      <w:r w:rsidR="00442D55" w:rsidRPr="00183F91">
        <w:rPr>
          <w:lang w:val="fr-FR"/>
        </w:rPr>
        <w:t>« </w:t>
      </w:r>
      <w:r w:rsidRPr="00183F91">
        <w:rPr>
          <w:lang w:val="fr-FR"/>
        </w:rPr>
        <w:t>Cabinet des jeunes</w:t>
      </w:r>
      <w:r w:rsidR="00442D55" w:rsidRPr="00183F91">
        <w:rPr>
          <w:lang w:val="fr-FR"/>
        </w:rPr>
        <w:t> »</w:t>
      </w:r>
      <w:r w:rsidRPr="00183F91">
        <w:rPr>
          <w:lang w:val="fr-FR"/>
        </w:rPr>
        <w:t xml:space="preserve"> au lieu de </w:t>
      </w:r>
      <w:r w:rsidR="00442D55" w:rsidRPr="00183F91">
        <w:rPr>
          <w:lang w:val="fr-FR"/>
        </w:rPr>
        <w:t>« </w:t>
      </w:r>
      <w:r w:rsidRPr="00183F91">
        <w:rPr>
          <w:lang w:val="fr-FR"/>
        </w:rPr>
        <w:t>Soins de santé adaptés aux adolescents</w:t>
      </w:r>
      <w:r w:rsidR="00442D55" w:rsidRPr="00183F91">
        <w:rPr>
          <w:lang w:val="fr-FR"/>
        </w:rPr>
        <w:t> »</w:t>
      </w:r>
      <w:r w:rsidRPr="00183F91">
        <w:rPr>
          <w:lang w:val="fr-FR"/>
        </w:rPr>
        <w:t>. Ces cabinets assurent le diagnostic et le traitement des IST chez les adolescents et les jeunes, fournissent des conseils et gèrent les problèmes de santé dans 11 aïmags et 4</w:t>
      </w:r>
      <w:r w:rsidR="00865E61" w:rsidRPr="00183F91">
        <w:rPr>
          <w:lang w:val="fr-FR"/>
        </w:rPr>
        <w:t> </w:t>
      </w:r>
      <w:r w:rsidRPr="00183F91">
        <w:rPr>
          <w:lang w:val="fr-FR"/>
        </w:rPr>
        <w:t>districts cibles d</w:t>
      </w:r>
      <w:r w:rsidR="00442D55" w:rsidRPr="00183F91">
        <w:rPr>
          <w:lang w:val="fr-FR"/>
        </w:rPr>
        <w:t>’</w:t>
      </w:r>
      <w:r w:rsidRPr="00183F91">
        <w:rPr>
          <w:lang w:val="fr-FR"/>
        </w:rPr>
        <w:t>Oulan-Bator. En 2017, un total de 33</w:t>
      </w:r>
      <w:r w:rsidR="006A5E1F" w:rsidRPr="00183F91">
        <w:rPr>
          <w:lang w:val="fr-FR"/>
        </w:rPr>
        <w:t> </w:t>
      </w:r>
      <w:r w:rsidRPr="00183F91">
        <w:rPr>
          <w:lang w:val="fr-FR"/>
        </w:rPr>
        <w:t>112 jeunes a bénéficié des services de ces centres.</w:t>
      </w:r>
    </w:p>
    <w:p w14:paraId="4EDCEFBB" w14:textId="21EBB5FE" w:rsidR="00EB1136" w:rsidRPr="00183F91" w:rsidRDefault="00EB1136" w:rsidP="004D6E79">
      <w:pPr>
        <w:pStyle w:val="SingleTxt"/>
        <w:numPr>
          <w:ilvl w:val="0"/>
          <w:numId w:val="43"/>
        </w:numPr>
        <w:spacing w:line="240" w:lineRule="exact"/>
        <w:ind w:left="1267"/>
        <w:rPr>
          <w:lang w:val="fr-FR"/>
        </w:rPr>
      </w:pPr>
      <w:r w:rsidRPr="00183F91">
        <w:rPr>
          <w:lang w:val="fr-FR"/>
        </w:rPr>
        <w:t>Un centre de santé communautaire a été créé au Centre national pour la santé maternelle et infantile. Un manuel de premiers secours pour les enfants a été publié et traduit en mongol. Avec le soutien de l</w:t>
      </w:r>
      <w:r w:rsidR="00442D55" w:rsidRPr="00183F91">
        <w:rPr>
          <w:lang w:val="fr-FR"/>
        </w:rPr>
        <w:t>’</w:t>
      </w:r>
      <w:r w:rsidRPr="00183F91">
        <w:rPr>
          <w:lang w:val="fr-FR"/>
        </w:rPr>
        <w:t>Université nationale des sciences médicales de Mongolie, 85</w:t>
      </w:r>
      <w:r w:rsidR="006A5E1F" w:rsidRPr="00183F91">
        <w:rPr>
          <w:lang w:val="fr-FR"/>
        </w:rPr>
        <w:t> </w:t>
      </w:r>
      <w:r w:rsidRPr="00183F91">
        <w:rPr>
          <w:lang w:val="fr-FR"/>
        </w:rPr>
        <w:t xml:space="preserve">% des travailleurs de la santé de certaines régions sélectionnées ont </w:t>
      </w:r>
      <w:r w:rsidRPr="00183F91">
        <w:rPr>
          <w:lang w:val="fr-FR"/>
        </w:rPr>
        <w:lastRenderedPageBreak/>
        <w:t>été formés. Outre l</w:t>
      </w:r>
      <w:r w:rsidR="00442D55" w:rsidRPr="00183F91">
        <w:rPr>
          <w:lang w:val="fr-FR"/>
        </w:rPr>
        <w:t>’</w:t>
      </w:r>
      <w:r w:rsidRPr="00183F91">
        <w:rPr>
          <w:lang w:val="fr-FR"/>
        </w:rPr>
        <w:t>évaluation des besoins des enfants en matière de soins primaires, l</w:t>
      </w:r>
      <w:r w:rsidR="00442D55" w:rsidRPr="00183F91">
        <w:rPr>
          <w:lang w:val="fr-FR"/>
        </w:rPr>
        <w:t>’</w:t>
      </w:r>
      <w:r w:rsidRPr="00183F91">
        <w:rPr>
          <w:lang w:val="fr-FR"/>
        </w:rPr>
        <w:t>université a également fourni des services de vaccination aux travailleurs sanitaires et aux responsables de la réforme des programmes d</w:t>
      </w:r>
      <w:r w:rsidR="00442D55" w:rsidRPr="00183F91">
        <w:rPr>
          <w:lang w:val="fr-FR"/>
        </w:rPr>
        <w:t>’</w:t>
      </w:r>
      <w:r w:rsidRPr="00183F91">
        <w:rPr>
          <w:lang w:val="fr-FR"/>
        </w:rPr>
        <w:t>études.</w:t>
      </w:r>
    </w:p>
    <w:p w14:paraId="0CE5BBFE" w14:textId="34F580B9" w:rsidR="00EB1136" w:rsidRPr="00183F91" w:rsidRDefault="00EB1136" w:rsidP="004D6E79">
      <w:pPr>
        <w:pStyle w:val="SingleTxt"/>
        <w:numPr>
          <w:ilvl w:val="0"/>
          <w:numId w:val="43"/>
        </w:numPr>
        <w:spacing w:line="240" w:lineRule="exact"/>
        <w:ind w:left="1267"/>
        <w:rPr>
          <w:lang w:val="fr-FR"/>
        </w:rPr>
      </w:pPr>
      <w:r w:rsidRPr="00183F91">
        <w:rPr>
          <w:lang w:val="fr-FR"/>
        </w:rPr>
        <w:t>Le Ministère de l</w:t>
      </w:r>
      <w:r w:rsidR="00442D55" w:rsidRPr="00183F91">
        <w:rPr>
          <w:lang w:val="fr-FR"/>
        </w:rPr>
        <w:t>’</w:t>
      </w:r>
      <w:r w:rsidRPr="00183F91">
        <w:rPr>
          <w:lang w:val="fr-FR"/>
        </w:rPr>
        <w:t>éducation, de la culture et des sciences, en collaboration avec le PNUD, a mis à jour les programmes d</w:t>
      </w:r>
      <w:r w:rsidR="00442D55" w:rsidRPr="00183F91">
        <w:rPr>
          <w:lang w:val="fr-FR"/>
        </w:rPr>
        <w:t>’</w:t>
      </w:r>
      <w:r w:rsidRPr="00183F91">
        <w:rPr>
          <w:lang w:val="fr-FR"/>
        </w:rPr>
        <w:t>études sur la santé mentale, la santé sexuelle et procréative, la prévention de la violence fondée sur le genre et la nutrition. Ces programmes ont eu un rôle de premier plan dans la promotion de la réintroduction de cours d</w:t>
      </w:r>
      <w:r w:rsidR="00442D55" w:rsidRPr="00183F91">
        <w:rPr>
          <w:lang w:val="fr-FR"/>
        </w:rPr>
        <w:t>’</w:t>
      </w:r>
      <w:r w:rsidRPr="00183F91">
        <w:rPr>
          <w:lang w:val="fr-FR"/>
        </w:rPr>
        <w:t>éducation sanitaire indépendants dans le programme du secondaire. Ils ont également servi de base à l</w:t>
      </w:r>
      <w:r w:rsidR="00442D55" w:rsidRPr="00183F91">
        <w:rPr>
          <w:lang w:val="fr-FR"/>
        </w:rPr>
        <w:t>’</w:t>
      </w:r>
      <w:r w:rsidRPr="00183F91">
        <w:rPr>
          <w:lang w:val="fr-FR"/>
        </w:rPr>
        <w:t>élaboration de lignes directrices à l</w:t>
      </w:r>
      <w:r w:rsidR="00442D55" w:rsidRPr="00183F91">
        <w:rPr>
          <w:lang w:val="fr-FR"/>
        </w:rPr>
        <w:t>’</w:t>
      </w:r>
      <w:r w:rsidRPr="00183F91">
        <w:rPr>
          <w:lang w:val="fr-FR"/>
        </w:rPr>
        <w:t>intention des enseignants et à la mise au point de nouveaux programmes d</w:t>
      </w:r>
      <w:r w:rsidR="00442D55" w:rsidRPr="00183F91">
        <w:rPr>
          <w:lang w:val="fr-FR"/>
        </w:rPr>
        <w:t>’</w:t>
      </w:r>
      <w:r w:rsidRPr="00183F91">
        <w:rPr>
          <w:lang w:val="fr-FR"/>
        </w:rPr>
        <w:t>études.</w:t>
      </w:r>
    </w:p>
    <w:p w14:paraId="5062CF22" w14:textId="79B1282F" w:rsidR="004D6E79" w:rsidRPr="00183F91" w:rsidRDefault="004D6E79" w:rsidP="004D6E79">
      <w:pPr>
        <w:pStyle w:val="SingleTxt"/>
        <w:spacing w:after="0" w:line="120" w:lineRule="exact"/>
        <w:rPr>
          <w:sz w:val="10"/>
          <w:lang w:val="fr-FR"/>
        </w:rPr>
      </w:pPr>
    </w:p>
    <w:p w14:paraId="6469B7B1" w14:textId="534CC01E" w:rsidR="00EB1136" w:rsidRPr="00183F91" w:rsidRDefault="00EB1136" w:rsidP="004D6E7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83F91">
        <w:rPr>
          <w:lang w:val="fr-FR"/>
        </w:rPr>
        <w:tab/>
      </w:r>
      <w:r w:rsidRPr="00183F91">
        <w:rPr>
          <w:lang w:val="fr-FR"/>
        </w:rPr>
        <w:tab/>
        <w:t>Progrès accomplis en vue d</w:t>
      </w:r>
      <w:r w:rsidR="00442D55" w:rsidRPr="00183F91">
        <w:rPr>
          <w:lang w:val="fr-FR"/>
        </w:rPr>
        <w:t>’</w:t>
      </w:r>
      <w:r w:rsidRPr="00183F91">
        <w:rPr>
          <w:lang w:val="fr-FR"/>
        </w:rPr>
        <w:t>appliquer le programme national sur la santé maternelle, infantile et procréative pour 2017</w:t>
      </w:r>
      <w:r w:rsidR="006A5E1F" w:rsidRPr="00183F91">
        <w:rPr>
          <w:lang w:val="fr-FR"/>
        </w:rPr>
        <w:t>-</w:t>
      </w:r>
      <w:r w:rsidRPr="00183F91">
        <w:rPr>
          <w:lang w:val="fr-FR"/>
        </w:rPr>
        <w:t>2021 et résultats de son suivi</w:t>
      </w:r>
    </w:p>
    <w:p w14:paraId="1306856A" w14:textId="7C38DD3D" w:rsidR="004D6E79" w:rsidRPr="00183F91" w:rsidRDefault="004D6E79" w:rsidP="004D6E79">
      <w:pPr>
        <w:pStyle w:val="SingleTxt"/>
        <w:spacing w:after="0" w:line="120" w:lineRule="exact"/>
        <w:rPr>
          <w:sz w:val="10"/>
          <w:lang w:val="fr-FR"/>
        </w:rPr>
      </w:pPr>
    </w:p>
    <w:p w14:paraId="46B8F8E3" w14:textId="2F38558F" w:rsidR="00EB1136" w:rsidRPr="00183F91" w:rsidRDefault="00EB1136" w:rsidP="004D6E79">
      <w:pPr>
        <w:pStyle w:val="SingleTxt"/>
        <w:numPr>
          <w:ilvl w:val="0"/>
          <w:numId w:val="43"/>
        </w:numPr>
        <w:spacing w:line="240" w:lineRule="exact"/>
        <w:ind w:left="1267"/>
        <w:rPr>
          <w:lang w:val="fr-FR"/>
        </w:rPr>
      </w:pPr>
      <w:r w:rsidRPr="00183F91">
        <w:rPr>
          <w:lang w:val="fr-FR"/>
        </w:rPr>
        <w:t>En 2017, le Gouvernement mongol a approuvé le programme national sur la santé maternelle, infantile et procréative. Afin de mettre en œuvre le programme national, un plan d</w:t>
      </w:r>
      <w:r w:rsidR="00442D55" w:rsidRPr="00183F91">
        <w:rPr>
          <w:lang w:val="fr-FR"/>
        </w:rPr>
        <w:t>’</w:t>
      </w:r>
      <w:r w:rsidRPr="00183F91">
        <w:rPr>
          <w:lang w:val="fr-FR"/>
        </w:rPr>
        <w:t>action comportant cinq objectifs et 102 mesures est en cours d</w:t>
      </w:r>
      <w:r w:rsidR="00442D55" w:rsidRPr="00183F91">
        <w:rPr>
          <w:lang w:val="fr-FR"/>
        </w:rPr>
        <w:t>’</w:t>
      </w:r>
      <w:r w:rsidRPr="00183F91">
        <w:rPr>
          <w:lang w:val="fr-FR"/>
        </w:rPr>
        <w:t>élaboration et de mise en œuvre.</w:t>
      </w:r>
    </w:p>
    <w:p w14:paraId="4130F268" w14:textId="40AFBAA9" w:rsidR="00EB1136" w:rsidRPr="00183F91" w:rsidRDefault="00EB1136" w:rsidP="004D6E79">
      <w:pPr>
        <w:pStyle w:val="SingleTxt"/>
        <w:numPr>
          <w:ilvl w:val="0"/>
          <w:numId w:val="43"/>
        </w:numPr>
        <w:spacing w:line="240" w:lineRule="exact"/>
        <w:ind w:left="1267"/>
        <w:rPr>
          <w:lang w:val="fr-FR"/>
        </w:rPr>
      </w:pPr>
      <w:r w:rsidRPr="00183F91">
        <w:rPr>
          <w:lang w:val="fr-FR"/>
        </w:rPr>
        <w:t>Depuis la mise en œuvre du programme, en 2018, le taux de mortalité maternelle pour 100</w:t>
      </w:r>
      <w:r w:rsidR="006A5E1F" w:rsidRPr="00183F91">
        <w:rPr>
          <w:lang w:val="fr-FR"/>
        </w:rPr>
        <w:t> </w:t>
      </w:r>
      <w:r w:rsidRPr="00183F91">
        <w:rPr>
          <w:lang w:val="fr-FR"/>
        </w:rPr>
        <w:t>000 naissances vivantes a diminué (passant de 54,3 en 2009 à 27,1), mais il reste supérieur à l</w:t>
      </w:r>
      <w:r w:rsidR="00442D55" w:rsidRPr="00183F91">
        <w:rPr>
          <w:lang w:val="fr-FR"/>
        </w:rPr>
        <w:t>’</w:t>
      </w:r>
      <w:r w:rsidRPr="00183F91">
        <w:rPr>
          <w:lang w:val="fr-FR"/>
        </w:rPr>
        <w:t>objectif du programme national pour 2020. La même année, 78</w:t>
      </w:r>
      <w:r w:rsidR="006A5E1F" w:rsidRPr="00183F91">
        <w:rPr>
          <w:lang w:val="fr-FR"/>
        </w:rPr>
        <w:t> </w:t>
      </w:r>
      <w:r w:rsidRPr="00183F91">
        <w:rPr>
          <w:lang w:val="fr-FR"/>
        </w:rPr>
        <w:t>199</w:t>
      </w:r>
      <w:r w:rsidR="00A66DA3" w:rsidRPr="00183F91">
        <w:rPr>
          <w:lang w:val="fr-FR"/>
        </w:rPr>
        <w:t> </w:t>
      </w:r>
      <w:r w:rsidRPr="00183F91">
        <w:rPr>
          <w:lang w:val="fr-FR"/>
        </w:rPr>
        <w:t>femmes enceintes ont été suivies pour la première fois, dont 88,1</w:t>
      </w:r>
      <w:r w:rsidR="006A5E1F" w:rsidRPr="00183F91">
        <w:rPr>
          <w:lang w:val="fr-FR"/>
        </w:rPr>
        <w:t> </w:t>
      </w:r>
      <w:r w:rsidRPr="00183F91">
        <w:rPr>
          <w:lang w:val="fr-FR"/>
        </w:rPr>
        <w:t>% en début de grossesse ou au cours des trois premiers mois, 10,8</w:t>
      </w:r>
      <w:r w:rsidR="006A5E1F" w:rsidRPr="00183F91">
        <w:rPr>
          <w:lang w:val="fr-FR"/>
        </w:rPr>
        <w:t> </w:t>
      </w:r>
      <w:r w:rsidRPr="00183F91">
        <w:rPr>
          <w:lang w:val="fr-FR"/>
        </w:rPr>
        <w:t>% dès quatre à six mois et 1,1</w:t>
      </w:r>
      <w:r w:rsidR="006A5E1F" w:rsidRPr="00183F91">
        <w:rPr>
          <w:lang w:val="fr-FR"/>
        </w:rPr>
        <w:t> </w:t>
      </w:r>
      <w:r w:rsidRPr="00183F91">
        <w:rPr>
          <w:lang w:val="fr-FR"/>
        </w:rPr>
        <w:t>% à la fin de la grossesse ou à plus de sept mois. Dans les zones urbaines et rurales, respectivement 88,5</w:t>
      </w:r>
      <w:r w:rsidR="006A5E1F" w:rsidRPr="00183F91">
        <w:rPr>
          <w:lang w:val="fr-FR"/>
        </w:rPr>
        <w:t> </w:t>
      </w:r>
      <w:r w:rsidRPr="00183F91">
        <w:rPr>
          <w:lang w:val="fr-FR"/>
        </w:rPr>
        <w:t>% et 87,7</w:t>
      </w:r>
      <w:r w:rsidR="006A5E1F" w:rsidRPr="00183F91">
        <w:rPr>
          <w:lang w:val="fr-FR"/>
        </w:rPr>
        <w:t> </w:t>
      </w:r>
      <w:r w:rsidRPr="00183F91">
        <w:rPr>
          <w:lang w:val="fr-FR"/>
        </w:rPr>
        <w:t>% des femmes enceintes ont reçu des soins prénatals, soit une augmentation de 1,5</w:t>
      </w:r>
      <w:r w:rsidR="006A5E1F" w:rsidRPr="00183F91">
        <w:rPr>
          <w:lang w:val="fr-FR"/>
        </w:rPr>
        <w:t> </w:t>
      </w:r>
      <w:r w:rsidRPr="00183F91">
        <w:rPr>
          <w:lang w:val="fr-FR"/>
        </w:rPr>
        <w:t>% dans les zones urbaines et de 1,2</w:t>
      </w:r>
      <w:r w:rsidR="006A5E1F" w:rsidRPr="00183F91">
        <w:rPr>
          <w:lang w:val="fr-FR"/>
        </w:rPr>
        <w:t> </w:t>
      </w:r>
      <w:r w:rsidRPr="00183F91">
        <w:rPr>
          <w:lang w:val="fr-FR"/>
        </w:rPr>
        <w:t>% dans les zones rurales par rapport à l</w:t>
      </w:r>
      <w:r w:rsidR="00442D55" w:rsidRPr="00183F91">
        <w:rPr>
          <w:lang w:val="fr-FR"/>
        </w:rPr>
        <w:t>’</w:t>
      </w:r>
      <w:r w:rsidRPr="00183F91">
        <w:rPr>
          <w:lang w:val="fr-FR"/>
        </w:rPr>
        <w:t>année précédente. Sur le nombre total de femmes enceintes suivies pour la première fois, 97,8</w:t>
      </w:r>
      <w:r w:rsidR="006A5E1F" w:rsidRPr="00183F91">
        <w:rPr>
          <w:lang w:val="fr-FR"/>
        </w:rPr>
        <w:t> </w:t>
      </w:r>
      <w:r w:rsidRPr="00183F91">
        <w:rPr>
          <w:lang w:val="fr-FR"/>
        </w:rPr>
        <w:t>% ont subi une analyse de sang générale</w:t>
      </w:r>
      <w:r w:rsidR="00442D55" w:rsidRPr="00183F91">
        <w:rPr>
          <w:lang w:val="fr-FR"/>
        </w:rPr>
        <w:t> ;</w:t>
      </w:r>
      <w:r w:rsidRPr="00183F91">
        <w:rPr>
          <w:lang w:val="fr-FR"/>
        </w:rPr>
        <w:t xml:space="preserve"> parmi elles, 3,4</w:t>
      </w:r>
      <w:r w:rsidR="006A5E1F" w:rsidRPr="00183F91">
        <w:rPr>
          <w:lang w:val="fr-FR"/>
        </w:rPr>
        <w:t> </w:t>
      </w:r>
      <w:r w:rsidRPr="00183F91">
        <w:rPr>
          <w:lang w:val="fr-FR"/>
        </w:rPr>
        <w:t>% étaient anémiques, soit une diminution de 0,1</w:t>
      </w:r>
      <w:r w:rsidR="006A5E1F" w:rsidRPr="00183F91">
        <w:rPr>
          <w:lang w:val="fr-FR"/>
        </w:rPr>
        <w:t> </w:t>
      </w:r>
      <w:r w:rsidRPr="00183F91">
        <w:rPr>
          <w:lang w:val="fr-FR"/>
        </w:rPr>
        <w:t>% par rapport à l</w:t>
      </w:r>
      <w:r w:rsidR="00442D55" w:rsidRPr="00183F91">
        <w:rPr>
          <w:lang w:val="fr-FR"/>
        </w:rPr>
        <w:t>’</w:t>
      </w:r>
      <w:r w:rsidRPr="00183F91">
        <w:rPr>
          <w:lang w:val="fr-FR"/>
        </w:rPr>
        <w:t>année précédente. En outre, 87,5</w:t>
      </w:r>
      <w:r w:rsidR="006A5E1F" w:rsidRPr="00183F91">
        <w:rPr>
          <w:lang w:val="fr-FR"/>
        </w:rPr>
        <w:t> </w:t>
      </w:r>
      <w:r w:rsidRPr="00183F91">
        <w:rPr>
          <w:lang w:val="fr-FR"/>
        </w:rPr>
        <w:t>% des naissances contrôlées faisaient l</w:t>
      </w:r>
      <w:r w:rsidR="00442D55" w:rsidRPr="00183F91">
        <w:rPr>
          <w:lang w:val="fr-FR"/>
        </w:rPr>
        <w:t>’</w:t>
      </w:r>
      <w:r w:rsidRPr="00183F91">
        <w:rPr>
          <w:lang w:val="fr-FR"/>
        </w:rPr>
        <w:t>objet d</w:t>
      </w:r>
      <w:r w:rsidR="00442D55" w:rsidRPr="00183F91">
        <w:rPr>
          <w:lang w:val="fr-FR"/>
        </w:rPr>
        <w:t>’</w:t>
      </w:r>
      <w:r w:rsidRPr="00183F91">
        <w:rPr>
          <w:lang w:val="fr-FR"/>
        </w:rPr>
        <w:t>un suivi actif au 42</w:t>
      </w:r>
      <w:r w:rsidRPr="00183F91">
        <w:rPr>
          <w:vertAlign w:val="superscript"/>
          <w:lang w:val="fr-FR"/>
        </w:rPr>
        <w:t>e</w:t>
      </w:r>
      <w:r w:rsidRPr="00183F91">
        <w:rPr>
          <w:lang w:val="fr-FR"/>
        </w:rPr>
        <w:t xml:space="preserve"> jour après la naissance, soit une baisse de 3,6</w:t>
      </w:r>
      <w:r w:rsidR="006A5E1F" w:rsidRPr="00183F91">
        <w:rPr>
          <w:lang w:val="fr-FR"/>
        </w:rPr>
        <w:t> </w:t>
      </w:r>
      <w:r w:rsidRPr="00183F91">
        <w:rPr>
          <w:lang w:val="fr-FR"/>
        </w:rPr>
        <w:t>% par rapport à l</w:t>
      </w:r>
      <w:r w:rsidR="00442D55" w:rsidRPr="00183F91">
        <w:rPr>
          <w:lang w:val="fr-FR"/>
        </w:rPr>
        <w:t>’</w:t>
      </w:r>
      <w:r w:rsidRPr="00183F91">
        <w:rPr>
          <w:lang w:val="fr-FR"/>
        </w:rPr>
        <w:t>année précédente, un fait important pour ce qui est de réduire les complications post-partum et la mortalité maternelle. Il y a eu 65</w:t>
      </w:r>
      <w:r w:rsidR="006A5E1F" w:rsidRPr="00183F91">
        <w:rPr>
          <w:lang w:val="fr-FR"/>
        </w:rPr>
        <w:t> </w:t>
      </w:r>
      <w:r w:rsidRPr="00183F91">
        <w:rPr>
          <w:lang w:val="fr-FR"/>
        </w:rPr>
        <w:t>064 cas de complications pendant la grossesse, l</w:t>
      </w:r>
      <w:r w:rsidR="00442D55" w:rsidRPr="00183F91">
        <w:rPr>
          <w:lang w:val="fr-FR"/>
        </w:rPr>
        <w:t>’</w:t>
      </w:r>
      <w:r w:rsidRPr="00183F91">
        <w:rPr>
          <w:lang w:val="fr-FR"/>
        </w:rPr>
        <w:t>accouchement et la période suivant la naissance, soit 844 pour 1</w:t>
      </w:r>
      <w:r w:rsidR="006A5E1F" w:rsidRPr="00183F91">
        <w:rPr>
          <w:lang w:val="fr-FR"/>
        </w:rPr>
        <w:t> </w:t>
      </w:r>
      <w:r w:rsidRPr="00183F91">
        <w:rPr>
          <w:lang w:val="fr-FR"/>
        </w:rPr>
        <w:t>000 naissances vivantes.</w:t>
      </w:r>
    </w:p>
    <w:p w14:paraId="0DD066BC" w14:textId="7065C186" w:rsidR="00EB1136" w:rsidRPr="00183F91" w:rsidRDefault="00EB1136" w:rsidP="004D6E79">
      <w:pPr>
        <w:pStyle w:val="SingleTxt"/>
        <w:numPr>
          <w:ilvl w:val="0"/>
          <w:numId w:val="43"/>
        </w:numPr>
        <w:spacing w:line="240" w:lineRule="exact"/>
        <w:ind w:left="1267"/>
        <w:rPr>
          <w:lang w:val="fr-FR"/>
        </w:rPr>
      </w:pPr>
      <w:r w:rsidRPr="00183F91">
        <w:rPr>
          <w:lang w:val="fr-FR"/>
        </w:rPr>
        <w:t>La mortalité maternelle en Mongolie a été divisée par près de 4,6 depuis 1990, passant d</w:t>
      </w:r>
      <w:r w:rsidR="00442D55" w:rsidRPr="00183F91">
        <w:rPr>
          <w:lang w:val="fr-FR"/>
        </w:rPr>
        <w:t>’</w:t>
      </w:r>
      <w:r w:rsidRPr="00183F91">
        <w:rPr>
          <w:lang w:val="fr-FR"/>
        </w:rPr>
        <w:t>un taux de mortalité maternelle élevé à un taux de mortalité maternelle modéré. 21 cas de mortalité maternelle ont été enregistrés en 2018, soit 27,1 pour 100</w:t>
      </w:r>
      <w:r w:rsidR="006A5E1F" w:rsidRPr="00183F91">
        <w:rPr>
          <w:lang w:val="fr-FR"/>
        </w:rPr>
        <w:t> </w:t>
      </w:r>
      <w:r w:rsidRPr="00183F91">
        <w:rPr>
          <w:lang w:val="fr-FR"/>
        </w:rPr>
        <w:t xml:space="preserve">000 naissances vivantes. Par rapport à 2017, la mortalité maternelle a augmenté </w:t>
      </w:r>
      <w:r w:rsidR="00865E61" w:rsidRPr="00183F91">
        <w:rPr>
          <w:lang w:val="fr-FR"/>
        </w:rPr>
        <w:t>d’un</w:t>
      </w:r>
      <w:r w:rsidRPr="00183F91">
        <w:rPr>
          <w:lang w:val="fr-FR"/>
        </w:rPr>
        <w:t xml:space="preserve"> cas, soit 4,7</w:t>
      </w:r>
      <w:r w:rsidR="006A5E1F" w:rsidRPr="00183F91">
        <w:rPr>
          <w:lang w:val="fr-FR"/>
        </w:rPr>
        <w:t> </w:t>
      </w:r>
      <w:r w:rsidRPr="00183F91">
        <w:rPr>
          <w:lang w:val="fr-FR"/>
        </w:rPr>
        <w:t>%, et 0,2 décès pour 100</w:t>
      </w:r>
      <w:r w:rsidR="006A5E1F" w:rsidRPr="00183F91">
        <w:rPr>
          <w:lang w:val="fr-FR"/>
        </w:rPr>
        <w:t> </w:t>
      </w:r>
      <w:r w:rsidRPr="00183F91">
        <w:rPr>
          <w:lang w:val="fr-FR"/>
        </w:rPr>
        <w:t>000 naissances vivantes.</w:t>
      </w:r>
    </w:p>
    <w:p w14:paraId="0F0203CE" w14:textId="14049BAD" w:rsidR="00EB1136" w:rsidRPr="00183F91" w:rsidRDefault="00EB1136" w:rsidP="004D6E79">
      <w:pPr>
        <w:pStyle w:val="SingleTxt"/>
        <w:numPr>
          <w:ilvl w:val="0"/>
          <w:numId w:val="43"/>
        </w:numPr>
        <w:spacing w:line="240" w:lineRule="exact"/>
        <w:ind w:left="1267"/>
        <w:rPr>
          <w:lang w:val="fr-FR"/>
        </w:rPr>
      </w:pPr>
      <w:r w:rsidRPr="00183F91">
        <w:rPr>
          <w:lang w:val="fr-FR"/>
        </w:rPr>
        <w:t>52,3</w:t>
      </w:r>
      <w:r w:rsidR="006A5E1F" w:rsidRPr="00183F91">
        <w:rPr>
          <w:lang w:val="fr-FR"/>
        </w:rPr>
        <w:t> </w:t>
      </w:r>
      <w:r w:rsidRPr="00183F91">
        <w:rPr>
          <w:lang w:val="fr-FR"/>
        </w:rPr>
        <w:t>% des décès maternels sont survenus à la suite de complications de la grossesse, 4,7</w:t>
      </w:r>
      <w:r w:rsidR="006A5E1F" w:rsidRPr="00183F91">
        <w:rPr>
          <w:lang w:val="fr-FR"/>
        </w:rPr>
        <w:t> </w:t>
      </w:r>
      <w:r w:rsidRPr="00183F91">
        <w:rPr>
          <w:lang w:val="fr-FR"/>
        </w:rPr>
        <w:t>% à la suite de complications pendant l</w:t>
      </w:r>
      <w:r w:rsidR="00442D55" w:rsidRPr="00183F91">
        <w:rPr>
          <w:lang w:val="fr-FR"/>
        </w:rPr>
        <w:t>’</w:t>
      </w:r>
      <w:r w:rsidRPr="00183F91">
        <w:rPr>
          <w:lang w:val="fr-FR"/>
        </w:rPr>
        <w:t>accouchement, 38,0</w:t>
      </w:r>
      <w:r w:rsidR="006A5E1F" w:rsidRPr="00183F91">
        <w:rPr>
          <w:lang w:val="fr-FR"/>
        </w:rPr>
        <w:t> </w:t>
      </w:r>
      <w:r w:rsidRPr="00183F91">
        <w:rPr>
          <w:lang w:val="fr-FR"/>
        </w:rPr>
        <w:t>% à la suite de complications après l</w:t>
      </w:r>
      <w:r w:rsidR="00442D55" w:rsidRPr="00183F91">
        <w:rPr>
          <w:lang w:val="fr-FR"/>
        </w:rPr>
        <w:t>’</w:t>
      </w:r>
      <w:r w:rsidRPr="00183F91">
        <w:rPr>
          <w:lang w:val="fr-FR"/>
        </w:rPr>
        <w:t>accouchement et 5,0</w:t>
      </w:r>
      <w:r w:rsidR="006A5E1F" w:rsidRPr="00183F91">
        <w:rPr>
          <w:lang w:val="fr-FR"/>
        </w:rPr>
        <w:t> </w:t>
      </w:r>
      <w:r w:rsidRPr="00183F91">
        <w:rPr>
          <w:lang w:val="fr-FR"/>
        </w:rPr>
        <w:t>% à la suite de maladies liées à la grossesse ou non. Selon cet indicateur, les complications de la grossesse et les maladies non liées à l</w:t>
      </w:r>
      <w:r w:rsidR="00442D55" w:rsidRPr="00183F91">
        <w:rPr>
          <w:lang w:val="fr-FR"/>
        </w:rPr>
        <w:t>’</w:t>
      </w:r>
      <w:r w:rsidRPr="00183F91">
        <w:rPr>
          <w:lang w:val="fr-FR"/>
        </w:rPr>
        <w:t>accouchement ont diminué de 10,0</w:t>
      </w:r>
      <w:r w:rsidR="006A5E1F" w:rsidRPr="00183F91">
        <w:rPr>
          <w:lang w:val="fr-FR"/>
        </w:rPr>
        <w:t> </w:t>
      </w:r>
      <w:r w:rsidRPr="00183F91">
        <w:rPr>
          <w:lang w:val="fr-FR"/>
        </w:rPr>
        <w:t>%, les complications pendant l</w:t>
      </w:r>
      <w:r w:rsidR="00442D55" w:rsidRPr="00183F91">
        <w:rPr>
          <w:lang w:val="fr-FR"/>
        </w:rPr>
        <w:t>’</w:t>
      </w:r>
      <w:r w:rsidRPr="00183F91">
        <w:rPr>
          <w:lang w:val="fr-FR"/>
        </w:rPr>
        <w:t>accouchement ont diminué de 0,3</w:t>
      </w:r>
      <w:r w:rsidR="006A5E1F" w:rsidRPr="00183F91">
        <w:rPr>
          <w:lang w:val="fr-FR"/>
        </w:rPr>
        <w:t> </w:t>
      </w:r>
      <w:r w:rsidRPr="00183F91">
        <w:rPr>
          <w:lang w:val="fr-FR"/>
        </w:rPr>
        <w:t>%, les complications pendant la grossesse ont augmenté de 7,3</w:t>
      </w:r>
      <w:r w:rsidR="006A5E1F" w:rsidRPr="00183F91">
        <w:rPr>
          <w:lang w:val="fr-FR"/>
        </w:rPr>
        <w:t> </w:t>
      </w:r>
      <w:r w:rsidRPr="00183F91">
        <w:rPr>
          <w:lang w:val="fr-FR"/>
        </w:rPr>
        <w:t>% et les complications post-partum ont augmenté de 3,0</w:t>
      </w:r>
      <w:r w:rsidR="006A5E1F" w:rsidRPr="00183F91">
        <w:rPr>
          <w:lang w:val="fr-FR"/>
        </w:rPr>
        <w:t> </w:t>
      </w:r>
      <w:r w:rsidRPr="00183F91">
        <w:rPr>
          <w:lang w:val="fr-FR"/>
        </w:rPr>
        <w:t>% par rapport à l</w:t>
      </w:r>
      <w:r w:rsidR="00442D55" w:rsidRPr="00183F91">
        <w:rPr>
          <w:lang w:val="fr-FR"/>
        </w:rPr>
        <w:t>’</w:t>
      </w:r>
      <w:r w:rsidRPr="00183F91">
        <w:rPr>
          <w:lang w:val="fr-FR"/>
        </w:rPr>
        <w:t>année précédente.</w:t>
      </w:r>
    </w:p>
    <w:p w14:paraId="5B58B094" w14:textId="6ED22474" w:rsidR="00EB1136" w:rsidRPr="00183F91" w:rsidRDefault="00EB1136" w:rsidP="004D6E79">
      <w:pPr>
        <w:pStyle w:val="SingleTxt"/>
        <w:numPr>
          <w:ilvl w:val="0"/>
          <w:numId w:val="43"/>
        </w:numPr>
        <w:spacing w:line="240" w:lineRule="exact"/>
        <w:ind w:left="1267"/>
        <w:rPr>
          <w:lang w:val="fr-FR"/>
        </w:rPr>
      </w:pPr>
      <w:r w:rsidRPr="00183F91">
        <w:rPr>
          <w:lang w:val="fr-FR"/>
        </w:rPr>
        <w:t>Les maladies respiratoires chez les nouveau-nés et les enfants de moins de cinq ans sont les principales causes de maladies infantiles dans les zones urbaines et rurales. Parmi les maladies respiratoires des nourrissons et des enfants de moins de cinq ans, la pneumonie représentait 27,7</w:t>
      </w:r>
      <w:r w:rsidR="006A5E1F" w:rsidRPr="00183F91">
        <w:rPr>
          <w:lang w:val="fr-FR"/>
        </w:rPr>
        <w:t> </w:t>
      </w:r>
      <w:r w:rsidRPr="00183F91">
        <w:rPr>
          <w:lang w:val="fr-FR"/>
        </w:rPr>
        <w:t xml:space="preserve">%, les affections aiguës des voies </w:t>
      </w:r>
      <w:r w:rsidRPr="00183F91">
        <w:rPr>
          <w:lang w:val="fr-FR"/>
        </w:rPr>
        <w:lastRenderedPageBreak/>
        <w:t>respiratoires 19,6</w:t>
      </w:r>
      <w:r w:rsidR="006A5E1F" w:rsidRPr="00183F91">
        <w:rPr>
          <w:lang w:val="fr-FR"/>
        </w:rPr>
        <w:t> </w:t>
      </w:r>
      <w:r w:rsidRPr="00183F91">
        <w:rPr>
          <w:lang w:val="fr-FR"/>
        </w:rPr>
        <w:t>% et les autres affections aiguës des voies respiratoires supérieures 10,5</w:t>
      </w:r>
      <w:r w:rsidR="006A5E1F" w:rsidRPr="00183F91">
        <w:rPr>
          <w:lang w:val="fr-FR"/>
        </w:rPr>
        <w:t> </w:t>
      </w:r>
      <w:r w:rsidRPr="00183F91">
        <w:rPr>
          <w:lang w:val="fr-FR"/>
        </w:rPr>
        <w:t>%. Les diarrhées non transmissibles représentaient la majorité des maladies gastro-intestinales, soit 46,9</w:t>
      </w:r>
      <w:r w:rsidR="006A5E1F" w:rsidRPr="00183F91">
        <w:rPr>
          <w:lang w:val="fr-FR"/>
        </w:rPr>
        <w:t> </w:t>
      </w:r>
      <w:r w:rsidRPr="00183F91">
        <w:rPr>
          <w:lang w:val="fr-FR"/>
        </w:rPr>
        <w:t>%. À partir de 2018, l</w:t>
      </w:r>
      <w:r w:rsidR="00442D55" w:rsidRPr="00183F91">
        <w:rPr>
          <w:lang w:val="fr-FR"/>
        </w:rPr>
        <w:t>’</w:t>
      </w:r>
      <w:r w:rsidRPr="00183F91">
        <w:rPr>
          <w:lang w:val="fr-FR"/>
        </w:rPr>
        <w:t>incidence des maladies chez les enfants et les adolescents devrait augmenter par rapport aux années précédentes. Par exemple, les maladies gastro-intestinales, les blessures, les intoxications et les troubles externes, les maladies de la peau et des tissus sous-cutanés ont augmenté dans chacune des tranches d</w:t>
      </w:r>
      <w:r w:rsidR="00442D55" w:rsidRPr="00183F91">
        <w:rPr>
          <w:lang w:val="fr-FR"/>
        </w:rPr>
        <w:t>’</w:t>
      </w:r>
      <w:r w:rsidRPr="00183F91">
        <w:rPr>
          <w:lang w:val="fr-FR"/>
        </w:rPr>
        <w:t>âge (jusqu</w:t>
      </w:r>
      <w:r w:rsidR="00442D55" w:rsidRPr="00183F91">
        <w:rPr>
          <w:lang w:val="fr-FR"/>
        </w:rPr>
        <w:t>’</w:t>
      </w:r>
      <w:r w:rsidRPr="00183F91">
        <w:rPr>
          <w:lang w:val="fr-FR"/>
        </w:rPr>
        <w:t>à 5, 5-9, 10-14 et 15-19 ans). Les diarrhées non transmissibles représentaient 422,7, les caries 305,0 et les maladies dentaires et extra-utérines 171,6 pour 10</w:t>
      </w:r>
      <w:r w:rsidR="006A5E1F" w:rsidRPr="00183F91">
        <w:rPr>
          <w:lang w:val="fr-FR"/>
        </w:rPr>
        <w:t> </w:t>
      </w:r>
      <w:r w:rsidRPr="00183F91">
        <w:rPr>
          <w:lang w:val="fr-FR"/>
        </w:rPr>
        <w:t>000 enfants de moins de cinq ans. La principale cause de morbidité chez les enfants âgés de 5 à 9 ans est la carie dentaire, qui représente 625,1 cas pour 10</w:t>
      </w:r>
      <w:r w:rsidR="006A5E1F" w:rsidRPr="00183F91">
        <w:rPr>
          <w:lang w:val="fr-FR"/>
        </w:rPr>
        <w:t> </w:t>
      </w:r>
      <w:r w:rsidRPr="00183F91">
        <w:rPr>
          <w:lang w:val="fr-FR"/>
        </w:rPr>
        <w:t>000 enfants de cette tranche d</w:t>
      </w:r>
      <w:r w:rsidR="00442D55" w:rsidRPr="00183F91">
        <w:rPr>
          <w:lang w:val="fr-FR"/>
        </w:rPr>
        <w:t>’</w:t>
      </w:r>
      <w:r w:rsidRPr="00183F91">
        <w:rPr>
          <w:lang w:val="fr-FR"/>
        </w:rPr>
        <w:t>âge et 622,4 cas des maladies dentaires et autres.</w:t>
      </w:r>
    </w:p>
    <w:p w14:paraId="747B0730" w14:textId="0E0B4D6E" w:rsidR="00EB1136" w:rsidRPr="00183F91" w:rsidRDefault="00EB1136" w:rsidP="004D6E79">
      <w:pPr>
        <w:pStyle w:val="SingleTxt"/>
        <w:numPr>
          <w:ilvl w:val="0"/>
          <w:numId w:val="43"/>
        </w:numPr>
        <w:spacing w:line="240" w:lineRule="exact"/>
        <w:ind w:left="1267"/>
        <w:rPr>
          <w:lang w:val="fr-FR"/>
        </w:rPr>
      </w:pPr>
      <w:r w:rsidRPr="00183F91">
        <w:rPr>
          <w:lang w:val="fr-FR"/>
        </w:rPr>
        <w:t>Au niveau national, la mortalité infantile est en baisse. En 2018, 1</w:t>
      </w:r>
      <w:r w:rsidR="006A5E1F" w:rsidRPr="00183F91">
        <w:rPr>
          <w:lang w:val="fr-FR"/>
        </w:rPr>
        <w:t> </w:t>
      </w:r>
      <w:r w:rsidRPr="00183F91">
        <w:rPr>
          <w:lang w:val="fr-FR"/>
        </w:rPr>
        <w:t>037 cas ont été enregistrés, soit 13,4 pour 1</w:t>
      </w:r>
      <w:r w:rsidR="006A5E1F" w:rsidRPr="00183F91">
        <w:rPr>
          <w:lang w:val="fr-FR"/>
        </w:rPr>
        <w:t> </w:t>
      </w:r>
      <w:r w:rsidRPr="00183F91">
        <w:rPr>
          <w:lang w:val="fr-FR"/>
        </w:rPr>
        <w:t>000 naissances vivantes, ce qui représente une diminution de 0,2 par rapport à l</w:t>
      </w:r>
      <w:r w:rsidR="00442D55" w:rsidRPr="00183F91">
        <w:rPr>
          <w:lang w:val="fr-FR"/>
        </w:rPr>
        <w:t>’</w:t>
      </w:r>
      <w:r w:rsidRPr="00183F91">
        <w:rPr>
          <w:lang w:val="fr-FR"/>
        </w:rPr>
        <w:t>année précédente. La mortalité infantile représente 64,8</w:t>
      </w:r>
      <w:r w:rsidR="006A5E1F" w:rsidRPr="00183F91">
        <w:rPr>
          <w:lang w:val="fr-FR"/>
        </w:rPr>
        <w:t> </w:t>
      </w:r>
      <w:r w:rsidRPr="00183F91">
        <w:rPr>
          <w:lang w:val="fr-FR"/>
        </w:rPr>
        <w:t>% du total des décès d</w:t>
      </w:r>
      <w:r w:rsidR="00442D55" w:rsidRPr="00183F91">
        <w:rPr>
          <w:lang w:val="fr-FR"/>
        </w:rPr>
        <w:t>’</w:t>
      </w:r>
      <w:r w:rsidRPr="00183F91">
        <w:rPr>
          <w:lang w:val="fr-FR"/>
        </w:rPr>
        <w:t>enfants, et le taux de mortalité infantile est de 8,7 pour 1</w:t>
      </w:r>
      <w:r w:rsidR="006A5E1F" w:rsidRPr="00183F91">
        <w:rPr>
          <w:lang w:val="fr-FR"/>
        </w:rPr>
        <w:t> </w:t>
      </w:r>
      <w:r w:rsidRPr="00183F91">
        <w:rPr>
          <w:lang w:val="fr-FR"/>
        </w:rPr>
        <w:t>000 naissances vivantes.</w:t>
      </w:r>
    </w:p>
    <w:p w14:paraId="2ECFAC15" w14:textId="3D10E256" w:rsidR="00EB1136" w:rsidRPr="00183F91" w:rsidRDefault="00EB1136" w:rsidP="004D6E79">
      <w:pPr>
        <w:pStyle w:val="SingleTxt"/>
        <w:numPr>
          <w:ilvl w:val="0"/>
          <w:numId w:val="43"/>
        </w:numPr>
        <w:spacing w:line="240" w:lineRule="exact"/>
        <w:ind w:left="1267"/>
        <w:rPr>
          <w:lang w:val="fr-FR"/>
        </w:rPr>
      </w:pPr>
      <w:r w:rsidRPr="00183F91">
        <w:rPr>
          <w:lang w:val="fr-FR"/>
        </w:rPr>
        <w:t>Au total, 672 cas de mortalité néonatale ont été enregistrés, dont 486, soit 72,3</w:t>
      </w:r>
      <w:r w:rsidR="006A5E1F" w:rsidRPr="00183F91">
        <w:rPr>
          <w:lang w:val="fr-FR"/>
        </w:rPr>
        <w:t> </w:t>
      </w:r>
      <w:r w:rsidRPr="00183F91">
        <w:rPr>
          <w:lang w:val="fr-FR"/>
        </w:rPr>
        <w:t>%, les premiers jours (0 à 6 jours de vie) et 186, soit 27,7</w:t>
      </w:r>
      <w:r w:rsidR="006A5E1F" w:rsidRPr="00183F91">
        <w:rPr>
          <w:lang w:val="fr-FR"/>
        </w:rPr>
        <w:t> </w:t>
      </w:r>
      <w:r w:rsidRPr="00183F91">
        <w:rPr>
          <w:lang w:val="fr-FR"/>
        </w:rPr>
        <w:t>%, un peu plus tard (7</w:t>
      </w:r>
      <w:r w:rsidR="006A5E1F" w:rsidRPr="00183F91">
        <w:rPr>
          <w:lang w:val="fr-FR"/>
        </w:rPr>
        <w:t> </w:t>
      </w:r>
      <w:r w:rsidRPr="00183F91">
        <w:rPr>
          <w:lang w:val="fr-FR"/>
        </w:rPr>
        <w:t>à 28 jours). Sur ces décès, 58,0</w:t>
      </w:r>
      <w:r w:rsidR="00442D55" w:rsidRPr="00183F91">
        <w:rPr>
          <w:lang w:val="fr-FR"/>
        </w:rPr>
        <w:t> </w:t>
      </w:r>
      <w:r w:rsidRPr="00183F91">
        <w:rPr>
          <w:lang w:val="fr-FR"/>
        </w:rPr>
        <w:t>% des nourrissons étaient des garçons et 42,0</w:t>
      </w:r>
      <w:r w:rsidR="006A5E1F" w:rsidRPr="00183F91">
        <w:rPr>
          <w:lang w:val="fr-FR"/>
        </w:rPr>
        <w:t> </w:t>
      </w:r>
      <w:r w:rsidRPr="00183F91">
        <w:rPr>
          <w:lang w:val="fr-FR"/>
        </w:rPr>
        <w:t>% étaient des filles. 1</w:t>
      </w:r>
      <w:r w:rsidR="006A5E1F" w:rsidRPr="00183F91">
        <w:rPr>
          <w:lang w:val="fr-FR"/>
        </w:rPr>
        <w:t> </w:t>
      </w:r>
      <w:r w:rsidRPr="00183F91">
        <w:rPr>
          <w:lang w:val="fr-FR"/>
        </w:rPr>
        <w:t>310 enfants de moins de cinq ans sont morts, soit 16,9 pour 1</w:t>
      </w:r>
      <w:r w:rsidR="006A5E1F" w:rsidRPr="00183F91">
        <w:rPr>
          <w:lang w:val="fr-FR"/>
        </w:rPr>
        <w:t> </w:t>
      </w:r>
      <w:r w:rsidRPr="00183F91">
        <w:rPr>
          <w:lang w:val="fr-FR"/>
        </w:rPr>
        <w:t>000</w:t>
      </w:r>
      <w:r w:rsidR="00A66DA3" w:rsidRPr="00183F91">
        <w:rPr>
          <w:lang w:val="fr-FR"/>
        </w:rPr>
        <w:t> </w:t>
      </w:r>
      <w:r w:rsidRPr="00183F91">
        <w:rPr>
          <w:lang w:val="fr-FR"/>
        </w:rPr>
        <w:t>naissances vivantes. Par rapport à l</w:t>
      </w:r>
      <w:r w:rsidR="00442D55" w:rsidRPr="00183F91">
        <w:rPr>
          <w:lang w:val="fr-FR"/>
        </w:rPr>
        <w:t>’</w:t>
      </w:r>
      <w:r w:rsidRPr="00183F91">
        <w:rPr>
          <w:lang w:val="fr-FR"/>
        </w:rPr>
        <w:t>année précédente, le nombre de cas a augmenté de 66, soit 0,2 pour 1</w:t>
      </w:r>
      <w:r w:rsidR="006A5E1F" w:rsidRPr="00183F91">
        <w:rPr>
          <w:lang w:val="fr-FR"/>
        </w:rPr>
        <w:t> </w:t>
      </w:r>
      <w:r w:rsidRPr="00183F91">
        <w:rPr>
          <w:lang w:val="fr-FR"/>
        </w:rPr>
        <w:t>000 naissances vivantes. Le taux de mortalité était respectivement de 19,0 pour 1</w:t>
      </w:r>
      <w:r w:rsidR="006A5E1F" w:rsidRPr="00183F91">
        <w:rPr>
          <w:lang w:val="fr-FR"/>
        </w:rPr>
        <w:t> </w:t>
      </w:r>
      <w:r w:rsidRPr="00183F91">
        <w:rPr>
          <w:lang w:val="fr-FR"/>
        </w:rPr>
        <w:t>000 naissances vivantes et de 14,6 pour 1</w:t>
      </w:r>
      <w:r w:rsidR="006A5E1F" w:rsidRPr="00183F91">
        <w:rPr>
          <w:lang w:val="fr-FR"/>
        </w:rPr>
        <w:t> </w:t>
      </w:r>
      <w:r w:rsidRPr="00183F91">
        <w:rPr>
          <w:lang w:val="fr-FR"/>
        </w:rPr>
        <w:t>000</w:t>
      </w:r>
      <w:r w:rsidR="00A66DA3" w:rsidRPr="00183F91">
        <w:rPr>
          <w:lang w:val="fr-FR"/>
        </w:rPr>
        <w:t> </w:t>
      </w:r>
      <w:r w:rsidRPr="00183F91">
        <w:rPr>
          <w:lang w:val="fr-FR"/>
        </w:rPr>
        <w:t>naissances vivantes.</w:t>
      </w:r>
    </w:p>
    <w:p w14:paraId="70096DFA" w14:textId="4BC7C805" w:rsidR="00EB1136" w:rsidRPr="00183F91" w:rsidRDefault="00EB1136" w:rsidP="004D6E79">
      <w:pPr>
        <w:pStyle w:val="SingleTxt"/>
        <w:numPr>
          <w:ilvl w:val="0"/>
          <w:numId w:val="43"/>
        </w:numPr>
        <w:spacing w:line="240" w:lineRule="exact"/>
        <w:ind w:left="1267"/>
        <w:rPr>
          <w:lang w:val="fr-FR"/>
        </w:rPr>
      </w:pPr>
      <w:r w:rsidRPr="00183F91">
        <w:rPr>
          <w:lang w:val="fr-FR"/>
        </w:rPr>
        <w:t>Le taux d</w:t>
      </w:r>
      <w:r w:rsidR="00442D55" w:rsidRPr="00183F91">
        <w:rPr>
          <w:lang w:val="fr-FR"/>
        </w:rPr>
        <w:t>’</w:t>
      </w:r>
      <w:r w:rsidRPr="00183F91">
        <w:rPr>
          <w:lang w:val="fr-FR"/>
        </w:rPr>
        <w:t>avortement est en baisse. En 2018, 15</w:t>
      </w:r>
      <w:r w:rsidR="006A5E1F" w:rsidRPr="00183F91">
        <w:rPr>
          <w:lang w:val="fr-FR"/>
        </w:rPr>
        <w:t> </w:t>
      </w:r>
      <w:r w:rsidRPr="00183F91">
        <w:rPr>
          <w:lang w:val="fr-FR"/>
        </w:rPr>
        <w:t>822 cas ont été enregistrés, avec 204,0 avortements pour 1</w:t>
      </w:r>
      <w:r w:rsidR="006A5E1F" w:rsidRPr="00183F91">
        <w:rPr>
          <w:lang w:val="fr-FR"/>
        </w:rPr>
        <w:t> </w:t>
      </w:r>
      <w:r w:rsidRPr="00183F91">
        <w:rPr>
          <w:lang w:val="fr-FR"/>
        </w:rPr>
        <w:t>000 naissances vivantes et 18,8 avortements pour 1</w:t>
      </w:r>
      <w:r w:rsidR="006A5E1F" w:rsidRPr="00183F91">
        <w:rPr>
          <w:lang w:val="fr-FR"/>
        </w:rPr>
        <w:t> </w:t>
      </w:r>
      <w:r w:rsidRPr="00183F91">
        <w:rPr>
          <w:lang w:val="fr-FR"/>
        </w:rPr>
        <w:t>000</w:t>
      </w:r>
      <w:r w:rsidR="00A66DA3" w:rsidRPr="00183F91">
        <w:rPr>
          <w:lang w:val="fr-FR"/>
        </w:rPr>
        <w:t> </w:t>
      </w:r>
      <w:r w:rsidRPr="00183F91">
        <w:rPr>
          <w:lang w:val="fr-FR"/>
        </w:rPr>
        <w:t>femmes en âge de procréer. Le nombre d</w:t>
      </w:r>
      <w:r w:rsidR="00442D55" w:rsidRPr="00183F91">
        <w:rPr>
          <w:lang w:val="fr-FR"/>
        </w:rPr>
        <w:t>’</w:t>
      </w:r>
      <w:r w:rsidRPr="00183F91">
        <w:rPr>
          <w:lang w:val="fr-FR"/>
        </w:rPr>
        <w:t>avortements a diminué de 1</w:t>
      </w:r>
      <w:r w:rsidR="006A5E1F" w:rsidRPr="00183F91">
        <w:rPr>
          <w:lang w:val="fr-FR"/>
        </w:rPr>
        <w:t> </w:t>
      </w:r>
      <w:r w:rsidRPr="00183F91">
        <w:rPr>
          <w:lang w:val="fr-FR"/>
        </w:rPr>
        <w:t>708, soit 10,7</w:t>
      </w:r>
      <w:r w:rsidR="006A5E1F" w:rsidRPr="00183F91">
        <w:rPr>
          <w:lang w:val="fr-FR"/>
        </w:rPr>
        <w:t> </w:t>
      </w:r>
      <w:r w:rsidRPr="00183F91">
        <w:rPr>
          <w:lang w:val="fr-FR"/>
        </w:rPr>
        <w:t>%, par rapport à l</w:t>
      </w:r>
      <w:r w:rsidR="00442D55" w:rsidRPr="00183F91">
        <w:rPr>
          <w:lang w:val="fr-FR"/>
        </w:rPr>
        <w:t>’</w:t>
      </w:r>
      <w:r w:rsidRPr="00183F91">
        <w:rPr>
          <w:lang w:val="fr-FR"/>
        </w:rPr>
        <w:t>année précédente, et 31,8 pour 1</w:t>
      </w:r>
      <w:r w:rsidR="006A5E1F" w:rsidRPr="00183F91">
        <w:rPr>
          <w:lang w:val="fr-FR"/>
        </w:rPr>
        <w:t> </w:t>
      </w:r>
      <w:r w:rsidRPr="00183F91">
        <w:rPr>
          <w:lang w:val="fr-FR"/>
        </w:rPr>
        <w:t>000 naissances vivantes. En termes d</w:t>
      </w:r>
      <w:r w:rsidR="00442D55" w:rsidRPr="00183F91">
        <w:rPr>
          <w:lang w:val="fr-FR"/>
        </w:rPr>
        <w:t>’</w:t>
      </w:r>
      <w:r w:rsidRPr="00183F91">
        <w:rPr>
          <w:lang w:val="fr-FR"/>
        </w:rPr>
        <w:t>âge, 5,5</w:t>
      </w:r>
      <w:r w:rsidR="006A5E1F" w:rsidRPr="00183F91">
        <w:rPr>
          <w:lang w:val="fr-FR"/>
        </w:rPr>
        <w:t> </w:t>
      </w:r>
      <w:r w:rsidRPr="00183F91">
        <w:rPr>
          <w:lang w:val="fr-FR"/>
        </w:rPr>
        <w:t>% des femmes ayant subi un avortement avaient moins de 20 ans, 68,3</w:t>
      </w:r>
      <w:r w:rsidR="006A5E1F" w:rsidRPr="00183F91">
        <w:rPr>
          <w:lang w:val="fr-FR"/>
        </w:rPr>
        <w:t> </w:t>
      </w:r>
      <w:r w:rsidRPr="00183F91">
        <w:rPr>
          <w:lang w:val="fr-FR"/>
        </w:rPr>
        <w:t>% avaient entre 20 et 34 ans et 26,2</w:t>
      </w:r>
      <w:r w:rsidR="006A5E1F" w:rsidRPr="00183F91">
        <w:rPr>
          <w:lang w:val="fr-FR"/>
        </w:rPr>
        <w:t> </w:t>
      </w:r>
      <w:r w:rsidRPr="00183F91">
        <w:rPr>
          <w:lang w:val="fr-FR"/>
        </w:rPr>
        <w:t>% avaient plus de 35 ans. Par rapport à l</w:t>
      </w:r>
      <w:r w:rsidR="00442D55" w:rsidRPr="00183F91">
        <w:rPr>
          <w:lang w:val="fr-FR"/>
        </w:rPr>
        <w:t>’</w:t>
      </w:r>
      <w:r w:rsidRPr="00183F91">
        <w:rPr>
          <w:lang w:val="fr-FR"/>
        </w:rPr>
        <w:t>année précédente, le taux d</w:t>
      </w:r>
      <w:r w:rsidR="00442D55" w:rsidRPr="00183F91">
        <w:rPr>
          <w:lang w:val="fr-FR"/>
        </w:rPr>
        <w:t>’</w:t>
      </w:r>
      <w:r w:rsidRPr="00183F91">
        <w:rPr>
          <w:lang w:val="fr-FR"/>
        </w:rPr>
        <w:t>avortement chez les moins de 20 ans a augmenté de 0,3</w:t>
      </w:r>
      <w:r w:rsidR="006A5E1F" w:rsidRPr="00183F91">
        <w:rPr>
          <w:lang w:val="fr-FR"/>
        </w:rPr>
        <w:t> </w:t>
      </w:r>
      <w:r w:rsidRPr="00183F91">
        <w:rPr>
          <w:lang w:val="fr-FR"/>
        </w:rPr>
        <w:t>%. 11,9</w:t>
      </w:r>
      <w:r w:rsidR="006A5E1F" w:rsidRPr="00183F91">
        <w:rPr>
          <w:lang w:val="fr-FR"/>
        </w:rPr>
        <w:t> </w:t>
      </w:r>
      <w:r w:rsidRPr="00183F91">
        <w:rPr>
          <w:lang w:val="fr-FR"/>
        </w:rPr>
        <w:t>% des femmes ayant subi un avortement n</w:t>
      </w:r>
      <w:r w:rsidR="00442D55" w:rsidRPr="00183F91">
        <w:rPr>
          <w:lang w:val="fr-FR"/>
        </w:rPr>
        <w:t>’</w:t>
      </w:r>
      <w:r w:rsidRPr="00183F91">
        <w:rPr>
          <w:lang w:val="fr-FR"/>
        </w:rPr>
        <w:t>avaient pas donné naissance et le nombre de premiers avortements a augmenté de 141, soit 9,3</w:t>
      </w:r>
      <w:r w:rsidR="006A5E1F" w:rsidRPr="00183F91">
        <w:rPr>
          <w:lang w:val="fr-FR"/>
        </w:rPr>
        <w:t> </w:t>
      </w:r>
      <w:r w:rsidRPr="00183F91">
        <w:rPr>
          <w:lang w:val="fr-FR"/>
        </w:rPr>
        <w:t>%, par rapport à l</w:t>
      </w:r>
      <w:r w:rsidR="00442D55" w:rsidRPr="00183F91">
        <w:rPr>
          <w:lang w:val="fr-FR"/>
        </w:rPr>
        <w:t>’</w:t>
      </w:r>
      <w:r w:rsidRPr="00183F91">
        <w:rPr>
          <w:lang w:val="fr-FR"/>
        </w:rPr>
        <w:t>année précédente. Des complications des suites d</w:t>
      </w:r>
      <w:r w:rsidR="00442D55" w:rsidRPr="00183F91">
        <w:rPr>
          <w:lang w:val="fr-FR"/>
        </w:rPr>
        <w:t>’</w:t>
      </w:r>
      <w:r w:rsidRPr="00183F91">
        <w:rPr>
          <w:lang w:val="fr-FR"/>
        </w:rPr>
        <w:t>un avortement ont été signalées dans 14</w:t>
      </w:r>
      <w:r w:rsidR="006A5E1F" w:rsidRPr="00183F91">
        <w:rPr>
          <w:lang w:val="fr-FR"/>
        </w:rPr>
        <w:t> </w:t>
      </w:r>
      <w:r w:rsidRPr="00183F91">
        <w:rPr>
          <w:lang w:val="fr-FR"/>
        </w:rPr>
        <w:t>cas, dont 35,7</w:t>
      </w:r>
      <w:r w:rsidR="006A5E1F" w:rsidRPr="00183F91">
        <w:rPr>
          <w:lang w:val="fr-FR"/>
        </w:rPr>
        <w:t> </w:t>
      </w:r>
      <w:r w:rsidRPr="00183F91">
        <w:rPr>
          <w:lang w:val="fr-FR"/>
        </w:rPr>
        <w:t>% étaient dues à des contractions utérines faibles et une hémorragie, 50,0</w:t>
      </w:r>
      <w:r w:rsidR="006A5E1F" w:rsidRPr="00183F91">
        <w:rPr>
          <w:lang w:val="fr-FR"/>
        </w:rPr>
        <w:t> </w:t>
      </w:r>
      <w:r w:rsidRPr="00183F91">
        <w:rPr>
          <w:lang w:val="fr-FR"/>
        </w:rPr>
        <w:t>% à une péritonite et 14,3</w:t>
      </w:r>
      <w:r w:rsidR="006A5E1F" w:rsidRPr="00183F91">
        <w:rPr>
          <w:lang w:val="fr-FR"/>
        </w:rPr>
        <w:t> </w:t>
      </w:r>
      <w:r w:rsidRPr="00183F91">
        <w:rPr>
          <w:lang w:val="fr-FR"/>
        </w:rPr>
        <w:t>% à une rupture utérine.</w:t>
      </w:r>
    </w:p>
    <w:p w14:paraId="791D7587" w14:textId="7A32B653" w:rsidR="004D6E79" w:rsidRPr="00183F91" w:rsidRDefault="004D6E79" w:rsidP="004D6E79">
      <w:pPr>
        <w:pStyle w:val="SingleTxt"/>
        <w:spacing w:after="0" w:line="120" w:lineRule="exact"/>
        <w:rPr>
          <w:sz w:val="10"/>
          <w:lang w:val="fr-FR"/>
        </w:rPr>
      </w:pPr>
    </w:p>
    <w:p w14:paraId="34CD138C" w14:textId="4BE201E9" w:rsidR="00EB1136" w:rsidRPr="00183F91" w:rsidRDefault="00EB1136" w:rsidP="004D6E7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83F91">
        <w:rPr>
          <w:lang w:val="fr-FR"/>
        </w:rPr>
        <w:tab/>
      </w:r>
      <w:r w:rsidRPr="00183F91">
        <w:rPr>
          <w:lang w:val="fr-FR"/>
        </w:rPr>
        <w:tab/>
        <w:t>Progrès accomplis en vue d</w:t>
      </w:r>
      <w:r w:rsidR="00442D55" w:rsidRPr="00183F91">
        <w:rPr>
          <w:lang w:val="fr-FR"/>
        </w:rPr>
        <w:t>’</w:t>
      </w:r>
      <w:r w:rsidRPr="00183F91">
        <w:rPr>
          <w:lang w:val="fr-FR"/>
        </w:rPr>
        <w:t>appliquer le programme national sur les maladies transmissibles pour 2017-2021 et résultats de son suivi</w:t>
      </w:r>
    </w:p>
    <w:p w14:paraId="739F40AE" w14:textId="3F814ADF" w:rsidR="004D6E79" w:rsidRPr="00183F91" w:rsidRDefault="004D6E79" w:rsidP="004D6E79">
      <w:pPr>
        <w:pStyle w:val="SingleTxt"/>
        <w:spacing w:after="0" w:line="120" w:lineRule="exact"/>
        <w:rPr>
          <w:sz w:val="10"/>
          <w:lang w:val="fr-FR"/>
        </w:rPr>
      </w:pPr>
    </w:p>
    <w:p w14:paraId="3A73A1EC" w14:textId="4A514C4C" w:rsidR="00EB1136" w:rsidRPr="00183F91" w:rsidRDefault="00EB1136" w:rsidP="004D6E79">
      <w:pPr>
        <w:pStyle w:val="SingleTxt"/>
        <w:numPr>
          <w:ilvl w:val="0"/>
          <w:numId w:val="43"/>
        </w:numPr>
        <w:spacing w:line="240" w:lineRule="exact"/>
        <w:ind w:left="1267"/>
        <w:rPr>
          <w:lang w:val="fr-FR"/>
        </w:rPr>
      </w:pPr>
      <w:r w:rsidRPr="00183F91">
        <w:rPr>
          <w:lang w:val="fr-FR"/>
        </w:rPr>
        <w:t>Les maladies infectieuses sont en déclin constant, mais restent un problème. En 2018, 42</w:t>
      </w:r>
      <w:r w:rsidR="006A5E1F" w:rsidRPr="00183F91">
        <w:rPr>
          <w:lang w:val="fr-FR"/>
        </w:rPr>
        <w:t> </w:t>
      </w:r>
      <w:r w:rsidRPr="00183F91">
        <w:rPr>
          <w:lang w:val="fr-FR"/>
        </w:rPr>
        <w:t>074 cas de 27 types de maladies infectieuses ont été enregistrés dans l</w:t>
      </w:r>
      <w:r w:rsidR="00442D55" w:rsidRPr="00183F91">
        <w:rPr>
          <w:lang w:val="fr-FR"/>
        </w:rPr>
        <w:t>’</w:t>
      </w:r>
      <w:r w:rsidRPr="00183F91">
        <w:rPr>
          <w:lang w:val="fr-FR"/>
        </w:rPr>
        <w:t>ensemble du pays, soit une diminution de 2</w:t>
      </w:r>
      <w:r w:rsidR="006A5E1F" w:rsidRPr="00183F91">
        <w:rPr>
          <w:lang w:val="fr-FR"/>
        </w:rPr>
        <w:t> </w:t>
      </w:r>
      <w:r w:rsidRPr="00183F91">
        <w:rPr>
          <w:lang w:val="fr-FR"/>
        </w:rPr>
        <w:t>226 cas par rapport à l</w:t>
      </w:r>
      <w:r w:rsidR="00442D55" w:rsidRPr="00183F91">
        <w:rPr>
          <w:lang w:val="fr-FR"/>
        </w:rPr>
        <w:t>’</w:t>
      </w:r>
      <w:r w:rsidRPr="00183F91">
        <w:rPr>
          <w:lang w:val="fr-FR"/>
        </w:rPr>
        <w:t>année précédente ou 132,4 pour 10</w:t>
      </w:r>
      <w:r w:rsidR="006A5E1F" w:rsidRPr="00183F91">
        <w:rPr>
          <w:lang w:val="fr-FR"/>
        </w:rPr>
        <w:t> </w:t>
      </w:r>
      <w:r w:rsidRPr="00183F91">
        <w:rPr>
          <w:lang w:val="fr-FR"/>
        </w:rPr>
        <w:t>000 habitants, ce qui représente une diminution de 12,5 par rapport à la même période de l</w:t>
      </w:r>
      <w:r w:rsidR="00442D55" w:rsidRPr="00183F91">
        <w:rPr>
          <w:lang w:val="fr-FR"/>
        </w:rPr>
        <w:t>’</w:t>
      </w:r>
      <w:r w:rsidRPr="00183F91">
        <w:rPr>
          <w:lang w:val="fr-FR"/>
        </w:rPr>
        <w:t>année précédente. Par rapport à l</w:t>
      </w:r>
      <w:r w:rsidR="00442D55" w:rsidRPr="00183F91">
        <w:rPr>
          <w:lang w:val="fr-FR"/>
        </w:rPr>
        <w:t>’</w:t>
      </w:r>
      <w:r w:rsidRPr="00183F91">
        <w:rPr>
          <w:lang w:val="fr-FR"/>
        </w:rPr>
        <w:t>année précédente, le nombre de maladies infectieuses enregistrées dans le pays a augmenté de 0,1 à 6,5 pour 10</w:t>
      </w:r>
      <w:r w:rsidR="006A5E1F" w:rsidRPr="00183F91">
        <w:rPr>
          <w:lang w:val="fr-FR"/>
        </w:rPr>
        <w:t> </w:t>
      </w:r>
      <w:r w:rsidRPr="00183F91">
        <w:rPr>
          <w:lang w:val="fr-FR"/>
        </w:rPr>
        <w:t>000</w:t>
      </w:r>
      <w:r w:rsidR="00A66DA3" w:rsidRPr="00183F91">
        <w:rPr>
          <w:lang w:val="fr-FR"/>
        </w:rPr>
        <w:t> </w:t>
      </w:r>
      <w:r w:rsidRPr="00183F91">
        <w:rPr>
          <w:lang w:val="fr-FR"/>
        </w:rPr>
        <w:t>habitants, notamment la dysenterie, les infections gonococciques, les autres infections bactériennes, les infections fongiques, la trichomonase, les gastro-entérites et diarrhées infectieuses, la pneumonie bactérienne néonatale et la fièvre de dengue.</w:t>
      </w:r>
    </w:p>
    <w:p w14:paraId="0117C031" w14:textId="1C80DE42" w:rsidR="00EB1136" w:rsidRPr="00183F91" w:rsidRDefault="00EB1136" w:rsidP="004D6E79">
      <w:pPr>
        <w:pStyle w:val="SingleTxt"/>
        <w:numPr>
          <w:ilvl w:val="0"/>
          <w:numId w:val="43"/>
        </w:numPr>
        <w:spacing w:line="240" w:lineRule="exact"/>
        <w:ind w:left="1267"/>
        <w:rPr>
          <w:lang w:val="fr-FR"/>
        </w:rPr>
      </w:pPr>
      <w:r w:rsidRPr="00183F91">
        <w:rPr>
          <w:lang w:val="fr-FR"/>
        </w:rPr>
        <w:t>La même année, 31,2</w:t>
      </w:r>
      <w:r w:rsidR="006A5E1F" w:rsidRPr="00183F91">
        <w:rPr>
          <w:lang w:val="fr-FR"/>
        </w:rPr>
        <w:t> </w:t>
      </w:r>
      <w:r w:rsidRPr="00183F91">
        <w:rPr>
          <w:lang w:val="fr-FR"/>
        </w:rPr>
        <w:t>% de toutes les maladies infectieuses enregistrées dans le pays étaient des infections respiratoires, 38,3</w:t>
      </w:r>
      <w:r w:rsidR="006A5E1F" w:rsidRPr="00183F91">
        <w:rPr>
          <w:lang w:val="fr-FR"/>
        </w:rPr>
        <w:t> </w:t>
      </w:r>
      <w:r w:rsidRPr="00183F91">
        <w:rPr>
          <w:lang w:val="fr-FR"/>
        </w:rPr>
        <w:t>% des infections sexuellement transmissibles, 24,3</w:t>
      </w:r>
      <w:r w:rsidR="006A5E1F" w:rsidRPr="00183F91">
        <w:rPr>
          <w:lang w:val="fr-FR"/>
        </w:rPr>
        <w:t> </w:t>
      </w:r>
      <w:r w:rsidRPr="00183F91">
        <w:rPr>
          <w:lang w:val="fr-FR"/>
        </w:rPr>
        <w:t>% des infections intestinales, 0,9</w:t>
      </w:r>
      <w:r w:rsidR="006A5E1F" w:rsidRPr="00183F91">
        <w:rPr>
          <w:lang w:val="fr-FR"/>
        </w:rPr>
        <w:t> </w:t>
      </w:r>
      <w:r w:rsidRPr="00183F91">
        <w:rPr>
          <w:lang w:val="fr-FR"/>
        </w:rPr>
        <w:t xml:space="preserve">% des infections sanguines, </w:t>
      </w:r>
      <w:r w:rsidRPr="00183F91">
        <w:rPr>
          <w:lang w:val="fr-FR"/>
        </w:rPr>
        <w:lastRenderedPageBreak/>
        <w:t>0,9</w:t>
      </w:r>
      <w:r w:rsidR="006A5E1F" w:rsidRPr="00183F91">
        <w:rPr>
          <w:lang w:val="fr-FR"/>
        </w:rPr>
        <w:t> </w:t>
      </w:r>
      <w:r w:rsidRPr="00183F91">
        <w:rPr>
          <w:lang w:val="fr-FR"/>
        </w:rPr>
        <w:t>% des infections zoonotiques et 4,4</w:t>
      </w:r>
      <w:r w:rsidR="006A5E1F" w:rsidRPr="00183F91">
        <w:rPr>
          <w:lang w:val="fr-FR"/>
        </w:rPr>
        <w:t> </w:t>
      </w:r>
      <w:r w:rsidRPr="00183F91">
        <w:rPr>
          <w:lang w:val="fr-FR"/>
        </w:rPr>
        <w:t>% d</w:t>
      </w:r>
      <w:r w:rsidR="00442D55" w:rsidRPr="00183F91">
        <w:rPr>
          <w:lang w:val="fr-FR"/>
        </w:rPr>
        <w:t>’</w:t>
      </w:r>
      <w:r w:rsidRPr="00183F91">
        <w:rPr>
          <w:lang w:val="fr-FR"/>
        </w:rPr>
        <w:t>autres infections. Au niveau national, la polio a été complètement éradiquée, aucun cas de tétanos n</w:t>
      </w:r>
      <w:r w:rsidR="00442D55" w:rsidRPr="00183F91">
        <w:rPr>
          <w:lang w:val="fr-FR"/>
        </w:rPr>
        <w:t>’</w:t>
      </w:r>
      <w:r w:rsidRPr="00183F91">
        <w:rPr>
          <w:lang w:val="fr-FR"/>
        </w:rPr>
        <w:t>a été signalé au cours de la dernière décennie et l</w:t>
      </w:r>
      <w:r w:rsidR="00442D55" w:rsidRPr="00183F91">
        <w:rPr>
          <w:lang w:val="fr-FR"/>
        </w:rPr>
        <w:t>’</w:t>
      </w:r>
      <w:r w:rsidRPr="00183F91">
        <w:rPr>
          <w:lang w:val="fr-FR"/>
        </w:rPr>
        <w:t>objectif du Programme régional de l</w:t>
      </w:r>
      <w:r w:rsidR="00442D55" w:rsidRPr="00183F91">
        <w:rPr>
          <w:lang w:val="fr-FR"/>
        </w:rPr>
        <w:t>’</w:t>
      </w:r>
      <w:r w:rsidRPr="00183F91">
        <w:rPr>
          <w:lang w:val="fr-FR"/>
        </w:rPr>
        <w:t>OMS concernant l</w:t>
      </w:r>
      <w:r w:rsidR="00442D55" w:rsidRPr="00183F91">
        <w:rPr>
          <w:lang w:val="fr-FR"/>
        </w:rPr>
        <w:t>’</w:t>
      </w:r>
      <w:r w:rsidRPr="00183F91">
        <w:rPr>
          <w:lang w:val="fr-FR"/>
        </w:rPr>
        <w:t>hépatite</w:t>
      </w:r>
      <w:r w:rsidR="00865E61" w:rsidRPr="00183F91">
        <w:rPr>
          <w:lang w:val="fr-FR"/>
        </w:rPr>
        <w:t> </w:t>
      </w:r>
      <w:r w:rsidRPr="00183F91">
        <w:rPr>
          <w:lang w:val="fr-FR"/>
        </w:rPr>
        <w:t>B a été atteint. En 2017, 117 personnes sont mortes de maladies infectieuses, dont 80 causées par la tuberculose, 13 par une syphilis congénitale et 6</w:t>
      </w:r>
      <w:r w:rsidR="00865E61" w:rsidRPr="00183F91">
        <w:rPr>
          <w:lang w:val="fr-FR"/>
        </w:rPr>
        <w:t> </w:t>
      </w:r>
      <w:r w:rsidRPr="00183F91">
        <w:rPr>
          <w:lang w:val="fr-FR"/>
        </w:rPr>
        <w:t>par une hépatite virale.</w:t>
      </w:r>
    </w:p>
    <w:p w14:paraId="0734C908" w14:textId="0B9BBDC9" w:rsidR="00EB1136" w:rsidRPr="00183F91" w:rsidRDefault="00EB1136" w:rsidP="004D6E79">
      <w:pPr>
        <w:pStyle w:val="SingleTxt"/>
        <w:numPr>
          <w:ilvl w:val="0"/>
          <w:numId w:val="43"/>
        </w:numPr>
        <w:spacing w:line="240" w:lineRule="exact"/>
        <w:ind w:left="1267"/>
        <w:rPr>
          <w:lang w:val="fr-FR"/>
        </w:rPr>
      </w:pPr>
      <w:r w:rsidRPr="00183F91">
        <w:rPr>
          <w:lang w:val="fr-FR"/>
        </w:rPr>
        <w:t>La formation régulière des médecins aux soins liés au VIH/sida et à la prévention de la transmission du VIH de la mère à l</w:t>
      </w:r>
      <w:r w:rsidR="00442D55" w:rsidRPr="00183F91">
        <w:rPr>
          <w:lang w:val="fr-FR"/>
        </w:rPr>
        <w:t>’</w:t>
      </w:r>
      <w:r w:rsidRPr="00183F91">
        <w:rPr>
          <w:lang w:val="fr-FR"/>
        </w:rPr>
        <w:t>enfant a permis de renforcer leurs connaissances, leurs compétences et d</w:t>
      </w:r>
      <w:r w:rsidR="00442D55" w:rsidRPr="00183F91">
        <w:rPr>
          <w:lang w:val="fr-FR"/>
        </w:rPr>
        <w:t>’</w:t>
      </w:r>
      <w:r w:rsidRPr="00183F91">
        <w:rPr>
          <w:lang w:val="fr-FR"/>
        </w:rPr>
        <w:t>améliorer leur attitude et leurs capacités de diagnostic et de traitement. La création de centres de conseil et de dépistage volontaire du VIH à l</w:t>
      </w:r>
      <w:r w:rsidR="00442D55" w:rsidRPr="00183F91">
        <w:rPr>
          <w:lang w:val="fr-FR"/>
        </w:rPr>
        <w:t>’</w:t>
      </w:r>
      <w:r w:rsidRPr="00183F91">
        <w:rPr>
          <w:lang w:val="fr-FR"/>
        </w:rPr>
        <w:t>échelle nationale et la fourniture de services conformes aux directives opérationnelles standard ont permis d</w:t>
      </w:r>
      <w:r w:rsidR="00442D55" w:rsidRPr="00183F91">
        <w:rPr>
          <w:lang w:val="fr-FR"/>
        </w:rPr>
        <w:t>’</w:t>
      </w:r>
      <w:r w:rsidRPr="00183F91">
        <w:rPr>
          <w:lang w:val="fr-FR"/>
        </w:rPr>
        <w:t>améliorer la prévention et la détection précoce du VIH/sida. En outre, la fourniture, pour chaque cas détecté, des soins nécessaires a joué un rôle important dans le contrôle de la propagation de l</w:t>
      </w:r>
      <w:r w:rsidR="00442D55" w:rsidRPr="00183F91">
        <w:rPr>
          <w:lang w:val="fr-FR"/>
        </w:rPr>
        <w:t>’</w:t>
      </w:r>
      <w:r w:rsidRPr="00183F91">
        <w:rPr>
          <w:lang w:val="fr-FR"/>
        </w:rPr>
        <w:t>infection. La participation d</w:t>
      </w:r>
      <w:r w:rsidR="00442D55" w:rsidRPr="00183F91">
        <w:rPr>
          <w:lang w:val="fr-FR"/>
        </w:rPr>
        <w:t>’</w:t>
      </w:r>
      <w:r w:rsidRPr="00183F91">
        <w:rPr>
          <w:lang w:val="fr-FR"/>
        </w:rPr>
        <w:t>autres secteurs aux activités de prévention du VIH/sida a augmenté et les capacités des organisations non gouvernementales ont été renforcées.</w:t>
      </w:r>
    </w:p>
    <w:p w14:paraId="35637A06" w14:textId="444D020F" w:rsidR="004D6E79" w:rsidRPr="00183F91" w:rsidRDefault="004D6E79" w:rsidP="004D6E79">
      <w:pPr>
        <w:pStyle w:val="SingleTxt"/>
        <w:spacing w:after="0" w:line="120" w:lineRule="exact"/>
        <w:rPr>
          <w:sz w:val="10"/>
          <w:lang w:val="fr-FR"/>
        </w:rPr>
      </w:pPr>
    </w:p>
    <w:p w14:paraId="0F10F859" w14:textId="3E33D74B" w:rsidR="00EB1136" w:rsidRPr="00183F91" w:rsidRDefault="00EB1136" w:rsidP="004D6E7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83F91">
        <w:rPr>
          <w:lang w:val="fr-FR"/>
        </w:rPr>
        <w:tab/>
      </w:r>
      <w:r w:rsidRPr="00183F91">
        <w:rPr>
          <w:lang w:val="fr-FR"/>
        </w:rPr>
        <w:tab/>
        <w:t>Mesures mises en œuvre pour garantir aux groupes de femmes et de filles défavorisées l</w:t>
      </w:r>
      <w:r w:rsidR="00442D55" w:rsidRPr="00183F91">
        <w:rPr>
          <w:lang w:val="fr-FR"/>
        </w:rPr>
        <w:t>’</w:t>
      </w:r>
      <w:r w:rsidRPr="00183F91">
        <w:rPr>
          <w:lang w:val="fr-FR"/>
        </w:rPr>
        <w:t>accès à des services de santé sexuelle et procréative et</w:t>
      </w:r>
      <w:r w:rsidR="004D6E79" w:rsidRPr="00183F91">
        <w:rPr>
          <w:lang w:val="fr-FR"/>
        </w:rPr>
        <w:t> </w:t>
      </w:r>
      <w:r w:rsidRPr="00183F91">
        <w:rPr>
          <w:lang w:val="fr-FR"/>
        </w:rPr>
        <w:t>à</w:t>
      </w:r>
      <w:r w:rsidR="004D6E79" w:rsidRPr="00183F91">
        <w:rPr>
          <w:lang w:val="fr-FR"/>
        </w:rPr>
        <w:t> </w:t>
      </w:r>
      <w:r w:rsidRPr="00183F91">
        <w:rPr>
          <w:lang w:val="fr-FR"/>
        </w:rPr>
        <w:t>l</w:t>
      </w:r>
      <w:r w:rsidR="00442D55" w:rsidRPr="00183F91">
        <w:rPr>
          <w:lang w:val="fr-FR"/>
        </w:rPr>
        <w:t>’</w:t>
      </w:r>
      <w:r w:rsidRPr="00183F91">
        <w:rPr>
          <w:lang w:val="fr-FR"/>
        </w:rPr>
        <w:t>information dans ce domaine</w:t>
      </w:r>
    </w:p>
    <w:p w14:paraId="3962C282" w14:textId="1CCCD630" w:rsidR="004D6E79" w:rsidRPr="00183F91" w:rsidRDefault="004D6E79" w:rsidP="004D6E79">
      <w:pPr>
        <w:pStyle w:val="SingleTxt"/>
        <w:spacing w:after="0" w:line="120" w:lineRule="exact"/>
        <w:rPr>
          <w:sz w:val="10"/>
          <w:lang w:val="fr-FR"/>
        </w:rPr>
      </w:pPr>
    </w:p>
    <w:p w14:paraId="19143567" w14:textId="0C97DCEF" w:rsidR="00EB1136" w:rsidRPr="00183F91" w:rsidRDefault="00EB1136" w:rsidP="004D6E79">
      <w:pPr>
        <w:pStyle w:val="SingleTxt"/>
        <w:numPr>
          <w:ilvl w:val="0"/>
          <w:numId w:val="43"/>
        </w:numPr>
        <w:spacing w:line="240" w:lineRule="exact"/>
        <w:ind w:left="1267"/>
        <w:rPr>
          <w:lang w:val="fr-FR"/>
        </w:rPr>
      </w:pPr>
      <w:r w:rsidRPr="00183F91">
        <w:rPr>
          <w:lang w:val="fr-FR"/>
        </w:rPr>
        <w:t>Conformément à la loi sur la santé, les centres de santé de la famille, les centres de santé des soums et des villages, les centres de soins palliatifs, les cliniques, les maternités, les centres de santé publique, les hôpitaux généraux, les sanatoriums, les ambulances et les centres de réhabilitation, les centres spécialisés, les hôpitaux spécialisés et les centres d</w:t>
      </w:r>
      <w:r w:rsidR="00442D55" w:rsidRPr="00183F91">
        <w:rPr>
          <w:lang w:val="fr-FR"/>
        </w:rPr>
        <w:t>’</w:t>
      </w:r>
      <w:r w:rsidRPr="00183F91">
        <w:rPr>
          <w:lang w:val="fr-FR"/>
        </w:rPr>
        <w:t xml:space="preserve">infirmerie fournissent des soins de santé aux personnes handicapées. </w:t>
      </w:r>
    </w:p>
    <w:p w14:paraId="3751820E" w14:textId="7051D547" w:rsidR="00EB1136" w:rsidRPr="00183F91" w:rsidRDefault="00EB1136" w:rsidP="004D6E79">
      <w:pPr>
        <w:pStyle w:val="SingleTxt"/>
        <w:numPr>
          <w:ilvl w:val="0"/>
          <w:numId w:val="43"/>
        </w:numPr>
        <w:spacing w:line="240" w:lineRule="exact"/>
        <w:ind w:left="1267"/>
        <w:rPr>
          <w:lang w:val="fr-FR"/>
        </w:rPr>
      </w:pPr>
      <w:r w:rsidRPr="00183F91">
        <w:rPr>
          <w:lang w:val="fr-FR"/>
        </w:rPr>
        <w:t>Le 18</w:t>
      </w:r>
      <w:r w:rsidRPr="00183F91">
        <w:rPr>
          <w:vertAlign w:val="superscript"/>
          <w:lang w:val="fr-FR"/>
        </w:rPr>
        <w:t>e</w:t>
      </w:r>
      <w:r w:rsidRPr="00183F91">
        <w:rPr>
          <w:lang w:val="fr-FR"/>
        </w:rPr>
        <w:t xml:space="preserve"> rapport de la Commission nationale des droits de l</w:t>
      </w:r>
      <w:r w:rsidR="00442D55" w:rsidRPr="00183F91">
        <w:rPr>
          <w:lang w:val="fr-FR"/>
        </w:rPr>
        <w:t>’</w:t>
      </w:r>
      <w:r w:rsidRPr="00183F91">
        <w:rPr>
          <w:lang w:val="fr-FR"/>
        </w:rPr>
        <w:t>homme sur la situation des droits de l</w:t>
      </w:r>
      <w:r w:rsidR="00442D55" w:rsidRPr="00183F91">
        <w:rPr>
          <w:lang w:val="fr-FR"/>
        </w:rPr>
        <w:t>’</w:t>
      </w:r>
      <w:r w:rsidRPr="00183F91">
        <w:rPr>
          <w:lang w:val="fr-FR"/>
        </w:rPr>
        <w:t>homme et des libertés en Mongolie en 2019 comprend les résultats d</w:t>
      </w:r>
      <w:r w:rsidR="00442D55" w:rsidRPr="00183F91">
        <w:rPr>
          <w:lang w:val="fr-FR"/>
        </w:rPr>
        <w:t>’</w:t>
      </w:r>
      <w:r w:rsidRPr="00183F91">
        <w:rPr>
          <w:lang w:val="fr-FR"/>
        </w:rPr>
        <w:t>une étude visant à évaluer l</w:t>
      </w:r>
      <w:r w:rsidR="00442D55" w:rsidRPr="00183F91">
        <w:rPr>
          <w:lang w:val="fr-FR"/>
        </w:rPr>
        <w:t>’</w:t>
      </w:r>
      <w:r w:rsidRPr="00183F91">
        <w:rPr>
          <w:lang w:val="fr-FR"/>
        </w:rPr>
        <w:t>état de la santé reproductive et la réalisation des droits des femmes handicapées. Selon les résultats de l</w:t>
      </w:r>
      <w:r w:rsidR="00442D55" w:rsidRPr="00183F91">
        <w:rPr>
          <w:lang w:val="fr-FR"/>
        </w:rPr>
        <w:t>’</w:t>
      </w:r>
      <w:r w:rsidRPr="00183F91">
        <w:rPr>
          <w:lang w:val="fr-FR"/>
        </w:rPr>
        <w:t>enquête, la Mongolie dispose d</w:t>
      </w:r>
      <w:r w:rsidR="00442D55" w:rsidRPr="00183F91">
        <w:rPr>
          <w:lang w:val="fr-FR"/>
        </w:rPr>
        <w:t>’</w:t>
      </w:r>
      <w:r w:rsidRPr="00183F91">
        <w:rPr>
          <w:lang w:val="fr-FR"/>
        </w:rPr>
        <w:t>un cadre juridique permettant l</w:t>
      </w:r>
      <w:r w:rsidR="00442D55" w:rsidRPr="00183F91">
        <w:rPr>
          <w:lang w:val="fr-FR"/>
        </w:rPr>
        <w:t>’</w:t>
      </w:r>
      <w:r w:rsidRPr="00183F91">
        <w:rPr>
          <w:lang w:val="fr-FR"/>
        </w:rPr>
        <w:t>égalité d</w:t>
      </w:r>
      <w:r w:rsidR="00442D55" w:rsidRPr="00183F91">
        <w:rPr>
          <w:lang w:val="fr-FR"/>
        </w:rPr>
        <w:t>’</w:t>
      </w:r>
      <w:r w:rsidRPr="00183F91">
        <w:rPr>
          <w:lang w:val="fr-FR"/>
        </w:rPr>
        <w:t>accès à des services sociaux et à des soins de santé qui répondent aux besoins spécifiques des personnes handicapées, conformément aux accords internationaux, aux lois mongoles et aux documents politiques. Toutefois, le mécanisme de mise en œuvre n</w:t>
      </w:r>
      <w:r w:rsidR="00442D55" w:rsidRPr="00183F91">
        <w:rPr>
          <w:lang w:val="fr-FR"/>
        </w:rPr>
        <w:t>’</w:t>
      </w:r>
      <w:r w:rsidRPr="00183F91">
        <w:rPr>
          <w:lang w:val="fr-FR"/>
        </w:rPr>
        <w:t>est pas pleinement opérationnel, les fonctions de l</w:t>
      </w:r>
      <w:r w:rsidR="00442D55" w:rsidRPr="00183F91">
        <w:rPr>
          <w:lang w:val="fr-FR"/>
        </w:rPr>
        <w:t>’</w:t>
      </w:r>
      <w:r w:rsidRPr="00183F91">
        <w:rPr>
          <w:lang w:val="fr-FR"/>
        </w:rPr>
        <w:t>administration publique et des organes exécutifs sont génériques, parfois peu claires, et la qualité de vie des personnes handicapées n</w:t>
      </w:r>
      <w:r w:rsidR="00442D55" w:rsidRPr="00183F91">
        <w:rPr>
          <w:lang w:val="fr-FR"/>
        </w:rPr>
        <w:t>’</w:t>
      </w:r>
      <w:r w:rsidRPr="00183F91">
        <w:rPr>
          <w:lang w:val="fr-FR"/>
        </w:rPr>
        <w:t>a pas été améliorée de manière significative à cause de comportements inadaptés et de connaissances insuffisantes au niveau des responsables de l</w:t>
      </w:r>
      <w:r w:rsidR="00442D55" w:rsidRPr="00183F91">
        <w:rPr>
          <w:lang w:val="fr-FR"/>
        </w:rPr>
        <w:t>’</w:t>
      </w:r>
      <w:r w:rsidRPr="00183F91">
        <w:rPr>
          <w:lang w:val="fr-FR"/>
        </w:rPr>
        <w:t>application des lois. En outre, l</w:t>
      </w:r>
      <w:r w:rsidR="00442D55" w:rsidRPr="00183F91">
        <w:rPr>
          <w:lang w:val="fr-FR"/>
        </w:rPr>
        <w:t>’</w:t>
      </w:r>
      <w:r w:rsidRPr="00183F91">
        <w:rPr>
          <w:lang w:val="fr-FR"/>
        </w:rPr>
        <w:t>application de ces lois ne tient pas compte des besoins et des âges différents des hommes et des femmes, et la question des femmes handicapées est souvent négligée.</w:t>
      </w:r>
    </w:p>
    <w:p w14:paraId="4CF715CF" w14:textId="655BFAE5" w:rsidR="00EB1136" w:rsidRPr="00183F91" w:rsidRDefault="00EB1136" w:rsidP="004D6E79">
      <w:pPr>
        <w:pStyle w:val="SingleTxt"/>
        <w:numPr>
          <w:ilvl w:val="0"/>
          <w:numId w:val="43"/>
        </w:numPr>
        <w:spacing w:line="240" w:lineRule="exact"/>
        <w:ind w:left="1267"/>
        <w:rPr>
          <w:lang w:val="fr-FR"/>
        </w:rPr>
      </w:pPr>
      <w:r w:rsidRPr="00183F91">
        <w:rPr>
          <w:lang w:val="fr-FR"/>
        </w:rPr>
        <w:t xml:space="preserve">La politique de développement démographique du Gouvernement fixe comme objectif de </w:t>
      </w:r>
      <w:r w:rsidR="00442D55" w:rsidRPr="00183F91">
        <w:rPr>
          <w:lang w:val="fr-FR"/>
        </w:rPr>
        <w:t>« </w:t>
      </w:r>
      <w:r w:rsidRPr="00183F91">
        <w:rPr>
          <w:lang w:val="fr-FR"/>
        </w:rPr>
        <w:t>garantir une croissance démographique durable, de créer un environnement favorable pour que les personnes puissent vivre longtemps, en bonne santé et être productives, et d</w:t>
      </w:r>
      <w:r w:rsidR="00442D55" w:rsidRPr="00183F91">
        <w:rPr>
          <w:lang w:val="fr-FR"/>
        </w:rPr>
        <w:t>’</w:t>
      </w:r>
      <w:r w:rsidRPr="00183F91">
        <w:rPr>
          <w:lang w:val="fr-FR"/>
        </w:rPr>
        <w:t>améliorer la qualité de vie des individus et des familles</w:t>
      </w:r>
      <w:r w:rsidR="00442D55" w:rsidRPr="00183F91">
        <w:rPr>
          <w:lang w:val="fr-FR"/>
        </w:rPr>
        <w:t> »</w:t>
      </w:r>
      <w:r w:rsidRPr="00183F91">
        <w:rPr>
          <w:lang w:val="fr-FR"/>
        </w:rPr>
        <w:t>, conformément au concept de développement durable de la Mongolie. L</w:t>
      </w:r>
      <w:r w:rsidR="00442D55" w:rsidRPr="00183F91">
        <w:rPr>
          <w:lang w:val="fr-FR"/>
        </w:rPr>
        <w:t>’</w:t>
      </w:r>
      <w:r w:rsidRPr="00183F91">
        <w:rPr>
          <w:lang w:val="fr-FR"/>
        </w:rPr>
        <w:t>absence de services sociaux, économiques et de services de développement répondant aux besoins spécifiques des femmes handicapées entraîne des violations des droits de celles-ci en matière de sexualité et de procréation. Par exemple, les hôpitaux généraux d</w:t>
      </w:r>
      <w:r w:rsidR="00442D55" w:rsidRPr="00183F91">
        <w:rPr>
          <w:lang w:val="fr-FR"/>
        </w:rPr>
        <w:t>’</w:t>
      </w:r>
      <w:r w:rsidRPr="00183F91">
        <w:rPr>
          <w:lang w:val="fr-FR"/>
        </w:rPr>
        <w:t>aïmag et de district ne disposent pas de lits d</w:t>
      </w:r>
      <w:r w:rsidR="00442D55" w:rsidRPr="00183F91">
        <w:rPr>
          <w:lang w:val="fr-FR"/>
        </w:rPr>
        <w:t>’</w:t>
      </w:r>
      <w:r w:rsidRPr="00183F91">
        <w:rPr>
          <w:lang w:val="fr-FR"/>
        </w:rPr>
        <w:t>examen accessibles pour les femmes souffrant d</w:t>
      </w:r>
      <w:r w:rsidR="00442D55" w:rsidRPr="00183F91">
        <w:rPr>
          <w:lang w:val="fr-FR"/>
        </w:rPr>
        <w:t>’</w:t>
      </w:r>
      <w:r w:rsidRPr="00183F91">
        <w:rPr>
          <w:lang w:val="fr-FR"/>
        </w:rPr>
        <w:t xml:space="preserve">un handicap de la colonne vertébrale, de services </w:t>
      </w:r>
      <w:r w:rsidRPr="00183F91">
        <w:rPr>
          <w:lang w:val="fr-FR"/>
        </w:rPr>
        <w:lastRenderedPageBreak/>
        <w:t>d</w:t>
      </w:r>
      <w:r w:rsidR="00442D55" w:rsidRPr="00183F91">
        <w:rPr>
          <w:lang w:val="fr-FR"/>
        </w:rPr>
        <w:t>’</w:t>
      </w:r>
      <w:r w:rsidRPr="00183F91">
        <w:rPr>
          <w:lang w:val="fr-FR"/>
        </w:rPr>
        <w:t>accueil pour les femmes présentant une déficience visuelle ou auditive, d</w:t>
      </w:r>
      <w:r w:rsidR="00442D55" w:rsidRPr="00183F91">
        <w:rPr>
          <w:lang w:val="fr-FR"/>
        </w:rPr>
        <w:t>’</w:t>
      </w:r>
      <w:r w:rsidRPr="00183F91">
        <w:rPr>
          <w:lang w:val="fr-FR"/>
        </w:rPr>
        <w:t>interprètes et de traducteurs en langue des signes. En outre, les dossiers des prestataires de soins de santé, quel que soit le niveau, ne comportent pas de questions concernant les femmes handicapées, de sorte qu</w:t>
      </w:r>
      <w:r w:rsidR="00442D55" w:rsidRPr="00183F91">
        <w:rPr>
          <w:lang w:val="fr-FR"/>
        </w:rPr>
        <w:t>’</w:t>
      </w:r>
      <w:r w:rsidRPr="00183F91">
        <w:rPr>
          <w:lang w:val="fr-FR"/>
        </w:rPr>
        <w:t>il n</w:t>
      </w:r>
      <w:r w:rsidR="00442D55" w:rsidRPr="00183F91">
        <w:rPr>
          <w:lang w:val="fr-FR"/>
        </w:rPr>
        <w:t>’</w:t>
      </w:r>
      <w:r w:rsidRPr="00183F91">
        <w:rPr>
          <w:lang w:val="fr-FR"/>
        </w:rPr>
        <w:t>existe pas de données nationales sur les types de services que ces femmes reçoivent et sur le nombre de femmes qui en bénéficient chaque année. En raison de l</w:t>
      </w:r>
      <w:r w:rsidR="00442D55" w:rsidRPr="00183F91">
        <w:rPr>
          <w:lang w:val="fr-FR"/>
        </w:rPr>
        <w:t>’</w:t>
      </w:r>
      <w:r w:rsidRPr="00183F91">
        <w:rPr>
          <w:lang w:val="fr-FR"/>
        </w:rPr>
        <w:t>absence de ce type de recherche et de données, il n</w:t>
      </w:r>
      <w:r w:rsidR="00442D55" w:rsidRPr="00183F91">
        <w:rPr>
          <w:lang w:val="fr-FR"/>
        </w:rPr>
        <w:t>’</w:t>
      </w:r>
      <w:r w:rsidRPr="00183F91">
        <w:rPr>
          <w:lang w:val="fr-FR"/>
        </w:rPr>
        <w:t>existe pas de politique ou de planification en la matière, et les services ne sont pas adaptés à leurs besoins spécifiques.</w:t>
      </w:r>
    </w:p>
    <w:p w14:paraId="3E0C89B4" w14:textId="7462CD9E" w:rsidR="00EB1136" w:rsidRPr="00183F91" w:rsidRDefault="00EB1136" w:rsidP="004D6E79">
      <w:pPr>
        <w:pStyle w:val="SingleTxt"/>
        <w:numPr>
          <w:ilvl w:val="0"/>
          <w:numId w:val="43"/>
        </w:numPr>
        <w:spacing w:line="240" w:lineRule="exact"/>
        <w:ind w:left="1267"/>
        <w:rPr>
          <w:lang w:val="fr-FR"/>
        </w:rPr>
      </w:pPr>
      <w:r w:rsidRPr="00183F91">
        <w:rPr>
          <w:lang w:val="fr-FR"/>
        </w:rPr>
        <w:t>Les personnes handicapées veulent vivre de manière indépendante et participer à la vie de la société, mais elles ont peu de chances d</w:t>
      </w:r>
      <w:r w:rsidR="00442D55" w:rsidRPr="00183F91">
        <w:rPr>
          <w:lang w:val="fr-FR"/>
        </w:rPr>
        <w:t>’</w:t>
      </w:r>
      <w:r w:rsidRPr="00183F91">
        <w:rPr>
          <w:lang w:val="fr-FR"/>
        </w:rPr>
        <w:t>étudier, de travailler, de participer à des activités sociales, de se marier, de bénéficier des services des hôpitaux, des écoles et des organisations locales, de se déplacer en voiture et d</w:t>
      </w:r>
      <w:r w:rsidR="00442D55" w:rsidRPr="00183F91">
        <w:rPr>
          <w:lang w:val="fr-FR"/>
        </w:rPr>
        <w:t>’</w:t>
      </w:r>
      <w:r w:rsidRPr="00183F91">
        <w:rPr>
          <w:lang w:val="fr-FR"/>
        </w:rPr>
        <w:t>avoir accès à des informations utiles. Par exemple, en Mongolie, les membres de la famille interfèrent avec les droits des personnes handicapées à se marier, à avoir des partenaires sexuels, à avoir des enfants et à être parents. Comme l</w:t>
      </w:r>
      <w:r w:rsidR="00442D55" w:rsidRPr="00183F91">
        <w:rPr>
          <w:lang w:val="fr-FR"/>
        </w:rPr>
        <w:t>’</w:t>
      </w:r>
      <w:r w:rsidRPr="00183F91">
        <w:rPr>
          <w:lang w:val="fr-FR"/>
        </w:rPr>
        <w:t>État a la responsabilité de garantir les droits en matière de procréation des femmes handicapées, il est important de recenser les problèmes en partant de données et de recherches et de les porter à l</w:t>
      </w:r>
      <w:r w:rsidR="00442D55" w:rsidRPr="00183F91">
        <w:rPr>
          <w:lang w:val="fr-FR"/>
        </w:rPr>
        <w:t>’</w:t>
      </w:r>
      <w:r w:rsidRPr="00183F91">
        <w:rPr>
          <w:lang w:val="fr-FR"/>
        </w:rPr>
        <w:t>attention des responsables politiques, des décideurs et du public.</w:t>
      </w:r>
    </w:p>
    <w:p w14:paraId="386F273B" w14:textId="1B40D66E" w:rsidR="004D6E79" w:rsidRPr="00183F91" w:rsidRDefault="004D6E79" w:rsidP="004D6E79">
      <w:pPr>
        <w:pStyle w:val="SingleTxt"/>
        <w:spacing w:after="0" w:line="120" w:lineRule="exact"/>
        <w:rPr>
          <w:sz w:val="10"/>
          <w:lang w:val="fr-FR"/>
        </w:rPr>
      </w:pPr>
    </w:p>
    <w:p w14:paraId="020BA0A0" w14:textId="3B26EA5D" w:rsidR="00EB1136" w:rsidRPr="00183F91" w:rsidRDefault="00EB1136" w:rsidP="007A76A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83F91">
        <w:rPr>
          <w:lang w:val="fr-FR"/>
        </w:rPr>
        <w:tab/>
      </w:r>
      <w:r w:rsidRPr="00183F91">
        <w:rPr>
          <w:lang w:val="fr-FR"/>
        </w:rPr>
        <w:tab/>
        <w:t>Formation de personnels médicaux aptes à répondre à leurs besoins particuliers</w:t>
      </w:r>
    </w:p>
    <w:p w14:paraId="5EF9C926" w14:textId="2FA6AF11" w:rsidR="004D6E79" w:rsidRPr="00183F91" w:rsidRDefault="004D6E79" w:rsidP="007A76AE">
      <w:pPr>
        <w:pStyle w:val="SingleTxt"/>
        <w:keepNext/>
        <w:spacing w:after="0" w:line="120" w:lineRule="exact"/>
        <w:rPr>
          <w:sz w:val="10"/>
          <w:lang w:val="fr-FR"/>
        </w:rPr>
      </w:pPr>
    </w:p>
    <w:p w14:paraId="131DD2A0" w14:textId="329EE41D" w:rsidR="00EB1136" w:rsidRPr="00183F91" w:rsidRDefault="00EB1136" w:rsidP="004D6E79">
      <w:pPr>
        <w:pStyle w:val="SingleTxt"/>
        <w:numPr>
          <w:ilvl w:val="0"/>
          <w:numId w:val="43"/>
        </w:numPr>
        <w:spacing w:line="240" w:lineRule="exact"/>
        <w:ind w:left="1267"/>
        <w:rPr>
          <w:lang w:val="fr-FR"/>
        </w:rPr>
      </w:pPr>
      <w:r w:rsidRPr="00183F91">
        <w:rPr>
          <w:lang w:val="fr-FR"/>
        </w:rPr>
        <w:t>Il est nécessaire d</w:t>
      </w:r>
      <w:r w:rsidR="00442D55" w:rsidRPr="00183F91">
        <w:rPr>
          <w:lang w:val="fr-FR"/>
        </w:rPr>
        <w:t>’</w:t>
      </w:r>
      <w:r w:rsidRPr="00183F91">
        <w:rPr>
          <w:lang w:val="fr-FR"/>
        </w:rPr>
        <w:t>intensifier la formation des travailleurs de la santé au sujet des différents handicaps et de la manière de servir les personnes handicapées, mais aucune action significative n</w:t>
      </w:r>
      <w:r w:rsidR="00442D55" w:rsidRPr="00183F91">
        <w:rPr>
          <w:lang w:val="fr-FR"/>
        </w:rPr>
        <w:t>’</w:t>
      </w:r>
      <w:r w:rsidRPr="00183F91">
        <w:rPr>
          <w:lang w:val="fr-FR"/>
        </w:rPr>
        <w:t xml:space="preserve">a été entreprise. </w:t>
      </w:r>
    </w:p>
    <w:p w14:paraId="7A25F5F4" w14:textId="09E3DC32" w:rsidR="00EB1136" w:rsidRPr="00183F91" w:rsidRDefault="00EB1136" w:rsidP="004D6E79">
      <w:pPr>
        <w:pStyle w:val="SingleTxt"/>
        <w:numPr>
          <w:ilvl w:val="0"/>
          <w:numId w:val="43"/>
        </w:numPr>
        <w:spacing w:line="240" w:lineRule="exact"/>
        <w:ind w:left="1267"/>
        <w:rPr>
          <w:lang w:val="fr-FR"/>
        </w:rPr>
      </w:pPr>
      <w:r w:rsidRPr="00183F91">
        <w:rPr>
          <w:lang w:val="fr-FR"/>
        </w:rPr>
        <w:t>La Commission nationale des droits de l</w:t>
      </w:r>
      <w:r w:rsidR="00442D55" w:rsidRPr="00183F91">
        <w:rPr>
          <w:lang w:val="fr-FR"/>
        </w:rPr>
        <w:t>’</w:t>
      </w:r>
      <w:r w:rsidRPr="00183F91">
        <w:rPr>
          <w:lang w:val="fr-FR"/>
        </w:rPr>
        <w:t>homme de Mongolie a soumis une proposition au Parlement, qui l</w:t>
      </w:r>
      <w:r w:rsidR="00442D55" w:rsidRPr="00183F91">
        <w:rPr>
          <w:lang w:val="fr-FR"/>
        </w:rPr>
        <w:t>’</w:t>
      </w:r>
      <w:r w:rsidRPr="00183F91">
        <w:rPr>
          <w:lang w:val="fr-FR"/>
        </w:rPr>
        <w:t>étudie actuellement. La proposition concerne les points suivants, liés à la santé sexuelle et procréative des femmes handicapées.</w:t>
      </w:r>
    </w:p>
    <w:p w14:paraId="1D597A78" w14:textId="6BBF09A3" w:rsidR="00EB1136" w:rsidRPr="00183F91" w:rsidRDefault="004D6E79" w:rsidP="004D6E79">
      <w:pPr>
        <w:pStyle w:val="SingleTxt"/>
        <w:tabs>
          <w:tab w:val="right" w:pos="1685"/>
        </w:tabs>
        <w:ind w:left="1742" w:hanging="475"/>
        <w:rPr>
          <w:lang w:val="fr-FR"/>
        </w:rPr>
      </w:pPr>
      <w:r w:rsidRPr="00183F91">
        <w:rPr>
          <w:lang w:val="fr-FR"/>
        </w:rPr>
        <w:tab/>
        <w:t>•</w:t>
      </w:r>
      <w:r w:rsidRPr="00183F91">
        <w:rPr>
          <w:lang w:val="fr-FR"/>
        </w:rPr>
        <w:tab/>
      </w:r>
      <w:r w:rsidR="00EB1136" w:rsidRPr="00183F91">
        <w:rPr>
          <w:lang w:val="fr-FR"/>
        </w:rPr>
        <w:t>Création d</w:t>
      </w:r>
      <w:r w:rsidR="00442D55" w:rsidRPr="00183F91">
        <w:rPr>
          <w:lang w:val="fr-FR"/>
        </w:rPr>
        <w:t>’</w:t>
      </w:r>
      <w:r w:rsidR="00EB1136" w:rsidRPr="00183F91">
        <w:rPr>
          <w:lang w:val="fr-FR"/>
        </w:rPr>
        <w:t>un groupe d</w:t>
      </w:r>
      <w:r w:rsidR="00442D55" w:rsidRPr="00183F91">
        <w:rPr>
          <w:lang w:val="fr-FR"/>
        </w:rPr>
        <w:t>’</w:t>
      </w:r>
      <w:r w:rsidR="00EB1136" w:rsidRPr="00183F91">
        <w:rPr>
          <w:lang w:val="fr-FR"/>
        </w:rPr>
        <w:t>information sur l</w:t>
      </w:r>
      <w:r w:rsidR="00442D55" w:rsidRPr="00183F91">
        <w:rPr>
          <w:lang w:val="fr-FR"/>
        </w:rPr>
        <w:t>’</w:t>
      </w:r>
      <w:r w:rsidR="00EB1136" w:rsidRPr="00183F91">
        <w:rPr>
          <w:lang w:val="fr-FR"/>
        </w:rPr>
        <w:t>aide et les services de santé pour les femmes handicapées au sein de l</w:t>
      </w:r>
      <w:r w:rsidR="00442D55" w:rsidRPr="00183F91">
        <w:rPr>
          <w:lang w:val="fr-FR"/>
        </w:rPr>
        <w:t>’</w:t>
      </w:r>
      <w:r w:rsidR="00EB1136" w:rsidRPr="00183F91">
        <w:rPr>
          <w:lang w:val="fr-FR"/>
        </w:rPr>
        <w:t>organe administratif central chargé de la santé, du renforcement du système de collecte d</w:t>
      </w:r>
      <w:r w:rsidR="00442D55" w:rsidRPr="00183F91">
        <w:rPr>
          <w:lang w:val="fr-FR"/>
        </w:rPr>
        <w:t>’</w:t>
      </w:r>
      <w:r w:rsidR="00EB1136" w:rsidRPr="00183F91">
        <w:rPr>
          <w:lang w:val="fr-FR"/>
        </w:rPr>
        <w:t>informations et de la prise en compte des recherches et des informations dans la prise de décision.</w:t>
      </w:r>
    </w:p>
    <w:p w14:paraId="0CBC0592" w14:textId="633D2B4E" w:rsidR="00EB1136" w:rsidRPr="00183F91" w:rsidRDefault="004D6E79" w:rsidP="004D6E79">
      <w:pPr>
        <w:pStyle w:val="SingleTxt"/>
        <w:tabs>
          <w:tab w:val="right" w:pos="1685"/>
        </w:tabs>
        <w:ind w:left="1742" w:hanging="475"/>
        <w:rPr>
          <w:lang w:val="fr-FR"/>
        </w:rPr>
      </w:pPr>
      <w:r w:rsidRPr="00183F91">
        <w:rPr>
          <w:lang w:val="fr-FR"/>
        </w:rPr>
        <w:tab/>
        <w:t>•</w:t>
      </w:r>
      <w:r w:rsidRPr="00183F91">
        <w:rPr>
          <w:lang w:val="fr-FR"/>
        </w:rPr>
        <w:tab/>
      </w:r>
      <w:r w:rsidR="00EB1136" w:rsidRPr="00183F91">
        <w:rPr>
          <w:lang w:val="fr-FR"/>
        </w:rPr>
        <w:t>Intégration au programme de formation des travailleurs sociaux et de santé de modules sur les droits et les modèles de vie sociale des personnes handicapées et organisation du programme par étapes.</w:t>
      </w:r>
    </w:p>
    <w:p w14:paraId="242E5974" w14:textId="30D1198F" w:rsidR="00EB1136" w:rsidRPr="00183F91" w:rsidRDefault="004D6E79" w:rsidP="004D6E79">
      <w:pPr>
        <w:pStyle w:val="SingleTxt"/>
        <w:tabs>
          <w:tab w:val="right" w:pos="1685"/>
        </w:tabs>
        <w:ind w:left="1742" w:hanging="475"/>
        <w:rPr>
          <w:lang w:val="fr-FR"/>
        </w:rPr>
      </w:pPr>
      <w:r w:rsidRPr="00183F91">
        <w:rPr>
          <w:lang w:val="fr-FR"/>
        </w:rPr>
        <w:tab/>
        <w:t>•</w:t>
      </w:r>
      <w:r w:rsidRPr="00183F91">
        <w:rPr>
          <w:lang w:val="fr-FR"/>
        </w:rPr>
        <w:tab/>
      </w:r>
      <w:r w:rsidR="00EB1136" w:rsidRPr="00183F91">
        <w:rPr>
          <w:lang w:val="fr-FR"/>
        </w:rPr>
        <w:t>Création d</w:t>
      </w:r>
      <w:r w:rsidR="00442D55" w:rsidRPr="00183F91">
        <w:rPr>
          <w:lang w:val="fr-FR"/>
        </w:rPr>
        <w:t>’</w:t>
      </w:r>
      <w:r w:rsidR="00EB1136" w:rsidRPr="00183F91">
        <w:rPr>
          <w:lang w:val="fr-FR"/>
        </w:rPr>
        <w:t>un environnement permettant l</w:t>
      </w:r>
      <w:r w:rsidR="00442D55" w:rsidRPr="00183F91">
        <w:rPr>
          <w:lang w:val="fr-FR"/>
        </w:rPr>
        <w:t>’</w:t>
      </w:r>
      <w:r w:rsidR="00EB1136" w:rsidRPr="00183F91">
        <w:rPr>
          <w:lang w:val="fr-FR"/>
        </w:rPr>
        <w:t>accès universel aux consultations et aux informations sur la vie procréative et équipement des cabinets de reproduction et des chambres de naissance avec le matériel nécessaire pour les personnes handicapées, dans les établissements de santé d</w:t>
      </w:r>
      <w:r w:rsidR="00442D55" w:rsidRPr="00183F91">
        <w:rPr>
          <w:lang w:val="fr-FR"/>
        </w:rPr>
        <w:t>’</w:t>
      </w:r>
      <w:r w:rsidR="00EB1136" w:rsidRPr="00183F91">
        <w:rPr>
          <w:lang w:val="fr-FR"/>
        </w:rPr>
        <w:t>aïmags et de la capitale.</w:t>
      </w:r>
    </w:p>
    <w:p w14:paraId="212A7F73" w14:textId="16DB40AD" w:rsidR="00EB1136" w:rsidRPr="00183F91" w:rsidRDefault="004D6E79" w:rsidP="004D6E79">
      <w:pPr>
        <w:pStyle w:val="SingleTxt"/>
        <w:tabs>
          <w:tab w:val="right" w:pos="1685"/>
        </w:tabs>
        <w:ind w:left="1742" w:hanging="475"/>
        <w:rPr>
          <w:lang w:val="fr-FR"/>
        </w:rPr>
      </w:pPr>
      <w:r w:rsidRPr="00183F91">
        <w:rPr>
          <w:lang w:val="fr-FR"/>
        </w:rPr>
        <w:tab/>
        <w:t>•</w:t>
      </w:r>
      <w:r w:rsidRPr="00183F91">
        <w:rPr>
          <w:lang w:val="fr-FR"/>
        </w:rPr>
        <w:tab/>
      </w:r>
      <w:r w:rsidR="00EB1136" w:rsidRPr="00183F91">
        <w:rPr>
          <w:lang w:val="fr-FR"/>
        </w:rPr>
        <w:t>Évaluation et suivi des règles et réglementations appliquées dans le secteur de la santé afin de les rendre conformes aux droits en matière de procréation des personnes handicapées, comme le prévoient la Convention et la loi sur les droits des personnes handicapées</w:t>
      </w:r>
      <w:r w:rsidR="009D58B6" w:rsidRPr="00183F91">
        <w:rPr>
          <w:lang w:val="fr-FR"/>
        </w:rPr>
        <w:t>.</w:t>
      </w:r>
    </w:p>
    <w:p w14:paraId="7EEFF7F3" w14:textId="57082D45" w:rsidR="004D6E79" w:rsidRPr="00183F91" w:rsidRDefault="004D6E79" w:rsidP="004D6E79">
      <w:pPr>
        <w:pStyle w:val="SingleTxt"/>
        <w:spacing w:after="0" w:line="120" w:lineRule="exact"/>
        <w:rPr>
          <w:bCs/>
          <w:sz w:val="10"/>
          <w:lang w:val="fr-FR"/>
        </w:rPr>
      </w:pPr>
    </w:p>
    <w:p w14:paraId="54460E21" w14:textId="1E98F370" w:rsidR="004D6E79" w:rsidRPr="00183F91" w:rsidRDefault="004D6E79" w:rsidP="004D6E79">
      <w:pPr>
        <w:pStyle w:val="SingleTxt"/>
        <w:spacing w:after="0" w:line="120" w:lineRule="exact"/>
        <w:rPr>
          <w:bCs/>
          <w:sz w:val="10"/>
          <w:lang w:val="fr-FR"/>
        </w:rPr>
      </w:pPr>
    </w:p>
    <w:p w14:paraId="76681D1D" w14:textId="7860E463" w:rsidR="00EB1136" w:rsidRPr="00183F91" w:rsidRDefault="004D6E7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83F91">
        <w:rPr>
          <w:lang w:val="fr-FR"/>
        </w:rPr>
        <w:lastRenderedPageBreak/>
        <w:tab/>
      </w:r>
      <w:r w:rsidR="00EB1136" w:rsidRPr="00183F91">
        <w:rPr>
          <w:lang w:val="fr-FR"/>
        </w:rPr>
        <w:t>U.</w:t>
      </w:r>
      <w:r w:rsidR="00EB1136" w:rsidRPr="00183F91">
        <w:rPr>
          <w:lang w:val="fr-FR"/>
        </w:rPr>
        <w:tab/>
        <w:t>Réponse au paragraphe 19 de la liste de points</w:t>
      </w:r>
    </w:p>
    <w:p w14:paraId="3826AC7E" w14:textId="3EB4216F" w:rsidR="004D6E79" w:rsidRPr="00183F91" w:rsidRDefault="004D6E79" w:rsidP="000821D9">
      <w:pPr>
        <w:pStyle w:val="SingleTxt"/>
        <w:keepNext/>
        <w:spacing w:after="0" w:line="120" w:lineRule="exact"/>
        <w:rPr>
          <w:sz w:val="10"/>
          <w:lang w:val="fr-FR"/>
        </w:rPr>
      </w:pPr>
    </w:p>
    <w:p w14:paraId="1F7379FD" w14:textId="2C1BB082" w:rsidR="004D6E79" w:rsidRPr="00183F91" w:rsidRDefault="004D6E79" w:rsidP="000821D9">
      <w:pPr>
        <w:pStyle w:val="SingleTxt"/>
        <w:keepNext/>
        <w:spacing w:after="0" w:line="120" w:lineRule="exact"/>
        <w:rPr>
          <w:sz w:val="10"/>
          <w:lang w:val="fr-FR"/>
        </w:rPr>
      </w:pPr>
    </w:p>
    <w:p w14:paraId="1331E689" w14:textId="692ED8DB" w:rsidR="00EB1136" w:rsidRPr="00183F91" w:rsidRDefault="00EB11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83F91">
        <w:rPr>
          <w:lang w:val="fr-FR"/>
        </w:rPr>
        <w:tab/>
      </w:r>
      <w:r w:rsidRPr="00183F91">
        <w:rPr>
          <w:lang w:val="fr-FR"/>
        </w:rPr>
        <w:tab/>
        <w:t>Mesures prises pour garantir un accès aux services de santé à tous les enfants, notamment aux filles et, en particulier, aux enfants vivant en zone rurale et</w:t>
      </w:r>
      <w:r w:rsidR="004D6E79" w:rsidRPr="00183F91">
        <w:rPr>
          <w:lang w:val="fr-FR"/>
        </w:rPr>
        <w:t> </w:t>
      </w:r>
      <w:r w:rsidRPr="00183F91">
        <w:rPr>
          <w:lang w:val="fr-FR"/>
        </w:rPr>
        <w:t>provenant de familles à faible revenu, telles que la création de nouveaux centres de soins adaptés aux adolescents et aux jeunes</w:t>
      </w:r>
    </w:p>
    <w:p w14:paraId="45423F0C" w14:textId="19798202" w:rsidR="004D6E79" w:rsidRPr="00183F91" w:rsidRDefault="004D6E79" w:rsidP="000821D9">
      <w:pPr>
        <w:pStyle w:val="SingleTxt"/>
        <w:keepNext/>
        <w:spacing w:after="0" w:line="120" w:lineRule="exact"/>
        <w:rPr>
          <w:sz w:val="10"/>
          <w:lang w:val="fr-FR"/>
        </w:rPr>
      </w:pPr>
    </w:p>
    <w:p w14:paraId="7C65D920" w14:textId="1DBC8AB6" w:rsidR="00EB1136" w:rsidRPr="00183F91" w:rsidRDefault="00EB1136" w:rsidP="004D6E79">
      <w:pPr>
        <w:pStyle w:val="SingleTxt"/>
        <w:numPr>
          <w:ilvl w:val="0"/>
          <w:numId w:val="43"/>
        </w:numPr>
        <w:spacing w:line="240" w:lineRule="exact"/>
        <w:ind w:left="1267"/>
        <w:rPr>
          <w:lang w:val="fr-FR"/>
        </w:rPr>
      </w:pPr>
      <w:r w:rsidRPr="00183F91">
        <w:rPr>
          <w:lang w:val="fr-FR"/>
        </w:rPr>
        <w:t>Avec le soutien du FNUAP, 21 centres de développement pour la jeunesse, 21</w:t>
      </w:r>
      <w:r w:rsidR="00442D55" w:rsidRPr="00183F91">
        <w:rPr>
          <w:lang w:val="fr-FR"/>
        </w:rPr>
        <w:t> </w:t>
      </w:r>
      <w:r w:rsidRPr="00183F91">
        <w:rPr>
          <w:lang w:val="fr-FR"/>
        </w:rPr>
        <w:t>cliniques recevant des adolescents et des jeunes, 6 guichets uniques et un réseau de télémédecine visant à appuyer la santé maternelle et néonatale ont été créés dans tout le pays. Ces cliniques offrent des services et des conseils au sujet des IST aux adolescents et aux jeunes, traitent les problèmes de santé, orientent les patients vers des hôpitaux spécialisés et assurent une formation par les pairs. Par exemple, la clinique pour adolescents de la Commission nationale des droits de l</w:t>
      </w:r>
      <w:r w:rsidR="00442D55" w:rsidRPr="00183F91">
        <w:rPr>
          <w:lang w:val="fr-FR"/>
        </w:rPr>
        <w:t>’</w:t>
      </w:r>
      <w:r w:rsidRPr="00183F91">
        <w:rPr>
          <w:lang w:val="fr-FR"/>
        </w:rPr>
        <w:t>homme fournit</w:t>
      </w:r>
      <w:r w:rsidR="00442D55" w:rsidRPr="00183F91">
        <w:rPr>
          <w:lang w:val="fr-FR"/>
        </w:rPr>
        <w:t> :</w:t>
      </w:r>
      <w:r w:rsidRPr="00183F91">
        <w:rPr>
          <w:lang w:val="fr-FR"/>
        </w:rPr>
        <w:t xml:space="preserve"> des services de soins de santé</w:t>
      </w:r>
      <w:r w:rsidR="00442D55" w:rsidRPr="00183F91">
        <w:rPr>
          <w:lang w:val="fr-FR"/>
        </w:rPr>
        <w:t> ;</w:t>
      </w:r>
      <w:r w:rsidRPr="00183F91">
        <w:rPr>
          <w:lang w:val="fr-FR"/>
        </w:rPr>
        <w:t xml:space="preserve"> des conseils et des informations sur la santé</w:t>
      </w:r>
      <w:r w:rsidR="00442D55" w:rsidRPr="00183F91">
        <w:rPr>
          <w:lang w:val="fr-FR"/>
        </w:rPr>
        <w:t> ;</w:t>
      </w:r>
      <w:r w:rsidRPr="00183F91">
        <w:rPr>
          <w:lang w:val="fr-FR"/>
        </w:rPr>
        <w:t xml:space="preserve"> une prise en charge psychologique</w:t>
      </w:r>
      <w:r w:rsidR="00442D55" w:rsidRPr="00183F91">
        <w:rPr>
          <w:lang w:val="fr-FR"/>
        </w:rPr>
        <w:t> ;</w:t>
      </w:r>
      <w:r w:rsidRPr="00183F91">
        <w:rPr>
          <w:lang w:val="fr-FR"/>
        </w:rPr>
        <w:t xml:space="preserve"> l</w:t>
      </w:r>
      <w:r w:rsidR="00442D55" w:rsidRPr="00183F91">
        <w:rPr>
          <w:lang w:val="fr-FR"/>
        </w:rPr>
        <w:t>’</w:t>
      </w:r>
      <w:r w:rsidRPr="00183F91">
        <w:rPr>
          <w:lang w:val="fr-FR"/>
        </w:rPr>
        <w:t>assistance d</w:t>
      </w:r>
      <w:r w:rsidR="00442D55" w:rsidRPr="00183F91">
        <w:rPr>
          <w:lang w:val="fr-FR"/>
        </w:rPr>
        <w:t>’</w:t>
      </w:r>
      <w:r w:rsidRPr="00183F91">
        <w:rPr>
          <w:lang w:val="fr-FR"/>
        </w:rPr>
        <w:t>un travailleur social</w:t>
      </w:r>
      <w:r w:rsidR="00442D55" w:rsidRPr="00183F91">
        <w:rPr>
          <w:lang w:val="fr-FR"/>
        </w:rPr>
        <w:t> ;</w:t>
      </w:r>
      <w:r w:rsidRPr="00183F91">
        <w:rPr>
          <w:lang w:val="fr-FR"/>
        </w:rPr>
        <w:t xml:space="preserve"> des services de santé publique.</w:t>
      </w:r>
    </w:p>
    <w:p w14:paraId="6A47AC24" w14:textId="205C3F1D" w:rsidR="00EB1136" w:rsidRPr="00183F91" w:rsidRDefault="00EB1136" w:rsidP="004D6E79">
      <w:pPr>
        <w:pStyle w:val="SingleTxt"/>
        <w:numPr>
          <w:ilvl w:val="0"/>
          <w:numId w:val="43"/>
        </w:numPr>
        <w:spacing w:line="240" w:lineRule="exact"/>
        <w:ind w:left="1267"/>
        <w:rPr>
          <w:lang w:val="fr-FR"/>
        </w:rPr>
      </w:pPr>
      <w:r w:rsidRPr="00183F91">
        <w:rPr>
          <w:lang w:val="fr-FR"/>
        </w:rPr>
        <w:t>Des séances de formation sur l</w:t>
      </w:r>
      <w:r w:rsidR="00442D55" w:rsidRPr="00183F91">
        <w:rPr>
          <w:lang w:val="fr-FR"/>
        </w:rPr>
        <w:t>’</w:t>
      </w:r>
      <w:r w:rsidRPr="00183F91">
        <w:rPr>
          <w:lang w:val="fr-FR"/>
        </w:rPr>
        <w:t>utilisation du logiciel CHANNEL pour le suivi du développement physique général des adolescents (filles et garçons), sur la capacité à diagnostiquer, traiter et conseiller sur les maladies, sur la mise en œuvre des directives pour la fourniture de soins de santé aux adolescents et aux jeunes, sur les descriptions de poste, sur les compétences en matière de soutien et de gestion, et sur la fourniture de médicaments de santé reproductive ont été organisées par le Centre national de promotion de la santé et le Ministère de la santé. La formation a été suivie par un total de 150 prestataires de services, dont des médecins et des conseillers travaillant dans des cliniques recevant des adolescents et des coordinateurs dans le domaine de la santé procréative, ainsi que des responsables de l</w:t>
      </w:r>
      <w:r w:rsidR="00442D55" w:rsidRPr="00183F91">
        <w:rPr>
          <w:lang w:val="fr-FR"/>
        </w:rPr>
        <w:t>’</w:t>
      </w:r>
      <w:r w:rsidRPr="00183F91">
        <w:rPr>
          <w:lang w:val="fr-FR"/>
        </w:rPr>
        <w:t>approvisionnement des hôpitaux d</w:t>
      </w:r>
      <w:r w:rsidR="00442D55" w:rsidRPr="00183F91">
        <w:rPr>
          <w:lang w:val="fr-FR"/>
        </w:rPr>
        <w:t>’</w:t>
      </w:r>
      <w:r w:rsidRPr="00183F91">
        <w:rPr>
          <w:lang w:val="fr-FR"/>
        </w:rPr>
        <w:t>aïmag et de district.</w:t>
      </w:r>
    </w:p>
    <w:p w14:paraId="5AA3C34F" w14:textId="66E8A017" w:rsidR="00EB1136" w:rsidRPr="00183F91" w:rsidRDefault="00EB1136" w:rsidP="004D6E79">
      <w:pPr>
        <w:pStyle w:val="SingleTxt"/>
        <w:numPr>
          <w:ilvl w:val="0"/>
          <w:numId w:val="43"/>
        </w:numPr>
        <w:spacing w:line="240" w:lineRule="exact"/>
        <w:ind w:left="1267"/>
        <w:rPr>
          <w:lang w:val="fr-FR"/>
        </w:rPr>
      </w:pPr>
      <w:r w:rsidRPr="00183F91">
        <w:rPr>
          <w:lang w:val="fr-FR"/>
        </w:rPr>
        <w:t xml:space="preserve">En février 2017, avec le soutien du Ministère de la santé et du FNUAP, quatre réunions, discussions et séminaires sur les </w:t>
      </w:r>
      <w:r w:rsidR="00442D55" w:rsidRPr="00183F91">
        <w:rPr>
          <w:lang w:val="fr-FR"/>
        </w:rPr>
        <w:t>« </w:t>
      </w:r>
      <w:r w:rsidRPr="00183F91">
        <w:rPr>
          <w:lang w:val="fr-FR"/>
        </w:rPr>
        <w:t>défis liés à la santé procréative et mentale des adolescents</w:t>
      </w:r>
      <w:r w:rsidR="00442D55" w:rsidRPr="00183F91">
        <w:rPr>
          <w:lang w:val="fr-FR"/>
        </w:rPr>
        <w:t> »</w:t>
      </w:r>
      <w:r w:rsidRPr="00183F91">
        <w:rPr>
          <w:lang w:val="fr-FR"/>
        </w:rPr>
        <w:t xml:space="preserve"> ont été organisés dans le cadre d</w:t>
      </w:r>
      <w:r w:rsidR="00442D55" w:rsidRPr="00183F91">
        <w:rPr>
          <w:lang w:val="fr-FR"/>
        </w:rPr>
        <w:t>’</w:t>
      </w:r>
      <w:r w:rsidRPr="00183F91">
        <w:rPr>
          <w:lang w:val="fr-FR"/>
        </w:rPr>
        <w:t xml:space="preserve">une </w:t>
      </w:r>
      <w:r w:rsidR="00442D55" w:rsidRPr="00183F91">
        <w:rPr>
          <w:lang w:val="fr-FR"/>
        </w:rPr>
        <w:t>« </w:t>
      </w:r>
      <w:r w:rsidRPr="00183F91">
        <w:rPr>
          <w:lang w:val="fr-FR"/>
        </w:rPr>
        <w:t>réponse innovante et créative aux défis de la santé des adolescents</w:t>
      </w:r>
      <w:r w:rsidR="00442D55" w:rsidRPr="00183F91">
        <w:rPr>
          <w:lang w:val="fr-FR"/>
        </w:rPr>
        <w:t> »</w:t>
      </w:r>
      <w:r w:rsidRPr="00183F91">
        <w:rPr>
          <w:lang w:val="fr-FR"/>
        </w:rPr>
        <w:t xml:space="preserve">. En novembre 2017, </w:t>
      </w:r>
      <w:r w:rsidR="00442D55" w:rsidRPr="00183F91">
        <w:rPr>
          <w:lang w:val="fr-FR"/>
        </w:rPr>
        <w:t>« </w:t>
      </w:r>
      <w:r w:rsidRPr="00183F91">
        <w:rPr>
          <w:i/>
          <w:iCs/>
          <w:lang w:val="fr-FR"/>
        </w:rPr>
        <w:t>Tobacco is not your choice</w:t>
      </w:r>
      <w:r w:rsidR="00442D55" w:rsidRPr="00183F91">
        <w:rPr>
          <w:lang w:val="fr-FR"/>
        </w:rPr>
        <w:t> »</w:t>
      </w:r>
      <w:r w:rsidRPr="00183F91">
        <w:rPr>
          <w:lang w:val="fr-FR"/>
        </w:rPr>
        <w:t>, une réunion de sensibilisation a été organisée avec plus de 20 journalistes sur la question du tabac, une cause secondaire de maladies non transmissibles.</w:t>
      </w:r>
    </w:p>
    <w:p w14:paraId="57888C8F" w14:textId="7F847ECE" w:rsidR="00EB1136" w:rsidRPr="00183F91" w:rsidRDefault="00EB1136" w:rsidP="004D6E79">
      <w:pPr>
        <w:pStyle w:val="SingleTxt"/>
        <w:numPr>
          <w:ilvl w:val="0"/>
          <w:numId w:val="43"/>
        </w:numPr>
        <w:spacing w:line="240" w:lineRule="exact"/>
        <w:ind w:left="1267"/>
        <w:rPr>
          <w:lang w:val="fr-FR"/>
        </w:rPr>
      </w:pPr>
      <w:r w:rsidRPr="00183F91">
        <w:rPr>
          <w:lang w:val="fr-FR"/>
        </w:rPr>
        <w:t>En collaboration avec le Ministère de l</w:t>
      </w:r>
      <w:r w:rsidR="00442D55" w:rsidRPr="00183F91">
        <w:rPr>
          <w:lang w:val="fr-FR"/>
        </w:rPr>
        <w:t>’</w:t>
      </w:r>
      <w:r w:rsidRPr="00183F91">
        <w:rPr>
          <w:lang w:val="fr-FR"/>
        </w:rPr>
        <w:t>éducation, de la culture et des sciences, plus de 80 administrateurs d</w:t>
      </w:r>
      <w:r w:rsidR="00442D55" w:rsidRPr="00183F91">
        <w:rPr>
          <w:lang w:val="fr-FR"/>
        </w:rPr>
        <w:t>’</w:t>
      </w:r>
      <w:r w:rsidRPr="00183F91">
        <w:rPr>
          <w:lang w:val="fr-FR"/>
        </w:rPr>
        <w:t>écoles secondaires, enseignants, travailleurs sociaux et médecins ont fourni aux participants deux types de manuels, une affiche et une vidéo sur l</w:t>
      </w:r>
      <w:r w:rsidR="00442D55" w:rsidRPr="00183F91">
        <w:rPr>
          <w:lang w:val="fr-FR"/>
        </w:rPr>
        <w:t>’</w:t>
      </w:r>
      <w:r w:rsidRPr="00183F91">
        <w:rPr>
          <w:lang w:val="fr-FR"/>
        </w:rPr>
        <w:t>hygiène menstruelle chez les adolescentes. L</w:t>
      </w:r>
      <w:r w:rsidR="00442D55" w:rsidRPr="00183F91">
        <w:rPr>
          <w:lang w:val="fr-FR"/>
        </w:rPr>
        <w:t>’</w:t>
      </w:r>
      <w:r w:rsidRPr="00183F91">
        <w:rPr>
          <w:lang w:val="fr-FR"/>
        </w:rPr>
        <w:t>ensemble a été mis en place et deux types de manuels imprimés ont été distribués.</w:t>
      </w:r>
    </w:p>
    <w:p w14:paraId="7BF0ECEF" w14:textId="64BE992A" w:rsidR="004D6E79" w:rsidRPr="00183F91" w:rsidRDefault="004D6E79" w:rsidP="004D6E79">
      <w:pPr>
        <w:pStyle w:val="SingleTxt"/>
        <w:spacing w:after="0" w:line="120" w:lineRule="exact"/>
        <w:rPr>
          <w:sz w:val="10"/>
          <w:lang w:val="fr-FR"/>
        </w:rPr>
      </w:pPr>
    </w:p>
    <w:p w14:paraId="2C852224" w14:textId="089715AE" w:rsidR="00EB1136" w:rsidRPr="00183F91" w:rsidRDefault="00EB1136" w:rsidP="004D6E7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83F91">
        <w:rPr>
          <w:lang w:val="fr-FR"/>
        </w:rPr>
        <w:tab/>
      </w:r>
      <w:r w:rsidRPr="00183F91">
        <w:rPr>
          <w:lang w:val="fr-FR"/>
        </w:rPr>
        <w:tab/>
        <w:t>Efforts déployés pour prévenir le suicide chez les adolescents, notamment les</w:t>
      </w:r>
      <w:r w:rsidR="004D6E79" w:rsidRPr="00183F91">
        <w:rPr>
          <w:lang w:val="fr-FR"/>
        </w:rPr>
        <w:t> </w:t>
      </w:r>
      <w:r w:rsidRPr="00183F91">
        <w:rPr>
          <w:lang w:val="fr-FR"/>
        </w:rPr>
        <w:t>filles, et pour offrir à cette population des services de santé mentale</w:t>
      </w:r>
    </w:p>
    <w:p w14:paraId="41699F7A" w14:textId="0C17DC65" w:rsidR="004D6E79" w:rsidRPr="00183F91" w:rsidRDefault="004D6E79" w:rsidP="004D6E79">
      <w:pPr>
        <w:pStyle w:val="SingleTxt"/>
        <w:spacing w:after="0" w:line="120" w:lineRule="exact"/>
        <w:rPr>
          <w:sz w:val="10"/>
          <w:lang w:val="fr-FR"/>
        </w:rPr>
      </w:pPr>
    </w:p>
    <w:p w14:paraId="0A7B90E7" w14:textId="697A465F" w:rsidR="00EB1136" w:rsidRPr="00183F91" w:rsidRDefault="00EB1136" w:rsidP="004D6E79">
      <w:pPr>
        <w:pStyle w:val="SingleTxt"/>
        <w:numPr>
          <w:ilvl w:val="0"/>
          <w:numId w:val="43"/>
        </w:numPr>
        <w:spacing w:line="240" w:lineRule="exact"/>
        <w:ind w:left="1267"/>
        <w:rPr>
          <w:lang w:val="fr-FR"/>
        </w:rPr>
      </w:pPr>
      <w:r w:rsidRPr="00183F91">
        <w:rPr>
          <w:lang w:val="fr-FR"/>
        </w:rPr>
        <w:t>Selon les statistiques du Centre de développement de la santé, en 2018, une personne sur cinq âgée de 20 à 29 ans, une personne sur quatre âgée de 15 à 24 ans et une personne sur sept âgée de 10 à 14 ans et de 30 à 34 ans se suicident. La proportion la plus élevée de suicides dans la population masculine se situe entre 20 et 24 ans, et chez les femmes entre 15 et 19 ans. De plus, en termes de groupe d</w:t>
      </w:r>
      <w:r w:rsidR="00442D55" w:rsidRPr="00183F91">
        <w:rPr>
          <w:lang w:val="fr-FR"/>
        </w:rPr>
        <w:t>’</w:t>
      </w:r>
      <w:r w:rsidRPr="00183F91">
        <w:rPr>
          <w:lang w:val="fr-FR"/>
        </w:rPr>
        <w:t>âge et de cause de décès, le suicide est prédominant chez les adolescents et les jeunes, et la majorité d</w:t>
      </w:r>
      <w:r w:rsidR="00442D55" w:rsidRPr="00183F91">
        <w:rPr>
          <w:lang w:val="fr-FR"/>
        </w:rPr>
        <w:t>’</w:t>
      </w:r>
      <w:r w:rsidRPr="00183F91">
        <w:rPr>
          <w:lang w:val="fr-FR"/>
        </w:rPr>
        <w:t>entre eux sont des hommes. Par exemple, 66,7</w:t>
      </w:r>
      <w:r w:rsidR="00442D55" w:rsidRPr="00183F91">
        <w:rPr>
          <w:lang w:val="fr-FR"/>
        </w:rPr>
        <w:t> </w:t>
      </w:r>
      <w:r w:rsidRPr="00183F91">
        <w:rPr>
          <w:lang w:val="fr-FR"/>
        </w:rPr>
        <w:t>% des 10</w:t>
      </w:r>
      <w:r w:rsidR="005510C8" w:rsidRPr="00183F91">
        <w:rPr>
          <w:lang w:val="fr-FR"/>
        </w:rPr>
        <w:t xml:space="preserve"> à</w:t>
      </w:r>
      <w:r w:rsidRPr="00183F91">
        <w:rPr>
          <w:lang w:val="fr-FR"/>
        </w:rPr>
        <w:t>14 ans, 72,1</w:t>
      </w:r>
      <w:r w:rsidR="00442D55" w:rsidRPr="00183F91">
        <w:rPr>
          <w:lang w:val="fr-FR"/>
        </w:rPr>
        <w:t> </w:t>
      </w:r>
      <w:r w:rsidRPr="00183F91">
        <w:rPr>
          <w:lang w:val="fr-FR"/>
        </w:rPr>
        <w:t>% des 15</w:t>
      </w:r>
      <w:r w:rsidR="005510C8" w:rsidRPr="00183F91">
        <w:rPr>
          <w:lang w:val="fr-FR"/>
        </w:rPr>
        <w:t xml:space="preserve"> à </w:t>
      </w:r>
      <w:r w:rsidRPr="00183F91">
        <w:rPr>
          <w:lang w:val="fr-FR"/>
        </w:rPr>
        <w:t>19 ans, 81,8</w:t>
      </w:r>
      <w:r w:rsidR="00442D55" w:rsidRPr="00183F91">
        <w:rPr>
          <w:lang w:val="fr-FR"/>
        </w:rPr>
        <w:t> </w:t>
      </w:r>
      <w:r w:rsidRPr="00183F91">
        <w:rPr>
          <w:lang w:val="fr-FR"/>
        </w:rPr>
        <w:t>% des 20</w:t>
      </w:r>
      <w:r w:rsidR="005510C8" w:rsidRPr="00183F91">
        <w:rPr>
          <w:lang w:val="fr-FR"/>
        </w:rPr>
        <w:t xml:space="preserve"> à </w:t>
      </w:r>
      <w:r w:rsidRPr="00183F91">
        <w:rPr>
          <w:lang w:val="fr-FR"/>
        </w:rPr>
        <w:t>24 ans, 91,2</w:t>
      </w:r>
      <w:r w:rsidR="00442D55" w:rsidRPr="00183F91">
        <w:rPr>
          <w:lang w:val="fr-FR"/>
        </w:rPr>
        <w:t> </w:t>
      </w:r>
      <w:r w:rsidRPr="00183F91">
        <w:rPr>
          <w:lang w:val="fr-FR"/>
        </w:rPr>
        <w:t>% des 25</w:t>
      </w:r>
      <w:r w:rsidR="005510C8" w:rsidRPr="00183F91">
        <w:rPr>
          <w:lang w:val="fr-FR"/>
        </w:rPr>
        <w:t xml:space="preserve"> à </w:t>
      </w:r>
      <w:r w:rsidRPr="00183F91">
        <w:rPr>
          <w:lang w:val="fr-FR"/>
        </w:rPr>
        <w:t>29 ans et 86,8</w:t>
      </w:r>
      <w:r w:rsidR="00442D55" w:rsidRPr="00183F91">
        <w:rPr>
          <w:lang w:val="fr-FR"/>
        </w:rPr>
        <w:t> </w:t>
      </w:r>
      <w:r w:rsidRPr="00183F91">
        <w:rPr>
          <w:lang w:val="fr-FR"/>
        </w:rPr>
        <w:t>% des 30</w:t>
      </w:r>
      <w:r w:rsidR="005510C8" w:rsidRPr="00183F91">
        <w:rPr>
          <w:lang w:val="fr-FR"/>
        </w:rPr>
        <w:t xml:space="preserve"> à </w:t>
      </w:r>
      <w:r w:rsidRPr="00183F91">
        <w:rPr>
          <w:lang w:val="fr-FR"/>
        </w:rPr>
        <w:t>34 ans qui se sont suicidés sont des hommes.</w:t>
      </w:r>
    </w:p>
    <w:p w14:paraId="4172AEE2" w14:textId="5B2331D1" w:rsidR="00EB1136" w:rsidRPr="00183F91" w:rsidRDefault="00EB1136" w:rsidP="004D6E79">
      <w:pPr>
        <w:pStyle w:val="SingleTxt"/>
        <w:numPr>
          <w:ilvl w:val="0"/>
          <w:numId w:val="43"/>
        </w:numPr>
        <w:spacing w:line="240" w:lineRule="exact"/>
        <w:ind w:left="1267"/>
        <w:rPr>
          <w:lang w:val="fr-FR"/>
        </w:rPr>
      </w:pPr>
      <w:r w:rsidRPr="00183F91">
        <w:rPr>
          <w:lang w:val="fr-FR"/>
        </w:rPr>
        <w:lastRenderedPageBreak/>
        <w:t>Le Ministère de la santé et le Ministère de l</w:t>
      </w:r>
      <w:r w:rsidR="00442D55" w:rsidRPr="00183F91">
        <w:rPr>
          <w:lang w:val="fr-FR"/>
        </w:rPr>
        <w:t>’</w:t>
      </w:r>
      <w:r w:rsidRPr="00183F91">
        <w:rPr>
          <w:lang w:val="fr-FR"/>
        </w:rPr>
        <w:t>éducation, de la culture et des sciences ont publié un arrêté conjoint en décembre 2018 concernant le recrutement de psychologues dans les écoles, mais en raison de problèmes budgétaires et financiers, un nombre limité d</w:t>
      </w:r>
      <w:r w:rsidR="00442D55" w:rsidRPr="00183F91">
        <w:rPr>
          <w:lang w:val="fr-FR"/>
        </w:rPr>
        <w:t>’</w:t>
      </w:r>
      <w:r w:rsidRPr="00183F91">
        <w:rPr>
          <w:lang w:val="fr-FR"/>
        </w:rPr>
        <w:t>écoles emploient effectivement des psychologues.</w:t>
      </w:r>
    </w:p>
    <w:p w14:paraId="67ABDA15" w14:textId="76AD564F" w:rsidR="00EB1136" w:rsidRPr="00183F91" w:rsidRDefault="00EB1136" w:rsidP="004D6E79">
      <w:pPr>
        <w:pStyle w:val="SingleTxt"/>
        <w:numPr>
          <w:ilvl w:val="0"/>
          <w:numId w:val="43"/>
        </w:numPr>
        <w:spacing w:line="240" w:lineRule="exact"/>
        <w:ind w:left="1267"/>
        <w:rPr>
          <w:lang w:val="fr-FR"/>
        </w:rPr>
      </w:pPr>
      <w:r w:rsidRPr="00183F91">
        <w:rPr>
          <w:lang w:val="fr-FR"/>
        </w:rPr>
        <w:t>Les cliniques pour adolescents et les centres de développement des jeunes fournissent des informations sur les problèmes de santé mentale (stress, dépression), les soins psychologiques et l</w:t>
      </w:r>
      <w:r w:rsidR="00442D55" w:rsidRPr="00183F91">
        <w:rPr>
          <w:lang w:val="fr-FR"/>
        </w:rPr>
        <w:t>’</w:t>
      </w:r>
      <w:r w:rsidRPr="00183F91">
        <w:rPr>
          <w:lang w:val="fr-FR"/>
        </w:rPr>
        <w:t>évaluation de l</w:t>
      </w:r>
      <w:r w:rsidR="00442D55" w:rsidRPr="00183F91">
        <w:rPr>
          <w:lang w:val="fr-FR"/>
        </w:rPr>
        <w:t>’</w:t>
      </w:r>
      <w:r w:rsidRPr="00183F91">
        <w:rPr>
          <w:lang w:val="fr-FR"/>
        </w:rPr>
        <w:t>état psychologique des adolescents, le diagnostic, les conseils psychologiques, le traitement des adolescents, de leurs familles et des personnes qui s</w:t>
      </w:r>
      <w:r w:rsidR="00442D55" w:rsidRPr="00183F91">
        <w:rPr>
          <w:lang w:val="fr-FR"/>
        </w:rPr>
        <w:t>’</w:t>
      </w:r>
      <w:r w:rsidRPr="00183F91">
        <w:rPr>
          <w:lang w:val="fr-FR"/>
        </w:rPr>
        <w:t>occupent d</w:t>
      </w:r>
      <w:r w:rsidR="00442D55" w:rsidRPr="00183F91">
        <w:rPr>
          <w:lang w:val="fr-FR"/>
        </w:rPr>
        <w:t>’</w:t>
      </w:r>
      <w:r w:rsidRPr="00183F91">
        <w:rPr>
          <w:lang w:val="fr-FR"/>
        </w:rPr>
        <w:t>eux, et organisent des conseils, une éducation psychologique, des conseils sur les comportements sains, des activités de groupe de soutien et des formations.</w:t>
      </w:r>
    </w:p>
    <w:p w14:paraId="46DA4A7E" w14:textId="2B4D80BA" w:rsidR="00EB1136" w:rsidRPr="00183F91" w:rsidRDefault="00EB1136" w:rsidP="004D6E79">
      <w:pPr>
        <w:pStyle w:val="SingleTxt"/>
        <w:numPr>
          <w:ilvl w:val="0"/>
          <w:numId w:val="43"/>
        </w:numPr>
        <w:spacing w:line="240" w:lineRule="exact"/>
        <w:ind w:left="1267"/>
        <w:rPr>
          <w:lang w:val="fr-FR"/>
        </w:rPr>
      </w:pPr>
      <w:r w:rsidRPr="00183F91">
        <w:rPr>
          <w:lang w:val="fr-FR"/>
        </w:rPr>
        <w:t>Dans le cadre du Programme national pour le développement et la protection des enfants contre les maladies non transmissibles, un plan d</w:t>
      </w:r>
      <w:r w:rsidR="00442D55" w:rsidRPr="00183F91">
        <w:rPr>
          <w:lang w:val="fr-FR"/>
        </w:rPr>
        <w:t>’</w:t>
      </w:r>
      <w:r w:rsidRPr="00183F91">
        <w:rPr>
          <w:lang w:val="fr-FR"/>
        </w:rPr>
        <w:t>action national visant à promouvoir la santé mentale des adolescents a été élaboré avec l</w:t>
      </w:r>
      <w:r w:rsidR="00442D55" w:rsidRPr="00183F91">
        <w:rPr>
          <w:lang w:val="fr-FR"/>
        </w:rPr>
        <w:t>’</w:t>
      </w:r>
      <w:r w:rsidRPr="00183F91">
        <w:rPr>
          <w:lang w:val="fr-FR"/>
        </w:rPr>
        <w:t>assistance technique du FNUAP et avec la participation d</w:t>
      </w:r>
      <w:r w:rsidR="00442D55" w:rsidRPr="00183F91">
        <w:rPr>
          <w:lang w:val="fr-FR"/>
        </w:rPr>
        <w:t>’</w:t>
      </w:r>
      <w:r w:rsidRPr="00183F91">
        <w:rPr>
          <w:lang w:val="fr-FR"/>
        </w:rPr>
        <w:t>un groupe de travail multilatéral. Pour la première fois, des lignes directrices ont été élaborées à l</w:t>
      </w:r>
      <w:r w:rsidR="00442D55" w:rsidRPr="00183F91">
        <w:rPr>
          <w:lang w:val="fr-FR"/>
        </w:rPr>
        <w:t>’</w:t>
      </w:r>
      <w:r w:rsidRPr="00183F91">
        <w:rPr>
          <w:lang w:val="fr-FR"/>
        </w:rPr>
        <w:t>intention des professionnels de la santé mentale des adolescents.</w:t>
      </w:r>
    </w:p>
    <w:p w14:paraId="3F68AF12" w14:textId="4722387A" w:rsidR="00EB1136" w:rsidRPr="00183F91" w:rsidRDefault="00EB1136" w:rsidP="004D6E79">
      <w:pPr>
        <w:pStyle w:val="SingleTxt"/>
        <w:numPr>
          <w:ilvl w:val="0"/>
          <w:numId w:val="43"/>
        </w:numPr>
        <w:spacing w:line="240" w:lineRule="exact"/>
        <w:ind w:left="1267"/>
        <w:rPr>
          <w:lang w:val="fr-FR"/>
        </w:rPr>
      </w:pPr>
      <w:r w:rsidRPr="00183F91">
        <w:rPr>
          <w:lang w:val="fr-FR"/>
        </w:rPr>
        <w:t>L</w:t>
      </w:r>
      <w:r w:rsidR="00442D55" w:rsidRPr="00183F91">
        <w:rPr>
          <w:lang w:val="fr-FR"/>
        </w:rPr>
        <w:t>’</w:t>
      </w:r>
      <w:r w:rsidRPr="00183F91">
        <w:rPr>
          <w:lang w:val="fr-FR"/>
        </w:rPr>
        <w:t>UNICEF Mongolie a élaboré et mis en place des outils et des méthodologies de santé mentale tenant compte du genre pour prévenir les infections sexuellement transmissibles. L</w:t>
      </w:r>
      <w:r w:rsidR="00442D55" w:rsidRPr="00183F91">
        <w:rPr>
          <w:lang w:val="fr-FR"/>
        </w:rPr>
        <w:t>’</w:t>
      </w:r>
      <w:r w:rsidRPr="00183F91">
        <w:rPr>
          <w:lang w:val="fr-FR"/>
        </w:rPr>
        <w:t>organisation a procédé à une évaluation de la santé des adolescents, en tenant compte des questions de genre. Cela a permis de dresser la carte des problèmes de santé chez les adolescents au niveau régional.</w:t>
      </w:r>
    </w:p>
    <w:p w14:paraId="75D685EE" w14:textId="41DD0328" w:rsidR="004D6E79" w:rsidRPr="00183F91" w:rsidRDefault="004D6E79" w:rsidP="004D6E79">
      <w:pPr>
        <w:pStyle w:val="SingleTxt"/>
        <w:spacing w:after="0" w:line="120" w:lineRule="exact"/>
        <w:rPr>
          <w:sz w:val="10"/>
          <w:lang w:val="fr-FR"/>
        </w:rPr>
      </w:pPr>
    </w:p>
    <w:p w14:paraId="2E112393" w14:textId="4DFFCA17" w:rsidR="00EB1136" w:rsidRPr="00183F91" w:rsidRDefault="00EB1136" w:rsidP="007A76A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83F91">
        <w:rPr>
          <w:lang w:val="fr-FR"/>
        </w:rPr>
        <w:tab/>
      </w:r>
      <w:r w:rsidRPr="00183F91">
        <w:rPr>
          <w:lang w:val="fr-FR"/>
        </w:rPr>
        <w:tab/>
        <w:t>Progrès réalisés dans la mise en œuvre du plan d</w:t>
      </w:r>
      <w:r w:rsidR="00442D55" w:rsidRPr="00183F91">
        <w:rPr>
          <w:lang w:val="fr-FR"/>
        </w:rPr>
        <w:t>’</w:t>
      </w:r>
      <w:r w:rsidRPr="00183F91">
        <w:rPr>
          <w:lang w:val="fr-FR"/>
        </w:rPr>
        <w:t>action national 2018</w:t>
      </w:r>
      <w:r w:rsidR="004D6E79" w:rsidRPr="00183F91">
        <w:rPr>
          <w:lang w:val="fr-FR"/>
        </w:rPr>
        <w:t>-</w:t>
      </w:r>
      <w:r w:rsidRPr="00183F91">
        <w:rPr>
          <w:lang w:val="fr-FR"/>
        </w:rPr>
        <w:t>2021 sur</w:t>
      </w:r>
      <w:r w:rsidR="004D6E79" w:rsidRPr="00183F91">
        <w:rPr>
          <w:lang w:val="fr-FR"/>
        </w:rPr>
        <w:t> </w:t>
      </w:r>
      <w:r w:rsidRPr="00183F91">
        <w:rPr>
          <w:lang w:val="fr-FR"/>
        </w:rPr>
        <w:t>le</w:t>
      </w:r>
      <w:r w:rsidR="004D6E79" w:rsidRPr="00183F91">
        <w:rPr>
          <w:lang w:val="fr-FR"/>
        </w:rPr>
        <w:t> </w:t>
      </w:r>
      <w:r w:rsidRPr="00183F91">
        <w:rPr>
          <w:lang w:val="fr-FR"/>
        </w:rPr>
        <w:t>cancer du col de l</w:t>
      </w:r>
      <w:r w:rsidR="00442D55" w:rsidRPr="00183F91">
        <w:rPr>
          <w:lang w:val="fr-FR"/>
        </w:rPr>
        <w:t>’</w:t>
      </w:r>
      <w:r w:rsidRPr="00183F91">
        <w:rPr>
          <w:lang w:val="fr-FR"/>
        </w:rPr>
        <w:t>utérus</w:t>
      </w:r>
    </w:p>
    <w:p w14:paraId="614EB416" w14:textId="235F9B97" w:rsidR="004D6E79" w:rsidRPr="00183F91" w:rsidRDefault="004D6E79" w:rsidP="007A76AE">
      <w:pPr>
        <w:pStyle w:val="SingleTxt"/>
        <w:keepNext/>
        <w:spacing w:after="0" w:line="120" w:lineRule="exact"/>
        <w:rPr>
          <w:sz w:val="10"/>
          <w:lang w:val="fr-FR"/>
        </w:rPr>
      </w:pPr>
    </w:p>
    <w:p w14:paraId="628E96AB" w14:textId="4B850F9D" w:rsidR="00EB1136" w:rsidRPr="00183F91" w:rsidRDefault="00EB1136" w:rsidP="004D6E79">
      <w:pPr>
        <w:pStyle w:val="SingleTxt"/>
        <w:numPr>
          <w:ilvl w:val="0"/>
          <w:numId w:val="43"/>
        </w:numPr>
        <w:spacing w:line="240" w:lineRule="exact"/>
        <w:ind w:left="1267"/>
        <w:rPr>
          <w:lang w:val="fr-FR"/>
        </w:rPr>
      </w:pPr>
      <w:r w:rsidRPr="00183F91">
        <w:rPr>
          <w:lang w:val="fr-FR"/>
        </w:rPr>
        <w:t>Selon les statistiques du Centre de développement de la santé, en 2018, 85</w:t>
      </w:r>
      <w:r w:rsidR="00442D55" w:rsidRPr="00183F91">
        <w:rPr>
          <w:lang w:val="fr-FR"/>
        </w:rPr>
        <w:t> </w:t>
      </w:r>
      <w:r w:rsidRPr="00183F91">
        <w:rPr>
          <w:lang w:val="fr-FR"/>
        </w:rPr>
        <w:t>278</w:t>
      </w:r>
      <w:r w:rsidR="005510C8" w:rsidRPr="00183F91">
        <w:rPr>
          <w:lang w:val="fr-FR"/>
        </w:rPr>
        <w:t> </w:t>
      </w:r>
      <w:r w:rsidRPr="00183F91">
        <w:rPr>
          <w:lang w:val="fr-FR"/>
        </w:rPr>
        <w:t>femmes de l</w:t>
      </w:r>
      <w:r w:rsidR="00442D55" w:rsidRPr="00183F91">
        <w:rPr>
          <w:lang w:val="fr-FR"/>
        </w:rPr>
        <w:t>’</w:t>
      </w:r>
      <w:r w:rsidRPr="00183F91">
        <w:rPr>
          <w:lang w:val="fr-FR"/>
        </w:rPr>
        <w:t>âge cible ont subi un dépistage du cancer du col de l</w:t>
      </w:r>
      <w:r w:rsidR="00442D55" w:rsidRPr="00183F91">
        <w:rPr>
          <w:lang w:val="fr-FR"/>
        </w:rPr>
        <w:t>’</w:t>
      </w:r>
      <w:r w:rsidRPr="00183F91">
        <w:rPr>
          <w:lang w:val="fr-FR"/>
        </w:rPr>
        <w:t>utérus, soit 37,4</w:t>
      </w:r>
      <w:r w:rsidR="00442D55" w:rsidRPr="00183F91">
        <w:rPr>
          <w:lang w:val="fr-FR"/>
        </w:rPr>
        <w:t> </w:t>
      </w:r>
      <w:r w:rsidRPr="00183F91">
        <w:rPr>
          <w:lang w:val="fr-FR"/>
        </w:rPr>
        <w:t>% des femmes éligibles. Parmi ces clientes, 5,0</w:t>
      </w:r>
      <w:r w:rsidR="00442D55" w:rsidRPr="00183F91">
        <w:rPr>
          <w:lang w:val="fr-FR"/>
        </w:rPr>
        <w:t> </w:t>
      </w:r>
      <w:r w:rsidRPr="00183F91">
        <w:rPr>
          <w:lang w:val="fr-FR"/>
        </w:rPr>
        <w:t xml:space="preserve">% avaient </w:t>
      </w:r>
      <w:r w:rsidR="005510C8" w:rsidRPr="00183F91">
        <w:rPr>
          <w:lang w:val="fr-FR"/>
        </w:rPr>
        <w:t>un frottis positif</w:t>
      </w:r>
      <w:r w:rsidRPr="00183F91">
        <w:rPr>
          <w:lang w:val="fr-FR"/>
        </w:rPr>
        <w:t xml:space="preserve"> ou indiquant des modifications des cellules cervicales.</w:t>
      </w:r>
    </w:p>
    <w:p w14:paraId="4AC4D2FF" w14:textId="7BDF6D34" w:rsidR="003313DA" w:rsidRPr="00183F91" w:rsidRDefault="003313DA" w:rsidP="003313DA">
      <w:pPr>
        <w:pStyle w:val="SingleTxt"/>
        <w:spacing w:after="0" w:line="120" w:lineRule="exact"/>
        <w:rPr>
          <w:sz w:val="10"/>
          <w:lang w:val="fr-FR"/>
        </w:rPr>
      </w:pPr>
    </w:p>
    <w:p w14:paraId="1336F6EA" w14:textId="672F404A" w:rsidR="00EB1136" w:rsidRPr="00183F91" w:rsidRDefault="00EB1136" w:rsidP="003313D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83F91">
        <w:rPr>
          <w:lang w:val="fr-FR"/>
        </w:rPr>
        <w:tab/>
      </w:r>
      <w:r w:rsidRPr="00183F91">
        <w:rPr>
          <w:lang w:val="fr-FR"/>
        </w:rPr>
        <w:tab/>
        <w:t>Mesures prises pour s</w:t>
      </w:r>
      <w:r w:rsidR="00442D55" w:rsidRPr="00183F91">
        <w:rPr>
          <w:lang w:val="fr-FR"/>
        </w:rPr>
        <w:t>’</w:t>
      </w:r>
      <w:r w:rsidRPr="00183F91">
        <w:rPr>
          <w:lang w:val="fr-FR"/>
        </w:rPr>
        <w:t>attaquer à la pollution atmosphérique au point de vue de</w:t>
      </w:r>
      <w:r w:rsidR="003313DA" w:rsidRPr="00183F91">
        <w:rPr>
          <w:lang w:val="fr-FR"/>
        </w:rPr>
        <w:t> </w:t>
      </w:r>
      <w:r w:rsidRPr="00183F91">
        <w:rPr>
          <w:lang w:val="fr-FR"/>
        </w:rPr>
        <w:t>la santé des femmes</w:t>
      </w:r>
    </w:p>
    <w:p w14:paraId="434DA2AD" w14:textId="1466948D" w:rsidR="003313DA" w:rsidRPr="00183F91" w:rsidRDefault="003313DA" w:rsidP="003313DA">
      <w:pPr>
        <w:pStyle w:val="SingleTxt"/>
        <w:spacing w:after="0" w:line="120" w:lineRule="exact"/>
        <w:rPr>
          <w:sz w:val="10"/>
          <w:lang w:val="fr-FR"/>
        </w:rPr>
      </w:pPr>
    </w:p>
    <w:p w14:paraId="3EAB2BDA" w14:textId="1E85C49D" w:rsidR="00EB1136" w:rsidRPr="00183F91" w:rsidRDefault="00EB1136" w:rsidP="003313DA">
      <w:pPr>
        <w:pStyle w:val="SingleTxt"/>
        <w:numPr>
          <w:ilvl w:val="0"/>
          <w:numId w:val="43"/>
        </w:numPr>
        <w:spacing w:line="240" w:lineRule="exact"/>
        <w:ind w:left="1267"/>
        <w:rPr>
          <w:lang w:val="fr-FR"/>
        </w:rPr>
      </w:pPr>
      <w:r w:rsidRPr="00183F91">
        <w:rPr>
          <w:lang w:val="fr-FR"/>
        </w:rPr>
        <w:t>Le Plan d</w:t>
      </w:r>
      <w:r w:rsidR="00442D55" w:rsidRPr="00183F91">
        <w:rPr>
          <w:lang w:val="fr-FR"/>
        </w:rPr>
        <w:t>’</w:t>
      </w:r>
      <w:r w:rsidRPr="00183F91">
        <w:rPr>
          <w:lang w:val="fr-FR"/>
        </w:rPr>
        <w:t>action du Gouvernement pour 2016-2020 fixe l</w:t>
      </w:r>
      <w:r w:rsidR="00442D55" w:rsidRPr="00183F91">
        <w:rPr>
          <w:lang w:val="fr-FR"/>
        </w:rPr>
        <w:t>’</w:t>
      </w:r>
      <w:r w:rsidRPr="00183F91">
        <w:rPr>
          <w:lang w:val="fr-FR"/>
        </w:rPr>
        <w:t xml:space="preserve">objectif de </w:t>
      </w:r>
      <w:r w:rsidR="00442D55" w:rsidRPr="00183F91">
        <w:rPr>
          <w:lang w:val="fr-FR"/>
        </w:rPr>
        <w:t>« </w:t>
      </w:r>
      <w:r w:rsidRPr="00183F91">
        <w:rPr>
          <w:lang w:val="fr-FR"/>
        </w:rPr>
        <w:t>réduire la pollution de l</w:t>
      </w:r>
      <w:r w:rsidR="00442D55" w:rsidRPr="00183F91">
        <w:rPr>
          <w:lang w:val="fr-FR"/>
        </w:rPr>
        <w:t>’</w:t>
      </w:r>
      <w:r w:rsidRPr="00183F91">
        <w:rPr>
          <w:lang w:val="fr-FR"/>
        </w:rPr>
        <w:t>air, de l</w:t>
      </w:r>
      <w:r w:rsidR="00442D55" w:rsidRPr="00183F91">
        <w:rPr>
          <w:lang w:val="fr-FR"/>
        </w:rPr>
        <w:t>’</w:t>
      </w:r>
      <w:r w:rsidRPr="00183F91">
        <w:rPr>
          <w:lang w:val="fr-FR"/>
        </w:rPr>
        <w:t>eau et des sols dans les zones urbaines et de mettre en œuvre une gestion efficace des déchets</w:t>
      </w:r>
      <w:r w:rsidR="00442D55" w:rsidRPr="00183F91">
        <w:rPr>
          <w:lang w:val="fr-FR"/>
        </w:rPr>
        <w:t> »</w:t>
      </w:r>
      <w:r w:rsidRPr="00183F91">
        <w:rPr>
          <w:lang w:val="fr-FR"/>
        </w:rPr>
        <w:t xml:space="preserve"> et prévoit des mesures efficaces pour réduire la pollution atmosphérique. Par exemple, le Programme national pour la réduction de la pollution atmosphérique et environnementale 2017-2025 a été approuvé et est mis en œuvre afin de réduire la pollution atmosphérique et environnementale et de créer un environnement sain et sûr en planifiant des villes et des établissements humains qui offrent des conditions de vie saines et sûres aux citoyens, en augmentant la qualité et l</w:t>
      </w:r>
      <w:r w:rsidR="00442D55" w:rsidRPr="00183F91">
        <w:rPr>
          <w:lang w:val="fr-FR"/>
        </w:rPr>
        <w:t>’</w:t>
      </w:r>
      <w:r w:rsidRPr="00183F91">
        <w:rPr>
          <w:lang w:val="fr-FR"/>
        </w:rPr>
        <w:t>accessibilité des infrastructures, en réduisant les sources de pollution et en développant de bonnes pratiques de vie pour la population.</w:t>
      </w:r>
    </w:p>
    <w:p w14:paraId="47BE108E" w14:textId="4AB4E3AF" w:rsidR="00EB1136" w:rsidRPr="00183F91" w:rsidRDefault="00EB1136" w:rsidP="003313DA">
      <w:pPr>
        <w:pStyle w:val="SingleTxt"/>
        <w:numPr>
          <w:ilvl w:val="0"/>
          <w:numId w:val="43"/>
        </w:numPr>
        <w:spacing w:line="240" w:lineRule="exact"/>
        <w:ind w:left="1267"/>
        <w:rPr>
          <w:lang w:val="fr-FR"/>
        </w:rPr>
      </w:pPr>
      <w:r w:rsidRPr="00183F91">
        <w:rPr>
          <w:lang w:val="fr-FR"/>
        </w:rPr>
        <w:t>La surpopulation de la capitale, Oulan-Bator, ces dernières années a eu des effets négatifs sur le développement urbain, la planification, l</w:t>
      </w:r>
      <w:r w:rsidR="00442D55" w:rsidRPr="00183F91">
        <w:rPr>
          <w:lang w:val="fr-FR"/>
        </w:rPr>
        <w:t>’</w:t>
      </w:r>
      <w:r w:rsidRPr="00183F91">
        <w:rPr>
          <w:lang w:val="fr-FR"/>
        </w:rPr>
        <w:t>environnement et la sécurité écologique, entraînant des établissements spontanés, de la criminalité, des embouteillages croissants, et une surcharge des services de santé publique et de protection sociale. L</w:t>
      </w:r>
      <w:r w:rsidR="00442D55" w:rsidRPr="00183F91">
        <w:rPr>
          <w:lang w:val="fr-FR"/>
        </w:rPr>
        <w:t>’</w:t>
      </w:r>
      <w:r w:rsidRPr="00183F91">
        <w:rPr>
          <w:lang w:val="fr-FR"/>
        </w:rPr>
        <w:t>échec du secteur a eu des conséquences sur tous les aspects des relations économiques et sociales. Cette situation constitue une grave violation du droit des résidents d</w:t>
      </w:r>
      <w:r w:rsidR="00442D55" w:rsidRPr="00183F91">
        <w:rPr>
          <w:lang w:val="fr-FR"/>
        </w:rPr>
        <w:t>’</w:t>
      </w:r>
      <w:r w:rsidRPr="00183F91">
        <w:rPr>
          <w:lang w:val="fr-FR"/>
        </w:rPr>
        <w:t>Oulan-Bator de vivre dans un environnement sain et sûr, et d</w:t>
      </w:r>
      <w:r w:rsidR="00442D55" w:rsidRPr="00183F91">
        <w:rPr>
          <w:lang w:val="fr-FR"/>
        </w:rPr>
        <w:t>’</w:t>
      </w:r>
      <w:r w:rsidRPr="00183F91">
        <w:rPr>
          <w:lang w:val="fr-FR"/>
        </w:rPr>
        <w:t>être protégés de la pollution et des déséquilibres environnementaux, comme le prévoit l</w:t>
      </w:r>
      <w:r w:rsidR="00442D55" w:rsidRPr="00183F91">
        <w:rPr>
          <w:lang w:val="fr-FR"/>
        </w:rPr>
        <w:t>’</w:t>
      </w:r>
      <w:r w:rsidRPr="00183F91">
        <w:rPr>
          <w:lang w:val="fr-FR"/>
        </w:rPr>
        <w:t>article 16.2 de la Constitution de la Mongolie. L</w:t>
      </w:r>
      <w:r w:rsidR="00442D55" w:rsidRPr="00183F91">
        <w:rPr>
          <w:lang w:val="fr-FR"/>
        </w:rPr>
        <w:t>’</w:t>
      </w:r>
      <w:r w:rsidRPr="00183F91">
        <w:rPr>
          <w:lang w:val="fr-FR"/>
        </w:rPr>
        <w:t xml:space="preserve">ordonnance du Gouverneur de la </w:t>
      </w:r>
      <w:r w:rsidRPr="00183F91">
        <w:rPr>
          <w:lang w:val="fr-FR"/>
        </w:rPr>
        <w:lastRenderedPageBreak/>
        <w:t>capitale et maire d</w:t>
      </w:r>
      <w:r w:rsidR="00442D55" w:rsidRPr="00183F91">
        <w:rPr>
          <w:lang w:val="fr-FR"/>
        </w:rPr>
        <w:t>’</w:t>
      </w:r>
      <w:r w:rsidRPr="00183F91">
        <w:rPr>
          <w:lang w:val="fr-FR"/>
        </w:rPr>
        <w:t>Oulan-Bator n</w:t>
      </w:r>
      <w:r w:rsidR="00442D55" w:rsidRPr="00183F91">
        <w:rPr>
          <w:vertAlign w:val="superscript"/>
          <w:lang w:val="fr-FR"/>
        </w:rPr>
        <w:t>o</w:t>
      </w:r>
      <w:r w:rsidR="00442D55" w:rsidRPr="00183F91">
        <w:rPr>
          <w:lang w:val="fr-FR"/>
        </w:rPr>
        <w:t> </w:t>
      </w:r>
      <w:r w:rsidR="00A860FC" w:rsidRPr="000821D9">
        <w:t>A/17</w:t>
      </w:r>
      <w:r w:rsidRPr="00183F91">
        <w:rPr>
          <w:lang w:val="fr-FR"/>
        </w:rPr>
        <w:t xml:space="preserve"> du 9 janvier 2018 a temporairement suspendu le mouvement des personnes des zones rurales vers Oulan-Bator pour y établir leur résidence permanente jusqu</w:t>
      </w:r>
      <w:r w:rsidR="00442D55" w:rsidRPr="00183F91">
        <w:rPr>
          <w:lang w:val="fr-FR"/>
        </w:rPr>
        <w:t>’</w:t>
      </w:r>
      <w:r w:rsidRPr="00183F91">
        <w:rPr>
          <w:lang w:val="fr-FR"/>
        </w:rPr>
        <w:t>au 1</w:t>
      </w:r>
      <w:r w:rsidRPr="00183F91">
        <w:rPr>
          <w:vertAlign w:val="superscript"/>
          <w:lang w:val="fr-FR"/>
        </w:rPr>
        <w:t>er</w:t>
      </w:r>
      <w:r w:rsidRPr="00183F91">
        <w:rPr>
          <w:lang w:val="fr-FR"/>
        </w:rPr>
        <w:t xml:space="preserve"> janvier 2018. L</w:t>
      </w:r>
      <w:r w:rsidR="00442D55" w:rsidRPr="00183F91">
        <w:rPr>
          <w:lang w:val="fr-FR"/>
        </w:rPr>
        <w:t>’</w:t>
      </w:r>
      <w:r w:rsidRPr="00183F91">
        <w:rPr>
          <w:lang w:val="fr-FR"/>
        </w:rPr>
        <w:t>interdiction a été réémise en décembre 2017 et prolongée jusqu</w:t>
      </w:r>
      <w:r w:rsidR="00442D55" w:rsidRPr="00183F91">
        <w:rPr>
          <w:lang w:val="fr-FR"/>
        </w:rPr>
        <w:t>’</w:t>
      </w:r>
      <w:r w:rsidRPr="00183F91">
        <w:rPr>
          <w:lang w:val="fr-FR"/>
        </w:rPr>
        <w:t>au 1</w:t>
      </w:r>
      <w:r w:rsidRPr="00183F91">
        <w:rPr>
          <w:vertAlign w:val="superscript"/>
          <w:lang w:val="fr-FR"/>
        </w:rPr>
        <w:t>er</w:t>
      </w:r>
      <w:r w:rsidRPr="00183F91">
        <w:rPr>
          <w:lang w:val="fr-FR"/>
        </w:rPr>
        <w:t xml:space="preserve"> janvier 2020.</w:t>
      </w:r>
    </w:p>
    <w:p w14:paraId="618DE090" w14:textId="514AA598" w:rsidR="00EB1136" w:rsidRPr="00183F91" w:rsidRDefault="00EB1136" w:rsidP="003313DA">
      <w:pPr>
        <w:pStyle w:val="SingleTxt"/>
        <w:numPr>
          <w:ilvl w:val="0"/>
          <w:numId w:val="43"/>
        </w:numPr>
        <w:spacing w:line="240" w:lineRule="exact"/>
        <w:ind w:left="1267"/>
        <w:rPr>
          <w:lang w:val="fr-FR"/>
        </w:rPr>
      </w:pPr>
      <w:r w:rsidRPr="00183F91">
        <w:rPr>
          <w:lang w:val="fr-FR"/>
        </w:rPr>
        <w:t>Un comité national est chargé de réduire la pollution de l</w:t>
      </w:r>
      <w:r w:rsidR="00442D55" w:rsidRPr="00183F91">
        <w:rPr>
          <w:lang w:val="fr-FR"/>
        </w:rPr>
        <w:t>’</w:t>
      </w:r>
      <w:r w:rsidRPr="00183F91">
        <w:rPr>
          <w:lang w:val="fr-FR"/>
        </w:rPr>
        <w:t>environnement. En outre, le 15 mai 2019, la décision du Gouvernement de ne pas autoriser l</w:t>
      </w:r>
      <w:r w:rsidR="00442D55" w:rsidRPr="00183F91">
        <w:rPr>
          <w:lang w:val="fr-FR"/>
        </w:rPr>
        <w:t>’</w:t>
      </w:r>
      <w:r w:rsidRPr="00183F91">
        <w:rPr>
          <w:lang w:val="fr-FR"/>
        </w:rPr>
        <w:t>entrée de charbon brut, un facteur majeur de la pollution atmosphérique, dans la capitale pour les utilisations domestiques, et de ne pas utiliser le charbon brut dans les districts gers est entrée en vigueur. Des combustibles améliorés sont utilisés à la place du charbon brut, et de nombreuses activités sont menées pour fournir des combustibles améliorés aux ménages des zones gers, remplacer les chaudières à charbon par des chaudières à gaz et à eau, surveiller la pollution de l</w:t>
      </w:r>
      <w:r w:rsidR="00442D55" w:rsidRPr="00183F91">
        <w:rPr>
          <w:lang w:val="fr-FR"/>
        </w:rPr>
        <w:t>’</w:t>
      </w:r>
      <w:r w:rsidRPr="00183F91">
        <w:rPr>
          <w:lang w:val="fr-FR"/>
        </w:rPr>
        <w:t>air dans les zones gers et mener des enquêtes sur l</w:t>
      </w:r>
      <w:r w:rsidR="00442D55" w:rsidRPr="00183F91">
        <w:rPr>
          <w:lang w:val="fr-FR"/>
        </w:rPr>
        <w:t>’</w:t>
      </w:r>
      <w:r w:rsidRPr="00183F91">
        <w:rPr>
          <w:lang w:val="fr-FR"/>
        </w:rPr>
        <w:t>habitat.</w:t>
      </w:r>
    </w:p>
    <w:p w14:paraId="1AECF15F" w14:textId="738F21EB" w:rsidR="00EB1136" w:rsidRPr="00183F91" w:rsidRDefault="00EB1136" w:rsidP="003313DA">
      <w:pPr>
        <w:pStyle w:val="SingleTxt"/>
        <w:numPr>
          <w:ilvl w:val="0"/>
          <w:numId w:val="43"/>
        </w:numPr>
        <w:spacing w:line="240" w:lineRule="exact"/>
        <w:ind w:left="1267"/>
        <w:rPr>
          <w:iCs/>
          <w:lang w:val="fr-FR"/>
        </w:rPr>
      </w:pPr>
      <w:r w:rsidRPr="00183F91">
        <w:rPr>
          <w:lang w:val="fr-FR"/>
        </w:rPr>
        <w:t>Le Gouvernement mongol, en coopération avec des organisations internationales et des donateurs, prend un certain nombre de mesures pour réduire la pollution de l</w:t>
      </w:r>
      <w:r w:rsidR="00442D55" w:rsidRPr="00183F91">
        <w:rPr>
          <w:lang w:val="fr-FR"/>
        </w:rPr>
        <w:t>’</w:t>
      </w:r>
      <w:r w:rsidRPr="00183F91">
        <w:rPr>
          <w:lang w:val="fr-FR"/>
        </w:rPr>
        <w:t xml:space="preserve">air et atténuer les effets négatifs de la pollution atmosphérique sur la santé. Par exemple, le FNUAP, la Direction suisse du développement et de la coopération et le Ministère du travail et de la protection sociale ont mené une étude intitulée </w:t>
      </w:r>
      <w:r w:rsidR="00442D55" w:rsidRPr="00183F91">
        <w:rPr>
          <w:lang w:val="fr-FR"/>
        </w:rPr>
        <w:t>« </w:t>
      </w:r>
      <w:r w:rsidRPr="00183F91">
        <w:rPr>
          <w:lang w:val="fr-FR"/>
        </w:rPr>
        <w:t>La crise de la pollution atmosphérique en Mongolie</w:t>
      </w:r>
      <w:r w:rsidR="00442D55" w:rsidRPr="00183F91">
        <w:rPr>
          <w:lang w:val="fr-FR"/>
        </w:rPr>
        <w:t> :</w:t>
      </w:r>
      <w:r w:rsidRPr="00183F91">
        <w:rPr>
          <w:lang w:val="fr-FR"/>
        </w:rPr>
        <w:t xml:space="preserve"> agissons pour protéger la santé des enfants</w:t>
      </w:r>
      <w:r w:rsidR="00442D55" w:rsidRPr="00183F91">
        <w:rPr>
          <w:lang w:val="fr-FR"/>
        </w:rPr>
        <w:t> »</w:t>
      </w:r>
      <w:r w:rsidRPr="00183F91">
        <w:rPr>
          <w:lang w:val="fr-FR"/>
        </w:rPr>
        <w:t>. Le FNUAP, en collaboration avec l</w:t>
      </w:r>
      <w:r w:rsidR="00442D55" w:rsidRPr="00183F91">
        <w:rPr>
          <w:lang w:val="fr-FR"/>
        </w:rPr>
        <w:t>’</w:t>
      </w:r>
      <w:r w:rsidRPr="00183F91">
        <w:rPr>
          <w:lang w:val="fr-FR"/>
        </w:rPr>
        <w:t>Institut de santé publique, a procédé à une évaluation d</w:t>
      </w:r>
      <w:r w:rsidR="00442D55" w:rsidRPr="00183F91">
        <w:rPr>
          <w:lang w:val="fr-FR"/>
        </w:rPr>
        <w:t>’</w:t>
      </w:r>
      <w:r w:rsidRPr="00183F91">
        <w:rPr>
          <w:lang w:val="fr-FR"/>
        </w:rPr>
        <w:t>urgence de la qualité de l</w:t>
      </w:r>
      <w:r w:rsidR="00442D55" w:rsidRPr="00183F91">
        <w:rPr>
          <w:lang w:val="fr-FR"/>
        </w:rPr>
        <w:t>’</w:t>
      </w:r>
      <w:r w:rsidRPr="00183F91">
        <w:rPr>
          <w:lang w:val="fr-FR"/>
        </w:rPr>
        <w:t>air dans les bâtiments scolaires et les jardins d</w:t>
      </w:r>
      <w:r w:rsidR="00442D55" w:rsidRPr="00183F91">
        <w:rPr>
          <w:lang w:val="fr-FR"/>
        </w:rPr>
        <w:t>’</w:t>
      </w:r>
      <w:r w:rsidRPr="00183F91">
        <w:rPr>
          <w:lang w:val="fr-FR"/>
        </w:rPr>
        <w:t>enfants. Le FNUAP, en collaboration avec le département de la santé de la ville d</w:t>
      </w:r>
      <w:r w:rsidR="00442D55" w:rsidRPr="00183F91">
        <w:rPr>
          <w:lang w:val="fr-FR"/>
        </w:rPr>
        <w:t>’</w:t>
      </w:r>
      <w:r w:rsidRPr="00183F91">
        <w:rPr>
          <w:lang w:val="fr-FR"/>
        </w:rPr>
        <w:t>Oulan-Bator, a mis en place une évaluation urgente de la manière dont le secteur de la santé fait face aux conséquences de la pollution atmosphérique sur la santé des enfants pendant la saison froide de 2017-2018. Le FNUAP, en collaboration avec le Centre national pour la santé de la mère et de l</w:t>
      </w:r>
      <w:r w:rsidR="00442D55" w:rsidRPr="00183F91">
        <w:rPr>
          <w:lang w:val="fr-FR"/>
        </w:rPr>
        <w:t>’</w:t>
      </w:r>
      <w:r w:rsidRPr="00183F91">
        <w:rPr>
          <w:lang w:val="fr-FR"/>
        </w:rPr>
        <w:t>enfant, a mis en œuvre un projet pilote visant à améliorer les services de santé dans les centres de santé de la famille pour le traitement des maladies infantiles causées par la pollution atmosphérique. Le FNUAP s</w:t>
      </w:r>
      <w:r w:rsidR="00442D55" w:rsidRPr="00183F91">
        <w:rPr>
          <w:lang w:val="fr-FR"/>
        </w:rPr>
        <w:t>’</w:t>
      </w:r>
      <w:r w:rsidRPr="00183F91">
        <w:rPr>
          <w:lang w:val="fr-FR"/>
        </w:rPr>
        <w:t>est associé à l</w:t>
      </w:r>
      <w:r w:rsidR="00442D55" w:rsidRPr="00183F91">
        <w:rPr>
          <w:lang w:val="fr-FR"/>
        </w:rPr>
        <w:t>’</w:t>
      </w:r>
      <w:r w:rsidRPr="00183F91">
        <w:rPr>
          <w:lang w:val="fr-FR"/>
        </w:rPr>
        <w:t>Association des scouts de Mongolie pour élaborer des documents sur la pollution de l</w:t>
      </w:r>
      <w:r w:rsidR="00442D55" w:rsidRPr="00183F91">
        <w:rPr>
          <w:lang w:val="fr-FR"/>
        </w:rPr>
        <w:t>’</w:t>
      </w:r>
      <w:r w:rsidRPr="00183F91">
        <w:rPr>
          <w:lang w:val="fr-FR"/>
        </w:rPr>
        <w:t>air et la santé des enfants, y compris la participation des jeunes.</w:t>
      </w:r>
    </w:p>
    <w:p w14:paraId="0EF4830F" w14:textId="68B1A614" w:rsidR="00EB1136" w:rsidRPr="00183F91" w:rsidRDefault="00EB1136" w:rsidP="003313DA">
      <w:pPr>
        <w:pStyle w:val="SingleTxt"/>
        <w:numPr>
          <w:ilvl w:val="0"/>
          <w:numId w:val="43"/>
        </w:numPr>
        <w:spacing w:line="240" w:lineRule="exact"/>
        <w:ind w:left="1267"/>
        <w:rPr>
          <w:lang w:val="fr-FR"/>
        </w:rPr>
      </w:pPr>
      <w:r w:rsidRPr="00183F91">
        <w:rPr>
          <w:lang w:val="fr-FR"/>
        </w:rPr>
        <w:t>La pollution atmosphérique est associée à deux des cinq maladies les plus courantes en Mongolie, les maladies respiratoires et cardiovasculaires, et constitue la principale cause de décès. Elle affecte la santé des nourrissons, des jeunes enfants et des femmes enceintes tout particulièrement, et peut entraîner des maladies respiratoires, une altération des fonctions pulmonaires, des naissances prématurées, des troubles cérébraux et des retards de développement. Selon l</w:t>
      </w:r>
      <w:r w:rsidR="00442D55" w:rsidRPr="00183F91">
        <w:rPr>
          <w:lang w:val="fr-FR"/>
        </w:rPr>
        <w:t>’</w:t>
      </w:r>
      <w:r w:rsidRPr="00183F91">
        <w:rPr>
          <w:lang w:val="fr-FR"/>
        </w:rPr>
        <w:t>enquête sur la pollution de l</w:t>
      </w:r>
      <w:r w:rsidR="00442D55" w:rsidRPr="00183F91">
        <w:rPr>
          <w:lang w:val="fr-FR"/>
        </w:rPr>
        <w:t>’</w:t>
      </w:r>
      <w:r w:rsidRPr="00183F91">
        <w:rPr>
          <w:lang w:val="fr-FR"/>
        </w:rPr>
        <w:t>air extérieur et la santé menée par l</w:t>
      </w:r>
      <w:r w:rsidR="00442D55" w:rsidRPr="00183F91">
        <w:rPr>
          <w:lang w:val="fr-FR"/>
        </w:rPr>
        <w:t>’</w:t>
      </w:r>
      <w:r w:rsidRPr="00183F91">
        <w:rPr>
          <w:lang w:val="fr-FR"/>
        </w:rPr>
        <w:t>Institut national de la statistique à Oulan-Bator en 2019, le nombre de naissances prématurées pour 1</w:t>
      </w:r>
      <w:r w:rsidR="00442D55" w:rsidRPr="00183F91">
        <w:rPr>
          <w:lang w:val="fr-FR"/>
        </w:rPr>
        <w:t> </w:t>
      </w:r>
      <w:r w:rsidRPr="00183F91">
        <w:rPr>
          <w:lang w:val="fr-FR"/>
        </w:rPr>
        <w:t>000 naissances vivantes, un problème lié à la pollution de l</w:t>
      </w:r>
      <w:r w:rsidR="00442D55" w:rsidRPr="00183F91">
        <w:rPr>
          <w:lang w:val="fr-FR"/>
        </w:rPr>
        <w:t>’</w:t>
      </w:r>
      <w:r w:rsidRPr="00183F91">
        <w:rPr>
          <w:lang w:val="fr-FR"/>
        </w:rPr>
        <w:t>air, est en hausse depuis cinq ans. Il est passé à 81 en 2018, soit une augmentation par rapport à 2016, et une augmentation de 30 depuis 2014. Le nombre d</w:t>
      </w:r>
      <w:r w:rsidR="00442D55" w:rsidRPr="00183F91">
        <w:rPr>
          <w:lang w:val="fr-FR"/>
        </w:rPr>
        <w:t>’</w:t>
      </w:r>
      <w:r w:rsidRPr="00183F91">
        <w:rPr>
          <w:lang w:val="fr-FR"/>
        </w:rPr>
        <w:t>enfants présentant des malformations congénitales pour 1</w:t>
      </w:r>
      <w:r w:rsidR="00442D55" w:rsidRPr="00183F91">
        <w:rPr>
          <w:lang w:val="fr-FR"/>
        </w:rPr>
        <w:t> </w:t>
      </w:r>
      <w:r w:rsidRPr="00183F91">
        <w:rPr>
          <w:lang w:val="fr-FR"/>
        </w:rPr>
        <w:t>000 naissances vivantes est en baisse depuis 2014</w:t>
      </w:r>
      <w:r w:rsidR="00442D55" w:rsidRPr="00183F91">
        <w:rPr>
          <w:lang w:val="fr-FR"/>
        </w:rPr>
        <w:t> ;</w:t>
      </w:r>
      <w:r w:rsidRPr="00183F91">
        <w:rPr>
          <w:lang w:val="fr-FR"/>
        </w:rPr>
        <w:t xml:space="preserve"> il est descendu à 6 en 2018, soit une diminution de 2 par rapport à 2014. Le taux de mortinatalité est passé de 6 à 8 entre 2014 et 2015 et a diminué à partir de 2016. Le taux de malformations congénitales et de mortinaissances pour 1</w:t>
      </w:r>
      <w:r w:rsidR="00442D55" w:rsidRPr="00183F91">
        <w:rPr>
          <w:lang w:val="fr-FR"/>
        </w:rPr>
        <w:t> </w:t>
      </w:r>
      <w:r w:rsidRPr="00183F91">
        <w:rPr>
          <w:lang w:val="fr-FR"/>
        </w:rPr>
        <w:t>000 naissances vivantes a augmenté au cours des cinq dernières années, mois par mois, en parallèle de la pollution de l</w:t>
      </w:r>
      <w:r w:rsidR="00442D55" w:rsidRPr="00183F91">
        <w:rPr>
          <w:lang w:val="fr-FR"/>
        </w:rPr>
        <w:t>’</w:t>
      </w:r>
      <w:r w:rsidRPr="00183F91">
        <w:rPr>
          <w:lang w:val="fr-FR"/>
        </w:rPr>
        <w:t>air, et le nombre de malformations congénitales et de mortinaissances a augmenté dans les mois suivants.</w:t>
      </w:r>
    </w:p>
    <w:p w14:paraId="55549D1B" w14:textId="188F8EC3" w:rsidR="00EB1136" w:rsidRPr="00183F91" w:rsidRDefault="00EB1136" w:rsidP="003313DA">
      <w:pPr>
        <w:pStyle w:val="SingleTxt"/>
        <w:numPr>
          <w:ilvl w:val="0"/>
          <w:numId w:val="43"/>
        </w:numPr>
        <w:spacing w:line="240" w:lineRule="exact"/>
        <w:ind w:left="1267"/>
        <w:rPr>
          <w:lang w:val="fr-FR"/>
        </w:rPr>
      </w:pPr>
      <w:r w:rsidRPr="00183F91">
        <w:rPr>
          <w:lang w:val="fr-FR"/>
        </w:rPr>
        <w:t>Le taux de mortinatalité a été le plus élevé de septembre à novembre 2015 (</w:t>
      </w:r>
      <w:r w:rsidR="00A860FC" w:rsidRPr="00183F91">
        <w:rPr>
          <w:lang w:val="fr-FR"/>
        </w:rPr>
        <w:t xml:space="preserve">de </w:t>
      </w:r>
      <w:r w:rsidRPr="00183F91">
        <w:rPr>
          <w:lang w:val="fr-FR"/>
        </w:rPr>
        <w:t>10</w:t>
      </w:r>
      <w:r w:rsidR="00442D55" w:rsidRPr="00183F91">
        <w:rPr>
          <w:lang w:val="fr-FR"/>
        </w:rPr>
        <w:t> </w:t>
      </w:r>
      <w:r w:rsidRPr="00183F91">
        <w:rPr>
          <w:lang w:val="fr-FR"/>
        </w:rPr>
        <w:t>à 12)</w:t>
      </w:r>
      <w:r w:rsidR="00A860FC" w:rsidRPr="00183F91">
        <w:rPr>
          <w:lang w:val="fr-FR"/>
        </w:rPr>
        <w:t>.</w:t>
      </w:r>
      <w:r w:rsidRPr="00183F91">
        <w:rPr>
          <w:lang w:val="fr-FR"/>
        </w:rPr>
        <w:t xml:space="preserve"> Il était de 6 en décembre 2018, en baisse de 4 par rapport au mois précédent. La pollution atmosphérique à Oulan-Bator était la plus élevée en décembre et janvier, </w:t>
      </w:r>
      <w:r w:rsidRPr="00183F91">
        <w:rPr>
          <w:lang w:val="fr-FR"/>
        </w:rPr>
        <w:lastRenderedPageBreak/>
        <w:t>tandis que le nombre de naissances pour 1</w:t>
      </w:r>
      <w:r w:rsidR="00442D55" w:rsidRPr="00183F91">
        <w:rPr>
          <w:lang w:val="fr-FR"/>
        </w:rPr>
        <w:t> </w:t>
      </w:r>
      <w:r w:rsidRPr="00183F91">
        <w:rPr>
          <w:lang w:val="fr-FR"/>
        </w:rPr>
        <w:t>000 naissances vivantes était le plus élevé en octobre et juin 2014, comparé au nombre de 12 et 13 en octobre 2014 et 2015, respectivement. Cependant, le nombre d</w:t>
      </w:r>
      <w:r w:rsidR="00442D55" w:rsidRPr="00183F91">
        <w:rPr>
          <w:lang w:val="fr-FR"/>
        </w:rPr>
        <w:t>’</w:t>
      </w:r>
      <w:r w:rsidRPr="00183F91">
        <w:rPr>
          <w:lang w:val="fr-FR"/>
        </w:rPr>
        <w:t>anomalies congénitales pour 1</w:t>
      </w:r>
      <w:r w:rsidR="00442D55" w:rsidRPr="00183F91">
        <w:rPr>
          <w:lang w:val="fr-FR"/>
        </w:rPr>
        <w:t> </w:t>
      </w:r>
      <w:r w:rsidRPr="00183F91">
        <w:rPr>
          <w:lang w:val="fr-FR"/>
        </w:rPr>
        <w:t>000</w:t>
      </w:r>
      <w:r w:rsidR="00A66DA3" w:rsidRPr="00183F91">
        <w:rPr>
          <w:lang w:val="fr-FR"/>
        </w:rPr>
        <w:t> </w:t>
      </w:r>
      <w:r w:rsidRPr="00183F91">
        <w:rPr>
          <w:lang w:val="fr-FR"/>
        </w:rPr>
        <w:t>naissances vivantes a atteint son plus haut niveau en décembre 2018 (14, soit le double du mois précédent).</w:t>
      </w:r>
    </w:p>
    <w:p w14:paraId="2A1BF9AA" w14:textId="3A8FCEF9" w:rsidR="00EB1136" w:rsidRPr="00183F91" w:rsidRDefault="00EB1136" w:rsidP="003313DA">
      <w:pPr>
        <w:pStyle w:val="SingleTxt"/>
        <w:numPr>
          <w:ilvl w:val="0"/>
          <w:numId w:val="43"/>
        </w:numPr>
        <w:spacing w:line="240" w:lineRule="exact"/>
        <w:ind w:left="1267"/>
        <w:rPr>
          <w:lang w:val="fr-FR"/>
        </w:rPr>
      </w:pPr>
      <w:r w:rsidRPr="00183F91">
        <w:rPr>
          <w:lang w:val="fr-FR"/>
        </w:rPr>
        <w:t>Un autre indicateur lié à l</w:t>
      </w:r>
      <w:r w:rsidR="00442D55" w:rsidRPr="00183F91">
        <w:rPr>
          <w:lang w:val="fr-FR"/>
        </w:rPr>
        <w:t>’</w:t>
      </w:r>
      <w:r w:rsidRPr="00183F91">
        <w:rPr>
          <w:lang w:val="fr-FR"/>
        </w:rPr>
        <w:t>appareil reproducteur est le nombre de naissances prématurées pour 1</w:t>
      </w:r>
      <w:r w:rsidR="00442D55" w:rsidRPr="00183F91">
        <w:rPr>
          <w:lang w:val="fr-FR"/>
        </w:rPr>
        <w:t> </w:t>
      </w:r>
      <w:r w:rsidRPr="00183F91">
        <w:rPr>
          <w:lang w:val="fr-FR"/>
        </w:rPr>
        <w:t>000 naissances vivantes (22 à 36 semaines), qui augmente pendant les mois de forte pollution atmosphérique. Le nombre de naissances prématurées pour 1</w:t>
      </w:r>
      <w:r w:rsidR="00442D55" w:rsidRPr="00183F91">
        <w:rPr>
          <w:lang w:val="fr-FR"/>
        </w:rPr>
        <w:t> </w:t>
      </w:r>
      <w:r w:rsidRPr="00183F91">
        <w:rPr>
          <w:lang w:val="fr-FR"/>
        </w:rPr>
        <w:t>000 naissances vivantes à Oulan-Bator est passé de 52 en janvier 2014 à 83 et 98 en janvier et mars 2015, ce qui représente une augmentation par rapport à décembre. La moyenne pour les mois de janvier à mai 2018 était la plus élevée (87), soit une augmentation de 8 par rapport à la moyenne de l</w:t>
      </w:r>
      <w:r w:rsidR="00442D55" w:rsidRPr="00183F91">
        <w:rPr>
          <w:lang w:val="fr-FR"/>
        </w:rPr>
        <w:t>’</w:t>
      </w:r>
      <w:r w:rsidRPr="00183F91">
        <w:rPr>
          <w:lang w:val="fr-FR"/>
        </w:rPr>
        <w:t>année précédente, et de 14 par rapport à la moyenne de 2016.</w:t>
      </w:r>
    </w:p>
    <w:p w14:paraId="0E45B4F8" w14:textId="3A7C3BD7" w:rsidR="00EB1136" w:rsidRPr="00183F91" w:rsidRDefault="00EB1136" w:rsidP="003313DA">
      <w:pPr>
        <w:pStyle w:val="SingleTxt"/>
        <w:numPr>
          <w:ilvl w:val="0"/>
          <w:numId w:val="43"/>
        </w:numPr>
        <w:spacing w:line="240" w:lineRule="exact"/>
        <w:ind w:left="1267"/>
        <w:rPr>
          <w:lang w:val="fr-FR"/>
        </w:rPr>
      </w:pPr>
      <w:r w:rsidRPr="00183F91">
        <w:rPr>
          <w:lang w:val="fr-FR"/>
        </w:rPr>
        <w:t>On considère qu</w:t>
      </w:r>
      <w:r w:rsidR="00442D55" w:rsidRPr="00183F91">
        <w:rPr>
          <w:lang w:val="fr-FR"/>
        </w:rPr>
        <w:t>’</w:t>
      </w:r>
      <w:r w:rsidRPr="00183F91">
        <w:rPr>
          <w:lang w:val="fr-FR"/>
        </w:rPr>
        <w:t>il s</w:t>
      </w:r>
      <w:r w:rsidR="00442D55" w:rsidRPr="00183F91">
        <w:rPr>
          <w:lang w:val="fr-FR"/>
        </w:rPr>
        <w:t>’</w:t>
      </w:r>
      <w:r w:rsidRPr="00183F91">
        <w:rPr>
          <w:lang w:val="fr-FR"/>
        </w:rPr>
        <w:t>agit d</w:t>
      </w:r>
      <w:r w:rsidR="00442D55" w:rsidRPr="00183F91">
        <w:rPr>
          <w:lang w:val="fr-FR"/>
        </w:rPr>
        <w:t>’</w:t>
      </w:r>
      <w:r w:rsidRPr="00183F91">
        <w:rPr>
          <w:lang w:val="fr-FR"/>
        </w:rPr>
        <w:t>une mortinaissance lorsque le fœtus meurt pour une raison quelconque et cesse de se développer. Les principales causes de mortinatalité sont la santé de la mère, ainsi que l</w:t>
      </w:r>
      <w:r w:rsidR="00442D55" w:rsidRPr="00183F91">
        <w:rPr>
          <w:lang w:val="fr-FR"/>
        </w:rPr>
        <w:t>’</w:t>
      </w:r>
      <w:r w:rsidRPr="00183F91">
        <w:rPr>
          <w:lang w:val="fr-FR"/>
        </w:rPr>
        <w:t>environnement dans lequel elle vit, l</w:t>
      </w:r>
      <w:r w:rsidR="00442D55" w:rsidRPr="00183F91">
        <w:rPr>
          <w:lang w:val="fr-FR"/>
        </w:rPr>
        <w:t>’</w:t>
      </w:r>
      <w:r w:rsidRPr="00183F91">
        <w:rPr>
          <w:lang w:val="fr-FR"/>
        </w:rPr>
        <w:t>air qu</w:t>
      </w:r>
      <w:r w:rsidR="00442D55" w:rsidRPr="00183F91">
        <w:rPr>
          <w:lang w:val="fr-FR"/>
        </w:rPr>
        <w:t>’</w:t>
      </w:r>
      <w:r w:rsidRPr="00183F91">
        <w:rPr>
          <w:lang w:val="fr-FR"/>
        </w:rPr>
        <w:t>elle respire et la nourriture qu</w:t>
      </w:r>
      <w:r w:rsidR="00442D55" w:rsidRPr="00183F91">
        <w:rPr>
          <w:lang w:val="fr-FR"/>
        </w:rPr>
        <w:t>’</w:t>
      </w:r>
      <w:r w:rsidRPr="00183F91">
        <w:rPr>
          <w:lang w:val="fr-FR"/>
        </w:rPr>
        <w:t>elle consomme. À l</w:t>
      </w:r>
      <w:r w:rsidR="00442D55" w:rsidRPr="00183F91">
        <w:rPr>
          <w:lang w:val="fr-FR"/>
        </w:rPr>
        <w:t>’</w:t>
      </w:r>
      <w:r w:rsidRPr="00183F91">
        <w:rPr>
          <w:lang w:val="fr-FR"/>
        </w:rPr>
        <w:t>échelle nationale, le nombre de grossesses non désirées pour 1</w:t>
      </w:r>
      <w:r w:rsidR="00442D55" w:rsidRPr="00183F91">
        <w:rPr>
          <w:lang w:val="fr-FR"/>
        </w:rPr>
        <w:t> </w:t>
      </w:r>
      <w:r w:rsidRPr="00183F91">
        <w:rPr>
          <w:lang w:val="fr-FR"/>
        </w:rPr>
        <w:t>000 naissances vivantes a augmenté continuellement entre 2014 et 2017 et a diminué en 2018 par rapport à l</w:t>
      </w:r>
      <w:r w:rsidR="00442D55" w:rsidRPr="00183F91">
        <w:rPr>
          <w:lang w:val="fr-FR"/>
        </w:rPr>
        <w:t>’</w:t>
      </w:r>
      <w:r w:rsidRPr="00183F91">
        <w:rPr>
          <w:lang w:val="fr-FR"/>
        </w:rPr>
        <w:t>année précédente. La tendance est similaire à Oulan-Bator, mais supérieure à la moyenne nationale. Par exemple, en 2018, le nombre de mortinaissances pour 1</w:t>
      </w:r>
      <w:r w:rsidR="00442D55" w:rsidRPr="00183F91">
        <w:rPr>
          <w:lang w:val="fr-FR"/>
        </w:rPr>
        <w:t> </w:t>
      </w:r>
      <w:r w:rsidRPr="00183F91">
        <w:rPr>
          <w:lang w:val="fr-FR"/>
        </w:rPr>
        <w:t>000 naissances vivantes était de 69, soit 15 fois plus que la moyenne nationale et 3,3 fois plus que celle des villes en 2014.</w:t>
      </w:r>
    </w:p>
    <w:p w14:paraId="233C4924" w14:textId="1A41B4CA" w:rsidR="00EB1136" w:rsidRPr="00183F91" w:rsidRDefault="00EB1136" w:rsidP="003313DA">
      <w:pPr>
        <w:pStyle w:val="SingleTxt"/>
        <w:numPr>
          <w:ilvl w:val="0"/>
          <w:numId w:val="43"/>
        </w:numPr>
        <w:spacing w:line="240" w:lineRule="exact"/>
        <w:ind w:left="1267"/>
        <w:rPr>
          <w:lang w:val="fr-FR"/>
        </w:rPr>
      </w:pPr>
      <w:r w:rsidRPr="00183F91">
        <w:rPr>
          <w:lang w:val="fr-FR"/>
        </w:rPr>
        <w:t>Corrélé au taux mensuel moyen de pollution de l</w:t>
      </w:r>
      <w:r w:rsidR="00442D55" w:rsidRPr="00183F91">
        <w:rPr>
          <w:lang w:val="fr-FR"/>
        </w:rPr>
        <w:t>’</w:t>
      </w:r>
      <w:r w:rsidRPr="00183F91">
        <w:rPr>
          <w:lang w:val="fr-FR"/>
        </w:rPr>
        <w:t>air au cours des cinq dernières années, le nombre de mortinaissances pour 1</w:t>
      </w:r>
      <w:r w:rsidR="00442D55" w:rsidRPr="00183F91">
        <w:rPr>
          <w:lang w:val="fr-FR"/>
        </w:rPr>
        <w:t> </w:t>
      </w:r>
      <w:r w:rsidRPr="00183F91">
        <w:rPr>
          <w:lang w:val="fr-FR"/>
        </w:rPr>
        <w:t>000 naissances vivantes à Oulan-Bator a également augmenté au cours des mois suivants un mois où la pollution de l</w:t>
      </w:r>
      <w:r w:rsidR="00442D55" w:rsidRPr="00183F91">
        <w:rPr>
          <w:lang w:val="fr-FR"/>
        </w:rPr>
        <w:t>’</w:t>
      </w:r>
      <w:r w:rsidRPr="00183F91">
        <w:rPr>
          <w:lang w:val="fr-FR"/>
        </w:rPr>
        <w:t xml:space="preserve">air était la plus élevée. </w:t>
      </w:r>
    </w:p>
    <w:p w14:paraId="5ACEA2A6" w14:textId="486E4B91" w:rsidR="00EB1136" w:rsidRPr="00183F91" w:rsidRDefault="00EB1136" w:rsidP="003313DA">
      <w:pPr>
        <w:pStyle w:val="SingleTxt"/>
        <w:numPr>
          <w:ilvl w:val="0"/>
          <w:numId w:val="43"/>
        </w:numPr>
        <w:spacing w:line="240" w:lineRule="exact"/>
        <w:ind w:left="1267"/>
        <w:rPr>
          <w:lang w:val="fr-FR"/>
        </w:rPr>
      </w:pPr>
      <w:r w:rsidRPr="00183F91">
        <w:rPr>
          <w:lang w:val="fr-FR"/>
        </w:rPr>
        <w:t>Le coût de la pollution de l</w:t>
      </w:r>
      <w:r w:rsidR="00442D55" w:rsidRPr="00183F91">
        <w:rPr>
          <w:lang w:val="fr-FR"/>
        </w:rPr>
        <w:t>’</w:t>
      </w:r>
      <w:r w:rsidRPr="00183F91">
        <w:rPr>
          <w:lang w:val="fr-FR"/>
        </w:rPr>
        <w:t>air est très élevé. Conséquence directe de la pollution de l</w:t>
      </w:r>
      <w:r w:rsidR="00442D55" w:rsidRPr="00183F91">
        <w:rPr>
          <w:lang w:val="fr-FR"/>
        </w:rPr>
        <w:t>’</w:t>
      </w:r>
      <w:r w:rsidRPr="00183F91">
        <w:rPr>
          <w:lang w:val="fr-FR"/>
        </w:rPr>
        <w:t>air à Oulan-Bator, les dépenses de santé publique pour 2017-2025 sont estimées à 24,5 milliards de togrogs, et certaines dépenses indirectes (telles que la baisse des revenus due aux soins apportés aux patients) sont estimées à 46,6 milliards de togrogs.</w:t>
      </w:r>
    </w:p>
    <w:p w14:paraId="44429977" w14:textId="4F73D1D4" w:rsidR="00EB1136" w:rsidRPr="00183F91" w:rsidRDefault="00EB1136" w:rsidP="003313DA">
      <w:pPr>
        <w:pStyle w:val="SingleTxt"/>
        <w:numPr>
          <w:ilvl w:val="0"/>
          <w:numId w:val="43"/>
        </w:numPr>
        <w:spacing w:line="240" w:lineRule="exact"/>
        <w:ind w:left="1267"/>
        <w:rPr>
          <w:lang w:val="fr-FR"/>
        </w:rPr>
      </w:pPr>
      <w:r w:rsidRPr="00183F91">
        <w:rPr>
          <w:lang w:val="fr-FR"/>
        </w:rPr>
        <w:t>La qualité de l</w:t>
      </w:r>
      <w:r w:rsidR="00442D55" w:rsidRPr="00183F91">
        <w:rPr>
          <w:lang w:val="fr-FR"/>
        </w:rPr>
        <w:t>’</w:t>
      </w:r>
      <w:r w:rsidRPr="00183F91">
        <w:rPr>
          <w:lang w:val="fr-FR"/>
        </w:rPr>
        <w:t>air doit être améliorée afin de la ramener à des niveaux acceptables. Toutefois, il faudra un certain temps pour résoudre ce problème. En effet, des investissements à long terme sont nécessaires dès maintenant, mais cela n</w:t>
      </w:r>
      <w:r w:rsidR="00442D55" w:rsidRPr="00183F91">
        <w:rPr>
          <w:lang w:val="fr-FR"/>
        </w:rPr>
        <w:t>’</w:t>
      </w:r>
      <w:r w:rsidRPr="00183F91">
        <w:rPr>
          <w:lang w:val="fr-FR"/>
        </w:rPr>
        <w:t>est pas possible, à un moment où les ressources financières du Gouvernement actuel sont limitées. Par conséquent, dans le cadre des solutions à moyen terme, il est urgent de prendre des mesures concernant spécifiquement les enfants et les femmes enceintes, qui sont les plus touchés par la pollution de l</w:t>
      </w:r>
      <w:r w:rsidR="00442D55" w:rsidRPr="00183F91">
        <w:rPr>
          <w:lang w:val="fr-FR"/>
        </w:rPr>
        <w:t>’</w:t>
      </w:r>
      <w:r w:rsidRPr="00183F91">
        <w:rPr>
          <w:lang w:val="fr-FR"/>
        </w:rPr>
        <w:t>air. Ces mesures comprennent notamment</w:t>
      </w:r>
      <w:r w:rsidR="00442D55" w:rsidRPr="00183F91">
        <w:rPr>
          <w:lang w:val="fr-FR"/>
        </w:rPr>
        <w:t> :</w:t>
      </w:r>
      <w:r w:rsidRPr="00183F91">
        <w:rPr>
          <w:lang w:val="fr-FR"/>
        </w:rPr>
        <w:t xml:space="preserve"> la vaccination contre la pneumonie</w:t>
      </w:r>
      <w:r w:rsidR="00442D55" w:rsidRPr="00183F91">
        <w:rPr>
          <w:lang w:val="fr-FR"/>
        </w:rPr>
        <w:t> ;</w:t>
      </w:r>
      <w:r w:rsidRPr="00183F91">
        <w:rPr>
          <w:lang w:val="fr-FR"/>
        </w:rPr>
        <w:t xml:space="preserve"> la fourniture gratuite de médicaments de qualité pour le traitement ambulatoire des enfants souffrant de maladies liées à la pollution de l</w:t>
      </w:r>
      <w:r w:rsidR="00442D55" w:rsidRPr="00183F91">
        <w:rPr>
          <w:lang w:val="fr-FR"/>
        </w:rPr>
        <w:t>’</w:t>
      </w:r>
      <w:r w:rsidRPr="00183F91">
        <w:rPr>
          <w:lang w:val="fr-FR"/>
        </w:rPr>
        <w:t>air dans les districts où la pollution atmosphérique est la plus élevée</w:t>
      </w:r>
      <w:r w:rsidR="00442D55" w:rsidRPr="00183F91">
        <w:rPr>
          <w:lang w:val="fr-FR"/>
        </w:rPr>
        <w:t> ;</w:t>
      </w:r>
      <w:r w:rsidRPr="00183F91">
        <w:rPr>
          <w:lang w:val="fr-FR"/>
        </w:rPr>
        <w:t xml:space="preserve"> la fourniture d</w:t>
      </w:r>
      <w:r w:rsidR="00442D55" w:rsidRPr="00183F91">
        <w:rPr>
          <w:lang w:val="fr-FR"/>
        </w:rPr>
        <w:t>’</w:t>
      </w:r>
      <w:r w:rsidRPr="00183F91">
        <w:rPr>
          <w:lang w:val="fr-FR"/>
        </w:rPr>
        <w:t>informations précises et factuelles aux mères, avant et après la naissance, grâce à la formation des agents de santé</w:t>
      </w:r>
      <w:r w:rsidR="00442D55" w:rsidRPr="00183F91">
        <w:rPr>
          <w:lang w:val="fr-FR"/>
        </w:rPr>
        <w:t> ;</w:t>
      </w:r>
      <w:r w:rsidRPr="00183F91">
        <w:rPr>
          <w:lang w:val="fr-FR"/>
        </w:rPr>
        <w:t xml:space="preserve"> l</w:t>
      </w:r>
      <w:r w:rsidR="00442D55" w:rsidRPr="00183F91">
        <w:rPr>
          <w:lang w:val="fr-FR"/>
        </w:rPr>
        <w:t>’</w:t>
      </w:r>
      <w:r w:rsidRPr="00183F91">
        <w:rPr>
          <w:lang w:val="fr-FR"/>
        </w:rPr>
        <w:t>amélioration de la qualité de l</w:t>
      </w:r>
      <w:r w:rsidR="00442D55" w:rsidRPr="00183F91">
        <w:rPr>
          <w:lang w:val="fr-FR"/>
        </w:rPr>
        <w:t>’</w:t>
      </w:r>
      <w:r w:rsidRPr="00183F91">
        <w:rPr>
          <w:lang w:val="fr-FR"/>
        </w:rPr>
        <w:t>air intérieur dans les écoles, les jardins d</w:t>
      </w:r>
      <w:r w:rsidR="00442D55" w:rsidRPr="00183F91">
        <w:rPr>
          <w:lang w:val="fr-FR"/>
        </w:rPr>
        <w:t>’</w:t>
      </w:r>
      <w:r w:rsidRPr="00183F91">
        <w:rPr>
          <w:lang w:val="fr-FR"/>
        </w:rPr>
        <w:t>enfants et les hôpitaux où les enfants passent beaucoup de temps</w:t>
      </w:r>
      <w:r w:rsidR="00442D55" w:rsidRPr="00183F91">
        <w:rPr>
          <w:lang w:val="fr-FR"/>
        </w:rPr>
        <w:t> ;</w:t>
      </w:r>
      <w:r w:rsidRPr="00183F91">
        <w:rPr>
          <w:lang w:val="fr-FR"/>
        </w:rPr>
        <w:t xml:space="preserve"> la formulation de recommandations sur l</w:t>
      </w:r>
      <w:r w:rsidR="00442D55" w:rsidRPr="00183F91">
        <w:rPr>
          <w:lang w:val="fr-FR"/>
        </w:rPr>
        <w:t>’</w:t>
      </w:r>
      <w:r w:rsidRPr="00183F91">
        <w:rPr>
          <w:lang w:val="fr-FR"/>
        </w:rPr>
        <w:t>utilisation de masques antifumée de haute qualité</w:t>
      </w:r>
      <w:r w:rsidR="00442D55" w:rsidRPr="00183F91">
        <w:rPr>
          <w:lang w:val="fr-FR"/>
        </w:rPr>
        <w:t> ;</w:t>
      </w:r>
      <w:r w:rsidRPr="00183F91">
        <w:rPr>
          <w:lang w:val="fr-FR"/>
        </w:rPr>
        <w:t xml:space="preserve"> des campagnes de sensibilisation pour changer les comportements, etc. Ces mesures sont des solutions à court terme pour protéger la santé des enfants qui sont les plus vulnérables et les plus sensibles à la pollution de l</w:t>
      </w:r>
      <w:r w:rsidR="00442D55" w:rsidRPr="00183F91">
        <w:rPr>
          <w:lang w:val="fr-FR"/>
        </w:rPr>
        <w:t>’</w:t>
      </w:r>
      <w:r w:rsidRPr="00183F91">
        <w:rPr>
          <w:lang w:val="fr-FR"/>
        </w:rPr>
        <w:t>air.</w:t>
      </w:r>
    </w:p>
    <w:p w14:paraId="72BC3C79" w14:textId="3A68DAE7" w:rsidR="003313DA" w:rsidRPr="00183F91" w:rsidRDefault="003313DA" w:rsidP="003313DA">
      <w:pPr>
        <w:pStyle w:val="SingleTxt"/>
        <w:spacing w:after="0" w:line="120" w:lineRule="exact"/>
        <w:rPr>
          <w:sz w:val="10"/>
          <w:lang w:val="fr-FR"/>
        </w:rPr>
      </w:pPr>
    </w:p>
    <w:p w14:paraId="63A2ADF3" w14:textId="72F841E7" w:rsidR="003313DA" w:rsidRPr="00183F91" w:rsidRDefault="003313DA" w:rsidP="003313DA">
      <w:pPr>
        <w:pStyle w:val="SingleTxt"/>
        <w:spacing w:after="0" w:line="120" w:lineRule="exact"/>
        <w:rPr>
          <w:sz w:val="10"/>
          <w:lang w:val="fr-FR"/>
        </w:rPr>
      </w:pPr>
    </w:p>
    <w:p w14:paraId="489652BA" w14:textId="781EA241" w:rsidR="00EB1136" w:rsidRPr="00183F91" w:rsidRDefault="003313D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83F91">
        <w:rPr>
          <w:lang w:val="fr-FR"/>
        </w:rPr>
        <w:lastRenderedPageBreak/>
        <w:tab/>
      </w:r>
      <w:r w:rsidR="00EB1136" w:rsidRPr="00183F91">
        <w:rPr>
          <w:lang w:val="fr-FR"/>
        </w:rPr>
        <w:t>V.</w:t>
      </w:r>
      <w:r w:rsidR="00EB1136" w:rsidRPr="00183F91">
        <w:rPr>
          <w:lang w:val="fr-FR"/>
        </w:rPr>
        <w:tab/>
        <w:t>Réponse au paragraphe 20 de la liste de points</w:t>
      </w:r>
    </w:p>
    <w:p w14:paraId="4A43950B" w14:textId="1DB9A389" w:rsidR="003313DA" w:rsidRPr="00183F91" w:rsidRDefault="003313DA" w:rsidP="000821D9">
      <w:pPr>
        <w:pStyle w:val="SingleTxt"/>
        <w:keepNext/>
        <w:spacing w:after="0" w:line="120" w:lineRule="exact"/>
        <w:rPr>
          <w:sz w:val="10"/>
          <w:lang w:val="fr-FR"/>
        </w:rPr>
      </w:pPr>
    </w:p>
    <w:p w14:paraId="75C37EC1" w14:textId="67E2B6F6" w:rsidR="003313DA" w:rsidRPr="00183F91" w:rsidRDefault="003313DA" w:rsidP="000821D9">
      <w:pPr>
        <w:pStyle w:val="SingleTxt"/>
        <w:keepNext/>
        <w:spacing w:after="0" w:line="120" w:lineRule="exact"/>
        <w:rPr>
          <w:sz w:val="10"/>
          <w:lang w:val="fr-FR"/>
        </w:rPr>
      </w:pPr>
    </w:p>
    <w:p w14:paraId="49F0850F" w14:textId="480B4CE8" w:rsidR="00EB1136" w:rsidRPr="00183F91" w:rsidRDefault="00EB1136" w:rsidP="003313DA">
      <w:pPr>
        <w:pStyle w:val="SingleTxt"/>
        <w:numPr>
          <w:ilvl w:val="0"/>
          <w:numId w:val="43"/>
        </w:numPr>
        <w:spacing w:line="240" w:lineRule="exact"/>
        <w:ind w:left="1267"/>
        <w:rPr>
          <w:lang w:val="fr-FR"/>
        </w:rPr>
      </w:pPr>
      <w:r w:rsidRPr="00183F91">
        <w:rPr>
          <w:lang w:val="fr-FR"/>
        </w:rPr>
        <w:t>Bien que la croissance économique s</w:t>
      </w:r>
      <w:r w:rsidR="00442D55" w:rsidRPr="00183F91">
        <w:rPr>
          <w:lang w:val="fr-FR"/>
        </w:rPr>
        <w:t>’</w:t>
      </w:r>
      <w:r w:rsidRPr="00183F91">
        <w:rPr>
          <w:lang w:val="fr-FR"/>
        </w:rPr>
        <w:t>accélère, les inégalités entre les différents groupes sociaux ont une incidence négative sur le développement de la Mongolie. Elles entravent le développement humain et économique et mettent en péril les libertés individuelles, la santé et la vie. Les inégalités persistent en matière de participation, de représentation et de prise de décisions dans les domaines économique et politique. Les statistiques et travaux de recherche montrent que les habitants des centres de population des aïmags</w:t>
      </w:r>
      <w:r w:rsidRPr="00183F91">
        <w:rPr>
          <w:i/>
          <w:iCs/>
          <w:lang w:val="fr-FR"/>
        </w:rPr>
        <w:t xml:space="preserve"> </w:t>
      </w:r>
      <w:r w:rsidRPr="00183F91">
        <w:rPr>
          <w:lang w:val="fr-FR"/>
        </w:rPr>
        <w:t>et soums</w:t>
      </w:r>
      <w:r w:rsidRPr="00183F91">
        <w:rPr>
          <w:i/>
          <w:iCs/>
          <w:lang w:val="fr-FR"/>
        </w:rPr>
        <w:t xml:space="preserve"> </w:t>
      </w:r>
      <w:r w:rsidRPr="00183F91">
        <w:rPr>
          <w:lang w:val="fr-FR"/>
        </w:rPr>
        <w:t>sont plus exposés à la pauvreté de revenu, tandis que les populations rurales sont davantage menacées par la pauvreté due à l</w:t>
      </w:r>
      <w:r w:rsidR="00442D55" w:rsidRPr="00183F91">
        <w:rPr>
          <w:lang w:val="fr-FR"/>
        </w:rPr>
        <w:t>’</w:t>
      </w:r>
      <w:r w:rsidRPr="00183F91">
        <w:rPr>
          <w:lang w:val="fr-FR"/>
        </w:rPr>
        <w:t>insuffisance des infrastructures, au manque d</w:t>
      </w:r>
      <w:r w:rsidR="00442D55" w:rsidRPr="00183F91">
        <w:rPr>
          <w:lang w:val="fr-FR"/>
        </w:rPr>
        <w:t>’</w:t>
      </w:r>
      <w:r w:rsidRPr="00183F91">
        <w:rPr>
          <w:lang w:val="fr-FR"/>
        </w:rPr>
        <w:t>accès aux marchés, aux techniques traditionnelles d</w:t>
      </w:r>
      <w:r w:rsidR="00442D55" w:rsidRPr="00183F91">
        <w:rPr>
          <w:lang w:val="fr-FR"/>
        </w:rPr>
        <w:t>’</w:t>
      </w:r>
      <w:r w:rsidRPr="00183F91">
        <w:rPr>
          <w:lang w:val="fr-FR"/>
        </w:rPr>
        <w:t>élevage inefficaces et à la taille insuffisante des troupeaux. En zone rurale, les éleveurs sont particulièrement démunis</w:t>
      </w:r>
      <w:r w:rsidR="00442D55" w:rsidRPr="00183F91">
        <w:rPr>
          <w:lang w:val="fr-FR"/>
        </w:rPr>
        <w:t> :</w:t>
      </w:r>
      <w:r w:rsidRPr="00183F91">
        <w:rPr>
          <w:lang w:val="fr-FR"/>
        </w:rPr>
        <w:t xml:space="preserve"> leurs troupeaux sont trop petits, leurs sources de revenus trop limitées, l</w:t>
      </w:r>
      <w:r w:rsidR="00442D55" w:rsidRPr="00183F91">
        <w:rPr>
          <w:lang w:val="fr-FR"/>
        </w:rPr>
        <w:t>’</w:t>
      </w:r>
      <w:r w:rsidRPr="00183F91">
        <w:rPr>
          <w:lang w:val="fr-FR"/>
        </w:rPr>
        <w:t>accès à l</w:t>
      </w:r>
      <w:r w:rsidR="00442D55" w:rsidRPr="00183F91">
        <w:rPr>
          <w:lang w:val="fr-FR"/>
        </w:rPr>
        <w:t>’</w:t>
      </w:r>
      <w:r w:rsidRPr="00183F91">
        <w:rPr>
          <w:lang w:val="fr-FR"/>
        </w:rPr>
        <w:t>assurance sociale trop difficile. Les ruraux n</w:t>
      </w:r>
      <w:r w:rsidR="00442D55" w:rsidRPr="00183F91">
        <w:rPr>
          <w:lang w:val="fr-FR"/>
        </w:rPr>
        <w:t>’</w:t>
      </w:r>
      <w:r w:rsidRPr="00183F91">
        <w:rPr>
          <w:lang w:val="fr-FR"/>
        </w:rPr>
        <w:t>ont qu</w:t>
      </w:r>
      <w:r w:rsidR="00442D55" w:rsidRPr="00183F91">
        <w:rPr>
          <w:lang w:val="fr-FR"/>
        </w:rPr>
        <w:t>’</w:t>
      </w:r>
      <w:r w:rsidRPr="00183F91">
        <w:rPr>
          <w:lang w:val="fr-FR"/>
        </w:rPr>
        <w:t xml:space="preserve">un accès limité aux emplois rémunérés, car ils dépendent du bétail. Ils sont donc plus vulnérables aux catastrophes naturelles comme la sécheresse ou le </w:t>
      </w:r>
      <w:r w:rsidRPr="00183F91">
        <w:rPr>
          <w:i/>
          <w:iCs/>
          <w:lang w:val="fr-FR"/>
        </w:rPr>
        <w:t>dzud</w:t>
      </w:r>
      <w:r w:rsidRPr="00183F91">
        <w:rPr>
          <w:lang w:val="fr-FR"/>
        </w:rPr>
        <w:t>.</w:t>
      </w:r>
    </w:p>
    <w:p w14:paraId="2B2D61F9" w14:textId="16AF6205" w:rsidR="00EB1136" w:rsidRPr="00183F91" w:rsidRDefault="00EB1136" w:rsidP="003313DA">
      <w:pPr>
        <w:pStyle w:val="SingleTxt"/>
        <w:numPr>
          <w:ilvl w:val="0"/>
          <w:numId w:val="43"/>
        </w:numPr>
        <w:spacing w:line="240" w:lineRule="exact"/>
        <w:ind w:left="1267"/>
        <w:rPr>
          <w:lang w:val="fr-FR"/>
        </w:rPr>
      </w:pPr>
      <w:r w:rsidRPr="00183F91">
        <w:rPr>
          <w:lang w:val="fr-FR"/>
        </w:rPr>
        <w:t>La pauvreté et la mauvaise santé restent un problème en zone rurale, car l</w:t>
      </w:r>
      <w:r w:rsidR="00442D55" w:rsidRPr="00183F91">
        <w:rPr>
          <w:lang w:val="fr-FR"/>
        </w:rPr>
        <w:t>’</w:t>
      </w:r>
      <w:r w:rsidRPr="00183F91">
        <w:rPr>
          <w:lang w:val="fr-FR"/>
        </w:rPr>
        <w:t>accès aux services de santé y est limité. Il en va de même pour l</w:t>
      </w:r>
      <w:r w:rsidR="00442D55" w:rsidRPr="00183F91">
        <w:rPr>
          <w:lang w:val="fr-FR"/>
        </w:rPr>
        <w:t>’</w:t>
      </w:r>
      <w:r w:rsidRPr="00183F91">
        <w:rPr>
          <w:lang w:val="fr-FR"/>
        </w:rPr>
        <w:t>accès aux services publics, ce qui nuit particulièrement aux femmes et aux enfants.</w:t>
      </w:r>
    </w:p>
    <w:p w14:paraId="071458EA" w14:textId="73BF7012" w:rsidR="00EB1136" w:rsidRPr="00183F91" w:rsidRDefault="00EB1136" w:rsidP="003313DA">
      <w:pPr>
        <w:pStyle w:val="SingleTxt"/>
        <w:numPr>
          <w:ilvl w:val="0"/>
          <w:numId w:val="43"/>
        </w:numPr>
        <w:spacing w:line="240" w:lineRule="exact"/>
        <w:ind w:left="1267"/>
        <w:rPr>
          <w:lang w:val="fr-FR"/>
        </w:rPr>
      </w:pPr>
      <w:r w:rsidRPr="00183F91">
        <w:rPr>
          <w:lang w:val="fr-FR"/>
        </w:rPr>
        <w:t>D</w:t>
      </w:r>
      <w:r w:rsidR="00442D55" w:rsidRPr="00183F91">
        <w:rPr>
          <w:lang w:val="fr-FR"/>
        </w:rPr>
        <w:t>’</w:t>
      </w:r>
      <w:r w:rsidRPr="00183F91">
        <w:rPr>
          <w:lang w:val="fr-FR"/>
        </w:rPr>
        <w:t>après des estimations communes de l</w:t>
      </w:r>
      <w:r w:rsidR="00442D55" w:rsidRPr="00183F91">
        <w:rPr>
          <w:lang w:val="fr-FR"/>
        </w:rPr>
        <w:t>’</w:t>
      </w:r>
      <w:r w:rsidRPr="00183F91">
        <w:rPr>
          <w:lang w:val="fr-FR"/>
        </w:rPr>
        <w:t>organisme national de statistique et de la Banque mondiale, le taux de pauvreté en Mongolie est passé de 29,6</w:t>
      </w:r>
      <w:r w:rsidR="00442D55" w:rsidRPr="00183F91">
        <w:rPr>
          <w:lang w:val="fr-FR"/>
        </w:rPr>
        <w:t> </w:t>
      </w:r>
      <w:r w:rsidRPr="00183F91">
        <w:rPr>
          <w:lang w:val="fr-FR"/>
        </w:rPr>
        <w:t>% en 2016 à 28,4</w:t>
      </w:r>
      <w:r w:rsidR="00442D55" w:rsidRPr="00183F91">
        <w:rPr>
          <w:lang w:val="fr-FR"/>
        </w:rPr>
        <w:t> </w:t>
      </w:r>
      <w:r w:rsidRPr="00183F91">
        <w:rPr>
          <w:lang w:val="fr-FR"/>
        </w:rPr>
        <w:t>% en 2018, soit une diminution de 1,2</w:t>
      </w:r>
      <w:r w:rsidR="00442D55" w:rsidRPr="00183F91">
        <w:rPr>
          <w:lang w:val="fr-FR"/>
        </w:rPr>
        <w:t> </w:t>
      </w:r>
      <w:r w:rsidRPr="00183F91">
        <w:rPr>
          <w:lang w:val="fr-FR"/>
        </w:rPr>
        <w:t>%. Les pauvres vivent de plus en plus en zone urbaine. Entre 2016 et 2018, le taux de pauvreté a diminué de 4,1</w:t>
      </w:r>
      <w:r w:rsidR="00442D55" w:rsidRPr="00183F91">
        <w:rPr>
          <w:lang w:val="fr-FR"/>
        </w:rPr>
        <w:t> </w:t>
      </w:r>
      <w:r w:rsidRPr="00183F91">
        <w:rPr>
          <w:lang w:val="fr-FR"/>
        </w:rPr>
        <w:t>% en zone rurale et a augmenté de 0,1</w:t>
      </w:r>
      <w:r w:rsidR="00442D55" w:rsidRPr="00183F91">
        <w:rPr>
          <w:lang w:val="fr-FR"/>
        </w:rPr>
        <w:t> </w:t>
      </w:r>
      <w:r w:rsidRPr="00183F91">
        <w:rPr>
          <w:lang w:val="fr-FR"/>
        </w:rPr>
        <w:t>% en zone urbaine. Le taux de pauvreté reste élevé en zone rurale, mais il augmente dans les zones urbaines, qui regroupent deux tiers de la population du pays. Au total, 62,1</w:t>
      </w:r>
      <w:r w:rsidR="00442D55" w:rsidRPr="00183F91">
        <w:rPr>
          <w:lang w:val="fr-FR"/>
        </w:rPr>
        <w:t> </w:t>
      </w:r>
      <w:r w:rsidRPr="00183F91">
        <w:rPr>
          <w:lang w:val="fr-FR"/>
        </w:rPr>
        <w:t>% des pauvres vivaient en zone urbaine en 2016. En 2018, ils étaient 63,5</w:t>
      </w:r>
      <w:r w:rsidR="00442D55" w:rsidRPr="00183F91">
        <w:rPr>
          <w:lang w:val="fr-FR"/>
        </w:rPr>
        <w:t> </w:t>
      </w:r>
      <w:r w:rsidRPr="00183F91">
        <w:rPr>
          <w:lang w:val="fr-FR"/>
        </w:rPr>
        <w:t>% à vivre en ville (dont 41,8</w:t>
      </w:r>
      <w:r w:rsidR="00442D55" w:rsidRPr="00183F91">
        <w:rPr>
          <w:lang w:val="fr-FR"/>
        </w:rPr>
        <w:t> </w:t>
      </w:r>
      <w:r w:rsidRPr="00183F91">
        <w:rPr>
          <w:lang w:val="fr-FR"/>
        </w:rPr>
        <w:t>% à Oulan-Bator).</w:t>
      </w:r>
    </w:p>
    <w:p w14:paraId="495FCE61" w14:textId="7B7D4237" w:rsidR="003313DA" w:rsidRPr="00183F91" w:rsidRDefault="003313DA" w:rsidP="003313DA">
      <w:pPr>
        <w:pStyle w:val="SingleTxt"/>
        <w:spacing w:after="0" w:line="120" w:lineRule="exact"/>
        <w:rPr>
          <w:sz w:val="10"/>
          <w:lang w:val="fr-FR"/>
        </w:rPr>
      </w:pPr>
    </w:p>
    <w:p w14:paraId="0F62362A" w14:textId="45C4983D" w:rsidR="003313DA" w:rsidRPr="00183F91" w:rsidRDefault="003313DA" w:rsidP="003313DA">
      <w:pPr>
        <w:pStyle w:val="SingleTxt"/>
        <w:spacing w:after="0" w:line="120" w:lineRule="exact"/>
        <w:rPr>
          <w:sz w:val="10"/>
          <w:lang w:val="fr-FR"/>
        </w:rPr>
      </w:pPr>
    </w:p>
    <w:p w14:paraId="32A3B91D" w14:textId="06885F1C" w:rsidR="00EB1136" w:rsidRPr="00183F91" w:rsidRDefault="00EB1136" w:rsidP="003313D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83F91">
        <w:rPr>
          <w:lang w:val="fr-FR"/>
        </w:rPr>
        <w:tab/>
        <w:t>W.</w:t>
      </w:r>
      <w:r w:rsidRPr="00183F91">
        <w:rPr>
          <w:lang w:val="fr-FR"/>
        </w:rPr>
        <w:tab/>
        <w:t>Réponse au paragraphe 21 de la liste de points</w:t>
      </w:r>
    </w:p>
    <w:p w14:paraId="38B56E0B" w14:textId="234B70AB" w:rsidR="003313DA" w:rsidRPr="00183F91" w:rsidRDefault="003313DA" w:rsidP="003313DA">
      <w:pPr>
        <w:pStyle w:val="SingleTxt"/>
        <w:spacing w:after="0" w:line="120" w:lineRule="exact"/>
        <w:rPr>
          <w:sz w:val="10"/>
          <w:lang w:val="fr-FR"/>
        </w:rPr>
      </w:pPr>
    </w:p>
    <w:p w14:paraId="202E0D57" w14:textId="21C28572" w:rsidR="003313DA" w:rsidRPr="00183F91" w:rsidRDefault="003313DA" w:rsidP="003313DA">
      <w:pPr>
        <w:pStyle w:val="SingleTxt"/>
        <w:spacing w:after="0" w:line="120" w:lineRule="exact"/>
        <w:rPr>
          <w:sz w:val="10"/>
          <w:lang w:val="fr-FR"/>
        </w:rPr>
      </w:pPr>
    </w:p>
    <w:p w14:paraId="4E01588A" w14:textId="1556C02C" w:rsidR="00EB1136" w:rsidRPr="00183F91" w:rsidRDefault="00EB1136" w:rsidP="003313DA">
      <w:pPr>
        <w:pStyle w:val="SingleTxt"/>
        <w:numPr>
          <w:ilvl w:val="0"/>
          <w:numId w:val="43"/>
        </w:numPr>
        <w:spacing w:line="240" w:lineRule="exact"/>
        <w:ind w:left="1267"/>
        <w:rPr>
          <w:lang w:val="fr-FR"/>
        </w:rPr>
      </w:pPr>
      <w:r w:rsidRPr="00183F91">
        <w:rPr>
          <w:lang w:val="fr-FR"/>
        </w:rPr>
        <w:t>Le Ministère de l</w:t>
      </w:r>
      <w:r w:rsidR="00442D55" w:rsidRPr="00183F91">
        <w:rPr>
          <w:lang w:val="fr-FR"/>
        </w:rPr>
        <w:t>’</w:t>
      </w:r>
      <w:r w:rsidRPr="00183F91">
        <w:rPr>
          <w:lang w:val="fr-FR"/>
        </w:rPr>
        <w:t>alimentation, de l</w:t>
      </w:r>
      <w:r w:rsidR="00442D55" w:rsidRPr="00183F91">
        <w:rPr>
          <w:lang w:val="fr-FR"/>
        </w:rPr>
        <w:t>’</w:t>
      </w:r>
      <w:r w:rsidRPr="00183F91">
        <w:rPr>
          <w:lang w:val="fr-FR"/>
        </w:rPr>
        <w:t>agriculture et de l</w:t>
      </w:r>
      <w:r w:rsidR="00442D55" w:rsidRPr="00183F91">
        <w:rPr>
          <w:lang w:val="fr-FR"/>
        </w:rPr>
        <w:t>’</w:t>
      </w:r>
      <w:r w:rsidRPr="00183F91">
        <w:rPr>
          <w:lang w:val="fr-FR"/>
        </w:rPr>
        <w:t xml:space="preserve">industrie légère a organisé la traduction et la diffusion de la résolution sur </w:t>
      </w:r>
      <w:r w:rsidR="00442D55" w:rsidRPr="00183F91">
        <w:rPr>
          <w:lang w:val="fr-FR"/>
        </w:rPr>
        <w:t>« </w:t>
      </w:r>
      <w:r w:rsidRPr="00183F91">
        <w:rPr>
          <w:lang w:val="fr-FR"/>
        </w:rPr>
        <w:t>l</w:t>
      </w:r>
      <w:r w:rsidR="00442D55" w:rsidRPr="00183F91">
        <w:rPr>
          <w:lang w:val="fr-FR"/>
        </w:rPr>
        <w:t>’</w:t>
      </w:r>
      <w:r w:rsidRPr="00183F91">
        <w:rPr>
          <w:lang w:val="fr-FR"/>
        </w:rPr>
        <w:t>amélioration du sort des femmes et des filles en milieu rural</w:t>
      </w:r>
      <w:r w:rsidR="00442D55" w:rsidRPr="00183F91">
        <w:rPr>
          <w:lang w:val="fr-FR"/>
        </w:rPr>
        <w:t> »</w:t>
      </w:r>
      <w:r w:rsidRPr="00183F91">
        <w:rPr>
          <w:lang w:val="fr-FR"/>
        </w:rPr>
        <w:t xml:space="preserve"> adoptée par l</w:t>
      </w:r>
      <w:r w:rsidR="00442D55" w:rsidRPr="00183F91">
        <w:rPr>
          <w:lang w:val="fr-FR"/>
        </w:rPr>
        <w:t>’</w:t>
      </w:r>
      <w:r w:rsidRPr="00183F91">
        <w:rPr>
          <w:lang w:val="fr-FR"/>
        </w:rPr>
        <w:t>Assemblée générale des Nations Unies à sa soixante-douzième session.</w:t>
      </w:r>
    </w:p>
    <w:p w14:paraId="24AE7928" w14:textId="56648EAD" w:rsidR="00EB1136" w:rsidRPr="00183F91" w:rsidRDefault="00EB1136" w:rsidP="003313DA">
      <w:pPr>
        <w:pStyle w:val="SingleTxt"/>
        <w:numPr>
          <w:ilvl w:val="0"/>
          <w:numId w:val="43"/>
        </w:numPr>
        <w:spacing w:line="240" w:lineRule="exact"/>
        <w:ind w:left="1267"/>
        <w:rPr>
          <w:lang w:val="fr-FR"/>
        </w:rPr>
      </w:pPr>
      <w:r w:rsidRPr="00183F91">
        <w:rPr>
          <w:lang w:val="fr-FR"/>
        </w:rPr>
        <w:t>Des formations ont été organisées (265 au total), des recommandations méthodologiques ont été formulées et des mesures de soutien ont été prises aux fins de l</w:t>
      </w:r>
      <w:r w:rsidR="00442D55" w:rsidRPr="00183F91">
        <w:rPr>
          <w:lang w:val="fr-FR"/>
        </w:rPr>
        <w:t>’</w:t>
      </w:r>
      <w:r w:rsidRPr="00183F91">
        <w:rPr>
          <w:lang w:val="fr-FR"/>
        </w:rPr>
        <w:t>organisation et de l</w:t>
      </w:r>
      <w:r w:rsidR="00442D55" w:rsidRPr="00183F91">
        <w:rPr>
          <w:lang w:val="fr-FR"/>
        </w:rPr>
        <w:t>’</w:t>
      </w:r>
      <w:r w:rsidRPr="00183F91">
        <w:rPr>
          <w:lang w:val="fr-FR"/>
        </w:rPr>
        <w:t>autonomisation des éleveurs des soums</w:t>
      </w:r>
      <w:r w:rsidRPr="00183F91">
        <w:rPr>
          <w:i/>
          <w:iCs/>
          <w:lang w:val="fr-FR"/>
        </w:rPr>
        <w:t xml:space="preserve"> </w:t>
      </w:r>
      <w:r w:rsidRPr="00183F91">
        <w:rPr>
          <w:lang w:val="fr-FR"/>
        </w:rPr>
        <w:t xml:space="preserve">participant au projet </w:t>
      </w:r>
      <w:r w:rsidR="00442D55" w:rsidRPr="00183F91">
        <w:rPr>
          <w:lang w:val="fr-FR"/>
        </w:rPr>
        <w:t>« </w:t>
      </w:r>
      <w:r w:rsidRPr="00183F91">
        <w:rPr>
          <w:lang w:val="fr-FR"/>
        </w:rPr>
        <w:t>Green Gold</w:t>
      </w:r>
      <w:r w:rsidR="00442D55" w:rsidRPr="00183F91">
        <w:rPr>
          <w:lang w:val="fr-FR"/>
        </w:rPr>
        <w:t> »</w:t>
      </w:r>
      <w:r w:rsidRPr="00183F91">
        <w:rPr>
          <w:lang w:val="fr-FR"/>
        </w:rPr>
        <w:t xml:space="preserve"> pour la santé animale, de la mise au point de plans et de contrats d</w:t>
      </w:r>
      <w:r w:rsidR="00442D55" w:rsidRPr="00183F91">
        <w:rPr>
          <w:lang w:val="fr-FR"/>
        </w:rPr>
        <w:t>’</w:t>
      </w:r>
      <w:r w:rsidRPr="00183F91">
        <w:rPr>
          <w:lang w:val="fr-FR"/>
        </w:rPr>
        <w:t>utilisation des pâturages et du renforcement des connaissances et des informations disponibles sur l</w:t>
      </w:r>
      <w:r w:rsidR="00442D55" w:rsidRPr="00183F91">
        <w:rPr>
          <w:lang w:val="fr-FR"/>
        </w:rPr>
        <w:t>’</w:t>
      </w:r>
      <w:r w:rsidRPr="00183F91">
        <w:rPr>
          <w:lang w:val="fr-FR"/>
        </w:rPr>
        <w:t>utilisation rationnelle, la protection et la surveillance des pâturages en fonction de la capacité écologique. En tout, 27</w:t>
      </w:r>
      <w:r w:rsidR="00442D55" w:rsidRPr="00183F91">
        <w:rPr>
          <w:lang w:val="fr-FR"/>
        </w:rPr>
        <w:t> </w:t>
      </w:r>
      <w:r w:rsidRPr="00183F91">
        <w:rPr>
          <w:lang w:val="fr-FR"/>
        </w:rPr>
        <w:t>862 parties prenantes ont participé aux formations, dont 21</w:t>
      </w:r>
      <w:r w:rsidR="00442D55" w:rsidRPr="00183F91">
        <w:rPr>
          <w:lang w:val="fr-FR"/>
        </w:rPr>
        <w:t> </w:t>
      </w:r>
      <w:r w:rsidRPr="00183F91">
        <w:rPr>
          <w:lang w:val="fr-FR"/>
        </w:rPr>
        <w:t>344 éleveurs (soit 77</w:t>
      </w:r>
      <w:r w:rsidR="00442D55" w:rsidRPr="00183F91">
        <w:rPr>
          <w:lang w:val="fr-FR"/>
        </w:rPr>
        <w:t> </w:t>
      </w:r>
      <w:r w:rsidRPr="00183F91">
        <w:rPr>
          <w:lang w:val="fr-FR"/>
        </w:rPr>
        <w:t>% du total). Parmi les éleveurs, 8</w:t>
      </w:r>
      <w:r w:rsidR="00442D55" w:rsidRPr="00183F91">
        <w:rPr>
          <w:lang w:val="fr-FR"/>
        </w:rPr>
        <w:t> </w:t>
      </w:r>
      <w:r w:rsidRPr="00183F91">
        <w:rPr>
          <w:lang w:val="fr-FR"/>
        </w:rPr>
        <w:t>630</w:t>
      </w:r>
      <w:r w:rsidR="00A66DA3" w:rsidRPr="00183F91">
        <w:rPr>
          <w:lang w:val="fr-FR"/>
        </w:rPr>
        <w:t> </w:t>
      </w:r>
      <w:r w:rsidRPr="00183F91">
        <w:rPr>
          <w:lang w:val="fr-FR"/>
        </w:rPr>
        <w:t>(soit 40</w:t>
      </w:r>
      <w:r w:rsidR="00442D55" w:rsidRPr="00183F91">
        <w:rPr>
          <w:lang w:val="fr-FR"/>
        </w:rPr>
        <w:t> </w:t>
      </w:r>
      <w:r w:rsidRPr="00183F91">
        <w:rPr>
          <w:lang w:val="fr-FR"/>
        </w:rPr>
        <w:t>%) étaient des femmes.</w:t>
      </w:r>
    </w:p>
    <w:p w14:paraId="546AB0E6" w14:textId="199CFA5A" w:rsidR="00EB1136" w:rsidRPr="00183F91" w:rsidRDefault="00EB1136" w:rsidP="003313DA">
      <w:pPr>
        <w:pStyle w:val="SingleTxt"/>
        <w:numPr>
          <w:ilvl w:val="0"/>
          <w:numId w:val="43"/>
        </w:numPr>
        <w:spacing w:line="240" w:lineRule="exact"/>
        <w:ind w:left="1267"/>
        <w:rPr>
          <w:lang w:val="fr-FR"/>
        </w:rPr>
      </w:pPr>
      <w:r w:rsidRPr="00183F91">
        <w:rPr>
          <w:lang w:val="fr-FR"/>
        </w:rPr>
        <w:t>Le Gouvernement mongol a mis en place un programme spécial de création d</w:t>
      </w:r>
      <w:r w:rsidR="00442D55" w:rsidRPr="00183F91">
        <w:rPr>
          <w:lang w:val="fr-FR"/>
        </w:rPr>
        <w:t>’</w:t>
      </w:r>
      <w:r w:rsidRPr="00183F91">
        <w:rPr>
          <w:lang w:val="fr-FR"/>
        </w:rPr>
        <w:t>emplois pour les personnes qui possèdent ou non du bétail, basé sur l</w:t>
      </w:r>
      <w:r w:rsidR="00442D55" w:rsidRPr="00183F91">
        <w:rPr>
          <w:lang w:val="fr-FR"/>
        </w:rPr>
        <w:t>’</w:t>
      </w:r>
      <w:r w:rsidRPr="00183F91">
        <w:rPr>
          <w:lang w:val="fr-FR"/>
        </w:rPr>
        <w:t>appui à l</w:t>
      </w:r>
      <w:r w:rsidR="00442D55" w:rsidRPr="00183F91">
        <w:rPr>
          <w:lang w:val="fr-FR"/>
        </w:rPr>
        <w:t>’</w:t>
      </w:r>
      <w:r w:rsidRPr="00183F91">
        <w:rPr>
          <w:lang w:val="fr-FR"/>
        </w:rPr>
        <w:t>emploi des éleveurs.</w:t>
      </w:r>
    </w:p>
    <w:p w14:paraId="1C113854" w14:textId="6AC279C2" w:rsidR="00EB1136" w:rsidRPr="00183F91" w:rsidRDefault="00EB1136" w:rsidP="003313DA">
      <w:pPr>
        <w:pStyle w:val="SingleTxt"/>
        <w:numPr>
          <w:ilvl w:val="0"/>
          <w:numId w:val="43"/>
        </w:numPr>
        <w:spacing w:line="240" w:lineRule="exact"/>
        <w:ind w:left="1267"/>
        <w:rPr>
          <w:lang w:val="fr-FR"/>
        </w:rPr>
      </w:pPr>
      <w:r w:rsidRPr="00183F91">
        <w:rPr>
          <w:lang w:val="fr-FR"/>
        </w:rPr>
        <w:t>En décembre 2019, un total de 6</w:t>
      </w:r>
      <w:r w:rsidR="00442D55" w:rsidRPr="00183F91">
        <w:rPr>
          <w:lang w:val="fr-FR"/>
        </w:rPr>
        <w:t> </w:t>
      </w:r>
      <w:r w:rsidRPr="00183F91">
        <w:rPr>
          <w:lang w:val="fr-FR"/>
        </w:rPr>
        <w:t>086 éleveurs appartenant à 4</w:t>
      </w:r>
      <w:r w:rsidR="00442D55" w:rsidRPr="00183F91">
        <w:rPr>
          <w:lang w:val="fr-FR"/>
        </w:rPr>
        <w:t> </w:t>
      </w:r>
      <w:r w:rsidRPr="00183F91">
        <w:rPr>
          <w:lang w:val="fr-FR"/>
        </w:rPr>
        <w:t>253 ménages ruraux avaient participé au programme d</w:t>
      </w:r>
      <w:r w:rsidR="00442D55" w:rsidRPr="00183F91">
        <w:rPr>
          <w:lang w:val="fr-FR"/>
        </w:rPr>
        <w:t>’</w:t>
      </w:r>
      <w:r w:rsidRPr="00183F91">
        <w:rPr>
          <w:lang w:val="fr-FR"/>
        </w:rPr>
        <w:t>appui, qui a été financé à hauteur de 5</w:t>
      </w:r>
      <w:r w:rsidR="00442D55" w:rsidRPr="00183F91">
        <w:rPr>
          <w:lang w:val="fr-FR"/>
        </w:rPr>
        <w:t> </w:t>
      </w:r>
      <w:r w:rsidRPr="00183F91">
        <w:rPr>
          <w:lang w:val="fr-FR"/>
        </w:rPr>
        <w:t>600,7</w:t>
      </w:r>
      <w:r w:rsidR="00A66DA3" w:rsidRPr="00183F91">
        <w:rPr>
          <w:lang w:val="fr-FR"/>
        </w:rPr>
        <w:t> </w:t>
      </w:r>
      <w:r w:rsidRPr="00183F91">
        <w:rPr>
          <w:lang w:val="fr-FR"/>
        </w:rPr>
        <w:t xml:space="preserve">millions de togrogs. Le programme vise à réduire la pauvreté des ménages ruraux grâce à de nombreuses mesures relatives notamment à la reconstitution des </w:t>
      </w:r>
      <w:r w:rsidRPr="00183F91">
        <w:rPr>
          <w:lang w:val="fr-FR"/>
        </w:rPr>
        <w:lastRenderedPageBreak/>
        <w:t>troupeaux, à l</w:t>
      </w:r>
      <w:r w:rsidR="00442D55" w:rsidRPr="00183F91">
        <w:rPr>
          <w:lang w:val="fr-FR"/>
        </w:rPr>
        <w:t>’</w:t>
      </w:r>
      <w:r w:rsidRPr="00183F91">
        <w:rPr>
          <w:lang w:val="fr-FR"/>
        </w:rPr>
        <w:t>entrepreneuriat, à la formation à l</w:t>
      </w:r>
      <w:r w:rsidR="00442D55" w:rsidRPr="00183F91">
        <w:rPr>
          <w:lang w:val="fr-FR"/>
        </w:rPr>
        <w:t>’</w:t>
      </w:r>
      <w:r w:rsidRPr="00183F91">
        <w:rPr>
          <w:lang w:val="fr-FR"/>
        </w:rPr>
        <w:t>élevage, à la mise en commun de données d</w:t>
      </w:r>
      <w:r w:rsidR="00442D55" w:rsidRPr="00183F91">
        <w:rPr>
          <w:lang w:val="fr-FR"/>
        </w:rPr>
        <w:t>’</w:t>
      </w:r>
      <w:r w:rsidRPr="00183F91">
        <w:rPr>
          <w:lang w:val="fr-FR"/>
        </w:rPr>
        <w:t>expérience et à la sous-traitance de tâches à des ménages d</w:t>
      </w:r>
      <w:r w:rsidR="00442D55" w:rsidRPr="00183F91">
        <w:rPr>
          <w:lang w:val="fr-FR"/>
        </w:rPr>
        <w:t>’</w:t>
      </w:r>
      <w:r w:rsidRPr="00183F91">
        <w:rPr>
          <w:lang w:val="fr-FR"/>
        </w:rPr>
        <w:t>éleveurs. Les données sur les participants au programme ne peuvent pas être ventilées par genre.</w:t>
      </w:r>
    </w:p>
    <w:p w14:paraId="5BAAC103" w14:textId="3841C4B0" w:rsidR="00EB1136" w:rsidRPr="00183F91" w:rsidRDefault="00EB1136" w:rsidP="003313DA">
      <w:pPr>
        <w:pStyle w:val="SingleTxt"/>
        <w:numPr>
          <w:ilvl w:val="0"/>
          <w:numId w:val="43"/>
        </w:numPr>
        <w:spacing w:line="240" w:lineRule="exact"/>
        <w:ind w:left="1267"/>
        <w:rPr>
          <w:lang w:val="fr-FR"/>
        </w:rPr>
      </w:pPr>
      <w:r w:rsidRPr="00183F91">
        <w:rPr>
          <w:lang w:val="fr-FR"/>
        </w:rPr>
        <w:t>Bien que la Constitution, le Code civil et la loi sur l</w:t>
      </w:r>
      <w:r w:rsidR="00442D55" w:rsidRPr="00183F91">
        <w:rPr>
          <w:lang w:val="fr-FR"/>
        </w:rPr>
        <w:t>’</w:t>
      </w:r>
      <w:r w:rsidRPr="00183F91">
        <w:rPr>
          <w:lang w:val="fr-FR"/>
        </w:rPr>
        <w:t>attribution des terres aux citoyens mongols consacrent l</w:t>
      </w:r>
      <w:r w:rsidR="00442D55" w:rsidRPr="00183F91">
        <w:rPr>
          <w:lang w:val="fr-FR"/>
        </w:rPr>
        <w:t>’</w:t>
      </w:r>
      <w:r w:rsidRPr="00183F91">
        <w:rPr>
          <w:lang w:val="fr-FR"/>
        </w:rPr>
        <w:t>égalité entre femmes et hommes en matière de droits fonciers, les droits de propriété des femmes sont encore limités par certains facteurs. D</w:t>
      </w:r>
      <w:r w:rsidR="00442D55" w:rsidRPr="00183F91">
        <w:rPr>
          <w:lang w:val="fr-FR"/>
        </w:rPr>
        <w:t>’</w:t>
      </w:r>
      <w:r w:rsidRPr="00183F91">
        <w:rPr>
          <w:lang w:val="fr-FR"/>
        </w:rPr>
        <w:t>après une enquête menée par l</w:t>
      </w:r>
      <w:r w:rsidR="00442D55" w:rsidRPr="00183F91">
        <w:rPr>
          <w:lang w:val="fr-FR"/>
        </w:rPr>
        <w:t>’</w:t>
      </w:r>
      <w:r w:rsidRPr="00183F91">
        <w:rPr>
          <w:lang w:val="fr-FR"/>
        </w:rPr>
        <w:t>organisme national de statistique en 2018, les hommes possèdent presque deux fois plus de logements (foyers) que les femmes, trois à six fois plus de terres agricoles et une fois et demie plus de biens immobiliers autres. Les conceptions traditionnelles du genre et le fait que les femmes connaissent mal leurs droits de propriété sont des obstacles majeurs à l</w:t>
      </w:r>
      <w:r w:rsidR="00442D55" w:rsidRPr="00183F91">
        <w:rPr>
          <w:lang w:val="fr-FR"/>
        </w:rPr>
        <w:t>’</w:t>
      </w:r>
      <w:r w:rsidRPr="00183F91">
        <w:rPr>
          <w:lang w:val="fr-FR"/>
        </w:rPr>
        <w:t>égalité femmes-hommes.</w:t>
      </w:r>
    </w:p>
    <w:p w14:paraId="40BB6968" w14:textId="3EA7AEF1" w:rsidR="00EB1136" w:rsidRPr="00183F91" w:rsidRDefault="00EB1136" w:rsidP="003313DA">
      <w:pPr>
        <w:pStyle w:val="SingleTxt"/>
        <w:numPr>
          <w:ilvl w:val="0"/>
          <w:numId w:val="43"/>
        </w:numPr>
        <w:spacing w:line="240" w:lineRule="exact"/>
        <w:ind w:left="1267"/>
        <w:rPr>
          <w:lang w:val="fr-FR"/>
        </w:rPr>
      </w:pPr>
      <w:r w:rsidRPr="00183F91">
        <w:rPr>
          <w:lang w:val="fr-FR"/>
        </w:rPr>
        <w:t>Afin d</w:t>
      </w:r>
      <w:r w:rsidR="00442D55" w:rsidRPr="00183F91">
        <w:rPr>
          <w:lang w:val="fr-FR"/>
        </w:rPr>
        <w:t>’</w:t>
      </w:r>
      <w:r w:rsidRPr="00183F91">
        <w:rPr>
          <w:lang w:val="fr-FR"/>
        </w:rPr>
        <w:t>aider les éleveuses à gérer les pâturages, à produire des articles artisanaux et à accroître le revenu de leur ménage, on a lancé un concours de projets à petite échelle visant à aider des entrepreneuses à générer des revenus en fabriquant et vendant des produits artisanaux, leur permettant ainsi de se faire une place sur le marché. En 2018, 41 millions de togrogs ont été investis, sous la forme de prêts à 0</w:t>
      </w:r>
      <w:r w:rsidR="00442D55" w:rsidRPr="00183F91">
        <w:rPr>
          <w:lang w:val="fr-FR"/>
        </w:rPr>
        <w:t> </w:t>
      </w:r>
      <w:r w:rsidRPr="00183F91">
        <w:rPr>
          <w:lang w:val="fr-FR"/>
        </w:rPr>
        <w:t>%, dans 13 projets dans les industries du cuir, de la laine et des textiles.</w:t>
      </w:r>
    </w:p>
    <w:p w14:paraId="70C78209" w14:textId="66F5FEE1" w:rsidR="00EB1136" w:rsidRPr="00183F91" w:rsidRDefault="00EB1136" w:rsidP="003313DA">
      <w:pPr>
        <w:pStyle w:val="SingleTxt"/>
        <w:numPr>
          <w:ilvl w:val="0"/>
          <w:numId w:val="43"/>
        </w:numPr>
        <w:spacing w:line="240" w:lineRule="exact"/>
        <w:ind w:left="1267"/>
        <w:rPr>
          <w:lang w:val="fr-FR"/>
        </w:rPr>
      </w:pPr>
      <w:r w:rsidRPr="00183F91">
        <w:rPr>
          <w:lang w:val="fr-FR"/>
        </w:rPr>
        <w:t>Le projet a pour but d</w:t>
      </w:r>
      <w:r w:rsidR="00442D55" w:rsidRPr="00183F91">
        <w:rPr>
          <w:lang w:val="fr-FR"/>
        </w:rPr>
        <w:t>’</w:t>
      </w:r>
      <w:r w:rsidRPr="00183F91">
        <w:rPr>
          <w:lang w:val="fr-FR"/>
        </w:rPr>
        <w:t>appuyer la meilleure gestion des pâturages et la responsabilisation en ce qui concerne leur utilisation, de faire respecter les accords d</w:t>
      </w:r>
      <w:r w:rsidR="00442D55" w:rsidRPr="00183F91">
        <w:rPr>
          <w:lang w:val="fr-FR"/>
        </w:rPr>
        <w:t>’</w:t>
      </w:r>
      <w:r w:rsidRPr="00183F91">
        <w:rPr>
          <w:lang w:val="fr-FR"/>
        </w:rPr>
        <w:t>utilisation des pâturages, d</w:t>
      </w:r>
      <w:r w:rsidR="00442D55" w:rsidRPr="00183F91">
        <w:rPr>
          <w:lang w:val="fr-FR"/>
        </w:rPr>
        <w:t>’</w:t>
      </w:r>
      <w:r w:rsidRPr="00183F91">
        <w:rPr>
          <w:lang w:val="fr-FR"/>
        </w:rPr>
        <w:t>ajuster le nombre de têtes de bétail à la charge biotique maximale des pâturages, de concevoir et mettre en œuvre des programmes de rotation des troupeaux, de maintenir le bétail en bonne santé, d</w:t>
      </w:r>
      <w:r w:rsidR="00442D55" w:rsidRPr="00183F91">
        <w:rPr>
          <w:lang w:val="fr-FR"/>
        </w:rPr>
        <w:t>’</w:t>
      </w:r>
      <w:r w:rsidRPr="00183F91">
        <w:rPr>
          <w:lang w:val="fr-FR"/>
        </w:rPr>
        <w:t>accroître les stocks de fourrage disponibles pendant l</w:t>
      </w:r>
      <w:r w:rsidR="00442D55" w:rsidRPr="00183F91">
        <w:rPr>
          <w:lang w:val="fr-FR"/>
        </w:rPr>
        <w:t>’</w:t>
      </w:r>
      <w:r w:rsidRPr="00183F91">
        <w:rPr>
          <w:lang w:val="fr-FR"/>
        </w:rPr>
        <w:t>hiver et le printemps et de soutenir les éleveuses.</w:t>
      </w:r>
    </w:p>
    <w:p w14:paraId="7AC1103F" w14:textId="5B994CB4" w:rsidR="003313DA" w:rsidRPr="00183F91" w:rsidRDefault="003313DA" w:rsidP="003313DA">
      <w:pPr>
        <w:pStyle w:val="SingleTxt"/>
        <w:spacing w:after="0" w:line="120" w:lineRule="exact"/>
        <w:rPr>
          <w:sz w:val="10"/>
          <w:lang w:val="fr-FR"/>
        </w:rPr>
      </w:pPr>
    </w:p>
    <w:p w14:paraId="30D48982" w14:textId="2E077FBA" w:rsidR="00EB1136" w:rsidRPr="00183F91" w:rsidRDefault="00EB1136" w:rsidP="007A76A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83F91">
        <w:rPr>
          <w:lang w:val="fr-FR"/>
        </w:rPr>
        <w:tab/>
      </w:r>
      <w:r w:rsidRPr="00183F91">
        <w:rPr>
          <w:lang w:val="fr-FR"/>
        </w:rPr>
        <w:tab/>
        <w:t>Stratégies de développement rural</w:t>
      </w:r>
    </w:p>
    <w:p w14:paraId="70BBDC42" w14:textId="71FDBA13" w:rsidR="003313DA" w:rsidRPr="00183F91" w:rsidRDefault="003313DA" w:rsidP="007A76AE">
      <w:pPr>
        <w:pStyle w:val="SingleTxt"/>
        <w:keepNext/>
        <w:spacing w:after="0" w:line="120" w:lineRule="exact"/>
        <w:rPr>
          <w:sz w:val="10"/>
          <w:lang w:val="fr-FR"/>
        </w:rPr>
      </w:pPr>
    </w:p>
    <w:p w14:paraId="64AC0BFA" w14:textId="7613358D" w:rsidR="00EB1136" w:rsidRPr="00183F91" w:rsidRDefault="00EB1136" w:rsidP="003313DA">
      <w:pPr>
        <w:pStyle w:val="SingleTxt"/>
        <w:numPr>
          <w:ilvl w:val="0"/>
          <w:numId w:val="43"/>
        </w:numPr>
        <w:spacing w:line="240" w:lineRule="exact"/>
        <w:ind w:left="1267"/>
        <w:rPr>
          <w:lang w:val="fr-FR"/>
        </w:rPr>
      </w:pPr>
      <w:r w:rsidRPr="00183F91">
        <w:rPr>
          <w:lang w:val="fr-FR"/>
        </w:rPr>
        <w:t>En 2018, le Ministère de l</w:t>
      </w:r>
      <w:r w:rsidR="00442D55" w:rsidRPr="00183F91">
        <w:rPr>
          <w:lang w:val="fr-FR"/>
        </w:rPr>
        <w:t>’</w:t>
      </w:r>
      <w:r w:rsidRPr="00183F91">
        <w:rPr>
          <w:lang w:val="fr-FR"/>
        </w:rPr>
        <w:t>alimentation, de l</w:t>
      </w:r>
      <w:r w:rsidR="00442D55" w:rsidRPr="00183F91">
        <w:rPr>
          <w:lang w:val="fr-FR"/>
        </w:rPr>
        <w:t>’</w:t>
      </w:r>
      <w:r w:rsidRPr="00183F91">
        <w:rPr>
          <w:lang w:val="fr-FR"/>
        </w:rPr>
        <w:t>agriculture et de l</w:t>
      </w:r>
      <w:r w:rsidR="00442D55" w:rsidRPr="00183F91">
        <w:rPr>
          <w:lang w:val="fr-FR"/>
        </w:rPr>
        <w:t>’</w:t>
      </w:r>
      <w:r w:rsidRPr="00183F91">
        <w:rPr>
          <w:lang w:val="fr-FR"/>
        </w:rPr>
        <w:t>industrie légère a adopté l</w:t>
      </w:r>
      <w:r w:rsidR="00442D55" w:rsidRPr="00183F91">
        <w:rPr>
          <w:lang w:val="fr-FR"/>
        </w:rPr>
        <w:t>’</w:t>
      </w:r>
      <w:r w:rsidRPr="00183F91">
        <w:rPr>
          <w:lang w:val="fr-FR"/>
        </w:rPr>
        <w:t>arrêté n</w:t>
      </w:r>
      <w:r w:rsidR="00442D55" w:rsidRPr="00183F91">
        <w:rPr>
          <w:vertAlign w:val="superscript"/>
          <w:lang w:val="fr-FR"/>
        </w:rPr>
        <w:t>o</w:t>
      </w:r>
      <w:r w:rsidR="00442D55" w:rsidRPr="00183F91">
        <w:rPr>
          <w:lang w:val="fr-FR"/>
        </w:rPr>
        <w:t> </w:t>
      </w:r>
      <w:r w:rsidR="00A860FC" w:rsidRPr="000821D9">
        <w:t>A/77</w:t>
      </w:r>
      <w:r w:rsidRPr="00183F91">
        <w:rPr>
          <w:lang w:val="fr-FR"/>
        </w:rPr>
        <w:t xml:space="preserve"> portant approbation et application de la politique unique sur le genre dans les secteurs de l</w:t>
      </w:r>
      <w:r w:rsidR="00442D55" w:rsidRPr="00183F91">
        <w:rPr>
          <w:lang w:val="fr-FR"/>
        </w:rPr>
        <w:t>’</w:t>
      </w:r>
      <w:r w:rsidRPr="00183F91">
        <w:rPr>
          <w:lang w:val="fr-FR"/>
        </w:rPr>
        <w:t>alimentation, de l</w:t>
      </w:r>
      <w:r w:rsidR="00442D55" w:rsidRPr="00183F91">
        <w:rPr>
          <w:lang w:val="fr-FR"/>
        </w:rPr>
        <w:t>’</w:t>
      </w:r>
      <w:r w:rsidRPr="00183F91">
        <w:rPr>
          <w:lang w:val="fr-FR"/>
        </w:rPr>
        <w:t>agriculture et de l</w:t>
      </w:r>
      <w:r w:rsidR="00442D55" w:rsidRPr="00183F91">
        <w:rPr>
          <w:lang w:val="fr-FR"/>
        </w:rPr>
        <w:t>’</w:t>
      </w:r>
      <w:r w:rsidRPr="00183F91">
        <w:rPr>
          <w:lang w:val="fr-FR"/>
        </w:rPr>
        <w:t>industrie légère, qui est basée sur la stratégie Vision du développement durable en Mongolie à l</w:t>
      </w:r>
      <w:r w:rsidR="00442D55" w:rsidRPr="00183F91">
        <w:rPr>
          <w:lang w:val="fr-FR"/>
        </w:rPr>
        <w:t>’</w:t>
      </w:r>
      <w:r w:rsidRPr="00183F91">
        <w:rPr>
          <w:lang w:val="fr-FR"/>
        </w:rPr>
        <w:t xml:space="preserve">horizon 2030, le </w:t>
      </w:r>
      <w:r w:rsidR="00653A21">
        <w:rPr>
          <w:lang w:val="fr-FR"/>
        </w:rPr>
        <w:t>programme national relatif à l’égalité des sexes</w:t>
      </w:r>
      <w:r w:rsidRPr="00183F91">
        <w:rPr>
          <w:lang w:val="fr-FR"/>
        </w:rPr>
        <w:t xml:space="preserve"> (2017-2021), la Politique nationale pour l</w:t>
      </w:r>
      <w:r w:rsidR="00442D55" w:rsidRPr="00183F91">
        <w:rPr>
          <w:lang w:val="fr-FR"/>
        </w:rPr>
        <w:t>’</w:t>
      </w:r>
      <w:r w:rsidRPr="00183F91">
        <w:rPr>
          <w:lang w:val="fr-FR"/>
        </w:rPr>
        <w:t>alimentation et l</w:t>
      </w:r>
      <w:r w:rsidR="00442D55" w:rsidRPr="00183F91">
        <w:rPr>
          <w:lang w:val="fr-FR"/>
        </w:rPr>
        <w:t>’</w:t>
      </w:r>
      <w:r w:rsidRPr="00183F91">
        <w:rPr>
          <w:lang w:val="fr-FR"/>
        </w:rPr>
        <w:t>agriculture (2014-2025), la Politique nationale pour l</w:t>
      </w:r>
      <w:r w:rsidR="00442D55" w:rsidRPr="00183F91">
        <w:rPr>
          <w:lang w:val="fr-FR"/>
        </w:rPr>
        <w:t>’</w:t>
      </w:r>
      <w:r w:rsidRPr="00183F91">
        <w:rPr>
          <w:lang w:val="fr-FR"/>
        </w:rPr>
        <w:t>élevage (2009-2020) et le Programme national pour l</w:t>
      </w:r>
      <w:r w:rsidR="00442D55" w:rsidRPr="00183F91">
        <w:rPr>
          <w:lang w:val="fr-FR"/>
        </w:rPr>
        <w:t>’</w:t>
      </w:r>
      <w:r w:rsidRPr="00183F91">
        <w:rPr>
          <w:lang w:val="fr-FR"/>
        </w:rPr>
        <w:t>industrie (2015-2030). La politique unique vise à recenser les différents besoins et problèmes liés au genre auxquels font face les employés des secteurs public et privé, les éleveurs, les agriculteurs, les producteurs, les ménages, les groupes et les communautés en vue de leur intégration dans la planification des politiques sectorielles et contribue à l</w:t>
      </w:r>
      <w:r w:rsidR="00442D55" w:rsidRPr="00183F91">
        <w:rPr>
          <w:lang w:val="fr-FR"/>
        </w:rPr>
        <w:t>’</w:t>
      </w:r>
      <w:r w:rsidRPr="00183F91">
        <w:rPr>
          <w:lang w:val="fr-FR"/>
        </w:rPr>
        <w:t xml:space="preserve">amélioration des conditions de travail, de la qualité de vie, des produits et des services. En janvier 2020, le programme national </w:t>
      </w:r>
      <w:r w:rsidR="00442D55" w:rsidRPr="00183F91">
        <w:rPr>
          <w:lang w:val="fr-FR"/>
        </w:rPr>
        <w:t>« </w:t>
      </w:r>
      <w:r w:rsidRPr="00183F91">
        <w:rPr>
          <w:lang w:val="fr-FR"/>
        </w:rPr>
        <w:t>Éleveurs mongols</w:t>
      </w:r>
      <w:r w:rsidR="00442D55" w:rsidRPr="00183F91">
        <w:rPr>
          <w:lang w:val="fr-FR"/>
        </w:rPr>
        <w:t> »</w:t>
      </w:r>
      <w:r w:rsidRPr="00183F91">
        <w:rPr>
          <w:lang w:val="fr-FR"/>
        </w:rPr>
        <w:t xml:space="preserve"> a été approuvé.</w:t>
      </w:r>
    </w:p>
    <w:p w14:paraId="06FC024B" w14:textId="0CF0AE66" w:rsidR="003313DA" w:rsidRPr="00183F91" w:rsidRDefault="003313DA" w:rsidP="003313DA">
      <w:pPr>
        <w:pStyle w:val="SingleTxt"/>
        <w:spacing w:after="0" w:line="120" w:lineRule="exact"/>
        <w:rPr>
          <w:sz w:val="10"/>
          <w:lang w:val="fr-FR"/>
        </w:rPr>
      </w:pPr>
    </w:p>
    <w:p w14:paraId="37546829" w14:textId="0F14C9AF" w:rsidR="00EB1136" w:rsidRPr="00183F91" w:rsidRDefault="00EB1136" w:rsidP="003313D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83F91">
        <w:rPr>
          <w:lang w:val="fr-FR"/>
        </w:rPr>
        <w:tab/>
      </w:r>
      <w:r w:rsidRPr="00183F91">
        <w:rPr>
          <w:lang w:val="fr-FR"/>
        </w:rPr>
        <w:tab/>
        <w:t>Plans d</w:t>
      </w:r>
      <w:r w:rsidR="00442D55" w:rsidRPr="00183F91">
        <w:rPr>
          <w:lang w:val="fr-FR"/>
        </w:rPr>
        <w:t>’</w:t>
      </w:r>
      <w:r w:rsidRPr="00183F91">
        <w:rPr>
          <w:lang w:val="fr-FR"/>
        </w:rPr>
        <w:t>action et politiques se rapportant aux changements climatiques, aux</w:t>
      </w:r>
      <w:r w:rsidR="003313DA" w:rsidRPr="00183F91">
        <w:rPr>
          <w:lang w:val="fr-FR"/>
        </w:rPr>
        <w:t> </w:t>
      </w:r>
      <w:r w:rsidRPr="00183F91">
        <w:rPr>
          <w:lang w:val="fr-FR"/>
        </w:rPr>
        <w:t>interventions en cas de catastrophe et à la réduction des risques</w:t>
      </w:r>
    </w:p>
    <w:p w14:paraId="73DAACB0" w14:textId="271FCBE2" w:rsidR="003313DA" w:rsidRPr="00183F91" w:rsidRDefault="003313DA" w:rsidP="003313DA">
      <w:pPr>
        <w:pStyle w:val="SingleTxt"/>
        <w:spacing w:after="0" w:line="120" w:lineRule="exact"/>
        <w:rPr>
          <w:sz w:val="10"/>
          <w:lang w:val="fr-FR"/>
        </w:rPr>
      </w:pPr>
    </w:p>
    <w:p w14:paraId="3C2CCDC7" w14:textId="29FD3B3A" w:rsidR="00EB1136" w:rsidRPr="00183F91" w:rsidRDefault="00EB1136" w:rsidP="003313DA">
      <w:pPr>
        <w:pStyle w:val="SingleTxt"/>
        <w:numPr>
          <w:ilvl w:val="0"/>
          <w:numId w:val="43"/>
        </w:numPr>
        <w:spacing w:line="240" w:lineRule="exact"/>
        <w:ind w:left="1267"/>
        <w:rPr>
          <w:lang w:val="fr-FR"/>
        </w:rPr>
      </w:pPr>
      <w:r w:rsidRPr="00183F91">
        <w:rPr>
          <w:lang w:val="fr-FR"/>
        </w:rPr>
        <w:t>La Mongolie est pleinement consciente des causes et effets des changements climatiques</w:t>
      </w:r>
      <w:r w:rsidR="00442D55" w:rsidRPr="00183F91">
        <w:rPr>
          <w:lang w:val="fr-FR"/>
        </w:rPr>
        <w:t> :</w:t>
      </w:r>
      <w:r w:rsidRPr="00183F91">
        <w:rPr>
          <w:lang w:val="fr-FR"/>
        </w:rPr>
        <w:t xml:space="preserve"> elle s</w:t>
      </w:r>
      <w:r w:rsidR="00442D55" w:rsidRPr="00183F91">
        <w:rPr>
          <w:lang w:val="fr-FR"/>
        </w:rPr>
        <w:t>’</w:t>
      </w:r>
      <w:r w:rsidRPr="00183F91">
        <w:rPr>
          <w:lang w:val="fr-FR"/>
        </w:rPr>
        <w:t>acquitte de ses obligations découlant des traités internationaux relatifs à la réduction des émissions de gaz à effet de serre et a pris un certain nombre de mesures à l</w:t>
      </w:r>
      <w:r w:rsidR="00442D55" w:rsidRPr="00183F91">
        <w:rPr>
          <w:lang w:val="fr-FR"/>
        </w:rPr>
        <w:t>’</w:t>
      </w:r>
      <w:r w:rsidRPr="00183F91">
        <w:rPr>
          <w:lang w:val="fr-FR"/>
        </w:rPr>
        <w:t xml:space="preserve">échelle nationale. </w:t>
      </w:r>
    </w:p>
    <w:p w14:paraId="1DDF1FD1" w14:textId="595A7108" w:rsidR="00EB1136" w:rsidRPr="00183F91" w:rsidRDefault="00EB1136" w:rsidP="003313DA">
      <w:pPr>
        <w:pStyle w:val="SingleTxt"/>
        <w:numPr>
          <w:ilvl w:val="0"/>
          <w:numId w:val="43"/>
        </w:numPr>
        <w:spacing w:line="240" w:lineRule="exact"/>
        <w:ind w:left="1267"/>
        <w:rPr>
          <w:lang w:val="fr-FR"/>
        </w:rPr>
      </w:pPr>
      <w:r w:rsidRPr="00183F91">
        <w:rPr>
          <w:lang w:val="fr-FR"/>
        </w:rPr>
        <w:t>La Commission nationale sur l</w:t>
      </w:r>
      <w:r w:rsidR="00442D55" w:rsidRPr="00183F91">
        <w:rPr>
          <w:lang w:val="fr-FR"/>
        </w:rPr>
        <w:t>’</w:t>
      </w:r>
      <w:r w:rsidRPr="00183F91">
        <w:rPr>
          <w:lang w:val="fr-FR"/>
        </w:rPr>
        <w:t xml:space="preserve">égalité des sexes met actuellement en œuvre un projet lancé en collaboration avec la BAsD, qui vise à renforcer la capacité des femmes de faire face aux changements climatiques et aux risques de catastrophe en Asie et dans le Pacifique. Le projet consiste notamment à analyser les politiques et lois relatives à la gestion des risques de catastrophe, notamment à la réduction des </w:t>
      </w:r>
      <w:r w:rsidRPr="00183F91">
        <w:rPr>
          <w:lang w:val="fr-FR"/>
        </w:rPr>
        <w:lastRenderedPageBreak/>
        <w:t>risques, à la préparation, aux interventions et à la réhabilitation. Un Comité directeur composé de représentants des ministères d</w:t>
      </w:r>
      <w:r w:rsidR="00442D55" w:rsidRPr="00183F91">
        <w:rPr>
          <w:lang w:val="fr-FR"/>
        </w:rPr>
        <w:t>’</w:t>
      </w:r>
      <w:r w:rsidRPr="00183F91">
        <w:rPr>
          <w:lang w:val="fr-FR"/>
        </w:rPr>
        <w:t>exécution et d</w:t>
      </w:r>
      <w:r w:rsidR="00442D55" w:rsidRPr="00183F91">
        <w:rPr>
          <w:lang w:val="fr-FR"/>
        </w:rPr>
        <w:t>’</w:t>
      </w:r>
      <w:r w:rsidRPr="00183F91">
        <w:rPr>
          <w:lang w:val="fr-FR"/>
        </w:rPr>
        <w:t>associations professionnelles a été créé pour rendre le projet plus efficace et garantir la cohérence des activités transversales</w:t>
      </w:r>
      <w:r w:rsidR="003313DA" w:rsidRPr="00183F91">
        <w:rPr>
          <w:lang w:val="fr-FR"/>
        </w:rPr>
        <w:t>.</w:t>
      </w:r>
    </w:p>
    <w:p w14:paraId="2BB66C0F" w14:textId="105C4482" w:rsidR="003313DA" w:rsidRPr="00183F91" w:rsidRDefault="003313DA" w:rsidP="003313DA">
      <w:pPr>
        <w:pStyle w:val="SingleTxt"/>
        <w:spacing w:after="0" w:line="120" w:lineRule="exact"/>
        <w:rPr>
          <w:sz w:val="10"/>
          <w:lang w:val="fr-FR"/>
        </w:rPr>
      </w:pPr>
    </w:p>
    <w:p w14:paraId="13D44435" w14:textId="6FE47E77" w:rsidR="00EB1136" w:rsidRPr="00183F91" w:rsidRDefault="00EB1136" w:rsidP="003313D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83F91">
        <w:rPr>
          <w:lang w:val="fr-FR"/>
        </w:rPr>
        <w:tab/>
      </w:r>
      <w:r w:rsidRPr="00183F91">
        <w:rPr>
          <w:lang w:val="fr-FR"/>
        </w:rPr>
        <w:tab/>
        <w:t>Activités industrielles, particulièrement celles du secteur minier</w:t>
      </w:r>
    </w:p>
    <w:p w14:paraId="2BD488A1" w14:textId="138A4376" w:rsidR="003313DA" w:rsidRPr="00183F91" w:rsidRDefault="003313DA" w:rsidP="003313DA">
      <w:pPr>
        <w:pStyle w:val="SingleTxt"/>
        <w:spacing w:after="0" w:line="120" w:lineRule="exact"/>
        <w:rPr>
          <w:sz w:val="10"/>
          <w:lang w:val="fr-FR"/>
        </w:rPr>
      </w:pPr>
    </w:p>
    <w:p w14:paraId="51497055" w14:textId="59FA6BA4" w:rsidR="00EB1136" w:rsidRPr="00183F91" w:rsidRDefault="00EB1136" w:rsidP="003313DA">
      <w:pPr>
        <w:pStyle w:val="SingleTxt"/>
        <w:numPr>
          <w:ilvl w:val="0"/>
          <w:numId w:val="43"/>
        </w:numPr>
        <w:spacing w:line="240" w:lineRule="exact"/>
        <w:ind w:left="1267"/>
        <w:rPr>
          <w:lang w:val="fr-FR"/>
        </w:rPr>
      </w:pPr>
      <w:r w:rsidRPr="00183F91">
        <w:rPr>
          <w:lang w:val="fr-FR"/>
        </w:rPr>
        <w:t>Sur ordre du Secrétaire d</w:t>
      </w:r>
      <w:r w:rsidR="00442D55" w:rsidRPr="00183F91">
        <w:rPr>
          <w:lang w:val="fr-FR"/>
        </w:rPr>
        <w:t>’</w:t>
      </w:r>
      <w:r w:rsidRPr="00183F91">
        <w:rPr>
          <w:lang w:val="fr-FR"/>
        </w:rPr>
        <w:t>État au Ministère des mines et de l</w:t>
      </w:r>
      <w:r w:rsidR="00442D55" w:rsidRPr="00183F91">
        <w:rPr>
          <w:lang w:val="fr-FR"/>
        </w:rPr>
        <w:t>’</w:t>
      </w:r>
      <w:r w:rsidRPr="00183F91">
        <w:rPr>
          <w:lang w:val="fr-FR"/>
        </w:rPr>
        <w:t>industrie lourde, une évaluation des incidences des activités du secteur pour les femmes et les hommes a été menée et une politique relative à l</w:t>
      </w:r>
      <w:r w:rsidR="00442D55" w:rsidRPr="00183F91">
        <w:rPr>
          <w:lang w:val="fr-FR"/>
        </w:rPr>
        <w:t>’</w:t>
      </w:r>
      <w:r w:rsidRPr="00183F91">
        <w:rPr>
          <w:lang w:val="fr-FR"/>
        </w:rPr>
        <w:t>égalité des genres dans le secteur des ressources minérales a été mise au point et approuvée. Une conférence de femmes géologues, un atelier sur l</w:t>
      </w:r>
      <w:r w:rsidR="00442D55" w:rsidRPr="00183F91">
        <w:rPr>
          <w:lang w:val="fr-FR"/>
        </w:rPr>
        <w:t>’</w:t>
      </w:r>
      <w:r w:rsidRPr="00183F91">
        <w:rPr>
          <w:lang w:val="fr-FR"/>
        </w:rPr>
        <w:t>expérience internationale en matière d</w:t>
      </w:r>
      <w:r w:rsidR="00442D55" w:rsidRPr="00183F91">
        <w:rPr>
          <w:lang w:val="fr-FR"/>
        </w:rPr>
        <w:t>’</w:t>
      </w:r>
      <w:r w:rsidRPr="00183F91">
        <w:rPr>
          <w:lang w:val="fr-FR"/>
        </w:rPr>
        <w:t>égalité des genres dans le secteur minier et un atelier sur l</w:t>
      </w:r>
      <w:r w:rsidR="00442D55" w:rsidRPr="00183F91">
        <w:rPr>
          <w:lang w:val="fr-FR"/>
        </w:rPr>
        <w:t>’</w:t>
      </w:r>
      <w:r w:rsidRPr="00183F91">
        <w:rPr>
          <w:lang w:val="fr-FR"/>
        </w:rPr>
        <w:t>amélioration de la gestion dans le secteur ont été organisés en collaboration avec les projets SESMIM et MERIT</w:t>
      </w:r>
      <w:r w:rsidR="00442D55" w:rsidRPr="00183F91">
        <w:rPr>
          <w:lang w:val="fr-FR"/>
        </w:rPr>
        <w:t> ;</w:t>
      </w:r>
      <w:r w:rsidRPr="00183F91">
        <w:rPr>
          <w:lang w:val="fr-FR"/>
        </w:rPr>
        <w:t xml:space="preserve"> environ 300</w:t>
      </w:r>
      <w:r w:rsidR="00A66DA3" w:rsidRPr="00183F91">
        <w:rPr>
          <w:lang w:val="fr-FR"/>
        </w:rPr>
        <w:t> </w:t>
      </w:r>
      <w:r w:rsidRPr="00183F91">
        <w:rPr>
          <w:lang w:val="fr-FR"/>
        </w:rPr>
        <w:t>employés du secteur y ont participé.</w:t>
      </w:r>
    </w:p>
    <w:p w14:paraId="6B83C53F" w14:textId="3932FF52" w:rsidR="003313DA" w:rsidRPr="00183F91" w:rsidRDefault="003313DA" w:rsidP="003313DA">
      <w:pPr>
        <w:pStyle w:val="SingleTxt"/>
        <w:spacing w:after="0" w:line="120" w:lineRule="exact"/>
        <w:rPr>
          <w:sz w:val="10"/>
          <w:lang w:val="fr-FR"/>
        </w:rPr>
      </w:pPr>
    </w:p>
    <w:p w14:paraId="096746DF" w14:textId="475C1F8C" w:rsidR="00EB1136" w:rsidRPr="00183F91" w:rsidRDefault="00EB1136" w:rsidP="003313D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83F91">
        <w:rPr>
          <w:lang w:val="fr-FR"/>
        </w:rPr>
        <w:tab/>
      </w:r>
      <w:r w:rsidRPr="00183F91">
        <w:rPr>
          <w:lang w:val="fr-FR"/>
        </w:rPr>
        <w:tab/>
        <w:t>Mesures prises pour favoriser la participation des femmes rurales à la prise de</w:t>
      </w:r>
      <w:r w:rsidR="003313DA" w:rsidRPr="00183F91">
        <w:rPr>
          <w:lang w:val="fr-FR"/>
        </w:rPr>
        <w:t> </w:t>
      </w:r>
      <w:r w:rsidRPr="00183F91">
        <w:rPr>
          <w:lang w:val="fr-FR"/>
        </w:rPr>
        <w:t>décisions, notamment les mesures temporaires spéciales visant à accroître la</w:t>
      </w:r>
      <w:r w:rsidR="003313DA" w:rsidRPr="00183F91">
        <w:rPr>
          <w:lang w:val="fr-FR"/>
        </w:rPr>
        <w:t> </w:t>
      </w:r>
      <w:r w:rsidRPr="00183F91">
        <w:rPr>
          <w:lang w:val="fr-FR"/>
        </w:rPr>
        <w:t>représentation des femmes dans les conseils locaux</w:t>
      </w:r>
    </w:p>
    <w:p w14:paraId="771759DB" w14:textId="55DF22DD" w:rsidR="003313DA" w:rsidRPr="00183F91" w:rsidRDefault="003313DA" w:rsidP="003313DA">
      <w:pPr>
        <w:pStyle w:val="SingleTxt"/>
        <w:spacing w:after="0" w:line="120" w:lineRule="exact"/>
        <w:rPr>
          <w:sz w:val="10"/>
          <w:lang w:val="fr-FR"/>
        </w:rPr>
      </w:pPr>
    </w:p>
    <w:p w14:paraId="5A169241" w14:textId="793820DE" w:rsidR="00EB1136" w:rsidRPr="00183F91" w:rsidRDefault="00EB1136" w:rsidP="003313DA">
      <w:pPr>
        <w:pStyle w:val="SingleTxt"/>
        <w:numPr>
          <w:ilvl w:val="0"/>
          <w:numId w:val="43"/>
        </w:numPr>
        <w:spacing w:line="240" w:lineRule="exact"/>
        <w:ind w:left="1267"/>
        <w:rPr>
          <w:lang w:val="fr-FR"/>
        </w:rPr>
      </w:pPr>
      <w:r w:rsidRPr="00183F91">
        <w:rPr>
          <w:lang w:val="fr-FR"/>
        </w:rPr>
        <w:t>La Commission nationale sur l</w:t>
      </w:r>
      <w:r w:rsidR="00442D55" w:rsidRPr="00183F91">
        <w:rPr>
          <w:lang w:val="fr-FR"/>
        </w:rPr>
        <w:t>’</w:t>
      </w:r>
      <w:r w:rsidRPr="00183F91">
        <w:rPr>
          <w:lang w:val="fr-FR"/>
        </w:rPr>
        <w:t>égalité des sexes a fourni un appui technique et méthodologique à l</w:t>
      </w:r>
      <w:r w:rsidR="00442D55" w:rsidRPr="00183F91">
        <w:rPr>
          <w:lang w:val="fr-FR"/>
        </w:rPr>
        <w:t>’</w:t>
      </w:r>
      <w:r w:rsidRPr="00183F91">
        <w:rPr>
          <w:lang w:val="fr-FR"/>
        </w:rPr>
        <w:t>élaboration, à partir d</w:t>
      </w:r>
      <w:r w:rsidR="00442D55" w:rsidRPr="00183F91">
        <w:rPr>
          <w:lang w:val="fr-FR"/>
        </w:rPr>
        <w:t>’</w:t>
      </w:r>
      <w:r w:rsidRPr="00183F91">
        <w:rPr>
          <w:lang w:val="fr-FR"/>
        </w:rPr>
        <w:t>évaluations participatives axées sur le genre, de documents d</w:t>
      </w:r>
      <w:r w:rsidR="00442D55" w:rsidRPr="00183F91">
        <w:rPr>
          <w:lang w:val="fr-FR"/>
        </w:rPr>
        <w:t>’</w:t>
      </w:r>
      <w:r w:rsidRPr="00183F91">
        <w:rPr>
          <w:lang w:val="fr-FR"/>
        </w:rPr>
        <w:t>orientation relatifs au genre dans les secteurs de la santé, de l</w:t>
      </w:r>
      <w:r w:rsidR="00442D55" w:rsidRPr="00183F91">
        <w:rPr>
          <w:lang w:val="fr-FR"/>
        </w:rPr>
        <w:t>’</w:t>
      </w:r>
      <w:r w:rsidRPr="00183F91">
        <w:rPr>
          <w:lang w:val="fr-FR"/>
        </w:rPr>
        <w:t>éducation et de l</w:t>
      </w:r>
      <w:r w:rsidR="00442D55" w:rsidRPr="00183F91">
        <w:rPr>
          <w:lang w:val="fr-FR"/>
        </w:rPr>
        <w:t>’</w:t>
      </w:r>
      <w:r w:rsidRPr="00183F91">
        <w:rPr>
          <w:lang w:val="fr-FR"/>
        </w:rPr>
        <w:t>agriculture, ainsi qu</w:t>
      </w:r>
      <w:r w:rsidR="00442D55" w:rsidRPr="00183F91">
        <w:rPr>
          <w:lang w:val="fr-FR"/>
        </w:rPr>
        <w:t>’</w:t>
      </w:r>
      <w:r w:rsidRPr="00183F91">
        <w:rPr>
          <w:lang w:val="fr-FR"/>
        </w:rPr>
        <w:t>à leur approbation. Ces documents traitent de questions telles que la prise en compte des besoins spécifiques des femmes, la garantie d</w:t>
      </w:r>
      <w:r w:rsidR="00442D55" w:rsidRPr="00183F91">
        <w:rPr>
          <w:lang w:val="fr-FR"/>
        </w:rPr>
        <w:t>’</w:t>
      </w:r>
      <w:r w:rsidRPr="00183F91">
        <w:rPr>
          <w:lang w:val="fr-FR"/>
        </w:rPr>
        <w:t>un équilibre entre les femmes et les hommes dans ces secteurs et la promotion, pour les bénéficiaires, d</w:t>
      </w:r>
      <w:r w:rsidR="00442D55" w:rsidRPr="00183F91">
        <w:rPr>
          <w:lang w:val="fr-FR"/>
        </w:rPr>
        <w:t>’</w:t>
      </w:r>
      <w:r w:rsidRPr="00183F91">
        <w:rPr>
          <w:lang w:val="fr-FR"/>
        </w:rPr>
        <w:t>un accès aux produits et services qui tienne compte des questions de genre.</w:t>
      </w:r>
    </w:p>
    <w:p w14:paraId="2EF5BF20" w14:textId="530AD04B" w:rsidR="00EB1136" w:rsidRPr="00183F91" w:rsidRDefault="00EB1136" w:rsidP="003313DA">
      <w:pPr>
        <w:pStyle w:val="SingleTxt"/>
        <w:numPr>
          <w:ilvl w:val="0"/>
          <w:numId w:val="43"/>
        </w:numPr>
        <w:spacing w:line="240" w:lineRule="exact"/>
        <w:ind w:left="1267"/>
        <w:rPr>
          <w:lang w:val="fr-FR"/>
        </w:rPr>
      </w:pPr>
      <w:r w:rsidRPr="00183F91">
        <w:rPr>
          <w:lang w:val="fr-FR"/>
        </w:rPr>
        <w:t>Dans le cadre des mesures visant à intégrer le concept d</w:t>
      </w:r>
      <w:r w:rsidR="00442D55" w:rsidRPr="00183F91">
        <w:rPr>
          <w:lang w:val="fr-FR"/>
        </w:rPr>
        <w:t>’</w:t>
      </w:r>
      <w:r w:rsidRPr="00183F91">
        <w:rPr>
          <w:lang w:val="fr-FR"/>
        </w:rPr>
        <w:t>égalité des genres dans les politiques de développement local, 18 aïmags</w:t>
      </w:r>
      <w:r w:rsidRPr="00183F91">
        <w:rPr>
          <w:i/>
          <w:iCs/>
          <w:lang w:val="fr-FR"/>
        </w:rPr>
        <w:t xml:space="preserve"> </w:t>
      </w:r>
      <w:r w:rsidRPr="00183F91">
        <w:rPr>
          <w:lang w:val="fr-FR"/>
        </w:rPr>
        <w:t>ont mis en place des sous-programmes consacrés aux questions de genre, qui aident à promouvoir la prise en compte de ces concepts au niveau local.</w:t>
      </w:r>
    </w:p>
    <w:p w14:paraId="24B1FD9A" w14:textId="7AEE422C" w:rsidR="00EB1136" w:rsidRPr="000821D9" w:rsidRDefault="00EB1136" w:rsidP="003313DA">
      <w:pPr>
        <w:pStyle w:val="SingleTxt"/>
        <w:numPr>
          <w:ilvl w:val="0"/>
          <w:numId w:val="43"/>
        </w:numPr>
        <w:spacing w:line="240" w:lineRule="exact"/>
        <w:ind w:left="1267"/>
        <w:rPr>
          <w:spacing w:val="2"/>
          <w:lang w:val="fr-FR"/>
        </w:rPr>
      </w:pPr>
      <w:r w:rsidRPr="000821D9">
        <w:rPr>
          <w:spacing w:val="2"/>
          <w:lang w:val="fr-FR"/>
        </w:rPr>
        <w:t>Depuis 2018, la Commission nationale sur l</w:t>
      </w:r>
      <w:r w:rsidR="00442D55" w:rsidRPr="000821D9">
        <w:rPr>
          <w:spacing w:val="2"/>
          <w:lang w:val="fr-FR"/>
        </w:rPr>
        <w:t>’</w:t>
      </w:r>
      <w:r w:rsidRPr="000821D9">
        <w:rPr>
          <w:spacing w:val="2"/>
          <w:lang w:val="fr-FR"/>
        </w:rPr>
        <w:t>égalité des sexes cherche à acquérir des connaissances solides en matière d</w:t>
      </w:r>
      <w:r w:rsidR="00442D55" w:rsidRPr="000821D9">
        <w:rPr>
          <w:spacing w:val="2"/>
          <w:lang w:val="fr-FR"/>
        </w:rPr>
        <w:t>’</w:t>
      </w:r>
      <w:r w:rsidRPr="000821D9">
        <w:rPr>
          <w:spacing w:val="2"/>
          <w:lang w:val="fr-FR"/>
        </w:rPr>
        <w:t>égalité des genres à l</w:t>
      </w:r>
      <w:r w:rsidR="00442D55" w:rsidRPr="000821D9">
        <w:rPr>
          <w:spacing w:val="2"/>
          <w:lang w:val="fr-FR"/>
        </w:rPr>
        <w:t>’</w:t>
      </w:r>
      <w:r w:rsidRPr="000821D9">
        <w:rPr>
          <w:spacing w:val="2"/>
          <w:lang w:val="fr-FR"/>
        </w:rPr>
        <w:t>échelle locale, pour ensuite les diffuser à l</w:t>
      </w:r>
      <w:r w:rsidR="00442D55" w:rsidRPr="000821D9">
        <w:rPr>
          <w:spacing w:val="2"/>
          <w:lang w:val="fr-FR"/>
        </w:rPr>
        <w:t>’</w:t>
      </w:r>
      <w:r w:rsidRPr="000821D9">
        <w:rPr>
          <w:spacing w:val="2"/>
          <w:lang w:val="fr-FR"/>
        </w:rPr>
        <w:t>échelle nationale. Ainsi, des mesures ont été prises pour instaurer une culture institutionnelle tenant compte des questions de genre, notamment en matière d</w:t>
      </w:r>
      <w:r w:rsidR="00442D55" w:rsidRPr="000821D9">
        <w:rPr>
          <w:spacing w:val="2"/>
          <w:lang w:val="fr-FR"/>
        </w:rPr>
        <w:t>’</w:t>
      </w:r>
      <w:r w:rsidRPr="000821D9">
        <w:rPr>
          <w:spacing w:val="2"/>
          <w:lang w:val="fr-FR"/>
        </w:rPr>
        <w:t>équilibre entre la vie professionnelle et la vie privée, dans les services de police et de gestion des situations d</w:t>
      </w:r>
      <w:r w:rsidR="00442D55" w:rsidRPr="000821D9">
        <w:rPr>
          <w:spacing w:val="2"/>
          <w:lang w:val="fr-FR"/>
        </w:rPr>
        <w:t>’</w:t>
      </w:r>
      <w:r w:rsidRPr="000821D9">
        <w:rPr>
          <w:spacing w:val="2"/>
          <w:lang w:val="fr-FR"/>
        </w:rPr>
        <w:t>urgence dans l</w:t>
      </w:r>
      <w:r w:rsidR="00442D55" w:rsidRPr="000821D9">
        <w:rPr>
          <w:spacing w:val="2"/>
          <w:lang w:val="fr-FR"/>
        </w:rPr>
        <w:t>’</w:t>
      </w:r>
      <w:r w:rsidRPr="000821D9">
        <w:rPr>
          <w:spacing w:val="2"/>
          <w:lang w:val="fr-FR"/>
        </w:rPr>
        <w:t>aïmag</w:t>
      </w:r>
      <w:r w:rsidRPr="000821D9">
        <w:rPr>
          <w:i/>
          <w:iCs/>
          <w:spacing w:val="2"/>
          <w:lang w:val="fr-FR"/>
        </w:rPr>
        <w:t xml:space="preserve"> </w:t>
      </w:r>
      <w:r w:rsidRPr="000821D9">
        <w:rPr>
          <w:spacing w:val="2"/>
          <w:lang w:val="fr-FR"/>
        </w:rPr>
        <w:t>de Arkhangai.</w:t>
      </w:r>
    </w:p>
    <w:p w14:paraId="5B5AC1A7" w14:textId="40D59BA5" w:rsidR="00EB1136" w:rsidRPr="00183F91" w:rsidRDefault="00EB1136" w:rsidP="003313DA">
      <w:pPr>
        <w:pStyle w:val="SingleTxt"/>
        <w:numPr>
          <w:ilvl w:val="0"/>
          <w:numId w:val="43"/>
        </w:numPr>
        <w:spacing w:line="240" w:lineRule="exact"/>
        <w:ind w:left="1267"/>
        <w:rPr>
          <w:lang w:val="fr-FR"/>
        </w:rPr>
      </w:pPr>
      <w:r w:rsidRPr="00183F91">
        <w:rPr>
          <w:lang w:val="fr-FR"/>
        </w:rPr>
        <w:t>Un atelier national a été organisé pour accroître la participation des femmes rurales à la prise de décisions. Les 124 participants (des représentants locaux et chefs de secrétariat venus de 21 aïmags et de 9 districts de la capitale) sont parvenus à un consensus sur l</w:t>
      </w:r>
      <w:r w:rsidR="00442D55" w:rsidRPr="00183F91">
        <w:rPr>
          <w:lang w:val="fr-FR"/>
        </w:rPr>
        <w:t>’</w:t>
      </w:r>
      <w:r w:rsidRPr="00183F91">
        <w:rPr>
          <w:lang w:val="fr-FR"/>
        </w:rPr>
        <w:t>intégration du concept d</w:t>
      </w:r>
      <w:r w:rsidR="00442D55" w:rsidRPr="00183F91">
        <w:rPr>
          <w:lang w:val="fr-FR"/>
        </w:rPr>
        <w:t>’</w:t>
      </w:r>
      <w:r w:rsidRPr="00183F91">
        <w:rPr>
          <w:lang w:val="fr-FR"/>
        </w:rPr>
        <w:t>égalité des genres dans les politiques et activités d</w:t>
      </w:r>
      <w:r w:rsidR="00442D55" w:rsidRPr="00183F91">
        <w:rPr>
          <w:lang w:val="fr-FR"/>
        </w:rPr>
        <w:t>’</w:t>
      </w:r>
      <w:r w:rsidRPr="00183F91">
        <w:rPr>
          <w:lang w:val="fr-FR"/>
        </w:rPr>
        <w:t>auto-administration des collectivités locales. Les représentants se sont engagés à exécuter le mandat qui leur a été assigné par la loi sur la promotion de l</w:t>
      </w:r>
      <w:r w:rsidR="00442D55" w:rsidRPr="00183F91">
        <w:rPr>
          <w:lang w:val="fr-FR"/>
        </w:rPr>
        <w:t>’</w:t>
      </w:r>
      <w:r w:rsidRPr="00183F91">
        <w:rPr>
          <w:lang w:val="fr-FR"/>
        </w:rPr>
        <w:t>égalité des sexes et à contribuer aux politiques et activités de planification relatives au développement local tenant compte des questions de genre.</w:t>
      </w:r>
    </w:p>
    <w:p w14:paraId="43C41329" w14:textId="77005182" w:rsidR="00EB1136" w:rsidRPr="00183F91" w:rsidRDefault="00EB1136" w:rsidP="003313DA">
      <w:pPr>
        <w:pStyle w:val="SingleTxt"/>
        <w:numPr>
          <w:ilvl w:val="0"/>
          <w:numId w:val="43"/>
        </w:numPr>
        <w:spacing w:line="240" w:lineRule="exact"/>
        <w:ind w:left="1267"/>
        <w:rPr>
          <w:lang w:val="fr-FR"/>
        </w:rPr>
      </w:pPr>
      <w:r w:rsidRPr="00183F91">
        <w:rPr>
          <w:lang w:val="fr-FR"/>
        </w:rPr>
        <w:t>Le nombre de femmes participant aux systèmes de gestion des pâturages est en augmentation. L</w:t>
      </w:r>
      <w:r w:rsidR="00442D55" w:rsidRPr="00183F91">
        <w:rPr>
          <w:lang w:val="fr-FR"/>
        </w:rPr>
        <w:t>’</w:t>
      </w:r>
      <w:r w:rsidRPr="00183F91">
        <w:rPr>
          <w:lang w:val="fr-FR"/>
        </w:rPr>
        <w:t>Association des dirigeantes mongoles collabore avec la Fédération mongole des usagers de pâturages pour faire nommer des femmes à des postes de direction dans les associations d</w:t>
      </w:r>
      <w:r w:rsidR="00442D55" w:rsidRPr="00183F91">
        <w:rPr>
          <w:lang w:val="fr-FR"/>
        </w:rPr>
        <w:t>’</w:t>
      </w:r>
      <w:r w:rsidRPr="00183F91">
        <w:rPr>
          <w:lang w:val="fr-FR"/>
        </w:rPr>
        <w:t>usagers, notamment au niveau des aïmags</w:t>
      </w:r>
      <w:r w:rsidRPr="00183F91">
        <w:rPr>
          <w:i/>
          <w:iCs/>
          <w:lang w:val="fr-FR"/>
        </w:rPr>
        <w:t xml:space="preserve"> </w:t>
      </w:r>
      <w:r w:rsidRPr="00183F91">
        <w:rPr>
          <w:lang w:val="fr-FR"/>
        </w:rPr>
        <w:t>et des soums, l</w:t>
      </w:r>
      <w:r w:rsidR="00442D55" w:rsidRPr="00183F91">
        <w:rPr>
          <w:lang w:val="fr-FR"/>
        </w:rPr>
        <w:t>’</w:t>
      </w:r>
      <w:r w:rsidRPr="00183F91">
        <w:rPr>
          <w:lang w:val="fr-FR"/>
        </w:rPr>
        <w:t>objectif étant de les aider à développer leurs compétences en matière d</w:t>
      </w:r>
      <w:r w:rsidR="00442D55" w:rsidRPr="00183F91">
        <w:rPr>
          <w:lang w:val="fr-FR"/>
        </w:rPr>
        <w:t>’</w:t>
      </w:r>
      <w:r w:rsidRPr="00183F91">
        <w:rPr>
          <w:lang w:val="fr-FR"/>
        </w:rPr>
        <w:t xml:space="preserve">encadrement et de faire que toutes les femmes dans ces associations puissent acquérir de nouveaux savoir-faire. Ainsi, pendant la période considérée, 61 femmes </w:t>
      </w:r>
      <w:r w:rsidRPr="00183F91">
        <w:rPr>
          <w:lang w:val="fr-FR"/>
        </w:rPr>
        <w:lastRenderedPageBreak/>
        <w:t>ont été nommées à des postes de direction dans ces associations et dans des coopératives, portant leur nombre de 376 en 2018 à 437 en 2019. Au total, 214</w:t>
      </w:r>
      <w:r w:rsidR="00A66DA3" w:rsidRPr="00183F91">
        <w:rPr>
          <w:lang w:val="fr-FR"/>
        </w:rPr>
        <w:t> </w:t>
      </w:r>
      <w:r w:rsidRPr="00183F91">
        <w:rPr>
          <w:lang w:val="fr-FR"/>
        </w:rPr>
        <w:t>associations d</w:t>
      </w:r>
      <w:r w:rsidR="00442D55" w:rsidRPr="00183F91">
        <w:rPr>
          <w:lang w:val="fr-FR"/>
        </w:rPr>
        <w:t>’</w:t>
      </w:r>
      <w:r w:rsidRPr="00183F91">
        <w:rPr>
          <w:lang w:val="fr-FR"/>
        </w:rPr>
        <w:t>usagers de pâturages sont dirigées par des femmes, dont 44 à l</w:t>
      </w:r>
      <w:r w:rsidR="00442D55" w:rsidRPr="00183F91">
        <w:rPr>
          <w:lang w:val="fr-FR"/>
        </w:rPr>
        <w:t>’</w:t>
      </w:r>
      <w:r w:rsidRPr="00183F91">
        <w:rPr>
          <w:lang w:val="fr-FR"/>
        </w:rPr>
        <w:t>échelle des soums</w:t>
      </w:r>
      <w:r w:rsidRPr="00183F91">
        <w:rPr>
          <w:i/>
          <w:iCs/>
          <w:lang w:val="fr-FR"/>
        </w:rPr>
        <w:t xml:space="preserve">. </w:t>
      </w:r>
      <w:r w:rsidRPr="00183F91">
        <w:rPr>
          <w:lang w:val="fr-FR"/>
        </w:rPr>
        <w:t>Sept associations à l</w:t>
      </w:r>
      <w:r w:rsidR="00442D55" w:rsidRPr="00183F91">
        <w:rPr>
          <w:lang w:val="fr-FR"/>
        </w:rPr>
        <w:t>’</w:t>
      </w:r>
      <w:r w:rsidRPr="00183F91">
        <w:rPr>
          <w:lang w:val="fr-FR"/>
        </w:rPr>
        <w:t>échelle des aïmags</w:t>
      </w:r>
      <w:r w:rsidRPr="00183F91">
        <w:rPr>
          <w:i/>
          <w:iCs/>
          <w:lang w:val="fr-FR"/>
        </w:rPr>
        <w:t xml:space="preserve"> </w:t>
      </w:r>
      <w:r w:rsidRPr="00183F91">
        <w:rPr>
          <w:lang w:val="fr-FR"/>
        </w:rPr>
        <w:t>sont dirigées par des directrices exécutives.</w:t>
      </w:r>
    </w:p>
    <w:p w14:paraId="541FF086" w14:textId="1396CBB4" w:rsidR="00EB1136" w:rsidRPr="00183F91" w:rsidRDefault="00EB1136" w:rsidP="003313DA">
      <w:pPr>
        <w:pStyle w:val="SingleTxt"/>
        <w:numPr>
          <w:ilvl w:val="0"/>
          <w:numId w:val="43"/>
        </w:numPr>
        <w:spacing w:line="240" w:lineRule="exact"/>
        <w:ind w:left="1267"/>
        <w:rPr>
          <w:lang w:val="fr-FR"/>
        </w:rPr>
      </w:pPr>
      <w:r w:rsidRPr="00183F91">
        <w:rPr>
          <w:lang w:val="fr-FR"/>
        </w:rPr>
        <w:t>En 2019, on comptait 1</w:t>
      </w:r>
      <w:r w:rsidR="00442D55" w:rsidRPr="00183F91">
        <w:rPr>
          <w:lang w:val="fr-FR"/>
        </w:rPr>
        <w:t> </w:t>
      </w:r>
      <w:r w:rsidRPr="00183F91">
        <w:rPr>
          <w:lang w:val="fr-FR"/>
        </w:rPr>
        <w:t>768 associations d</w:t>
      </w:r>
      <w:r w:rsidR="00442D55" w:rsidRPr="00183F91">
        <w:rPr>
          <w:lang w:val="fr-FR"/>
        </w:rPr>
        <w:t>’</w:t>
      </w:r>
      <w:r w:rsidRPr="00183F91">
        <w:rPr>
          <w:lang w:val="fr-FR"/>
        </w:rPr>
        <w:t>usagers de pâturages dans le pays</w:t>
      </w:r>
      <w:r w:rsidR="00442D55" w:rsidRPr="00183F91">
        <w:rPr>
          <w:lang w:val="fr-FR"/>
        </w:rPr>
        <w:t> :</w:t>
      </w:r>
      <w:r w:rsidRPr="00183F91">
        <w:rPr>
          <w:lang w:val="fr-FR"/>
        </w:rPr>
        <w:t xml:space="preserve"> 18 à l</w:t>
      </w:r>
      <w:r w:rsidR="00442D55" w:rsidRPr="00183F91">
        <w:rPr>
          <w:lang w:val="fr-FR"/>
        </w:rPr>
        <w:t>’</w:t>
      </w:r>
      <w:r w:rsidRPr="00183F91">
        <w:rPr>
          <w:lang w:val="fr-FR"/>
        </w:rPr>
        <w:t>échelle des aïmags, 157 à l</w:t>
      </w:r>
      <w:r w:rsidR="00442D55" w:rsidRPr="00183F91">
        <w:rPr>
          <w:lang w:val="fr-FR"/>
        </w:rPr>
        <w:t>’</w:t>
      </w:r>
      <w:r w:rsidRPr="00183F91">
        <w:rPr>
          <w:lang w:val="fr-FR"/>
        </w:rPr>
        <w:t>échelle des soums et 1</w:t>
      </w:r>
      <w:r w:rsidR="00442D55" w:rsidRPr="00183F91">
        <w:rPr>
          <w:lang w:val="fr-FR"/>
        </w:rPr>
        <w:t> </w:t>
      </w:r>
      <w:r w:rsidRPr="00183F91">
        <w:rPr>
          <w:lang w:val="fr-FR"/>
        </w:rPr>
        <w:t>488 au niveau local, ainsi que 105 coopératives. Au total, 437 femmes occupent des postes de direction dans des associations, qui représentent 25</w:t>
      </w:r>
      <w:r w:rsidR="00442D55" w:rsidRPr="00183F91">
        <w:rPr>
          <w:lang w:val="fr-FR"/>
        </w:rPr>
        <w:t> </w:t>
      </w:r>
      <w:r w:rsidRPr="00183F91">
        <w:rPr>
          <w:lang w:val="fr-FR"/>
        </w:rPr>
        <w:t>% du total des entités, soit une augmentation de 2,5</w:t>
      </w:r>
      <w:r w:rsidR="00442D55" w:rsidRPr="00183F91">
        <w:rPr>
          <w:lang w:val="fr-FR"/>
        </w:rPr>
        <w:t> </w:t>
      </w:r>
      <w:r w:rsidRPr="00183F91">
        <w:rPr>
          <w:lang w:val="fr-FR"/>
        </w:rPr>
        <w:t>% par rapport à 2018.</w:t>
      </w:r>
    </w:p>
    <w:p w14:paraId="77FD0CEE" w14:textId="41E5F9ED" w:rsidR="003313DA" w:rsidRPr="00183F91" w:rsidRDefault="003313DA" w:rsidP="003313DA">
      <w:pPr>
        <w:pStyle w:val="SingleTxt"/>
        <w:spacing w:after="0" w:line="120" w:lineRule="exact"/>
        <w:rPr>
          <w:sz w:val="10"/>
          <w:lang w:val="fr-FR"/>
        </w:rPr>
      </w:pPr>
    </w:p>
    <w:p w14:paraId="2EB1CF7E" w14:textId="7671D8CE" w:rsidR="003313DA" w:rsidRPr="00183F91" w:rsidRDefault="003313DA" w:rsidP="003313DA">
      <w:pPr>
        <w:pStyle w:val="SingleTxt"/>
        <w:spacing w:after="0" w:line="120" w:lineRule="exact"/>
        <w:rPr>
          <w:sz w:val="10"/>
          <w:lang w:val="fr-FR"/>
        </w:rPr>
      </w:pPr>
    </w:p>
    <w:p w14:paraId="685B1C58" w14:textId="707C4188" w:rsidR="00EB1136" w:rsidRPr="00183F91" w:rsidRDefault="00EB1136" w:rsidP="003313D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83F91">
        <w:rPr>
          <w:lang w:val="fr-FR"/>
        </w:rPr>
        <w:tab/>
        <w:t>X.</w:t>
      </w:r>
      <w:r w:rsidRPr="00183F91">
        <w:rPr>
          <w:lang w:val="fr-FR"/>
        </w:rPr>
        <w:tab/>
        <w:t>Réponse au paragraphe 22 de la liste de points</w:t>
      </w:r>
    </w:p>
    <w:p w14:paraId="69EAE162" w14:textId="72D56ADA" w:rsidR="003313DA" w:rsidRPr="00183F91" w:rsidRDefault="003313DA" w:rsidP="003313DA">
      <w:pPr>
        <w:pStyle w:val="SingleTxt"/>
        <w:spacing w:after="0" w:line="120" w:lineRule="exact"/>
        <w:rPr>
          <w:sz w:val="10"/>
          <w:lang w:val="fr-FR"/>
        </w:rPr>
      </w:pPr>
    </w:p>
    <w:p w14:paraId="00712FE0" w14:textId="11464F76" w:rsidR="003313DA" w:rsidRPr="00183F91" w:rsidRDefault="003313DA" w:rsidP="003313DA">
      <w:pPr>
        <w:pStyle w:val="SingleTxt"/>
        <w:spacing w:after="0" w:line="120" w:lineRule="exact"/>
        <w:rPr>
          <w:sz w:val="10"/>
          <w:lang w:val="fr-FR"/>
        </w:rPr>
      </w:pPr>
    </w:p>
    <w:p w14:paraId="0A5B49BE" w14:textId="05D9FB88" w:rsidR="00EB1136" w:rsidRPr="00183F91" w:rsidRDefault="00EB1136" w:rsidP="003313DA">
      <w:pPr>
        <w:pStyle w:val="SingleTxt"/>
        <w:numPr>
          <w:ilvl w:val="0"/>
          <w:numId w:val="43"/>
        </w:numPr>
        <w:spacing w:line="240" w:lineRule="exact"/>
        <w:ind w:left="1267"/>
        <w:rPr>
          <w:lang w:val="fr-FR"/>
        </w:rPr>
      </w:pPr>
      <w:r w:rsidRPr="00183F91">
        <w:rPr>
          <w:lang w:val="fr-FR"/>
        </w:rPr>
        <w:t>Les principales minorités ethniques en Mongolie sont les Kazakhs (Khasags), les Tsaatans (Dukhas), et les Touvains. La population est composée à 84,5</w:t>
      </w:r>
      <w:r w:rsidR="00442D55" w:rsidRPr="00183F91">
        <w:rPr>
          <w:lang w:val="fr-FR"/>
        </w:rPr>
        <w:t> </w:t>
      </w:r>
      <w:r w:rsidRPr="00183F91">
        <w:rPr>
          <w:lang w:val="fr-FR"/>
        </w:rPr>
        <w:t>% de Khalkhas, à 3,9</w:t>
      </w:r>
      <w:r w:rsidR="00442D55" w:rsidRPr="00183F91">
        <w:rPr>
          <w:lang w:val="fr-FR"/>
        </w:rPr>
        <w:t> </w:t>
      </w:r>
      <w:r w:rsidRPr="00183F91">
        <w:rPr>
          <w:lang w:val="fr-FR"/>
        </w:rPr>
        <w:t>% de Kazakhs, à 2,4</w:t>
      </w:r>
      <w:r w:rsidR="00442D55" w:rsidRPr="00183F91">
        <w:rPr>
          <w:lang w:val="fr-FR"/>
        </w:rPr>
        <w:t> </w:t>
      </w:r>
      <w:r w:rsidRPr="00183F91">
        <w:rPr>
          <w:lang w:val="fr-FR"/>
        </w:rPr>
        <w:t>% de Dörbètes, à 1,7</w:t>
      </w:r>
      <w:r w:rsidR="00442D55" w:rsidRPr="00183F91">
        <w:rPr>
          <w:lang w:val="fr-FR"/>
        </w:rPr>
        <w:t> </w:t>
      </w:r>
      <w:r w:rsidRPr="00183F91">
        <w:rPr>
          <w:lang w:val="fr-FR"/>
        </w:rPr>
        <w:t>% de Bayates et à 1,3</w:t>
      </w:r>
      <w:r w:rsidR="00442D55" w:rsidRPr="00183F91">
        <w:rPr>
          <w:lang w:val="fr-FR"/>
        </w:rPr>
        <w:t> </w:t>
      </w:r>
      <w:r w:rsidRPr="00183F91">
        <w:rPr>
          <w:lang w:val="fr-FR"/>
        </w:rPr>
        <w:t>% de Bouriates, ce qui représente environ 94</w:t>
      </w:r>
      <w:r w:rsidR="00442D55" w:rsidRPr="00183F91">
        <w:rPr>
          <w:lang w:val="fr-FR"/>
        </w:rPr>
        <w:t> </w:t>
      </w:r>
      <w:r w:rsidRPr="00183F91">
        <w:rPr>
          <w:lang w:val="fr-FR"/>
        </w:rPr>
        <w:t>% de la population totale du pays. En termes de répartition géographique, les Khalkhas sont présents dans tous les aïmags</w:t>
      </w:r>
      <w:r w:rsidRPr="00183F91">
        <w:rPr>
          <w:i/>
          <w:iCs/>
          <w:lang w:val="fr-FR"/>
        </w:rPr>
        <w:t xml:space="preserve"> </w:t>
      </w:r>
      <w:r w:rsidRPr="00183F91">
        <w:rPr>
          <w:lang w:val="fr-FR"/>
        </w:rPr>
        <w:t>et dans la capitale</w:t>
      </w:r>
      <w:r w:rsidR="00442D55" w:rsidRPr="00183F91">
        <w:rPr>
          <w:lang w:val="fr-FR"/>
        </w:rPr>
        <w:t> :</w:t>
      </w:r>
      <w:r w:rsidRPr="00183F91">
        <w:rPr>
          <w:lang w:val="fr-FR"/>
        </w:rPr>
        <w:t xml:space="preserve"> 28,4</w:t>
      </w:r>
      <w:r w:rsidR="00442D55" w:rsidRPr="00183F91">
        <w:rPr>
          <w:lang w:val="fr-FR"/>
        </w:rPr>
        <w:t> </w:t>
      </w:r>
      <w:r w:rsidRPr="00183F91">
        <w:rPr>
          <w:lang w:val="fr-FR"/>
        </w:rPr>
        <w:t>% d</w:t>
      </w:r>
      <w:r w:rsidR="00442D55" w:rsidRPr="00183F91">
        <w:rPr>
          <w:lang w:val="fr-FR"/>
        </w:rPr>
        <w:t>’</w:t>
      </w:r>
      <w:r w:rsidRPr="00183F91">
        <w:rPr>
          <w:lang w:val="fr-FR"/>
        </w:rPr>
        <w:t>entre eux vivent dans l</w:t>
      </w:r>
      <w:r w:rsidR="00442D55" w:rsidRPr="00183F91">
        <w:rPr>
          <w:lang w:val="fr-FR"/>
        </w:rPr>
        <w:t>’</w:t>
      </w:r>
      <w:r w:rsidRPr="00183F91">
        <w:rPr>
          <w:lang w:val="fr-FR"/>
        </w:rPr>
        <w:t>aïmag de Khovd, 13,8</w:t>
      </w:r>
      <w:r w:rsidR="00442D55" w:rsidRPr="00183F91">
        <w:rPr>
          <w:lang w:val="fr-FR"/>
        </w:rPr>
        <w:t> </w:t>
      </w:r>
      <w:r w:rsidRPr="00183F91">
        <w:rPr>
          <w:lang w:val="fr-FR"/>
        </w:rPr>
        <w:t>% dans celui d</w:t>
      </w:r>
      <w:r w:rsidR="00442D55" w:rsidRPr="00183F91">
        <w:rPr>
          <w:lang w:val="fr-FR"/>
        </w:rPr>
        <w:t>’</w:t>
      </w:r>
      <w:r w:rsidRPr="00183F91">
        <w:rPr>
          <w:lang w:val="fr-FR"/>
        </w:rPr>
        <w:t>Uvs et 1,2</w:t>
      </w:r>
      <w:r w:rsidR="00442D55" w:rsidRPr="00183F91">
        <w:rPr>
          <w:lang w:val="fr-FR"/>
        </w:rPr>
        <w:t> </w:t>
      </w:r>
      <w:r w:rsidRPr="00183F91">
        <w:rPr>
          <w:lang w:val="fr-FR"/>
        </w:rPr>
        <w:t>% dans celui de Bayan-Ölgii. Ils représentent plus de 99</w:t>
      </w:r>
      <w:r w:rsidR="00442D55" w:rsidRPr="00183F91">
        <w:rPr>
          <w:lang w:val="fr-FR"/>
        </w:rPr>
        <w:t> </w:t>
      </w:r>
      <w:r w:rsidRPr="00183F91">
        <w:rPr>
          <w:lang w:val="fr-FR"/>
        </w:rPr>
        <w:t>% de la population des aïmags</w:t>
      </w:r>
      <w:r w:rsidRPr="00183F91">
        <w:rPr>
          <w:i/>
          <w:iCs/>
          <w:lang w:val="fr-FR"/>
        </w:rPr>
        <w:t xml:space="preserve"> </w:t>
      </w:r>
      <w:r w:rsidRPr="00183F91">
        <w:rPr>
          <w:lang w:val="fr-FR"/>
        </w:rPr>
        <w:t>de Bayankhongor, Govi-Altai, Dundgovi, Zavkhan et Ömnögovi. D</w:t>
      </w:r>
      <w:r w:rsidR="00442D55" w:rsidRPr="00183F91">
        <w:rPr>
          <w:lang w:val="fr-FR"/>
        </w:rPr>
        <w:t>’</w:t>
      </w:r>
      <w:r w:rsidRPr="00183F91">
        <w:rPr>
          <w:lang w:val="fr-FR"/>
        </w:rPr>
        <w:t>après le recensement de 2010, la plupart des Tsaatans, Touvains, Kazakhs et Darkhates vivaient en zone rurale. D</w:t>
      </w:r>
      <w:r w:rsidR="00442D55" w:rsidRPr="00183F91">
        <w:rPr>
          <w:lang w:val="fr-FR"/>
        </w:rPr>
        <w:t>’</w:t>
      </w:r>
      <w:r w:rsidRPr="00183F91">
        <w:rPr>
          <w:lang w:val="fr-FR"/>
        </w:rPr>
        <w:t>après celui de 2015, nombre d</w:t>
      </w:r>
      <w:r w:rsidR="00442D55" w:rsidRPr="00183F91">
        <w:rPr>
          <w:lang w:val="fr-FR"/>
        </w:rPr>
        <w:t>’</w:t>
      </w:r>
      <w:r w:rsidRPr="00183F91">
        <w:rPr>
          <w:lang w:val="fr-FR"/>
        </w:rPr>
        <w:t>entre eux s</w:t>
      </w:r>
      <w:r w:rsidR="00442D55" w:rsidRPr="00183F91">
        <w:rPr>
          <w:lang w:val="fr-FR"/>
        </w:rPr>
        <w:t>’</w:t>
      </w:r>
      <w:r w:rsidRPr="00183F91">
        <w:rPr>
          <w:lang w:val="fr-FR"/>
        </w:rPr>
        <w:t>étaient déplacés vers les zones urbaines.</w:t>
      </w:r>
    </w:p>
    <w:p w14:paraId="6B28B578" w14:textId="1BC704D4" w:rsidR="00EB1136" w:rsidRPr="00183F91" w:rsidRDefault="00EB1136" w:rsidP="003313DA">
      <w:pPr>
        <w:pStyle w:val="SingleTxt"/>
        <w:numPr>
          <w:ilvl w:val="0"/>
          <w:numId w:val="43"/>
        </w:numPr>
        <w:spacing w:line="240" w:lineRule="exact"/>
        <w:ind w:left="1267"/>
        <w:rPr>
          <w:lang w:val="fr-FR"/>
        </w:rPr>
      </w:pPr>
      <w:r w:rsidRPr="00183F91">
        <w:rPr>
          <w:lang w:val="fr-FR"/>
        </w:rPr>
        <w:t>Dans l</w:t>
      </w:r>
      <w:r w:rsidR="00442D55" w:rsidRPr="00183F91">
        <w:rPr>
          <w:lang w:val="fr-FR"/>
        </w:rPr>
        <w:t>’</w:t>
      </w:r>
      <w:r w:rsidRPr="00183F91">
        <w:rPr>
          <w:lang w:val="fr-FR"/>
        </w:rPr>
        <w:t>aïmag</w:t>
      </w:r>
      <w:r w:rsidRPr="00183F91">
        <w:rPr>
          <w:i/>
          <w:iCs/>
          <w:lang w:val="fr-FR"/>
        </w:rPr>
        <w:t xml:space="preserve"> </w:t>
      </w:r>
      <w:r w:rsidRPr="00183F91">
        <w:rPr>
          <w:lang w:val="fr-FR"/>
        </w:rPr>
        <w:t>de Bayan-Ölgii, la population est composée à 89,8</w:t>
      </w:r>
      <w:r w:rsidR="00442D55" w:rsidRPr="00183F91">
        <w:rPr>
          <w:lang w:val="fr-FR"/>
        </w:rPr>
        <w:t> </w:t>
      </w:r>
      <w:r w:rsidRPr="00183F91">
        <w:rPr>
          <w:lang w:val="fr-FR"/>
        </w:rPr>
        <w:t>% de Kazakhs, à 5,7</w:t>
      </w:r>
      <w:r w:rsidR="00442D55" w:rsidRPr="00183F91">
        <w:rPr>
          <w:lang w:val="fr-FR"/>
        </w:rPr>
        <w:t> </w:t>
      </w:r>
      <w:r w:rsidRPr="00183F91">
        <w:rPr>
          <w:lang w:val="fr-FR"/>
        </w:rPr>
        <w:t>% d</w:t>
      </w:r>
      <w:r w:rsidR="00442D55" w:rsidRPr="00183F91">
        <w:rPr>
          <w:lang w:val="fr-FR"/>
        </w:rPr>
        <w:t>’</w:t>
      </w:r>
      <w:r w:rsidRPr="00183F91">
        <w:rPr>
          <w:lang w:val="fr-FR"/>
        </w:rPr>
        <w:t>Ouriankhaïs et, pour le reste, de Touvains, de Khalkhas, de Dörbètes, de Bouriates, de Bayates, d</w:t>
      </w:r>
      <w:r w:rsidR="00442D55" w:rsidRPr="00183F91">
        <w:rPr>
          <w:lang w:val="fr-FR"/>
        </w:rPr>
        <w:t>’</w:t>
      </w:r>
      <w:r w:rsidRPr="00183F91">
        <w:rPr>
          <w:lang w:val="fr-FR"/>
        </w:rPr>
        <w:t>Uulds et de Tzakhtchines, entre autres. Les personnes handicapées représentent 2,9</w:t>
      </w:r>
      <w:r w:rsidR="00442D55" w:rsidRPr="00183F91">
        <w:rPr>
          <w:lang w:val="fr-FR"/>
        </w:rPr>
        <w:t> </w:t>
      </w:r>
      <w:r w:rsidRPr="00183F91">
        <w:rPr>
          <w:lang w:val="fr-FR"/>
        </w:rPr>
        <w:t>% des Kazakhs dans le pays. Au total, 77,4</w:t>
      </w:r>
      <w:r w:rsidR="00442D55" w:rsidRPr="00183F91">
        <w:rPr>
          <w:lang w:val="fr-FR"/>
        </w:rPr>
        <w:t> </w:t>
      </w:r>
      <w:r w:rsidRPr="00183F91">
        <w:rPr>
          <w:lang w:val="fr-FR"/>
        </w:rPr>
        <w:t>% des Kazakhs de 6 ans et plus ont reçu une éducation et 22,6</w:t>
      </w:r>
      <w:r w:rsidR="00442D55" w:rsidRPr="00183F91">
        <w:rPr>
          <w:lang w:val="fr-FR"/>
        </w:rPr>
        <w:t> </w:t>
      </w:r>
      <w:r w:rsidRPr="00183F91">
        <w:rPr>
          <w:lang w:val="fr-FR"/>
        </w:rPr>
        <w:t>% n</w:t>
      </w:r>
      <w:r w:rsidR="00442D55" w:rsidRPr="00183F91">
        <w:rPr>
          <w:lang w:val="fr-FR"/>
        </w:rPr>
        <w:t>’</w:t>
      </w:r>
      <w:r w:rsidRPr="00183F91">
        <w:rPr>
          <w:lang w:val="fr-FR"/>
        </w:rPr>
        <w:t>en ont pas reçu.</w:t>
      </w:r>
    </w:p>
    <w:p w14:paraId="13C6A652" w14:textId="2B74BD34" w:rsidR="00EB1136" w:rsidRPr="00183F91" w:rsidRDefault="00EB1136" w:rsidP="003313DA">
      <w:pPr>
        <w:pStyle w:val="SingleTxt"/>
        <w:numPr>
          <w:ilvl w:val="0"/>
          <w:numId w:val="43"/>
        </w:numPr>
        <w:spacing w:line="240" w:lineRule="exact"/>
        <w:ind w:left="1267"/>
        <w:rPr>
          <w:lang w:val="fr-FR"/>
        </w:rPr>
      </w:pPr>
      <w:r w:rsidRPr="00183F91">
        <w:rPr>
          <w:lang w:val="fr-FR"/>
        </w:rPr>
        <w:t>Dans le Bayan-Ölgii, le nombre de femmes instruites, en particulier de femmes titulaires d</w:t>
      </w:r>
      <w:r w:rsidR="00442D55" w:rsidRPr="00183F91">
        <w:rPr>
          <w:lang w:val="fr-FR"/>
        </w:rPr>
        <w:t>’</w:t>
      </w:r>
      <w:r w:rsidRPr="00183F91">
        <w:rPr>
          <w:lang w:val="fr-FR"/>
        </w:rPr>
        <w:t>une licence, d</w:t>
      </w:r>
      <w:r w:rsidR="00442D55" w:rsidRPr="00183F91">
        <w:rPr>
          <w:lang w:val="fr-FR"/>
        </w:rPr>
        <w:t>’</w:t>
      </w:r>
      <w:r w:rsidRPr="00183F91">
        <w:rPr>
          <w:lang w:val="fr-FR"/>
        </w:rPr>
        <w:t>une maîtrise ou d</w:t>
      </w:r>
      <w:r w:rsidR="00442D55" w:rsidRPr="00183F91">
        <w:rPr>
          <w:lang w:val="fr-FR"/>
        </w:rPr>
        <w:t>’</w:t>
      </w:r>
      <w:r w:rsidRPr="00183F91">
        <w:rPr>
          <w:lang w:val="fr-FR"/>
        </w:rPr>
        <w:t>un diplôme de niveau supérieur, est en augmentation constante depuis 15 ans</w:t>
      </w:r>
      <w:r w:rsidR="00442D55" w:rsidRPr="00183F91">
        <w:rPr>
          <w:lang w:val="fr-FR"/>
        </w:rPr>
        <w:t> :</w:t>
      </w:r>
      <w:r w:rsidRPr="00183F91">
        <w:rPr>
          <w:lang w:val="fr-FR"/>
        </w:rPr>
        <w:t xml:space="preserve"> en proportion, elles sont désormais 2</w:t>
      </w:r>
      <w:r w:rsidR="00442D55" w:rsidRPr="00183F91">
        <w:rPr>
          <w:lang w:val="fr-FR"/>
        </w:rPr>
        <w:t> </w:t>
      </w:r>
      <w:r w:rsidRPr="00183F91">
        <w:rPr>
          <w:lang w:val="fr-FR"/>
        </w:rPr>
        <w:t>% de plus que les hommes à avoir reçu une éducation. Sur les 43 établissements d</w:t>
      </w:r>
      <w:r w:rsidR="00442D55" w:rsidRPr="00183F91">
        <w:rPr>
          <w:lang w:val="fr-FR"/>
        </w:rPr>
        <w:t>’</w:t>
      </w:r>
      <w:r w:rsidRPr="00183F91">
        <w:rPr>
          <w:lang w:val="fr-FR"/>
        </w:rPr>
        <w:t>enseignement général dans l</w:t>
      </w:r>
      <w:r w:rsidR="00442D55" w:rsidRPr="00183F91">
        <w:rPr>
          <w:lang w:val="fr-FR"/>
        </w:rPr>
        <w:t>’</w:t>
      </w:r>
      <w:r w:rsidRPr="00183F91">
        <w:rPr>
          <w:lang w:val="fr-FR"/>
        </w:rPr>
        <w:t>aïmag, 2 dispensent des cours en mongol, 1 en mongol, anglais et turc, 6 en mongol et kazakh, 1 en touvain et mongol et 33 en kazakh.</w:t>
      </w:r>
    </w:p>
    <w:p w14:paraId="46E756A7" w14:textId="42A3171A" w:rsidR="00EB1136" w:rsidRPr="000821D9" w:rsidRDefault="00EB1136" w:rsidP="003313DA">
      <w:pPr>
        <w:pStyle w:val="SingleTxt"/>
        <w:numPr>
          <w:ilvl w:val="0"/>
          <w:numId w:val="43"/>
        </w:numPr>
        <w:spacing w:line="240" w:lineRule="exact"/>
        <w:ind w:left="1267"/>
        <w:rPr>
          <w:spacing w:val="3"/>
          <w:lang w:val="fr-FR"/>
        </w:rPr>
      </w:pPr>
      <w:r w:rsidRPr="000821D9">
        <w:rPr>
          <w:spacing w:val="3"/>
          <w:lang w:val="fr-FR"/>
        </w:rPr>
        <w:t>En ce qui concerne les Touvains, la plupart vivent dans l</w:t>
      </w:r>
      <w:r w:rsidR="00442D55" w:rsidRPr="000821D9">
        <w:rPr>
          <w:spacing w:val="3"/>
          <w:lang w:val="fr-FR"/>
        </w:rPr>
        <w:t>’</w:t>
      </w:r>
      <w:r w:rsidRPr="000821D9">
        <w:rPr>
          <w:spacing w:val="3"/>
          <w:lang w:val="fr-FR"/>
        </w:rPr>
        <w:t>aïmag de Khövsgöl, mais ils sont aussi présents dans les aïmags de Bayan-Ölgii, Selenge, Khovd, Darkhan-Uul et Töv. Les personnes handicapées représentent 3,1</w:t>
      </w:r>
      <w:r w:rsidR="00442D55" w:rsidRPr="000821D9">
        <w:rPr>
          <w:spacing w:val="3"/>
          <w:lang w:val="fr-FR"/>
        </w:rPr>
        <w:t> </w:t>
      </w:r>
      <w:r w:rsidRPr="000821D9">
        <w:rPr>
          <w:spacing w:val="3"/>
          <w:lang w:val="fr-FR"/>
        </w:rPr>
        <w:t xml:space="preserve">% des Touvains dans le pays. </w:t>
      </w:r>
    </w:p>
    <w:p w14:paraId="33F42DB8" w14:textId="47F1D11C" w:rsidR="00EB1136" w:rsidRPr="00183F91" w:rsidRDefault="00EB1136" w:rsidP="003313DA">
      <w:pPr>
        <w:pStyle w:val="SingleTxt"/>
        <w:numPr>
          <w:ilvl w:val="0"/>
          <w:numId w:val="43"/>
        </w:numPr>
        <w:spacing w:line="240" w:lineRule="exact"/>
        <w:ind w:left="1267"/>
        <w:rPr>
          <w:lang w:val="fr-FR"/>
        </w:rPr>
      </w:pPr>
      <w:r w:rsidRPr="00183F91">
        <w:rPr>
          <w:lang w:val="fr-FR"/>
        </w:rPr>
        <w:t>Le Gouvernement mongol poursuit avec constance ses réformes visant à répondre aux besoins éducatifs particuliers des ethnies minoritaires (Kazakhs et Touvains) et à améliorer l</w:t>
      </w:r>
      <w:r w:rsidR="00442D55" w:rsidRPr="00183F91">
        <w:rPr>
          <w:lang w:val="fr-FR"/>
        </w:rPr>
        <w:t>’</w:t>
      </w:r>
      <w:r w:rsidRPr="00183F91">
        <w:rPr>
          <w:lang w:val="fr-FR"/>
        </w:rPr>
        <w:t>accès à l</w:t>
      </w:r>
      <w:r w:rsidR="00442D55" w:rsidRPr="00183F91">
        <w:rPr>
          <w:lang w:val="fr-FR"/>
        </w:rPr>
        <w:t>’</w:t>
      </w:r>
      <w:r w:rsidRPr="00183F91">
        <w:rPr>
          <w:lang w:val="fr-FR"/>
        </w:rPr>
        <w:t>éducation et la qualité de l</w:t>
      </w:r>
      <w:r w:rsidR="00442D55" w:rsidRPr="00183F91">
        <w:rPr>
          <w:lang w:val="fr-FR"/>
        </w:rPr>
        <w:t>’</w:t>
      </w:r>
      <w:r w:rsidRPr="00183F91">
        <w:rPr>
          <w:lang w:val="fr-FR"/>
        </w:rPr>
        <w:t>enseignement. L</w:t>
      </w:r>
      <w:r w:rsidR="00442D55" w:rsidRPr="00183F91">
        <w:rPr>
          <w:lang w:val="fr-FR"/>
        </w:rPr>
        <w:t>’</w:t>
      </w:r>
      <w:r w:rsidRPr="00183F91">
        <w:rPr>
          <w:lang w:val="fr-FR"/>
        </w:rPr>
        <w:t>article</w:t>
      </w:r>
      <w:r w:rsidR="00442D55" w:rsidRPr="00183F91">
        <w:rPr>
          <w:lang w:val="fr-FR"/>
        </w:rPr>
        <w:t> </w:t>
      </w:r>
      <w:r w:rsidRPr="00183F91">
        <w:rPr>
          <w:lang w:val="fr-FR"/>
        </w:rPr>
        <w:t>5.1.4 de la loi sur l</w:t>
      </w:r>
      <w:r w:rsidR="00442D55" w:rsidRPr="00183F91">
        <w:rPr>
          <w:lang w:val="fr-FR"/>
        </w:rPr>
        <w:t>’</w:t>
      </w:r>
      <w:r w:rsidRPr="00183F91">
        <w:rPr>
          <w:lang w:val="fr-FR"/>
        </w:rPr>
        <w:t>éducation en Mongolie dispose que «</w:t>
      </w:r>
      <w:r w:rsidR="00442D55" w:rsidRPr="00183F91">
        <w:rPr>
          <w:lang w:val="fr-FR"/>
        </w:rPr>
        <w:t> </w:t>
      </w:r>
      <w:r w:rsidRPr="00183F91">
        <w:rPr>
          <w:lang w:val="fr-FR"/>
        </w:rPr>
        <w:t>l</w:t>
      </w:r>
      <w:r w:rsidR="00442D55" w:rsidRPr="00183F91">
        <w:rPr>
          <w:lang w:val="fr-FR"/>
        </w:rPr>
        <w:t>’</w:t>
      </w:r>
      <w:r w:rsidRPr="00183F91">
        <w:rPr>
          <w:lang w:val="fr-FR"/>
        </w:rPr>
        <w:t>appartenance ethnique, la langue, la race, l</w:t>
      </w:r>
      <w:r w:rsidR="00442D55" w:rsidRPr="00183F91">
        <w:rPr>
          <w:lang w:val="fr-FR"/>
        </w:rPr>
        <w:t>’</w:t>
      </w:r>
      <w:r w:rsidRPr="00183F91">
        <w:rPr>
          <w:lang w:val="fr-FR"/>
        </w:rPr>
        <w:t>âge, le sexe, les caractéristiques du développement, la santé, l</w:t>
      </w:r>
      <w:r w:rsidR="00442D55" w:rsidRPr="00183F91">
        <w:rPr>
          <w:lang w:val="fr-FR"/>
        </w:rPr>
        <w:t>’</w:t>
      </w:r>
      <w:r w:rsidRPr="00183F91">
        <w:rPr>
          <w:lang w:val="fr-FR"/>
        </w:rPr>
        <w:t>origine sociale, le statut, le niveau de ressources financières, la profession, la position, la religion et les idées ne sauraient être utilisés comme motifs de discrimination dans le cadre de l</w:t>
      </w:r>
      <w:r w:rsidR="00442D55" w:rsidRPr="00183F91">
        <w:rPr>
          <w:lang w:val="fr-FR"/>
        </w:rPr>
        <w:t>’</w:t>
      </w:r>
      <w:r w:rsidRPr="00183F91">
        <w:rPr>
          <w:lang w:val="fr-FR"/>
        </w:rPr>
        <w:t>offre de possibilités d</w:t>
      </w:r>
      <w:r w:rsidR="00442D55" w:rsidRPr="00183F91">
        <w:rPr>
          <w:lang w:val="fr-FR"/>
        </w:rPr>
        <w:t>’</w:t>
      </w:r>
      <w:r w:rsidRPr="00183F91">
        <w:rPr>
          <w:lang w:val="fr-FR"/>
        </w:rPr>
        <w:t>éducation et d</w:t>
      </w:r>
      <w:r w:rsidR="00442D55" w:rsidRPr="00183F91">
        <w:rPr>
          <w:lang w:val="fr-FR"/>
        </w:rPr>
        <w:t>’</w:t>
      </w:r>
      <w:r w:rsidRPr="00183F91">
        <w:rPr>
          <w:lang w:val="fr-FR"/>
        </w:rPr>
        <w:t>apprentissage aux citoyens, qui doivent pouvoir accéder à l</w:t>
      </w:r>
      <w:r w:rsidR="00442D55" w:rsidRPr="00183F91">
        <w:rPr>
          <w:lang w:val="fr-FR"/>
        </w:rPr>
        <w:t>’</w:t>
      </w:r>
      <w:r w:rsidRPr="00183F91">
        <w:rPr>
          <w:lang w:val="fr-FR"/>
        </w:rPr>
        <w:t>éducation sur un pied d</w:t>
      </w:r>
      <w:r w:rsidR="00442D55" w:rsidRPr="00183F91">
        <w:rPr>
          <w:lang w:val="fr-FR"/>
        </w:rPr>
        <w:t>’</w:t>
      </w:r>
      <w:r w:rsidRPr="00183F91">
        <w:rPr>
          <w:lang w:val="fr-FR"/>
        </w:rPr>
        <w:t>égalité et bénéficier des mêmes conditions d</w:t>
      </w:r>
      <w:r w:rsidR="00442D55" w:rsidRPr="00183F91">
        <w:rPr>
          <w:lang w:val="fr-FR"/>
        </w:rPr>
        <w:t>’</w:t>
      </w:r>
      <w:r w:rsidRPr="00183F91">
        <w:rPr>
          <w:lang w:val="fr-FR"/>
        </w:rPr>
        <w:t>apprentissage, dans leur langue maternelle</w:t>
      </w:r>
      <w:r w:rsidR="00442D55" w:rsidRPr="00183F91">
        <w:rPr>
          <w:lang w:val="fr-FR"/>
        </w:rPr>
        <w:t> </w:t>
      </w:r>
      <w:r w:rsidRPr="00183F91">
        <w:rPr>
          <w:lang w:val="fr-FR"/>
        </w:rPr>
        <w:t xml:space="preserve">». </w:t>
      </w:r>
      <w:r w:rsidRPr="000821D9">
        <w:rPr>
          <w:spacing w:val="3"/>
          <w:lang w:val="fr-FR"/>
        </w:rPr>
        <w:t>L</w:t>
      </w:r>
      <w:r w:rsidR="00442D55" w:rsidRPr="000821D9">
        <w:rPr>
          <w:spacing w:val="3"/>
          <w:lang w:val="fr-FR"/>
        </w:rPr>
        <w:t>’</w:t>
      </w:r>
      <w:r w:rsidRPr="000821D9">
        <w:rPr>
          <w:spacing w:val="3"/>
          <w:lang w:val="fr-FR"/>
        </w:rPr>
        <w:t>article 30.1.12 autorise les gouverneurs des aïmags</w:t>
      </w:r>
      <w:r w:rsidRPr="000821D9">
        <w:rPr>
          <w:i/>
          <w:iCs/>
          <w:spacing w:val="3"/>
          <w:lang w:val="fr-FR"/>
        </w:rPr>
        <w:t xml:space="preserve"> </w:t>
      </w:r>
      <w:r w:rsidRPr="000821D9">
        <w:rPr>
          <w:spacing w:val="3"/>
          <w:lang w:val="fr-FR"/>
        </w:rPr>
        <w:t>et de la capitale à «</w:t>
      </w:r>
      <w:r w:rsidR="00442D55" w:rsidRPr="000821D9">
        <w:rPr>
          <w:spacing w:val="3"/>
          <w:lang w:val="fr-FR"/>
        </w:rPr>
        <w:t> </w:t>
      </w:r>
      <w:r w:rsidRPr="000821D9">
        <w:rPr>
          <w:spacing w:val="3"/>
          <w:lang w:val="fr-FR"/>
        </w:rPr>
        <w:t>instaurer des conditions permettant aux minorités ethniques de s</w:t>
      </w:r>
      <w:r w:rsidR="00442D55" w:rsidRPr="000821D9">
        <w:rPr>
          <w:spacing w:val="3"/>
          <w:lang w:val="fr-FR"/>
        </w:rPr>
        <w:t>’</w:t>
      </w:r>
      <w:r w:rsidRPr="000821D9">
        <w:rPr>
          <w:spacing w:val="3"/>
          <w:lang w:val="fr-FR"/>
        </w:rPr>
        <w:t>instruire, d</w:t>
      </w:r>
      <w:r w:rsidR="00442D55" w:rsidRPr="000821D9">
        <w:rPr>
          <w:spacing w:val="3"/>
          <w:lang w:val="fr-FR"/>
        </w:rPr>
        <w:t>’</w:t>
      </w:r>
      <w:r w:rsidRPr="000821D9">
        <w:rPr>
          <w:spacing w:val="3"/>
          <w:lang w:val="fr-FR"/>
        </w:rPr>
        <w:t>hériter de leur culture et de leurs traditions et de communiquer dans leur langue maternelle à l</w:t>
      </w:r>
      <w:r w:rsidR="00442D55" w:rsidRPr="000821D9">
        <w:rPr>
          <w:spacing w:val="3"/>
          <w:lang w:val="fr-FR"/>
        </w:rPr>
        <w:t>’</w:t>
      </w:r>
      <w:r w:rsidRPr="000821D9">
        <w:rPr>
          <w:spacing w:val="3"/>
          <w:lang w:val="fr-FR"/>
        </w:rPr>
        <w:t>école</w:t>
      </w:r>
      <w:r w:rsidR="00442D55" w:rsidRPr="000821D9">
        <w:rPr>
          <w:spacing w:val="3"/>
          <w:lang w:val="fr-FR"/>
        </w:rPr>
        <w:t> </w:t>
      </w:r>
      <w:r w:rsidRPr="000821D9">
        <w:rPr>
          <w:spacing w:val="3"/>
          <w:lang w:val="fr-FR"/>
        </w:rPr>
        <w:t>».</w:t>
      </w:r>
    </w:p>
    <w:p w14:paraId="398AB8A5" w14:textId="1B44947B" w:rsidR="00EB1136" w:rsidRPr="00183F91" w:rsidRDefault="00EB1136" w:rsidP="003313DA">
      <w:pPr>
        <w:pStyle w:val="SingleTxt"/>
        <w:numPr>
          <w:ilvl w:val="0"/>
          <w:numId w:val="43"/>
        </w:numPr>
        <w:spacing w:line="240" w:lineRule="exact"/>
        <w:ind w:left="1267"/>
        <w:rPr>
          <w:lang w:val="fr-FR"/>
        </w:rPr>
      </w:pPr>
      <w:r w:rsidRPr="00183F91">
        <w:rPr>
          <w:lang w:val="fr-FR"/>
        </w:rPr>
        <w:lastRenderedPageBreak/>
        <w:t>Bien que le droit des minorités en Mongolie d</w:t>
      </w:r>
      <w:r w:rsidR="00442D55" w:rsidRPr="00183F91">
        <w:rPr>
          <w:lang w:val="fr-FR"/>
        </w:rPr>
        <w:t>’</w:t>
      </w:r>
      <w:r w:rsidRPr="00183F91">
        <w:rPr>
          <w:lang w:val="fr-FR"/>
        </w:rPr>
        <w:t>être éduquées dans leur langue maternelle et d</w:t>
      </w:r>
      <w:r w:rsidR="00442D55" w:rsidRPr="00183F91">
        <w:rPr>
          <w:lang w:val="fr-FR"/>
        </w:rPr>
        <w:t>’</w:t>
      </w:r>
      <w:r w:rsidRPr="00183F91">
        <w:rPr>
          <w:lang w:val="fr-FR"/>
        </w:rPr>
        <w:t>hériter de leur culture soit consacré dans la Constitution et pris en compte dans des lois, programmes et plans, ainsi que dans les programmes scolaires et dans la gestion des écoles pour minorités ethniques, il faut mettre en place plus de réglementations détaillées concernant les projets, les normes, les programmes scolaires et les manuels pour les matières spécialisées de nature ethnique dans les établissements où l</w:t>
      </w:r>
      <w:r w:rsidR="00442D55" w:rsidRPr="00183F91">
        <w:rPr>
          <w:lang w:val="fr-FR"/>
        </w:rPr>
        <w:t>’</w:t>
      </w:r>
      <w:r w:rsidRPr="00183F91">
        <w:rPr>
          <w:lang w:val="fr-FR"/>
        </w:rPr>
        <w:t>enseignement est dispensé dans les langues des minorités.</w:t>
      </w:r>
    </w:p>
    <w:p w14:paraId="19DA72C0" w14:textId="6243EDBF" w:rsidR="00EB1136" w:rsidRPr="00183F91" w:rsidRDefault="00EB1136" w:rsidP="003313DA">
      <w:pPr>
        <w:pStyle w:val="SingleTxt"/>
        <w:numPr>
          <w:ilvl w:val="0"/>
          <w:numId w:val="43"/>
        </w:numPr>
        <w:spacing w:line="240" w:lineRule="exact"/>
        <w:ind w:left="1267"/>
        <w:rPr>
          <w:lang w:val="fr-FR"/>
        </w:rPr>
      </w:pPr>
      <w:r w:rsidRPr="00183F91">
        <w:rPr>
          <w:lang w:val="fr-FR"/>
        </w:rPr>
        <w:t xml:space="preserve">Le peuple Touvain (Dukha), qui fait partie du groupe ethnique Ouïghour, élève des rennes dans une zone de la taïga qui forme le deuxième </w:t>
      </w:r>
      <w:r w:rsidRPr="00183F91">
        <w:rPr>
          <w:i/>
          <w:iCs/>
          <w:lang w:val="fr-FR"/>
        </w:rPr>
        <w:t xml:space="preserve">bagh </w:t>
      </w:r>
      <w:r w:rsidRPr="00183F91">
        <w:rPr>
          <w:lang w:val="fr-FR"/>
        </w:rPr>
        <w:t>du soum</w:t>
      </w:r>
      <w:r w:rsidRPr="00183F91">
        <w:rPr>
          <w:i/>
          <w:iCs/>
          <w:lang w:val="fr-FR"/>
        </w:rPr>
        <w:t xml:space="preserve"> </w:t>
      </w:r>
      <w:r w:rsidRPr="00183F91">
        <w:rPr>
          <w:lang w:val="fr-FR"/>
        </w:rPr>
        <w:t>de Tsagaannuur dans l</w:t>
      </w:r>
      <w:r w:rsidR="00442D55" w:rsidRPr="00183F91">
        <w:rPr>
          <w:lang w:val="fr-FR"/>
        </w:rPr>
        <w:t>’</w:t>
      </w:r>
      <w:r w:rsidRPr="00183F91">
        <w:rPr>
          <w:lang w:val="fr-FR"/>
        </w:rPr>
        <w:t>aïmag</w:t>
      </w:r>
      <w:r w:rsidRPr="00183F91">
        <w:rPr>
          <w:i/>
          <w:iCs/>
          <w:lang w:val="fr-FR"/>
        </w:rPr>
        <w:t xml:space="preserve"> </w:t>
      </w:r>
      <w:r w:rsidRPr="00183F91">
        <w:rPr>
          <w:lang w:val="fr-FR"/>
        </w:rPr>
        <w:t>de Khövsgöl. Il s</w:t>
      </w:r>
      <w:r w:rsidR="00442D55" w:rsidRPr="00183F91">
        <w:rPr>
          <w:lang w:val="fr-FR"/>
        </w:rPr>
        <w:t>’</w:t>
      </w:r>
      <w:r w:rsidRPr="00183F91">
        <w:rPr>
          <w:lang w:val="fr-FR"/>
        </w:rPr>
        <w:t>agit du plus petit groupe ethnique de Mongolie. Les Tsaatans vivent en haute montagne, à plus de 1</w:t>
      </w:r>
      <w:r w:rsidR="00442D55" w:rsidRPr="00183F91">
        <w:rPr>
          <w:lang w:val="fr-FR"/>
        </w:rPr>
        <w:t> </w:t>
      </w:r>
      <w:r w:rsidRPr="00183F91">
        <w:rPr>
          <w:lang w:val="fr-FR"/>
        </w:rPr>
        <w:t>000 kilomètres d</w:t>
      </w:r>
      <w:r w:rsidR="00442D55" w:rsidRPr="00183F91">
        <w:rPr>
          <w:lang w:val="fr-FR"/>
        </w:rPr>
        <w:t>’</w:t>
      </w:r>
      <w:r w:rsidRPr="00183F91">
        <w:rPr>
          <w:lang w:val="fr-FR"/>
        </w:rPr>
        <w:t>Oulan-Bator et plus de 300 kilomètres du centre de l</w:t>
      </w:r>
      <w:r w:rsidR="00442D55" w:rsidRPr="00183F91">
        <w:rPr>
          <w:lang w:val="fr-FR"/>
        </w:rPr>
        <w:t>’</w:t>
      </w:r>
      <w:r w:rsidRPr="00183F91">
        <w:rPr>
          <w:lang w:val="fr-FR"/>
        </w:rPr>
        <w:t>aïmag</w:t>
      </w:r>
      <w:r w:rsidRPr="00183F91">
        <w:rPr>
          <w:i/>
          <w:iCs/>
          <w:lang w:val="fr-FR"/>
        </w:rPr>
        <w:t xml:space="preserve"> </w:t>
      </w:r>
      <w:r w:rsidRPr="00183F91">
        <w:rPr>
          <w:lang w:val="fr-FR"/>
        </w:rPr>
        <w:t>de Khövsgöl, dans une zone située à environ 50 à 70 kilomètres du centre du soum</w:t>
      </w:r>
      <w:r w:rsidRPr="00183F91">
        <w:rPr>
          <w:i/>
          <w:iCs/>
          <w:lang w:val="fr-FR"/>
        </w:rPr>
        <w:t xml:space="preserve"> </w:t>
      </w:r>
      <w:r w:rsidRPr="00183F91">
        <w:rPr>
          <w:lang w:val="fr-FR"/>
        </w:rPr>
        <w:t>de Tsagaannuur. D</w:t>
      </w:r>
      <w:r w:rsidR="00442D55" w:rsidRPr="00183F91">
        <w:rPr>
          <w:lang w:val="fr-FR"/>
        </w:rPr>
        <w:t>’</w:t>
      </w:r>
      <w:r w:rsidRPr="00183F91">
        <w:rPr>
          <w:lang w:val="fr-FR"/>
        </w:rPr>
        <w:t>après le recensement des habitants et des logements mené en 2010, le soum de Tsagaannuur compte 664 personnes d</w:t>
      </w:r>
      <w:r w:rsidR="00442D55" w:rsidRPr="00183F91">
        <w:rPr>
          <w:lang w:val="fr-FR"/>
        </w:rPr>
        <w:t>’</w:t>
      </w:r>
      <w:r w:rsidRPr="00183F91">
        <w:rPr>
          <w:lang w:val="fr-FR"/>
        </w:rPr>
        <w:t>ethnie Tsaatan, réparties en 138 ménages. Au total, 436</w:t>
      </w:r>
      <w:r w:rsidR="00A66DA3" w:rsidRPr="00183F91">
        <w:rPr>
          <w:lang w:val="fr-FR"/>
        </w:rPr>
        <w:t> </w:t>
      </w:r>
      <w:r w:rsidRPr="00183F91">
        <w:rPr>
          <w:lang w:val="fr-FR"/>
        </w:rPr>
        <w:t>élèvent des rennes et 228 ont des sources de revenus mixtes. La plupart des renniculteurs vivent de la couture, de la sculpture du bois, de la pêche, de la vente d</w:t>
      </w:r>
      <w:r w:rsidR="00442D55" w:rsidRPr="00183F91">
        <w:rPr>
          <w:lang w:val="fr-FR"/>
        </w:rPr>
        <w:t>’</w:t>
      </w:r>
      <w:r w:rsidRPr="00183F91">
        <w:rPr>
          <w:lang w:val="fr-FR"/>
        </w:rPr>
        <w:t>articles collectés dans la nature, de la chasse, de la vente de rennes et du tourisme estival. Les enfants tsaatans n</w:t>
      </w:r>
      <w:r w:rsidR="00442D55" w:rsidRPr="00183F91">
        <w:rPr>
          <w:lang w:val="fr-FR"/>
        </w:rPr>
        <w:t>’</w:t>
      </w:r>
      <w:r w:rsidRPr="00183F91">
        <w:rPr>
          <w:lang w:val="fr-FR"/>
        </w:rPr>
        <w:t>ont pas accès à l</w:t>
      </w:r>
      <w:r w:rsidR="00442D55" w:rsidRPr="00183F91">
        <w:rPr>
          <w:lang w:val="fr-FR"/>
        </w:rPr>
        <w:t>’</w:t>
      </w:r>
      <w:r w:rsidRPr="00183F91">
        <w:rPr>
          <w:lang w:val="fr-FR"/>
        </w:rPr>
        <w:t>enseignement préscolaire et parlent un mélange de touvain et de mongol jusqu</w:t>
      </w:r>
      <w:r w:rsidR="00442D55" w:rsidRPr="00183F91">
        <w:rPr>
          <w:lang w:val="fr-FR"/>
        </w:rPr>
        <w:t>’</w:t>
      </w:r>
      <w:r w:rsidRPr="00183F91">
        <w:rPr>
          <w:lang w:val="fr-FR"/>
        </w:rPr>
        <w:t>au moment où ils entrent à l</w:t>
      </w:r>
      <w:r w:rsidR="00442D55" w:rsidRPr="00183F91">
        <w:rPr>
          <w:lang w:val="fr-FR"/>
        </w:rPr>
        <w:t>’</w:t>
      </w:r>
      <w:r w:rsidRPr="00183F91">
        <w:rPr>
          <w:lang w:val="fr-FR"/>
        </w:rPr>
        <w:t>école. En hiver, au printemps et en automne, lorsque le nombre de malades augmente en raison du froid, il est souvent difficile d</w:t>
      </w:r>
      <w:r w:rsidR="00442D55" w:rsidRPr="00183F91">
        <w:rPr>
          <w:lang w:val="fr-FR"/>
        </w:rPr>
        <w:t>’</w:t>
      </w:r>
      <w:r w:rsidRPr="00183F91">
        <w:rPr>
          <w:lang w:val="fr-FR"/>
        </w:rPr>
        <w:t>obtenir des soins médicaux. La route étant couverte de 40 à 60 centimètres de neige, elle est souvent fermée en hiver.</w:t>
      </w:r>
    </w:p>
    <w:p w14:paraId="6C70FD4C" w14:textId="6304AC99" w:rsidR="00EB1136" w:rsidRPr="00183F91" w:rsidRDefault="00EB1136" w:rsidP="003313DA">
      <w:pPr>
        <w:pStyle w:val="SingleTxt"/>
        <w:numPr>
          <w:ilvl w:val="0"/>
          <w:numId w:val="43"/>
        </w:numPr>
        <w:spacing w:line="240" w:lineRule="exact"/>
        <w:ind w:left="1267"/>
        <w:rPr>
          <w:lang w:val="fr-FR"/>
        </w:rPr>
      </w:pPr>
      <w:r w:rsidRPr="00183F91">
        <w:rPr>
          <w:lang w:val="fr-FR"/>
        </w:rPr>
        <w:t>Conformément à la résolution gouvernementale n</w:t>
      </w:r>
      <w:r w:rsidR="00442D55" w:rsidRPr="00183F91">
        <w:rPr>
          <w:vertAlign w:val="superscript"/>
          <w:lang w:val="fr-FR"/>
        </w:rPr>
        <w:t>o</w:t>
      </w:r>
      <w:r w:rsidR="00442D55" w:rsidRPr="00183F91">
        <w:rPr>
          <w:lang w:val="fr-FR"/>
        </w:rPr>
        <w:t> </w:t>
      </w:r>
      <w:r w:rsidRPr="00183F91">
        <w:rPr>
          <w:lang w:val="fr-FR"/>
        </w:rPr>
        <w:t>168 de 2013, une allocation familiale mensuelle a été versée à des Tsaatans pour améliorer leur niveau de vie</w:t>
      </w:r>
      <w:r w:rsidR="00442D55" w:rsidRPr="00183F91">
        <w:rPr>
          <w:lang w:val="fr-FR"/>
        </w:rPr>
        <w:t> :</w:t>
      </w:r>
      <w:r w:rsidRPr="00183F91">
        <w:rPr>
          <w:lang w:val="fr-FR"/>
        </w:rPr>
        <w:t xml:space="preserve"> 368 personnes dans 95 ménages (155 enfants et 213 adultes) en ont bénéficié en 2016, de même que 382 personnes en 2017 et 369 personnes en 2018. En 2016 et 2017, 164</w:t>
      </w:r>
      <w:r w:rsidR="00A66DA3" w:rsidRPr="00183F91">
        <w:rPr>
          <w:lang w:val="fr-FR"/>
        </w:rPr>
        <w:t> </w:t>
      </w:r>
      <w:r w:rsidRPr="00183F91">
        <w:rPr>
          <w:lang w:val="fr-FR"/>
        </w:rPr>
        <w:t>personnes ont bénéficié de l</w:t>
      </w:r>
      <w:r w:rsidR="00442D55" w:rsidRPr="00183F91">
        <w:rPr>
          <w:lang w:val="fr-FR"/>
        </w:rPr>
        <w:t>’</w:t>
      </w:r>
      <w:r w:rsidRPr="00183F91">
        <w:rPr>
          <w:lang w:val="fr-FR"/>
        </w:rPr>
        <w:t>aide offerte par l</w:t>
      </w:r>
      <w:r w:rsidR="00442D55" w:rsidRPr="00183F91">
        <w:rPr>
          <w:lang w:val="fr-FR"/>
        </w:rPr>
        <w:t>’</w:t>
      </w:r>
      <w:r w:rsidRPr="00183F91">
        <w:rPr>
          <w:lang w:val="fr-FR"/>
        </w:rPr>
        <w:t>État aux éleveurs de rennes en matière de cotisation à l</w:t>
      </w:r>
      <w:r w:rsidR="00442D55" w:rsidRPr="00183F91">
        <w:rPr>
          <w:lang w:val="fr-FR"/>
        </w:rPr>
        <w:t>’</w:t>
      </w:r>
      <w:r w:rsidRPr="00183F91">
        <w:rPr>
          <w:lang w:val="fr-FR"/>
        </w:rPr>
        <w:t>assurance sociale. Par ailleurs, 36 personnes reçoivent une pension de retraite versée par la caisse d</w:t>
      </w:r>
      <w:r w:rsidR="00442D55" w:rsidRPr="00183F91">
        <w:rPr>
          <w:lang w:val="fr-FR"/>
        </w:rPr>
        <w:t>’</w:t>
      </w:r>
      <w:r w:rsidRPr="00183F91">
        <w:rPr>
          <w:lang w:val="fr-FR"/>
        </w:rPr>
        <w:t>assurances sociales. Les parents d</w:t>
      </w:r>
      <w:r w:rsidR="00442D55" w:rsidRPr="00183F91">
        <w:rPr>
          <w:lang w:val="fr-FR"/>
        </w:rPr>
        <w:t>’</w:t>
      </w:r>
      <w:r w:rsidRPr="00183F91">
        <w:rPr>
          <w:lang w:val="fr-FR"/>
        </w:rPr>
        <w:t>enfants tsaatans ont tous droit à des allocations familiales.</w:t>
      </w:r>
    </w:p>
    <w:p w14:paraId="45B24CBD" w14:textId="455E5F38" w:rsidR="00EB1136" w:rsidRPr="00183F91" w:rsidRDefault="00EB1136" w:rsidP="003313DA">
      <w:pPr>
        <w:pStyle w:val="SingleTxt"/>
        <w:numPr>
          <w:ilvl w:val="0"/>
          <w:numId w:val="43"/>
        </w:numPr>
        <w:spacing w:line="240" w:lineRule="exact"/>
        <w:ind w:left="1267"/>
        <w:rPr>
          <w:lang w:val="fr-FR"/>
        </w:rPr>
      </w:pPr>
      <w:r w:rsidRPr="00183F91">
        <w:rPr>
          <w:lang w:val="fr-FR"/>
        </w:rPr>
        <w:t xml:space="preserve">Par son arrêté </w:t>
      </w:r>
      <w:r w:rsidR="00291733" w:rsidRPr="000821D9">
        <w:t>A/198</w:t>
      </w:r>
      <w:r w:rsidRPr="00183F91">
        <w:rPr>
          <w:lang w:val="fr-FR"/>
        </w:rPr>
        <w:t xml:space="preserve"> du 10 juillet 2018, le Ministère du travail et de la protection sociale a approuvé le versement d</w:t>
      </w:r>
      <w:r w:rsidR="00442D55" w:rsidRPr="00183F91">
        <w:rPr>
          <w:lang w:val="fr-FR"/>
        </w:rPr>
        <w:t>’</w:t>
      </w:r>
      <w:r w:rsidRPr="00183F91">
        <w:rPr>
          <w:lang w:val="fr-FR"/>
        </w:rPr>
        <w:t>une aide financière aux éleveurs de rennes vivant dans la taïga. L</w:t>
      </w:r>
      <w:r w:rsidR="00442D55" w:rsidRPr="00183F91">
        <w:rPr>
          <w:lang w:val="fr-FR"/>
        </w:rPr>
        <w:t>’</w:t>
      </w:r>
      <w:r w:rsidRPr="00183F91">
        <w:rPr>
          <w:lang w:val="fr-FR"/>
        </w:rPr>
        <w:t>aide est calculée à partir du montant nécessaire pour garantir un niveau de vie minimum dans la région du Khangai. Chaque adulte reçoit ce montant en plein, plus la moitié du montant pour chaque enfant. Les personnes suivantes sont éligibles</w:t>
      </w:r>
      <w:r w:rsidR="00442D55" w:rsidRPr="00183F91">
        <w:rPr>
          <w:lang w:val="fr-FR"/>
        </w:rPr>
        <w:t> :</w:t>
      </w:r>
      <w:r w:rsidRPr="00183F91">
        <w:rPr>
          <w:lang w:val="fr-FR"/>
        </w:rPr>
        <w:t xml:space="preserve"> a) les éleveurs de rennes qui vivent dans la taïga depuis 12 mois ou plus</w:t>
      </w:r>
      <w:r w:rsidR="00442D55" w:rsidRPr="00183F91">
        <w:rPr>
          <w:lang w:val="fr-FR"/>
        </w:rPr>
        <w:t> ;</w:t>
      </w:r>
      <w:r w:rsidRPr="00183F91">
        <w:rPr>
          <w:lang w:val="fr-FR"/>
        </w:rPr>
        <w:t xml:space="preserve"> </w:t>
      </w:r>
      <w:r w:rsidRPr="000821D9">
        <w:rPr>
          <w:spacing w:val="2"/>
          <w:lang w:val="fr-FR"/>
        </w:rPr>
        <w:t>b) les citoyens membres d</w:t>
      </w:r>
      <w:r w:rsidR="00442D55" w:rsidRPr="000821D9">
        <w:rPr>
          <w:spacing w:val="2"/>
          <w:lang w:val="fr-FR"/>
        </w:rPr>
        <w:t>’</w:t>
      </w:r>
      <w:r w:rsidRPr="000821D9">
        <w:rPr>
          <w:spacing w:val="2"/>
          <w:lang w:val="fr-FR"/>
        </w:rPr>
        <w:t>autres groupes ethniques mariés à des éleveurs de rennes, qui sont eux-mêmes renniculteurs dans la taïga</w:t>
      </w:r>
      <w:r w:rsidR="00442D55" w:rsidRPr="000821D9">
        <w:rPr>
          <w:spacing w:val="2"/>
          <w:lang w:val="fr-FR"/>
        </w:rPr>
        <w:t> ;</w:t>
      </w:r>
      <w:r w:rsidRPr="000821D9">
        <w:rPr>
          <w:spacing w:val="2"/>
          <w:lang w:val="fr-FR"/>
        </w:rPr>
        <w:t xml:space="preserve"> c) les enfants d</w:t>
      </w:r>
      <w:r w:rsidR="00442D55" w:rsidRPr="000821D9">
        <w:rPr>
          <w:spacing w:val="2"/>
          <w:lang w:val="fr-FR"/>
        </w:rPr>
        <w:t>’</w:t>
      </w:r>
      <w:r w:rsidRPr="000821D9">
        <w:rPr>
          <w:spacing w:val="2"/>
          <w:lang w:val="fr-FR"/>
        </w:rPr>
        <w:t>éleveurs de rennes qui vont à l</w:t>
      </w:r>
      <w:r w:rsidR="00442D55" w:rsidRPr="000821D9">
        <w:rPr>
          <w:spacing w:val="2"/>
          <w:lang w:val="fr-FR"/>
        </w:rPr>
        <w:t>’</w:t>
      </w:r>
      <w:r w:rsidRPr="000821D9">
        <w:rPr>
          <w:spacing w:val="2"/>
          <w:lang w:val="fr-FR"/>
        </w:rPr>
        <w:t>école dans la localité la plus proche, ainsi qu</w:t>
      </w:r>
      <w:r w:rsidR="00442D55" w:rsidRPr="000821D9">
        <w:rPr>
          <w:spacing w:val="2"/>
          <w:lang w:val="fr-FR"/>
        </w:rPr>
        <w:t>’</w:t>
      </w:r>
      <w:r w:rsidRPr="000821D9">
        <w:rPr>
          <w:spacing w:val="2"/>
          <w:lang w:val="fr-FR"/>
        </w:rPr>
        <w:t>un membre de la famille qui s</w:t>
      </w:r>
      <w:r w:rsidR="00442D55" w:rsidRPr="000821D9">
        <w:rPr>
          <w:spacing w:val="2"/>
          <w:lang w:val="fr-FR"/>
        </w:rPr>
        <w:t>’</w:t>
      </w:r>
      <w:r w:rsidRPr="000821D9">
        <w:rPr>
          <w:spacing w:val="2"/>
          <w:lang w:val="fr-FR"/>
        </w:rPr>
        <w:t>occupe de ces enfants</w:t>
      </w:r>
      <w:r w:rsidR="00442D55" w:rsidRPr="000821D9">
        <w:rPr>
          <w:spacing w:val="2"/>
          <w:lang w:val="fr-FR"/>
        </w:rPr>
        <w:t> ;</w:t>
      </w:r>
      <w:r w:rsidRPr="000821D9">
        <w:rPr>
          <w:spacing w:val="2"/>
          <w:lang w:val="fr-FR"/>
        </w:rPr>
        <w:t xml:space="preserve"> d) les retraités âgés, les personnes handicapées, les personnes ayant besoin de soins médicaux, les personnes ayant besoin de soins permanents et les personnes qui s</w:t>
      </w:r>
      <w:r w:rsidR="00442D55" w:rsidRPr="000821D9">
        <w:rPr>
          <w:spacing w:val="2"/>
          <w:lang w:val="fr-FR"/>
        </w:rPr>
        <w:t>’</w:t>
      </w:r>
      <w:r w:rsidRPr="000821D9">
        <w:rPr>
          <w:spacing w:val="2"/>
          <w:lang w:val="fr-FR"/>
        </w:rPr>
        <w:t>occupent des éleveurs de rennes vivant dans le centre du soum de Tsagaannuur. La mise en place de services sociaux pour les personnes vivant dans la taïga a permis d</w:t>
      </w:r>
      <w:r w:rsidR="00442D55" w:rsidRPr="000821D9">
        <w:rPr>
          <w:spacing w:val="2"/>
          <w:lang w:val="fr-FR"/>
        </w:rPr>
        <w:t>’</w:t>
      </w:r>
      <w:r w:rsidRPr="000821D9">
        <w:rPr>
          <w:spacing w:val="2"/>
          <w:lang w:val="fr-FR"/>
        </w:rPr>
        <w:t>améliorer la protection sociale des éleveurs de rennes.</w:t>
      </w:r>
    </w:p>
    <w:p w14:paraId="6436B983" w14:textId="5D577A3D" w:rsidR="00EB1136" w:rsidRPr="00183F91" w:rsidRDefault="00EB1136" w:rsidP="003313DA">
      <w:pPr>
        <w:pStyle w:val="SingleTxt"/>
        <w:numPr>
          <w:ilvl w:val="0"/>
          <w:numId w:val="43"/>
        </w:numPr>
        <w:spacing w:line="240" w:lineRule="exact"/>
        <w:ind w:left="1267"/>
        <w:rPr>
          <w:lang w:val="fr-FR"/>
        </w:rPr>
      </w:pPr>
      <w:r w:rsidRPr="00183F91">
        <w:rPr>
          <w:lang w:val="fr-FR"/>
        </w:rPr>
        <w:t>Pour promouvoir l</w:t>
      </w:r>
      <w:r w:rsidR="00442D55" w:rsidRPr="00183F91">
        <w:rPr>
          <w:lang w:val="fr-FR"/>
        </w:rPr>
        <w:t>’</w:t>
      </w:r>
      <w:r w:rsidRPr="00183F91">
        <w:rPr>
          <w:lang w:val="fr-FR"/>
        </w:rPr>
        <w:t>inscription des Tsaatans à l</w:t>
      </w:r>
      <w:r w:rsidR="00442D55" w:rsidRPr="00183F91">
        <w:rPr>
          <w:lang w:val="fr-FR"/>
        </w:rPr>
        <w:t>’</w:t>
      </w:r>
      <w:r w:rsidRPr="00183F91">
        <w:rPr>
          <w:lang w:val="fr-FR"/>
        </w:rPr>
        <w:t>université, un quota a été mis en place dans l</w:t>
      </w:r>
      <w:r w:rsidR="00442D55" w:rsidRPr="00183F91">
        <w:rPr>
          <w:lang w:val="fr-FR"/>
        </w:rPr>
        <w:t>’</w:t>
      </w:r>
      <w:r w:rsidRPr="00183F91">
        <w:rPr>
          <w:lang w:val="fr-FR"/>
        </w:rPr>
        <w:t>aïmag de Khövsgöl. Cinq personnes se sont inscrites à l</w:t>
      </w:r>
      <w:r w:rsidR="00442D55" w:rsidRPr="00183F91">
        <w:rPr>
          <w:lang w:val="fr-FR"/>
        </w:rPr>
        <w:t>’</w:t>
      </w:r>
      <w:r w:rsidRPr="00183F91">
        <w:rPr>
          <w:lang w:val="fr-FR"/>
        </w:rPr>
        <w:t>université en 2017</w:t>
      </w:r>
      <w:r w:rsidR="00442D55" w:rsidRPr="00183F91">
        <w:rPr>
          <w:lang w:val="fr-FR"/>
        </w:rPr>
        <w:t> ;</w:t>
      </w:r>
      <w:r w:rsidRPr="00183F91">
        <w:rPr>
          <w:lang w:val="fr-FR"/>
        </w:rPr>
        <w:t xml:space="preserve"> leurs frais de scolarité ont été payés grâce à une bourse du Trésor public.</w:t>
      </w:r>
    </w:p>
    <w:p w14:paraId="2277C20A" w14:textId="0CFE5BF4" w:rsidR="00EB1136" w:rsidRPr="00183F91" w:rsidRDefault="00EB1136" w:rsidP="003313DA">
      <w:pPr>
        <w:pStyle w:val="SingleTxt"/>
        <w:numPr>
          <w:ilvl w:val="0"/>
          <w:numId w:val="43"/>
        </w:numPr>
        <w:spacing w:line="240" w:lineRule="exact"/>
        <w:ind w:left="1267"/>
        <w:rPr>
          <w:lang w:val="fr-FR"/>
        </w:rPr>
      </w:pPr>
      <w:r w:rsidRPr="00183F91">
        <w:rPr>
          <w:lang w:val="fr-FR"/>
        </w:rPr>
        <w:t>Bien que les Tsaatans participent tous aux élections, ils connaissent très mal les personnes pour qui ils votent et n</w:t>
      </w:r>
      <w:r w:rsidR="00442D55" w:rsidRPr="00183F91">
        <w:rPr>
          <w:lang w:val="fr-FR"/>
        </w:rPr>
        <w:t>’</w:t>
      </w:r>
      <w:r w:rsidRPr="00183F91">
        <w:rPr>
          <w:lang w:val="fr-FR"/>
        </w:rPr>
        <w:t>ont qu</w:t>
      </w:r>
      <w:r w:rsidR="00442D55" w:rsidRPr="00183F91">
        <w:rPr>
          <w:lang w:val="fr-FR"/>
        </w:rPr>
        <w:t>’</w:t>
      </w:r>
      <w:r w:rsidRPr="00183F91">
        <w:rPr>
          <w:lang w:val="fr-FR"/>
        </w:rPr>
        <w:t>une vague idée de pourquoi ils se rendent aux urnes. Ce manque d</w:t>
      </w:r>
      <w:r w:rsidR="00442D55" w:rsidRPr="00183F91">
        <w:rPr>
          <w:lang w:val="fr-FR"/>
        </w:rPr>
        <w:t>’</w:t>
      </w:r>
      <w:r w:rsidRPr="00183F91">
        <w:rPr>
          <w:lang w:val="fr-FR"/>
        </w:rPr>
        <w:t xml:space="preserve">information les pousse à se fier aux rumeurs et à voter comme </w:t>
      </w:r>
      <w:r w:rsidRPr="00183F91">
        <w:rPr>
          <w:lang w:val="fr-FR"/>
        </w:rPr>
        <w:lastRenderedPageBreak/>
        <w:t>leurs amis ou leurs parents. On compte six représentants tsaatan dans les khourals locaux et dans l</w:t>
      </w:r>
      <w:r w:rsidR="00442D55" w:rsidRPr="00183F91">
        <w:rPr>
          <w:lang w:val="fr-FR"/>
        </w:rPr>
        <w:t>’</w:t>
      </w:r>
      <w:r w:rsidRPr="00183F91">
        <w:rPr>
          <w:lang w:val="fr-FR"/>
        </w:rPr>
        <w:t>administration locale.</w:t>
      </w:r>
    </w:p>
    <w:p w14:paraId="020F75E0" w14:textId="2629D177" w:rsidR="003313DA" w:rsidRPr="00183F91" w:rsidRDefault="003313DA" w:rsidP="003313DA">
      <w:pPr>
        <w:pStyle w:val="SingleTxt"/>
        <w:spacing w:after="0" w:line="120" w:lineRule="exact"/>
        <w:rPr>
          <w:sz w:val="10"/>
          <w:lang w:val="fr-FR"/>
        </w:rPr>
      </w:pPr>
    </w:p>
    <w:p w14:paraId="675BBF3D" w14:textId="2C022DF2" w:rsidR="00EB1136" w:rsidRPr="00183F91" w:rsidRDefault="00EB1136" w:rsidP="003313D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83F91">
        <w:rPr>
          <w:lang w:val="fr-FR"/>
        </w:rPr>
        <w:tab/>
      </w:r>
      <w:r w:rsidRPr="00183F91">
        <w:rPr>
          <w:lang w:val="fr-FR"/>
        </w:rPr>
        <w:tab/>
        <w:t>Mesures prises aux fins de l</w:t>
      </w:r>
      <w:r w:rsidR="00442D55" w:rsidRPr="00183F91">
        <w:rPr>
          <w:lang w:val="fr-FR"/>
        </w:rPr>
        <w:t>’</w:t>
      </w:r>
      <w:r w:rsidRPr="00183F91">
        <w:rPr>
          <w:lang w:val="fr-FR"/>
        </w:rPr>
        <w:t>application du Programme national pour</w:t>
      </w:r>
      <w:r w:rsidR="003313DA" w:rsidRPr="00183F91">
        <w:rPr>
          <w:lang w:val="fr-FR"/>
        </w:rPr>
        <w:t> </w:t>
      </w:r>
      <w:r w:rsidRPr="00183F91">
        <w:rPr>
          <w:lang w:val="fr-FR"/>
        </w:rPr>
        <w:t>la</w:t>
      </w:r>
      <w:r w:rsidR="003313DA" w:rsidRPr="00183F91">
        <w:rPr>
          <w:lang w:val="fr-FR"/>
        </w:rPr>
        <w:t> </w:t>
      </w:r>
      <w:r w:rsidRPr="00183F91">
        <w:rPr>
          <w:lang w:val="fr-FR"/>
        </w:rPr>
        <w:t>promotion des droits humains, de la participation et du développement des personnes handicapées (2017) et de la loi sur les droits des personnes handicapées (2016) et du suivi de leur mise en œuvre</w:t>
      </w:r>
    </w:p>
    <w:p w14:paraId="04E57096" w14:textId="711CEE4D" w:rsidR="003313DA" w:rsidRPr="00183F91" w:rsidRDefault="003313DA" w:rsidP="003313DA">
      <w:pPr>
        <w:pStyle w:val="SingleTxt"/>
        <w:spacing w:after="0" w:line="120" w:lineRule="exact"/>
        <w:rPr>
          <w:sz w:val="10"/>
          <w:lang w:val="fr-FR"/>
        </w:rPr>
      </w:pPr>
    </w:p>
    <w:p w14:paraId="45C47D8C" w14:textId="5077C7ED" w:rsidR="00EB1136" w:rsidRPr="00183F91" w:rsidRDefault="00EB1136" w:rsidP="003313DA">
      <w:pPr>
        <w:pStyle w:val="SingleTxt"/>
        <w:numPr>
          <w:ilvl w:val="0"/>
          <w:numId w:val="43"/>
        </w:numPr>
        <w:spacing w:line="240" w:lineRule="exact"/>
        <w:ind w:left="1267"/>
        <w:rPr>
          <w:lang w:val="fr-FR"/>
        </w:rPr>
      </w:pPr>
      <w:r w:rsidRPr="00183F91">
        <w:rPr>
          <w:lang w:val="fr-FR"/>
        </w:rPr>
        <w:t>Le Programme national pour la promotion des droits, de la participation et du développement des personnes handicapées comprend 7 indicateurs de résultats et 116</w:t>
      </w:r>
      <w:r w:rsidR="00A66DA3" w:rsidRPr="00183F91">
        <w:rPr>
          <w:lang w:val="fr-FR"/>
        </w:rPr>
        <w:t> </w:t>
      </w:r>
      <w:r w:rsidRPr="00183F91">
        <w:rPr>
          <w:lang w:val="fr-FR"/>
        </w:rPr>
        <w:t>indicateurs de performance, qui servent à suivre sa mise en œuvre.</w:t>
      </w:r>
    </w:p>
    <w:p w14:paraId="1E113D67" w14:textId="62620E99" w:rsidR="00EB1136" w:rsidRPr="00183F91" w:rsidRDefault="00EB1136" w:rsidP="003313DA">
      <w:pPr>
        <w:pStyle w:val="SingleTxt"/>
        <w:numPr>
          <w:ilvl w:val="0"/>
          <w:numId w:val="43"/>
        </w:numPr>
        <w:spacing w:line="240" w:lineRule="exact"/>
        <w:ind w:left="1267"/>
        <w:rPr>
          <w:lang w:val="fr-FR"/>
        </w:rPr>
      </w:pPr>
      <w:r w:rsidRPr="00183F91">
        <w:rPr>
          <w:lang w:val="fr-FR"/>
        </w:rPr>
        <w:t>L</w:t>
      </w:r>
      <w:r w:rsidR="00442D55" w:rsidRPr="00183F91">
        <w:rPr>
          <w:lang w:val="fr-FR"/>
        </w:rPr>
        <w:t>’</w:t>
      </w:r>
      <w:r w:rsidRPr="00183F91">
        <w:rPr>
          <w:lang w:val="fr-FR"/>
        </w:rPr>
        <w:t>Agence générale pour le développement des personnes handicapées, un organisme d</w:t>
      </w:r>
      <w:r w:rsidR="00442D55" w:rsidRPr="00183F91">
        <w:rPr>
          <w:lang w:val="fr-FR"/>
        </w:rPr>
        <w:t>’</w:t>
      </w:r>
      <w:r w:rsidRPr="00183F91">
        <w:rPr>
          <w:lang w:val="fr-FR"/>
        </w:rPr>
        <w:t>exécution chargé de fournir des orientations professionnelles et méthodologiques pour l</w:t>
      </w:r>
      <w:r w:rsidR="00442D55" w:rsidRPr="00183F91">
        <w:rPr>
          <w:lang w:val="fr-FR"/>
        </w:rPr>
        <w:t>’</w:t>
      </w:r>
      <w:r w:rsidRPr="00183F91">
        <w:rPr>
          <w:lang w:val="fr-FR"/>
        </w:rPr>
        <w:t>application des lois et programmes nationaux, a été créée en 2018. Elle emploie 35 personnes et contribue activement à la mise en œuvre de la Convention relative aux droits des personnes handicapées, de la loi sur les droits des personnes handicapées et des lois et règlements connexes, ainsi qu</w:t>
      </w:r>
      <w:r w:rsidR="00442D55" w:rsidRPr="00183F91">
        <w:rPr>
          <w:lang w:val="fr-FR"/>
        </w:rPr>
        <w:t>’</w:t>
      </w:r>
      <w:r w:rsidRPr="00183F91">
        <w:rPr>
          <w:lang w:val="fr-FR"/>
        </w:rPr>
        <w:t>à la coordination intersectorielle, au développement des personnes handicapées et à la promotion de leur participation à la vie de la société et de leur accès aux services publics.</w:t>
      </w:r>
    </w:p>
    <w:p w14:paraId="166D4E38" w14:textId="3F4D27F0" w:rsidR="00EB1136" w:rsidRPr="00183F91" w:rsidRDefault="00EB1136" w:rsidP="003313DA">
      <w:pPr>
        <w:pStyle w:val="SingleTxt"/>
        <w:numPr>
          <w:ilvl w:val="0"/>
          <w:numId w:val="43"/>
        </w:numPr>
        <w:spacing w:line="240" w:lineRule="exact"/>
        <w:ind w:left="1267"/>
        <w:rPr>
          <w:lang w:val="fr-FR"/>
        </w:rPr>
      </w:pPr>
      <w:r w:rsidRPr="00183F91">
        <w:rPr>
          <w:lang w:val="fr-FR"/>
        </w:rPr>
        <w:t>Des ressources sont prévues dans le budget annuel de l</w:t>
      </w:r>
      <w:r w:rsidR="00442D55" w:rsidRPr="00183F91">
        <w:rPr>
          <w:lang w:val="fr-FR"/>
        </w:rPr>
        <w:t>’</w:t>
      </w:r>
      <w:r w:rsidRPr="00183F91">
        <w:rPr>
          <w:lang w:val="fr-FR"/>
        </w:rPr>
        <w:t xml:space="preserve">État pour assurer le fonctionnement du </w:t>
      </w:r>
      <w:r w:rsidR="00A66DA3" w:rsidRPr="00183F91">
        <w:rPr>
          <w:lang w:val="fr-FR"/>
        </w:rPr>
        <w:t>P</w:t>
      </w:r>
      <w:r w:rsidRPr="00183F91">
        <w:rPr>
          <w:lang w:val="fr-FR"/>
        </w:rPr>
        <w:t>rogramme, dont les activités ont été financées à hauteur de 170</w:t>
      </w:r>
      <w:r w:rsidR="00A66DA3" w:rsidRPr="00183F91">
        <w:rPr>
          <w:lang w:val="fr-FR"/>
        </w:rPr>
        <w:t> </w:t>
      </w:r>
      <w:r w:rsidRPr="00183F91">
        <w:rPr>
          <w:lang w:val="fr-FR"/>
        </w:rPr>
        <w:t xml:space="preserve">millions de togrogs en 2018 et de 500 millions de togrogs en 2019. </w:t>
      </w:r>
    </w:p>
    <w:p w14:paraId="7A5E7DDA" w14:textId="3E472C0C" w:rsidR="00EB1136" w:rsidRPr="00183F91" w:rsidRDefault="00EB1136" w:rsidP="003313DA">
      <w:pPr>
        <w:pStyle w:val="SingleTxt"/>
        <w:numPr>
          <w:ilvl w:val="0"/>
          <w:numId w:val="43"/>
        </w:numPr>
        <w:spacing w:line="240" w:lineRule="exact"/>
        <w:ind w:left="1267"/>
        <w:rPr>
          <w:lang w:val="fr-FR"/>
        </w:rPr>
      </w:pPr>
      <w:r w:rsidRPr="00183F91">
        <w:rPr>
          <w:lang w:val="fr-FR"/>
        </w:rPr>
        <w:t>Les sous-comités et les services chargés de la protection des droits des personnes handicapées sont habitués à approuver les plans de travail et les budgets annuels pour les activités dans ce domaine qui sont prévues dans le Programme national pour la promotion des droits, de la participation et du développement des personnes handicapées. En 2019, le Ministère du travail et de la protection sociale, le Ministère de la santé, le Ministère de l</w:t>
      </w:r>
      <w:r w:rsidR="00442D55" w:rsidRPr="00183F91">
        <w:rPr>
          <w:lang w:val="fr-FR"/>
        </w:rPr>
        <w:t>’</w:t>
      </w:r>
      <w:r w:rsidRPr="00183F91">
        <w:rPr>
          <w:lang w:val="fr-FR"/>
        </w:rPr>
        <w:t>éducation, de la culture et des sciences et le Ministère de l</w:t>
      </w:r>
      <w:r w:rsidR="00442D55" w:rsidRPr="00183F91">
        <w:rPr>
          <w:lang w:val="fr-FR"/>
        </w:rPr>
        <w:t>’</w:t>
      </w:r>
      <w:r w:rsidRPr="00183F91">
        <w:rPr>
          <w:lang w:val="fr-FR"/>
        </w:rPr>
        <w:t>alimentation, de l</w:t>
      </w:r>
      <w:r w:rsidR="00442D55" w:rsidRPr="00183F91">
        <w:rPr>
          <w:lang w:val="fr-FR"/>
        </w:rPr>
        <w:t>’</w:t>
      </w:r>
      <w:r w:rsidRPr="00183F91">
        <w:rPr>
          <w:lang w:val="fr-FR"/>
        </w:rPr>
        <w:t>agriculture et de l</w:t>
      </w:r>
      <w:r w:rsidR="00442D55" w:rsidRPr="00183F91">
        <w:rPr>
          <w:lang w:val="fr-FR"/>
        </w:rPr>
        <w:t>’</w:t>
      </w:r>
      <w:r w:rsidRPr="00183F91">
        <w:rPr>
          <w:lang w:val="fr-FR"/>
        </w:rPr>
        <w:t>industrie légère, entre autres, ont réservé des fonds aux plans et budgets de leurs sous-comités. Par ailleurs, les sous-comités dans les aïmags et dans la capitale s</w:t>
      </w:r>
      <w:r w:rsidR="00442D55" w:rsidRPr="00183F91">
        <w:rPr>
          <w:lang w:val="fr-FR"/>
        </w:rPr>
        <w:t>’</w:t>
      </w:r>
      <w:r w:rsidRPr="00183F91">
        <w:rPr>
          <w:lang w:val="fr-FR"/>
        </w:rPr>
        <w:t>efforcent de résoudre des problèmes liés au manque de capitaux en finançant en partie les budgets locaux ou en utilisant ces budgets pour financer des mesures au bénéfice des personnes handicapées. Cependant, vu la situation économique du pays, il reste difficile de puiser dans le budget de l</w:t>
      </w:r>
      <w:r w:rsidR="00442D55" w:rsidRPr="00183F91">
        <w:rPr>
          <w:lang w:val="fr-FR"/>
        </w:rPr>
        <w:t>’</w:t>
      </w:r>
      <w:r w:rsidRPr="00183F91">
        <w:rPr>
          <w:lang w:val="fr-FR"/>
        </w:rPr>
        <w:t>État et dans les budgets locaux les sommes nécessaires à la pleine application des dispositions de la loi sur les droits des personnes handicapées et du Programme national pour la promotion des droits, de la participation et du développement des personnes handicapées.</w:t>
      </w:r>
    </w:p>
    <w:p w14:paraId="160F074A" w14:textId="53436718" w:rsidR="00EB1136" w:rsidRPr="000821D9" w:rsidRDefault="00EB1136" w:rsidP="003313DA">
      <w:pPr>
        <w:pStyle w:val="SingleTxt"/>
        <w:numPr>
          <w:ilvl w:val="0"/>
          <w:numId w:val="43"/>
        </w:numPr>
        <w:spacing w:line="240" w:lineRule="exact"/>
        <w:ind w:left="1267"/>
        <w:rPr>
          <w:spacing w:val="2"/>
          <w:lang w:val="fr-FR"/>
        </w:rPr>
      </w:pPr>
      <w:r w:rsidRPr="000821D9">
        <w:rPr>
          <w:spacing w:val="2"/>
          <w:lang w:val="fr-FR"/>
        </w:rPr>
        <w:t>Avec le soutien d</w:t>
      </w:r>
      <w:r w:rsidR="00442D55" w:rsidRPr="000821D9">
        <w:rPr>
          <w:spacing w:val="2"/>
          <w:lang w:val="fr-FR"/>
        </w:rPr>
        <w:t>’</w:t>
      </w:r>
      <w:r w:rsidRPr="000821D9">
        <w:rPr>
          <w:spacing w:val="2"/>
          <w:lang w:val="fr-FR"/>
        </w:rPr>
        <w:t>organisations internationales, des mesures sont prises pour mettre en place des projets et des programmes et améliorer le financement si nécessaire. Par exemple, le pays a obtenu un prêt concessionnel de la BAsD et reçu un don de 27 millions de dollars du Fonds japonais pour la réduction de la pauvreté. Par ailleurs, le Projet d</w:t>
      </w:r>
      <w:r w:rsidR="00442D55" w:rsidRPr="000821D9">
        <w:rPr>
          <w:spacing w:val="2"/>
          <w:lang w:val="fr-FR"/>
        </w:rPr>
        <w:t>’</w:t>
      </w:r>
      <w:r w:rsidRPr="000821D9">
        <w:rPr>
          <w:spacing w:val="2"/>
          <w:lang w:val="fr-FR"/>
        </w:rPr>
        <w:t>amélioration de la participation et des services aux personnes handicapées est en cours de mise en œuvre, tout comme le Projet d</w:t>
      </w:r>
      <w:r w:rsidR="00442D55" w:rsidRPr="000821D9">
        <w:rPr>
          <w:spacing w:val="2"/>
          <w:lang w:val="fr-FR"/>
        </w:rPr>
        <w:t>’</w:t>
      </w:r>
      <w:r w:rsidRPr="000821D9">
        <w:rPr>
          <w:spacing w:val="2"/>
          <w:lang w:val="fr-FR"/>
        </w:rPr>
        <w:t>amélioration pour les personnes handicapées à Oulan-Bator de l</w:t>
      </w:r>
      <w:r w:rsidR="00442D55" w:rsidRPr="000821D9">
        <w:rPr>
          <w:spacing w:val="2"/>
          <w:lang w:val="fr-FR"/>
        </w:rPr>
        <w:t>’</w:t>
      </w:r>
      <w:r w:rsidRPr="000821D9">
        <w:rPr>
          <w:spacing w:val="2"/>
          <w:lang w:val="fr-FR"/>
        </w:rPr>
        <w:t>Agence japonaise de coopération internationale.</w:t>
      </w:r>
    </w:p>
    <w:p w14:paraId="094A8F9C" w14:textId="0C740919" w:rsidR="003313DA" w:rsidRPr="00183F91" w:rsidRDefault="003313DA" w:rsidP="003313DA">
      <w:pPr>
        <w:pStyle w:val="SingleTxt"/>
        <w:spacing w:after="0" w:line="120" w:lineRule="exact"/>
        <w:rPr>
          <w:sz w:val="10"/>
          <w:lang w:val="fr-FR"/>
        </w:rPr>
      </w:pPr>
    </w:p>
    <w:p w14:paraId="5A8DCB1D" w14:textId="0CB5F8DF" w:rsidR="003313DA" w:rsidRPr="00183F91" w:rsidRDefault="003313DA" w:rsidP="003313DA">
      <w:pPr>
        <w:pStyle w:val="SingleTxt"/>
        <w:spacing w:after="0" w:line="120" w:lineRule="exact"/>
        <w:rPr>
          <w:sz w:val="10"/>
          <w:lang w:val="fr-FR"/>
        </w:rPr>
      </w:pPr>
    </w:p>
    <w:p w14:paraId="5997555B" w14:textId="763D46C0" w:rsidR="00EB1136" w:rsidRPr="00183F91" w:rsidRDefault="00EB1136" w:rsidP="000821D9">
      <w:pPr>
        <w:pStyle w:val="H1"/>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83F91">
        <w:rPr>
          <w:lang w:val="fr-FR"/>
        </w:rPr>
        <w:tab/>
        <w:t>Y.</w:t>
      </w:r>
      <w:r w:rsidRPr="00183F91">
        <w:rPr>
          <w:lang w:val="fr-FR"/>
        </w:rPr>
        <w:tab/>
        <w:t>Réponse au paragraphe 23 de la liste de points</w:t>
      </w:r>
    </w:p>
    <w:p w14:paraId="27D01EF9" w14:textId="76410D98" w:rsidR="003313DA" w:rsidRPr="00183F91" w:rsidRDefault="003313DA">
      <w:pPr>
        <w:pStyle w:val="SingleTxt"/>
        <w:spacing w:after="0" w:line="120" w:lineRule="exact"/>
        <w:rPr>
          <w:sz w:val="10"/>
          <w:lang w:val="fr-FR"/>
        </w:rPr>
      </w:pPr>
    </w:p>
    <w:p w14:paraId="38B389F0" w14:textId="5ABF90A1" w:rsidR="003313DA" w:rsidRPr="00183F91" w:rsidRDefault="003313DA">
      <w:pPr>
        <w:pStyle w:val="SingleTxt"/>
        <w:spacing w:after="0" w:line="120" w:lineRule="exact"/>
        <w:rPr>
          <w:sz w:val="10"/>
          <w:lang w:val="fr-FR"/>
        </w:rPr>
      </w:pPr>
    </w:p>
    <w:p w14:paraId="1DB27C19" w14:textId="5505FA4A" w:rsidR="00EB1136" w:rsidRPr="00183F91" w:rsidRDefault="00EB1136" w:rsidP="000821D9">
      <w:pPr>
        <w:pStyle w:val="SingleTxt"/>
        <w:numPr>
          <w:ilvl w:val="0"/>
          <w:numId w:val="43"/>
        </w:numPr>
        <w:spacing w:line="240" w:lineRule="exact"/>
        <w:ind w:left="1267"/>
        <w:rPr>
          <w:lang w:val="fr-FR"/>
        </w:rPr>
      </w:pPr>
      <w:r w:rsidRPr="00183F91">
        <w:rPr>
          <w:lang w:val="fr-FR"/>
        </w:rPr>
        <w:t>Les paragraphes 37 et 38 des observations finales (</w:t>
      </w:r>
      <w:hyperlink r:id="rId24" w:history="1">
        <w:r w:rsidRPr="00183F91">
          <w:rPr>
            <w:rStyle w:val="Hyperlink"/>
            <w:lang w:val="fr-FR"/>
          </w:rPr>
          <w:t>CEDAW/C/MNG/8-9</w:t>
        </w:r>
      </w:hyperlink>
      <w:r w:rsidRPr="00183F91">
        <w:rPr>
          <w:lang w:val="fr-FR"/>
        </w:rPr>
        <w:t xml:space="preserve">) ne traitent pas de ces questions. </w:t>
      </w:r>
    </w:p>
    <w:p w14:paraId="634F7E1B" w14:textId="26EC0F02" w:rsidR="00EB1136" w:rsidRPr="00183F91" w:rsidRDefault="00EB1136" w:rsidP="003313DA">
      <w:pPr>
        <w:pStyle w:val="SingleTxt"/>
        <w:numPr>
          <w:ilvl w:val="0"/>
          <w:numId w:val="43"/>
        </w:numPr>
        <w:spacing w:line="240" w:lineRule="exact"/>
        <w:ind w:left="1267"/>
        <w:rPr>
          <w:lang w:val="fr-FR"/>
        </w:rPr>
      </w:pPr>
      <w:r w:rsidRPr="00183F91">
        <w:rPr>
          <w:lang w:val="fr-FR"/>
        </w:rPr>
        <w:t xml:space="preserve">Les questions relatives aux biens communs des membres de la famille dans le contexte des procédures de divorce sont régies par les articles 84, 126, 129 et 130 du </w:t>
      </w:r>
      <w:r w:rsidRPr="00183F91">
        <w:rPr>
          <w:lang w:val="fr-FR"/>
        </w:rPr>
        <w:lastRenderedPageBreak/>
        <w:t>Code civil de 2002 et par l</w:t>
      </w:r>
      <w:r w:rsidR="00442D55" w:rsidRPr="00183F91">
        <w:rPr>
          <w:lang w:val="fr-FR"/>
        </w:rPr>
        <w:t>’</w:t>
      </w:r>
      <w:r w:rsidRPr="00183F91">
        <w:rPr>
          <w:lang w:val="fr-FR"/>
        </w:rPr>
        <w:t xml:space="preserve">article 3.1.4 de la loi sur la famille de 1999. En outre, un avis de la Chambre des affaires civiles de la Cour suprême intitulé </w:t>
      </w:r>
      <w:r w:rsidR="00442D55" w:rsidRPr="00183F91">
        <w:rPr>
          <w:lang w:val="fr-FR"/>
        </w:rPr>
        <w:t>« </w:t>
      </w:r>
      <w:r w:rsidRPr="00183F91">
        <w:rPr>
          <w:lang w:val="fr-FR"/>
        </w:rPr>
        <w:t>Certaines questions à prendre en compte dans la résolution des litiges familiaux</w:t>
      </w:r>
      <w:r w:rsidR="00442D55" w:rsidRPr="00183F91">
        <w:rPr>
          <w:lang w:val="fr-FR"/>
        </w:rPr>
        <w:t> :</w:t>
      </w:r>
      <w:r w:rsidRPr="00183F91">
        <w:rPr>
          <w:lang w:val="fr-FR"/>
        </w:rPr>
        <w:t xml:space="preserve"> examen</w:t>
      </w:r>
      <w:r w:rsidR="00442D55" w:rsidRPr="00183F91">
        <w:rPr>
          <w:lang w:val="fr-FR"/>
        </w:rPr>
        <w:t> »</w:t>
      </w:r>
      <w:r w:rsidRPr="00183F91">
        <w:rPr>
          <w:lang w:val="fr-FR"/>
        </w:rPr>
        <w:t>, sa résolution n</w:t>
      </w:r>
      <w:r w:rsidR="00442D55" w:rsidRPr="00183F91">
        <w:rPr>
          <w:vertAlign w:val="superscript"/>
          <w:lang w:val="fr-FR"/>
        </w:rPr>
        <w:t>o</w:t>
      </w:r>
      <w:r w:rsidR="00442D55" w:rsidRPr="00183F91">
        <w:rPr>
          <w:lang w:val="fr-FR"/>
        </w:rPr>
        <w:t> </w:t>
      </w:r>
      <w:r w:rsidRPr="00183F91">
        <w:rPr>
          <w:lang w:val="fr-FR"/>
        </w:rPr>
        <w:t>46 de 2008 sur l</w:t>
      </w:r>
      <w:r w:rsidR="00442D55" w:rsidRPr="00183F91">
        <w:rPr>
          <w:lang w:val="fr-FR"/>
        </w:rPr>
        <w:t>’</w:t>
      </w:r>
      <w:r w:rsidRPr="00183F91">
        <w:rPr>
          <w:lang w:val="fr-FR"/>
        </w:rPr>
        <w:t>interprétation de certaines dispositions des lois sur la famille et sur l</w:t>
      </w:r>
      <w:r w:rsidR="00442D55" w:rsidRPr="00183F91">
        <w:rPr>
          <w:lang w:val="fr-FR"/>
        </w:rPr>
        <w:t>’</w:t>
      </w:r>
      <w:r w:rsidRPr="00183F91">
        <w:rPr>
          <w:lang w:val="fr-FR"/>
        </w:rPr>
        <w:t>enregistrement des faits d</w:t>
      </w:r>
      <w:r w:rsidR="00442D55" w:rsidRPr="00183F91">
        <w:rPr>
          <w:lang w:val="fr-FR"/>
        </w:rPr>
        <w:t>’</w:t>
      </w:r>
      <w:r w:rsidRPr="00183F91">
        <w:rPr>
          <w:lang w:val="fr-FR"/>
        </w:rPr>
        <w:t>état civil et les recommandations de 2007 sur la résolution des litiges familiaux par les tribunaux sont également appliqués.</w:t>
      </w:r>
    </w:p>
    <w:p w14:paraId="7BA5C665" w14:textId="0969E850" w:rsidR="00EB1136" w:rsidRPr="00183F91" w:rsidRDefault="00EB1136" w:rsidP="003313DA">
      <w:pPr>
        <w:pStyle w:val="SingleTxt"/>
        <w:numPr>
          <w:ilvl w:val="0"/>
          <w:numId w:val="43"/>
        </w:numPr>
        <w:spacing w:line="240" w:lineRule="exact"/>
        <w:ind w:left="1267"/>
        <w:rPr>
          <w:lang w:val="fr-FR"/>
        </w:rPr>
      </w:pPr>
      <w:r w:rsidRPr="00183F91">
        <w:rPr>
          <w:lang w:val="fr-FR"/>
        </w:rPr>
        <w:t>Les femmes divorcées s</w:t>
      </w:r>
      <w:r w:rsidR="00442D55" w:rsidRPr="00183F91">
        <w:rPr>
          <w:lang w:val="fr-FR"/>
        </w:rPr>
        <w:t>’</w:t>
      </w:r>
      <w:r w:rsidRPr="00183F91">
        <w:rPr>
          <w:lang w:val="fr-FR"/>
        </w:rPr>
        <w:t>occupent souvent de leurs enfants, tandis que les maris divorcés refusent souvent de payer une pension alimentaire. Selon les militantes pour les droits des femmes, les biens et les entreprises familiales sont souvent enregistrés au nom du chef de ménage, laissant le mari en possession des biens en cas de divorce. Veuillez vous reporter à la section 17 pour plus d</w:t>
      </w:r>
      <w:r w:rsidR="00442D55" w:rsidRPr="00183F91">
        <w:rPr>
          <w:lang w:val="fr-FR"/>
        </w:rPr>
        <w:t>’</w:t>
      </w:r>
      <w:r w:rsidRPr="00183F91">
        <w:rPr>
          <w:lang w:val="fr-FR"/>
        </w:rPr>
        <w:t>informations sur le soutien aux mères célibataires et aux familles monoparentales dirigées par des femmes, notamment sur les allocations de garde d</w:t>
      </w:r>
      <w:r w:rsidR="00442D55" w:rsidRPr="00183F91">
        <w:rPr>
          <w:lang w:val="fr-FR"/>
        </w:rPr>
        <w:t>’</w:t>
      </w:r>
      <w:r w:rsidRPr="00183F91">
        <w:rPr>
          <w:lang w:val="fr-FR"/>
        </w:rPr>
        <w:t>enfants et sur les mesures prises pour augmenter ces allocations et d</w:t>
      </w:r>
      <w:r w:rsidR="00442D55" w:rsidRPr="00183F91">
        <w:rPr>
          <w:lang w:val="fr-FR"/>
        </w:rPr>
        <w:t>’</w:t>
      </w:r>
      <w:r w:rsidRPr="00183F91">
        <w:rPr>
          <w:lang w:val="fr-FR"/>
        </w:rPr>
        <w:t>autres prestations.</w:t>
      </w:r>
    </w:p>
    <w:p w14:paraId="58AC503E" w14:textId="658F30C4" w:rsidR="003313DA" w:rsidRPr="00183F91" w:rsidRDefault="003313DA" w:rsidP="003313DA">
      <w:pPr>
        <w:pStyle w:val="SingleTxt"/>
        <w:spacing w:after="0" w:line="120" w:lineRule="exact"/>
        <w:rPr>
          <w:sz w:val="10"/>
          <w:lang w:val="fr-FR"/>
        </w:rPr>
      </w:pPr>
    </w:p>
    <w:p w14:paraId="414EABAA" w14:textId="021C7825" w:rsidR="003313DA" w:rsidRPr="00183F91" w:rsidRDefault="003313DA" w:rsidP="003313DA">
      <w:pPr>
        <w:pStyle w:val="SingleTxt"/>
        <w:spacing w:after="0" w:line="120" w:lineRule="exact"/>
        <w:rPr>
          <w:sz w:val="10"/>
          <w:lang w:val="fr-FR"/>
        </w:rPr>
      </w:pPr>
    </w:p>
    <w:p w14:paraId="21B902CF" w14:textId="5C4717EA" w:rsidR="00EB1136" w:rsidRPr="00183F91" w:rsidRDefault="00EB1136" w:rsidP="007A76A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83F91">
        <w:rPr>
          <w:lang w:val="fr-FR"/>
        </w:rPr>
        <w:tab/>
        <w:t>Z.</w:t>
      </w:r>
      <w:r w:rsidRPr="00183F91">
        <w:rPr>
          <w:lang w:val="fr-FR"/>
        </w:rPr>
        <w:tab/>
        <w:t>Réponse au paragraphe 24 de la liste de points</w:t>
      </w:r>
    </w:p>
    <w:p w14:paraId="2E6D4699" w14:textId="313A2636" w:rsidR="003313DA" w:rsidRPr="00183F91" w:rsidRDefault="003313DA" w:rsidP="007A76AE">
      <w:pPr>
        <w:pStyle w:val="SingleTxt"/>
        <w:keepNext/>
        <w:spacing w:after="0" w:line="120" w:lineRule="exact"/>
        <w:rPr>
          <w:sz w:val="10"/>
          <w:lang w:val="fr-FR"/>
        </w:rPr>
      </w:pPr>
    </w:p>
    <w:p w14:paraId="1ED8BC29" w14:textId="7BB742DD" w:rsidR="003313DA" w:rsidRPr="00183F91" w:rsidRDefault="003313DA" w:rsidP="007A76AE">
      <w:pPr>
        <w:pStyle w:val="SingleTxt"/>
        <w:keepNext/>
        <w:spacing w:after="0" w:line="120" w:lineRule="exact"/>
        <w:rPr>
          <w:sz w:val="10"/>
          <w:lang w:val="fr-FR"/>
        </w:rPr>
      </w:pPr>
    </w:p>
    <w:p w14:paraId="51AD8B40" w14:textId="0FB807C2" w:rsidR="00EB1136" w:rsidRPr="000821D9" w:rsidRDefault="00EB1136" w:rsidP="003313DA">
      <w:pPr>
        <w:pStyle w:val="SingleTxt"/>
        <w:numPr>
          <w:ilvl w:val="0"/>
          <w:numId w:val="43"/>
        </w:numPr>
        <w:spacing w:line="240" w:lineRule="exact"/>
        <w:ind w:left="1267"/>
        <w:rPr>
          <w:spacing w:val="2"/>
          <w:lang w:val="fr-FR"/>
        </w:rPr>
      </w:pPr>
      <w:r w:rsidRPr="000821D9">
        <w:rPr>
          <w:spacing w:val="2"/>
          <w:lang w:val="fr-FR"/>
        </w:rPr>
        <w:t>La charte de la Commission nationale sur l</w:t>
      </w:r>
      <w:r w:rsidR="00442D55" w:rsidRPr="000821D9">
        <w:rPr>
          <w:spacing w:val="2"/>
          <w:lang w:val="fr-FR"/>
        </w:rPr>
        <w:t>’</w:t>
      </w:r>
      <w:r w:rsidRPr="000821D9">
        <w:rPr>
          <w:spacing w:val="2"/>
          <w:lang w:val="fr-FR"/>
        </w:rPr>
        <w:t>égalité des sexes, approuvée par la résolution gouvernementale n</w:t>
      </w:r>
      <w:r w:rsidR="00442D55" w:rsidRPr="000821D9">
        <w:rPr>
          <w:spacing w:val="2"/>
          <w:vertAlign w:val="superscript"/>
          <w:lang w:val="fr-FR"/>
        </w:rPr>
        <w:t>o</w:t>
      </w:r>
      <w:r w:rsidR="00442D55" w:rsidRPr="000821D9">
        <w:rPr>
          <w:spacing w:val="2"/>
          <w:lang w:val="fr-FR"/>
        </w:rPr>
        <w:t> </w:t>
      </w:r>
      <w:r w:rsidRPr="000821D9">
        <w:rPr>
          <w:spacing w:val="2"/>
          <w:lang w:val="fr-FR"/>
        </w:rPr>
        <w:t>323, dispose que les antennes de la Commission dans chaque ministère sont présidées par le secrétaire d</w:t>
      </w:r>
      <w:r w:rsidR="00442D55" w:rsidRPr="000821D9">
        <w:rPr>
          <w:spacing w:val="2"/>
          <w:lang w:val="fr-FR"/>
        </w:rPr>
        <w:t>’</w:t>
      </w:r>
      <w:r w:rsidRPr="000821D9">
        <w:rPr>
          <w:spacing w:val="2"/>
          <w:lang w:val="fr-FR"/>
        </w:rPr>
        <w:t>État du ministère et que les sous-comités de la Commission dans chaque aïmag et soum sont présidés par le gouverneur de chaque division administrative. Ainsi, des antennes ont été créées dans chaque organisme administratif central (13) et des sous-comités pour le genre ont été créés dans les aïmags, la capitale et les districts de la capitale (31). En outre, des sous-comités pour le genre ont été créés dans certaines organisations, dont le Ministère des finances, afin de soutenir le processus visant à garantir l</w:t>
      </w:r>
      <w:r w:rsidR="00442D55" w:rsidRPr="000821D9">
        <w:rPr>
          <w:spacing w:val="2"/>
          <w:lang w:val="fr-FR"/>
        </w:rPr>
        <w:t>’</w:t>
      </w:r>
      <w:r w:rsidRPr="000821D9">
        <w:rPr>
          <w:spacing w:val="2"/>
          <w:lang w:val="fr-FR"/>
        </w:rPr>
        <w:t>égalité des genres au niveau sectoriel.</w:t>
      </w:r>
    </w:p>
    <w:p w14:paraId="09C3FE1B" w14:textId="6651925D" w:rsidR="00EB1136" w:rsidRPr="00183F91" w:rsidRDefault="00EB1136" w:rsidP="003313DA">
      <w:pPr>
        <w:pStyle w:val="SingleTxt"/>
        <w:numPr>
          <w:ilvl w:val="0"/>
          <w:numId w:val="43"/>
        </w:numPr>
        <w:spacing w:line="240" w:lineRule="exact"/>
        <w:ind w:left="1267"/>
        <w:rPr>
          <w:lang w:val="fr-FR"/>
        </w:rPr>
      </w:pPr>
      <w:r w:rsidRPr="00183F91">
        <w:rPr>
          <w:lang w:val="fr-FR"/>
        </w:rPr>
        <w:t>Soixante pour cent des secteurs gouvernementaux, soit huit secteurs, ont adopté des politiques d</w:t>
      </w:r>
      <w:r w:rsidR="00442D55" w:rsidRPr="00183F91">
        <w:rPr>
          <w:lang w:val="fr-FR"/>
        </w:rPr>
        <w:t>’</w:t>
      </w:r>
      <w:r w:rsidRPr="00183F91">
        <w:rPr>
          <w:lang w:val="fr-FR"/>
        </w:rPr>
        <w:t>égalité des genres et un a adopté et mis en œuvre des plans d</w:t>
      </w:r>
      <w:r w:rsidR="00442D55" w:rsidRPr="00183F91">
        <w:rPr>
          <w:lang w:val="fr-FR"/>
        </w:rPr>
        <w:t>’</w:t>
      </w:r>
      <w:r w:rsidRPr="00183F91">
        <w:rPr>
          <w:lang w:val="fr-FR"/>
        </w:rPr>
        <w:t>action en la matière. Il s</w:t>
      </w:r>
      <w:r w:rsidR="00442D55" w:rsidRPr="00183F91">
        <w:rPr>
          <w:lang w:val="fr-FR"/>
        </w:rPr>
        <w:t>’</w:t>
      </w:r>
      <w:r w:rsidRPr="00183F91">
        <w:rPr>
          <w:lang w:val="fr-FR"/>
        </w:rPr>
        <w:t>agit notamment des documents d</w:t>
      </w:r>
      <w:r w:rsidR="00442D55" w:rsidRPr="00183F91">
        <w:rPr>
          <w:lang w:val="fr-FR"/>
        </w:rPr>
        <w:t>’</w:t>
      </w:r>
      <w:r w:rsidRPr="00183F91">
        <w:rPr>
          <w:lang w:val="fr-FR"/>
        </w:rPr>
        <w:t>orientation stratégique pour l</w:t>
      </w:r>
      <w:r w:rsidR="00442D55" w:rsidRPr="00183F91">
        <w:rPr>
          <w:lang w:val="fr-FR"/>
        </w:rPr>
        <w:t>’</w:t>
      </w:r>
      <w:r w:rsidRPr="00183F91">
        <w:rPr>
          <w:lang w:val="fr-FR"/>
        </w:rPr>
        <w:t xml:space="preserve">égalité des genres adoptés par 9 ministères. </w:t>
      </w:r>
    </w:p>
    <w:p w14:paraId="3EF7FBD8" w14:textId="3336A61F" w:rsidR="00EB1136" w:rsidRPr="00183F91" w:rsidRDefault="00EB1136" w:rsidP="003313DA">
      <w:pPr>
        <w:pStyle w:val="SingleTxt"/>
        <w:numPr>
          <w:ilvl w:val="0"/>
          <w:numId w:val="43"/>
        </w:numPr>
        <w:spacing w:line="240" w:lineRule="exact"/>
        <w:ind w:left="1267"/>
        <w:rPr>
          <w:lang w:val="fr-FR"/>
        </w:rPr>
      </w:pPr>
      <w:r w:rsidRPr="00183F91">
        <w:rPr>
          <w:lang w:val="fr-FR"/>
        </w:rPr>
        <w:t>En 2019, dans le cadre de l</w:t>
      </w:r>
      <w:r w:rsidR="00442D55" w:rsidRPr="00183F91">
        <w:rPr>
          <w:lang w:val="fr-FR"/>
        </w:rPr>
        <w:t>’</w:t>
      </w:r>
      <w:r w:rsidRPr="00183F91">
        <w:rPr>
          <w:lang w:val="fr-FR"/>
        </w:rPr>
        <w:t>élaboration d</w:t>
      </w:r>
      <w:r w:rsidR="00442D55" w:rsidRPr="00183F91">
        <w:rPr>
          <w:lang w:val="fr-FR"/>
        </w:rPr>
        <w:t>’</w:t>
      </w:r>
      <w:r w:rsidRPr="00183F91">
        <w:rPr>
          <w:lang w:val="fr-FR"/>
        </w:rPr>
        <w:t>une politique unique sur le genre, des évaluations participatives ont été menées dans les organisations diplomatiques mongoles et la situation en la matière dans le secteur de la santé a fait l</w:t>
      </w:r>
      <w:r w:rsidR="00442D55" w:rsidRPr="00183F91">
        <w:rPr>
          <w:lang w:val="fr-FR"/>
        </w:rPr>
        <w:t>’</w:t>
      </w:r>
      <w:r w:rsidRPr="00183F91">
        <w:rPr>
          <w:lang w:val="fr-FR"/>
        </w:rPr>
        <w:t>objet d</w:t>
      </w:r>
      <w:r w:rsidR="00442D55" w:rsidRPr="00183F91">
        <w:rPr>
          <w:lang w:val="fr-FR"/>
        </w:rPr>
        <w:t>’</w:t>
      </w:r>
      <w:r w:rsidRPr="00183F91">
        <w:rPr>
          <w:lang w:val="fr-FR"/>
        </w:rPr>
        <w:t>une évaluation. Des débats complémentaires sur les politiques relatives au genre sont en cours. Par ailleurs, une politique unique sur le genre dans le secteur de la défense est en cours d</w:t>
      </w:r>
      <w:r w:rsidR="00442D55" w:rsidRPr="00183F91">
        <w:rPr>
          <w:lang w:val="fr-FR"/>
        </w:rPr>
        <w:t>’</w:t>
      </w:r>
      <w:r w:rsidRPr="00183F91">
        <w:rPr>
          <w:lang w:val="fr-FR"/>
        </w:rPr>
        <w:t>élaboration.</w:t>
      </w:r>
    </w:p>
    <w:p w14:paraId="4A85637C" w14:textId="722F2AF1" w:rsidR="00EB1136" w:rsidRPr="000821D9" w:rsidRDefault="00EB1136" w:rsidP="003313DA">
      <w:pPr>
        <w:pStyle w:val="SingleTxt"/>
        <w:numPr>
          <w:ilvl w:val="0"/>
          <w:numId w:val="43"/>
        </w:numPr>
        <w:spacing w:line="240" w:lineRule="exact"/>
        <w:ind w:left="1267"/>
        <w:rPr>
          <w:spacing w:val="2"/>
          <w:lang w:val="fr-FR"/>
        </w:rPr>
      </w:pPr>
      <w:r w:rsidRPr="000821D9">
        <w:rPr>
          <w:spacing w:val="2"/>
          <w:lang w:val="fr-FR"/>
        </w:rPr>
        <w:t>Après que des conseils sur la coopération en matière d</w:t>
      </w:r>
      <w:r w:rsidR="00442D55" w:rsidRPr="000821D9">
        <w:rPr>
          <w:spacing w:val="2"/>
          <w:lang w:val="fr-FR"/>
        </w:rPr>
        <w:t>’</w:t>
      </w:r>
      <w:r w:rsidRPr="000821D9">
        <w:rPr>
          <w:spacing w:val="2"/>
          <w:lang w:val="fr-FR"/>
        </w:rPr>
        <w:t>égalité des genres aient été offerts aux soums, baghs et khoroos, 18 aïmags (soit 90</w:t>
      </w:r>
      <w:r w:rsidR="00442D55" w:rsidRPr="000821D9">
        <w:rPr>
          <w:spacing w:val="2"/>
          <w:lang w:val="fr-FR"/>
        </w:rPr>
        <w:t> </w:t>
      </w:r>
      <w:r w:rsidRPr="000821D9">
        <w:rPr>
          <w:spacing w:val="2"/>
          <w:lang w:val="fr-FR"/>
        </w:rPr>
        <w:t>% du total) et 2 districts de la capitale ont adopté et mis en place des sous-programmes pour les questions de genre.</w:t>
      </w:r>
    </w:p>
    <w:p w14:paraId="7A4679F7" w14:textId="781AE2D4" w:rsidR="00EB1136" w:rsidRPr="00183F91" w:rsidRDefault="00EB1136" w:rsidP="003313DA">
      <w:pPr>
        <w:pStyle w:val="SingleTxt"/>
        <w:numPr>
          <w:ilvl w:val="0"/>
          <w:numId w:val="43"/>
        </w:numPr>
        <w:spacing w:line="240" w:lineRule="exact"/>
        <w:ind w:left="1267"/>
        <w:rPr>
          <w:lang w:val="fr-FR"/>
        </w:rPr>
      </w:pPr>
      <w:r w:rsidRPr="00183F91">
        <w:rPr>
          <w:lang w:val="fr-FR"/>
        </w:rPr>
        <w:t>Les lignes directrices pour l</w:t>
      </w:r>
      <w:r w:rsidR="00442D55" w:rsidRPr="00183F91">
        <w:rPr>
          <w:lang w:val="fr-FR"/>
        </w:rPr>
        <w:t>’</w:t>
      </w:r>
      <w:r w:rsidRPr="00183F91">
        <w:rPr>
          <w:lang w:val="fr-FR"/>
        </w:rPr>
        <w:t>élaboration et la mise en œuvre de plans pour l</w:t>
      </w:r>
      <w:r w:rsidR="00442D55" w:rsidRPr="00183F91">
        <w:rPr>
          <w:lang w:val="fr-FR"/>
        </w:rPr>
        <w:t>’</w:t>
      </w:r>
      <w:r w:rsidRPr="00183F91">
        <w:rPr>
          <w:lang w:val="fr-FR"/>
        </w:rPr>
        <w:t>égalité des genres dans les entreprises ont été publiées et, sur cette base, la politique sur le développement des lieux de travail tenant compte des questions de genre a été approuvée dans le cadre de l</w:t>
      </w:r>
      <w:r w:rsidR="00442D55" w:rsidRPr="00183F91">
        <w:rPr>
          <w:lang w:val="fr-FR"/>
        </w:rPr>
        <w:t>’</w:t>
      </w:r>
      <w:r w:rsidRPr="00183F91">
        <w:rPr>
          <w:lang w:val="fr-FR"/>
        </w:rPr>
        <w:t>accord national tripartite sur le travail et le consensus social de 2019-2020.</w:t>
      </w:r>
    </w:p>
    <w:p w14:paraId="70879A6E" w14:textId="251CAE16" w:rsidR="00EB1136" w:rsidRPr="00183F91" w:rsidRDefault="00EB1136" w:rsidP="00EB1136">
      <w:pPr>
        <w:pStyle w:val="SingleTxt"/>
        <w:spacing w:after="0" w:line="240" w:lineRule="auto"/>
        <w:rPr>
          <w:lang w:val="fr-FR"/>
        </w:rPr>
      </w:pPr>
      <w:r w:rsidRPr="00CD4CB2">
        <w:rPr>
          <w:noProof/>
          <w:w w:val="100"/>
          <w:lang w:val="fr-FR"/>
        </w:rPr>
        <mc:AlternateContent>
          <mc:Choice Requires="wps">
            <w:drawing>
              <wp:anchor distT="0" distB="0" distL="114300" distR="114300" simplePos="0" relativeHeight="251659264" behindDoc="0" locked="0" layoutInCell="1" allowOverlap="1" wp14:anchorId="584F53AA" wp14:editId="4C8F3CC9">
                <wp:simplePos x="0" y="0"/>
                <wp:positionH relativeFrom="page">
                  <wp:posOffset>3429000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FC17A8" id="Straight Connector 5"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Cj&#10;QE8n2gEAAAw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EB1136" w:rsidRPr="00183F91" w:rsidSect="006E0934">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tart" w:date="2020-06-17T10:36:00Z" w:initials="Start">
    <w:p w14:paraId="18E496EC" w14:textId="77777777" w:rsidR="00653A21" w:rsidRPr="00EB1136" w:rsidRDefault="00653A21">
      <w:pPr>
        <w:pStyle w:val="CommentText"/>
        <w:rPr>
          <w:lang w:val="en-US"/>
        </w:rPr>
      </w:pPr>
      <w:r>
        <w:fldChar w:fldCharType="begin"/>
      </w:r>
      <w:r w:rsidRPr="00EB1136">
        <w:rPr>
          <w:rStyle w:val="CommentReference"/>
          <w:lang w:val="en-US"/>
        </w:rPr>
        <w:instrText xml:space="preserve"> </w:instrText>
      </w:r>
      <w:r w:rsidRPr="00EB1136">
        <w:rPr>
          <w:lang w:val="en-US"/>
        </w:rPr>
        <w:instrText>PAGE \# "'Page: '#'</w:instrText>
      </w:r>
      <w:r w:rsidRPr="00EB1136">
        <w:rPr>
          <w:lang w:val="en-US"/>
        </w:rPr>
        <w:br/>
        <w:instrText>'"</w:instrText>
      </w:r>
      <w:r w:rsidRPr="00EB1136">
        <w:rPr>
          <w:rStyle w:val="CommentReference"/>
          <w:lang w:val="en-US"/>
        </w:rPr>
        <w:instrText xml:space="preserve"> </w:instrText>
      </w:r>
      <w:r>
        <w:fldChar w:fldCharType="end"/>
      </w:r>
      <w:r>
        <w:rPr>
          <w:rStyle w:val="CommentReference"/>
        </w:rPr>
        <w:annotationRef/>
      </w:r>
      <w:r w:rsidRPr="00EB1136">
        <w:rPr>
          <w:lang w:val="en-US"/>
        </w:rPr>
        <w:t>&lt;&lt;ODS JOB NO&gt;&gt;N2011290F&lt;&lt;ODS JOB NO&gt;&gt;</w:t>
      </w:r>
    </w:p>
    <w:p w14:paraId="147E9ECC" w14:textId="77777777" w:rsidR="00653A21" w:rsidRDefault="00653A21">
      <w:pPr>
        <w:pStyle w:val="CommentText"/>
      </w:pPr>
      <w:r>
        <w:t>&lt;&lt;ODS DOC SYMBOL1&gt;&gt;CEDAW/C/MNG/10&lt;&lt;ODS DOC SYMBOL1&gt;&gt;</w:t>
      </w:r>
    </w:p>
    <w:p w14:paraId="589EC163" w14:textId="77777777" w:rsidR="00653A21" w:rsidRDefault="00653A21">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89EC16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9EC163" w16cid:durableId="22959ED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1026C" w14:textId="77777777" w:rsidR="001F14BF" w:rsidRDefault="001F14BF" w:rsidP="00101B18">
      <w:pPr>
        <w:spacing w:line="240" w:lineRule="auto"/>
      </w:pPr>
      <w:r>
        <w:separator/>
      </w:r>
    </w:p>
  </w:endnote>
  <w:endnote w:type="continuationSeparator" w:id="0">
    <w:p w14:paraId="0D7139F7" w14:textId="77777777" w:rsidR="001F14BF" w:rsidRDefault="001F14BF"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Calibri"/>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653A21" w14:paraId="60E92E3A" w14:textId="77777777" w:rsidTr="006727E5">
      <w:tc>
        <w:tcPr>
          <w:tcW w:w="4920" w:type="dxa"/>
          <w:shd w:val="clear" w:color="auto" w:fill="auto"/>
        </w:tcPr>
        <w:p w14:paraId="4C94915B" w14:textId="1271B1F4" w:rsidR="00653A21" w:rsidRPr="006727E5" w:rsidRDefault="00653A21" w:rsidP="006727E5">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D5B4C">
            <w:rPr>
              <w:b w:val="0"/>
              <w:w w:val="103"/>
              <w:sz w:val="14"/>
            </w:rPr>
            <w:t>20-06355</w:t>
          </w:r>
          <w:r>
            <w:rPr>
              <w:b w:val="0"/>
              <w:w w:val="103"/>
              <w:sz w:val="14"/>
            </w:rPr>
            <w:fldChar w:fldCharType="end"/>
          </w:r>
        </w:p>
      </w:tc>
      <w:tc>
        <w:tcPr>
          <w:tcW w:w="4920" w:type="dxa"/>
          <w:shd w:val="clear" w:color="auto" w:fill="auto"/>
        </w:tcPr>
        <w:p w14:paraId="7A9929E5" w14:textId="77777777" w:rsidR="00653A21" w:rsidRPr="006727E5" w:rsidRDefault="00653A21" w:rsidP="006727E5">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6C9F409B" w14:textId="77777777" w:rsidR="00653A21" w:rsidRPr="006727E5" w:rsidRDefault="00653A21" w:rsidP="00672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653A21" w14:paraId="0D1F8261" w14:textId="77777777" w:rsidTr="006727E5">
      <w:tc>
        <w:tcPr>
          <w:tcW w:w="4920" w:type="dxa"/>
          <w:shd w:val="clear" w:color="auto" w:fill="auto"/>
        </w:tcPr>
        <w:p w14:paraId="7387E166" w14:textId="77777777" w:rsidR="00653A21" w:rsidRPr="006727E5" w:rsidRDefault="00653A21" w:rsidP="006727E5">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3EDF0715" w14:textId="49EE104E" w:rsidR="00653A21" w:rsidRPr="006727E5" w:rsidRDefault="00653A21" w:rsidP="006727E5">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D5B4C">
            <w:rPr>
              <w:b w:val="0"/>
              <w:w w:val="103"/>
              <w:sz w:val="14"/>
            </w:rPr>
            <w:t>20-06355</w:t>
          </w:r>
          <w:r>
            <w:rPr>
              <w:b w:val="0"/>
              <w:w w:val="103"/>
              <w:sz w:val="14"/>
            </w:rPr>
            <w:fldChar w:fldCharType="end"/>
          </w:r>
        </w:p>
      </w:tc>
    </w:tr>
  </w:tbl>
  <w:p w14:paraId="0CD97D3C" w14:textId="77777777" w:rsidR="00653A21" w:rsidRPr="006727E5" w:rsidRDefault="00653A21" w:rsidP="006727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50901" w14:textId="77777777" w:rsidR="00653A21" w:rsidRDefault="00653A21">
    <w:pPr>
      <w:pStyle w:val="Footer"/>
    </w:pPr>
    <w:r>
      <w:rPr>
        <w:rFonts w:ascii="Barcode 3 of 9 by request" w:hAnsi="Barcode 3 of 9 by request"/>
        <w:b w:val="0"/>
        <w:noProof/>
        <w:spacing w:val="0"/>
        <w:w w:val="100"/>
        <w:sz w:val="24"/>
      </w:rPr>
      <w:drawing>
        <wp:anchor distT="0" distB="0" distL="114300" distR="114300" simplePos="0" relativeHeight="251658240" behindDoc="0" locked="0" layoutInCell="1" allowOverlap="1" wp14:anchorId="31B31263" wp14:editId="7A1C8528">
          <wp:simplePos x="0" y="0"/>
          <wp:positionH relativeFrom="column">
            <wp:posOffset>5532120</wp:posOffset>
          </wp:positionH>
          <wp:positionV relativeFrom="paragraph">
            <wp:posOffset>-210185</wp:posOffset>
          </wp:positionV>
          <wp:extent cx="694690" cy="694690"/>
          <wp:effectExtent l="0" t="0" r="0" b="0"/>
          <wp:wrapNone/>
          <wp:docPr id="7" name="Picture 7" descr="https://undocs.org/m2/QRCode2.ashx?DS=CEDAW/C/MNG/10&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ndocs.org/m2/QRCode2.ashx?DS=CEDAW/C/MNG/10&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653A21" w14:paraId="19B86961" w14:textId="77777777" w:rsidTr="006727E5">
      <w:tc>
        <w:tcPr>
          <w:tcW w:w="3758" w:type="dxa"/>
        </w:tcPr>
        <w:p w14:paraId="4A572907" w14:textId="57732827" w:rsidR="00653A21" w:rsidRDefault="00653A21" w:rsidP="006727E5">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ED5B4C">
            <w:rPr>
              <w:b w:val="0"/>
              <w:sz w:val="20"/>
            </w:rPr>
            <w:t>20-06355 (F)</w:t>
          </w:r>
          <w:r>
            <w:rPr>
              <w:b w:val="0"/>
              <w:sz w:val="20"/>
            </w:rPr>
            <w:fldChar w:fldCharType="end"/>
          </w:r>
          <w:r>
            <w:rPr>
              <w:b w:val="0"/>
              <w:sz w:val="20"/>
            </w:rPr>
            <w:t xml:space="preserve">    170620    180620</w:t>
          </w:r>
        </w:p>
        <w:p w14:paraId="0CCDDE31" w14:textId="77777777" w:rsidR="00653A21" w:rsidRPr="006E0934" w:rsidRDefault="00653A21" w:rsidP="006E0934">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t>*2006355*</w:t>
          </w:r>
        </w:p>
      </w:tc>
      <w:tc>
        <w:tcPr>
          <w:tcW w:w="4920" w:type="dxa"/>
        </w:tcPr>
        <w:p w14:paraId="50D1BFD0" w14:textId="77777777" w:rsidR="00653A21" w:rsidRDefault="00653A21" w:rsidP="006727E5">
          <w:pPr>
            <w:pStyle w:val="Footer"/>
            <w:spacing w:line="240" w:lineRule="atLeast"/>
            <w:jc w:val="right"/>
            <w:rPr>
              <w:b w:val="0"/>
              <w:sz w:val="20"/>
            </w:rPr>
          </w:pPr>
          <w:r>
            <w:rPr>
              <w:b w:val="0"/>
              <w:noProof/>
              <w:sz w:val="20"/>
            </w:rPr>
            <w:drawing>
              <wp:inline distT="0" distB="0" distL="0" distR="0" wp14:anchorId="1BB30206" wp14:editId="3D615EBF">
                <wp:extent cx="1109474" cy="231648"/>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52AF6768" w14:textId="77777777" w:rsidR="00653A21" w:rsidRPr="006727E5" w:rsidRDefault="00653A21" w:rsidP="006727E5">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37CF1C" w14:textId="77777777" w:rsidR="001F14BF" w:rsidRPr="00EB1136" w:rsidRDefault="001F14BF" w:rsidP="00EB1136">
      <w:pPr>
        <w:pStyle w:val="Footer"/>
        <w:spacing w:after="80"/>
        <w:ind w:left="792"/>
        <w:rPr>
          <w:sz w:val="16"/>
        </w:rPr>
      </w:pPr>
      <w:r w:rsidRPr="00EB1136">
        <w:rPr>
          <w:sz w:val="16"/>
        </w:rPr>
        <w:t>__________________</w:t>
      </w:r>
    </w:p>
  </w:footnote>
  <w:footnote w:type="continuationSeparator" w:id="0">
    <w:p w14:paraId="51725863" w14:textId="77777777" w:rsidR="001F14BF" w:rsidRPr="00EB1136" w:rsidRDefault="001F14BF" w:rsidP="00EB1136">
      <w:pPr>
        <w:pStyle w:val="Footer"/>
        <w:spacing w:after="80"/>
        <w:ind w:left="792"/>
        <w:rPr>
          <w:sz w:val="16"/>
        </w:rPr>
      </w:pPr>
      <w:r w:rsidRPr="00EB1136">
        <w:rPr>
          <w:sz w:val="16"/>
        </w:rPr>
        <w:t>__________________</w:t>
      </w:r>
    </w:p>
  </w:footnote>
  <w:footnote w:id="1">
    <w:p w14:paraId="5D47AA45" w14:textId="29854BE9" w:rsidR="00653A21" w:rsidRPr="007A76AE" w:rsidRDefault="00653A21" w:rsidP="00EB1136">
      <w:pPr>
        <w:pStyle w:val="FootnoteText"/>
        <w:tabs>
          <w:tab w:val="right" w:pos="1195"/>
          <w:tab w:val="left" w:pos="1267"/>
          <w:tab w:val="left" w:pos="1742"/>
          <w:tab w:val="left" w:pos="2218"/>
          <w:tab w:val="left" w:pos="2693"/>
        </w:tabs>
        <w:ind w:left="1267" w:right="1260" w:hanging="576"/>
        <w:rPr>
          <w:spacing w:val="1"/>
          <w:w w:val="100"/>
          <w:lang w:val="fr-FR"/>
        </w:rPr>
      </w:pPr>
      <w:r w:rsidRPr="007A76AE">
        <w:rPr>
          <w:spacing w:val="1"/>
          <w:w w:val="100"/>
          <w:lang w:val="fr-FR"/>
        </w:rPr>
        <w:tab/>
        <w:t>*</w:t>
      </w:r>
      <w:r w:rsidRPr="007A76AE">
        <w:rPr>
          <w:spacing w:val="1"/>
          <w:w w:val="100"/>
          <w:lang w:val="fr-FR"/>
        </w:rPr>
        <w:tab/>
        <w:t>La version originale du présent document n’a pas été revue par les services d’édition.</w:t>
      </w:r>
    </w:p>
  </w:footnote>
  <w:footnote w:id="2">
    <w:p w14:paraId="4A0FC990" w14:textId="615FD3BB" w:rsidR="00653A21" w:rsidRPr="007A76AE" w:rsidRDefault="00653A21" w:rsidP="00EB1136">
      <w:pPr>
        <w:pStyle w:val="FootnoteText"/>
        <w:tabs>
          <w:tab w:val="right" w:pos="1195"/>
          <w:tab w:val="left" w:pos="1267"/>
          <w:tab w:val="left" w:pos="1742"/>
          <w:tab w:val="left" w:pos="2218"/>
          <w:tab w:val="left" w:pos="2693"/>
        </w:tabs>
        <w:ind w:left="1267" w:right="1260" w:hanging="576"/>
        <w:rPr>
          <w:spacing w:val="1"/>
          <w:w w:val="100"/>
          <w:lang w:val="fr-FR"/>
        </w:rPr>
      </w:pPr>
      <w:r w:rsidRPr="007A76AE">
        <w:rPr>
          <w:spacing w:val="1"/>
          <w:w w:val="100"/>
          <w:lang w:val="fr-FR"/>
        </w:rPr>
        <w:tab/>
      </w:r>
      <w:r w:rsidRPr="006308F8">
        <w:rPr>
          <w:rStyle w:val="FootnoteReference"/>
          <w:spacing w:val="1"/>
          <w:w w:val="100"/>
          <w:lang w:val="fr-FR"/>
        </w:rPr>
        <w:footnoteRef/>
      </w:r>
      <w:r w:rsidRPr="007A76AE">
        <w:rPr>
          <w:spacing w:val="1"/>
          <w:w w:val="100"/>
          <w:lang w:val="fr-FR"/>
        </w:rPr>
        <w:tab/>
        <w:t>Tableau de bord de la Mongolie concernant les objectifs de développement durable (</w:t>
      </w:r>
      <w:hyperlink r:id="rId1" w:history="1">
        <w:r w:rsidRPr="006308F8">
          <w:rPr>
            <w:rStyle w:val="Hyperlink"/>
            <w:spacing w:val="1"/>
            <w:w w:val="100"/>
            <w:lang w:val="fr-FR"/>
          </w:rPr>
          <w:t>sdg.gov.mn</w:t>
        </w:r>
      </w:hyperlink>
      <w:r w:rsidRPr="007A76AE">
        <w:rPr>
          <w:spacing w:val="1"/>
          <w:w w:val="100"/>
          <w:lang w:val="fr-FR"/>
        </w:rPr>
        <w:t xml:space="preserve">), site Web de la base de données statistiques intégrées, </w:t>
      </w:r>
      <w:r w:rsidRPr="006308F8">
        <w:rPr>
          <w:spacing w:val="1"/>
          <w:w w:val="100"/>
          <w:lang w:val="fr-FR"/>
        </w:rPr>
        <w:t>1212</w:t>
      </w:r>
      <w:r w:rsidRPr="007A76AE">
        <w:rPr>
          <w:spacing w:val="1"/>
          <w:w w:val="100"/>
          <w:lang w:val="fr-FR"/>
        </w:rPr>
        <w:t>.mn.</w:t>
      </w:r>
    </w:p>
  </w:footnote>
  <w:footnote w:id="3">
    <w:p w14:paraId="5AB465D0" w14:textId="05F247C1" w:rsidR="00653A21" w:rsidRPr="007A76AE" w:rsidRDefault="00653A21" w:rsidP="00EB1136">
      <w:pPr>
        <w:pStyle w:val="FootnoteText"/>
        <w:tabs>
          <w:tab w:val="right" w:pos="1195"/>
          <w:tab w:val="left" w:pos="1267"/>
          <w:tab w:val="left" w:pos="1742"/>
          <w:tab w:val="left" w:pos="2218"/>
          <w:tab w:val="left" w:pos="2693"/>
        </w:tabs>
        <w:ind w:left="1267" w:right="1260" w:hanging="576"/>
        <w:rPr>
          <w:spacing w:val="1"/>
          <w:w w:val="100"/>
          <w:lang w:val="fr-FR"/>
        </w:rPr>
      </w:pPr>
      <w:r w:rsidRPr="007A76AE">
        <w:rPr>
          <w:spacing w:val="1"/>
          <w:w w:val="100"/>
          <w:lang w:val="fr-FR"/>
        </w:rPr>
        <w:tab/>
      </w:r>
      <w:r w:rsidRPr="006308F8">
        <w:rPr>
          <w:rStyle w:val="FootnoteReference"/>
          <w:spacing w:val="1"/>
          <w:w w:val="100"/>
          <w:lang w:val="fr-FR"/>
        </w:rPr>
        <w:footnoteRef/>
      </w:r>
      <w:r w:rsidRPr="007A76AE">
        <w:rPr>
          <w:spacing w:val="1"/>
          <w:w w:val="100"/>
          <w:lang w:val="fr-FR"/>
        </w:rPr>
        <w:tab/>
        <w:t xml:space="preserve">Projet TA </w:t>
      </w:r>
      <w:r w:rsidRPr="006308F8">
        <w:rPr>
          <w:spacing w:val="1"/>
          <w:w w:val="100"/>
          <w:lang w:val="fr-FR"/>
        </w:rPr>
        <w:t>9542</w:t>
      </w:r>
      <w:r w:rsidRPr="007A76AE">
        <w:rPr>
          <w:spacing w:val="1"/>
          <w:w w:val="100"/>
          <w:lang w:val="fr-FR"/>
        </w:rPr>
        <w:t xml:space="preserve">-МОN « Enhance Mongolia’s capacity to use multiple data resources in monitoring the implementation of Sustainable Development Goals », du </w:t>
      </w:r>
      <w:r w:rsidRPr="006308F8">
        <w:rPr>
          <w:spacing w:val="1"/>
          <w:w w:val="100"/>
          <w:lang w:val="fr-FR"/>
        </w:rPr>
        <w:t>1</w:t>
      </w:r>
      <w:r w:rsidRPr="007A76AE">
        <w:rPr>
          <w:spacing w:val="1"/>
          <w:w w:val="100"/>
          <w:vertAlign w:val="superscript"/>
          <w:lang w:val="fr-FR"/>
        </w:rPr>
        <w:t>er</w:t>
      </w:r>
      <w:r w:rsidRPr="007A76AE">
        <w:rPr>
          <w:spacing w:val="1"/>
          <w:w w:val="100"/>
          <w:lang w:val="fr-FR"/>
        </w:rPr>
        <w:t xml:space="preserve"> juin </w:t>
      </w:r>
      <w:r w:rsidRPr="006308F8">
        <w:rPr>
          <w:spacing w:val="1"/>
          <w:w w:val="100"/>
          <w:lang w:val="fr-FR"/>
        </w:rPr>
        <w:t>2018</w:t>
      </w:r>
      <w:r w:rsidRPr="007A76AE">
        <w:rPr>
          <w:spacing w:val="1"/>
          <w:w w:val="100"/>
          <w:lang w:val="fr-FR"/>
        </w:rPr>
        <w:t xml:space="preserve"> au </w:t>
      </w:r>
      <w:r w:rsidRPr="006308F8">
        <w:rPr>
          <w:spacing w:val="1"/>
          <w:w w:val="100"/>
          <w:lang w:val="fr-FR"/>
        </w:rPr>
        <w:t>31</w:t>
      </w:r>
      <w:r w:rsidRPr="007A76AE">
        <w:rPr>
          <w:spacing w:val="1"/>
          <w:w w:val="100"/>
          <w:lang w:val="fr-FR"/>
        </w:rPr>
        <w:t xml:space="preserve"> décembre </w:t>
      </w:r>
      <w:r w:rsidRPr="006308F8">
        <w:rPr>
          <w:spacing w:val="1"/>
          <w:w w:val="100"/>
          <w:lang w:val="fr-FR"/>
        </w:rPr>
        <w:t>2020</w:t>
      </w:r>
      <w:r w:rsidRPr="007A76AE">
        <w:rPr>
          <w:spacing w:val="1"/>
          <w:w w:val="100"/>
          <w:lang w:val="fr-FR"/>
        </w:rPr>
        <w:t>, Banque asiatique de développement, Institut national de la statistique.</w:t>
      </w:r>
    </w:p>
  </w:footnote>
  <w:footnote w:id="4">
    <w:p w14:paraId="55B2C7DC" w14:textId="28F13AFF" w:rsidR="00653A21" w:rsidRPr="007A76AE" w:rsidRDefault="00653A21" w:rsidP="00EB1136">
      <w:pPr>
        <w:pStyle w:val="FootnoteText"/>
        <w:tabs>
          <w:tab w:val="right" w:pos="1195"/>
          <w:tab w:val="left" w:pos="1267"/>
          <w:tab w:val="left" w:pos="1742"/>
          <w:tab w:val="left" w:pos="2218"/>
          <w:tab w:val="left" w:pos="2693"/>
        </w:tabs>
        <w:ind w:left="1267" w:right="1260" w:hanging="576"/>
        <w:rPr>
          <w:spacing w:val="1"/>
          <w:w w:val="100"/>
          <w:lang w:val="fr-FR"/>
        </w:rPr>
      </w:pPr>
      <w:r w:rsidRPr="007A76AE">
        <w:rPr>
          <w:spacing w:val="1"/>
          <w:w w:val="100"/>
          <w:lang w:val="fr-FR"/>
        </w:rPr>
        <w:tab/>
      </w:r>
      <w:r w:rsidRPr="006308F8">
        <w:rPr>
          <w:rStyle w:val="FootnoteReference"/>
          <w:spacing w:val="1"/>
          <w:w w:val="100"/>
          <w:lang w:val="fr-FR"/>
        </w:rPr>
        <w:footnoteRef/>
      </w:r>
      <w:r w:rsidRPr="007A76AE">
        <w:rPr>
          <w:spacing w:val="1"/>
          <w:w w:val="100"/>
          <w:lang w:val="fr-FR"/>
        </w:rPr>
        <w:tab/>
        <w:t xml:space="preserve">Alinéa </w:t>
      </w:r>
      <w:r w:rsidRPr="006308F8">
        <w:rPr>
          <w:spacing w:val="1"/>
          <w:w w:val="100"/>
          <w:lang w:val="fr-FR"/>
        </w:rPr>
        <w:t>1</w:t>
      </w:r>
      <w:r w:rsidRPr="007A76AE">
        <w:rPr>
          <w:spacing w:val="1"/>
          <w:w w:val="100"/>
          <w:lang w:val="fr-FR"/>
        </w:rPr>
        <w:t>.</w:t>
      </w:r>
      <w:r w:rsidRPr="006308F8">
        <w:rPr>
          <w:spacing w:val="1"/>
          <w:w w:val="100"/>
          <w:lang w:val="fr-FR"/>
        </w:rPr>
        <w:t>1</w:t>
      </w:r>
      <w:r w:rsidRPr="007A76AE">
        <w:rPr>
          <w:spacing w:val="1"/>
          <w:w w:val="100"/>
          <w:lang w:val="fr-FR"/>
        </w:rPr>
        <w:t xml:space="preserve"> de l’article </w:t>
      </w:r>
      <w:r w:rsidRPr="006308F8">
        <w:rPr>
          <w:spacing w:val="1"/>
          <w:w w:val="100"/>
          <w:lang w:val="fr-FR"/>
        </w:rPr>
        <w:t>12</w:t>
      </w:r>
      <w:r w:rsidRPr="007A76AE">
        <w:rPr>
          <w:spacing w:val="1"/>
          <w:w w:val="100"/>
          <w:lang w:val="fr-FR"/>
        </w:rPr>
        <w:t xml:space="preserve">. </w:t>
      </w:r>
    </w:p>
  </w:footnote>
  <w:footnote w:id="5">
    <w:p w14:paraId="46AA20F5" w14:textId="5831E7C0" w:rsidR="00653A21" w:rsidRPr="007A76AE" w:rsidRDefault="00653A21" w:rsidP="00EB1136">
      <w:pPr>
        <w:pStyle w:val="FootnoteText"/>
        <w:tabs>
          <w:tab w:val="right" w:pos="1195"/>
          <w:tab w:val="left" w:pos="1267"/>
          <w:tab w:val="left" w:pos="1742"/>
          <w:tab w:val="left" w:pos="2218"/>
          <w:tab w:val="left" w:pos="2693"/>
        </w:tabs>
        <w:ind w:left="1267" w:right="1260" w:hanging="576"/>
        <w:rPr>
          <w:spacing w:val="1"/>
          <w:w w:val="100"/>
          <w:lang w:val="fr-FR"/>
        </w:rPr>
      </w:pPr>
      <w:r w:rsidRPr="007A76AE">
        <w:rPr>
          <w:spacing w:val="1"/>
          <w:w w:val="100"/>
          <w:lang w:val="fr-FR"/>
        </w:rPr>
        <w:tab/>
      </w:r>
      <w:r w:rsidRPr="006308F8">
        <w:rPr>
          <w:rStyle w:val="FootnoteReference"/>
          <w:spacing w:val="1"/>
          <w:w w:val="100"/>
          <w:lang w:val="fr-FR"/>
        </w:rPr>
        <w:footnoteRef/>
      </w:r>
      <w:r w:rsidRPr="007A76AE">
        <w:rPr>
          <w:spacing w:val="1"/>
          <w:w w:val="100"/>
          <w:lang w:val="fr-FR"/>
        </w:rPr>
        <w:tab/>
        <w:t>Conformément à la résolution du Gouvernement n</w:t>
      </w:r>
      <w:r w:rsidRPr="007A76AE">
        <w:rPr>
          <w:spacing w:val="1"/>
          <w:w w:val="100"/>
          <w:vertAlign w:val="superscript"/>
          <w:lang w:val="fr-FR"/>
        </w:rPr>
        <w:t>o</w:t>
      </w:r>
      <w:r w:rsidRPr="007A76AE">
        <w:rPr>
          <w:spacing w:val="1"/>
          <w:w w:val="100"/>
          <w:lang w:val="fr-FR"/>
        </w:rPr>
        <w:t> </w:t>
      </w:r>
      <w:r w:rsidRPr="006308F8">
        <w:rPr>
          <w:spacing w:val="1"/>
          <w:w w:val="100"/>
          <w:lang w:val="fr-FR"/>
        </w:rPr>
        <w:t>129</w:t>
      </w:r>
      <w:r w:rsidRPr="007A76AE">
        <w:rPr>
          <w:spacing w:val="1"/>
          <w:w w:val="100"/>
          <w:lang w:val="fr-FR"/>
        </w:rPr>
        <w:t xml:space="preserve"> du </w:t>
      </w:r>
      <w:r w:rsidRPr="006308F8">
        <w:rPr>
          <w:spacing w:val="1"/>
          <w:w w:val="100"/>
          <w:lang w:val="fr-FR"/>
        </w:rPr>
        <w:t>26</w:t>
      </w:r>
      <w:r w:rsidRPr="007A76AE">
        <w:rPr>
          <w:spacing w:val="1"/>
          <w:w w:val="100"/>
          <w:lang w:val="fr-FR"/>
        </w:rPr>
        <w:t xml:space="preserve"> avril </w:t>
      </w:r>
      <w:r w:rsidRPr="006308F8">
        <w:rPr>
          <w:spacing w:val="1"/>
          <w:w w:val="100"/>
          <w:lang w:val="fr-FR"/>
        </w:rPr>
        <w:t>2017</w:t>
      </w:r>
      <w:r w:rsidRPr="007A76AE">
        <w:rPr>
          <w:spacing w:val="1"/>
          <w:w w:val="100"/>
          <w:lang w:val="fr-FR"/>
        </w:rPr>
        <w:t>.</w:t>
      </w:r>
    </w:p>
  </w:footnote>
  <w:footnote w:id="6">
    <w:p w14:paraId="07BF2F46" w14:textId="0E01EBC5" w:rsidR="00653A21" w:rsidRPr="007A76AE" w:rsidRDefault="00653A21" w:rsidP="00EB1136">
      <w:pPr>
        <w:pStyle w:val="FootnoteText"/>
        <w:tabs>
          <w:tab w:val="right" w:pos="1195"/>
          <w:tab w:val="left" w:pos="1267"/>
          <w:tab w:val="left" w:pos="1742"/>
          <w:tab w:val="left" w:pos="2218"/>
          <w:tab w:val="left" w:pos="2693"/>
        </w:tabs>
        <w:ind w:left="1267" w:right="1260" w:hanging="576"/>
        <w:rPr>
          <w:spacing w:val="1"/>
          <w:w w:val="100"/>
          <w:lang w:val="fr-FR"/>
        </w:rPr>
      </w:pPr>
      <w:r w:rsidRPr="007A76AE">
        <w:rPr>
          <w:spacing w:val="1"/>
          <w:w w:val="100"/>
          <w:lang w:val="fr-FR"/>
        </w:rPr>
        <w:tab/>
      </w:r>
      <w:r w:rsidRPr="006308F8">
        <w:rPr>
          <w:rStyle w:val="FootnoteReference"/>
          <w:spacing w:val="1"/>
          <w:w w:val="100"/>
          <w:lang w:val="fr-FR"/>
        </w:rPr>
        <w:footnoteRef/>
      </w:r>
      <w:r w:rsidRPr="007A76AE">
        <w:rPr>
          <w:spacing w:val="1"/>
          <w:w w:val="100"/>
          <w:lang w:val="fr-FR"/>
        </w:rPr>
        <w:tab/>
        <w:t xml:space="preserve">Une unité équivaut à </w:t>
      </w:r>
      <w:r w:rsidRPr="006308F8">
        <w:rPr>
          <w:spacing w:val="1"/>
          <w:w w:val="100"/>
          <w:lang w:val="fr-FR"/>
        </w:rPr>
        <w:t>1</w:t>
      </w:r>
      <w:r w:rsidRPr="007A76AE">
        <w:rPr>
          <w:spacing w:val="1"/>
          <w:w w:val="100"/>
          <w:lang w:val="fr-FR"/>
        </w:rPr>
        <w:t> </w:t>
      </w:r>
      <w:r w:rsidRPr="006308F8">
        <w:rPr>
          <w:spacing w:val="1"/>
          <w:w w:val="100"/>
          <w:lang w:val="fr-FR"/>
        </w:rPr>
        <w:t>000</w:t>
      </w:r>
      <w:r w:rsidRPr="007A76AE">
        <w:rPr>
          <w:spacing w:val="1"/>
          <w:w w:val="100"/>
          <w:lang w:val="fr-FR"/>
        </w:rPr>
        <w:t xml:space="preserve"> </w:t>
      </w:r>
      <w:r>
        <w:rPr>
          <w:spacing w:val="1"/>
          <w:w w:val="100"/>
          <w:lang w:val="fr-FR"/>
        </w:rPr>
        <w:t>togrog</w:t>
      </w:r>
      <w:r w:rsidRPr="007A76AE">
        <w:rPr>
          <w:spacing w:val="1"/>
          <w:w w:val="100"/>
          <w:lang w:val="fr-FR"/>
        </w:rPr>
        <w:t>s.</w:t>
      </w:r>
    </w:p>
  </w:footnote>
  <w:footnote w:id="7">
    <w:p w14:paraId="4C8542DB" w14:textId="6B31A3BC" w:rsidR="00653A21" w:rsidRPr="007A76AE" w:rsidRDefault="00653A21" w:rsidP="00EB1136">
      <w:pPr>
        <w:pStyle w:val="FootnoteText"/>
        <w:tabs>
          <w:tab w:val="right" w:pos="1195"/>
          <w:tab w:val="left" w:pos="1267"/>
          <w:tab w:val="left" w:pos="1742"/>
          <w:tab w:val="left" w:pos="2218"/>
          <w:tab w:val="left" w:pos="2693"/>
        </w:tabs>
        <w:ind w:left="1267" w:right="1260" w:hanging="576"/>
        <w:rPr>
          <w:spacing w:val="1"/>
          <w:w w:val="100"/>
          <w:lang w:val="fr-FR"/>
        </w:rPr>
      </w:pPr>
      <w:r w:rsidRPr="007A76AE">
        <w:rPr>
          <w:spacing w:val="1"/>
          <w:w w:val="100"/>
          <w:lang w:val="fr-FR"/>
        </w:rPr>
        <w:tab/>
      </w:r>
      <w:r w:rsidRPr="006308F8">
        <w:rPr>
          <w:rStyle w:val="FootnoteReference"/>
          <w:spacing w:val="1"/>
          <w:w w:val="100"/>
          <w:lang w:val="fr-FR"/>
        </w:rPr>
        <w:footnoteRef/>
      </w:r>
      <w:r w:rsidRPr="007A76AE">
        <w:rPr>
          <w:spacing w:val="1"/>
          <w:w w:val="100"/>
          <w:lang w:val="fr-FR"/>
        </w:rPr>
        <w:tab/>
        <w:t>Art</w:t>
      </w:r>
      <w:r>
        <w:rPr>
          <w:spacing w:val="1"/>
          <w:w w:val="100"/>
          <w:lang w:val="fr-FR"/>
        </w:rPr>
        <w:t>.</w:t>
      </w:r>
      <w:r w:rsidRPr="007A76AE">
        <w:rPr>
          <w:spacing w:val="1"/>
          <w:w w:val="100"/>
          <w:lang w:val="fr-FR"/>
        </w:rPr>
        <w:t xml:space="preserve"> </w:t>
      </w:r>
      <w:r w:rsidRPr="006308F8">
        <w:rPr>
          <w:spacing w:val="1"/>
          <w:w w:val="100"/>
          <w:lang w:val="fr-FR"/>
        </w:rPr>
        <w:t>6</w:t>
      </w:r>
      <w:r w:rsidRPr="007A76AE">
        <w:rPr>
          <w:spacing w:val="1"/>
          <w:w w:val="100"/>
          <w:lang w:val="fr-FR"/>
        </w:rPr>
        <w:t xml:space="preserve"> de la loi révisée sur la Commission nationale des droits de la personne, par</w:t>
      </w:r>
      <w:r>
        <w:rPr>
          <w:spacing w:val="1"/>
          <w:w w:val="100"/>
          <w:lang w:val="fr-FR"/>
        </w:rPr>
        <w:t>.</w:t>
      </w:r>
      <w:r w:rsidRPr="007A76AE">
        <w:rPr>
          <w:spacing w:val="1"/>
          <w:w w:val="100"/>
          <w:lang w:val="fr-FR"/>
        </w:rPr>
        <w:t xml:space="preserve"> </w:t>
      </w:r>
      <w:r w:rsidRPr="006308F8">
        <w:rPr>
          <w:spacing w:val="1"/>
          <w:w w:val="100"/>
          <w:lang w:val="fr-FR"/>
        </w:rPr>
        <w:t>6</w:t>
      </w:r>
      <w:r w:rsidRPr="007A76AE">
        <w:rPr>
          <w:spacing w:val="1"/>
          <w:w w:val="100"/>
          <w:lang w:val="fr-FR"/>
        </w:rPr>
        <w:t>.</w:t>
      </w:r>
      <w:r w:rsidRPr="006308F8">
        <w:rPr>
          <w:spacing w:val="1"/>
          <w:w w:val="100"/>
          <w:lang w:val="fr-FR"/>
        </w:rPr>
        <w:t>1</w:t>
      </w:r>
      <w:r w:rsidRPr="007A76AE">
        <w:rPr>
          <w:spacing w:val="1"/>
          <w:w w:val="100"/>
          <w:lang w:val="fr-FR"/>
        </w:rPr>
        <w:t xml:space="preserve"> et </w:t>
      </w:r>
      <w:r w:rsidRPr="006308F8">
        <w:rPr>
          <w:spacing w:val="1"/>
          <w:w w:val="100"/>
          <w:lang w:val="fr-FR"/>
        </w:rPr>
        <w:t>6</w:t>
      </w:r>
      <w:r w:rsidRPr="007A76AE">
        <w:rPr>
          <w:spacing w:val="1"/>
          <w:w w:val="100"/>
          <w:lang w:val="fr-FR"/>
        </w:rPr>
        <w:t>.</w:t>
      </w:r>
      <w:r w:rsidRPr="006308F8">
        <w:rPr>
          <w:spacing w:val="1"/>
          <w:w w:val="100"/>
          <w:lang w:val="fr-FR"/>
        </w:rPr>
        <w:t>2</w:t>
      </w:r>
      <w:r w:rsidRPr="007A76AE">
        <w:rPr>
          <w:spacing w:val="1"/>
          <w:w w:val="100"/>
          <w:lang w:val="fr-FR"/>
        </w:rPr>
        <w:t>. /janvier</w:t>
      </w:r>
      <w:r>
        <w:rPr>
          <w:spacing w:val="1"/>
          <w:w w:val="100"/>
          <w:lang w:val="fr-FR"/>
        </w:rPr>
        <w:t> </w:t>
      </w:r>
      <w:r w:rsidRPr="006308F8">
        <w:rPr>
          <w:spacing w:val="1"/>
          <w:w w:val="100"/>
          <w:lang w:val="fr-FR"/>
        </w:rPr>
        <w:t>2020</w:t>
      </w:r>
      <w:r w:rsidRPr="007A76AE">
        <w:rPr>
          <w:spacing w:val="1"/>
          <w:w w:val="100"/>
          <w:lang w:val="fr-FR"/>
        </w:rPr>
        <w:t>/.</w:t>
      </w:r>
    </w:p>
  </w:footnote>
  <w:footnote w:id="8">
    <w:p w14:paraId="2F62AEC4" w14:textId="7F5D94BB" w:rsidR="00653A21" w:rsidRPr="007A76AE" w:rsidRDefault="00653A21" w:rsidP="00EB1136">
      <w:pPr>
        <w:pStyle w:val="FootnoteText"/>
        <w:tabs>
          <w:tab w:val="right" w:pos="1195"/>
          <w:tab w:val="left" w:pos="1267"/>
          <w:tab w:val="left" w:pos="1742"/>
          <w:tab w:val="left" w:pos="2218"/>
          <w:tab w:val="left" w:pos="2693"/>
        </w:tabs>
        <w:ind w:left="1267" w:right="1260" w:hanging="576"/>
        <w:rPr>
          <w:spacing w:val="1"/>
          <w:w w:val="100"/>
          <w:lang w:val="fr-FR"/>
        </w:rPr>
      </w:pPr>
      <w:r w:rsidRPr="007A76AE">
        <w:rPr>
          <w:spacing w:val="1"/>
          <w:w w:val="100"/>
          <w:lang w:val="fr-FR"/>
        </w:rPr>
        <w:tab/>
      </w:r>
      <w:r w:rsidRPr="006308F8">
        <w:rPr>
          <w:rStyle w:val="FootnoteReference"/>
          <w:spacing w:val="1"/>
          <w:w w:val="100"/>
          <w:lang w:val="fr-FR"/>
        </w:rPr>
        <w:footnoteRef/>
      </w:r>
      <w:r w:rsidRPr="007A76AE">
        <w:rPr>
          <w:spacing w:val="1"/>
          <w:w w:val="100"/>
          <w:lang w:val="fr-FR"/>
        </w:rPr>
        <w:tab/>
        <w:t>Ibid., art</w:t>
      </w:r>
      <w:r>
        <w:rPr>
          <w:spacing w:val="1"/>
          <w:w w:val="100"/>
          <w:lang w:val="fr-FR"/>
        </w:rPr>
        <w:t>.</w:t>
      </w:r>
      <w:r w:rsidRPr="007A76AE">
        <w:rPr>
          <w:spacing w:val="1"/>
          <w:w w:val="100"/>
          <w:lang w:val="fr-FR"/>
        </w:rPr>
        <w:t xml:space="preserve"> </w:t>
      </w:r>
      <w:r w:rsidRPr="006308F8">
        <w:rPr>
          <w:spacing w:val="1"/>
          <w:w w:val="100"/>
          <w:lang w:val="fr-FR"/>
        </w:rPr>
        <w:t>12</w:t>
      </w:r>
      <w:r w:rsidRPr="007A76AE">
        <w:rPr>
          <w:spacing w:val="1"/>
          <w:w w:val="100"/>
          <w:lang w:val="fr-FR"/>
        </w:rPr>
        <w:t xml:space="preserve">. Désignation et nomination des commissaires, </w:t>
      </w:r>
      <w:r w:rsidRPr="006308F8">
        <w:rPr>
          <w:spacing w:val="1"/>
          <w:w w:val="100"/>
          <w:lang w:val="fr-FR"/>
        </w:rPr>
        <w:t>12</w:t>
      </w:r>
      <w:r w:rsidRPr="007A76AE">
        <w:rPr>
          <w:spacing w:val="1"/>
          <w:w w:val="100"/>
          <w:lang w:val="fr-FR"/>
        </w:rPr>
        <w:t>.</w:t>
      </w:r>
      <w:r w:rsidRPr="006308F8">
        <w:rPr>
          <w:spacing w:val="1"/>
          <w:w w:val="100"/>
          <w:lang w:val="fr-FR"/>
        </w:rPr>
        <w:t>9</w:t>
      </w:r>
      <w:r w:rsidRPr="007A76AE">
        <w:rPr>
          <w:spacing w:val="1"/>
          <w:w w:val="100"/>
          <w:lang w:val="fr-FR"/>
        </w:rPr>
        <w:t>.</w:t>
      </w:r>
    </w:p>
  </w:footnote>
  <w:footnote w:id="9">
    <w:p w14:paraId="70403A1A" w14:textId="441FBD2C" w:rsidR="00653A21" w:rsidRPr="007A76AE" w:rsidRDefault="00653A21" w:rsidP="00EB1136">
      <w:pPr>
        <w:pStyle w:val="FootnoteText"/>
        <w:tabs>
          <w:tab w:val="right" w:pos="1195"/>
          <w:tab w:val="left" w:pos="1267"/>
          <w:tab w:val="left" w:pos="1742"/>
          <w:tab w:val="left" w:pos="2218"/>
          <w:tab w:val="left" w:pos="2693"/>
        </w:tabs>
        <w:ind w:left="1267" w:right="1260" w:hanging="576"/>
        <w:rPr>
          <w:spacing w:val="1"/>
          <w:w w:val="100"/>
          <w:lang w:val="fr-FR"/>
        </w:rPr>
      </w:pPr>
      <w:r w:rsidRPr="007A76AE">
        <w:rPr>
          <w:spacing w:val="1"/>
          <w:w w:val="100"/>
          <w:lang w:val="fr-FR"/>
        </w:rPr>
        <w:tab/>
      </w:r>
      <w:r w:rsidRPr="006308F8">
        <w:rPr>
          <w:rStyle w:val="FootnoteReference"/>
          <w:spacing w:val="1"/>
          <w:w w:val="100"/>
          <w:lang w:val="fr-FR"/>
        </w:rPr>
        <w:footnoteRef/>
      </w:r>
      <w:r w:rsidRPr="007A76AE">
        <w:rPr>
          <w:spacing w:val="1"/>
          <w:w w:val="100"/>
          <w:lang w:val="fr-FR"/>
        </w:rPr>
        <w:tab/>
        <w:t>Art</w:t>
      </w:r>
      <w:r>
        <w:rPr>
          <w:spacing w:val="1"/>
          <w:w w:val="100"/>
          <w:lang w:val="fr-FR"/>
        </w:rPr>
        <w:t>.</w:t>
      </w:r>
      <w:r w:rsidRPr="007A76AE">
        <w:rPr>
          <w:spacing w:val="1"/>
          <w:w w:val="100"/>
          <w:lang w:val="fr-FR"/>
        </w:rPr>
        <w:t xml:space="preserve"> </w:t>
      </w:r>
      <w:r w:rsidRPr="006308F8">
        <w:rPr>
          <w:spacing w:val="1"/>
          <w:w w:val="100"/>
          <w:lang w:val="fr-FR"/>
        </w:rPr>
        <w:t>30</w:t>
      </w:r>
      <w:r w:rsidRPr="007A76AE">
        <w:rPr>
          <w:spacing w:val="1"/>
          <w:w w:val="100"/>
          <w:lang w:val="fr-FR"/>
        </w:rPr>
        <w:t>.</w:t>
      </w:r>
      <w:r w:rsidRPr="006308F8">
        <w:rPr>
          <w:spacing w:val="1"/>
          <w:w w:val="100"/>
          <w:lang w:val="fr-FR"/>
        </w:rPr>
        <w:t>2</w:t>
      </w:r>
      <w:r w:rsidRPr="007A76AE">
        <w:rPr>
          <w:spacing w:val="1"/>
          <w:w w:val="100"/>
          <w:lang w:val="fr-FR"/>
        </w:rPr>
        <w:t xml:space="preserve"> : Au moins </w:t>
      </w:r>
      <w:r w:rsidRPr="006308F8">
        <w:rPr>
          <w:spacing w:val="1"/>
          <w:w w:val="100"/>
          <w:lang w:val="fr-FR"/>
        </w:rPr>
        <w:t>20</w:t>
      </w:r>
      <w:r w:rsidRPr="007A76AE">
        <w:rPr>
          <w:spacing w:val="1"/>
          <w:w w:val="100"/>
          <w:lang w:val="fr-FR"/>
        </w:rPr>
        <w:t> % du nombre total de candidates et candidats présentés par un parti ou une coalition doivent appartenir au même genre.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653A21" w14:paraId="3BB4F089" w14:textId="77777777" w:rsidTr="006727E5">
      <w:trPr>
        <w:trHeight w:hRule="exact" w:val="864"/>
      </w:trPr>
      <w:tc>
        <w:tcPr>
          <w:tcW w:w="4920" w:type="dxa"/>
          <w:shd w:val="clear" w:color="auto" w:fill="auto"/>
          <w:vAlign w:val="bottom"/>
        </w:tcPr>
        <w:p w14:paraId="5D6DE587" w14:textId="4E563696" w:rsidR="00653A21" w:rsidRPr="006727E5" w:rsidRDefault="00653A21" w:rsidP="006727E5">
          <w:pPr>
            <w:pStyle w:val="Header"/>
            <w:spacing w:after="80"/>
            <w:rPr>
              <w:b/>
              <w:color w:val="000000"/>
            </w:rPr>
          </w:pPr>
          <w:r>
            <w:rPr>
              <w:b/>
              <w:color w:val="000000"/>
            </w:rPr>
            <w:fldChar w:fldCharType="begin"/>
          </w:r>
          <w:r>
            <w:rPr>
              <w:b/>
              <w:color w:val="000000"/>
            </w:rPr>
            <w:instrText xml:space="preserve"> DOCVARIABLE "Symbol1" \* MERGEFORMAT </w:instrText>
          </w:r>
          <w:r>
            <w:rPr>
              <w:b/>
              <w:color w:val="000000"/>
            </w:rPr>
            <w:fldChar w:fldCharType="separate"/>
          </w:r>
          <w:r w:rsidR="00ED5B4C">
            <w:rPr>
              <w:b/>
              <w:color w:val="000000"/>
            </w:rPr>
            <w:t>CEDAW/C/MNG/10</w:t>
          </w:r>
          <w:r>
            <w:rPr>
              <w:b/>
              <w:color w:val="000000"/>
            </w:rPr>
            <w:fldChar w:fldCharType="end"/>
          </w:r>
        </w:p>
      </w:tc>
      <w:tc>
        <w:tcPr>
          <w:tcW w:w="4920" w:type="dxa"/>
          <w:shd w:val="clear" w:color="auto" w:fill="auto"/>
          <w:vAlign w:val="bottom"/>
        </w:tcPr>
        <w:p w14:paraId="5C0B61D4" w14:textId="77777777" w:rsidR="00653A21" w:rsidRDefault="00653A21" w:rsidP="006727E5">
          <w:pPr>
            <w:pStyle w:val="Header"/>
          </w:pPr>
        </w:p>
      </w:tc>
    </w:tr>
  </w:tbl>
  <w:p w14:paraId="277C8E8A" w14:textId="77777777" w:rsidR="00653A21" w:rsidRPr="006727E5" w:rsidRDefault="00653A21" w:rsidP="006727E5">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653A21" w14:paraId="0D5A74EF" w14:textId="77777777" w:rsidTr="006727E5">
      <w:trPr>
        <w:trHeight w:hRule="exact" w:val="864"/>
      </w:trPr>
      <w:tc>
        <w:tcPr>
          <w:tcW w:w="4920" w:type="dxa"/>
          <w:shd w:val="clear" w:color="auto" w:fill="auto"/>
          <w:vAlign w:val="bottom"/>
        </w:tcPr>
        <w:p w14:paraId="544016D7" w14:textId="77777777" w:rsidR="00653A21" w:rsidRDefault="00653A21" w:rsidP="006727E5">
          <w:pPr>
            <w:pStyle w:val="Header"/>
          </w:pPr>
        </w:p>
      </w:tc>
      <w:tc>
        <w:tcPr>
          <w:tcW w:w="4920" w:type="dxa"/>
          <w:shd w:val="clear" w:color="auto" w:fill="auto"/>
          <w:vAlign w:val="bottom"/>
        </w:tcPr>
        <w:p w14:paraId="39B91B56" w14:textId="29C41839" w:rsidR="00653A21" w:rsidRPr="006727E5" w:rsidRDefault="00653A21" w:rsidP="006727E5">
          <w:pPr>
            <w:pStyle w:val="Header"/>
            <w:spacing w:after="80"/>
            <w:jc w:val="right"/>
            <w:rPr>
              <w:b/>
              <w:color w:val="000000"/>
            </w:rPr>
          </w:pPr>
          <w:r>
            <w:rPr>
              <w:b/>
              <w:color w:val="000000"/>
            </w:rPr>
            <w:fldChar w:fldCharType="begin"/>
          </w:r>
          <w:r>
            <w:rPr>
              <w:b/>
              <w:color w:val="000000"/>
            </w:rPr>
            <w:instrText xml:space="preserve"> DOCVARIABLE "Symbol1" \* MERGEFORMAT </w:instrText>
          </w:r>
          <w:r>
            <w:rPr>
              <w:b/>
              <w:color w:val="000000"/>
            </w:rPr>
            <w:fldChar w:fldCharType="separate"/>
          </w:r>
          <w:r w:rsidR="00ED5B4C">
            <w:rPr>
              <w:b/>
              <w:color w:val="000000"/>
            </w:rPr>
            <w:t>CEDAW/C/MNG/10</w:t>
          </w:r>
          <w:r>
            <w:rPr>
              <w:b/>
              <w:color w:val="000000"/>
            </w:rPr>
            <w:fldChar w:fldCharType="end"/>
          </w:r>
        </w:p>
      </w:tc>
    </w:tr>
  </w:tbl>
  <w:p w14:paraId="62449B43" w14:textId="77777777" w:rsidR="00653A21" w:rsidRPr="006727E5" w:rsidRDefault="00653A21" w:rsidP="006727E5">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653A21" w14:paraId="72A49D8D" w14:textId="77777777" w:rsidTr="006727E5">
      <w:trPr>
        <w:trHeight w:hRule="exact" w:val="864"/>
      </w:trPr>
      <w:tc>
        <w:tcPr>
          <w:tcW w:w="1267" w:type="dxa"/>
          <w:tcBorders>
            <w:bottom w:val="single" w:sz="4" w:space="0" w:color="auto"/>
          </w:tcBorders>
          <w:shd w:val="clear" w:color="auto" w:fill="auto"/>
          <w:vAlign w:val="bottom"/>
        </w:tcPr>
        <w:p w14:paraId="18AEDA0C" w14:textId="77777777" w:rsidR="00653A21" w:rsidRDefault="00653A21" w:rsidP="006727E5">
          <w:pPr>
            <w:pStyle w:val="Header"/>
            <w:spacing w:after="120"/>
          </w:pPr>
        </w:p>
      </w:tc>
      <w:tc>
        <w:tcPr>
          <w:tcW w:w="2059" w:type="dxa"/>
          <w:tcBorders>
            <w:bottom w:val="single" w:sz="4" w:space="0" w:color="auto"/>
          </w:tcBorders>
          <w:shd w:val="clear" w:color="auto" w:fill="auto"/>
          <w:vAlign w:val="bottom"/>
        </w:tcPr>
        <w:p w14:paraId="06EFC6D2" w14:textId="77777777" w:rsidR="00653A21" w:rsidRPr="006727E5" w:rsidRDefault="00653A21" w:rsidP="006727E5">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37AB0C34" w14:textId="77777777" w:rsidR="00653A21" w:rsidRDefault="00653A21" w:rsidP="006727E5">
          <w:pPr>
            <w:pStyle w:val="Header"/>
            <w:spacing w:after="120"/>
          </w:pPr>
        </w:p>
      </w:tc>
      <w:tc>
        <w:tcPr>
          <w:tcW w:w="6466" w:type="dxa"/>
          <w:gridSpan w:val="3"/>
          <w:tcBorders>
            <w:bottom w:val="single" w:sz="4" w:space="0" w:color="auto"/>
          </w:tcBorders>
          <w:shd w:val="clear" w:color="auto" w:fill="auto"/>
          <w:vAlign w:val="bottom"/>
        </w:tcPr>
        <w:p w14:paraId="37FFFD49" w14:textId="77777777" w:rsidR="00653A21" w:rsidRPr="006E0934" w:rsidRDefault="00653A21" w:rsidP="006E0934">
          <w:pPr>
            <w:spacing w:after="80" w:line="240" w:lineRule="auto"/>
            <w:jc w:val="right"/>
            <w:rPr>
              <w:position w:val="-4"/>
            </w:rPr>
          </w:pPr>
          <w:r>
            <w:rPr>
              <w:position w:val="-4"/>
              <w:sz w:val="40"/>
            </w:rPr>
            <w:t>CEDAW</w:t>
          </w:r>
          <w:r>
            <w:rPr>
              <w:position w:val="-4"/>
            </w:rPr>
            <w:t>/C/MNG/10</w:t>
          </w:r>
        </w:p>
      </w:tc>
    </w:tr>
    <w:tr w:rsidR="00653A21" w:rsidRPr="006727E5" w14:paraId="1F793138" w14:textId="77777777" w:rsidTr="006727E5">
      <w:trPr>
        <w:trHeight w:hRule="exact" w:val="2880"/>
      </w:trPr>
      <w:tc>
        <w:tcPr>
          <w:tcW w:w="1267" w:type="dxa"/>
          <w:tcBorders>
            <w:top w:val="single" w:sz="4" w:space="0" w:color="auto"/>
            <w:bottom w:val="single" w:sz="12" w:space="0" w:color="auto"/>
          </w:tcBorders>
          <w:shd w:val="clear" w:color="auto" w:fill="auto"/>
        </w:tcPr>
        <w:p w14:paraId="303D27BB" w14:textId="77777777" w:rsidR="00653A21" w:rsidRPr="006727E5" w:rsidRDefault="00653A21" w:rsidP="006727E5">
          <w:pPr>
            <w:pStyle w:val="Header"/>
            <w:spacing w:before="120" w:line="240" w:lineRule="auto"/>
            <w:ind w:left="-72"/>
            <w:jc w:val="center"/>
          </w:pPr>
          <w:r>
            <w:t xml:space="preserve">  </w:t>
          </w:r>
          <w:r>
            <w:rPr>
              <w:noProof/>
            </w:rPr>
            <w:drawing>
              <wp:inline distT="0" distB="0" distL="0" distR="0" wp14:anchorId="22FBED01" wp14:editId="35BFF8D6">
                <wp:extent cx="713232" cy="59436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529EE00" w14:textId="66F1EF60" w:rsidR="00653A21" w:rsidRPr="006727E5" w:rsidRDefault="00653A21" w:rsidP="006727E5">
          <w:pPr>
            <w:pStyle w:val="XLarge"/>
            <w:spacing w:before="120" w:line="360" w:lineRule="exact"/>
            <w:rPr>
              <w:sz w:val="36"/>
            </w:rPr>
          </w:pPr>
          <w:r>
            <w:rPr>
              <w:sz w:val="36"/>
            </w:rPr>
            <w:t>Convention sur l</w:t>
          </w:r>
          <w:r w:rsidRPr="00442D55">
            <w:rPr>
              <w:sz w:val="36"/>
            </w:rPr>
            <w:t>’</w:t>
          </w:r>
          <w:r>
            <w:rPr>
              <w:sz w:val="36"/>
            </w:rPr>
            <w:t>élimination</w:t>
          </w:r>
          <w:r>
            <w:rPr>
              <w:sz w:val="36"/>
            </w:rPr>
            <w:br/>
            <w:t>de toutes les formes</w:t>
          </w:r>
          <w:r>
            <w:rPr>
              <w:sz w:val="36"/>
            </w:rPr>
            <w:br/>
            <w:t>de discrimination à l</w:t>
          </w:r>
          <w:r w:rsidRPr="00442D55">
            <w:rPr>
              <w:sz w:val="36"/>
            </w:rPr>
            <w:t>’</w:t>
          </w:r>
          <w:r>
            <w:rPr>
              <w:sz w:val="36"/>
            </w:rPr>
            <w:t>égard</w:t>
          </w:r>
          <w:r>
            <w:rPr>
              <w:sz w:val="36"/>
            </w:rPr>
            <w:br/>
            <w:t xml:space="preserve">des femmes </w:t>
          </w:r>
        </w:p>
      </w:tc>
      <w:tc>
        <w:tcPr>
          <w:tcW w:w="245" w:type="dxa"/>
          <w:tcBorders>
            <w:top w:val="single" w:sz="4" w:space="0" w:color="auto"/>
            <w:bottom w:val="single" w:sz="12" w:space="0" w:color="auto"/>
          </w:tcBorders>
          <w:shd w:val="clear" w:color="auto" w:fill="auto"/>
        </w:tcPr>
        <w:p w14:paraId="249C5144" w14:textId="77777777" w:rsidR="00653A21" w:rsidRPr="006E0934" w:rsidRDefault="00653A21" w:rsidP="006727E5">
          <w:pPr>
            <w:pStyle w:val="Header"/>
            <w:spacing w:before="109"/>
            <w:rPr>
              <w:lang w:val="fr-FR"/>
            </w:rPr>
          </w:pPr>
        </w:p>
      </w:tc>
      <w:tc>
        <w:tcPr>
          <w:tcW w:w="3110" w:type="dxa"/>
          <w:tcBorders>
            <w:top w:val="single" w:sz="4" w:space="0" w:color="auto"/>
            <w:bottom w:val="single" w:sz="12" w:space="0" w:color="auto"/>
          </w:tcBorders>
          <w:shd w:val="clear" w:color="auto" w:fill="auto"/>
        </w:tcPr>
        <w:p w14:paraId="1BE65A53" w14:textId="77777777" w:rsidR="00653A21" w:rsidRPr="006E0934" w:rsidRDefault="00653A21" w:rsidP="006727E5">
          <w:pPr>
            <w:pStyle w:val="Distribution"/>
            <w:rPr>
              <w:color w:val="000000"/>
              <w:lang w:val="fr-FR"/>
            </w:rPr>
          </w:pPr>
          <w:r w:rsidRPr="006E0934">
            <w:rPr>
              <w:color w:val="000000"/>
              <w:lang w:val="fr-FR"/>
            </w:rPr>
            <w:t>Distr. générale</w:t>
          </w:r>
        </w:p>
        <w:p w14:paraId="6F23D39A" w14:textId="77777777" w:rsidR="00653A21" w:rsidRPr="006E0934" w:rsidRDefault="00653A21" w:rsidP="006727E5">
          <w:pPr>
            <w:pStyle w:val="Publication"/>
            <w:rPr>
              <w:color w:val="000000"/>
              <w:lang w:val="fr-FR"/>
            </w:rPr>
          </w:pPr>
          <w:r w:rsidRPr="006E0934">
            <w:rPr>
              <w:color w:val="000000"/>
              <w:lang w:val="fr-FR"/>
            </w:rPr>
            <w:t>4 mai 2020</w:t>
          </w:r>
        </w:p>
        <w:p w14:paraId="4C79B6A7" w14:textId="77777777" w:rsidR="00653A21" w:rsidRPr="006E0934" w:rsidRDefault="00653A21" w:rsidP="006727E5">
          <w:pPr>
            <w:rPr>
              <w:lang w:val="fr-FR"/>
            </w:rPr>
          </w:pPr>
          <w:r w:rsidRPr="006E0934">
            <w:rPr>
              <w:lang w:val="fr-FR"/>
            </w:rPr>
            <w:t>Français</w:t>
          </w:r>
        </w:p>
        <w:p w14:paraId="7460FA4F" w14:textId="089E54CB" w:rsidR="00653A21" w:rsidRDefault="00653A21" w:rsidP="006727E5">
          <w:pPr>
            <w:pStyle w:val="Original"/>
            <w:rPr>
              <w:color w:val="000000"/>
              <w:lang w:val="fr-FR"/>
            </w:rPr>
          </w:pPr>
          <w:r w:rsidRPr="006E0934">
            <w:rPr>
              <w:color w:val="000000"/>
              <w:lang w:val="fr-FR"/>
            </w:rPr>
            <w:t>Original</w:t>
          </w:r>
          <w:r w:rsidRPr="00442D55">
            <w:rPr>
              <w:lang w:val="fr-FR"/>
            </w:rPr>
            <w:t> :</w:t>
          </w:r>
          <w:r w:rsidRPr="006E0934">
            <w:rPr>
              <w:color w:val="000000"/>
              <w:lang w:val="fr-FR"/>
            </w:rPr>
            <w:t xml:space="preserve"> anglais</w:t>
          </w:r>
        </w:p>
        <w:p w14:paraId="476F9A24" w14:textId="77777777" w:rsidR="00653A21" w:rsidRPr="006E0934" w:rsidRDefault="00653A21" w:rsidP="006E0934">
          <w:pPr>
            <w:rPr>
              <w:lang w:val="fr-FR"/>
            </w:rPr>
          </w:pPr>
          <w:r w:rsidRPr="006E0934">
            <w:rPr>
              <w:lang w:val="fr-FR"/>
            </w:rPr>
            <w:t>Anglais, espagnol et français seulement</w:t>
          </w:r>
        </w:p>
      </w:tc>
    </w:tr>
  </w:tbl>
  <w:p w14:paraId="0761F888" w14:textId="77777777" w:rsidR="00653A21" w:rsidRPr="006E0934" w:rsidRDefault="00653A21" w:rsidP="006727E5">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84DFD"/>
    <w:multiLevelType w:val="hybridMultilevel"/>
    <w:tmpl w:val="D31C63F8"/>
    <w:lvl w:ilvl="0" w:tplc="5EF0A308">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 w15:restartNumberingAfterBreak="0">
    <w:nsid w:val="04015290"/>
    <w:multiLevelType w:val="hybridMultilevel"/>
    <w:tmpl w:val="0C44CB84"/>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2"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977068"/>
    <w:multiLevelType w:val="singleLevel"/>
    <w:tmpl w:val="1422D10A"/>
    <w:lvl w:ilvl="0">
      <w:start w:val="1"/>
      <w:numFmt w:val="decimal"/>
      <w:lvlRestart w:val="0"/>
      <w:lvlText w:val="%1."/>
      <w:lvlJc w:val="left"/>
      <w:pPr>
        <w:tabs>
          <w:tab w:val="num" w:pos="475"/>
        </w:tabs>
        <w:ind w:left="0" w:firstLine="0"/>
      </w:pPr>
      <w:rPr>
        <w:w w:val="100"/>
      </w:rPr>
    </w:lvl>
  </w:abstractNum>
  <w:abstractNum w:abstractNumId="5" w15:restartNumberingAfterBreak="0">
    <w:nsid w:val="3E951039"/>
    <w:multiLevelType w:val="hybridMultilevel"/>
    <w:tmpl w:val="4B044924"/>
    <w:lvl w:ilvl="0" w:tplc="BA20EA62">
      <w:start w:val="82"/>
      <w:numFmt w:val="bullet"/>
      <w:lvlText w:val="•"/>
      <w:lvlJc w:val="left"/>
      <w:pPr>
        <w:ind w:left="1747" w:hanging="480"/>
      </w:pPr>
      <w:rPr>
        <w:rFonts w:ascii="Times New Roman" w:eastAsiaTheme="minorHAnsi" w:hAnsi="Times New Roman" w:cs="Times New Roman"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6"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2"/>
  </w:num>
  <w:num w:numId="5">
    <w:abstractNumId w:val="3"/>
  </w:num>
  <w:num w:numId="6">
    <w:abstractNumId w:val="6"/>
  </w:num>
  <w:num w:numId="7">
    <w:abstractNumId w:val="1"/>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3"/>
  </w:num>
  <w:num w:numId="18">
    <w:abstractNumId w:val="6"/>
  </w:num>
  <w:num w:numId="19">
    <w:abstractNumId w:val="1"/>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3"/>
  </w:num>
  <w:num w:numId="30">
    <w:abstractNumId w:val="6"/>
  </w:num>
  <w:num w:numId="31">
    <w:abstractNumId w:val="1"/>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4"/>
  </w:num>
  <w:num w:numId="42">
    <w:abstractNumId w:val="0"/>
  </w:num>
  <w:num w:numId="43">
    <w:abstractNumId w:val="4"/>
    <w:lvlOverride w:ilvl="0">
      <w:lvl w:ilvl="0">
        <w:start w:val="1"/>
        <w:numFmt w:val="decimal"/>
        <w:lvlRestart w:val="0"/>
        <w:lvlText w:val="%1."/>
        <w:lvlJc w:val="left"/>
        <w:pPr>
          <w:tabs>
            <w:tab w:val="num" w:pos="475"/>
          </w:tabs>
          <w:ind w:left="0" w:firstLine="0"/>
        </w:pPr>
        <w:rPr>
          <w:w w:val="100"/>
        </w:rPr>
      </w:lvl>
    </w:lvlOverride>
  </w:num>
  <w:num w:numId="44">
    <w:abstractNumId w:val="5"/>
  </w:num>
  <w:num w:numId="45">
    <w:abstractNumId w:val="4"/>
    <w:lvlOverride w:ilvl="0">
      <w:lvl w:ilvl="0">
        <w:start w:val="1"/>
        <w:numFmt w:val="decimal"/>
        <w:lvlRestart w:val="0"/>
        <w:lvlText w:val="%1."/>
        <w:lvlJc w:val="left"/>
        <w:pPr>
          <w:tabs>
            <w:tab w:val="num" w:pos="475"/>
          </w:tabs>
          <w:ind w:left="0" w:firstLine="0"/>
        </w:pPr>
        <w:rPr>
          <w:w w:val="100"/>
        </w:rPr>
      </w:lvl>
    </w:lvlOverride>
  </w:num>
  <w:num w:numId="46">
    <w:abstractNumId w:val="4"/>
    <w:lvlOverride w:ilvl="0">
      <w:lvl w:ilvl="0">
        <w:start w:val="1"/>
        <w:numFmt w:val="decimal"/>
        <w:lvlRestart w:val="0"/>
        <w:lvlText w:val="%1."/>
        <w:lvlJc w:val="left"/>
        <w:pPr>
          <w:tabs>
            <w:tab w:val="num" w:pos="475"/>
          </w:tabs>
          <w:ind w:left="0" w:firstLine="0"/>
        </w:pPr>
        <w:rPr>
          <w:w w:val="100"/>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defaultTabStop w:val="475"/>
  <w:hyphenationZone w:val="425"/>
  <w:doNotHyphenateCaps/>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06355"/>
    <w:docVar w:name="CreationDt" w:val="17/06/2020 10:29:13"/>
    <w:docVar w:name="DocCategory" w:val="Doc"/>
    <w:docVar w:name="DocType" w:val="Final"/>
    <w:docVar w:name="DutyStation" w:val="New York"/>
    <w:docVar w:name="FooterJN" w:val="20-06355"/>
    <w:docVar w:name="jobn" w:val="20-06355 (F)"/>
    <w:docVar w:name="jobnDT" w:val="20-06355 (F)   170620   "/>
    <w:docVar w:name="jobnDTDT" w:val="20-06355 (F)   170620   170620"/>
    <w:docVar w:name="JobNo" w:val="2006355F"/>
    <w:docVar w:name="JobNo2" w:val="2011290F"/>
    <w:docVar w:name="LocalDrive" w:val="-1"/>
    <w:docVar w:name="OandT" w:val="AAD"/>
    <w:docVar w:name="sss1" w:val="CEDAW/C/MNG/10"/>
    <w:docVar w:name="sss2" w:val="-"/>
    <w:docVar w:name="SuppJobNo" w:val="20-06355"/>
    <w:docVar w:name="Symbol1" w:val="CEDAW/C/MNG/10"/>
    <w:docVar w:name="Symbol2" w:val="-"/>
  </w:docVars>
  <w:rsids>
    <w:rsidRoot w:val="00766DB5"/>
    <w:rsid w:val="00002584"/>
    <w:rsid w:val="00004085"/>
    <w:rsid w:val="00010A96"/>
    <w:rsid w:val="00031874"/>
    <w:rsid w:val="00043124"/>
    <w:rsid w:val="00055CEB"/>
    <w:rsid w:val="0006280A"/>
    <w:rsid w:val="0006491F"/>
    <w:rsid w:val="00065C41"/>
    <w:rsid w:val="00071D43"/>
    <w:rsid w:val="0007535B"/>
    <w:rsid w:val="000776FE"/>
    <w:rsid w:val="00080332"/>
    <w:rsid w:val="00082144"/>
    <w:rsid w:val="000821D9"/>
    <w:rsid w:val="00082243"/>
    <w:rsid w:val="00086794"/>
    <w:rsid w:val="00087093"/>
    <w:rsid w:val="00093F62"/>
    <w:rsid w:val="000A1EC2"/>
    <w:rsid w:val="000B4484"/>
    <w:rsid w:val="000B68FF"/>
    <w:rsid w:val="000C1327"/>
    <w:rsid w:val="000D3896"/>
    <w:rsid w:val="000D73F4"/>
    <w:rsid w:val="000E34CF"/>
    <w:rsid w:val="000F3F39"/>
    <w:rsid w:val="000F74F8"/>
    <w:rsid w:val="00101B18"/>
    <w:rsid w:val="001030AE"/>
    <w:rsid w:val="001136DD"/>
    <w:rsid w:val="001177E1"/>
    <w:rsid w:val="00122A56"/>
    <w:rsid w:val="00134FEE"/>
    <w:rsid w:val="001352B0"/>
    <w:rsid w:val="001400D1"/>
    <w:rsid w:val="00141D2C"/>
    <w:rsid w:val="00142653"/>
    <w:rsid w:val="001430AD"/>
    <w:rsid w:val="00146C6A"/>
    <w:rsid w:val="001600FE"/>
    <w:rsid w:val="00166A0D"/>
    <w:rsid w:val="00174038"/>
    <w:rsid w:val="00183F91"/>
    <w:rsid w:val="00184DCF"/>
    <w:rsid w:val="00191B55"/>
    <w:rsid w:val="001B0B9B"/>
    <w:rsid w:val="001B0EC2"/>
    <w:rsid w:val="001B34E6"/>
    <w:rsid w:val="001C2FA0"/>
    <w:rsid w:val="001D0E5E"/>
    <w:rsid w:val="001D6530"/>
    <w:rsid w:val="001E0A93"/>
    <w:rsid w:val="001E2379"/>
    <w:rsid w:val="001E4B50"/>
    <w:rsid w:val="001F14BF"/>
    <w:rsid w:val="00200018"/>
    <w:rsid w:val="002011DB"/>
    <w:rsid w:val="00203EF2"/>
    <w:rsid w:val="0021412C"/>
    <w:rsid w:val="00224F90"/>
    <w:rsid w:val="0022593F"/>
    <w:rsid w:val="002318C1"/>
    <w:rsid w:val="002344FF"/>
    <w:rsid w:val="00245107"/>
    <w:rsid w:val="00245FDC"/>
    <w:rsid w:val="002478A0"/>
    <w:rsid w:val="00276803"/>
    <w:rsid w:val="00290F36"/>
    <w:rsid w:val="00291733"/>
    <w:rsid w:val="002959BA"/>
    <w:rsid w:val="002A1916"/>
    <w:rsid w:val="002A5E20"/>
    <w:rsid w:val="002C2DAF"/>
    <w:rsid w:val="002C3A60"/>
    <w:rsid w:val="002C59C3"/>
    <w:rsid w:val="002C59E2"/>
    <w:rsid w:val="002E04BE"/>
    <w:rsid w:val="002E4181"/>
    <w:rsid w:val="002E58BC"/>
    <w:rsid w:val="00301609"/>
    <w:rsid w:val="003044F6"/>
    <w:rsid w:val="00304A00"/>
    <w:rsid w:val="0030765E"/>
    <w:rsid w:val="003313DA"/>
    <w:rsid w:val="003328DA"/>
    <w:rsid w:val="00342761"/>
    <w:rsid w:val="00343277"/>
    <w:rsid w:val="0034681B"/>
    <w:rsid w:val="00356B28"/>
    <w:rsid w:val="00366B99"/>
    <w:rsid w:val="00366D21"/>
    <w:rsid w:val="0037639F"/>
    <w:rsid w:val="00382EC7"/>
    <w:rsid w:val="00393C0C"/>
    <w:rsid w:val="0039521C"/>
    <w:rsid w:val="003A5953"/>
    <w:rsid w:val="003A675A"/>
    <w:rsid w:val="003B1520"/>
    <w:rsid w:val="003B1BA2"/>
    <w:rsid w:val="003C1F76"/>
    <w:rsid w:val="003C536A"/>
    <w:rsid w:val="003E6A5D"/>
    <w:rsid w:val="003F61E1"/>
    <w:rsid w:val="003F6A0A"/>
    <w:rsid w:val="003F7DB6"/>
    <w:rsid w:val="00403DFD"/>
    <w:rsid w:val="00406B5C"/>
    <w:rsid w:val="00410BE8"/>
    <w:rsid w:val="004337A7"/>
    <w:rsid w:val="00440C93"/>
    <w:rsid w:val="004417E0"/>
    <w:rsid w:val="00442D55"/>
    <w:rsid w:val="00455AA9"/>
    <w:rsid w:val="00472B7F"/>
    <w:rsid w:val="0047430B"/>
    <w:rsid w:val="00480B84"/>
    <w:rsid w:val="004846F6"/>
    <w:rsid w:val="00485940"/>
    <w:rsid w:val="004B64F9"/>
    <w:rsid w:val="004C1A25"/>
    <w:rsid w:val="004D5E35"/>
    <w:rsid w:val="004D6E79"/>
    <w:rsid w:val="004E0892"/>
    <w:rsid w:val="004E491B"/>
    <w:rsid w:val="004F14F3"/>
    <w:rsid w:val="004F6AD7"/>
    <w:rsid w:val="004F7411"/>
    <w:rsid w:val="005064E6"/>
    <w:rsid w:val="00515991"/>
    <w:rsid w:val="00515D99"/>
    <w:rsid w:val="0052079C"/>
    <w:rsid w:val="00522249"/>
    <w:rsid w:val="005225EC"/>
    <w:rsid w:val="00525097"/>
    <w:rsid w:val="005407F1"/>
    <w:rsid w:val="005458CD"/>
    <w:rsid w:val="00546221"/>
    <w:rsid w:val="00547651"/>
    <w:rsid w:val="00550367"/>
    <w:rsid w:val="005509B6"/>
    <w:rsid w:val="005510C8"/>
    <w:rsid w:val="00556BC0"/>
    <w:rsid w:val="00556EE5"/>
    <w:rsid w:val="00562C61"/>
    <w:rsid w:val="00571235"/>
    <w:rsid w:val="00577A36"/>
    <w:rsid w:val="00580CF2"/>
    <w:rsid w:val="005A4D36"/>
    <w:rsid w:val="005B398E"/>
    <w:rsid w:val="005C0164"/>
    <w:rsid w:val="005C03A7"/>
    <w:rsid w:val="005C5330"/>
    <w:rsid w:val="005C669C"/>
    <w:rsid w:val="005D1FE9"/>
    <w:rsid w:val="005D5EAA"/>
    <w:rsid w:val="005E4D07"/>
    <w:rsid w:val="005F1F5F"/>
    <w:rsid w:val="005F2C07"/>
    <w:rsid w:val="005F6591"/>
    <w:rsid w:val="00616CA4"/>
    <w:rsid w:val="006308F8"/>
    <w:rsid w:val="00632C10"/>
    <w:rsid w:val="0063744B"/>
    <w:rsid w:val="00641C7A"/>
    <w:rsid w:val="00642793"/>
    <w:rsid w:val="00644BC4"/>
    <w:rsid w:val="00653A21"/>
    <w:rsid w:val="00660746"/>
    <w:rsid w:val="006727E5"/>
    <w:rsid w:val="00684993"/>
    <w:rsid w:val="00690698"/>
    <w:rsid w:val="006A0F0E"/>
    <w:rsid w:val="006A5E1F"/>
    <w:rsid w:val="006D4306"/>
    <w:rsid w:val="006D74CA"/>
    <w:rsid w:val="006D79F5"/>
    <w:rsid w:val="006E03DA"/>
    <w:rsid w:val="006E0934"/>
    <w:rsid w:val="006E2E53"/>
    <w:rsid w:val="006E4A4B"/>
    <w:rsid w:val="006E5107"/>
    <w:rsid w:val="006F370E"/>
    <w:rsid w:val="00703106"/>
    <w:rsid w:val="007044C6"/>
    <w:rsid w:val="0070536B"/>
    <w:rsid w:val="00716A69"/>
    <w:rsid w:val="0071705E"/>
    <w:rsid w:val="007459AE"/>
    <w:rsid w:val="00751BD3"/>
    <w:rsid w:val="007531A5"/>
    <w:rsid w:val="00766DB5"/>
    <w:rsid w:val="00771C9E"/>
    <w:rsid w:val="007A76AE"/>
    <w:rsid w:val="007A7DAC"/>
    <w:rsid w:val="007B770F"/>
    <w:rsid w:val="007D0ACD"/>
    <w:rsid w:val="007E0107"/>
    <w:rsid w:val="007E224F"/>
    <w:rsid w:val="0082045E"/>
    <w:rsid w:val="008222A3"/>
    <w:rsid w:val="00832AEF"/>
    <w:rsid w:val="008446A5"/>
    <w:rsid w:val="00845A6C"/>
    <w:rsid w:val="008613DB"/>
    <w:rsid w:val="008654D5"/>
    <w:rsid w:val="00865E61"/>
    <w:rsid w:val="00866094"/>
    <w:rsid w:val="0087211E"/>
    <w:rsid w:val="00876489"/>
    <w:rsid w:val="00883D3C"/>
    <w:rsid w:val="00886CF2"/>
    <w:rsid w:val="00894D53"/>
    <w:rsid w:val="008A2C02"/>
    <w:rsid w:val="008B1FB5"/>
    <w:rsid w:val="008D3879"/>
    <w:rsid w:val="008E024E"/>
    <w:rsid w:val="008E35A7"/>
    <w:rsid w:val="008E6639"/>
    <w:rsid w:val="008F19AC"/>
    <w:rsid w:val="008F3462"/>
    <w:rsid w:val="00901A05"/>
    <w:rsid w:val="009041B2"/>
    <w:rsid w:val="0091142A"/>
    <w:rsid w:val="00915030"/>
    <w:rsid w:val="009178DD"/>
    <w:rsid w:val="009237A6"/>
    <w:rsid w:val="00935932"/>
    <w:rsid w:val="00942A73"/>
    <w:rsid w:val="00945074"/>
    <w:rsid w:val="0095470C"/>
    <w:rsid w:val="009547DC"/>
    <w:rsid w:val="00965424"/>
    <w:rsid w:val="00991D27"/>
    <w:rsid w:val="00993CB7"/>
    <w:rsid w:val="00994877"/>
    <w:rsid w:val="009B1732"/>
    <w:rsid w:val="009C00C4"/>
    <w:rsid w:val="009C3BFE"/>
    <w:rsid w:val="009C60E2"/>
    <w:rsid w:val="009D0EE3"/>
    <w:rsid w:val="009D58B6"/>
    <w:rsid w:val="009E3220"/>
    <w:rsid w:val="009F40B9"/>
    <w:rsid w:val="009F4C6F"/>
    <w:rsid w:val="00A0097B"/>
    <w:rsid w:val="00A17651"/>
    <w:rsid w:val="00A235E6"/>
    <w:rsid w:val="00A2385D"/>
    <w:rsid w:val="00A2494D"/>
    <w:rsid w:val="00A30698"/>
    <w:rsid w:val="00A317C3"/>
    <w:rsid w:val="00A41390"/>
    <w:rsid w:val="00A45820"/>
    <w:rsid w:val="00A52A52"/>
    <w:rsid w:val="00A536A1"/>
    <w:rsid w:val="00A57ECA"/>
    <w:rsid w:val="00A64634"/>
    <w:rsid w:val="00A6584E"/>
    <w:rsid w:val="00A66DA3"/>
    <w:rsid w:val="00A756D0"/>
    <w:rsid w:val="00A860FC"/>
    <w:rsid w:val="00A87F91"/>
    <w:rsid w:val="00AA0D26"/>
    <w:rsid w:val="00AA6B42"/>
    <w:rsid w:val="00AB0B7D"/>
    <w:rsid w:val="00AB13D0"/>
    <w:rsid w:val="00AB52FD"/>
    <w:rsid w:val="00AB58CF"/>
    <w:rsid w:val="00AB627A"/>
    <w:rsid w:val="00AC0D1A"/>
    <w:rsid w:val="00AD5F2F"/>
    <w:rsid w:val="00AF5ECD"/>
    <w:rsid w:val="00B011F4"/>
    <w:rsid w:val="00B33704"/>
    <w:rsid w:val="00B4234E"/>
    <w:rsid w:val="00B429D7"/>
    <w:rsid w:val="00B51380"/>
    <w:rsid w:val="00B61A09"/>
    <w:rsid w:val="00B67113"/>
    <w:rsid w:val="00B70158"/>
    <w:rsid w:val="00B8515C"/>
    <w:rsid w:val="00B858D5"/>
    <w:rsid w:val="00B9797D"/>
    <w:rsid w:val="00BA22B0"/>
    <w:rsid w:val="00BA2C89"/>
    <w:rsid w:val="00BA2D2D"/>
    <w:rsid w:val="00BC112C"/>
    <w:rsid w:val="00BC5F94"/>
    <w:rsid w:val="00BD7CFD"/>
    <w:rsid w:val="00BE0FE8"/>
    <w:rsid w:val="00BE2441"/>
    <w:rsid w:val="00BF13E6"/>
    <w:rsid w:val="00BF3D0A"/>
    <w:rsid w:val="00BF4664"/>
    <w:rsid w:val="00C138C6"/>
    <w:rsid w:val="00C15CD7"/>
    <w:rsid w:val="00C23122"/>
    <w:rsid w:val="00C550D2"/>
    <w:rsid w:val="00C552C9"/>
    <w:rsid w:val="00C65D7E"/>
    <w:rsid w:val="00C725A1"/>
    <w:rsid w:val="00C74235"/>
    <w:rsid w:val="00C877ED"/>
    <w:rsid w:val="00C910BE"/>
    <w:rsid w:val="00CB06FB"/>
    <w:rsid w:val="00CB63C5"/>
    <w:rsid w:val="00CD4CB2"/>
    <w:rsid w:val="00CD7B4B"/>
    <w:rsid w:val="00CE60DD"/>
    <w:rsid w:val="00CE653A"/>
    <w:rsid w:val="00D04411"/>
    <w:rsid w:val="00D06835"/>
    <w:rsid w:val="00D15F9F"/>
    <w:rsid w:val="00D26539"/>
    <w:rsid w:val="00D30EED"/>
    <w:rsid w:val="00D34491"/>
    <w:rsid w:val="00D6018B"/>
    <w:rsid w:val="00D61BD1"/>
    <w:rsid w:val="00D6475F"/>
    <w:rsid w:val="00D66E94"/>
    <w:rsid w:val="00D7351F"/>
    <w:rsid w:val="00D9762C"/>
    <w:rsid w:val="00DA504E"/>
    <w:rsid w:val="00DA5B0C"/>
    <w:rsid w:val="00DB4568"/>
    <w:rsid w:val="00DC1689"/>
    <w:rsid w:val="00DC7881"/>
    <w:rsid w:val="00DD4719"/>
    <w:rsid w:val="00DE51FC"/>
    <w:rsid w:val="00DF4482"/>
    <w:rsid w:val="00DF57F8"/>
    <w:rsid w:val="00E126C3"/>
    <w:rsid w:val="00E32C3E"/>
    <w:rsid w:val="00E33986"/>
    <w:rsid w:val="00E343A6"/>
    <w:rsid w:val="00E443AC"/>
    <w:rsid w:val="00E44E59"/>
    <w:rsid w:val="00E46268"/>
    <w:rsid w:val="00E47A1E"/>
    <w:rsid w:val="00E52E74"/>
    <w:rsid w:val="00E53DDD"/>
    <w:rsid w:val="00E6178C"/>
    <w:rsid w:val="00E63B06"/>
    <w:rsid w:val="00E7063E"/>
    <w:rsid w:val="00E7105F"/>
    <w:rsid w:val="00E7792F"/>
    <w:rsid w:val="00E83214"/>
    <w:rsid w:val="00E94CF8"/>
    <w:rsid w:val="00EA21A9"/>
    <w:rsid w:val="00EB1136"/>
    <w:rsid w:val="00EC12F4"/>
    <w:rsid w:val="00EC2029"/>
    <w:rsid w:val="00EC69C4"/>
    <w:rsid w:val="00ED172B"/>
    <w:rsid w:val="00ED2DBC"/>
    <w:rsid w:val="00ED5B4C"/>
    <w:rsid w:val="00EE2701"/>
    <w:rsid w:val="00EE37EC"/>
    <w:rsid w:val="00EF2DFA"/>
    <w:rsid w:val="00EF6165"/>
    <w:rsid w:val="00F066BC"/>
    <w:rsid w:val="00F11F87"/>
    <w:rsid w:val="00F227FC"/>
    <w:rsid w:val="00F313F6"/>
    <w:rsid w:val="00F342FB"/>
    <w:rsid w:val="00F37254"/>
    <w:rsid w:val="00F4281F"/>
    <w:rsid w:val="00F447C3"/>
    <w:rsid w:val="00F45E22"/>
    <w:rsid w:val="00F5012D"/>
    <w:rsid w:val="00F534C9"/>
    <w:rsid w:val="00F62B8B"/>
    <w:rsid w:val="00F71544"/>
    <w:rsid w:val="00F72BA6"/>
    <w:rsid w:val="00F73093"/>
    <w:rsid w:val="00F7572A"/>
    <w:rsid w:val="00F7694D"/>
    <w:rsid w:val="00F87B76"/>
    <w:rsid w:val="00F948F5"/>
    <w:rsid w:val="00F9761F"/>
    <w:rsid w:val="00FA34F2"/>
    <w:rsid w:val="00FA3D05"/>
    <w:rsid w:val="00FA5CC9"/>
    <w:rsid w:val="00FB0A2C"/>
    <w:rsid w:val="00FB17AD"/>
    <w:rsid w:val="00FB797C"/>
    <w:rsid w:val="00FC5516"/>
    <w:rsid w:val="00FC59F1"/>
    <w:rsid w:val="00FC6E33"/>
    <w:rsid w:val="00FE247D"/>
    <w:rsid w:val="00FE3428"/>
    <w:rsid w:val="00FE5797"/>
    <w:rsid w:val="00FF7AE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B7C9290"/>
  <w15:chartTrackingRefBased/>
  <w15:docId w15:val="{006ED390-C5F0-4ECB-BD99-7167313A6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516"/>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FC5516"/>
    <w:pPr>
      <w:numPr>
        <w:numId w:val="40"/>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FC5516"/>
    <w:pPr>
      <w:numPr>
        <w:ilvl w:val="1"/>
        <w:numId w:val="40"/>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FC5516"/>
    <w:pPr>
      <w:numPr>
        <w:ilvl w:val="2"/>
        <w:numId w:val="40"/>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FC5516"/>
    <w:pPr>
      <w:keepNext/>
      <w:keepLines/>
      <w:numPr>
        <w:ilvl w:val="3"/>
        <w:numId w:val="40"/>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FC5516"/>
    <w:pPr>
      <w:keepNext/>
      <w:keepLines/>
      <w:numPr>
        <w:ilvl w:val="4"/>
        <w:numId w:val="40"/>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FC5516"/>
    <w:pPr>
      <w:keepNext/>
      <w:keepLines/>
      <w:numPr>
        <w:ilvl w:val="5"/>
        <w:numId w:val="40"/>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FC5516"/>
    <w:pPr>
      <w:keepNext/>
      <w:keepLines/>
      <w:numPr>
        <w:ilvl w:val="6"/>
        <w:numId w:val="40"/>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FC5516"/>
    <w:pPr>
      <w:keepNext/>
      <w:keepLines/>
      <w:numPr>
        <w:ilvl w:val="7"/>
        <w:numId w:val="40"/>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FC5516"/>
    <w:pPr>
      <w:keepNext/>
      <w:keepLines/>
      <w:numPr>
        <w:ilvl w:val="8"/>
        <w:numId w:val="40"/>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FC5516"/>
    <w:pPr>
      <w:keepNext/>
      <w:keepLines/>
      <w:suppressAutoHyphens/>
      <w:spacing w:line="270" w:lineRule="exact"/>
      <w:outlineLvl w:val="0"/>
    </w:pPr>
    <w:rPr>
      <w:b/>
      <w:sz w:val="24"/>
    </w:rPr>
  </w:style>
  <w:style w:type="paragraph" w:customStyle="1" w:styleId="HCH">
    <w:name w:val="_ H _CH"/>
    <w:basedOn w:val="H1"/>
    <w:next w:val="SingleTxt"/>
    <w:qFormat/>
    <w:rsid w:val="00FC5516"/>
    <w:pPr>
      <w:spacing w:line="300" w:lineRule="exact"/>
    </w:pPr>
    <w:rPr>
      <w:spacing w:val="-2"/>
      <w:sz w:val="28"/>
    </w:rPr>
  </w:style>
  <w:style w:type="paragraph" w:customStyle="1" w:styleId="HM">
    <w:name w:val="_ H __M"/>
    <w:basedOn w:val="HCH"/>
    <w:next w:val="Normal"/>
    <w:qFormat/>
    <w:rsid w:val="00FC5516"/>
    <w:pPr>
      <w:spacing w:line="360" w:lineRule="exact"/>
    </w:pPr>
    <w:rPr>
      <w:spacing w:val="-3"/>
      <w:w w:val="99"/>
      <w:sz w:val="34"/>
    </w:rPr>
  </w:style>
  <w:style w:type="paragraph" w:customStyle="1" w:styleId="H23">
    <w:name w:val="_ H_2/3"/>
    <w:basedOn w:val="H1"/>
    <w:next w:val="SingleTxt"/>
    <w:qFormat/>
    <w:rsid w:val="00FC5516"/>
    <w:pPr>
      <w:spacing w:line="240" w:lineRule="exact"/>
      <w:outlineLvl w:val="1"/>
    </w:pPr>
    <w:rPr>
      <w:spacing w:val="2"/>
      <w:sz w:val="20"/>
    </w:rPr>
  </w:style>
  <w:style w:type="paragraph" w:customStyle="1" w:styleId="H4">
    <w:name w:val="_ H_4"/>
    <w:basedOn w:val="Normal"/>
    <w:next w:val="Normal"/>
    <w:qFormat/>
    <w:rsid w:val="00FC5516"/>
    <w:pPr>
      <w:keepNext/>
      <w:keepLines/>
      <w:tabs>
        <w:tab w:val="right" w:pos="360"/>
      </w:tabs>
      <w:suppressAutoHyphens/>
      <w:outlineLvl w:val="3"/>
    </w:pPr>
    <w:rPr>
      <w:i/>
      <w:spacing w:val="3"/>
    </w:rPr>
  </w:style>
  <w:style w:type="paragraph" w:customStyle="1" w:styleId="H56">
    <w:name w:val="_ H_5/6"/>
    <w:basedOn w:val="Normal"/>
    <w:next w:val="SingleTxt"/>
    <w:qFormat/>
    <w:rsid w:val="00FC551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FC551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FC551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FC5516"/>
    <w:pPr>
      <w:spacing w:line="540" w:lineRule="exact"/>
    </w:pPr>
    <w:rPr>
      <w:spacing w:val="-8"/>
      <w:w w:val="96"/>
      <w:sz w:val="57"/>
    </w:rPr>
  </w:style>
  <w:style w:type="paragraph" w:customStyle="1" w:styleId="SS">
    <w:name w:val="__S_S"/>
    <w:basedOn w:val="HCH"/>
    <w:next w:val="Normal"/>
    <w:qFormat/>
    <w:rsid w:val="00FC5516"/>
    <w:pPr>
      <w:ind w:left="1267" w:right="1267"/>
    </w:pPr>
  </w:style>
  <w:style w:type="paragraph" w:customStyle="1" w:styleId="SingleTxt">
    <w:name w:val="__Single Txt"/>
    <w:basedOn w:val="Normal"/>
    <w:qFormat/>
    <w:rsid w:val="00FC551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FC5516"/>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FC55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FC5516"/>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FC551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C5516"/>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FC5516"/>
    <w:pPr>
      <w:numPr>
        <w:numId w:val="29"/>
      </w:numPr>
      <w:spacing w:after="120"/>
      <w:ind w:right="1267"/>
      <w:jc w:val="both"/>
    </w:pPr>
  </w:style>
  <w:style w:type="paragraph" w:customStyle="1" w:styleId="Bullet2">
    <w:name w:val="Bullet 2"/>
    <w:basedOn w:val="Normal"/>
    <w:qFormat/>
    <w:rsid w:val="00FC5516"/>
    <w:pPr>
      <w:numPr>
        <w:numId w:val="30"/>
      </w:numPr>
      <w:spacing w:after="120"/>
      <w:ind w:right="1264"/>
      <w:jc w:val="both"/>
    </w:pPr>
  </w:style>
  <w:style w:type="paragraph" w:customStyle="1" w:styleId="Bullet3">
    <w:name w:val="Bullet 3"/>
    <w:basedOn w:val="SingleTxt"/>
    <w:qFormat/>
    <w:rsid w:val="00FC5516"/>
    <w:pPr>
      <w:numPr>
        <w:numId w:val="3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FC5516"/>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FC5516"/>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FC5516"/>
    <w:pPr>
      <w:spacing w:line="210" w:lineRule="exact"/>
    </w:pPr>
    <w:rPr>
      <w:sz w:val="17"/>
      <w:szCs w:val="20"/>
    </w:rPr>
  </w:style>
  <w:style w:type="character" w:customStyle="1" w:styleId="EndnoteTextChar">
    <w:name w:val="Endnote Text Char"/>
    <w:link w:val="EndnoteText"/>
    <w:uiPriority w:val="99"/>
    <w:semiHidden/>
    <w:rsid w:val="00FC5516"/>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FC5516"/>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FC5516"/>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rsid w:val="00FC5516"/>
    <w:rPr>
      <w:color w:val="auto"/>
      <w:spacing w:val="5"/>
      <w:w w:val="103"/>
      <w:kern w:val="14"/>
      <w:position w:val="0"/>
      <w:sz w:val="17"/>
      <w:szCs w:val="17"/>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FC5516"/>
    <w:pPr>
      <w:spacing w:line="210" w:lineRule="exact"/>
    </w:pPr>
    <w:rPr>
      <w:sz w:val="17"/>
      <w:szCs w:val="20"/>
    </w:rPr>
  </w:style>
  <w:style w:type="character" w:customStyle="1" w:styleId="FootnoteTextChar">
    <w:name w:val="Footnote Text Char"/>
    <w:link w:val="FootnoteText"/>
    <w:uiPriority w:val="99"/>
    <w:rsid w:val="00FC5516"/>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FC5516"/>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FC5516"/>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FC5516"/>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FC5516"/>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FC5516"/>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FC5516"/>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FC5516"/>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FC5516"/>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FC5516"/>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FC5516"/>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FC5516"/>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FC5516"/>
    <w:rPr>
      <w:sz w:val="14"/>
    </w:rPr>
  </w:style>
  <w:style w:type="paragraph" w:styleId="ListParagraph">
    <w:name w:val="List Paragraph"/>
    <w:basedOn w:val="Normal"/>
    <w:uiPriority w:val="34"/>
    <w:rsid w:val="00FC5516"/>
    <w:pPr>
      <w:ind w:left="720"/>
      <w:contextualSpacing/>
    </w:pPr>
  </w:style>
  <w:style w:type="paragraph" w:styleId="NoSpacing">
    <w:name w:val="No Spacing"/>
    <w:uiPriority w:val="1"/>
    <w:rsid w:val="00FC5516"/>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FC5516"/>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FC5516"/>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FC5516"/>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FC5516"/>
    <w:pPr>
      <w:tabs>
        <w:tab w:val="right" w:pos="9965"/>
      </w:tabs>
      <w:spacing w:line="210" w:lineRule="exact"/>
    </w:pPr>
    <w:rPr>
      <w:spacing w:val="5"/>
      <w:w w:val="104"/>
      <w:sz w:val="17"/>
    </w:rPr>
  </w:style>
  <w:style w:type="paragraph" w:customStyle="1" w:styleId="SmallX">
    <w:name w:val="SmallX"/>
    <w:basedOn w:val="Small"/>
    <w:next w:val="Normal"/>
    <w:qFormat/>
    <w:rsid w:val="00FC5516"/>
    <w:pPr>
      <w:spacing w:line="180" w:lineRule="exact"/>
      <w:jc w:val="right"/>
    </w:pPr>
    <w:rPr>
      <w:spacing w:val="6"/>
      <w:w w:val="106"/>
      <w:sz w:val="14"/>
    </w:rPr>
  </w:style>
  <w:style w:type="character" w:styleId="Strong">
    <w:name w:val="Strong"/>
    <w:uiPriority w:val="22"/>
    <w:rsid w:val="00FC5516"/>
    <w:rPr>
      <w:b/>
      <w:bCs/>
    </w:rPr>
  </w:style>
  <w:style w:type="paragraph" w:customStyle="1" w:styleId="Style1">
    <w:name w:val="Style1"/>
    <w:basedOn w:val="Normal"/>
    <w:qFormat/>
    <w:rsid w:val="00FC5516"/>
  </w:style>
  <w:style w:type="paragraph" w:customStyle="1" w:styleId="Style2">
    <w:name w:val="Style2"/>
    <w:basedOn w:val="Normal"/>
    <w:autoRedefine/>
    <w:qFormat/>
    <w:rsid w:val="00FC5516"/>
  </w:style>
  <w:style w:type="paragraph" w:customStyle="1" w:styleId="TitleHCH">
    <w:name w:val="Title_H_CH"/>
    <w:basedOn w:val="H1"/>
    <w:next w:val="SingleTxt"/>
    <w:qFormat/>
    <w:rsid w:val="00FC551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FC551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FC5516"/>
    <w:pPr>
      <w:tabs>
        <w:tab w:val="right" w:pos="360"/>
      </w:tabs>
      <w:spacing w:line="390" w:lineRule="exact"/>
    </w:pPr>
    <w:rPr>
      <w:spacing w:val="-4"/>
      <w:w w:val="98"/>
      <w:sz w:val="40"/>
    </w:rPr>
  </w:style>
  <w:style w:type="paragraph" w:customStyle="1" w:styleId="Session">
    <w:name w:val="Session"/>
    <w:basedOn w:val="H23"/>
    <w:qFormat/>
    <w:rsid w:val="00472B7F"/>
  </w:style>
  <w:style w:type="paragraph" w:customStyle="1" w:styleId="Sponsors">
    <w:name w:val="Sponsors"/>
    <w:basedOn w:val="H1"/>
    <w:next w:val="Normal"/>
    <w:qFormat/>
    <w:rsid w:val="006F370E"/>
    <w:pPr>
      <w:spacing w:line="240" w:lineRule="exact"/>
      <w:ind w:left="1267" w:right="1267" w:hanging="1267"/>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uiPriority w:val="99"/>
    <w:semiHidden/>
    <w:unhideWhenUsed/>
    <w:rsid w:val="006727E5"/>
    <w:rPr>
      <w:sz w:val="16"/>
      <w:szCs w:val="16"/>
    </w:rPr>
  </w:style>
  <w:style w:type="paragraph" w:styleId="CommentText">
    <w:name w:val="annotation text"/>
    <w:basedOn w:val="Normal"/>
    <w:link w:val="CommentTextChar"/>
    <w:uiPriority w:val="99"/>
    <w:unhideWhenUsed/>
    <w:rsid w:val="006727E5"/>
    <w:pPr>
      <w:spacing w:line="240" w:lineRule="auto"/>
    </w:pPr>
    <w:rPr>
      <w:szCs w:val="20"/>
    </w:rPr>
  </w:style>
  <w:style w:type="character" w:customStyle="1" w:styleId="CommentTextChar">
    <w:name w:val="Comment Text Char"/>
    <w:basedOn w:val="DefaultParagraphFont"/>
    <w:link w:val="CommentText"/>
    <w:uiPriority w:val="99"/>
    <w:rsid w:val="006727E5"/>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6727E5"/>
    <w:rPr>
      <w:b/>
      <w:bCs/>
    </w:rPr>
  </w:style>
  <w:style w:type="character" w:customStyle="1" w:styleId="CommentSubjectChar">
    <w:name w:val="Comment Subject Char"/>
    <w:basedOn w:val="CommentTextChar"/>
    <w:link w:val="CommentSubject"/>
    <w:uiPriority w:val="99"/>
    <w:semiHidden/>
    <w:rsid w:val="006727E5"/>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rsid w:val="006E0934"/>
    <w:rPr>
      <w:color w:val="0000FF"/>
      <w:u w:val="none"/>
    </w:rPr>
  </w:style>
  <w:style w:type="paragraph" w:customStyle="1" w:styleId="SingleTxtG">
    <w:name w:val="_ Single Txt_G"/>
    <w:basedOn w:val="Normal"/>
    <w:link w:val="SingleTxtGChar"/>
    <w:qFormat/>
    <w:rsid w:val="006E0934"/>
    <w:pPr>
      <w:suppressAutoHyphens/>
      <w:kinsoku w:val="0"/>
      <w:overflowPunct w:val="0"/>
      <w:autoSpaceDE w:val="0"/>
      <w:autoSpaceDN w:val="0"/>
      <w:adjustRightInd w:val="0"/>
      <w:snapToGrid w:val="0"/>
      <w:spacing w:after="120" w:line="240" w:lineRule="atLeast"/>
      <w:ind w:left="1134" w:right="1134"/>
      <w:jc w:val="both"/>
    </w:pPr>
    <w:rPr>
      <w:spacing w:val="0"/>
      <w:w w:val="100"/>
      <w:kern w:val="0"/>
      <w:szCs w:val="20"/>
      <w:lang w:val="en-GB"/>
    </w:rPr>
  </w:style>
  <w:style w:type="character" w:customStyle="1" w:styleId="SingleTxtGChar">
    <w:name w:val="_ Single Txt_G Char"/>
    <w:link w:val="SingleTxtG"/>
    <w:locked/>
    <w:rsid w:val="006E0934"/>
    <w:rPr>
      <w:rFonts w:ascii="Times New Roman" w:eastAsiaTheme="minorHAnsi" w:hAnsi="Times New Roman" w:cs="Times New Roman"/>
      <w:sz w:val="20"/>
      <w:szCs w:val="20"/>
      <w:lang w:eastAsia="en-US"/>
    </w:rPr>
  </w:style>
  <w:style w:type="table" w:styleId="TableGrid">
    <w:name w:val="Table Grid"/>
    <w:basedOn w:val="TableNormal"/>
    <w:uiPriority w:val="59"/>
    <w:rsid w:val="006E0934"/>
    <w:pPr>
      <w:suppressAutoHyphens/>
      <w:spacing w:after="0" w:line="240" w:lineRule="atLeast"/>
    </w:pPr>
    <w:rPr>
      <w:rFonts w:ascii="Times New Roman" w:eastAsiaTheme="minorHAnsi" w:hAnsi="Times New Roman" w:cs="Times New Roman"/>
      <w:sz w:val="20"/>
      <w:szCs w:val="20"/>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UnresolvedMention">
    <w:name w:val="Unresolved Mention"/>
    <w:basedOn w:val="DefaultParagraphFont"/>
    <w:uiPriority w:val="99"/>
    <w:semiHidden/>
    <w:unhideWhenUsed/>
    <w:rsid w:val="004417E0"/>
    <w:rPr>
      <w:color w:val="605E5C"/>
      <w:shd w:val="clear" w:color="auto" w:fill="E1DFDD"/>
    </w:rPr>
  </w:style>
  <w:style w:type="character" w:styleId="FollowedHyperlink">
    <w:name w:val="FollowedHyperlink"/>
    <w:basedOn w:val="DefaultParagraphFont"/>
    <w:uiPriority w:val="99"/>
    <w:semiHidden/>
    <w:unhideWhenUsed/>
    <w:rsid w:val="00AA6B42"/>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3396712">
      <w:bodyDiv w:val="1"/>
      <w:marLeft w:val="0"/>
      <w:marRight w:val="0"/>
      <w:marTop w:val="0"/>
      <w:marBottom w:val="0"/>
      <w:divBdr>
        <w:top w:val="none" w:sz="0" w:space="0" w:color="auto"/>
        <w:left w:val="none" w:sz="0" w:space="0" w:color="auto"/>
        <w:bottom w:val="none" w:sz="0" w:space="0" w:color="auto"/>
        <w:right w:val="none" w:sz="0" w:space="0" w:color="auto"/>
      </w:divBdr>
      <w:divsChild>
        <w:div w:id="127165889">
          <w:marLeft w:val="0"/>
          <w:marRight w:val="0"/>
          <w:marTop w:val="0"/>
          <w:marBottom w:val="0"/>
          <w:divBdr>
            <w:top w:val="none" w:sz="0" w:space="0" w:color="auto"/>
            <w:left w:val="none" w:sz="0" w:space="0" w:color="auto"/>
            <w:bottom w:val="none" w:sz="0" w:space="0" w:color="auto"/>
            <w:right w:val="none" w:sz="0" w:space="0" w:color="auto"/>
          </w:divBdr>
        </w:div>
      </w:divsChild>
    </w:div>
    <w:div w:id="1352028126">
      <w:bodyDiv w:val="1"/>
      <w:marLeft w:val="0"/>
      <w:marRight w:val="0"/>
      <w:marTop w:val="0"/>
      <w:marBottom w:val="0"/>
      <w:divBdr>
        <w:top w:val="none" w:sz="0" w:space="0" w:color="auto"/>
        <w:left w:val="none" w:sz="0" w:space="0" w:color="auto"/>
        <w:bottom w:val="none" w:sz="0" w:space="0" w:color="auto"/>
        <w:right w:val="none" w:sz="0" w:space="0" w:color="auto"/>
      </w:divBdr>
      <w:divsChild>
        <w:div w:id="657686195">
          <w:marLeft w:val="0"/>
          <w:marRight w:val="0"/>
          <w:marTop w:val="0"/>
          <w:marBottom w:val="0"/>
          <w:divBdr>
            <w:top w:val="none" w:sz="0" w:space="0" w:color="auto"/>
            <w:left w:val="none" w:sz="0" w:space="0" w:color="auto"/>
            <w:bottom w:val="none" w:sz="0" w:space="0" w:color="auto"/>
            <w:right w:val="none" w:sz="0" w:space="0" w:color="auto"/>
          </w:divBdr>
        </w:div>
      </w:divsChild>
    </w:div>
    <w:div w:id="1587761917">
      <w:bodyDiv w:val="1"/>
      <w:marLeft w:val="0"/>
      <w:marRight w:val="0"/>
      <w:marTop w:val="0"/>
      <w:marBottom w:val="0"/>
      <w:divBdr>
        <w:top w:val="none" w:sz="0" w:space="0" w:color="auto"/>
        <w:left w:val="none" w:sz="0" w:space="0" w:color="auto"/>
        <w:bottom w:val="none" w:sz="0" w:space="0" w:color="auto"/>
        <w:right w:val="none" w:sz="0" w:space="0" w:color="auto"/>
      </w:divBdr>
      <w:divsChild>
        <w:div w:id="774904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fr/A/17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facebook.com/gender.gov.mn"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fr/CEDAW/C/MNG/QPR/10" TargetMode="External"/><Relationship Id="rId25"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www.gender.gov.m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fr/CEDAW/C/MNG/8-9" TargetMode="Externa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www.1212.mn" TargetMode="External"/><Relationship Id="rId10" Type="http://schemas.openxmlformats.org/officeDocument/2006/relationships/footer" Target="footer1.xml"/><Relationship Id="rId19" Type="http://schemas.openxmlformats.org/officeDocument/2006/relationships/hyperlink" Target="http://www.1212.mn"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image" Target="media/image4.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dg.gov.m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0FC57-EC0D-4DE2-9E72-F097099E6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24172</Words>
  <Characters>132951</Characters>
  <Application>Microsoft Office Word</Application>
  <DocSecurity>0</DocSecurity>
  <Lines>1107</Lines>
  <Paragraphs>313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Ahlem Adda-Bendia</dc:creator>
  <cp:keywords/>
  <dc:description/>
  <cp:lastModifiedBy>Luisa P.</cp:lastModifiedBy>
  <cp:revision>3</cp:revision>
  <cp:lastPrinted>2020-06-18T20:02:00Z</cp:lastPrinted>
  <dcterms:created xsi:type="dcterms:W3CDTF">2020-06-18T20:02:00Z</dcterms:created>
  <dcterms:modified xsi:type="dcterms:W3CDTF">2020-06-18T20:02:00Z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DSRefJobNo">
    <vt:lpwstr>2011290F</vt:lpwstr>
  </property>
  <property fmtid="{D5CDD505-2E9C-101B-9397-08002B2CF9AE}" pid="3" name="Symbol2">
    <vt:lpwstr/>
  </property>
  <property fmtid="{D5CDD505-2E9C-101B-9397-08002B2CF9AE}" pid="4" name="Translator">
    <vt:lpwstr/>
  </property>
  <property fmtid="{D5CDD505-2E9C-101B-9397-08002B2CF9AE}" pid="5" name="Operator">
    <vt:lpwstr>AAD</vt:lpwstr>
  </property>
  <property fmtid="{D5CDD505-2E9C-101B-9397-08002B2CF9AE}" pid="6" name="DraftPages">
    <vt:lpwstr> </vt:lpwstr>
  </property>
  <property fmtid="{D5CDD505-2E9C-101B-9397-08002B2CF9AE}" pid="7" name="Comment">
    <vt:lpwstr/>
  </property>
  <property fmtid="{D5CDD505-2E9C-101B-9397-08002B2CF9AE}" pid="8" name="Category">
    <vt:lpwstr>Document</vt:lpwstr>
  </property>
  <property fmtid="{D5CDD505-2E9C-101B-9397-08002B2CF9AE}" pid="9" name="Language">
    <vt:lpwstr>French</vt:lpwstr>
  </property>
  <property fmtid="{D5CDD505-2E9C-101B-9397-08002B2CF9AE}" pid="10" name="Symbol1">
    <vt:lpwstr>CEDAW/C/MNG/10</vt:lpwstr>
  </property>
  <property fmtid="{D5CDD505-2E9C-101B-9397-08002B2CF9AE}" pid="11" name="JobNo">
    <vt:lpwstr>2006355F</vt:lpwstr>
  </property>
  <property fmtid="{D5CDD505-2E9C-101B-9397-08002B2CF9AE}" pid="12" name="Release Date">
    <vt:lpwstr/>
  </property>
  <property fmtid="{D5CDD505-2E9C-101B-9397-08002B2CF9AE}" pid="13" name="Title1">
    <vt:lpwstr>		Dixième rapport périodique soumis par la Mongolie en application de l’article 18 de la Convention, attendu en 2020*_x000d_</vt:lpwstr>
  </property>
</Properties>
</file>