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840BF" w14:textId="77777777" w:rsidR="008D21BB" w:rsidRPr="00F35716" w:rsidRDefault="00F12F13" w:rsidP="008D21BB">
      <w:pPr>
        <w:spacing w:line="240" w:lineRule="auto"/>
        <w:rPr>
          <w:sz w:val="6"/>
        </w:rPr>
      </w:pPr>
      <w:commentRangeStart w:id="0"/>
      <w:commentRangeEnd w:id="0"/>
      <w:r w:rsidRPr="00F35716">
        <w:rPr>
          <w:rStyle w:val="CommentReference"/>
          <w:rFonts w:eastAsia="SimSun"/>
          <w:szCs w:val="20"/>
        </w:rPr>
        <w:commentReference w:id="0"/>
      </w:r>
    </w:p>
    <w:p w14:paraId="32E941CD" w14:textId="6E370C1A" w:rsidR="00F12F13" w:rsidRPr="00F35716" w:rsidRDefault="00F12F13" w:rsidP="00F12F13">
      <w:pPr>
        <w:spacing w:line="20" w:lineRule="exact"/>
        <w:rPr>
          <w:sz w:val="2"/>
        </w:rPr>
        <w:sectPr w:rsidR="00F12F13" w:rsidRPr="00F35716" w:rsidSect="00037E63">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195" w:bottom="1152" w:left="1195" w:header="432" w:footer="504" w:gutter="0"/>
          <w:cols w:space="708"/>
          <w:noEndnote/>
          <w:titlePg/>
          <w:docGrid w:linePitch="360"/>
        </w:sectPr>
      </w:pPr>
    </w:p>
    <w:p w14:paraId="32E941D1" w14:textId="77777777" w:rsidR="00D9621C" w:rsidRPr="00F35716" w:rsidRDefault="00D9621C" w:rsidP="00D9621C">
      <w:pPr>
        <w:pStyle w:val="H1"/>
        <w:ind w:right="4075"/>
      </w:pPr>
      <w:r w:rsidRPr="00F35716">
        <w:t>Comité para la Eliminación de la Discriminación contra la Mujer</w:t>
      </w:r>
    </w:p>
    <w:p w14:paraId="32E941D2" w14:textId="77777777" w:rsidR="004D2E6E" w:rsidRPr="00F35716" w:rsidRDefault="004D2E6E" w:rsidP="00571F37">
      <w:pPr>
        <w:pStyle w:val="SingleTxt"/>
        <w:spacing w:after="0" w:line="120" w:lineRule="exact"/>
        <w:rPr>
          <w:sz w:val="10"/>
        </w:rPr>
      </w:pPr>
    </w:p>
    <w:p w14:paraId="32E941D3" w14:textId="77777777" w:rsidR="00D9621C" w:rsidRPr="00F35716" w:rsidRDefault="00D9621C" w:rsidP="00571F37">
      <w:pPr>
        <w:pStyle w:val="SingleTxt"/>
        <w:spacing w:after="0" w:line="120" w:lineRule="exact"/>
        <w:rPr>
          <w:sz w:val="10"/>
        </w:rPr>
      </w:pPr>
    </w:p>
    <w:p w14:paraId="32E941D4" w14:textId="77777777" w:rsidR="00D9621C" w:rsidRPr="00F35716" w:rsidRDefault="00D9621C" w:rsidP="00571F37">
      <w:pPr>
        <w:pStyle w:val="SingleTxt"/>
        <w:spacing w:after="0" w:line="120" w:lineRule="exact"/>
        <w:rPr>
          <w:sz w:val="10"/>
        </w:rPr>
      </w:pPr>
    </w:p>
    <w:p w14:paraId="3B1C9E77" w14:textId="23F656F4" w:rsidR="00F12F13" w:rsidRPr="00F35716" w:rsidRDefault="00F12F13" w:rsidP="00F12F1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sidRPr="00F35716">
        <w:rPr>
          <w:noProof/>
          <w:w w:val="100"/>
        </w:rPr>
        <mc:AlternateContent>
          <mc:Choice Requires="wps">
            <w:drawing>
              <wp:anchor distT="0" distB="0" distL="114300" distR="114300" simplePos="0" relativeHeight="251659264" behindDoc="0" locked="0" layoutInCell="1" allowOverlap="1" wp14:anchorId="7AA4F6BC" wp14:editId="34EB4062">
                <wp:simplePos x="0" y="0"/>
                <wp:positionH relativeFrom="column">
                  <wp:posOffset>548640</wp:posOffset>
                </wp:positionH>
                <wp:positionV relativeFrom="paragraph">
                  <wp:posOffset>-12700</wp:posOffset>
                </wp:positionV>
                <wp:extent cx="914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CAA5E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eFHE&#10;E9kBAAAMBAAADgAAAAAAAAAAAAAAAAAuAgAAZHJzL2Uyb0RvYy54bWxQSwECLQAUAAYACAAAACEA&#10;ZcwHlN0AAAAIAQAADwAAAAAAAAAAAAAAAAAzBAAAZHJzL2Rvd25yZXYueG1sUEsFBgAAAAAEAAQA&#10;8wAAAD0FAAAAAA==&#10;" strokecolor="#010000" strokeweight=".25pt"/>
            </w:pict>
          </mc:Fallback>
        </mc:AlternateContent>
      </w:r>
      <w:r w:rsidRPr="00F35716">
        <w:rPr>
          <w:spacing w:val="5"/>
          <w:w w:val="104"/>
          <w:kern w:val="14"/>
          <w:sz w:val="17"/>
          <w:szCs w:val="20"/>
        </w:rPr>
        <w:tab/>
        <w:t>*</w:t>
      </w:r>
      <w:r w:rsidRPr="00F35716">
        <w:rPr>
          <w:spacing w:val="5"/>
          <w:w w:val="104"/>
          <w:kern w:val="14"/>
          <w:sz w:val="17"/>
          <w:szCs w:val="20"/>
        </w:rPr>
        <w:tab/>
        <w:t>El presente documento se publica sin haber sido objeto de revisión editorial oficial.</w:t>
      </w:r>
    </w:p>
    <w:p w14:paraId="32E941D5" w14:textId="77777777" w:rsidR="002A1F8A" w:rsidRPr="00F35716" w:rsidRDefault="002A1F8A" w:rsidP="00CE1638">
      <w:pPr>
        <w:pStyle w:val="TitleHCH"/>
        <w:rPr>
          <w:lang w:val="es-ES"/>
        </w:rPr>
      </w:pPr>
      <w:r w:rsidRPr="00F35716">
        <w:rPr>
          <w:lang w:val="es-ES"/>
        </w:rPr>
        <w:tab/>
      </w:r>
      <w:r w:rsidR="00CE1638" w:rsidRPr="00F35716">
        <w:rPr>
          <w:lang w:val="es-ES"/>
        </w:rPr>
        <w:tab/>
      </w:r>
      <w:r w:rsidR="00804B9A" w:rsidRPr="00F35716">
        <w:rPr>
          <w:lang w:val="es-ES"/>
        </w:rPr>
        <w:t>Informes periódicos quinto y sexto combinados que Marruecos debía presentar en 2014 en v</w:t>
      </w:r>
      <w:bookmarkStart w:id="1" w:name="_GoBack"/>
      <w:bookmarkEnd w:id="1"/>
      <w:r w:rsidR="00804B9A" w:rsidRPr="00F35716">
        <w:rPr>
          <w:lang w:val="es-ES"/>
        </w:rPr>
        <w:t>irtud del artículo 18 de la Convención</w:t>
      </w:r>
      <w:r w:rsidR="00F35D20" w:rsidRPr="00F35716">
        <w:rPr>
          <w:b w:val="0"/>
          <w:position w:val="4"/>
          <w:sz w:val="20"/>
          <w:lang w:val="es-ES"/>
        </w:rPr>
        <w:t>*</w:t>
      </w:r>
    </w:p>
    <w:p w14:paraId="32E941D6" w14:textId="77777777" w:rsidR="002A1F8A" w:rsidRPr="00F35716" w:rsidRDefault="002A1F8A" w:rsidP="00571F37">
      <w:pPr>
        <w:pStyle w:val="SingleTxt"/>
        <w:spacing w:after="0" w:line="120" w:lineRule="exact"/>
        <w:rPr>
          <w:sz w:val="10"/>
        </w:rPr>
      </w:pPr>
    </w:p>
    <w:p w14:paraId="32E941D7" w14:textId="77777777" w:rsidR="00FE07CB" w:rsidRPr="00F35716" w:rsidRDefault="00FE07CB" w:rsidP="00571F37">
      <w:pPr>
        <w:pStyle w:val="SingleTxt"/>
        <w:spacing w:after="0" w:line="120" w:lineRule="exact"/>
        <w:rPr>
          <w:sz w:val="10"/>
        </w:rPr>
      </w:pPr>
    </w:p>
    <w:p w14:paraId="32E941D8" w14:textId="77777777" w:rsidR="006857D9" w:rsidRPr="00F35716" w:rsidRDefault="006857D9" w:rsidP="006857D9">
      <w:pPr>
        <w:pStyle w:val="SingleTxt"/>
        <w:jc w:val="right"/>
      </w:pPr>
      <w:r w:rsidRPr="00F35716">
        <w:t>[</w:t>
      </w:r>
      <w:r w:rsidR="00D53231" w:rsidRPr="00F35716">
        <w:t>Fecha de recepción: 16 de enero de 2020</w:t>
      </w:r>
      <w:r w:rsidRPr="00F35716">
        <w:t>]</w:t>
      </w:r>
    </w:p>
    <w:p w14:paraId="32E941D9" w14:textId="4B29D5DA" w:rsidR="0042107F" w:rsidRPr="00F35716" w:rsidRDefault="00571F37" w:rsidP="0042107F">
      <w:pPr>
        <w:pStyle w:val="SingleTxt"/>
      </w:pPr>
      <w:r w:rsidRPr="00F35716">
        <w:br w:type="page"/>
      </w:r>
    </w:p>
    <w:p w14:paraId="32E941DA" w14:textId="3E1ACE49" w:rsidR="002A0F94" w:rsidRPr="00F35716" w:rsidRDefault="002A0F94" w:rsidP="007C592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35716">
        <w:rPr>
          <w:sz w:val="20"/>
        </w:rPr>
        <w:lastRenderedPageBreak/>
        <w:tab/>
      </w:r>
      <w:r w:rsidRPr="00F35716">
        <w:tab/>
      </w:r>
      <w:r w:rsidR="001B581E" w:rsidRPr="00F35716">
        <w:t>Introduc</w:t>
      </w:r>
      <w:r w:rsidR="00BA6B28" w:rsidRPr="00F35716">
        <w:t>ción</w:t>
      </w:r>
    </w:p>
    <w:p w14:paraId="32E941DB" w14:textId="77777777" w:rsidR="002A0F94" w:rsidRPr="00F35716" w:rsidRDefault="002A0F94" w:rsidP="002A0F94">
      <w:pPr>
        <w:pStyle w:val="SingleTxt"/>
        <w:spacing w:after="0" w:line="120" w:lineRule="exact"/>
        <w:rPr>
          <w:sz w:val="10"/>
          <w:szCs w:val="20"/>
        </w:rPr>
      </w:pPr>
    </w:p>
    <w:p w14:paraId="32E941DC" w14:textId="77777777" w:rsidR="002A0F94" w:rsidRPr="00F35716" w:rsidRDefault="002A0F94" w:rsidP="002A0F94">
      <w:pPr>
        <w:pStyle w:val="SingleTxt"/>
        <w:spacing w:after="0" w:line="120" w:lineRule="exact"/>
        <w:rPr>
          <w:sz w:val="10"/>
          <w:szCs w:val="20"/>
        </w:rPr>
      </w:pPr>
    </w:p>
    <w:p w14:paraId="32E941DD" w14:textId="32D0D598" w:rsidR="00EC3C86" w:rsidRPr="00F35716" w:rsidRDefault="00EC3C86" w:rsidP="00B3192A">
      <w:pPr>
        <w:pStyle w:val="SingleTxt"/>
        <w:numPr>
          <w:ilvl w:val="0"/>
          <w:numId w:val="8"/>
        </w:numPr>
        <w:ind w:left="1267" w:firstLine="0"/>
      </w:pPr>
      <w:r w:rsidRPr="00F35716">
        <w:t xml:space="preserve">El Reino de Marruecos presenta </w:t>
      </w:r>
      <w:r w:rsidR="002B2B36" w:rsidRPr="00F35716">
        <w:t>sus</w:t>
      </w:r>
      <w:r w:rsidRPr="00F35716">
        <w:t xml:space="preserve"> informes periódicos quinto y sexto combinados en virtud del artículo 18</w:t>
      </w:r>
      <w:r w:rsidR="002B2B36" w:rsidRPr="00F35716">
        <w:t>, párrafo 1,</w:t>
      </w:r>
      <w:r w:rsidRPr="00F35716">
        <w:t xml:space="preserve"> de la Convención sobre la Eliminación de Todas las Formas de Discriminación contra la Mujer, </w:t>
      </w:r>
      <w:r w:rsidR="002B2B36" w:rsidRPr="00F35716">
        <w:t xml:space="preserve">a </w:t>
      </w:r>
      <w:r w:rsidRPr="00F35716">
        <w:t xml:space="preserve">la que </w:t>
      </w:r>
      <w:r w:rsidR="002B2B36" w:rsidRPr="00F35716">
        <w:t>Marruecos se adhirió en</w:t>
      </w:r>
      <w:r w:rsidRPr="00F35716">
        <w:t xml:space="preserve"> junio de 1993, y en cumplimiento del </w:t>
      </w:r>
      <w:r w:rsidR="002B2B36" w:rsidRPr="00F35716">
        <w:t>párrafo</w:t>
      </w:r>
      <w:r w:rsidRPr="00F35716">
        <w:t xml:space="preserve"> 53 de las observaciones finales. </w:t>
      </w:r>
    </w:p>
    <w:p w14:paraId="32E941DE" w14:textId="6FF354F9" w:rsidR="00EC3C86" w:rsidRPr="00F35716" w:rsidRDefault="00EC3C86" w:rsidP="00B3192A">
      <w:pPr>
        <w:pStyle w:val="SingleTxt"/>
        <w:numPr>
          <w:ilvl w:val="0"/>
          <w:numId w:val="8"/>
        </w:numPr>
        <w:ind w:left="1267" w:firstLine="0"/>
      </w:pPr>
      <w:r w:rsidRPr="00F35716">
        <w:t xml:space="preserve">El </w:t>
      </w:r>
      <w:r w:rsidR="00300BA6" w:rsidRPr="00F35716">
        <w:t xml:space="preserve">presente </w:t>
      </w:r>
      <w:r w:rsidRPr="00F35716">
        <w:t xml:space="preserve">informe resume </w:t>
      </w:r>
      <w:r w:rsidR="00AA0019" w:rsidRPr="00F35716">
        <w:t>las</w:t>
      </w:r>
      <w:r w:rsidRPr="00F35716">
        <w:t xml:space="preserve"> medidas </w:t>
      </w:r>
      <w:r w:rsidR="00AA0019" w:rsidRPr="00F35716">
        <w:t>adoptadas</w:t>
      </w:r>
      <w:r w:rsidRPr="00F35716">
        <w:t xml:space="preserve"> por el Reino de Marruecos entre 2008 y 2018 en aplicación de la Convención y </w:t>
      </w:r>
      <w:r w:rsidR="00AA0019" w:rsidRPr="00F35716">
        <w:t>con</w:t>
      </w:r>
      <w:r w:rsidR="008715DA" w:rsidRPr="00F35716">
        <w:t xml:space="preserve"> arreglo a</w:t>
      </w:r>
      <w:r w:rsidRPr="00F35716">
        <w:t xml:space="preserve"> </w:t>
      </w:r>
      <w:r w:rsidR="00AA0019" w:rsidRPr="00F35716">
        <w:t xml:space="preserve">lo dispuesto en </w:t>
      </w:r>
      <w:r w:rsidRPr="00F35716">
        <w:t>e</w:t>
      </w:r>
      <w:r w:rsidR="008B4491" w:rsidRPr="00F35716">
        <w:t>l párrafo 9 de las observaciones finales</w:t>
      </w:r>
      <w:r w:rsidRPr="00F35716">
        <w:t xml:space="preserve">, y responde a las recomendaciones y preocupaciones expresadas por el Comité </w:t>
      </w:r>
      <w:r w:rsidR="00AA0019" w:rsidRPr="00F35716">
        <w:t xml:space="preserve">al </w:t>
      </w:r>
      <w:r w:rsidRPr="00F35716">
        <w:t>examina</w:t>
      </w:r>
      <w:r w:rsidR="00AA0019" w:rsidRPr="00F35716">
        <w:t>r</w:t>
      </w:r>
      <w:r w:rsidRPr="00F35716">
        <w:t xml:space="preserve"> los informes periódicos tercero y cuarto combinados </w:t>
      </w:r>
      <w:r w:rsidR="00AA0019" w:rsidRPr="00F35716">
        <w:t xml:space="preserve">de Marruecos en </w:t>
      </w:r>
      <w:r w:rsidRPr="00F35716">
        <w:t>2008.</w:t>
      </w:r>
    </w:p>
    <w:p w14:paraId="32E941DF" w14:textId="04124683" w:rsidR="00EC3C86" w:rsidRPr="00F35716" w:rsidRDefault="00EC3C86" w:rsidP="00B3192A">
      <w:pPr>
        <w:pStyle w:val="SingleTxt"/>
        <w:numPr>
          <w:ilvl w:val="0"/>
          <w:numId w:val="8"/>
        </w:numPr>
        <w:ind w:left="1267" w:firstLine="0"/>
      </w:pPr>
      <w:r w:rsidRPr="00F35716">
        <w:t xml:space="preserve"> En cumplimiento de </w:t>
      </w:r>
      <w:r w:rsidR="008B6392" w:rsidRPr="00F35716">
        <w:t>su</w:t>
      </w:r>
      <w:r w:rsidRPr="00F35716">
        <w:t xml:space="preserve"> obligaci</w:t>
      </w:r>
      <w:r w:rsidR="008B6392" w:rsidRPr="00F35716">
        <w:t>ón</w:t>
      </w:r>
      <w:r w:rsidRPr="00F35716">
        <w:t xml:space="preserve"> internacional </w:t>
      </w:r>
      <w:r w:rsidR="008B6392" w:rsidRPr="00F35716">
        <w:t xml:space="preserve">de </w:t>
      </w:r>
      <w:r w:rsidRPr="00F35716">
        <w:t>presenta</w:t>
      </w:r>
      <w:r w:rsidR="008B6392" w:rsidRPr="00F35716">
        <w:t>r</w:t>
      </w:r>
      <w:r w:rsidRPr="00F35716">
        <w:t xml:space="preserve"> informes nacionales al sistema de derechos humanos de las Naciones Unidas, el Reino de Marruecos h</w:t>
      </w:r>
      <w:r w:rsidR="008B6392" w:rsidRPr="00F35716">
        <w:t xml:space="preserve">a </w:t>
      </w:r>
      <w:r w:rsidR="00784660" w:rsidRPr="00F35716">
        <w:t>tratado de evitar demoras</w:t>
      </w:r>
      <w:r w:rsidRPr="00F35716">
        <w:t xml:space="preserve"> mediante la adopción de un enfoque participativo </w:t>
      </w:r>
      <w:r w:rsidR="00784660" w:rsidRPr="00F35716">
        <w:t>que incluye a</w:t>
      </w:r>
      <w:r w:rsidRPr="00F35716">
        <w:t xml:space="preserve"> todas las partes interesadas de los sectores gubernamentales, las instituciones nacionales y la sociedad civil.</w:t>
      </w:r>
    </w:p>
    <w:p w14:paraId="32E941E0" w14:textId="0803A981" w:rsidR="00EC3C86" w:rsidRPr="00F35716" w:rsidRDefault="008B6392" w:rsidP="00B3192A">
      <w:pPr>
        <w:pStyle w:val="SingleTxt"/>
        <w:numPr>
          <w:ilvl w:val="0"/>
          <w:numId w:val="8"/>
        </w:numPr>
        <w:ind w:left="1267" w:firstLine="0"/>
      </w:pPr>
      <w:r w:rsidRPr="00F35716">
        <w:t>De conformidad con</w:t>
      </w:r>
      <w:r w:rsidR="00EC3C86" w:rsidRPr="00F35716">
        <w:t xml:space="preserve"> las recomendaciones del Comité, en el </w:t>
      </w:r>
      <w:r w:rsidRPr="00F35716">
        <w:t xml:space="preserve">presente </w:t>
      </w:r>
      <w:r w:rsidR="00EC3C86" w:rsidRPr="00F35716">
        <w:t>informe se tratan las principales cuestiones relacionadas con las políticas públicas, las reformas legislativas</w:t>
      </w:r>
      <w:r w:rsidR="008715DA" w:rsidRPr="00F35716">
        <w:t xml:space="preserve"> y</w:t>
      </w:r>
      <w:r w:rsidR="00EC3C86" w:rsidRPr="00F35716">
        <w:t xml:space="preserve"> los programas gubernamentales en los ámbitos de la justicia, la salud, la educación, el empleo, la participación política, la situación de las mujeres migrantes y refugiadas, </w:t>
      </w:r>
      <w:r w:rsidRPr="00F35716">
        <w:t>la integración d</w:t>
      </w:r>
      <w:r w:rsidR="00EC3C86" w:rsidRPr="00F35716">
        <w:t>el enfoque de género y la lucha contra la violencia contra las mujeres.</w:t>
      </w:r>
    </w:p>
    <w:p w14:paraId="32E941E1" w14:textId="7661092A" w:rsidR="00EC3C86" w:rsidRPr="00F35716" w:rsidRDefault="008B4491" w:rsidP="00B3192A">
      <w:pPr>
        <w:pStyle w:val="SingleTxt"/>
        <w:numPr>
          <w:ilvl w:val="0"/>
          <w:numId w:val="8"/>
        </w:numPr>
        <w:ind w:left="1267" w:firstLine="0"/>
      </w:pPr>
      <w:r w:rsidRPr="00F35716">
        <w:t>De acuerdo con el párrafo 49 de las observaciones finales</w:t>
      </w:r>
      <w:r w:rsidR="00EC3C86" w:rsidRPr="00F35716">
        <w:t>, Marruecos continúa aplicando la Declaración y la Plataforma de Acción de Beijing a través de sus programas de desarrollo in</w:t>
      </w:r>
      <w:r w:rsidR="00784660" w:rsidRPr="00F35716">
        <w:t>clusivo</w:t>
      </w:r>
      <w:r w:rsidR="00EC3C86" w:rsidRPr="00F35716">
        <w:t>, prosperidad común</w:t>
      </w:r>
      <w:r w:rsidR="00784660" w:rsidRPr="00F35716">
        <w:t>,</w:t>
      </w:r>
      <w:r w:rsidR="00EC3C86" w:rsidRPr="00F35716">
        <w:t xml:space="preserve"> trabajo decente, protección social, lucha contra la violencia, participación en la toma de decisiones y pr</w:t>
      </w:r>
      <w:r w:rsidR="00784660" w:rsidRPr="00F35716">
        <w:t>otección</w:t>
      </w:r>
      <w:r w:rsidR="00EC3C86" w:rsidRPr="00F35716">
        <w:t xml:space="preserve"> del medio ambiente</w:t>
      </w:r>
      <w:r w:rsidR="00EC3C86" w:rsidRPr="00F35716">
        <w:rPr>
          <w:vertAlign w:val="superscript"/>
        </w:rPr>
        <w:footnoteReference w:id="1"/>
      </w:r>
      <w:r w:rsidR="00EC3C86" w:rsidRPr="00F35716">
        <w:t>. Asimismo, Marruecos está tra</w:t>
      </w:r>
      <w:r w:rsidR="000E7B9F" w:rsidRPr="00F35716">
        <w:t>bajando para</w:t>
      </w:r>
      <w:r w:rsidR="00EC3C86" w:rsidRPr="00F35716">
        <w:t xml:space="preserve"> hacer realidad los Objetivos de Desarrollo Sostenible. </w:t>
      </w:r>
    </w:p>
    <w:p w14:paraId="32E941E2" w14:textId="0F81276B" w:rsidR="00EC3C86" w:rsidRPr="00F35716" w:rsidRDefault="008B4491" w:rsidP="00B3192A">
      <w:pPr>
        <w:pStyle w:val="SingleTxt"/>
        <w:numPr>
          <w:ilvl w:val="0"/>
          <w:numId w:val="8"/>
        </w:numPr>
        <w:ind w:left="1267" w:firstLine="0"/>
      </w:pPr>
      <w:r w:rsidRPr="00F35716">
        <w:t>En relación con el párrafo 13 de las observaciones finales</w:t>
      </w:r>
      <w:r w:rsidR="00EC3C86" w:rsidRPr="00F35716">
        <w:t>,</w:t>
      </w:r>
      <w:r w:rsidRPr="00F35716">
        <w:t xml:space="preserve"> cabe señalar que</w:t>
      </w:r>
      <w:r w:rsidR="00EC3C86" w:rsidRPr="00F35716">
        <w:t xml:space="preserve"> el preámbulo de la</w:t>
      </w:r>
      <w:r w:rsidR="005C5D27" w:rsidRPr="00F35716">
        <w:t> </w:t>
      </w:r>
      <w:r w:rsidR="00EC3C86" w:rsidRPr="00F35716">
        <w:t xml:space="preserve">Constitución de 2011 dispone </w:t>
      </w:r>
      <w:r w:rsidR="000E7B9F" w:rsidRPr="00F35716">
        <w:t>que</w:t>
      </w:r>
      <w:r w:rsidR="00EC3C86" w:rsidRPr="00F35716">
        <w:t xml:space="preserve"> los convenios y convenciones internacionales </w:t>
      </w:r>
      <w:r w:rsidR="000E7B9F" w:rsidRPr="00F35716">
        <w:t>debidamente ratificados por</w:t>
      </w:r>
      <w:r w:rsidR="00EC3C86" w:rsidRPr="00F35716">
        <w:t xml:space="preserve"> </w:t>
      </w:r>
      <w:r w:rsidR="000E7B9F" w:rsidRPr="00F35716">
        <w:t>Marruecos</w:t>
      </w:r>
      <w:r w:rsidR="00EC3C86" w:rsidRPr="00F35716">
        <w:t xml:space="preserve"> en el marco de las disposiciones de</w:t>
      </w:r>
      <w:r w:rsidR="00A953B4" w:rsidRPr="00F35716">
        <w:t> </w:t>
      </w:r>
      <w:r w:rsidR="00EC3C86" w:rsidRPr="00F35716">
        <w:t>la Constitución</w:t>
      </w:r>
      <w:r w:rsidR="000E7B9F" w:rsidRPr="00F35716">
        <w:t>,</w:t>
      </w:r>
      <w:r w:rsidR="00EC3C86" w:rsidRPr="00F35716">
        <w:t xml:space="preserve"> de las leyes del Reino</w:t>
      </w:r>
      <w:r w:rsidR="000E7B9F" w:rsidRPr="00F35716">
        <w:t xml:space="preserve"> y de </w:t>
      </w:r>
      <w:r w:rsidR="00EC3C86" w:rsidRPr="00F35716">
        <w:t xml:space="preserve">su identidad nacional, y desde la publicación de tales </w:t>
      </w:r>
      <w:r w:rsidR="000E7B9F" w:rsidRPr="00F35716">
        <w:t>instrumentos</w:t>
      </w:r>
      <w:r w:rsidR="00EC3C86" w:rsidRPr="00F35716">
        <w:t xml:space="preserve">, </w:t>
      </w:r>
      <w:r w:rsidR="000E7B9F" w:rsidRPr="00F35716">
        <w:t>prevalecerán</w:t>
      </w:r>
      <w:r w:rsidR="00EC3C86" w:rsidRPr="00F35716">
        <w:t xml:space="preserve"> sobre </w:t>
      </w:r>
      <w:r w:rsidR="000E7B9F" w:rsidRPr="00F35716">
        <w:t>la legislación nacional</w:t>
      </w:r>
      <w:r w:rsidR="00EC3C86" w:rsidRPr="00F35716">
        <w:t xml:space="preserve">, y </w:t>
      </w:r>
      <w:r w:rsidR="000E7B9F" w:rsidRPr="00F35716">
        <w:t xml:space="preserve">que se procurará </w:t>
      </w:r>
      <w:r w:rsidR="00EC3C86" w:rsidRPr="00F35716">
        <w:t>armonizar la</w:t>
      </w:r>
      <w:r w:rsidR="000E7B9F" w:rsidRPr="00F35716">
        <w:t xml:space="preserve"> legislación nacional</w:t>
      </w:r>
      <w:r w:rsidR="00EC3C86" w:rsidRPr="00F35716">
        <w:t xml:space="preserve"> </w:t>
      </w:r>
      <w:r w:rsidR="00A03B88" w:rsidRPr="00F35716">
        <w:t>con las medidas que exijan dichas ratificaciones</w:t>
      </w:r>
      <w:r w:rsidR="00EC3C86" w:rsidRPr="00F35716">
        <w:rPr>
          <w:vertAlign w:val="superscript"/>
        </w:rPr>
        <w:footnoteReference w:id="2"/>
      </w:r>
      <w:r w:rsidR="00EC3C86" w:rsidRPr="00F35716">
        <w:t>.</w:t>
      </w:r>
    </w:p>
    <w:p w14:paraId="32E941E3" w14:textId="0B87105F" w:rsidR="00EC3C86" w:rsidRPr="00F35716" w:rsidRDefault="00EC3C86" w:rsidP="00A953B4">
      <w:pPr>
        <w:pStyle w:val="SingleTxt"/>
        <w:numPr>
          <w:ilvl w:val="0"/>
          <w:numId w:val="8"/>
        </w:numPr>
        <w:ind w:left="1267" w:firstLine="0"/>
      </w:pPr>
      <w:r w:rsidRPr="00F35716">
        <w:t xml:space="preserve">Cabe señalar que el Reino de Marruecos continuó promoviendo los derechos humanos mediante la adopción de la Constitución de 2011, que </w:t>
      </w:r>
      <w:r w:rsidR="00352CDF" w:rsidRPr="00F35716">
        <w:t>prohíbe</w:t>
      </w:r>
      <w:r w:rsidRPr="00F35716">
        <w:t xml:space="preserve"> y combat</w:t>
      </w:r>
      <w:r w:rsidR="00352CDF" w:rsidRPr="00F35716">
        <w:t>e</w:t>
      </w:r>
      <w:r w:rsidRPr="00F35716">
        <w:t xml:space="preserve"> toda</w:t>
      </w:r>
      <w:r w:rsidR="00A03B88" w:rsidRPr="00F35716">
        <w:t>s las formas de</w:t>
      </w:r>
      <w:r w:rsidRPr="00F35716">
        <w:t xml:space="preserve"> discriminación por </w:t>
      </w:r>
      <w:r w:rsidR="00A03B88" w:rsidRPr="00F35716">
        <w:t xml:space="preserve">motivos </w:t>
      </w:r>
      <w:r w:rsidRPr="00F35716">
        <w:t>de sexo, color, cre</w:t>
      </w:r>
      <w:r w:rsidR="00A03B88" w:rsidRPr="00F35716">
        <w:t>do</w:t>
      </w:r>
      <w:r w:rsidRPr="00F35716">
        <w:t xml:space="preserve">, cultura, </w:t>
      </w:r>
      <w:r w:rsidR="00A03B88" w:rsidRPr="00F35716">
        <w:t>región</w:t>
      </w:r>
      <w:r w:rsidR="00352CDF" w:rsidRPr="00F35716">
        <w:t>,</w:t>
      </w:r>
      <w:r w:rsidR="00A03B88" w:rsidRPr="00F35716">
        <w:t xml:space="preserve"> afiliación </w:t>
      </w:r>
      <w:r w:rsidRPr="00F35716">
        <w:t>social, lengua, discapacidad o cualquier otra circunstancia personal</w:t>
      </w:r>
      <w:r w:rsidRPr="00F35716">
        <w:rPr>
          <w:vertAlign w:val="superscript"/>
        </w:rPr>
        <w:footnoteReference w:id="3"/>
      </w:r>
      <w:r w:rsidRPr="00F35716">
        <w:t xml:space="preserve">, y que </w:t>
      </w:r>
      <w:r w:rsidR="00352CDF" w:rsidRPr="00F35716">
        <w:t>afirma que los</w:t>
      </w:r>
      <w:r w:rsidRPr="00F35716">
        <w:t xml:space="preserve"> hombre</w:t>
      </w:r>
      <w:r w:rsidR="00352CDF" w:rsidRPr="00F35716">
        <w:t>s</w:t>
      </w:r>
      <w:r w:rsidRPr="00F35716">
        <w:t xml:space="preserve"> y la</w:t>
      </w:r>
      <w:r w:rsidR="00352CDF" w:rsidRPr="00F35716">
        <w:t>s</w:t>
      </w:r>
      <w:r w:rsidRPr="00F35716">
        <w:t xml:space="preserve"> mujer</w:t>
      </w:r>
      <w:r w:rsidR="00352CDF" w:rsidRPr="00F35716">
        <w:t>es</w:t>
      </w:r>
      <w:r w:rsidRPr="00F35716">
        <w:t xml:space="preserve"> gozan, en </w:t>
      </w:r>
      <w:r w:rsidR="00352CDF" w:rsidRPr="00F35716">
        <w:t xml:space="preserve">pie de </w:t>
      </w:r>
      <w:r w:rsidRPr="00F35716">
        <w:t>igualdad, de los</w:t>
      </w:r>
      <w:r w:rsidR="00AB7232" w:rsidRPr="00F35716">
        <w:t> </w:t>
      </w:r>
      <w:r w:rsidRPr="00F35716">
        <w:t>derechos civil</w:t>
      </w:r>
      <w:r w:rsidR="00352CDF" w:rsidRPr="00F35716">
        <w:t>es</w:t>
      </w:r>
      <w:r w:rsidRPr="00F35716">
        <w:t>, político</w:t>
      </w:r>
      <w:r w:rsidR="00352CDF" w:rsidRPr="00F35716">
        <w:t>s</w:t>
      </w:r>
      <w:r w:rsidRPr="00F35716">
        <w:t>, económico</w:t>
      </w:r>
      <w:r w:rsidR="00352CDF" w:rsidRPr="00F35716">
        <w:t>s</w:t>
      </w:r>
      <w:r w:rsidRPr="00F35716">
        <w:t>, social</w:t>
      </w:r>
      <w:r w:rsidR="00352CDF" w:rsidRPr="00F35716">
        <w:t>es</w:t>
      </w:r>
      <w:r w:rsidRPr="00F35716">
        <w:t>, cultural</w:t>
      </w:r>
      <w:r w:rsidR="00352CDF" w:rsidRPr="00F35716">
        <w:t>es</w:t>
      </w:r>
      <w:r w:rsidRPr="00F35716">
        <w:t xml:space="preserve"> y medioambiental</w:t>
      </w:r>
      <w:r w:rsidR="00352CDF" w:rsidRPr="00F35716">
        <w:t>es</w:t>
      </w:r>
      <w:r w:rsidRPr="00F35716">
        <w:t xml:space="preserve"> </w:t>
      </w:r>
      <w:r w:rsidR="00352CDF" w:rsidRPr="00F35716">
        <w:t>previstos en</w:t>
      </w:r>
      <w:r w:rsidRPr="00F35716">
        <w:t xml:space="preserve"> la Constitución, así como en l</w:t>
      </w:r>
      <w:r w:rsidR="00420A92" w:rsidRPr="00F35716">
        <w:t>a</w:t>
      </w:r>
      <w:r w:rsidRPr="00F35716">
        <w:t>s conven</w:t>
      </w:r>
      <w:r w:rsidR="00420A92" w:rsidRPr="00F35716">
        <w:t>ciones e instrumentos</w:t>
      </w:r>
      <w:r w:rsidRPr="00F35716">
        <w:t xml:space="preserve"> internacionales ratificados por Marruecos </w:t>
      </w:r>
      <w:r w:rsidR="00A4488E" w:rsidRPr="00F35716">
        <w:t xml:space="preserve">con arreglo a </w:t>
      </w:r>
      <w:r w:rsidRPr="00F35716">
        <w:t>las disposiciones de la Constitución</w:t>
      </w:r>
      <w:r w:rsidR="00A4488E" w:rsidRPr="00F35716">
        <w:t xml:space="preserve"> y a los principios fundamentales y las leyes </w:t>
      </w:r>
      <w:r w:rsidRPr="00F35716">
        <w:t>del Reino</w:t>
      </w:r>
      <w:r w:rsidRPr="00F35716">
        <w:rPr>
          <w:vertAlign w:val="superscript"/>
        </w:rPr>
        <w:footnoteReference w:id="4"/>
      </w:r>
      <w:r w:rsidRPr="00F35716">
        <w:t>.</w:t>
      </w:r>
    </w:p>
    <w:p w14:paraId="32E941E4" w14:textId="094C0DE7" w:rsidR="00EC3C86" w:rsidRPr="00F35716" w:rsidRDefault="008B4491" w:rsidP="00B3192A">
      <w:pPr>
        <w:pStyle w:val="SingleTxt"/>
        <w:numPr>
          <w:ilvl w:val="0"/>
          <w:numId w:val="8"/>
        </w:numPr>
        <w:ind w:left="1267" w:firstLine="0"/>
      </w:pPr>
      <w:r w:rsidRPr="00F35716">
        <w:lastRenderedPageBreak/>
        <w:t>En lo que respecta al párrafo 15 de las observaciones finales</w:t>
      </w:r>
      <w:r w:rsidR="00EC3C86" w:rsidRPr="00F35716">
        <w:t xml:space="preserve">, el Reino se ha esforzado por respetar la Convención </w:t>
      </w:r>
      <w:r w:rsidR="00A4488E" w:rsidRPr="00F35716">
        <w:t>al ratificar el Protocolo Facultativo</w:t>
      </w:r>
      <w:r w:rsidR="00EC3C86" w:rsidRPr="00F35716">
        <w:rPr>
          <w:vertAlign w:val="superscript"/>
        </w:rPr>
        <w:footnoteReference w:id="5"/>
      </w:r>
      <w:r w:rsidR="00EC3C86" w:rsidRPr="00F35716">
        <w:t xml:space="preserve"> y </w:t>
      </w:r>
      <w:r w:rsidR="00AE7DA7" w:rsidRPr="00F35716">
        <w:t>retirar su</w:t>
      </w:r>
      <w:r w:rsidR="00EC3C86" w:rsidRPr="00F35716">
        <w:t>s reservas</w:t>
      </w:r>
      <w:r w:rsidR="00C36698" w:rsidRPr="00F35716">
        <w:rPr>
          <w:vertAlign w:val="superscript"/>
        </w:rPr>
        <w:footnoteReference w:id="6"/>
      </w:r>
      <w:r w:rsidR="00C36698" w:rsidRPr="00F35716">
        <w:t xml:space="preserve"> </w:t>
      </w:r>
      <w:r w:rsidR="00AE7DA7" w:rsidRPr="00F35716">
        <w:t>a los</w:t>
      </w:r>
      <w:r w:rsidR="00EC3C86" w:rsidRPr="00F35716">
        <w:t xml:space="preserve"> </w:t>
      </w:r>
      <w:r w:rsidR="00AE7DA7" w:rsidRPr="00F35716">
        <w:t xml:space="preserve">apartados </w:t>
      </w:r>
      <w:r w:rsidR="00EC3C86" w:rsidRPr="00F35716">
        <w:t xml:space="preserve">1 y 2 del párrafo </w:t>
      </w:r>
      <w:r w:rsidR="00AE7DA7" w:rsidRPr="00F35716">
        <w:t>b)</w:t>
      </w:r>
      <w:r w:rsidR="00EC3C86" w:rsidRPr="00F35716">
        <w:t xml:space="preserve"> y el párrafo 2 del artículo 9 de</w:t>
      </w:r>
      <w:r w:rsidR="00AE7DA7" w:rsidRPr="00F35716">
        <w:t xml:space="preserve"> </w:t>
      </w:r>
      <w:r w:rsidR="00EC3C86" w:rsidRPr="00F35716">
        <w:t>l</w:t>
      </w:r>
      <w:r w:rsidR="00AE7DA7" w:rsidRPr="00F35716">
        <w:t>a Convención</w:t>
      </w:r>
      <w:r w:rsidR="00082ABE" w:rsidRPr="00F35716">
        <w:t>, relacionado</w:t>
      </w:r>
      <w:r w:rsidR="006A1826" w:rsidRPr="00F35716">
        <w:t xml:space="preserve"> con</w:t>
      </w:r>
      <w:r w:rsidR="00EC3C86" w:rsidRPr="00F35716">
        <w:t xml:space="preserve"> la Ley </w:t>
      </w:r>
      <w:r w:rsidR="00082ABE" w:rsidRPr="00F35716">
        <w:t>de</w:t>
      </w:r>
      <w:r w:rsidR="00AE7DA7" w:rsidRPr="00F35716">
        <w:t xml:space="preserve"> </w:t>
      </w:r>
      <w:r w:rsidR="00082ABE" w:rsidRPr="00F35716">
        <w:t>N</w:t>
      </w:r>
      <w:r w:rsidR="00EC3C86" w:rsidRPr="00F35716">
        <w:t>acionalidad</w:t>
      </w:r>
      <w:r w:rsidR="00B253AE" w:rsidRPr="00F35716">
        <w:t>,</w:t>
      </w:r>
      <w:r w:rsidR="00EC3C86" w:rsidRPr="00F35716">
        <w:t xml:space="preserve"> y el artículo 16 de la Convención</w:t>
      </w:r>
      <w:r w:rsidR="00EC3C86" w:rsidRPr="00F35716">
        <w:rPr>
          <w:vertAlign w:val="superscript"/>
        </w:rPr>
        <w:footnoteReference w:id="7"/>
      </w:r>
      <w:r w:rsidR="00EC3C86" w:rsidRPr="00F35716">
        <w:t>.</w:t>
      </w:r>
    </w:p>
    <w:p w14:paraId="32E941E5" w14:textId="77777777" w:rsidR="00801A38" w:rsidRPr="00F35716" w:rsidRDefault="00801A38" w:rsidP="00801A38">
      <w:pPr>
        <w:pStyle w:val="SingleTxt"/>
        <w:spacing w:after="0" w:line="120" w:lineRule="exact"/>
        <w:rPr>
          <w:sz w:val="10"/>
          <w:szCs w:val="20"/>
        </w:rPr>
      </w:pPr>
    </w:p>
    <w:p w14:paraId="32E941E6" w14:textId="77777777" w:rsidR="00801A38" w:rsidRPr="00F35716" w:rsidRDefault="00801A38" w:rsidP="00801A38">
      <w:pPr>
        <w:pStyle w:val="SingleTxt"/>
        <w:spacing w:after="0" w:line="120" w:lineRule="exact"/>
        <w:rPr>
          <w:sz w:val="10"/>
          <w:szCs w:val="20"/>
        </w:rPr>
      </w:pPr>
    </w:p>
    <w:p w14:paraId="32E941E7" w14:textId="77777777" w:rsidR="00EC3C86" w:rsidRPr="00F35716" w:rsidRDefault="00801A38" w:rsidP="000E51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F35716">
        <w:rPr>
          <w:szCs w:val="20"/>
        </w:rPr>
        <w:tab/>
      </w:r>
      <w:r w:rsidRPr="00F35716">
        <w:rPr>
          <w:szCs w:val="20"/>
        </w:rPr>
        <w:tab/>
      </w:r>
      <w:r w:rsidR="00EC3C86" w:rsidRPr="00F35716">
        <w:rPr>
          <w:szCs w:val="20"/>
        </w:rPr>
        <w:t>P</w:t>
      </w:r>
      <w:r w:rsidR="008178AF" w:rsidRPr="00F35716">
        <w:rPr>
          <w:szCs w:val="20"/>
        </w:rPr>
        <w:t>arte</w:t>
      </w:r>
      <w:r w:rsidR="00EC3C86" w:rsidRPr="00F35716">
        <w:rPr>
          <w:szCs w:val="20"/>
        </w:rPr>
        <w:t xml:space="preserve"> I</w:t>
      </w:r>
    </w:p>
    <w:p w14:paraId="32E941E8" w14:textId="77777777" w:rsidR="00801A38" w:rsidRPr="00F35716" w:rsidRDefault="00801A38" w:rsidP="00801A38">
      <w:pPr>
        <w:pStyle w:val="SingleTxt"/>
        <w:spacing w:after="0" w:line="120" w:lineRule="exact"/>
        <w:rPr>
          <w:sz w:val="10"/>
          <w:szCs w:val="20"/>
        </w:rPr>
      </w:pPr>
    </w:p>
    <w:p w14:paraId="32E941E9" w14:textId="77777777" w:rsidR="00801A38" w:rsidRPr="00F35716" w:rsidRDefault="00801A38" w:rsidP="00801A38">
      <w:pPr>
        <w:pStyle w:val="SingleTxt"/>
        <w:spacing w:after="0" w:line="120" w:lineRule="exact"/>
        <w:rPr>
          <w:sz w:val="10"/>
          <w:szCs w:val="20"/>
        </w:rPr>
      </w:pPr>
    </w:p>
    <w:p w14:paraId="32E941EA" w14:textId="77777777" w:rsidR="00EC3C86" w:rsidRPr="00F35716" w:rsidRDefault="00801A38"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bookmarkStart w:id="2" w:name="_Toc24015471"/>
      <w:bookmarkStart w:id="3" w:name="_Toc24100779"/>
      <w:bookmarkStart w:id="4" w:name="_Toc24548852"/>
      <w:bookmarkStart w:id="5" w:name="_Toc28165894"/>
      <w:r w:rsidRPr="00F35716">
        <w:rPr>
          <w:bCs w:val="0"/>
          <w:szCs w:val="20"/>
        </w:rPr>
        <w:tab/>
      </w:r>
      <w:r w:rsidRPr="00F35716">
        <w:rPr>
          <w:bCs w:val="0"/>
          <w:szCs w:val="20"/>
        </w:rPr>
        <w:tab/>
      </w:r>
      <w:r w:rsidR="00EC3C86" w:rsidRPr="00F35716">
        <w:rPr>
          <w:bCs w:val="0"/>
          <w:szCs w:val="20"/>
        </w:rPr>
        <w:t>Artículo 1</w:t>
      </w:r>
      <w:bookmarkEnd w:id="2"/>
      <w:bookmarkEnd w:id="3"/>
      <w:bookmarkEnd w:id="4"/>
      <w:bookmarkEnd w:id="5"/>
    </w:p>
    <w:p w14:paraId="32E941EB" w14:textId="77777777" w:rsidR="00801A38" w:rsidRPr="00F35716" w:rsidRDefault="00801A38" w:rsidP="00801A38">
      <w:pPr>
        <w:pStyle w:val="SingleTxt"/>
        <w:spacing w:after="0" w:line="120" w:lineRule="exact"/>
        <w:rPr>
          <w:sz w:val="10"/>
          <w:szCs w:val="20"/>
        </w:rPr>
      </w:pPr>
    </w:p>
    <w:p w14:paraId="32E941EC" w14:textId="187D15C9" w:rsidR="00EC3C86" w:rsidRPr="00F35716" w:rsidRDefault="00DF383B" w:rsidP="00B3192A">
      <w:pPr>
        <w:pStyle w:val="SingleTxt"/>
        <w:numPr>
          <w:ilvl w:val="0"/>
          <w:numId w:val="8"/>
        </w:numPr>
        <w:ind w:left="1267" w:firstLine="0"/>
      </w:pPr>
      <w:r w:rsidRPr="00F35716">
        <w:t>Con respecto</w:t>
      </w:r>
      <w:r w:rsidR="008B4491" w:rsidRPr="00F35716">
        <w:t xml:space="preserve"> </w:t>
      </w:r>
      <w:r w:rsidRPr="00F35716">
        <w:t>a</w:t>
      </w:r>
      <w:r w:rsidR="008B4491" w:rsidRPr="00F35716">
        <w:t>l párrafo 11 de las observaciones finales</w:t>
      </w:r>
      <w:r w:rsidR="00EC3C86" w:rsidRPr="00F35716">
        <w:t>, el Reino de Marruecos ha promov</w:t>
      </w:r>
      <w:r w:rsidRPr="00F35716">
        <w:t>ido</w:t>
      </w:r>
      <w:r w:rsidR="00EC3C86" w:rsidRPr="00F35716">
        <w:t xml:space="preserve"> los principios de la igualdad de género y </w:t>
      </w:r>
      <w:r w:rsidRPr="00F35716">
        <w:t>la eliminación de</w:t>
      </w:r>
      <w:r w:rsidR="00EC3C86" w:rsidRPr="00F35716">
        <w:t xml:space="preserve"> la discriminación por razón de género a través de </w:t>
      </w:r>
      <w:r w:rsidRPr="00F35716">
        <w:t>su</w:t>
      </w:r>
      <w:r w:rsidR="00EC3C86" w:rsidRPr="00F35716">
        <w:t xml:space="preserve"> Constitución de 2011</w:t>
      </w:r>
      <w:r w:rsidRPr="00F35716">
        <w:t xml:space="preserve"> y la creación de</w:t>
      </w:r>
      <w:r w:rsidR="00EC3C86" w:rsidRPr="00F35716">
        <w:t xml:space="preserve"> la Autoridad para la Paridad y la Lucha Contra Todas las Formas de Discriminación</w:t>
      </w:r>
      <w:r w:rsidR="00EC3C86" w:rsidRPr="00F35716">
        <w:rPr>
          <w:vertAlign w:val="superscript"/>
        </w:rPr>
        <w:footnoteReference w:id="8"/>
      </w:r>
      <w:r w:rsidR="00EC3C86" w:rsidRPr="00F35716">
        <w:t xml:space="preserve">. </w:t>
      </w:r>
    </w:p>
    <w:p w14:paraId="32E941ED" w14:textId="77CC212E" w:rsidR="00EC3C86" w:rsidRPr="00F35716" w:rsidRDefault="00CF4CD9" w:rsidP="00B3192A">
      <w:pPr>
        <w:pStyle w:val="SingleTxt"/>
        <w:numPr>
          <w:ilvl w:val="0"/>
          <w:numId w:val="8"/>
        </w:numPr>
        <w:ind w:left="1267" w:firstLine="0"/>
      </w:pPr>
      <w:r w:rsidRPr="00F35716">
        <w:t>L</w:t>
      </w:r>
      <w:r w:rsidR="00EC3C86" w:rsidRPr="00F35716">
        <w:t xml:space="preserve">a legislación nacional </w:t>
      </w:r>
      <w:r w:rsidRPr="00F35716">
        <w:t xml:space="preserve">contiene </w:t>
      </w:r>
      <w:r w:rsidR="00EC3C86" w:rsidRPr="00F35716">
        <w:t xml:space="preserve">varias disposiciones </w:t>
      </w:r>
      <w:r w:rsidRPr="00F35716">
        <w:t>relativas a</w:t>
      </w:r>
      <w:r w:rsidR="00EC3C86" w:rsidRPr="00F35716">
        <w:t xml:space="preserve"> la igualdad y la lucha contra </w:t>
      </w:r>
      <w:r w:rsidRPr="00F35716">
        <w:t xml:space="preserve">toda </w:t>
      </w:r>
      <w:r w:rsidR="00EC3C86" w:rsidRPr="00F35716">
        <w:t xml:space="preserve">discriminación </w:t>
      </w:r>
      <w:r w:rsidRPr="00F35716">
        <w:t>de género</w:t>
      </w:r>
      <w:r w:rsidR="00EC3C86" w:rsidRPr="00F35716">
        <w:t xml:space="preserve"> en el disfrute de los derechos y libertades básicos</w:t>
      </w:r>
      <w:r w:rsidR="00EF1E10" w:rsidRPr="00F35716">
        <w:t>, como</w:t>
      </w:r>
      <w:r w:rsidR="00EC3C86" w:rsidRPr="00F35716">
        <w:t xml:space="preserve"> el </w:t>
      </w:r>
      <w:r w:rsidRPr="00F35716">
        <w:t>C</w:t>
      </w:r>
      <w:r w:rsidR="00EC3C86" w:rsidRPr="00F35716">
        <w:t xml:space="preserve">ódigo </w:t>
      </w:r>
      <w:r w:rsidR="00837E8A" w:rsidRPr="00F35716">
        <w:t>Laboral</w:t>
      </w:r>
      <w:r w:rsidRPr="00F35716">
        <w:t>,</w:t>
      </w:r>
      <w:r w:rsidR="00EC3C86" w:rsidRPr="00F35716">
        <w:t xml:space="preserve"> leyes </w:t>
      </w:r>
      <w:r w:rsidRPr="00F35716">
        <w:t>sobre</w:t>
      </w:r>
      <w:r w:rsidR="00EC3C86" w:rsidRPr="00F35716">
        <w:t xml:space="preserve"> las libertades públicas, la consagración del derecho al trabajo y </w:t>
      </w:r>
      <w:r w:rsidR="004A434C" w:rsidRPr="00F35716">
        <w:t xml:space="preserve">a </w:t>
      </w:r>
      <w:r w:rsidR="00EC3C86" w:rsidRPr="00F35716">
        <w:t>la participación en la vida económica</w:t>
      </w:r>
      <w:r w:rsidR="004A434C" w:rsidRPr="00F35716">
        <w:t>,</w:t>
      </w:r>
      <w:r w:rsidR="00EC3C86" w:rsidRPr="00F35716">
        <w:t xml:space="preserve"> y el acceso a los servicios sanitarios y educativos</w:t>
      </w:r>
      <w:r w:rsidR="00EC3C86" w:rsidRPr="00F35716">
        <w:rPr>
          <w:vertAlign w:val="superscript"/>
        </w:rPr>
        <w:footnoteReference w:id="9"/>
      </w:r>
      <w:r w:rsidR="00EC3C86" w:rsidRPr="00F35716">
        <w:t>. En el ámbito político, Marruecos ha adoptado un e</w:t>
      </w:r>
      <w:r w:rsidR="004A434C" w:rsidRPr="00F35716">
        <w:t>nfoque</w:t>
      </w:r>
      <w:r w:rsidR="00EC3C86" w:rsidRPr="00F35716">
        <w:t xml:space="preserve"> de discriminación positiva de las mujeres </w:t>
      </w:r>
      <w:r w:rsidR="004A434C" w:rsidRPr="00F35716">
        <w:t>en</w:t>
      </w:r>
      <w:r w:rsidR="00EC3C86" w:rsidRPr="00F35716">
        <w:t xml:space="preserve"> las elecciones legislativas y </w:t>
      </w:r>
      <w:r w:rsidR="004A434C" w:rsidRPr="00F35716">
        <w:t>locales</w:t>
      </w:r>
      <w:r w:rsidR="00EC3C86" w:rsidRPr="00F35716">
        <w:rPr>
          <w:vertAlign w:val="superscript"/>
        </w:rPr>
        <w:footnoteReference w:id="10"/>
      </w:r>
      <w:r w:rsidR="00EC3C86" w:rsidRPr="00F35716">
        <w:t>.</w:t>
      </w:r>
    </w:p>
    <w:p w14:paraId="32E941EE" w14:textId="0B2CAAED" w:rsidR="00EC3C86" w:rsidRPr="00F35716" w:rsidRDefault="00EC3C86" w:rsidP="00B3192A">
      <w:pPr>
        <w:pStyle w:val="SingleTxt"/>
        <w:numPr>
          <w:ilvl w:val="0"/>
          <w:numId w:val="8"/>
        </w:numPr>
        <w:ind w:left="1267" w:firstLine="0"/>
      </w:pPr>
      <w:r w:rsidRPr="00F35716">
        <w:t xml:space="preserve">De </w:t>
      </w:r>
      <w:r w:rsidR="004A434C" w:rsidRPr="00F35716">
        <w:t>acuerdo</w:t>
      </w:r>
      <w:r w:rsidRPr="00F35716">
        <w:t xml:space="preserve"> con lo dispuesto en el preámbulo y el artículo 19 de la Constitución, y de </w:t>
      </w:r>
      <w:r w:rsidR="004A434C" w:rsidRPr="00F35716">
        <w:t>conformidad</w:t>
      </w:r>
      <w:r w:rsidRPr="00F35716">
        <w:t xml:space="preserve"> con el artículo 1 de la Convención, el Código Penal</w:t>
      </w:r>
      <w:r w:rsidR="004A434C" w:rsidRPr="00F35716">
        <w:rPr>
          <w:vertAlign w:val="superscript"/>
        </w:rPr>
        <w:footnoteReference w:id="11"/>
      </w:r>
      <w:r w:rsidRPr="00F35716">
        <w:t xml:space="preserve">, en </w:t>
      </w:r>
      <w:r w:rsidR="004A434C" w:rsidRPr="00F35716">
        <w:t>su</w:t>
      </w:r>
      <w:r w:rsidRPr="00F35716">
        <w:t xml:space="preserve"> artículo 431-1, </w:t>
      </w:r>
      <w:r w:rsidR="004A434C" w:rsidRPr="00F35716">
        <w:t xml:space="preserve">define </w:t>
      </w:r>
      <w:r w:rsidRPr="00F35716">
        <w:t xml:space="preserve">la discriminación como toda distinción entre personas físicas por motivos de </w:t>
      </w:r>
      <w:r w:rsidR="00124FD0" w:rsidRPr="00F35716">
        <w:t xml:space="preserve">origen </w:t>
      </w:r>
      <w:r w:rsidRPr="00F35716">
        <w:t>nacional</w:t>
      </w:r>
      <w:r w:rsidR="00124FD0" w:rsidRPr="00F35716">
        <w:t xml:space="preserve"> o</w:t>
      </w:r>
      <w:r w:rsidRPr="00F35716">
        <w:t xml:space="preserve"> social, color, </w:t>
      </w:r>
      <w:r w:rsidR="004A434C" w:rsidRPr="00F35716">
        <w:t>sexo</w:t>
      </w:r>
      <w:r w:rsidRPr="00F35716">
        <w:t xml:space="preserve">, </w:t>
      </w:r>
      <w:r w:rsidR="00124FD0" w:rsidRPr="00F35716">
        <w:t>situación familiar</w:t>
      </w:r>
      <w:r w:rsidRPr="00F35716">
        <w:t>, estado de salud, discapacidad, opinión política, afiliación sindical</w:t>
      </w:r>
      <w:r w:rsidR="004A434C" w:rsidRPr="00F35716">
        <w:t xml:space="preserve"> o</w:t>
      </w:r>
      <w:r w:rsidRPr="00F35716">
        <w:t xml:space="preserve"> pertenencia </w:t>
      </w:r>
      <w:r w:rsidR="00124FD0" w:rsidRPr="00F35716">
        <w:t xml:space="preserve">o no pertenencia </w:t>
      </w:r>
      <w:r w:rsidRPr="00F35716">
        <w:t xml:space="preserve">—real o supuesta— a una raza, nación, </w:t>
      </w:r>
      <w:r w:rsidR="00F90550" w:rsidRPr="00F35716">
        <w:t xml:space="preserve">linaje </w:t>
      </w:r>
      <w:r w:rsidRPr="00F35716">
        <w:t xml:space="preserve">o religión específica. También se considera discriminación toda distinción entre personas jurídicas </w:t>
      </w:r>
      <w:r w:rsidR="00F90550" w:rsidRPr="00F35716">
        <w:t>por razón de</w:t>
      </w:r>
      <w:r w:rsidRPr="00F35716">
        <w:t xml:space="preserve"> origen, género, situación familiar, estado de salud, discapacidad, opinión política o actividad sindical de todos o algunos de sus miembros, o por </w:t>
      </w:r>
      <w:r w:rsidR="00F90550" w:rsidRPr="00F35716">
        <w:t xml:space="preserve">razón de </w:t>
      </w:r>
      <w:r w:rsidRPr="00F35716">
        <w:t xml:space="preserve">su pertenencia </w:t>
      </w:r>
      <w:r w:rsidR="001C7AC8" w:rsidRPr="00F35716">
        <w:t xml:space="preserve">o no pertenencia </w:t>
      </w:r>
      <w:r w:rsidRPr="00F35716">
        <w:t xml:space="preserve">—real o supuesta— a una </w:t>
      </w:r>
      <w:r w:rsidR="00F90550" w:rsidRPr="00F35716">
        <w:t>raza</w:t>
      </w:r>
      <w:r w:rsidRPr="00F35716">
        <w:t>, nació</w:t>
      </w:r>
      <w:r w:rsidR="00BD2931" w:rsidRPr="00F35716">
        <w:t xml:space="preserve">n, </w:t>
      </w:r>
      <w:r w:rsidR="00F90550" w:rsidRPr="00F35716">
        <w:t xml:space="preserve">linaje </w:t>
      </w:r>
      <w:r w:rsidR="00BD2931" w:rsidRPr="00F35716">
        <w:t xml:space="preserve">o religión específica. </w:t>
      </w:r>
    </w:p>
    <w:p w14:paraId="32E941EF" w14:textId="77777777" w:rsidR="00C22BC2" w:rsidRPr="00F35716" w:rsidRDefault="00C22BC2" w:rsidP="00C22BC2">
      <w:pPr>
        <w:pStyle w:val="SingleTxt"/>
        <w:spacing w:after="0" w:line="120" w:lineRule="exact"/>
        <w:rPr>
          <w:sz w:val="10"/>
          <w:szCs w:val="20"/>
        </w:rPr>
      </w:pPr>
    </w:p>
    <w:p w14:paraId="32E941F0" w14:textId="77777777" w:rsidR="00EC3C86" w:rsidRPr="00F35716" w:rsidRDefault="00C22BC2"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Cs w:val="0"/>
          <w:szCs w:val="20"/>
        </w:rPr>
        <w:t>Artículo 2</w:t>
      </w:r>
      <w:bookmarkStart w:id="6" w:name="_Toc24015472"/>
      <w:bookmarkStart w:id="7" w:name="_Toc24100780"/>
      <w:bookmarkStart w:id="8" w:name="_Toc24548853"/>
      <w:bookmarkStart w:id="9" w:name="_Toc28165895"/>
      <w:bookmarkEnd w:id="6"/>
      <w:bookmarkEnd w:id="7"/>
      <w:bookmarkEnd w:id="8"/>
      <w:bookmarkEnd w:id="9"/>
    </w:p>
    <w:p w14:paraId="32E941F1" w14:textId="77777777" w:rsidR="00C22BC2" w:rsidRPr="00F35716" w:rsidRDefault="00C22BC2" w:rsidP="00C22BC2">
      <w:pPr>
        <w:pStyle w:val="SingleTxt"/>
        <w:spacing w:after="0" w:line="120" w:lineRule="exact"/>
        <w:rPr>
          <w:sz w:val="10"/>
          <w:szCs w:val="20"/>
        </w:rPr>
      </w:pPr>
    </w:p>
    <w:p w14:paraId="32E941F2" w14:textId="77317937" w:rsidR="00EC3C86" w:rsidRPr="00F35716" w:rsidRDefault="00EC3C86" w:rsidP="00B3192A">
      <w:pPr>
        <w:pStyle w:val="SingleTxt"/>
        <w:numPr>
          <w:ilvl w:val="0"/>
          <w:numId w:val="8"/>
        </w:numPr>
        <w:ind w:left="1267" w:firstLine="0"/>
      </w:pPr>
      <w:r w:rsidRPr="00F35716">
        <w:t>El Reino de Marruecos está trabajando con miras a establecer medidas para combatir la discriminación en l</w:t>
      </w:r>
      <w:r w:rsidR="00D611E5" w:rsidRPr="00F35716">
        <w:t>a</w:t>
      </w:r>
      <w:r w:rsidRPr="00F35716">
        <w:t xml:space="preserve">s </w:t>
      </w:r>
      <w:r w:rsidR="00D611E5" w:rsidRPr="00F35716">
        <w:t>disposiciones</w:t>
      </w:r>
      <w:r w:rsidRPr="00F35716">
        <w:t xml:space="preserve"> jurídic</w:t>
      </w:r>
      <w:r w:rsidR="00D611E5" w:rsidRPr="00F35716">
        <w:t>a</w:t>
      </w:r>
      <w:r w:rsidRPr="00F35716">
        <w:t xml:space="preserve">s y brindar protección legal a las mujeres. En ese sentido, se ha </w:t>
      </w:r>
      <w:r w:rsidR="00D611E5" w:rsidRPr="00F35716">
        <w:t>modificado</w:t>
      </w:r>
      <w:r w:rsidRPr="00F35716">
        <w:t xml:space="preserve"> el párrafo</w:t>
      </w:r>
      <w:r w:rsidR="00D611E5" w:rsidRPr="00F35716">
        <w:t xml:space="preserve"> 2</w:t>
      </w:r>
      <w:r w:rsidRPr="00F35716">
        <w:t xml:space="preserve"> del artículo 475 del Código Penal</w:t>
      </w:r>
      <w:r w:rsidR="00D611E5" w:rsidRPr="00F35716">
        <w:t xml:space="preserve"> para </w:t>
      </w:r>
      <w:r w:rsidRPr="00F35716">
        <w:t>permit</w:t>
      </w:r>
      <w:r w:rsidR="00D611E5" w:rsidRPr="00F35716">
        <w:t>ir</w:t>
      </w:r>
      <w:r w:rsidRPr="00F35716">
        <w:t xml:space="preserve"> el enjuiciamiento penal de cualquier hombre que viole a una menor y </w:t>
      </w:r>
      <w:r w:rsidR="00EE5FD6" w:rsidRPr="00F35716">
        <w:t>prohibirle</w:t>
      </w:r>
      <w:r w:rsidRPr="00F35716">
        <w:t xml:space="preserve"> que </w:t>
      </w:r>
      <w:r w:rsidR="00CA3F5B" w:rsidRPr="00F35716">
        <w:t>contraiga matrimonio</w:t>
      </w:r>
      <w:r w:rsidRPr="00F35716">
        <w:t xml:space="preserve"> con ella</w:t>
      </w:r>
      <w:r w:rsidR="00CA3F5B" w:rsidRPr="00F35716">
        <w:t xml:space="preserve">. </w:t>
      </w:r>
      <w:r w:rsidR="00EE5FD6" w:rsidRPr="00F35716">
        <w:t>Con ello se</w:t>
      </w:r>
      <w:r w:rsidRPr="00F35716">
        <w:t xml:space="preserve"> </w:t>
      </w:r>
      <w:r w:rsidR="00EE5FD6" w:rsidRPr="00F35716">
        <w:t>refuerza</w:t>
      </w:r>
      <w:r w:rsidR="00CA3F5B" w:rsidRPr="00F35716">
        <w:t xml:space="preserve"> la</w:t>
      </w:r>
      <w:r w:rsidRPr="00F35716">
        <w:t xml:space="preserve"> protección </w:t>
      </w:r>
      <w:r w:rsidR="00CA3F5B" w:rsidRPr="00F35716">
        <w:t>en el caso de</w:t>
      </w:r>
      <w:r w:rsidRPr="00F35716">
        <w:t xml:space="preserve"> los niños y </w:t>
      </w:r>
      <w:r w:rsidR="00CA3F5B" w:rsidRPr="00F35716">
        <w:t xml:space="preserve">las </w:t>
      </w:r>
      <w:r w:rsidRPr="00F35716">
        <w:t>niñas que son víctimas de agresiones sexuales como consecuencia de un engaño o secuestro. Se ha endurecido la pena asociada a este tipo de delitos, de modo que engañar o secuestrar y mantener relaciones sexuales con menor</w:t>
      </w:r>
      <w:r w:rsidR="00CA3F5B" w:rsidRPr="00F35716">
        <w:t>es</w:t>
      </w:r>
      <w:r w:rsidRPr="00F35716">
        <w:t xml:space="preserve"> de</w:t>
      </w:r>
      <w:r w:rsidR="009531F6" w:rsidRPr="00F35716">
        <w:t> </w:t>
      </w:r>
      <w:r w:rsidRPr="00F35716">
        <w:t xml:space="preserve">edad, aunque sean consentidas, está castigado con penas de diez años </w:t>
      </w:r>
      <w:r w:rsidRPr="00F35716">
        <w:lastRenderedPageBreak/>
        <w:t xml:space="preserve">de prisión. </w:t>
      </w:r>
      <w:r w:rsidR="00692C6B" w:rsidRPr="00F35716">
        <w:t>S</w:t>
      </w:r>
      <w:r w:rsidRPr="00F35716">
        <w:t>i</w:t>
      </w:r>
      <w:r w:rsidR="00692C6B" w:rsidRPr="00F35716">
        <w:t>,</w:t>
      </w:r>
      <w:r w:rsidRPr="00F35716">
        <w:t xml:space="preserve"> como consecuencia de estos actos</w:t>
      </w:r>
      <w:r w:rsidR="00692C6B" w:rsidRPr="00F35716">
        <w:t>,</w:t>
      </w:r>
      <w:r w:rsidRPr="00F35716">
        <w:t xml:space="preserve"> se produce una </w:t>
      </w:r>
      <w:r w:rsidR="00692C6B" w:rsidRPr="00F35716">
        <w:t>agresión sexual</w:t>
      </w:r>
      <w:r w:rsidRPr="00F35716">
        <w:t>, la condena asc</w:t>
      </w:r>
      <w:r w:rsidR="00CA3F5B" w:rsidRPr="00F35716">
        <w:t>i</w:t>
      </w:r>
      <w:r w:rsidRPr="00F35716">
        <w:t>ende</w:t>
      </w:r>
      <w:r w:rsidR="00CA3F5B" w:rsidRPr="00F35716">
        <w:t xml:space="preserve"> a</w:t>
      </w:r>
      <w:r w:rsidRPr="00F35716">
        <w:t xml:space="preserve"> 20 años</w:t>
      </w:r>
      <w:r w:rsidR="00692C6B" w:rsidRPr="00F35716">
        <w:t>. E</w:t>
      </w:r>
      <w:r w:rsidRPr="00F35716">
        <w:t xml:space="preserve">n caso de </w:t>
      </w:r>
      <w:r w:rsidR="00692C6B" w:rsidRPr="00F35716">
        <w:t xml:space="preserve">engaño </w:t>
      </w:r>
      <w:r w:rsidRPr="00F35716">
        <w:t xml:space="preserve">y secuestro seguidos de violación, la pena es de hasta 30 años. </w:t>
      </w:r>
      <w:r w:rsidR="00CA3F5B" w:rsidRPr="00F35716">
        <w:t>Además, s</w:t>
      </w:r>
      <w:r w:rsidRPr="00F35716">
        <w:t xml:space="preserve">e han eliminado algunas disposiciones del Código Penal </w:t>
      </w:r>
      <w:r w:rsidR="00692C6B" w:rsidRPr="00F35716">
        <w:t>relacionadas con el honor</w:t>
      </w:r>
      <w:r w:rsidRPr="00F35716">
        <w:t xml:space="preserve"> de las mujeres</w:t>
      </w:r>
      <w:r w:rsidRPr="00F35716">
        <w:rPr>
          <w:vertAlign w:val="superscript"/>
        </w:rPr>
        <w:footnoteReference w:id="12"/>
      </w:r>
      <w:r w:rsidRPr="00F35716">
        <w:t>.</w:t>
      </w:r>
    </w:p>
    <w:p w14:paraId="32E941F3" w14:textId="54C86D7E" w:rsidR="00EC3C86" w:rsidRPr="00F35716" w:rsidRDefault="00EC3C86" w:rsidP="00B3192A">
      <w:pPr>
        <w:pStyle w:val="SingleTxt"/>
        <w:numPr>
          <w:ilvl w:val="0"/>
          <w:numId w:val="8"/>
        </w:numPr>
        <w:ind w:left="1267" w:firstLine="0"/>
      </w:pPr>
      <w:r w:rsidRPr="00F35716">
        <w:t xml:space="preserve">El Reino de Marruecos </w:t>
      </w:r>
      <w:r w:rsidR="00692C6B" w:rsidRPr="00F35716">
        <w:t>ha seguido adhiriéndose a</w:t>
      </w:r>
      <w:r w:rsidRPr="00F35716">
        <w:t xml:space="preserve"> los </w:t>
      </w:r>
      <w:r w:rsidR="00692C6B" w:rsidRPr="00F35716">
        <w:t xml:space="preserve">convenios </w:t>
      </w:r>
      <w:r w:rsidRPr="00F35716">
        <w:t xml:space="preserve">internacionales y regionales </w:t>
      </w:r>
      <w:r w:rsidR="00692C6B" w:rsidRPr="00F35716">
        <w:t>pertinentes</w:t>
      </w:r>
      <w:r w:rsidR="0074183D" w:rsidRPr="00F35716">
        <w:rPr>
          <w:vertAlign w:val="superscript"/>
        </w:rPr>
        <w:footnoteReference w:id="13"/>
      </w:r>
      <w:r w:rsidR="0074183D" w:rsidRPr="00F35716">
        <w:t>. S</w:t>
      </w:r>
      <w:r w:rsidRPr="00F35716">
        <w:t>u Parlamento</w:t>
      </w:r>
      <w:r w:rsidR="0074183D" w:rsidRPr="00F35716">
        <w:t xml:space="preserve"> ha aprobado</w:t>
      </w:r>
      <w:r w:rsidRPr="00F35716">
        <w:t xml:space="preserve"> </w:t>
      </w:r>
      <w:r w:rsidR="00DE3D96" w:rsidRPr="00F35716">
        <w:t>una serie de</w:t>
      </w:r>
      <w:r w:rsidRPr="00F35716">
        <w:t xml:space="preserve"> acuerdos internacionales y regionales, </w:t>
      </w:r>
      <w:r w:rsidR="00DE3D96" w:rsidRPr="00F35716">
        <w:t xml:space="preserve">incluido </w:t>
      </w:r>
      <w:r w:rsidRPr="00F35716">
        <w:t>el Protocolo Facultativo de la Convención sobre la Eliminación de Todas las Formas de Discriminación contra la Mujer</w:t>
      </w:r>
      <w:r w:rsidR="00DE3D96" w:rsidRPr="00F35716">
        <w:t xml:space="preserve">, y varios convenios del Consejo de Europa, como </w:t>
      </w:r>
      <w:r w:rsidRPr="00F35716">
        <w:t>el Convenio Europeo sobre el Ejercicio de los Derechos de los Niños</w:t>
      </w:r>
      <w:r w:rsidR="00DE3D96" w:rsidRPr="00F35716">
        <w:t xml:space="preserve"> (</w:t>
      </w:r>
      <w:r w:rsidRPr="00F35716">
        <w:t>Estrasburgo</w:t>
      </w:r>
      <w:r w:rsidR="00DE3D96" w:rsidRPr="00F35716">
        <w:t>,</w:t>
      </w:r>
      <w:r w:rsidRPr="00F35716">
        <w:t xml:space="preserve"> 1996</w:t>
      </w:r>
      <w:r w:rsidR="00DE3D96" w:rsidRPr="00F35716">
        <w:t>)</w:t>
      </w:r>
      <w:r w:rsidRPr="00F35716">
        <w:rPr>
          <w:vertAlign w:val="superscript"/>
        </w:rPr>
        <w:footnoteReference w:id="14"/>
      </w:r>
      <w:r w:rsidRPr="00F35716">
        <w:t>; el Convenio sobre las Relaciones Personales del Menor</w:t>
      </w:r>
      <w:r w:rsidR="00DE3D96" w:rsidRPr="00F35716">
        <w:t xml:space="preserve"> (</w:t>
      </w:r>
      <w:r w:rsidRPr="00F35716">
        <w:t>Estrasburgo</w:t>
      </w:r>
      <w:r w:rsidR="00DE3D96" w:rsidRPr="00F35716">
        <w:t>,</w:t>
      </w:r>
      <w:r w:rsidRPr="00F35716">
        <w:t xml:space="preserve"> 2003</w:t>
      </w:r>
      <w:r w:rsidR="00DE3D96" w:rsidRPr="00F35716">
        <w:t>)</w:t>
      </w:r>
      <w:r w:rsidRPr="00F35716">
        <w:rPr>
          <w:vertAlign w:val="superscript"/>
        </w:rPr>
        <w:footnoteReference w:id="15"/>
      </w:r>
      <w:r w:rsidRPr="00F35716">
        <w:t xml:space="preserve"> y el Convenio para la Protección de los Niños contra la Explotación y el Abuso Sexual</w:t>
      </w:r>
      <w:r w:rsidR="00DE3D96" w:rsidRPr="00F35716">
        <w:t xml:space="preserve"> (</w:t>
      </w:r>
      <w:r w:rsidRPr="00F35716">
        <w:t>Lanzarote</w:t>
      </w:r>
      <w:r w:rsidR="00DE3D96" w:rsidRPr="00F35716">
        <w:t>,</w:t>
      </w:r>
      <w:r w:rsidRPr="00F35716">
        <w:t xml:space="preserve"> 2007</w:t>
      </w:r>
      <w:r w:rsidR="00DE3D96" w:rsidRPr="00F35716">
        <w:t>)</w:t>
      </w:r>
      <w:r w:rsidRPr="00F35716">
        <w:rPr>
          <w:vertAlign w:val="superscript"/>
        </w:rPr>
        <w:footnoteReference w:id="16"/>
      </w:r>
      <w:r w:rsidRPr="00F35716">
        <w:t xml:space="preserve">. Asimismo, </w:t>
      </w:r>
      <w:r w:rsidR="00DE3D96" w:rsidRPr="00F35716">
        <w:t xml:space="preserve">ha </w:t>
      </w:r>
      <w:r w:rsidRPr="00F35716">
        <w:t>ratific</w:t>
      </w:r>
      <w:r w:rsidR="00DE3D96" w:rsidRPr="00F35716">
        <w:t>ado</w:t>
      </w:r>
      <w:r w:rsidRPr="00F35716">
        <w:t xml:space="preserve"> el Convenio </w:t>
      </w:r>
      <w:r w:rsidR="004617C4" w:rsidRPr="00F35716">
        <w:t xml:space="preserve">de la Organización Internacional del Trabajo </w:t>
      </w:r>
      <w:r w:rsidRPr="00F35716">
        <w:t xml:space="preserve">sobre la Protección de la Maternidad </w:t>
      </w:r>
      <w:r w:rsidR="004617C4" w:rsidRPr="00F35716">
        <w:t>(núm. 183)</w:t>
      </w:r>
      <w:r w:rsidRPr="00F35716">
        <w:t xml:space="preserve">. </w:t>
      </w:r>
    </w:p>
    <w:p w14:paraId="32E941F4" w14:textId="00B255A5" w:rsidR="00EC3C86" w:rsidRPr="00F35716" w:rsidRDefault="00EC3C86" w:rsidP="00B3192A">
      <w:pPr>
        <w:pStyle w:val="SingleTxt"/>
        <w:numPr>
          <w:ilvl w:val="0"/>
          <w:numId w:val="8"/>
        </w:numPr>
        <w:ind w:left="1267" w:firstLine="0"/>
      </w:pPr>
      <w:r w:rsidRPr="00F35716">
        <w:t>El Reino de Marruecos a</w:t>
      </w:r>
      <w:r w:rsidR="00DE3D96" w:rsidRPr="00F35716">
        <w:t>probó</w:t>
      </w:r>
      <w:r w:rsidRPr="00F35716">
        <w:t xml:space="preserve"> </w:t>
      </w:r>
      <w:r w:rsidR="00DE3D96" w:rsidRPr="00F35716">
        <w:t xml:space="preserve">en marzo de 2018 </w:t>
      </w:r>
      <w:r w:rsidRPr="00F35716">
        <w:t>la Ley núm. 103</w:t>
      </w:r>
      <w:r w:rsidR="00DE3D96" w:rsidRPr="00F35716">
        <w:t>-</w:t>
      </w:r>
      <w:r w:rsidRPr="00F35716">
        <w:t xml:space="preserve">13 </w:t>
      </w:r>
      <w:r w:rsidR="00DE3D96" w:rsidRPr="00F35716">
        <w:t>relativa a</w:t>
      </w:r>
      <w:r w:rsidRPr="00F35716">
        <w:t xml:space="preserve"> </w:t>
      </w:r>
      <w:r w:rsidR="00BA2460" w:rsidRPr="00F35716">
        <w:t xml:space="preserve">la </w:t>
      </w:r>
      <w:r w:rsidRPr="00F35716">
        <w:t>Lucha contra la Violencia contra las Mujeres, que defin</w:t>
      </w:r>
      <w:r w:rsidR="00DE3D96" w:rsidRPr="00F35716">
        <w:t>e</w:t>
      </w:r>
      <w:r w:rsidRPr="00F35716">
        <w:t xml:space="preserve"> específicamente el concepto de violencia </w:t>
      </w:r>
      <w:r w:rsidR="00DE3D96" w:rsidRPr="00F35716">
        <w:t xml:space="preserve">en </w:t>
      </w:r>
      <w:r w:rsidRPr="00F35716">
        <w:t xml:space="preserve">todas sus manifestaciones y formas. El artículo </w:t>
      </w:r>
      <w:r w:rsidR="00DE3D96" w:rsidRPr="00F35716">
        <w:t xml:space="preserve">1 </w:t>
      </w:r>
      <w:r w:rsidRPr="00F35716">
        <w:t xml:space="preserve">define la violencia como todo acto material o moral </w:t>
      </w:r>
      <w:r w:rsidR="008458A5" w:rsidRPr="00F35716">
        <w:t>—o su omisión—</w:t>
      </w:r>
      <w:r w:rsidRPr="00F35716">
        <w:t xml:space="preserve"> </w:t>
      </w:r>
      <w:r w:rsidR="000479D0" w:rsidRPr="00F35716">
        <w:t>por motivos de</w:t>
      </w:r>
      <w:r w:rsidRPr="00F35716">
        <w:t xml:space="preserve"> discriminación </w:t>
      </w:r>
      <w:r w:rsidR="000479D0" w:rsidRPr="00F35716">
        <w:t>de género</w:t>
      </w:r>
      <w:r w:rsidRPr="00F35716">
        <w:t xml:space="preserve"> que </w:t>
      </w:r>
      <w:r w:rsidR="000479D0" w:rsidRPr="00F35716">
        <w:t>cause</w:t>
      </w:r>
      <w:r w:rsidRPr="00F35716">
        <w:t xml:space="preserve"> un daño físico, psicológico, sexual o económico a </w:t>
      </w:r>
      <w:r w:rsidR="00C80192" w:rsidRPr="00F35716">
        <w:t>una</w:t>
      </w:r>
      <w:r w:rsidRPr="00F35716">
        <w:t xml:space="preserve"> mujer. El capítulo </w:t>
      </w:r>
      <w:r w:rsidR="00C80192" w:rsidRPr="00F35716">
        <w:t xml:space="preserve">2 </w:t>
      </w:r>
      <w:r w:rsidRPr="00F35716">
        <w:t xml:space="preserve">contiene las disposiciones sancionadoras, el </w:t>
      </w:r>
      <w:r w:rsidR="006A091D" w:rsidRPr="00F35716">
        <w:t>capítulo 3 contiene</w:t>
      </w:r>
      <w:r w:rsidRPr="00F35716">
        <w:t xml:space="preserve"> l</w:t>
      </w:r>
      <w:r w:rsidR="006A091D" w:rsidRPr="00F35716">
        <w:t>a</w:t>
      </w:r>
      <w:r w:rsidRPr="00F35716">
        <w:t xml:space="preserve">s </w:t>
      </w:r>
      <w:r w:rsidR="006A091D" w:rsidRPr="00F35716">
        <w:t xml:space="preserve">disposiciones </w:t>
      </w:r>
      <w:r w:rsidRPr="00F35716">
        <w:t>procedim</w:t>
      </w:r>
      <w:r w:rsidR="006A091D" w:rsidRPr="00F35716">
        <w:t>entales</w:t>
      </w:r>
      <w:r w:rsidRPr="00F35716">
        <w:t xml:space="preserve"> y </w:t>
      </w:r>
      <w:r w:rsidR="006A091D" w:rsidRPr="00F35716">
        <w:t>el capítulo 4</w:t>
      </w:r>
      <w:r w:rsidRPr="00F35716">
        <w:t xml:space="preserve"> est</w:t>
      </w:r>
      <w:r w:rsidR="006A091D" w:rsidRPr="00F35716">
        <w:t>ablece</w:t>
      </w:r>
      <w:r w:rsidRPr="00F35716">
        <w:t xml:space="preserve"> </w:t>
      </w:r>
      <w:r w:rsidR="008458A5" w:rsidRPr="00F35716">
        <w:t xml:space="preserve">los </w:t>
      </w:r>
      <w:r w:rsidRPr="00F35716">
        <w:t xml:space="preserve">mecanismos de asistencia a las mujeres víctimas de violencia. Se </w:t>
      </w:r>
      <w:r w:rsidR="006A091D" w:rsidRPr="00F35716">
        <w:t xml:space="preserve">ha </w:t>
      </w:r>
      <w:r w:rsidRPr="00F35716">
        <w:t>design</w:t>
      </w:r>
      <w:r w:rsidR="006A091D" w:rsidRPr="00F35716">
        <w:t>ado</w:t>
      </w:r>
      <w:r w:rsidRPr="00F35716">
        <w:t xml:space="preserve"> a los miembros del Comité Nacional para la Asistencia de las Mujeres Víctimas de la Violencia</w:t>
      </w:r>
      <w:r w:rsidRPr="00F35716">
        <w:rPr>
          <w:vertAlign w:val="superscript"/>
        </w:rPr>
        <w:footnoteReference w:id="17"/>
      </w:r>
      <w:r w:rsidR="006A091D" w:rsidRPr="00F35716">
        <w:t>.</w:t>
      </w:r>
      <w:r w:rsidRPr="00F35716">
        <w:t xml:space="preserve"> </w:t>
      </w:r>
      <w:r w:rsidR="006A091D" w:rsidRPr="00F35716">
        <w:t>Sus funciones incluyen</w:t>
      </w:r>
      <w:r w:rsidRPr="00F35716">
        <w:t xml:space="preserve"> garantizar la</w:t>
      </w:r>
      <w:r w:rsidR="006F0358" w:rsidRPr="00F35716">
        <w:t> </w:t>
      </w:r>
      <w:r w:rsidRPr="00F35716">
        <w:t>comunicación y coordinación nacional de las intervenciones de los sectores gubernamentales y los departamentos centrales encargados de la cuestión de la violencia contra las mujeres y hacer un seguimiento de</w:t>
      </w:r>
      <w:r w:rsidR="006A091D" w:rsidRPr="00F35716">
        <w:t xml:space="preserve"> </w:t>
      </w:r>
      <w:r w:rsidRPr="00F35716">
        <w:t>l</w:t>
      </w:r>
      <w:r w:rsidR="006A091D" w:rsidRPr="00F35716">
        <w:t>a labor</w:t>
      </w:r>
      <w:r w:rsidRPr="00F35716">
        <w:t xml:space="preserve"> de los comités regionales y locales</w:t>
      </w:r>
      <w:r w:rsidRPr="00F35716">
        <w:rPr>
          <w:vertAlign w:val="superscript"/>
        </w:rPr>
        <w:footnoteReference w:id="18"/>
      </w:r>
      <w:r w:rsidRPr="00F35716">
        <w:t>.</w:t>
      </w:r>
    </w:p>
    <w:p w14:paraId="32E941F5" w14:textId="3A8E68F8" w:rsidR="00EC3C86" w:rsidRPr="00F35716" w:rsidRDefault="00EC3C86" w:rsidP="009531F6">
      <w:pPr>
        <w:pStyle w:val="SingleTxt"/>
        <w:keepLines/>
        <w:numPr>
          <w:ilvl w:val="0"/>
          <w:numId w:val="8"/>
        </w:numPr>
        <w:ind w:left="1267" w:firstLine="0"/>
      </w:pPr>
      <w:r w:rsidRPr="00F35716">
        <w:lastRenderedPageBreak/>
        <w:t>A fin de promover y proteger los derechos civiles, políticos, económicos, sociales, culturales y ambientales de las mujeres, se ha creado un conjunto de instituciones constitucionales, como la Autoridad para la Paridad y la Lucha contra Todas las Formas de Discriminación</w:t>
      </w:r>
      <w:r w:rsidRPr="00F35716">
        <w:rPr>
          <w:vertAlign w:val="superscript"/>
        </w:rPr>
        <w:footnoteReference w:id="19"/>
      </w:r>
      <w:r w:rsidRPr="00F35716">
        <w:t>. Dich</w:t>
      </w:r>
      <w:r w:rsidR="000865BD" w:rsidRPr="00F35716">
        <w:t>o órgano</w:t>
      </w:r>
      <w:r w:rsidRPr="00F35716">
        <w:t>, cuya composición, poderes y funciones se est</w:t>
      </w:r>
      <w:r w:rsidR="000865BD" w:rsidRPr="00F35716">
        <w:t>ablecen</w:t>
      </w:r>
      <w:r w:rsidRPr="00F35716">
        <w:t xml:space="preserve"> en la Ley núm. 79</w:t>
      </w:r>
      <w:r w:rsidR="000865BD" w:rsidRPr="00F35716">
        <w:t>-</w:t>
      </w:r>
      <w:r w:rsidRPr="00F35716">
        <w:t xml:space="preserve">14, se encarga de </w:t>
      </w:r>
      <w:r w:rsidR="00EF7171" w:rsidRPr="00F35716">
        <w:t>vigilar</w:t>
      </w:r>
      <w:r w:rsidRPr="00F35716">
        <w:t xml:space="preserve"> </w:t>
      </w:r>
      <w:r w:rsidR="000865BD" w:rsidRPr="00F35716">
        <w:t xml:space="preserve">todas </w:t>
      </w:r>
      <w:r w:rsidRPr="00F35716">
        <w:t>las</w:t>
      </w:r>
      <w:r w:rsidR="00A00121" w:rsidRPr="00F35716">
        <w:t> </w:t>
      </w:r>
      <w:r w:rsidRPr="00F35716">
        <w:t xml:space="preserve">formas de discriminación contra la mujer, recibir reclamaciones en la materia y darles seguimiento, emitir </w:t>
      </w:r>
      <w:r w:rsidR="000865BD" w:rsidRPr="00F35716">
        <w:t xml:space="preserve">sus </w:t>
      </w:r>
      <w:r w:rsidRPr="00F35716">
        <w:t xml:space="preserve">opiniones y </w:t>
      </w:r>
      <w:r w:rsidR="000865BD" w:rsidRPr="00F35716">
        <w:t xml:space="preserve">formular </w:t>
      </w:r>
      <w:r w:rsidRPr="00F35716">
        <w:t>recomendaciones con vistas a que la</w:t>
      </w:r>
      <w:r w:rsidR="00A00121" w:rsidRPr="00F35716">
        <w:t> </w:t>
      </w:r>
      <w:r w:rsidRPr="00F35716">
        <w:t xml:space="preserve">legislación nacional sea compatible con las disposiciones de los </w:t>
      </w:r>
      <w:r w:rsidR="000865BD" w:rsidRPr="00F35716">
        <w:t xml:space="preserve">convenios </w:t>
      </w:r>
      <w:r w:rsidRPr="00F35716">
        <w:t>internacionales.</w:t>
      </w:r>
    </w:p>
    <w:p w14:paraId="32E941F6" w14:textId="4D6DB4F3" w:rsidR="00EC3C86" w:rsidRPr="00F35716" w:rsidRDefault="00800677" w:rsidP="00B3192A">
      <w:pPr>
        <w:pStyle w:val="SingleTxt"/>
        <w:numPr>
          <w:ilvl w:val="0"/>
          <w:numId w:val="8"/>
        </w:numPr>
        <w:ind w:left="1267" w:firstLine="0"/>
      </w:pPr>
      <w:r w:rsidRPr="00F35716">
        <w:t>Como parte de su función de supervisar la lucha contra la discriminación contra las mujeres, l</w:t>
      </w:r>
      <w:r w:rsidR="00EC3C86" w:rsidRPr="00F35716">
        <w:t xml:space="preserve">a Alta Autoridad de la Comunicación Audiovisual </w:t>
      </w:r>
      <w:r w:rsidR="00EB508B" w:rsidRPr="00F35716">
        <w:t>se dedica a</w:t>
      </w:r>
      <w:r w:rsidR="007F1B9E" w:rsidRPr="00F35716">
        <w:t xml:space="preserve"> </w:t>
      </w:r>
      <w:r w:rsidR="000A2978" w:rsidRPr="00F35716">
        <w:t>controlar</w:t>
      </w:r>
      <w:r w:rsidR="00093E29" w:rsidRPr="00F35716">
        <w:t xml:space="preserve"> </w:t>
      </w:r>
      <w:r w:rsidRPr="00F35716">
        <w:t>los estereotipos de género que se difunden a través de los medios audiovisuales, llamar la atención sobre ellos y recibir reclamaciones al respecto</w:t>
      </w:r>
      <w:r w:rsidR="00EC3C86" w:rsidRPr="00F35716">
        <w:rPr>
          <w:vertAlign w:val="superscript"/>
        </w:rPr>
        <w:footnoteReference w:id="20"/>
      </w:r>
      <w:r w:rsidR="00EC3C86" w:rsidRPr="00F35716">
        <w:t xml:space="preserve">. Dicha Autoridad </w:t>
      </w:r>
      <w:r w:rsidR="00FF11E0" w:rsidRPr="00F35716">
        <w:t>public</w:t>
      </w:r>
      <w:r w:rsidR="00EC3C86" w:rsidRPr="00F35716">
        <w:t>ó un estudio acerca del desarrollo de</w:t>
      </w:r>
      <w:r w:rsidR="00FF11E0" w:rsidRPr="00F35716">
        <w:t xml:space="preserve"> métodos </w:t>
      </w:r>
      <w:r w:rsidR="000A2978" w:rsidRPr="00F35716">
        <w:t>de seguimiento de</w:t>
      </w:r>
      <w:r w:rsidR="00FF11E0" w:rsidRPr="00F35716">
        <w:t xml:space="preserve"> los</w:t>
      </w:r>
      <w:r w:rsidR="00EC3C86" w:rsidRPr="00F35716">
        <w:t xml:space="preserve"> programas de televisión </w:t>
      </w:r>
      <w:r w:rsidR="00752F78" w:rsidRPr="00F35716">
        <w:t>con el fin de</w:t>
      </w:r>
      <w:r w:rsidR="00EC3C86" w:rsidRPr="00F35716">
        <w:t xml:space="preserve"> combatir los estereotipos de género y promover la igualdad</w:t>
      </w:r>
      <w:r w:rsidR="00752F78" w:rsidRPr="00F35716">
        <w:t>. Uno de sus resultados más importantes fue la duplicac</w:t>
      </w:r>
      <w:r w:rsidR="00EC3C86" w:rsidRPr="00F35716">
        <w:t xml:space="preserve">ión del </w:t>
      </w:r>
      <w:r w:rsidR="003C3292" w:rsidRPr="00F35716">
        <w:t>número</w:t>
      </w:r>
      <w:r w:rsidR="00EC3C86" w:rsidRPr="00F35716">
        <w:t xml:space="preserve"> de mujeres y la duración de </w:t>
      </w:r>
      <w:r w:rsidR="003C3292" w:rsidRPr="00F35716">
        <w:t>sus intervenciones en todos los programas.</w:t>
      </w:r>
      <w:r w:rsidR="00946EAA" w:rsidRPr="00F35716">
        <w:t xml:space="preserve"> Tomando la programación en su conjunto</w:t>
      </w:r>
      <w:r w:rsidR="00EC3C86" w:rsidRPr="00F35716">
        <w:t>, las mujeres t</w:t>
      </w:r>
      <w:r w:rsidR="00107701" w:rsidRPr="00F35716">
        <w:t>uvieron</w:t>
      </w:r>
      <w:r w:rsidR="00EC3C86" w:rsidRPr="00F35716">
        <w:t xml:space="preserve"> una </w:t>
      </w:r>
      <w:r w:rsidR="00107701" w:rsidRPr="00F35716">
        <w:t>presencia</w:t>
      </w:r>
      <w:r w:rsidR="00EC3C86" w:rsidRPr="00F35716">
        <w:t xml:space="preserve"> mayoritaria en los programas de servicios (el 81</w:t>
      </w:r>
      <w:r w:rsidR="0006736D" w:rsidRPr="00F35716">
        <w:t> %</w:t>
      </w:r>
      <w:r w:rsidR="00EC3C86" w:rsidRPr="00F35716">
        <w:t>)</w:t>
      </w:r>
      <w:r w:rsidR="001F7883" w:rsidRPr="00F35716">
        <w:t xml:space="preserve"> y aparecieron en la esfera privada (familiar), mientras que los hombres predominaron en los programas de noticias (el 82</w:t>
      </w:r>
      <w:r w:rsidR="000865BD" w:rsidRPr="00F35716">
        <w:t> </w:t>
      </w:r>
      <w:r w:rsidR="001F7883" w:rsidRPr="00F35716">
        <w:t>%) y</w:t>
      </w:r>
      <w:r w:rsidR="00DE7A9E" w:rsidRPr="00F35716">
        <w:t xml:space="preserve"> </w:t>
      </w:r>
      <w:r w:rsidR="000865BD" w:rsidRPr="00F35716">
        <w:t>la esfera</w:t>
      </w:r>
      <w:r w:rsidR="00DE7A9E" w:rsidRPr="00F35716">
        <w:t xml:space="preserve"> públic</w:t>
      </w:r>
      <w:r w:rsidR="000865BD" w:rsidRPr="00F35716">
        <w:t>a</w:t>
      </w:r>
      <w:r w:rsidR="00DE7A9E" w:rsidRPr="00F35716">
        <w:t xml:space="preserve"> (</w:t>
      </w:r>
      <w:r w:rsidR="00E061F1" w:rsidRPr="00F35716">
        <w:t>el 77</w:t>
      </w:r>
      <w:r w:rsidR="000865BD" w:rsidRPr="00F35716">
        <w:t> </w:t>
      </w:r>
      <w:r w:rsidR="00E061F1" w:rsidRPr="00F35716">
        <w:t>%).</w:t>
      </w:r>
    </w:p>
    <w:p w14:paraId="32E941F7" w14:textId="58188E38" w:rsidR="00EC3C86" w:rsidRPr="00F35716" w:rsidRDefault="00EC3C86" w:rsidP="00B3192A">
      <w:pPr>
        <w:pStyle w:val="SingleTxt"/>
        <w:numPr>
          <w:ilvl w:val="0"/>
          <w:numId w:val="8"/>
        </w:numPr>
        <w:ind w:left="1267" w:firstLine="0"/>
      </w:pPr>
      <w:r w:rsidRPr="00F35716">
        <w:t xml:space="preserve">La Institución del Mediador del Reino brinda la misma protección legal a todos los </w:t>
      </w:r>
      <w:r w:rsidR="000865BD" w:rsidRPr="00F35716">
        <w:t xml:space="preserve">usuarios </w:t>
      </w:r>
      <w:r w:rsidRPr="00F35716">
        <w:t xml:space="preserve">de los servicios de la </w:t>
      </w:r>
      <w:r w:rsidR="00FB6076" w:rsidRPr="00F35716">
        <w:t>administración</w:t>
      </w:r>
      <w:r w:rsidRPr="00F35716">
        <w:rPr>
          <w:vertAlign w:val="superscript"/>
        </w:rPr>
        <w:footnoteReference w:id="21"/>
      </w:r>
      <w:r w:rsidRPr="00F35716">
        <w:t xml:space="preserve">, y </w:t>
      </w:r>
      <w:r w:rsidR="00FB6076" w:rsidRPr="00F35716">
        <w:t>señala a su atención los</w:t>
      </w:r>
      <w:r w:rsidRPr="00F35716">
        <w:t xml:space="preserve"> caso</w:t>
      </w:r>
      <w:r w:rsidR="00FB6076" w:rsidRPr="00F35716">
        <w:t>s en que ha incumplido</w:t>
      </w:r>
      <w:r w:rsidRPr="00F35716">
        <w:t xml:space="preserve"> los principios de </w:t>
      </w:r>
      <w:r w:rsidR="00FB6076" w:rsidRPr="00F35716">
        <w:t>igualdad</w:t>
      </w:r>
      <w:r w:rsidRPr="00F35716">
        <w:t xml:space="preserve"> e igualdad de oportunidades. Del mismo modo, proporciona asistencia </w:t>
      </w:r>
      <w:r w:rsidR="00FB6076" w:rsidRPr="00F35716">
        <w:t>jurídica</w:t>
      </w:r>
      <w:r w:rsidRPr="00F35716">
        <w:t xml:space="preserve"> gratuita a viudas, mujeres divorciadas, huérfanos y personas con discapacidad ante cualquier abuso</w:t>
      </w:r>
      <w:r w:rsidRPr="00F35716">
        <w:rPr>
          <w:vertAlign w:val="superscript"/>
        </w:rPr>
        <w:footnoteReference w:id="22"/>
      </w:r>
      <w:r w:rsidRPr="00F35716">
        <w:t>. Entre 2013 y 2015 la Institución recibió un</w:t>
      </w:r>
      <w:r w:rsidR="00FB6076" w:rsidRPr="00F35716">
        <w:t>as</w:t>
      </w:r>
      <w:r w:rsidRPr="00F35716">
        <w:t xml:space="preserve"> 4.220</w:t>
      </w:r>
      <w:r w:rsidR="006F0358" w:rsidRPr="00F35716">
        <w:t> </w:t>
      </w:r>
      <w:r w:rsidRPr="00F35716">
        <w:t>reclamaciones: 3.431 de hombres (el 81</w:t>
      </w:r>
      <w:r w:rsidR="007C68C6" w:rsidRPr="00F35716">
        <w:t> </w:t>
      </w:r>
      <w:r w:rsidRPr="00F35716">
        <w:t>%) y 789 de mujeres (el</w:t>
      </w:r>
      <w:r w:rsidR="006F0358" w:rsidRPr="00F35716">
        <w:t> </w:t>
      </w:r>
      <w:r w:rsidRPr="00F35716">
        <w:t>19</w:t>
      </w:r>
      <w:r w:rsidR="007C68C6" w:rsidRPr="00F35716">
        <w:t> </w:t>
      </w:r>
      <w:r w:rsidRPr="00F35716">
        <w:t>%). En 2016 recibió 8.281 reclamaciones. La Institución no observ</w:t>
      </w:r>
      <w:r w:rsidR="00FB6076" w:rsidRPr="00F35716">
        <w:t>ó</w:t>
      </w:r>
      <w:r w:rsidRPr="00F35716">
        <w:t xml:space="preserve"> diferencias en las temáticas de las reclamaciones en función del género</w:t>
      </w:r>
      <w:r w:rsidR="00FB6076" w:rsidRPr="00F35716">
        <w:t>, a excepción de</w:t>
      </w:r>
      <w:r w:rsidRPr="00F35716">
        <w:t xml:space="preserve"> los problemas relacionados con las tierras colectivas, pues en 2016 recibió 434 reclamaciones (el 24,5 %) de mujeres en este ámbito, frente a las 1.338</w:t>
      </w:r>
      <w:r w:rsidR="006F0358" w:rsidRPr="00F35716">
        <w:t> </w:t>
      </w:r>
      <w:r w:rsidRPr="00F35716">
        <w:t>presentadas por hombres (el 75,5 %).</w:t>
      </w:r>
    </w:p>
    <w:p w14:paraId="32E941F8" w14:textId="019E280B" w:rsidR="00EC3C86" w:rsidRPr="00F35716" w:rsidRDefault="00EC3C86" w:rsidP="00B3192A">
      <w:pPr>
        <w:pStyle w:val="SingleTxt"/>
        <w:numPr>
          <w:ilvl w:val="0"/>
          <w:numId w:val="8"/>
        </w:numPr>
        <w:ind w:left="1267" w:firstLine="0"/>
      </w:pPr>
      <w:r w:rsidRPr="00F35716">
        <w:t xml:space="preserve">El Consejo Nacional de Derechos Humanos garantiza la igualdad y combate la discriminación con sus informes anuales y </w:t>
      </w:r>
      <w:r w:rsidR="006D3B5F" w:rsidRPr="00F35716">
        <w:t xml:space="preserve">dictámenes </w:t>
      </w:r>
      <w:r w:rsidRPr="00F35716">
        <w:t xml:space="preserve">sobre proyectos de ley o </w:t>
      </w:r>
      <w:r w:rsidR="006D3B5F" w:rsidRPr="00F35716">
        <w:t>cuestiones particulares</w:t>
      </w:r>
      <w:r w:rsidRPr="00F35716">
        <w:t xml:space="preserve">. En este contexto, llevó a cabo un estudio sobre las experiencias internacionales </w:t>
      </w:r>
      <w:r w:rsidR="006D3B5F" w:rsidRPr="00F35716">
        <w:t xml:space="preserve">en la </w:t>
      </w:r>
      <w:r w:rsidRPr="00F35716">
        <w:t>institucionaliza</w:t>
      </w:r>
      <w:r w:rsidR="006D3B5F" w:rsidRPr="00F35716">
        <w:t>ción de</w:t>
      </w:r>
      <w:r w:rsidRPr="00F35716">
        <w:t xml:space="preserve"> la lucha contra la discriminación. En 2015 publicó un informe temático </w:t>
      </w:r>
      <w:r w:rsidR="006D3B5F" w:rsidRPr="00F35716">
        <w:t xml:space="preserve">titulado “La </w:t>
      </w:r>
      <w:r w:rsidRPr="00F35716">
        <w:t>igualdad y los derechos humanos en Marruecos</w:t>
      </w:r>
      <w:r w:rsidR="006D3B5F" w:rsidRPr="00F35716">
        <w:t>:</w:t>
      </w:r>
      <w:r w:rsidRPr="00F35716">
        <w:t xml:space="preserve"> protección y consecución de las</w:t>
      </w:r>
      <w:r w:rsidR="008C54DA" w:rsidRPr="00F35716">
        <w:t> </w:t>
      </w:r>
      <w:r w:rsidRPr="00F35716">
        <w:t>metas y objetivos de la Constitución</w:t>
      </w:r>
      <w:r w:rsidR="006D3B5F" w:rsidRPr="00F35716">
        <w:t>”</w:t>
      </w:r>
      <w:r w:rsidRPr="00F35716">
        <w:t>. En 2016 emitió un</w:t>
      </w:r>
      <w:r w:rsidR="006D3B5F" w:rsidRPr="00F35716">
        <w:t xml:space="preserve"> dictamen</w:t>
      </w:r>
      <w:r w:rsidRPr="00F35716">
        <w:t xml:space="preserve"> acerca de</w:t>
      </w:r>
      <w:r w:rsidR="006D3B5F" w:rsidRPr="00F35716">
        <w:t xml:space="preserve"> </w:t>
      </w:r>
      <w:r w:rsidRPr="00F35716">
        <w:t>l</w:t>
      </w:r>
      <w:r w:rsidR="006D3B5F" w:rsidRPr="00F35716">
        <w:t>a</w:t>
      </w:r>
      <w:r w:rsidRPr="00F35716">
        <w:t xml:space="preserve"> Ley núm. 103</w:t>
      </w:r>
      <w:r w:rsidR="006D3B5F" w:rsidRPr="00F35716">
        <w:t>-</w:t>
      </w:r>
      <w:r w:rsidRPr="00F35716">
        <w:t xml:space="preserve">13 </w:t>
      </w:r>
      <w:r w:rsidR="00BA2460" w:rsidRPr="00F35716">
        <w:t xml:space="preserve">relativa a </w:t>
      </w:r>
      <w:r w:rsidRPr="00F35716">
        <w:t>la Lucha contra la Violencia contra la</w:t>
      </w:r>
      <w:r w:rsidR="00BA2460" w:rsidRPr="00F35716">
        <w:t>s</w:t>
      </w:r>
      <w:r w:rsidRPr="00F35716">
        <w:t xml:space="preserve"> Mujer</w:t>
      </w:r>
      <w:r w:rsidR="00BA2460" w:rsidRPr="00F35716">
        <w:t>es; anteriormente había establecido una</w:t>
      </w:r>
      <w:r w:rsidRPr="00F35716">
        <w:t xml:space="preserve"> </w:t>
      </w:r>
      <w:r w:rsidR="00BA2460" w:rsidRPr="00F35716">
        <w:t>c</w:t>
      </w:r>
      <w:r w:rsidRPr="00F35716">
        <w:t xml:space="preserve">omisión sobre </w:t>
      </w:r>
      <w:r w:rsidR="00BA2460" w:rsidRPr="00F35716">
        <w:t>c</w:t>
      </w:r>
      <w:r w:rsidRPr="00F35716">
        <w:t xml:space="preserve">uestiones de </w:t>
      </w:r>
      <w:r w:rsidR="00BA2460" w:rsidRPr="00F35716">
        <w:t>g</w:t>
      </w:r>
      <w:r w:rsidRPr="00F35716">
        <w:t>énero.</w:t>
      </w:r>
    </w:p>
    <w:p w14:paraId="32E941F9" w14:textId="536B96DD" w:rsidR="00EC3C86" w:rsidRPr="00F35716" w:rsidRDefault="00EC3C86" w:rsidP="00C43A51">
      <w:pPr>
        <w:pStyle w:val="SingleTxt"/>
        <w:keepLines/>
        <w:numPr>
          <w:ilvl w:val="0"/>
          <w:numId w:val="8"/>
        </w:numPr>
        <w:ind w:left="1267" w:firstLine="0"/>
      </w:pPr>
      <w:r w:rsidRPr="00F35716">
        <w:lastRenderedPageBreak/>
        <w:t xml:space="preserve">El Consejo Económico, Social y Medioambiental preparó el informe </w:t>
      </w:r>
      <w:r w:rsidR="00BA2460" w:rsidRPr="00F35716">
        <w:t xml:space="preserve">titulado </w:t>
      </w:r>
      <w:r w:rsidR="00801A38" w:rsidRPr="00F35716">
        <w:t>“</w:t>
      </w:r>
      <w:r w:rsidRPr="00F35716">
        <w:t>Lograr la igualdad entre mujeres y hombres es responsabilidad de todos: percepciones, recomendaciones institucionales y estándares</w:t>
      </w:r>
      <w:r w:rsidR="00801A38" w:rsidRPr="00F35716">
        <w:t>”</w:t>
      </w:r>
      <w:r w:rsidRPr="00F35716">
        <w:t xml:space="preserve"> (2012); el estudio </w:t>
      </w:r>
      <w:r w:rsidR="00801A38" w:rsidRPr="00F35716">
        <w:t>“</w:t>
      </w:r>
      <w:r w:rsidRPr="00F35716">
        <w:t>Promover la igualdad entre mujeres y hombres en la vida económica, social, cultural y política: realidades y recomendaciones</w:t>
      </w:r>
      <w:r w:rsidR="00801A38" w:rsidRPr="00F35716">
        <w:t>”</w:t>
      </w:r>
      <w:r w:rsidRPr="00F35716">
        <w:t xml:space="preserve"> (2014) y el informe </w:t>
      </w:r>
      <w:r w:rsidR="00255046" w:rsidRPr="00F35716">
        <w:t>titulado</w:t>
      </w:r>
      <w:r w:rsidR="00BA2460" w:rsidRPr="00F35716">
        <w:t xml:space="preserve"> </w:t>
      </w:r>
      <w:r w:rsidR="00801A38" w:rsidRPr="00F35716">
        <w:t>“</w:t>
      </w:r>
      <w:r w:rsidRPr="00F35716">
        <w:t>Igualdad entre mujeres y hombres</w:t>
      </w:r>
      <w:r w:rsidR="00BA2460" w:rsidRPr="00F35716">
        <w:t xml:space="preserve">, el </w:t>
      </w:r>
      <w:r w:rsidRPr="00F35716">
        <w:t>aspecto social</w:t>
      </w:r>
      <w:r w:rsidR="00BA2460" w:rsidRPr="00F35716">
        <w:t>:</w:t>
      </w:r>
      <w:r w:rsidRPr="00F35716">
        <w:t xml:space="preserve"> resultados y recomendaciones</w:t>
      </w:r>
      <w:r w:rsidR="00801A38" w:rsidRPr="00F35716">
        <w:t>”</w:t>
      </w:r>
      <w:r w:rsidRPr="00F35716">
        <w:t xml:space="preserve"> (2016). Asimismo, presentó su opinión sobre cómo actuar frente a la prevalencia del matrimonio de niñas en Marruecos (2019).</w:t>
      </w:r>
    </w:p>
    <w:p w14:paraId="32E941FA" w14:textId="77777777" w:rsidR="00986990" w:rsidRPr="00F35716" w:rsidRDefault="00986990" w:rsidP="00986990">
      <w:pPr>
        <w:pStyle w:val="SingleTxt"/>
        <w:spacing w:after="0" w:line="120" w:lineRule="exact"/>
        <w:rPr>
          <w:sz w:val="10"/>
          <w:szCs w:val="20"/>
        </w:rPr>
      </w:pPr>
      <w:bookmarkStart w:id="10" w:name="_Toc24015473"/>
      <w:bookmarkStart w:id="11" w:name="_Toc24548854"/>
      <w:bookmarkStart w:id="12" w:name="_Toc28165896"/>
    </w:p>
    <w:p w14:paraId="32E941FB" w14:textId="77777777" w:rsidR="00EC3C86" w:rsidRPr="00F35716" w:rsidRDefault="00943AF0"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Cs w:val="0"/>
          <w:szCs w:val="20"/>
        </w:rPr>
        <w:t>Artículo 3</w:t>
      </w:r>
      <w:bookmarkEnd w:id="10"/>
      <w:bookmarkEnd w:id="11"/>
      <w:bookmarkEnd w:id="12"/>
    </w:p>
    <w:p w14:paraId="32E941FC" w14:textId="77777777" w:rsidR="00986990" w:rsidRPr="00F35716" w:rsidRDefault="00986990" w:rsidP="00986990">
      <w:pPr>
        <w:pStyle w:val="SingleTxt"/>
        <w:spacing w:after="0" w:line="120" w:lineRule="exact"/>
        <w:rPr>
          <w:sz w:val="10"/>
          <w:szCs w:val="20"/>
        </w:rPr>
      </w:pPr>
    </w:p>
    <w:p w14:paraId="32E941FD" w14:textId="73828D8A" w:rsidR="00EC3C86" w:rsidRPr="00F35716" w:rsidRDefault="00EC3C86" w:rsidP="00B3192A">
      <w:pPr>
        <w:pStyle w:val="SingleTxt"/>
        <w:numPr>
          <w:ilvl w:val="0"/>
          <w:numId w:val="8"/>
        </w:numPr>
        <w:ind w:left="1267" w:firstLine="0"/>
      </w:pPr>
      <w:r w:rsidRPr="00F35716">
        <w:t xml:space="preserve">Desde 2008 el Gobierno ha </w:t>
      </w:r>
      <w:r w:rsidR="00F3321D" w:rsidRPr="00F35716">
        <w:t>venido elaborando</w:t>
      </w:r>
      <w:r w:rsidRPr="00F35716">
        <w:t xml:space="preserve"> programas destinados a combatir la discriminación y la violencia contra las mujeres</w:t>
      </w:r>
      <w:r w:rsidR="00BA2460" w:rsidRPr="00F35716">
        <w:t>, e</w:t>
      </w:r>
      <w:r w:rsidRPr="00F35716">
        <w:t xml:space="preserve">ntre los </w:t>
      </w:r>
      <w:r w:rsidR="00BA2460" w:rsidRPr="00F35716">
        <w:t xml:space="preserve">que </w:t>
      </w:r>
      <w:r w:rsidRPr="00F35716">
        <w:t xml:space="preserve">cabe destacar </w:t>
      </w:r>
      <w:r w:rsidR="00BA2460" w:rsidRPr="00F35716">
        <w:t>s</w:t>
      </w:r>
      <w:r w:rsidRPr="00F35716">
        <w:t xml:space="preserve">u programa multisectorial para acabar con la violencia de género a través del empoderamiento de las mujeres y las niñas. </w:t>
      </w:r>
      <w:r w:rsidR="00BA2460" w:rsidRPr="00F35716">
        <w:t>E</w:t>
      </w:r>
      <w:r w:rsidRPr="00F35716">
        <w:t xml:space="preserve">n 2012 Marruecos adoptó una política </w:t>
      </w:r>
      <w:r w:rsidR="00BA2460" w:rsidRPr="00F35716">
        <w:t xml:space="preserve">nacional </w:t>
      </w:r>
      <w:r w:rsidRPr="00F35716">
        <w:t xml:space="preserve">en materia de igualdad de género, </w:t>
      </w:r>
      <w:r w:rsidR="00F3321D" w:rsidRPr="00F35716">
        <w:t xml:space="preserve">a saber, </w:t>
      </w:r>
      <w:r w:rsidRPr="00F35716">
        <w:t>el Plan Gubernamental para la Igualdad</w:t>
      </w:r>
      <w:r w:rsidR="000947C5" w:rsidRPr="00F35716">
        <w:t>,</w:t>
      </w:r>
      <w:r w:rsidRPr="00F35716">
        <w:t xml:space="preserve"> 2012-2016</w:t>
      </w:r>
      <w:r w:rsidR="000947C5" w:rsidRPr="00F35716">
        <w:t xml:space="preserve"> (“</w:t>
      </w:r>
      <w:r w:rsidR="000947C5" w:rsidRPr="00F35716">
        <w:rPr>
          <w:rFonts w:asciiTheme="majorBidi" w:hAnsiTheme="majorBidi" w:cstheme="majorBidi"/>
        </w:rPr>
        <w:t xml:space="preserve">Initiative Concertée pour le Renforcement des Acquis des Marocaines </w:t>
      </w:r>
      <w:r w:rsidR="00F3321D" w:rsidRPr="00F35716">
        <w:rPr>
          <w:rFonts w:asciiTheme="majorBidi" w:hAnsiTheme="majorBidi" w:cstheme="majorBidi"/>
        </w:rPr>
        <w:t>-</w:t>
      </w:r>
      <w:r w:rsidR="000947C5" w:rsidRPr="00F35716">
        <w:rPr>
          <w:rFonts w:asciiTheme="majorBidi" w:hAnsiTheme="majorBidi" w:cstheme="majorBidi"/>
        </w:rPr>
        <w:t xml:space="preserve"> ICRAM”)</w:t>
      </w:r>
      <w:r w:rsidRPr="00F35716">
        <w:t xml:space="preserve">, siguiendo un enfoque participativo que </w:t>
      </w:r>
      <w:r w:rsidR="00F3321D" w:rsidRPr="00F35716">
        <w:t>involucró a</w:t>
      </w:r>
      <w:r w:rsidRPr="00F35716">
        <w:t xml:space="preserve"> diversos agentes</w:t>
      </w:r>
      <w:r w:rsidRPr="00F35716">
        <w:rPr>
          <w:vertAlign w:val="superscript"/>
        </w:rPr>
        <w:footnoteReference w:id="23"/>
      </w:r>
      <w:r w:rsidRPr="00F35716">
        <w:t>.</w:t>
      </w:r>
    </w:p>
    <w:p w14:paraId="32E941FE" w14:textId="2FA1162A" w:rsidR="00EC3C86" w:rsidRPr="00F35716" w:rsidRDefault="00EC3C86" w:rsidP="00B3192A">
      <w:pPr>
        <w:pStyle w:val="SingleTxt"/>
        <w:numPr>
          <w:ilvl w:val="0"/>
          <w:numId w:val="8"/>
        </w:numPr>
        <w:ind w:left="1267" w:firstLine="0"/>
      </w:pPr>
      <w:r w:rsidRPr="00F35716">
        <w:t xml:space="preserve">Sobre la base de indicadores cualitativos y cuantitativos, el </w:t>
      </w:r>
      <w:r w:rsidR="00AF43FE" w:rsidRPr="00F35716">
        <w:t xml:space="preserve">mencionado </w:t>
      </w:r>
      <w:r w:rsidRPr="00F35716">
        <w:t>Plan definió 24</w:t>
      </w:r>
      <w:r w:rsidR="00504DB4" w:rsidRPr="00F35716">
        <w:t> </w:t>
      </w:r>
      <w:r w:rsidRPr="00F35716">
        <w:t xml:space="preserve">objetivos y 156 </w:t>
      </w:r>
      <w:r w:rsidR="000947C5" w:rsidRPr="00F35716">
        <w:t xml:space="preserve">procedimientos </w:t>
      </w:r>
      <w:r w:rsidRPr="00F35716">
        <w:t xml:space="preserve">distribuidos en </w:t>
      </w:r>
      <w:r w:rsidR="000947C5" w:rsidRPr="00F35716">
        <w:t xml:space="preserve">las </w:t>
      </w:r>
      <w:r w:rsidRPr="00F35716">
        <w:t>ocho áreas</w:t>
      </w:r>
      <w:r w:rsidR="000947C5" w:rsidRPr="00F35716">
        <w:t xml:space="preserve"> siguientes</w:t>
      </w:r>
      <w:r w:rsidRPr="00F35716">
        <w:t>:</w:t>
      </w:r>
    </w:p>
    <w:p w14:paraId="32E941FF" w14:textId="200C4821" w:rsidR="00EC3C86" w:rsidRPr="00F35716" w:rsidRDefault="00604AC0" w:rsidP="00604AC0">
      <w:pPr>
        <w:pStyle w:val="SingleTxt"/>
        <w:tabs>
          <w:tab w:val="right" w:pos="1685"/>
        </w:tabs>
        <w:ind w:left="1742" w:hanging="475"/>
      </w:pPr>
      <w:r w:rsidRPr="00F35716">
        <w:tab/>
        <w:t>–</w:t>
      </w:r>
      <w:r w:rsidRPr="00F35716">
        <w:tab/>
      </w:r>
      <w:r w:rsidR="00EC3C86" w:rsidRPr="00F35716">
        <w:t xml:space="preserve">Institucionalizar y difundir los principios de </w:t>
      </w:r>
      <w:r w:rsidR="000947C5" w:rsidRPr="00F35716">
        <w:t xml:space="preserve">paridad </w:t>
      </w:r>
      <w:r w:rsidR="00EC3C86" w:rsidRPr="00F35716">
        <w:t>e igualdad;</w:t>
      </w:r>
    </w:p>
    <w:p w14:paraId="32E94200" w14:textId="77777777" w:rsidR="00EC3C86" w:rsidRPr="00F35716" w:rsidRDefault="00604AC0" w:rsidP="00604AC0">
      <w:pPr>
        <w:pStyle w:val="SingleTxt"/>
        <w:tabs>
          <w:tab w:val="right" w:pos="1685"/>
        </w:tabs>
        <w:ind w:left="1742" w:hanging="475"/>
      </w:pPr>
      <w:r w:rsidRPr="00F35716">
        <w:tab/>
        <w:t>–</w:t>
      </w:r>
      <w:r w:rsidRPr="00F35716">
        <w:tab/>
      </w:r>
      <w:r w:rsidR="00EC3C86" w:rsidRPr="00F35716">
        <w:t xml:space="preserve">Combatir todas las formas de discriminación y violencia contra la mujer; </w:t>
      </w:r>
    </w:p>
    <w:p w14:paraId="32E94201" w14:textId="77777777" w:rsidR="00EC3C86" w:rsidRPr="00F35716" w:rsidRDefault="00604AC0" w:rsidP="00604AC0">
      <w:pPr>
        <w:pStyle w:val="SingleTxt"/>
        <w:tabs>
          <w:tab w:val="right" w:pos="1685"/>
        </w:tabs>
        <w:ind w:left="1742" w:hanging="475"/>
      </w:pPr>
      <w:r w:rsidRPr="00F35716">
        <w:tab/>
        <w:t>–</w:t>
      </w:r>
      <w:r w:rsidRPr="00F35716">
        <w:tab/>
      </w:r>
      <w:r w:rsidR="00EC3C86" w:rsidRPr="00F35716">
        <w:t xml:space="preserve">Rehabilitar el sistema educativo y de formación; </w:t>
      </w:r>
    </w:p>
    <w:p w14:paraId="32E94202" w14:textId="77777777" w:rsidR="00EC3C86" w:rsidRPr="00F35716" w:rsidRDefault="00604AC0" w:rsidP="00604AC0">
      <w:pPr>
        <w:pStyle w:val="SingleTxt"/>
        <w:tabs>
          <w:tab w:val="right" w:pos="1685"/>
        </w:tabs>
        <w:ind w:left="1742" w:hanging="475"/>
      </w:pPr>
      <w:r w:rsidRPr="00F35716">
        <w:tab/>
        <w:t>–</w:t>
      </w:r>
      <w:r w:rsidRPr="00F35716">
        <w:tab/>
      </w:r>
      <w:r w:rsidR="00EC3C86" w:rsidRPr="00F35716">
        <w:t xml:space="preserve">Promover el acceso equitativo e igualitario a los servicios de salud; </w:t>
      </w:r>
    </w:p>
    <w:p w14:paraId="32E94203" w14:textId="77777777" w:rsidR="00EC3C86" w:rsidRPr="00F35716" w:rsidRDefault="00604AC0" w:rsidP="00604AC0">
      <w:pPr>
        <w:pStyle w:val="SingleTxt"/>
        <w:tabs>
          <w:tab w:val="right" w:pos="1685"/>
        </w:tabs>
        <w:ind w:left="1742" w:hanging="475"/>
      </w:pPr>
      <w:r w:rsidRPr="00F35716">
        <w:tab/>
        <w:t>–</w:t>
      </w:r>
      <w:r w:rsidRPr="00F35716">
        <w:tab/>
      </w:r>
      <w:r w:rsidR="00EC3C86" w:rsidRPr="00F35716">
        <w:t xml:space="preserve">Desarrollar infraestructuras básicas para mejorar las condiciones de vida de mujeres y niñas; </w:t>
      </w:r>
    </w:p>
    <w:p w14:paraId="32E94204" w14:textId="77777777" w:rsidR="00EC3C86" w:rsidRPr="00F35716" w:rsidRDefault="00604AC0" w:rsidP="00604AC0">
      <w:pPr>
        <w:pStyle w:val="SingleTxt"/>
        <w:tabs>
          <w:tab w:val="right" w:pos="1685"/>
        </w:tabs>
        <w:ind w:left="1742" w:hanging="475"/>
      </w:pPr>
      <w:r w:rsidRPr="00F35716">
        <w:tab/>
        <w:t>–</w:t>
      </w:r>
      <w:r w:rsidRPr="00F35716">
        <w:tab/>
      </w:r>
      <w:r w:rsidR="00EC3C86" w:rsidRPr="00F35716">
        <w:t>Empoderar social y económicamente a las mujeres;</w:t>
      </w:r>
    </w:p>
    <w:p w14:paraId="32E94205" w14:textId="1237DBDA" w:rsidR="00EC3C86" w:rsidRPr="00F35716" w:rsidRDefault="00604AC0" w:rsidP="00604AC0">
      <w:pPr>
        <w:pStyle w:val="SingleTxt"/>
        <w:tabs>
          <w:tab w:val="right" w:pos="1685"/>
        </w:tabs>
        <w:ind w:left="1742" w:hanging="475"/>
      </w:pPr>
      <w:r w:rsidRPr="00F35716">
        <w:tab/>
        <w:t>–</w:t>
      </w:r>
      <w:r w:rsidRPr="00F35716">
        <w:tab/>
      </w:r>
      <w:r w:rsidR="000947C5" w:rsidRPr="00F35716">
        <w:t xml:space="preserve">Facilitar </w:t>
      </w:r>
      <w:r w:rsidR="00EC3C86" w:rsidRPr="00F35716">
        <w:t xml:space="preserve">el acceso equitativo e igualitario a cargos de toma de decisiones administrativas y políticas; </w:t>
      </w:r>
    </w:p>
    <w:p w14:paraId="32E94206" w14:textId="77777777" w:rsidR="00EC3C86" w:rsidRPr="00F35716" w:rsidRDefault="00504DB4" w:rsidP="00604AC0">
      <w:pPr>
        <w:pStyle w:val="SingleTxt"/>
        <w:tabs>
          <w:tab w:val="right" w:pos="1685"/>
        </w:tabs>
        <w:ind w:left="1742" w:hanging="475"/>
      </w:pPr>
      <w:r w:rsidRPr="00F35716">
        <w:tab/>
        <w:t>–</w:t>
      </w:r>
      <w:r w:rsidRPr="00F35716">
        <w:tab/>
      </w:r>
      <w:r w:rsidR="00EC3C86" w:rsidRPr="00F35716">
        <w:t>Lograr la igualdad de oportunidades para ambos sexos en el mercado laboral.</w:t>
      </w:r>
    </w:p>
    <w:p w14:paraId="32E94207" w14:textId="6A30C2C0" w:rsidR="00EC3C86" w:rsidRPr="00F35716" w:rsidRDefault="00EC3C86" w:rsidP="00B3192A">
      <w:pPr>
        <w:pStyle w:val="SingleTxt"/>
        <w:numPr>
          <w:ilvl w:val="0"/>
          <w:numId w:val="8"/>
        </w:numPr>
        <w:ind w:left="1267" w:firstLine="0"/>
      </w:pPr>
      <w:r w:rsidRPr="00F35716">
        <w:t xml:space="preserve">El Plan </w:t>
      </w:r>
      <w:r w:rsidR="000947C5" w:rsidRPr="00F35716">
        <w:t xml:space="preserve">creó </w:t>
      </w:r>
      <w:r w:rsidRPr="00F35716">
        <w:t xml:space="preserve">un marco para </w:t>
      </w:r>
      <w:r w:rsidR="000947C5" w:rsidRPr="00F35716">
        <w:t>establecer sinergias</w:t>
      </w:r>
      <w:r w:rsidRPr="00F35716">
        <w:t xml:space="preserve"> entre diversos programas </w:t>
      </w:r>
      <w:r w:rsidR="000947C5" w:rsidRPr="00F35716">
        <w:t xml:space="preserve">encaminados a </w:t>
      </w:r>
      <w:r w:rsidRPr="00F35716">
        <w:t>promo</w:t>
      </w:r>
      <w:r w:rsidR="000947C5" w:rsidRPr="00F35716">
        <w:t>ver</w:t>
      </w:r>
      <w:r w:rsidRPr="00F35716">
        <w:t xml:space="preserve"> la igualdad y la incorporación de la perspectiva de género en las políticas y programas públicos a nivel nacional, regional y local. Este Plan</w:t>
      </w:r>
      <w:r w:rsidRPr="00F35716">
        <w:rPr>
          <w:vertAlign w:val="superscript"/>
        </w:rPr>
        <w:footnoteReference w:id="24"/>
      </w:r>
      <w:r w:rsidRPr="00F35716">
        <w:t xml:space="preserve"> se reforzó con mecanismos de seguimiento y gobernanza, </w:t>
      </w:r>
      <w:r w:rsidR="000947C5" w:rsidRPr="00F35716">
        <w:t>como un</w:t>
      </w:r>
      <w:r w:rsidRPr="00F35716">
        <w:t xml:space="preserve"> </w:t>
      </w:r>
      <w:r w:rsidR="00A50C14" w:rsidRPr="00F35716">
        <w:t>C</w:t>
      </w:r>
      <w:r w:rsidRPr="00F35716">
        <w:t xml:space="preserve">omité </w:t>
      </w:r>
      <w:r w:rsidR="00A50C14" w:rsidRPr="00F35716">
        <w:t>M</w:t>
      </w:r>
      <w:r w:rsidRPr="00F35716">
        <w:t xml:space="preserve">inisterial presidido por el </w:t>
      </w:r>
      <w:r w:rsidR="00BC3F29" w:rsidRPr="00F35716">
        <w:t>Primer Ministro</w:t>
      </w:r>
      <w:r w:rsidRPr="00F35716">
        <w:t xml:space="preserve"> y un </w:t>
      </w:r>
      <w:r w:rsidR="00A50C14" w:rsidRPr="00F35716">
        <w:t>C</w:t>
      </w:r>
      <w:r w:rsidR="00BC3F29" w:rsidRPr="00F35716">
        <w:t xml:space="preserve">omité </w:t>
      </w:r>
      <w:r w:rsidR="00A50C14" w:rsidRPr="00F35716">
        <w:t>T</w:t>
      </w:r>
      <w:r w:rsidR="00BC3F29" w:rsidRPr="00F35716">
        <w:t xml:space="preserve">écnico </w:t>
      </w:r>
      <w:r w:rsidR="00A50C14" w:rsidRPr="00F35716">
        <w:t>I</w:t>
      </w:r>
      <w:r w:rsidR="00BC3F29" w:rsidRPr="00F35716">
        <w:t>nterministerial</w:t>
      </w:r>
      <w:r w:rsidRPr="00F35716">
        <w:t xml:space="preserve">, con el objetivo </w:t>
      </w:r>
      <w:r w:rsidRPr="00F35716">
        <w:lastRenderedPageBreak/>
        <w:t>de realizar un seguimiento de la aplicación de las medidas</w:t>
      </w:r>
      <w:r w:rsidRPr="00F35716">
        <w:rPr>
          <w:vertAlign w:val="superscript"/>
        </w:rPr>
        <w:footnoteReference w:id="25"/>
      </w:r>
      <w:r w:rsidRPr="00F35716">
        <w:t xml:space="preserve">. El Gobierno preparó </w:t>
      </w:r>
      <w:r w:rsidR="00BC3F29" w:rsidRPr="00F35716">
        <w:t>los</w:t>
      </w:r>
      <w:r w:rsidRPr="00F35716">
        <w:t xml:space="preserve"> informe</w:t>
      </w:r>
      <w:r w:rsidR="00BC3F29" w:rsidRPr="00F35716">
        <w:t>s de mitad de período</w:t>
      </w:r>
      <w:r w:rsidRPr="00F35716">
        <w:t xml:space="preserve"> y </w:t>
      </w:r>
      <w:r w:rsidR="00BC3F29" w:rsidRPr="00F35716">
        <w:t>final</w:t>
      </w:r>
      <w:r w:rsidRPr="00F35716">
        <w:t xml:space="preserve"> para evaluar sus resultados</w:t>
      </w:r>
      <w:r w:rsidR="00BC3F29" w:rsidRPr="00F35716">
        <w:t>. Los informes</w:t>
      </w:r>
      <w:r w:rsidRPr="00F35716">
        <w:t xml:space="preserve"> </w:t>
      </w:r>
      <w:r w:rsidR="00BC3F29" w:rsidRPr="00F35716">
        <w:t>confirmaron</w:t>
      </w:r>
      <w:r w:rsidRPr="00F35716">
        <w:t xml:space="preserve"> que</w:t>
      </w:r>
      <w:r w:rsidR="002139EA" w:rsidRPr="00F35716">
        <w:t> </w:t>
      </w:r>
      <w:r w:rsidRPr="00F35716">
        <w:t>el 75</w:t>
      </w:r>
      <w:r w:rsidR="00AE6357" w:rsidRPr="00F35716">
        <w:t> %</w:t>
      </w:r>
      <w:r w:rsidRPr="00F35716">
        <w:t xml:space="preserve"> de las medidas establecidas (117 de 156) </w:t>
      </w:r>
      <w:r w:rsidR="00BC3F29" w:rsidRPr="00F35716">
        <w:t xml:space="preserve">habían logrado </w:t>
      </w:r>
      <w:r w:rsidRPr="00F35716">
        <w:t>una tasa de ejecución del</w:t>
      </w:r>
      <w:r w:rsidR="00AE6357" w:rsidRPr="00F35716">
        <w:t> </w:t>
      </w:r>
      <w:r w:rsidRPr="00F35716">
        <w:t>100</w:t>
      </w:r>
      <w:r w:rsidR="00AE6357" w:rsidRPr="00F35716">
        <w:t> %</w:t>
      </w:r>
      <w:r w:rsidRPr="00F35716">
        <w:t>, mientras que el 86</w:t>
      </w:r>
      <w:r w:rsidR="00AE6357" w:rsidRPr="00F35716">
        <w:t> %</w:t>
      </w:r>
      <w:r w:rsidRPr="00F35716">
        <w:t xml:space="preserve"> de ellas </w:t>
      </w:r>
      <w:r w:rsidR="00BC3F29" w:rsidRPr="00F35716">
        <w:t>habían superado</w:t>
      </w:r>
      <w:r w:rsidRPr="00F35716">
        <w:t xml:space="preserve"> el 70</w:t>
      </w:r>
      <w:r w:rsidR="00AE6357" w:rsidRPr="00F35716">
        <w:t> %</w:t>
      </w:r>
      <w:r w:rsidRPr="00F35716">
        <w:t>.</w:t>
      </w:r>
    </w:p>
    <w:p w14:paraId="32E94208" w14:textId="299D7B83" w:rsidR="00EC3C86" w:rsidRPr="00F35716" w:rsidRDefault="00BC3F29" w:rsidP="00B3192A">
      <w:pPr>
        <w:pStyle w:val="SingleTxt"/>
        <w:numPr>
          <w:ilvl w:val="0"/>
          <w:numId w:val="8"/>
        </w:numPr>
        <w:ind w:left="1267" w:firstLine="0"/>
      </w:pPr>
      <w:r w:rsidRPr="00F35716">
        <w:t>E</w:t>
      </w:r>
      <w:r w:rsidR="00EC3C86" w:rsidRPr="00F35716">
        <w:t xml:space="preserve">l Gobierno puso en marcha la segunda versión del </w:t>
      </w:r>
      <w:r w:rsidR="00AA7777" w:rsidRPr="00F35716">
        <w:t>p</w:t>
      </w:r>
      <w:r w:rsidR="00EC3C86" w:rsidRPr="00F35716">
        <w:t xml:space="preserve">lan para </w:t>
      </w:r>
      <w:r w:rsidRPr="00F35716">
        <w:t xml:space="preserve">el período </w:t>
      </w:r>
      <w:r w:rsidR="00EC3C86" w:rsidRPr="00F35716">
        <w:t xml:space="preserve">2017-2021 tras celebrar una serie de consultas con sectores gubernamentales, asociaciones, sindicatos, cámaras profesionales, instituciones nacionales y </w:t>
      </w:r>
      <w:r w:rsidRPr="00F35716">
        <w:t xml:space="preserve">asociados </w:t>
      </w:r>
      <w:r w:rsidR="00EC3C86" w:rsidRPr="00F35716">
        <w:t xml:space="preserve">internacionales. </w:t>
      </w:r>
    </w:p>
    <w:p w14:paraId="32E94209" w14:textId="10B030E6" w:rsidR="00EC3C86" w:rsidRPr="00F35716" w:rsidRDefault="00EC3C86" w:rsidP="00B3192A">
      <w:pPr>
        <w:pStyle w:val="SingleTxt"/>
        <w:numPr>
          <w:ilvl w:val="0"/>
          <w:numId w:val="8"/>
        </w:numPr>
        <w:ind w:left="1267" w:firstLine="0"/>
      </w:pPr>
      <w:r w:rsidRPr="00F35716">
        <w:t xml:space="preserve">El plan </w:t>
      </w:r>
      <w:r w:rsidR="00BC3F29" w:rsidRPr="00F35716">
        <w:rPr>
          <w:iCs/>
        </w:rPr>
        <w:t>ICRAM 2</w:t>
      </w:r>
      <w:r w:rsidRPr="00F35716">
        <w:t xml:space="preserve"> gira en torno a cuatro ejes temáticos: </w:t>
      </w:r>
    </w:p>
    <w:p w14:paraId="32E9420A" w14:textId="7A69674A" w:rsidR="00EC3C86" w:rsidRPr="00F35716" w:rsidRDefault="0027694B" w:rsidP="0027694B">
      <w:pPr>
        <w:pStyle w:val="SingleTxt"/>
        <w:tabs>
          <w:tab w:val="right" w:pos="1685"/>
        </w:tabs>
        <w:ind w:left="1742" w:hanging="475"/>
      </w:pPr>
      <w:r w:rsidRPr="00F35716">
        <w:tab/>
        <w:t>–</w:t>
      </w:r>
      <w:r w:rsidRPr="00F35716">
        <w:tab/>
      </w:r>
      <w:r w:rsidR="00EC3C86" w:rsidRPr="00F35716">
        <w:t xml:space="preserve">El </w:t>
      </w:r>
      <w:r w:rsidR="00BC3F29" w:rsidRPr="00F35716">
        <w:t xml:space="preserve">aumento </w:t>
      </w:r>
      <w:r w:rsidR="00EC3C86" w:rsidRPr="00F35716">
        <w:t xml:space="preserve">de las oportunidades </w:t>
      </w:r>
      <w:r w:rsidR="00BC3F29" w:rsidRPr="00F35716">
        <w:t xml:space="preserve">de empleo </w:t>
      </w:r>
      <w:r w:rsidR="00EC3C86" w:rsidRPr="00F35716">
        <w:t xml:space="preserve">de las mujeres y su empoderamiento económico; </w:t>
      </w:r>
    </w:p>
    <w:p w14:paraId="32E9420B" w14:textId="53B8684C" w:rsidR="00EC3C86" w:rsidRPr="00F35716" w:rsidRDefault="0027694B" w:rsidP="0027694B">
      <w:pPr>
        <w:pStyle w:val="SingleTxt"/>
        <w:tabs>
          <w:tab w:val="right" w:pos="1685"/>
        </w:tabs>
        <w:ind w:left="1742" w:hanging="475"/>
      </w:pPr>
      <w:r w:rsidRPr="00F35716">
        <w:tab/>
        <w:t>–</w:t>
      </w:r>
      <w:r w:rsidRPr="00F35716">
        <w:tab/>
      </w:r>
      <w:r w:rsidR="00EC3C86" w:rsidRPr="00F35716">
        <w:t>Los derechos de las mujeres en su</w:t>
      </w:r>
      <w:r w:rsidR="00C71FDF" w:rsidRPr="00F35716">
        <w:t>s</w:t>
      </w:r>
      <w:r w:rsidR="00EC3C86" w:rsidRPr="00F35716">
        <w:t xml:space="preserve"> relaci</w:t>
      </w:r>
      <w:r w:rsidR="00C71FDF" w:rsidRPr="00F35716">
        <w:t>o</w:t>
      </w:r>
      <w:r w:rsidR="00EC3C86" w:rsidRPr="00F35716">
        <w:t>n</w:t>
      </w:r>
      <w:r w:rsidR="00C71FDF" w:rsidRPr="00F35716">
        <w:t>es</w:t>
      </w:r>
      <w:r w:rsidR="00EC3C86" w:rsidRPr="00F35716">
        <w:t xml:space="preserve"> familia</w:t>
      </w:r>
      <w:r w:rsidR="00BC3F29" w:rsidRPr="00F35716">
        <w:t>res</w:t>
      </w:r>
      <w:r w:rsidR="00EC3C86" w:rsidRPr="00F35716">
        <w:t xml:space="preserve">; </w:t>
      </w:r>
    </w:p>
    <w:p w14:paraId="32E9420C" w14:textId="77777777" w:rsidR="00EC3C86" w:rsidRPr="00F35716" w:rsidRDefault="0027694B" w:rsidP="0027694B">
      <w:pPr>
        <w:pStyle w:val="SingleTxt"/>
        <w:tabs>
          <w:tab w:val="right" w:pos="1685"/>
        </w:tabs>
        <w:ind w:left="1742" w:hanging="475"/>
      </w:pPr>
      <w:r w:rsidRPr="00F35716">
        <w:tab/>
        <w:t>–</w:t>
      </w:r>
      <w:r w:rsidRPr="00F35716">
        <w:tab/>
      </w:r>
      <w:r w:rsidR="00EC3C86" w:rsidRPr="00F35716">
        <w:t>La participación de las mujeres en la toma de decisiones;</w:t>
      </w:r>
    </w:p>
    <w:p w14:paraId="32E9420D" w14:textId="4BC84605" w:rsidR="00EC3C86" w:rsidRPr="00F35716" w:rsidRDefault="0027694B" w:rsidP="0027694B">
      <w:pPr>
        <w:pStyle w:val="SingleTxt"/>
        <w:tabs>
          <w:tab w:val="right" w:pos="1685"/>
        </w:tabs>
        <w:ind w:left="1742" w:hanging="475"/>
      </w:pPr>
      <w:r w:rsidRPr="00F35716">
        <w:tab/>
        <w:t>–</w:t>
      </w:r>
      <w:r w:rsidRPr="00F35716">
        <w:tab/>
      </w:r>
      <w:r w:rsidR="00EC3C86" w:rsidRPr="00F35716">
        <w:t>La pro</w:t>
      </w:r>
      <w:r w:rsidR="00BC3F29" w:rsidRPr="00F35716">
        <w:t>tec</w:t>
      </w:r>
      <w:r w:rsidR="00EC3C86" w:rsidRPr="00F35716">
        <w:t xml:space="preserve">ción de las mujeres y el fomento de sus derechos. </w:t>
      </w:r>
    </w:p>
    <w:p w14:paraId="32E9420E" w14:textId="63899E44" w:rsidR="00EC3C86" w:rsidRPr="00F35716" w:rsidRDefault="00EC3C86" w:rsidP="0027694B">
      <w:pPr>
        <w:pStyle w:val="SingleTxt"/>
        <w:rPr>
          <w:szCs w:val="20"/>
        </w:rPr>
      </w:pPr>
      <w:r w:rsidRPr="00F35716">
        <w:rPr>
          <w:szCs w:val="20"/>
        </w:rPr>
        <w:t>Presenta además tres ejes transversales: la difusión de los principios de igualdad</w:t>
      </w:r>
      <w:r w:rsidR="00C47BBA" w:rsidRPr="00F35716">
        <w:rPr>
          <w:szCs w:val="20"/>
        </w:rPr>
        <w:t xml:space="preserve"> y</w:t>
      </w:r>
      <w:r w:rsidRPr="00F35716">
        <w:rPr>
          <w:szCs w:val="20"/>
        </w:rPr>
        <w:t xml:space="preserve"> la lucha contra la discriminación y los estereotipos de género</w:t>
      </w:r>
      <w:r w:rsidR="00C47BBA" w:rsidRPr="00F35716">
        <w:rPr>
          <w:szCs w:val="20"/>
        </w:rPr>
        <w:t>; la incorporación de la perspectiva</w:t>
      </w:r>
      <w:r w:rsidRPr="00F35716">
        <w:rPr>
          <w:szCs w:val="20"/>
        </w:rPr>
        <w:t xml:space="preserve"> de género en todas las políticas y programas gubernamentales; y </w:t>
      </w:r>
      <w:r w:rsidR="00C47BBA" w:rsidRPr="00F35716">
        <w:rPr>
          <w:szCs w:val="20"/>
        </w:rPr>
        <w:t>la ejecución</w:t>
      </w:r>
      <w:r w:rsidRPr="00F35716">
        <w:rPr>
          <w:szCs w:val="20"/>
        </w:rPr>
        <w:t xml:space="preserve"> del </w:t>
      </w:r>
      <w:r w:rsidR="009221CC" w:rsidRPr="00F35716">
        <w:rPr>
          <w:szCs w:val="20"/>
        </w:rPr>
        <w:t>p</w:t>
      </w:r>
      <w:r w:rsidRPr="00F35716">
        <w:rPr>
          <w:szCs w:val="20"/>
        </w:rPr>
        <w:t>lan</w:t>
      </w:r>
      <w:r w:rsidR="00C47BBA" w:rsidRPr="00F35716">
        <w:rPr>
          <w:szCs w:val="20"/>
        </w:rPr>
        <w:t xml:space="preserve"> sobre el terreno. </w:t>
      </w:r>
      <w:r w:rsidR="009221CC" w:rsidRPr="00F35716">
        <w:rPr>
          <w:szCs w:val="20"/>
        </w:rPr>
        <w:t>Asimismo, c</w:t>
      </w:r>
      <w:r w:rsidR="00C47BBA" w:rsidRPr="00F35716">
        <w:rPr>
          <w:szCs w:val="20"/>
        </w:rPr>
        <w:t>uenta con un componente</w:t>
      </w:r>
      <w:r w:rsidRPr="00F35716">
        <w:rPr>
          <w:szCs w:val="20"/>
        </w:rPr>
        <w:t xml:space="preserve"> de apoyo </w:t>
      </w:r>
      <w:r w:rsidR="00C47BBA" w:rsidRPr="00F35716">
        <w:rPr>
          <w:szCs w:val="20"/>
        </w:rPr>
        <w:t>a</w:t>
      </w:r>
      <w:r w:rsidRPr="00F35716">
        <w:rPr>
          <w:szCs w:val="20"/>
        </w:rPr>
        <w:t xml:space="preserve">l seguimiento, </w:t>
      </w:r>
      <w:r w:rsidR="00C47BBA" w:rsidRPr="00F35716">
        <w:rPr>
          <w:szCs w:val="20"/>
        </w:rPr>
        <w:t>el liderazgo</w:t>
      </w:r>
      <w:r w:rsidRPr="00F35716">
        <w:rPr>
          <w:szCs w:val="20"/>
        </w:rPr>
        <w:t xml:space="preserve"> y </w:t>
      </w:r>
      <w:r w:rsidR="00C47BBA" w:rsidRPr="00F35716">
        <w:rPr>
          <w:szCs w:val="20"/>
        </w:rPr>
        <w:t xml:space="preserve">el </w:t>
      </w:r>
      <w:r w:rsidRPr="00F35716">
        <w:rPr>
          <w:szCs w:val="20"/>
        </w:rPr>
        <w:t xml:space="preserve">respaldo de </w:t>
      </w:r>
      <w:r w:rsidR="00C47BBA" w:rsidRPr="00F35716">
        <w:rPr>
          <w:szCs w:val="20"/>
        </w:rPr>
        <w:t>la</w:t>
      </w:r>
      <w:r w:rsidRPr="00F35716">
        <w:rPr>
          <w:szCs w:val="20"/>
        </w:rPr>
        <w:t xml:space="preserve"> ejecución. </w:t>
      </w:r>
    </w:p>
    <w:p w14:paraId="32E9420F" w14:textId="05E0FB79" w:rsidR="00EC3C86" w:rsidRPr="00F35716" w:rsidRDefault="00EC3C86" w:rsidP="00B3192A">
      <w:pPr>
        <w:pStyle w:val="SingleTxt"/>
        <w:numPr>
          <w:ilvl w:val="0"/>
          <w:numId w:val="8"/>
        </w:numPr>
        <w:ind w:left="1267" w:firstLine="0"/>
      </w:pPr>
      <w:r w:rsidRPr="00F35716">
        <w:t>Con el fin de aplicar el plan</w:t>
      </w:r>
      <w:r w:rsidR="00534EBD" w:rsidRPr="00F35716">
        <w:t xml:space="preserve"> ICRAM 2</w:t>
      </w:r>
      <w:r w:rsidRPr="00F35716">
        <w:t xml:space="preserve"> a nivel </w:t>
      </w:r>
      <w:r w:rsidR="00534EBD" w:rsidRPr="00F35716">
        <w:t>de gobierno local</w:t>
      </w:r>
      <w:r w:rsidRPr="00F35716">
        <w:t xml:space="preserve"> </w:t>
      </w:r>
      <w:r w:rsidR="00534EBD" w:rsidRPr="00F35716">
        <w:t>e</w:t>
      </w:r>
      <w:r w:rsidRPr="00F35716">
        <w:t xml:space="preserve"> implementar el </w:t>
      </w:r>
      <w:r w:rsidR="00534EBD" w:rsidRPr="00F35716">
        <w:t>p</w:t>
      </w:r>
      <w:r w:rsidRPr="00F35716">
        <w:t xml:space="preserve">lan </w:t>
      </w:r>
      <w:r w:rsidR="00534EBD" w:rsidRPr="00F35716">
        <w:t>r</w:t>
      </w:r>
      <w:r w:rsidRPr="00F35716">
        <w:t xml:space="preserve">egional de </w:t>
      </w:r>
      <w:r w:rsidR="00534EBD" w:rsidRPr="00F35716">
        <w:t>i</w:t>
      </w:r>
      <w:r w:rsidRPr="00F35716">
        <w:t xml:space="preserve">gualdad, </w:t>
      </w:r>
      <w:r w:rsidR="00534EBD" w:rsidRPr="00F35716">
        <w:t xml:space="preserve">en octubre de 2018 </w:t>
      </w:r>
      <w:r w:rsidRPr="00F35716">
        <w:t xml:space="preserve">se firmó un acuerdo de asociación entre el sector competente y la región de Rabat-Salé-Kenitra. Dicho acuerdo se compone de dos elementos: la prestación de asistencia técnica para hacer un diagnóstico de las disparidades de género a nivel regional </w:t>
      </w:r>
      <w:r w:rsidR="00534EBD" w:rsidRPr="00F35716">
        <w:t>y la</w:t>
      </w:r>
      <w:r w:rsidRPr="00F35716">
        <w:t xml:space="preserve"> </w:t>
      </w:r>
      <w:r w:rsidR="00534EBD" w:rsidRPr="00F35716">
        <w:t>incorporación de la perspectiva de</w:t>
      </w:r>
      <w:r w:rsidRPr="00F35716">
        <w:t xml:space="preserve"> género en el programa de desarrollo de la región</w:t>
      </w:r>
      <w:r w:rsidR="00534EBD" w:rsidRPr="00F35716">
        <w:t>. El plan regional se elaboró</w:t>
      </w:r>
      <w:r w:rsidRPr="00F35716">
        <w:t xml:space="preserve"> con apoyo financiero </w:t>
      </w:r>
      <w:r w:rsidR="008325D9" w:rsidRPr="00F35716">
        <w:t>por valor de</w:t>
      </w:r>
      <w:r w:rsidRPr="00F35716">
        <w:t xml:space="preserve"> 6</w:t>
      </w:r>
      <w:r w:rsidR="008325D9" w:rsidRPr="00F35716">
        <w:t xml:space="preserve"> millones de</w:t>
      </w:r>
      <w:r w:rsidRPr="00F35716">
        <w:t xml:space="preserve"> dírhams</w:t>
      </w:r>
      <w:r w:rsidRPr="00F35716">
        <w:rPr>
          <w:vertAlign w:val="superscript"/>
        </w:rPr>
        <w:footnoteReference w:id="26"/>
      </w:r>
      <w:r w:rsidRPr="00F35716">
        <w:t>.</w:t>
      </w:r>
    </w:p>
    <w:p w14:paraId="32E94210" w14:textId="5932F13B" w:rsidR="00EC3C86" w:rsidRPr="00F35716" w:rsidRDefault="00EC3C86" w:rsidP="00B3192A">
      <w:pPr>
        <w:pStyle w:val="SingleTxt"/>
        <w:numPr>
          <w:ilvl w:val="0"/>
          <w:numId w:val="8"/>
        </w:numPr>
        <w:ind w:left="1267" w:firstLine="0"/>
      </w:pPr>
      <w:r w:rsidRPr="00F35716">
        <w:t xml:space="preserve">El Plan de Acción Nacional </w:t>
      </w:r>
      <w:r w:rsidR="0096763D" w:rsidRPr="00F35716">
        <w:t xml:space="preserve">en materia de </w:t>
      </w:r>
      <w:r w:rsidRPr="00F35716">
        <w:t>Democracia y Derechos Humanos (2017)</w:t>
      </w:r>
      <w:r w:rsidRPr="00F35716">
        <w:rPr>
          <w:vertAlign w:val="superscript"/>
        </w:rPr>
        <w:footnoteReference w:id="27"/>
      </w:r>
      <w:r w:rsidRPr="00F35716">
        <w:t xml:space="preserve"> inclu</w:t>
      </w:r>
      <w:r w:rsidR="0096763D" w:rsidRPr="00F35716">
        <w:t>ye</w:t>
      </w:r>
      <w:r w:rsidRPr="00F35716">
        <w:t xml:space="preserve"> medidas </w:t>
      </w:r>
      <w:r w:rsidR="0096763D" w:rsidRPr="00F35716">
        <w:t>de</w:t>
      </w:r>
      <w:r w:rsidRPr="00F35716">
        <w:t xml:space="preserve"> protección jurídica e institucional de las mujeres relacionadas con</w:t>
      </w:r>
      <w:r w:rsidR="0096763D" w:rsidRPr="00F35716">
        <w:t xml:space="preserve"> l</w:t>
      </w:r>
      <w:r w:rsidR="00FD3A7D" w:rsidRPr="00F35716">
        <w:t>o</w:t>
      </w:r>
      <w:r w:rsidR="0096763D" w:rsidRPr="00F35716">
        <w:t xml:space="preserve"> </w:t>
      </w:r>
      <w:r w:rsidR="00FD3A7D" w:rsidRPr="00F35716">
        <w:t>siguiente</w:t>
      </w:r>
      <w:r w:rsidR="0096763D" w:rsidRPr="00F35716">
        <w:t>:</w:t>
      </w:r>
      <w:r w:rsidRPr="00F35716">
        <w:t xml:space="preserve"> </w:t>
      </w:r>
      <w:r w:rsidR="00FD3A7D" w:rsidRPr="00F35716">
        <w:t>aplicar</w:t>
      </w:r>
      <w:r w:rsidRPr="00F35716">
        <w:t xml:space="preserve"> las disposiciones de la Constitución; garantizar la compatibilidad con las normas internacionales; promover una cultura de igualdad</w:t>
      </w:r>
      <w:r w:rsidR="00FD3A7D" w:rsidRPr="00F35716">
        <w:t>;</w:t>
      </w:r>
      <w:r w:rsidRPr="00F35716">
        <w:t xml:space="preserve"> prohibi</w:t>
      </w:r>
      <w:r w:rsidR="00FD3A7D" w:rsidRPr="00F35716">
        <w:t>r</w:t>
      </w:r>
      <w:r w:rsidRPr="00F35716">
        <w:t xml:space="preserve"> la discriminación y la violencia contra las mujeres; y empoderar a las mujeres desde el punto de vista económico y social. En su</w:t>
      </w:r>
      <w:r w:rsidR="00FD3A7D" w:rsidRPr="00F35716">
        <w:t>s</w:t>
      </w:r>
      <w:r w:rsidRPr="00F35716">
        <w:t xml:space="preserve"> aspecto</w:t>
      </w:r>
      <w:r w:rsidR="00FD3A7D" w:rsidRPr="00F35716">
        <w:t>s</w:t>
      </w:r>
      <w:r w:rsidRPr="00F35716">
        <w:t xml:space="preserve"> legislativo e institucional, el Plan se centra en fortalecer la protección de las mujeres frente a la violencia en la política penal</w:t>
      </w:r>
      <w:r w:rsidR="00FD3A7D" w:rsidRPr="00F35716">
        <w:t>. Prevé</w:t>
      </w:r>
      <w:r w:rsidRPr="00F35716">
        <w:t xml:space="preserve"> la incorporación de </w:t>
      </w:r>
      <w:r w:rsidR="00FD3A7D" w:rsidRPr="00F35716">
        <w:t>la perspectiva</w:t>
      </w:r>
      <w:r w:rsidRPr="00F35716">
        <w:t xml:space="preserve"> de género en los programas económicos </w:t>
      </w:r>
      <w:r w:rsidR="00FD3A7D" w:rsidRPr="00F35716">
        <w:t>destinados a apoyar</w:t>
      </w:r>
      <w:r w:rsidRPr="00F35716">
        <w:t xml:space="preserve"> la contratación</w:t>
      </w:r>
      <w:r w:rsidR="00FD3A7D" w:rsidRPr="00F35716">
        <w:t xml:space="preserve"> y</w:t>
      </w:r>
      <w:r w:rsidRPr="00F35716">
        <w:t xml:space="preserve"> presupuest</w:t>
      </w:r>
      <w:r w:rsidR="00FD3A7D" w:rsidRPr="00F35716">
        <w:t>ación,</w:t>
      </w:r>
      <w:r w:rsidRPr="00F35716">
        <w:t xml:space="preserve"> y la activación continua del </w:t>
      </w:r>
      <w:r w:rsidR="00FD3A7D" w:rsidRPr="00F35716">
        <w:t>F</w:t>
      </w:r>
      <w:r w:rsidRPr="00F35716">
        <w:t xml:space="preserve">ondo de </w:t>
      </w:r>
      <w:r w:rsidR="00FD3A7D" w:rsidRPr="00F35716">
        <w:t>S</w:t>
      </w:r>
      <w:r w:rsidRPr="00F35716">
        <w:t xml:space="preserve">olidaridad </w:t>
      </w:r>
      <w:r w:rsidR="00FD3A7D" w:rsidRPr="00F35716">
        <w:t>F</w:t>
      </w:r>
      <w:r w:rsidRPr="00F35716">
        <w:t>amiliar. En cuanto a la</w:t>
      </w:r>
      <w:r w:rsidR="00FD3A7D" w:rsidRPr="00F35716">
        <w:t xml:space="preserve"> divulgación</w:t>
      </w:r>
      <w:r w:rsidRPr="00F35716">
        <w:t xml:space="preserve"> y la sensibilización, el Plan </w:t>
      </w:r>
      <w:r w:rsidR="005F2AD5" w:rsidRPr="00F35716">
        <w:t>contempla</w:t>
      </w:r>
      <w:r w:rsidRPr="00F35716">
        <w:t xml:space="preserve"> la difusión y documentación de la jurisprudencia y el intercambio de las </w:t>
      </w:r>
      <w:r w:rsidR="00FD3A7D" w:rsidRPr="00F35716">
        <w:t>mejores</w:t>
      </w:r>
      <w:r w:rsidRPr="00F35716">
        <w:t xml:space="preserve"> prácticas</w:t>
      </w:r>
      <w:r w:rsidR="00FD3A7D" w:rsidRPr="00F35716">
        <w:t>. E</w:t>
      </w:r>
      <w:r w:rsidRPr="00F35716">
        <w:t xml:space="preserve">n relación con el fortalecimiento de las capacidades, </w:t>
      </w:r>
      <w:r w:rsidR="005F2AD5" w:rsidRPr="00F35716">
        <w:t>prevé</w:t>
      </w:r>
      <w:r w:rsidRPr="00F35716">
        <w:t xml:space="preserve"> la formación continua de jueces y auxiliares de justicia. El Plan </w:t>
      </w:r>
      <w:r w:rsidRPr="00F35716">
        <w:lastRenderedPageBreak/>
        <w:t>dedica</w:t>
      </w:r>
      <w:r w:rsidR="005F2AD5" w:rsidRPr="00F35716">
        <w:t xml:space="preserve"> una sección</w:t>
      </w:r>
      <w:r w:rsidRPr="00F35716">
        <w:t xml:space="preserve"> a la</w:t>
      </w:r>
      <w:r w:rsidR="00855D29" w:rsidRPr="00F35716">
        <w:t> </w:t>
      </w:r>
      <w:r w:rsidRPr="00F35716">
        <w:t>igualdad</w:t>
      </w:r>
      <w:r w:rsidR="005F2AD5" w:rsidRPr="00F35716">
        <w:t>,</w:t>
      </w:r>
      <w:r w:rsidRPr="00F35716">
        <w:t xml:space="preserve"> la institucionalización </w:t>
      </w:r>
      <w:r w:rsidR="005F2AD5" w:rsidRPr="00F35716">
        <w:t xml:space="preserve">de la paridad, </w:t>
      </w:r>
      <w:r w:rsidRPr="00F35716">
        <w:t>la igualdad de oportunidades entre los sexos,</w:t>
      </w:r>
      <w:r w:rsidR="00855D29" w:rsidRPr="00F35716">
        <w:t> </w:t>
      </w:r>
      <w:r w:rsidR="005F2AD5" w:rsidRPr="00F35716">
        <w:t>el</w:t>
      </w:r>
      <w:r w:rsidRPr="00F35716">
        <w:t xml:space="preserve"> acce</w:t>
      </w:r>
      <w:r w:rsidR="005F2AD5" w:rsidRPr="00F35716">
        <w:t>so al empleo, la lucha contra</w:t>
      </w:r>
      <w:r w:rsidRPr="00F35716">
        <w:t xml:space="preserve"> todas las formas de discriminación, </w:t>
      </w:r>
      <w:r w:rsidR="005F2AD5" w:rsidRPr="00F35716">
        <w:t xml:space="preserve">la </w:t>
      </w:r>
      <w:r w:rsidRPr="00F35716">
        <w:t xml:space="preserve">mejora </w:t>
      </w:r>
      <w:r w:rsidR="005F2AD5" w:rsidRPr="00F35716">
        <w:t>d</w:t>
      </w:r>
      <w:r w:rsidRPr="00F35716">
        <w:t xml:space="preserve">el acceso a los servicios, </w:t>
      </w:r>
      <w:r w:rsidR="005F2AD5" w:rsidRPr="00F35716">
        <w:t>la gestión racional de</w:t>
      </w:r>
      <w:r w:rsidRPr="00F35716">
        <w:t xml:space="preserve"> los mecanismos de solidaridad y</w:t>
      </w:r>
      <w:r w:rsidR="005F2AD5" w:rsidRPr="00F35716">
        <w:t xml:space="preserve"> la utilización óptima de</w:t>
      </w:r>
      <w:r w:rsidRPr="00F35716">
        <w:t xml:space="preserve"> los recursos naturales. </w:t>
      </w:r>
    </w:p>
    <w:p w14:paraId="32E94211" w14:textId="5F588EC8" w:rsidR="00EC3C86" w:rsidRPr="00F35716" w:rsidRDefault="00EC3C86" w:rsidP="00B3192A">
      <w:pPr>
        <w:pStyle w:val="SingleTxt"/>
        <w:numPr>
          <w:ilvl w:val="0"/>
          <w:numId w:val="8"/>
        </w:numPr>
        <w:ind w:left="1267" w:firstLine="0"/>
      </w:pPr>
      <w:r w:rsidRPr="00F35716">
        <w:t xml:space="preserve">Los organismos de las Naciones Unidas, la cooperación bilateral, la Unión Europea y </w:t>
      </w:r>
      <w:r w:rsidR="005F2AD5" w:rsidRPr="00F35716">
        <w:t xml:space="preserve">distintas </w:t>
      </w:r>
      <w:r w:rsidRPr="00F35716">
        <w:t>organizaciones no gubernamentales internacionales han apoyado diversas políticas dirigidas a las mujeres. La Unión Europea ha asignado 45</w:t>
      </w:r>
      <w:r w:rsidR="00E22473" w:rsidRPr="00F35716">
        <w:t> </w:t>
      </w:r>
      <w:r w:rsidRPr="00F35716">
        <w:t xml:space="preserve">millones de euros para </w:t>
      </w:r>
      <w:r w:rsidR="005F2AD5" w:rsidRPr="00F35716">
        <w:t>ejecutar</w:t>
      </w:r>
      <w:r w:rsidR="00A50C14" w:rsidRPr="00F35716">
        <w:t xml:space="preserve"> </w:t>
      </w:r>
      <w:r w:rsidR="005F2AD5" w:rsidRPr="00F35716">
        <w:t>varios</w:t>
      </w:r>
      <w:r w:rsidRPr="00F35716">
        <w:t xml:space="preserve"> componentes del Plan Gubernamental para la Igualdad </w:t>
      </w:r>
      <w:r w:rsidR="00A50C14" w:rsidRPr="00F35716">
        <w:t>(</w:t>
      </w:r>
      <w:r w:rsidR="002A79F2" w:rsidRPr="00F35716">
        <w:rPr>
          <w:iCs/>
        </w:rPr>
        <w:t>ICRAM</w:t>
      </w:r>
      <w:r w:rsidR="00A50C14" w:rsidRPr="00F35716">
        <w:rPr>
          <w:iCs/>
        </w:rPr>
        <w:t>)</w:t>
      </w:r>
      <w:r w:rsidR="002A79F2" w:rsidRPr="00F35716">
        <w:rPr>
          <w:iCs/>
        </w:rPr>
        <w:t>,</w:t>
      </w:r>
      <w:r w:rsidRPr="00F35716">
        <w:t xml:space="preserve"> 2012-2016, así como 2 millones de euros para apoyar a las asociaciones que se dedican a promover los derechos de las mujeres. Esta a</w:t>
      </w:r>
      <w:r w:rsidR="002A79F2" w:rsidRPr="00F35716">
        <w:t>lianza</w:t>
      </w:r>
      <w:r w:rsidRPr="00F35716">
        <w:t xml:space="preserve"> se basó en cuatro </w:t>
      </w:r>
      <w:r w:rsidR="002A79F2" w:rsidRPr="00F35716">
        <w:t>temas</w:t>
      </w:r>
      <w:r w:rsidRPr="00F35716">
        <w:t xml:space="preserve"> principales</w:t>
      </w:r>
      <w:r w:rsidR="00A50C14" w:rsidRPr="00F35716">
        <w:t>, a saber</w:t>
      </w:r>
      <w:r w:rsidRPr="00F35716">
        <w:t xml:space="preserve">: combatir los estereotipos, luchar contra la violencia, </w:t>
      </w:r>
      <w:r w:rsidR="002A79F2" w:rsidRPr="00F35716">
        <w:t xml:space="preserve">promover </w:t>
      </w:r>
      <w:r w:rsidRPr="00F35716">
        <w:t xml:space="preserve">la participación política y </w:t>
      </w:r>
      <w:r w:rsidR="002A79F2" w:rsidRPr="00F35716">
        <w:t xml:space="preserve">mejorar </w:t>
      </w:r>
      <w:r w:rsidRPr="00F35716">
        <w:t xml:space="preserve">el acceso a </w:t>
      </w:r>
      <w:r w:rsidR="002A79F2" w:rsidRPr="00F35716">
        <w:t xml:space="preserve">la </w:t>
      </w:r>
      <w:r w:rsidRPr="00F35716">
        <w:t xml:space="preserve">protección jurídica. Además, en 2018 se firmó un segundo acuerdo de financiación </w:t>
      </w:r>
      <w:r w:rsidR="002A79F2" w:rsidRPr="00F35716">
        <w:t xml:space="preserve">por valor </w:t>
      </w:r>
      <w:r w:rsidRPr="00F35716">
        <w:t xml:space="preserve">de 35 millones de euros </w:t>
      </w:r>
      <w:r w:rsidR="002A79F2" w:rsidRPr="00F35716">
        <w:t>para apoyar</w:t>
      </w:r>
      <w:r w:rsidRPr="00F35716">
        <w:t xml:space="preserve"> </w:t>
      </w:r>
      <w:r w:rsidR="002A79F2" w:rsidRPr="00F35716">
        <w:t>e</w:t>
      </w:r>
      <w:r w:rsidRPr="00F35716">
        <w:t xml:space="preserve">l </w:t>
      </w:r>
      <w:r w:rsidR="00A50C14" w:rsidRPr="00F35716">
        <w:t>p</w:t>
      </w:r>
      <w:r w:rsidRPr="00F35716">
        <w:t>lan</w:t>
      </w:r>
      <w:r w:rsidR="002A79F2" w:rsidRPr="00F35716">
        <w:t xml:space="preserve"> ICRAM 2</w:t>
      </w:r>
      <w:r w:rsidRPr="00F35716">
        <w:t>.</w:t>
      </w:r>
    </w:p>
    <w:p w14:paraId="32E94212" w14:textId="420EB251" w:rsidR="00EC3C86" w:rsidRPr="00F35716" w:rsidRDefault="00EC3C86" w:rsidP="00B3192A">
      <w:pPr>
        <w:pStyle w:val="SingleTxt"/>
        <w:numPr>
          <w:ilvl w:val="0"/>
          <w:numId w:val="8"/>
        </w:numPr>
        <w:ind w:left="1267" w:firstLine="0"/>
      </w:pPr>
      <w:r w:rsidRPr="00F35716">
        <w:t xml:space="preserve">Con el fin de </w:t>
      </w:r>
      <w:r w:rsidR="002A79F2" w:rsidRPr="00F35716">
        <w:t xml:space="preserve">fortalecer </w:t>
      </w:r>
      <w:r w:rsidRPr="00F35716">
        <w:t xml:space="preserve">el papel </w:t>
      </w:r>
      <w:r w:rsidR="002A79F2" w:rsidRPr="00F35716">
        <w:t>que desempeñan</w:t>
      </w:r>
      <w:r w:rsidRPr="00F35716">
        <w:t xml:space="preserve"> las asociaciones en </w:t>
      </w:r>
      <w:r w:rsidR="002A79F2" w:rsidRPr="00F35716">
        <w:t>la promoción</w:t>
      </w:r>
      <w:r w:rsidRPr="00F35716">
        <w:t xml:space="preserve"> de la igualdad y la lucha contra la violencia, el ministerio competente brinda apoyo para financiar proyectos de asociaciones de mujeres y centros de </w:t>
      </w:r>
      <w:r w:rsidR="002A79F2" w:rsidRPr="00F35716">
        <w:t>asesoramiento</w:t>
      </w:r>
      <w:r w:rsidRPr="00F35716">
        <w:t xml:space="preserve"> jurídic</w:t>
      </w:r>
      <w:r w:rsidR="002A79F2" w:rsidRPr="00F35716">
        <w:t>o</w:t>
      </w:r>
      <w:r w:rsidRPr="00F35716">
        <w:t xml:space="preserve"> con miras a promover los derechos de las mujeres y mejorar sus condiciones sociales y económicas (mujeres </w:t>
      </w:r>
      <w:r w:rsidR="000342CD" w:rsidRPr="00F35716">
        <w:t>que son el sostén</w:t>
      </w:r>
      <w:r w:rsidRPr="00F35716">
        <w:t xml:space="preserve"> de</w:t>
      </w:r>
      <w:r w:rsidR="000342CD" w:rsidRPr="00F35716">
        <w:t xml:space="preserve"> la</w:t>
      </w:r>
      <w:r w:rsidRPr="00F35716">
        <w:t xml:space="preserve"> familia, víctimas de violencia, mujeres con discapacidad y ancianas). Ese ministerio aport</w:t>
      </w:r>
      <w:r w:rsidR="002A79F2" w:rsidRPr="00F35716">
        <w:t>a</w:t>
      </w:r>
      <w:r w:rsidRPr="00F35716">
        <w:t xml:space="preserve"> financiación durante tres años a proyectos que buscan crear o desarrollar centros de </w:t>
      </w:r>
      <w:r w:rsidR="00434572" w:rsidRPr="00F35716">
        <w:t>escucha</w:t>
      </w:r>
      <w:r w:rsidRPr="00F35716">
        <w:t xml:space="preserve">. Entre 2012 y 2018, 264 centros de </w:t>
      </w:r>
      <w:r w:rsidR="00434572" w:rsidRPr="00F35716">
        <w:t>escucha</w:t>
      </w:r>
      <w:r w:rsidRPr="00F35716">
        <w:t xml:space="preserve"> recibieron apoyo por un monto total superior a 80 millones de dírhams.</w:t>
      </w:r>
    </w:p>
    <w:p w14:paraId="32E94213" w14:textId="1D3821C3" w:rsidR="00EC3C86" w:rsidRPr="00F35716" w:rsidRDefault="00EC3C86" w:rsidP="00B3192A">
      <w:pPr>
        <w:pStyle w:val="SingleTxt"/>
        <w:numPr>
          <w:ilvl w:val="0"/>
          <w:numId w:val="8"/>
        </w:numPr>
        <w:ind w:left="1267" w:firstLine="0"/>
      </w:pPr>
      <w:r w:rsidRPr="00F35716">
        <w:t>Se han creado estructuras administrativas y puntos de apoyo específicos para cuestiones de género en diversos sectores</w:t>
      </w:r>
      <w:r w:rsidR="00382027" w:rsidRPr="00F35716">
        <w:t xml:space="preserve"> al objeto de</w:t>
      </w:r>
      <w:r w:rsidRPr="00F35716">
        <w:t xml:space="preserve"> hacer un seguimiento del proceso de integración y coordinación de género entre las diferentes partes interesadas</w:t>
      </w:r>
      <w:r w:rsidR="00382027" w:rsidRPr="00F35716">
        <w:t>. Entre ellos se incluyen</w:t>
      </w:r>
      <w:r w:rsidRPr="00F35716">
        <w:t xml:space="preserve"> una red </w:t>
      </w:r>
      <w:r w:rsidR="00382027" w:rsidRPr="00F35716">
        <w:t xml:space="preserve">conjunta </w:t>
      </w:r>
      <w:r w:rsidRPr="00F35716">
        <w:t xml:space="preserve">de consulta intersectorial para </w:t>
      </w:r>
      <w:r w:rsidR="00382027" w:rsidRPr="00F35716">
        <w:t>la incorporación de la perspectiva</w:t>
      </w:r>
      <w:r w:rsidRPr="00F35716">
        <w:t xml:space="preserve"> de género, </w:t>
      </w:r>
      <w:r w:rsidR="00382027" w:rsidRPr="00F35716">
        <w:t xml:space="preserve">un </w:t>
      </w:r>
      <w:r w:rsidRPr="00F35716">
        <w:t xml:space="preserve">observatorio del enfoque de género en la función pública, </w:t>
      </w:r>
      <w:r w:rsidR="00382027" w:rsidRPr="00F35716">
        <w:t>un</w:t>
      </w:r>
      <w:r w:rsidRPr="00F35716">
        <w:t xml:space="preserve"> departamento de formación y desarrollo </w:t>
      </w:r>
      <w:r w:rsidR="00382027" w:rsidRPr="00F35716">
        <w:t xml:space="preserve">en relación con </w:t>
      </w:r>
      <w:r w:rsidRPr="00F35716">
        <w:t xml:space="preserve">el género y un departamento de capacitación </w:t>
      </w:r>
      <w:r w:rsidR="00C050AF" w:rsidRPr="00F35716">
        <w:t>para la incorporación de la perspectiva</w:t>
      </w:r>
      <w:r w:rsidRPr="00F35716">
        <w:t xml:space="preserve"> de género. También se busca institucionalizar la igualdad de género en el Instituto Superior de Información y Comunicación</w:t>
      </w:r>
      <w:r w:rsidR="00E502D7" w:rsidRPr="00F35716">
        <w:t>. Existen</w:t>
      </w:r>
      <w:r w:rsidRPr="00F35716">
        <w:t xml:space="preserve"> puntos de apoyo en diversos departamentos centrales o regionales</w:t>
      </w:r>
      <w:r w:rsidR="00E502D7" w:rsidRPr="00F35716">
        <w:t>, así como</w:t>
      </w:r>
      <w:r w:rsidRPr="00F35716">
        <w:t xml:space="preserve"> unidades institucionales para atender a mujeres </w:t>
      </w:r>
      <w:r w:rsidR="00E502D7" w:rsidRPr="00F35716">
        <w:t>víctimas de violencia</w:t>
      </w:r>
      <w:r w:rsidRPr="00F35716">
        <w:t xml:space="preserve"> en varios sectores gubernamentales</w:t>
      </w:r>
      <w:r w:rsidRPr="00F35716">
        <w:rPr>
          <w:vertAlign w:val="superscript"/>
        </w:rPr>
        <w:footnoteReference w:id="28"/>
      </w:r>
      <w:r w:rsidR="00D00E85" w:rsidRPr="00F35716">
        <w:t>.</w:t>
      </w:r>
      <w:r w:rsidRPr="00F35716">
        <w:t xml:space="preserve"> </w:t>
      </w:r>
      <w:r w:rsidR="00D00E85" w:rsidRPr="00F35716">
        <w:t>A todo e</w:t>
      </w:r>
      <w:r w:rsidR="002A2F43" w:rsidRPr="00F35716">
        <w:t>llo</w:t>
      </w:r>
      <w:r w:rsidR="00D00E85" w:rsidRPr="00F35716">
        <w:t xml:space="preserve"> se suman recursos </w:t>
      </w:r>
      <w:r w:rsidR="00B909E1" w:rsidRPr="00F35716">
        <w:t>brindados</w:t>
      </w:r>
      <w:r w:rsidR="00D00E85" w:rsidRPr="00F35716">
        <w:t xml:space="preserve"> en</w:t>
      </w:r>
      <w:r w:rsidRPr="00F35716">
        <w:t xml:space="preserve"> algunas instituciones e institutos encargados de la formación y el desarrollo de un enfoque de género y la institucionalización de la igualdad de género</w:t>
      </w:r>
      <w:r w:rsidRPr="00F35716">
        <w:rPr>
          <w:vertAlign w:val="superscript"/>
        </w:rPr>
        <w:footnoteReference w:id="29"/>
      </w:r>
      <w:r w:rsidRPr="00F35716">
        <w:t xml:space="preserve">. Por ejemplo, el sector de la justicia </w:t>
      </w:r>
      <w:r w:rsidR="00D00E85" w:rsidRPr="00F35716">
        <w:t xml:space="preserve">impartió </w:t>
      </w:r>
      <w:r w:rsidRPr="00F35716">
        <w:t>un programa de formación sobre el género y el concepto de la igualdad de derechos para hombres y mujeres en beneficio de 1.186</w:t>
      </w:r>
      <w:r w:rsidR="00E22473" w:rsidRPr="00F35716">
        <w:t> </w:t>
      </w:r>
      <w:r w:rsidRPr="00F35716">
        <w:t>a</w:t>
      </w:r>
      <w:r w:rsidR="00B909E1" w:rsidRPr="00F35716">
        <w:t>gregado</w:t>
      </w:r>
      <w:r w:rsidRPr="00F35716">
        <w:t>s judiciales entre 2011 y 2018.</w:t>
      </w:r>
    </w:p>
    <w:p w14:paraId="32E94214" w14:textId="21D8642A" w:rsidR="00EC3C86" w:rsidRPr="00F35716" w:rsidRDefault="00EC3C86" w:rsidP="00B3192A">
      <w:pPr>
        <w:pStyle w:val="SingleTxt"/>
        <w:numPr>
          <w:ilvl w:val="0"/>
          <w:numId w:val="8"/>
        </w:numPr>
        <w:ind w:left="1267" w:firstLine="0"/>
      </w:pPr>
      <w:r w:rsidRPr="00F35716">
        <w:t xml:space="preserve">En reconocimiento de la </w:t>
      </w:r>
      <w:r w:rsidR="00441547" w:rsidRPr="00F35716">
        <w:t xml:space="preserve">política </w:t>
      </w:r>
      <w:r w:rsidRPr="00F35716">
        <w:t xml:space="preserve">de institucionalización de la presupuestación </w:t>
      </w:r>
      <w:r w:rsidR="00BD2E0E" w:rsidRPr="00F35716">
        <w:br/>
      </w:r>
      <w:r w:rsidRPr="00F35716">
        <w:t xml:space="preserve">con perspectiva de género, en 2013 se creó el Centro de Excelencia para la Presupuestación con Perspectiva de Género, que ha celebrado acuerdos de asociación y cooperación con </w:t>
      </w:r>
      <w:r w:rsidR="00B909E1" w:rsidRPr="00F35716">
        <w:t>diversos</w:t>
      </w:r>
      <w:r w:rsidRPr="00F35716">
        <w:t xml:space="preserve"> organismos e instituciones donantes. Esta </w:t>
      </w:r>
      <w:r w:rsidR="00441547" w:rsidRPr="00F35716">
        <w:t xml:space="preserve">política </w:t>
      </w:r>
      <w:r w:rsidRPr="00F35716">
        <w:t>se fortaleció con la promulgación de la Ley Orgánica núm. 130</w:t>
      </w:r>
      <w:r w:rsidR="0062290B" w:rsidRPr="00F35716">
        <w:t>-</w:t>
      </w:r>
      <w:r w:rsidRPr="00F35716">
        <w:t xml:space="preserve">13 </w:t>
      </w:r>
      <w:r w:rsidR="0062290B" w:rsidRPr="00F35716">
        <w:t xml:space="preserve">relativa a </w:t>
      </w:r>
      <w:r w:rsidRPr="00F35716">
        <w:t>la Ley de Finanzas</w:t>
      </w:r>
      <w:r w:rsidR="00281CCC" w:rsidRPr="00F35716">
        <w:t>,</w:t>
      </w:r>
      <w:r w:rsidRPr="00F35716">
        <w:t xml:space="preserve"> </w:t>
      </w:r>
      <w:r w:rsidR="00441547" w:rsidRPr="00F35716">
        <w:t>d</w:t>
      </w:r>
      <w:r w:rsidRPr="00F35716">
        <w:t xml:space="preserve">e 2015, que </w:t>
      </w:r>
      <w:r w:rsidR="00441547" w:rsidRPr="00F35716">
        <w:t>hac</w:t>
      </w:r>
      <w:r w:rsidR="00487B34" w:rsidRPr="00F35716">
        <w:t>ía</w:t>
      </w:r>
      <w:r w:rsidR="00441547" w:rsidRPr="00F35716">
        <w:t xml:space="preserve"> hincapié en</w:t>
      </w:r>
      <w:r w:rsidRPr="00F35716">
        <w:t xml:space="preserve"> la institucionalización de la </w:t>
      </w:r>
      <w:r w:rsidR="00487B34" w:rsidRPr="00F35716">
        <w:t xml:space="preserve">planificación </w:t>
      </w:r>
      <w:r w:rsidRPr="00F35716">
        <w:t>basada en</w:t>
      </w:r>
      <w:r w:rsidR="00037EFC" w:rsidRPr="00F35716">
        <w:t> </w:t>
      </w:r>
      <w:r w:rsidRPr="00F35716">
        <w:t xml:space="preserve">resultados siguiendo un enfoque de género a la hora de definir objetivos e indicadores en los programas del sector ministerial, y </w:t>
      </w:r>
      <w:r w:rsidR="00487B34" w:rsidRPr="00F35716">
        <w:t>que exigía que</w:t>
      </w:r>
      <w:r w:rsidRPr="00F35716">
        <w:t xml:space="preserve"> la Ley de Finanzas </w:t>
      </w:r>
      <w:r w:rsidR="00487B34" w:rsidRPr="00F35716">
        <w:t>fuera acompañada de</w:t>
      </w:r>
      <w:r w:rsidRPr="00F35716">
        <w:t xml:space="preserve"> un informe sobre la presupuestación con perspectiva de género basada en resultados. En </w:t>
      </w:r>
      <w:r w:rsidR="00487B34" w:rsidRPr="00F35716">
        <w:t>julio de 2017</w:t>
      </w:r>
      <w:r w:rsidRPr="00F35716">
        <w:t xml:space="preserve"> </w:t>
      </w:r>
      <w:r w:rsidR="00487B34" w:rsidRPr="00F35716">
        <w:t>el Primer Ministro</w:t>
      </w:r>
      <w:r w:rsidRPr="00F35716">
        <w:t xml:space="preserve"> emitió </w:t>
      </w:r>
      <w:r w:rsidR="00487B34" w:rsidRPr="00F35716">
        <w:t>una</w:t>
      </w:r>
      <w:r w:rsidRPr="00F35716">
        <w:t xml:space="preserve"> circular</w:t>
      </w:r>
      <w:r w:rsidR="002B38EE" w:rsidRPr="00F35716">
        <w:t> </w:t>
      </w:r>
      <w:r w:rsidRPr="00F35716">
        <w:t xml:space="preserve">con la que se pusieron en marcha las etapas experimentales de las </w:t>
      </w:r>
      <w:r w:rsidRPr="00F35716">
        <w:lastRenderedPageBreak/>
        <w:t xml:space="preserve">disposiciones de la Ley Orgánica </w:t>
      </w:r>
      <w:r w:rsidR="0062290B" w:rsidRPr="00F35716">
        <w:t xml:space="preserve">relativa a </w:t>
      </w:r>
      <w:r w:rsidRPr="00F35716">
        <w:t xml:space="preserve">la Ley de Finanzas relacionadas con la integración del enfoque de género en </w:t>
      </w:r>
      <w:r w:rsidR="00487B34" w:rsidRPr="00F35716">
        <w:t>el proceso</w:t>
      </w:r>
      <w:r w:rsidRPr="00F35716">
        <w:t xml:space="preserve"> de planificación </w:t>
      </w:r>
      <w:r w:rsidR="00E26459" w:rsidRPr="00F35716">
        <w:t>de la</w:t>
      </w:r>
      <w:r w:rsidRPr="00F35716">
        <w:t xml:space="preserve"> programación presupuestaria para cada sector ministerial. </w:t>
      </w:r>
    </w:p>
    <w:p w14:paraId="4D6A3A74" w14:textId="6CA154B8" w:rsidR="00A114BC" w:rsidRPr="00F35716" w:rsidRDefault="00EC3C86" w:rsidP="00B3192A">
      <w:pPr>
        <w:pStyle w:val="SingleTxt"/>
        <w:numPr>
          <w:ilvl w:val="0"/>
          <w:numId w:val="8"/>
        </w:numPr>
        <w:ind w:left="1267" w:firstLine="0"/>
      </w:pPr>
      <w:r w:rsidRPr="00F35716">
        <w:t xml:space="preserve">En 2018 comenzó la segunda etapa experimental en 23 sectores ministeriales, cuyos resultados </w:t>
      </w:r>
      <w:r w:rsidR="00F21DFA" w:rsidRPr="00F35716">
        <w:t>pusieron de manifiesto la capacidad de</w:t>
      </w:r>
      <w:r w:rsidRPr="00F35716">
        <w:t xml:space="preserve"> respuesta de </w:t>
      </w:r>
      <w:r w:rsidR="00F21DFA" w:rsidRPr="00F35716">
        <w:t>los</w:t>
      </w:r>
      <w:r w:rsidRPr="00F35716">
        <w:t xml:space="preserve"> ministerios involucrados</w:t>
      </w:r>
      <w:r w:rsidR="00F21DFA" w:rsidRPr="00F35716">
        <w:t>.</w:t>
      </w:r>
      <w:r w:rsidRPr="00F35716">
        <w:t xml:space="preserve"> </w:t>
      </w:r>
      <w:r w:rsidR="0017279C" w:rsidRPr="00F35716">
        <w:t>En ella hubo</w:t>
      </w:r>
      <w:r w:rsidRPr="00F35716">
        <w:t xml:space="preserve"> 196 indicadores y 63 </w:t>
      </w:r>
      <w:r w:rsidR="0017279C" w:rsidRPr="00F35716">
        <w:t>metas sobre cuestiones</w:t>
      </w:r>
      <w:r w:rsidRPr="00F35716">
        <w:t xml:space="preserve"> de género</w:t>
      </w:r>
      <w:r w:rsidR="00543F87" w:rsidRPr="00F35716">
        <w:t>, lo que equivale al 33</w:t>
      </w:r>
      <w:r w:rsidR="00E26459" w:rsidRPr="00F35716">
        <w:t> </w:t>
      </w:r>
      <w:r w:rsidR="00543F87" w:rsidRPr="00F35716">
        <w:t xml:space="preserve">% de los indicadores y </w:t>
      </w:r>
      <w:r w:rsidR="00467F49" w:rsidRPr="00F35716">
        <w:t xml:space="preserve">al 25 % de </w:t>
      </w:r>
      <w:r w:rsidR="00543F87" w:rsidRPr="00F35716">
        <w:t>las metas</w:t>
      </w:r>
      <w:r w:rsidR="00467F49" w:rsidRPr="00F35716">
        <w:t>, respectivamente</w:t>
      </w:r>
      <w:r w:rsidR="00543F87" w:rsidRPr="00F35716">
        <w:t>.</w:t>
      </w:r>
      <w:r w:rsidRPr="00F35716">
        <w:t xml:space="preserve"> E</w:t>
      </w:r>
      <w:r w:rsidR="004E4333" w:rsidRPr="00F35716">
        <w:t>n mayo de 2018, e</w:t>
      </w:r>
      <w:r w:rsidRPr="00F35716">
        <w:t>l Pr</w:t>
      </w:r>
      <w:r w:rsidR="00E26459" w:rsidRPr="00F35716">
        <w:t>imer Ministro</w:t>
      </w:r>
      <w:r w:rsidRPr="00F35716">
        <w:t xml:space="preserve"> emitió una circular</w:t>
      </w:r>
      <w:r w:rsidR="004E4333" w:rsidRPr="00F35716">
        <w:t xml:space="preserve"> </w:t>
      </w:r>
      <w:r w:rsidR="00DB7D8D" w:rsidRPr="00F35716">
        <w:t>con la que dio comienzo</w:t>
      </w:r>
      <w:r w:rsidRPr="00F35716">
        <w:t xml:space="preserve"> la tercera etapa experimental de</w:t>
      </w:r>
      <w:r w:rsidR="00E26459" w:rsidRPr="00F35716">
        <w:t xml:space="preserve"> </w:t>
      </w:r>
      <w:r w:rsidRPr="00F35716">
        <w:t>l</w:t>
      </w:r>
      <w:r w:rsidR="00E26459" w:rsidRPr="00F35716">
        <w:t>a</w:t>
      </w:r>
      <w:r w:rsidRPr="00F35716">
        <w:t xml:space="preserve"> presupuest</w:t>
      </w:r>
      <w:r w:rsidR="00E26459" w:rsidRPr="00F35716">
        <w:t>ación</w:t>
      </w:r>
      <w:r w:rsidRPr="00F35716">
        <w:t xml:space="preserve"> con perspectiva de género. En ella participaron otros cinco ministerios, </w:t>
      </w:r>
      <w:r w:rsidR="00A56EE3" w:rsidRPr="00F35716">
        <w:t xml:space="preserve">y se establecieron </w:t>
      </w:r>
      <w:r w:rsidRPr="00F35716">
        <w:t xml:space="preserve">166 indicadores y 94 </w:t>
      </w:r>
      <w:r w:rsidR="0041778C" w:rsidRPr="00F35716">
        <w:t>meta</w:t>
      </w:r>
      <w:r w:rsidRPr="00F35716">
        <w:t xml:space="preserve">s </w:t>
      </w:r>
      <w:r w:rsidR="0041778C" w:rsidRPr="00F35716">
        <w:t>sobre cuestiones</w:t>
      </w:r>
      <w:r w:rsidRPr="00F35716">
        <w:t xml:space="preserve"> de género, lo</w:t>
      </w:r>
      <w:r w:rsidR="0041778C" w:rsidRPr="00F35716">
        <w:t xml:space="preserve"> que equivale</w:t>
      </w:r>
      <w:r w:rsidRPr="00F35716">
        <w:t xml:space="preserve"> al 19</w:t>
      </w:r>
      <w:r w:rsidR="00AE6357" w:rsidRPr="00F35716">
        <w:t> %</w:t>
      </w:r>
      <w:r w:rsidRPr="00F35716">
        <w:t xml:space="preserve"> de los indicadores y al 22</w:t>
      </w:r>
      <w:r w:rsidR="00AE6357" w:rsidRPr="00F35716">
        <w:t> %</w:t>
      </w:r>
      <w:r w:rsidRPr="00F35716">
        <w:t xml:space="preserve"> de l</w:t>
      </w:r>
      <w:r w:rsidR="0041778C" w:rsidRPr="00F35716">
        <w:t>as meta</w:t>
      </w:r>
      <w:r w:rsidRPr="00F35716">
        <w:t>s, respectivamente.</w:t>
      </w:r>
    </w:p>
    <w:p w14:paraId="32E94215" w14:textId="6CBCE50B" w:rsidR="00EC3C86" w:rsidRPr="00F35716" w:rsidRDefault="00A114BC" w:rsidP="00A114BC">
      <w:pPr>
        <w:pStyle w:val="SingleTxt"/>
      </w:pPr>
      <w:r w:rsidRPr="00F35716">
        <w:tab/>
      </w:r>
      <w:r w:rsidR="00EC3C86" w:rsidRPr="00F35716">
        <w:t>En 2014 se</w:t>
      </w:r>
      <w:r w:rsidR="0006736D" w:rsidRPr="00F35716">
        <w:t> </w:t>
      </w:r>
      <w:r w:rsidR="00EC3C86" w:rsidRPr="00F35716">
        <w:t xml:space="preserve">creó el Premio a la Excelencia de las Mujeres Marroquíes, </w:t>
      </w:r>
      <w:r w:rsidR="007138DA" w:rsidRPr="00F35716">
        <w:t>que concede</w:t>
      </w:r>
      <w:r w:rsidR="00EC3C86" w:rsidRPr="00F35716">
        <w:t xml:space="preserve"> una subvención </w:t>
      </w:r>
      <w:r w:rsidR="00311B18" w:rsidRPr="00F35716">
        <w:t>discreciona</w:t>
      </w:r>
      <w:r w:rsidR="00EC3C86" w:rsidRPr="00F35716">
        <w:t xml:space="preserve">l </w:t>
      </w:r>
      <w:r w:rsidR="007138DA" w:rsidRPr="00F35716">
        <w:t>en reconocimiento de</w:t>
      </w:r>
      <w:r w:rsidR="00EC3C86" w:rsidRPr="00F35716">
        <w:t xml:space="preserve"> </w:t>
      </w:r>
      <w:r w:rsidR="007138DA" w:rsidRPr="00F35716">
        <w:t xml:space="preserve">los logros de las mujeres en materia de desarrollo. Este galardón </w:t>
      </w:r>
      <w:r w:rsidR="00487C9A" w:rsidRPr="00F35716">
        <w:t>reconoce a las mujeres que son modelos de conducta, así como</w:t>
      </w:r>
      <w:r w:rsidR="00EC3C86" w:rsidRPr="00F35716">
        <w:t xml:space="preserve"> </w:t>
      </w:r>
      <w:r w:rsidR="00A772DA" w:rsidRPr="00F35716">
        <w:t>su</w:t>
      </w:r>
      <w:r w:rsidR="00EC3C86" w:rsidRPr="00F35716">
        <w:t xml:space="preserve">s contribuciones al desarrollo económico, social y político. </w:t>
      </w:r>
      <w:r w:rsidR="004525C9" w:rsidRPr="00F35716">
        <w:t>En él se tienen en cuenta tres aspectos: la innovación, el desarrollo y la acción social</w:t>
      </w:r>
      <w:r w:rsidR="00EC3C86" w:rsidRPr="00F35716">
        <w:t>. Entre 2015 y 2018 se celebraron cuatro ediciones y 14 mujeres fueron premiadas por sus proyectos en distintas esferas.</w:t>
      </w:r>
    </w:p>
    <w:p w14:paraId="32E94216" w14:textId="454377D6" w:rsidR="00EC3C86" w:rsidRPr="00F35716" w:rsidRDefault="00467F49" w:rsidP="00B3192A">
      <w:pPr>
        <w:pStyle w:val="SingleTxt"/>
        <w:numPr>
          <w:ilvl w:val="0"/>
          <w:numId w:val="8"/>
        </w:numPr>
        <w:ind w:left="1267" w:firstLine="0"/>
      </w:pPr>
      <w:r w:rsidRPr="00F35716">
        <w:t xml:space="preserve">Con vistas a </w:t>
      </w:r>
      <w:r w:rsidR="00EC3C86" w:rsidRPr="00F35716">
        <w:t>aplica</w:t>
      </w:r>
      <w:r w:rsidRPr="00F35716">
        <w:t>r</w:t>
      </w:r>
      <w:r w:rsidR="00EC3C86" w:rsidRPr="00F35716">
        <w:t xml:space="preserve"> los artículos 14, 15 y 139 de la Constitución</w:t>
      </w:r>
      <w:r w:rsidRPr="00F35716">
        <w:rPr>
          <w:vertAlign w:val="superscript"/>
        </w:rPr>
        <w:footnoteReference w:id="30"/>
      </w:r>
      <w:r w:rsidRPr="00F35716">
        <w:t>,</w:t>
      </w:r>
      <w:r w:rsidR="00EC3C86" w:rsidRPr="00F35716">
        <w:t xml:space="preserve"> relativos al derecho a presentar propuestas legislativas y peticiones a las autoridades </w:t>
      </w:r>
      <w:r w:rsidRPr="00F35716">
        <w:t>nacionales y locales</w:t>
      </w:r>
      <w:r w:rsidR="00EC3C86" w:rsidRPr="00F35716">
        <w:t xml:space="preserve">, Marruecos ha preparado leyes destinadas a </w:t>
      </w:r>
      <w:r w:rsidRPr="00F35716">
        <w:t xml:space="preserve">consagrar </w:t>
      </w:r>
      <w:r w:rsidR="00EC3C86" w:rsidRPr="00F35716">
        <w:t>y regular el ejercicio del derecho de las asociaciones a presentar peticiones a las autoridades públicas</w:t>
      </w:r>
      <w:r w:rsidR="00EC3C86" w:rsidRPr="00F35716">
        <w:rPr>
          <w:vertAlign w:val="superscript"/>
        </w:rPr>
        <w:footnoteReference w:id="31"/>
      </w:r>
      <w:r w:rsidRPr="00F35716">
        <w:t>.</w:t>
      </w:r>
      <w:r w:rsidR="00EC3C86" w:rsidRPr="00F35716">
        <w:t xml:space="preserve"> </w:t>
      </w:r>
      <w:r w:rsidRPr="00F35716">
        <w:t>Ello ha</w:t>
      </w:r>
      <w:r w:rsidR="00EC3C86" w:rsidRPr="00F35716">
        <w:t xml:space="preserve"> permiti</w:t>
      </w:r>
      <w:r w:rsidRPr="00F35716">
        <w:t>do</w:t>
      </w:r>
      <w:r w:rsidR="00EC3C86" w:rsidRPr="00F35716">
        <w:t xml:space="preserve"> a las asociaciones de mujeres contribuir al desarrollo del sistema jurídico (</w:t>
      </w:r>
      <w:r w:rsidRPr="00F35716">
        <w:t>mediante propuestas</w:t>
      </w:r>
      <w:r w:rsidR="00EC3C86" w:rsidRPr="00F35716">
        <w:t xml:space="preserve"> legislativas) y promover los derechos de las mujeres (</w:t>
      </w:r>
      <w:r w:rsidRPr="00F35716">
        <w:t xml:space="preserve">mediante </w:t>
      </w:r>
      <w:r w:rsidR="00EC3C86" w:rsidRPr="00F35716">
        <w:t>peticiones)</w:t>
      </w:r>
      <w:r w:rsidR="00EC3C86" w:rsidRPr="00F35716">
        <w:rPr>
          <w:vertAlign w:val="superscript"/>
        </w:rPr>
        <w:footnoteReference w:id="32"/>
      </w:r>
      <w:r w:rsidR="00EC3C86" w:rsidRPr="00F35716">
        <w:t xml:space="preserve">. </w:t>
      </w:r>
    </w:p>
    <w:p w14:paraId="32E94217" w14:textId="77777777" w:rsidR="00100AEB" w:rsidRPr="00F35716" w:rsidRDefault="00100AEB" w:rsidP="00100AEB">
      <w:pPr>
        <w:pStyle w:val="SingleTxt"/>
        <w:spacing w:after="0" w:line="120" w:lineRule="exact"/>
        <w:rPr>
          <w:sz w:val="10"/>
          <w:szCs w:val="20"/>
        </w:rPr>
      </w:pPr>
    </w:p>
    <w:p w14:paraId="32E94218" w14:textId="77777777" w:rsidR="00EC3C86" w:rsidRPr="00F35716" w:rsidRDefault="00DC7516"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Cs w:val="0"/>
          <w:szCs w:val="20"/>
        </w:rPr>
        <w:t>Artículo 4</w:t>
      </w:r>
      <w:bookmarkStart w:id="13" w:name="_Toc24015474"/>
      <w:bookmarkStart w:id="14" w:name="_Toc24100781"/>
      <w:bookmarkStart w:id="15" w:name="_Toc24548855"/>
      <w:bookmarkStart w:id="16" w:name="_Toc28165897"/>
      <w:bookmarkEnd w:id="13"/>
      <w:bookmarkEnd w:id="14"/>
      <w:bookmarkEnd w:id="15"/>
      <w:bookmarkEnd w:id="16"/>
    </w:p>
    <w:p w14:paraId="32E94219" w14:textId="77777777" w:rsidR="00100AEB" w:rsidRPr="00F35716" w:rsidRDefault="00100AEB" w:rsidP="00100AEB">
      <w:pPr>
        <w:pStyle w:val="SingleTxt"/>
        <w:spacing w:after="0" w:line="120" w:lineRule="exact"/>
        <w:rPr>
          <w:sz w:val="10"/>
          <w:szCs w:val="20"/>
        </w:rPr>
      </w:pPr>
    </w:p>
    <w:p w14:paraId="32E9421A" w14:textId="10DC773A" w:rsidR="00EC3C86" w:rsidRPr="00F35716" w:rsidRDefault="008B4491" w:rsidP="00B3192A">
      <w:pPr>
        <w:pStyle w:val="SingleTxt"/>
        <w:numPr>
          <w:ilvl w:val="0"/>
          <w:numId w:val="8"/>
        </w:numPr>
        <w:ind w:left="1267" w:firstLine="0"/>
      </w:pPr>
      <w:r w:rsidRPr="00F35716">
        <w:t>En relación con el párrafo 25 de las observaciones finales</w:t>
      </w:r>
      <w:r w:rsidR="00EC3C86" w:rsidRPr="00F35716">
        <w:t xml:space="preserve">, Marruecos se </w:t>
      </w:r>
      <w:r w:rsidR="004319AD" w:rsidRPr="00F35716">
        <w:t xml:space="preserve">ha </w:t>
      </w:r>
      <w:r w:rsidR="00EC3C86" w:rsidRPr="00F35716">
        <w:t>esforz</w:t>
      </w:r>
      <w:r w:rsidR="004319AD" w:rsidRPr="00F35716">
        <w:t>ado</w:t>
      </w:r>
      <w:r w:rsidR="00EC3C86" w:rsidRPr="00F35716">
        <w:t xml:space="preserve"> por aumentar la representación política de las mujeres a nivel nacional y local, </w:t>
      </w:r>
      <w:r w:rsidR="005C2569" w:rsidRPr="00F35716">
        <w:t>de acuerdo con las normas</w:t>
      </w:r>
      <w:r w:rsidR="00EC3C86" w:rsidRPr="00F35716">
        <w:t xml:space="preserve"> internacionales</w:t>
      </w:r>
      <w:r w:rsidR="004319AD" w:rsidRPr="00F35716">
        <w:t>. Para ello</w:t>
      </w:r>
      <w:r w:rsidR="00EC3C86" w:rsidRPr="00F35716">
        <w:t xml:space="preserve">, </w:t>
      </w:r>
      <w:r w:rsidR="004319AD" w:rsidRPr="00F35716">
        <w:t>ha</w:t>
      </w:r>
      <w:r w:rsidR="00EC3C86" w:rsidRPr="00F35716">
        <w:t xml:space="preserve"> inclu</w:t>
      </w:r>
      <w:r w:rsidR="004319AD" w:rsidRPr="00F35716">
        <w:t>ido</w:t>
      </w:r>
      <w:r w:rsidR="00EC3C86" w:rsidRPr="00F35716">
        <w:t xml:space="preserve"> nuevas disposiciones </w:t>
      </w:r>
      <w:r w:rsidR="004319AD" w:rsidRPr="00F35716">
        <w:t>jurídicas</w:t>
      </w:r>
      <w:r w:rsidR="00EC3C86" w:rsidRPr="00F35716">
        <w:t xml:space="preserve"> en </w:t>
      </w:r>
      <w:r w:rsidR="004319AD" w:rsidRPr="00F35716">
        <w:t>el Código</w:t>
      </w:r>
      <w:r w:rsidR="00EC3C86" w:rsidRPr="00F35716">
        <w:t xml:space="preserve"> Electoral</w:t>
      </w:r>
      <w:r w:rsidR="004319AD" w:rsidRPr="00F35716">
        <w:t>,</w:t>
      </w:r>
      <w:r w:rsidR="00EC3C86" w:rsidRPr="00F35716">
        <w:t xml:space="preserve"> las </w:t>
      </w:r>
      <w:r w:rsidR="00DF2E15" w:rsidRPr="00F35716">
        <w:t>L</w:t>
      </w:r>
      <w:r w:rsidR="00EC3C86" w:rsidRPr="00F35716">
        <w:t xml:space="preserve">eyes </w:t>
      </w:r>
      <w:r w:rsidR="00DF2E15" w:rsidRPr="00F35716">
        <w:t xml:space="preserve">Orgánicas </w:t>
      </w:r>
      <w:r w:rsidR="00EC3C86" w:rsidRPr="00F35716">
        <w:t xml:space="preserve">relativas a la Cámara de Representantes y </w:t>
      </w:r>
      <w:r w:rsidR="005C2569" w:rsidRPr="00F35716">
        <w:t xml:space="preserve">a </w:t>
      </w:r>
      <w:r w:rsidR="00EC3C86" w:rsidRPr="00F35716">
        <w:t>la Cámara de Consejeros</w:t>
      </w:r>
      <w:r w:rsidR="004319AD" w:rsidRPr="00F35716">
        <w:t xml:space="preserve">, y </w:t>
      </w:r>
      <w:r w:rsidR="00EC3C86" w:rsidRPr="00F35716">
        <w:t>la Ley de Partidos Políticos</w:t>
      </w:r>
      <w:r w:rsidR="004319AD" w:rsidRPr="00F35716">
        <w:t>.</w:t>
      </w:r>
      <w:r w:rsidR="00EC3C86" w:rsidRPr="00F35716">
        <w:t xml:space="preserve"> </w:t>
      </w:r>
      <w:r w:rsidR="004319AD" w:rsidRPr="00F35716">
        <w:t>L</w:t>
      </w:r>
      <w:r w:rsidR="00EC3C86" w:rsidRPr="00F35716">
        <w:t>a Ley Orgánica núm. 28</w:t>
      </w:r>
      <w:r w:rsidR="0062290B" w:rsidRPr="00F35716">
        <w:t>-11</w:t>
      </w:r>
      <w:r w:rsidR="00EC3C86" w:rsidRPr="00F35716">
        <w:t xml:space="preserve"> (2011) </w:t>
      </w:r>
      <w:r w:rsidR="0062290B" w:rsidRPr="00F35716">
        <w:t>relativa a</w:t>
      </w:r>
      <w:r w:rsidR="00EC3C86" w:rsidRPr="00F35716">
        <w:t xml:space="preserve"> la Cámara de Consejeros creó un mecanismo para aumentar la representación de las mujeres, al </w:t>
      </w:r>
      <w:r w:rsidR="00DF2E15" w:rsidRPr="00F35716">
        <w:t>d</w:t>
      </w:r>
      <w:r w:rsidR="00B76CC6" w:rsidRPr="00F35716">
        <w:t>i</w:t>
      </w:r>
      <w:r w:rsidR="00DF2E15" w:rsidRPr="00F35716">
        <w:t>spone</w:t>
      </w:r>
      <w:r w:rsidR="00EC3C86" w:rsidRPr="00F35716">
        <w:t xml:space="preserve">r que </w:t>
      </w:r>
      <w:r w:rsidR="0062290B" w:rsidRPr="00F35716">
        <w:t xml:space="preserve">las </w:t>
      </w:r>
      <w:r w:rsidR="00EC3C86" w:rsidRPr="00F35716">
        <w:t>lista</w:t>
      </w:r>
      <w:r w:rsidR="0062290B" w:rsidRPr="00F35716">
        <w:t>s</w:t>
      </w:r>
      <w:r w:rsidR="00EC3C86" w:rsidRPr="00F35716">
        <w:t xml:space="preserve"> de candidatos no puede</w:t>
      </w:r>
      <w:r w:rsidR="0062290B" w:rsidRPr="00F35716">
        <w:t>n</w:t>
      </w:r>
      <w:r w:rsidR="00EC3C86" w:rsidRPr="00F35716">
        <w:t xml:space="preserve"> incluir dos nombres consecutivos del mismo </w:t>
      </w:r>
      <w:r w:rsidR="0062290B" w:rsidRPr="00F35716">
        <w:t>sexo</w:t>
      </w:r>
      <w:r w:rsidR="00EC3C86" w:rsidRPr="00F35716">
        <w:t>.</w:t>
      </w:r>
    </w:p>
    <w:p w14:paraId="32E9421B" w14:textId="79BE150F" w:rsidR="00EC3C86" w:rsidRPr="00F35716" w:rsidRDefault="00EC3C86" w:rsidP="007C6EF3">
      <w:pPr>
        <w:pStyle w:val="SingleTxt"/>
        <w:keepLines/>
        <w:numPr>
          <w:ilvl w:val="0"/>
          <w:numId w:val="8"/>
        </w:numPr>
        <w:ind w:left="1267" w:firstLine="0"/>
      </w:pPr>
      <w:r w:rsidRPr="00F35716">
        <w:lastRenderedPageBreak/>
        <w:t>La Ley Orgánica núm. 59</w:t>
      </w:r>
      <w:r w:rsidR="00DF2E15" w:rsidRPr="00F35716">
        <w:t>-11</w:t>
      </w:r>
      <w:r w:rsidRPr="00F35716">
        <w:t xml:space="preserve"> relativa a la Elección de los Miembros de los Consejos de l</w:t>
      </w:r>
      <w:r w:rsidR="00267C5A" w:rsidRPr="00F35716">
        <w:t>o</w:t>
      </w:r>
      <w:r w:rsidRPr="00F35716">
        <w:t xml:space="preserve">s </w:t>
      </w:r>
      <w:r w:rsidR="00267C5A" w:rsidRPr="00F35716">
        <w:t>Gobiernos</w:t>
      </w:r>
      <w:r w:rsidR="00866EE3" w:rsidRPr="00F35716">
        <w:t xml:space="preserve"> Locales</w:t>
      </w:r>
      <w:r w:rsidRPr="00F35716">
        <w:t xml:space="preserve"> estableció dos mecanismos para </w:t>
      </w:r>
      <w:r w:rsidR="00866EE3" w:rsidRPr="00F35716">
        <w:t>aumentar</w:t>
      </w:r>
      <w:r w:rsidRPr="00F35716">
        <w:t xml:space="preserve"> la representación de las mujeres. El primero</w:t>
      </w:r>
      <w:r w:rsidR="00866EE3" w:rsidRPr="00F35716">
        <w:t>,</w:t>
      </w:r>
      <w:r w:rsidRPr="00F35716">
        <w:t xml:space="preserve"> relacionado con los consejos regionales, cre</w:t>
      </w:r>
      <w:r w:rsidR="00866EE3" w:rsidRPr="00F35716">
        <w:t>ó</w:t>
      </w:r>
      <w:r w:rsidRPr="00F35716">
        <w:t xml:space="preserve"> distrito</w:t>
      </w:r>
      <w:r w:rsidR="00866EE3" w:rsidRPr="00F35716">
        <w:t>s</w:t>
      </w:r>
      <w:r w:rsidRPr="00F35716">
        <w:t xml:space="preserve"> electoral</w:t>
      </w:r>
      <w:r w:rsidR="00866EE3" w:rsidRPr="00F35716">
        <w:t>es</w:t>
      </w:r>
      <w:r w:rsidRPr="00F35716">
        <w:t xml:space="preserve"> en cada prefectura</w:t>
      </w:r>
      <w:r w:rsidR="00866EE3" w:rsidRPr="00F35716">
        <w:t xml:space="preserve"> o</w:t>
      </w:r>
      <w:r w:rsidRPr="00F35716">
        <w:t xml:space="preserve"> provincia para </w:t>
      </w:r>
      <w:r w:rsidR="00866EE3" w:rsidRPr="00F35716">
        <w:t xml:space="preserve">promover la representación de las </w:t>
      </w:r>
      <w:r w:rsidRPr="00F35716">
        <w:t xml:space="preserve">mujeres, </w:t>
      </w:r>
      <w:r w:rsidR="00866EE3" w:rsidRPr="00F35716">
        <w:t>en los que se</w:t>
      </w:r>
      <w:r w:rsidRPr="00F35716">
        <w:t xml:space="preserve"> les reserv</w:t>
      </w:r>
      <w:r w:rsidR="00866EE3" w:rsidRPr="00F35716">
        <w:t>a</w:t>
      </w:r>
      <w:r w:rsidRPr="00F35716">
        <w:t xml:space="preserve"> al menos un tercio de los escaños. El segundo mecanismo</w:t>
      </w:r>
      <w:r w:rsidR="00866EE3" w:rsidRPr="00F35716">
        <w:t>, que</w:t>
      </w:r>
      <w:r w:rsidRPr="00F35716">
        <w:t xml:space="preserve"> </w:t>
      </w:r>
      <w:r w:rsidR="00866EE3" w:rsidRPr="00F35716">
        <w:t>atañe</w:t>
      </w:r>
      <w:r w:rsidRPr="00F35716">
        <w:t xml:space="preserve"> a los consejos comunales, cre</w:t>
      </w:r>
      <w:r w:rsidR="00866EE3" w:rsidRPr="00F35716">
        <w:t>ó</w:t>
      </w:r>
      <w:r w:rsidRPr="00F35716">
        <w:t xml:space="preserve"> un distrito electoral adicional de al menos dos escaños </w:t>
      </w:r>
      <w:r w:rsidR="00AE366A" w:rsidRPr="00F35716">
        <w:t>para</w:t>
      </w:r>
      <w:r w:rsidRPr="00F35716">
        <w:t xml:space="preserve"> las mujeres. El Gobierno también ha establecido incentivos para que los partidos políticos asignen altos cargos a mujeres en </w:t>
      </w:r>
      <w:r w:rsidR="00AE366A" w:rsidRPr="00F35716">
        <w:t>las listas</w:t>
      </w:r>
      <w:r w:rsidRPr="00F35716">
        <w:t xml:space="preserve"> ordinarias de presentación de candidaturas y les reserven </w:t>
      </w:r>
      <w:r w:rsidR="00D43275" w:rsidRPr="00F35716">
        <w:t>altos cargos</w:t>
      </w:r>
      <w:r w:rsidRPr="00F35716">
        <w:t xml:space="preserve"> en los d</w:t>
      </w:r>
      <w:r w:rsidR="00AE366A" w:rsidRPr="00F35716">
        <w:t>istritos</w:t>
      </w:r>
      <w:r w:rsidRPr="00F35716">
        <w:t xml:space="preserve"> cuyos representantes son elegidos por votación individual.</w:t>
      </w:r>
    </w:p>
    <w:p w14:paraId="32E9421C" w14:textId="2FD187AB" w:rsidR="00EC3C86" w:rsidRPr="00F35716" w:rsidRDefault="00EC3C86" w:rsidP="00B3192A">
      <w:pPr>
        <w:pStyle w:val="SingleTxt"/>
        <w:numPr>
          <w:ilvl w:val="0"/>
          <w:numId w:val="8"/>
        </w:numPr>
        <w:ind w:left="1267" w:firstLine="0"/>
      </w:pPr>
      <w:r w:rsidRPr="00F35716">
        <w:t>La Ley Orgánica núm. 34</w:t>
      </w:r>
      <w:r w:rsidR="00D43275" w:rsidRPr="00F35716">
        <w:t>-</w:t>
      </w:r>
      <w:r w:rsidRPr="00F35716">
        <w:t>15 (2015)</w:t>
      </w:r>
      <w:r w:rsidRPr="00F35716">
        <w:rPr>
          <w:vertAlign w:val="superscript"/>
        </w:rPr>
        <w:footnoteReference w:id="33"/>
      </w:r>
      <w:r w:rsidRPr="00F35716">
        <w:t xml:space="preserve"> relativa a la Elección de los Miembros de los Consejos de l</w:t>
      </w:r>
      <w:r w:rsidR="00C61D23" w:rsidRPr="00F35716">
        <w:t>o</w:t>
      </w:r>
      <w:r w:rsidRPr="00F35716">
        <w:t xml:space="preserve">s </w:t>
      </w:r>
      <w:r w:rsidR="00C61D23" w:rsidRPr="00F35716">
        <w:t>Gobiernos</w:t>
      </w:r>
      <w:r w:rsidR="00D43275" w:rsidRPr="00F35716">
        <w:t xml:space="preserve"> Locales</w:t>
      </w:r>
      <w:r w:rsidRPr="00F35716">
        <w:t xml:space="preserve"> </w:t>
      </w:r>
      <w:r w:rsidR="00D43275" w:rsidRPr="00F35716">
        <w:t>introdujo</w:t>
      </w:r>
      <w:r w:rsidRPr="00F35716">
        <w:t xml:space="preserve"> un nuevo </w:t>
      </w:r>
      <w:r w:rsidR="00D43275" w:rsidRPr="00F35716">
        <w:t>sistema</w:t>
      </w:r>
      <w:r w:rsidRPr="00F35716">
        <w:t xml:space="preserve"> de candidaturas con el que se establec</w:t>
      </w:r>
      <w:r w:rsidR="00D43275" w:rsidRPr="00F35716">
        <w:t>e</w:t>
      </w:r>
      <w:r w:rsidRPr="00F35716">
        <w:t xml:space="preserve"> una lista única </w:t>
      </w:r>
      <w:r w:rsidR="0078705F" w:rsidRPr="00F35716">
        <w:t>que consta de</w:t>
      </w:r>
      <w:r w:rsidRPr="00F35716">
        <w:t xml:space="preserve"> dos partes: la primera contiene los nombres de los candidatos de ambos sexos y la segunda, solo los nombres de las candidatas.</w:t>
      </w:r>
    </w:p>
    <w:p w14:paraId="32E9421D" w14:textId="59C91B52" w:rsidR="00EC3C86" w:rsidRPr="00F35716" w:rsidRDefault="00EC3C86" w:rsidP="00B3192A">
      <w:pPr>
        <w:pStyle w:val="SingleTxt"/>
        <w:numPr>
          <w:ilvl w:val="0"/>
          <w:numId w:val="8"/>
        </w:numPr>
        <w:ind w:left="1267" w:firstLine="0"/>
      </w:pPr>
      <w:r w:rsidRPr="00F35716">
        <w:t>Las leyes orgánicas de 2015 relativas a l</w:t>
      </w:r>
      <w:r w:rsidR="00C36C74" w:rsidRPr="00F35716">
        <w:t>o</w:t>
      </w:r>
      <w:r w:rsidRPr="00F35716">
        <w:t xml:space="preserve">s </w:t>
      </w:r>
      <w:r w:rsidR="00C36C74" w:rsidRPr="00F35716">
        <w:t>gobiernos</w:t>
      </w:r>
      <w:r w:rsidR="00D43275" w:rsidRPr="00F35716">
        <w:t xml:space="preserve"> locales</w:t>
      </w:r>
      <w:r w:rsidR="00D43275" w:rsidRPr="00F35716">
        <w:rPr>
          <w:vertAlign w:val="superscript"/>
        </w:rPr>
        <w:footnoteReference w:id="34"/>
      </w:r>
      <w:r w:rsidRPr="00F35716">
        <w:t xml:space="preserve"> </w:t>
      </w:r>
      <w:r w:rsidR="00D43275" w:rsidRPr="00F35716">
        <w:t>disponen</w:t>
      </w:r>
      <w:r w:rsidRPr="00F35716">
        <w:t xml:space="preserve"> la incorporación de </w:t>
      </w:r>
      <w:r w:rsidR="00D43275" w:rsidRPr="00F35716">
        <w:t>la perspectiva de</w:t>
      </w:r>
      <w:r w:rsidRPr="00F35716">
        <w:t xml:space="preserve"> género </w:t>
      </w:r>
      <w:r w:rsidR="00D43275" w:rsidRPr="00F35716">
        <w:t>en</w:t>
      </w:r>
      <w:r w:rsidRPr="00F35716">
        <w:t xml:space="preserve"> sus actividades y programas de desarrollo, así como la creación de </w:t>
      </w:r>
      <w:r w:rsidR="00D43275" w:rsidRPr="00F35716">
        <w:t xml:space="preserve">órganos </w:t>
      </w:r>
      <w:r w:rsidRPr="00F35716">
        <w:t xml:space="preserve">asesores </w:t>
      </w:r>
      <w:r w:rsidR="00D43275" w:rsidRPr="00F35716">
        <w:t xml:space="preserve">locales </w:t>
      </w:r>
      <w:r w:rsidRPr="00F35716">
        <w:t xml:space="preserve">que se ocupen de cuestiones ligadas a la </w:t>
      </w:r>
      <w:r w:rsidR="00D43275" w:rsidRPr="00F35716">
        <w:t>igualdad</w:t>
      </w:r>
      <w:r w:rsidRPr="00F35716">
        <w:t xml:space="preserve">, la igualdad de oportunidades y </w:t>
      </w:r>
      <w:r w:rsidR="00D43275" w:rsidRPr="00F35716">
        <w:t>el enfoque</w:t>
      </w:r>
      <w:r w:rsidRPr="00F35716">
        <w:t xml:space="preserve"> de género.</w:t>
      </w:r>
    </w:p>
    <w:p w14:paraId="32E9421E" w14:textId="55BBC2A5" w:rsidR="00EC3C86" w:rsidRPr="00F35716" w:rsidRDefault="00BE0818" w:rsidP="00B3192A">
      <w:pPr>
        <w:pStyle w:val="SingleTxt"/>
        <w:numPr>
          <w:ilvl w:val="0"/>
          <w:numId w:val="8"/>
        </w:numPr>
        <w:ind w:left="1267" w:firstLine="0"/>
      </w:pPr>
      <w:r w:rsidRPr="00F35716">
        <w:t>En virtud de</w:t>
      </w:r>
      <w:r w:rsidR="00EC3C86" w:rsidRPr="00F35716">
        <w:t xml:space="preserve"> la Ley núm. 78</w:t>
      </w:r>
      <w:r w:rsidRPr="00F35716">
        <w:t>-</w:t>
      </w:r>
      <w:r w:rsidR="00EC3C86" w:rsidRPr="00F35716">
        <w:t xml:space="preserve">00, </w:t>
      </w:r>
      <w:r w:rsidRPr="00F35716">
        <w:t>que adopta la forma de</w:t>
      </w:r>
      <w:r w:rsidR="00EC3C86" w:rsidRPr="00F35716">
        <w:t xml:space="preserve"> </w:t>
      </w:r>
      <w:r w:rsidR="00F45206" w:rsidRPr="00F35716">
        <w:t>pactos</w:t>
      </w:r>
      <w:r w:rsidR="00EC3C86" w:rsidRPr="00F35716">
        <w:t xml:space="preserve"> co</w:t>
      </w:r>
      <w:r w:rsidR="00C36C74" w:rsidRPr="00F35716">
        <w:t>munal</w:t>
      </w:r>
      <w:r w:rsidR="00F45206" w:rsidRPr="00F35716">
        <w:t>es</w:t>
      </w:r>
      <w:r w:rsidR="00EC3C86" w:rsidRPr="00F35716">
        <w:t>, se in</w:t>
      </w:r>
      <w:r w:rsidRPr="00F35716">
        <w:t>tegró el</w:t>
      </w:r>
      <w:r w:rsidR="00EC3C86" w:rsidRPr="00F35716">
        <w:t xml:space="preserve"> enfoque de género </w:t>
      </w:r>
      <w:r w:rsidRPr="00F35716">
        <w:t>en los</w:t>
      </w:r>
      <w:r w:rsidR="00EC3C86" w:rsidRPr="00F35716">
        <w:t xml:space="preserve"> plan</w:t>
      </w:r>
      <w:r w:rsidRPr="00F35716">
        <w:t>es</w:t>
      </w:r>
      <w:r w:rsidR="00EC3C86" w:rsidRPr="00F35716">
        <w:t xml:space="preserve"> de desarrollo </w:t>
      </w:r>
      <w:r w:rsidR="00F45206" w:rsidRPr="00F35716">
        <w:t>comunal</w:t>
      </w:r>
      <w:r w:rsidR="00EC3C86" w:rsidRPr="00F35716">
        <w:rPr>
          <w:vertAlign w:val="superscript"/>
        </w:rPr>
        <w:footnoteReference w:id="35"/>
      </w:r>
      <w:r w:rsidR="00EC3C86" w:rsidRPr="00F35716">
        <w:t xml:space="preserve">. A fin de acelerar </w:t>
      </w:r>
      <w:r w:rsidRPr="00F35716">
        <w:t xml:space="preserve">la aplicación de </w:t>
      </w:r>
      <w:r w:rsidR="00EC3C86" w:rsidRPr="00F35716">
        <w:t>estas medidas, se ha preparado un</w:t>
      </w:r>
      <w:r w:rsidRPr="00F35716">
        <w:t xml:space="preserve"> manual</w:t>
      </w:r>
      <w:r w:rsidR="00EC3C86" w:rsidRPr="00F35716">
        <w:t xml:space="preserve"> de planificación estratégica que facilitará la participación de las mujeres en los comités locales de planificación y la </w:t>
      </w:r>
      <w:r w:rsidRPr="00F35716">
        <w:t>creación</w:t>
      </w:r>
      <w:r w:rsidR="00EC3C86" w:rsidRPr="00F35716">
        <w:t xml:space="preserve"> de l</w:t>
      </w:r>
      <w:r w:rsidR="008038D4" w:rsidRPr="00F35716">
        <w:t>a</w:t>
      </w:r>
      <w:r w:rsidR="00EC3C86" w:rsidRPr="00F35716">
        <w:t>s comi</w:t>
      </w:r>
      <w:r w:rsidR="008038D4" w:rsidRPr="00F35716">
        <w:t>siones</w:t>
      </w:r>
      <w:r w:rsidR="00EC3C86" w:rsidRPr="00F35716">
        <w:t xml:space="preserve"> </w:t>
      </w:r>
      <w:r w:rsidR="008038D4" w:rsidRPr="00F35716">
        <w:t>para la</w:t>
      </w:r>
      <w:r w:rsidR="00EC3C86" w:rsidRPr="00F35716">
        <w:t xml:space="preserve"> </w:t>
      </w:r>
      <w:r w:rsidRPr="00F35716">
        <w:t>igualdad</w:t>
      </w:r>
      <w:r w:rsidR="00EC3C86" w:rsidRPr="00F35716">
        <w:t xml:space="preserve"> </w:t>
      </w:r>
      <w:r w:rsidR="008038D4" w:rsidRPr="00F35716">
        <w:t>e</w:t>
      </w:r>
      <w:r w:rsidR="00EC3C86" w:rsidRPr="00F35716">
        <w:t xml:space="preserve"> igualdad de oportunidades. </w:t>
      </w:r>
    </w:p>
    <w:p w14:paraId="32E9421F" w14:textId="45B1F579" w:rsidR="00EC3C86" w:rsidRPr="00F35716" w:rsidRDefault="00EC3C86" w:rsidP="00B3192A">
      <w:pPr>
        <w:pStyle w:val="SingleTxt"/>
        <w:numPr>
          <w:ilvl w:val="0"/>
          <w:numId w:val="8"/>
        </w:numPr>
        <w:ind w:left="1267" w:firstLine="0"/>
      </w:pPr>
      <w:r w:rsidRPr="00F35716">
        <w:t>La Ley Orgánica núm. 29</w:t>
      </w:r>
      <w:r w:rsidR="00BE0818" w:rsidRPr="00F35716">
        <w:t>-11</w:t>
      </w:r>
      <w:r w:rsidRPr="00F35716">
        <w:t xml:space="preserve"> insta a los partidos políticos a que hagan todo lo posible para lograr que un tercio de los puestos de sus órganos administrados a nivel nacional y regional estén ocupados por mujeres, con vistas a hacer realidad de forma progresiva el principio de paridad.</w:t>
      </w:r>
    </w:p>
    <w:p w14:paraId="32E94220" w14:textId="707497FE" w:rsidR="00EC3C86" w:rsidRPr="00F35716" w:rsidRDefault="00EC3C86" w:rsidP="00B3192A">
      <w:pPr>
        <w:pStyle w:val="SingleTxt"/>
        <w:numPr>
          <w:ilvl w:val="0"/>
          <w:numId w:val="8"/>
        </w:numPr>
        <w:ind w:left="1267" w:firstLine="0"/>
      </w:pPr>
      <w:r w:rsidRPr="00F35716">
        <w:t>Se creó un fondo de apoyo para impulsar la representación de las mujeres financia</w:t>
      </w:r>
      <w:r w:rsidR="00BE0818" w:rsidRPr="00F35716">
        <w:t>ndo</w:t>
      </w:r>
      <w:r w:rsidRPr="00F35716">
        <w:t xml:space="preserve"> </w:t>
      </w:r>
      <w:r w:rsidR="004E5569" w:rsidRPr="00F35716">
        <w:t xml:space="preserve">actividades y </w:t>
      </w:r>
      <w:r w:rsidRPr="00F35716">
        <w:t>programas aprobad</w:t>
      </w:r>
      <w:r w:rsidR="004E5569" w:rsidRPr="00F35716">
        <w:t>o</w:t>
      </w:r>
      <w:r w:rsidR="00B76CC6" w:rsidRPr="00F35716">
        <w:t>s</w:t>
      </w:r>
      <w:r w:rsidRPr="00F35716">
        <w:t xml:space="preserve"> por los partidos políticos y la sociedad civil a nivel nacional y </w:t>
      </w:r>
      <w:r w:rsidR="004E5569" w:rsidRPr="00F35716">
        <w:t>local</w:t>
      </w:r>
      <w:r w:rsidRPr="00F35716">
        <w:t xml:space="preserve">, con una </w:t>
      </w:r>
      <w:r w:rsidR="004E5569" w:rsidRPr="00F35716">
        <w:t xml:space="preserve">dotación </w:t>
      </w:r>
      <w:r w:rsidRPr="00F35716">
        <w:t xml:space="preserve">financiera de 10 millones de dírhams anuales. </w:t>
      </w:r>
    </w:p>
    <w:p w14:paraId="32E94221" w14:textId="68BAC67A" w:rsidR="00EC3C86" w:rsidRPr="00F35716" w:rsidRDefault="00EC3C86" w:rsidP="00B3192A">
      <w:pPr>
        <w:pStyle w:val="SingleTxt"/>
        <w:numPr>
          <w:ilvl w:val="0"/>
          <w:numId w:val="8"/>
        </w:numPr>
        <w:ind w:left="1267" w:firstLine="0"/>
      </w:pPr>
      <w:r w:rsidRPr="00F35716">
        <w:t xml:space="preserve">Se creó un programa orientado a apoyar las capacidades de las mujeres a nivel </w:t>
      </w:r>
      <w:r w:rsidR="004E5569" w:rsidRPr="00F35716">
        <w:t>local</w:t>
      </w:r>
      <w:r w:rsidR="00C36C74" w:rsidRPr="00F35716">
        <w:t>,</w:t>
      </w:r>
      <w:r w:rsidR="004E5569" w:rsidRPr="00F35716">
        <w:t xml:space="preserve"> </w:t>
      </w:r>
      <w:r w:rsidRPr="00F35716">
        <w:t>mediante la formación, la cualificación y la adopción de programas especiales en favor del liderazgo de la mujer</w:t>
      </w:r>
      <w:r w:rsidR="00C36C74" w:rsidRPr="00F35716">
        <w:t>,</w:t>
      </w:r>
      <w:r w:rsidRPr="00F35716">
        <w:t xml:space="preserve"> y a celebrar seminarios regionales dirigidos a las mujeres que ocupan cargos elect</w:t>
      </w:r>
      <w:r w:rsidR="00C36C74" w:rsidRPr="00F35716">
        <w:t>iv</w:t>
      </w:r>
      <w:r w:rsidRPr="00F35716">
        <w:t xml:space="preserve">os. </w:t>
      </w:r>
      <w:r w:rsidR="004E5569" w:rsidRPr="00F35716">
        <w:t>E</w:t>
      </w:r>
      <w:r w:rsidRPr="00F35716">
        <w:t>ntre 2013 y 2015 se</w:t>
      </w:r>
      <w:r w:rsidR="001B6E48" w:rsidRPr="00F35716">
        <w:t> </w:t>
      </w:r>
      <w:r w:rsidRPr="00F35716">
        <w:t>organizaron 16 seminarios para 4.600 mujeres ele</w:t>
      </w:r>
      <w:r w:rsidR="00C36C74" w:rsidRPr="00F35716">
        <w:t>gidas</w:t>
      </w:r>
      <w:r w:rsidR="004E5569" w:rsidRPr="00F35716">
        <w:t xml:space="preserve">. Se puso en marcha un plan de apoyo al establecimiento de redes entre </w:t>
      </w:r>
      <w:r w:rsidR="000375F9" w:rsidRPr="00F35716">
        <w:t>mujeres ele</w:t>
      </w:r>
      <w:r w:rsidR="008038D4" w:rsidRPr="00F35716">
        <w:t>gidas</w:t>
      </w:r>
      <w:r w:rsidR="000375F9" w:rsidRPr="00F35716">
        <w:t xml:space="preserve"> a nivel local, regional y en África.</w:t>
      </w:r>
      <w:r w:rsidRPr="00F35716">
        <w:t xml:space="preserve"> </w:t>
      </w:r>
      <w:r w:rsidR="000375F9" w:rsidRPr="00F35716">
        <w:t>E</w:t>
      </w:r>
      <w:r w:rsidRPr="00F35716">
        <w:t>ntre 2012 y 2014 se crearon 2 redes para mujeres ele</w:t>
      </w:r>
      <w:r w:rsidR="008038D4" w:rsidRPr="00F35716">
        <w:t>gida</w:t>
      </w:r>
      <w:r w:rsidRPr="00F35716">
        <w:t xml:space="preserve">s a nivel local, 6 redes a nivel </w:t>
      </w:r>
      <w:r w:rsidR="004E5569" w:rsidRPr="00F35716">
        <w:t xml:space="preserve">regional </w:t>
      </w:r>
      <w:r w:rsidRPr="00F35716">
        <w:t>y de prefectura, y 1 red de mujeres ele</w:t>
      </w:r>
      <w:r w:rsidR="008038D4" w:rsidRPr="00F35716">
        <w:t>gida</w:t>
      </w:r>
      <w:r w:rsidRPr="00F35716">
        <w:t xml:space="preserve">s en África. </w:t>
      </w:r>
    </w:p>
    <w:p w14:paraId="32E94222" w14:textId="4C326889" w:rsidR="00EC3C86" w:rsidRPr="00F35716" w:rsidRDefault="00EC3C86" w:rsidP="001B6E48">
      <w:pPr>
        <w:pStyle w:val="SingleTxt"/>
        <w:keepLines/>
        <w:numPr>
          <w:ilvl w:val="0"/>
          <w:numId w:val="8"/>
        </w:numPr>
        <w:ind w:left="1267" w:firstLine="0"/>
      </w:pPr>
      <w:r w:rsidRPr="00F35716">
        <w:lastRenderedPageBreak/>
        <w:t xml:space="preserve">Marruecos </w:t>
      </w:r>
      <w:r w:rsidR="008038D4" w:rsidRPr="00F35716">
        <w:t>man</w:t>
      </w:r>
      <w:r w:rsidRPr="00F35716">
        <w:t>tiene alianzas con el Consejo Europeo, como la Alianza para un Mañana Igualitario, establecida en septiembre de 2012</w:t>
      </w:r>
      <w:r w:rsidR="000375F9" w:rsidRPr="00F35716">
        <w:rPr>
          <w:vertAlign w:val="superscript"/>
        </w:rPr>
        <w:footnoteReference w:id="36"/>
      </w:r>
      <w:r w:rsidRPr="00F35716">
        <w:t xml:space="preserve">. En 2015 el ministerio competente puso en marcha, en cooperación con la Organización para la Cooperación y el Desarrollo Económicos, el programa </w:t>
      </w:r>
      <w:r w:rsidR="00801A38" w:rsidRPr="00F35716">
        <w:t>“</w:t>
      </w:r>
      <w:r w:rsidRPr="00F35716">
        <w:t>Hacia gobiernos inclusivos y abiertos: mejorar la participación de la mujer en el Parlamento y los consejos formados por miembros elect</w:t>
      </w:r>
      <w:r w:rsidR="002548DE" w:rsidRPr="00F35716">
        <w:t>iv</w:t>
      </w:r>
      <w:r w:rsidRPr="00F35716">
        <w:t>os</w:t>
      </w:r>
      <w:r w:rsidR="00801A38" w:rsidRPr="00F35716">
        <w:t>”</w:t>
      </w:r>
      <w:r w:rsidR="000375F9" w:rsidRPr="00F35716">
        <w:t xml:space="preserve"> para</w:t>
      </w:r>
      <w:r w:rsidRPr="00F35716">
        <w:t xml:space="preserve"> </w:t>
      </w:r>
      <w:r w:rsidR="000375F9" w:rsidRPr="00F35716">
        <w:t>promover</w:t>
      </w:r>
      <w:r w:rsidRPr="00F35716">
        <w:t xml:space="preserve"> la inclusión de las mujeres en la vida pública, en la toma de decisiones y en la</w:t>
      </w:r>
      <w:r w:rsidR="000375F9" w:rsidRPr="00F35716">
        <w:t xml:space="preserve"> formulación de</w:t>
      </w:r>
      <w:r w:rsidRPr="00F35716">
        <w:t xml:space="preserve"> políticas.</w:t>
      </w:r>
    </w:p>
    <w:p w14:paraId="32E94223" w14:textId="1D3F1E26" w:rsidR="00EC3C86" w:rsidRPr="00F35716" w:rsidRDefault="00EC3C86" w:rsidP="00B3192A">
      <w:pPr>
        <w:pStyle w:val="SingleTxt"/>
        <w:numPr>
          <w:ilvl w:val="0"/>
          <w:numId w:val="8"/>
        </w:numPr>
        <w:ind w:left="1267" w:firstLine="0"/>
      </w:pPr>
      <w:r w:rsidRPr="00F35716">
        <w:t xml:space="preserve"> Con el fin de reforzar las capacidades de las mujeres candidatas y ele</w:t>
      </w:r>
      <w:r w:rsidR="002548DE" w:rsidRPr="00F35716">
        <w:t>gidas</w:t>
      </w:r>
      <w:r w:rsidRPr="00F35716">
        <w:t xml:space="preserve"> en materia de </w:t>
      </w:r>
      <w:r w:rsidR="000375F9" w:rsidRPr="00F35716">
        <w:t xml:space="preserve">incorporación de la perspectiva de </w:t>
      </w:r>
      <w:r w:rsidRPr="00F35716">
        <w:t xml:space="preserve">género y gestión de asuntos locales y nacionales, en septiembre de 2016 se </w:t>
      </w:r>
      <w:r w:rsidR="000375F9" w:rsidRPr="00F35716">
        <w:t>impartieron</w:t>
      </w:r>
      <w:r w:rsidRPr="00F35716">
        <w:t xml:space="preserve"> dos </w:t>
      </w:r>
      <w:r w:rsidR="000375F9" w:rsidRPr="00F35716">
        <w:t>cursos de formación</w:t>
      </w:r>
      <w:r w:rsidRPr="00F35716">
        <w:t xml:space="preserve"> </w:t>
      </w:r>
      <w:r w:rsidR="000375F9" w:rsidRPr="00F35716">
        <w:t>sobre el</w:t>
      </w:r>
      <w:r w:rsidRPr="00F35716">
        <w:t xml:space="preserve"> fortalecimiento de las capacidades de las mujeres candidatas para las elecciones parlamentarias, a l</w:t>
      </w:r>
      <w:r w:rsidR="000375F9" w:rsidRPr="00F35716">
        <w:t>o</w:t>
      </w:r>
      <w:r w:rsidRPr="00F35716">
        <w:t>s que asistieron 78 mujeres. Asimismo, se celebr</w:t>
      </w:r>
      <w:r w:rsidR="000375F9" w:rsidRPr="00F35716">
        <w:t>ó una</w:t>
      </w:r>
      <w:r w:rsidRPr="00F35716">
        <w:t xml:space="preserve"> consulta pública en la que participaron 40 organizaciones parlamentarias y de </w:t>
      </w:r>
      <w:r w:rsidR="000375F9" w:rsidRPr="00F35716">
        <w:t xml:space="preserve">la </w:t>
      </w:r>
      <w:r w:rsidRPr="00F35716">
        <w:t xml:space="preserve">sociedad civil. </w:t>
      </w:r>
      <w:r w:rsidR="002548DE" w:rsidRPr="00F35716">
        <w:t>S</w:t>
      </w:r>
      <w:r w:rsidRPr="00F35716">
        <w:t xml:space="preserve">e organizaron sesiones </w:t>
      </w:r>
      <w:r w:rsidR="00D2197C" w:rsidRPr="00F35716">
        <w:t>de asesoramiento</w:t>
      </w:r>
      <w:r w:rsidRPr="00F35716">
        <w:t xml:space="preserve"> dirigidas a las parlamentarias y presidentas </w:t>
      </w:r>
      <w:r w:rsidR="00D2197C" w:rsidRPr="00F35716">
        <w:t xml:space="preserve">de </w:t>
      </w:r>
      <w:r w:rsidR="002548DE" w:rsidRPr="00F35716">
        <w:t>gobiernos</w:t>
      </w:r>
      <w:r w:rsidR="00D2197C" w:rsidRPr="00F35716">
        <w:t xml:space="preserve"> locales y regiones</w:t>
      </w:r>
      <w:r w:rsidRPr="00F35716">
        <w:t xml:space="preserve"> sobre </w:t>
      </w:r>
      <w:r w:rsidR="00D2197C" w:rsidRPr="00F35716">
        <w:t xml:space="preserve">cómo </w:t>
      </w:r>
      <w:r w:rsidRPr="00F35716">
        <w:t xml:space="preserve">poner al Parlamento y a </w:t>
      </w:r>
      <w:r w:rsidR="00D2197C" w:rsidRPr="00F35716">
        <w:t>las comunidades</w:t>
      </w:r>
      <w:r w:rsidRPr="00F35716">
        <w:t xml:space="preserve"> locales al servicio de mujeres y hombres</w:t>
      </w:r>
      <w:r w:rsidR="00D2197C" w:rsidRPr="00F35716">
        <w:t>. Durante la Conferencia de Diálogo Regional, celebrada en julio de 2018</w:t>
      </w:r>
      <w:r w:rsidRPr="00F35716">
        <w:t xml:space="preserve">, se </w:t>
      </w:r>
      <w:r w:rsidR="00D2197C" w:rsidRPr="00F35716">
        <w:t>presentaron</w:t>
      </w:r>
      <w:r w:rsidRPr="00F35716">
        <w:t xml:space="preserve"> </w:t>
      </w:r>
      <w:r w:rsidR="00D2197C" w:rsidRPr="00F35716">
        <w:t>l</w:t>
      </w:r>
      <w:r w:rsidRPr="00F35716">
        <w:t>os informes</w:t>
      </w:r>
      <w:r w:rsidR="00D2197C" w:rsidRPr="00F35716">
        <w:t xml:space="preserve"> titulados, “E</w:t>
      </w:r>
      <w:r w:rsidRPr="00F35716">
        <w:t>valuar la participación política de las mujeres</w:t>
      </w:r>
      <w:r w:rsidR="00D2197C" w:rsidRPr="00F35716">
        <w:t>: la situación</w:t>
      </w:r>
      <w:r w:rsidRPr="00F35716">
        <w:t xml:space="preserve"> en Marruecos</w:t>
      </w:r>
      <w:r w:rsidR="00D2197C" w:rsidRPr="00F35716">
        <w:t>”</w:t>
      </w:r>
      <w:r w:rsidRPr="00F35716">
        <w:t xml:space="preserve"> y </w:t>
      </w:r>
      <w:r w:rsidR="00D2197C" w:rsidRPr="00F35716">
        <w:t xml:space="preserve">“Evaluar </w:t>
      </w:r>
      <w:r w:rsidRPr="00F35716">
        <w:t>la participación de las mujeres en la vida política en el Parlamento y los consejos elect</w:t>
      </w:r>
      <w:r w:rsidR="002548DE" w:rsidRPr="00F35716">
        <w:t>iv</w:t>
      </w:r>
      <w:r w:rsidRPr="00F35716">
        <w:t>os de</w:t>
      </w:r>
      <w:r w:rsidR="00D2197C" w:rsidRPr="00F35716">
        <w:t xml:space="preserve"> Marruecos”</w:t>
      </w:r>
      <w:r w:rsidRPr="00F35716">
        <w:t>.</w:t>
      </w:r>
    </w:p>
    <w:p w14:paraId="32E94224" w14:textId="77777777" w:rsidR="007E044D" w:rsidRPr="00F35716" w:rsidRDefault="007E044D" w:rsidP="007E044D">
      <w:pPr>
        <w:pStyle w:val="SingleTxt"/>
        <w:spacing w:after="0" w:line="120" w:lineRule="exact"/>
        <w:rPr>
          <w:sz w:val="10"/>
          <w:szCs w:val="20"/>
        </w:rPr>
      </w:pPr>
      <w:bookmarkStart w:id="17" w:name="_Toc24015475"/>
      <w:bookmarkStart w:id="18" w:name="_Toc24100782"/>
      <w:bookmarkStart w:id="19" w:name="_Toc24548856"/>
      <w:bookmarkStart w:id="20" w:name="_Toc28165898"/>
    </w:p>
    <w:p w14:paraId="32E94225" w14:textId="77777777" w:rsidR="00EC3C86" w:rsidRPr="00F35716" w:rsidRDefault="00DC7516"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Cs w:val="0"/>
          <w:szCs w:val="20"/>
        </w:rPr>
        <w:t>Artículo 5</w:t>
      </w:r>
      <w:bookmarkEnd w:id="17"/>
      <w:bookmarkEnd w:id="18"/>
      <w:bookmarkEnd w:id="19"/>
      <w:bookmarkEnd w:id="20"/>
    </w:p>
    <w:p w14:paraId="32E94226" w14:textId="77777777" w:rsidR="007E044D" w:rsidRPr="00F35716" w:rsidRDefault="007E044D" w:rsidP="007E044D">
      <w:pPr>
        <w:pStyle w:val="SingleTxt"/>
        <w:spacing w:after="0" w:line="120" w:lineRule="exact"/>
        <w:rPr>
          <w:sz w:val="10"/>
          <w:szCs w:val="20"/>
        </w:rPr>
      </w:pPr>
    </w:p>
    <w:p w14:paraId="32E94227" w14:textId="55587BF7" w:rsidR="00EC3C86" w:rsidRPr="00F35716" w:rsidRDefault="00EC3C86" w:rsidP="00B3192A">
      <w:pPr>
        <w:pStyle w:val="SingleTxt"/>
        <w:numPr>
          <w:ilvl w:val="0"/>
          <w:numId w:val="8"/>
        </w:numPr>
        <w:ind w:left="1267" w:firstLine="0"/>
      </w:pPr>
      <w:r w:rsidRPr="00F35716">
        <w:t xml:space="preserve">Con el objetivo de </w:t>
      </w:r>
      <w:r w:rsidR="0051211E" w:rsidRPr="00F35716">
        <w:t xml:space="preserve">promover </w:t>
      </w:r>
      <w:r w:rsidRPr="00F35716">
        <w:t xml:space="preserve">la imagen </w:t>
      </w:r>
      <w:r w:rsidR="0051211E" w:rsidRPr="00F35716">
        <w:t xml:space="preserve">y el papel </w:t>
      </w:r>
      <w:r w:rsidRPr="00F35716">
        <w:t>de las mujeres e incrementar su participación en los medios de comunicación, el sector de la</w:t>
      </w:r>
      <w:r w:rsidR="0051211E" w:rsidRPr="00F35716">
        <w:t>s</w:t>
      </w:r>
      <w:r w:rsidRPr="00F35716">
        <w:t xml:space="preserve"> comunicaci</w:t>
      </w:r>
      <w:r w:rsidR="0051211E" w:rsidRPr="00F35716">
        <w:t>ones</w:t>
      </w:r>
      <w:r w:rsidRPr="00F35716">
        <w:t xml:space="preserve"> </w:t>
      </w:r>
      <w:r w:rsidR="0051211E" w:rsidRPr="00F35716">
        <w:t>adoptó,</w:t>
      </w:r>
      <w:r w:rsidRPr="00F35716">
        <w:t xml:space="preserve"> </w:t>
      </w:r>
      <w:r w:rsidR="0051211E" w:rsidRPr="00F35716">
        <w:t xml:space="preserve">durante el período comprendido </w:t>
      </w:r>
      <w:r w:rsidRPr="00F35716">
        <w:t>entre 2006 y 2010</w:t>
      </w:r>
      <w:r w:rsidR="0051211E" w:rsidRPr="00F35716">
        <w:t>,</w:t>
      </w:r>
      <w:r w:rsidRPr="00F35716">
        <w:t xml:space="preserve"> el Programa </w:t>
      </w:r>
      <w:r w:rsidR="00842265" w:rsidRPr="00F35716">
        <w:t>de</w:t>
      </w:r>
      <w:r w:rsidRPr="00F35716">
        <w:t xml:space="preserve"> Mediano Plazo para Instaurar la Igualdad de Género</w:t>
      </w:r>
      <w:r w:rsidR="0051211E" w:rsidRPr="00F35716">
        <w:rPr>
          <w:vertAlign w:val="superscript"/>
        </w:rPr>
        <w:footnoteReference w:id="37"/>
      </w:r>
      <w:r w:rsidRPr="00F35716">
        <w:t xml:space="preserve">. Este </w:t>
      </w:r>
      <w:r w:rsidR="00842265" w:rsidRPr="00F35716">
        <w:t>programa gir</w:t>
      </w:r>
      <w:r w:rsidR="0051211E" w:rsidRPr="00F35716">
        <w:t xml:space="preserve">a en torno a </w:t>
      </w:r>
      <w:r w:rsidRPr="00F35716">
        <w:t>tres ejes</w:t>
      </w:r>
      <w:r w:rsidR="0051211E" w:rsidRPr="00F35716">
        <w:t>:</w:t>
      </w:r>
      <w:r w:rsidRPr="00F35716">
        <w:t xml:space="preserve"> </w:t>
      </w:r>
      <w:r w:rsidR="0051211E" w:rsidRPr="00F35716">
        <w:t>e</w:t>
      </w:r>
      <w:r w:rsidRPr="00F35716">
        <w:t xml:space="preserve">l fortalecimiento de la capacidad institucional de los sectores </w:t>
      </w:r>
      <w:r w:rsidR="0051211E" w:rsidRPr="00F35716">
        <w:t>pertinentes</w:t>
      </w:r>
      <w:r w:rsidRPr="00F35716">
        <w:t xml:space="preserve"> </w:t>
      </w:r>
      <w:r w:rsidR="0051211E" w:rsidRPr="00F35716">
        <w:t>e</w:t>
      </w:r>
      <w:r w:rsidRPr="00F35716">
        <w:t xml:space="preserve"> instituciones asociadas </w:t>
      </w:r>
      <w:r w:rsidR="00842265" w:rsidRPr="00F35716">
        <w:t>para</w:t>
      </w:r>
      <w:r w:rsidRPr="00F35716">
        <w:t xml:space="preserve"> tener en cuenta la igualdad de género en las políticas, </w:t>
      </w:r>
      <w:r w:rsidR="0051211E" w:rsidRPr="00F35716">
        <w:t xml:space="preserve">los </w:t>
      </w:r>
      <w:r w:rsidRPr="00F35716">
        <w:t xml:space="preserve">programas y </w:t>
      </w:r>
      <w:r w:rsidR="0051211E" w:rsidRPr="00F35716">
        <w:t xml:space="preserve">las </w:t>
      </w:r>
      <w:r w:rsidRPr="00F35716">
        <w:t>prácticas</w:t>
      </w:r>
      <w:r w:rsidR="0051211E" w:rsidRPr="00F35716">
        <w:t>;</w:t>
      </w:r>
      <w:r w:rsidRPr="00F35716">
        <w:t xml:space="preserve"> </w:t>
      </w:r>
      <w:r w:rsidR="0051211E" w:rsidRPr="00F35716">
        <w:t>el refuerzo de</w:t>
      </w:r>
      <w:r w:rsidRPr="00F35716">
        <w:t xml:space="preserve"> las capacidades de los </w:t>
      </w:r>
      <w:r w:rsidR="0051211E" w:rsidRPr="00F35716">
        <w:t xml:space="preserve">principales agentes; y </w:t>
      </w:r>
      <w:r w:rsidRPr="00F35716">
        <w:t xml:space="preserve">el apoyo a la igualdad de género y el empoderamiento de las mujeres para que ocupen cargos decisorios. </w:t>
      </w:r>
    </w:p>
    <w:p w14:paraId="32E94228" w14:textId="50CA0628" w:rsidR="00EC3C86" w:rsidRPr="00F35716" w:rsidRDefault="00EC3C86" w:rsidP="00B3192A">
      <w:pPr>
        <w:pStyle w:val="SingleTxt"/>
        <w:numPr>
          <w:ilvl w:val="0"/>
          <w:numId w:val="8"/>
        </w:numPr>
        <w:ind w:left="1267" w:firstLine="0"/>
      </w:pPr>
      <w:r w:rsidRPr="00F35716">
        <w:t xml:space="preserve">En 2012 se </w:t>
      </w:r>
      <w:r w:rsidR="009617DF" w:rsidRPr="00F35716">
        <w:t>establecieron especificaciones aplicables a</w:t>
      </w:r>
      <w:r w:rsidRPr="00F35716">
        <w:t xml:space="preserve"> l</w:t>
      </w:r>
      <w:r w:rsidR="009617DF" w:rsidRPr="00F35716">
        <w:t>a</w:t>
      </w:r>
      <w:r w:rsidRPr="00F35716">
        <w:t xml:space="preserve">s </w:t>
      </w:r>
      <w:r w:rsidR="009617DF" w:rsidRPr="00F35716">
        <w:t>emisoras</w:t>
      </w:r>
      <w:r w:rsidRPr="00F35716">
        <w:t xml:space="preserve"> públic</w:t>
      </w:r>
      <w:r w:rsidR="009617DF" w:rsidRPr="00F35716">
        <w:t>a</w:t>
      </w:r>
      <w:r w:rsidRPr="00F35716">
        <w:t xml:space="preserve">s para </w:t>
      </w:r>
      <w:r w:rsidR="009617DF" w:rsidRPr="00F35716">
        <w:t xml:space="preserve">que </w:t>
      </w:r>
      <w:r w:rsidRPr="00F35716">
        <w:t>mejorar</w:t>
      </w:r>
      <w:r w:rsidR="009617DF" w:rsidRPr="00F35716">
        <w:t>an</w:t>
      </w:r>
      <w:r w:rsidRPr="00F35716">
        <w:t xml:space="preserve"> la imagen </w:t>
      </w:r>
      <w:r w:rsidR="009617DF" w:rsidRPr="00F35716">
        <w:t xml:space="preserve">que transmitían </w:t>
      </w:r>
      <w:r w:rsidRPr="00F35716">
        <w:t xml:space="preserve">de la mujer. </w:t>
      </w:r>
      <w:r w:rsidR="0051211E" w:rsidRPr="00F35716">
        <w:t>Los informes anuales preparados por</w:t>
      </w:r>
      <w:r w:rsidRPr="00F35716">
        <w:t xml:space="preserve"> las compañías audiovisuales públicas examinan hasta qué punto se respetan los requisitos para mejorar </w:t>
      </w:r>
      <w:r w:rsidR="00F3244B" w:rsidRPr="00F35716">
        <w:t>la</w:t>
      </w:r>
      <w:r w:rsidRPr="00F35716">
        <w:t xml:space="preserve"> imagen</w:t>
      </w:r>
      <w:r w:rsidR="00F3244B" w:rsidRPr="00F35716">
        <w:t xml:space="preserve"> de la mujer</w:t>
      </w:r>
      <w:r w:rsidRPr="00F35716">
        <w:t xml:space="preserve">. </w:t>
      </w:r>
    </w:p>
    <w:p w14:paraId="32E94229" w14:textId="00076FAD" w:rsidR="00EC3C86" w:rsidRPr="00F35716" w:rsidRDefault="00EC3C86" w:rsidP="00B3192A">
      <w:pPr>
        <w:pStyle w:val="SingleTxt"/>
        <w:numPr>
          <w:ilvl w:val="0"/>
          <w:numId w:val="8"/>
        </w:numPr>
        <w:ind w:left="1267" w:firstLine="0"/>
      </w:pPr>
      <w:r w:rsidRPr="00F35716">
        <w:t xml:space="preserve">En 2013, la Sociedad Nacional de Radio y Televisión </w:t>
      </w:r>
      <w:r w:rsidR="00AC17FF" w:rsidRPr="00F35716">
        <w:t>redactó</w:t>
      </w:r>
      <w:r w:rsidRPr="00F35716">
        <w:t xml:space="preserve"> un código deontológico en el que se comprometió a garantizar la aplicación de un</w:t>
      </w:r>
      <w:r w:rsidR="00AC17FF" w:rsidRPr="00F35716">
        <w:t xml:space="preserve"> enfoque</w:t>
      </w:r>
      <w:r w:rsidRPr="00F35716">
        <w:t xml:space="preserve"> de género en sus programas y a fomentar </w:t>
      </w:r>
      <w:r w:rsidR="00AC17FF" w:rsidRPr="00F35716">
        <w:t>dicho enfoque en sus</w:t>
      </w:r>
      <w:r w:rsidRPr="00F35716">
        <w:t xml:space="preserve"> práctica</w:t>
      </w:r>
      <w:r w:rsidR="00AC17FF" w:rsidRPr="00F35716">
        <w:t>s</w:t>
      </w:r>
      <w:r w:rsidRPr="00F35716">
        <w:t xml:space="preserve"> profesional</w:t>
      </w:r>
      <w:r w:rsidR="00AC17FF" w:rsidRPr="00F35716">
        <w:t>es</w:t>
      </w:r>
      <w:r w:rsidRPr="00F35716">
        <w:t xml:space="preserve">. En 2017 preparó un documento en materia de </w:t>
      </w:r>
      <w:r w:rsidR="00AC17FF" w:rsidRPr="00F35716">
        <w:t>paridad</w:t>
      </w:r>
      <w:r w:rsidR="00842265" w:rsidRPr="00F35716">
        <w:t>,</w:t>
      </w:r>
      <w:r w:rsidRPr="00F35716">
        <w:t xml:space="preserve"> </w:t>
      </w:r>
      <w:r w:rsidR="00AC17FF" w:rsidRPr="00F35716">
        <w:t>en el que se afirmaba el respeto de</w:t>
      </w:r>
      <w:r w:rsidRPr="00F35716">
        <w:t xml:space="preserve"> los principios de igualdad previstos en la Constitución y la necesidad de lograr </w:t>
      </w:r>
      <w:r w:rsidR="00B15F63" w:rsidRPr="00F35716">
        <w:t>una representación equitativa</w:t>
      </w:r>
      <w:r w:rsidRPr="00F35716">
        <w:t xml:space="preserve"> a nivel institucional y en los programas que emite. En 2014, el </w:t>
      </w:r>
      <w:r w:rsidR="00AC17FF" w:rsidRPr="00F35716">
        <w:t>C</w:t>
      </w:r>
      <w:r w:rsidRPr="00F35716">
        <w:t xml:space="preserve">anal </w:t>
      </w:r>
      <w:r w:rsidR="00AC17FF" w:rsidRPr="00F35716">
        <w:t xml:space="preserve">2 </w:t>
      </w:r>
      <w:r w:rsidRPr="00F35716">
        <w:t>preparó un código interno con el objetivo de crear</w:t>
      </w:r>
      <w:r w:rsidR="00585D41" w:rsidRPr="00F35716">
        <w:t> </w:t>
      </w:r>
      <w:r w:rsidRPr="00F35716">
        <w:t>y a</w:t>
      </w:r>
      <w:r w:rsidR="00AC17FF" w:rsidRPr="00F35716">
        <w:t>plicar</w:t>
      </w:r>
      <w:r w:rsidRPr="00F35716">
        <w:t xml:space="preserve"> todos los mecanismos y medios disponibles para promover </w:t>
      </w:r>
      <w:r w:rsidR="00AC17FF" w:rsidRPr="00F35716">
        <w:t xml:space="preserve">una mejor </w:t>
      </w:r>
      <w:r w:rsidRPr="00F35716">
        <w:t>imagen de la mujer.</w:t>
      </w:r>
    </w:p>
    <w:p w14:paraId="32E9422A" w14:textId="2900E9DB" w:rsidR="00EC3C86" w:rsidRPr="00F35716" w:rsidRDefault="00EC3C86" w:rsidP="003F5D4D">
      <w:pPr>
        <w:pStyle w:val="SingleTxt"/>
        <w:keepLines/>
        <w:numPr>
          <w:ilvl w:val="0"/>
          <w:numId w:val="8"/>
        </w:numPr>
        <w:ind w:left="1267" w:firstLine="0"/>
      </w:pPr>
      <w:r w:rsidRPr="00F35716">
        <w:lastRenderedPageBreak/>
        <w:t>La Ley núm. 83</w:t>
      </w:r>
      <w:r w:rsidR="00B15F63" w:rsidRPr="00F35716">
        <w:t>-</w:t>
      </w:r>
      <w:r w:rsidRPr="00F35716">
        <w:t xml:space="preserve">13 (2015), que </w:t>
      </w:r>
      <w:r w:rsidR="00F6645F" w:rsidRPr="00F35716">
        <w:t>amplía</w:t>
      </w:r>
      <w:r w:rsidRPr="00F35716">
        <w:t xml:space="preserve"> la Ley núm. 77</w:t>
      </w:r>
      <w:r w:rsidR="00B15F63" w:rsidRPr="00F35716">
        <w:t>-</w:t>
      </w:r>
      <w:r w:rsidRPr="00F35716">
        <w:t xml:space="preserve">03 (2005) </w:t>
      </w:r>
      <w:r w:rsidR="00B15F63" w:rsidRPr="00F35716">
        <w:t>de</w:t>
      </w:r>
      <w:r w:rsidRPr="00F35716">
        <w:t xml:space="preserve"> Comunicación Audiovisual</w:t>
      </w:r>
      <w:r w:rsidRPr="00F35716">
        <w:rPr>
          <w:vertAlign w:val="superscript"/>
        </w:rPr>
        <w:footnoteReference w:id="38"/>
      </w:r>
      <w:r w:rsidRPr="00F35716">
        <w:t>, se a</w:t>
      </w:r>
      <w:r w:rsidR="00F6645F" w:rsidRPr="00F35716">
        <w:t>probó</w:t>
      </w:r>
      <w:r w:rsidRPr="00F35716">
        <w:t xml:space="preserve"> con el objetivo de promover una cultura basada en la igualdad de género, contribuir a la lucha contra la discriminación por razón de género y prevenir la publicidad que </w:t>
      </w:r>
      <w:r w:rsidR="00B15F63" w:rsidRPr="00F35716">
        <w:t>perpetúa los</w:t>
      </w:r>
      <w:r w:rsidRPr="00F35716">
        <w:t xml:space="preserve"> estereotipos sobre las mujeres. Dicha Ley insta a los operadores de medios de comunicación audiovisual a que luch</w:t>
      </w:r>
      <w:r w:rsidR="00B15F63" w:rsidRPr="00F35716">
        <w:t>en</w:t>
      </w:r>
      <w:r w:rsidRPr="00F35716">
        <w:t xml:space="preserve"> contra la discriminación de género y promuevan una cultura de igualdad de género en los medios de comunicación. </w:t>
      </w:r>
    </w:p>
    <w:p w14:paraId="32E9422B" w14:textId="1C473202" w:rsidR="00EC3C86" w:rsidRPr="00F35716" w:rsidRDefault="00EC3C86" w:rsidP="00B3192A">
      <w:pPr>
        <w:pStyle w:val="SingleTxt"/>
        <w:numPr>
          <w:ilvl w:val="0"/>
          <w:numId w:val="8"/>
        </w:numPr>
        <w:ind w:left="1267" w:firstLine="0"/>
      </w:pPr>
      <w:r w:rsidRPr="00F35716">
        <w:t>La Ley núm. 88</w:t>
      </w:r>
      <w:r w:rsidR="00F6645F" w:rsidRPr="00F35716">
        <w:t>-</w:t>
      </w:r>
      <w:r w:rsidRPr="00F35716">
        <w:t>13 de Prensa y Publicaciones prohíbe toda publicidad en l</w:t>
      </w:r>
      <w:r w:rsidR="00F6645F" w:rsidRPr="00F35716">
        <w:t>os</w:t>
      </w:r>
      <w:r w:rsidRPr="00F35716">
        <w:t xml:space="preserve"> </w:t>
      </w:r>
      <w:r w:rsidR="00F6645F" w:rsidRPr="00F35716">
        <w:t xml:space="preserve">medios </w:t>
      </w:r>
      <w:r w:rsidRPr="00F35716">
        <w:t>impres</w:t>
      </w:r>
      <w:r w:rsidR="00F6645F" w:rsidRPr="00F35716">
        <w:t>os</w:t>
      </w:r>
      <w:r w:rsidRPr="00F35716">
        <w:t xml:space="preserve"> o electrónic</w:t>
      </w:r>
      <w:r w:rsidR="00F6645F" w:rsidRPr="00F35716">
        <w:t>os</w:t>
      </w:r>
      <w:r w:rsidRPr="00F35716">
        <w:t xml:space="preserve"> que </w:t>
      </w:r>
      <w:r w:rsidR="00F6645F" w:rsidRPr="00F35716">
        <w:t>constituya una ofensa o un</w:t>
      </w:r>
      <w:r w:rsidRPr="00F35716">
        <w:t xml:space="preserve"> insulto</w:t>
      </w:r>
      <w:r w:rsidR="00F6645F" w:rsidRPr="00F35716">
        <w:t xml:space="preserve"> a</w:t>
      </w:r>
      <w:r w:rsidRPr="00F35716">
        <w:t xml:space="preserve"> las mujeres</w:t>
      </w:r>
      <w:r w:rsidR="00F6645F" w:rsidRPr="00F35716">
        <w:t>,</w:t>
      </w:r>
      <w:r w:rsidRPr="00F35716">
        <w:t xml:space="preserve"> contenga mensajes que </w:t>
      </w:r>
      <w:r w:rsidR="00F6645F" w:rsidRPr="00F35716">
        <w:t xml:space="preserve">perpetúen </w:t>
      </w:r>
      <w:r w:rsidRPr="00F35716">
        <w:t>la</w:t>
      </w:r>
      <w:r w:rsidR="00F6645F" w:rsidRPr="00F35716">
        <w:t xml:space="preserve"> idea de</w:t>
      </w:r>
      <w:r w:rsidRPr="00F35716">
        <w:t xml:space="preserve"> inferioridad de la mujer o promueva su discriminación. </w:t>
      </w:r>
    </w:p>
    <w:p w14:paraId="32E9422C" w14:textId="77EED3F6" w:rsidR="00EC3C86" w:rsidRPr="00F35716" w:rsidRDefault="00EC3C86" w:rsidP="00B3192A">
      <w:pPr>
        <w:pStyle w:val="SingleTxt"/>
        <w:numPr>
          <w:ilvl w:val="0"/>
          <w:numId w:val="8"/>
        </w:numPr>
        <w:ind w:left="1267" w:firstLine="0"/>
      </w:pPr>
      <w:r w:rsidRPr="00F35716">
        <w:t xml:space="preserve">Se </w:t>
      </w:r>
      <w:r w:rsidR="00F6645F" w:rsidRPr="00F35716">
        <w:t xml:space="preserve">ha </w:t>
      </w:r>
      <w:r w:rsidR="0070692D" w:rsidRPr="00F35716">
        <w:t>completado</w:t>
      </w:r>
      <w:r w:rsidRPr="00F35716">
        <w:t xml:space="preserve"> una guía para combatir los estereotipos de género en los medios de comunicación en Marruecos, destinada a supervisar la presencia de esta clase de estereotipos en los medios y ofrecer alternativas </w:t>
      </w:r>
      <w:r w:rsidR="00F6645F" w:rsidRPr="00F35716">
        <w:t>a</w:t>
      </w:r>
      <w:r w:rsidRPr="00F35716">
        <w:t xml:space="preserve"> </w:t>
      </w:r>
      <w:r w:rsidR="00F6645F" w:rsidRPr="00F35716">
        <w:t>las</w:t>
      </w:r>
      <w:r w:rsidRPr="00F35716">
        <w:t xml:space="preserve"> prácticas </w:t>
      </w:r>
      <w:r w:rsidR="00F6645F" w:rsidRPr="00F35716">
        <w:t>mediáticas existentes</w:t>
      </w:r>
      <w:r w:rsidR="007456D5" w:rsidRPr="00F35716">
        <w:t xml:space="preserve">. Se ha ordenado </w:t>
      </w:r>
      <w:r w:rsidRPr="00F35716">
        <w:t>a</w:t>
      </w:r>
      <w:r w:rsidR="00105947" w:rsidRPr="00F35716">
        <w:t> </w:t>
      </w:r>
      <w:r w:rsidRPr="00F35716">
        <w:t>los trabajadores</w:t>
      </w:r>
      <w:r w:rsidR="007456D5" w:rsidRPr="00F35716">
        <w:t xml:space="preserve"> y trabajadoras</w:t>
      </w:r>
      <w:r w:rsidRPr="00F35716">
        <w:t xml:space="preserve"> </w:t>
      </w:r>
      <w:r w:rsidR="007456D5" w:rsidRPr="00F35716">
        <w:t>de los medios de comunicación que</w:t>
      </w:r>
      <w:r w:rsidRPr="00F35716">
        <w:t xml:space="preserve"> incorpor</w:t>
      </w:r>
      <w:r w:rsidR="007456D5" w:rsidRPr="00F35716">
        <w:t>en</w:t>
      </w:r>
      <w:r w:rsidRPr="00F35716">
        <w:t xml:space="preserve"> de</w:t>
      </w:r>
      <w:r w:rsidR="00807323" w:rsidRPr="00F35716">
        <w:t> </w:t>
      </w:r>
      <w:r w:rsidRPr="00F35716">
        <w:t xml:space="preserve">manera automática y permanente </w:t>
      </w:r>
      <w:r w:rsidR="007456D5" w:rsidRPr="00F35716">
        <w:t>l</w:t>
      </w:r>
      <w:r w:rsidRPr="00F35716">
        <w:t xml:space="preserve">a perspectiva de género </w:t>
      </w:r>
      <w:r w:rsidR="007456D5" w:rsidRPr="00F35716">
        <w:t>en</w:t>
      </w:r>
      <w:r w:rsidRPr="00F35716">
        <w:t xml:space="preserve"> sus prácticas cotidianas.</w:t>
      </w:r>
    </w:p>
    <w:p w14:paraId="32E9422D" w14:textId="4608A009" w:rsidR="00EC3C86" w:rsidRPr="00F35716" w:rsidRDefault="00EC3C86" w:rsidP="00B3192A">
      <w:pPr>
        <w:pStyle w:val="SingleTxt"/>
        <w:numPr>
          <w:ilvl w:val="0"/>
          <w:numId w:val="8"/>
        </w:numPr>
        <w:ind w:left="1267" w:firstLine="0"/>
      </w:pPr>
      <w:r w:rsidRPr="00F35716">
        <w:t>Estas medidas han tenido un impacto positivo en la presencia de mujeres en los medios audiovisuales</w:t>
      </w:r>
      <w:r w:rsidR="007456D5" w:rsidRPr="00F35716">
        <w:t>. E</w:t>
      </w:r>
      <w:r w:rsidRPr="00F35716">
        <w:t xml:space="preserve">l porcentaje de intervenciones de </w:t>
      </w:r>
      <w:r w:rsidR="007456D5" w:rsidRPr="00F35716">
        <w:t>figuras</w:t>
      </w:r>
      <w:r w:rsidRPr="00F35716">
        <w:t xml:space="preserve"> públic</w:t>
      </w:r>
      <w:r w:rsidR="007456D5" w:rsidRPr="00F35716">
        <w:t>a</w:t>
      </w:r>
      <w:r w:rsidRPr="00F35716">
        <w:t>s femenin</w:t>
      </w:r>
      <w:r w:rsidR="007456D5" w:rsidRPr="00F35716">
        <w:t>a</w:t>
      </w:r>
      <w:r w:rsidRPr="00F35716">
        <w:t>s alcanzó el 17,35</w:t>
      </w:r>
      <w:r w:rsidR="00AE6357" w:rsidRPr="00F35716">
        <w:t> %</w:t>
      </w:r>
      <w:r w:rsidRPr="00F35716">
        <w:t xml:space="preserve"> en el </w:t>
      </w:r>
      <w:r w:rsidR="007456D5" w:rsidRPr="00F35716">
        <w:t>C</w:t>
      </w:r>
      <w:r w:rsidRPr="00F35716">
        <w:t>anal</w:t>
      </w:r>
      <w:r w:rsidR="007456D5" w:rsidRPr="00F35716">
        <w:t xml:space="preserve"> 1</w:t>
      </w:r>
      <w:r w:rsidRPr="00F35716">
        <w:t xml:space="preserve"> y el 20,30</w:t>
      </w:r>
      <w:r w:rsidR="00AE6357" w:rsidRPr="00F35716">
        <w:t> %</w:t>
      </w:r>
      <w:r w:rsidRPr="00F35716">
        <w:t xml:space="preserve"> en el </w:t>
      </w:r>
      <w:r w:rsidR="007456D5" w:rsidRPr="00F35716">
        <w:t>C</w:t>
      </w:r>
      <w:r w:rsidRPr="00F35716">
        <w:t>anal</w:t>
      </w:r>
      <w:r w:rsidR="007456D5" w:rsidRPr="00F35716">
        <w:t xml:space="preserve"> 2</w:t>
      </w:r>
      <w:r w:rsidRPr="00F35716">
        <w:t xml:space="preserve"> durante el cuarto trimestre de 2018, </w:t>
      </w:r>
      <w:r w:rsidR="007456D5" w:rsidRPr="00F35716">
        <w:t>frente a</w:t>
      </w:r>
      <w:r w:rsidRPr="00F35716">
        <w:t>l 13,37</w:t>
      </w:r>
      <w:r w:rsidR="00AE6357" w:rsidRPr="00F35716">
        <w:t> %</w:t>
      </w:r>
      <w:r w:rsidRPr="00F35716">
        <w:t xml:space="preserve"> en el </w:t>
      </w:r>
      <w:r w:rsidR="007456D5" w:rsidRPr="00F35716">
        <w:t>C</w:t>
      </w:r>
      <w:r w:rsidRPr="00F35716">
        <w:t>anal y el 13,70</w:t>
      </w:r>
      <w:r w:rsidR="00AE6357" w:rsidRPr="00F35716">
        <w:t> %</w:t>
      </w:r>
      <w:r w:rsidRPr="00F35716">
        <w:t xml:space="preserve"> en el </w:t>
      </w:r>
      <w:r w:rsidR="007456D5" w:rsidRPr="00F35716">
        <w:t>C</w:t>
      </w:r>
      <w:r w:rsidRPr="00F35716">
        <w:t xml:space="preserve">anal </w:t>
      </w:r>
      <w:r w:rsidR="007456D5" w:rsidRPr="00F35716">
        <w:t xml:space="preserve">2 </w:t>
      </w:r>
      <w:r w:rsidRPr="00F35716">
        <w:t>durante el mismo período de 2017</w:t>
      </w:r>
      <w:r w:rsidRPr="00F35716">
        <w:rPr>
          <w:vertAlign w:val="superscript"/>
        </w:rPr>
        <w:footnoteReference w:id="39"/>
      </w:r>
      <w:r w:rsidRPr="00F35716">
        <w:t>. En los informativos, el 20</w:t>
      </w:r>
      <w:r w:rsidR="00AE6357" w:rsidRPr="00F35716">
        <w:t> %</w:t>
      </w:r>
      <w:r w:rsidRPr="00F35716">
        <w:t xml:space="preserve"> de las noticias tienen a mujeres como protagonistas u origen de la información, mientras que el</w:t>
      </w:r>
      <w:r w:rsidR="00A972BD" w:rsidRPr="00F35716">
        <w:t> </w:t>
      </w:r>
      <w:r w:rsidRPr="00F35716">
        <w:t>80</w:t>
      </w:r>
      <w:r w:rsidR="00A972BD" w:rsidRPr="00F35716">
        <w:t> </w:t>
      </w:r>
      <w:r w:rsidRPr="00F35716">
        <w:t>% están asociadas a hombres. Por su parte, la industria de la información está integrada por un 46</w:t>
      </w:r>
      <w:r w:rsidR="00AE6357" w:rsidRPr="00F35716">
        <w:t> %</w:t>
      </w:r>
      <w:r w:rsidRPr="00F35716">
        <w:t xml:space="preserve"> de mujeres y un 64</w:t>
      </w:r>
      <w:r w:rsidR="00AE6357" w:rsidRPr="00F35716">
        <w:t> %</w:t>
      </w:r>
      <w:r w:rsidRPr="00F35716">
        <w:t xml:space="preserve"> de hombres. A nivel profesional, el 70</w:t>
      </w:r>
      <w:r w:rsidR="00AE6357" w:rsidRPr="00F35716">
        <w:t> %</w:t>
      </w:r>
      <w:r w:rsidRPr="00F35716">
        <w:t xml:space="preserve"> de los informativos </w:t>
      </w:r>
      <w:r w:rsidR="00125F73" w:rsidRPr="00F35716">
        <w:t>los</w:t>
      </w:r>
      <w:r w:rsidRPr="00F35716">
        <w:t xml:space="preserve"> presenta</w:t>
      </w:r>
      <w:r w:rsidR="00125F73" w:rsidRPr="00F35716">
        <w:t>n</w:t>
      </w:r>
      <w:r w:rsidRPr="00F35716">
        <w:t xml:space="preserve"> mujeres y el 30</w:t>
      </w:r>
      <w:r w:rsidR="00AE6357" w:rsidRPr="00F35716">
        <w:t> %</w:t>
      </w:r>
      <w:r w:rsidRPr="00F35716">
        <w:t>, hombres</w:t>
      </w:r>
      <w:r w:rsidR="00125F73" w:rsidRPr="00F35716">
        <w:t>. E</w:t>
      </w:r>
      <w:r w:rsidRPr="00F35716">
        <w:t xml:space="preserve">n la prensa escrita y la radio la representación </w:t>
      </w:r>
      <w:r w:rsidR="0070692D" w:rsidRPr="00F35716">
        <w:t>de las mujeres</w:t>
      </w:r>
      <w:r w:rsidRPr="00F35716">
        <w:t xml:space="preserve"> es del</w:t>
      </w:r>
      <w:r w:rsidR="00AE6357" w:rsidRPr="00F35716">
        <w:t> </w:t>
      </w:r>
      <w:r w:rsidRPr="00F35716">
        <w:t>22</w:t>
      </w:r>
      <w:r w:rsidR="00AE6357" w:rsidRPr="00F35716">
        <w:t> %</w:t>
      </w:r>
      <w:r w:rsidRPr="00F35716">
        <w:t xml:space="preserve"> y del 34</w:t>
      </w:r>
      <w:r w:rsidR="00AE6357" w:rsidRPr="00F35716">
        <w:t> %</w:t>
      </w:r>
      <w:r w:rsidRPr="00F35716">
        <w:t>, respectivamente</w:t>
      </w:r>
      <w:r w:rsidRPr="00F35716">
        <w:rPr>
          <w:vertAlign w:val="superscript"/>
        </w:rPr>
        <w:footnoteReference w:id="40"/>
      </w:r>
      <w:r w:rsidRPr="00F35716">
        <w:t>.</w:t>
      </w:r>
    </w:p>
    <w:p w14:paraId="32E9422E" w14:textId="5B186000" w:rsidR="00EC3C86" w:rsidRPr="00F35716" w:rsidRDefault="00EC3C86" w:rsidP="00B3192A">
      <w:pPr>
        <w:pStyle w:val="SingleTxt"/>
        <w:numPr>
          <w:ilvl w:val="0"/>
          <w:numId w:val="8"/>
        </w:numPr>
        <w:ind w:left="1267" w:firstLine="0"/>
      </w:pPr>
      <w:r w:rsidRPr="00F35716">
        <w:t>E</w:t>
      </w:r>
      <w:r w:rsidR="00004964" w:rsidRPr="00F35716">
        <w:t>n 2014 se creó e</w:t>
      </w:r>
      <w:r w:rsidRPr="00F35716">
        <w:t>l Observatorio Nacional de la Imagen de la Mujer en los Medios</w:t>
      </w:r>
      <w:r w:rsidRPr="00F35716">
        <w:rPr>
          <w:vertAlign w:val="superscript"/>
        </w:rPr>
        <w:footnoteReference w:id="41"/>
      </w:r>
      <w:r w:rsidRPr="00F35716">
        <w:t xml:space="preserve"> con una </w:t>
      </w:r>
      <w:r w:rsidR="0067379A" w:rsidRPr="00F35716">
        <w:t>triple misión</w:t>
      </w:r>
      <w:r w:rsidRPr="00F35716">
        <w:rPr>
          <w:vertAlign w:val="superscript"/>
        </w:rPr>
        <w:footnoteReference w:id="42"/>
      </w:r>
      <w:r w:rsidR="0067379A" w:rsidRPr="00F35716">
        <w:t>:</w:t>
      </w:r>
      <w:r w:rsidRPr="00F35716">
        <w:t xml:space="preserve"> </w:t>
      </w:r>
      <w:r w:rsidR="0067379A" w:rsidRPr="00F35716">
        <w:t xml:space="preserve">observar </w:t>
      </w:r>
      <w:r w:rsidRPr="00F35716">
        <w:t xml:space="preserve">la imagen de las mujeres en </w:t>
      </w:r>
      <w:r w:rsidR="0067379A" w:rsidRPr="00F35716">
        <w:t>distintos</w:t>
      </w:r>
      <w:r w:rsidRPr="00F35716">
        <w:t xml:space="preserve"> medios escritos, audiovisuales y digitales</w:t>
      </w:r>
      <w:r w:rsidR="0067379A" w:rsidRPr="00F35716">
        <w:t>,</w:t>
      </w:r>
      <w:r w:rsidRPr="00F35716">
        <w:t xml:space="preserve"> y hacer un seguimiento de ella, </w:t>
      </w:r>
      <w:r w:rsidR="0067379A" w:rsidRPr="00F35716">
        <w:t xml:space="preserve">y </w:t>
      </w:r>
      <w:r w:rsidRPr="00F35716">
        <w:t>luchar contra los estereotipos</w:t>
      </w:r>
      <w:r w:rsidR="0067379A" w:rsidRPr="00F35716">
        <w:t>;</w:t>
      </w:r>
      <w:r w:rsidRPr="00F35716">
        <w:t xml:space="preserve"> </w:t>
      </w:r>
      <w:r w:rsidR="00F0104A" w:rsidRPr="00F35716">
        <w:t>sensibilizar</w:t>
      </w:r>
      <w:r w:rsidR="0067379A" w:rsidRPr="00F35716">
        <w:t>; y</w:t>
      </w:r>
      <w:r w:rsidRPr="00F35716">
        <w:t xml:space="preserve"> difundir una cultura de igualdad y promo</w:t>
      </w:r>
      <w:r w:rsidR="00F0104A" w:rsidRPr="00F35716">
        <w:t>ción de</w:t>
      </w:r>
      <w:r w:rsidRPr="00F35716">
        <w:t xml:space="preserve"> los derechos de las</w:t>
      </w:r>
      <w:r w:rsidR="00C22208" w:rsidRPr="00F35716">
        <w:t> </w:t>
      </w:r>
      <w:r w:rsidRPr="00F35716">
        <w:t>mujeres.</w:t>
      </w:r>
    </w:p>
    <w:p w14:paraId="32E9422F" w14:textId="05252C93" w:rsidR="00EC3C86" w:rsidRPr="00F35716" w:rsidRDefault="00F0104A" w:rsidP="00B3192A">
      <w:pPr>
        <w:pStyle w:val="SingleTxt"/>
        <w:numPr>
          <w:ilvl w:val="0"/>
          <w:numId w:val="8"/>
        </w:numPr>
        <w:ind w:left="1267" w:firstLine="0"/>
      </w:pPr>
      <w:r w:rsidRPr="00F35716">
        <w:t>En relación con</w:t>
      </w:r>
      <w:r w:rsidR="008D253F" w:rsidRPr="00F35716">
        <w:t xml:space="preserve"> el párrafo 19 de las observaciones finales</w:t>
      </w:r>
      <w:r w:rsidR="00EC3C86" w:rsidRPr="00F35716">
        <w:t xml:space="preserve">, el Gobierno </w:t>
      </w:r>
      <w:r w:rsidRPr="00F35716">
        <w:t xml:space="preserve">ha </w:t>
      </w:r>
      <w:r w:rsidR="00EC3C86" w:rsidRPr="00F35716">
        <w:t>trat</w:t>
      </w:r>
      <w:r w:rsidRPr="00F35716">
        <w:t>ado</w:t>
      </w:r>
      <w:r w:rsidR="00EC3C86" w:rsidRPr="00F35716">
        <w:t xml:space="preserve"> de modificar los patrones sociales y culturales y </w:t>
      </w:r>
      <w:r w:rsidRPr="00F35716">
        <w:t>combatir</w:t>
      </w:r>
      <w:r w:rsidR="00EC3C86" w:rsidRPr="00F35716">
        <w:t xml:space="preserve"> los estereotipos en las instituciones educativas y de instrucción religiosa</w:t>
      </w:r>
      <w:r w:rsidRPr="00F35716">
        <w:t>. Se ha incluido material didáctico sobre</w:t>
      </w:r>
      <w:r w:rsidR="00EC3C86" w:rsidRPr="00F35716">
        <w:t xml:space="preserve"> educación familiar en los </w:t>
      </w:r>
      <w:r w:rsidRPr="00F35716">
        <w:t>planes de estudios de secundaria</w:t>
      </w:r>
      <w:r w:rsidR="00EC3C86" w:rsidRPr="00F35716">
        <w:t xml:space="preserve"> y l</w:t>
      </w:r>
      <w:r w:rsidR="007909B2" w:rsidRPr="00F35716">
        <w:t>a sección sobre</w:t>
      </w:r>
      <w:r w:rsidR="00EC3C86" w:rsidRPr="00F35716">
        <w:t xml:space="preserve"> educación para la ciudadanía en los planes de </w:t>
      </w:r>
      <w:r w:rsidRPr="00F35716">
        <w:t>estudios de</w:t>
      </w:r>
      <w:r w:rsidR="00EC3C86" w:rsidRPr="00F35716">
        <w:t xml:space="preserve"> primaria y secundaria. Se </w:t>
      </w:r>
      <w:r w:rsidRPr="00F35716">
        <w:t>ha añadido</w:t>
      </w:r>
      <w:r w:rsidR="00EC3C86" w:rsidRPr="00F35716">
        <w:t xml:space="preserve"> una </w:t>
      </w:r>
      <w:r w:rsidR="007909B2" w:rsidRPr="00F35716">
        <w:t>sección sobre</w:t>
      </w:r>
      <w:r w:rsidR="00EC3C86" w:rsidRPr="00F35716">
        <w:t xml:space="preserve"> la igualdad en </w:t>
      </w:r>
      <w:r w:rsidRPr="00F35716">
        <w:t xml:space="preserve">los planes de estudios de </w:t>
      </w:r>
      <w:r w:rsidR="00EC3C86" w:rsidRPr="00F35716">
        <w:t>secundaria</w:t>
      </w:r>
      <w:r w:rsidRPr="00F35716">
        <w:t xml:space="preserve">. Se han </w:t>
      </w:r>
      <w:r w:rsidR="00EC3C86" w:rsidRPr="00F35716">
        <w:t>prepara</w:t>
      </w:r>
      <w:r w:rsidRPr="00F35716">
        <w:t>do</w:t>
      </w:r>
      <w:r w:rsidR="00EC3C86" w:rsidRPr="00F35716">
        <w:t xml:space="preserve"> </w:t>
      </w:r>
      <w:r w:rsidRPr="00F35716">
        <w:t xml:space="preserve">folletos </w:t>
      </w:r>
      <w:r w:rsidR="00EC3C86" w:rsidRPr="00F35716">
        <w:t xml:space="preserve">y guías para </w:t>
      </w:r>
      <w:r w:rsidRPr="00F35716">
        <w:t xml:space="preserve">promover </w:t>
      </w:r>
      <w:r w:rsidR="00EC3C86" w:rsidRPr="00F35716">
        <w:t>los valores de igualdad en los planes de estudio</w:t>
      </w:r>
      <w:r w:rsidRPr="00F35716">
        <w:t>s escolares</w:t>
      </w:r>
      <w:r w:rsidR="00EC3C86" w:rsidRPr="00F35716">
        <w:t xml:space="preserve"> y </w:t>
      </w:r>
      <w:r w:rsidR="00004964" w:rsidRPr="00F35716">
        <w:t xml:space="preserve">en </w:t>
      </w:r>
      <w:r w:rsidR="00EC3C86" w:rsidRPr="00F35716">
        <w:t xml:space="preserve">la vida </w:t>
      </w:r>
      <w:r w:rsidRPr="00F35716">
        <w:t>académica</w:t>
      </w:r>
      <w:r w:rsidR="00EC3C86" w:rsidRPr="00F35716">
        <w:t xml:space="preserve">. </w:t>
      </w:r>
      <w:r w:rsidRPr="00F35716">
        <w:t>E</w:t>
      </w:r>
      <w:r w:rsidR="00EC3C86" w:rsidRPr="00F35716">
        <w:t xml:space="preserve">n 2014 se eliminaron todos los contenidos </w:t>
      </w:r>
      <w:r w:rsidR="007909B2" w:rsidRPr="00F35716">
        <w:t>e</w:t>
      </w:r>
      <w:r w:rsidR="00EC3C86" w:rsidRPr="00F35716">
        <w:t xml:space="preserve"> imágenes que atenta</w:t>
      </w:r>
      <w:r w:rsidR="007909B2" w:rsidRPr="00F35716">
        <w:t>ba</w:t>
      </w:r>
      <w:r w:rsidR="00EC3C86" w:rsidRPr="00F35716">
        <w:t>n contra los</w:t>
      </w:r>
      <w:r w:rsidR="00A33C9A" w:rsidRPr="00F35716">
        <w:t> </w:t>
      </w:r>
      <w:r w:rsidR="00EC3C86" w:rsidRPr="00F35716">
        <w:t xml:space="preserve">valores de igualdad y tolerancia de 147 libros de texto de diferentes materias. </w:t>
      </w:r>
      <w:r w:rsidR="007909B2" w:rsidRPr="00F35716">
        <w:t>E</w:t>
      </w:r>
      <w:r w:rsidR="00EC3C86" w:rsidRPr="00F35716">
        <w:t xml:space="preserve">n 2016 se </w:t>
      </w:r>
      <w:r w:rsidR="00004964" w:rsidRPr="00F35716">
        <w:t>llevó a cabo</w:t>
      </w:r>
      <w:r w:rsidR="00EC3C86" w:rsidRPr="00F35716">
        <w:t xml:space="preserve"> una revisión exhaustiva del plan de estudios de educación islámica y se eliminó de </w:t>
      </w:r>
      <w:r w:rsidR="007909B2" w:rsidRPr="00F35716">
        <w:t>los</w:t>
      </w:r>
      <w:r w:rsidR="00EC3C86" w:rsidRPr="00F35716">
        <w:t xml:space="preserve"> nuevos libros todo contenido </w:t>
      </w:r>
      <w:r w:rsidR="00EC3C86" w:rsidRPr="00F35716">
        <w:lastRenderedPageBreak/>
        <w:t xml:space="preserve">que fomentase la discriminación por motivos de género, </w:t>
      </w:r>
      <w:r w:rsidR="007909B2" w:rsidRPr="00F35716">
        <w:t>color</w:t>
      </w:r>
      <w:r w:rsidR="00EC3C86" w:rsidRPr="00F35716">
        <w:t xml:space="preserve">, religión, </w:t>
      </w:r>
      <w:r w:rsidR="007909B2" w:rsidRPr="00F35716">
        <w:t>lengua</w:t>
      </w:r>
      <w:r w:rsidR="00EC3C86" w:rsidRPr="00F35716">
        <w:t xml:space="preserve">, discapacidad o </w:t>
      </w:r>
      <w:r w:rsidR="007909B2" w:rsidRPr="00F35716">
        <w:t>pertenencia étnica</w:t>
      </w:r>
      <w:r w:rsidR="00EC3C86" w:rsidRPr="00F35716">
        <w:t xml:space="preserve">. También se revisaron los </w:t>
      </w:r>
      <w:r w:rsidR="007909B2" w:rsidRPr="00F35716">
        <w:t>materiales</w:t>
      </w:r>
      <w:r w:rsidR="00EC3C86" w:rsidRPr="00F35716">
        <w:t xml:space="preserve"> </w:t>
      </w:r>
      <w:r w:rsidR="007909B2" w:rsidRPr="00F35716">
        <w:t>de</w:t>
      </w:r>
      <w:r w:rsidR="00EC3C86" w:rsidRPr="00F35716">
        <w:t xml:space="preserve"> la enseñanza tradicional y </w:t>
      </w:r>
      <w:r w:rsidR="007909B2" w:rsidRPr="00F35716">
        <w:t>los</w:t>
      </w:r>
      <w:r w:rsidR="00EC3C86" w:rsidRPr="00F35716">
        <w:t xml:space="preserve"> programa</w:t>
      </w:r>
      <w:r w:rsidR="007909B2" w:rsidRPr="00F35716">
        <w:t>s</w:t>
      </w:r>
      <w:r w:rsidR="00EC3C86" w:rsidRPr="00F35716">
        <w:t xml:space="preserve"> de alfabetización en las mezquitas, </w:t>
      </w:r>
      <w:r w:rsidR="007909B2" w:rsidRPr="00F35716">
        <w:t xml:space="preserve">que se reforzaron con material sobre la promoción de </w:t>
      </w:r>
      <w:r w:rsidR="00EC3C86" w:rsidRPr="00F35716">
        <w:t xml:space="preserve">los derechos de las mujeres. </w:t>
      </w:r>
    </w:p>
    <w:p w14:paraId="32E94230" w14:textId="46F8BE42" w:rsidR="00EC3C86" w:rsidRPr="00F35716" w:rsidRDefault="00EC3C86" w:rsidP="00CF322D">
      <w:pPr>
        <w:pStyle w:val="SingleTxt"/>
        <w:rPr>
          <w:szCs w:val="20"/>
        </w:rPr>
      </w:pPr>
      <w:r w:rsidRPr="00F35716">
        <w:rPr>
          <w:szCs w:val="20"/>
        </w:rPr>
        <w:t xml:space="preserve">El Ministerio de Habices y Asuntos Islámicos ha </w:t>
      </w:r>
      <w:r w:rsidR="007059AB" w:rsidRPr="00F35716">
        <w:rPr>
          <w:szCs w:val="20"/>
        </w:rPr>
        <w:t>desarrollado</w:t>
      </w:r>
      <w:r w:rsidRPr="00F35716">
        <w:rPr>
          <w:szCs w:val="20"/>
        </w:rPr>
        <w:t xml:space="preserve"> un programa </w:t>
      </w:r>
      <w:r w:rsidR="007059AB" w:rsidRPr="00F35716">
        <w:rPr>
          <w:szCs w:val="20"/>
        </w:rPr>
        <w:t>de formación dirigido a</w:t>
      </w:r>
      <w:r w:rsidRPr="00F35716">
        <w:rPr>
          <w:szCs w:val="20"/>
        </w:rPr>
        <w:t xml:space="preserve"> imanes </w:t>
      </w:r>
      <w:r w:rsidR="007059AB" w:rsidRPr="00F35716">
        <w:rPr>
          <w:szCs w:val="20"/>
        </w:rPr>
        <w:t xml:space="preserve">y </w:t>
      </w:r>
      <w:r w:rsidRPr="00F35716">
        <w:rPr>
          <w:szCs w:val="20"/>
        </w:rPr>
        <w:t xml:space="preserve">guías </w:t>
      </w:r>
      <w:r w:rsidR="007059AB" w:rsidRPr="00F35716">
        <w:rPr>
          <w:szCs w:val="20"/>
        </w:rPr>
        <w:t>espirituales de ambos sexos</w:t>
      </w:r>
      <w:r w:rsidRPr="00F35716">
        <w:rPr>
          <w:szCs w:val="20"/>
        </w:rPr>
        <w:t xml:space="preserve">, que la </w:t>
      </w:r>
      <w:r w:rsidR="00237DC0" w:rsidRPr="00F35716">
        <w:rPr>
          <w:szCs w:val="20"/>
        </w:rPr>
        <w:t>E</w:t>
      </w:r>
      <w:r w:rsidRPr="00F35716">
        <w:rPr>
          <w:szCs w:val="20"/>
        </w:rPr>
        <w:t xml:space="preserve">xperta independiente en </w:t>
      </w:r>
      <w:r w:rsidR="00237DC0" w:rsidRPr="00F35716">
        <w:rPr>
          <w:szCs w:val="20"/>
        </w:rPr>
        <w:t>la esfera</w:t>
      </w:r>
      <w:r w:rsidRPr="00F35716">
        <w:rPr>
          <w:szCs w:val="20"/>
        </w:rPr>
        <w:t xml:space="preserve"> de los derechos culturales </w:t>
      </w:r>
      <w:r w:rsidR="007059AB" w:rsidRPr="00F35716">
        <w:rPr>
          <w:szCs w:val="20"/>
        </w:rPr>
        <w:t xml:space="preserve">calificó </w:t>
      </w:r>
      <w:r w:rsidR="00A41A2F" w:rsidRPr="00F35716">
        <w:rPr>
          <w:szCs w:val="20"/>
        </w:rPr>
        <w:t xml:space="preserve">de experiencia y práctica óptimas </w:t>
      </w:r>
      <w:r w:rsidRPr="00F35716">
        <w:rPr>
          <w:szCs w:val="20"/>
        </w:rPr>
        <w:t>que constitu</w:t>
      </w:r>
      <w:r w:rsidR="00A41A2F" w:rsidRPr="00F35716">
        <w:rPr>
          <w:szCs w:val="20"/>
        </w:rPr>
        <w:t>ía</w:t>
      </w:r>
      <w:r w:rsidRPr="00F35716">
        <w:rPr>
          <w:szCs w:val="20"/>
        </w:rPr>
        <w:t xml:space="preserve"> un primer paso para garantizar la igualdad de oportunidades para que las mujeres guíen y expliquen cuestiones religiosas</w:t>
      </w:r>
      <w:r w:rsidR="00A41A2F" w:rsidRPr="00F35716">
        <w:rPr>
          <w:szCs w:val="20"/>
        </w:rPr>
        <w:t xml:space="preserve"> a otras personas</w:t>
      </w:r>
      <w:r w:rsidR="00A41A2F" w:rsidRPr="00F35716">
        <w:rPr>
          <w:szCs w:val="20"/>
          <w:vertAlign w:val="superscript"/>
        </w:rPr>
        <w:footnoteReference w:id="43"/>
      </w:r>
      <w:r w:rsidRPr="00F35716">
        <w:rPr>
          <w:szCs w:val="20"/>
        </w:rPr>
        <w:t xml:space="preserve">. </w:t>
      </w:r>
      <w:r w:rsidR="00853A6F" w:rsidRPr="00F35716">
        <w:rPr>
          <w:szCs w:val="20"/>
        </w:rPr>
        <w:t xml:space="preserve">Además, el programa </w:t>
      </w:r>
      <w:r w:rsidRPr="00F35716">
        <w:rPr>
          <w:szCs w:val="20"/>
        </w:rPr>
        <w:t>crea un espacio social y cultural para que las mujeres compartan</w:t>
      </w:r>
      <w:r w:rsidR="007C4DDD" w:rsidRPr="00F35716">
        <w:rPr>
          <w:szCs w:val="20"/>
        </w:rPr>
        <w:t> </w:t>
      </w:r>
      <w:r w:rsidRPr="00F35716">
        <w:rPr>
          <w:szCs w:val="20"/>
        </w:rPr>
        <w:t xml:space="preserve">sus experiencias y </w:t>
      </w:r>
      <w:r w:rsidR="00A41A2F" w:rsidRPr="00F35716">
        <w:rPr>
          <w:szCs w:val="20"/>
        </w:rPr>
        <w:t>aumenten</w:t>
      </w:r>
      <w:r w:rsidRPr="00F35716">
        <w:rPr>
          <w:szCs w:val="20"/>
        </w:rPr>
        <w:t xml:space="preserve"> su participación en la vida cultural. El número de guías </w:t>
      </w:r>
      <w:r w:rsidR="00A41A2F" w:rsidRPr="00F35716">
        <w:rPr>
          <w:szCs w:val="20"/>
        </w:rPr>
        <w:t xml:space="preserve">espirituales </w:t>
      </w:r>
      <w:r w:rsidRPr="00F35716">
        <w:rPr>
          <w:szCs w:val="20"/>
        </w:rPr>
        <w:t xml:space="preserve">femeninas </w:t>
      </w:r>
      <w:r w:rsidR="00A41A2F" w:rsidRPr="00F35716">
        <w:rPr>
          <w:szCs w:val="20"/>
        </w:rPr>
        <w:t>se incrementó</w:t>
      </w:r>
      <w:r w:rsidRPr="00F35716">
        <w:rPr>
          <w:szCs w:val="20"/>
        </w:rPr>
        <w:t xml:space="preserve"> de manera notable: en 2018 eran ya 916, lo que equivale al</w:t>
      </w:r>
      <w:r w:rsidR="007C4DDD" w:rsidRPr="00F35716">
        <w:rPr>
          <w:szCs w:val="20"/>
        </w:rPr>
        <w:t xml:space="preserve"> </w:t>
      </w:r>
      <w:r w:rsidRPr="00F35716">
        <w:rPr>
          <w:szCs w:val="20"/>
        </w:rPr>
        <w:t>45</w:t>
      </w:r>
      <w:r w:rsidR="00CF322D" w:rsidRPr="00F35716">
        <w:rPr>
          <w:szCs w:val="20"/>
        </w:rPr>
        <w:t> </w:t>
      </w:r>
      <w:r w:rsidRPr="00F35716">
        <w:rPr>
          <w:szCs w:val="20"/>
        </w:rPr>
        <w:t>%.</w:t>
      </w:r>
    </w:p>
    <w:p w14:paraId="32E94231" w14:textId="71F8FBA1" w:rsidR="00EC3C86" w:rsidRPr="00F35716" w:rsidRDefault="00EC3C86" w:rsidP="00B3192A">
      <w:pPr>
        <w:pStyle w:val="SingleTxt"/>
        <w:numPr>
          <w:ilvl w:val="0"/>
          <w:numId w:val="8"/>
        </w:numPr>
        <w:ind w:left="1267" w:firstLine="0"/>
      </w:pPr>
      <w:r w:rsidRPr="00F35716">
        <w:t xml:space="preserve">El programa del sector del empleo público </w:t>
      </w:r>
      <w:r w:rsidR="00237DC0" w:rsidRPr="00F35716">
        <w:t>gira en torno a</w:t>
      </w:r>
      <w:r w:rsidRPr="00F35716">
        <w:t xml:space="preserve"> cuatro ejes: in</w:t>
      </w:r>
      <w:r w:rsidR="00237DC0" w:rsidRPr="00F35716">
        <w:t>tegrar</w:t>
      </w:r>
      <w:r w:rsidRPr="00F35716">
        <w:t xml:space="preserve"> el principio de </w:t>
      </w:r>
      <w:r w:rsidR="00237DC0" w:rsidRPr="00F35716">
        <w:t xml:space="preserve">la </w:t>
      </w:r>
      <w:r w:rsidRPr="00F35716">
        <w:t xml:space="preserve">igualdad de género en las prácticas y políticas; </w:t>
      </w:r>
      <w:r w:rsidR="00237DC0" w:rsidRPr="00F35716">
        <w:t xml:space="preserve">reducir </w:t>
      </w:r>
      <w:r w:rsidRPr="00F35716">
        <w:t>las diferencias de género en la gestión de los recursos humanos; apoyar y fortalecer las c</w:t>
      </w:r>
      <w:r w:rsidR="00237DC0" w:rsidRPr="00F35716">
        <w:t>apacidades</w:t>
      </w:r>
      <w:r w:rsidRPr="00F35716">
        <w:t xml:space="preserve"> </w:t>
      </w:r>
      <w:r w:rsidR="00237DC0" w:rsidRPr="00F35716">
        <w:t xml:space="preserve">y </w:t>
      </w:r>
      <w:r w:rsidRPr="00F35716">
        <w:t>aumenta</w:t>
      </w:r>
      <w:r w:rsidR="00237DC0" w:rsidRPr="00F35716">
        <w:t>r</w:t>
      </w:r>
      <w:r w:rsidRPr="00F35716">
        <w:t xml:space="preserve"> la </w:t>
      </w:r>
      <w:r w:rsidR="00237DC0" w:rsidRPr="00F35716">
        <w:t>participación y representación</w:t>
      </w:r>
      <w:r w:rsidRPr="00F35716">
        <w:t xml:space="preserve"> de las mujeres en los puestos de toma de decisiones; y asegurar la conciliación de la vida familiar y profesional. </w:t>
      </w:r>
    </w:p>
    <w:p w14:paraId="32E94232" w14:textId="77777777" w:rsidR="00801A38" w:rsidRPr="00F35716" w:rsidRDefault="00801A38" w:rsidP="00801A38">
      <w:pPr>
        <w:pStyle w:val="SingleTxt"/>
        <w:spacing w:after="0" w:line="120" w:lineRule="exact"/>
        <w:rPr>
          <w:sz w:val="10"/>
          <w:szCs w:val="20"/>
        </w:rPr>
      </w:pPr>
      <w:bookmarkStart w:id="21" w:name="_Toc24015476"/>
      <w:bookmarkStart w:id="22" w:name="_Toc24100783"/>
      <w:bookmarkStart w:id="23" w:name="_Toc24548857"/>
      <w:bookmarkStart w:id="24" w:name="_Toc28165899"/>
    </w:p>
    <w:p w14:paraId="32E94233" w14:textId="77777777" w:rsidR="00EC3C86" w:rsidRPr="00F35716" w:rsidRDefault="00DC7516"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Cs w:val="0"/>
          <w:szCs w:val="20"/>
        </w:rPr>
        <w:t>Artículo 6</w:t>
      </w:r>
      <w:bookmarkEnd w:id="21"/>
      <w:bookmarkEnd w:id="22"/>
      <w:bookmarkEnd w:id="23"/>
      <w:bookmarkEnd w:id="24"/>
    </w:p>
    <w:p w14:paraId="32E94234" w14:textId="77777777" w:rsidR="00801A38" w:rsidRPr="00F35716" w:rsidRDefault="00801A38" w:rsidP="00801A38">
      <w:pPr>
        <w:pStyle w:val="SingleTxt"/>
        <w:spacing w:after="0" w:line="120" w:lineRule="exact"/>
        <w:rPr>
          <w:sz w:val="10"/>
          <w:szCs w:val="20"/>
        </w:rPr>
      </w:pPr>
    </w:p>
    <w:p w14:paraId="32E94235" w14:textId="5C0D545A" w:rsidR="00EC3C86" w:rsidRPr="00F35716" w:rsidRDefault="00EC3C86" w:rsidP="00B3192A">
      <w:pPr>
        <w:pStyle w:val="SingleTxt"/>
        <w:numPr>
          <w:ilvl w:val="0"/>
          <w:numId w:val="8"/>
        </w:numPr>
        <w:ind w:left="1267" w:firstLine="0"/>
      </w:pPr>
      <w:r w:rsidRPr="00F35716">
        <w:t>La Constitución del Reino de Marruecos ofrece todas las garantías para prevenir la explotación de la</w:t>
      </w:r>
      <w:r w:rsidR="00A05753" w:rsidRPr="00F35716">
        <w:t>s</w:t>
      </w:r>
      <w:r w:rsidRPr="00F35716">
        <w:t xml:space="preserve"> mujer</w:t>
      </w:r>
      <w:r w:rsidR="00A05753" w:rsidRPr="00F35716">
        <w:t>es</w:t>
      </w:r>
      <w:r w:rsidRPr="00F35716">
        <w:t>. Además, las leyes y</w:t>
      </w:r>
      <w:r w:rsidR="00A05753" w:rsidRPr="00F35716">
        <w:t xml:space="preserve"> la legislación</w:t>
      </w:r>
      <w:r w:rsidRPr="00F35716">
        <w:t xml:space="preserve"> nacionales garantizan la protección de las mujeres y </w:t>
      </w:r>
      <w:r w:rsidR="003A4CF3" w:rsidRPr="00F35716">
        <w:t xml:space="preserve">las </w:t>
      </w:r>
      <w:r w:rsidRPr="00F35716">
        <w:t>niñas frente a la explotación en el trabajo</w:t>
      </w:r>
      <w:r w:rsidR="00A05753" w:rsidRPr="00F35716">
        <w:t xml:space="preserve"> o con fines de</w:t>
      </w:r>
      <w:r w:rsidRPr="00F35716">
        <w:t xml:space="preserve"> prostitución y mendicidad.</w:t>
      </w:r>
    </w:p>
    <w:p w14:paraId="32E94236" w14:textId="5DEA497C" w:rsidR="00EC3C86" w:rsidRPr="00F35716" w:rsidRDefault="00EC3C86" w:rsidP="00B3192A">
      <w:pPr>
        <w:pStyle w:val="SingleTxt"/>
        <w:numPr>
          <w:ilvl w:val="0"/>
          <w:numId w:val="8"/>
        </w:numPr>
        <w:ind w:left="1267" w:firstLine="0"/>
      </w:pPr>
      <w:r w:rsidRPr="00F35716">
        <w:t>El Código Penal sanciona múltiples formas de explotación, especialmente la explotación de mujeres y niñas en la prostitución y la pornografía (artículos 497 a 504). Se han reforzado las disposiciones del Código Penal con la promulgación de la Ley núm. 27</w:t>
      </w:r>
      <w:r w:rsidR="00A05753" w:rsidRPr="00F35716">
        <w:t>-</w:t>
      </w:r>
      <w:r w:rsidRPr="00F35716">
        <w:t xml:space="preserve">14 </w:t>
      </w:r>
      <w:r w:rsidR="00A05753" w:rsidRPr="00F35716">
        <w:t>de</w:t>
      </w:r>
      <w:r w:rsidRPr="00F35716">
        <w:t xml:space="preserve"> Lucha contra la Trata de Personas, que penaliza toda explotación de personas en la pornografía, el turismo sexual o el trabajo forzoso, o cualquier </w:t>
      </w:r>
      <w:r w:rsidR="00A05753" w:rsidRPr="00F35716">
        <w:t>otra forma de explotación</w:t>
      </w:r>
      <w:r w:rsidRPr="00F35716">
        <w:t xml:space="preserve"> (artículo 448</w:t>
      </w:r>
      <w:r w:rsidR="00A05753" w:rsidRPr="00F35716">
        <w:t>-1</w:t>
      </w:r>
      <w:r w:rsidRPr="00F35716">
        <w:t xml:space="preserve">), con agravante si el delito se comete contra un menor por medio de la tortura o </w:t>
      </w:r>
      <w:r w:rsidR="00791665" w:rsidRPr="00F35716">
        <w:t>si lo comete</w:t>
      </w:r>
      <w:r w:rsidRPr="00F35716">
        <w:t xml:space="preserve"> una banda criminal.</w:t>
      </w:r>
      <w:r w:rsidR="00BD7E71" w:rsidRPr="00F35716">
        <w:t xml:space="preserve"> </w:t>
      </w:r>
      <w:r w:rsidRPr="00F35716">
        <w:t xml:space="preserve">Con el fin de apoyar los derechos de las víctimas de la trata de personas y facilitar su acceso a la protección judicial, las unidades de asistencia para mujeres, niños y niñas creadas </w:t>
      </w:r>
      <w:r w:rsidR="00791665" w:rsidRPr="00F35716">
        <w:t>por</w:t>
      </w:r>
      <w:r w:rsidRPr="00F35716">
        <w:t xml:space="preserve"> los tribunales reciben a las víctimas y las derivan a las unidades de asistencia </w:t>
      </w:r>
      <w:r w:rsidR="00791665" w:rsidRPr="00F35716">
        <w:t>de centros de</w:t>
      </w:r>
      <w:r w:rsidRPr="00F35716">
        <w:t xml:space="preserve"> atención médica </w:t>
      </w:r>
      <w:r w:rsidR="00791665" w:rsidRPr="00F35716">
        <w:t>para</w:t>
      </w:r>
      <w:r w:rsidRPr="00F35716">
        <w:t xml:space="preserve"> que reciban tratamiento</w:t>
      </w:r>
      <w:r w:rsidR="00791665" w:rsidRPr="00F35716">
        <w:t xml:space="preserve"> y</w:t>
      </w:r>
      <w:r w:rsidRPr="00F35716">
        <w:t xml:space="preserve"> obtengan certificados médicos</w:t>
      </w:r>
      <w:r w:rsidR="00791665" w:rsidRPr="00F35716">
        <w:t>. En caso necesario, se les ofrece</w:t>
      </w:r>
      <w:r w:rsidRPr="00F35716">
        <w:t xml:space="preserve"> acompañamiento </w:t>
      </w:r>
      <w:r w:rsidR="00791665" w:rsidRPr="00F35716">
        <w:t>y se les pone en</w:t>
      </w:r>
      <w:r w:rsidRPr="00F35716">
        <w:t xml:space="preserve"> contact</w:t>
      </w:r>
      <w:r w:rsidR="00791665" w:rsidRPr="00F35716">
        <w:t>o</w:t>
      </w:r>
      <w:r w:rsidRPr="00F35716">
        <w:t xml:space="preserve"> con centros de a</w:t>
      </w:r>
      <w:r w:rsidR="00791665" w:rsidRPr="00F35716">
        <w:t>sesoramiento</w:t>
      </w:r>
      <w:r w:rsidRPr="00F35716">
        <w:t xml:space="preserve"> o </w:t>
      </w:r>
      <w:r w:rsidR="00434572" w:rsidRPr="00F35716">
        <w:t>de acogida</w:t>
      </w:r>
      <w:r w:rsidRPr="00F35716">
        <w:t xml:space="preserve">. </w:t>
      </w:r>
    </w:p>
    <w:p w14:paraId="32E94237" w14:textId="4A9E131A" w:rsidR="00EC3C86" w:rsidRPr="00F35716" w:rsidRDefault="00EC3C86" w:rsidP="00B3192A">
      <w:pPr>
        <w:pStyle w:val="SingleTxt"/>
        <w:numPr>
          <w:ilvl w:val="0"/>
          <w:numId w:val="8"/>
        </w:numPr>
        <w:ind w:left="1267" w:firstLine="0"/>
      </w:pPr>
      <w:r w:rsidRPr="00F35716">
        <w:t xml:space="preserve">En </w:t>
      </w:r>
      <w:r w:rsidR="008D253F" w:rsidRPr="00F35716">
        <w:t>relación con el párrafo 21 de las observaciones finales</w:t>
      </w:r>
      <w:r w:rsidRPr="00F35716">
        <w:t xml:space="preserve">, </w:t>
      </w:r>
      <w:r w:rsidR="00791665" w:rsidRPr="00F35716">
        <w:t>el Parlamento tiene ante sí un</w:t>
      </w:r>
      <w:r w:rsidRPr="00F35716">
        <w:t xml:space="preserve"> proyecto de </w:t>
      </w:r>
      <w:r w:rsidR="00791665" w:rsidRPr="00F35716">
        <w:t>c</w:t>
      </w:r>
      <w:r w:rsidRPr="00F35716">
        <w:t xml:space="preserve">ódigo </w:t>
      </w:r>
      <w:r w:rsidR="00791665" w:rsidRPr="00F35716">
        <w:t>p</w:t>
      </w:r>
      <w:r w:rsidRPr="00F35716">
        <w:t xml:space="preserve">enal </w:t>
      </w:r>
      <w:r w:rsidR="00791665" w:rsidRPr="00F35716">
        <w:t xml:space="preserve">que </w:t>
      </w:r>
      <w:r w:rsidRPr="00F35716">
        <w:t>inclu</w:t>
      </w:r>
      <w:r w:rsidR="00791665" w:rsidRPr="00F35716">
        <w:t>ye</w:t>
      </w:r>
      <w:r w:rsidRPr="00F35716">
        <w:t xml:space="preserve"> un conjunto de disposiciones</w:t>
      </w:r>
      <w:r w:rsidRPr="00F35716" w:rsidDel="00A70761">
        <w:t xml:space="preserve"> </w:t>
      </w:r>
      <w:r w:rsidRPr="00F35716">
        <w:t xml:space="preserve">destinadas a fortalecer la protección </w:t>
      </w:r>
      <w:r w:rsidR="00791665" w:rsidRPr="00F35716">
        <w:t>legal</w:t>
      </w:r>
      <w:r w:rsidRPr="00F35716">
        <w:t xml:space="preserve"> para niños</w:t>
      </w:r>
      <w:r w:rsidR="00791665" w:rsidRPr="00F35716">
        <w:t>, niñas</w:t>
      </w:r>
      <w:r w:rsidRPr="00F35716">
        <w:t xml:space="preserve"> y mujeres, e</w:t>
      </w:r>
      <w:r w:rsidR="00791665" w:rsidRPr="00F35716">
        <w:t xml:space="preserve">n particular </w:t>
      </w:r>
      <w:r w:rsidR="006800F2" w:rsidRPr="00F35716">
        <w:t>con respecto a</w:t>
      </w:r>
      <w:r w:rsidRPr="00F35716">
        <w:t xml:space="preserve"> las agresiones sexuales contra menores:</w:t>
      </w:r>
    </w:p>
    <w:p w14:paraId="32E94238" w14:textId="7270F0C0" w:rsidR="00EC3C86" w:rsidRPr="00F35716" w:rsidRDefault="009D1CD3" w:rsidP="009D1CD3">
      <w:pPr>
        <w:pStyle w:val="SingleTxt"/>
        <w:tabs>
          <w:tab w:val="right" w:pos="1685"/>
        </w:tabs>
        <w:ind w:left="1742" w:hanging="475"/>
      </w:pPr>
      <w:r w:rsidRPr="00F35716">
        <w:tab/>
        <w:t>–</w:t>
      </w:r>
      <w:r w:rsidRPr="00F35716">
        <w:tab/>
      </w:r>
      <w:r w:rsidR="006800F2" w:rsidRPr="00F35716">
        <w:t xml:space="preserve">Se </w:t>
      </w:r>
      <w:r w:rsidR="00EC3C86" w:rsidRPr="00F35716">
        <w:t>endurec</w:t>
      </w:r>
      <w:r w:rsidR="006800F2" w:rsidRPr="00F35716">
        <w:t>en</w:t>
      </w:r>
      <w:r w:rsidR="00EC3C86" w:rsidRPr="00F35716">
        <w:t xml:space="preserve"> las sanciones </w:t>
      </w:r>
      <w:r w:rsidR="00434572" w:rsidRPr="00F35716">
        <w:t>impuestas</w:t>
      </w:r>
      <w:r w:rsidR="00EC3C86" w:rsidRPr="00F35716">
        <w:t xml:space="preserve"> por corrupción de un menor de 18 años </w:t>
      </w:r>
      <w:r w:rsidR="006800F2" w:rsidRPr="00F35716">
        <w:t xml:space="preserve">de edad </w:t>
      </w:r>
      <w:r w:rsidR="00EC3C86" w:rsidRPr="00F35716">
        <w:t>sin violencia</w:t>
      </w:r>
      <w:r w:rsidR="006800F2" w:rsidRPr="00F35716">
        <w:t xml:space="preserve"> y se pone fin a la </w:t>
      </w:r>
      <w:r w:rsidR="00EC3C86" w:rsidRPr="00F35716">
        <w:t>impun</w:t>
      </w:r>
      <w:r w:rsidR="006800F2" w:rsidRPr="00F35716">
        <w:t>idad</w:t>
      </w:r>
      <w:r w:rsidR="00EC3C86" w:rsidRPr="00F35716">
        <w:t xml:space="preserve"> (artículo</w:t>
      </w:r>
      <w:r w:rsidRPr="00F35716">
        <w:t> </w:t>
      </w:r>
      <w:r w:rsidR="00EC3C86" w:rsidRPr="00F35716">
        <w:t>475 del Código Penal);</w:t>
      </w:r>
    </w:p>
    <w:p w14:paraId="32E94239" w14:textId="52296452" w:rsidR="00EC3C86" w:rsidRPr="00F35716" w:rsidRDefault="009D1CD3" w:rsidP="009D1CD3">
      <w:pPr>
        <w:pStyle w:val="SingleTxt"/>
        <w:tabs>
          <w:tab w:val="right" w:pos="1685"/>
        </w:tabs>
        <w:ind w:left="1742" w:hanging="475"/>
      </w:pPr>
      <w:r w:rsidRPr="00F35716">
        <w:tab/>
        <w:t>–</w:t>
      </w:r>
      <w:r w:rsidRPr="00F35716">
        <w:tab/>
      </w:r>
      <w:r w:rsidR="006800F2" w:rsidRPr="00F35716">
        <w:t>Se</w:t>
      </w:r>
      <w:r w:rsidR="00EC3C86" w:rsidRPr="00F35716">
        <w:t xml:space="preserve"> endurec</w:t>
      </w:r>
      <w:r w:rsidR="006800F2" w:rsidRPr="00F35716">
        <w:t>en</w:t>
      </w:r>
      <w:r w:rsidR="00EC3C86" w:rsidRPr="00F35716">
        <w:t xml:space="preserve"> las sanciones por </w:t>
      </w:r>
      <w:r w:rsidR="006800F2" w:rsidRPr="00F35716">
        <w:t>agresión sexual</w:t>
      </w:r>
      <w:r w:rsidR="00EC3C86" w:rsidRPr="00F35716">
        <w:t xml:space="preserve"> de menores;</w:t>
      </w:r>
    </w:p>
    <w:p w14:paraId="32E9423A" w14:textId="77777777" w:rsidR="006D475B" w:rsidRPr="00F35716" w:rsidRDefault="006D475B">
      <w:pPr>
        <w:suppressAutoHyphens w:val="0"/>
        <w:spacing w:line="240" w:lineRule="auto"/>
        <w:rPr>
          <w:kern w:val="14"/>
        </w:rPr>
      </w:pPr>
      <w:r w:rsidRPr="00F35716">
        <w:br w:type="page"/>
      </w:r>
    </w:p>
    <w:p w14:paraId="32E9423B" w14:textId="5BEB13CA" w:rsidR="00EC3C86" w:rsidRPr="00F35716" w:rsidRDefault="009D1CD3" w:rsidP="009D1CD3">
      <w:pPr>
        <w:pStyle w:val="SingleTxt"/>
        <w:tabs>
          <w:tab w:val="right" w:pos="1685"/>
        </w:tabs>
        <w:ind w:left="1742" w:hanging="475"/>
      </w:pPr>
      <w:r w:rsidRPr="00F35716">
        <w:lastRenderedPageBreak/>
        <w:tab/>
        <w:t>–</w:t>
      </w:r>
      <w:r w:rsidRPr="00F35716">
        <w:tab/>
      </w:r>
      <w:r w:rsidR="006800F2" w:rsidRPr="00F35716">
        <w:t xml:space="preserve">Se </w:t>
      </w:r>
      <w:r w:rsidR="00EC3C86" w:rsidRPr="00F35716">
        <w:t>penaliza la incitación de menores a la prostitución;</w:t>
      </w:r>
    </w:p>
    <w:p w14:paraId="32E9423C" w14:textId="10DA0570" w:rsidR="00EC3C86" w:rsidRPr="00F35716" w:rsidRDefault="009D1CD3" w:rsidP="009D1CD3">
      <w:pPr>
        <w:pStyle w:val="SingleTxt"/>
        <w:tabs>
          <w:tab w:val="right" w:pos="1685"/>
        </w:tabs>
        <w:ind w:left="1742" w:hanging="475"/>
      </w:pPr>
      <w:r w:rsidRPr="00F35716">
        <w:tab/>
        <w:t>–</w:t>
      </w:r>
      <w:r w:rsidRPr="00F35716">
        <w:tab/>
      </w:r>
      <w:r w:rsidR="006800F2" w:rsidRPr="00F35716">
        <w:t xml:space="preserve">Se </w:t>
      </w:r>
      <w:r w:rsidR="00EC3C86" w:rsidRPr="00F35716">
        <w:t>endurec</w:t>
      </w:r>
      <w:r w:rsidR="006800F2" w:rsidRPr="00F35716">
        <w:t>en</w:t>
      </w:r>
      <w:r w:rsidR="00EC3C86" w:rsidRPr="00F35716">
        <w:t xml:space="preserve"> las sanciones por explotación sexual de menores;</w:t>
      </w:r>
    </w:p>
    <w:p w14:paraId="32E9423D" w14:textId="30945F93" w:rsidR="00EC3C86" w:rsidRPr="00F35716" w:rsidRDefault="009D1CD3" w:rsidP="009D1CD3">
      <w:pPr>
        <w:pStyle w:val="SingleTxt"/>
        <w:tabs>
          <w:tab w:val="right" w:pos="1685"/>
        </w:tabs>
        <w:ind w:left="1742" w:hanging="475"/>
      </w:pPr>
      <w:r w:rsidRPr="00F35716">
        <w:tab/>
        <w:t>–</w:t>
      </w:r>
      <w:r w:rsidRPr="00F35716">
        <w:tab/>
      </w:r>
      <w:r w:rsidR="006800F2" w:rsidRPr="00F35716">
        <w:t>Se eliminan por completo las</w:t>
      </w:r>
      <w:r w:rsidR="00EC3C86" w:rsidRPr="00F35716">
        <w:t xml:space="preserve"> circunstancias atenuantes en las agresiones sexuales y los delitos de explotación sexual contra menores.</w:t>
      </w:r>
    </w:p>
    <w:p w14:paraId="32E9423E" w14:textId="281D4F85" w:rsidR="00EC3C86" w:rsidRPr="00F35716" w:rsidRDefault="00EC3C86" w:rsidP="00B3192A">
      <w:pPr>
        <w:pStyle w:val="SingleTxt"/>
        <w:numPr>
          <w:ilvl w:val="0"/>
          <w:numId w:val="8"/>
        </w:numPr>
        <w:ind w:left="1267" w:firstLine="0"/>
      </w:pPr>
      <w:r w:rsidRPr="00F35716">
        <w:t xml:space="preserve">La Fiscalía General emitió la </w:t>
      </w:r>
      <w:r w:rsidR="006800F2" w:rsidRPr="00F35716">
        <w:t>C</w:t>
      </w:r>
      <w:r w:rsidRPr="00F35716">
        <w:t>ircular núm. 48</w:t>
      </w:r>
      <w:r w:rsidR="006800F2" w:rsidRPr="00F35716">
        <w:t xml:space="preserve"> a)</w:t>
      </w:r>
      <w:r w:rsidRPr="00F35716">
        <w:t xml:space="preserve"> (diciembre de 2018), relativa a las novedades relacionados con la protección penal de la vida privada</w:t>
      </w:r>
      <w:r w:rsidR="006800F2" w:rsidRPr="00F35716">
        <w:t>. Se incluyeron nuevas disposiciones en los</w:t>
      </w:r>
      <w:r w:rsidRPr="00F35716">
        <w:t xml:space="preserve"> artículos 447</w:t>
      </w:r>
      <w:r w:rsidR="006800F2" w:rsidRPr="00F35716">
        <w:t>-1</w:t>
      </w:r>
      <w:r w:rsidRPr="00F35716">
        <w:t xml:space="preserve"> y 447</w:t>
      </w:r>
      <w:r w:rsidR="006800F2" w:rsidRPr="00F35716">
        <w:t>-2</w:t>
      </w:r>
      <w:r w:rsidRPr="00F35716">
        <w:t xml:space="preserve">2 de </w:t>
      </w:r>
      <w:r w:rsidR="006800F2" w:rsidRPr="00F35716">
        <w:t>la</w:t>
      </w:r>
      <w:r w:rsidRPr="00F35716">
        <w:t xml:space="preserve"> Ley </w:t>
      </w:r>
      <w:r w:rsidR="006800F2" w:rsidRPr="00F35716">
        <w:t>103-</w:t>
      </w:r>
      <w:r w:rsidR="004617C4" w:rsidRPr="00F35716">
        <w:t>1</w:t>
      </w:r>
      <w:r w:rsidR="006800F2" w:rsidRPr="00F35716">
        <w:t xml:space="preserve">3, con las que se </w:t>
      </w:r>
      <w:r w:rsidRPr="00F35716">
        <w:t xml:space="preserve">introducían nuevos delitos penales relacionados con los atentados </w:t>
      </w:r>
      <w:r w:rsidR="00CE0C39" w:rsidRPr="00F35716">
        <w:t>a</w:t>
      </w:r>
      <w:r w:rsidRPr="00F35716">
        <w:t xml:space="preserve"> la vida privada, con agravación de la pena si la víctima es una mujer </w:t>
      </w:r>
      <w:r w:rsidR="00CE0C39" w:rsidRPr="00F35716">
        <w:t>cuya</w:t>
      </w:r>
      <w:r w:rsidRPr="00F35716">
        <w:t xml:space="preserve"> vida privada </w:t>
      </w:r>
      <w:r w:rsidR="00CE0C39" w:rsidRPr="00F35716">
        <w:t xml:space="preserve">ha sido atentada </w:t>
      </w:r>
      <w:r w:rsidRPr="00F35716">
        <w:t>debido a su sexo, de acuerdo con el artículo 347</w:t>
      </w:r>
      <w:r w:rsidR="00CE0C39" w:rsidRPr="00F35716">
        <w:t>-</w:t>
      </w:r>
      <w:r w:rsidRPr="00F35716">
        <w:t>3.</w:t>
      </w:r>
    </w:p>
    <w:p w14:paraId="32E9423F" w14:textId="07806581" w:rsidR="00EC3C86" w:rsidRPr="00F35716" w:rsidRDefault="00EC3C86" w:rsidP="00B3192A">
      <w:pPr>
        <w:pStyle w:val="SingleTxt"/>
        <w:numPr>
          <w:ilvl w:val="0"/>
          <w:numId w:val="8"/>
        </w:numPr>
        <w:ind w:left="1267" w:firstLine="0"/>
      </w:pPr>
      <w:r w:rsidRPr="00F35716">
        <w:t xml:space="preserve">El Código </w:t>
      </w:r>
      <w:r w:rsidR="00837E8A" w:rsidRPr="00F35716">
        <w:t>Laboral</w:t>
      </w:r>
      <w:r w:rsidRPr="00F35716">
        <w:t xml:space="preserve"> consagra el principio de no discriminación por motivos de sexo en términos de empleo, salarios, ascenso y </w:t>
      </w:r>
      <w:r w:rsidR="00837E8A" w:rsidRPr="00F35716">
        <w:t xml:space="preserve">todos los </w:t>
      </w:r>
      <w:r w:rsidRPr="00F35716">
        <w:t xml:space="preserve">demás privilegios laborales, al tiempo que penaliza el empleo de menores de 15 años. El Gobierno </w:t>
      </w:r>
      <w:r w:rsidR="00F87BBD" w:rsidRPr="00F35716">
        <w:t xml:space="preserve">ha </w:t>
      </w:r>
      <w:r w:rsidRPr="00F35716">
        <w:t>fortaleci</w:t>
      </w:r>
      <w:r w:rsidR="00F87BBD" w:rsidRPr="00F35716">
        <w:t>do</w:t>
      </w:r>
      <w:r w:rsidRPr="00F35716">
        <w:t xml:space="preserve"> esas medidas sancionadoras mediante medidas paralelas</w:t>
      </w:r>
      <w:r w:rsidR="00F87BBD" w:rsidRPr="00F35716">
        <w:t xml:space="preserve">. </w:t>
      </w:r>
      <w:r w:rsidR="00080B40" w:rsidRPr="00F35716">
        <w:t>L</w:t>
      </w:r>
      <w:r w:rsidRPr="00F35716">
        <w:t xml:space="preserve">a </w:t>
      </w:r>
      <w:r w:rsidR="00F87BBD" w:rsidRPr="00F35716">
        <w:t>asignación presupuestaria</w:t>
      </w:r>
      <w:r w:rsidRPr="00F35716">
        <w:t xml:space="preserve"> anual </w:t>
      </w:r>
      <w:r w:rsidR="00F87BBD" w:rsidRPr="00F35716">
        <w:t>prevista</w:t>
      </w:r>
      <w:r w:rsidRPr="00F35716">
        <w:t xml:space="preserve"> para financiar proyectos de la sociedad civil </w:t>
      </w:r>
      <w:r w:rsidR="00F87BBD" w:rsidRPr="00F35716">
        <w:t>destinados a</w:t>
      </w:r>
      <w:r w:rsidRPr="00F35716">
        <w:t xml:space="preserve"> lucha</w:t>
      </w:r>
      <w:r w:rsidR="00F87BBD" w:rsidRPr="00F35716">
        <w:t>r</w:t>
      </w:r>
      <w:r w:rsidRPr="00F35716">
        <w:t xml:space="preserve"> contra el trabajo infantil, incluid</w:t>
      </w:r>
      <w:r w:rsidR="00080B40" w:rsidRPr="00F35716">
        <w:t>o el trabajo de niñas como empleadas domésticas</w:t>
      </w:r>
      <w:r w:rsidRPr="00F35716">
        <w:t xml:space="preserve">, </w:t>
      </w:r>
      <w:r w:rsidR="00080B40" w:rsidRPr="00F35716">
        <w:t xml:space="preserve">se </w:t>
      </w:r>
      <w:r w:rsidRPr="00F35716">
        <w:t xml:space="preserve">aumentó </w:t>
      </w:r>
      <w:r w:rsidR="00080B40" w:rsidRPr="00F35716">
        <w:t>a</w:t>
      </w:r>
      <w:r w:rsidRPr="00F35716">
        <w:t xml:space="preserve"> 2 millones de dírhams a partir de 2016. </w:t>
      </w:r>
      <w:r w:rsidR="00837E8A" w:rsidRPr="00F35716">
        <w:t>S</w:t>
      </w:r>
      <w:r w:rsidRPr="00F35716">
        <w:t xml:space="preserve">e </w:t>
      </w:r>
      <w:r w:rsidR="00080B40" w:rsidRPr="00F35716">
        <w:t xml:space="preserve">ha </w:t>
      </w:r>
      <w:r w:rsidRPr="00F35716">
        <w:t>asign</w:t>
      </w:r>
      <w:r w:rsidR="00080B40" w:rsidRPr="00F35716">
        <w:t>ado</w:t>
      </w:r>
      <w:r w:rsidRPr="00F35716">
        <w:t xml:space="preserve"> un presupuesto de 1 millón de dírhams </w:t>
      </w:r>
      <w:r w:rsidR="00080B40" w:rsidRPr="00F35716">
        <w:t>a</w:t>
      </w:r>
      <w:r w:rsidRPr="00F35716">
        <w:t xml:space="preserve"> las </w:t>
      </w:r>
      <w:r w:rsidR="00080B40" w:rsidRPr="00F35716">
        <w:t>organizaciones</w:t>
      </w:r>
      <w:r w:rsidRPr="00F35716">
        <w:t xml:space="preserve"> que trabajan en</w:t>
      </w:r>
      <w:r w:rsidR="006D475B" w:rsidRPr="00F35716">
        <w:t> </w:t>
      </w:r>
      <w:r w:rsidRPr="00F35716">
        <w:t>ese ámbito</w:t>
      </w:r>
      <w:r w:rsidR="00080B40" w:rsidRPr="00F35716">
        <w:t xml:space="preserve">. Se ha reforzado </w:t>
      </w:r>
      <w:r w:rsidRPr="00F35716">
        <w:t>la buena gobernanza en l</w:t>
      </w:r>
      <w:r w:rsidR="00080B40" w:rsidRPr="00F35716">
        <w:t>o que respecta a los mecanismos de asociación</w:t>
      </w:r>
      <w:r w:rsidRPr="00F35716">
        <w:t xml:space="preserve"> mediante la </w:t>
      </w:r>
      <w:r w:rsidR="00080B40" w:rsidRPr="00F35716">
        <w:t>compilación</w:t>
      </w:r>
      <w:r w:rsidRPr="00F35716">
        <w:t xml:space="preserve"> de un</w:t>
      </w:r>
      <w:r w:rsidR="00080B40" w:rsidRPr="00F35716">
        <w:t xml:space="preserve"> manual oficial</w:t>
      </w:r>
      <w:r w:rsidRPr="00F35716">
        <w:rPr>
          <w:vertAlign w:val="superscript"/>
        </w:rPr>
        <w:footnoteReference w:id="44"/>
      </w:r>
      <w:r w:rsidRPr="00F35716">
        <w:t xml:space="preserve"> </w:t>
      </w:r>
      <w:r w:rsidR="00080B40" w:rsidRPr="00F35716">
        <w:t>de medidas y</w:t>
      </w:r>
      <w:r w:rsidRPr="00F35716">
        <w:t xml:space="preserve"> proyectos </w:t>
      </w:r>
      <w:r w:rsidR="00080B40" w:rsidRPr="00F35716">
        <w:t>destinados a combatir</w:t>
      </w:r>
      <w:r w:rsidRPr="00F35716">
        <w:t xml:space="preserve"> el trabajo infantil, </w:t>
      </w:r>
      <w:r w:rsidR="00640183" w:rsidRPr="00F35716">
        <w:t>conforme al párrafo 21 de las observaciones finales</w:t>
      </w:r>
      <w:r w:rsidRPr="00F35716">
        <w:t>.</w:t>
      </w:r>
    </w:p>
    <w:p w14:paraId="32E94240" w14:textId="358E7AE9" w:rsidR="00EC3C86" w:rsidRPr="00F35716" w:rsidRDefault="00EC3C86" w:rsidP="00B3192A">
      <w:pPr>
        <w:pStyle w:val="SingleTxt"/>
        <w:numPr>
          <w:ilvl w:val="0"/>
          <w:numId w:val="8"/>
        </w:numPr>
        <w:ind w:left="1267" w:firstLine="0"/>
      </w:pPr>
      <w:r w:rsidRPr="00F35716">
        <w:t xml:space="preserve">Sobre la base de los resultados de la evaluación del Plan Nacional para la Infancia, </w:t>
      </w:r>
      <w:r w:rsidR="00246EB0" w:rsidRPr="00F35716">
        <w:t>denominado</w:t>
      </w:r>
      <w:r w:rsidRPr="00F35716">
        <w:t xml:space="preserve"> </w:t>
      </w:r>
      <w:r w:rsidR="00801A38" w:rsidRPr="00F35716">
        <w:t>“</w:t>
      </w:r>
      <w:r w:rsidRPr="00F35716">
        <w:t>Un Marruecos Digno de sus Niños</w:t>
      </w:r>
      <w:r w:rsidR="00801A38" w:rsidRPr="00F35716">
        <w:t>”</w:t>
      </w:r>
      <w:r w:rsidRPr="00F35716">
        <w:t xml:space="preserve">, en 2014 se creó un comité ministerial encargado del seguimiento de las políticas y planes nacionales </w:t>
      </w:r>
      <w:r w:rsidR="00246EB0" w:rsidRPr="00F35716">
        <w:t>para mejorar la situación de los niños y niñas y protegerlos</w:t>
      </w:r>
      <w:r w:rsidRPr="00F35716">
        <w:t xml:space="preserve">. Se </w:t>
      </w:r>
      <w:r w:rsidR="000B369F" w:rsidRPr="00F35716">
        <w:t>ha elaborado</w:t>
      </w:r>
      <w:r w:rsidRPr="00F35716">
        <w:t xml:space="preserve"> una política pública integrada </w:t>
      </w:r>
      <w:r w:rsidR="00246EB0" w:rsidRPr="00F35716">
        <w:t>de</w:t>
      </w:r>
      <w:r w:rsidRPr="00F35716">
        <w:t xml:space="preserve"> protección de la infancia para el período 2015-2025, con </w:t>
      </w:r>
      <w:r w:rsidR="00246EB0" w:rsidRPr="00F35716">
        <w:t>la que se pretende</w:t>
      </w:r>
      <w:r w:rsidRPr="00F35716">
        <w:t xml:space="preserve"> garantizar una protección efectiva y sostenible para todos los niños y niñas en Marruecos frente a todas las formas de violencia, </w:t>
      </w:r>
      <w:r w:rsidR="00246EB0" w:rsidRPr="00F35716">
        <w:t>agresión</w:t>
      </w:r>
      <w:r w:rsidRPr="00F35716">
        <w:t xml:space="preserve">, explotación y negligencia. </w:t>
      </w:r>
      <w:r w:rsidR="00246EB0" w:rsidRPr="00F35716">
        <w:t>Esta política persigue</w:t>
      </w:r>
      <w:r w:rsidRPr="00F35716">
        <w:t xml:space="preserve"> cinco objetivos estratégicos</w:t>
      </w:r>
      <w:r w:rsidR="00246EB0" w:rsidRPr="00F35716">
        <w:t>, a saber:</w:t>
      </w:r>
      <w:r w:rsidRPr="00F35716">
        <w:t xml:space="preserve"> fortalecer el marco jurídico para la protección infantil y mejora</w:t>
      </w:r>
      <w:r w:rsidR="00246EB0" w:rsidRPr="00F35716">
        <w:t>r</w:t>
      </w:r>
      <w:r w:rsidRPr="00F35716">
        <w:t xml:space="preserve"> su </w:t>
      </w:r>
      <w:r w:rsidR="00246EB0" w:rsidRPr="00F35716">
        <w:t>eficacia;</w:t>
      </w:r>
      <w:r w:rsidRPr="00F35716">
        <w:t xml:space="preserve"> crear </w:t>
      </w:r>
      <w:r w:rsidR="00246EB0" w:rsidRPr="00F35716">
        <w:t>organismos locales de</w:t>
      </w:r>
      <w:r w:rsidRPr="00F35716">
        <w:t xml:space="preserve"> protección infantil</w:t>
      </w:r>
      <w:r w:rsidR="00246EB0" w:rsidRPr="00F35716">
        <w:t>;</w:t>
      </w:r>
      <w:r w:rsidRPr="00F35716">
        <w:t xml:space="preserve"> establecer normas para las instituciones y sus prácticas</w:t>
      </w:r>
      <w:r w:rsidR="00246EB0" w:rsidRPr="00F35716">
        <w:t>;</w:t>
      </w:r>
      <w:r w:rsidRPr="00F35716">
        <w:t xml:space="preserve"> </w:t>
      </w:r>
      <w:r w:rsidR="00246EB0" w:rsidRPr="00F35716">
        <w:t xml:space="preserve">promover </w:t>
      </w:r>
      <w:r w:rsidR="008D7807" w:rsidRPr="00F35716">
        <w:t xml:space="preserve">normas de protección sociales; </w:t>
      </w:r>
      <w:r w:rsidRPr="00F35716">
        <w:t>e instaurar un sistema de</w:t>
      </w:r>
      <w:r w:rsidR="00BA44DF" w:rsidRPr="00F35716">
        <w:t> </w:t>
      </w:r>
      <w:r w:rsidRPr="00F35716">
        <w:t>información, seguimiento y evaluación.</w:t>
      </w:r>
      <w:r w:rsidR="00BD7E71" w:rsidRPr="00F35716">
        <w:t xml:space="preserve"> </w:t>
      </w:r>
      <w:r w:rsidRPr="00F35716">
        <w:t>En marzo de 2016, el ministerio competente</w:t>
      </w:r>
      <w:r w:rsidR="00BA44DF" w:rsidRPr="00F35716">
        <w:t> </w:t>
      </w:r>
      <w:r w:rsidRPr="00F35716">
        <w:t xml:space="preserve">estableció </w:t>
      </w:r>
      <w:r w:rsidR="008D7807" w:rsidRPr="00F35716">
        <w:t>un</w:t>
      </w:r>
      <w:r w:rsidRPr="00F35716">
        <w:t xml:space="preserve"> programa </w:t>
      </w:r>
      <w:r w:rsidR="008D7807" w:rsidRPr="00F35716">
        <w:t xml:space="preserve">de </w:t>
      </w:r>
      <w:r w:rsidRPr="00F35716">
        <w:t>ejecu</w:t>
      </w:r>
      <w:r w:rsidR="008D7807" w:rsidRPr="00F35716">
        <w:t>ción de</w:t>
      </w:r>
      <w:r w:rsidRPr="00F35716">
        <w:t xml:space="preserve"> esta política </w:t>
      </w:r>
      <w:r w:rsidR="008D7807" w:rsidRPr="00F35716">
        <w:t xml:space="preserve">para el período </w:t>
      </w:r>
      <w:r w:rsidRPr="00F35716">
        <w:t>2015-2020, que incluye 25</w:t>
      </w:r>
      <w:r w:rsidR="00E43B96" w:rsidRPr="00F35716">
        <w:t> </w:t>
      </w:r>
      <w:r w:rsidRPr="00F35716">
        <w:t xml:space="preserve">objetivos y 115 medidas, además de indicadores </w:t>
      </w:r>
      <w:r w:rsidR="008D7807" w:rsidRPr="00F35716">
        <w:t>de</w:t>
      </w:r>
      <w:r w:rsidRPr="00F35716">
        <w:t xml:space="preserve"> seguimiento y</w:t>
      </w:r>
      <w:r w:rsidR="00BA44DF" w:rsidRPr="00F35716">
        <w:t> </w:t>
      </w:r>
      <w:r w:rsidRPr="00F35716">
        <w:t>evaluación.</w:t>
      </w:r>
      <w:bookmarkStart w:id="25" w:name="_Toc384761998"/>
      <w:bookmarkStart w:id="26" w:name="_Toc384761995"/>
      <w:bookmarkStart w:id="27" w:name="_Toc384762001"/>
      <w:bookmarkStart w:id="28" w:name="_Toc384762002"/>
      <w:bookmarkEnd w:id="25"/>
      <w:bookmarkEnd w:id="26"/>
      <w:bookmarkEnd w:id="27"/>
      <w:bookmarkEnd w:id="28"/>
    </w:p>
    <w:p w14:paraId="32E94241" w14:textId="20E54A66" w:rsidR="00EC3C86" w:rsidRPr="00F35716" w:rsidRDefault="00EC3C86" w:rsidP="00B3192A">
      <w:pPr>
        <w:pStyle w:val="SingleTxt"/>
        <w:numPr>
          <w:ilvl w:val="0"/>
          <w:numId w:val="8"/>
        </w:numPr>
        <w:ind w:left="1267" w:firstLine="0"/>
      </w:pPr>
      <w:r w:rsidRPr="00F35716">
        <w:t xml:space="preserve">Se </w:t>
      </w:r>
      <w:r w:rsidR="008D7807" w:rsidRPr="00F35716">
        <w:t xml:space="preserve">han </w:t>
      </w:r>
      <w:r w:rsidRPr="00F35716">
        <w:t>lleva</w:t>
      </w:r>
      <w:r w:rsidR="008D7807" w:rsidRPr="00F35716">
        <w:t>do</w:t>
      </w:r>
      <w:r w:rsidRPr="00F35716">
        <w:t xml:space="preserve"> a cabo campañas nacionales de sensibilización para movilizar a todos los agentes con miras a proteger a los niños y niñas frente a todas las formas de violencia y explotación en el entorno familiar, las instituciones de acogida, </w:t>
      </w:r>
      <w:r w:rsidR="008D7807" w:rsidRPr="00F35716">
        <w:t xml:space="preserve">el ámbito </w:t>
      </w:r>
      <w:r w:rsidRPr="00F35716">
        <w:t>escolar</w:t>
      </w:r>
      <w:r w:rsidR="008D7807" w:rsidRPr="00F35716">
        <w:t>, el trabajo y en</w:t>
      </w:r>
      <w:r w:rsidRPr="00F35716">
        <w:t xml:space="preserve"> Internet</w:t>
      </w:r>
      <w:r w:rsidRPr="00F35716">
        <w:rPr>
          <w:vertAlign w:val="superscript"/>
        </w:rPr>
        <w:footnoteReference w:id="45"/>
      </w:r>
      <w:r w:rsidRPr="00F35716">
        <w:t>.</w:t>
      </w:r>
    </w:p>
    <w:p w14:paraId="32E94242" w14:textId="4E3B15B8" w:rsidR="00EC3C86" w:rsidRPr="00F35716" w:rsidRDefault="00EC3C86" w:rsidP="00BA44DF">
      <w:pPr>
        <w:pStyle w:val="SingleTxt"/>
        <w:keepLines/>
        <w:numPr>
          <w:ilvl w:val="0"/>
          <w:numId w:val="8"/>
        </w:numPr>
        <w:ind w:left="1267" w:firstLine="0"/>
      </w:pPr>
      <w:r w:rsidRPr="00F35716">
        <w:lastRenderedPageBreak/>
        <w:t>En re</w:t>
      </w:r>
      <w:r w:rsidR="002173A1" w:rsidRPr="00F35716">
        <w:t>lación con los párrafos</w:t>
      </w:r>
      <w:r w:rsidRPr="00F35716">
        <w:t xml:space="preserve"> 23 y 45</w:t>
      </w:r>
      <w:r w:rsidR="002173A1" w:rsidRPr="00F35716">
        <w:t xml:space="preserve"> de las </w:t>
      </w:r>
      <w:r w:rsidR="00AB4BB1" w:rsidRPr="00F35716">
        <w:t>observaciones</w:t>
      </w:r>
      <w:r w:rsidR="002173A1" w:rsidRPr="00F35716">
        <w:t xml:space="preserve"> finales</w:t>
      </w:r>
      <w:r w:rsidRPr="00F35716">
        <w:t>, Marruecos adoptó una estrategia nacional para combatir la trata de personas</w:t>
      </w:r>
      <w:r w:rsidR="002173A1" w:rsidRPr="00F35716">
        <w:t xml:space="preserve"> en 2007</w:t>
      </w:r>
      <w:r w:rsidRPr="00F35716">
        <w:t xml:space="preserve"> y ha tomado medidas jurídicas y prácticas para castigar a los</w:t>
      </w:r>
      <w:r w:rsidR="002173A1" w:rsidRPr="00F35716">
        <w:t xml:space="preserve"> autores de este tipo de delitos</w:t>
      </w:r>
      <w:r w:rsidRPr="00F35716">
        <w:t xml:space="preserve"> y proteger a las víctimas. </w:t>
      </w:r>
      <w:r w:rsidR="002173A1" w:rsidRPr="00F35716">
        <w:t>E</w:t>
      </w:r>
      <w:r w:rsidRPr="00F35716">
        <w:t xml:space="preserve">n 2011 ratificó el Protocolo para Prevenir, Reprimir y Sancionar la Trata de Personas, Especialmente Mujeres y Niños, que complementa la Convención de las Naciones Unidas contra la Delincuencia Organizada Transnacional. En 2013 Marruecos recibió a la Relatora Especial sobre la trata de personas, especialmente mujeres y niños. </w:t>
      </w:r>
    </w:p>
    <w:p w14:paraId="32E94243" w14:textId="0C47891F" w:rsidR="00EC3C86" w:rsidRPr="00F35716" w:rsidRDefault="002173A1" w:rsidP="00B3192A">
      <w:pPr>
        <w:pStyle w:val="SingleTxt"/>
        <w:numPr>
          <w:ilvl w:val="0"/>
          <w:numId w:val="8"/>
        </w:numPr>
        <w:ind w:left="1267" w:firstLine="0"/>
      </w:pPr>
      <w:r w:rsidRPr="00F35716">
        <w:t xml:space="preserve">En 2013 </w:t>
      </w:r>
      <w:r w:rsidR="00EC3C86" w:rsidRPr="00F35716">
        <w:t xml:space="preserve">Marruecos </w:t>
      </w:r>
      <w:r w:rsidRPr="00F35716">
        <w:t>elaboró</w:t>
      </w:r>
      <w:r w:rsidR="00EC3C86" w:rsidRPr="00F35716">
        <w:t xml:space="preserve"> una nueva </w:t>
      </w:r>
      <w:r w:rsidRPr="00F35716">
        <w:t>Política N</w:t>
      </w:r>
      <w:r w:rsidR="00EC3C86" w:rsidRPr="00F35716">
        <w:t xml:space="preserve">acional de </w:t>
      </w:r>
      <w:r w:rsidRPr="00F35716">
        <w:t>M</w:t>
      </w:r>
      <w:r w:rsidR="00EC3C86" w:rsidRPr="00F35716">
        <w:t xml:space="preserve">igración y </w:t>
      </w:r>
      <w:r w:rsidRPr="00F35716">
        <w:t>A</w:t>
      </w:r>
      <w:r w:rsidR="00EC3C86" w:rsidRPr="00F35716">
        <w:t xml:space="preserve">silo, que se ha traducido en medidas prácticas en el marco de una estrategia de integración, a través de 11 programas y 83 procesos destinados a facilitar el acceso de los migrantes y refugiados a sus derechos básicos. </w:t>
      </w:r>
      <w:r w:rsidRPr="00F35716">
        <w:t xml:space="preserve">Se </w:t>
      </w:r>
      <w:r w:rsidR="00EC3C86" w:rsidRPr="00F35716">
        <w:t xml:space="preserve">ha preparado un proyecto de ley </w:t>
      </w:r>
      <w:r w:rsidRPr="00F35716">
        <w:t>de</w:t>
      </w:r>
      <w:r w:rsidR="00EC3C86" w:rsidRPr="00F35716">
        <w:t xml:space="preserve"> inmigración</w:t>
      </w:r>
      <w:r w:rsidR="00EC3C86" w:rsidRPr="00F35716">
        <w:rPr>
          <w:vertAlign w:val="superscript"/>
        </w:rPr>
        <w:footnoteReference w:id="46"/>
      </w:r>
      <w:r w:rsidR="00EC3C86" w:rsidRPr="00F35716">
        <w:t xml:space="preserve"> y un proyecto de ley </w:t>
      </w:r>
      <w:r w:rsidRPr="00F35716">
        <w:t>de</w:t>
      </w:r>
      <w:r w:rsidR="00EC3C86" w:rsidRPr="00F35716">
        <w:t xml:space="preserve"> asilo</w:t>
      </w:r>
      <w:r w:rsidR="00EC3C86" w:rsidRPr="00F35716">
        <w:rPr>
          <w:vertAlign w:val="superscript"/>
        </w:rPr>
        <w:footnoteReference w:id="47"/>
      </w:r>
      <w:r w:rsidRPr="00F35716">
        <w:t>.</w:t>
      </w:r>
      <w:r w:rsidR="00EC3C86" w:rsidRPr="00F35716">
        <w:t xml:space="preserve"> </w:t>
      </w:r>
      <w:r w:rsidRPr="00F35716">
        <w:t xml:space="preserve">También se </w:t>
      </w:r>
      <w:r w:rsidR="00EC3C86" w:rsidRPr="00F35716">
        <w:t>ha adoptado una ley para combatir la trata de personas</w:t>
      </w:r>
      <w:r w:rsidRPr="00F35716">
        <w:t>, así como una ley</w:t>
      </w:r>
      <w:r w:rsidR="00EC3C86" w:rsidRPr="00F35716">
        <w:t xml:space="preserve"> que especifica las condiciones para el empleo de trabajadoras y trabajadores domésticos, lo cual </w:t>
      </w:r>
      <w:r w:rsidRPr="00F35716">
        <w:t>ha tenido</w:t>
      </w:r>
      <w:r w:rsidR="00EC3C86" w:rsidRPr="00F35716">
        <w:t xml:space="preserve"> un impacto importante en la lucha contra la explotación de mujeres extranjeras.</w:t>
      </w:r>
    </w:p>
    <w:p w14:paraId="32E94244" w14:textId="23837882" w:rsidR="00EC3C86" w:rsidRPr="00F35716" w:rsidRDefault="00EC3C86" w:rsidP="00B3192A">
      <w:pPr>
        <w:pStyle w:val="SingleTxt"/>
        <w:numPr>
          <w:ilvl w:val="0"/>
          <w:numId w:val="8"/>
        </w:numPr>
        <w:ind w:left="1267" w:firstLine="0"/>
      </w:pPr>
      <w:r w:rsidRPr="00F35716">
        <w:t xml:space="preserve">Se </w:t>
      </w:r>
      <w:r w:rsidR="005C617A" w:rsidRPr="00F35716">
        <w:t xml:space="preserve">ha </w:t>
      </w:r>
      <w:r w:rsidRPr="00F35716">
        <w:t>aprob</w:t>
      </w:r>
      <w:r w:rsidR="005C617A" w:rsidRPr="00F35716">
        <w:t>ado</w:t>
      </w:r>
      <w:r w:rsidRPr="00F35716">
        <w:t xml:space="preserve"> la Ley núm. 27</w:t>
      </w:r>
      <w:r w:rsidR="005C617A" w:rsidRPr="00F35716">
        <w:t>-14</w:t>
      </w:r>
      <w:r w:rsidRPr="00F35716">
        <w:t xml:space="preserve"> </w:t>
      </w:r>
      <w:r w:rsidR="005C617A" w:rsidRPr="00F35716">
        <w:t xml:space="preserve">de </w:t>
      </w:r>
      <w:r w:rsidRPr="00F35716">
        <w:t>Lucha contra la Trata de Personas, que inclu</w:t>
      </w:r>
      <w:r w:rsidR="0061383D" w:rsidRPr="00F35716">
        <w:t>ye</w:t>
      </w:r>
      <w:r w:rsidRPr="00F35716">
        <w:t xml:space="preserve"> definiciones amplia</w:t>
      </w:r>
      <w:r w:rsidR="00025324" w:rsidRPr="00F35716">
        <w:t>da</w:t>
      </w:r>
      <w:r w:rsidRPr="00F35716">
        <w:t>s de</w:t>
      </w:r>
      <w:r w:rsidR="00953D2A" w:rsidRPr="00F35716">
        <w:t xml:space="preserve"> los conceptos</w:t>
      </w:r>
      <w:r w:rsidRPr="00F35716">
        <w:t xml:space="preserve"> de trata</w:t>
      </w:r>
      <w:r w:rsidR="00953D2A" w:rsidRPr="00F35716">
        <w:t xml:space="preserve"> de personas,</w:t>
      </w:r>
      <w:r w:rsidRPr="00F35716">
        <w:t xml:space="preserve"> explotación </w:t>
      </w:r>
      <w:r w:rsidR="00953D2A" w:rsidRPr="00F35716">
        <w:t>y</w:t>
      </w:r>
      <w:r w:rsidRPr="00F35716">
        <w:t xml:space="preserve"> víctima, de conformidad con el enfoque adoptado internacionalmente (</w:t>
      </w:r>
      <w:r w:rsidR="00025324" w:rsidRPr="00F35716">
        <w:t xml:space="preserve">el </w:t>
      </w:r>
      <w:r w:rsidRPr="00F35716">
        <w:t xml:space="preserve">Protocolo de Palermo). Esta Ley </w:t>
      </w:r>
      <w:r w:rsidR="00953D2A" w:rsidRPr="00F35716">
        <w:t>contiene</w:t>
      </w:r>
      <w:r w:rsidRPr="00F35716">
        <w:t xml:space="preserve"> disposiciones </w:t>
      </w:r>
      <w:r w:rsidR="00164540" w:rsidRPr="00F35716">
        <w:t xml:space="preserve">que penalizan a los </w:t>
      </w:r>
      <w:r w:rsidR="00121175" w:rsidRPr="00F35716">
        <w:t>infractores y protegen a</w:t>
      </w:r>
      <w:r w:rsidRPr="00F35716">
        <w:t xml:space="preserve"> las víctimas </w:t>
      </w:r>
      <w:r w:rsidR="00B37F26" w:rsidRPr="00F35716">
        <w:t>proporcionánd</w:t>
      </w:r>
      <w:r w:rsidRPr="00F35716">
        <w:t>oles atención médica</w:t>
      </w:r>
      <w:r w:rsidR="00B37F26" w:rsidRPr="00F35716">
        <w:t>,</w:t>
      </w:r>
      <w:r w:rsidRPr="00F35716">
        <w:t xml:space="preserve"> apoyo psicológico y social</w:t>
      </w:r>
      <w:r w:rsidR="00B37F26" w:rsidRPr="00F35716">
        <w:t>,</w:t>
      </w:r>
      <w:r w:rsidRPr="00F35716">
        <w:t xml:space="preserve"> </w:t>
      </w:r>
      <w:r w:rsidR="00E66A26" w:rsidRPr="00F35716">
        <w:t>alojamiento</w:t>
      </w:r>
      <w:r w:rsidRPr="00F35716">
        <w:t xml:space="preserve"> y asistencia jurídica para facilitar su </w:t>
      </w:r>
      <w:r w:rsidR="00B37F26" w:rsidRPr="00F35716">
        <w:t>re</w:t>
      </w:r>
      <w:r w:rsidRPr="00F35716">
        <w:t>integración en la vida social</w:t>
      </w:r>
      <w:r w:rsidRPr="00F35716">
        <w:rPr>
          <w:vertAlign w:val="superscript"/>
        </w:rPr>
        <w:footnoteReference w:id="48"/>
      </w:r>
      <w:r w:rsidRPr="00F35716">
        <w:t xml:space="preserve">. </w:t>
      </w:r>
      <w:r w:rsidR="00025324" w:rsidRPr="00F35716">
        <w:t>Asimismo</w:t>
      </w:r>
      <w:r w:rsidRPr="00F35716">
        <w:t xml:space="preserve">, penaliza todas las formas de explotación sexual; incorpora el principio de no </w:t>
      </w:r>
      <w:r w:rsidR="00084B23" w:rsidRPr="00F35716">
        <w:t>enjuiciar</w:t>
      </w:r>
      <w:r w:rsidRPr="00F35716">
        <w:t xml:space="preserve"> a las víctimas y </w:t>
      </w:r>
      <w:r w:rsidR="00084B23" w:rsidRPr="00F35716">
        <w:t xml:space="preserve">de </w:t>
      </w:r>
      <w:r w:rsidRPr="00F35716">
        <w:t xml:space="preserve">castigar a los infractores; aumenta </w:t>
      </w:r>
      <w:r w:rsidR="00322F8F" w:rsidRPr="00F35716">
        <w:t>las condenas asociadas a</w:t>
      </w:r>
      <w:r w:rsidRPr="00F35716">
        <w:t xml:space="preserve"> los </w:t>
      </w:r>
      <w:r w:rsidR="00025324" w:rsidRPr="00F35716">
        <w:t>delitos</w:t>
      </w:r>
      <w:r w:rsidRPr="00F35716">
        <w:t xml:space="preserve"> cometidos contra niños</w:t>
      </w:r>
      <w:r w:rsidR="00025324" w:rsidRPr="00F35716">
        <w:t xml:space="preserve"> y niñas</w:t>
      </w:r>
      <w:r w:rsidRPr="00F35716">
        <w:t>, personas con discapacidad y mujeres embarazadas; y exime a los testigos y denunciantes del delito</w:t>
      </w:r>
      <w:r w:rsidR="00A816B0" w:rsidRPr="00F35716">
        <w:t xml:space="preserve"> de toda sanción</w:t>
      </w:r>
      <w:r w:rsidRPr="00F35716">
        <w:t xml:space="preserve">. Además, </w:t>
      </w:r>
      <w:r w:rsidR="00025324" w:rsidRPr="00F35716">
        <w:t>se ha</w:t>
      </w:r>
      <w:r w:rsidRPr="00F35716">
        <w:t xml:space="preserve"> crea</w:t>
      </w:r>
      <w:r w:rsidR="00025324" w:rsidRPr="00F35716">
        <w:t>do</w:t>
      </w:r>
      <w:r w:rsidRPr="00F35716">
        <w:t xml:space="preserve"> un </w:t>
      </w:r>
      <w:r w:rsidR="009268BC" w:rsidRPr="00F35716">
        <w:t>c</w:t>
      </w:r>
      <w:r w:rsidRPr="00F35716">
        <w:t xml:space="preserve">omité </w:t>
      </w:r>
      <w:r w:rsidR="009268BC" w:rsidRPr="00F35716">
        <w:t>a</w:t>
      </w:r>
      <w:r w:rsidRPr="00F35716">
        <w:t xml:space="preserve">sesor </w:t>
      </w:r>
      <w:r w:rsidR="009268BC" w:rsidRPr="00F35716">
        <w:t>n</w:t>
      </w:r>
      <w:r w:rsidRPr="00F35716">
        <w:t xml:space="preserve">acional </w:t>
      </w:r>
      <w:r w:rsidR="00E66A26" w:rsidRPr="00F35716">
        <w:t>encargado de</w:t>
      </w:r>
      <w:r w:rsidRPr="00F35716">
        <w:t xml:space="preserve"> coordinar las </w:t>
      </w:r>
      <w:r w:rsidR="009268BC" w:rsidRPr="00F35716">
        <w:t>medida</w:t>
      </w:r>
      <w:r w:rsidRPr="00F35716">
        <w:t>s destinadas a combatir y prevenir la trata de personas</w:t>
      </w:r>
      <w:r w:rsidR="00F1449A" w:rsidRPr="00F35716">
        <w:t>.</w:t>
      </w:r>
      <w:r w:rsidRPr="00F35716">
        <w:t xml:space="preserve"> </w:t>
      </w:r>
      <w:r w:rsidR="00F1449A" w:rsidRPr="00F35716">
        <w:t>También se emitió</w:t>
      </w:r>
      <w:r w:rsidRPr="00F35716">
        <w:t xml:space="preserve"> un decreto </w:t>
      </w:r>
      <w:r w:rsidR="00F1449A" w:rsidRPr="00F35716">
        <w:t xml:space="preserve">referente a </w:t>
      </w:r>
      <w:r w:rsidR="005538AD" w:rsidRPr="00F35716">
        <w:t>la</w:t>
      </w:r>
      <w:r w:rsidR="00F1449A" w:rsidRPr="00F35716">
        <w:t xml:space="preserve"> composición</w:t>
      </w:r>
      <w:r w:rsidR="005538AD" w:rsidRPr="00F35716">
        <w:t xml:space="preserve"> de este comité</w:t>
      </w:r>
      <w:r w:rsidRPr="00F35716">
        <w:rPr>
          <w:vertAlign w:val="superscript"/>
        </w:rPr>
        <w:footnoteReference w:id="49"/>
      </w:r>
      <w:r w:rsidRPr="00F35716">
        <w:t xml:space="preserve">, cuyos integrantes fueron nombrados en julio de 2019. </w:t>
      </w:r>
    </w:p>
    <w:p w14:paraId="32E94245" w14:textId="722DC0D0" w:rsidR="00EC3C86" w:rsidRPr="00F35716" w:rsidRDefault="00EC3C86" w:rsidP="00B3192A">
      <w:pPr>
        <w:pStyle w:val="SingleTxt"/>
        <w:numPr>
          <w:ilvl w:val="0"/>
          <w:numId w:val="8"/>
        </w:numPr>
        <w:ind w:left="1267" w:firstLine="0"/>
      </w:pPr>
      <w:r w:rsidRPr="00F35716">
        <w:t xml:space="preserve">Para proteger a </w:t>
      </w:r>
      <w:r w:rsidR="00025324" w:rsidRPr="00F35716">
        <w:t xml:space="preserve">las </w:t>
      </w:r>
      <w:r w:rsidRPr="00F35716">
        <w:t>mujeres</w:t>
      </w:r>
      <w:r w:rsidR="00025324" w:rsidRPr="00F35716">
        <w:t>,</w:t>
      </w:r>
      <w:r w:rsidRPr="00F35716">
        <w:t xml:space="preserve"> </w:t>
      </w:r>
      <w:r w:rsidR="00025324" w:rsidRPr="00F35716">
        <w:t xml:space="preserve">los </w:t>
      </w:r>
      <w:r w:rsidRPr="00F35716">
        <w:t xml:space="preserve">niños </w:t>
      </w:r>
      <w:r w:rsidR="00025324" w:rsidRPr="00F35716">
        <w:t xml:space="preserve">y las niñas </w:t>
      </w:r>
      <w:r w:rsidRPr="00F35716">
        <w:t xml:space="preserve">de tales </w:t>
      </w:r>
      <w:r w:rsidR="00025324" w:rsidRPr="00F35716">
        <w:t>delitos</w:t>
      </w:r>
      <w:r w:rsidRPr="00F35716">
        <w:t>, se tomaron las siguientes medidas:</w:t>
      </w:r>
    </w:p>
    <w:p w14:paraId="32E94246" w14:textId="7FA3F7A7" w:rsidR="00EC3C86" w:rsidRPr="00F35716" w:rsidRDefault="00E679D1" w:rsidP="00E679D1">
      <w:pPr>
        <w:pStyle w:val="SingleTxt"/>
        <w:tabs>
          <w:tab w:val="right" w:pos="1685"/>
        </w:tabs>
        <w:ind w:left="1742" w:hanging="475"/>
      </w:pPr>
      <w:r w:rsidRPr="00F35716">
        <w:tab/>
        <w:t>–</w:t>
      </w:r>
      <w:r w:rsidRPr="00F35716">
        <w:tab/>
      </w:r>
      <w:r w:rsidR="00EC3C86" w:rsidRPr="00F35716">
        <w:t>Como parte de un estudio</w:t>
      </w:r>
      <w:r w:rsidR="00B31E37" w:rsidRPr="00F35716">
        <w:t>, efectuado en diciembre de 2016,</w:t>
      </w:r>
      <w:r w:rsidR="00EC3C86" w:rsidRPr="00F35716">
        <w:t xml:space="preserve"> de los casos en que no se aplicaron las disposiciones de la Ley núm. 27</w:t>
      </w:r>
      <w:r w:rsidR="00025324" w:rsidRPr="00F35716">
        <w:t>-14</w:t>
      </w:r>
      <w:r w:rsidR="00EC3C86" w:rsidRPr="00F35716">
        <w:t xml:space="preserve">, el sector de la justicia envió un cuestionario a los </w:t>
      </w:r>
      <w:r w:rsidR="00B31E37" w:rsidRPr="00F35716">
        <w:t>p</w:t>
      </w:r>
      <w:r w:rsidR="00EC3C86" w:rsidRPr="00F35716">
        <w:t>residentes de los tribunales de apelación y los tribunales de primera instancia.</w:t>
      </w:r>
    </w:p>
    <w:p w14:paraId="32E94247" w14:textId="06C11FD4" w:rsidR="00EC3C86" w:rsidRPr="00F35716" w:rsidRDefault="00E679D1" w:rsidP="00E679D1">
      <w:pPr>
        <w:pStyle w:val="SingleTxt"/>
        <w:tabs>
          <w:tab w:val="right" w:pos="1685"/>
        </w:tabs>
        <w:ind w:left="1742" w:hanging="475"/>
      </w:pPr>
      <w:r w:rsidRPr="00F35716">
        <w:tab/>
        <w:t>–</w:t>
      </w:r>
      <w:r w:rsidRPr="00F35716">
        <w:tab/>
      </w:r>
      <w:r w:rsidR="00EC3C86" w:rsidRPr="00F35716">
        <w:t xml:space="preserve">Se </w:t>
      </w:r>
      <w:r w:rsidR="00B31E37" w:rsidRPr="00F35716">
        <w:t xml:space="preserve">ejecutó </w:t>
      </w:r>
      <w:r w:rsidR="00EC3C86" w:rsidRPr="00F35716">
        <w:t xml:space="preserve">el programa </w:t>
      </w:r>
      <w:r w:rsidR="00801A38" w:rsidRPr="00F35716">
        <w:t>“</w:t>
      </w:r>
      <w:r w:rsidR="00B31E37" w:rsidRPr="00F35716">
        <w:t>J/TIP</w:t>
      </w:r>
      <w:r w:rsidR="00801A38" w:rsidRPr="00F35716">
        <w:t>”</w:t>
      </w:r>
      <w:r w:rsidR="00EC3C86" w:rsidRPr="00F35716">
        <w:t xml:space="preserve"> sobre el fortalecimiento de la capacidad de la sociedad civil para identificar y ayudar a las víctimas de la trata de personas en</w:t>
      </w:r>
      <w:r w:rsidR="00634915" w:rsidRPr="00F35716">
        <w:t> </w:t>
      </w:r>
      <w:r w:rsidR="00EC3C86" w:rsidRPr="00F35716">
        <w:t xml:space="preserve">Marruecos y definir el marco jurídico y conceptual </w:t>
      </w:r>
      <w:r w:rsidR="00B31E37" w:rsidRPr="00F35716">
        <w:t>pertinente</w:t>
      </w:r>
      <w:r w:rsidR="00EC3C86" w:rsidRPr="00F35716">
        <w:t xml:space="preserve">. </w:t>
      </w:r>
      <w:r w:rsidR="00B31E37" w:rsidRPr="00F35716">
        <w:t>En 2017 y 2018 s</w:t>
      </w:r>
      <w:r w:rsidR="00EC3C86" w:rsidRPr="00F35716">
        <w:t>e</w:t>
      </w:r>
      <w:r w:rsidR="00634915" w:rsidRPr="00F35716">
        <w:t> </w:t>
      </w:r>
      <w:r w:rsidR="00EC3C86" w:rsidRPr="00F35716">
        <w:t xml:space="preserve">llevó a cabo un programa </w:t>
      </w:r>
      <w:r w:rsidR="00B31E37" w:rsidRPr="00F35716">
        <w:t>de formación</w:t>
      </w:r>
      <w:r w:rsidR="00EC3C86" w:rsidRPr="00F35716">
        <w:t xml:space="preserve"> en siete ciudades, que benefició a 150 asociaciones</w:t>
      </w:r>
      <w:r w:rsidR="00B31E37" w:rsidRPr="00F35716">
        <w:t>. Asimismo, s</w:t>
      </w:r>
      <w:r w:rsidR="00EC3C86" w:rsidRPr="00F35716">
        <w:t xml:space="preserve">e </w:t>
      </w:r>
      <w:r w:rsidR="00B31E37" w:rsidRPr="00F35716">
        <w:t>ejecutó</w:t>
      </w:r>
      <w:r w:rsidR="00EC3C86" w:rsidRPr="00F35716">
        <w:t xml:space="preserve"> el </w:t>
      </w:r>
      <w:r w:rsidR="00B31E37" w:rsidRPr="00F35716">
        <w:t>Programa de Acción Mundial para Prevenir y Combatir la Trata de Personas y el Tráfico Ilícito de Migrantes (</w:t>
      </w:r>
      <w:r w:rsidR="00EC3C86" w:rsidRPr="00F35716">
        <w:t>GLO</w:t>
      </w:r>
      <w:r w:rsidR="00B31E37" w:rsidRPr="00F35716">
        <w:t>-</w:t>
      </w:r>
      <w:r w:rsidR="00EC3C86" w:rsidRPr="00F35716">
        <w:t>ACT</w:t>
      </w:r>
      <w:r w:rsidR="00B31E37" w:rsidRPr="00F35716">
        <w:t>)</w:t>
      </w:r>
      <w:r w:rsidR="00EC3C86" w:rsidRPr="00F35716">
        <w:t xml:space="preserve"> para mejorar las capacidades de las instituciones y los sectores nacionales en es</w:t>
      </w:r>
      <w:r w:rsidR="00B31E37" w:rsidRPr="00F35716">
        <w:t>e ámbito</w:t>
      </w:r>
      <w:r w:rsidR="00EC3C86" w:rsidRPr="00F35716">
        <w:t>.</w:t>
      </w:r>
    </w:p>
    <w:p w14:paraId="32E94248" w14:textId="4D84765B" w:rsidR="00EC3C86" w:rsidRPr="00F35716" w:rsidRDefault="00E679D1" w:rsidP="00634915">
      <w:pPr>
        <w:pStyle w:val="SingleTxt"/>
        <w:keepLines/>
        <w:tabs>
          <w:tab w:val="right" w:pos="1685"/>
        </w:tabs>
        <w:ind w:left="1742" w:hanging="475"/>
      </w:pPr>
      <w:r w:rsidRPr="00F35716">
        <w:lastRenderedPageBreak/>
        <w:tab/>
        <w:t>–</w:t>
      </w:r>
      <w:r w:rsidRPr="00F35716">
        <w:tab/>
      </w:r>
      <w:r w:rsidR="00EC3C86" w:rsidRPr="00F35716">
        <w:t xml:space="preserve">Se estableció un programa de cooperación con ONU-Mujeres </w:t>
      </w:r>
      <w:r w:rsidR="00EE09F7" w:rsidRPr="00F35716">
        <w:t>para</w:t>
      </w:r>
      <w:r w:rsidR="00EC3C86" w:rsidRPr="00F35716">
        <w:t xml:space="preserve"> apoyar a la Fiscalía General en la protección de los derechos de las víctimas de la trata de personas </w:t>
      </w:r>
      <w:r w:rsidR="00EE09F7" w:rsidRPr="00F35716">
        <w:t>mediante la mejora d</w:t>
      </w:r>
      <w:r w:rsidR="00EC3C86" w:rsidRPr="00F35716">
        <w:t>el acceso a los</w:t>
      </w:r>
      <w:r w:rsidR="00F2026A" w:rsidRPr="00F35716">
        <w:t> </w:t>
      </w:r>
      <w:r w:rsidR="00EC3C86" w:rsidRPr="00F35716">
        <w:t xml:space="preserve">servicios judiciales, </w:t>
      </w:r>
      <w:r w:rsidR="00EE09F7" w:rsidRPr="00F35716">
        <w:t xml:space="preserve">el </w:t>
      </w:r>
      <w:r w:rsidR="00EC3C86" w:rsidRPr="00F35716">
        <w:t>desarroll</w:t>
      </w:r>
      <w:r w:rsidR="00EE09F7" w:rsidRPr="00F35716">
        <w:t>o de</w:t>
      </w:r>
      <w:r w:rsidR="00EC3C86" w:rsidRPr="00F35716">
        <w:t xml:space="preserve"> mecanismos de coordinación y seguimiento y </w:t>
      </w:r>
      <w:r w:rsidR="00EE09F7" w:rsidRPr="00F35716">
        <w:t>el fortalecimiento de</w:t>
      </w:r>
      <w:r w:rsidR="00EC3C86" w:rsidRPr="00F35716">
        <w:t xml:space="preserve"> las capacidades de su</w:t>
      </w:r>
      <w:r w:rsidR="00EE09F7" w:rsidRPr="00F35716">
        <w:t xml:space="preserve"> personal</w:t>
      </w:r>
      <w:r w:rsidR="00EC3C86" w:rsidRPr="00F35716">
        <w:t>.</w:t>
      </w:r>
    </w:p>
    <w:p w14:paraId="32E94249" w14:textId="067AD5C3" w:rsidR="00EC3C86" w:rsidRPr="00F35716" w:rsidRDefault="00E679D1" w:rsidP="00E679D1">
      <w:pPr>
        <w:pStyle w:val="SingleTxt"/>
        <w:tabs>
          <w:tab w:val="right" w:pos="1685"/>
        </w:tabs>
        <w:ind w:left="1742" w:hanging="475"/>
      </w:pPr>
      <w:r w:rsidRPr="00F35716">
        <w:tab/>
        <w:t>–</w:t>
      </w:r>
      <w:r w:rsidRPr="00F35716">
        <w:tab/>
      </w:r>
      <w:r w:rsidR="00EC3C86" w:rsidRPr="00F35716">
        <w:t xml:space="preserve">Se creó una red de </w:t>
      </w:r>
      <w:r w:rsidR="00BA0F79" w:rsidRPr="00F35716">
        <w:t xml:space="preserve">jueces de </w:t>
      </w:r>
      <w:r w:rsidR="00EC3C86" w:rsidRPr="00F35716">
        <w:t xml:space="preserve">la </w:t>
      </w:r>
      <w:r w:rsidR="00BA0F79" w:rsidRPr="00F35716">
        <w:t>f</w:t>
      </w:r>
      <w:r w:rsidR="00EC3C86" w:rsidRPr="00F35716">
        <w:t xml:space="preserve">iscalía encargados de </w:t>
      </w:r>
      <w:r w:rsidR="00250B90" w:rsidRPr="00F35716">
        <w:t xml:space="preserve">enjuiciar </w:t>
      </w:r>
      <w:r w:rsidR="00EC3C86" w:rsidRPr="00F35716">
        <w:t xml:space="preserve">los casos de trata de personas en los tribunales de apelación. </w:t>
      </w:r>
    </w:p>
    <w:p w14:paraId="32E9424A" w14:textId="0163F865" w:rsidR="00EC3C86" w:rsidRPr="00F35716" w:rsidRDefault="00E679D1" w:rsidP="00E679D1">
      <w:pPr>
        <w:pStyle w:val="SingleTxt"/>
        <w:tabs>
          <w:tab w:val="right" w:pos="1685"/>
        </w:tabs>
        <w:ind w:left="1742" w:hanging="475"/>
      </w:pPr>
      <w:r w:rsidRPr="00F35716">
        <w:tab/>
        <w:t>–</w:t>
      </w:r>
      <w:r w:rsidRPr="00F35716">
        <w:tab/>
      </w:r>
      <w:r w:rsidR="00EC3C86" w:rsidRPr="00F35716">
        <w:t xml:space="preserve">Se reforzaron las capacidades de los </w:t>
      </w:r>
      <w:r w:rsidR="00250B90" w:rsidRPr="00F35716">
        <w:t>agentes</w:t>
      </w:r>
      <w:r w:rsidR="00EC3C86" w:rsidRPr="00F35716">
        <w:t xml:space="preserve"> gubernamentales, las instituciones públicas y las </w:t>
      </w:r>
      <w:r w:rsidR="009D7E27" w:rsidRPr="00F35716">
        <w:t>organizaciones no gubernamentales</w:t>
      </w:r>
      <w:r w:rsidR="00250B90" w:rsidRPr="00F35716">
        <w:t xml:space="preserve"> para combatir la trata de personas. Se establecieron</w:t>
      </w:r>
      <w:r w:rsidR="00EC3C86" w:rsidRPr="00F35716">
        <w:t xml:space="preserve"> mecanismos </w:t>
      </w:r>
      <w:r w:rsidR="00250B90" w:rsidRPr="00F35716">
        <w:t>de</w:t>
      </w:r>
      <w:r w:rsidR="00EC3C86" w:rsidRPr="00F35716">
        <w:t xml:space="preserve"> aplicación de la ley. También se </w:t>
      </w:r>
      <w:r w:rsidR="00250B90" w:rsidRPr="00F35716">
        <w:t>debatió</w:t>
      </w:r>
      <w:r w:rsidR="00EC3C86" w:rsidRPr="00F35716">
        <w:t xml:space="preserve"> la creación y puesta en funcionamiento de un mecanismo nacional para identificar </w:t>
      </w:r>
      <w:r w:rsidR="00250B90" w:rsidRPr="00F35716">
        <w:t xml:space="preserve">a las </w:t>
      </w:r>
      <w:r w:rsidR="00EC3C86" w:rsidRPr="00F35716">
        <w:t>víctimas, especialmente mujeres</w:t>
      </w:r>
      <w:r w:rsidR="00250B90" w:rsidRPr="00F35716">
        <w:t>,</w:t>
      </w:r>
      <w:r w:rsidR="00EC3C86" w:rsidRPr="00F35716">
        <w:t xml:space="preserve"> niños</w:t>
      </w:r>
      <w:r w:rsidR="00250B90" w:rsidRPr="00F35716">
        <w:t xml:space="preserve"> y niñas</w:t>
      </w:r>
      <w:r w:rsidR="00EC3C86" w:rsidRPr="00F35716">
        <w:t>, y remitirl</w:t>
      </w:r>
      <w:r w:rsidR="00250B90" w:rsidRPr="00F35716">
        <w:t>a</w:t>
      </w:r>
      <w:r w:rsidR="00EC3C86" w:rsidRPr="00F35716">
        <w:t>s a centros de protección y rehabilitación.</w:t>
      </w:r>
    </w:p>
    <w:p w14:paraId="32E9424B" w14:textId="044E7273" w:rsidR="00EC3C86" w:rsidRPr="00F35716" w:rsidRDefault="00E679D1" w:rsidP="00E679D1">
      <w:pPr>
        <w:pStyle w:val="SingleTxt"/>
        <w:tabs>
          <w:tab w:val="right" w:pos="1685"/>
        </w:tabs>
        <w:ind w:left="1742" w:hanging="475"/>
      </w:pPr>
      <w:r w:rsidRPr="00F35716">
        <w:tab/>
        <w:t>–</w:t>
      </w:r>
      <w:r w:rsidRPr="00F35716">
        <w:tab/>
      </w:r>
      <w:r w:rsidR="00EC3C86" w:rsidRPr="00F35716">
        <w:t xml:space="preserve">Se </w:t>
      </w:r>
      <w:r w:rsidR="00250B90" w:rsidRPr="00F35716">
        <w:t>promulgó</w:t>
      </w:r>
      <w:r w:rsidR="00EC3C86" w:rsidRPr="00F35716">
        <w:t xml:space="preserve"> una ley por la </w:t>
      </w:r>
      <w:r w:rsidR="00250B90" w:rsidRPr="00F35716">
        <w:t>que se aprobaba la adhesión d</w:t>
      </w:r>
      <w:r w:rsidR="00EC3C86" w:rsidRPr="00F35716">
        <w:t xml:space="preserve">el Reino de Marruecos al Convenio </w:t>
      </w:r>
      <w:r w:rsidR="00FD43C3" w:rsidRPr="00F35716">
        <w:t>de la Organización Internacional del Trabajo</w:t>
      </w:r>
      <w:r w:rsidR="00EC3C86" w:rsidRPr="00F35716">
        <w:t xml:space="preserve"> sobre la</w:t>
      </w:r>
      <w:r w:rsidR="00FD43C3" w:rsidRPr="00F35716">
        <w:t>s</w:t>
      </w:r>
      <w:r w:rsidR="00EC3C86" w:rsidRPr="00F35716">
        <w:t xml:space="preserve"> </w:t>
      </w:r>
      <w:r w:rsidR="003D0109" w:rsidRPr="00F35716">
        <w:t>M</w:t>
      </w:r>
      <w:r w:rsidR="00EC3C86" w:rsidRPr="00F35716">
        <w:t>igraci</w:t>
      </w:r>
      <w:r w:rsidR="00FD43C3" w:rsidRPr="00F35716">
        <w:t>o</w:t>
      </w:r>
      <w:r w:rsidR="00EC3C86" w:rsidRPr="00F35716">
        <w:t>n</w:t>
      </w:r>
      <w:r w:rsidR="00FD43C3" w:rsidRPr="00F35716">
        <w:t>es</w:t>
      </w:r>
      <w:r w:rsidR="00EC3C86" w:rsidRPr="00F35716">
        <w:t xml:space="preserve"> en </w:t>
      </w:r>
      <w:r w:rsidR="003D0109" w:rsidRPr="00F35716">
        <w:t>C</w:t>
      </w:r>
      <w:r w:rsidR="00FD43C3" w:rsidRPr="00F35716">
        <w:t>ondiciones</w:t>
      </w:r>
      <w:r w:rsidR="00EC3C86" w:rsidRPr="00F35716">
        <w:t xml:space="preserve"> </w:t>
      </w:r>
      <w:r w:rsidR="003D0109" w:rsidRPr="00F35716">
        <w:t>A</w:t>
      </w:r>
      <w:r w:rsidR="00EC3C86" w:rsidRPr="00F35716">
        <w:t xml:space="preserve">busivas y la </w:t>
      </w:r>
      <w:r w:rsidR="003D0109" w:rsidRPr="00F35716">
        <w:t>P</w:t>
      </w:r>
      <w:r w:rsidR="00EC3C86" w:rsidRPr="00F35716">
        <w:t xml:space="preserve">romoción de la </w:t>
      </w:r>
      <w:r w:rsidR="003D0109" w:rsidRPr="00F35716">
        <w:t>I</w:t>
      </w:r>
      <w:r w:rsidR="00EC3C86" w:rsidRPr="00F35716">
        <w:t xml:space="preserve">gualdad de </w:t>
      </w:r>
      <w:r w:rsidR="003D0109" w:rsidRPr="00F35716">
        <w:t>O</w:t>
      </w:r>
      <w:r w:rsidR="00EC3C86" w:rsidRPr="00F35716">
        <w:t xml:space="preserve">portunidades y de </w:t>
      </w:r>
      <w:r w:rsidR="003D0109" w:rsidRPr="00F35716">
        <w:t>T</w:t>
      </w:r>
      <w:r w:rsidR="00EC3C86" w:rsidRPr="00F35716">
        <w:t xml:space="preserve">rato </w:t>
      </w:r>
      <w:r w:rsidR="00FD43C3" w:rsidRPr="00F35716">
        <w:t xml:space="preserve">de </w:t>
      </w:r>
      <w:r w:rsidR="00EC3C86" w:rsidRPr="00F35716">
        <w:t xml:space="preserve">los </w:t>
      </w:r>
      <w:r w:rsidR="003D0109" w:rsidRPr="00F35716">
        <w:t>T</w:t>
      </w:r>
      <w:r w:rsidR="00EC3C86" w:rsidRPr="00F35716">
        <w:t xml:space="preserve">rabajadores </w:t>
      </w:r>
      <w:r w:rsidR="003D0109" w:rsidRPr="00F35716">
        <w:t>M</w:t>
      </w:r>
      <w:r w:rsidR="00EC3C86" w:rsidRPr="00F35716">
        <w:t>igrantes</w:t>
      </w:r>
      <w:r w:rsidR="003D0109" w:rsidRPr="00F35716">
        <w:t xml:space="preserve"> (núm. 143)</w:t>
      </w:r>
      <w:r w:rsidR="00250B90" w:rsidRPr="00F35716">
        <w:rPr>
          <w:vertAlign w:val="superscript"/>
        </w:rPr>
        <w:footnoteReference w:id="50"/>
      </w:r>
      <w:r w:rsidR="00EC3C86" w:rsidRPr="00F35716">
        <w:t>.</w:t>
      </w:r>
    </w:p>
    <w:p w14:paraId="32E9424C" w14:textId="4BDAC45B" w:rsidR="00EC3C86" w:rsidRPr="00F35716" w:rsidRDefault="00E679D1" w:rsidP="00E679D1">
      <w:pPr>
        <w:pStyle w:val="SingleTxt"/>
        <w:tabs>
          <w:tab w:val="right" w:pos="1685"/>
        </w:tabs>
        <w:ind w:left="1742" w:hanging="475"/>
      </w:pPr>
      <w:r w:rsidRPr="00F35716">
        <w:tab/>
        <w:t>–</w:t>
      </w:r>
      <w:r w:rsidRPr="00F35716">
        <w:tab/>
      </w:r>
      <w:r w:rsidR="00EC3C86" w:rsidRPr="00F35716">
        <w:t>El Reino ratificó</w:t>
      </w:r>
      <w:r w:rsidR="00EC3C86" w:rsidRPr="00F35716">
        <w:rPr>
          <w:vertAlign w:val="superscript"/>
        </w:rPr>
        <w:footnoteReference w:id="51"/>
      </w:r>
      <w:r w:rsidR="00EC3C86" w:rsidRPr="00F35716">
        <w:t xml:space="preserve"> el Convenio sobre los </w:t>
      </w:r>
      <w:r w:rsidR="003D0109" w:rsidRPr="00F35716">
        <w:t>T</w:t>
      </w:r>
      <w:r w:rsidR="00EC3C86" w:rsidRPr="00F35716">
        <w:t xml:space="preserve">rabajadores </w:t>
      </w:r>
      <w:r w:rsidR="003D0109" w:rsidRPr="00F35716">
        <w:t>M</w:t>
      </w:r>
      <w:r w:rsidR="00EC3C86" w:rsidRPr="00F35716">
        <w:t>igrantes (</w:t>
      </w:r>
      <w:r w:rsidR="003D0109" w:rsidRPr="00F35716">
        <w:t>R</w:t>
      </w:r>
      <w:r w:rsidR="00EC3C86" w:rsidRPr="00F35716">
        <w:t>evisado)</w:t>
      </w:r>
      <w:r w:rsidR="00FD43C3" w:rsidRPr="00F35716">
        <w:t>,</w:t>
      </w:r>
      <w:r w:rsidR="00EC3C86" w:rsidRPr="00F35716">
        <w:t xml:space="preserve"> de 1949</w:t>
      </w:r>
      <w:r w:rsidR="003D0109" w:rsidRPr="00F35716">
        <w:t xml:space="preserve"> (núm. 97)</w:t>
      </w:r>
      <w:r w:rsidR="00EC3C86" w:rsidRPr="00F35716">
        <w:t>.</w:t>
      </w:r>
    </w:p>
    <w:p w14:paraId="32E9424D" w14:textId="2B47BC10" w:rsidR="00EC3C86" w:rsidRPr="00F35716" w:rsidRDefault="00EC3C86" w:rsidP="00B3192A">
      <w:pPr>
        <w:pStyle w:val="SingleTxt"/>
        <w:numPr>
          <w:ilvl w:val="0"/>
          <w:numId w:val="8"/>
        </w:numPr>
        <w:ind w:left="1267" w:firstLine="0"/>
      </w:pPr>
      <w:r w:rsidRPr="00F35716">
        <w:t xml:space="preserve">El Reino de Marruecos llevó a cabo un proceso de regularización excepcional de migrantes indocumentados en dos fases, en las que se prestó especial atención a las mujeres y a los niños. </w:t>
      </w:r>
      <w:r w:rsidR="003D0109" w:rsidRPr="00F35716">
        <w:t>Se</w:t>
      </w:r>
      <w:r w:rsidRPr="00F35716">
        <w:t xml:space="preserve"> aprovech</w:t>
      </w:r>
      <w:r w:rsidR="003D0109" w:rsidRPr="00F35716">
        <w:t>aron</w:t>
      </w:r>
      <w:r w:rsidRPr="00F35716">
        <w:t xml:space="preserve"> las capacidades logísticas y humanas para abrir 83 oficinas en todas las prefecturas y regiones, y </w:t>
      </w:r>
      <w:r w:rsidR="00A00374" w:rsidRPr="00F35716">
        <w:t xml:space="preserve">se </w:t>
      </w:r>
      <w:r w:rsidRPr="00F35716">
        <w:t>formó a 3.000</w:t>
      </w:r>
      <w:r w:rsidR="00765B4F" w:rsidRPr="00F35716">
        <w:t> </w:t>
      </w:r>
      <w:r w:rsidRPr="00F35716">
        <w:t>de sus integrantes para mantener el ritmo del proceso</w:t>
      </w:r>
      <w:r w:rsidR="003D0109" w:rsidRPr="00F35716">
        <w:t>. Se utilizó</w:t>
      </w:r>
      <w:r w:rsidRPr="00F35716">
        <w:t xml:space="preserve"> un sistema de información avanzado y </w:t>
      </w:r>
      <w:r w:rsidR="003D0109" w:rsidRPr="00F35716">
        <w:t>se emprendieron campañas</w:t>
      </w:r>
      <w:r w:rsidRPr="00F35716">
        <w:t xml:space="preserve"> de sensibilización con la </w:t>
      </w:r>
      <w:r w:rsidR="003D0109" w:rsidRPr="00F35716">
        <w:t xml:space="preserve">participación </w:t>
      </w:r>
      <w:r w:rsidRPr="00F35716">
        <w:t xml:space="preserve">de la sociedad civil. </w:t>
      </w:r>
    </w:p>
    <w:p w14:paraId="32E9424E" w14:textId="406DBAA9" w:rsidR="00EC3C86" w:rsidRPr="00F35716" w:rsidRDefault="00EC3C86" w:rsidP="00B3192A">
      <w:pPr>
        <w:pStyle w:val="SingleTxt"/>
        <w:numPr>
          <w:ilvl w:val="0"/>
          <w:numId w:val="8"/>
        </w:numPr>
        <w:ind w:left="1267" w:firstLine="0"/>
      </w:pPr>
      <w:r w:rsidRPr="00F35716">
        <w:t xml:space="preserve"> En junio de 2014, el Consejo Nacional de Derechos Humanos creó un</w:t>
      </w:r>
      <w:r w:rsidR="00E60E46" w:rsidRPr="00F35716">
        <w:t>a</w:t>
      </w:r>
      <w:r w:rsidRPr="00F35716">
        <w:t xml:space="preserve"> Comi</w:t>
      </w:r>
      <w:r w:rsidR="00E60E46" w:rsidRPr="00F35716">
        <w:t>sión</w:t>
      </w:r>
      <w:r w:rsidRPr="00F35716">
        <w:t xml:space="preserve"> Nacional de </w:t>
      </w:r>
      <w:r w:rsidR="00E60E46" w:rsidRPr="00F35716">
        <w:t>Apelaciones</w:t>
      </w:r>
      <w:r w:rsidRPr="00F35716">
        <w:t xml:space="preserve"> para resolver las solicitudes de regularización rechazadas. Est</w:t>
      </w:r>
      <w:r w:rsidR="00E60E46" w:rsidRPr="00F35716">
        <w:t>a Comisión</w:t>
      </w:r>
      <w:r w:rsidRPr="00F35716">
        <w:t xml:space="preserve"> adoptó una recomendación para regularizar la situación de todas las mujeres migrantes y sus hijos </w:t>
      </w:r>
      <w:r w:rsidR="003D0109" w:rsidRPr="00F35716">
        <w:t>que no cumplían</w:t>
      </w:r>
      <w:r w:rsidRPr="00F35716">
        <w:t xml:space="preserve"> las condiciones requeridas</w:t>
      </w:r>
      <w:r w:rsidR="003D0109" w:rsidRPr="00F35716">
        <w:t>. El 100 % de</w:t>
      </w:r>
      <w:r w:rsidRPr="00F35716">
        <w:t xml:space="preserve"> las solicitudes (más de 10.000 </w:t>
      </w:r>
      <w:r w:rsidR="00E60E46" w:rsidRPr="00F35716">
        <w:t>mujeres y niños de 116 nacionalidades)</w:t>
      </w:r>
      <w:r w:rsidRPr="00F35716">
        <w:t xml:space="preserve"> fueron aceptadas</w:t>
      </w:r>
      <w:r w:rsidR="00E60E46" w:rsidRPr="00F35716">
        <w:t>.</w:t>
      </w:r>
    </w:p>
    <w:p w14:paraId="32E9424F" w14:textId="77777777" w:rsidR="007E044D" w:rsidRPr="00F35716" w:rsidRDefault="007E044D" w:rsidP="007E044D">
      <w:pPr>
        <w:pStyle w:val="SingleTxt"/>
        <w:spacing w:after="0" w:line="120" w:lineRule="exact"/>
        <w:rPr>
          <w:sz w:val="10"/>
          <w:szCs w:val="20"/>
        </w:rPr>
      </w:pPr>
    </w:p>
    <w:p w14:paraId="32E94250" w14:textId="0285622D" w:rsidR="00EC3C86" w:rsidRPr="00F35716" w:rsidRDefault="005C314E"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 w:val="0"/>
          <w:bCs w:val="0"/>
          <w:szCs w:val="20"/>
        </w:rPr>
        <w:t xml:space="preserve">Tabla 1: </w:t>
      </w:r>
      <w:r w:rsidRPr="00F35716">
        <w:rPr>
          <w:bCs w:val="0"/>
          <w:szCs w:val="20"/>
        </w:rPr>
        <w:br/>
      </w:r>
      <w:r w:rsidR="00EC3C86" w:rsidRPr="00F35716">
        <w:rPr>
          <w:bCs w:val="0"/>
          <w:szCs w:val="20"/>
        </w:rPr>
        <w:t>Resultado provisional de las solicitudes de migrantes y número de solicitudes de mujeres migrantes a</w:t>
      </w:r>
      <w:r w:rsidR="00E60E46" w:rsidRPr="00F35716">
        <w:rPr>
          <w:bCs w:val="0"/>
          <w:szCs w:val="20"/>
        </w:rPr>
        <w:t>ceptadas</w:t>
      </w:r>
    </w:p>
    <w:p w14:paraId="32E94251" w14:textId="77777777" w:rsidR="005C314E" w:rsidRPr="00F35716" w:rsidRDefault="005C314E" w:rsidP="007E044D">
      <w:pPr>
        <w:pStyle w:val="SingleTxt"/>
        <w:spacing w:after="0" w:line="120" w:lineRule="exact"/>
        <w:rPr>
          <w:sz w:val="10"/>
          <w:szCs w:val="20"/>
        </w:rPr>
      </w:pPr>
    </w:p>
    <w:tbl>
      <w:tblPr>
        <w:tblW w:w="8564" w:type="dxa"/>
        <w:tblInd w:w="1260" w:type="dxa"/>
        <w:tblLayout w:type="fixed"/>
        <w:tblCellMar>
          <w:left w:w="0" w:type="dxa"/>
          <w:right w:w="43" w:type="dxa"/>
        </w:tblCellMar>
        <w:tblLook w:val="04A0" w:firstRow="1" w:lastRow="0" w:firstColumn="1" w:lastColumn="0" w:noHBand="0" w:noVBand="1"/>
      </w:tblPr>
      <w:tblGrid>
        <w:gridCol w:w="2520"/>
        <w:gridCol w:w="836"/>
        <w:gridCol w:w="1166"/>
        <w:gridCol w:w="1166"/>
        <w:gridCol w:w="1166"/>
        <w:gridCol w:w="1710"/>
      </w:tblGrid>
      <w:tr w:rsidR="0051017B" w:rsidRPr="00F35716" w14:paraId="32E94258" w14:textId="77777777" w:rsidTr="00F35716">
        <w:trPr>
          <w:trHeight w:val="389"/>
          <w:tblHeader/>
        </w:trPr>
        <w:tc>
          <w:tcPr>
            <w:tcW w:w="2520" w:type="dxa"/>
            <w:tcBorders>
              <w:top w:val="single" w:sz="4" w:space="0" w:color="auto"/>
              <w:bottom w:val="single" w:sz="12" w:space="0" w:color="auto"/>
            </w:tcBorders>
          </w:tcPr>
          <w:p w14:paraId="32E94252" w14:textId="77777777" w:rsidR="0051017B" w:rsidRPr="00F35716" w:rsidRDefault="0051017B"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836" w:type="dxa"/>
            <w:tcBorders>
              <w:top w:val="single" w:sz="4" w:space="0" w:color="auto"/>
              <w:bottom w:val="single" w:sz="12" w:space="0" w:color="auto"/>
            </w:tcBorders>
            <w:vAlign w:val="bottom"/>
          </w:tcPr>
          <w:p w14:paraId="32E94253" w14:textId="77777777" w:rsidR="0051017B" w:rsidRPr="00F35716" w:rsidRDefault="0051017B"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 xml:space="preserve">Número de </w:t>
            </w:r>
            <w:r w:rsidRPr="00F35716">
              <w:rPr>
                <w:i/>
                <w:iCs/>
                <w:kern w:val="0"/>
                <w:sz w:val="14"/>
                <w:szCs w:val="14"/>
              </w:rPr>
              <w:br/>
              <w:t>solicitudes registradas</w:t>
            </w:r>
          </w:p>
        </w:tc>
        <w:tc>
          <w:tcPr>
            <w:tcW w:w="1166" w:type="dxa"/>
            <w:tcBorders>
              <w:top w:val="single" w:sz="4" w:space="0" w:color="auto"/>
              <w:bottom w:val="single" w:sz="12" w:space="0" w:color="auto"/>
            </w:tcBorders>
            <w:vAlign w:val="bottom"/>
          </w:tcPr>
          <w:p w14:paraId="32E94254" w14:textId="77777777" w:rsidR="0051017B" w:rsidRPr="00F35716" w:rsidRDefault="0051017B"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Número de nacionalidades</w:t>
            </w:r>
          </w:p>
        </w:tc>
        <w:tc>
          <w:tcPr>
            <w:tcW w:w="1166" w:type="dxa"/>
            <w:tcBorders>
              <w:top w:val="single" w:sz="4" w:space="0" w:color="auto"/>
              <w:bottom w:val="single" w:sz="12" w:space="0" w:color="auto"/>
            </w:tcBorders>
            <w:vAlign w:val="bottom"/>
          </w:tcPr>
          <w:p w14:paraId="32E94255" w14:textId="77777777" w:rsidR="0051017B" w:rsidRPr="00F35716" w:rsidRDefault="0051017B"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 xml:space="preserve">Número de solicitudes </w:t>
            </w:r>
            <w:r w:rsidRPr="00F35716">
              <w:rPr>
                <w:i/>
                <w:iCs/>
                <w:kern w:val="0"/>
                <w:sz w:val="14"/>
                <w:szCs w:val="14"/>
              </w:rPr>
              <w:br/>
              <w:t>aceptadas</w:t>
            </w:r>
          </w:p>
        </w:tc>
        <w:tc>
          <w:tcPr>
            <w:tcW w:w="1166" w:type="dxa"/>
            <w:tcBorders>
              <w:top w:val="single" w:sz="4" w:space="0" w:color="auto"/>
              <w:bottom w:val="single" w:sz="12" w:space="0" w:color="auto"/>
            </w:tcBorders>
            <w:vAlign w:val="bottom"/>
          </w:tcPr>
          <w:p w14:paraId="32E94256" w14:textId="52141D35" w:rsidR="0051017B" w:rsidRPr="00F35716" w:rsidRDefault="0051017B"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Porcentaje</w:t>
            </w:r>
          </w:p>
        </w:tc>
        <w:tc>
          <w:tcPr>
            <w:tcW w:w="1710" w:type="dxa"/>
            <w:tcBorders>
              <w:top w:val="single" w:sz="4" w:space="0" w:color="auto"/>
              <w:bottom w:val="single" w:sz="12" w:space="0" w:color="auto"/>
            </w:tcBorders>
            <w:shd w:val="clear" w:color="auto" w:fill="auto"/>
            <w:vAlign w:val="bottom"/>
          </w:tcPr>
          <w:p w14:paraId="32E94257" w14:textId="77777777" w:rsidR="0051017B" w:rsidRPr="00F35716" w:rsidRDefault="0051017B"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Número de solicitudes de mujeres y niños aceptadas</w:t>
            </w:r>
          </w:p>
        </w:tc>
      </w:tr>
      <w:tr w:rsidR="0051017B" w:rsidRPr="00F35716" w14:paraId="32E9425F" w14:textId="77777777" w:rsidTr="00F35716">
        <w:trPr>
          <w:trHeight w:hRule="exact" w:val="115"/>
          <w:tblHeader/>
        </w:trPr>
        <w:tc>
          <w:tcPr>
            <w:tcW w:w="2520" w:type="dxa"/>
            <w:tcBorders>
              <w:top w:val="single" w:sz="12" w:space="0" w:color="auto"/>
            </w:tcBorders>
          </w:tcPr>
          <w:p w14:paraId="32E94259" w14:textId="77777777" w:rsidR="0051017B" w:rsidRPr="00F35716" w:rsidRDefault="0051017B"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836" w:type="dxa"/>
            <w:tcBorders>
              <w:top w:val="single" w:sz="12" w:space="0" w:color="auto"/>
            </w:tcBorders>
          </w:tcPr>
          <w:p w14:paraId="32E9425A" w14:textId="77777777" w:rsidR="0051017B" w:rsidRPr="00F35716" w:rsidRDefault="0051017B"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1166" w:type="dxa"/>
            <w:tcBorders>
              <w:top w:val="single" w:sz="12" w:space="0" w:color="auto"/>
            </w:tcBorders>
          </w:tcPr>
          <w:p w14:paraId="32E9425B" w14:textId="77777777" w:rsidR="0051017B" w:rsidRPr="00F35716" w:rsidRDefault="0051017B"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1166" w:type="dxa"/>
            <w:tcBorders>
              <w:top w:val="single" w:sz="12" w:space="0" w:color="auto"/>
            </w:tcBorders>
          </w:tcPr>
          <w:p w14:paraId="32E9425C" w14:textId="77777777" w:rsidR="0051017B" w:rsidRPr="00F35716" w:rsidRDefault="0051017B"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1166" w:type="dxa"/>
            <w:tcBorders>
              <w:top w:val="single" w:sz="12" w:space="0" w:color="auto"/>
            </w:tcBorders>
          </w:tcPr>
          <w:p w14:paraId="32E9425D" w14:textId="77777777" w:rsidR="0051017B" w:rsidRPr="00F35716" w:rsidRDefault="0051017B"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1710" w:type="dxa"/>
            <w:tcBorders>
              <w:top w:val="single" w:sz="12" w:space="0" w:color="auto"/>
            </w:tcBorders>
            <w:shd w:val="clear" w:color="auto" w:fill="auto"/>
          </w:tcPr>
          <w:p w14:paraId="32E9425E" w14:textId="77777777" w:rsidR="0051017B" w:rsidRPr="00F35716" w:rsidRDefault="0051017B"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r>
      <w:tr w:rsidR="0051017B" w:rsidRPr="00F35716" w14:paraId="32E94267" w14:textId="77777777" w:rsidTr="00F35716">
        <w:trPr>
          <w:trHeight w:val="315"/>
        </w:trPr>
        <w:tc>
          <w:tcPr>
            <w:tcW w:w="2520" w:type="dxa"/>
          </w:tcPr>
          <w:p w14:paraId="32E94260" w14:textId="7589AA2D" w:rsidR="0051017B" w:rsidRPr="00F35716" w:rsidRDefault="00E60E46" w:rsidP="006F34C8">
            <w:pPr>
              <w:spacing w:before="40" w:after="80" w:line="210" w:lineRule="exact"/>
              <w:rPr>
                <w:bCs/>
                <w:sz w:val="17"/>
                <w:szCs w:val="17"/>
              </w:rPr>
            </w:pPr>
            <w:r w:rsidRPr="00F35716">
              <w:rPr>
                <w:sz w:val="17"/>
                <w:szCs w:val="17"/>
              </w:rPr>
              <w:t>E</w:t>
            </w:r>
            <w:r w:rsidR="0051017B" w:rsidRPr="00F35716">
              <w:rPr>
                <w:sz w:val="17"/>
                <w:szCs w:val="17"/>
              </w:rPr>
              <w:t>nero-diciembre 2014</w:t>
            </w:r>
          </w:p>
        </w:tc>
        <w:tc>
          <w:tcPr>
            <w:tcW w:w="836" w:type="dxa"/>
          </w:tcPr>
          <w:p w14:paraId="32E94261" w14:textId="77777777" w:rsidR="0051017B" w:rsidRPr="00F35716" w:rsidRDefault="0051017B" w:rsidP="006F34C8">
            <w:pPr>
              <w:spacing w:before="40" w:after="80" w:line="210" w:lineRule="exact"/>
              <w:jc w:val="right"/>
              <w:rPr>
                <w:sz w:val="17"/>
                <w:szCs w:val="17"/>
              </w:rPr>
            </w:pPr>
            <w:r w:rsidRPr="00F35716">
              <w:rPr>
                <w:sz w:val="17"/>
                <w:szCs w:val="17"/>
              </w:rPr>
              <w:t>27.649</w:t>
            </w:r>
          </w:p>
        </w:tc>
        <w:tc>
          <w:tcPr>
            <w:tcW w:w="1166" w:type="dxa"/>
          </w:tcPr>
          <w:p w14:paraId="32E94262" w14:textId="77777777" w:rsidR="0051017B" w:rsidRPr="00F35716" w:rsidRDefault="0051017B" w:rsidP="006F34C8">
            <w:pPr>
              <w:spacing w:before="40" w:after="80" w:line="210" w:lineRule="exact"/>
              <w:jc w:val="right"/>
              <w:rPr>
                <w:sz w:val="17"/>
                <w:szCs w:val="17"/>
              </w:rPr>
            </w:pPr>
            <w:r w:rsidRPr="00F35716">
              <w:rPr>
                <w:sz w:val="17"/>
                <w:szCs w:val="17"/>
              </w:rPr>
              <w:t>116</w:t>
            </w:r>
          </w:p>
        </w:tc>
        <w:tc>
          <w:tcPr>
            <w:tcW w:w="1166" w:type="dxa"/>
          </w:tcPr>
          <w:p w14:paraId="32E94263" w14:textId="77777777" w:rsidR="0051017B" w:rsidRPr="00F35716" w:rsidRDefault="0051017B" w:rsidP="006F34C8">
            <w:pPr>
              <w:spacing w:before="40" w:after="80" w:line="210" w:lineRule="exact"/>
              <w:jc w:val="right"/>
              <w:rPr>
                <w:sz w:val="17"/>
                <w:szCs w:val="17"/>
              </w:rPr>
            </w:pPr>
            <w:r w:rsidRPr="00F35716">
              <w:rPr>
                <w:sz w:val="17"/>
                <w:szCs w:val="17"/>
              </w:rPr>
              <w:t>23.096</w:t>
            </w:r>
          </w:p>
        </w:tc>
        <w:tc>
          <w:tcPr>
            <w:tcW w:w="1166" w:type="dxa"/>
          </w:tcPr>
          <w:p w14:paraId="32E94264" w14:textId="77777777" w:rsidR="0051017B" w:rsidRPr="00F35716" w:rsidRDefault="0051017B" w:rsidP="006F34C8">
            <w:pPr>
              <w:spacing w:before="40" w:after="80" w:line="210" w:lineRule="exact"/>
              <w:jc w:val="right"/>
              <w:rPr>
                <w:sz w:val="17"/>
                <w:szCs w:val="17"/>
              </w:rPr>
            </w:pPr>
            <w:r w:rsidRPr="00F35716">
              <w:rPr>
                <w:sz w:val="17"/>
                <w:szCs w:val="17"/>
              </w:rPr>
              <w:t>83,53 %</w:t>
            </w:r>
          </w:p>
        </w:tc>
        <w:tc>
          <w:tcPr>
            <w:tcW w:w="1710" w:type="dxa"/>
            <w:shd w:val="clear" w:color="auto" w:fill="auto"/>
            <w:hideMark/>
          </w:tcPr>
          <w:p w14:paraId="32E94266" w14:textId="6AB6529C" w:rsidR="0051017B" w:rsidRPr="00F35716" w:rsidRDefault="0051017B" w:rsidP="00B70088">
            <w:pPr>
              <w:spacing w:before="40" w:after="80" w:line="210" w:lineRule="exact"/>
              <w:jc w:val="right"/>
              <w:rPr>
                <w:bCs/>
                <w:sz w:val="17"/>
                <w:szCs w:val="17"/>
              </w:rPr>
            </w:pPr>
            <w:r w:rsidRPr="00F35716">
              <w:rPr>
                <w:bCs/>
                <w:sz w:val="17"/>
                <w:szCs w:val="17"/>
              </w:rPr>
              <w:t>10.201 mujeres</w:t>
            </w:r>
            <w:r w:rsidR="00B70088">
              <w:rPr>
                <w:bCs/>
                <w:sz w:val="17"/>
                <w:szCs w:val="17"/>
              </w:rPr>
              <w:br/>
            </w:r>
            <w:r w:rsidRPr="00F35716">
              <w:rPr>
                <w:bCs/>
                <w:sz w:val="17"/>
                <w:szCs w:val="17"/>
              </w:rPr>
              <w:t>814 niños</w:t>
            </w:r>
          </w:p>
        </w:tc>
      </w:tr>
      <w:tr w:rsidR="0051017B" w:rsidRPr="00F35716" w14:paraId="32E9426E" w14:textId="77777777" w:rsidTr="00F35716">
        <w:trPr>
          <w:trHeight w:val="153"/>
        </w:trPr>
        <w:tc>
          <w:tcPr>
            <w:tcW w:w="2520" w:type="dxa"/>
            <w:tcBorders>
              <w:bottom w:val="single" w:sz="12" w:space="0" w:color="auto"/>
            </w:tcBorders>
          </w:tcPr>
          <w:p w14:paraId="32E94268" w14:textId="1F880514" w:rsidR="0051017B" w:rsidRPr="00F35716" w:rsidRDefault="00E60E46" w:rsidP="006F34C8">
            <w:pPr>
              <w:spacing w:before="40" w:after="80" w:line="210" w:lineRule="exact"/>
              <w:rPr>
                <w:bCs/>
                <w:sz w:val="17"/>
                <w:szCs w:val="17"/>
              </w:rPr>
            </w:pPr>
            <w:r w:rsidRPr="00F35716">
              <w:rPr>
                <w:sz w:val="17"/>
                <w:szCs w:val="17"/>
              </w:rPr>
              <w:t>N</w:t>
            </w:r>
            <w:r w:rsidR="0051017B" w:rsidRPr="00F35716">
              <w:rPr>
                <w:sz w:val="17"/>
                <w:szCs w:val="17"/>
              </w:rPr>
              <w:t>oviembre 2016-diciembre 2017</w:t>
            </w:r>
          </w:p>
        </w:tc>
        <w:tc>
          <w:tcPr>
            <w:tcW w:w="836" w:type="dxa"/>
            <w:tcBorders>
              <w:bottom w:val="single" w:sz="12" w:space="0" w:color="auto"/>
            </w:tcBorders>
          </w:tcPr>
          <w:p w14:paraId="32E94269" w14:textId="77777777" w:rsidR="0051017B" w:rsidRPr="00F35716" w:rsidRDefault="0051017B" w:rsidP="006F34C8">
            <w:pPr>
              <w:spacing w:before="40" w:after="80" w:line="210" w:lineRule="exact"/>
              <w:jc w:val="right"/>
              <w:rPr>
                <w:sz w:val="17"/>
                <w:szCs w:val="17"/>
              </w:rPr>
            </w:pPr>
            <w:r w:rsidRPr="00F35716">
              <w:rPr>
                <w:sz w:val="17"/>
                <w:szCs w:val="17"/>
              </w:rPr>
              <w:t>28.400</w:t>
            </w:r>
          </w:p>
        </w:tc>
        <w:tc>
          <w:tcPr>
            <w:tcW w:w="1166" w:type="dxa"/>
            <w:tcBorders>
              <w:bottom w:val="single" w:sz="12" w:space="0" w:color="auto"/>
            </w:tcBorders>
          </w:tcPr>
          <w:p w14:paraId="32E9426A" w14:textId="77777777" w:rsidR="0051017B" w:rsidRPr="00F35716" w:rsidRDefault="0051017B" w:rsidP="006F34C8">
            <w:pPr>
              <w:spacing w:before="40" w:after="80" w:line="210" w:lineRule="exact"/>
              <w:jc w:val="right"/>
              <w:rPr>
                <w:sz w:val="17"/>
                <w:szCs w:val="17"/>
              </w:rPr>
            </w:pPr>
            <w:r w:rsidRPr="00F35716">
              <w:rPr>
                <w:sz w:val="17"/>
                <w:szCs w:val="17"/>
              </w:rPr>
              <w:t>113</w:t>
            </w:r>
          </w:p>
        </w:tc>
        <w:tc>
          <w:tcPr>
            <w:tcW w:w="1166" w:type="dxa"/>
            <w:tcBorders>
              <w:bottom w:val="single" w:sz="12" w:space="0" w:color="auto"/>
            </w:tcBorders>
          </w:tcPr>
          <w:p w14:paraId="32E9426B" w14:textId="77777777" w:rsidR="0051017B" w:rsidRPr="00F35716" w:rsidRDefault="0051017B" w:rsidP="006F34C8">
            <w:pPr>
              <w:spacing w:before="40" w:after="80" w:line="210" w:lineRule="exact"/>
              <w:jc w:val="right"/>
              <w:rPr>
                <w:sz w:val="17"/>
                <w:szCs w:val="17"/>
              </w:rPr>
            </w:pPr>
            <w:r w:rsidRPr="00F35716">
              <w:rPr>
                <w:sz w:val="17"/>
                <w:szCs w:val="17"/>
              </w:rPr>
              <w:t>23.000</w:t>
            </w:r>
          </w:p>
        </w:tc>
        <w:tc>
          <w:tcPr>
            <w:tcW w:w="1166" w:type="dxa"/>
            <w:tcBorders>
              <w:bottom w:val="single" w:sz="12" w:space="0" w:color="auto"/>
            </w:tcBorders>
          </w:tcPr>
          <w:p w14:paraId="32E9426C" w14:textId="77777777" w:rsidR="0051017B" w:rsidRPr="00F35716" w:rsidRDefault="0051017B" w:rsidP="006F34C8">
            <w:pPr>
              <w:spacing w:before="40" w:after="80" w:line="210" w:lineRule="exact"/>
              <w:jc w:val="right"/>
              <w:rPr>
                <w:sz w:val="17"/>
                <w:szCs w:val="17"/>
              </w:rPr>
            </w:pPr>
            <w:r w:rsidRPr="00F35716">
              <w:rPr>
                <w:sz w:val="17"/>
                <w:szCs w:val="17"/>
              </w:rPr>
              <w:t>80 %</w:t>
            </w:r>
          </w:p>
        </w:tc>
        <w:tc>
          <w:tcPr>
            <w:tcW w:w="1710" w:type="dxa"/>
            <w:tcBorders>
              <w:bottom w:val="single" w:sz="12" w:space="0" w:color="auto"/>
            </w:tcBorders>
            <w:shd w:val="clear" w:color="auto" w:fill="auto"/>
            <w:hideMark/>
          </w:tcPr>
          <w:p w14:paraId="32E9426D" w14:textId="77777777" w:rsidR="0051017B" w:rsidRPr="00F35716" w:rsidRDefault="0051017B" w:rsidP="006F34C8">
            <w:pPr>
              <w:spacing w:before="40" w:after="80" w:line="210" w:lineRule="exact"/>
              <w:jc w:val="right"/>
              <w:rPr>
                <w:bCs/>
                <w:sz w:val="17"/>
                <w:szCs w:val="17"/>
              </w:rPr>
            </w:pPr>
            <w:r w:rsidRPr="00F35716">
              <w:rPr>
                <w:bCs/>
                <w:sz w:val="17"/>
                <w:szCs w:val="17"/>
              </w:rPr>
              <w:t>-</w:t>
            </w:r>
          </w:p>
        </w:tc>
      </w:tr>
    </w:tbl>
    <w:p w14:paraId="32E9426F" w14:textId="77777777" w:rsidR="0051017B" w:rsidRPr="00F35716" w:rsidRDefault="0051017B" w:rsidP="007E044D">
      <w:pPr>
        <w:pStyle w:val="SingleTxt"/>
        <w:spacing w:after="0" w:line="120" w:lineRule="exact"/>
        <w:rPr>
          <w:sz w:val="10"/>
          <w:szCs w:val="20"/>
        </w:rPr>
      </w:pPr>
    </w:p>
    <w:p w14:paraId="32E94270" w14:textId="77777777" w:rsidR="0051017B" w:rsidRPr="00F35716" w:rsidRDefault="0051017B" w:rsidP="007E044D">
      <w:pPr>
        <w:pStyle w:val="SingleTxt"/>
        <w:spacing w:after="0" w:line="120" w:lineRule="exact"/>
        <w:rPr>
          <w:sz w:val="10"/>
          <w:szCs w:val="20"/>
        </w:rPr>
      </w:pPr>
    </w:p>
    <w:p w14:paraId="32E94271" w14:textId="77777777" w:rsidR="00EC3C86" w:rsidRPr="00F35716" w:rsidRDefault="00EC3C86" w:rsidP="00B3192A">
      <w:pPr>
        <w:pStyle w:val="SingleTxt"/>
        <w:numPr>
          <w:ilvl w:val="0"/>
          <w:numId w:val="8"/>
        </w:numPr>
        <w:ind w:left="1267" w:firstLine="0"/>
      </w:pPr>
      <w:r w:rsidRPr="00F35716">
        <w:t>Con respecto a la situación de los solicitantes de asilo, 803 personas registradas en la Oficina del Alto Comisionado de las Naciones Unidas para los Refugiados (ACNUR) en Rabat consiguieron que se les reconociese esta condición, incluidas 227 mujeres y 210 niños.</w:t>
      </w:r>
    </w:p>
    <w:p w14:paraId="32E94272" w14:textId="30AE9360" w:rsidR="00EC3C86" w:rsidRPr="00F35716" w:rsidRDefault="00EC3C86" w:rsidP="00B3192A">
      <w:pPr>
        <w:pStyle w:val="SingleTxt"/>
        <w:numPr>
          <w:ilvl w:val="0"/>
          <w:numId w:val="8"/>
        </w:numPr>
        <w:ind w:left="1267" w:firstLine="0"/>
      </w:pPr>
      <w:r w:rsidRPr="00F35716">
        <w:lastRenderedPageBreak/>
        <w:t xml:space="preserve">La implementación de las medidas contenidas en la Estrategia Nacional de </w:t>
      </w:r>
      <w:r w:rsidR="00AC597F" w:rsidRPr="00F35716">
        <w:t xml:space="preserve">Migración </w:t>
      </w:r>
      <w:r w:rsidRPr="00F35716">
        <w:t xml:space="preserve">y Asilo (11 programas y 81 </w:t>
      </w:r>
      <w:r w:rsidR="00AC597F" w:rsidRPr="00F35716">
        <w:t>procedimientos</w:t>
      </w:r>
      <w:r w:rsidRPr="00F35716">
        <w:t xml:space="preserve">) ha permitido facilitar la integración de mujeres migrantes y refugiadas en el sistema educativo, la formación profesional, los servicios de salud y el </w:t>
      </w:r>
      <w:r w:rsidR="00AC597F" w:rsidRPr="00F35716">
        <w:t xml:space="preserve">acceso </w:t>
      </w:r>
      <w:r w:rsidRPr="00F35716">
        <w:t xml:space="preserve">a la vivienda, </w:t>
      </w:r>
      <w:r w:rsidR="001A208A" w:rsidRPr="00F35716">
        <w:t xml:space="preserve">la </w:t>
      </w:r>
      <w:r w:rsidRPr="00F35716">
        <w:t xml:space="preserve">asistencia </w:t>
      </w:r>
      <w:r w:rsidR="001A208A" w:rsidRPr="00F35716">
        <w:t>jurídica</w:t>
      </w:r>
      <w:r w:rsidRPr="00F35716">
        <w:t xml:space="preserve"> y humanitaria y </w:t>
      </w:r>
      <w:r w:rsidR="001A208A" w:rsidRPr="00F35716">
        <w:t>el empleo</w:t>
      </w:r>
      <w:r w:rsidRPr="00F35716">
        <w:t xml:space="preserve">. </w:t>
      </w:r>
    </w:p>
    <w:p w14:paraId="32E94273" w14:textId="45A1DF87" w:rsidR="00EC3C86" w:rsidRPr="00F35716" w:rsidRDefault="00EC3C86" w:rsidP="00B3192A">
      <w:pPr>
        <w:pStyle w:val="SingleTxt"/>
        <w:numPr>
          <w:ilvl w:val="0"/>
          <w:numId w:val="8"/>
        </w:numPr>
        <w:ind w:left="1267" w:firstLine="0"/>
      </w:pPr>
      <w:r w:rsidRPr="00F35716">
        <w:t xml:space="preserve">En </w:t>
      </w:r>
      <w:r w:rsidR="001A208A" w:rsidRPr="00F35716">
        <w:t>cuanto</w:t>
      </w:r>
      <w:r w:rsidRPr="00F35716">
        <w:t xml:space="preserve"> a la gestión de l</w:t>
      </w:r>
      <w:r w:rsidR="001A208A" w:rsidRPr="00F35716">
        <w:t>a</w:t>
      </w:r>
      <w:r w:rsidRPr="00F35716">
        <w:t xml:space="preserve">s </w:t>
      </w:r>
      <w:r w:rsidR="001A208A" w:rsidRPr="00F35716">
        <w:t>oleadas de inmigrantes que buscan empleo</w:t>
      </w:r>
      <w:r w:rsidRPr="00F35716">
        <w:t>, en 2018 se aprobaron 6.405 contratos laborales para trabajadores extranjeros, el 28,6</w:t>
      </w:r>
      <w:r w:rsidR="006D2349" w:rsidRPr="00F35716">
        <w:t> </w:t>
      </w:r>
      <w:r w:rsidRPr="00F35716">
        <w:t>% (1.834) para mujeres. En concreto, se registraron 2.974</w:t>
      </w:r>
      <w:r w:rsidR="006D2349" w:rsidRPr="00F35716">
        <w:t> </w:t>
      </w:r>
      <w:r w:rsidRPr="00F35716">
        <w:t>contratos laborales por primera vez (residencia inicial), 844 de ellos firmados por mujeres (el 13,6</w:t>
      </w:r>
      <w:r w:rsidR="00610348" w:rsidRPr="00F35716">
        <w:t> </w:t>
      </w:r>
      <w:r w:rsidRPr="00F35716">
        <w:t>%); 3.194 renovaciones contractuales, 846 (el 13,7</w:t>
      </w:r>
      <w:r w:rsidR="006D2349" w:rsidRPr="00F35716">
        <w:t> </w:t>
      </w:r>
      <w:r w:rsidRPr="00F35716">
        <w:t>%) en beneficio de mujeres; y 237 contratos para artistas extranjeros, de los que el 60,8</w:t>
      </w:r>
      <w:r w:rsidR="0006736D" w:rsidRPr="00F35716">
        <w:t> %</w:t>
      </w:r>
      <w:r w:rsidRPr="00F35716">
        <w:t xml:space="preserve"> estuvieron suscritos por mujeres.</w:t>
      </w:r>
    </w:p>
    <w:p w14:paraId="32E94274" w14:textId="7A55D7A4" w:rsidR="00EC3C86" w:rsidRPr="00F35716" w:rsidRDefault="00EC3C86" w:rsidP="00B3192A">
      <w:pPr>
        <w:pStyle w:val="SingleTxt"/>
        <w:numPr>
          <w:ilvl w:val="0"/>
          <w:numId w:val="8"/>
        </w:numPr>
        <w:ind w:left="1267" w:firstLine="0"/>
      </w:pPr>
      <w:r w:rsidRPr="00F35716">
        <w:t xml:space="preserve">El Gobierno está trabajando para apoyar a varias </w:t>
      </w:r>
      <w:r w:rsidR="001A208A" w:rsidRPr="00F35716">
        <w:t xml:space="preserve">asociaciones </w:t>
      </w:r>
      <w:r w:rsidRPr="00F35716">
        <w:t xml:space="preserve">que </w:t>
      </w:r>
      <w:r w:rsidR="001A208A" w:rsidRPr="00F35716">
        <w:t>prestan</w:t>
      </w:r>
      <w:r w:rsidRPr="00F35716">
        <w:t xml:space="preserve"> asistencia humanitaria a grupos vulnerables de migrantes</w:t>
      </w:r>
      <w:r w:rsidRPr="00F35716">
        <w:rPr>
          <w:vertAlign w:val="superscript"/>
        </w:rPr>
        <w:footnoteReference w:id="52"/>
      </w:r>
      <w:r w:rsidRPr="00F35716">
        <w:t>, como la Media Luna Roja Marroquí, así como otros programas especiales</w:t>
      </w:r>
      <w:r w:rsidR="001A208A" w:rsidRPr="00F35716">
        <w:t>,</w:t>
      </w:r>
      <w:r w:rsidRPr="00F35716">
        <w:t xml:space="preserve"> en cooperación con una serie de organizaciones internacionales para garantizar el acceso de las mujeres migrantes y refugiadas a sus derechos económicos y sociales</w:t>
      </w:r>
      <w:r w:rsidR="00E71031" w:rsidRPr="00F35716">
        <w:t>. Entre estos figuran</w:t>
      </w:r>
      <w:r w:rsidRPr="00F35716">
        <w:t xml:space="preserve"> los programas de</w:t>
      </w:r>
      <w:r w:rsidR="00E71031" w:rsidRPr="00F35716">
        <w:t xml:space="preserve"> </w:t>
      </w:r>
      <w:r w:rsidRPr="00F35716">
        <w:t>l</w:t>
      </w:r>
      <w:r w:rsidR="00E71031" w:rsidRPr="00F35716">
        <w:t>os</w:t>
      </w:r>
      <w:r w:rsidRPr="00F35716">
        <w:t xml:space="preserve"> </w:t>
      </w:r>
      <w:r w:rsidR="00E71031" w:rsidRPr="00F35716">
        <w:t>c</w:t>
      </w:r>
      <w:r w:rsidRPr="00F35716">
        <w:t>onsejo</w:t>
      </w:r>
      <w:r w:rsidR="00E71031" w:rsidRPr="00F35716">
        <w:t>s</w:t>
      </w:r>
      <w:r w:rsidRPr="00F35716">
        <w:t xml:space="preserve"> </w:t>
      </w:r>
      <w:r w:rsidR="00E71031" w:rsidRPr="00F35716">
        <w:t>r</w:t>
      </w:r>
      <w:r w:rsidRPr="00F35716">
        <w:t>egionales</w:t>
      </w:r>
      <w:r w:rsidRPr="00F35716">
        <w:rPr>
          <w:vertAlign w:val="superscript"/>
        </w:rPr>
        <w:footnoteReference w:id="53"/>
      </w:r>
      <w:r w:rsidRPr="00F35716">
        <w:t xml:space="preserve"> y otros programas para facilitar el acceso a los servicios de salud en el marco de </w:t>
      </w:r>
      <w:r w:rsidR="00E71031" w:rsidRPr="00F35716">
        <w:t>alianzas</w:t>
      </w:r>
      <w:r w:rsidRPr="00F35716">
        <w:t xml:space="preserve"> sectoriales e institucionales.</w:t>
      </w:r>
    </w:p>
    <w:p w14:paraId="32E94275" w14:textId="5ED5C23B" w:rsidR="00EC3C86" w:rsidRPr="00F35716" w:rsidRDefault="00EC3C86" w:rsidP="00B3192A">
      <w:pPr>
        <w:pStyle w:val="SingleTxt"/>
        <w:numPr>
          <w:ilvl w:val="0"/>
          <w:numId w:val="8"/>
        </w:numPr>
        <w:ind w:left="1267" w:firstLine="0"/>
      </w:pPr>
      <w:r w:rsidRPr="00F35716">
        <w:t xml:space="preserve">Con el objetivo de combatir la explotación de mujeres y niñas, los </w:t>
      </w:r>
      <w:r w:rsidR="00E71031" w:rsidRPr="00F35716">
        <w:t>organismos</w:t>
      </w:r>
      <w:r w:rsidRPr="00F35716">
        <w:t xml:space="preserve"> de</w:t>
      </w:r>
      <w:r w:rsidR="00610348" w:rsidRPr="00F35716">
        <w:t> </w:t>
      </w:r>
      <w:r w:rsidRPr="00F35716">
        <w:t xml:space="preserve">seguridad están haciendo grandes esfuerzos para acabar con las redes de migración ilegal. </w:t>
      </w:r>
    </w:p>
    <w:p w14:paraId="32E94276" w14:textId="77777777" w:rsidR="007E044D" w:rsidRPr="00F35716" w:rsidRDefault="007E044D" w:rsidP="007E044D">
      <w:pPr>
        <w:pStyle w:val="SingleTxt"/>
        <w:spacing w:after="0" w:line="120" w:lineRule="exact"/>
        <w:rPr>
          <w:sz w:val="10"/>
          <w:szCs w:val="20"/>
        </w:rPr>
      </w:pPr>
    </w:p>
    <w:p w14:paraId="32E94277" w14:textId="77777777" w:rsidR="00EC3C86" w:rsidRPr="00F35716" w:rsidRDefault="005C314E"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 w:val="0"/>
          <w:bCs w:val="0"/>
          <w:szCs w:val="20"/>
        </w:rPr>
        <w:t xml:space="preserve">Tabla 2: </w:t>
      </w:r>
      <w:r w:rsidRPr="00F35716">
        <w:rPr>
          <w:b w:val="0"/>
          <w:bCs w:val="0"/>
          <w:szCs w:val="20"/>
        </w:rPr>
        <w:br/>
      </w:r>
      <w:r w:rsidR="00EC3C86" w:rsidRPr="00F35716">
        <w:rPr>
          <w:bCs w:val="0"/>
          <w:szCs w:val="20"/>
        </w:rPr>
        <w:t>Número de redes ilegales desarticuladas</w:t>
      </w:r>
    </w:p>
    <w:p w14:paraId="32E94278" w14:textId="77777777" w:rsidR="00D370C9" w:rsidRPr="00F35716" w:rsidRDefault="00D370C9" w:rsidP="007E044D">
      <w:pPr>
        <w:pStyle w:val="SingleTxt"/>
        <w:spacing w:after="0" w:line="120" w:lineRule="exact"/>
        <w:rPr>
          <w:sz w:val="10"/>
          <w:szCs w:val="20"/>
        </w:rPr>
      </w:pPr>
    </w:p>
    <w:tbl>
      <w:tblPr>
        <w:tblW w:w="7344" w:type="dxa"/>
        <w:tblInd w:w="1267" w:type="dxa"/>
        <w:tblLayout w:type="fixed"/>
        <w:tblCellMar>
          <w:left w:w="0" w:type="dxa"/>
          <w:right w:w="43" w:type="dxa"/>
        </w:tblCellMar>
        <w:tblLook w:val="04A0" w:firstRow="1" w:lastRow="0" w:firstColumn="1" w:lastColumn="0" w:noHBand="0" w:noVBand="1"/>
      </w:tblPr>
      <w:tblGrid>
        <w:gridCol w:w="1395"/>
        <w:gridCol w:w="756"/>
        <w:gridCol w:w="756"/>
        <w:gridCol w:w="724"/>
        <w:gridCol w:w="724"/>
        <w:gridCol w:w="724"/>
        <w:gridCol w:w="755"/>
        <w:gridCol w:w="755"/>
        <w:gridCol w:w="755"/>
      </w:tblGrid>
      <w:tr w:rsidR="00D370C9" w:rsidRPr="00F35716" w14:paraId="32E94282" w14:textId="77777777" w:rsidTr="00D11D4A">
        <w:trPr>
          <w:trHeight w:val="70"/>
          <w:tblHeader/>
        </w:trPr>
        <w:tc>
          <w:tcPr>
            <w:tcW w:w="1440" w:type="dxa"/>
            <w:tcBorders>
              <w:top w:val="single" w:sz="4" w:space="0" w:color="auto"/>
              <w:bottom w:val="single" w:sz="12" w:space="0" w:color="auto"/>
            </w:tcBorders>
            <w:shd w:val="clear" w:color="auto" w:fill="auto"/>
            <w:vAlign w:val="bottom"/>
          </w:tcPr>
          <w:p w14:paraId="32E94279" w14:textId="77777777" w:rsidR="00EC3C86" w:rsidRPr="00F35716" w:rsidRDefault="00EC3C86" w:rsidP="00D11D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r w:rsidRPr="00F35716">
              <w:rPr>
                <w:i/>
                <w:iCs/>
                <w:kern w:val="0"/>
                <w:sz w:val="14"/>
                <w:szCs w:val="14"/>
              </w:rPr>
              <w:t>Año</w:t>
            </w:r>
          </w:p>
        </w:tc>
        <w:tc>
          <w:tcPr>
            <w:tcW w:w="779" w:type="dxa"/>
            <w:tcBorders>
              <w:top w:val="single" w:sz="4" w:space="0" w:color="auto"/>
              <w:bottom w:val="single" w:sz="12" w:space="0" w:color="auto"/>
            </w:tcBorders>
            <w:shd w:val="clear" w:color="auto" w:fill="auto"/>
            <w:vAlign w:val="bottom"/>
          </w:tcPr>
          <w:p w14:paraId="32E9427A" w14:textId="77777777" w:rsidR="00EC3C86" w:rsidRPr="00F35716" w:rsidRDefault="00EC3C86" w:rsidP="00D11D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2011</w:t>
            </w:r>
          </w:p>
        </w:tc>
        <w:tc>
          <w:tcPr>
            <w:tcW w:w="779" w:type="dxa"/>
            <w:tcBorders>
              <w:top w:val="single" w:sz="4" w:space="0" w:color="auto"/>
              <w:bottom w:val="single" w:sz="12" w:space="0" w:color="auto"/>
            </w:tcBorders>
            <w:shd w:val="clear" w:color="auto" w:fill="auto"/>
            <w:vAlign w:val="bottom"/>
          </w:tcPr>
          <w:p w14:paraId="32E9427B" w14:textId="77777777" w:rsidR="00EC3C86" w:rsidRPr="00F35716" w:rsidRDefault="00EC3C86" w:rsidP="00D11D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2012</w:t>
            </w:r>
          </w:p>
        </w:tc>
        <w:tc>
          <w:tcPr>
            <w:tcW w:w="747" w:type="dxa"/>
            <w:tcBorders>
              <w:top w:val="single" w:sz="4" w:space="0" w:color="auto"/>
              <w:bottom w:val="single" w:sz="12" w:space="0" w:color="auto"/>
            </w:tcBorders>
            <w:shd w:val="clear" w:color="auto" w:fill="auto"/>
            <w:vAlign w:val="bottom"/>
          </w:tcPr>
          <w:p w14:paraId="32E9427C" w14:textId="77777777" w:rsidR="00EC3C86" w:rsidRPr="00F35716" w:rsidRDefault="00EC3C86" w:rsidP="00D11D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2013</w:t>
            </w:r>
          </w:p>
        </w:tc>
        <w:tc>
          <w:tcPr>
            <w:tcW w:w="747" w:type="dxa"/>
            <w:tcBorders>
              <w:top w:val="single" w:sz="4" w:space="0" w:color="auto"/>
              <w:bottom w:val="single" w:sz="12" w:space="0" w:color="auto"/>
            </w:tcBorders>
            <w:shd w:val="clear" w:color="auto" w:fill="auto"/>
            <w:vAlign w:val="bottom"/>
          </w:tcPr>
          <w:p w14:paraId="32E9427D" w14:textId="77777777" w:rsidR="00EC3C86" w:rsidRPr="00F35716" w:rsidRDefault="00EC3C86" w:rsidP="00D11D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2014</w:t>
            </w:r>
          </w:p>
        </w:tc>
        <w:tc>
          <w:tcPr>
            <w:tcW w:w="747" w:type="dxa"/>
            <w:tcBorders>
              <w:top w:val="single" w:sz="4" w:space="0" w:color="auto"/>
              <w:bottom w:val="single" w:sz="12" w:space="0" w:color="auto"/>
            </w:tcBorders>
            <w:shd w:val="clear" w:color="auto" w:fill="auto"/>
            <w:vAlign w:val="bottom"/>
          </w:tcPr>
          <w:p w14:paraId="32E9427E" w14:textId="77777777" w:rsidR="00EC3C86" w:rsidRPr="00F35716" w:rsidRDefault="00EC3C86" w:rsidP="00D11D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2015</w:t>
            </w:r>
          </w:p>
        </w:tc>
        <w:tc>
          <w:tcPr>
            <w:tcW w:w="779" w:type="dxa"/>
            <w:tcBorders>
              <w:top w:val="single" w:sz="4" w:space="0" w:color="auto"/>
              <w:bottom w:val="single" w:sz="12" w:space="0" w:color="auto"/>
            </w:tcBorders>
            <w:shd w:val="clear" w:color="auto" w:fill="auto"/>
            <w:vAlign w:val="bottom"/>
          </w:tcPr>
          <w:p w14:paraId="32E9427F" w14:textId="77777777" w:rsidR="00EC3C86" w:rsidRPr="00F35716" w:rsidRDefault="00EC3C86" w:rsidP="00D11D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2016</w:t>
            </w:r>
          </w:p>
        </w:tc>
        <w:tc>
          <w:tcPr>
            <w:tcW w:w="779" w:type="dxa"/>
            <w:tcBorders>
              <w:top w:val="single" w:sz="4" w:space="0" w:color="auto"/>
              <w:bottom w:val="single" w:sz="12" w:space="0" w:color="auto"/>
            </w:tcBorders>
            <w:shd w:val="clear" w:color="auto" w:fill="auto"/>
            <w:vAlign w:val="bottom"/>
          </w:tcPr>
          <w:p w14:paraId="32E94280" w14:textId="77777777" w:rsidR="00EC3C86" w:rsidRPr="00F35716" w:rsidRDefault="00EC3C86" w:rsidP="00D11D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2017</w:t>
            </w:r>
          </w:p>
        </w:tc>
        <w:tc>
          <w:tcPr>
            <w:tcW w:w="779" w:type="dxa"/>
            <w:tcBorders>
              <w:top w:val="single" w:sz="4" w:space="0" w:color="auto"/>
              <w:bottom w:val="single" w:sz="12" w:space="0" w:color="auto"/>
            </w:tcBorders>
            <w:shd w:val="clear" w:color="auto" w:fill="auto"/>
            <w:vAlign w:val="bottom"/>
          </w:tcPr>
          <w:p w14:paraId="32E94281" w14:textId="77777777" w:rsidR="00EC3C86" w:rsidRPr="00F35716" w:rsidRDefault="00EC3C86" w:rsidP="00D11D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2018</w:t>
            </w:r>
          </w:p>
        </w:tc>
      </w:tr>
      <w:tr w:rsidR="00D370C9" w:rsidRPr="00F35716" w14:paraId="32E9428C" w14:textId="77777777" w:rsidTr="003A46BA">
        <w:trPr>
          <w:trHeight w:hRule="exact" w:val="115"/>
          <w:tblHeader/>
        </w:trPr>
        <w:tc>
          <w:tcPr>
            <w:tcW w:w="1440" w:type="dxa"/>
            <w:tcBorders>
              <w:top w:val="single" w:sz="12" w:space="0" w:color="auto"/>
            </w:tcBorders>
            <w:shd w:val="clear" w:color="auto" w:fill="auto"/>
          </w:tcPr>
          <w:p w14:paraId="32E94283" w14:textId="77777777" w:rsidR="00D370C9" w:rsidRPr="00F35716" w:rsidRDefault="00D370C9" w:rsidP="00D370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779" w:type="dxa"/>
            <w:tcBorders>
              <w:top w:val="single" w:sz="12" w:space="0" w:color="auto"/>
            </w:tcBorders>
            <w:shd w:val="clear" w:color="auto" w:fill="auto"/>
          </w:tcPr>
          <w:p w14:paraId="32E94284" w14:textId="77777777" w:rsidR="00D370C9" w:rsidRPr="00F35716" w:rsidRDefault="00D370C9" w:rsidP="00D370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779" w:type="dxa"/>
            <w:tcBorders>
              <w:top w:val="single" w:sz="12" w:space="0" w:color="auto"/>
            </w:tcBorders>
            <w:shd w:val="clear" w:color="auto" w:fill="auto"/>
          </w:tcPr>
          <w:p w14:paraId="32E94285" w14:textId="77777777" w:rsidR="00D370C9" w:rsidRPr="00F35716" w:rsidRDefault="00D370C9" w:rsidP="00D370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747" w:type="dxa"/>
            <w:tcBorders>
              <w:top w:val="single" w:sz="12" w:space="0" w:color="auto"/>
            </w:tcBorders>
            <w:shd w:val="clear" w:color="auto" w:fill="auto"/>
          </w:tcPr>
          <w:p w14:paraId="32E94286" w14:textId="77777777" w:rsidR="00D370C9" w:rsidRPr="00F35716" w:rsidRDefault="00D370C9" w:rsidP="00D370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747" w:type="dxa"/>
            <w:tcBorders>
              <w:top w:val="single" w:sz="12" w:space="0" w:color="auto"/>
            </w:tcBorders>
            <w:shd w:val="clear" w:color="auto" w:fill="auto"/>
          </w:tcPr>
          <w:p w14:paraId="32E94287" w14:textId="77777777" w:rsidR="00D370C9" w:rsidRPr="00F35716" w:rsidRDefault="00D370C9" w:rsidP="00D370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747" w:type="dxa"/>
            <w:tcBorders>
              <w:top w:val="single" w:sz="12" w:space="0" w:color="auto"/>
            </w:tcBorders>
            <w:shd w:val="clear" w:color="auto" w:fill="auto"/>
          </w:tcPr>
          <w:p w14:paraId="32E94288" w14:textId="77777777" w:rsidR="00D370C9" w:rsidRPr="00F35716" w:rsidRDefault="00D370C9" w:rsidP="00D370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779" w:type="dxa"/>
            <w:tcBorders>
              <w:top w:val="single" w:sz="12" w:space="0" w:color="auto"/>
            </w:tcBorders>
            <w:shd w:val="clear" w:color="auto" w:fill="auto"/>
          </w:tcPr>
          <w:p w14:paraId="32E94289" w14:textId="77777777" w:rsidR="00D370C9" w:rsidRPr="00F35716" w:rsidRDefault="00D370C9" w:rsidP="00D370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779" w:type="dxa"/>
            <w:tcBorders>
              <w:top w:val="single" w:sz="12" w:space="0" w:color="auto"/>
            </w:tcBorders>
            <w:shd w:val="clear" w:color="auto" w:fill="auto"/>
          </w:tcPr>
          <w:p w14:paraId="32E9428A" w14:textId="77777777" w:rsidR="00D370C9" w:rsidRPr="00F35716" w:rsidRDefault="00D370C9" w:rsidP="00D370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779" w:type="dxa"/>
            <w:tcBorders>
              <w:top w:val="single" w:sz="12" w:space="0" w:color="auto"/>
            </w:tcBorders>
            <w:shd w:val="clear" w:color="auto" w:fill="auto"/>
          </w:tcPr>
          <w:p w14:paraId="32E9428B" w14:textId="77777777" w:rsidR="00D370C9" w:rsidRPr="00F35716" w:rsidRDefault="00D370C9" w:rsidP="00D370C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r>
      <w:tr w:rsidR="00D370C9" w:rsidRPr="00F35716" w14:paraId="32E94296" w14:textId="77777777" w:rsidTr="00D11D4A">
        <w:tc>
          <w:tcPr>
            <w:tcW w:w="1440" w:type="dxa"/>
            <w:tcBorders>
              <w:bottom w:val="single" w:sz="12" w:space="0" w:color="auto"/>
            </w:tcBorders>
            <w:shd w:val="clear" w:color="auto" w:fill="auto"/>
            <w:vAlign w:val="bottom"/>
          </w:tcPr>
          <w:p w14:paraId="32E9428D" w14:textId="77777777" w:rsidR="00EC3C86" w:rsidRPr="00F35716" w:rsidRDefault="00EC3C86" w:rsidP="00D11D4A">
            <w:pPr>
              <w:spacing w:before="40" w:after="80" w:line="210" w:lineRule="exact"/>
              <w:rPr>
                <w:bCs/>
                <w:sz w:val="17"/>
                <w:szCs w:val="17"/>
              </w:rPr>
            </w:pPr>
            <w:r w:rsidRPr="00F35716">
              <w:rPr>
                <w:bCs/>
                <w:sz w:val="17"/>
                <w:szCs w:val="17"/>
              </w:rPr>
              <w:t>Número de redes</w:t>
            </w:r>
          </w:p>
        </w:tc>
        <w:tc>
          <w:tcPr>
            <w:tcW w:w="779" w:type="dxa"/>
            <w:tcBorders>
              <w:bottom w:val="single" w:sz="12" w:space="0" w:color="auto"/>
            </w:tcBorders>
            <w:shd w:val="clear" w:color="auto" w:fill="auto"/>
            <w:vAlign w:val="bottom"/>
          </w:tcPr>
          <w:p w14:paraId="32E9428E" w14:textId="77777777" w:rsidR="00EC3C86" w:rsidRPr="00F35716" w:rsidRDefault="00EC3C86" w:rsidP="00D11D4A">
            <w:pPr>
              <w:spacing w:before="40" w:after="80" w:line="210" w:lineRule="exact"/>
              <w:jc w:val="right"/>
              <w:rPr>
                <w:sz w:val="17"/>
                <w:szCs w:val="17"/>
              </w:rPr>
            </w:pPr>
            <w:r w:rsidRPr="00F35716">
              <w:rPr>
                <w:sz w:val="17"/>
                <w:szCs w:val="17"/>
              </w:rPr>
              <w:t>55</w:t>
            </w:r>
          </w:p>
        </w:tc>
        <w:tc>
          <w:tcPr>
            <w:tcW w:w="779" w:type="dxa"/>
            <w:tcBorders>
              <w:bottom w:val="single" w:sz="12" w:space="0" w:color="auto"/>
            </w:tcBorders>
            <w:shd w:val="clear" w:color="auto" w:fill="auto"/>
            <w:vAlign w:val="bottom"/>
          </w:tcPr>
          <w:p w14:paraId="32E9428F" w14:textId="77777777" w:rsidR="00EC3C86" w:rsidRPr="00F35716" w:rsidRDefault="00EC3C86" w:rsidP="00D11D4A">
            <w:pPr>
              <w:spacing w:before="40" w:after="80" w:line="210" w:lineRule="exact"/>
              <w:jc w:val="right"/>
              <w:rPr>
                <w:sz w:val="17"/>
                <w:szCs w:val="17"/>
              </w:rPr>
            </w:pPr>
            <w:r w:rsidRPr="00F35716">
              <w:rPr>
                <w:sz w:val="17"/>
                <w:szCs w:val="17"/>
              </w:rPr>
              <w:t>44</w:t>
            </w:r>
          </w:p>
        </w:tc>
        <w:tc>
          <w:tcPr>
            <w:tcW w:w="747" w:type="dxa"/>
            <w:tcBorders>
              <w:bottom w:val="single" w:sz="12" w:space="0" w:color="auto"/>
            </w:tcBorders>
            <w:shd w:val="clear" w:color="auto" w:fill="auto"/>
            <w:vAlign w:val="bottom"/>
          </w:tcPr>
          <w:p w14:paraId="32E94290" w14:textId="77777777" w:rsidR="00EC3C86" w:rsidRPr="00F35716" w:rsidRDefault="00EC3C86" w:rsidP="00D11D4A">
            <w:pPr>
              <w:tabs>
                <w:tab w:val="left" w:pos="1072"/>
              </w:tabs>
              <w:spacing w:before="40" w:after="80" w:line="210" w:lineRule="exact"/>
              <w:jc w:val="right"/>
              <w:rPr>
                <w:sz w:val="17"/>
                <w:szCs w:val="17"/>
              </w:rPr>
            </w:pPr>
            <w:r w:rsidRPr="00F35716">
              <w:rPr>
                <w:sz w:val="17"/>
                <w:szCs w:val="17"/>
              </w:rPr>
              <w:t>42</w:t>
            </w:r>
          </w:p>
        </w:tc>
        <w:tc>
          <w:tcPr>
            <w:tcW w:w="747" w:type="dxa"/>
            <w:tcBorders>
              <w:bottom w:val="single" w:sz="12" w:space="0" w:color="auto"/>
            </w:tcBorders>
            <w:shd w:val="clear" w:color="auto" w:fill="auto"/>
            <w:vAlign w:val="bottom"/>
          </w:tcPr>
          <w:p w14:paraId="32E94291" w14:textId="77777777" w:rsidR="00EC3C86" w:rsidRPr="00F35716" w:rsidRDefault="00EC3C86" w:rsidP="00D11D4A">
            <w:pPr>
              <w:tabs>
                <w:tab w:val="left" w:pos="1072"/>
              </w:tabs>
              <w:spacing w:before="40" w:after="80" w:line="210" w:lineRule="exact"/>
              <w:jc w:val="right"/>
              <w:rPr>
                <w:sz w:val="17"/>
                <w:szCs w:val="17"/>
              </w:rPr>
            </w:pPr>
            <w:r w:rsidRPr="00F35716">
              <w:rPr>
                <w:sz w:val="17"/>
                <w:szCs w:val="17"/>
              </w:rPr>
              <w:t>47</w:t>
            </w:r>
          </w:p>
        </w:tc>
        <w:tc>
          <w:tcPr>
            <w:tcW w:w="747" w:type="dxa"/>
            <w:tcBorders>
              <w:bottom w:val="single" w:sz="12" w:space="0" w:color="auto"/>
            </w:tcBorders>
            <w:shd w:val="clear" w:color="auto" w:fill="auto"/>
            <w:vAlign w:val="bottom"/>
          </w:tcPr>
          <w:p w14:paraId="32E94292" w14:textId="77777777" w:rsidR="00EC3C86" w:rsidRPr="00F35716" w:rsidRDefault="00EC3C86" w:rsidP="00D11D4A">
            <w:pPr>
              <w:tabs>
                <w:tab w:val="left" w:pos="1072"/>
              </w:tabs>
              <w:spacing w:before="40" w:after="80" w:line="210" w:lineRule="exact"/>
              <w:jc w:val="right"/>
              <w:rPr>
                <w:sz w:val="17"/>
                <w:szCs w:val="17"/>
              </w:rPr>
            </w:pPr>
            <w:r w:rsidRPr="00F35716">
              <w:rPr>
                <w:sz w:val="17"/>
                <w:szCs w:val="17"/>
              </w:rPr>
              <w:t>47</w:t>
            </w:r>
          </w:p>
        </w:tc>
        <w:tc>
          <w:tcPr>
            <w:tcW w:w="779" w:type="dxa"/>
            <w:tcBorders>
              <w:bottom w:val="single" w:sz="12" w:space="0" w:color="auto"/>
            </w:tcBorders>
            <w:shd w:val="clear" w:color="auto" w:fill="auto"/>
            <w:vAlign w:val="bottom"/>
          </w:tcPr>
          <w:p w14:paraId="32E94293" w14:textId="77777777" w:rsidR="00EC3C86" w:rsidRPr="00F35716" w:rsidRDefault="00EC3C86" w:rsidP="00D11D4A">
            <w:pPr>
              <w:spacing w:before="40" w:after="80" w:line="210" w:lineRule="exact"/>
              <w:jc w:val="right"/>
              <w:rPr>
                <w:sz w:val="17"/>
                <w:szCs w:val="17"/>
              </w:rPr>
            </w:pPr>
            <w:r w:rsidRPr="00F35716">
              <w:rPr>
                <w:sz w:val="17"/>
                <w:szCs w:val="17"/>
              </w:rPr>
              <w:t>38</w:t>
            </w:r>
          </w:p>
        </w:tc>
        <w:tc>
          <w:tcPr>
            <w:tcW w:w="779" w:type="dxa"/>
            <w:tcBorders>
              <w:bottom w:val="single" w:sz="12" w:space="0" w:color="auto"/>
            </w:tcBorders>
            <w:shd w:val="clear" w:color="auto" w:fill="auto"/>
            <w:vAlign w:val="bottom"/>
          </w:tcPr>
          <w:p w14:paraId="32E94294" w14:textId="77777777" w:rsidR="00EC3C86" w:rsidRPr="00F35716" w:rsidRDefault="00EC3C86" w:rsidP="00D11D4A">
            <w:pPr>
              <w:spacing w:before="40" w:after="80" w:line="210" w:lineRule="exact"/>
              <w:jc w:val="right"/>
              <w:rPr>
                <w:sz w:val="17"/>
                <w:szCs w:val="17"/>
              </w:rPr>
            </w:pPr>
            <w:r w:rsidRPr="00F35716">
              <w:rPr>
                <w:sz w:val="17"/>
                <w:szCs w:val="17"/>
              </w:rPr>
              <w:t>41</w:t>
            </w:r>
          </w:p>
        </w:tc>
        <w:tc>
          <w:tcPr>
            <w:tcW w:w="779" w:type="dxa"/>
            <w:tcBorders>
              <w:bottom w:val="single" w:sz="12" w:space="0" w:color="auto"/>
            </w:tcBorders>
            <w:shd w:val="clear" w:color="auto" w:fill="auto"/>
            <w:vAlign w:val="bottom"/>
          </w:tcPr>
          <w:p w14:paraId="32E94295" w14:textId="77777777" w:rsidR="00EC3C86" w:rsidRPr="00F35716" w:rsidRDefault="00EC3C86" w:rsidP="00D11D4A">
            <w:pPr>
              <w:spacing w:before="40" w:after="80" w:line="210" w:lineRule="exact"/>
              <w:jc w:val="right"/>
              <w:rPr>
                <w:sz w:val="17"/>
                <w:szCs w:val="17"/>
              </w:rPr>
            </w:pPr>
            <w:r w:rsidRPr="00F35716">
              <w:rPr>
                <w:sz w:val="17"/>
                <w:szCs w:val="17"/>
              </w:rPr>
              <w:t>45</w:t>
            </w:r>
          </w:p>
        </w:tc>
      </w:tr>
    </w:tbl>
    <w:p w14:paraId="32E94297" w14:textId="77777777" w:rsidR="007E044D" w:rsidRPr="00F35716" w:rsidRDefault="007E044D" w:rsidP="007E044D">
      <w:pPr>
        <w:pStyle w:val="SingleTxt"/>
        <w:spacing w:after="0" w:line="120" w:lineRule="exact"/>
        <w:rPr>
          <w:sz w:val="10"/>
          <w:szCs w:val="20"/>
        </w:rPr>
      </w:pPr>
    </w:p>
    <w:p w14:paraId="32E94298" w14:textId="77777777" w:rsidR="007E044D" w:rsidRPr="00F35716" w:rsidRDefault="007E044D" w:rsidP="007E044D">
      <w:pPr>
        <w:pStyle w:val="SingleTxt"/>
        <w:spacing w:after="0" w:line="120" w:lineRule="exact"/>
        <w:rPr>
          <w:sz w:val="10"/>
          <w:szCs w:val="20"/>
        </w:rPr>
      </w:pPr>
    </w:p>
    <w:p w14:paraId="32E94299" w14:textId="5E14B7A3" w:rsidR="00EC3C86" w:rsidRPr="00F35716" w:rsidRDefault="00614858" w:rsidP="00D13BA7">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 w:val="0"/>
          <w:bCs w:val="0"/>
          <w:szCs w:val="20"/>
        </w:rPr>
        <w:t xml:space="preserve">Tabla 3: </w:t>
      </w:r>
      <w:r w:rsidRPr="00F35716">
        <w:rPr>
          <w:bCs w:val="0"/>
          <w:szCs w:val="20"/>
        </w:rPr>
        <w:br/>
      </w:r>
      <w:r w:rsidR="00EC3C86" w:rsidRPr="00F35716">
        <w:rPr>
          <w:bCs w:val="0"/>
          <w:szCs w:val="20"/>
        </w:rPr>
        <w:t xml:space="preserve">Número de organizadores </w:t>
      </w:r>
      <w:r w:rsidR="00D13BA7" w:rsidRPr="00F35716">
        <w:rPr>
          <w:bCs w:val="0"/>
          <w:szCs w:val="20"/>
        </w:rPr>
        <w:t>detenidos</w:t>
      </w:r>
    </w:p>
    <w:p w14:paraId="32E9429A" w14:textId="77777777" w:rsidR="007E044D" w:rsidRPr="00F35716" w:rsidRDefault="007E044D" w:rsidP="007E044D">
      <w:pPr>
        <w:pStyle w:val="SingleTxt"/>
        <w:spacing w:after="0" w:line="120" w:lineRule="exact"/>
        <w:rPr>
          <w:sz w:val="10"/>
          <w:szCs w:val="20"/>
        </w:rPr>
      </w:pPr>
    </w:p>
    <w:tbl>
      <w:tblPr>
        <w:tblW w:w="7344" w:type="dxa"/>
        <w:tblInd w:w="1267" w:type="dxa"/>
        <w:tblLayout w:type="fixed"/>
        <w:tblCellMar>
          <w:left w:w="0" w:type="dxa"/>
          <w:right w:w="43" w:type="dxa"/>
        </w:tblCellMar>
        <w:tblLook w:val="04A0" w:firstRow="1" w:lastRow="0" w:firstColumn="1" w:lastColumn="0" w:noHBand="0" w:noVBand="1"/>
      </w:tblPr>
      <w:tblGrid>
        <w:gridCol w:w="1563"/>
        <w:gridCol w:w="825"/>
        <w:gridCol w:w="826"/>
        <w:gridCol w:w="826"/>
        <w:gridCol w:w="826"/>
        <w:gridCol w:w="826"/>
        <w:gridCol w:w="826"/>
        <w:gridCol w:w="826"/>
      </w:tblGrid>
      <w:tr w:rsidR="00D10008" w:rsidRPr="00F35716" w14:paraId="32E942A3" w14:textId="77777777" w:rsidTr="00E86422">
        <w:trPr>
          <w:trHeight w:val="70"/>
          <w:tblHeader/>
        </w:trPr>
        <w:tc>
          <w:tcPr>
            <w:tcW w:w="1555" w:type="dxa"/>
            <w:tcBorders>
              <w:top w:val="single" w:sz="4" w:space="0" w:color="auto"/>
              <w:bottom w:val="single" w:sz="12" w:space="0" w:color="auto"/>
            </w:tcBorders>
            <w:shd w:val="clear" w:color="auto" w:fill="auto"/>
            <w:vAlign w:val="bottom"/>
          </w:tcPr>
          <w:p w14:paraId="32E9429B" w14:textId="77777777" w:rsidR="00EC3C86" w:rsidRPr="00F35716" w:rsidRDefault="00EC3C86" w:rsidP="00D100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r w:rsidRPr="00F35716">
              <w:rPr>
                <w:i/>
                <w:iCs/>
                <w:kern w:val="0"/>
                <w:sz w:val="14"/>
                <w:szCs w:val="14"/>
              </w:rPr>
              <w:t>Año</w:t>
            </w:r>
          </w:p>
        </w:tc>
        <w:tc>
          <w:tcPr>
            <w:tcW w:w="821" w:type="dxa"/>
            <w:tcBorders>
              <w:top w:val="single" w:sz="4" w:space="0" w:color="auto"/>
              <w:bottom w:val="single" w:sz="12" w:space="0" w:color="auto"/>
            </w:tcBorders>
            <w:shd w:val="clear" w:color="auto" w:fill="auto"/>
            <w:vAlign w:val="bottom"/>
          </w:tcPr>
          <w:p w14:paraId="32E9429C" w14:textId="77777777" w:rsidR="00EC3C86" w:rsidRPr="00F35716" w:rsidRDefault="00EC3C86" w:rsidP="00D100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2011</w:t>
            </w:r>
          </w:p>
        </w:tc>
        <w:tc>
          <w:tcPr>
            <w:tcW w:w="821" w:type="dxa"/>
            <w:tcBorders>
              <w:top w:val="single" w:sz="4" w:space="0" w:color="auto"/>
              <w:bottom w:val="single" w:sz="12" w:space="0" w:color="auto"/>
            </w:tcBorders>
            <w:shd w:val="clear" w:color="auto" w:fill="auto"/>
            <w:vAlign w:val="bottom"/>
          </w:tcPr>
          <w:p w14:paraId="32E9429D" w14:textId="77777777" w:rsidR="00EC3C86" w:rsidRPr="00F35716" w:rsidRDefault="00EC3C86" w:rsidP="00D100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2012</w:t>
            </w:r>
          </w:p>
        </w:tc>
        <w:tc>
          <w:tcPr>
            <w:tcW w:w="821" w:type="dxa"/>
            <w:tcBorders>
              <w:top w:val="single" w:sz="4" w:space="0" w:color="auto"/>
              <w:bottom w:val="single" w:sz="12" w:space="0" w:color="auto"/>
            </w:tcBorders>
            <w:shd w:val="clear" w:color="auto" w:fill="auto"/>
            <w:vAlign w:val="bottom"/>
          </w:tcPr>
          <w:p w14:paraId="32E9429E" w14:textId="77777777" w:rsidR="00EC3C86" w:rsidRPr="00F35716" w:rsidRDefault="00EC3C86" w:rsidP="00D100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2013</w:t>
            </w:r>
          </w:p>
        </w:tc>
        <w:tc>
          <w:tcPr>
            <w:tcW w:w="821" w:type="dxa"/>
            <w:tcBorders>
              <w:top w:val="single" w:sz="4" w:space="0" w:color="auto"/>
              <w:bottom w:val="single" w:sz="12" w:space="0" w:color="auto"/>
            </w:tcBorders>
            <w:shd w:val="clear" w:color="auto" w:fill="auto"/>
            <w:vAlign w:val="bottom"/>
          </w:tcPr>
          <w:p w14:paraId="32E9429F" w14:textId="77777777" w:rsidR="00EC3C86" w:rsidRPr="00F35716" w:rsidRDefault="00EC3C86" w:rsidP="00D100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2014</w:t>
            </w:r>
          </w:p>
        </w:tc>
        <w:tc>
          <w:tcPr>
            <w:tcW w:w="821" w:type="dxa"/>
            <w:tcBorders>
              <w:top w:val="single" w:sz="4" w:space="0" w:color="auto"/>
              <w:bottom w:val="single" w:sz="12" w:space="0" w:color="auto"/>
            </w:tcBorders>
            <w:shd w:val="clear" w:color="auto" w:fill="auto"/>
            <w:vAlign w:val="bottom"/>
          </w:tcPr>
          <w:p w14:paraId="32E942A0" w14:textId="77777777" w:rsidR="00EC3C86" w:rsidRPr="00F35716" w:rsidRDefault="00EC3C86" w:rsidP="00D100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2015</w:t>
            </w:r>
          </w:p>
        </w:tc>
        <w:tc>
          <w:tcPr>
            <w:tcW w:w="821" w:type="dxa"/>
            <w:tcBorders>
              <w:top w:val="single" w:sz="4" w:space="0" w:color="auto"/>
              <w:bottom w:val="single" w:sz="12" w:space="0" w:color="auto"/>
            </w:tcBorders>
            <w:shd w:val="clear" w:color="auto" w:fill="auto"/>
            <w:vAlign w:val="bottom"/>
          </w:tcPr>
          <w:p w14:paraId="32E942A1" w14:textId="77777777" w:rsidR="00EC3C86" w:rsidRPr="00F35716" w:rsidRDefault="00EC3C86" w:rsidP="00D100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2016</w:t>
            </w:r>
          </w:p>
        </w:tc>
        <w:tc>
          <w:tcPr>
            <w:tcW w:w="821" w:type="dxa"/>
            <w:tcBorders>
              <w:top w:val="single" w:sz="4" w:space="0" w:color="auto"/>
              <w:bottom w:val="single" w:sz="12" w:space="0" w:color="auto"/>
            </w:tcBorders>
            <w:shd w:val="clear" w:color="auto" w:fill="auto"/>
            <w:vAlign w:val="bottom"/>
          </w:tcPr>
          <w:p w14:paraId="32E942A2" w14:textId="77777777" w:rsidR="00EC3C86" w:rsidRPr="00F35716" w:rsidRDefault="00EC3C86" w:rsidP="00D1000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2017</w:t>
            </w:r>
          </w:p>
        </w:tc>
      </w:tr>
      <w:tr w:rsidR="00D10008" w:rsidRPr="00F35716" w14:paraId="32E942AC" w14:textId="77777777" w:rsidTr="00E86422">
        <w:trPr>
          <w:trHeight w:hRule="exact" w:val="115"/>
          <w:tblHeader/>
        </w:trPr>
        <w:tc>
          <w:tcPr>
            <w:tcW w:w="1555" w:type="dxa"/>
            <w:tcBorders>
              <w:top w:val="single" w:sz="12" w:space="0" w:color="auto"/>
            </w:tcBorders>
            <w:shd w:val="clear" w:color="auto" w:fill="auto"/>
          </w:tcPr>
          <w:p w14:paraId="32E942A4" w14:textId="77777777" w:rsidR="00D10008" w:rsidRPr="00F35716" w:rsidRDefault="00D10008" w:rsidP="00D10008">
            <w:pPr>
              <w:tabs>
                <w:tab w:val="left" w:pos="288"/>
                <w:tab w:val="left" w:pos="567"/>
                <w:tab w:val="left" w:pos="864"/>
                <w:tab w:val="left" w:pos="1134"/>
              </w:tabs>
              <w:spacing w:before="40" w:after="40" w:line="210" w:lineRule="exact"/>
              <w:rPr>
                <w:sz w:val="17"/>
                <w:szCs w:val="17"/>
              </w:rPr>
            </w:pPr>
          </w:p>
        </w:tc>
        <w:tc>
          <w:tcPr>
            <w:tcW w:w="821" w:type="dxa"/>
            <w:tcBorders>
              <w:top w:val="single" w:sz="12" w:space="0" w:color="auto"/>
            </w:tcBorders>
            <w:shd w:val="clear" w:color="auto" w:fill="auto"/>
          </w:tcPr>
          <w:p w14:paraId="32E942A5" w14:textId="77777777" w:rsidR="00D10008" w:rsidRPr="00F35716" w:rsidRDefault="00D10008" w:rsidP="00D10008">
            <w:pPr>
              <w:tabs>
                <w:tab w:val="left" w:pos="288"/>
                <w:tab w:val="left" w:pos="567"/>
                <w:tab w:val="left" w:pos="864"/>
                <w:tab w:val="left" w:pos="1152"/>
              </w:tabs>
              <w:spacing w:before="40" w:after="40" w:line="210" w:lineRule="exact"/>
              <w:rPr>
                <w:sz w:val="17"/>
                <w:szCs w:val="17"/>
              </w:rPr>
            </w:pPr>
          </w:p>
        </w:tc>
        <w:tc>
          <w:tcPr>
            <w:tcW w:w="821" w:type="dxa"/>
            <w:tcBorders>
              <w:top w:val="single" w:sz="12" w:space="0" w:color="auto"/>
            </w:tcBorders>
            <w:shd w:val="clear" w:color="auto" w:fill="auto"/>
          </w:tcPr>
          <w:p w14:paraId="32E942A6" w14:textId="77777777" w:rsidR="00D10008" w:rsidRPr="00F35716" w:rsidRDefault="00D10008" w:rsidP="00D10008">
            <w:pPr>
              <w:tabs>
                <w:tab w:val="left" w:pos="288"/>
                <w:tab w:val="left" w:pos="567"/>
                <w:tab w:val="left" w:pos="864"/>
                <w:tab w:val="left" w:pos="1152"/>
              </w:tabs>
              <w:spacing w:before="40" w:after="40" w:line="210" w:lineRule="exact"/>
              <w:rPr>
                <w:sz w:val="17"/>
                <w:szCs w:val="17"/>
              </w:rPr>
            </w:pPr>
          </w:p>
        </w:tc>
        <w:tc>
          <w:tcPr>
            <w:tcW w:w="821" w:type="dxa"/>
            <w:tcBorders>
              <w:top w:val="single" w:sz="12" w:space="0" w:color="auto"/>
            </w:tcBorders>
            <w:shd w:val="clear" w:color="auto" w:fill="auto"/>
          </w:tcPr>
          <w:p w14:paraId="32E942A7" w14:textId="77777777" w:rsidR="00D10008" w:rsidRPr="00F35716" w:rsidRDefault="00D10008" w:rsidP="00D10008">
            <w:pPr>
              <w:tabs>
                <w:tab w:val="left" w:pos="288"/>
                <w:tab w:val="left" w:pos="567"/>
                <w:tab w:val="left" w:pos="864"/>
                <w:tab w:val="left" w:pos="1152"/>
              </w:tabs>
              <w:spacing w:before="40" w:after="40" w:line="210" w:lineRule="exact"/>
              <w:rPr>
                <w:sz w:val="17"/>
                <w:szCs w:val="17"/>
              </w:rPr>
            </w:pPr>
          </w:p>
        </w:tc>
        <w:tc>
          <w:tcPr>
            <w:tcW w:w="821" w:type="dxa"/>
            <w:tcBorders>
              <w:top w:val="single" w:sz="12" w:space="0" w:color="auto"/>
            </w:tcBorders>
            <w:shd w:val="clear" w:color="auto" w:fill="auto"/>
          </w:tcPr>
          <w:p w14:paraId="32E942A8" w14:textId="77777777" w:rsidR="00D10008" w:rsidRPr="00F35716" w:rsidRDefault="00D10008" w:rsidP="00D10008">
            <w:pPr>
              <w:tabs>
                <w:tab w:val="left" w:pos="288"/>
                <w:tab w:val="left" w:pos="567"/>
                <w:tab w:val="left" w:pos="864"/>
                <w:tab w:val="left" w:pos="1152"/>
              </w:tabs>
              <w:spacing w:before="40" w:after="40" w:line="210" w:lineRule="exact"/>
              <w:rPr>
                <w:sz w:val="17"/>
                <w:szCs w:val="17"/>
              </w:rPr>
            </w:pPr>
          </w:p>
        </w:tc>
        <w:tc>
          <w:tcPr>
            <w:tcW w:w="821" w:type="dxa"/>
            <w:tcBorders>
              <w:top w:val="single" w:sz="12" w:space="0" w:color="auto"/>
            </w:tcBorders>
            <w:shd w:val="clear" w:color="auto" w:fill="auto"/>
          </w:tcPr>
          <w:p w14:paraId="32E942A9" w14:textId="77777777" w:rsidR="00D10008" w:rsidRPr="00F35716" w:rsidRDefault="00D10008" w:rsidP="00D10008">
            <w:pPr>
              <w:tabs>
                <w:tab w:val="left" w:pos="288"/>
                <w:tab w:val="left" w:pos="567"/>
                <w:tab w:val="left" w:pos="864"/>
                <w:tab w:val="left" w:pos="1152"/>
              </w:tabs>
              <w:spacing w:before="40" w:after="40" w:line="210" w:lineRule="exact"/>
              <w:rPr>
                <w:sz w:val="17"/>
                <w:szCs w:val="17"/>
              </w:rPr>
            </w:pPr>
          </w:p>
        </w:tc>
        <w:tc>
          <w:tcPr>
            <w:tcW w:w="821" w:type="dxa"/>
            <w:tcBorders>
              <w:top w:val="single" w:sz="12" w:space="0" w:color="auto"/>
            </w:tcBorders>
            <w:shd w:val="clear" w:color="auto" w:fill="auto"/>
          </w:tcPr>
          <w:p w14:paraId="32E942AA" w14:textId="77777777" w:rsidR="00D10008" w:rsidRPr="00F35716" w:rsidRDefault="00D10008" w:rsidP="00D10008">
            <w:pPr>
              <w:tabs>
                <w:tab w:val="left" w:pos="288"/>
                <w:tab w:val="left" w:pos="576"/>
                <w:tab w:val="left" w:pos="864"/>
                <w:tab w:val="left" w:pos="1152"/>
              </w:tabs>
              <w:spacing w:before="40" w:after="40" w:line="210" w:lineRule="exact"/>
              <w:rPr>
                <w:sz w:val="17"/>
                <w:szCs w:val="17"/>
              </w:rPr>
            </w:pPr>
          </w:p>
        </w:tc>
        <w:tc>
          <w:tcPr>
            <w:tcW w:w="821" w:type="dxa"/>
            <w:tcBorders>
              <w:top w:val="single" w:sz="12" w:space="0" w:color="auto"/>
            </w:tcBorders>
            <w:shd w:val="clear" w:color="auto" w:fill="auto"/>
          </w:tcPr>
          <w:p w14:paraId="32E942AB" w14:textId="77777777" w:rsidR="00D10008" w:rsidRPr="00F35716" w:rsidRDefault="00D10008" w:rsidP="00D10008">
            <w:pPr>
              <w:tabs>
                <w:tab w:val="left" w:pos="288"/>
                <w:tab w:val="left" w:pos="576"/>
                <w:tab w:val="left" w:pos="864"/>
                <w:tab w:val="left" w:pos="1152"/>
              </w:tabs>
              <w:spacing w:before="40" w:after="40" w:line="210" w:lineRule="exact"/>
              <w:rPr>
                <w:sz w:val="17"/>
                <w:szCs w:val="17"/>
              </w:rPr>
            </w:pPr>
          </w:p>
        </w:tc>
      </w:tr>
      <w:tr w:rsidR="00D10008" w:rsidRPr="00F35716" w14:paraId="32E942B5" w14:textId="77777777" w:rsidTr="00E86422">
        <w:trPr>
          <w:trHeight w:val="252"/>
        </w:trPr>
        <w:tc>
          <w:tcPr>
            <w:tcW w:w="1555" w:type="dxa"/>
            <w:tcBorders>
              <w:bottom w:val="single" w:sz="12" w:space="0" w:color="auto"/>
            </w:tcBorders>
            <w:shd w:val="clear" w:color="auto" w:fill="auto"/>
            <w:vAlign w:val="bottom"/>
          </w:tcPr>
          <w:p w14:paraId="32E942AD" w14:textId="77777777" w:rsidR="00EC3C86" w:rsidRPr="00F35716" w:rsidRDefault="00EC3C86" w:rsidP="00D11D4A">
            <w:pPr>
              <w:spacing w:before="40" w:after="80" w:line="210" w:lineRule="exact"/>
              <w:rPr>
                <w:bCs/>
                <w:sz w:val="17"/>
                <w:szCs w:val="17"/>
              </w:rPr>
            </w:pPr>
            <w:r w:rsidRPr="00F35716">
              <w:rPr>
                <w:bCs/>
                <w:sz w:val="17"/>
                <w:szCs w:val="17"/>
              </w:rPr>
              <w:t>Organizadores y colaboradores</w:t>
            </w:r>
          </w:p>
        </w:tc>
        <w:tc>
          <w:tcPr>
            <w:tcW w:w="821" w:type="dxa"/>
            <w:tcBorders>
              <w:bottom w:val="single" w:sz="12" w:space="0" w:color="auto"/>
            </w:tcBorders>
            <w:shd w:val="clear" w:color="auto" w:fill="auto"/>
            <w:vAlign w:val="bottom"/>
          </w:tcPr>
          <w:p w14:paraId="32E942AE" w14:textId="77777777" w:rsidR="00EC3C86" w:rsidRPr="00F35716" w:rsidRDefault="00EC3C86" w:rsidP="00D11D4A">
            <w:pPr>
              <w:spacing w:before="40" w:after="80" w:line="210" w:lineRule="exact"/>
              <w:jc w:val="right"/>
              <w:rPr>
                <w:sz w:val="17"/>
                <w:szCs w:val="17"/>
              </w:rPr>
            </w:pPr>
            <w:r w:rsidRPr="00F35716">
              <w:rPr>
                <w:sz w:val="17"/>
                <w:szCs w:val="17"/>
              </w:rPr>
              <w:t>400</w:t>
            </w:r>
          </w:p>
        </w:tc>
        <w:tc>
          <w:tcPr>
            <w:tcW w:w="821" w:type="dxa"/>
            <w:tcBorders>
              <w:bottom w:val="single" w:sz="12" w:space="0" w:color="auto"/>
            </w:tcBorders>
            <w:shd w:val="clear" w:color="auto" w:fill="auto"/>
            <w:vAlign w:val="bottom"/>
          </w:tcPr>
          <w:p w14:paraId="32E942AF" w14:textId="77777777" w:rsidR="00EC3C86" w:rsidRPr="00F35716" w:rsidRDefault="00EC3C86" w:rsidP="00D11D4A">
            <w:pPr>
              <w:spacing w:before="40" w:after="80" w:line="210" w:lineRule="exact"/>
              <w:jc w:val="right"/>
              <w:rPr>
                <w:sz w:val="17"/>
                <w:szCs w:val="17"/>
              </w:rPr>
            </w:pPr>
            <w:r w:rsidRPr="00F35716">
              <w:rPr>
                <w:sz w:val="17"/>
                <w:szCs w:val="17"/>
              </w:rPr>
              <w:t>239</w:t>
            </w:r>
          </w:p>
        </w:tc>
        <w:tc>
          <w:tcPr>
            <w:tcW w:w="821" w:type="dxa"/>
            <w:tcBorders>
              <w:bottom w:val="single" w:sz="12" w:space="0" w:color="auto"/>
            </w:tcBorders>
            <w:shd w:val="clear" w:color="auto" w:fill="auto"/>
            <w:vAlign w:val="bottom"/>
          </w:tcPr>
          <w:p w14:paraId="32E942B0" w14:textId="77777777" w:rsidR="00EC3C86" w:rsidRPr="00F35716" w:rsidRDefault="00EC3C86" w:rsidP="00D11D4A">
            <w:pPr>
              <w:spacing w:before="40" w:after="80" w:line="210" w:lineRule="exact"/>
              <w:jc w:val="right"/>
              <w:rPr>
                <w:sz w:val="17"/>
                <w:szCs w:val="17"/>
              </w:rPr>
            </w:pPr>
            <w:r w:rsidRPr="00F35716">
              <w:rPr>
                <w:sz w:val="17"/>
                <w:szCs w:val="17"/>
              </w:rPr>
              <w:t>246</w:t>
            </w:r>
          </w:p>
        </w:tc>
        <w:tc>
          <w:tcPr>
            <w:tcW w:w="821" w:type="dxa"/>
            <w:tcBorders>
              <w:bottom w:val="single" w:sz="12" w:space="0" w:color="auto"/>
            </w:tcBorders>
            <w:shd w:val="clear" w:color="auto" w:fill="auto"/>
            <w:vAlign w:val="bottom"/>
          </w:tcPr>
          <w:p w14:paraId="32E942B1" w14:textId="77777777" w:rsidR="00EC3C86" w:rsidRPr="00F35716" w:rsidRDefault="00EC3C86" w:rsidP="00D11D4A">
            <w:pPr>
              <w:spacing w:before="40" w:after="80" w:line="210" w:lineRule="exact"/>
              <w:jc w:val="right"/>
              <w:rPr>
                <w:sz w:val="17"/>
                <w:szCs w:val="17"/>
              </w:rPr>
            </w:pPr>
            <w:r w:rsidRPr="00F35716">
              <w:rPr>
                <w:sz w:val="17"/>
                <w:szCs w:val="17"/>
              </w:rPr>
              <w:t>167</w:t>
            </w:r>
          </w:p>
        </w:tc>
        <w:tc>
          <w:tcPr>
            <w:tcW w:w="821" w:type="dxa"/>
            <w:tcBorders>
              <w:bottom w:val="single" w:sz="12" w:space="0" w:color="auto"/>
            </w:tcBorders>
            <w:shd w:val="clear" w:color="auto" w:fill="auto"/>
            <w:vAlign w:val="bottom"/>
          </w:tcPr>
          <w:p w14:paraId="32E942B2" w14:textId="77777777" w:rsidR="00EC3C86" w:rsidRPr="00F35716" w:rsidRDefault="00EC3C86" w:rsidP="00D11D4A">
            <w:pPr>
              <w:spacing w:before="40" w:after="80" w:line="210" w:lineRule="exact"/>
              <w:jc w:val="right"/>
              <w:rPr>
                <w:sz w:val="17"/>
                <w:szCs w:val="17"/>
              </w:rPr>
            </w:pPr>
            <w:r w:rsidRPr="00F35716">
              <w:rPr>
                <w:sz w:val="17"/>
                <w:szCs w:val="17"/>
              </w:rPr>
              <w:t>132</w:t>
            </w:r>
          </w:p>
        </w:tc>
        <w:tc>
          <w:tcPr>
            <w:tcW w:w="821" w:type="dxa"/>
            <w:tcBorders>
              <w:bottom w:val="single" w:sz="12" w:space="0" w:color="auto"/>
            </w:tcBorders>
            <w:shd w:val="clear" w:color="auto" w:fill="auto"/>
            <w:vAlign w:val="bottom"/>
          </w:tcPr>
          <w:p w14:paraId="32E942B3" w14:textId="77777777" w:rsidR="00EC3C86" w:rsidRPr="00F35716" w:rsidRDefault="00EC3C86" w:rsidP="00D11D4A">
            <w:pPr>
              <w:tabs>
                <w:tab w:val="left" w:pos="1010"/>
              </w:tabs>
              <w:spacing w:before="40" w:after="80" w:line="210" w:lineRule="exact"/>
              <w:jc w:val="right"/>
              <w:rPr>
                <w:sz w:val="17"/>
                <w:szCs w:val="17"/>
              </w:rPr>
            </w:pPr>
            <w:r w:rsidRPr="00F35716">
              <w:rPr>
                <w:sz w:val="17"/>
                <w:szCs w:val="17"/>
              </w:rPr>
              <w:t>254</w:t>
            </w:r>
          </w:p>
        </w:tc>
        <w:tc>
          <w:tcPr>
            <w:tcW w:w="821" w:type="dxa"/>
            <w:tcBorders>
              <w:bottom w:val="single" w:sz="12" w:space="0" w:color="auto"/>
            </w:tcBorders>
            <w:shd w:val="clear" w:color="auto" w:fill="auto"/>
            <w:vAlign w:val="bottom"/>
          </w:tcPr>
          <w:p w14:paraId="32E942B4" w14:textId="77777777" w:rsidR="00EC3C86" w:rsidRPr="00F35716" w:rsidRDefault="00EC3C86" w:rsidP="00D11D4A">
            <w:pPr>
              <w:tabs>
                <w:tab w:val="left" w:pos="1010"/>
              </w:tabs>
              <w:spacing w:before="40" w:after="80" w:line="210" w:lineRule="exact"/>
              <w:jc w:val="right"/>
              <w:rPr>
                <w:sz w:val="17"/>
                <w:szCs w:val="17"/>
              </w:rPr>
            </w:pPr>
            <w:r w:rsidRPr="00F35716">
              <w:rPr>
                <w:sz w:val="17"/>
                <w:szCs w:val="17"/>
              </w:rPr>
              <w:t>305</w:t>
            </w:r>
          </w:p>
        </w:tc>
      </w:tr>
    </w:tbl>
    <w:p w14:paraId="32E942B6" w14:textId="77777777" w:rsidR="007E044D" w:rsidRPr="00F35716" w:rsidRDefault="007E044D" w:rsidP="007E044D">
      <w:pPr>
        <w:pStyle w:val="SingleTxt"/>
        <w:spacing w:after="0" w:line="120" w:lineRule="exact"/>
        <w:rPr>
          <w:sz w:val="10"/>
          <w:szCs w:val="20"/>
        </w:rPr>
      </w:pPr>
    </w:p>
    <w:p w14:paraId="32E942B7" w14:textId="77777777" w:rsidR="007E044D" w:rsidRPr="00F35716" w:rsidRDefault="007E044D" w:rsidP="007E044D">
      <w:pPr>
        <w:pStyle w:val="SingleTxt"/>
        <w:spacing w:after="0" w:line="120" w:lineRule="exact"/>
        <w:rPr>
          <w:sz w:val="10"/>
          <w:szCs w:val="20"/>
        </w:rPr>
      </w:pPr>
    </w:p>
    <w:p w14:paraId="32E942B8" w14:textId="77777777" w:rsidR="00EC3C86" w:rsidRPr="00F35716" w:rsidRDefault="00614858"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 w:val="0"/>
          <w:bCs w:val="0"/>
          <w:szCs w:val="20"/>
        </w:rPr>
        <w:t xml:space="preserve">Tabla 4: </w:t>
      </w:r>
      <w:r w:rsidRPr="00F35716">
        <w:rPr>
          <w:bCs w:val="0"/>
          <w:szCs w:val="20"/>
        </w:rPr>
        <w:br/>
      </w:r>
      <w:r w:rsidR="00EC3C86" w:rsidRPr="00F35716">
        <w:rPr>
          <w:bCs w:val="0"/>
          <w:szCs w:val="20"/>
        </w:rPr>
        <w:t>Número de mujeres víctimas de agresión sexual y violación en casos de proxenetismo y prostitución</w:t>
      </w:r>
    </w:p>
    <w:p w14:paraId="32E942B9" w14:textId="77777777" w:rsidR="00614858" w:rsidRPr="00F35716" w:rsidRDefault="00614858" w:rsidP="007E044D">
      <w:pPr>
        <w:pStyle w:val="SingleTxt"/>
        <w:spacing w:after="0" w:line="120" w:lineRule="exact"/>
        <w:rPr>
          <w:sz w:val="10"/>
          <w:szCs w:val="20"/>
        </w:rPr>
      </w:pPr>
    </w:p>
    <w:tbl>
      <w:tblPr>
        <w:tblW w:w="7344" w:type="dxa"/>
        <w:tblInd w:w="1267" w:type="dxa"/>
        <w:tblLayout w:type="fixed"/>
        <w:tblCellMar>
          <w:left w:w="0" w:type="dxa"/>
          <w:right w:w="43" w:type="dxa"/>
        </w:tblCellMar>
        <w:tblLook w:val="04A0" w:firstRow="1" w:lastRow="0" w:firstColumn="1" w:lastColumn="0" w:noHBand="0" w:noVBand="1"/>
      </w:tblPr>
      <w:tblGrid>
        <w:gridCol w:w="1819"/>
        <w:gridCol w:w="790"/>
        <w:gridCol w:w="790"/>
        <w:gridCol w:w="789"/>
        <w:gridCol w:w="789"/>
        <w:gridCol w:w="789"/>
        <w:gridCol w:w="789"/>
        <w:gridCol w:w="789"/>
      </w:tblGrid>
      <w:tr w:rsidR="00AA68BE" w:rsidRPr="00F35716" w14:paraId="32E942C2" w14:textId="77777777" w:rsidTr="00D11D4A">
        <w:trPr>
          <w:trHeight w:val="328"/>
          <w:tblHeader/>
        </w:trPr>
        <w:tc>
          <w:tcPr>
            <w:tcW w:w="2334" w:type="dxa"/>
            <w:tcBorders>
              <w:top w:val="single" w:sz="4" w:space="0" w:color="auto"/>
              <w:bottom w:val="single" w:sz="12" w:space="0" w:color="auto"/>
            </w:tcBorders>
            <w:shd w:val="clear" w:color="auto" w:fill="auto"/>
            <w:vAlign w:val="bottom"/>
          </w:tcPr>
          <w:p w14:paraId="32E942BA" w14:textId="77777777" w:rsidR="00EC3C86" w:rsidRPr="00F35716" w:rsidRDefault="00EC3C86" w:rsidP="00D11D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r w:rsidRPr="00F35716">
              <w:rPr>
                <w:i/>
                <w:iCs/>
                <w:kern w:val="0"/>
                <w:sz w:val="14"/>
                <w:szCs w:val="14"/>
              </w:rPr>
              <w:t>Año</w:t>
            </w:r>
          </w:p>
        </w:tc>
        <w:tc>
          <w:tcPr>
            <w:tcW w:w="1003" w:type="dxa"/>
            <w:tcBorders>
              <w:top w:val="single" w:sz="4" w:space="0" w:color="auto"/>
              <w:bottom w:val="single" w:sz="12" w:space="0" w:color="auto"/>
            </w:tcBorders>
            <w:shd w:val="clear" w:color="auto" w:fill="auto"/>
            <w:vAlign w:val="bottom"/>
          </w:tcPr>
          <w:p w14:paraId="32E942BB" w14:textId="77777777" w:rsidR="00EC3C86" w:rsidRPr="00F35716" w:rsidRDefault="00EC3C86" w:rsidP="00D11D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2011</w:t>
            </w:r>
          </w:p>
        </w:tc>
        <w:tc>
          <w:tcPr>
            <w:tcW w:w="1003" w:type="dxa"/>
            <w:tcBorders>
              <w:top w:val="single" w:sz="4" w:space="0" w:color="auto"/>
              <w:bottom w:val="single" w:sz="12" w:space="0" w:color="auto"/>
            </w:tcBorders>
            <w:shd w:val="clear" w:color="auto" w:fill="auto"/>
            <w:vAlign w:val="bottom"/>
          </w:tcPr>
          <w:p w14:paraId="32E942BC" w14:textId="77777777" w:rsidR="00EC3C86" w:rsidRPr="00F35716" w:rsidRDefault="00EC3C86" w:rsidP="00D11D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2012</w:t>
            </w:r>
          </w:p>
        </w:tc>
        <w:tc>
          <w:tcPr>
            <w:tcW w:w="1003" w:type="dxa"/>
            <w:tcBorders>
              <w:top w:val="single" w:sz="4" w:space="0" w:color="auto"/>
              <w:bottom w:val="single" w:sz="12" w:space="0" w:color="auto"/>
            </w:tcBorders>
            <w:shd w:val="clear" w:color="auto" w:fill="auto"/>
            <w:vAlign w:val="bottom"/>
          </w:tcPr>
          <w:p w14:paraId="32E942BD" w14:textId="77777777" w:rsidR="00EC3C86" w:rsidRPr="00F35716" w:rsidRDefault="00EC3C86" w:rsidP="00D11D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2013</w:t>
            </w:r>
          </w:p>
        </w:tc>
        <w:tc>
          <w:tcPr>
            <w:tcW w:w="1003" w:type="dxa"/>
            <w:tcBorders>
              <w:top w:val="single" w:sz="4" w:space="0" w:color="auto"/>
              <w:bottom w:val="single" w:sz="12" w:space="0" w:color="auto"/>
            </w:tcBorders>
            <w:shd w:val="clear" w:color="auto" w:fill="auto"/>
            <w:vAlign w:val="bottom"/>
          </w:tcPr>
          <w:p w14:paraId="32E942BE" w14:textId="77777777" w:rsidR="00EC3C86" w:rsidRPr="00F35716" w:rsidRDefault="00EC3C86" w:rsidP="00D11D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2014</w:t>
            </w:r>
          </w:p>
        </w:tc>
        <w:tc>
          <w:tcPr>
            <w:tcW w:w="1003" w:type="dxa"/>
            <w:tcBorders>
              <w:top w:val="single" w:sz="4" w:space="0" w:color="auto"/>
              <w:bottom w:val="single" w:sz="12" w:space="0" w:color="auto"/>
            </w:tcBorders>
            <w:shd w:val="clear" w:color="auto" w:fill="auto"/>
            <w:vAlign w:val="bottom"/>
          </w:tcPr>
          <w:p w14:paraId="32E942BF" w14:textId="77777777" w:rsidR="00EC3C86" w:rsidRPr="00F35716" w:rsidRDefault="00EC3C86" w:rsidP="00D11D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2015</w:t>
            </w:r>
          </w:p>
        </w:tc>
        <w:tc>
          <w:tcPr>
            <w:tcW w:w="1003" w:type="dxa"/>
            <w:tcBorders>
              <w:top w:val="single" w:sz="4" w:space="0" w:color="auto"/>
              <w:bottom w:val="single" w:sz="12" w:space="0" w:color="auto"/>
            </w:tcBorders>
            <w:shd w:val="clear" w:color="auto" w:fill="auto"/>
            <w:vAlign w:val="bottom"/>
          </w:tcPr>
          <w:p w14:paraId="32E942C0" w14:textId="77777777" w:rsidR="00EC3C86" w:rsidRPr="00F35716" w:rsidRDefault="00EC3C86" w:rsidP="00D11D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2016</w:t>
            </w:r>
          </w:p>
        </w:tc>
        <w:tc>
          <w:tcPr>
            <w:tcW w:w="1003" w:type="dxa"/>
            <w:tcBorders>
              <w:top w:val="single" w:sz="4" w:space="0" w:color="auto"/>
              <w:bottom w:val="single" w:sz="12" w:space="0" w:color="auto"/>
            </w:tcBorders>
            <w:shd w:val="clear" w:color="auto" w:fill="auto"/>
            <w:vAlign w:val="bottom"/>
          </w:tcPr>
          <w:p w14:paraId="32E942C1" w14:textId="77777777" w:rsidR="00EC3C86" w:rsidRPr="00F35716" w:rsidRDefault="00EC3C86" w:rsidP="00D11D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2017</w:t>
            </w:r>
          </w:p>
        </w:tc>
      </w:tr>
      <w:tr w:rsidR="0097584E" w:rsidRPr="00F35716" w14:paraId="32E942CB" w14:textId="77777777" w:rsidTr="0097584E">
        <w:trPr>
          <w:trHeight w:hRule="exact" w:val="115"/>
          <w:tblHeader/>
        </w:trPr>
        <w:tc>
          <w:tcPr>
            <w:tcW w:w="2334" w:type="dxa"/>
            <w:tcBorders>
              <w:top w:val="single" w:sz="12" w:space="0" w:color="auto"/>
            </w:tcBorders>
            <w:shd w:val="clear" w:color="auto" w:fill="auto"/>
          </w:tcPr>
          <w:p w14:paraId="32E942C3" w14:textId="77777777" w:rsidR="0097584E" w:rsidRPr="00F35716" w:rsidRDefault="0097584E" w:rsidP="00771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1003" w:type="dxa"/>
            <w:tcBorders>
              <w:top w:val="single" w:sz="12" w:space="0" w:color="auto"/>
            </w:tcBorders>
            <w:shd w:val="clear" w:color="auto" w:fill="auto"/>
          </w:tcPr>
          <w:p w14:paraId="32E942C4" w14:textId="77777777" w:rsidR="0097584E" w:rsidRPr="00F35716" w:rsidRDefault="0097584E" w:rsidP="00771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1003" w:type="dxa"/>
            <w:tcBorders>
              <w:top w:val="single" w:sz="12" w:space="0" w:color="auto"/>
            </w:tcBorders>
            <w:shd w:val="clear" w:color="auto" w:fill="auto"/>
          </w:tcPr>
          <w:p w14:paraId="32E942C5" w14:textId="77777777" w:rsidR="0097584E" w:rsidRPr="00F35716" w:rsidRDefault="0097584E" w:rsidP="00771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1003" w:type="dxa"/>
            <w:tcBorders>
              <w:top w:val="single" w:sz="12" w:space="0" w:color="auto"/>
            </w:tcBorders>
            <w:shd w:val="clear" w:color="auto" w:fill="auto"/>
          </w:tcPr>
          <w:p w14:paraId="32E942C6" w14:textId="77777777" w:rsidR="0097584E" w:rsidRPr="00F35716" w:rsidRDefault="0097584E" w:rsidP="00771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1003" w:type="dxa"/>
            <w:tcBorders>
              <w:top w:val="single" w:sz="12" w:space="0" w:color="auto"/>
            </w:tcBorders>
            <w:shd w:val="clear" w:color="auto" w:fill="auto"/>
          </w:tcPr>
          <w:p w14:paraId="32E942C7" w14:textId="77777777" w:rsidR="0097584E" w:rsidRPr="00F35716" w:rsidRDefault="0097584E" w:rsidP="00771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1003" w:type="dxa"/>
            <w:tcBorders>
              <w:top w:val="single" w:sz="12" w:space="0" w:color="auto"/>
            </w:tcBorders>
            <w:shd w:val="clear" w:color="auto" w:fill="auto"/>
          </w:tcPr>
          <w:p w14:paraId="32E942C8" w14:textId="77777777" w:rsidR="0097584E" w:rsidRPr="00F35716" w:rsidRDefault="0097584E" w:rsidP="00771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1003" w:type="dxa"/>
            <w:tcBorders>
              <w:top w:val="single" w:sz="12" w:space="0" w:color="auto"/>
            </w:tcBorders>
            <w:shd w:val="clear" w:color="auto" w:fill="auto"/>
          </w:tcPr>
          <w:p w14:paraId="32E942C9" w14:textId="77777777" w:rsidR="0097584E" w:rsidRPr="00F35716" w:rsidRDefault="0097584E" w:rsidP="00771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1003" w:type="dxa"/>
            <w:tcBorders>
              <w:top w:val="single" w:sz="12" w:space="0" w:color="auto"/>
            </w:tcBorders>
            <w:shd w:val="clear" w:color="auto" w:fill="auto"/>
          </w:tcPr>
          <w:p w14:paraId="32E942CA" w14:textId="77777777" w:rsidR="0097584E" w:rsidRPr="00F35716" w:rsidRDefault="0097584E" w:rsidP="007715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r>
      <w:tr w:rsidR="00AA68BE" w:rsidRPr="00F35716" w14:paraId="32E942D4" w14:textId="77777777" w:rsidTr="00D11D4A">
        <w:trPr>
          <w:trHeight w:val="270"/>
        </w:trPr>
        <w:tc>
          <w:tcPr>
            <w:tcW w:w="2334" w:type="dxa"/>
            <w:tcBorders>
              <w:bottom w:val="single" w:sz="12" w:space="0" w:color="auto"/>
            </w:tcBorders>
            <w:shd w:val="clear" w:color="auto" w:fill="auto"/>
            <w:vAlign w:val="bottom"/>
          </w:tcPr>
          <w:p w14:paraId="32E942CC" w14:textId="77777777" w:rsidR="00EC3C86" w:rsidRPr="00F35716" w:rsidRDefault="00EC3C86" w:rsidP="00D11D4A">
            <w:pPr>
              <w:spacing w:before="40" w:after="80" w:line="210" w:lineRule="exact"/>
              <w:rPr>
                <w:bCs/>
                <w:sz w:val="17"/>
                <w:szCs w:val="17"/>
              </w:rPr>
            </w:pPr>
            <w:r w:rsidRPr="00F35716">
              <w:rPr>
                <w:bCs/>
                <w:sz w:val="17"/>
                <w:szCs w:val="17"/>
              </w:rPr>
              <w:t xml:space="preserve">Número total de mujeres víctimas </w:t>
            </w:r>
          </w:p>
        </w:tc>
        <w:tc>
          <w:tcPr>
            <w:tcW w:w="1003" w:type="dxa"/>
            <w:tcBorders>
              <w:bottom w:val="single" w:sz="12" w:space="0" w:color="auto"/>
            </w:tcBorders>
            <w:shd w:val="clear" w:color="auto" w:fill="auto"/>
            <w:vAlign w:val="bottom"/>
          </w:tcPr>
          <w:p w14:paraId="32E942CD" w14:textId="77777777" w:rsidR="00EC3C86" w:rsidRPr="00F35716" w:rsidRDefault="00EC3C86" w:rsidP="00D11D4A">
            <w:pPr>
              <w:spacing w:before="40" w:after="80" w:line="210" w:lineRule="exact"/>
              <w:jc w:val="right"/>
              <w:rPr>
                <w:sz w:val="17"/>
                <w:szCs w:val="17"/>
              </w:rPr>
            </w:pPr>
            <w:r w:rsidRPr="00F35716">
              <w:rPr>
                <w:sz w:val="17"/>
                <w:szCs w:val="17"/>
              </w:rPr>
              <w:t>1.086</w:t>
            </w:r>
          </w:p>
        </w:tc>
        <w:tc>
          <w:tcPr>
            <w:tcW w:w="1003" w:type="dxa"/>
            <w:tcBorders>
              <w:bottom w:val="single" w:sz="12" w:space="0" w:color="auto"/>
            </w:tcBorders>
            <w:shd w:val="clear" w:color="auto" w:fill="auto"/>
            <w:vAlign w:val="bottom"/>
          </w:tcPr>
          <w:p w14:paraId="32E942CE" w14:textId="77777777" w:rsidR="00EC3C86" w:rsidRPr="00F35716" w:rsidRDefault="00EC3C86" w:rsidP="00D11D4A">
            <w:pPr>
              <w:spacing w:before="40" w:after="80" w:line="210" w:lineRule="exact"/>
              <w:jc w:val="right"/>
              <w:rPr>
                <w:sz w:val="17"/>
                <w:szCs w:val="17"/>
              </w:rPr>
            </w:pPr>
            <w:r w:rsidRPr="00F35716">
              <w:rPr>
                <w:sz w:val="17"/>
                <w:szCs w:val="17"/>
              </w:rPr>
              <w:t>1.245</w:t>
            </w:r>
          </w:p>
        </w:tc>
        <w:tc>
          <w:tcPr>
            <w:tcW w:w="1003" w:type="dxa"/>
            <w:tcBorders>
              <w:bottom w:val="single" w:sz="12" w:space="0" w:color="auto"/>
            </w:tcBorders>
            <w:shd w:val="clear" w:color="auto" w:fill="auto"/>
            <w:vAlign w:val="bottom"/>
          </w:tcPr>
          <w:p w14:paraId="32E942CF" w14:textId="77777777" w:rsidR="00EC3C86" w:rsidRPr="00F35716" w:rsidRDefault="00EC3C86" w:rsidP="00D11D4A">
            <w:pPr>
              <w:spacing w:before="40" w:after="80" w:line="210" w:lineRule="exact"/>
              <w:jc w:val="right"/>
              <w:rPr>
                <w:sz w:val="17"/>
                <w:szCs w:val="17"/>
              </w:rPr>
            </w:pPr>
            <w:r w:rsidRPr="00F35716">
              <w:rPr>
                <w:sz w:val="17"/>
                <w:szCs w:val="17"/>
              </w:rPr>
              <w:t>1.286</w:t>
            </w:r>
          </w:p>
        </w:tc>
        <w:tc>
          <w:tcPr>
            <w:tcW w:w="1003" w:type="dxa"/>
            <w:tcBorders>
              <w:bottom w:val="single" w:sz="12" w:space="0" w:color="auto"/>
            </w:tcBorders>
            <w:shd w:val="clear" w:color="auto" w:fill="auto"/>
            <w:vAlign w:val="bottom"/>
          </w:tcPr>
          <w:p w14:paraId="32E942D0" w14:textId="77777777" w:rsidR="00EC3C86" w:rsidRPr="00F35716" w:rsidRDefault="00EC3C86" w:rsidP="00D11D4A">
            <w:pPr>
              <w:spacing w:before="40" w:after="80" w:line="210" w:lineRule="exact"/>
              <w:jc w:val="right"/>
              <w:rPr>
                <w:sz w:val="17"/>
                <w:szCs w:val="17"/>
              </w:rPr>
            </w:pPr>
            <w:r w:rsidRPr="00F35716">
              <w:rPr>
                <w:sz w:val="17"/>
                <w:szCs w:val="17"/>
              </w:rPr>
              <w:t>1.161</w:t>
            </w:r>
          </w:p>
        </w:tc>
        <w:tc>
          <w:tcPr>
            <w:tcW w:w="1003" w:type="dxa"/>
            <w:tcBorders>
              <w:bottom w:val="single" w:sz="12" w:space="0" w:color="auto"/>
            </w:tcBorders>
            <w:shd w:val="clear" w:color="auto" w:fill="auto"/>
            <w:vAlign w:val="bottom"/>
          </w:tcPr>
          <w:p w14:paraId="32E942D1" w14:textId="77777777" w:rsidR="00EC3C86" w:rsidRPr="00F35716" w:rsidRDefault="00EC3C86" w:rsidP="00D11D4A">
            <w:pPr>
              <w:spacing w:before="40" w:after="80" w:line="210" w:lineRule="exact"/>
              <w:jc w:val="right"/>
              <w:rPr>
                <w:sz w:val="17"/>
                <w:szCs w:val="17"/>
              </w:rPr>
            </w:pPr>
            <w:r w:rsidRPr="00F35716">
              <w:rPr>
                <w:sz w:val="17"/>
                <w:szCs w:val="17"/>
              </w:rPr>
              <w:t>1.022</w:t>
            </w:r>
          </w:p>
        </w:tc>
        <w:tc>
          <w:tcPr>
            <w:tcW w:w="1003" w:type="dxa"/>
            <w:tcBorders>
              <w:bottom w:val="single" w:sz="12" w:space="0" w:color="auto"/>
            </w:tcBorders>
            <w:shd w:val="clear" w:color="auto" w:fill="auto"/>
            <w:vAlign w:val="bottom"/>
          </w:tcPr>
          <w:p w14:paraId="32E942D2" w14:textId="77777777" w:rsidR="00EC3C86" w:rsidRPr="00F35716" w:rsidRDefault="00EC3C86" w:rsidP="00D11D4A">
            <w:pPr>
              <w:spacing w:before="40" w:after="80" w:line="210" w:lineRule="exact"/>
              <w:jc w:val="right"/>
              <w:rPr>
                <w:sz w:val="17"/>
                <w:szCs w:val="17"/>
              </w:rPr>
            </w:pPr>
            <w:r w:rsidRPr="00F35716">
              <w:rPr>
                <w:sz w:val="17"/>
                <w:szCs w:val="17"/>
              </w:rPr>
              <w:t>1.093</w:t>
            </w:r>
          </w:p>
        </w:tc>
        <w:tc>
          <w:tcPr>
            <w:tcW w:w="1003" w:type="dxa"/>
            <w:tcBorders>
              <w:bottom w:val="single" w:sz="12" w:space="0" w:color="auto"/>
            </w:tcBorders>
            <w:shd w:val="clear" w:color="auto" w:fill="auto"/>
            <w:vAlign w:val="bottom"/>
          </w:tcPr>
          <w:p w14:paraId="32E942D3" w14:textId="77777777" w:rsidR="00EC3C86" w:rsidRPr="00F35716" w:rsidRDefault="00EC3C86" w:rsidP="00D11D4A">
            <w:pPr>
              <w:spacing w:before="40" w:after="80" w:line="210" w:lineRule="exact"/>
              <w:jc w:val="right"/>
              <w:rPr>
                <w:sz w:val="17"/>
                <w:szCs w:val="17"/>
              </w:rPr>
            </w:pPr>
            <w:r w:rsidRPr="00F35716">
              <w:rPr>
                <w:sz w:val="17"/>
                <w:szCs w:val="17"/>
              </w:rPr>
              <w:t>1.114</w:t>
            </w:r>
          </w:p>
        </w:tc>
      </w:tr>
    </w:tbl>
    <w:p w14:paraId="32E942D5" w14:textId="77777777" w:rsidR="00AA68BE" w:rsidRPr="00F35716" w:rsidRDefault="00AA68BE" w:rsidP="007E044D">
      <w:pPr>
        <w:pStyle w:val="SingleTxt"/>
        <w:spacing w:after="0" w:line="120" w:lineRule="exact"/>
        <w:rPr>
          <w:sz w:val="10"/>
          <w:szCs w:val="20"/>
        </w:rPr>
      </w:pPr>
    </w:p>
    <w:p w14:paraId="32E942D6" w14:textId="77777777" w:rsidR="00EC3C86" w:rsidRPr="00F35716" w:rsidRDefault="00EC3C86" w:rsidP="00943AF0">
      <w:pPr>
        <w:pStyle w:val="FootnoteText"/>
        <w:widowControl w:val="0"/>
        <w:tabs>
          <w:tab w:val="clear" w:pos="418"/>
          <w:tab w:val="right" w:pos="1476"/>
          <w:tab w:val="left" w:pos="1548"/>
          <w:tab w:val="right" w:pos="1836"/>
          <w:tab w:val="left" w:pos="1908"/>
        </w:tabs>
        <w:ind w:left="1548" w:right="1065" w:hanging="289"/>
        <w:rPr>
          <w:i/>
        </w:rPr>
      </w:pPr>
      <w:r w:rsidRPr="00F35716">
        <w:t>(</w:t>
      </w:r>
      <w:r w:rsidRPr="00F35716">
        <w:rPr>
          <w:i/>
        </w:rPr>
        <w:t xml:space="preserve">Fuente: </w:t>
      </w:r>
      <w:r w:rsidRPr="00F35716">
        <w:t>Dirección General de Seguridad Nacional)</w:t>
      </w:r>
      <w:r w:rsidR="00BD7E71" w:rsidRPr="00F35716">
        <w:rPr>
          <w:i/>
        </w:rPr>
        <w:t xml:space="preserve"> </w:t>
      </w:r>
    </w:p>
    <w:p w14:paraId="32E942D7" w14:textId="6F8C2477" w:rsidR="00B70088" w:rsidRDefault="00B70088">
      <w:pPr>
        <w:suppressAutoHyphens w:val="0"/>
        <w:spacing w:line="240" w:lineRule="auto"/>
        <w:rPr>
          <w:kern w:val="14"/>
          <w:sz w:val="10"/>
          <w:szCs w:val="20"/>
        </w:rPr>
      </w:pPr>
      <w:r>
        <w:rPr>
          <w:sz w:val="10"/>
          <w:szCs w:val="20"/>
        </w:rPr>
        <w:br w:type="page"/>
      </w:r>
    </w:p>
    <w:p w14:paraId="32E942D8" w14:textId="58164BAF" w:rsidR="00EC3C86" w:rsidRPr="00F35716" w:rsidRDefault="00E71031" w:rsidP="00B3192A">
      <w:pPr>
        <w:pStyle w:val="SingleTxt"/>
        <w:numPr>
          <w:ilvl w:val="0"/>
          <w:numId w:val="8"/>
        </w:numPr>
        <w:ind w:left="1267" w:firstLine="0"/>
      </w:pPr>
      <w:r w:rsidRPr="00F35716">
        <w:lastRenderedPageBreak/>
        <w:t>Para</w:t>
      </w:r>
      <w:r w:rsidR="00EC3C86" w:rsidRPr="00F35716">
        <w:t xml:space="preserve"> lucha</w:t>
      </w:r>
      <w:r w:rsidRPr="00F35716">
        <w:t>r</w:t>
      </w:r>
      <w:r w:rsidR="00EC3C86" w:rsidRPr="00F35716">
        <w:t xml:space="preserve"> contra la trata de personas, </w:t>
      </w:r>
      <w:r w:rsidRPr="00F35716">
        <w:t xml:space="preserve">el </w:t>
      </w:r>
      <w:r w:rsidR="00EC3C86" w:rsidRPr="00F35716">
        <w:t>Fiscal General:</w:t>
      </w:r>
    </w:p>
    <w:p w14:paraId="32E942D9" w14:textId="1C813747" w:rsidR="00EC3C86" w:rsidRPr="00F35716" w:rsidRDefault="00F2026A" w:rsidP="00F2026A">
      <w:pPr>
        <w:pStyle w:val="SingleTxt"/>
        <w:tabs>
          <w:tab w:val="right" w:pos="1685"/>
        </w:tabs>
        <w:ind w:left="1742" w:hanging="475"/>
      </w:pPr>
      <w:r w:rsidRPr="00F35716">
        <w:tab/>
        <w:t>–</w:t>
      </w:r>
      <w:r w:rsidRPr="00F35716">
        <w:tab/>
      </w:r>
      <w:r w:rsidR="00EC3C86" w:rsidRPr="00F35716">
        <w:t xml:space="preserve">Llevó a cabo un estudio de diagnóstico sobre la situación de la trata de personas en Marruecos, que concluyó que era necesario establecer mecanismos de </w:t>
      </w:r>
      <w:r w:rsidR="004D7C35" w:rsidRPr="00F35716">
        <w:t>prevención en consonancia</w:t>
      </w:r>
      <w:r w:rsidR="00EC3C86" w:rsidRPr="00F35716">
        <w:t xml:space="preserve"> con los instrumentos internacionales; </w:t>
      </w:r>
      <w:r w:rsidR="004D7C35" w:rsidRPr="00F35716">
        <w:t>medidas de prevención y precaución frente a la trata de personas; y alianzas a nivel nacional e internacional.</w:t>
      </w:r>
    </w:p>
    <w:p w14:paraId="32E942DA" w14:textId="349BEC93" w:rsidR="00EC3C86" w:rsidRPr="00F35716" w:rsidRDefault="00F2026A" w:rsidP="005414A8">
      <w:pPr>
        <w:pStyle w:val="SingleTxt"/>
        <w:tabs>
          <w:tab w:val="right" w:pos="1685"/>
        </w:tabs>
        <w:ind w:left="1742" w:hanging="475"/>
      </w:pPr>
      <w:r w:rsidRPr="00F35716">
        <w:tab/>
        <w:t>–</w:t>
      </w:r>
      <w:r w:rsidRPr="00F35716">
        <w:tab/>
      </w:r>
      <w:r w:rsidR="00EC3C86" w:rsidRPr="00F35716">
        <w:t xml:space="preserve">Emitió la </w:t>
      </w:r>
      <w:r w:rsidR="004D7C35" w:rsidRPr="00F35716">
        <w:t>C</w:t>
      </w:r>
      <w:r w:rsidR="00EC3C86" w:rsidRPr="00F35716">
        <w:t xml:space="preserve">ircular núm. 32 </w:t>
      </w:r>
      <w:r w:rsidR="004D7C35" w:rsidRPr="00F35716">
        <w:rPr>
          <w:rFonts w:asciiTheme="majorBidi" w:hAnsiTheme="majorBidi" w:cstheme="majorBidi"/>
          <w:i/>
          <w:iCs/>
        </w:rPr>
        <w:t xml:space="preserve">sin ra’ nun </w:t>
      </w:r>
      <w:r w:rsidR="005414A8" w:rsidRPr="00F35716">
        <w:rPr>
          <w:rFonts w:asciiTheme="majorBidi" w:hAnsiTheme="majorBidi" w:cstheme="majorBidi"/>
          <w:i/>
          <w:iCs/>
        </w:rPr>
        <w:t xml:space="preserve">‘ayn </w:t>
      </w:r>
      <w:r w:rsidR="00EC3C86" w:rsidRPr="00F35716">
        <w:t xml:space="preserve">(julio </w:t>
      </w:r>
      <w:r w:rsidR="005414A8" w:rsidRPr="00F35716">
        <w:t xml:space="preserve">de </w:t>
      </w:r>
      <w:r w:rsidR="00EC3C86" w:rsidRPr="00F35716">
        <w:t xml:space="preserve">2018), referente a las disposiciones jurídicas destinadas a proteger a las víctimas de la trata de personas, dirigida a los funcionarios judiciales de la Fiscalía General. </w:t>
      </w:r>
    </w:p>
    <w:p w14:paraId="32E942DB" w14:textId="6A625B1A" w:rsidR="00EC3C86" w:rsidRPr="00F35716" w:rsidRDefault="00F2026A" w:rsidP="00F2026A">
      <w:pPr>
        <w:pStyle w:val="SingleTxt"/>
        <w:tabs>
          <w:tab w:val="right" w:pos="1685"/>
        </w:tabs>
        <w:ind w:left="1742" w:hanging="475"/>
      </w:pPr>
      <w:r w:rsidRPr="00F35716">
        <w:tab/>
        <w:t>–</w:t>
      </w:r>
      <w:r w:rsidRPr="00F35716">
        <w:tab/>
      </w:r>
      <w:r w:rsidR="004D7C35" w:rsidRPr="00F35716">
        <w:t>Envió una carta</w:t>
      </w:r>
      <w:r w:rsidR="00EC3C86" w:rsidRPr="00F35716">
        <w:t xml:space="preserve"> (marzo de 2018) a todos los tribunales de apelación</w:t>
      </w:r>
      <w:r w:rsidR="004D7C35" w:rsidRPr="00F35716">
        <w:t xml:space="preserve"> para que se </w:t>
      </w:r>
      <w:r w:rsidR="00EC3C86" w:rsidRPr="00F35716">
        <w:t>nombrar</w:t>
      </w:r>
      <w:r w:rsidR="004D7C35" w:rsidRPr="00F35716">
        <w:t>a</w:t>
      </w:r>
      <w:r w:rsidR="00EC3C86" w:rsidRPr="00F35716">
        <w:t xml:space="preserve"> a dos </w:t>
      </w:r>
      <w:r w:rsidR="0092631B" w:rsidRPr="00F35716">
        <w:t>fiscales adjuntos</w:t>
      </w:r>
      <w:r w:rsidR="00EC3C86" w:rsidRPr="00F35716">
        <w:t xml:space="preserve"> del Rey e</w:t>
      </w:r>
      <w:r w:rsidR="004D7C35" w:rsidRPr="00F35716">
        <w:t>ncargados exclusivamente de los</w:t>
      </w:r>
      <w:r w:rsidR="00EC3C86" w:rsidRPr="00F35716">
        <w:t xml:space="preserve"> casos de trata de personas y a los </w:t>
      </w:r>
      <w:r w:rsidR="008B3249" w:rsidRPr="00F35716">
        <w:t>fiscales</w:t>
      </w:r>
      <w:r w:rsidR="00EC3C86" w:rsidRPr="00F35716">
        <w:t xml:space="preserve"> responsables de impartir la formación necesaria sobre la trata de personas.</w:t>
      </w:r>
    </w:p>
    <w:p w14:paraId="32E942DC" w14:textId="77777777" w:rsidR="007E044D" w:rsidRPr="00F35716" w:rsidRDefault="007E044D" w:rsidP="007E044D">
      <w:pPr>
        <w:pStyle w:val="SingleTxt"/>
        <w:spacing w:after="0" w:line="120" w:lineRule="exact"/>
        <w:rPr>
          <w:sz w:val="10"/>
          <w:szCs w:val="20"/>
        </w:rPr>
      </w:pPr>
    </w:p>
    <w:p w14:paraId="32E942DD" w14:textId="77777777" w:rsidR="00EC3C86" w:rsidRPr="00F35716" w:rsidRDefault="00614858"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 w:val="0"/>
          <w:bCs w:val="0"/>
          <w:szCs w:val="20"/>
        </w:rPr>
        <w:t xml:space="preserve">Tabla 5: </w:t>
      </w:r>
      <w:r w:rsidRPr="00F35716">
        <w:rPr>
          <w:b w:val="0"/>
          <w:bCs w:val="0"/>
          <w:szCs w:val="20"/>
        </w:rPr>
        <w:br/>
      </w:r>
      <w:r w:rsidR="00EC3C86" w:rsidRPr="00F35716">
        <w:rPr>
          <w:bCs w:val="0"/>
          <w:szCs w:val="20"/>
        </w:rPr>
        <w:t>Número de casos</w:t>
      </w:r>
    </w:p>
    <w:p w14:paraId="32E942DE" w14:textId="77777777" w:rsidR="00321E20" w:rsidRPr="00F35716" w:rsidRDefault="00321E20" w:rsidP="007E044D">
      <w:pPr>
        <w:pStyle w:val="SingleTxt"/>
        <w:spacing w:after="0" w:line="120" w:lineRule="exact"/>
        <w:rPr>
          <w:sz w:val="10"/>
          <w:szCs w:val="20"/>
        </w:rPr>
      </w:pPr>
    </w:p>
    <w:tbl>
      <w:tblPr>
        <w:tblW w:w="7344" w:type="dxa"/>
        <w:tblInd w:w="1267" w:type="dxa"/>
        <w:tblLayout w:type="fixed"/>
        <w:tblCellMar>
          <w:left w:w="0" w:type="dxa"/>
          <w:right w:w="43" w:type="dxa"/>
        </w:tblCellMar>
        <w:tblLook w:val="04A0" w:firstRow="1" w:lastRow="0" w:firstColumn="1" w:lastColumn="0" w:noHBand="0" w:noVBand="1"/>
      </w:tblPr>
      <w:tblGrid>
        <w:gridCol w:w="3474"/>
        <w:gridCol w:w="1624"/>
        <w:gridCol w:w="1195"/>
        <w:gridCol w:w="1051"/>
      </w:tblGrid>
      <w:tr w:rsidR="00456C28" w:rsidRPr="00F35716" w14:paraId="32E942E2" w14:textId="77777777" w:rsidTr="00DF18A6">
        <w:trPr>
          <w:tblHeader/>
        </w:trPr>
        <w:tc>
          <w:tcPr>
            <w:tcW w:w="3474" w:type="dxa"/>
            <w:vMerge w:val="restart"/>
            <w:tcBorders>
              <w:top w:val="single" w:sz="4" w:space="0" w:color="auto"/>
            </w:tcBorders>
            <w:shd w:val="clear" w:color="auto" w:fill="auto"/>
          </w:tcPr>
          <w:p w14:paraId="32E942DF" w14:textId="77777777" w:rsidR="00EC3C86" w:rsidRPr="00F35716" w:rsidRDefault="00EC3C86" w:rsidP="00456C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tl/>
              </w:rPr>
            </w:pPr>
          </w:p>
        </w:tc>
        <w:tc>
          <w:tcPr>
            <w:tcW w:w="1624" w:type="dxa"/>
            <w:vMerge w:val="restart"/>
            <w:tcBorders>
              <w:top w:val="single" w:sz="4" w:space="0" w:color="auto"/>
            </w:tcBorders>
            <w:shd w:val="clear" w:color="auto" w:fill="auto"/>
            <w:vAlign w:val="center"/>
          </w:tcPr>
          <w:p w14:paraId="32E942E0" w14:textId="77777777" w:rsidR="00EC3C86" w:rsidRPr="00F35716" w:rsidRDefault="00EC3C86" w:rsidP="00DF18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center"/>
              <w:rPr>
                <w:i/>
                <w:iCs/>
                <w:kern w:val="0"/>
                <w:sz w:val="14"/>
                <w:szCs w:val="14"/>
              </w:rPr>
            </w:pPr>
            <w:r w:rsidRPr="00F35716">
              <w:rPr>
                <w:i/>
                <w:iCs/>
                <w:kern w:val="0"/>
                <w:sz w:val="14"/>
                <w:szCs w:val="14"/>
              </w:rPr>
              <w:t>Número de casos</w:t>
            </w:r>
          </w:p>
        </w:tc>
        <w:tc>
          <w:tcPr>
            <w:tcW w:w="2246" w:type="dxa"/>
            <w:gridSpan w:val="2"/>
            <w:tcBorders>
              <w:top w:val="single" w:sz="4" w:space="0" w:color="auto"/>
              <w:bottom w:val="single" w:sz="4" w:space="0" w:color="auto"/>
            </w:tcBorders>
            <w:shd w:val="clear" w:color="auto" w:fill="auto"/>
          </w:tcPr>
          <w:p w14:paraId="32E942E1" w14:textId="77777777" w:rsidR="00EC3C86" w:rsidRPr="00F35716" w:rsidRDefault="00EC3C86" w:rsidP="00456C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center"/>
              <w:rPr>
                <w:i/>
                <w:iCs/>
                <w:kern w:val="0"/>
                <w:sz w:val="14"/>
                <w:szCs w:val="14"/>
              </w:rPr>
            </w:pPr>
            <w:r w:rsidRPr="00F35716">
              <w:rPr>
                <w:i/>
                <w:iCs/>
                <w:kern w:val="0"/>
                <w:sz w:val="14"/>
                <w:szCs w:val="14"/>
              </w:rPr>
              <w:t>Número de procesados</w:t>
            </w:r>
          </w:p>
        </w:tc>
      </w:tr>
      <w:tr w:rsidR="00456C28" w:rsidRPr="00F35716" w14:paraId="32E942E7" w14:textId="77777777" w:rsidTr="00DF18A6">
        <w:trPr>
          <w:tblHeader/>
        </w:trPr>
        <w:tc>
          <w:tcPr>
            <w:tcW w:w="3474" w:type="dxa"/>
            <w:vMerge/>
            <w:tcBorders>
              <w:bottom w:val="single" w:sz="12" w:space="0" w:color="auto"/>
            </w:tcBorders>
            <w:shd w:val="clear" w:color="auto" w:fill="auto"/>
          </w:tcPr>
          <w:p w14:paraId="32E942E3" w14:textId="77777777" w:rsidR="00EC3C86" w:rsidRPr="00F35716" w:rsidRDefault="00EC3C86" w:rsidP="00456C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tl/>
              </w:rPr>
            </w:pPr>
          </w:p>
        </w:tc>
        <w:tc>
          <w:tcPr>
            <w:tcW w:w="1624" w:type="dxa"/>
            <w:vMerge/>
            <w:tcBorders>
              <w:bottom w:val="single" w:sz="12" w:space="0" w:color="auto"/>
            </w:tcBorders>
            <w:shd w:val="clear" w:color="auto" w:fill="auto"/>
          </w:tcPr>
          <w:p w14:paraId="32E942E4" w14:textId="77777777" w:rsidR="00EC3C86" w:rsidRPr="00F35716" w:rsidRDefault="00EC3C86" w:rsidP="00456C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tl/>
              </w:rPr>
            </w:pPr>
          </w:p>
        </w:tc>
        <w:tc>
          <w:tcPr>
            <w:tcW w:w="1195" w:type="dxa"/>
            <w:tcBorders>
              <w:top w:val="single" w:sz="4" w:space="0" w:color="auto"/>
              <w:bottom w:val="single" w:sz="12" w:space="0" w:color="auto"/>
            </w:tcBorders>
            <w:shd w:val="clear" w:color="auto" w:fill="auto"/>
            <w:vAlign w:val="bottom"/>
          </w:tcPr>
          <w:p w14:paraId="32E942E5" w14:textId="77777777" w:rsidR="00EC3C86" w:rsidRPr="00F35716" w:rsidRDefault="00EC3C86" w:rsidP="00D11D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Hombres</w:t>
            </w:r>
          </w:p>
        </w:tc>
        <w:tc>
          <w:tcPr>
            <w:tcW w:w="1051" w:type="dxa"/>
            <w:tcBorders>
              <w:top w:val="single" w:sz="4" w:space="0" w:color="auto"/>
              <w:bottom w:val="single" w:sz="12" w:space="0" w:color="auto"/>
            </w:tcBorders>
            <w:shd w:val="clear" w:color="auto" w:fill="auto"/>
            <w:vAlign w:val="bottom"/>
          </w:tcPr>
          <w:p w14:paraId="32E942E6" w14:textId="77777777" w:rsidR="00EC3C86" w:rsidRPr="00F35716" w:rsidRDefault="00EC3C86" w:rsidP="00D11D4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Mujeres</w:t>
            </w:r>
          </w:p>
        </w:tc>
      </w:tr>
      <w:tr w:rsidR="00456C28" w:rsidRPr="00F35716" w14:paraId="32E942EC" w14:textId="77777777" w:rsidTr="00DF18A6">
        <w:trPr>
          <w:trHeight w:hRule="exact" w:val="115"/>
          <w:tblHeader/>
        </w:trPr>
        <w:tc>
          <w:tcPr>
            <w:tcW w:w="3474" w:type="dxa"/>
            <w:tcBorders>
              <w:top w:val="single" w:sz="12" w:space="0" w:color="auto"/>
            </w:tcBorders>
            <w:shd w:val="clear" w:color="auto" w:fill="auto"/>
          </w:tcPr>
          <w:p w14:paraId="32E942E8" w14:textId="77777777" w:rsidR="00456C28" w:rsidRPr="00F35716" w:rsidRDefault="00456C28" w:rsidP="00456C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tl/>
              </w:rPr>
            </w:pPr>
          </w:p>
        </w:tc>
        <w:tc>
          <w:tcPr>
            <w:tcW w:w="1624" w:type="dxa"/>
            <w:tcBorders>
              <w:top w:val="single" w:sz="12" w:space="0" w:color="auto"/>
            </w:tcBorders>
            <w:shd w:val="clear" w:color="auto" w:fill="auto"/>
          </w:tcPr>
          <w:p w14:paraId="32E942E9" w14:textId="77777777" w:rsidR="00456C28" w:rsidRPr="00F35716" w:rsidRDefault="00456C28" w:rsidP="00456C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tl/>
              </w:rPr>
            </w:pPr>
          </w:p>
        </w:tc>
        <w:tc>
          <w:tcPr>
            <w:tcW w:w="1195" w:type="dxa"/>
            <w:tcBorders>
              <w:top w:val="single" w:sz="12" w:space="0" w:color="auto"/>
            </w:tcBorders>
            <w:shd w:val="clear" w:color="auto" w:fill="auto"/>
          </w:tcPr>
          <w:p w14:paraId="32E942EA" w14:textId="77777777" w:rsidR="00456C28" w:rsidRPr="00F35716" w:rsidRDefault="00456C28" w:rsidP="00456C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1051" w:type="dxa"/>
            <w:tcBorders>
              <w:top w:val="single" w:sz="12" w:space="0" w:color="auto"/>
            </w:tcBorders>
            <w:shd w:val="clear" w:color="auto" w:fill="auto"/>
          </w:tcPr>
          <w:p w14:paraId="32E942EB" w14:textId="77777777" w:rsidR="00456C28" w:rsidRPr="00F35716" w:rsidRDefault="00456C28" w:rsidP="00456C2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r>
      <w:tr w:rsidR="00D11D4A" w:rsidRPr="00F35716" w14:paraId="32E942F1" w14:textId="77777777" w:rsidTr="00DF18A6">
        <w:tc>
          <w:tcPr>
            <w:tcW w:w="3474" w:type="dxa"/>
            <w:shd w:val="clear" w:color="auto" w:fill="auto"/>
            <w:vAlign w:val="bottom"/>
          </w:tcPr>
          <w:p w14:paraId="32E942ED" w14:textId="77777777" w:rsidR="00EC3C86" w:rsidRPr="00F35716" w:rsidRDefault="00EC3C86" w:rsidP="00D11D4A">
            <w:pPr>
              <w:spacing w:before="40" w:after="80" w:line="210" w:lineRule="exact"/>
              <w:rPr>
                <w:bCs/>
                <w:sz w:val="17"/>
                <w:szCs w:val="17"/>
              </w:rPr>
            </w:pPr>
            <w:r w:rsidRPr="00F35716">
              <w:rPr>
                <w:bCs/>
                <w:sz w:val="17"/>
                <w:szCs w:val="17"/>
              </w:rPr>
              <w:t>Trata de personas adultas</w:t>
            </w:r>
          </w:p>
        </w:tc>
        <w:tc>
          <w:tcPr>
            <w:tcW w:w="1624" w:type="dxa"/>
            <w:shd w:val="clear" w:color="auto" w:fill="auto"/>
            <w:vAlign w:val="bottom"/>
          </w:tcPr>
          <w:p w14:paraId="32E942EE" w14:textId="77777777" w:rsidR="00EC3C86" w:rsidRPr="00F35716" w:rsidRDefault="00EC3C86" w:rsidP="00D11D4A">
            <w:pPr>
              <w:spacing w:before="40" w:after="80" w:line="210" w:lineRule="exact"/>
              <w:jc w:val="center"/>
              <w:rPr>
                <w:sz w:val="17"/>
                <w:szCs w:val="17"/>
              </w:rPr>
            </w:pPr>
            <w:r w:rsidRPr="00F35716">
              <w:rPr>
                <w:sz w:val="17"/>
                <w:szCs w:val="17"/>
              </w:rPr>
              <w:t>55</w:t>
            </w:r>
          </w:p>
        </w:tc>
        <w:tc>
          <w:tcPr>
            <w:tcW w:w="1195" w:type="dxa"/>
            <w:shd w:val="clear" w:color="auto" w:fill="auto"/>
            <w:vAlign w:val="bottom"/>
          </w:tcPr>
          <w:p w14:paraId="32E942EF" w14:textId="77777777" w:rsidR="00EC3C86" w:rsidRPr="00F35716" w:rsidRDefault="00EC3C86" w:rsidP="00D11D4A">
            <w:pPr>
              <w:spacing w:before="40" w:after="80" w:line="210" w:lineRule="exact"/>
              <w:jc w:val="right"/>
              <w:rPr>
                <w:sz w:val="17"/>
                <w:szCs w:val="17"/>
              </w:rPr>
            </w:pPr>
            <w:r w:rsidRPr="00F35716">
              <w:rPr>
                <w:sz w:val="17"/>
                <w:szCs w:val="17"/>
              </w:rPr>
              <w:t>130</w:t>
            </w:r>
          </w:p>
        </w:tc>
        <w:tc>
          <w:tcPr>
            <w:tcW w:w="1051" w:type="dxa"/>
            <w:shd w:val="clear" w:color="auto" w:fill="auto"/>
            <w:vAlign w:val="bottom"/>
          </w:tcPr>
          <w:p w14:paraId="32E942F0" w14:textId="77777777" w:rsidR="00EC3C86" w:rsidRPr="00F35716" w:rsidRDefault="00EC3C86" w:rsidP="00D11D4A">
            <w:pPr>
              <w:spacing w:before="40" w:after="80" w:line="210" w:lineRule="exact"/>
              <w:jc w:val="right"/>
              <w:rPr>
                <w:sz w:val="17"/>
                <w:szCs w:val="17"/>
              </w:rPr>
            </w:pPr>
            <w:r w:rsidRPr="00F35716">
              <w:rPr>
                <w:sz w:val="17"/>
                <w:szCs w:val="17"/>
              </w:rPr>
              <w:t>41</w:t>
            </w:r>
          </w:p>
        </w:tc>
      </w:tr>
      <w:tr w:rsidR="00321E20" w:rsidRPr="00F35716" w14:paraId="32E942F6" w14:textId="77777777" w:rsidTr="00D41A68">
        <w:tc>
          <w:tcPr>
            <w:tcW w:w="3474" w:type="dxa"/>
            <w:shd w:val="clear" w:color="auto" w:fill="auto"/>
            <w:vAlign w:val="bottom"/>
          </w:tcPr>
          <w:p w14:paraId="32E942F2" w14:textId="77777777" w:rsidR="00EC3C86" w:rsidRPr="00F35716" w:rsidRDefault="00EC3C86" w:rsidP="00D11D4A">
            <w:pPr>
              <w:spacing w:before="40" w:after="80" w:line="210" w:lineRule="exact"/>
              <w:rPr>
                <w:bCs/>
                <w:sz w:val="17"/>
                <w:szCs w:val="17"/>
              </w:rPr>
            </w:pPr>
            <w:r w:rsidRPr="00F35716">
              <w:rPr>
                <w:bCs/>
                <w:sz w:val="17"/>
                <w:szCs w:val="17"/>
              </w:rPr>
              <w:t>Trata de menores</w:t>
            </w:r>
          </w:p>
        </w:tc>
        <w:tc>
          <w:tcPr>
            <w:tcW w:w="1624" w:type="dxa"/>
            <w:shd w:val="clear" w:color="auto" w:fill="auto"/>
            <w:vAlign w:val="bottom"/>
          </w:tcPr>
          <w:p w14:paraId="32E942F3" w14:textId="77777777" w:rsidR="00EC3C86" w:rsidRPr="00F35716" w:rsidRDefault="00EC3C86" w:rsidP="00D11D4A">
            <w:pPr>
              <w:spacing w:before="40" w:after="80" w:line="210" w:lineRule="exact"/>
              <w:jc w:val="center"/>
              <w:rPr>
                <w:sz w:val="17"/>
                <w:szCs w:val="17"/>
              </w:rPr>
            </w:pPr>
            <w:r w:rsidRPr="00F35716">
              <w:rPr>
                <w:sz w:val="17"/>
                <w:szCs w:val="17"/>
              </w:rPr>
              <w:t>25</w:t>
            </w:r>
          </w:p>
        </w:tc>
        <w:tc>
          <w:tcPr>
            <w:tcW w:w="1195" w:type="dxa"/>
            <w:tcBorders>
              <w:bottom w:val="single" w:sz="4" w:space="0" w:color="auto"/>
            </w:tcBorders>
            <w:shd w:val="clear" w:color="auto" w:fill="auto"/>
            <w:vAlign w:val="bottom"/>
          </w:tcPr>
          <w:p w14:paraId="32E942F4" w14:textId="77777777" w:rsidR="00EC3C86" w:rsidRPr="00F35716" w:rsidRDefault="00EC3C86" w:rsidP="00D11D4A">
            <w:pPr>
              <w:spacing w:before="40" w:after="80" w:line="210" w:lineRule="exact"/>
              <w:jc w:val="right"/>
              <w:rPr>
                <w:sz w:val="17"/>
                <w:szCs w:val="17"/>
              </w:rPr>
            </w:pPr>
            <w:r w:rsidRPr="00F35716">
              <w:rPr>
                <w:sz w:val="17"/>
                <w:szCs w:val="17"/>
              </w:rPr>
              <w:t>33</w:t>
            </w:r>
          </w:p>
        </w:tc>
        <w:tc>
          <w:tcPr>
            <w:tcW w:w="1051" w:type="dxa"/>
            <w:tcBorders>
              <w:bottom w:val="single" w:sz="4" w:space="0" w:color="auto"/>
            </w:tcBorders>
            <w:shd w:val="clear" w:color="auto" w:fill="auto"/>
            <w:vAlign w:val="bottom"/>
          </w:tcPr>
          <w:p w14:paraId="32E942F5" w14:textId="77777777" w:rsidR="00EC3C86" w:rsidRPr="00F35716" w:rsidRDefault="00EC3C86" w:rsidP="00D11D4A">
            <w:pPr>
              <w:spacing w:before="40" w:after="80" w:line="210" w:lineRule="exact"/>
              <w:jc w:val="right"/>
              <w:rPr>
                <w:sz w:val="17"/>
                <w:szCs w:val="17"/>
              </w:rPr>
            </w:pPr>
            <w:r w:rsidRPr="00F35716">
              <w:rPr>
                <w:sz w:val="17"/>
                <w:szCs w:val="17"/>
              </w:rPr>
              <w:t>27</w:t>
            </w:r>
          </w:p>
        </w:tc>
      </w:tr>
      <w:tr w:rsidR="00DF18A6" w:rsidRPr="00F35716" w14:paraId="32E942FB" w14:textId="77777777" w:rsidTr="00DF18A6">
        <w:tc>
          <w:tcPr>
            <w:tcW w:w="3474" w:type="dxa"/>
            <w:tcBorders>
              <w:bottom w:val="single" w:sz="4" w:space="0" w:color="auto"/>
            </w:tcBorders>
            <w:shd w:val="clear" w:color="auto" w:fill="auto"/>
            <w:vAlign w:val="bottom"/>
          </w:tcPr>
          <w:p w14:paraId="32E942F7" w14:textId="77777777" w:rsidR="00DF18A6" w:rsidRPr="00F35716" w:rsidRDefault="00DF18A6" w:rsidP="00D11D4A">
            <w:pPr>
              <w:spacing w:before="40" w:after="80" w:line="210" w:lineRule="exact"/>
              <w:rPr>
                <w:bCs/>
                <w:sz w:val="17"/>
                <w:szCs w:val="17"/>
              </w:rPr>
            </w:pPr>
          </w:p>
        </w:tc>
        <w:tc>
          <w:tcPr>
            <w:tcW w:w="1624" w:type="dxa"/>
            <w:tcBorders>
              <w:bottom w:val="single" w:sz="4" w:space="0" w:color="auto"/>
            </w:tcBorders>
            <w:shd w:val="clear" w:color="auto" w:fill="auto"/>
            <w:vAlign w:val="bottom"/>
          </w:tcPr>
          <w:p w14:paraId="32E942F8" w14:textId="77777777" w:rsidR="00DF18A6" w:rsidRPr="00F35716" w:rsidRDefault="00DF18A6" w:rsidP="00D11D4A">
            <w:pPr>
              <w:spacing w:before="40" w:after="80" w:line="210" w:lineRule="exact"/>
              <w:jc w:val="center"/>
              <w:rPr>
                <w:sz w:val="17"/>
                <w:szCs w:val="17"/>
              </w:rPr>
            </w:pPr>
          </w:p>
        </w:tc>
        <w:tc>
          <w:tcPr>
            <w:tcW w:w="1195" w:type="dxa"/>
            <w:tcBorders>
              <w:bottom w:val="single" w:sz="4" w:space="0" w:color="auto"/>
            </w:tcBorders>
            <w:shd w:val="clear" w:color="auto" w:fill="auto"/>
            <w:vAlign w:val="bottom"/>
          </w:tcPr>
          <w:p w14:paraId="32E942F9" w14:textId="77777777" w:rsidR="00DF18A6" w:rsidRPr="00B70088" w:rsidRDefault="00DF18A6" w:rsidP="00D11D4A">
            <w:pPr>
              <w:spacing w:before="40" w:after="80" w:line="210" w:lineRule="exact"/>
              <w:jc w:val="right"/>
              <w:rPr>
                <w:b/>
                <w:bCs/>
                <w:sz w:val="17"/>
                <w:szCs w:val="17"/>
              </w:rPr>
            </w:pPr>
            <w:r w:rsidRPr="00B70088">
              <w:rPr>
                <w:b/>
                <w:bCs/>
                <w:sz w:val="17"/>
                <w:szCs w:val="17"/>
              </w:rPr>
              <w:t>163</w:t>
            </w:r>
          </w:p>
        </w:tc>
        <w:tc>
          <w:tcPr>
            <w:tcW w:w="1051" w:type="dxa"/>
            <w:tcBorders>
              <w:bottom w:val="single" w:sz="4" w:space="0" w:color="auto"/>
            </w:tcBorders>
            <w:shd w:val="clear" w:color="auto" w:fill="auto"/>
            <w:vAlign w:val="bottom"/>
          </w:tcPr>
          <w:p w14:paraId="32E942FA" w14:textId="77777777" w:rsidR="00DF18A6" w:rsidRPr="00B70088" w:rsidRDefault="00DF18A6" w:rsidP="00D11D4A">
            <w:pPr>
              <w:spacing w:before="40" w:after="80" w:line="210" w:lineRule="exact"/>
              <w:jc w:val="right"/>
              <w:rPr>
                <w:b/>
                <w:bCs/>
                <w:sz w:val="17"/>
                <w:szCs w:val="17"/>
              </w:rPr>
            </w:pPr>
            <w:r w:rsidRPr="00B70088">
              <w:rPr>
                <w:b/>
                <w:bCs/>
                <w:sz w:val="17"/>
                <w:szCs w:val="17"/>
              </w:rPr>
              <w:t>68</w:t>
            </w:r>
          </w:p>
        </w:tc>
      </w:tr>
      <w:tr w:rsidR="00DF18A6" w:rsidRPr="00F35716" w14:paraId="32E942FF" w14:textId="77777777" w:rsidTr="00DF18A6">
        <w:tc>
          <w:tcPr>
            <w:tcW w:w="3474" w:type="dxa"/>
            <w:tcBorders>
              <w:top w:val="single" w:sz="4" w:space="0" w:color="auto"/>
              <w:bottom w:val="single" w:sz="12" w:space="0" w:color="auto"/>
            </w:tcBorders>
            <w:shd w:val="clear" w:color="auto" w:fill="auto"/>
            <w:vAlign w:val="bottom"/>
          </w:tcPr>
          <w:p w14:paraId="32E942FC" w14:textId="77777777" w:rsidR="00DF18A6" w:rsidRPr="00F35716" w:rsidRDefault="00DF18A6" w:rsidP="00534208">
            <w:pPr>
              <w:tabs>
                <w:tab w:val="left" w:pos="365"/>
              </w:tabs>
              <w:spacing w:before="80" w:after="80" w:line="210" w:lineRule="exact"/>
              <w:rPr>
                <w:b/>
                <w:bCs/>
                <w:sz w:val="17"/>
                <w:szCs w:val="17"/>
              </w:rPr>
            </w:pPr>
            <w:r w:rsidRPr="00F35716">
              <w:rPr>
                <w:b/>
                <w:bCs/>
                <w:sz w:val="17"/>
                <w:szCs w:val="17"/>
              </w:rPr>
              <w:tab/>
              <w:t>Total</w:t>
            </w:r>
          </w:p>
        </w:tc>
        <w:tc>
          <w:tcPr>
            <w:tcW w:w="1624" w:type="dxa"/>
            <w:tcBorders>
              <w:top w:val="single" w:sz="4" w:space="0" w:color="auto"/>
              <w:bottom w:val="single" w:sz="12" w:space="0" w:color="auto"/>
            </w:tcBorders>
            <w:shd w:val="clear" w:color="auto" w:fill="auto"/>
            <w:vAlign w:val="bottom"/>
          </w:tcPr>
          <w:p w14:paraId="32E942FD" w14:textId="77777777" w:rsidR="00DF18A6" w:rsidRPr="00F35716" w:rsidRDefault="00DF18A6" w:rsidP="00534208">
            <w:pPr>
              <w:spacing w:before="80" w:after="80" w:line="210" w:lineRule="exact"/>
              <w:jc w:val="center"/>
              <w:rPr>
                <w:sz w:val="17"/>
                <w:szCs w:val="17"/>
              </w:rPr>
            </w:pPr>
            <w:r w:rsidRPr="00F35716">
              <w:rPr>
                <w:b/>
                <w:sz w:val="17"/>
                <w:szCs w:val="17"/>
              </w:rPr>
              <w:t>80</w:t>
            </w:r>
          </w:p>
        </w:tc>
        <w:tc>
          <w:tcPr>
            <w:tcW w:w="2246" w:type="dxa"/>
            <w:gridSpan w:val="2"/>
            <w:tcBorders>
              <w:top w:val="single" w:sz="4" w:space="0" w:color="auto"/>
              <w:bottom w:val="single" w:sz="12" w:space="0" w:color="auto"/>
            </w:tcBorders>
            <w:shd w:val="clear" w:color="auto" w:fill="auto"/>
            <w:vAlign w:val="bottom"/>
          </w:tcPr>
          <w:p w14:paraId="32E942FE" w14:textId="77777777" w:rsidR="00DF18A6" w:rsidRPr="00F35716" w:rsidRDefault="00DF18A6" w:rsidP="00534208">
            <w:pPr>
              <w:spacing w:before="80" w:after="80" w:line="210" w:lineRule="exact"/>
              <w:jc w:val="center"/>
              <w:rPr>
                <w:sz w:val="17"/>
                <w:szCs w:val="17"/>
              </w:rPr>
            </w:pPr>
            <w:r w:rsidRPr="00F35716">
              <w:rPr>
                <w:b/>
                <w:sz w:val="17"/>
                <w:szCs w:val="17"/>
              </w:rPr>
              <w:t>231</w:t>
            </w:r>
          </w:p>
        </w:tc>
      </w:tr>
    </w:tbl>
    <w:p w14:paraId="32E94300" w14:textId="77777777" w:rsidR="0026366C" w:rsidRPr="00F35716" w:rsidRDefault="0026366C" w:rsidP="00265440">
      <w:pPr>
        <w:pStyle w:val="SingleTxt"/>
        <w:spacing w:after="0" w:line="120" w:lineRule="exact"/>
        <w:rPr>
          <w:sz w:val="10"/>
          <w:szCs w:val="20"/>
        </w:rPr>
      </w:pPr>
    </w:p>
    <w:p w14:paraId="32E94301" w14:textId="77777777" w:rsidR="00EC3C86" w:rsidRPr="00F35716" w:rsidRDefault="00EC3C86" w:rsidP="0026366C">
      <w:pPr>
        <w:pStyle w:val="FootnoteText"/>
        <w:widowControl w:val="0"/>
        <w:tabs>
          <w:tab w:val="clear" w:pos="418"/>
          <w:tab w:val="right" w:pos="1476"/>
          <w:tab w:val="left" w:pos="1548"/>
          <w:tab w:val="right" w:pos="1836"/>
          <w:tab w:val="left" w:pos="1908"/>
        </w:tabs>
        <w:ind w:left="1548" w:right="1065" w:hanging="289"/>
      </w:pPr>
      <w:r w:rsidRPr="00F35716">
        <w:t>(</w:t>
      </w:r>
      <w:r w:rsidRPr="00F35716">
        <w:rPr>
          <w:i/>
        </w:rPr>
        <w:t xml:space="preserve">Fuente: </w:t>
      </w:r>
      <w:r w:rsidRPr="00F35716">
        <w:t>Fiscalía General)</w:t>
      </w:r>
    </w:p>
    <w:p w14:paraId="32E94302" w14:textId="77777777" w:rsidR="0026366C" w:rsidRPr="00F35716" w:rsidRDefault="0026366C" w:rsidP="00265440">
      <w:pPr>
        <w:pStyle w:val="SingleTxt"/>
        <w:spacing w:after="0" w:line="120" w:lineRule="exact"/>
        <w:rPr>
          <w:sz w:val="10"/>
          <w:szCs w:val="20"/>
        </w:rPr>
      </w:pPr>
    </w:p>
    <w:p w14:paraId="32E94303" w14:textId="77777777" w:rsidR="00265440" w:rsidRPr="00F35716" w:rsidRDefault="00265440" w:rsidP="00265440">
      <w:pPr>
        <w:pStyle w:val="SingleTxt"/>
        <w:spacing w:after="0" w:line="120" w:lineRule="exact"/>
        <w:rPr>
          <w:sz w:val="10"/>
          <w:szCs w:val="20"/>
        </w:rPr>
      </w:pPr>
    </w:p>
    <w:p w14:paraId="32E94304" w14:textId="7BCCF427" w:rsidR="00EC3C86" w:rsidRPr="00F35716" w:rsidRDefault="00EC3C86" w:rsidP="00B3192A">
      <w:pPr>
        <w:pStyle w:val="SingleTxt"/>
        <w:numPr>
          <w:ilvl w:val="0"/>
          <w:numId w:val="8"/>
        </w:numPr>
        <w:ind w:left="1267" w:firstLine="0"/>
      </w:pPr>
      <w:r w:rsidRPr="00F35716">
        <w:t xml:space="preserve">Se organizaron campañas de sensibilización sobre la gravedad del delito de trata de personas dirigidas a los jueces y </w:t>
      </w:r>
      <w:r w:rsidR="0092631B" w:rsidRPr="00F35716">
        <w:t>el personal</w:t>
      </w:r>
      <w:r w:rsidRPr="00F35716">
        <w:t xml:space="preserve"> judicial que operan en las unidades de asistencia para mujeres y niños en los tribunales</w:t>
      </w:r>
      <w:r w:rsidR="0092631B" w:rsidRPr="00F35716">
        <w:t>, y</w:t>
      </w:r>
      <w:r w:rsidRPr="00F35716">
        <w:t xml:space="preserve"> se procedió a unificar su marco conceptual, sus mecanismos y sus criterios de intervención para identificar y proteger a las víctimas</w:t>
      </w:r>
      <w:r w:rsidR="0092631B" w:rsidRPr="00F35716">
        <w:t>. S</w:t>
      </w:r>
      <w:r w:rsidRPr="00F35716">
        <w:t xml:space="preserve">e </w:t>
      </w:r>
      <w:r w:rsidR="0092631B" w:rsidRPr="00F35716">
        <w:t xml:space="preserve">desarrolló </w:t>
      </w:r>
      <w:r w:rsidRPr="00F35716">
        <w:t xml:space="preserve">un programa de formación destinado a los jueces en prácticas en cooperación con el </w:t>
      </w:r>
      <w:r w:rsidR="0092631B" w:rsidRPr="00F35716">
        <w:t>ACNUR</w:t>
      </w:r>
      <w:r w:rsidRPr="00F35716">
        <w:t xml:space="preserve">. </w:t>
      </w:r>
      <w:r w:rsidR="0092631B" w:rsidRPr="00F35716">
        <w:t>Existen</w:t>
      </w:r>
      <w:r w:rsidRPr="00F35716">
        <w:t xml:space="preserve"> programas </w:t>
      </w:r>
      <w:r w:rsidR="0092631B" w:rsidRPr="00F35716">
        <w:t xml:space="preserve">que tiene por objeto </w:t>
      </w:r>
      <w:r w:rsidRPr="00F35716">
        <w:t xml:space="preserve">fortalecer la capacidad de los inspectores del trabajo </w:t>
      </w:r>
      <w:r w:rsidR="0092631B" w:rsidRPr="00F35716">
        <w:t>para proteger</w:t>
      </w:r>
      <w:r w:rsidRPr="00F35716">
        <w:t xml:space="preserve"> los derechos básicos de</w:t>
      </w:r>
      <w:r w:rsidR="00C61D23" w:rsidRPr="00F35716">
        <w:t xml:space="preserve"> </w:t>
      </w:r>
      <w:r w:rsidRPr="00F35716">
        <w:t>l</w:t>
      </w:r>
      <w:r w:rsidR="00C61D23" w:rsidRPr="00F35716">
        <w:t>os</w:t>
      </w:r>
      <w:r w:rsidRPr="00F35716">
        <w:t xml:space="preserve"> trabajador</w:t>
      </w:r>
      <w:r w:rsidR="00C61D23" w:rsidRPr="00F35716">
        <w:t>es asalariados</w:t>
      </w:r>
      <w:r w:rsidRPr="00F35716">
        <w:t xml:space="preserve">, </w:t>
      </w:r>
      <w:r w:rsidR="00C61D23" w:rsidRPr="00F35716">
        <w:t>prevenir</w:t>
      </w:r>
      <w:r w:rsidRPr="00F35716">
        <w:t xml:space="preserve"> el trabajo infantil y combatir el trabajo forzoso, la trata de personas y la explotación laboral en cooperación con la Organización Internacional para las Migraciones. </w:t>
      </w:r>
    </w:p>
    <w:p w14:paraId="32E94305" w14:textId="77777777" w:rsidR="00265440" w:rsidRPr="00F35716" w:rsidRDefault="00265440" w:rsidP="00265440">
      <w:pPr>
        <w:pStyle w:val="SingleTxt"/>
        <w:spacing w:after="0" w:line="120" w:lineRule="exact"/>
        <w:rPr>
          <w:sz w:val="10"/>
          <w:szCs w:val="20"/>
        </w:rPr>
      </w:pPr>
    </w:p>
    <w:p w14:paraId="32E94306" w14:textId="77777777" w:rsidR="00265440" w:rsidRPr="00F35716" w:rsidRDefault="00265440" w:rsidP="00265440">
      <w:pPr>
        <w:pStyle w:val="SingleTxt"/>
        <w:spacing w:after="0" w:line="120" w:lineRule="exact"/>
        <w:rPr>
          <w:sz w:val="10"/>
          <w:szCs w:val="20"/>
        </w:rPr>
      </w:pPr>
    </w:p>
    <w:p w14:paraId="32E94307" w14:textId="77777777" w:rsidR="00EC3C86" w:rsidRPr="00F35716" w:rsidRDefault="00167D2E" w:rsidP="000E51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F35716">
        <w:rPr>
          <w:szCs w:val="20"/>
        </w:rPr>
        <w:tab/>
      </w:r>
      <w:r w:rsidRPr="00F35716">
        <w:rPr>
          <w:szCs w:val="20"/>
        </w:rPr>
        <w:tab/>
      </w:r>
      <w:r w:rsidR="00EC3C86" w:rsidRPr="00F35716">
        <w:rPr>
          <w:szCs w:val="20"/>
        </w:rPr>
        <w:t>Parte II</w:t>
      </w:r>
      <w:bookmarkStart w:id="29" w:name="_Toc24015477"/>
      <w:bookmarkStart w:id="30" w:name="_Toc24100784"/>
      <w:bookmarkStart w:id="31" w:name="_Toc24548858"/>
      <w:bookmarkStart w:id="32" w:name="_Toc28165900"/>
    </w:p>
    <w:p w14:paraId="32E94308" w14:textId="77777777" w:rsidR="00265440" w:rsidRPr="00F35716" w:rsidRDefault="00265440" w:rsidP="00265440">
      <w:pPr>
        <w:pStyle w:val="SingleTxt"/>
        <w:spacing w:after="0" w:line="120" w:lineRule="exact"/>
        <w:rPr>
          <w:sz w:val="10"/>
          <w:szCs w:val="20"/>
        </w:rPr>
      </w:pPr>
    </w:p>
    <w:p w14:paraId="32E94309" w14:textId="77777777" w:rsidR="00265440" w:rsidRPr="00F35716" w:rsidRDefault="00265440" w:rsidP="00265440">
      <w:pPr>
        <w:pStyle w:val="SingleTxt"/>
        <w:spacing w:after="0" w:line="120" w:lineRule="exact"/>
        <w:rPr>
          <w:sz w:val="10"/>
          <w:szCs w:val="20"/>
        </w:rPr>
      </w:pPr>
    </w:p>
    <w:p w14:paraId="32E9430A" w14:textId="77777777" w:rsidR="00EC3C86" w:rsidRPr="00F35716" w:rsidRDefault="00DC7516"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Cs w:val="0"/>
          <w:szCs w:val="20"/>
        </w:rPr>
        <w:t>Artículo 7</w:t>
      </w:r>
      <w:bookmarkEnd w:id="29"/>
      <w:bookmarkEnd w:id="30"/>
      <w:bookmarkEnd w:id="31"/>
      <w:bookmarkEnd w:id="32"/>
    </w:p>
    <w:p w14:paraId="32E9430B" w14:textId="77777777" w:rsidR="00265440" w:rsidRPr="00F35716" w:rsidRDefault="00265440" w:rsidP="00265440">
      <w:pPr>
        <w:pStyle w:val="SingleTxt"/>
        <w:spacing w:after="0" w:line="120" w:lineRule="exact"/>
        <w:rPr>
          <w:sz w:val="10"/>
          <w:szCs w:val="20"/>
        </w:rPr>
      </w:pPr>
    </w:p>
    <w:p w14:paraId="32E9430C" w14:textId="24BC0067" w:rsidR="00EC3C86" w:rsidRPr="00F35716" w:rsidRDefault="00EC3C86" w:rsidP="00B3192A">
      <w:pPr>
        <w:pStyle w:val="SingleTxt"/>
        <w:numPr>
          <w:ilvl w:val="0"/>
          <w:numId w:val="8"/>
        </w:numPr>
        <w:ind w:left="1267" w:firstLine="0"/>
      </w:pPr>
      <w:r w:rsidRPr="00F35716">
        <w:t xml:space="preserve">La Constitución </w:t>
      </w:r>
      <w:r w:rsidR="00C61D23" w:rsidRPr="00F35716">
        <w:t>dispone</w:t>
      </w:r>
      <w:r w:rsidRPr="00F35716">
        <w:t xml:space="preserve"> que los hombres </w:t>
      </w:r>
      <w:r w:rsidR="00C61D23" w:rsidRPr="00F35716">
        <w:t xml:space="preserve">y </w:t>
      </w:r>
      <w:r w:rsidRPr="00F35716">
        <w:t>las mujeres disfruta</w:t>
      </w:r>
      <w:r w:rsidR="00C61D23" w:rsidRPr="00F35716">
        <w:t>rá</w:t>
      </w:r>
      <w:r w:rsidRPr="00F35716">
        <w:t>n</w:t>
      </w:r>
      <w:r w:rsidR="006F5E25" w:rsidRPr="00F35716">
        <w:t>, en pie de igualdad,</w:t>
      </w:r>
      <w:r w:rsidRPr="00F35716">
        <w:t xml:space="preserve"> de los mismos derechos y libertades</w:t>
      </w:r>
      <w:r w:rsidR="006F5E25" w:rsidRPr="00F35716">
        <w:t>,</w:t>
      </w:r>
      <w:r w:rsidR="00C61D23" w:rsidRPr="00F35716">
        <w:t xml:space="preserve"> </w:t>
      </w:r>
      <w:r w:rsidRPr="00F35716">
        <w:t>y</w:t>
      </w:r>
      <w:r w:rsidR="00C61D23" w:rsidRPr="00F35716">
        <w:t xml:space="preserve"> garantiza a toda la ciudadanía</w:t>
      </w:r>
      <w:r w:rsidRPr="00F35716">
        <w:t xml:space="preserve"> el derecho al voto, a presentarse a las elecciones y a ejercer sus derechos civiles y políticos. Con el propósito de asegurar la participación igualitaria en la vida política, la legislación contiene disposiciones orientadas a fomentar la igualdad de oportunidades entre los sexos en el acceso a funciones elect</w:t>
      </w:r>
      <w:r w:rsidR="00AB4BB1" w:rsidRPr="00F35716">
        <w:t>ivas</w:t>
      </w:r>
      <w:r w:rsidRPr="00F35716">
        <w:rPr>
          <w:vertAlign w:val="superscript"/>
        </w:rPr>
        <w:footnoteReference w:id="54"/>
      </w:r>
      <w:r w:rsidRPr="00F35716">
        <w:t>, así como a mejorar la representación de las mujeres en los consejos de l</w:t>
      </w:r>
      <w:r w:rsidR="00C61D23" w:rsidRPr="00F35716">
        <w:t>o</w:t>
      </w:r>
      <w:r w:rsidRPr="00F35716">
        <w:t xml:space="preserve">s </w:t>
      </w:r>
      <w:r w:rsidR="00C61D23" w:rsidRPr="00F35716">
        <w:t>gobiernos locales</w:t>
      </w:r>
      <w:r w:rsidRPr="00F35716">
        <w:rPr>
          <w:vertAlign w:val="superscript"/>
        </w:rPr>
        <w:footnoteReference w:id="55"/>
      </w:r>
      <w:r w:rsidRPr="00F35716">
        <w:t xml:space="preserve">. </w:t>
      </w:r>
    </w:p>
    <w:p w14:paraId="32E9430D" w14:textId="52363FA0" w:rsidR="00EC3C86" w:rsidRPr="00F35716" w:rsidRDefault="00A626D2" w:rsidP="00B3192A">
      <w:pPr>
        <w:pStyle w:val="SingleTxt"/>
        <w:numPr>
          <w:ilvl w:val="0"/>
          <w:numId w:val="8"/>
        </w:numPr>
        <w:ind w:left="1267" w:firstLine="0"/>
      </w:pPr>
      <w:r w:rsidRPr="00F35716">
        <w:lastRenderedPageBreak/>
        <w:t>Con respecto al párrafo 25 de las observaciones finales,</w:t>
      </w:r>
      <w:r w:rsidR="00EC3C86" w:rsidRPr="00F35716">
        <w:t xml:space="preserve"> el Reino de Marruecos ha trabajado para fortalecer la representación política de las mujeres a nivel nacional y local. </w:t>
      </w:r>
      <w:r w:rsidR="00AB4BB1" w:rsidRPr="00F35716">
        <w:t>H</w:t>
      </w:r>
      <w:r w:rsidR="00EC3C86" w:rsidRPr="00F35716">
        <w:t>a introducido nuevas disposiciones jurídicas en las leyes orgánicas relacionadas con la</w:t>
      </w:r>
      <w:r w:rsidR="00AB4BB1" w:rsidRPr="00F35716">
        <w:t>s</w:t>
      </w:r>
      <w:r w:rsidR="00EC3C86" w:rsidRPr="00F35716">
        <w:t xml:space="preserve"> elecci</w:t>
      </w:r>
      <w:r w:rsidR="00AB4BB1" w:rsidRPr="00F35716">
        <w:t>o</w:t>
      </w:r>
      <w:r w:rsidR="00EC3C86" w:rsidRPr="00F35716">
        <w:t>n</w:t>
      </w:r>
      <w:r w:rsidR="00AB4BB1" w:rsidRPr="00F35716">
        <w:t>es</w:t>
      </w:r>
      <w:r w:rsidR="00EC3C86" w:rsidRPr="00F35716">
        <w:t xml:space="preserve"> </w:t>
      </w:r>
      <w:r w:rsidR="00AB4BB1" w:rsidRPr="00F35716">
        <w:t>parlamentari</w:t>
      </w:r>
      <w:r w:rsidR="00E04B03" w:rsidRPr="00F35716">
        <w:t>a</w:t>
      </w:r>
      <w:r w:rsidR="00AB4BB1" w:rsidRPr="00F35716">
        <w:t>s y a los gobiernos locales y con</w:t>
      </w:r>
      <w:r w:rsidR="00EC3C86" w:rsidRPr="00F35716">
        <w:t xml:space="preserve"> los partidos políticos.</w:t>
      </w:r>
    </w:p>
    <w:p w14:paraId="32E9430E" w14:textId="06C7EBE6" w:rsidR="00EC3C86" w:rsidRPr="00F35716" w:rsidRDefault="00EC3C86" w:rsidP="00B3192A">
      <w:pPr>
        <w:pStyle w:val="SingleTxt"/>
        <w:numPr>
          <w:ilvl w:val="0"/>
          <w:numId w:val="8"/>
        </w:numPr>
        <w:ind w:left="1267" w:firstLine="0"/>
      </w:pPr>
      <w:r w:rsidRPr="00F35716">
        <w:t>La Ley Orgánica núm. 27</w:t>
      </w:r>
      <w:r w:rsidR="00AB4BB1" w:rsidRPr="00F35716">
        <w:t>-</w:t>
      </w:r>
      <w:r w:rsidRPr="00F35716">
        <w:t>11</w:t>
      </w:r>
      <w:r w:rsidR="00AB4BB1" w:rsidRPr="00F35716">
        <w:t>, de 2011,</w:t>
      </w:r>
      <w:r w:rsidRPr="00F35716">
        <w:t xml:space="preserve"> relativa a</w:t>
      </w:r>
      <w:r w:rsidR="00AB4BB1" w:rsidRPr="00F35716">
        <w:t xml:space="preserve"> </w:t>
      </w:r>
      <w:r w:rsidRPr="00F35716">
        <w:t>l</w:t>
      </w:r>
      <w:r w:rsidR="00AB4BB1" w:rsidRPr="00F35716">
        <w:t>a Cámara de Representantes</w:t>
      </w:r>
      <w:r w:rsidR="00A46E56" w:rsidRPr="00F35716">
        <w:t>,</w:t>
      </w:r>
      <w:r w:rsidRPr="00F35716">
        <w:t xml:space="preserve"> creó una circunscripción electoral nacional </w:t>
      </w:r>
      <w:r w:rsidR="00AB4BB1" w:rsidRPr="00F35716">
        <w:t>de</w:t>
      </w:r>
      <w:r w:rsidRPr="00F35716">
        <w:t xml:space="preserve"> 90 escaños: 60 para mujeres y 30 para jóvenes. Esto aumentó </w:t>
      </w:r>
      <w:r w:rsidR="00AB4BB1" w:rsidRPr="00F35716">
        <w:t>la</w:t>
      </w:r>
      <w:r w:rsidRPr="00F35716">
        <w:t xml:space="preserve"> representación femenina del 10</w:t>
      </w:r>
      <w:r w:rsidR="0006736D" w:rsidRPr="00F35716">
        <w:t> %</w:t>
      </w:r>
      <w:r w:rsidRPr="00F35716">
        <w:t xml:space="preserve"> (34 </w:t>
      </w:r>
      <w:r w:rsidR="00AB4BB1" w:rsidRPr="00F35716">
        <w:t>representantes</w:t>
      </w:r>
      <w:r w:rsidRPr="00F35716">
        <w:t>) en 2007 al 17</w:t>
      </w:r>
      <w:r w:rsidR="0006736D" w:rsidRPr="00F35716">
        <w:t> %</w:t>
      </w:r>
      <w:r w:rsidRPr="00F35716">
        <w:t xml:space="preserve"> (67 diputadas) en 2011.</w:t>
      </w:r>
    </w:p>
    <w:p w14:paraId="32E9430F" w14:textId="31DB583B" w:rsidR="00EC3C86" w:rsidRPr="00F35716" w:rsidRDefault="00AB4BB1" w:rsidP="00B3192A">
      <w:pPr>
        <w:pStyle w:val="SingleTxt"/>
        <w:numPr>
          <w:ilvl w:val="0"/>
          <w:numId w:val="8"/>
        </w:numPr>
        <w:ind w:left="1267" w:firstLine="0"/>
      </w:pPr>
      <w:r w:rsidRPr="00F35716">
        <w:t>Durante</w:t>
      </w:r>
      <w:r w:rsidR="00EC3C86" w:rsidRPr="00F35716">
        <w:t xml:space="preserve"> las elecciones legislativas de 2016, y de acuerdo con la Ley </w:t>
      </w:r>
      <w:r w:rsidR="00B1059E" w:rsidRPr="00F35716">
        <w:t xml:space="preserve">Orgánica </w:t>
      </w:r>
      <w:r w:rsidR="00EC3C86" w:rsidRPr="00F35716">
        <w:t xml:space="preserve">núm. </w:t>
      </w:r>
      <w:r w:rsidRPr="00F35716">
        <w:t>20-</w:t>
      </w:r>
      <w:r w:rsidR="00EC3C86" w:rsidRPr="00F35716">
        <w:t>16, se abrió el período de presentación de candidaturas con la elaboración de la segunda parte de la lista de candidatos para el distrito nacional electoral, que reserva</w:t>
      </w:r>
      <w:r w:rsidR="00B1059E" w:rsidRPr="00F35716">
        <w:t>ba</w:t>
      </w:r>
      <w:r w:rsidR="00EC3C86" w:rsidRPr="00F35716">
        <w:t xml:space="preserve"> 30 escaños exclusivamente para jóvenes, </w:t>
      </w:r>
      <w:r w:rsidR="00B1059E" w:rsidRPr="00F35716">
        <w:t>incluidas mujeres</w:t>
      </w:r>
      <w:r w:rsidR="00EC3C86" w:rsidRPr="00F35716">
        <w:t>, lo que contribuyó a lograr una representación femenina de alrededor del 21</w:t>
      </w:r>
      <w:r w:rsidR="0006736D" w:rsidRPr="00F35716">
        <w:t> %</w:t>
      </w:r>
      <w:r w:rsidR="00EC3C86" w:rsidRPr="00F35716">
        <w:t xml:space="preserve"> (81 diputadas)</w:t>
      </w:r>
      <w:r w:rsidR="00DA7DD8" w:rsidRPr="00F35716">
        <w:rPr>
          <w:rStyle w:val="FootnoteReference"/>
        </w:rPr>
        <w:footnoteReference w:id="56"/>
      </w:r>
      <w:r w:rsidR="00EC3C86" w:rsidRPr="00F35716">
        <w:t>.</w:t>
      </w:r>
    </w:p>
    <w:p w14:paraId="32E94310" w14:textId="00BD527D" w:rsidR="00EC3C86" w:rsidRPr="00F35716" w:rsidRDefault="00EC3C86" w:rsidP="00B3192A">
      <w:pPr>
        <w:pStyle w:val="SingleTxt"/>
        <w:numPr>
          <w:ilvl w:val="0"/>
          <w:numId w:val="8"/>
        </w:numPr>
        <w:ind w:left="1267" w:firstLine="0"/>
      </w:pPr>
      <w:r w:rsidRPr="00F35716">
        <w:t>La Ley Orgánica núm. 28</w:t>
      </w:r>
      <w:r w:rsidR="00B1059E" w:rsidRPr="00F35716">
        <w:t>-11</w:t>
      </w:r>
      <w:r w:rsidRPr="00F35716">
        <w:t xml:space="preserve"> relativa a la Cámara de Consejeros</w:t>
      </w:r>
      <w:r w:rsidR="00B1059E" w:rsidRPr="00F35716">
        <w:rPr>
          <w:vertAlign w:val="superscript"/>
        </w:rPr>
        <w:footnoteReference w:id="57"/>
      </w:r>
      <w:r w:rsidRPr="00F35716">
        <w:t xml:space="preserve"> </w:t>
      </w:r>
      <w:r w:rsidR="00B1059E" w:rsidRPr="00F35716">
        <w:t>introdujo</w:t>
      </w:r>
      <w:r w:rsidRPr="00F35716">
        <w:t xml:space="preserve"> el principio de rotación de género en relación con las listas de candidaturas presentadas en los órganos electorales, que están representados en dicha </w:t>
      </w:r>
      <w:r w:rsidR="00B1059E" w:rsidRPr="00F35716">
        <w:t>C</w:t>
      </w:r>
      <w:r w:rsidRPr="00F35716">
        <w:t xml:space="preserve">ámara en el caso de </w:t>
      </w:r>
      <w:r w:rsidR="009F5F16" w:rsidRPr="00F35716">
        <w:t xml:space="preserve">las </w:t>
      </w:r>
      <w:r w:rsidRPr="00F35716">
        <w:t>elecciones a través de lista</w:t>
      </w:r>
      <w:r w:rsidR="00B1059E" w:rsidRPr="00F35716">
        <w:t>s</w:t>
      </w:r>
      <w:r w:rsidRPr="00F35716">
        <w:t>. Gracias a ello, las mujeres obtuvieron 14 escaños de 120 (el 11,67</w:t>
      </w:r>
      <w:r w:rsidR="0006736D" w:rsidRPr="00F35716">
        <w:t> %</w:t>
      </w:r>
      <w:r w:rsidRPr="00F35716">
        <w:t xml:space="preserve">) en las elecciones de 2015, </w:t>
      </w:r>
      <w:r w:rsidR="00B1059E" w:rsidRPr="00F35716">
        <w:t>frente a</w:t>
      </w:r>
      <w:r w:rsidRPr="00F35716">
        <w:t xml:space="preserve"> los 6</w:t>
      </w:r>
      <w:r w:rsidR="00610348" w:rsidRPr="00F35716">
        <w:t> </w:t>
      </w:r>
      <w:r w:rsidRPr="00F35716">
        <w:t>escaños de 270 (el 2,2</w:t>
      </w:r>
      <w:r w:rsidR="0006736D" w:rsidRPr="00F35716">
        <w:t> %</w:t>
      </w:r>
      <w:r w:rsidRPr="00F35716">
        <w:t xml:space="preserve">) que consiguieron en la </w:t>
      </w:r>
      <w:r w:rsidR="00B1059E" w:rsidRPr="00F35716">
        <w:t>composición anterior de dicha Cámara</w:t>
      </w:r>
      <w:r w:rsidRPr="00F35716">
        <w:t>.</w:t>
      </w:r>
    </w:p>
    <w:p w14:paraId="32E94311" w14:textId="3C766B54" w:rsidR="00EC3C86" w:rsidRPr="00F35716" w:rsidRDefault="00EC3C86" w:rsidP="00B3192A">
      <w:pPr>
        <w:pStyle w:val="SingleTxt"/>
        <w:numPr>
          <w:ilvl w:val="0"/>
          <w:numId w:val="8"/>
        </w:numPr>
        <w:ind w:left="1267" w:firstLine="0"/>
      </w:pPr>
      <w:r w:rsidRPr="00F35716">
        <w:t>La Ley Orgánica núm. 59</w:t>
      </w:r>
      <w:r w:rsidR="00B1059E" w:rsidRPr="00F35716">
        <w:t>-11</w:t>
      </w:r>
      <w:r w:rsidRPr="00F35716">
        <w:t xml:space="preserve"> </w:t>
      </w:r>
      <w:r w:rsidR="005D6C02" w:rsidRPr="00F35716">
        <w:t xml:space="preserve">relativa a </w:t>
      </w:r>
      <w:r w:rsidRPr="00F35716">
        <w:t xml:space="preserve">la Elección de </w:t>
      </w:r>
      <w:r w:rsidR="005D6C02" w:rsidRPr="00F35716">
        <w:t xml:space="preserve">los </w:t>
      </w:r>
      <w:r w:rsidRPr="00F35716">
        <w:t xml:space="preserve">Miembros de los Consejos de </w:t>
      </w:r>
      <w:r w:rsidR="005D6C02" w:rsidRPr="00F35716">
        <w:t>los Gobiernos Locales</w:t>
      </w:r>
      <w:r w:rsidRPr="00F35716">
        <w:t xml:space="preserve"> </w:t>
      </w:r>
      <w:r w:rsidR="00984800" w:rsidRPr="00F35716">
        <w:t xml:space="preserve">estableció </w:t>
      </w:r>
      <w:r w:rsidRPr="00F35716">
        <w:t xml:space="preserve">dos mecanismos para </w:t>
      </w:r>
      <w:r w:rsidR="00984800" w:rsidRPr="00F35716">
        <w:t xml:space="preserve">aumentar </w:t>
      </w:r>
      <w:r w:rsidRPr="00F35716">
        <w:t>la representación de las mujeres</w:t>
      </w:r>
      <w:r w:rsidRPr="00F35716">
        <w:rPr>
          <w:vertAlign w:val="superscript"/>
        </w:rPr>
        <w:footnoteReference w:id="58"/>
      </w:r>
      <w:r w:rsidRPr="00F35716">
        <w:t xml:space="preserve">. El primero se </w:t>
      </w:r>
      <w:r w:rsidR="00984800" w:rsidRPr="00F35716">
        <w:t xml:space="preserve">aplica </w:t>
      </w:r>
      <w:r w:rsidRPr="00F35716">
        <w:t xml:space="preserve">a los consejos regionales, </w:t>
      </w:r>
      <w:r w:rsidR="00E12F97" w:rsidRPr="00F35716">
        <w:t>y</w:t>
      </w:r>
      <w:r w:rsidRPr="00F35716">
        <w:t xml:space="preserve"> reserva al menos un tercio de los escaños en cada región o</w:t>
      </w:r>
      <w:r w:rsidR="00E12F97" w:rsidRPr="00F35716">
        <w:t xml:space="preserve"> distrito</w:t>
      </w:r>
      <w:r w:rsidRPr="00F35716">
        <w:t xml:space="preserve"> para mujeres. El segundo se refiere a los consejos </w:t>
      </w:r>
      <w:r w:rsidR="00E12F97" w:rsidRPr="00F35716">
        <w:t>de los gobiernos locales.</w:t>
      </w:r>
      <w:r w:rsidRPr="00F35716">
        <w:t xml:space="preserve"> </w:t>
      </w:r>
      <w:r w:rsidR="00E12F97" w:rsidRPr="00F35716">
        <w:t>E</w:t>
      </w:r>
      <w:r w:rsidRPr="00F35716">
        <w:t>n 2015 la Ley Orgánica núm. 34</w:t>
      </w:r>
      <w:r w:rsidR="00E12F97" w:rsidRPr="00F35716">
        <w:t>-</w:t>
      </w:r>
      <w:r w:rsidRPr="00F35716">
        <w:t>15</w:t>
      </w:r>
      <w:r w:rsidR="00DA7DD8" w:rsidRPr="00F35716">
        <w:rPr>
          <w:rStyle w:val="FootnoteReference"/>
        </w:rPr>
        <w:footnoteReference w:id="59"/>
      </w:r>
      <w:r w:rsidRPr="00F35716">
        <w:t xml:space="preserve"> incluyó nuevas disposiciones </w:t>
      </w:r>
      <w:r w:rsidR="00E12F97" w:rsidRPr="00F35716">
        <w:t>que reservan</w:t>
      </w:r>
      <w:r w:rsidRPr="00F35716">
        <w:t xml:space="preserve"> al menos cuatro escaños del consejo de cada </w:t>
      </w:r>
      <w:r w:rsidR="00E12F97" w:rsidRPr="00F35716">
        <w:t>gobierno local o distrito</w:t>
      </w:r>
      <w:r w:rsidRPr="00F35716">
        <w:t xml:space="preserve"> a mujeres, cifra que </w:t>
      </w:r>
      <w:r w:rsidR="00E12F97" w:rsidRPr="00F35716">
        <w:t xml:space="preserve">puede </w:t>
      </w:r>
      <w:r w:rsidRPr="00F35716">
        <w:t>aumentar en función del número total de escaños.</w:t>
      </w:r>
    </w:p>
    <w:p w14:paraId="32E94312" w14:textId="77766FA5" w:rsidR="00EC3C86" w:rsidRPr="00F35716" w:rsidRDefault="00EC3C86" w:rsidP="00B3192A">
      <w:pPr>
        <w:pStyle w:val="SingleTxt"/>
        <w:numPr>
          <w:ilvl w:val="0"/>
          <w:numId w:val="8"/>
        </w:numPr>
        <w:ind w:left="1267" w:firstLine="0"/>
      </w:pPr>
      <w:r w:rsidRPr="00F35716">
        <w:t xml:space="preserve">Se han tomado medidas </w:t>
      </w:r>
      <w:r w:rsidR="00E12F97" w:rsidRPr="00F35716">
        <w:t xml:space="preserve">reglamentarias </w:t>
      </w:r>
      <w:r w:rsidRPr="00F35716">
        <w:t xml:space="preserve">para </w:t>
      </w:r>
      <w:r w:rsidR="002C2496" w:rsidRPr="00F35716">
        <w:t>ofrecer</w:t>
      </w:r>
      <w:r w:rsidR="007B4800" w:rsidRPr="00F35716">
        <w:t xml:space="preserve"> </w:t>
      </w:r>
      <w:r w:rsidRPr="00F35716">
        <w:t>a los partidos políticos incentivos financieros por los escaños que obtengan las candidatas afiliadas a ellos</w:t>
      </w:r>
      <w:r w:rsidR="00F036E0" w:rsidRPr="00F35716">
        <w:t> </w:t>
      </w:r>
      <w:r w:rsidRPr="00F35716">
        <w:t xml:space="preserve">en las elecciones </w:t>
      </w:r>
      <w:r w:rsidR="00E12F97" w:rsidRPr="00F35716">
        <w:t xml:space="preserve">legislativas, locales </w:t>
      </w:r>
      <w:r w:rsidRPr="00F35716">
        <w:t>y regionales teniendo en cuenta las circunscripciones o los escaños que no estén reservados en exclusiva para mujeres.</w:t>
      </w:r>
    </w:p>
    <w:p w14:paraId="32E94313" w14:textId="319A8B74" w:rsidR="00EC3C86" w:rsidRPr="00F35716" w:rsidRDefault="00EC3C86" w:rsidP="00B3192A">
      <w:pPr>
        <w:pStyle w:val="SingleTxt"/>
        <w:numPr>
          <w:ilvl w:val="0"/>
          <w:numId w:val="8"/>
        </w:numPr>
        <w:ind w:left="1267" w:firstLine="0"/>
      </w:pPr>
      <w:r w:rsidRPr="00F35716">
        <w:t xml:space="preserve">En 2013 y 2014 se </w:t>
      </w:r>
      <w:r w:rsidR="007B4800" w:rsidRPr="00F35716">
        <w:t>introdujeron modificaciones en</w:t>
      </w:r>
      <w:r w:rsidRPr="00F35716">
        <w:t xml:space="preserve"> </w:t>
      </w:r>
      <w:r w:rsidR="007B4800" w:rsidRPr="00F35716">
        <w:t>e</w:t>
      </w:r>
      <w:r w:rsidRPr="00F35716">
        <w:t xml:space="preserve">l marco organizativo del Fondo de Apoyo </w:t>
      </w:r>
      <w:r w:rsidR="007B4800" w:rsidRPr="00F35716">
        <w:t>a la Representación de las Mujeres</w:t>
      </w:r>
      <w:r w:rsidRPr="00F35716">
        <w:t xml:space="preserve"> para </w:t>
      </w:r>
      <w:r w:rsidR="007B4800" w:rsidRPr="00F35716">
        <w:t xml:space="preserve">aumentar </w:t>
      </w:r>
      <w:r w:rsidRPr="00F35716">
        <w:t>su ef</w:t>
      </w:r>
      <w:r w:rsidR="007B4800" w:rsidRPr="00F35716">
        <w:t>icacia</w:t>
      </w:r>
      <w:r w:rsidRPr="00F35716">
        <w:t xml:space="preserve"> y eficiencia en su ámbito de actuación. Tras las elecciones legislativas de 2016, en junio de 2017 se nombró a los nuevos miembros del comité encargado de a</w:t>
      </w:r>
      <w:r w:rsidR="007B4800" w:rsidRPr="00F35716">
        <w:t>dministrar</w:t>
      </w:r>
      <w:r w:rsidRPr="00F35716">
        <w:t xml:space="preserve"> el Fondo de Apoyo de conformidad con las disposiciones reglamentari</w:t>
      </w:r>
      <w:r w:rsidR="007B4800" w:rsidRPr="00F35716">
        <w:t>a</w:t>
      </w:r>
      <w:r w:rsidRPr="00F35716">
        <w:t xml:space="preserve">s vigentes. Desde su </w:t>
      </w:r>
      <w:r w:rsidR="007B4800" w:rsidRPr="00F35716">
        <w:t>creación</w:t>
      </w:r>
      <w:r w:rsidRPr="00F35716">
        <w:t>, el Fondo ha contribuido a financiar 354 proyectos en varias regiones del Reino, por valor de 53 millones de dírhams, y ha elaborado seis solicitudes de proyectos.</w:t>
      </w:r>
    </w:p>
    <w:p w14:paraId="32E94314" w14:textId="5A085C83" w:rsidR="00EC3C86" w:rsidRPr="00F35716" w:rsidRDefault="00EC3C86" w:rsidP="00B3192A">
      <w:pPr>
        <w:pStyle w:val="SingleTxt"/>
        <w:numPr>
          <w:ilvl w:val="0"/>
          <w:numId w:val="8"/>
        </w:numPr>
        <w:ind w:left="1267" w:firstLine="0"/>
      </w:pPr>
      <w:r w:rsidRPr="00F35716">
        <w:t xml:space="preserve">La participación de las mujeres en la vida política ha progresado notablemente desde la adopción </w:t>
      </w:r>
      <w:r w:rsidR="00010695" w:rsidRPr="00F35716">
        <w:t>de</w:t>
      </w:r>
      <w:r w:rsidRPr="00F35716">
        <w:t xml:space="preserve"> lista</w:t>
      </w:r>
      <w:r w:rsidR="00010695" w:rsidRPr="00F35716">
        <w:t>s</w:t>
      </w:r>
      <w:r w:rsidRPr="00F35716">
        <w:t xml:space="preserve"> proporcional</w:t>
      </w:r>
      <w:r w:rsidR="00010695" w:rsidRPr="00F35716">
        <w:t>es para las elecciones nacionales y otras elecciones</w:t>
      </w:r>
      <w:r w:rsidRPr="00F35716">
        <w:t xml:space="preserve"> </w:t>
      </w:r>
      <w:r w:rsidR="00010695" w:rsidRPr="00F35716">
        <w:t>con cuotas de participación femenina</w:t>
      </w:r>
      <w:r w:rsidRPr="00F35716">
        <w:t xml:space="preserve"> por acuerdo entre los partidos políticos durante las elecciones legislativas de 2002</w:t>
      </w:r>
      <w:r w:rsidR="007B4800" w:rsidRPr="00F35716">
        <w:t>. Ello</w:t>
      </w:r>
      <w:r w:rsidRPr="00F35716">
        <w:t xml:space="preserve"> permitió la incorporación de 35 diputadas a la</w:t>
      </w:r>
      <w:r w:rsidR="004A57AD" w:rsidRPr="00F35716">
        <w:t xml:space="preserve"> </w:t>
      </w:r>
      <w:r w:rsidRPr="00F35716">
        <w:t>Cámara de Representantes en 2007 y de 67 diputadas en 2011 (el 17</w:t>
      </w:r>
      <w:r w:rsidR="0006736D" w:rsidRPr="00F35716">
        <w:t> %</w:t>
      </w:r>
      <w:r w:rsidRPr="00F35716">
        <w:t>). El</w:t>
      </w:r>
      <w:r w:rsidR="00C401F5" w:rsidRPr="00F35716">
        <w:t> </w:t>
      </w:r>
      <w:r w:rsidRPr="00F35716">
        <w:t xml:space="preserve">porcentaje de mujeres elegidas </w:t>
      </w:r>
      <w:r w:rsidR="007B4800" w:rsidRPr="00F35716">
        <w:t>a la Cámara de Representantes</w:t>
      </w:r>
      <w:r w:rsidRPr="00F35716">
        <w:t xml:space="preserve"> en las </w:t>
      </w:r>
      <w:r w:rsidRPr="00F35716">
        <w:lastRenderedPageBreak/>
        <w:t xml:space="preserve">elecciones legislativas de octubre de 2016 aumentó </w:t>
      </w:r>
      <w:r w:rsidR="007B4800" w:rsidRPr="00F35716">
        <w:t>al</w:t>
      </w:r>
      <w:r w:rsidRPr="00F35716">
        <w:t xml:space="preserve"> 20,5</w:t>
      </w:r>
      <w:r w:rsidR="0006736D" w:rsidRPr="00F35716">
        <w:t> %</w:t>
      </w:r>
      <w:r w:rsidRPr="00F35716">
        <w:t xml:space="preserve">, lo que equivale a 81 mujeres. </w:t>
      </w:r>
      <w:r w:rsidR="007B4800" w:rsidRPr="00F35716">
        <w:t>Además, s</w:t>
      </w:r>
      <w:r w:rsidRPr="00F35716">
        <w:t xml:space="preserve">us </w:t>
      </w:r>
      <w:r w:rsidR="007B4800" w:rsidRPr="00F35716">
        <w:t>funciones</w:t>
      </w:r>
      <w:r w:rsidRPr="00F35716">
        <w:t xml:space="preserve"> en la</w:t>
      </w:r>
      <w:r w:rsidR="007B4800" w:rsidRPr="00F35716">
        <w:t>s</w:t>
      </w:r>
      <w:r w:rsidRPr="00F35716">
        <w:t xml:space="preserve"> instituci</w:t>
      </w:r>
      <w:r w:rsidR="007B4800" w:rsidRPr="00F35716">
        <w:t>o</w:t>
      </w:r>
      <w:r w:rsidRPr="00F35716">
        <w:t>n</w:t>
      </w:r>
      <w:r w:rsidR="007B4800" w:rsidRPr="00F35716">
        <w:t>es</w:t>
      </w:r>
      <w:r w:rsidRPr="00F35716">
        <w:t xml:space="preserve"> legislativa</w:t>
      </w:r>
      <w:r w:rsidR="007B4800" w:rsidRPr="00F35716">
        <w:t>s</w:t>
      </w:r>
      <w:r w:rsidRPr="00F35716">
        <w:t xml:space="preserve"> se fortalecieron a través de sus cargos como presidentas de</w:t>
      </w:r>
      <w:r w:rsidR="00010695" w:rsidRPr="00F35716">
        <w:t xml:space="preserve"> paneles y de</w:t>
      </w:r>
      <w:r w:rsidRPr="00F35716">
        <w:t xml:space="preserve"> comité</w:t>
      </w:r>
      <w:r w:rsidR="00010695" w:rsidRPr="00F35716">
        <w:t>s</w:t>
      </w:r>
      <w:r w:rsidRPr="00F35716">
        <w:t xml:space="preserve"> y miembros de la Mesa de</w:t>
      </w:r>
      <w:r w:rsidR="00010695" w:rsidRPr="00F35716">
        <w:t xml:space="preserve"> </w:t>
      </w:r>
      <w:r w:rsidRPr="00F35716">
        <w:t>l</w:t>
      </w:r>
      <w:r w:rsidR="00010695" w:rsidRPr="00F35716">
        <w:t xml:space="preserve">a </w:t>
      </w:r>
      <w:r w:rsidR="002C2496" w:rsidRPr="00F35716">
        <w:t>C</w:t>
      </w:r>
      <w:r w:rsidR="00010695" w:rsidRPr="00F35716">
        <w:t>ámara</w:t>
      </w:r>
      <w:r w:rsidRPr="00F35716">
        <w:t xml:space="preserve">. </w:t>
      </w:r>
    </w:p>
    <w:p w14:paraId="32E94315" w14:textId="7B15ADDE" w:rsidR="00EC3C86" w:rsidRPr="00F35716" w:rsidRDefault="00EC3C86" w:rsidP="00B3192A">
      <w:pPr>
        <w:pStyle w:val="SingleTxt"/>
        <w:numPr>
          <w:ilvl w:val="0"/>
          <w:numId w:val="8"/>
        </w:numPr>
        <w:ind w:left="1267" w:firstLine="0"/>
      </w:pPr>
      <w:r w:rsidRPr="00F35716">
        <w:t xml:space="preserve">En las elecciones </w:t>
      </w:r>
      <w:r w:rsidR="00010695" w:rsidRPr="00F35716">
        <w:t>a los gobiernos locales</w:t>
      </w:r>
      <w:r w:rsidRPr="00F35716">
        <w:t xml:space="preserve"> de 2009 </w:t>
      </w:r>
      <w:r w:rsidR="00010695" w:rsidRPr="00F35716">
        <w:t xml:space="preserve">se presentaron como candidatas </w:t>
      </w:r>
      <w:r w:rsidRPr="00F35716">
        <w:t xml:space="preserve">20.326 mujeres. De ellas, 3.424 resultaron elegidas como consejeras </w:t>
      </w:r>
      <w:r w:rsidR="00010695" w:rsidRPr="00F35716">
        <w:t>de gobiernos locales</w:t>
      </w:r>
      <w:r w:rsidRPr="00F35716">
        <w:t xml:space="preserve">, lo que multiplica por 27 el número de consejeras </w:t>
      </w:r>
      <w:r w:rsidR="00010695" w:rsidRPr="00F35716">
        <w:t>locales</w:t>
      </w:r>
      <w:r w:rsidRPr="00F35716">
        <w:t xml:space="preserve"> resultantes de las elecciones de 2003. </w:t>
      </w:r>
      <w:r w:rsidR="00010695" w:rsidRPr="00F35716">
        <w:t>Las mujeres encabezan</w:t>
      </w:r>
      <w:r w:rsidRPr="00F35716">
        <w:t xml:space="preserve"> 12 </w:t>
      </w:r>
      <w:r w:rsidR="00010695" w:rsidRPr="00F35716">
        <w:t>gobiernos locales</w:t>
      </w:r>
      <w:r w:rsidRPr="00F35716">
        <w:t>, el 17</w:t>
      </w:r>
      <w:r w:rsidR="0006736D" w:rsidRPr="00F35716">
        <w:t> %</w:t>
      </w:r>
      <w:r w:rsidRPr="00F35716">
        <w:t xml:space="preserve"> en zonas urbanas y el 83</w:t>
      </w:r>
      <w:r w:rsidR="0006736D" w:rsidRPr="00F35716">
        <w:t> %</w:t>
      </w:r>
      <w:r w:rsidRPr="00F35716">
        <w:t xml:space="preserve"> en </w:t>
      </w:r>
      <w:r w:rsidR="00010695" w:rsidRPr="00F35716">
        <w:t>zonas rurales</w:t>
      </w:r>
      <w:r w:rsidRPr="00F35716">
        <w:t>. El 71</w:t>
      </w:r>
      <w:r w:rsidR="0006736D" w:rsidRPr="00F35716">
        <w:t> %</w:t>
      </w:r>
      <w:r w:rsidRPr="00F35716">
        <w:t xml:space="preserve"> </w:t>
      </w:r>
      <w:r w:rsidR="00010695" w:rsidRPr="00F35716">
        <w:t>posee</w:t>
      </w:r>
      <w:r w:rsidRPr="00F35716">
        <w:t xml:space="preserve"> un nivel de educación secundaria o superior</w:t>
      </w:r>
      <w:r w:rsidRPr="00F35716">
        <w:rPr>
          <w:vertAlign w:val="superscript"/>
        </w:rPr>
        <w:footnoteReference w:id="60"/>
      </w:r>
      <w:r w:rsidRPr="00F35716">
        <w:t>.</w:t>
      </w:r>
    </w:p>
    <w:p w14:paraId="32E94316" w14:textId="1036CCEE" w:rsidR="00EC3C86" w:rsidRPr="00F35716" w:rsidRDefault="00EC3C86" w:rsidP="00B3192A">
      <w:pPr>
        <w:pStyle w:val="SingleTxt"/>
        <w:numPr>
          <w:ilvl w:val="0"/>
          <w:numId w:val="8"/>
        </w:numPr>
        <w:ind w:left="1267" w:firstLine="0"/>
      </w:pPr>
      <w:r w:rsidRPr="00F35716">
        <w:t xml:space="preserve">En las elecciones </w:t>
      </w:r>
      <w:r w:rsidR="00010695" w:rsidRPr="00F35716">
        <w:t>loc</w:t>
      </w:r>
      <w:r w:rsidRPr="00F35716">
        <w:t>ales y regionales de 2015, el 21,94</w:t>
      </w:r>
      <w:r w:rsidR="0006736D" w:rsidRPr="00F35716">
        <w:t> %</w:t>
      </w:r>
      <w:r w:rsidRPr="00F35716">
        <w:t xml:space="preserve"> de las candidaturas para las elecciones </w:t>
      </w:r>
      <w:r w:rsidR="00BB3635" w:rsidRPr="00F35716">
        <w:t>a los gobiernos locales</w:t>
      </w:r>
      <w:r w:rsidRPr="00F35716">
        <w:t xml:space="preserve"> y el 38,64</w:t>
      </w:r>
      <w:r w:rsidR="00610348" w:rsidRPr="00F35716">
        <w:t> </w:t>
      </w:r>
      <w:r w:rsidRPr="00F35716">
        <w:t xml:space="preserve">% para las elecciones regionales correspondieron a mujeres. </w:t>
      </w:r>
    </w:p>
    <w:p w14:paraId="32E94317" w14:textId="77777777" w:rsidR="00FD6650" w:rsidRPr="00F35716" w:rsidRDefault="00FD6650" w:rsidP="00876129">
      <w:pPr>
        <w:pStyle w:val="SingleTxt"/>
        <w:spacing w:after="0" w:line="120" w:lineRule="exact"/>
        <w:rPr>
          <w:sz w:val="10"/>
          <w:szCs w:val="20"/>
        </w:rPr>
      </w:pPr>
    </w:p>
    <w:tbl>
      <w:tblPr>
        <w:tblW w:w="7611"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3"/>
        <w:gridCol w:w="144"/>
      </w:tblGrid>
      <w:tr w:rsidR="00FD6650" w:rsidRPr="00F35716" w14:paraId="32E9431C" w14:textId="77777777" w:rsidTr="00F22F4A">
        <w:trPr>
          <w:trHeight w:hRule="exact" w:val="115"/>
        </w:trPr>
        <w:tc>
          <w:tcPr>
            <w:tcW w:w="144" w:type="dxa"/>
          </w:tcPr>
          <w:p w14:paraId="32E94318" w14:textId="77777777" w:rsidR="00FD6650" w:rsidRPr="00F35716" w:rsidRDefault="00FD6650" w:rsidP="006F34C8">
            <w:pPr>
              <w:pStyle w:val="SingleTxt"/>
              <w:ind w:left="0"/>
            </w:pPr>
          </w:p>
        </w:tc>
        <w:tc>
          <w:tcPr>
            <w:tcW w:w="7323" w:type="dxa"/>
          </w:tcPr>
          <w:p w14:paraId="32E94319" w14:textId="77777777" w:rsidR="00FD6650" w:rsidRPr="00F35716" w:rsidRDefault="00FD6650"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14:paraId="32E9431A" w14:textId="77777777" w:rsidR="00FD6650" w:rsidRPr="00F35716" w:rsidRDefault="00FD6650" w:rsidP="006F34C8">
            <w:pPr>
              <w:pStyle w:val="H23"/>
              <w:tabs>
                <w:tab w:val="left" w:pos="475"/>
                <w:tab w:val="left" w:pos="965"/>
                <w:tab w:val="left" w:pos="1440"/>
                <w:tab w:val="left" w:pos="1915"/>
                <w:tab w:val="left" w:pos="2405"/>
                <w:tab w:val="left" w:pos="2880"/>
                <w:tab w:val="left" w:pos="3355"/>
              </w:tabs>
              <w:spacing w:after="120"/>
            </w:pPr>
          </w:p>
        </w:tc>
        <w:tc>
          <w:tcPr>
            <w:tcW w:w="144" w:type="dxa"/>
          </w:tcPr>
          <w:p w14:paraId="32E9431B" w14:textId="77777777" w:rsidR="00FD6650" w:rsidRPr="00F35716" w:rsidRDefault="00FD6650" w:rsidP="006F34C8">
            <w:pPr>
              <w:pStyle w:val="SingleTxt"/>
            </w:pPr>
          </w:p>
        </w:tc>
      </w:tr>
      <w:tr w:rsidR="00FD6650" w:rsidRPr="00F35716" w14:paraId="32E9432C" w14:textId="77777777" w:rsidTr="00F22F4A">
        <w:trPr>
          <w:trHeight w:val="8658"/>
        </w:trPr>
        <w:tc>
          <w:tcPr>
            <w:tcW w:w="144" w:type="dxa"/>
          </w:tcPr>
          <w:p w14:paraId="32E9431D" w14:textId="77777777" w:rsidR="00FD6650" w:rsidRPr="00F35716" w:rsidRDefault="00FD6650" w:rsidP="006F34C8">
            <w:pPr>
              <w:pStyle w:val="SingleTxt"/>
            </w:pPr>
          </w:p>
        </w:tc>
        <w:tc>
          <w:tcPr>
            <w:tcW w:w="7323" w:type="dxa"/>
          </w:tcPr>
          <w:p w14:paraId="32E9431E" w14:textId="216078D1" w:rsidR="00FD6650" w:rsidRPr="00F35716" w:rsidRDefault="00FD6650" w:rsidP="00FD66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F35716">
              <w:t xml:space="preserve">Los diversos mecanismos jurídicos que incentivan el acceso de las mujeres a la vida política han logrado </w:t>
            </w:r>
            <w:r w:rsidR="00BB3635" w:rsidRPr="00F35716">
              <w:t xml:space="preserve">los siguientes </w:t>
            </w:r>
            <w:r w:rsidRPr="00F35716">
              <w:t>resultados:</w:t>
            </w:r>
          </w:p>
          <w:p w14:paraId="32E9431F" w14:textId="788A45F3" w:rsidR="00FD6650" w:rsidRPr="00F35716" w:rsidRDefault="00B259E3" w:rsidP="00B259E3">
            <w:pPr>
              <w:pStyle w:val="DualTxt"/>
              <w:tabs>
                <w:tab w:val="right" w:pos="360"/>
              </w:tabs>
              <w:ind w:left="475" w:hanging="475"/>
            </w:pPr>
            <w:r w:rsidRPr="00F35716">
              <w:sym w:font="Wingdings" w:char="F0FC"/>
            </w:r>
            <w:r w:rsidRPr="00F35716">
              <w:tab/>
            </w:r>
            <w:r w:rsidR="00FD6650" w:rsidRPr="00F35716">
              <w:tab/>
              <w:t xml:space="preserve">En lo que respecta a la elección de los miembros de los consejos </w:t>
            </w:r>
            <w:r w:rsidR="00BB3635" w:rsidRPr="00F35716">
              <w:t>de los gobiernos locales y de distrito</w:t>
            </w:r>
            <w:r w:rsidR="00FD6650" w:rsidRPr="00F35716">
              <w:t>, en 2015:</w:t>
            </w:r>
          </w:p>
          <w:p w14:paraId="32E94320" w14:textId="305E0C8B" w:rsidR="00FD6650" w:rsidRPr="00F35716" w:rsidRDefault="00FD6650" w:rsidP="00FD6650">
            <w:pPr>
              <w:pStyle w:val="DualTxt"/>
              <w:tabs>
                <w:tab w:val="right" w:pos="360"/>
              </w:tabs>
              <w:ind w:left="475" w:hanging="475"/>
            </w:pPr>
            <w:r w:rsidRPr="00F35716">
              <w:tab/>
              <w:t>-</w:t>
            </w:r>
            <w:r w:rsidRPr="00F35716">
              <w:tab/>
              <w:t>Hubo 6.669 mujeres ele</w:t>
            </w:r>
            <w:r w:rsidR="00BB3635" w:rsidRPr="00F35716">
              <w:t>gidas</w:t>
            </w:r>
            <w:r w:rsidRPr="00F35716">
              <w:t xml:space="preserve">, casi el doble que en las elecciones </w:t>
            </w:r>
            <w:r w:rsidR="00BB3635" w:rsidRPr="00F35716">
              <w:t>locales</w:t>
            </w:r>
            <w:r w:rsidRPr="00F35716">
              <w:t xml:space="preserve"> de</w:t>
            </w:r>
            <w:r w:rsidR="00957349" w:rsidRPr="00F35716">
              <w:t> </w:t>
            </w:r>
            <w:r w:rsidRPr="00F35716">
              <w:t>2009.</w:t>
            </w:r>
          </w:p>
          <w:p w14:paraId="32E94321" w14:textId="31E32C5C" w:rsidR="00FD6650" w:rsidRPr="00F35716" w:rsidRDefault="00FD6650" w:rsidP="00FD6650">
            <w:pPr>
              <w:pStyle w:val="DualTxt"/>
              <w:tabs>
                <w:tab w:val="right" w:pos="360"/>
              </w:tabs>
              <w:ind w:left="475" w:hanging="475"/>
            </w:pPr>
            <w:r w:rsidRPr="00F35716">
              <w:tab/>
            </w:r>
            <w:r w:rsidR="00B259E3" w:rsidRPr="00F35716">
              <w:t>-</w:t>
            </w:r>
            <w:r w:rsidRPr="00F35716">
              <w:tab/>
              <w:t>Hubo 2.388 mujeres ele</w:t>
            </w:r>
            <w:r w:rsidR="00BB3635" w:rsidRPr="00F35716">
              <w:t>gidas</w:t>
            </w:r>
            <w:r w:rsidRPr="00F35716">
              <w:t xml:space="preserve"> para ocupar cargos en los órganos rectores de </w:t>
            </w:r>
            <w:r w:rsidR="00BB3635" w:rsidRPr="00F35716">
              <w:t>los consejos de los gobiernos locales y de distrito;</w:t>
            </w:r>
            <w:r w:rsidRPr="00F35716">
              <w:t xml:space="preserve"> y </w:t>
            </w:r>
            <w:r w:rsidR="00BB3635" w:rsidRPr="00F35716">
              <w:t xml:space="preserve">hubo </w:t>
            </w:r>
            <w:r w:rsidRPr="00F35716">
              <w:t>1.693 mujeres ele</w:t>
            </w:r>
            <w:r w:rsidR="00BB3635" w:rsidRPr="00F35716">
              <w:t>gidas</w:t>
            </w:r>
            <w:r w:rsidRPr="00F35716">
              <w:t xml:space="preserve"> como vicepresidentas, cifra casi diez veces superior al número de mujeres elegidas para ese puesto en 2009.</w:t>
            </w:r>
          </w:p>
          <w:p w14:paraId="32E94322" w14:textId="77777777" w:rsidR="00FD6650" w:rsidRPr="00F35716" w:rsidRDefault="00B259E3" w:rsidP="00B259E3">
            <w:pPr>
              <w:pStyle w:val="DualTxt"/>
              <w:tabs>
                <w:tab w:val="right" w:pos="360"/>
              </w:tabs>
              <w:ind w:left="475" w:hanging="475"/>
            </w:pPr>
            <w:r w:rsidRPr="00F35716">
              <w:sym w:font="Wingdings" w:char="F0FC"/>
            </w:r>
            <w:r w:rsidRPr="00F35716">
              <w:tab/>
            </w:r>
            <w:r w:rsidR="00FD6650" w:rsidRPr="00F35716">
              <w:tab/>
              <w:t>En lo que respecta a la elección de los miembros de los consejos regionales:</w:t>
            </w:r>
          </w:p>
          <w:p w14:paraId="32E94323" w14:textId="77777777" w:rsidR="00FD6650" w:rsidRPr="00F35716" w:rsidRDefault="00FD6650" w:rsidP="009134F8">
            <w:pPr>
              <w:pStyle w:val="DualTxt"/>
              <w:tabs>
                <w:tab w:val="right" w:pos="360"/>
              </w:tabs>
              <w:spacing w:line="230" w:lineRule="exact"/>
              <w:ind w:left="475" w:hanging="475"/>
            </w:pPr>
            <w:r w:rsidRPr="00F35716">
              <w:tab/>
              <w:t>-</w:t>
            </w:r>
            <w:r w:rsidRPr="00F35716">
              <w:tab/>
              <w:t>En 2015, al menos un tercio de los escaños en cada distrito electoral se reservó para mujeres. Gracias a ello, la representación femenina llegó al 37,61</w:t>
            </w:r>
            <w:r w:rsidR="0006736D" w:rsidRPr="00F35716">
              <w:t> %</w:t>
            </w:r>
            <w:r w:rsidRPr="00F35716">
              <w:t>, pues 255 mujeres fueron elegidas en los consejos regionales. Conviene señalar que 250 de ellas fueron elegidas para ocupar escaños reservados exclusivamente para mujeres de acuerdo con el mecanismo de fomento de la representación femenina, lo que equivale al 98</w:t>
            </w:r>
            <w:r w:rsidR="0006736D" w:rsidRPr="00F35716">
              <w:t> %</w:t>
            </w:r>
            <w:r w:rsidRPr="00F35716">
              <w:t xml:space="preserve"> del total de escaños conseguidos.</w:t>
            </w:r>
          </w:p>
          <w:p w14:paraId="32E94324" w14:textId="1AE46C26" w:rsidR="00FD6650" w:rsidRPr="00F35716" w:rsidRDefault="00FD6650" w:rsidP="00FD6650">
            <w:pPr>
              <w:pStyle w:val="DualTxt"/>
              <w:tabs>
                <w:tab w:val="right" w:pos="360"/>
              </w:tabs>
              <w:ind w:left="475" w:hanging="475"/>
            </w:pPr>
            <w:r w:rsidRPr="00F35716">
              <w:tab/>
            </w:r>
            <w:r w:rsidRPr="00F35716">
              <w:tab/>
              <w:t>Hubo 37 mujeres ele</w:t>
            </w:r>
            <w:r w:rsidR="00BB3635" w:rsidRPr="00F35716">
              <w:t>gidas</w:t>
            </w:r>
            <w:r w:rsidRPr="00F35716">
              <w:t xml:space="preserve"> para ocupar puesto</w:t>
            </w:r>
            <w:r w:rsidR="00BB3635" w:rsidRPr="00F35716">
              <w:t>s</w:t>
            </w:r>
            <w:r w:rsidRPr="00F35716">
              <w:t xml:space="preserve"> en los órganos rectores de los consejos regionales.</w:t>
            </w:r>
          </w:p>
          <w:p w14:paraId="32E94325" w14:textId="4815B3B6" w:rsidR="00FD6650" w:rsidRPr="00F35716" w:rsidRDefault="00B259E3" w:rsidP="00B259E3">
            <w:pPr>
              <w:pStyle w:val="DualTxt"/>
              <w:tabs>
                <w:tab w:val="right" w:pos="360"/>
              </w:tabs>
              <w:ind w:left="475" w:hanging="475"/>
            </w:pPr>
            <w:r w:rsidRPr="00F35716">
              <w:sym w:font="Wingdings" w:char="F0FC"/>
            </w:r>
            <w:r w:rsidR="00FD6650" w:rsidRPr="00F35716">
              <w:tab/>
            </w:r>
            <w:r w:rsidRPr="00F35716">
              <w:tab/>
            </w:r>
            <w:r w:rsidR="00FD6650" w:rsidRPr="00F35716">
              <w:t xml:space="preserve">En lo que respecta a la elección de los miembros de los consejos </w:t>
            </w:r>
            <w:r w:rsidR="00BB3635" w:rsidRPr="00F35716">
              <w:t>regionales</w:t>
            </w:r>
            <w:r w:rsidR="00FD6650" w:rsidRPr="00F35716">
              <w:t xml:space="preserve"> y de las prefecturas:</w:t>
            </w:r>
          </w:p>
          <w:p w14:paraId="32E94326" w14:textId="039C3905" w:rsidR="00FD6650" w:rsidRPr="00F35716" w:rsidRDefault="00FD6650" w:rsidP="00FD6650">
            <w:pPr>
              <w:pStyle w:val="DualTxt"/>
              <w:tabs>
                <w:tab w:val="right" w:pos="360"/>
              </w:tabs>
              <w:ind w:left="475" w:hanging="475"/>
            </w:pPr>
            <w:r w:rsidRPr="00F35716">
              <w:tab/>
              <w:t>-</w:t>
            </w:r>
            <w:r w:rsidRPr="00F35716">
              <w:tab/>
              <w:t xml:space="preserve">En las elecciones de 2015, 57 mujeres resultaron elegidas para los consejos </w:t>
            </w:r>
            <w:r w:rsidR="000206ED" w:rsidRPr="00F35716">
              <w:t>regionales</w:t>
            </w:r>
            <w:r w:rsidRPr="00F35716">
              <w:t xml:space="preserve"> y de las prefecturas, casi el doble que en 2009. </w:t>
            </w:r>
          </w:p>
          <w:p w14:paraId="32E94327" w14:textId="1B441783" w:rsidR="00FD6650" w:rsidRPr="00F35716" w:rsidRDefault="00FD6650" w:rsidP="00FD6650">
            <w:pPr>
              <w:pStyle w:val="DualTxt"/>
              <w:tabs>
                <w:tab w:val="right" w:pos="360"/>
              </w:tabs>
              <w:ind w:left="475" w:hanging="475"/>
            </w:pPr>
            <w:r w:rsidRPr="00F35716">
              <w:tab/>
            </w:r>
            <w:r w:rsidRPr="00F35716">
              <w:tab/>
              <w:t xml:space="preserve">-Diecisiete mujeres fueron elegidas para ocupar cargos en los órganos rectores de los consejos </w:t>
            </w:r>
            <w:r w:rsidR="000206ED" w:rsidRPr="00F35716">
              <w:t>regionales</w:t>
            </w:r>
            <w:r w:rsidRPr="00F35716">
              <w:t xml:space="preserve"> y de las prefecturas.</w:t>
            </w:r>
          </w:p>
          <w:p w14:paraId="32E94328" w14:textId="220A7F74" w:rsidR="00FD6650" w:rsidRPr="00F35716" w:rsidRDefault="00B259E3" w:rsidP="00B259E3">
            <w:pPr>
              <w:pStyle w:val="DualTxt"/>
              <w:tabs>
                <w:tab w:val="right" w:pos="360"/>
              </w:tabs>
              <w:ind w:left="475" w:hanging="475"/>
            </w:pPr>
            <w:r w:rsidRPr="00F35716">
              <w:sym w:font="Wingdings" w:char="F0FC"/>
            </w:r>
            <w:r w:rsidRPr="00F35716">
              <w:tab/>
            </w:r>
            <w:r w:rsidR="00FD6650" w:rsidRPr="00F35716">
              <w:tab/>
              <w:t>En lo que respecta a la elección de los miembros de la Cámara de Consejeros:</w:t>
            </w:r>
          </w:p>
          <w:p w14:paraId="32E94329" w14:textId="3952EE46" w:rsidR="00FD6650" w:rsidRPr="00F35716" w:rsidRDefault="00FD6650" w:rsidP="00FD6650">
            <w:pPr>
              <w:pStyle w:val="DualTxt"/>
              <w:tabs>
                <w:tab w:val="right" w:pos="360"/>
              </w:tabs>
              <w:ind w:left="475" w:hanging="475"/>
            </w:pPr>
            <w:r w:rsidRPr="00F35716">
              <w:tab/>
              <w:t>-</w:t>
            </w:r>
            <w:r w:rsidRPr="00F35716">
              <w:tab/>
              <w:t>En las elecciones de 2015, 14 de los 120 cons</w:t>
            </w:r>
            <w:r w:rsidR="000206ED" w:rsidRPr="00F35716">
              <w:t>ejeros</w:t>
            </w:r>
            <w:r w:rsidRPr="00F35716">
              <w:t xml:space="preserve"> elegidos fueron mujeres (el 11,67</w:t>
            </w:r>
            <w:r w:rsidR="0006736D" w:rsidRPr="00F35716">
              <w:t> %</w:t>
            </w:r>
            <w:r w:rsidRPr="00F35716">
              <w:t>)</w:t>
            </w:r>
            <w:r w:rsidR="000206ED" w:rsidRPr="00F35716">
              <w:t xml:space="preserve">, frente a </w:t>
            </w:r>
            <w:r w:rsidRPr="00F35716">
              <w:t xml:space="preserve">solo 6 de los 270 miembros de la Cámara de </w:t>
            </w:r>
            <w:r w:rsidR="000206ED" w:rsidRPr="00F35716">
              <w:t xml:space="preserve">Consejeros </w:t>
            </w:r>
            <w:r w:rsidRPr="00F35716">
              <w:t>anterior.</w:t>
            </w:r>
          </w:p>
          <w:p w14:paraId="32E9432A" w14:textId="0805BBAD" w:rsidR="00FD6650" w:rsidRPr="00F35716" w:rsidRDefault="00B259E3" w:rsidP="00B259E3">
            <w:pPr>
              <w:pStyle w:val="DualTxt"/>
              <w:tabs>
                <w:tab w:val="right" w:pos="360"/>
              </w:tabs>
              <w:ind w:left="475" w:hanging="475"/>
            </w:pPr>
            <w:r w:rsidRPr="00F35716">
              <w:sym w:font="Wingdings" w:char="F0FC"/>
            </w:r>
            <w:r w:rsidRPr="00F35716">
              <w:tab/>
            </w:r>
            <w:r w:rsidR="00FD6650" w:rsidRPr="00F35716">
              <w:tab/>
              <w:t xml:space="preserve">Dos mujeres gobiernan en 2 </w:t>
            </w:r>
            <w:r w:rsidR="000206ED" w:rsidRPr="00F35716">
              <w:t xml:space="preserve">de las 12 </w:t>
            </w:r>
            <w:r w:rsidR="00FD6650" w:rsidRPr="00F35716">
              <w:t>regiones.</w:t>
            </w:r>
          </w:p>
        </w:tc>
        <w:tc>
          <w:tcPr>
            <w:tcW w:w="144" w:type="dxa"/>
          </w:tcPr>
          <w:p w14:paraId="32E9432B" w14:textId="77777777" w:rsidR="00FD6650" w:rsidRPr="00F35716" w:rsidRDefault="00FD6650" w:rsidP="006F34C8">
            <w:pPr>
              <w:pStyle w:val="SingleTxt"/>
            </w:pPr>
          </w:p>
        </w:tc>
      </w:tr>
      <w:tr w:rsidR="00F22F4A" w:rsidRPr="00F35716" w14:paraId="32E94330" w14:textId="77777777" w:rsidTr="00F22F4A">
        <w:tblPrEx>
          <w:tblBorders>
            <w:top w:val="single" w:sz="2" w:space="0" w:color="000000"/>
            <w:left w:val="single" w:sz="2" w:space="0" w:color="000000"/>
            <w:bottom w:val="single" w:sz="2" w:space="0" w:color="000000"/>
            <w:right w:val="single" w:sz="2" w:space="0" w:color="000000"/>
          </w:tblBorders>
        </w:tblPrEx>
        <w:trPr>
          <w:cantSplit/>
          <w:trHeight w:hRule="exact" w:val="115"/>
        </w:trPr>
        <w:tc>
          <w:tcPr>
            <w:tcW w:w="144" w:type="dxa"/>
            <w:shd w:val="clear" w:color="auto" w:fill="auto"/>
          </w:tcPr>
          <w:p w14:paraId="32E9432D" w14:textId="77777777" w:rsidR="00F22F4A" w:rsidRPr="00F35716" w:rsidRDefault="00F22F4A" w:rsidP="006F34C8">
            <w:pPr>
              <w:pStyle w:val="SingleTxt"/>
            </w:pPr>
          </w:p>
        </w:tc>
        <w:tc>
          <w:tcPr>
            <w:tcW w:w="7323" w:type="dxa"/>
            <w:shd w:val="clear" w:color="auto" w:fill="auto"/>
          </w:tcPr>
          <w:p w14:paraId="32E9432E" w14:textId="77777777" w:rsidR="00F22F4A" w:rsidRPr="00F35716" w:rsidRDefault="00F22F4A"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14:paraId="32E9432F" w14:textId="77777777" w:rsidR="00F22F4A" w:rsidRPr="00F35716" w:rsidRDefault="00F22F4A" w:rsidP="006F34C8">
            <w:pPr>
              <w:pStyle w:val="SingleTxt"/>
              <w:ind w:left="0"/>
            </w:pPr>
          </w:p>
        </w:tc>
      </w:tr>
    </w:tbl>
    <w:p w14:paraId="32E94333" w14:textId="5AE41B25" w:rsidR="00EC3C86" w:rsidRPr="00F35716" w:rsidRDefault="00EC3C86" w:rsidP="00B3192A">
      <w:pPr>
        <w:pStyle w:val="SingleTxt"/>
        <w:numPr>
          <w:ilvl w:val="0"/>
          <w:numId w:val="8"/>
        </w:numPr>
        <w:ind w:left="1267" w:firstLine="0"/>
      </w:pPr>
      <w:r w:rsidRPr="00F35716">
        <w:lastRenderedPageBreak/>
        <w:t xml:space="preserve">En respuesta </w:t>
      </w:r>
      <w:r w:rsidR="00A626D2" w:rsidRPr="00F35716">
        <w:t>al párrafo 25 de las observaciones finales</w:t>
      </w:r>
      <w:r w:rsidRPr="00F35716">
        <w:t>, se han aprobado varias leyes para mejorar el acceso de las mujeres a cargos y empleos públicos:</w:t>
      </w:r>
    </w:p>
    <w:p w14:paraId="32E94334" w14:textId="00B04542" w:rsidR="00EC3C86" w:rsidRPr="00F35716" w:rsidRDefault="001C16CA" w:rsidP="001C16CA">
      <w:pPr>
        <w:pStyle w:val="SingleTxt"/>
        <w:tabs>
          <w:tab w:val="right" w:pos="1685"/>
        </w:tabs>
        <w:ind w:left="1742" w:hanging="475"/>
      </w:pPr>
      <w:r w:rsidRPr="00F35716">
        <w:tab/>
        <w:t>–</w:t>
      </w:r>
      <w:r w:rsidRPr="00F35716">
        <w:tab/>
      </w:r>
      <w:r w:rsidR="00EC3C86" w:rsidRPr="00F35716">
        <w:t xml:space="preserve">La Ley Orgánica núm. </w:t>
      </w:r>
      <w:r w:rsidR="00714288" w:rsidRPr="00F35716">
        <w:t>02</w:t>
      </w:r>
      <w:r w:rsidR="0055204A" w:rsidRPr="00F35716">
        <w:t>-12</w:t>
      </w:r>
      <w:r w:rsidR="00EC3C86" w:rsidRPr="00F35716">
        <w:t xml:space="preserve"> relativa al Nombramiento de Altos Cargos (2012)</w:t>
      </w:r>
      <w:r w:rsidR="00714288" w:rsidRPr="00F35716">
        <w:rPr>
          <w:vertAlign w:val="superscript"/>
        </w:rPr>
        <w:footnoteReference w:id="61"/>
      </w:r>
      <w:r w:rsidR="00EC3C86" w:rsidRPr="00F35716">
        <w:t>.</w:t>
      </w:r>
    </w:p>
    <w:p w14:paraId="32E94335" w14:textId="501865DA" w:rsidR="00EC3C86" w:rsidRPr="00F35716" w:rsidRDefault="001C16CA" w:rsidP="001C16CA">
      <w:pPr>
        <w:pStyle w:val="SingleTxt"/>
        <w:tabs>
          <w:tab w:val="right" w:pos="1685"/>
        </w:tabs>
        <w:ind w:left="1742" w:hanging="475"/>
      </w:pPr>
      <w:r w:rsidRPr="00F35716">
        <w:tab/>
        <w:t>–</w:t>
      </w:r>
      <w:r w:rsidRPr="00F35716">
        <w:tab/>
      </w:r>
      <w:r w:rsidR="00EC3C86" w:rsidRPr="00F35716">
        <w:t>El artículo 22 de la Ley núm. 50</w:t>
      </w:r>
      <w:r w:rsidR="00714288" w:rsidRPr="00F35716">
        <w:t>-</w:t>
      </w:r>
      <w:r w:rsidR="00EC3C86" w:rsidRPr="00F35716">
        <w:t>05 (mayo de 2011)</w:t>
      </w:r>
      <w:r w:rsidR="00CB1844" w:rsidRPr="00F35716">
        <w:t>,</w:t>
      </w:r>
      <w:r w:rsidR="00EC3C86" w:rsidRPr="00F35716">
        <w:t xml:space="preserve"> </w:t>
      </w:r>
      <w:r w:rsidR="00CB1844" w:rsidRPr="00F35716">
        <w:t>que consagra</w:t>
      </w:r>
      <w:r w:rsidR="00EC3C86" w:rsidRPr="00F35716">
        <w:t xml:space="preserve"> los </w:t>
      </w:r>
      <w:r w:rsidR="00CB1844" w:rsidRPr="00F35716">
        <w:t>p</w:t>
      </w:r>
      <w:r w:rsidR="00EC3C86" w:rsidRPr="00F35716">
        <w:t xml:space="preserve">rincipios de </w:t>
      </w:r>
      <w:r w:rsidR="00CB1844" w:rsidRPr="00F35716">
        <w:t>i</w:t>
      </w:r>
      <w:r w:rsidR="00EC3C86" w:rsidRPr="00F35716">
        <w:t>gualdad</w:t>
      </w:r>
      <w:r w:rsidR="00CB1844" w:rsidRPr="00F35716">
        <w:t xml:space="preserve"> y</w:t>
      </w:r>
      <w:r w:rsidR="00EC3C86" w:rsidRPr="00F35716">
        <w:t xml:space="preserve"> </w:t>
      </w:r>
      <w:r w:rsidR="00CB1844" w:rsidRPr="00F35716">
        <w:t>t</w:t>
      </w:r>
      <w:r w:rsidR="00EC3C86" w:rsidRPr="00F35716">
        <w:t xml:space="preserve">ransparencia y </w:t>
      </w:r>
      <w:r w:rsidR="00CB1844" w:rsidRPr="00F35716">
        <w:t>el d</w:t>
      </w:r>
      <w:r w:rsidR="00EC3C86" w:rsidRPr="00F35716">
        <w:t xml:space="preserve">erecho a </w:t>
      </w:r>
      <w:r w:rsidR="00CB1844" w:rsidRPr="00F35716">
        <w:t>a</w:t>
      </w:r>
      <w:r w:rsidR="00EC3C86" w:rsidRPr="00F35716">
        <w:t xml:space="preserve">cceder a </w:t>
      </w:r>
      <w:r w:rsidR="004C5497" w:rsidRPr="00F35716">
        <w:t>funciones públicas</w:t>
      </w:r>
      <w:r w:rsidR="00EC3C86" w:rsidRPr="00F35716">
        <w:t xml:space="preserve"> </w:t>
      </w:r>
      <w:r w:rsidR="00CB1844" w:rsidRPr="00F35716">
        <w:t>en la difusión de puestos vacantes</w:t>
      </w:r>
      <w:r w:rsidR="00EC3C86" w:rsidRPr="00F35716">
        <w:rPr>
          <w:vertAlign w:val="superscript"/>
        </w:rPr>
        <w:footnoteReference w:id="62"/>
      </w:r>
      <w:r w:rsidR="00EC3C86" w:rsidRPr="00F35716">
        <w:t>.</w:t>
      </w:r>
    </w:p>
    <w:p w14:paraId="32E94336" w14:textId="5378830F" w:rsidR="00EC3C86" w:rsidRPr="00F35716" w:rsidRDefault="001C16CA" w:rsidP="001C16CA">
      <w:pPr>
        <w:pStyle w:val="SingleTxt"/>
        <w:tabs>
          <w:tab w:val="right" w:pos="1685"/>
        </w:tabs>
        <w:ind w:left="1742" w:hanging="475"/>
      </w:pPr>
      <w:r w:rsidRPr="00F35716">
        <w:tab/>
        <w:t>–</w:t>
      </w:r>
      <w:r w:rsidRPr="00F35716">
        <w:tab/>
      </w:r>
      <w:r w:rsidR="00EC3C86" w:rsidRPr="00F35716">
        <w:t xml:space="preserve">El Decreto sobre las </w:t>
      </w:r>
      <w:r w:rsidR="0055204A" w:rsidRPr="00F35716">
        <w:t>c</w:t>
      </w:r>
      <w:r w:rsidR="00EC3C86" w:rsidRPr="00F35716">
        <w:t xml:space="preserve">ondiciones y </w:t>
      </w:r>
      <w:r w:rsidR="0055204A" w:rsidRPr="00F35716">
        <w:t>m</w:t>
      </w:r>
      <w:r w:rsidR="00EC3C86" w:rsidRPr="00F35716">
        <w:t xml:space="preserve">odalidades para </w:t>
      </w:r>
      <w:r w:rsidR="0055204A" w:rsidRPr="00F35716">
        <w:t>o</w:t>
      </w:r>
      <w:r w:rsidR="00EC3C86" w:rsidRPr="00F35716">
        <w:t xml:space="preserve">rganizar </w:t>
      </w:r>
      <w:r w:rsidR="0055204A" w:rsidRPr="00F35716">
        <w:t>o</w:t>
      </w:r>
      <w:r w:rsidR="00EC3C86" w:rsidRPr="00F35716">
        <w:t xml:space="preserve">posiciones a </w:t>
      </w:r>
      <w:r w:rsidR="0055204A" w:rsidRPr="00F35716">
        <w:t>p</w:t>
      </w:r>
      <w:r w:rsidR="00EC3C86" w:rsidRPr="00F35716">
        <w:t xml:space="preserve">uestos </w:t>
      </w:r>
      <w:r w:rsidR="0055204A" w:rsidRPr="00F35716">
        <w:t>p</w:t>
      </w:r>
      <w:r w:rsidR="00EC3C86" w:rsidRPr="00F35716">
        <w:t xml:space="preserve">úblicos en el </w:t>
      </w:r>
      <w:r w:rsidR="0055204A" w:rsidRPr="00F35716">
        <w:t>m</w:t>
      </w:r>
      <w:r w:rsidR="00EC3C86" w:rsidRPr="00F35716">
        <w:t xml:space="preserve">arco de la </w:t>
      </w:r>
      <w:r w:rsidR="0055204A" w:rsidRPr="00F35716">
        <w:t>i</w:t>
      </w:r>
      <w:r w:rsidR="00EC3C86" w:rsidRPr="00F35716">
        <w:t xml:space="preserve">gualdad de </w:t>
      </w:r>
      <w:r w:rsidR="0055204A" w:rsidRPr="00F35716">
        <w:t>o</w:t>
      </w:r>
      <w:r w:rsidR="00EC3C86" w:rsidRPr="00F35716">
        <w:t xml:space="preserve">portunidades y una </w:t>
      </w:r>
      <w:r w:rsidR="0055204A" w:rsidRPr="00F35716">
        <w:t>m</w:t>
      </w:r>
      <w:r w:rsidR="00EC3C86" w:rsidRPr="00F35716">
        <w:t xml:space="preserve">ayor </w:t>
      </w:r>
      <w:r w:rsidR="0055204A" w:rsidRPr="00F35716">
        <w:t>t</w:t>
      </w:r>
      <w:r w:rsidR="00EC3C86" w:rsidRPr="00F35716">
        <w:t>ransparencia</w:t>
      </w:r>
      <w:r w:rsidR="00EC3C86" w:rsidRPr="00F35716">
        <w:rPr>
          <w:vertAlign w:val="superscript"/>
        </w:rPr>
        <w:footnoteReference w:id="63"/>
      </w:r>
      <w:r w:rsidR="00EC3C86" w:rsidRPr="00F35716">
        <w:t xml:space="preserve">. </w:t>
      </w:r>
    </w:p>
    <w:p w14:paraId="32E94337" w14:textId="53083822" w:rsidR="00EC3C86" w:rsidRPr="00F35716" w:rsidRDefault="001C16CA" w:rsidP="001C16CA">
      <w:pPr>
        <w:pStyle w:val="SingleTxt"/>
        <w:tabs>
          <w:tab w:val="right" w:pos="1685"/>
        </w:tabs>
        <w:ind w:left="1742" w:hanging="475"/>
      </w:pPr>
      <w:r w:rsidRPr="00F35716">
        <w:tab/>
        <w:t>–</w:t>
      </w:r>
      <w:r w:rsidRPr="00F35716">
        <w:tab/>
      </w:r>
      <w:r w:rsidR="00EC3C86" w:rsidRPr="00F35716">
        <w:t xml:space="preserve">El artículo 46 de la Ley núm. 50.05, que otorga a </w:t>
      </w:r>
      <w:r w:rsidR="00EF79B4" w:rsidRPr="00F35716">
        <w:t xml:space="preserve">las </w:t>
      </w:r>
      <w:r w:rsidR="00EC3C86" w:rsidRPr="00F35716">
        <w:t>empleada</w:t>
      </w:r>
      <w:r w:rsidR="00EF79B4" w:rsidRPr="00F35716">
        <w:t>s</w:t>
      </w:r>
      <w:r w:rsidR="00EC3C86" w:rsidRPr="00F35716">
        <w:t xml:space="preserve"> </w:t>
      </w:r>
      <w:r w:rsidR="00EF79B4" w:rsidRPr="00F35716">
        <w:t xml:space="preserve">públicas </w:t>
      </w:r>
      <w:r w:rsidR="00EC3C86" w:rsidRPr="00F35716">
        <w:t>embarazada</w:t>
      </w:r>
      <w:r w:rsidR="00EF79B4" w:rsidRPr="00F35716">
        <w:t>s</w:t>
      </w:r>
      <w:r w:rsidR="00EC3C86" w:rsidRPr="00F35716">
        <w:t xml:space="preserve"> un permiso de maternidad de 14 semanas</w:t>
      </w:r>
      <w:r w:rsidR="00EF79B4" w:rsidRPr="00F35716">
        <w:t>,</w:t>
      </w:r>
      <w:r w:rsidR="00EC3C86" w:rsidRPr="00F35716">
        <w:t xml:space="preserve"> en lugar de 12 semanas.</w:t>
      </w:r>
    </w:p>
    <w:p w14:paraId="32E94338" w14:textId="29D4529B" w:rsidR="00EC3C86" w:rsidRPr="00F35716" w:rsidRDefault="001C16CA" w:rsidP="001C16CA">
      <w:pPr>
        <w:pStyle w:val="SingleTxt"/>
        <w:tabs>
          <w:tab w:val="right" w:pos="1685"/>
        </w:tabs>
        <w:ind w:left="1742" w:hanging="475"/>
      </w:pPr>
      <w:r w:rsidRPr="00F35716">
        <w:tab/>
        <w:t>–</w:t>
      </w:r>
      <w:r w:rsidRPr="00F35716">
        <w:tab/>
      </w:r>
      <w:r w:rsidR="00EC3C86" w:rsidRPr="00F35716">
        <w:t xml:space="preserve">El </w:t>
      </w:r>
      <w:r w:rsidR="00EF79B4" w:rsidRPr="00F35716">
        <w:t xml:space="preserve">artículo 9 del </w:t>
      </w:r>
      <w:r w:rsidR="00EC3C86" w:rsidRPr="00F35716">
        <w:t xml:space="preserve">Decreto núm. </w:t>
      </w:r>
      <w:r w:rsidR="004141CE" w:rsidRPr="00F35716">
        <w:t>2-11-</w:t>
      </w:r>
      <w:r w:rsidR="00EC3C86" w:rsidRPr="00F35716">
        <w:t>681</w:t>
      </w:r>
      <w:r w:rsidR="00EF79B4" w:rsidRPr="00F35716">
        <w:t xml:space="preserve">, de </w:t>
      </w:r>
      <w:r w:rsidR="00EC3C86" w:rsidRPr="00F35716">
        <w:t>noviembre de 2011</w:t>
      </w:r>
      <w:r w:rsidR="00EF79B4" w:rsidRPr="00F35716">
        <w:t>,</w:t>
      </w:r>
      <w:r w:rsidR="00EC3C86" w:rsidRPr="00F35716">
        <w:t xml:space="preserve"> sobre las </w:t>
      </w:r>
      <w:r w:rsidR="0055204A" w:rsidRPr="00F35716">
        <w:t>modalidades de contratación de jefes y jefas de departamento y servicios en las administraciones públicas</w:t>
      </w:r>
      <w:r w:rsidR="00EF79B4" w:rsidRPr="00F35716">
        <w:t>,</w:t>
      </w:r>
      <w:r w:rsidR="00EC3C86" w:rsidRPr="00F35716">
        <w:t xml:space="preserve"> conforme al </w:t>
      </w:r>
      <w:r w:rsidR="00EF79B4" w:rsidRPr="00F35716">
        <w:t>cual</w:t>
      </w:r>
      <w:r w:rsidR="00EC3C86" w:rsidRPr="00F35716">
        <w:t xml:space="preserve"> al menos una mujer debe ser miembro del comité organizador. </w:t>
      </w:r>
    </w:p>
    <w:p w14:paraId="32E94339" w14:textId="769E31DA" w:rsidR="00EC3C86" w:rsidRPr="00F35716" w:rsidRDefault="001C16CA" w:rsidP="001C16CA">
      <w:pPr>
        <w:pStyle w:val="SingleTxt"/>
        <w:tabs>
          <w:tab w:val="right" w:pos="1685"/>
        </w:tabs>
        <w:ind w:left="1742" w:hanging="475"/>
      </w:pPr>
      <w:r w:rsidRPr="00F35716">
        <w:tab/>
        <w:t>–</w:t>
      </w:r>
      <w:r w:rsidRPr="00F35716">
        <w:tab/>
      </w:r>
      <w:r w:rsidR="00EC3C86" w:rsidRPr="00F35716">
        <w:t xml:space="preserve">El Decreto núm. </w:t>
      </w:r>
      <w:r w:rsidR="0055204A" w:rsidRPr="00F35716">
        <w:t>2-15-</w:t>
      </w:r>
      <w:r w:rsidR="00EC3C86" w:rsidRPr="00F35716">
        <w:t xml:space="preserve">770 (2016) relativo al </w:t>
      </w:r>
      <w:r w:rsidR="0055204A" w:rsidRPr="00F35716">
        <w:t>establecimiento de condiciones y modalidades de empleo bajo contratos en las administraciones públicas</w:t>
      </w:r>
      <w:r w:rsidR="00EC3C86" w:rsidRPr="00F35716">
        <w:t>.</w:t>
      </w:r>
    </w:p>
    <w:p w14:paraId="32E9433A" w14:textId="601CD9B4" w:rsidR="00EC3C86" w:rsidRPr="00F35716" w:rsidRDefault="001C16CA" w:rsidP="001C16CA">
      <w:pPr>
        <w:pStyle w:val="SingleTxt"/>
        <w:tabs>
          <w:tab w:val="right" w:pos="1685"/>
        </w:tabs>
        <w:ind w:left="1742" w:hanging="475"/>
      </w:pPr>
      <w:r w:rsidRPr="00F35716">
        <w:tab/>
        <w:t>–</w:t>
      </w:r>
      <w:r w:rsidRPr="00F35716">
        <w:tab/>
      </w:r>
      <w:r w:rsidR="00EC3C86" w:rsidRPr="00F35716">
        <w:t xml:space="preserve">Se emitió una </w:t>
      </w:r>
      <w:r w:rsidR="0067566D" w:rsidRPr="00F35716">
        <w:t>decisión</w:t>
      </w:r>
      <w:r w:rsidR="00EC3C86" w:rsidRPr="00F35716">
        <w:t xml:space="preserve"> </w:t>
      </w:r>
      <w:r w:rsidR="0067566D" w:rsidRPr="00F35716">
        <w:t>por la que se creaba un</w:t>
      </w:r>
      <w:r w:rsidR="00EC3C86" w:rsidRPr="00F35716">
        <w:t xml:space="preserve"> Observatorio de la Perspectiva de Género en la Administración Pública y su sitio web</w:t>
      </w:r>
      <w:r w:rsidR="00EC3C86" w:rsidRPr="00F35716">
        <w:rPr>
          <w:vertAlign w:val="superscript"/>
        </w:rPr>
        <w:footnoteReference w:id="64"/>
      </w:r>
      <w:r w:rsidR="00EC3C86" w:rsidRPr="00F35716">
        <w:t>.</w:t>
      </w:r>
    </w:p>
    <w:p w14:paraId="32E9433B" w14:textId="4B60B75B" w:rsidR="00EC3C86" w:rsidRPr="00F35716" w:rsidRDefault="001C16CA" w:rsidP="001C16CA">
      <w:pPr>
        <w:pStyle w:val="SingleTxt"/>
        <w:tabs>
          <w:tab w:val="right" w:pos="1685"/>
        </w:tabs>
        <w:ind w:left="1742" w:hanging="475"/>
      </w:pPr>
      <w:r w:rsidRPr="00F35716">
        <w:tab/>
        <w:t>–</w:t>
      </w:r>
      <w:r w:rsidRPr="00F35716">
        <w:tab/>
      </w:r>
      <w:r w:rsidR="00EC3C86" w:rsidRPr="00F35716">
        <w:t xml:space="preserve">Se publicó una circular </w:t>
      </w:r>
      <w:r w:rsidR="00EF79B4" w:rsidRPr="00F35716">
        <w:t xml:space="preserve">en </w:t>
      </w:r>
      <w:r w:rsidR="00EC3C86" w:rsidRPr="00F35716">
        <w:t xml:space="preserve">agosto de 2018 </w:t>
      </w:r>
      <w:r w:rsidR="00EF79B4" w:rsidRPr="00F35716">
        <w:t xml:space="preserve">que ampliaba </w:t>
      </w:r>
      <w:r w:rsidR="00EC3C86" w:rsidRPr="00F35716">
        <w:t>l</w:t>
      </w:r>
      <w:r w:rsidR="0067566D" w:rsidRPr="00F35716">
        <w:t>a licencia posterior al parto</w:t>
      </w:r>
      <w:r w:rsidR="00EC3C86" w:rsidRPr="00F35716">
        <w:t xml:space="preserve"> a 18 meses </w:t>
      </w:r>
      <w:r w:rsidR="00EF79B4" w:rsidRPr="00F35716">
        <w:t>tras concluir</w:t>
      </w:r>
      <w:r w:rsidR="00EC3C86" w:rsidRPr="00F35716">
        <w:t xml:space="preserve"> </w:t>
      </w:r>
      <w:r w:rsidR="00EF79B4" w:rsidRPr="00F35716">
        <w:t>la licencia</w:t>
      </w:r>
      <w:r w:rsidR="00EC3C86" w:rsidRPr="00F35716">
        <w:t xml:space="preserve"> de maternidad</w:t>
      </w:r>
      <w:r w:rsidR="00EC3C86" w:rsidRPr="00F35716">
        <w:rPr>
          <w:vertAlign w:val="superscript"/>
        </w:rPr>
        <w:footnoteReference w:id="65"/>
      </w:r>
      <w:r w:rsidR="00EC3C86" w:rsidRPr="00F35716">
        <w:t>.</w:t>
      </w:r>
    </w:p>
    <w:p w14:paraId="32E9433C" w14:textId="5866F9C5" w:rsidR="00EC3C86" w:rsidRPr="00F35716" w:rsidRDefault="001C16CA" w:rsidP="001C16CA">
      <w:pPr>
        <w:pStyle w:val="SingleTxt"/>
        <w:tabs>
          <w:tab w:val="right" w:pos="1685"/>
        </w:tabs>
        <w:ind w:left="1742" w:hanging="475"/>
      </w:pPr>
      <w:r w:rsidRPr="00F35716">
        <w:tab/>
        <w:t>–</w:t>
      </w:r>
      <w:r w:rsidRPr="00F35716">
        <w:tab/>
      </w:r>
      <w:r w:rsidR="00EC3C86" w:rsidRPr="00F35716">
        <w:t>Se elabor</w:t>
      </w:r>
      <w:r w:rsidR="0067566D" w:rsidRPr="00F35716">
        <w:t>aron especificaciones</w:t>
      </w:r>
      <w:r w:rsidR="00EC3C86" w:rsidRPr="00F35716">
        <w:t xml:space="preserve"> modelo para el establecimiento de guarderías cerca de los lugares de trabajo. </w:t>
      </w:r>
    </w:p>
    <w:p w14:paraId="32E9433D" w14:textId="4ACA71A0" w:rsidR="00EC3C86" w:rsidRPr="00F35716" w:rsidRDefault="001C16CA" w:rsidP="001C16CA">
      <w:pPr>
        <w:pStyle w:val="SingleTxt"/>
        <w:tabs>
          <w:tab w:val="right" w:pos="1685"/>
        </w:tabs>
        <w:ind w:left="1742" w:hanging="475"/>
      </w:pPr>
      <w:r w:rsidRPr="00F35716">
        <w:tab/>
        <w:t>–</w:t>
      </w:r>
      <w:r w:rsidRPr="00F35716">
        <w:tab/>
      </w:r>
      <w:r w:rsidR="00EC3C86" w:rsidRPr="00F35716">
        <w:t xml:space="preserve">Se publicó una circular </w:t>
      </w:r>
      <w:r w:rsidR="0067566D" w:rsidRPr="00F35716">
        <w:t xml:space="preserve">en </w:t>
      </w:r>
      <w:r w:rsidR="00EC3C86" w:rsidRPr="00F35716">
        <w:t>septiembre de 2019 relativa al</w:t>
      </w:r>
      <w:r w:rsidR="0067566D" w:rsidRPr="00F35716">
        <w:t xml:space="preserve"> establecimiento</w:t>
      </w:r>
      <w:r w:rsidR="00EC3C86" w:rsidRPr="00F35716">
        <w:t xml:space="preserve"> de guarderías en los servicios públicos</w:t>
      </w:r>
      <w:r w:rsidR="0067566D" w:rsidRPr="00F35716">
        <w:rPr>
          <w:vertAlign w:val="superscript"/>
        </w:rPr>
        <w:footnoteReference w:id="66"/>
      </w:r>
      <w:r w:rsidR="00EC3C86" w:rsidRPr="00F35716">
        <w:t>.</w:t>
      </w:r>
    </w:p>
    <w:p w14:paraId="32E9433E" w14:textId="45BC1A7C" w:rsidR="00EC3C86" w:rsidRPr="00F35716" w:rsidRDefault="00EC3C86" w:rsidP="00B3192A">
      <w:pPr>
        <w:pStyle w:val="SingleTxt"/>
        <w:numPr>
          <w:ilvl w:val="0"/>
          <w:numId w:val="8"/>
        </w:numPr>
        <w:ind w:left="1267" w:firstLine="0"/>
      </w:pPr>
      <w:r w:rsidRPr="00F35716">
        <w:t xml:space="preserve">En el marco de la institucionalización de </w:t>
      </w:r>
      <w:r w:rsidR="000D6F76" w:rsidRPr="00F35716">
        <w:t xml:space="preserve">la incorporación de la perspectiva de </w:t>
      </w:r>
      <w:r w:rsidRPr="00F35716">
        <w:t>género, se han llevado a cabo las siguientes medidas:</w:t>
      </w:r>
    </w:p>
    <w:p w14:paraId="32E9433F" w14:textId="7C65FDC2" w:rsidR="00EC3C86" w:rsidRPr="00F35716" w:rsidRDefault="001C16CA" w:rsidP="001C16CA">
      <w:pPr>
        <w:pStyle w:val="SingleTxt"/>
        <w:tabs>
          <w:tab w:val="right" w:pos="1685"/>
        </w:tabs>
        <w:ind w:left="1742" w:hanging="475"/>
      </w:pPr>
      <w:r w:rsidRPr="00F35716">
        <w:tab/>
        <w:t>–</w:t>
      </w:r>
      <w:r w:rsidRPr="00F35716">
        <w:tab/>
      </w:r>
      <w:r w:rsidR="00EC3C86" w:rsidRPr="00F35716">
        <w:t xml:space="preserve">La creación de </w:t>
      </w:r>
      <w:r w:rsidR="000D6F76" w:rsidRPr="00F35716">
        <w:t>una</w:t>
      </w:r>
      <w:r w:rsidR="00EC3C86" w:rsidRPr="00F35716">
        <w:t xml:space="preserve"> </w:t>
      </w:r>
      <w:r w:rsidR="000D6F76" w:rsidRPr="00F35716">
        <w:t>r</w:t>
      </w:r>
      <w:r w:rsidR="00EC3C86" w:rsidRPr="00F35716">
        <w:t xml:space="preserve">ed de </w:t>
      </w:r>
      <w:r w:rsidR="000D6F76" w:rsidRPr="00F35716">
        <w:t>c</w:t>
      </w:r>
      <w:r w:rsidR="00EC3C86" w:rsidRPr="00F35716">
        <w:t xml:space="preserve">onsulta </w:t>
      </w:r>
      <w:r w:rsidR="000D6F76" w:rsidRPr="00F35716">
        <w:t>i</w:t>
      </w:r>
      <w:r w:rsidR="00EC3C86" w:rsidRPr="00F35716">
        <w:t>nterministerial en 2010 con el objetivo de examinar l</w:t>
      </w:r>
      <w:r w:rsidR="000D6F76" w:rsidRPr="00F35716">
        <w:t>a cuestión</w:t>
      </w:r>
      <w:r w:rsidR="00EC3C86" w:rsidRPr="00F35716">
        <w:t xml:space="preserve"> de género en la administración pública.</w:t>
      </w:r>
    </w:p>
    <w:p w14:paraId="32E94340" w14:textId="77777777" w:rsidR="00EC3C86" w:rsidRPr="00F35716" w:rsidRDefault="001C16CA" w:rsidP="001C16CA">
      <w:pPr>
        <w:pStyle w:val="SingleTxt"/>
        <w:tabs>
          <w:tab w:val="right" w:pos="1685"/>
        </w:tabs>
        <w:ind w:left="1742" w:hanging="475"/>
      </w:pPr>
      <w:r w:rsidRPr="00F35716">
        <w:tab/>
        <w:t>–</w:t>
      </w:r>
      <w:r w:rsidRPr="00F35716">
        <w:tab/>
      </w:r>
      <w:r w:rsidR="00EC3C86" w:rsidRPr="00F35716">
        <w:t>La adopción de una guía de referencia sobre la incorporación de la perspectiva de género en la gestión de los recursos humanos.</w:t>
      </w:r>
    </w:p>
    <w:p w14:paraId="32E94341" w14:textId="3A646D08" w:rsidR="00EC3C86" w:rsidRPr="00F35716" w:rsidRDefault="001C16CA" w:rsidP="001C16CA">
      <w:pPr>
        <w:pStyle w:val="SingleTxt"/>
        <w:tabs>
          <w:tab w:val="right" w:pos="1685"/>
        </w:tabs>
        <w:ind w:left="1742" w:hanging="475"/>
      </w:pPr>
      <w:r w:rsidRPr="00F35716">
        <w:tab/>
        <w:t>–</w:t>
      </w:r>
      <w:r w:rsidRPr="00F35716">
        <w:tab/>
      </w:r>
      <w:r w:rsidR="00EC3C86" w:rsidRPr="00F35716">
        <w:t xml:space="preserve">La adopción del Plan </w:t>
      </w:r>
      <w:r w:rsidR="000D6F76" w:rsidRPr="00F35716">
        <w:t xml:space="preserve">Nacional </w:t>
      </w:r>
      <w:r w:rsidR="00EC3C86" w:rsidRPr="00F35716">
        <w:t>de Reforma Administra</w:t>
      </w:r>
      <w:r w:rsidR="000D6F76" w:rsidRPr="00F35716">
        <w:t>tiva</w:t>
      </w:r>
      <w:r w:rsidR="00EC3C86" w:rsidRPr="00F35716">
        <w:t xml:space="preserve"> </w:t>
      </w:r>
      <w:r w:rsidR="000D6F76" w:rsidRPr="00F35716">
        <w:t xml:space="preserve">para el período </w:t>
      </w:r>
      <w:r w:rsidR="00EC3C86" w:rsidRPr="00F35716">
        <w:t xml:space="preserve">2018-2021, que incluye 24 proyectos </w:t>
      </w:r>
      <w:r w:rsidR="00A46E56" w:rsidRPr="00F35716">
        <w:t>destinados a</w:t>
      </w:r>
      <w:r w:rsidR="00EC3C86" w:rsidRPr="00F35716">
        <w:t xml:space="preserve"> acometer transformaciones estructurales, organizativas, digitales</w:t>
      </w:r>
      <w:r w:rsidR="00926637" w:rsidRPr="00F35716">
        <w:t>, sintéticas y de gestión</w:t>
      </w:r>
      <w:r w:rsidR="00EC3C86" w:rsidRPr="00F35716">
        <w:t>. El plan de ejecución de la estrategia para institucionalizar la igualdad de género en la administración pública forma parte del enfoque transformador del plan.</w:t>
      </w:r>
    </w:p>
    <w:p w14:paraId="32E94342" w14:textId="53C00CC0" w:rsidR="00EC3C86" w:rsidRPr="00F35716" w:rsidRDefault="00EC3C86" w:rsidP="00B3192A">
      <w:pPr>
        <w:pStyle w:val="SingleTxt"/>
        <w:numPr>
          <w:ilvl w:val="0"/>
          <w:numId w:val="8"/>
        </w:numPr>
        <w:ind w:left="1267" w:firstLine="0"/>
      </w:pPr>
      <w:r w:rsidRPr="00F35716">
        <w:t xml:space="preserve">El programa del Fondo de Modernización de la Administración Pública, </w:t>
      </w:r>
      <w:r w:rsidR="00926637" w:rsidRPr="00F35716">
        <w:t xml:space="preserve">creado </w:t>
      </w:r>
      <w:r w:rsidRPr="00F35716">
        <w:t>en 2005, a</w:t>
      </w:r>
      <w:r w:rsidR="00926637" w:rsidRPr="00F35716">
        <w:t>gregó</w:t>
      </w:r>
      <w:r w:rsidRPr="00F35716">
        <w:t xml:space="preserve"> en 2018 un nuevo </w:t>
      </w:r>
      <w:r w:rsidR="00926637" w:rsidRPr="00F35716">
        <w:t>componente</w:t>
      </w:r>
      <w:r w:rsidRPr="00F35716">
        <w:t xml:space="preserve"> relacionado con el apoyo </w:t>
      </w:r>
      <w:r w:rsidR="00926637" w:rsidRPr="00F35716">
        <w:t xml:space="preserve">a la </w:t>
      </w:r>
      <w:r w:rsidR="00926637" w:rsidRPr="00F35716">
        <w:lastRenderedPageBreak/>
        <w:t xml:space="preserve">diversidad </w:t>
      </w:r>
      <w:r w:rsidRPr="00F35716">
        <w:t>de género en la administración pública</w:t>
      </w:r>
      <w:r w:rsidR="00926637" w:rsidRPr="00F35716">
        <w:t>,</w:t>
      </w:r>
      <w:r w:rsidRPr="00F35716">
        <w:t xml:space="preserve"> con vistas a promover la igualdad de género en las administraciones públicas y </w:t>
      </w:r>
      <w:r w:rsidR="00926637" w:rsidRPr="00F35716">
        <w:t>proporcionar</w:t>
      </w:r>
      <w:r w:rsidRPr="00F35716">
        <w:t xml:space="preserve"> ayuda financiera y asistencia técnica</w:t>
      </w:r>
      <w:r w:rsidR="00926637" w:rsidRPr="00F35716">
        <w:t xml:space="preserve"> a tal efecto</w:t>
      </w:r>
      <w:r w:rsidRPr="00F35716">
        <w:t xml:space="preserve">. </w:t>
      </w:r>
    </w:p>
    <w:p w14:paraId="32E94343" w14:textId="77777777" w:rsidR="00876129" w:rsidRPr="00F35716" w:rsidRDefault="00876129" w:rsidP="00876129">
      <w:pPr>
        <w:pStyle w:val="SingleTxt"/>
        <w:spacing w:after="0" w:line="120" w:lineRule="exact"/>
        <w:rPr>
          <w:sz w:val="10"/>
          <w:szCs w:val="20"/>
        </w:rPr>
      </w:pPr>
    </w:p>
    <w:p w14:paraId="32E94344" w14:textId="09B6167E" w:rsidR="00EC3C86" w:rsidRPr="00F35716" w:rsidRDefault="00735173"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 w:val="0"/>
          <w:bCs w:val="0"/>
          <w:szCs w:val="20"/>
        </w:rPr>
        <w:t xml:space="preserve">Tabla 6: </w:t>
      </w:r>
      <w:r w:rsidRPr="00F35716">
        <w:rPr>
          <w:bCs w:val="0"/>
          <w:szCs w:val="20"/>
        </w:rPr>
        <w:br/>
      </w:r>
      <w:r w:rsidR="00EC3C86" w:rsidRPr="00F35716">
        <w:rPr>
          <w:bCs w:val="0"/>
          <w:szCs w:val="20"/>
        </w:rPr>
        <w:t>P</w:t>
      </w:r>
      <w:r w:rsidR="00926637" w:rsidRPr="00F35716">
        <w:rPr>
          <w:bCs w:val="0"/>
          <w:szCs w:val="20"/>
        </w:rPr>
        <w:t>orcentaje</w:t>
      </w:r>
      <w:r w:rsidR="00EC3C86" w:rsidRPr="00F35716">
        <w:rPr>
          <w:bCs w:val="0"/>
          <w:szCs w:val="20"/>
        </w:rPr>
        <w:t xml:space="preserve"> de acceso de las mujeres a la administración pública</w:t>
      </w:r>
    </w:p>
    <w:p w14:paraId="32E94345" w14:textId="77777777" w:rsidR="00735173" w:rsidRPr="00F35716" w:rsidRDefault="00735173" w:rsidP="00876129">
      <w:pPr>
        <w:pStyle w:val="SingleTxt"/>
        <w:spacing w:after="0" w:line="120" w:lineRule="exact"/>
        <w:rPr>
          <w:sz w:val="10"/>
          <w:szCs w:val="20"/>
        </w:rPr>
      </w:pPr>
    </w:p>
    <w:tbl>
      <w:tblPr>
        <w:tblW w:w="7344" w:type="dxa"/>
        <w:tblInd w:w="1267" w:type="dxa"/>
        <w:tblLayout w:type="fixed"/>
        <w:tblCellMar>
          <w:left w:w="0" w:type="dxa"/>
          <w:right w:w="43" w:type="dxa"/>
        </w:tblCellMar>
        <w:tblLook w:val="04A0" w:firstRow="1" w:lastRow="0" w:firstColumn="1" w:lastColumn="0" w:noHBand="0" w:noVBand="1"/>
      </w:tblPr>
      <w:tblGrid>
        <w:gridCol w:w="3684"/>
        <w:gridCol w:w="732"/>
        <w:gridCol w:w="732"/>
        <w:gridCol w:w="732"/>
        <w:gridCol w:w="732"/>
        <w:gridCol w:w="732"/>
      </w:tblGrid>
      <w:tr w:rsidR="00401FA2" w:rsidRPr="00F35716" w14:paraId="32E94348" w14:textId="77777777" w:rsidTr="00401FA2">
        <w:trPr>
          <w:trHeight w:val="260"/>
          <w:tblHeader/>
        </w:trPr>
        <w:tc>
          <w:tcPr>
            <w:tcW w:w="3684" w:type="dxa"/>
            <w:vMerge w:val="restart"/>
            <w:tcBorders>
              <w:top w:val="single" w:sz="4" w:space="0" w:color="auto"/>
            </w:tcBorders>
            <w:shd w:val="clear" w:color="auto" w:fill="auto"/>
            <w:vAlign w:val="bottom"/>
          </w:tcPr>
          <w:p w14:paraId="32E94346" w14:textId="2989931A" w:rsidR="00401FA2" w:rsidRPr="00F35716" w:rsidRDefault="00401FA2" w:rsidP="00935444">
            <w:pPr>
              <w:pStyle w:val="SingleTxt"/>
              <w:spacing w:before="80" w:after="80" w:line="160" w:lineRule="exact"/>
              <w:ind w:left="0" w:right="0"/>
              <w:jc w:val="left"/>
              <w:rPr>
                <w:i/>
                <w:iCs/>
                <w:kern w:val="0"/>
                <w:sz w:val="14"/>
                <w:szCs w:val="14"/>
              </w:rPr>
            </w:pPr>
            <w:r w:rsidRPr="00F35716">
              <w:rPr>
                <w:i/>
                <w:iCs/>
                <w:kern w:val="0"/>
                <w:sz w:val="14"/>
                <w:szCs w:val="14"/>
              </w:rPr>
              <w:t xml:space="preserve">Porcentaje de </w:t>
            </w:r>
            <w:r w:rsidR="003D31CB" w:rsidRPr="00F35716">
              <w:rPr>
                <w:i/>
                <w:iCs/>
                <w:kern w:val="0"/>
                <w:sz w:val="14"/>
                <w:szCs w:val="14"/>
              </w:rPr>
              <w:t>mujeres</w:t>
            </w:r>
          </w:p>
        </w:tc>
        <w:tc>
          <w:tcPr>
            <w:tcW w:w="3660" w:type="dxa"/>
            <w:gridSpan w:val="5"/>
            <w:tcBorders>
              <w:top w:val="single" w:sz="4" w:space="0" w:color="auto"/>
              <w:bottom w:val="single" w:sz="4" w:space="0" w:color="auto"/>
            </w:tcBorders>
            <w:shd w:val="clear" w:color="auto" w:fill="auto"/>
            <w:vAlign w:val="bottom"/>
          </w:tcPr>
          <w:p w14:paraId="32E94347" w14:textId="1DDD102F" w:rsidR="00401FA2" w:rsidRPr="00F35716" w:rsidRDefault="00401FA2" w:rsidP="00401F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center"/>
              <w:rPr>
                <w:i/>
                <w:iCs/>
                <w:kern w:val="0"/>
                <w:sz w:val="14"/>
                <w:szCs w:val="14"/>
              </w:rPr>
            </w:pPr>
            <w:r w:rsidRPr="00F35716">
              <w:rPr>
                <w:i/>
                <w:iCs/>
                <w:kern w:val="0"/>
                <w:sz w:val="14"/>
                <w:szCs w:val="14"/>
              </w:rPr>
              <w:t>Año</w:t>
            </w:r>
          </w:p>
        </w:tc>
      </w:tr>
      <w:tr w:rsidR="00401FA2" w:rsidRPr="00F35716" w14:paraId="32E9434F" w14:textId="77777777" w:rsidTr="006F34C8">
        <w:trPr>
          <w:trHeight w:val="260"/>
          <w:tblHeader/>
        </w:trPr>
        <w:tc>
          <w:tcPr>
            <w:tcW w:w="3684" w:type="dxa"/>
            <w:vMerge/>
            <w:shd w:val="clear" w:color="auto" w:fill="auto"/>
            <w:vAlign w:val="bottom"/>
          </w:tcPr>
          <w:p w14:paraId="32E94349" w14:textId="77777777" w:rsidR="00401FA2" w:rsidRPr="00F35716" w:rsidRDefault="00401FA2" w:rsidP="009354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732" w:type="dxa"/>
            <w:tcBorders>
              <w:top w:val="single" w:sz="4" w:space="0" w:color="auto"/>
              <w:bottom w:val="single" w:sz="12" w:space="0" w:color="auto"/>
            </w:tcBorders>
            <w:shd w:val="clear" w:color="auto" w:fill="auto"/>
            <w:vAlign w:val="bottom"/>
          </w:tcPr>
          <w:p w14:paraId="32E9434A" w14:textId="77777777" w:rsidR="00401FA2" w:rsidRPr="00F35716" w:rsidRDefault="00401FA2"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2012</w:t>
            </w:r>
          </w:p>
        </w:tc>
        <w:tc>
          <w:tcPr>
            <w:tcW w:w="732" w:type="dxa"/>
            <w:tcBorders>
              <w:top w:val="single" w:sz="4" w:space="0" w:color="auto"/>
              <w:bottom w:val="single" w:sz="12" w:space="0" w:color="auto"/>
            </w:tcBorders>
            <w:shd w:val="clear" w:color="auto" w:fill="auto"/>
            <w:vAlign w:val="bottom"/>
          </w:tcPr>
          <w:p w14:paraId="32E9434B" w14:textId="77777777" w:rsidR="00401FA2" w:rsidRPr="00F35716" w:rsidRDefault="00401FA2"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2014</w:t>
            </w:r>
          </w:p>
        </w:tc>
        <w:tc>
          <w:tcPr>
            <w:tcW w:w="732" w:type="dxa"/>
            <w:tcBorders>
              <w:top w:val="single" w:sz="4" w:space="0" w:color="auto"/>
              <w:bottom w:val="single" w:sz="12" w:space="0" w:color="auto"/>
            </w:tcBorders>
            <w:shd w:val="clear" w:color="auto" w:fill="auto"/>
            <w:vAlign w:val="bottom"/>
          </w:tcPr>
          <w:p w14:paraId="32E9434C" w14:textId="77777777" w:rsidR="00401FA2" w:rsidRPr="00F35716" w:rsidRDefault="00401FA2"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2015</w:t>
            </w:r>
          </w:p>
        </w:tc>
        <w:tc>
          <w:tcPr>
            <w:tcW w:w="732" w:type="dxa"/>
            <w:tcBorders>
              <w:top w:val="single" w:sz="4" w:space="0" w:color="auto"/>
              <w:bottom w:val="single" w:sz="12" w:space="0" w:color="auto"/>
            </w:tcBorders>
            <w:shd w:val="clear" w:color="auto" w:fill="auto"/>
            <w:vAlign w:val="bottom"/>
          </w:tcPr>
          <w:p w14:paraId="32E9434D" w14:textId="77777777" w:rsidR="00401FA2" w:rsidRPr="00F35716" w:rsidRDefault="00401FA2"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2017</w:t>
            </w:r>
          </w:p>
        </w:tc>
        <w:tc>
          <w:tcPr>
            <w:tcW w:w="732" w:type="dxa"/>
            <w:tcBorders>
              <w:top w:val="single" w:sz="4" w:space="0" w:color="auto"/>
              <w:bottom w:val="single" w:sz="12" w:space="0" w:color="auto"/>
            </w:tcBorders>
            <w:shd w:val="clear" w:color="auto" w:fill="auto"/>
            <w:vAlign w:val="bottom"/>
          </w:tcPr>
          <w:p w14:paraId="32E9434E" w14:textId="77777777" w:rsidR="00401FA2" w:rsidRPr="00F35716" w:rsidRDefault="00401FA2"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2018</w:t>
            </w:r>
          </w:p>
        </w:tc>
      </w:tr>
      <w:tr w:rsidR="00AD35B4" w:rsidRPr="00F35716" w14:paraId="32E94356" w14:textId="77777777" w:rsidTr="00D00424">
        <w:trPr>
          <w:trHeight w:hRule="exact" w:val="115"/>
          <w:tblHeader/>
        </w:trPr>
        <w:tc>
          <w:tcPr>
            <w:tcW w:w="3684" w:type="dxa"/>
            <w:tcBorders>
              <w:top w:val="single" w:sz="12" w:space="0" w:color="auto"/>
            </w:tcBorders>
            <w:shd w:val="clear" w:color="auto" w:fill="auto"/>
          </w:tcPr>
          <w:p w14:paraId="32E94350" w14:textId="77777777" w:rsidR="00AD35B4" w:rsidRPr="00F35716" w:rsidRDefault="00AD35B4" w:rsidP="009310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rPr>
                <w:i/>
                <w:iCs/>
                <w:kern w:val="0"/>
                <w:sz w:val="14"/>
                <w:szCs w:val="14"/>
              </w:rPr>
            </w:pPr>
          </w:p>
        </w:tc>
        <w:tc>
          <w:tcPr>
            <w:tcW w:w="732" w:type="dxa"/>
            <w:tcBorders>
              <w:top w:val="single" w:sz="12" w:space="0" w:color="auto"/>
            </w:tcBorders>
            <w:shd w:val="clear" w:color="auto" w:fill="auto"/>
          </w:tcPr>
          <w:p w14:paraId="32E94351" w14:textId="77777777" w:rsidR="00AD35B4" w:rsidRPr="00F35716" w:rsidRDefault="00AD35B4" w:rsidP="009310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rPr>
                <w:i/>
                <w:iCs/>
                <w:kern w:val="0"/>
                <w:sz w:val="14"/>
                <w:szCs w:val="14"/>
              </w:rPr>
            </w:pPr>
          </w:p>
        </w:tc>
        <w:tc>
          <w:tcPr>
            <w:tcW w:w="732" w:type="dxa"/>
            <w:tcBorders>
              <w:top w:val="single" w:sz="12" w:space="0" w:color="auto"/>
            </w:tcBorders>
            <w:shd w:val="clear" w:color="auto" w:fill="auto"/>
          </w:tcPr>
          <w:p w14:paraId="32E94352" w14:textId="77777777" w:rsidR="00AD35B4" w:rsidRPr="00F35716" w:rsidRDefault="00AD35B4" w:rsidP="009310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rPr>
                <w:i/>
                <w:iCs/>
                <w:kern w:val="0"/>
                <w:sz w:val="14"/>
                <w:szCs w:val="14"/>
              </w:rPr>
            </w:pPr>
          </w:p>
        </w:tc>
        <w:tc>
          <w:tcPr>
            <w:tcW w:w="732" w:type="dxa"/>
            <w:tcBorders>
              <w:top w:val="single" w:sz="12" w:space="0" w:color="auto"/>
            </w:tcBorders>
            <w:shd w:val="clear" w:color="auto" w:fill="auto"/>
          </w:tcPr>
          <w:p w14:paraId="32E94353" w14:textId="77777777" w:rsidR="00AD35B4" w:rsidRPr="00F35716" w:rsidRDefault="00AD35B4" w:rsidP="009310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rPr>
                <w:i/>
                <w:iCs/>
                <w:kern w:val="0"/>
                <w:sz w:val="14"/>
                <w:szCs w:val="14"/>
              </w:rPr>
            </w:pPr>
          </w:p>
        </w:tc>
        <w:tc>
          <w:tcPr>
            <w:tcW w:w="732" w:type="dxa"/>
            <w:tcBorders>
              <w:top w:val="single" w:sz="12" w:space="0" w:color="auto"/>
            </w:tcBorders>
            <w:shd w:val="clear" w:color="auto" w:fill="auto"/>
          </w:tcPr>
          <w:p w14:paraId="32E94354" w14:textId="77777777" w:rsidR="00AD35B4" w:rsidRPr="00F35716" w:rsidRDefault="00AD35B4" w:rsidP="009310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rPr>
                <w:i/>
                <w:iCs/>
                <w:kern w:val="0"/>
                <w:sz w:val="14"/>
                <w:szCs w:val="14"/>
              </w:rPr>
            </w:pPr>
          </w:p>
        </w:tc>
        <w:tc>
          <w:tcPr>
            <w:tcW w:w="732" w:type="dxa"/>
            <w:tcBorders>
              <w:top w:val="single" w:sz="12" w:space="0" w:color="auto"/>
            </w:tcBorders>
            <w:shd w:val="clear" w:color="auto" w:fill="auto"/>
          </w:tcPr>
          <w:p w14:paraId="32E94355" w14:textId="77777777" w:rsidR="00AD35B4" w:rsidRPr="00F35716" w:rsidRDefault="00AD35B4" w:rsidP="0093106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rPr>
                <w:i/>
                <w:iCs/>
                <w:kern w:val="0"/>
                <w:sz w:val="14"/>
                <w:szCs w:val="14"/>
              </w:rPr>
            </w:pPr>
          </w:p>
        </w:tc>
      </w:tr>
      <w:tr w:rsidR="00AD35B4" w:rsidRPr="00F35716" w14:paraId="32E9435D" w14:textId="77777777" w:rsidTr="00A83AD7">
        <w:trPr>
          <w:trHeight w:val="243"/>
        </w:trPr>
        <w:tc>
          <w:tcPr>
            <w:tcW w:w="3684" w:type="dxa"/>
            <w:shd w:val="clear" w:color="auto" w:fill="auto"/>
          </w:tcPr>
          <w:p w14:paraId="32E94357" w14:textId="77777777" w:rsidR="00EC3C86" w:rsidRPr="00F35716" w:rsidRDefault="00EC3C86" w:rsidP="00705085">
            <w:pPr>
              <w:spacing w:before="40" w:after="80" w:line="210" w:lineRule="exact"/>
              <w:rPr>
                <w:bCs/>
                <w:sz w:val="17"/>
                <w:szCs w:val="17"/>
              </w:rPr>
            </w:pPr>
            <w:r w:rsidRPr="00F35716">
              <w:rPr>
                <w:bCs/>
                <w:sz w:val="17"/>
                <w:szCs w:val="17"/>
              </w:rPr>
              <w:t>Cargos de responsabilidad</w:t>
            </w:r>
            <w:r w:rsidR="00705085" w:rsidRPr="00F35716">
              <w:rPr>
                <w:bCs/>
                <w:sz w:val="17"/>
                <w:szCs w:val="17"/>
              </w:rPr>
              <w:t xml:space="preserve"> </w:t>
            </w:r>
            <w:r w:rsidR="00705085" w:rsidRPr="00F35716">
              <w:rPr>
                <w:bCs/>
                <w:sz w:val="17"/>
                <w:szCs w:val="17"/>
              </w:rPr>
              <w:br/>
            </w:r>
            <w:r w:rsidRPr="00F35716">
              <w:rPr>
                <w:bCs/>
                <w:sz w:val="17"/>
                <w:szCs w:val="17"/>
              </w:rPr>
              <w:t xml:space="preserve">(jefa de departamento, jefa de servicio) </w:t>
            </w:r>
          </w:p>
        </w:tc>
        <w:tc>
          <w:tcPr>
            <w:tcW w:w="732" w:type="dxa"/>
            <w:shd w:val="clear" w:color="auto" w:fill="auto"/>
          </w:tcPr>
          <w:p w14:paraId="32E94358" w14:textId="77777777" w:rsidR="00EC3C86" w:rsidRPr="00F35716" w:rsidRDefault="00EC3C86" w:rsidP="00AD35B4">
            <w:pPr>
              <w:spacing w:before="40" w:after="80" w:line="210" w:lineRule="exact"/>
              <w:jc w:val="right"/>
              <w:rPr>
                <w:sz w:val="17"/>
                <w:szCs w:val="17"/>
              </w:rPr>
            </w:pPr>
            <w:r w:rsidRPr="00F35716">
              <w:rPr>
                <w:sz w:val="17"/>
                <w:szCs w:val="17"/>
              </w:rPr>
              <w:t>16,21</w:t>
            </w:r>
          </w:p>
        </w:tc>
        <w:tc>
          <w:tcPr>
            <w:tcW w:w="732" w:type="dxa"/>
            <w:shd w:val="clear" w:color="auto" w:fill="auto"/>
          </w:tcPr>
          <w:p w14:paraId="32E94359" w14:textId="77777777" w:rsidR="00EC3C86" w:rsidRPr="00F35716" w:rsidRDefault="00EC3C86" w:rsidP="00AD35B4">
            <w:pPr>
              <w:spacing w:before="40" w:after="80" w:line="210" w:lineRule="exact"/>
              <w:jc w:val="right"/>
              <w:rPr>
                <w:sz w:val="17"/>
                <w:szCs w:val="17"/>
              </w:rPr>
            </w:pPr>
            <w:r w:rsidRPr="00F35716">
              <w:rPr>
                <w:sz w:val="17"/>
                <w:szCs w:val="17"/>
              </w:rPr>
              <w:t>19,71</w:t>
            </w:r>
          </w:p>
        </w:tc>
        <w:tc>
          <w:tcPr>
            <w:tcW w:w="732" w:type="dxa"/>
            <w:shd w:val="clear" w:color="auto" w:fill="auto"/>
          </w:tcPr>
          <w:p w14:paraId="32E9435A" w14:textId="77777777" w:rsidR="00EC3C86" w:rsidRPr="00F35716" w:rsidRDefault="00EC3C86" w:rsidP="00AD35B4">
            <w:pPr>
              <w:spacing w:before="40" w:after="80" w:line="210" w:lineRule="exact"/>
              <w:jc w:val="right"/>
              <w:rPr>
                <w:sz w:val="17"/>
                <w:szCs w:val="17"/>
              </w:rPr>
            </w:pPr>
            <w:r w:rsidRPr="00F35716">
              <w:rPr>
                <w:sz w:val="17"/>
                <w:szCs w:val="17"/>
              </w:rPr>
              <w:t>21,84</w:t>
            </w:r>
          </w:p>
        </w:tc>
        <w:tc>
          <w:tcPr>
            <w:tcW w:w="732" w:type="dxa"/>
            <w:shd w:val="clear" w:color="auto" w:fill="auto"/>
          </w:tcPr>
          <w:p w14:paraId="32E9435B" w14:textId="77777777" w:rsidR="00EC3C86" w:rsidRPr="00F35716" w:rsidRDefault="00EC3C86" w:rsidP="00AD35B4">
            <w:pPr>
              <w:spacing w:before="40" w:after="80" w:line="210" w:lineRule="exact"/>
              <w:jc w:val="right"/>
              <w:rPr>
                <w:sz w:val="17"/>
                <w:szCs w:val="17"/>
              </w:rPr>
            </w:pPr>
            <w:r w:rsidRPr="00F35716">
              <w:rPr>
                <w:sz w:val="17"/>
                <w:szCs w:val="17"/>
              </w:rPr>
              <w:t>22,5</w:t>
            </w:r>
          </w:p>
        </w:tc>
        <w:tc>
          <w:tcPr>
            <w:tcW w:w="732" w:type="dxa"/>
            <w:shd w:val="clear" w:color="auto" w:fill="auto"/>
          </w:tcPr>
          <w:p w14:paraId="32E9435C" w14:textId="77777777" w:rsidR="00EC3C86" w:rsidRPr="00F35716" w:rsidRDefault="00EC3C86" w:rsidP="00AD35B4">
            <w:pPr>
              <w:spacing w:before="40" w:after="80" w:line="210" w:lineRule="exact"/>
              <w:jc w:val="right"/>
              <w:rPr>
                <w:sz w:val="17"/>
                <w:szCs w:val="17"/>
              </w:rPr>
            </w:pPr>
            <w:r w:rsidRPr="00F35716">
              <w:rPr>
                <w:sz w:val="17"/>
                <w:szCs w:val="17"/>
              </w:rPr>
              <w:t>23,27</w:t>
            </w:r>
          </w:p>
        </w:tc>
      </w:tr>
      <w:tr w:rsidR="00AD35B4" w:rsidRPr="00F35716" w14:paraId="32E94364" w14:textId="77777777" w:rsidTr="00A83AD7">
        <w:trPr>
          <w:trHeight w:val="153"/>
        </w:trPr>
        <w:tc>
          <w:tcPr>
            <w:tcW w:w="3684" w:type="dxa"/>
            <w:tcBorders>
              <w:bottom w:val="single" w:sz="4" w:space="0" w:color="auto"/>
            </w:tcBorders>
            <w:shd w:val="clear" w:color="auto" w:fill="auto"/>
          </w:tcPr>
          <w:p w14:paraId="32E9435E" w14:textId="77777777" w:rsidR="00EC3C86" w:rsidRPr="00F35716" w:rsidRDefault="00EC3C86" w:rsidP="00705085">
            <w:pPr>
              <w:spacing w:before="40" w:after="80" w:line="210" w:lineRule="exact"/>
              <w:rPr>
                <w:bCs/>
                <w:sz w:val="17"/>
                <w:szCs w:val="17"/>
              </w:rPr>
            </w:pPr>
            <w:r w:rsidRPr="00F35716">
              <w:rPr>
                <w:bCs/>
                <w:sz w:val="17"/>
                <w:szCs w:val="17"/>
              </w:rPr>
              <w:t>Altos cargos</w:t>
            </w:r>
            <w:r w:rsidR="00705085" w:rsidRPr="00F35716">
              <w:rPr>
                <w:bCs/>
                <w:sz w:val="17"/>
                <w:szCs w:val="17"/>
              </w:rPr>
              <w:t xml:space="preserve"> </w:t>
            </w:r>
            <w:r w:rsidR="00705085" w:rsidRPr="00F35716">
              <w:rPr>
                <w:bCs/>
                <w:sz w:val="17"/>
                <w:szCs w:val="17"/>
              </w:rPr>
              <w:br/>
            </w:r>
            <w:r w:rsidRPr="00F35716">
              <w:rPr>
                <w:bCs/>
                <w:sz w:val="17"/>
                <w:szCs w:val="17"/>
              </w:rPr>
              <w:t>(secretaria general, directora general, directora)</w:t>
            </w:r>
          </w:p>
        </w:tc>
        <w:tc>
          <w:tcPr>
            <w:tcW w:w="732" w:type="dxa"/>
            <w:tcBorders>
              <w:bottom w:val="single" w:sz="4" w:space="0" w:color="auto"/>
            </w:tcBorders>
            <w:shd w:val="clear" w:color="auto" w:fill="auto"/>
          </w:tcPr>
          <w:p w14:paraId="32E9435F" w14:textId="77777777" w:rsidR="00EC3C86" w:rsidRPr="00F35716" w:rsidRDefault="00EC3C86" w:rsidP="00AD35B4">
            <w:pPr>
              <w:spacing w:before="40" w:after="80" w:line="210" w:lineRule="exact"/>
              <w:jc w:val="right"/>
              <w:rPr>
                <w:sz w:val="17"/>
                <w:szCs w:val="17"/>
              </w:rPr>
            </w:pPr>
            <w:r w:rsidRPr="00F35716">
              <w:rPr>
                <w:sz w:val="17"/>
                <w:szCs w:val="17"/>
              </w:rPr>
              <w:t>10,38</w:t>
            </w:r>
          </w:p>
        </w:tc>
        <w:tc>
          <w:tcPr>
            <w:tcW w:w="732" w:type="dxa"/>
            <w:tcBorders>
              <w:bottom w:val="single" w:sz="4" w:space="0" w:color="auto"/>
            </w:tcBorders>
            <w:shd w:val="clear" w:color="auto" w:fill="auto"/>
          </w:tcPr>
          <w:p w14:paraId="32E94360" w14:textId="77777777" w:rsidR="00EC3C86" w:rsidRPr="00F35716" w:rsidRDefault="00EC3C86" w:rsidP="00AD35B4">
            <w:pPr>
              <w:spacing w:before="40" w:after="80" w:line="210" w:lineRule="exact"/>
              <w:jc w:val="right"/>
              <w:rPr>
                <w:sz w:val="17"/>
                <w:szCs w:val="17"/>
              </w:rPr>
            </w:pPr>
            <w:r w:rsidRPr="00F35716">
              <w:rPr>
                <w:sz w:val="17"/>
                <w:szCs w:val="17"/>
              </w:rPr>
              <w:t>10,11</w:t>
            </w:r>
          </w:p>
        </w:tc>
        <w:tc>
          <w:tcPr>
            <w:tcW w:w="732" w:type="dxa"/>
            <w:tcBorders>
              <w:bottom w:val="single" w:sz="4" w:space="0" w:color="auto"/>
            </w:tcBorders>
            <w:shd w:val="clear" w:color="auto" w:fill="auto"/>
          </w:tcPr>
          <w:p w14:paraId="32E94361" w14:textId="77777777" w:rsidR="00EC3C86" w:rsidRPr="00F35716" w:rsidRDefault="00EC3C86" w:rsidP="00AD35B4">
            <w:pPr>
              <w:spacing w:before="40" w:after="80" w:line="210" w:lineRule="exact"/>
              <w:jc w:val="right"/>
              <w:rPr>
                <w:sz w:val="17"/>
                <w:szCs w:val="17"/>
              </w:rPr>
            </w:pPr>
            <w:r w:rsidRPr="00F35716">
              <w:rPr>
                <w:sz w:val="17"/>
                <w:szCs w:val="17"/>
              </w:rPr>
              <w:t>13,04</w:t>
            </w:r>
          </w:p>
        </w:tc>
        <w:tc>
          <w:tcPr>
            <w:tcW w:w="732" w:type="dxa"/>
            <w:tcBorders>
              <w:bottom w:val="single" w:sz="4" w:space="0" w:color="auto"/>
            </w:tcBorders>
            <w:shd w:val="clear" w:color="auto" w:fill="auto"/>
          </w:tcPr>
          <w:p w14:paraId="32E94362" w14:textId="77777777" w:rsidR="00EC3C86" w:rsidRPr="00F35716" w:rsidRDefault="00EC3C86" w:rsidP="00AD35B4">
            <w:pPr>
              <w:spacing w:before="40" w:after="80" w:line="210" w:lineRule="exact"/>
              <w:jc w:val="right"/>
              <w:rPr>
                <w:sz w:val="17"/>
                <w:szCs w:val="17"/>
              </w:rPr>
            </w:pPr>
            <w:r w:rsidRPr="00F35716">
              <w:rPr>
                <w:sz w:val="17"/>
                <w:szCs w:val="17"/>
              </w:rPr>
              <w:t>15,28</w:t>
            </w:r>
          </w:p>
        </w:tc>
        <w:tc>
          <w:tcPr>
            <w:tcW w:w="732" w:type="dxa"/>
            <w:tcBorders>
              <w:bottom w:val="single" w:sz="4" w:space="0" w:color="auto"/>
            </w:tcBorders>
            <w:shd w:val="clear" w:color="auto" w:fill="auto"/>
          </w:tcPr>
          <w:p w14:paraId="32E94363" w14:textId="77777777" w:rsidR="00EC3C86" w:rsidRPr="00F35716" w:rsidRDefault="00EC3C86" w:rsidP="00AD35B4">
            <w:pPr>
              <w:spacing w:before="40" w:after="80" w:line="210" w:lineRule="exact"/>
              <w:jc w:val="right"/>
              <w:rPr>
                <w:sz w:val="17"/>
                <w:szCs w:val="17"/>
              </w:rPr>
            </w:pPr>
            <w:r w:rsidRPr="00F35716">
              <w:rPr>
                <w:sz w:val="17"/>
                <w:szCs w:val="17"/>
              </w:rPr>
              <w:t>16,59</w:t>
            </w:r>
          </w:p>
        </w:tc>
      </w:tr>
      <w:tr w:rsidR="003F7F2A" w:rsidRPr="00F35716" w14:paraId="32E9436B" w14:textId="77777777" w:rsidTr="00A83AD7">
        <w:trPr>
          <w:trHeight w:val="207"/>
        </w:trPr>
        <w:tc>
          <w:tcPr>
            <w:tcW w:w="3684" w:type="dxa"/>
            <w:tcBorders>
              <w:top w:val="single" w:sz="4" w:space="0" w:color="auto"/>
              <w:bottom w:val="single" w:sz="12" w:space="0" w:color="auto"/>
            </w:tcBorders>
            <w:shd w:val="clear" w:color="auto" w:fill="auto"/>
            <w:vAlign w:val="bottom"/>
          </w:tcPr>
          <w:p w14:paraId="32E94365" w14:textId="77777777" w:rsidR="003F7F2A" w:rsidRPr="00F35716" w:rsidRDefault="003F7F2A" w:rsidP="00534208">
            <w:pPr>
              <w:tabs>
                <w:tab w:val="left" w:pos="365"/>
              </w:tabs>
              <w:spacing w:before="80" w:after="80" w:line="210" w:lineRule="exact"/>
              <w:rPr>
                <w:b/>
                <w:bCs/>
                <w:sz w:val="17"/>
                <w:szCs w:val="17"/>
              </w:rPr>
            </w:pPr>
            <w:r w:rsidRPr="00F35716">
              <w:rPr>
                <w:b/>
                <w:bCs/>
                <w:sz w:val="17"/>
                <w:szCs w:val="17"/>
              </w:rPr>
              <w:tab/>
              <w:t>Total</w:t>
            </w:r>
          </w:p>
        </w:tc>
        <w:tc>
          <w:tcPr>
            <w:tcW w:w="732" w:type="dxa"/>
            <w:tcBorders>
              <w:top w:val="single" w:sz="4" w:space="0" w:color="auto"/>
              <w:bottom w:val="single" w:sz="12" w:space="0" w:color="auto"/>
            </w:tcBorders>
            <w:shd w:val="clear" w:color="auto" w:fill="auto"/>
          </w:tcPr>
          <w:p w14:paraId="32E94366" w14:textId="77777777" w:rsidR="003F7F2A" w:rsidRPr="00F35716" w:rsidRDefault="003F7F2A" w:rsidP="00534208">
            <w:pPr>
              <w:spacing w:before="80" w:after="80" w:line="210" w:lineRule="exact"/>
              <w:jc w:val="right"/>
              <w:rPr>
                <w:sz w:val="17"/>
                <w:szCs w:val="17"/>
              </w:rPr>
            </w:pPr>
            <w:r w:rsidRPr="00F35716">
              <w:rPr>
                <w:b/>
                <w:sz w:val="17"/>
                <w:szCs w:val="17"/>
              </w:rPr>
              <w:t>38,6</w:t>
            </w:r>
          </w:p>
        </w:tc>
        <w:tc>
          <w:tcPr>
            <w:tcW w:w="732" w:type="dxa"/>
            <w:tcBorders>
              <w:top w:val="single" w:sz="4" w:space="0" w:color="auto"/>
              <w:bottom w:val="single" w:sz="12" w:space="0" w:color="auto"/>
            </w:tcBorders>
            <w:shd w:val="clear" w:color="auto" w:fill="auto"/>
          </w:tcPr>
          <w:p w14:paraId="32E94367" w14:textId="77777777" w:rsidR="003F7F2A" w:rsidRPr="00F35716" w:rsidRDefault="003F7F2A" w:rsidP="00534208">
            <w:pPr>
              <w:spacing w:before="80" w:after="80" w:line="210" w:lineRule="exact"/>
              <w:jc w:val="right"/>
              <w:rPr>
                <w:sz w:val="17"/>
                <w:szCs w:val="17"/>
              </w:rPr>
            </w:pPr>
            <w:r w:rsidRPr="00F35716">
              <w:rPr>
                <w:b/>
                <w:sz w:val="17"/>
                <w:szCs w:val="17"/>
              </w:rPr>
              <w:t>39,3</w:t>
            </w:r>
          </w:p>
        </w:tc>
        <w:tc>
          <w:tcPr>
            <w:tcW w:w="732" w:type="dxa"/>
            <w:tcBorders>
              <w:top w:val="single" w:sz="4" w:space="0" w:color="auto"/>
              <w:bottom w:val="single" w:sz="12" w:space="0" w:color="auto"/>
            </w:tcBorders>
            <w:shd w:val="clear" w:color="auto" w:fill="auto"/>
          </w:tcPr>
          <w:p w14:paraId="32E94368" w14:textId="77777777" w:rsidR="003F7F2A" w:rsidRPr="00F35716" w:rsidRDefault="003F7F2A" w:rsidP="00534208">
            <w:pPr>
              <w:spacing w:before="80" w:after="80" w:line="210" w:lineRule="exact"/>
              <w:jc w:val="right"/>
              <w:rPr>
                <w:sz w:val="17"/>
                <w:szCs w:val="17"/>
              </w:rPr>
            </w:pPr>
            <w:r w:rsidRPr="00F35716">
              <w:rPr>
                <w:b/>
                <w:sz w:val="17"/>
                <w:szCs w:val="17"/>
              </w:rPr>
              <w:t>39</w:t>
            </w:r>
          </w:p>
        </w:tc>
        <w:tc>
          <w:tcPr>
            <w:tcW w:w="732" w:type="dxa"/>
            <w:tcBorders>
              <w:top w:val="single" w:sz="4" w:space="0" w:color="auto"/>
              <w:bottom w:val="single" w:sz="12" w:space="0" w:color="auto"/>
            </w:tcBorders>
            <w:shd w:val="clear" w:color="auto" w:fill="auto"/>
          </w:tcPr>
          <w:p w14:paraId="32E94369" w14:textId="77777777" w:rsidR="003F7F2A" w:rsidRPr="00F35716" w:rsidRDefault="003F7F2A" w:rsidP="00534208">
            <w:pPr>
              <w:spacing w:before="80" w:after="80" w:line="210" w:lineRule="exact"/>
              <w:jc w:val="right"/>
              <w:rPr>
                <w:sz w:val="17"/>
                <w:szCs w:val="17"/>
              </w:rPr>
            </w:pPr>
            <w:r w:rsidRPr="00F35716">
              <w:rPr>
                <w:b/>
                <w:sz w:val="17"/>
                <w:szCs w:val="17"/>
              </w:rPr>
              <w:t>39,7</w:t>
            </w:r>
          </w:p>
        </w:tc>
        <w:tc>
          <w:tcPr>
            <w:tcW w:w="732" w:type="dxa"/>
            <w:tcBorders>
              <w:top w:val="single" w:sz="4" w:space="0" w:color="auto"/>
              <w:bottom w:val="single" w:sz="12" w:space="0" w:color="auto"/>
            </w:tcBorders>
            <w:shd w:val="clear" w:color="auto" w:fill="auto"/>
          </w:tcPr>
          <w:p w14:paraId="32E9436A" w14:textId="77777777" w:rsidR="003F7F2A" w:rsidRPr="00F35716" w:rsidRDefault="003F7F2A" w:rsidP="00534208">
            <w:pPr>
              <w:spacing w:before="80" w:after="80" w:line="210" w:lineRule="exact"/>
              <w:jc w:val="right"/>
              <w:rPr>
                <w:sz w:val="17"/>
                <w:szCs w:val="17"/>
              </w:rPr>
            </w:pPr>
            <w:r w:rsidRPr="00F35716">
              <w:rPr>
                <w:b/>
                <w:sz w:val="17"/>
                <w:szCs w:val="17"/>
              </w:rPr>
              <w:t>39,8</w:t>
            </w:r>
          </w:p>
        </w:tc>
      </w:tr>
    </w:tbl>
    <w:p w14:paraId="32E9436C" w14:textId="77777777" w:rsidR="00AD35B4" w:rsidRPr="00F35716" w:rsidRDefault="00AD35B4" w:rsidP="00876129">
      <w:pPr>
        <w:pStyle w:val="SingleTxt"/>
        <w:spacing w:after="0" w:line="120" w:lineRule="exact"/>
        <w:rPr>
          <w:sz w:val="10"/>
          <w:szCs w:val="20"/>
        </w:rPr>
      </w:pPr>
    </w:p>
    <w:p w14:paraId="32E9436D" w14:textId="77777777" w:rsidR="00876129" w:rsidRPr="00F35716" w:rsidRDefault="00876129" w:rsidP="00876129">
      <w:pPr>
        <w:pStyle w:val="SingleTxt"/>
        <w:spacing w:after="0" w:line="120" w:lineRule="exact"/>
        <w:rPr>
          <w:sz w:val="10"/>
          <w:szCs w:val="20"/>
        </w:rPr>
      </w:pPr>
    </w:p>
    <w:p w14:paraId="32E9436E" w14:textId="3BF4CBB2" w:rsidR="00EC3C86" w:rsidRPr="00F35716" w:rsidRDefault="003D31CB" w:rsidP="00B3192A">
      <w:pPr>
        <w:pStyle w:val="SingleTxt"/>
        <w:numPr>
          <w:ilvl w:val="0"/>
          <w:numId w:val="8"/>
        </w:numPr>
        <w:ind w:left="1267" w:firstLine="0"/>
      </w:pPr>
      <w:r w:rsidRPr="00F35716">
        <w:t>En</w:t>
      </w:r>
      <w:r w:rsidR="00EC3C86" w:rsidRPr="00F35716">
        <w:t xml:space="preserve"> la Dirección General de Seguridad Nacional, el empleo de mujeres aumentó </w:t>
      </w:r>
      <w:r w:rsidRPr="00F35716">
        <w:t>considerable</w:t>
      </w:r>
      <w:r w:rsidR="00EC3C86" w:rsidRPr="00F35716">
        <w:t>mente entre 2008 y 2017. El número de empleadas llegó a</w:t>
      </w:r>
      <w:r w:rsidR="00A0005B" w:rsidRPr="00F35716">
        <w:t> </w:t>
      </w:r>
      <w:r w:rsidR="00EC3C86" w:rsidRPr="00F35716">
        <w:t xml:space="preserve">3.037, distribuidas entre personal no uniformado, uniformado y ministerial. En 2018 se </w:t>
      </w:r>
      <w:r w:rsidRPr="00F35716">
        <w:t xml:space="preserve">contrató </w:t>
      </w:r>
      <w:r w:rsidR="00EC3C86" w:rsidRPr="00F35716">
        <w:t>a 328 mujeres</w:t>
      </w:r>
      <w:r w:rsidR="00370229" w:rsidRPr="00F35716">
        <w:t xml:space="preserve"> y</w:t>
      </w:r>
      <w:r w:rsidR="00EC3C86" w:rsidRPr="00F35716">
        <w:t xml:space="preserve"> se </w:t>
      </w:r>
      <w:r w:rsidRPr="00F35716">
        <w:t>cubrieron</w:t>
      </w:r>
      <w:r w:rsidR="00EC3C86" w:rsidRPr="00F35716">
        <w:t xml:space="preserve"> 57 puestos a nivel central y 81 puestos </w:t>
      </w:r>
      <w:r w:rsidRPr="00F35716">
        <w:t>en organismos</w:t>
      </w:r>
      <w:r w:rsidR="00EC3C86" w:rsidRPr="00F35716">
        <w:t xml:space="preserve"> descentralizados. </w:t>
      </w:r>
      <w:r w:rsidRPr="00F35716">
        <w:t>En la estructura central, l</w:t>
      </w:r>
      <w:r w:rsidR="00EC3C86" w:rsidRPr="00F35716">
        <w:t>os porcentajes se distribuye</w:t>
      </w:r>
      <w:r w:rsidRPr="00F35716">
        <w:t>n</w:t>
      </w:r>
      <w:r w:rsidR="00EC3C86" w:rsidRPr="00F35716">
        <w:t xml:space="preserve"> del siguiente modo: el 8</w:t>
      </w:r>
      <w:r w:rsidR="0006736D" w:rsidRPr="00F35716">
        <w:t> %</w:t>
      </w:r>
      <w:r w:rsidR="00EC3C86" w:rsidRPr="00F35716">
        <w:t xml:space="preserve"> </w:t>
      </w:r>
      <w:r w:rsidRPr="00F35716">
        <w:t>son</w:t>
      </w:r>
      <w:r w:rsidR="00EC3C86" w:rsidRPr="00F35716">
        <w:t xml:space="preserve"> jefas de departamento; el 33</w:t>
      </w:r>
      <w:r w:rsidR="0006736D" w:rsidRPr="00F35716">
        <w:t> %</w:t>
      </w:r>
      <w:r w:rsidR="00EC3C86" w:rsidRPr="00F35716">
        <w:t>, jefas de servicios; el 33</w:t>
      </w:r>
      <w:r w:rsidR="0006736D" w:rsidRPr="00F35716">
        <w:t> %</w:t>
      </w:r>
      <w:r w:rsidR="00EC3C86" w:rsidRPr="00F35716">
        <w:t>, jefas de sucursales; y el 26</w:t>
      </w:r>
      <w:r w:rsidR="0006736D" w:rsidRPr="00F35716">
        <w:t> %</w:t>
      </w:r>
      <w:r w:rsidR="00EC3C86" w:rsidRPr="00F35716">
        <w:t xml:space="preserve"> restante, jefas de unidad</w:t>
      </w:r>
      <w:r w:rsidRPr="00F35716">
        <w:t>es</w:t>
      </w:r>
      <w:r w:rsidR="00EC3C86" w:rsidRPr="00F35716">
        <w:t xml:space="preserve"> administrativa</w:t>
      </w:r>
      <w:r w:rsidRPr="00F35716">
        <w:t>s</w:t>
      </w:r>
      <w:r w:rsidR="00EC3C86" w:rsidRPr="00F35716">
        <w:t>.</w:t>
      </w:r>
    </w:p>
    <w:p w14:paraId="32E9436F" w14:textId="78E12FDC" w:rsidR="00EC3C86" w:rsidRPr="00F35716" w:rsidRDefault="00EC3C86" w:rsidP="00B3192A">
      <w:pPr>
        <w:pStyle w:val="SingleTxt"/>
        <w:numPr>
          <w:ilvl w:val="0"/>
          <w:numId w:val="8"/>
        </w:numPr>
        <w:ind w:left="1267" w:firstLine="0"/>
      </w:pPr>
      <w:r w:rsidRPr="00F35716">
        <w:t xml:space="preserve">En 2006 las mujeres pudieron optar por primera vez a ocupar puestos de liderazgo en el </w:t>
      </w:r>
      <w:r w:rsidR="008D0563" w:rsidRPr="00F35716">
        <w:t xml:space="preserve">Real </w:t>
      </w:r>
      <w:r w:rsidRPr="00F35716">
        <w:t xml:space="preserve">Instituto de </w:t>
      </w:r>
      <w:r w:rsidR="008D0563" w:rsidRPr="00F35716">
        <w:t>Administración</w:t>
      </w:r>
      <w:r w:rsidRPr="00F35716">
        <w:t xml:space="preserve"> Territorial, tradicionalmente reservados a los hombres. La experiencia </w:t>
      </w:r>
      <w:r w:rsidR="00105C30" w:rsidRPr="00F35716">
        <w:t xml:space="preserve">llevó a que las mujeres se inscribieran en los </w:t>
      </w:r>
      <w:r w:rsidRPr="00F35716">
        <w:t>programas de formación</w:t>
      </w:r>
      <w:r w:rsidR="00105C30" w:rsidRPr="00F35716">
        <w:t xml:space="preserve"> </w:t>
      </w:r>
      <w:r w:rsidR="008D0563" w:rsidRPr="00F35716">
        <w:t>del Instituto</w:t>
      </w:r>
      <w:r w:rsidRPr="00F35716">
        <w:t xml:space="preserve">. En 2014 se nombró a la primera </w:t>
      </w:r>
      <w:r w:rsidR="00F6658E" w:rsidRPr="00F35716">
        <w:t>mujer administradora</w:t>
      </w:r>
      <w:r w:rsidRPr="00F35716">
        <w:t xml:space="preserve">, y </w:t>
      </w:r>
      <w:r w:rsidR="008D0563" w:rsidRPr="00F35716">
        <w:t xml:space="preserve">actualmente </w:t>
      </w:r>
      <w:r w:rsidRPr="00F35716">
        <w:t xml:space="preserve">157 mujeres ocupan cargos de poder, asumiendo funciones de </w:t>
      </w:r>
      <w:r w:rsidR="008D0563" w:rsidRPr="00F35716">
        <w:t>liderazgo</w:t>
      </w:r>
      <w:r w:rsidRPr="00F35716">
        <w:t xml:space="preserve"> en </w:t>
      </w:r>
      <w:r w:rsidR="00895DAC" w:rsidRPr="00F35716">
        <w:t>e</w:t>
      </w:r>
      <w:r w:rsidRPr="00F35716">
        <w:t>l</w:t>
      </w:r>
      <w:r w:rsidR="00895DAC" w:rsidRPr="00F35716">
        <w:t xml:space="preserve"> gobierno</w:t>
      </w:r>
      <w:r w:rsidRPr="00F35716">
        <w:t xml:space="preserve"> </w:t>
      </w:r>
      <w:r w:rsidR="00895DAC" w:rsidRPr="00F35716">
        <w:t>local</w:t>
      </w:r>
      <w:r w:rsidRPr="00F35716">
        <w:t xml:space="preserve"> y </w:t>
      </w:r>
      <w:r w:rsidR="00895DAC" w:rsidRPr="00F35716">
        <w:t xml:space="preserve">la administración </w:t>
      </w:r>
      <w:r w:rsidRPr="00F35716">
        <w:t xml:space="preserve">central. Catorce mujeres </w:t>
      </w:r>
      <w:r w:rsidR="008D0563" w:rsidRPr="00F35716">
        <w:t>no graduadas del Instituto también</w:t>
      </w:r>
      <w:r w:rsidRPr="00F35716">
        <w:t xml:space="preserve"> desempeña</w:t>
      </w:r>
      <w:r w:rsidR="008D0563" w:rsidRPr="00F35716">
        <w:t>n</w:t>
      </w:r>
      <w:r w:rsidRPr="00F35716">
        <w:t xml:space="preserve"> </w:t>
      </w:r>
      <w:r w:rsidR="008D0563" w:rsidRPr="00F35716">
        <w:t xml:space="preserve">diversas </w:t>
      </w:r>
      <w:r w:rsidRPr="00F35716">
        <w:t>funciones.</w:t>
      </w:r>
    </w:p>
    <w:p w14:paraId="32E94370" w14:textId="77777777" w:rsidR="00AD35B4" w:rsidRPr="00F35716" w:rsidRDefault="00AD35B4" w:rsidP="00876129">
      <w:pPr>
        <w:pStyle w:val="SingleTxt"/>
        <w:spacing w:after="0" w:line="120" w:lineRule="exact"/>
        <w:rPr>
          <w:sz w:val="10"/>
          <w:szCs w:val="20"/>
        </w:rPr>
      </w:pPr>
    </w:p>
    <w:p w14:paraId="32E94371" w14:textId="77777777" w:rsidR="00735173" w:rsidRPr="00F35716" w:rsidRDefault="00735173"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 w:val="0"/>
          <w:bCs w:val="0"/>
          <w:szCs w:val="20"/>
        </w:rPr>
        <w:t xml:space="preserve">Tabla 7: </w:t>
      </w:r>
      <w:r w:rsidRPr="00F35716">
        <w:rPr>
          <w:b w:val="0"/>
          <w:bCs w:val="0"/>
          <w:szCs w:val="20"/>
        </w:rPr>
        <w:br/>
      </w:r>
      <w:r w:rsidR="00EC3C86" w:rsidRPr="00F35716">
        <w:rPr>
          <w:bCs w:val="0"/>
          <w:szCs w:val="20"/>
        </w:rPr>
        <w:t>Número de mujeres que ejercen funciones de poder</w:t>
      </w:r>
    </w:p>
    <w:p w14:paraId="32E94372" w14:textId="77777777" w:rsidR="00336D0F" w:rsidRPr="00F35716" w:rsidRDefault="00336D0F" w:rsidP="00876129">
      <w:pPr>
        <w:pStyle w:val="SingleTxt"/>
        <w:spacing w:after="0" w:line="120" w:lineRule="exact"/>
        <w:rPr>
          <w:sz w:val="10"/>
          <w:szCs w:val="20"/>
        </w:rPr>
      </w:pPr>
    </w:p>
    <w:tbl>
      <w:tblPr>
        <w:tblW w:w="7344" w:type="dxa"/>
        <w:tblInd w:w="1267" w:type="dxa"/>
        <w:tblLayout w:type="fixed"/>
        <w:tblCellMar>
          <w:left w:w="0" w:type="dxa"/>
          <w:right w:w="43" w:type="dxa"/>
        </w:tblCellMar>
        <w:tblLook w:val="04A0" w:firstRow="1" w:lastRow="0" w:firstColumn="1" w:lastColumn="0" w:noHBand="0" w:noVBand="1"/>
      </w:tblPr>
      <w:tblGrid>
        <w:gridCol w:w="5153"/>
        <w:gridCol w:w="2191"/>
      </w:tblGrid>
      <w:tr w:rsidR="00336D0F" w:rsidRPr="00F35716" w14:paraId="32E94375" w14:textId="77777777" w:rsidTr="005F6C65">
        <w:trPr>
          <w:trHeight w:val="260"/>
          <w:tblHeader/>
        </w:trPr>
        <w:tc>
          <w:tcPr>
            <w:tcW w:w="5153" w:type="dxa"/>
            <w:tcBorders>
              <w:top w:val="single" w:sz="4" w:space="0" w:color="auto"/>
            </w:tcBorders>
            <w:shd w:val="clear" w:color="auto" w:fill="auto"/>
            <w:vAlign w:val="bottom"/>
          </w:tcPr>
          <w:p w14:paraId="32E94373" w14:textId="77777777" w:rsidR="00336D0F" w:rsidRPr="00F35716" w:rsidRDefault="00336D0F" w:rsidP="006F34C8">
            <w:pPr>
              <w:pStyle w:val="SingleTxt"/>
              <w:spacing w:before="80" w:after="80" w:line="160" w:lineRule="exact"/>
              <w:ind w:left="0" w:right="0"/>
              <w:jc w:val="left"/>
              <w:rPr>
                <w:i/>
                <w:iCs/>
                <w:kern w:val="0"/>
                <w:sz w:val="14"/>
                <w:szCs w:val="14"/>
              </w:rPr>
            </w:pPr>
            <w:r w:rsidRPr="00F35716">
              <w:rPr>
                <w:i/>
                <w:iCs/>
                <w:kern w:val="0"/>
                <w:sz w:val="14"/>
                <w:szCs w:val="14"/>
              </w:rPr>
              <w:t>Funciones</w:t>
            </w:r>
          </w:p>
        </w:tc>
        <w:tc>
          <w:tcPr>
            <w:tcW w:w="2191" w:type="dxa"/>
            <w:tcBorders>
              <w:top w:val="single" w:sz="4" w:space="0" w:color="auto"/>
              <w:bottom w:val="single" w:sz="4" w:space="0" w:color="auto"/>
            </w:tcBorders>
            <w:shd w:val="clear" w:color="auto" w:fill="auto"/>
            <w:vAlign w:val="bottom"/>
          </w:tcPr>
          <w:p w14:paraId="32E94374" w14:textId="77777777" w:rsidR="00336D0F" w:rsidRPr="00F35716" w:rsidRDefault="00336D0F"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Número</w:t>
            </w:r>
          </w:p>
        </w:tc>
      </w:tr>
      <w:tr w:rsidR="00336D0F" w:rsidRPr="00F35716" w14:paraId="32E94378" w14:textId="77777777" w:rsidTr="005F6C65">
        <w:trPr>
          <w:trHeight w:hRule="exact" w:val="115"/>
          <w:tblHeader/>
        </w:trPr>
        <w:tc>
          <w:tcPr>
            <w:tcW w:w="5153" w:type="dxa"/>
            <w:tcBorders>
              <w:top w:val="single" w:sz="12" w:space="0" w:color="auto"/>
            </w:tcBorders>
            <w:shd w:val="clear" w:color="auto" w:fill="auto"/>
          </w:tcPr>
          <w:p w14:paraId="32E94376" w14:textId="77777777" w:rsidR="00336D0F" w:rsidRPr="00F35716" w:rsidRDefault="00336D0F"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rPr>
                <w:i/>
                <w:iCs/>
                <w:kern w:val="0"/>
                <w:sz w:val="14"/>
                <w:szCs w:val="14"/>
              </w:rPr>
            </w:pPr>
          </w:p>
        </w:tc>
        <w:tc>
          <w:tcPr>
            <w:tcW w:w="2191" w:type="dxa"/>
            <w:tcBorders>
              <w:top w:val="single" w:sz="12" w:space="0" w:color="auto"/>
            </w:tcBorders>
            <w:shd w:val="clear" w:color="auto" w:fill="auto"/>
          </w:tcPr>
          <w:p w14:paraId="32E94377" w14:textId="77777777" w:rsidR="00336D0F" w:rsidRPr="00F35716" w:rsidRDefault="00336D0F"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rPr>
                <w:i/>
                <w:iCs/>
                <w:kern w:val="0"/>
                <w:sz w:val="14"/>
                <w:szCs w:val="14"/>
              </w:rPr>
            </w:pPr>
          </w:p>
        </w:tc>
      </w:tr>
      <w:tr w:rsidR="00336D0F" w:rsidRPr="00F35716" w14:paraId="32E9437B" w14:textId="77777777" w:rsidTr="005F6C65">
        <w:trPr>
          <w:trHeight w:val="99"/>
        </w:trPr>
        <w:tc>
          <w:tcPr>
            <w:tcW w:w="5153" w:type="dxa"/>
            <w:shd w:val="clear" w:color="auto" w:fill="auto"/>
            <w:vAlign w:val="bottom"/>
          </w:tcPr>
          <w:p w14:paraId="32E94379" w14:textId="1EFBF0AF" w:rsidR="00336D0F" w:rsidRPr="00F35716" w:rsidRDefault="00F6658E" w:rsidP="00336D0F">
            <w:pPr>
              <w:spacing w:before="40" w:after="80" w:line="210" w:lineRule="exact"/>
              <w:rPr>
                <w:bCs/>
                <w:sz w:val="17"/>
                <w:szCs w:val="17"/>
              </w:rPr>
            </w:pPr>
            <w:r w:rsidRPr="00F35716">
              <w:rPr>
                <w:bCs/>
                <w:sz w:val="17"/>
                <w:szCs w:val="17"/>
              </w:rPr>
              <w:t>Jefa de provincia (</w:t>
            </w:r>
            <w:r w:rsidRPr="00F35716">
              <w:rPr>
                <w:bCs/>
                <w:i/>
                <w:iCs/>
                <w:sz w:val="17"/>
                <w:szCs w:val="17"/>
              </w:rPr>
              <w:t>wilayah</w:t>
            </w:r>
            <w:r w:rsidRPr="00F35716">
              <w:rPr>
                <w:bCs/>
                <w:sz w:val="17"/>
                <w:szCs w:val="17"/>
              </w:rPr>
              <w:t>)</w:t>
            </w:r>
          </w:p>
        </w:tc>
        <w:tc>
          <w:tcPr>
            <w:tcW w:w="2191" w:type="dxa"/>
            <w:shd w:val="clear" w:color="auto" w:fill="auto"/>
            <w:vAlign w:val="bottom"/>
          </w:tcPr>
          <w:p w14:paraId="32E9437A" w14:textId="77777777" w:rsidR="00336D0F" w:rsidRPr="00F35716" w:rsidRDefault="00A67F4B" w:rsidP="00336D0F">
            <w:pPr>
              <w:spacing w:before="40" w:after="80" w:line="210" w:lineRule="exact"/>
              <w:jc w:val="right"/>
              <w:rPr>
                <w:sz w:val="17"/>
                <w:szCs w:val="17"/>
              </w:rPr>
            </w:pPr>
            <w:r w:rsidRPr="00F35716">
              <w:rPr>
                <w:sz w:val="17"/>
                <w:szCs w:val="17"/>
              </w:rPr>
              <w:t>1</w:t>
            </w:r>
          </w:p>
        </w:tc>
      </w:tr>
      <w:tr w:rsidR="00336D0F" w:rsidRPr="00F35716" w14:paraId="32E9437E" w14:textId="77777777" w:rsidTr="005F6C65">
        <w:trPr>
          <w:trHeight w:val="135"/>
        </w:trPr>
        <w:tc>
          <w:tcPr>
            <w:tcW w:w="5153" w:type="dxa"/>
            <w:shd w:val="clear" w:color="auto" w:fill="auto"/>
            <w:vAlign w:val="bottom"/>
          </w:tcPr>
          <w:p w14:paraId="32E9437C" w14:textId="424D3631" w:rsidR="00336D0F" w:rsidRPr="00F35716" w:rsidRDefault="00F6658E" w:rsidP="00336D0F">
            <w:pPr>
              <w:spacing w:before="40" w:after="80" w:line="210" w:lineRule="exact"/>
              <w:rPr>
                <w:bCs/>
                <w:sz w:val="17"/>
                <w:szCs w:val="17"/>
              </w:rPr>
            </w:pPr>
            <w:r w:rsidRPr="00F35716">
              <w:rPr>
                <w:bCs/>
                <w:sz w:val="17"/>
                <w:szCs w:val="17"/>
              </w:rPr>
              <w:t>Jefa de prefectura (</w:t>
            </w:r>
            <w:r w:rsidRPr="00F35716">
              <w:rPr>
                <w:rFonts w:asciiTheme="majorBidi" w:hAnsiTheme="majorBidi" w:cstheme="majorBidi"/>
                <w:i/>
                <w:iCs/>
                <w:sz w:val="17"/>
                <w:szCs w:val="17"/>
              </w:rPr>
              <w:t>`amalah</w:t>
            </w:r>
            <w:r w:rsidRPr="00F35716">
              <w:rPr>
                <w:rFonts w:asciiTheme="majorBidi" w:hAnsiTheme="majorBidi" w:cstheme="majorBidi"/>
                <w:sz w:val="17"/>
                <w:szCs w:val="17"/>
              </w:rPr>
              <w:t>)</w:t>
            </w:r>
          </w:p>
        </w:tc>
        <w:tc>
          <w:tcPr>
            <w:tcW w:w="2191" w:type="dxa"/>
            <w:shd w:val="clear" w:color="auto" w:fill="auto"/>
            <w:vAlign w:val="bottom"/>
          </w:tcPr>
          <w:p w14:paraId="32E9437D" w14:textId="77777777" w:rsidR="00336D0F" w:rsidRPr="00F35716" w:rsidRDefault="00A67F4B" w:rsidP="00336D0F">
            <w:pPr>
              <w:spacing w:before="40" w:after="80" w:line="210" w:lineRule="exact"/>
              <w:jc w:val="right"/>
              <w:rPr>
                <w:sz w:val="17"/>
                <w:szCs w:val="17"/>
              </w:rPr>
            </w:pPr>
            <w:r w:rsidRPr="00F35716">
              <w:rPr>
                <w:sz w:val="17"/>
                <w:szCs w:val="17"/>
              </w:rPr>
              <w:t>4</w:t>
            </w:r>
          </w:p>
        </w:tc>
      </w:tr>
      <w:tr w:rsidR="00336D0F" w:rsidRPr="00F35716" w14:paraId="32E94381" w14:textId="77777777" w:rsidTr="005F6C65">
        <w:trPr>
          <w:trHeight w:val="135"/>
        </w:trPr>
        <w:tc>
          <w:tcPr>
            <w:tcW w:w="5153" w:type="dxa"/>
            <w:shd w:val="clear" w:color="auto" w:fill="auto"/>
            <w:vAlign w:val="bottom"/>
          </w:tcPr>
          <w:p w14:paraId="32E9437F" w14:textId="2666E26B" w:rsidR="00336D0F" w:rsidRPr="00F35716" w:rsidRDefault="00A67F4B" w:rsidP="00336D0F">
            <w:pPr>
              <w:spacing w:before="40" w:after="80" w:line="210" w:lineRule="exact"/>
              <w:rPr>
                <w:bCs/>
                <w:sz w:val="17"/>
                <w:szCs w:val="17"/>
              </w:rPr>
            </w:pPr>
            <w:r w:rsidRPr="00F35716">
              <w:rPr>
                <w:bCs/>
                <w:sz w:val="17"/>
                <w:szCs w:val="17"/>
              </w:rPr>
              <w:t>Jefa de distrito</w:t>
            </w:r>
            <w:r w:rsidR="00F6658E" w:rsidRPr="00F35716">
              <w:rPr>
                <w:bCs/>
                <w:sz w:val="17"/>
                <w:szCs w:val="17"/>
              </w:rPr>
              <w:t xml:space="preserve"> (</w:t>
            </w:r>
            <w:r w:rsidR="00F6658E" w:rsidRPr="00F35716">
              <w:rPr>
                <w:bCs/>
                <w:i/>
                <w:iCs/>
                <w:sz w:val="17"/>
                <w:szCs w:val="17"/>
              </w:rPr>
              <w:t>da’irah</w:t>
            </w:r>
            <w:r w:rsidR="00F6658E" w:rsidRPr="00F35716">
              <w:rPr>
                <w:bCs/>
                <w:sz w:val="17"/>
                <w:szCs w:val="17"/>
              </w:rPr>
              <w:t>)</w:t>
            </w:r>
          </w:p>
        </w:tc>
        <w:tc>
          <w:tcPr>
            <w:tcW w:w="2191" w:type="dxa"/>
            <w:shd w:val="clear" w:color="auto" w:fill="auto"/>
            <w:vAlign w:val="bottom"/>
          </w:tcPr>
          <w:p w14:paraId="32E94380" w14:textId="77777777" w:rsidR="00336D0F" w:rsidRPr="00F35716" w:rsidRDefault="00A67F4B" w:rsidP="00336D0F">
            <w:pPr>
              <w:spacing w:before="40" w:after="80" w:line="210" w:lineRule="exact"/>
              <w:jc w:val="right"/>
              <w:rPr>
                <w:sz w:val="17"/>
                <w:szCs w:val="17"/>
              </w:rPr>
            </w:pPr>
            <w:r w:rsidRPr="00F35716">
              <w:rPr>
                <w:sz w:val="17"/>
                <w:szCs w:val="17"/>
              </w:rPr>
              <w:t>1</w:t>
            </w:r>
          </w:p>
        </w:tc>
      </w:tr>
      <w:tr w:rsidR="00336D0F" w:rsidRPr="00F35716" w14:paraId="32E94384" w14:textId="77777777" w:rsidTr="005F6C65">
        <w:trPr>
          <w:trHeight w:val="135"/>
        </w:trPr>
        <w:tc>
          <w:tcPr>
            <w:tcW w:w="5153" w:type="dxa"/>
            <w:shd w:val="clear" w:color="auto" w:fill="auto"/>
            <w:vAlign w:val="bottom"/>
          </w:tcPr>
          <w:p w14:paraId="32E94382" w14:textId="0560B009" w:rsidR="00336D0F" w:rsidRPr="00F35716" w:rsidRDefault="00895DAC" w:rsidP="00336D0F">
            <w:pPr>
              <w:spacing w:before="40" w:after="80" w:line="210" w:lineRule="exact"/>
              <w:rPr>
                <w:bCs/>
                <w:sz w:val="17"/>
                <w:szCs w:val="17"/>
              </w:rPr>
            </w:pPr>
            <w:r w:rsidRPr="00F35716">
              <w:rPr>
                <w:bCs/>
                <w:sz w:val="17"/>
                <w:szCs w:val="17"/>
              </w:rPr>
              <w:t>D</w:t>
            </w:r>
            <w:r w:rsidR="00A67F4B" w:rsidRPr="00F35716">
              <w:rPr>
                <w:bCs/>
                <w:sz w:val="17"/>
                <w:szCs w:val="17"/>
              </w:rPr>
              <w:t>irectora de campus universitario</w:t>
            </w:r>
          </w:p>
        </w:tc>
        <w:tc>
          <w:tcPr>
            <w:tcW w:w="2191" w:type="dxa"/>
            <w:shd w:val="clear" w:color="auto" w:fill="auto"/>
            <w:vAlign w:val="bottom"/>
          </w:tcPr>
          <w:p w14:paraId="32E94383" w14:textId="77777777" w:rsidR="00336D0F" w:rsidRPr="00F35716" w:rsidRDefault="00A67F4B" w:rsidP="00336D0F">
            <w:pPr>
              <w:spacing w:before="40" w:after="80" w:line="210" w:lineRule="exact"/>
              <w:jc w:val="right"/>
              <w:rPr>
                <w:sz w:val="17"/>
                <w:szCs w:val="17"/>
              </w:rPr>
            </w:pPr>
            <w:r w:rsidRPr="00F35716">
              <w:rPr>
                <w:sz w:val="17"/>
                <w:szCs w:val="17"/>
              </w:rPr>
              <w:t>2</w:t>
            </w:r>
          </w:p>
        </w:tc>
      </w:tr>
      <w:tr w:rsidR="00336D0F" w:rsidRPr="00F35716" w14:paraId="32E94387" w14:textId="77777777" w:rsidTr="005F6C65">
        <w:trPr>
          <w:trHeight w:val="135"/>
        </w:trPr>
        <w:tc>
          <w:tcPr>
            <w:tcW w:w="5153" w:type="dxa"/>
            <w:shd w:val="clear" w:color="auto" w:fill="auto"/>
            <w:vAlign w:val="bottom"/>
          </w:tcPr>
          <w:p w14:paraId="32E94385" w14:textId="6D061E2A" w:rsidR="00336D0F" w:rsidRPr="00F35716" w:rsidRDefault="00895DAC" w:rsidP="00336D0F">
            <w:pPr>
              <w:spacing w:before="40" w:after="80" w:line="210" w:lineRule="exact"/>
              <w:rPr>
                <w:bCs/>
                <w:sz w:val="17"/>
                <w:szCs w:val="17"/>
              </w:rPr>
            </w:pPr>
            <w:r w:rsidRPr="00F35716">
              <w:rPr>
                <w:bCs/>
                <w:sz w:val="17"/>
                <w:szCs w:val="17"/>
              </w:rPr>
              <w:t>S</w:t>
            </w:r>
            <w:r w:rsidR="00A67F4B" w:rsidRPr="00F35716">
              <w:rPr>
                <w:bCs/>
                <w:sz w:val="17"/>
                <w:szCs w:val="17"/>
              </w:rPr>
              <w:t>ubjefa de asuntos internos</w:t>
            </w:r>
          </w:p>
        </w:tc>
        <w:tc>
          <w:tcPr>
            <w:tcW w:w="2191" w:type="dxa"/>
            <w:shd w:val="clear" w:color="auto" w:fill="auto"/>
            <w:vAlign w:val="bottom"/>
          </w:tcPr>
          <w:p w14:paraId="32E94386" w14:textId="77777777" w:rsidR="00336D0F" w:rsidRPr="00F35716" w:rsidRDefault="00A67F4B" w:rsidP="00336D0F">
            <w:pPr>
              <w:spacing w:before="40" w:after="80" w:line="210" w:lineRule="exact"/>
              <w:jc w:val="right"/>
              <w:rPr>
                <w:sz w:val="17"/>
                <w:szCs w:val="17"/>
              </w:rPr>
            </w:pPr>
            <w:r w:rsidRPr="00F35716">
              <w:rPr>
                <w:sz w:val="17"/>
                <w:szCs w:val="17"/>
              </w:rPr>
              <w:t>1</w:t>
            </w:r>
          </w:p>
        </w:tc>
      </w:tr>
      <w:tr w:rsidR="00A67F4B" w:rsidRPr="00F35716" w14:paraId="32E9438A" w14:textId="77777777" w:rsidTr="005F6C65">
        <w:trPr>
          <w:trHeight w:val="135"/>
        </w:trPr>
        <w:tc>
          <w:tcPr>
            <w:tcW w:w="5153" w:type="dxa"/>
            <w:shd w:val="clear" w:color="auto" w:fill="auto"/>
            <w:vAlign w:val="bottom"/>
          </w:tcPr>
          <w:p w14:paraId="32E94388" w14:textId="1FD38F1A" w:rsidR="00A67F4B" w:rsidRPr="00F35716" w:rsidRDefault="00BA4A2E" w:rsidP="00336D0F">
            <w:pPr>
              <w:spacing w:before="40" w:after="80" w:line="210" w:lineRule="exact"/>
              <w:rPr>
                <w:bCs/>
                <w:sz w:val="17"/>
                <w:szCs w:val="17"/>
              </w:rPr>
            </w:pPr>
            <w:r w:rsidRPr="00F35716">
              <w:rPr>
                <w:bCs/>
                <w:sz w:val="17"/>
                <w:szCs w:val="17"/>
              </w:rPr>
              <w:t xml:space="preserve">Jefa </w:t>
            </w:r>
            <w:r w:rsidR="00A67F4B" w:rsidRPr="00F35716">
              <w:rPr>
                <w:bCs/>
                <w:sz w:val="17"/>
                <w:szCs w:val="17"/>
              </w:rPr>
              <w:t xml:space="preserve">de </w:t>
            </w:r>
            <w:r w:rsidRPr="00F35716">
              <w:rPr>
                <w:bCs/>
                <w:sz w:val="17"/>
                <w:szCs w:val="17"/>
              </w:rPr>
              <w:t>subdivisión</w:t>
            </w:r>
            <w:r w:rsidR="00A67F4B" w:rsidRPr="00F35716">
              <w:rPr>
                <w:bCs/>
                <w:sz w:val="17"/>
                <w:szCs w:val="17"/>
              </w:rPr>
              <w:t xml:space="preserve"> administrativ</w:t>
            </w:r>
            <w:r w:rsidRPr="00F35716">
              <w:rPr>
                <w:bCs/>
                <w:sz w:val="17"/>
                <w:szCs w:val="17"/>
              </w:rPr>
              <w:t>a</w:t>
            </w:r>
          </w:p>
        </w:tc>
        <w:tc>
          <w:tcPr>
            <w:tcW w:w="2191" w:type="dxa"/>
            <w:shd w:val="clear" w:color="auto" w:fill="auto"/>
            <w:vAlign w:val="bottom"/>
          </w:tcPr>
          <w:p w14:paraId="32E94389" w14:textId="77777777" w:rsidR="00A67F4B" w:rsidRPr="00F35716" w:rsidRDefault="00A67F4B" w:rsidP="00336D0F">
            <w:pPr>
              <w:spacing w:before="40" w:after="80" w:line="210" w:lineRule="exact"/>
              <w:jc w:val="right"/>
              <w:rPr>
                <w:sz w:val="17"/>
                <w:szCs w:val="17"/>
              </w:rPr>
            </w:pPr>
            <w:r w:rsidRPr="00F35716">
              <w:rPr>
                <w:sz w:val="17"/>
                <w:szCs w:val="17"/>
              </w:rPr>
              <w:t>95</w:t>
            </w:r>
          </w:p>
        </w:tc>
      </w:tr>
      <w:tr w:rsidR="00336D0F" w:rsidRPr="00F35716" w14:paraId="32E9438D" w14:textId="77777777" w:rsidTr="005F6C65">
        <w:trPr>
          <w:trHeight w:val="135"/>
        </w:trPr>
        <w:tc>
          <w:tcPr>
            <w:tcW w:w="5153" w:type="dxa"/>
            <w:shd w:val="clear" w:color="auto" w:fill="auto"/>
            <w:vAlign w:val="bottom"/>
          </w:tcPr>
          <w:p w14:paraId="32E9438B" w14:textId="4761384B" w:rsidR="00336D0F" w:rsidRPr="00F35716" w:rsidRDefault="00BA4A2E" w:rsidP="00336D0F">
            <w:pPr>
              <w:spacing w:before="40" w:after="80" w:line="210" w:lineRule="exact"/>
              <w:rPr>
                <w:bCs/>
                <w:sz w:val="17"/>
                <w:szCs w:val="17"/>
              </w:rPr>
            </w:pPr>
            <w:r w:rsidRPr="00F35716">
              <w:rPr>
                <w:bCs/>
                <w:sz w:val="17"/>
                <w:szCs w:val="17"/>
              </w:rPr>
              <w:t xml:space="preserve">Jefa de </w:t>
            </w:r>
            <w:r w:rsidRPr="00F35716">
              <w:rPr>
                <w:bCs/>
                <w:i/>
                <w:iCs/>
                <w:sz w:val="17"/>
                <w:szCs w:val="17"/>
              </w:rPr>
              <w:t>qiyadah</w:t>
            </w:r>
          </w:p>
        </w:tc>
        <w:tc>
          <w:tcPr>
            <w:tcW w:w="2191" w:type="dxa"/>
            <w:shd w:val="clear" w:color="auto" w:fill="auto"/>
            <w:vAlign w:val="bottom"/>
          </w:tcPr>
          <w:p w14:paraId="32E9438C" w14:textId="77777777" w:rsidR="00336D0F" w:rsidRPr="00F35716" w:rsidRDefault="00A67F4B" w:rsidP="00336D0F">
            <w:pPr>
              <w:spacing w:before="40" w:after="80" w:line="210" w:lineRule="exact"/>
              <w:jc w:val="right"/>
              <w:rPr>
                <w:sz w:val="17"/>
                <w:szCs w:val="17"/>
              </w:rPr>
            </w:pPr>
            <w:r w:rsidRPr="00F35716">
              <w:rPr>
                <w:sz w:val="17"/>
                <w:szCs w:val="17"/>
              </w:rPr>
              <w:t>1</w:t>
            </w:r>
          </w:p>
        </w:tc>
      </w:tr>
      <w:tr w:rsidR="00A67F4B" w:rsidRPr="00F35716" w14:paraId="32E94390" w14:textId="77777777" w:rsidTr="005F6C65">
        <w:trPr>
          <w:trHeight w:val="135"/>
        </w:trPr>
        <w:tc>
          <w:tcPr>
            <w:tcW w:w="5153" w:type="dxa"/>
            <w:shd w:val="clear" w:color="auto" w:fill="auto"/>
            <w:vAlign w:val="bottom"/>
          </w:tcPr>
          <w:p w14:paraId="32E9438E" w14:textId="1F995F5D" w:rsidR="00A67F4B" w:rsidRPr="00F35716" w:rsidRDefault="00BA4A2E" w:rsidP="00336D0F">
            <w:pPr>
              <w:spacing w:before="40" w:after="80" w:line="210" w:lineRule="exact"/>
              <w:rPr>
                <w:bCs/>
                <w:sz w:val="17"/>
                <w:szCs w:val="17"/>
              </w:rPr>
            </w:pPr>
            <w:r w:rsidRPr="00F35716">
              <w:rPr>
                <w:bCs/>
                <w:sz w:val="17"/>
                <w:szCs w:val="17"/>
              </w:rPr>
              <w:t>Jefa de subdivisión de</w:t>
            </w:r>
            <w:r w:rsidR="00A67F4B" w:rsidRPr="00F35716">
              <w:rPr>
                <w:bCs/>
                <w:sz w:val="17"/>
                <w:szCs w:val="17"/>
              </w:rPr>
              <w:t xml:space="preserve"> prefectura o </w:t>
            </w:r>
            <w:r w:rsidRPr="00F35716">
              <w:rPr>
                <w:bCs/>
                <w:sz w:val="17"/>
                <w:szCs w:val="17"/>
              </w:rPr>
              <w:t>región</w:t>
            </w:r>
          </w:p>
        </w:tc>
        <w:tc>
          <w:tcPr>
            <w:tcW w:w="2191" w:type="dxa"/>
            <w:shd w:val="clear" w:color="auto" w:fill="auto"/>
            <w:vAlign w:val="bottom"/>
          </w:tcPr>
          <w:p w14:paraId="32E9438F" w14:textId="77777777" w:rsidR="00A67F4B" w:rsidRPr="00F35716" w:rsidRDefault="00A67F4B" w:rsidP="00336D0F">
            <w:pPr>
              <w:spacing w:before="40" w:after="80" w:line="210" w:lineRule="exact"/>
              <w:jc w:val="right"/>
              <w:rPr>
                <w:sz w:val="17"/>
                <w:szCs w:val="17"/>
              </w:rPr>
            </w:pPr>
            <w:r w:rsidRPr="00F35716">
              <w:rPr>
                <w:sz w:val="17"/>
                <w:szCs w:val="17"/>
              </w:rPr>
              <w:t>54</w:t>
            </w:r>
          </w:p>
        </w:tc>
      </w:tr>
      <w:tr w:rsidR="00A67F4B" w:rsidRPr="00F35716" w14:paraId="32E94393" w14:textId="77777777" w:rsidTr="005F6C65">
        <w:trPr>
          <w:trHeight w:val="135"/>
        </w:trPr>
        <w:tc>
          <w:tcPr>
            <w:tcW w:w="5153" w:type="dxa"/>
            <w:tcBorders>
              <w:bottom w:val="single" w:sz="4" w:space="0" w:color="auto"/>
            </w:tcBorders>
            <w:shd w:val="clear" w:color="auto" w:fill="auto"/>
            <w:vAlign w:val="bottom"/>
          </w:tcPr>
          <w:p w14:paraId="32E94391" w14:textId="59EC3698" w:rsidR="00A67F4B" w:rsidRPr="00F35716" w:rsidRDefault="00BA4A2E" w:rsidP="00336D0F">
            <w:pPr>
              <w:spacing w:before="40" w:after="80" w:line="210" w:lineRule="exact"/>
              <w:rPr>
                <w:bCs/>
                <w:sz w:val="17"/>
                <w:szCs w:val="17"/>
              </w:rPr>
            </w:pPr>
            <w:r w:rsidRPr="00F35716">
              <w:rPr>
                <w:bCs/>
                <w:sz w:val="17"/>
                <w:szCs w:val="17"/>
              </w:rPr>
              <w:t>Jefa Adjunta</w:t>
            </w:r>
          </w:p>
        </w:tc>
        <w:tc>
          <w:tcPr>
            <w:tcW w:w="2191" w:type="dxa"/>
            <w:tcBorders>
              <w:bottom w:val="single" w:sz="4" w:space="0" w:color="auto"/>
            </w:tcBorders>
            <w:shd w:val="clear" w:color="auto" w:fill="auto"/>
            <w:vAlign w:val="bottom"/>
          </w:tcPr>
          <w:p w14:paraId="32E94392" w14:textId="77777777" w:rsidR="00A67F4B" w:rsidRPr="00F35716" w:rsidRDefault="00A67F4B" w:rsidP="00336D0F">
            <w:pPr>
              <w:spacing w:before="40" w:after="80" w:line="210" w:lineRule="exact"/>
              <w:jc w:val="right"/>
              <w:rPr>
                <w:sz w:val="17"/>
                <w:szCs w:val="17"/>
              </w:rPr>
            </w:pPr>
            <w:r w:rsidRPr="00F35716">
              <w:rPr>
                <w:sz w:val="17"/>
                <w:szCs w:val="17"/>
              </w:rPr>
              <w:t>9</w:t>
            </w:r>
          </w:p>
        </w:tc>
      </w:tr>
      <w:tr w:rsidR="00336D0F" w:rsidRPr="00F35716" w14:paraId="32E94396" w14:textId="77777777" w:rsidTr="00B70088">
        <w:trPr>
          <w:trHeight w:val="243"/>
        </w:trPr>
        <w:tc>
          <w:tcPr>
            <w:tcW w:w="5153" w:type="dxa"/>
            <w:tcBorders>
              <w:top w:val="single" w:sz="4" w:space="0" w:color="auto"/>
              <w:bottom w:val="single" w:sz="4" w:space="0" w:color="auto"/>
            </w:tcBorders>
            <w:shd w:val="clear" w:color="auto" w:fill="auto"/>
            <w:vAlign w:val="bottom"/>
          </w:tcPr>
          <w:p w14:paraId="32E94394" w14:textId="77777777" w:rsidR="00336D0F" w:rsidRPr="00F35716" w:rsidRDefault="005F6C65" w:rsidP="00534208">
            <w:pPr>
              <w:tabs>
                <w:tab w:val="left" w:pos="365"/>
              </w:tabs>
              <w:spacing w:before="80" w:after="80" w:line="210" w:lineRule="exact"/>
              <w:rPr>
                <w:b/>
                <w:bCs/>
                <w:sz w:val="17"/>
                <w:szCs w:val="17"/>
              </w:rPr>
            </w:pPr>
            <w:r w:rsidRPr="00F35716">
              <w:rPr>
                <w:b/>
                <w:bCs/>
                <w:sz w:val="17"/>
                <w:szCs w:val="17"/>
              </w:rPr>
              <w:tab/>
            </w:r>
            <w:r w:rsidR="00A67F4B" w:rsidRPr="00F35716">
              <w:rPr>
                <w:b/>
                <w:bCs/>
                <w:sz w:val="17"/>
                <w:szCs w:val="17"/>
              </w:rPr>
              <w:t>Total</w:t>
            </w:r>
          </w:p>
        </w:tc>
        <w:tc>
          <w:tcPr>
            <w:tcW w:w="2191" w:type="dxa"/>
            <w:tcBorders>
              <w:top w:val="single" w:sz="4" w:space="0" w:color="auto"/>
              <w:bottom w:val="single" w:sz="4" w:space="0" w:color="auto"/>
            </w:tcBorders>
            <w:shd w:val="clear" w:color="auto" w:fill="auto"/>
            <w:vAlign w:val="bottom"/>
          </w:tcPr>
          <w:p w14:paraId="32E94395" w14:textId="77777777" w:rsidR="00336D0F" w:rsidRPr="00F35716" w:rsidRDefault="00A67F4B" w:rsidP="00534208">
            <w:pPr>
              <w:spacing w:before="80" w:after="80" w:line="210" w:lineRule="exact"/>
              <w:jc w:val="right"/>
              <w:rPr>
                <w:b/>
                <w:sz w:val="17"/>
                <w:szCs w:val="17"/>
              </w:rPr>
            </w:pPr>
            <w:r w:rsidRPr="00F35716">
              <w:rPr>
                <w:b/>
                <w:sz w:val="17"/>
                <w:szCs w:val="17"/>
              </w:rPr>
              <w:t>171</w:t>
            </w:r>
          </w:p>
        </w:tc>
      </w:tr>
    </w:tbl>
    <w:p w14:paraId="3FF69A38" w14:textId="3B76539F" w:rsidR="00B70088" w:rsidRPr="00B70088" w:rsidRDefault="00B70088" w:rsidP="00B70088">
      <w:pPr>
        <w:spacing w:line="120" w:lineRule="exact"/>
        <w:rPr>
          <w:sz w:val="10"/>
        </w:rPr>
      </w:pPr>
    </w:p>
    <w:p w14:paraId="4572BF3F" w14:textId="5E1FAE79" w:rsidR="00B70088" w:rsidRPr="00B70088" w:rsidRDefault="00B70088" w:rsidP="00B70088">
      <w:pPr>
        <w:spacing w:line="120" w:lineRule="exact"/>
        <w:rPr>
          <w:sz w:val="10"/>
        </w:rPr>
      </w:pPr>
    </w:p>
    <w:p w14:paraId="32E94397" w14:textId="1EC01DD5" w:rsidR="00EC3C86" w:rsidRPr="00F35716" w:rsidRDefault="00EC3C86" w:rsidP="00B3192A">
      <w:pPr>
        <w:pStyle w:val="SingleTxt"/>
        <w:numPr>
          <w:ilvl w:val="0"/>
          <w:numId w:val="8"/>
        </w:numPr>
        <w:ind w:left="1267" w:firstLine="0"/>
      </w:pPr>
      <w:r w:rsidRPr="00F35716">
        <w:t>A nivel del poder judicial, la Ley Orgánica núm. 100</w:t>
      </w:r>
      <w:r w:rsidR="00BA4A2E" w:rsidRPr="00F35716">
        <w:t>-</w:t>
      </w:r>
      <w:r w:rsidRPr="00F35716">
        <w:t xml:space="preserve">13 del Consejo Superior del Poder Judicial </w:t>
      </w:r>
      <w:r w:rsidR="00BA4A2E" w:rsidRPr="00F35716">
        <w:t xml:space="preserve">establece </w:t>
      </w:r>
      <w:r w:rsidRPr="00F35716">
        <w:t xml:space="preserve">que debe garantizarse la representación de juezas entre </w:t>
      </w:r>
      <w:r w:rsidRPr="00F35716">
        <w:lastRenderedPageBreak/>
        <w:t>los diez miembros elegidos en proporción a su presencia dentro del poder judicial. En 2018</w:t>
      </w:r>
      <w:r w:rsidR="00BA4A2E" w:rsidRPr="00F35716">
        <w:t>, de los 1.046 jueces, entre ellos fiscales del Rey, 168 eran mujeres</w:t>
      </w:r>
      <w:r w:rsidR="00895DAC" w:rsidRPr="00F35716">
        <w:t xml:space="preserve"> </w:t>
      </w:r>
      <w:r w:rsidRPr="00F35716">
        <w:t>(</w:t>
      </w:r>
      <w:r w:rsidR="00B40ADB" w:rsidRPr="00F35716">
        <w:t xml:space="preserve">el </w:t>
      </w:r>
      <w:r w:rsidRPr="00F35716">
        <w:t>16,06</w:t>
      </w:r>
      <w:r w:rsidR="0006736D" w:rsidRPr="00F35716">
        <w:t> %</w:t>
      </w:r>
      <w:r w:rsidRPr="00F35716">
        <w:t>).</w:t>
      </w:r>
    </w:p>
    <w:p w14:paraId="32E94398" w14:textId="117D4AAE" w:rsidR="00EC3C86" w:rsidRPr="00F35716" w:rsidRDefault="00EC3C86" w:rsidP="00B3192A">
      <w:pPr>
        <w:pStyle w:val="SingleTxt"/>
        <w:numPr>
          <w:ilvl w:val="0"/>
          <w:numId w:val="8"/>
        </w:numPr>
        <w:ind w:left="1267" w:firstLine="0"/>
      </w:pPr>
      <w:r w:rsidRPr="00F35716">
        <w:t xml:space="preserve">El empleo de mujeres en el sector de la justicia está experimentando una tendencia al alza, </w:t>
      </w:r>
      <w:r w:rsidR="00B40ADB" w:rsidRPr="00F35716">
        <w:t>y alcanzó e</w:t>
      </w:r>
      <w:r w:rsidRPr="00F35716">
        <w:t>l 49</w:t>
      </w:r>
      <w:r w:rsidR="0006736D" w:rsidRPr="00F35716">
        <w:t> %</w:t>
      </w:r>
      <w:r w:rsidRPr="00F35716">
        <w:t xml:space="preserve"> en 2017. </w:t>
      </w:r>
      <w:r w:rsidR="00B40ADB" w:rsidRPr="00F35716">
        <w:t>E</w:t>
      </w:r>
      <w:r w:rsidRPr="00F35716">
        <w:t>l 24</w:t>
      </w:r>
      <w:r w:rsidR="0006736D" w:rsidRPr="00F35716">
        <w:t> %</w:t>
      </w:r>
      <w:r w:rsidRPr="00F35716">
        <w:t xml:space="preserve"> </w:t>
      </w:r>
      <w:r w:rsidR="00B40ADB" w:rsidRPr="00F35716">
        <w:t>de los jueces son mujeres</w:t>
      </w:r>
      <w:r w:rsidRPr="00F35716">
        <w:t xml:space="preserve">, y el porcentaje de mujeres graduadas en 2018 </w:t>
      </w:r>
      <w:r w:rsidR="00B40ADB" w:rsidRPr="00F35716">
        <w:t>fue del</w:t>
      </w:r>
      <w:r w:rsidRPr="00F35716">
        <w:t xml:space="preserve"> 28,75</w:t>
      </w:r>
      <w:r w:rsidR="0006736D" w:rsidRPr="00F35716">
        <w:t> %</w:t>
      </w:r>
      <w:r w:rsidRPr="00F35716">
        <w:t>.</w:t>
      </w:r>
    </w:p>
    <w:p w14:paraId="32E94399" w14:textId="2A68BC33" w:rsidR="00EC3C86" w:rsidRPr="00F35716" w:rsidRDefault="00EC3C86" w:rsidP="00B3192A">
      <w:pPr>
        <w:pStyle w:val="SingleTxt"/>
        <w:numPr>
          <w:ilvl w:val="0"/>
          <w:numId w:val="8"/>
        </w:numPr>
        <w:ind w:left="1267" w:firstLine="0"/>
      </w:pPr>
      <w:r w:rsidRPr="00F35716">
        <w:t xml:space="preserve">En mayo de 2018, el Departamento de Justicia organizó una oposición en la que permitió por primera vez que las mujeres accediesen al </w:t>
      </w:r>
      <w:r w:rsidR="00B40ADB" w:rsidRPr="00F35716">
        <w:t>poder judicial</w:t>
      </w:r>
      <w:r w:rsidRPr="00F35716">
        <w:t>. Aprobaron la oposición 279 mujeres, lo que equivale al 37</w:t>
      </w:r>
      <w:r w:rsidR="0006736D" w:rsidRPr="00F35716">
        <w:t> %</w:t>
      </w:r>
      <w:r w:rsidRPr="00F35716">
        <w:t xml:space="preserve"> del total de aprobados.</w:t>
      </w:r>
    </w:p>
    <w:p w14:paraId="32E9439A" w14:textId="318B5DD7" w:rsidR="00EC3C86" w:rsidRPr="00F35716" w:rsidRDefault="00EC3C86" w:rsidP="00B3192A">
      <w:pPr>
        <w:pStyle w:val="SingleTxt"/>
        <w:numPr>
          <w:ilvl w:val="0"/>
          <w:numId w:val="8"/>
        </w:numPr>
        <w:ind w:left="1267" w:firstLine="0"/>
      </w:pPr>
      <w:r w:rsidRPr="00F35716">
        <w:t>En 2015, el número de mujeres ulemas que formaban parte del Consejo Superior de Ulemas aumentó de 3 a 10</w:t>
      </w:r>
      <w:r w:rsidRPr="00F35716">
        <w:rPr>
          <w:vertAlign w:val="superscript"/>
        </w:rPr>
        <w:footnoteReference w:id="67"/>
      </w:r>
      <w:r w:rsidRPr="00F35716">
        <w:t>, y a 4 en el caso de los consejos locales de 10 miembros. El total ascendió a 328, cuando antes la cifra no llegaba a las 98</w:t>
      </w:r>
      <w:r w:rsidR="00610348" w:rsidRPr="00F35716">
        <w:t> </w:t>
      </w:r>
      <w:r w:rsidRPr="00F35716">
        <w:t>ulemas. En 2015, el Consejo Superior de Ulemas reservó todos los cargos de predicación y orientación religiosa a mujeres predicadoras, con la intención de aumentar su porcentaje. Así</w:t>
      </w:r>
      <w:r w:rsidR="004C6209" w:rsidRPr="00F35716">
        <w:t>,</w:t>
      </w:r>
      <w:r w:rsidRPr="00F35716">
        <w:t xml:space="preserve"> sumaron 51, hasta llegar a las 771 guías</w:t>
      </w:r>
      <w:r w:rsidRPr="00F35716">
        <w:rPr>
          <w:vertAlign w:val="superscript"/>
        </w:rPr>
        <w:footnoteReference w:id="68"/>
      </w:r>
      <w:r w:rsidRPr="00F35716">
        <w:t xml:space="preserve"> en 2018.</w:t>
      </w:r>
    </w:p>
    <w:p w14:paraId="32E9439B" w14:textId="71C30551" w:rsidR="00EC3C86" w:rsidRPr="00F35716" w:rsidRDefault="00EC3C86" w:rsidP="00B3192A">
      <w:pPr>
        <w:pStyle w:val="SingleTxt"/>
        <w:numPr>
          <w:ilvl w:val="0"/>
          <w:numId w:val="8"/>
        </w:numPr>
        <w:ind w:left="1267" w:firstLine="0"/>
      </w:pPr>
      <w:r w:rsidRPr="00F35716">
        <w:t xml:space="preserve">La contribución de las mujeres en </w:t>
      </w:r>
      <w:r w:rsidR="004C6209" w:rsidRPr="00F35716">
        <w:t>los medios</w:t>
      </w:r>
      <w:r w:rsidRPr="00F35716">
        <w:t xml:space="preserve"> impres</w:t>
      </w:r>
      <w:r w:rsidR="004C6209" w:rsidRPr="00F35716">
        <w:t>os</w:t>
      </w:r>
      <w:r w:rsidRPr="00F35716">
        <w:t xml:space="preserve"> y electrónic</w:t>
      </w:r>
      <w:r w:rsidR="004C6209" w:rsidRPr="00F35716">
        <w:t>os</w:t>
      </w:r>
      <w:r w:rsidRPr="00F35716">
        <w:t xml:space="preserve"> ha aumentado de forma cualitativa. En concreto, 27 mujeres son jefas de redacción y se encargan de la edición de periódicos en papel; 42 son responsables de la edición de periódicos electrónicos; y 6 son dueñas de empresas</w:t>
      </w:r>
      <w:r w:rsidR="00EB5DF7" w:rsidRPr="00F35716">
        <w:t xml:space="preserve"> periodísticas</w:t>
      </w:r>
      <w:r w:rsidRPr="00F35716">
        <w:t xml:space="preserve">. En cuanto a la prensa extranjera, </w:t>
      </w:r>
      <w:r w:rsidR="004C6209" w:rsidRPr="00F35716">
        <w:t xml:space="preserve">en 2014, </w:t>
      </w:r>
      <w:r w:rsidRPr="00F35716">
        <w:t xml:space="preserve">21 periódicos y revistas de </w:t>
      </w:r>
      <w:r w:rsidR="004C6209" w:rsidRPr="00F35716">
        <w:t xml:space="preserve">un total de </w:t>
      </w:r>
      <w:r w:rsidRPr="00F35716">
        <w:t>90 estaban administrad</w:t>
      </w:r>
      <w:r w:rsidR="004C6209" w:rsidRPr="00F35716">
        <w:t>o</w:t>
      </w:r>
      <w:r w:rsidRPr="00F35716">
        <w:t xml:space="preserve">s por mujeres. El número de mujeres periodistas con una tarjeta profesional también </w:t>
      </w:r>
      <w:r w:rsidR="004C6209" w:rsidRPr="00F35716">
        <w:t>ha aumentado</w:t>
      </w:r>
      <w:r w:rsidRPr="00F35716">
        <w:t>, pasando de 609 en 2012 a 693 en 2017, de un total de 2.45</w:t>
      </w:r>
      <w:r w:rsidR="00610348" w:rsidRPr="00F35716">
        <w:t>1 periodistas.</w:t>
      </w:r>
    </w:p>
    <w:p w14:paraId="32E9439C" w14:textId="61AFE02C" w:rsidR="00EC3C86" w:rsidRPr="00F35716" w:rsidRDefault="00EC3C86" w:rsidP="00B3192A">
      <w:pPr>
        <w:pStyle w:val="SingleTxt"/>
        <w:numPr>
          <w:ilvl w:val="0"/>
          <w:numId w:val="8"/>
        </w:numPr>
        <w:ind w:left="1267" w:firstLine="0"/>
      </w:pPr>
      <w:r w:rsidRPr="00F35716">
        <w:t>A pesar de estos avances relativos, todavía persisten desafíos. El</w:t>
      </w:r>
      <w:r w:rsidR="00610348" w:rsidRPr="00F35716">
        <w:t> </w:t>
      </w:r>
      <w:r w:rsidRPr="00F35716">
        <w:t>Reino está apostando por hacerles frente a través de reformas legislativas y programas de motivación y sensibilización.</w:t>
      </w:r>
    </w:p>
    <w:p w14:paraId="32E9439D" w14:textId="77777777" w:rsidR="004D33E9" w:rsidRPr="00F35716" w:rsidRDefault="004D33E9" w:rsidP="004D33E9">
      <w:pPr>
        <w:pStyle w:val="SingleTxt"/>
        <w:spacing w:after="0" w:line="120" w:lineRule="exact"/>
        <w:rPr>
          <w:sz w:val="10"/>
          <w:szCs w:val="20"/>
        </w:rPr>
      </w:pPr>
    </w:p>
    <w:p w14:paraId="32E9439E" w14:textId="77777777" w:rsidR="00EC3C86" w:rsidRPr="00F35716" w:rsidRDefault="00DC7516"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Cs w:val="0"/>
          <w:szCs w:val="20"/>
        </w:rPr>
        <w:t>Artículo 8</w:t>
      </w:r>
      <w:bookmarkStart w:id="33" w:name="_Toc24015478"/>
      <w:bookmarkStart w:id="34" w:name="_Toc24100785"/>
      <w:bookmarkStart w:id="35" w:name="_Toc24548859"/>
      <w:bookmarkStart w:id="36" w:name="_Toc28165901"/>
      <w:bookmarkEnd w:id="33"/>
      <w:bookmarkEnd w:id="34"/>
      <w:bookmarkEnd w:id="35"/>
      <w:bookmarkEnd w:id="36"/>
    </w:p>
    <w:p w14:paraId="32E9439F" w14:textId="77777777" w:rsidR="004D33E9" w:rsidRPr="00F35716" w:rsidRDefault="004D33E9" w:rsidP="004D33E9">
      <w:pPr>
        <w:pStyle w:val="SingleTxt"/>
        <w:spacing w:after="0" w:line="120" w:lineRule="exact"/>
        <w:rPr>
          <w:sz w:val="10"/>
          <w:szCs w:val="20"/>
        </w:rPr>
      </w:pPr>
    </w:p>
    <w:p w14:paraId="32E943A0" w14:textId="00A44FE1" w:rsidR="00EC3C86" w:rsidRPr="00F35716" w:rsidRDefault="00A626D2" w:rsidP="00B3192A">
      <w:pPr>
        <w:pStyle w:val="SingleTxt"/>
        <w:numPr>
          <w:ilvl w:val="0"/>
          <w:numId w:val="8"/>
        </w:numPr>
        <w:ind w:left="1267" w:firstLine="0"/>
      </w:pPr>
      <w:r w:rsidRPr="00F35716">
        <w:t>Con respecto al párrafo 25 de las observaciones finales</w:t>
      </w:r>
      <w:r w:rsidR="00EC3C86" w:rsidRPr="00F35716">
        <w:t>, la representación de mujeres en misiones diplomáticas y consulares aumentó de forma considerable entre 2011 y 2017. En concreto, la proporción de embajadoras del Reino en el extranjero pasó del 13,33</w:t>
      </w:r>
      <w:r w:rsidR="0006736D" w:rsidRPr="00F35716">
        <w:t> %</w:t>
      </w:r>
      <w:r w:rsidR="00EC3C86" w:rsidRPr="00F35716">
        <w:t xml:space="preserve"> en 2011 al 21,96</w:t>
      </w:r>
      <w:r w:rsidR="0006736D" w:rsidRPr="00F35716">
        <w:t> %</w:t>
      </w:r>
      <w:r w:rsidR="00EC3C86" w:rsidRPr="00F35716">
        <w:t xml:space="preserve"> en 2017</w:t>
      </w:r>
      <w:r w:rsidR="00EB5DF7" w:rsidRPr="00F35716">
        <w:t>,</w:t>
      </w:r>
      <w:r w:rsidR="00EC3C86" w:rsidRPr="00F35716">
        <w:t xml:space="preserve"> y el porcentaje de mujeres cónsules ascendió del 2,70</w:t>
      </w:r>
      <w:r w:rsidR="0006736D" w:rsidRPr="00F35716">
        <w:t> %</w:t>
      </w:r>
      <w:r w:rsidR="00EC3C86" w:rsidRPr="00F35716">
        <w:t xml:space="preserve"> en 2011 al 17,39</w:t>
      </w:r>
      <w:r w:rsidR="0006736D" w:rsidRPr="00F35716">
        <w:t> %</w:t>
      </w:r>
      <w:r w:rsidR="00EC3C86" w:rsidRPr="00F35716">
        <w:t xml:space="preserve"> en 2017.</w:t>
      </w:r>
    </w:p>
    <w:p w14:paraId="32E943A1" w14:textId="383C010A" w:rsidR="00EC3C86" w:rsidRPr="00F35716" w:rsidRDefault="00EB5DF7" w:rsidP="00B3192A">
      <w:pPr>
        <w:pStyle w:val="SingleTxt"/>
        <w:numPr>
          <w:ilvl w:val="0"/>
          <w:numId w:val="8"/>
        </w:numPr>
        <w:ind w:left="1267" w:firstLine="0"/>
      </w:pPr>
      <w:r w:rsidRPr="00F35716">
        <w:t>En cuanto</w:t>
      </w:r>
      <w:r w:rsidR="00EC3C86" w:rsidRPr="00F35716">
        <w:t xml:space="preserve"> a la presencia de mujeres en las organizaciones internacionales y </w:t>
      </w:r>
      <w:r w:rsidRPr="00F35716">
        <w:t>de aquellas que representan a</w:t>
      </w:r>
      <w:r w:rsidR="00EC3C86" w:rsidRPr="00F35716">
        <w:t xml:space="preserve">l Reino a nivel internacional, varias expertas han sido elegidas o designadas para ostentar </w:t>
      </w:r>
      <w:r w:rsidRPr="00F35716">
        <w:t xml:space="preserve">altos </w:t>
      </w:r>
      <w:r w:rsidR="00EC3C86" w:rsidRPr="00F35716">
        <w:t xml:space="preserve">cargos en </w:t>
      </w:r>
      <w:r w:rsidRPr="00F35716">
        <w:t xml:space="preserve">órganos internacionales creados en virtud de tratados de derechos humanos. Entre ellos figuran </w:t>
      </w:r>
      <w:r w:rsidR="00EC3C86" w:rsidRPr="00F35716">
        <w:t>el Grupo de Trabajo sobre las</w:t>
      </w:r>
      <w:r w:rsidR="00D302A2" w:rsidRPr="00F35716">
        <w:t> </w:t>
      </w:r>
      <w:r w:rsidR="00EC3C86" w:rsidRPr="00F35716">
        <w:t xml:space="preserve">Desapariciones Forzadas o Involuntarias, </w:t>
      </w:r>
      <w:r w:rsidRPr="00F35716">
        <w:t>el Comité</w:t>
      </w:r>
      <w:r w:rsidR="00EC3C86" w:rsidRPr="00F35716">
        <w:t xml:space="preserve"> contra la Tortura y Otros</w:t>
      </w:r>
      <w:r w:rsidR="00D302A2" w:rsidRPr="00F35716">
        <w:t> </w:t>
      </w:r>
      <w:r w:rsidR="00EC3C86" w:rsidRPr="00F35716">
        <w:t xml:space="preserve">Tratos o Penas Crueles, Inhumanos o Degradantes, el Comité de los Derechos del Niño, el Consejo de Administración de la Organización Internacional del Trabajo y la Organización de las Naciones Unidas para la Educación, la Ciencia y la Cultura. En </w:t>
      </w:r>
      <w:r w:rsidR="009C2DC8" w:rsidRPr="00F35716">
        <w:t>2018 había</w:t>
      </w:r>
      <w:r w:rsidR="00EC3C86" w:rsidRPr="00F35716">
        <w:t xml:space="preserve"> 54 mujeres marroquíes en </w:t>
      </w:r>
      <w:r w:rsidR="009C2DC8" w:rsidRPr="00F35716">
        <w:t>diversas</w:t>
      </w:r>
      <w:r w:rsidR="00EC3C86" w:rsidRPr="00F35716">
        <w:t xml:space="preserve"> organizaciones internacionales, </w:t>
      </w:r>
      <w:r w:rsidR="009C2DC8" w:rsidRPr="00F35716">
        <w:t xml:space="preserve">280 </w:t>
      </w:r>
      <w:r w:rsidR="009C2DC8" w:rsidRPr="00F35716">
        <w:lastRenderedPageBreak/>
        <w:t>mujeres</w:t>
      </w:r>
      <w:r w:rsidR="00EC3C86" w:rsidRPr="00F35716">
        <w:t xml:space="preserve"> empleadas </w:t>
      </w:r>
      <w:r w:rsidR="009C2DC8" w:rsidRPr="00F35716">
        <w:t>en</w:t>
      </w:r>
      <w:r w:rsidR="00EC3C86" w:rsidRPr="00F35716">
        <w:t xml:space="preserve"> misiones diplomáticas (el 24</w:t>
      </w:r>
      <w:r w:rsidR="0006736D" w:rsidRPr="00F35716">
        <w:t> %</w:t>
      </w:r>
      <w:r w:rsidR="00EC3C86" w:rsidRPr="00F35716">
        <w:t>)</w:t>
      </w:r>
      <w:r w:rsidR="009C2DC8" w:rsidRPr="00F35716">
        <w:t xml:space="preserve"> y 335 </w:t>
      </w:r>
      <w:r w:rsidR="00EC3C86" w:rsidRPr="00F35716">
        <w:t xml:space="preserve">empleadas </w:t>
      </w:r>
      <w:r w:rsidR="009C2DC8" w:rsidRPr="00F35716">
        <w:t>en oficinas consulares</w:t>
      </w:r>
      <w:r w:rsidR="00EC3C86" w:rsidRPr="00F35716">
        <w:t xml:space="preserve"> (el 37</w:t>
      </w:r>
      <w:r w:rsidR="0006736D" w:rsidRPr="00F35716">
        <w:t> %</w:t>
      </w:r>
      <w:r w:rsidR="00EC3C86" w:rsidRPr="00F35716">
        <w:t>).</w:t>
      </w:r>
    </w:p>
    <w:p w14:paraId="32E943A2" w14:textId="77777777" w:rsidR="004D33E9" w:rsidRPr="00F35716" w:rsidRDefault="004D33E9" w:rsidP="004D33E9">
      <w:pPr>
        <w:pStyle w:val="SingleTxt"/>
        <w:spacing w:after="0" w:line="120" w:lineRule="exact"/>
        <w:rPr>
          <w:sz w:val="10"/>
          <w:szCs w:val="20"/>
        </w:rPr>
      </w:pPr>
    </w:p>
    <w:p w14:paraId="32E943A3" w14:textId="77777777" w:rsidR="00EC3C86" w:rsidRPr="00F35716" w:rsidRDefault="00DC7516"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Cs w:val="0"/>
          <w:szCs w:val="20"/>
        </w:rPr>
        <w:t>Artículo 9</w:t>
      </w:r>
      <w:bookmarkStart w:id="37" w:name="_Toc24015479"/>
      <w:bookmarkStart w:id="38" w:name="_Toc24100786"/>
      <w:bookmarkStart w:id="39" w:name="_Toc24548860"/>
      <w:bookmarkStart w:id="40" w:name="_Toc28165902"/>
      <w:bookmarkEnd w:id="37"/>
      <w:bookmarkEnd w:id="38"/>
      <w:bookmarkEnd w:id="39"/>
      <w:bookmarkEnd w:id="40"/>
    </w:p>
    <w:p w14:paraId="32E943A4" w14:textId="77777777" w:rsidR="004D33E9" w:rsidRPr="00F35716" w:rsidRDefault="004D33E9" w:rsidP="004D33E9">
      <w:pPr>
        <w:pStyle w:val="SingleTxt"/>
        <w:spacing w:after="0" w:line="120" w:lineRule="exact"/>
        <w:rPr>
          <w:sz w:val="10"/>
          <w:szCs w:val="20"/>
        </w:rPr>
      </w:pPr>
    </w:p>
    <w:p w14:paraId="32E943A5" w14:textId="34BA25BD" w:rsidR="00EC3C86" w:rsidRPr="00F35716" w:rsidRDefault="00475770" w:rsidP="0081283B">
      <w:pPr>
        <w:pStyle w:val="SingleTxt"/>
        <w:rPr>
          <w:szCs w:val="20"/>
        </w:rPr>
      </w:pPr>
      <w:r w:rsidRPr="00F35716">
        <w:rPr>
          <w:szCs w:val="20"/>
        </w:rPr>
        <w:t>En relación con el párrafo 41 de las observaciones finales</w:t>
      </w:r>
      <w:r w:rsidR="00EC3C86" w:rsidRPr="00F35716">
        <w:rPr>
          <w:szCs w:val="20"/>
        </w:rPr>
        <w:t>, en abril de 2006 Marruecos retiró su reserva al artículo 9</w:t>
      </w:r>
      <w:r w:rsidR="004F5C89" w:rsidRPr="00F35716">
        <w:rPr>
          <w:szCs w:val="20"/>
        </w:rPr>
        <w:t>, párrafo 2,</w:t>
      </w:r>
      <w:r w:rsidR="00EC3C86" w:rsidRPr="00F35716">
        <w:rPr>
          <w:szCs w:val="20"/>
        </w:rPr>
        <w:t xml:space="preserve"> de la Convención. </w:t>
      </w:r>
      <w:r w:rsidR="004F5C89" w:rsidRPr="00F35716">
        <w:rPr>
          <w:szCs w:val="20"/>
        </w:rPr>
        <w:t>Marruecos ha promulgado</w:t>
      </w:r>
      <w:r w:rsidR="00EC3C86" w:rsidRPr="00F35716">
        <w:rPr>
          <w:szCs w:val="20"/>
        </w:rPr>
        <w:t xml:space="preserve"> le</w:t>
      </w:r>
      <w:r w:rsidR="004F5C89" w:rsidRPr="00F35716">
        <w:rPr>
          <w:szCs w:val="20"/>
        </w:rPr>
        <w:t>gislación</w:t>
      </w:r>
      <w:r w:rsidR="00EC3C86" w:rsidRPr="00F35716">
        <w:rPr>
          <w:szCs w:val="20"/>
        </w:rPr>
        <w:t xml:space="preserve"> </w:t>
      </w:r>
      <w:r w:rsidR="004F5C89" w:rsidRPr="00F35716">
        <w:rPr>
          <w:szCs w:val="20"/>
        </w:rPr>
        <w:t>que garantiza la</w:t>
      </w:r>
      <w:r w:rsidR="00EC3C86" w:rsidRPr="00F35716">
        <w:rPr>
          <w:szCs w:val="20"/>
        </w:rPr>
        <w:t xml:space="preserve"> igualdad de género </w:t>
      </w:r>
      <w:r w:rsidR="004F5C89" w:rsidRPr="00F35716">
        <w:rPr>
          <w:szCs w:val="20"/>
        </w:rPr>
        <w:t>en</w:t>
      </w:r>
      <w:r w:rsidR="00EC3C86" w:rsidRPr="00F35716">
        <w:rPr>
          <w:szCs w:val="20"/>
        </w:rPr>
        <w:t xml:space="preserve"> la concesión de la nacionalidad marroquí a</w:t>
      </w:r>
      <w:r w:rsidR="004F5C89" w:rsidRPr="00F35716">
        <w:rPr>
          <w:szCs w:val="20"/>
        </w:rPr>
        <w:t xml:space="preserve"> los hijos de</w:t>
      </w:r>
      <w:r w:rsidR="00EC3C86" w:rsidRPr="00F35716">
        <w:rPr>
          <w:szCs w:val="20"/>
        </w:rPr>
        <w:t xml:space="preserve"> padre extranjero, independientemente del lugar de nacimiento, mediante la modificación de la Ley de Nacionalidad en abril de 2007. </w:t>
      </w:r>
      <w:r w:rsidR="004F5C89" w:rsidRPr="00F35716">
        <w:rPr>
          <w:szCs w:val="20"/>
        </w:rPr>
        <w:t>A</w:t>
      </w:r>
      <w:r w:rsidR="00EC3C86" w:rsidRPr="00F35716">
        <w:rPr>
          <w:szCs w:val="20"/>
        </w:rPr>
        <w:t xml:space="preserve"> 31 de noviembre de 2018</w:t>
      </w:r>
      <w:r w:rsidR="004F5C89" w:rsidRPr="00F35716">
        <w:rPr>
          <w:szCs w:val="20"/>
        </w:rPr>
        <w:t>,</w:t>
      </w:r>
      <w:r w:rsidR="00EC3C86" w:rsidRPr="00F35716">
        <w:rPr>
          <w:szCs w:val="20"/>
        </w:rPr>
        <w:t xml:space="preserve"> </w:t>
      </w:r>
      <w:r w:rsidR="004F5C89" w:rsidRPr="00F35716">
        <w:rPr>
          <w:szCs w:val="20"/>
        </w:rPr>
        <w:t xml:space="preserve">33.593 personas habían </w:t>
      </w:r>
      <w:r w:rsidR="00EC3C86" w:rsidRPr="00F35716">
        <w:rPr>
          <w:szCs w:val="20"/>
        </w:rPr>
        <w:t>obt</w:t>
      </w:r>
      <w:r w:rsidR="004F5C89" w:rsidRPr="00F35716">
        <w:rPr>
          <w:szCs w:val="20"/>
        </w:rPr>
        <w:t>enido</w:t>
      </w:r>
      <w:r w:rsidR="00EC3C86" w:rsidRPr="00F35716">
        <w:rPr>
          <w:szCs w:val="20"/>
        </w:rPr>
        <w:t xml:space="preserve"> el certificado de nacionalidad marroquí a través de la madre.</w:t>
      </w:r>
    </w:p>
    <w:p w14:paraId="32E943A6" w14:textId="68995E77" w:rsidR="00EC3C86" w:rsidRPr="00F35716" w:rsidRDefault="00EC3C86" w:rsidP="00B3192A">
      <w:pPr>
        <w:pStyle w:val="SingleTxt"/>
        <w:numPr>
          <w:ilvl w:val="0"/>
          <w:numId w:val="8"/>
        </w:numPr>
        <w:ind w:left="1267" w:firstLine="0"/>
      </w:pPr>
      <w:r w:rsidRPr="00F35716">
        <w:t xml:space="preserve">Se </w:t>
      </w:r>
      <w:r w:rsidR="00567E51" w:rsidRPr="00F35716">
        <w:t xml:space="preserve">ha adoptado </w:t>
      </w:r>
      <w:r w:rsidRPr="00F35716">
        <w:t xml:space="preserve">un proyecto de ley para </w:t>
      </w:r>
      <w:r w:rsidR="00567E51" w:rsidRPr="00F35716">
        <w:t>modificar</w:t>
      </w:r>
      <w:r w:rsidRPr="00F35716">
        <w:t xml:space="preserve"> y complementar el artículo 10 del Decreto núm. </w:t>
      </w:r>
      <w:r w:rsidR="00B732A8" w:rsidRPr="00F35716">
        <w:t>1-58-</w:t>
      </w:r>
      <w:r w:rsidRPr="00F35716">
        <w:t xml:space="preserve">250, por el que se promulga la Ley de Nacionalidad, que permite a las mujeres marroquíes casadas con un extranjero </w:t>
      </w:r>
      <w:r w:rsidR="00567E51" w:rsidRPr="00F35716">
        <w:t xml:space="preserve">transmitir </w:t>
      </w:r>
      <w:r w:rsidRPr="00F35716">
        <w:t xml:space="preserve">la ciudadanía marroquí por matrimonio, </w:t>
      </w:r>
      <w:r w:rsidR="00567E51" w:rsidRPr="00F35716">
        <w:t xml:space="preserve">como </w:t>
      </w:r>
      <w:r w:rsidRPr="00F35716">
        <w:t xml:space="preserve">ocurre </w:t>
      </w:r>
      <w:r w:rsidR="00567E51" w:rsidRPr="00F35716">
        <w:t>en el caso de</w:t>
      </w:r>
      <w:r w:rsidRPr="00F35716">
        <w:t xml:space="preserve"> una mujer extranjera casada con un hombre marroquí.</w:t>
      </w:r>
      <w:bookmarkStart w:id="41" w:name="_Toc24015480"/>
      <w:bookmarkStart w:id="42" w:name="_Toc24100787"/>
      <w:bookmarkStart w:id="43" w:name="_Toc24548861"/>
      <w:bookmarkStart w:id="44" w:name="_Toc28165903"/>
    </w:p>
    <w:p w14:paraId="32E943A7" w14:textId="77777777" w:rsidR="004D33E9" w:rsidRPr="00F35716" w:rsidRDefault="004D33E9" w:rsidP="004D33E9">
      <w:pPr>
        <w:pStyle w:val="SingleTxt"/>
        <w:spacing w:after="0" w:line="120" w:lineRule="exact"/>
        <w:rPr>
          <w:sz w:val="10"/>
          <w:szCs w:val="20"/>
        </w:rPr>
      </w:pPr>
    </w:p>
    <w:p w14:paraId="32E943A8" w14:textId="77777777" w:rsidR="004D33E9" w:rsidRPr="00F35716" w:rsidRDefault="004D33E9" w:rsidP="004D33E9">
      <w:pPr>
        <w:pStyle w:val="SingleTxt"/>
        <w:spacing w:after="0" w:line="120" w:lineRule="exact"/>
        <w:rPr>
          <w:sz w:val="10"/>
          <w:szCs w:val="20"/>
        </w:rPr>
      </w:pPr>
    </w:p>
    <w:p w14:paraId="32E943A9" w14:textId="77777777" w:rsidR="00EC3C86" w:rsidRPr="00F35716" w:rsidRDefault="008178AF" w:rsidP="000E51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F35716">
        <w:rPr>
          <w:szCs w:val="20"/>
        </w:rPr>
        <w:tab/>
      </w:r>
      <w:r w:rsidRPr="00F35716">
        <w:rPr>
          <w:szCs w:val="20"/>
        </w:rPr>
        <w:tab/>
      </w:r>
      <w:r w:rsidR="00EC3C86" w:rsidRPr="00F35716">
        <w:rPr>
          <w:szCs w:val="20"/>
        </w:rPr>
        <w:t>Parte III</w:t>
      </w:r>
    </w:p>
    <w:p w14:paraId="32E943AA" w14:textId="77777777" w:rsidR="004D33E9" w:rsidRPr="00F35716" w:rsidRDefault="004D33E9" w:rsidP="004D33E9">
      <w:pPr>
        <w:pStyle w:val="SingleTxt"/>
        <w:spacing w:after="0" w:line="120" w:lineRule="exact"/>
        <w:rPr>
          <w:sz w:val="10"/>
          <w:szCs w:val="20"/>
        </w:rPr>
      </w:pPr>
    </w:p>
    <w:p w14:paraId="32E943AB" w14:textId="77777777" w:rsidR="004D33E9" w:rsidRPr="00F35716" w:rsidRDefault="004D33E9" w:rsidP="004D33E9">
      <w:pPr>
        <w:pStyle w:val="SingleTxt"/>
        <w:spacing w:after="0" w:line="120" w:lineRule="exact"/>
        <w:rPr>
          <w:sz w:val="10"/>
          <w:szCs w:val="20"/>
        </w:rPr>
      </w:pPr>
    </w:p>
    <w:bookmarkEnd w:id="41"/>
    <w:bookmarkEnd w:id="42"/>
    <w:bookmarkEnd w:id="43"/>
    <w:bookmarkEnd w:id="44"/>
    <w:p w14:paraId="32E943AC" w14:textId="77777777" w:rsidR="00EC3C86" w:rsidRPr="00F35716" w:rsidRDefault="00DC7516"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Cs w:val="0"/>
          <w:szCs w:val="20"/>
        </w:rPr>
        <w:t>Artículo 10</w:t>
      </w:r>
    </w:p>
    <w:p w14:paraId="32E943AD" w14:textId="77777777" w:rsidR="004D33E9" w:rsidRPr="00F35716" w:rsidRDefault="004D33E9" w:rsidP="004D33E9">
      <w:pPr>
        <w:pStyle w:val="SingleTxt"/>
        <w:spacing w:after="0" w:line="120" w:lineRule="exact"/>
        <w:rPr>
          <w:sz w:val="10"/>
          <w:szCs w:val="20"/>
        </w:rPr>
      </w:pPr>
    </w:p>
    <w:p w14:paraId="32E943AE" w14:textId="569CF361" w:rsidR="00EC3C86" w:rsidRPr="00F35716" w:rsidRDefault="00475770" w:rsidP="00B3192A">
      <w:pPr>
        <w:pStyle w:val="SingleTxt"/>
        <w:numPr>
          <w:ilvl w:val="0"/>
          <w:numId w:val="8"/>
        </w:numPr>
        <w:ind w:left="1267" w:firstLine="0"/>
      </w:pPr>
      <w:r w:rsidRPr="00F35716">
        <w:t>En relación con el párrafo 27 de las observaciones finales</w:t>
      </w:r>
      <w:r w:rsidR="00EC3C86" w:rsidRPr="00F35716">
        <w:t xml:space="preserve">, y como parte de sus esfuerzos para reformar el sistema educativo, Marruecos ha adoptado varios programas y planes basados en las disposiciones de la Carta Nacional de Educación y Formación. </w:t>
      </w:r>
      <w:r w:rsidR="00C04A4E" w:rsidRPr="00F35716">
        <w:t>L</w:t>
      </w:r>
      <w:r w:rsidR="00EC3C86" w:rsidRPr="00F35716">
        <w:t xml:space="preserve">a </w:t>
      </w:r>
      <w:r w:rsidR="00C04A4E" w:rsidRPr="00F35716">
        <w:t xml:space="preserve">escolarización </w:t>
      </w:r>
      <w:r w:rsidR="00EC3C86" w:rsidRPr="00F35716">
        <w:t xml:space="preserve">de las niñas </w:t>
      </w:r>
      <w:r w:rsidR="00C04A4E" w:rsidRPr="00F35716">
        <w:t xml:space="preserve">constituye una de las prioridades </w:t>
      </w:r>
      <w:r w:rsidR="00EC3C86" w:rsidRPr="00F35716">
        <w:t xml:space="preserve">del Programa </w:t>
      </w:r>
      <w:r w:rsidR="00C04A4E" w:rsidRPr="00F35716">
        <w:t>Acelerado</w:t>
      </w:r>
      <w:r w:rsidR="00EC3C86" w:rsidRPr="00F35716">
        <w:t xml:space="preserve"> de Educación y Formación</w:t>
      </w:r>
      <w:r w:rsidR="00DF77B3" w:rsidRPr="00F35716">
        <w:t xml:space="preserve"> (</w:t>
      </w:r>
      <w:r w:rsidR="00EC3C86" w:rsidRPr="00F35716">
        <w:t>2009-2012</w:t>
      </w:r>
      <w:r w:rsidR="00DF77B3" w:rsidRPr="00F35716">
        <w:t>)</w:t>
      </w:r>
      <w:r w:rsidR="00EC3C86" w:rsidRPr="00F35716">
        <w:t xml:space="preserve">, el Plan de Acción Estratégico </w:t>
      </w:r>
      <w:r w:rsidR="00C04A4E" w:rsidRPr="00F35716">
        <w:t>de</w:t>
      </w:r>
      <w:r w:rsidR="00EC3C86" w:rsidRPr="00F35716">
        <w:t xml:space="preserve"> Mediano Plazo para Institucionalizar la Igualdad </w:t>
      </w:r>
      <w:r w:rsidR="00C04A4E" w:rsidRPr="00F35716">
        <w:t>de</w:t>
      </w:r>
      <w:r w:rsidR="00EC3C86" w:rsidRPr="00F35716">
        <w:t xml:space="preserve"> Género</w:t>
      </w:r>
      <w:r w:rsidR="00DF77B3" w:rsidRPr="00F35716">
        <w:t xml:space="preserve"> (</w:t>
      </w:r>
      <w:r w:rsidR="00EC3C86" w:rsidRPr="00F35716">
        <w:t>2008-2012</w:t>
      </w:r>
      <w:r w:rsidR="00DF77B3" w:rsidRPr="00F35716">
        <w:t>)</w:t>
      </w:r>
      <w:r w:rsidR="00EC3C86" w:rsidRPr="00F35716">
        <w:t xml:space="preserve">, </w:t>
      </w:r>
      <w:r w:rsidR="00C04A4E" w:rsidRPr="00F35716">
        <w:t>el</w:t>
      </w:r>
      <w:r w:rsidR="00EC3C86" w:rsidRPr="00F35716">
        <w:t xml:space="preserve"> </w:t>
      </w:r>
      <w:r w:rsidR="00C04A4E" w:rsidRPr="00F35716">
        <w:t>P</w:t>
      </w:r>
      <w:r w:rsidR="00EC3C86" w:rsidRPr="00F35716">
        <w:t xml:space="preserve">lan de </w:t>
      </w:r>
      <w:r w:rsidR="00C04A4E" w:rsidRPr="00F35716">
        <w:t>A</w:t>
      </w:r>
      <w:r w:rsidR="00EC3C86" w:rsidRPr="00F35716">
        <w:t xml:space="preserve">cción </w:t>
      </w:r>
      <w:r w:rsidR="00C04A4E" w:rsidRPr="00F35716">
        <w:t>de</w:t>
      </w:r>
      <w:r w:rsidR="00D302A2" w:rsidRPr="00F35716">
        <w:t> </w:t>
      </w:r>
      <w:r w:rsidR="00C04A4E" w:rsidRPr="00F35716">
        <w:t>M</w:t>
      </w:r>
      <w:r w:rsidR="00EC3C86" w:rsidRPr="00F35716">
        <w:t xml:space="preserve">ediano </w:t>
      </w:r>
      <w:r w:rsidR="00C04A4E" w:rsidRPr="00F35716">
        <w:t>P</w:t>
      </w:r>
      <w:r w:rsidR="00EC3C86" w:rsidRPr="00F35716">
        <w:t>lazo</w:t>
      </w:r>
      <w:r w:rsidR="00DF77B3" w:rsidRPr="00F35716">
        <w:t xml:space="preserve"> (</w:t>
      </w:r>
      <w:r w:rsidR="00EC3C86" w:rsidRPr="00F35716">
        <w:t>2013-2016</w:t>
      </w:r>
      <w:r w:rsidR="00DF77B3" w:rsidRPr="00F35716">
        <w:t>)</w:t>
      </w:r>
      <w:r w:rsidR="00C04A4E" w:rsidRPr="00F35716">
        <w:t>,</w:t>
      </w:r>
      <w:r w:rsidR="00EC3C86" w:rsidRPr="00F35716">
        <w:t xml:space="preserve"> y </w:t>
      </w:r>
      <w:r w:rsidR="00C04A4E" w:rsidRPr="00F35716">
        <w:t>la</w:t>
      </w:r>
      <w:r w:rsidR="00EC3C86" w:rsidRPr="00F35716">
        <w:t xml:space="preserve"> </w:t>
      </w:r>
      <w:r w:rsidR="00C04A4E" w:rsidRPr="00F35716">
        <w:t>V</w:t>
      </w:r>
      <w:r w:rsidR="00EC3C86" w:rsidRPr="00F35716">
        <w:t xml:space="preserve">isión </w:t>
      </w:r>
      <w:r w:rsidR="00C04A4E" w:rsidRPr="00F35716">
        <w:t>E</w:t>
      </w:r>
      <w:r w:rsidR="00EC3C86" w:rsidRPr="00F35716">
        <w:t xml:space="preserve">stratégica para la </w:t>
      </w:r>
      <w:r w:rsidR="00C04A4E" w:rsidRPr="00F35716">
        <w:t>R</w:t>
      </w:r>
      <w:r w:rsidR="00EC3C86" w:rsidRPr="00F35716">
        <w:t xml:space="preserve">eforma </w:t>
      </w:r>
      <w:r w:rsidR="00C04A4E" w:rsidRPr="00F35716">
        <w:t>correspondiente a</w:t>
      </w:r>
      <w:r w:rsidR="002D14B3" w:rsidRPr="00F35716">
        <w:t> </w:t>
      </w:r>
      <w:r w:rsidR="00EC3C86" w:rsidRPr="00F35716">
        <w:t>2015-2030.</w:t>
      </w:r>
    </w:p>
    <w:p w14:paraId="32E943AF" w14:textId="4BC30FD7" w:rsidR="00EC3C86" w:rsidRPr="00F35716" w:rsidRDefault="00EC3C86" w:rsidP="00B3192A">
      <w:pPr>
        <w:pStyle w:val="SingleTxt"/>
        <w:numPr>
          <w:ilvl w:val="0"/>
          <w:numId w:val="8"/>
        </w:numPr>
        <w:ind w:left="1267" w:firstLine="0"/>
      </w:pPr>
      <w:r w:rsidRPr="00F35716">
        <w:t xml:space="preserve">Se han tomado una serie de medidas para mejorar los indicadores de escolarización de las niñas. </w:t>
      </w:r>
      <w:r w:rsidR="00E176C1" w:rsidRPr="00F35716">
        <w:t>La</w:t>
      </w:r>
      <w:r w:rsidRPr="00F35716">
        <w:t xml:space="preserve"> educación </w:t>
      </w:r>
      <w:r w:rsidR="00E176C1" w:rsidRPr="00F35716">
        <w:t xml:space="preserve">es </w:t>
      </w:r>
      <w:r w:rsidRPr="00F35716">
        <w:t>obligatoria hasta los 15 años</w:t>
      </w:r>
      <w:r w:rsidR="00E176C1" w:rsidRPr="00F35716">
        <w:t>. Se ha ampliado</w:t>
      </w:r>
      <w:r w:rsidRPr="00F35716">
        <w:t xml:space="preserve"> la oferta de la enseñanza </w:t>
      </w:r>
      <w:r w:rsidR="00E176C1" w:rsidRPr="00F35716">
        <w:t>primaria</w:t>
      </w:r>
      <w:r w:rsidRPr="00F35716">
        <w:t xml:space="preserve"> a través del establecimiento de escuelas </w:t>
      </w:r>
      <w:r w:rsidR="00F45206" w:rsidRPr="00F35716">
        <w:t>comuna</w:t>
      </w:r>
      <w:r w:rsidR="00E176C1" w:rsidRPr="00F35716">
        <w:t>les</w:t>
      </w:r>
      <w:r w:rsidRPr="00F35716">
        <w:rPr>
          <w:vertAlign w:val="superscript"/>
        </w:rPr>
        <w:footnoteReference w:id="69"/>
      </w:r>
      <w:r w:rsidR="00E176C1" w:rsidRPr="00F35716">
        <w:t xml:space="preserve">, cuyo </w:t>
      </w:r>
      <w:r w:rsidRPr="00F35716">
        <w:t>número ascend</w:t>
      </w:r>
      <w:r w:rsidR="00E176C1" w:rsidRPr="00F35716">
        <w:t>ía</w:t>
      </w:r>
      <w:r w:rsidRPr="00F35716">
        <w:t xml:space="preserve"> a 124 durante el curso 2017-2018, frente a las 96 de 2014-2015.</w:t>
      </w:r>
    </w:p>
    <w:p w14:paraId="32E943B0" w14:textId="64468A64" w:rsidR="00EC3C86" w:rsidRPr="00F35716" w:rsidRDefault="00EC3C86" w:rsidP="00B3192A">
      <w:pPr>
        <w:pStyle w:val="SingleTxt"/>
        <w:numPr>
          <w:ilvl w:val="0"/>
          <w:numId w:val="8"/>
        </w:numPr>
        <w:ind w:left="1267" w:firstLine="0"/>
      </w:pPr>
      <w:r w:rsidRPr="00F35716">
        <w:t xml:space="preserve">En 2017-2018, 1.114.353 alumnos de todos los niveles de la </w:t>
      </w:r>
      <w:r w:rsidR="00E176C1" w:rsidRPr="00F35716">
        <w:t>enseñanza primaria</w:t>
      </w:r>
      <w:r w:rsidRPr="00F35716">
        <w:t xml:space="preserve"> pública se beneficiaron de los comedores escolares, y el 48,5% de ellos fueron niñas. Por otro lado, </w:t>
      </w:r>
      <w:r w:rsidR="00E176C1" w:rsidRPr="00F35716">
        <w:t xml:space="preserve">había </w:t>
      </w:r>
      <w:r w:rsidRPr="00F35716">
        <w:t>111.321 alumnos internos, de los cuales el</w:t>
      </w:r>
      <w:r w:rsidR="00610348" w:rsidRPr="00F35716">
        <w:t> </w:t>
      </w:r>
      <w:r w:rsidRPr="00F35716">
        <w:t>49</w:t>
      </w:r>
      <w:r w:rsidR="0006736D" w:rsidRPr="00F35716">
        <w:t> %</w:t>
      </w:r>
      <w:r w:rsidRPr="00F35716">
        <w:t xml:space="preserve"> </w:t>
      </w:r>
      <w:r w:rsidR="00E176C1" w:rsidRPr="00F35716">
        <w:t>eran</w:t>
      </w:r>
      <w:r w:rsidRPr="00F35716">
        <w:t xml:space="preserve"> niñas. A nivel nacional, 136.764 estudiantes de todos los niveles de la </w:t>
      </w:r>
      <w:r w:rsidR="00E176C1" w:rsidRPr="00F35716">
        <w:t xml:space="preserve">enseñanza primaria </w:t>
      </w:r>
      <w:r w:rsidRPr="00F35716">
        <w:t>pública recibieron becas, siendo niñas el 47,5</w:t>
      </w:r>
      <w:r w:rsidR="0006736D" w:rsidRPr="00F35716">
        <w:t> %</w:t>
      </w:r>
      <w:r w:rsidRPr="00F35716">
        <w:t xml:space="preserve"> de los receptores. En las zonas rurales hubo 80.551 beneficiarios, de los que el 47</w:t>
      </w:r>
      <w:r w:rsidR="0006736D" w:rsidRPr="00F35716">
        <w:t> %</w:t>
      </w:r>
      <w:r w:rsidRPr="00F35716">
        <w:t xml:space="preserve"> fueron niñas. Por</w:t>
      </w:r>
      <w:r w:rsidR="00E65BFB" w:rsidRPr="00F35716">
        <w:t> </w:t>
      </w:r>
      <w:r w:rsidRPr="00F35716">
        <w:t>último, 15</w:t>
      </w:r>
      <w:r w:rsidR="00E176C1" w:rsidRPr="00F35716">
        <w:t>3</w:t>
      </w:r>
      <w:r w:rsidRPr="00F35716">
        <w:t>.180 alumnos, el 46</w:t>
      </w:r>
      <w:r w:rsidR="0006736D" w:rsidRPr="00F35716">
        <w:t> %</w:t>
      </w:r>
      <w:r w:rsidRPr="00F35716">
        <w:t xml:space="preserve"> de ellos niñas, hicieron uso de servicios de transporte escolar en el curso 2017-2018.</w:t>
      </w:r>
    </w:p>
    <w:p w14:paraId="32E943B1" w14:textId="362AC6D7" w:rsidR="00EC3C86" w:rsidRPr="00F35716" w:rsidRDefault="00EC3C86" w:rsidP="00B3192A">
      <w:pPr>
        <w:pStyle w:val="SingleTxt"/>
        <w:numPr>
          <w:ilvl w:val="0"/>
          <w:numId w:val="8"/>
        </w:numPr>
        <w:ind w:left="1267" w:firstLine="0"/>
      </w:pPr>
      <w:r w:rsidRPr="00F35716">
        <w:t xml:space="preserve">Desde </w:t>
      </w:r>
      <w:r w:rsidR="00E176C1" w:rsidRPr="00F35716">
        <w:t xml:space="preserve">el curso académico </w:t>
      </w:r>
      <w:r w:rsidRPr="00F35716">
        <w:t>2009-2010, más de 4 millones de estudiantes se han acogido anualmente a la iniciativa Un Millón de Carteras</w:t>
      </w:r>
      <w:r w:rsidR="004C2E92" w:rsidRPr="00F35716">
        <w:t xml:space="preserve">, de los cuales, en promedio, </w:t>
      </w:r>
      <w:r w:rsidRPr="00F35716">
        <w:t>alrededor de</w:t>
      </w:r>
      <w:r w:rsidR="004C2E92" w:rsidRPr="00F35716">
        <w:t>l</w:t>
      </w:r>
      <w:r w:rsidRPr="00F35716">
        <w:t xml:space="preserve"> 45,5</w:t>
      </w:r>
      <w:r w:rsidR="0006736D" w:rsidRPr="00F35716">
        <w:t> %</w:t>
      </w:r>
      <w:r w:rsidR="004C2E92" w:rsidRPr="00F35716">
        <w:t xml:space="preserve"> </w:t>
      </w:r>
      <w:r w:rsidRPr="00F35716">
        <w:t xml:space="preserve">son niñas. </w:t>
      </w:r>
      <w:r w:rsidR="004C2E92" w:rsidRPr="00F35716">
        <w:t>E</w:t>
      </w:r>
      <w:r w:rsidRPr="00F35716">
        <w:t>n 2016-2017</w:t>
      </w:r>
      <w:r w:rsidR="004C2E92" w:rsidRPr="00F35716">
        <w:t>, unos</w:t>
      </w:r>
      <w:r w:rsidRPr="00F35716">
        <w:t xml:space="preserve"> 859.975</w:t>
      </w:r>
      <w:r w:rsidR="00795667" w:rsidRPr="00F35716">
        <w:t> </w:t>
      </w:r>
      <w:r w:rsidRPr="00F35716">
        <w:t>estudiantes (45</w:t>
      </w:r>
      <w:r w:rsidR="0006736D" w:rsidRPr="00F35716">
        <w:t> %</w:t>
      </w:r>
      <w:r w:rsidRPr="00F35716">
        <w:t xml:space="preserve"> de niñas)</w:t>
      </w:r>
      <w:r w:rsidR="004C2E92" w:rsidRPr="00F35716">
        <w:t xml:space="preserve"> se beneficiaron del programa de ayudas en efectivo </w:t>
      </w:r>
      <w:r w:rsidR="004C2E92" w:rsidRPr="00F35716">
        <w:rPr>
          <w:iCs/>
        </w:rPr>
        <w:t>Tayssir</w:t>
      </w:r>
      <w:r w:rsidRPr="00F35716">
        <w:t xml:space="preserve">, frente a los 87.795 </w:t>
      </w:r>
      <w:r w:rsidR="004C2E92" w:rsidRPr="00F35716">
        <w:lastRenderedPageBreak/>
        <w:t>beneficiarios</w:t>
      </w:r>
      <w:r w:rsidRPr="00F35716">
        <w:t xml:space="preserve"> </w:t>
      </w:r>
      <w:r w:rsidR="00DF77B3" w:rsidRPr="00F35716">
        <w:t>d</w:t>
      </w:r>
      <w:r w:rsidRPr="00F35716">
        <w:t xml:space="preserve">e 2008-2009. Estas medidas </w:t>
      </w:r>
      <w:r w:rsidR="004C2E92" w:rsidRPr="00F35716">
        <w:t>quedaron reflejadas</w:t>
      </w:r>
      <w:r w:rsidRPr="00F35716">
        <w:t xml:space="preserve"> en la </w:t>
      </w:r>
      <w:r w:rsidR="004C2E92" w:rsidRPr="00F35716">
        <w:t xml:space="preserve">mejora general </w:t>
      </w:r>
      <w:r w:rsidRPr="00F35716">
        <w:t xml:space="preserve">de los indicadores relacionados con la escolarización </w:t>
      </w:r>
      <w:r w:rsidR="004C2E92" w:rsidRPr="00F35716">
        <w:t>de las niñas</w:t>
      </w:r>
      <w:r w:rsidRPr="00F35716">
        <w:rPr>
          <w:vertAlign w:val="superscript"/>
        </w:rPr>
        <w:footnoteReference w:id="70"/>
      </w:r>
      <w:r w:rsidRPr="00F35716">
        <w:t xml:space="preserve">. </w:t>
      </w:r>
    </w:p>
    <w:p w14:paraId="32E943B2" w14:textId="1934B3ED" w:rsidR="00EC3C86" w:rsidRPr="00F35716" w:rsidRDefault="00EC3C86" w:rsidP="00B3192A">
      <w:pPr>
        <w:pStyle w:val="SingleTxt"/>
        <w:numPr>
          <w:ilvl w:val="0"/>
          <w:numId w:val="8"/>
        </w:numPr>
        <w:ind w:left="1267" w:firstLine="0"/>
      </w:pPr>
      <w:r w:rsidRPr="00F35716">
        <w:t>En el curso 2017-2018 h</w:t>
      </w:r>
      <w:r w:rsidR="00F45C99" w:rsidRPr="00F35716">
        <w:t>abía</w:t>
      </w:r>
      <w:r w:rsidRPr="00F35716">
        <w:t xml:space="preserve"> 699.265 alumnos </w:t>
      </w:r>
      <w:r w:rsidR="00F45C99" w:rsidRPr="00F35716">
        <w:t>matriculados en la</w:t>
      </w:r>
      <w:r w:rsidRPr="00F35716">
        <w:t xml:space="preserve"> </w:t>
      </w:r>
      <w:r w:rsidR="00F45C99" w:rsidRPr="00F35716">
        <w:t xml:space="preserve">enseñanza </w:t>
      </w:r>
      <w:r w:rsidRPr="00F35716">
        <w:t>primaria, de los cuales el 44</w:t>
      </w:r>
      <w:r w:rsidR="0006736D" w:rsidRPr="00F35716">
        <w:t> %</w:t>
      </w:r>
      <w:r w:rsidRPr="00F35716">
        <w:t xml:space="preserve"> </w:t>
      </w:r>
      <w:r w:rsidR="00F45C99" w:rsidRPr="00F35716">
        <w:t>eran</w:t>
      </w:r>
      <w:r w:rsidRPr="00F35716">
        <w:t xml:space="preserve"> niñas. A nivel nacional, la tasa de escolarización ascendió al 49,8</w:t>
      </w:r>
      <w:r w:rsidR="0006736D" w:rsidRPr="00F35716">
        <w:t> %</w:t>
      </w:r>
      <w:r w:rsidRPr="00F35716">
        <w:t xml:space="preserve"> (el 45,5</w:t>
      </w:r>
      <w:r w:rsidR="0006736D" w:rsidRPr="00F35716">
        <w:t> %</w:t>
      </w:r>
      <w:r w:rsidRPr="00F35716">
        <w:t xml:space="preserve"> en el caso de las niñas), mientras que en las zonas rurales fue del 36,6</w:t>
      </w:r>
      <w:r w:rsidR="0006736D" w:rsidRPr="00F35716">
        <w:t> %</w:t>
      </w:r>
      <w:r w:rsidRPr="00F35716">
        <w:t xml:space="preserve"> (el 28</w:t>
      </w:r>
      <w:r w:rsidR="0006736D" w:rsidRPr="00F35716">
        <w:t> %</w:t>
      </w:r>
      <w:r w:rsidRPr="00F35716">
        <w:t xml:space="preserve"> en el caso de las niñas). </w:t>
      </w:r>
    </w:p>
    <w:p w14:paraId="32E943B3" w14:textId="587F9F56" w:rsidR="00EC3C86" w:rsidRPr="00F35716" w:rsidRDefault="00EC3C86" w:rsidP="00B3192A">
      <w:pPr>
        <w:pStyle w:val="SingleTxt"/>
        <w:numPr>
          <w:ilvl w:val="0"/>
          <w:numId w:val="8"/>
        </w:numPr>
        <w:ind w:left="1267" w:firstLine="0"/>
      </w:pPr>
      <w:r w:rsidRPr="00F35716">
        <w:t>La</w:t>
      </w:r>
      <w:r w:rsidR="00764714" w:rsidRPr="00F35716">
        <w:t xml:space="preserve"> proporción de alumnas en todos los niveles de la enseñanza primaria </w:t>
      </w:r>
      <w:r w:rsidRPr="00F35716">
        <w:t>ha aumentado significativamente, llegando al 99,1</w:t>
      </w:r>
      <w:r w:rsidR="0006736D" w:rsidRPr="00F35716">
        <w:t> %</w:t>
      </w:r>
      <w:r w:rsidRPr="00F35716">
        <w:t xml:space="preserve"> en 2017. Además, el número total de niñas </w:t>
      </w:r>
      <w:r w:rsidR="00764714" w:rsidRPr="00F35716">
        <w:t>matriculadas</w:t>
      </w:r>
      <w:r w:rsidRPr="00F35716">
        <w:t xml:space="preserve"> en todos los niveles de la </w:t>
      </w:r>
      <w:r w:rsidR="00764714" w:rsidRPr="00F35716">
        <w:t>enseñanza primaria</w:t>
      </w:r>
      <w:r w:rsidRPr="00F35716">
        <w:t xml:space="preserve">, pública y privada, </w:t>
      </w:r>
      <w:r w:rsidR="00764714" w:rsidRPr="00F35716">
        <w:t>pasó</w:t>
      </w:r>
      <w:r w:rsidRPr="00F35716">
        <w:t xml:space="preserve"> de 2.458.374 en el curso 2009-2008 a 2.841.758 en 2017-2018, lo que supone un aumento del 16</w:t>
      </w:r>
      <w:r w:rsidR="0006736D" w:rsidRPr="00F35716">
        <w:t> %</w:t>
      </w:r>
      <w:r w:rsidRPr="00F35716">
        <w:t>.</w:t>
      </w:r>
      <w:r w:rsidR="00BD7E71" w:rsidRPr="00F35716">
        <w:t xml:space="preserve"> </w:t>
      </w:r>
    </w:p>
    <w:p w14:paraId="32E943B4" w14:textId="2AB8AD75" w:rsidR="00EC3C86" w:rsidRPr="00F35716" w:rsidRDefault="00EC3C86" w:rsidP="00B3192A">
      <w:pPr>
        <w:pStyle w:val="SingleTxt"/>
        <w:numPr>
          <w:ilvl w:val="0"/>
          <w:numId w:val="8"/>
        </w:numPr>
        <w:ind w:left="1267" w:firstLine="0"/>
      </w:pPr>
      <w:r w:rsidRPr="00F35716">
        <w:t xml:space="preserve">El número total de </w:t>
      </w:r>
      <w:r w:rsidR="00764714" w:rsidRPr="00F35716">
        <w:t>alumnas en</w:t>
      </w:r>
      <w:r w:rsidRPr="00F35716">
        <w:t xml:space="preserve"> todos los niveles de la </w:t>
      </w:r>
      <w:r w:rsidR="00764714" w:rsidRPr="00F35716">
        <w:t>enseñanza primaria,</w:t>
      </w:r>
      <w:r w:rsidRPr="00F35716">
        <w:t xml:space="preserve"> pública y privada</w:t>
      </w:r>
      <w:r w:rsidR="00764714" w:rsidRPr="00F35716">
        <w:t>,</w:t>
      </w:r>
      <w:r w:rsidRPr="00F35716">
        <w:t xml:space="preserve"> ascendió a 3.351.436, lo que equivale a un aumento del 36</w:t>
      </w:r>
      <w:r w:rsidR="0006736D" w:rsidRPr="00F35716">
        <w:t> %</w:t>
      </w:r>
      <w:r w:rsidRPr="00F35716">
        <w:t xml:space="preserve">. Esta mejora en el acceso de las niñas a la enseñanza </w:t>
      </w:r>
      <w:r w:rsidR="00764714" w:rsidRPr="00F35716">
        <w:t>queda reflejada</w:t>
      </w:r>
      <w:r w:rsidRPr="00F35716">
        <w:t xml:space="preserve"> en el </w:t>
      </w:r>
      <w:r w:rsidR="00764714" w:rsidRPr="00F35716">
        <w:t xml:space="preserve">indicador </w:t>
      </w:r>
      <w:r w:rsidRPr="00F35716">
        <w:t>de paridad de género en la e</w:t>
      </w:r>
      <w:r w:rsidR="00764714" w:rsidRPr="00F35716">
        <w:t>nseñanza</w:t>
      </w:r>
      <w:r w:rsidRPr="00F35716">
        <w:t xml:space="preserve"> primaria pública, que pasó de 0,84 </w:t>
      </w:r>
      <w:r w:rsidR="00764714" w:rsidRPr="00F35716">
        <w:t xml:space="preserve">en </w:t>
      </w:r>
      <w:r w:rsidRPr="00F35716">
        <w:t xml:space="preserve">2000-2001 a 0,95 en 2017-2018, </w:t>
      </w:r>
      <w:r w:rsidR="00764714" w:rsidRPr="00F35716">
        <w:t>lo que supone</w:t>
      </w:r>
      <w:r w:rsidRPr="00F35716">
        <w:t xml:space="preserve"> un aumento de </w:t>
      </w:r>
      <w:r w:rsidR="00AA11DB" w:rsidRPr="00F35716">
        <w:t>10</w:t>
      </w:r>
      <w:r w:rsidRPr="00F35716">
        <w:t xml:space="preserve"> puntos porcentuales. En el entorno rural este indicador pasó de 0,76 en 2000-2001 a 0,94 en 2017-2018. </w:t>
      </w:r>
    </w:p>
    <w:p w14:paraId="32E943B5" w14:textId="63E27FFD" w:rsidR="00EC3C86" w:rsidRPr="00F35716" w:rsidRDefault="00EC3C86" w:rsidP="00B3192A">
      <w:pPr>
        <w:pStyle w:val="SingleTxt"/>
        <w:numPr>
          <w:ilvl w:val="0"/>
          <w:numId w:val="8"/>
        </w:numPr>
        <w:ind w:left="1267" w:firstLine="0"/>
      </w:pPr>
      <w:r w:rsidRPr="00F35716">
        <w:t xml:space="preserve">Con respecto a la </w:t>
      </w:r>
      <w:r w:rsidR="009C1FAB" w:rsidRPr="00F35716">
        <w:t xml:space="preserve">enseñanza </w:t>
      </w:r>
      <w:r w:rsidRPr="00F35716">
        <w:t xml:space="preserve">secundaria, la tasa de escolarización de las niñas de </w:t>
      </w:r>
      <w:r w:rsidR="00F84375" w:rsidRPr="00F35716">
        <w:t xml:space="preserve">entre </w:t>
      </w:r>
      <w:r w:rsidRPr="00F35716">
        <w:t xml:space="preserve">12 </w:t>
      </w:r>
      <w:r w:rsidR="00F84375" w:rsidRPr="00F35716">
        <w:t>y</w:t>
      </w:r>
      <w:r w:rsidRPr="00F35716">
        <w:t xml:space="preserve"> 14 años </w:t>
      </w:r>
      <w:r w:rsidR="00F84375" w:rsidRPr="00F35716">
        <w:t>fue de</w:t>
      </w:r>
      <w:r w:rsidRPr="00F35716">
        <w:t>l 86,7</w:t>
      </w:r>
      <w:r w:rsidR="0006736D" w:rsidRPr="00F35716">
        <w:t> %</w:t>
      </w:r>
      <w:r w:rsidRPr="00F35716">
        <w:t xml:space="preserve"> en 2017-2018, frente al 80,1</w:t>
      </w:r>
      <w:r w:rsidR="0006736D" w:rsidRPr="00F35716">
        <w:t> %</w:t>
      </w:r>
      <w:r w:rsidRPr="00F35716">
        <w:t xml:space="preserve"> </w:t>
      </w:r>
      <w:r w:rsidR="00F84375" w:rsidRPr="00F35716">
        <w:t>en</w:t>
      </w:r>
      <w:r w:rsidRPr="00F35716">
        <w:t xml:space="preserve"> 2008-2009. En las zonas rurales, esta tasa </w:t>
      </w:r>
      <w:r w:rsidR="00F84375" w:rsidRPr="00F35716">
        <w:t>se situó en el</w:t>
      </w:r>
      <w:r w:rsidRPr="00F35716">
        <w:t xml:space="preserve"> 72</w:t>
      </w:r>
      <w:r w:rsidR="0006736D" w:rsidRPr="00F35716">
        <w:t> %</w:t>
      </w:r>
      <w:r w:rsidRPr="00F35716">
        <w:t xml:space="preserve"> </w:t>
      </w:r>
      <w:r w:rsidR="00F84375" w:rsidRPr="00F35716">
        <w:t xml:space="preserve">en </w:t>
      </w:r>
      <w:r w:rsidRPr="00F35716">
        <w:t>2017-2018, frente al 42,7</w:t>
      </w:r>
      <w:r w:rsidR="0006736D" w:rsidRPr="00F35716">
        <w:t> %</w:t>
      </w:r>
      <w:r w:rsidRPr="00F35716">
        <w:t xml:space="preserve"> de 2008-2009. El índice de paridad de género </w:t>
      </w:r>
      <w:r w:rsidR="00F84375" w:rsidRPr="00F35716">
        <w:t>en la enseñanza</w:t>
      </w:r>
      <w:r w:rsidRPr="00F35716">
        <w:t xml:space="preserve"> secundaria pública pasó de 0,75 a 0,90, registrando un aumento de 1</w:t>
      </w:r>
      <w:r w:rsidR="008C6D8B" w:rsidRPr="00F35716">
        <w:t>5</w:t>
      </w:r>
      <w:r w:rsidRPr="00F35716">
        <w:t xml:space="preserve"> puntos porcentuales, mientras que en las zonas rurales </w:t>
      </w:r>
      <w:r w:rsidR="00F84375" w:rsidRPr="00F35716">
        <w:t>aumentó</w:t>
      </w:r>
      <w:r w:rsidRPr="00F35716">
        <w:t xml:space="preserve"> de 0,42 en 2000-2001 a 0,77 en 2017-2018, </w:t>
      </w:r>
      <w:r w:rsidR="00F84375" w:rsidRPr="00F35716">
        <w:t xml:space="preserve">lo que supone </w:t>
      </w:r>
      <w:r w:rsidRPr="00F35716">
        <w:t>un aumento de 35 puntos porcentuales.</w:t>
      </w:r>
    </w:p>
    <w:p w14:paraId="32E943B6" w14:textId="07F39B05" w:rsidR="00EC3C86" w:rsidRPr="00F35716" w:rsidRDefault="00EC3C86" w:rsidP="00B3192A">
      <w:pPr>
        <w:pStyle w:val="SingleTxt"/>
        <w:numPr>
          <w:ilvl w:val="0"/>
          <w:numId w:val="8"/>
        </w:numPr>
        <w:ind w:left="1267" w:firstLine="0"/>
      </w:pPr>
      <w:r w:rsidRPr="00F35716">
        <w:t>En cuanto al bachillerato, la tasa de escolarización de alumnas de 15 a 17 años registró una mejora notable entre los cursos 2014-2015 y 2017-2018, ya que pasó del 63,4</w:t>
      </w:r>
      <w:r w:rsidR="0006736D" w:rsidRPr="00F35716">
        <w:t> %</w:t>
      </w:r>
      <w:r w:rsidRPr="00F35716">
        <w:t xml:space="preserve"> al 63,6</w:t>
      </w:r>
      <w:r w:rsidR="0006736D" w:rsidRPr="00F35716">
        <w:t> %</w:t>
      </w:r>
      <w:r w:rsidRPr="00F35716">
        <w:t xml:space="preserve">. El porcentaje de mujeres que finalizaron los tres ciclos </w:t>
      </w:r>
      <w:r w:rsidR="009C1FAB" w:rsidRPr="00F35716">
        <w:t>de enseñanza</w:t>
      </w:r>
      <w:r w:rsidRPr="00F35716">
        <w:t xml:space="preserve"> combinados (primaria, secundaria y bachillerato) </w:t>
      </w:r>
      <w:r w:rsidR="009C1FAB" w:rsidRPr="00F35716">
        <w:t>fue del</w:t>
      </w:r>
      <w:r w:rsidRPr="00F35716">
        <w:t xml:space="preserve"> 51</w:t>
      </w:r>
      <w:r w:rsidR="0006736D" w:rsidRPr="00F35716">
        <w:t> %</w:t>
      </w:r>
      <w:r w:rsidRPr="00F35716">
        <w:t xml:space="preserve"> </w:t>
      </w:r>
      <w:r w:rsidR="009C1FAB" w:rsidRPr="00F35716">
        <w:t>en</w:t>
      </w:r>
      <w:r w:rsidRPr="00F35716">
        <w:t xml:space="preserve"> 2014-2015, frente al 42</w:t>
      </w:r>
      <w:r w:rsidR="0006736D" w:rsidRPr="00F35716">
        <w:t> %</w:t>
      </w:r>
      <w:r w:rsidRPr="00F35716">
        <w:t xml:space="preserve"> de 2008-2009. El índice de paridad de género en la e</w:t>
      </w:r>
      <w:r w:rsidR="009C1FAB" w:rsidRPr="00F35716">
        <w:t>nseñanza</w:t>
      </w:r>
      <w:r w:rsidRPr="00F35716">
        <w:t xml:space="preserve"> pública secundaria pasó de 0,92 en 2014-2015 a 1,07 en 2017-2018 a nivel nacional, lo que supone un aumento de 15 puntos porcentuales. En el caso de las zonas rurales, este índice subió de 0,68 en 2014-2015 a 0,91 en 2017-2018, lo que constituye un aumento de 23 puntos porcentuales.</w:t>
      </w:r>
    </w:p>
    <w:p w14:paraId="32E943B7" w14:textId="5E8F9114" w:rsidR="00EC3C86" w:rsidRPr="00F35716" w:rsidRDefault="00EC3C86" w:rsidP="00B3192A">
      <w:pPr>
        <w:pStyle w:val="SingleTxt"/>
        <w:numPr>
          <w:ilvl w:val="0"/>
          <w:numId w:val="8"/>
        </w:numPr>
        <w:ind w:left="1267" w:firstLine="0"/>
      </w:pPr>
      <w:r w:rsidRPr="00F35716">
        <w:t xml:space="preserve">A pesar del </w:t>
      </w:r>
      <w:r w:rsidR="004A3AA1" w:rsidRPr="00F35716">
        <w:t xml:space="preserve">considerable </w:t>
      </w:r>
      <w:r w:rsidRPr="00F35716">
        <w:t xml:space="preserve">progreso, </w:t>
      </w:r>
      <w:r w:rsidR="004A3AA1" w:rsidRPr="00F35716">
        <w:t>persisten</w:t>
      </w:r>
      <w:r w:rsidRPr="00F35716">
        <w:t xml:space="preserve"> algunas limitaciones ligadas a la</w:t>
      </w:r>
      <w:r w:rsidR="00B61E24" w:rsidRPr="00F35716">
        <w:t> </w:t>
      </w:r>
      <w:r w:rsidRPr="00F35716">
        <w:t>baja tasa de escolarización en la e</w:t>
      </w:r>
      <w:r w:rsidR="004A3AA1" w:rsidRPr="00F35716">
        <w:t>nseñanza</w:t>
      </w:r>
      <w:r w:rsidRPr="00F35716">
        <w:t xml:space="preserve"> primaria y el continuo abandono escolar en este nivel, que aun así bajó del 4,3</w:t>
      </w:r>
      <w:r w:rsidR="0006736D" w:rsidRPr="00F35716">
        <w:t> %</w:t>
      </w:r>
      <w:r w:rsidRPr="00F35716">
        <w:t xml:space="preserve"> en 2007-2008 al 1,7</w:t>
      </w:r>
      <w:r w:rsidR="0006736D" w:rsidRPr="00F35716">
        <w:t> %</w:t>
      </w:r>
      <w:r w:rsidRPr="00F35716">
        <w:t xml:space="preserve"> en 2016-2017. En el caso de la educación secundaria, </w:t>
      </w:r>
      <w:r w:rsidR="004A3AA1" w:rsidRPr="00F35716">
        <w:t xml:space="preserve">esta tasa </w:t>
      </w:r>
      <w:r w:rsidRPr="00F35716">
        <w:t>se redujo del 11,5</w:t>
      </w:r>
      <w:r w:rsidR="0006736D" w:rsidRPr="00F35716">
        <w:t> %</w:t>
      </w:r>
      <w:r w:rsidRPr="00F35716">
        <w:t xml:space="preserve"> </w:t>
      </w:r>
      <w:r w:rsidR="00B61E24" w:rsidRPr="00F35716">
        <w:br/>
      </w:r>
      <w:r w:rsidRPr="00F35716">
        <w:t>en 2007-2008 al 8</w:t>
      </w:r>
      <w:r w:rsidR="0006736D" w:rsidRPr="00F35716">
        <w:t> %</w:t>
      </w:r>
      <w:r w:rsidRPr="00F35716">
        <w:t xml:space="preserve"> en 2017-2018.</w:t>
      </w:r>
    </w:p>
    <w:p w14:paraId="32E943B8" w14:textId="6880279E" w:rsidR="00EC3C86" w:rsidRPr="00F35716" w:rsidRDefault="00DE6649" w:rsidP="00B61E24">
      <w:pPr>
        <w:pStyle w:val="SingleTxt"/>
        <w:keepLines/>
        <w:numPr>
          <w:ilvl w:val="0"/>
          <w:numId w:val="8"/>
        </w:numPr>
        <w:ind w:left="1267" w:firstLine="0"/>
      </w:pPr>
      <w:r w:rsidRPr="00F35716">
        <w:t>La</w:t>
      </w:r>
      <w:r w:rsidR="00EC3C86" w:rsidRPr="00F35716">
        <w:t xml:space="preserve"> visión estratégica para reformar el sistema educativo (2015-2030)</w:t>
      </w:r>
      <w:r w:rsidR="00EC3C86" w:rsidRPr="00F35716">
        <w:rPr>
          <w:vertAlign w:val="superscript"/>
        </w:rPr>
        <w:footnoteReference w:id="71"/>
      </w:r>
      <w:r w:rsidR="00EC3C86" w:rsidRPr="00F35716">
        <w:t xml:space="preserve"> </w:t>
      </w:r>
      <w:r w:rsidRPr="00F35716">
        <w:t xml:space="preserve">se desarrolló </w:t>
      </w:r>
      <w:r w:rsidR="00EC3C86" w:rsidRPr="00F35716">
        <w:t>dentro de un marco contractual vinculante</w:t>
      </w:r>
      <w:r w:rsidRPr="00F35716">
        <w:t>,</w:t>
      </w:r>
      <w:r w:rsidR="00EC3C86" w:rsidRPr="00F35716">
        <w:t xml:space="preserve"> a través de la Ley núm. 51</w:t>
      </w:r>
      <w:r w:rsidRPr="00F35716">
        <w:t>-</w:t>
      </w:r>
      <w:r w:rsidR="00EC3C86" w:rsidRPr="00F35716">
        <w:t>17</w:t>
      </w:r>
      <w:r w:rsidR="00EC3C86" w:rsidRPr="00F35716">
        <w:rPr>
          <w:vertAlign w:val="superscript"/>
        </w:rPr>
        <w:footnoteReference w:id="72"/>
      </w:r>
      <w:r w:rsidRPr="00F35716">
        <w:t>.</w:t>
      </w:r>
      <w:r w:rsidR="00EC3C86" w:rsidRPr="00F35716">
        <w:t xml:space="preserve"> </w:t>
      </w:r>
      <w:r w:rsidRPr="00F35716">
        <w:t>S</w:t>
      </w:r>
      <w:r w:rsidR="00EC3C86" w:rsidRPr="00F35716">
        <w:t>e preparó una hoja de ruta para el período 2014-2020 orientada a combatir el analfabetismo entre las mujeres.</w:t>
      </w:r>
    </w:p>
    <w:p w14:paraId="32E943B9" w14:textId="177CD502" w:rsidR="00EC3C86" w:rsidRPr="00F35716" w:rsidRDefault="00EC3C86" w:rsidP="00B3192A">
      <w:pPr>
        <w:pStyle w:val="SingleTxt"/>
        <w:numPr>
          <w:ilvl w:val="0"/>
          <w:numId w:val="8"/>
        </w:numPr>
        <w:ind w:left="1267" w:firstLine="0"/>
      </w:pPr>
      <w:r w:rsidRPr="00F35716">
        <w:lastRenderedPageBreak/>
        <w:t xml:space="preserve">Las mezquitas han participado en un amplio programa de alfabetización </w:t>
      </w:r>
      <w:r w:rsidR="00FD7CBC" w:rsidRPr="00F35716">
        <w:br/>
      </w:r>
      <w:r w:rsidRPr="00F35716">
        <w:t>del que entre el curso 2007-2008 y el curso 2018-2019 se beneficiaron 2.959.501</w:t>
      </w:r>
      <w:r w:rsidR="00FD7CBC" w:rsidRPr="00F35716">
        <w:t> </w:t>
      </w:r>
      <w:r w:rsidRPr="00F35716">
        <w:t>personas. El 85,60</w:t>
      </w:r>
      <w:r w:rsidR="0006736D" w:rsidRPr="00F35716">
        <w:t> %</w:t>
      </w:r>
      <w:r w:rsidRPr="00F35716">
        <w:t xml:space="preserve"> de ellas, es decir 2.</w:t>
      </w:r>
      <w:r w:rsidR="00DE6649" w:rsidRPr="00F35716">
        <w:t>5</w:t>
      </w:r>
      <w:r w:rsidRPr="00F35716">
        <w:t>33.208, fueron mujeres.</w:t>
      </w:r>
    </w:p>
    <w:p w14:paraId="32E943BA" w14:textId="34E52805" w:rsidR="00EC3C86" w:rsidRPr="00F35716" w:rsidRDefault="005008E6" w:rsidP="00B3192A">
      <w:pPr>
        <w:pStyle w:val="SingleTxt"/>
        <w:numPr>
          <w:ilvl w:val="0"/>
          <w:numId w:val="8"/>
        </w:numPr>
        <w:ind w:left="1267" w:firstLine="0"/>
      </w:pPr>
      <w:r w:rsidRPr="00F35716">
        <w:t xml:space="preserve">En relación con el párrafo 33 de las </w:t>
      </w:r>
      <w:r w:rsidR="00912115" w:rsidRPr="00F35716">
        <w:t>observaciones finales</w:t>
      </w:r>
      <w:r w:rsidR="00EC3C86" w:rsidRPr="00F35716">
        <w:t xml:space="preserve">, se </w:t>
      </w:r>
      <w:r w:rsidR="001F574A" w:rsidRPr="00F35716">
        <w:t>ha respaldado</w:t>
      </w:r>
      <w:r w:rsidR="00EC3C86" w:rsidRPr="00F35716">
        <w:t xml:space="preserve"> la </w:t>
      </w:r>
      <w:r w:rsidR="001F574A" w:rsidRPr="00F35716">
        <w:t>escolarizació</w:t>
      </w:r>
      <w:r w:rsidR="00EC3C86" w:rsidRPr="00F35716">
        <w:t>n de las</w:t>
      </w:r>
      <w:r w:rsidR="003D27F6" w:rsidRPr="00F35716">
        <w:t> </w:t>
      </w:r>
      <w:r w:rsidR="00EC3C86" w:rsidRPr="00F35716">
        <w:t xml:space="preserve">niñas </w:t>
      </w:r>
      <w:r w:rsidR="001F574A" w:rsidRPr="00F35716">
        <w:t>rurales</w:t>
      </w:r>
      <w:r w:rsidR="00EC3C86" w:rsidRPr="00F35716">
        <w:t xml:space="preserve"> </w:t>
      </w:r>
      <w:r w:rsidR="00E97B13" w:rsidRPr="00F35716">
        <w:t xml:space="preserve">a través de </w:t>
      </w:r>
      <w:r w:rsidR="00EC3C86" w:rsidRPr="00F35716">
        <w:t>escuelas comun</w:t>
      </w:r>
      <w:r w:rsidR="00F45206" w:rsidRPr="00F35716">
        <w:t>ales</w:t>
      </w:r>
      <w:r w:rsidR="00EC3C86" w:rsidRPr="00F35716">
        <w:t xml:space="preserve"> e instituciones de </w:t>
      </w:r>
      <w:r w:rsidR="008C6D8B" w:rsidRPr="00F35716">
        <w:t>asistencia</w:t>
      </w:r>
      <w:r w:rsidR="00EC3C86" w:rsidRPr="00F35716">
        <w:t xml:space="preserve"> social (</w:t>
      </w:r>
      <w:r w:rsidR="00C47CCD" w:rsidRPr="00F35716">
        <w:t xml:space="preserve">las residencias </w:t>
      </w:r>
      <w:r w:rsidR="008C6D8B" w:rsidRPr="00F35716">
        <w:t>de</w:t>
      </w:r>
      <w:r w:rsidR="00C47CCD" w:rsidRPr="00F35716">
        <w:t xml:space="preserve"> estudiantes </w:t>
      </w:r>
      <w:r w:rsidR="008C6D8B" w:rsidRPr="00F35716">
        <w:t>para mujeres</w:t>
      </w:r>
      <w:r w:rsidR="00C47CCD" w:rsidRPr="00F35716">
        <w:t xml:space="preserve"> </w:t>
      </w:r>
      <w:r w:rsidR="00681FBD" w:rsidRPr="00F35716">
        <w:rPr>
          <w:rFonts w:asciiTheme="majorBidi" w:hAnsiTheme="majorBidi" w:cstheme="majorBidi"/>
          <w:i/>
          <w:iCs/>
        </w:rPr>
        <w:t>Dar al-Talibah</w:t>
      </w:r>
      <w:r w:rsidR="00EC3C86" w:rsidRPr="00F35716">
        <w:t xml:space="preserve">) que </w:t>
      </w:r>
      <w:r w:rsidR="00E83723" w:rsidRPr="00F35716">
        <w:t>proporciona</w:t>
      </w:r>
      <w:r w:rsidR="00EC3C86" w:rsidRPr="00F35716">
        <w:t xml:space="preserve">n alimentación, </w:t>
      </w:r>
      <w:r w:rsidR="008C6D8B" w:rsidRPr="00F35716">
        <w:t>alojamiento</w:t>
      </w:r>
      <w:r w:rsidR="00EC3C86" w:rsidRPr="00F35716">
        <w:t>, clases de apoyo, campamentos de verano y actividades culturales y deportivas. En 201</w:t>
      </w:r>
      <w:r w:rsidR="005A059D" w:rsidRPr="00F35716">
        <w:t>7</w:t>
      </w:r>
      <w:r w:rsidR="00EC3C86" w:rsidRPr="00F35716">
        <w:t>-201</w:t>
      </w:r>
      <w:r w:rsidR="005A059D" w:rsidRPr="00F35716">
        <w:t>8</w:t>
      </w:r>
      <w:r w:rsidR="00EC3C86" w:rsidRPr="00F35716">
        <w:t xml:space="preserve"> se acogieron a esta iniciativa 31.078 </w:t>
      </w:r>
      <w:r w:rsidR="00552A11" w:rsidRPr="00F35716">
        <w:t>alumnas</w:t>
      </w:r>
      <w:r w:rsidR="00EC3C86" w:rsidRPr="00F35716">
        <w:t xml:space="preserve">, </w:t>
      </w:r>
      <w:r w:rsidR="00552A11" w:rsidRPr="00F35716">
        <w:t>el</w:t>
      </w:r>
      <w:r w:rsidR="00EC3C86" w:rsidRPr="00F35716">
        <w:t xml:space="preserve"> 51</w:t>
      </w:r>
      <w:r w:rsidR="0006736D" w:rsidRPr="00F35716">
        <w:t> %</w:t>
      </w:r>
      <w:r w:rsidR="00EC3C86" w:rsidRPr="00F35716">
        <w:t xml:space="preserve"> del total</w:t>
      </w:r>
      <w:r w:rsidR="00552A11" w:rsidRPr="00F35716">
        <w:t xml:space="preserve"> de beneficiarios</w:t>
      </w:r>
      <w:r w:rsidR="00EC3C86" w:rsidRPr="00F35716">
        <w:t xml:space="preserve">. </w:t>
      </w:r>
      <w:r w:rsidR="00096348" w:rsidRPr="00F35716">
        <w:t>Además,</w:t>
      </w:r>
      <w:r w:rsidR="00EC3C86" w:rsidRPr="00F35716">
        <w:t xml:space="preserve"> se preparó </w:t>
      </w:r>
      <w:r w:rsidR="001C5E85" w:rsidRPr="00F35716">
        <w:t>un</w:t>
      </w:r>
      <w:r w:rsidR="00EC3C86" w:rsidRPr="00F35716">
        <w:t xml:space="preserve"> proyecto </w:t>
      </w:r>
      <w:r w:rsidR="00096348" w:rsidRPr="00F35716">
        <w:t>piloto</w:t>
      </w:r>
      <w:r w:rsidR="00EC3C86" w:rsidRPr="00F35716">
        <w:t xml:space="preserve"> </w:t>
      </w:r>
      <w:r w:rsidR="00E62D26" w:rsidRPr="00F35716">
        <w:t xml:space="preserve">destinado a mejorar </w:t>
      </w:r>
      <w:r w:rsidR="00A06AC4" w:rsidRPr="00F35716">
        <w:t xml:space="preserve">el modo en que se apoya la educación </w:t>
      </w:r>
      <w:r w:rsidR="00E62D26" w:rsidRPr="00F35716">
        <w:t>en las residencias de estudiantes prestando</w:t>
      </w:r>
      <w:r w:rsidR="00EC3C86" w:rsidRPr="00F35716">
        <w:t xml:space="preserve"> servicios </w:t>
      </w:r>
      <w:r w:rsidR="00A06AC4" w:rsidRPr="00F35716">
        <w:t>educativos</w:t>
      </w:r>
      <w:r w:rsidR="00EC3C86" w:rsidRPr="00F35716">
        <w:t xml:space="preserve">, psicológicos y de apoyo social </w:t>
      </w:r>
      <w:r w:rsidR="00A15E35" w:rsidRPr="00F35716">
        <w:t>con miras a</w:t>
      </w:r>
      <w:r w:rsidR="00EC3C86" w:rsidRPr="00F35716">
        <w:t xml:space="preserve"> luchar contra el abandono escolar y fomentar </w:t>
      </w:r>
      <w:r w:rsidR="00F50D99" w:rsidRPr="00F35716">
        <w:t>el desarrollo</w:t>
      </w:r>
      <w:r w:rsidR="00EC3C86" w:rsidRPr="00F35716">
        <w:t xml:space="preserve"> personal y social de</w:t>
      </w:r>
      <w:r w:rsidR="00A64851" w:rsidRPr="00F35716">
        <w:t> </w:t>
      </w:r>
      <w:r w:rsidR="00EC3C86" w:rsidRPr="00F35716">
        <w:t>las</w:t>
      </w:r>
      <w:r w:rsidR="00D00424" w:rsidRPr="00F35716">
        <w:t> </w:t>
      </w:r>
      <w:r w:rsidR="00EC3C86" w:rsidRPr="00F35716">
        <w:t xml:space="preserve">niñas. </w:t>
      </w:r>
    </w:p>
    <w:p w14:paraId="32E943BB" w14:textId="0A810825" w:rsidR="00EC3C86" w:rsidRPr="00F35716" w:rsidRDefault="00EC3C86" w:rsidP="00B3192A">
      <w:pPr>
        <w:pStyle w:val="SingleTxt"/>
        <w:numPr>
          <w:ilvl w:val="0"/>
          <w:numId w:val="8"/>
        </w:numPr>
        <w:ind w:left="1267" w:firstLine="0"/>
      </w:pPr>
      <w:r w:rsidRPr="00F35716">
        <w:t>En el marco de la aplicación de la Ley núm. 14</w:t>
      </w:r>
      <w:r w:rsidR="00E21005" w:rsidRPr="00F35716">
        <w:t>-</w:t>
      </w:r>
      <w:r w:rsidRPr="00F35716">
        <w:t>05</w:t>
      </w:r>
      <w:r w:rsidRPr="00F35716">
        <w:rPr>
          <w:vertAlign w:val="superscript"/>
        </w:rPr>
        <w:footnoteReference w:id="73"/>
      </w:r>
      <w:r w:rsidRPr="00F35716">
        <w:t xml:space="preserve">, </w:t>
      </w:r>
      <w:r w:rsidR="00E21005" w:rsidRPr="00F35716">
        <w:t>el Organismo</w:t>
      </w:r>
      <w:r w:rsidRPr="00F35716">
        <w:t xml:space="preserve"> Nacional </w:t>
      </w:r>
      <w:r w:rsidR="00246F79" w:rsidRPr="00F35716">
        <w:br/>
      </w:r>
      <w:r w:rsidRPr="00F35716">
        <w:t xml:space="preserve">de Cooperación </w:t>
      </w:r>
      <w:r w:rsidR="00E21005" w:rsidRPr="00F35716">
        <w:t>entre</w:t>
      </w:r>
      <w:r w:rsidRPr="00F35716">
        <w:t xml:space="preserve"> Asociaciones autorizó la apertura y gestión de 75</w:t>
      </w:r>
      <w:r w:rsidR="00246F79" w:rsidRPr="00F35716">
        <w:t> </w:t>
      </w:r>
      <w:r w:rsidRPr="00F35716">
        <w:t>instituciones: 49 residencias de estudiantes para varones y mujeres (el 66</w:t>
      </w:r>
      <w:r w:rsidR="0006736D" w:rsidRPr="00F35716">
        <w:t> %</w:t>
      </w:r>
      <w:r w:rsidRPr="00F35716">
        <w:t>), 5</w:t>
      </w:r>
      <w:r w:rsidR="00246F79" w:rsidRPr="00F35716">
        <w:t> </w:t>
      </w:r>
      <w:r w:rsidRPr="00F35716">
        <w:t>hogares y residencias de estudiantes para mujeres (el 7%) y 4 centros para mujeres en situación difícil (el 6</w:t>
      </w:r>
      <w:r w:rsidR="0006736D" w:rsidRPr="00F35716">
        <w:t> %</w:t>
      </w:r>
      <w:r w:rsidRPr="00F35716">
        <w:t>).</w:t>
      </w:r>
    </w:p>
    <w:p w14:paraId="32E943BC" w14:textId="771BCDDA" w:rsidR="00EC3C86" w:rsidRPr="00F35716" w:rsidRDefault="00EC3C86" w:rsidP="00B3192A">
      <w:pPr>
        <w:pStyle w:val="SingleTxt"/>
        <w:numPr>
          <w:ilvl w:val="0"/>
          <w:numId w:val="8"/>
        </w:numPr>
        <w:ind w:left="1267" w:firstLine="0"/>
      </w:pPr>
      <w:r w:rsidRPr="00F35716">
        <w:t>Con respecto a la educación superior, el número de estudiantes pasó de 541.375 (el 21</w:t>
      </w:r>
      <w:r w:rsidR="0006736D" w:rsidRPr="00F35716">
        <w:t> %</w:t>
      </w:r>
      <w:r w:rsidRPr="00F35716">
        <w:t>) en 2012 a 893.336 (el 35</w:t>
      </w:r>
      <w:r w:rsidR="0006736D" w:rsidRPr="00F35716">
        <w:t> %</w:t>
      </w:r>
      <w:r w:rsidRPr="00F35716">
        <w:t>) en 2018, con un</w:t>
      </w:r>
      <w:r w:rsidR="0067715A" w:rsidRPr="00F35716">
        <w:t xml:space="preserve"> mayor</w:t>
      </w:r>
      <w:r w:rsidRPr="00F35716">
        <w:t xml:space="preserve"> acceso</w:t>
      </w:r>
      <w:r w:rsidR="00D00424" w:rsidRPr="00F35716">
        <w:t> </w:t>
      </w:r>
      <w:r w:rsidRPr="00F35716">
        <w:t xml:space="preserve">de mujeres a </w:t>
      </w:r>
      <w:r w:rsidR="005B0FA4" w:rsidRPr="00F35716">
        <w:t>escuelas</w:t>
      </w:r>
      <w:r w:rsidRPr="00F35716">
        <w:t xml:space="preserve"> y universidades, especialmente a aquellos de acceso</w:t>
      </w:r>
      <w:r w:rsidR="002D14B3" w:rsidRPr="00F35716">
        <w:t> </w:t>
      </w:r>
      <w:r w:rsidRPr="00F35716">
        <w:t>limitado</w:t>
      </w:r>
      <w:r w:rsidRPr="00F35716">
        <w:rPr>
          <w:vertAlign w:val="superscript"/>
        </w:rPr>
        <w:footnoteReference w:id="74"/>
      </w:r>
      <w:r w:rsidRPr="00F35716">
        <w:t>.</w:t>
      </w:r>
    </w:p>
    <w:p w14:paraId="32E943BD" w14:textId="4F17E98F" w:rsidR="00EC3C86" w:rsidRPr="00F35716" w:rsidRDefault="00EC3C86" w:rsidP="00B3192A">
      <w:pPr>
        <w:pStyle w:val="SingleTxt"/>
        <w:numPr>
          <w:ilvl w:val="0"/>
          <w:numId w:val="8"/>
        </w:numPr>
        <w:ind w:left="1267" w:firstLine="0"/>
      </w:pPr>
      <w:r w:rsidRPr="00F35716">
        <w:t xml:space="preserve">El </w:t>
      </w:r>
      <w:r w:rsidR="0067715A" w:rsidRPr="00F35716">
        <w:t>s</w:t>
      </w:r>
      <w:r w:rsidRPr="00F35716">
        <w:t xml:space="preserve">ector de </w:t>
      </w:r>
      <w:r w:rsidR="0067715A" w:rsidRPr="00F35716">
        <w:t>e</w:t>
      </w:r>
      <w:r w:rsidRPr="00F35716">
        <w:t xml:space="preserve">ducación </w:t>
      </w:r>
      <w:r w:rsidR="0067715A" w:rsidRPr="00F35716">
        <w:t>s</w:t>
      </w:r>
      <w:r w:rsidRPr="00F35716">
        <w:t xml:space="preserve">uperior e </w:t>
      </w:r>
      <w:r w:rsidR="0067715A" w:rsidRPr="00F35716">
        <w:t>i</w:t>
      </w:r>
      <w:r w:rsidRPr="00F35716">
        <w:t xml:space="preserve">nvestigación </w:t>
      </w:r>
      <w:r w:rsidR="0067715A" w:rsidRPr="00F35716">
        <w:t>c</w:t>
      </w:r>
      <w:r w:rsidRPr="00F35716">
        <w:t xml:space="preserve">ientífica </w:t>
      </w:r>
      <w:r w:rsidR="0067715A" w:rsidRPr="00F35716">
        <w:t>ha elaborado</w:t>
      </w:r>
      <w:r w:rsidRPr="00F35716">
        <w:t xml:space="preserve"> un plan estratégico y un plan de acción sectorial (2017-2021) destinado a mejorar el acceso</w:t>
      </w:r>
      <w:r w:rsidR="00957349" w:rsidRPr="00F35716">
        <w:t> </w:t>
      </w:r>
      <w:r w:rsidRPr="00F35716">
        <w:t xml:space="preserve">a la educación superior para lograr </w:t>
      </w:r>
      <w:r w:rsidR="000C51DD" w:rsidRPr="00F35716">
        <w:t>la paridad</w:t>
      </w:r>
      <w:r w:rsidRPr="00F35716">
        <w:t xml:space="preserve">, </w:t>
      </w:r>
      <w:r w:rsidR="000C51DD" w:rsidRPr="00F35716">
        <w:t xml:space="preserve">la </w:t>
      </w:r>
      <w:r w:rsidRPr="00F35716">
        <w:t>igualdad de oportunidades y</w:t>
      </w:r>
      <w:r w:rsidR="000C51DD" w:rsidRPr="00F35716">
        <w:t xml:space="preserve"> el</w:t>
      </w:r>
      <w:r w:rsidRPr="00F35716">
        <w:t xml:space="preserve"> aprendizaje continuo, así como </w:t>
      </w:r>
      <w:r w:rsidR="000C51DD" w:rsidRPr="00F35716">
        <w:t>para</w:t>
      </w:r>
      <w:r w:rsidRPr="00F35716">
        <w:t xml:space="preserve"> incrementar la calidad </w:t>
      </w:r>
      <w:r w:rsidR="000C51DD" w:rsidRPr="00F35716">
        <w:t>a fin de</w:t>
      </w:r>
      <w:r w:rsidRPr="00F35716">
        <w:t xml:space="preserve"> mejorar los resultados de la educación superior. </w:t>
      </w:r>
    </w:p>
    <w:p w14:paraId="32E943BE" w14:textId="245ECFB1" w:rsidR="00EC3C86" w:rsidRPr="00F35716" w:rsidRDefault="00EC3C86" w:rsidP="005414A8">
      <w:pPr>
        <w:pStyle w:val="SingleTxt"/>
        <w:numPr>
          <w:ilvl w:val="0"/>
          <w:numId w:val="8"/>
        </w:numPr>
        <w:ind w:left="1267" w:firstLine="0"/>
      </w:pPr>
      <w:r w:rsidRPr="00F35716">
        <w:t>En cuanto a la mejora de los servicios sociales para estudiantes, el número</w:t>
      </w:r>
      <w:r w:rsidR="005414A8" w:rsidRPr="00F35716">
        <w:t xml:space="preserve"> </w:t>
      </w:r>
      <w:r w:rsidRPr="00F35716">
        <w:t xml:space="preserve">de becarios pasó de 285.153 en </w:t>
      </w:r>
      <w:r w:rsidR="007E6F2D" w:rsidRPr="00F35716">
        <w:t xml:space="preserve">el curso </w:t>
      </w:r>
      <w:r w:rsidRPr="00F35716">
        <w:t>2014-2015</w:t>
      </w:r>
      <w:r w:rsidR="000C51DD" w:rsidRPr="00F35716">
        <w:t xml:space="preserve"> (</w:t>
      </w:r>
      <w:r w:rsidRPr="00F35716">
        <w:t>un 48,9</w:t>
      </w:r>
      <w:r w:rsidR="0006736D" w:rsidRPr="00F35716">
        <w:t> %</w:t>
      </w:r>
      <w:r w:rsidRPr="00F35716">
        <w:t xml:space="preserve"> de mujeres</w:t>
      </w:r>
      <w:r w:rsidR="000C51DD" w:rsidRPr="00F35716">
        <w:t>)</w:t>
      </w:r>
      <w:r w:rsidRPr="00F35716">
        <w:t>, a 3818.33</w:t>
      </w:r>
      <w:r w:rsidR="005175D6" w:rsidRPr="00F35716">
        <w:t> </w:t>
      </w:r>
      <w:r w:rsidRPr="00F35716">
        <w:t xml:space="preserve">durante el </w:t>
      </w:r>
      <w:r w:rsidR="000C51DD" w:rsidRPr="00F35716">
        <w:t>curso</w:t>
      </w:r>
      <w:r w:rsidRPr="00F35716">
        <w:t xml:space="preserve"> 2017-2018</w:t>
      </w:r>
      <w:r w:rsidR="000C51DD" w:rsidRPr="00F35716">
        <w:t xml:space="preserve"> (</w:t>
      </w:r>
      <w:r w:rsidRPr="00F35716">
        <w:t>un 50,17</w:t>
      </w:r>
      <w:r w:rsidR="0006736D" w:rsidRPr="00F35716">
        <w:t> %</w:t>
      </w:r>
      <w:r w:rsidRPr="00F35716">
        <w:t xml:space="preserve"> de mujeres</w:t>
      </w:r>
      <w:r w:rsidR="000C51DD" w:rsidRPr="00F35716">
        <w:t>)</w:t>
      </w:r>
      <w:r w:rsidRPr="00F35716">
        <w:t xml:space="preserve">. El porcentaje nacional </w:t>
      </w:r>
      <w:r w:rsidR="007E6F2D" w:rsidRPr="00F35716">
        <w:t>de cobertura de</w:t>
      </w:r>
      <w:r w:rsidRPr="00F35716">
        <w:t xml:space="preserve"> las solicitudes para beneficiarse de las </w:t>
      </w:r>
      <w:r w:rsidR="000C51DD" w:rsidRPr="00F35716">
        <w:t xml:space="preserve">becas </w:t>
      </w:r>
      <w:r w:rsidRPr="00F35716">
        <w:t>de educación superior fue del 86</w:t>
      </w:r>
      <w:r w:rsidR="0006736D" w:rsidRPr="00F35716">
        <w:t> %</w:t>
      </w:r>
      <w:r w:rsidRPr="00F35716">
        <w:t xml:space="preserve">. Durante el período 2015-2018 se construyeron 4 nuevos campus universitarios, con lo que el número asciende actualmente a 23. </w:t>
      </w:r>
      <w:r w:rsidR="000C51DD" w:rsidRPr="00F35716">
        <w:t>L</w:t>
      </w:r>
      <w:r w:rsidRPr="00F35716">
        <w:t xml:space="preserve">a capacidad de alojamiento de las ciudades universitarias </w:t>
      </w:r>
      <w:r w:rsidR="007E4F0E" w:rsidRPr="00F35716">
        <w:t>y residencias</w:t>
      </w:r>
      <w:r w:rsidRPr="00F35716">
        <w:t xml:space="preserve"> pasó de 49.135 camas en 2014-2015 (29.930 </w:t>
      </w:r>
      <w:r w:rsidR="000C51DD" w:rsidRPr="00F35716">
        <w:t xml:space="preserve">para </w:t>
      </w:r>
      <w:r w:rsidRPr="00F35716">
        <w:t xml:space="preserve">mujeres) a 54.263 camas en 2017-2018 (32.249 </w:t>
      </w:r>
      <w:r w:rsidR="000C51DD" w:rsidRPr="00F35716">
        <w:t xml:space="preserve">para </w:t>
      </w:r>
      <w:r w:rsidRPr="00F35716">
        <w:t xml:space="preserve">mujeres), </w:t>
      </w:r>
      <w:r w:rsidR="000C51DD" w:rsidRPr="00F35716">
        <w:t xml:space="preserve">lo que supone </w:t>
      </w:r>
      <w:r w:rsidRPr="00F35716">
        <w:t>un aumento medio anual de 3,4</w:t>
      </w:r>
      <w:r w:rsidR="0006736D" w:rsidRPr="00F35716">
        <w:t> %</w:t>
      </w:r>
      <w:r w:rsidRPr="00F35716">
        <w:t xml:space="preserve">. Asimismo, se </w:t>
      </w:r>
      <w:r w:rsidR="000C51DD" w:rsidRPr="00F35716">
        <w:t xml:space="preserve">ha </w:t>
      </w:r>
      <w:r w:rsidRPr="00F35716">
        <w:t>estableci</w:t>
      </w:r>
      <w:r w:rsidR="000C51DD" w:rsidRPr="00F35716">
        <w:t>do un</w:t>
      </w:r>
      <w:r w:rsidRPr="00F35716">
        <w:t xml:space="preserve"> sistema básico de seguro obligatorio para estudiantes y se </w:t>
      </w:r>
      <w:r w:rsidR="000C51DD" w:rsidRPr="00F35716">
        <w:t xml:space="preserve">han </w:t>
      </w:r>
      <w:r w:rsidRPr="00F35716">
        <w:t>mejora</w:t>
      </w:r>
      <w:r w:rsidR="000C51DD" w:rsidRPr="00F35716">
        <w:t>do</w:t>
      </w:r>
      <w:r w:rsidRPr="00F35716">
        <w:t xml:space="preserve"> sus cláusulas</w:t>
      </w:r>
      <w:r w:rsidR="000C51DD" w:rsidRPr="00F35716">
        <w:t>, con lo que ha</w:t>
      </w:r>
      <w:r w:rsidRPr="00F35716">
        <w:t xml:space="preserve"> aument</w:t>
      </w:r>
      <w:r w:rsidR="000C51DD" w:rsidRPr="00F35716">
        <w:t>ado</w:t>
      </w:r>
      <w:r w:rsidRPr="00F35716">
        <w:t xml:space="preserve"> el número de beneficiarios</w:t>
      </w:r>
      <w:r w:rsidR="000C51DD" w:rsidRPr="00F35716">
        <w:t>. Así</w:t>
      </w:r>
      <w:r w:rsidRPr="00F35716">
        <w:t xml:space="preserve"> a finales de 2018</w:t>
      </w:r>
      <w:r w:rsidR="000C51DD" w:rsidRPr="00F35716">
        <w:t>,</w:t>
      </w:r>
      <w:r w:rsidRPr="00F35716">
        <w:t xml:space="preserve"> el número de participantes en el sistema de cobertura de salud ascendía a 57.153.</w:t>
      </w:r>
    </w:p>
    <w:p w14:paraId="32E943BF" w14:textId="77777777" w:rsidR="00EC3C86" w:rsidRPr="00F35716" w:rsidRDefault="00EC3C86" w:rsidP="00B3192A">
      <w:pPr>
        <w:pStyle w:val="SingleTxt"/>
        <w:numPr>
          <w:ilvl w:val="0"/>
          <w:numId w:val="8"/>
        </w:numPr>
        <w:ind w:left="1267" w:firstLine="0"/>
      </w:pPr>
      <w:r w:rsidRPr="00F35716">
        <w:t>Con respecto al desarrollo de mecanismos de educación inclusiva en beneficio de las personas con discapacidad o en situaciones especiales:</w:t>
      </w:r>
    </w:p>
    <w:p w14:paraId="32E943C0" w14:textId="77777777" w:rsidR="00EC3C86" w:rsidRPr="00F35716" w:rsidRDefault="0081283B" w:rsidP="0081283B">
      <w:pPr>
        <w:pStyle w:val="SingleTxt"/>
        <w:tabs>
          <w:tab w:val="right" w:pos="1685"/>
        </w:tabs>
        <w:ind w:left="1742" w:hanging="475"/>
      </w:pPr>
      <w:r w:rsidRPr="00F35716">
        <w:tab/>
        <w:t>•</w:t>
      </w:r>
      <w:r w:rsidRPr="00F35716">
        <w:tab/>
      </w:r>
      <w:r w:rsidR="00EC3C86" w:rsidRPr="00F35716">
        <w:t>Se aprobó la inclusión obligatoria de especificaciones de proyectos para crear nuevas instituciones en materia de accesibilidad y equipar el 40</w:t>
      </w:r>
      <w:r w:rsidR="0006736D" w:rsidRPr="00F35716">
        <w:t> %</w:t>
      </w:r>
      <w:r w:rsidR="00EC3C86" w:rsidRPr="00F35716">
        <w:t xml:space="preserve"> de las instituciones universitarias existentes.</w:t>
      </w:r>
    </w:p>
    <w:p w14:paraId="32E943C1" w14:textId="787973E5" w:rsidR="00EC3C86" w:rsidRPr="00F35716" w:rsidRDefault="0081283B" w:rsidP="0081283B">
      <w:pPr>
        <w:pStyle w:val="SingleTxt"/>
        <w:tabs>
          <w:tab w:val="right" w:pos="1685"/>
        </w:tabs>
        <w:ind w:left="1742" w:hanging="475"/>
      </w:pPr>
      <w:r w:rsidRPr="00F35716">
        <w:lastRenderedPageBreak/>
        <w:tab/>
        <w:t>•</w:t>
      </w:r>
      <w:r w:rsidRPr="00F35716">
        <w:tab/>
      </w:r>
      <w:r w:rsidR="00EC3C86" w:rsidRPr="00F35716">
        <w:t xml:space="preserve">Se dotó a ocho universidades públicas con medios y mecanismos para facilitar el </w:t>
      </w:r>
      <w:r w:rsidR="006E41D2" w:rsidRPr="00F35716">
        <w:t>uso del sistema braille</w:t>
      </w:r>
      <w:r w:rsidR="00EC3C86" w:rsidRPr="00F35716">
        <w:t>, en asociación con la Unión Europea (Pro</w:t>
      </w:r>
      <w:r w:rsidR="006E41D2" w:rsidRPr="00F35716">
        <w:t>grama</w:t>
      </w:r>
      <w:r w:rsidR="00EC3C86" w:rsidRPr="00F35716">
        <w:t xml:space="preserve"> Tempus).</w:t>
      </w:r>
    </w:p>
    <w:p w14:paraId="32E943C2" w14:textId="666004FC" w:rsidR="00EC3C86" w:rsidRPr="00F35716" w:rsidRDefault="0081283B" w:rsidP="0081283B">
      <w:pPr>
        <w:pStyle w:val="SingleTxt"/>
        <w:tabs>
          <w:tab w:val="right" w:pos="1685"/>
        </w:tabs>
        <w:ind w:left="1742" w:hanging="475"/>
      </w:pPr>
      <w:r w:rsidRPr="00F35716">
        <w:tab/>
        <w:t>•</w:t>
      </w:r>
      <w:r w:rsidRPr="00F35716">
        <w:tab/>
      </w:r>
      <w:r w:rsidR="00EC3C86" w:rsidRPr="00F35716">
        <w:t xml:space="preserve">Se aumentó el número de </w:t>
      </w:r>
      <w:r w:rsidR="006E41D2" w:rsidRPr="00F35716">
        <w:t>cursos acreditados en</w:t>
      </w:r>
      <w:r w:rsidR="00EC3C86" w:rsidRPr="00F35716">
        <w:t xml:space="preserve"> la educación inclusiva en las universidades públicas de 7 a 14 durante el período 2015-2018.</w:t>
      </w:r>
    </w:p>
    <w:p w14:paraId="32E943C3" w14:textId="6A26790E" w:rsidR="00EC3C86" w:rsidRPr="00F35716" w:rsidRDefault="0081283B" w:rsidP="0081283B">
      <w:pPr>
        <w:pStyle w:val="SingleTxt"/>
        <w:tabs>
          <w:tab w:val="right" w:pos="1685"/>
        </w:tabs>
        <w:ind w:left="1742" w:hanging="475"/>
      </w:pPr>
      <w:r w:rsidRPr="00F35716">
        <w:tab/>
        <w:t>•</w:t>
      </w:r>
      <w:r w:rsidRPr="00F35716">
        <w:tab/>
      </w:r>
      <w:r w:rsidR="00EC3C86" w:rsidRPr="00F35716">
        <w:t xml:space="preserve">Se </w:t>
      </w:r>
      <w:r w:rsidR="006E41D2" w:rsidRPr="00F35716">
        <w:t>hace hincapié en la dimensión</w:t>
      </w:r>
      <w:r w:rsidR="00EC3C86" w:rsidRPr="00F35716">
        <w:t xml:space="preserve"> participativa para acompañar a los estudiantes con discapacidad o en situaciones especiales. </w:t>
      </w:r>
    </w:p>
    <w:p w14:paraId="32E943C4" w14:textId="752FD64E" w:rsidR="00EC3C86" w:rsidRPr="00F35716" w:rsidRDefault="00EC3C86" w:rsidP="00B3192A">
      <w:pPr>
        <w:pStyle w:val="SingleTxt"/>
        <w:numPr>
          <w:ilvl w:val="0"/>
          <w:numId w:val="8"/>
        </w:numPr>
        <w:ind w:left="1267" w:firstLine="0"/>
      </w:pPr>
      <w:r w:rsidRPr="00F35716">
        <w:t>La tasa de matriculación en la educación posterior al bachillerato aumentó del</w:t>
      </w:r>
      <w:r w:rsidR="0006736D" w:rsidRPr="00F35716">
        <w:t> </w:t>
      </w:r>
      <w:r w:rsidRPr="00F35716">
        <w:t>28,8</w:t>
      </w:r>
      <w:r w:rsidR="0006736D" w:rsidRPr="00F35716">
        <w:t> %</w:t>
      </w:r>
      <w:r w:rsidRPr="00F35716">
        <w:t xml:space="preserve"> (27,5</w:t>
      </w:r>
      <w:r w:rsidR="0006736D" w:rsidRPr="00F35716">
        <w:t> %</w:t>
      </w:r>
      <w:r w:rsidRPr="00F35716">
        <w:t xml:space="preserve"> en el caso de las mujeres) en 2014-2015 al 37,7</w:t>
      </w:r>
      <w:r w:rsidR="0006736D" w:rsidRPr="00F35716">
        <w:t> %</w:t>
      </w:r>
      <w:r w:rsidRPr="00F35716">
        <w:t xml:space="preserve"> en 2018 (37,2</w:t>
      </w:r>
      <w:r w:rsidR="0006736D" w:rsidRPr="00F35716">
        <w:t> %</w:t>
      </w:r>
      <w:r w:rsidRPr="00F35716">
        <w:t xml:space="preserve"> en el caso de las mujeres), lo que supone un incremento de 9 puntos. Por otro lado, en 2014-2015 hubo 221.768 nuevas matrículas en la enseñanza superior en </w:t>
      </w:r>
      <w:r w:rsidR="006E41D2" w:rsidRPr="00F35716">
        <w:t>su conjunto</w:t>
      </w:r>
      <w:r w:rsidRPr="00F35716">
        <w:t xml:space="preserve"> (de las que el 47,5</w:t>
      </w:r>
      <w:r w:rsidR="0006736D" w:rsidRPr="00F35716">
        <w:t> %</w:t>
      </w:r>
      <w:r w:rsidRPr="00F35716">
        <w:t xml:space="preserve"> corresponde a mujeres), </w:t>
      </w:r>
      <w:r w:rsidR="006E41D2" w:rsidRPr="00F35716">
        <w:t>frente a</w:t>
      </w:r>
      <w:r w:rsidRPr="00F35716">
        <w:t xml:space="preserve"> las 261.575 de 2018 (de las que el 51,7</w:t>
      </w:r>
      <w:r w:rsidR="0006736D" w:rsidRPr="00F35716">
        <w:t> %</w:t>
      </w:r>
      <w:r w:rsidRPr="00F35716">
        <w:t xml:space="preserve"> corresponde a mujeres), lo que supone un aumento medio anual del 42</w:t>
      </w:r>
      <w:r w:rsidR="0006736D" w:rsidRPr="00F35716">
        <w:t> %</w:t>
      </w:r>
      <w:r w:rsidRPr="00F35716">
        <w:t>. Además, el número total de</w:t>
      </w:r>
      <w:r w:rsidR="00A64851" w:rsidRPr="00F35716">
        <w:t> </w:t>
      </w:r>
      <w:r w:rsidRPr="00F35716">
        <w:t xml:space="preserve">estudiantes de enseñanza superior en todos </w:t>
      </w:r>
      <w:r w:rsidR="006E41D2" w:rsidRPr="00F35716">
        <w:t>los niveles</w:t>
      </w:r>
      <w:r w:rsidRPr="00F35716">
        <w:t xml:space="preserve"> pasó de 745.843 en</w:t>
      </w:r>
      <w:r w:rsidR="00A64851" w:rsidRPr="00F35716">
        <w:t> </w:t>
      </w:r>
      <w:r w:rsidRPr="00F35716">
        <w:t>2014-2015 (con</w:t>
      </w:r>
      <w:r w:rsidR="005175D6" w:rsidRPr="00F35716">
        <w:t> </w:t>
      </w:r>
      <w:r w:rsidRPr="00F35716">
        <w:t>un 48,1</w:t>
      </w:r>
      <w:r w:rsidR="0006736D" w:rsidRPr="00F35716">
        <w:t> %</w:t>
      </w:r>
      <w:r w:rsidRPr="00F35716">
        <w:t xml:space="preserve"> de mujeres) a 938.370 en 2018 (con un 49,9</w:t>
      </w:r>
      <w:r w:rsidR="0006736D" w:rsidRPr="00F35716">
        <w:t> %</w:t>
      </w:r>
      <w:r w:rsidRPr="00F35716">
        <w:t xml:space="preserve"> de mujeres), lo que supone un aumento</w:t>
      </w:r>
      <w:r w:rsidR="006E41D2" w:rsidRPr="00F35716">
        <w:t xml:space="preserve"> medio</w:t>
      </w:r>
      <w:r w:rsidRPr="00F35716">
        <w:t xml:space="preserve"> anual del 5,9</w:t>
      </w:r>
      <w:r w:rsidR="0006736D" w:rsidRPr="00F35716">
        <w:t> %</w:t>
      </w:r>
      <w:r w:rsidRPr="00F35716">
        <w:t xml:space="preserve">. </w:t>
      </w:r>
    </w:p>
    <w:p w14:paraId="32E943C5" w14:textId="4B1E05D2" w:rsidR="00EC3C86" w:rsidRPr="00F35716" w:rsidRDefault="00EC3C86" w:rsidP="00B3192A">
      <w:pPr>
        <w:pStyle w:val="SingleTxt"/>
        <w:numPr>
          <w:ilvl w:val="0"/>
          <w:numId w:val="8"/>
        </w:numPr>
        <w:ind w:left="1267" w:firstLine="0"/>
      </w:pPr>
      <w:r w:rsidRPr="00F35716">
        <w:t>Las mujeres y las jóvenes se benefician, sin discriminación, de la oferta de formación profesional organizada por los sectores público y privado, donde el 33</w:t>
      </w:r>
      <w:r w:rsidR="0006736D" w:rsidRPr="00F35716">
        <w:t> %</w:t>
      </w:r>
      <w:r w:rsidRPr="00F35716">
        <w:t xml:space="preserve"> de aprendices </w:t>
      </w:r>
      <w:r w:rsidR="00FE1115" w:rsidRPr="00F35716">
        <w:t xml:space="preserve">en el curso </w:t>
      </w:r>
      <w:r w:rsidRPr="00F35716">
        <w:t>2016-2017 fueron mujeres. Por su parte, el porcentaje de alumnas de formación profesional aumentó al 50</w:t>
      </w:r>
      <w:r w:rsidR="0006736D" w:rsidRPr="00F35716">
        <w:t> %</w:t>
      </w:r>
      <w:r w:rsidRPr="00F35716">
        <w:t xml:space="preserve"> durante </w:t>
      </w:r>
      <w:r w:rsidR="00FE1115" w:rsidRPr="00F35716">
        <w:t>ese mismo curso, frente al</w:t>
      </w:r>
      <w:r w:rsidRPr="00F35716">
        <w:t xml:space="preserve"> 17</w:t>
      </w:r>
      <w:r w:rsidR="0006736D" w:rsidRPr="00F35716">
        <w:t> %</w:t>
      </w:r>
      <w:r w:rsidRPr="00F35716">
        <w:t xml:space="preserve"> </w:t>
      </w:r>
      <w:r w:rsidR="00FE1115" w:rsidRPr="00F35716">
        <w:t xml:space="preserve">registrado en </w:t>
      </w:r>
      <w:r w:rsidRPr="00F35716">
        <w:t>el curso 2005-2006</w:t>
      </w:r>
      <w:r w:rsidRPr="00F35716">
        <w:rPr>
          <w:vertAlign w:val="superscript"/>
        </w:rPr>
        <w:footnoteReference w:id="75"/>
      </w:r>
      <w:r w:rsidRPr="00F35716">
        <w:t>.</w:t>
      </w:r>
    </w:p>
    <w:p w14:paraId="32E943C6" w14:textId="77777777" w:rsidR="00EC3C86" w:rsidRPr="00F35716" w:rsidRDefault="00EC3C86" w:rsidP="00B3192A">
      <w:pPr>
        <w:pStyle w:val="SingleTxt"/>
        <w:numPr>
          <w:ilvl w:val="0"/>
          <w:numId w:val="8"/>
        </w:numPr>
        <w:ind w:left="1267" w:firstLine="0"/>
      </w:pPr>
      <w:r w:rsidRPr="00F35716">
        <w:t>El sector juvenil y deportivo trabajó hasta el año 2018 en la gestión de 387</w:t>
      </w:r>
      <w:r w:rsidR="005175D6" w:rsidRPr="00F35716">
        <w:t> </w:t>
      </w:r>
      <w:r w:rsidRPr="00F35716">
        <w:t xml:space="preserve">instituciones femeninas repartidas por las zonas urbanas y rurales de todo el territorio nacional. </w:t>
      </w:r>
    </w:p>
    <w:p w14:paraId="32E943C7" w14:textId="294EA3EA" w:rsidR="00EC3C86" w:rsidRPr="00F35716" w:rsidRDefault="00EC3C86" w:rsidP="00B3192A">
      <w:pPr>
        <w:pStyle w:val="SingleTxt"/>
        <w:numPr>
          <w:ilvl w:val="0"/>
          <w:numId w:val="8"/>
        </w:numPr>
        <w:ind w:left="1267" w:firstLine="0"/>
      </w:pPr>
      <w:r w:rsidRPr="00F35716">
        <w:t xml:space="preserve">Se han establecido alianzas con empresas a fin de integrar a las mujeres </w:t>
      </w:r>
      <w:r w:rsidR="00CE3446" w:rsidRPr="00F35716">
        <w:t>graduadas</w:t>
      </w:r>
      <w:r w:rsidRPr="00F35716">
        <w:t xml:space="preserve">. </w:t>
      </w:r>
      <w:r w:rsidR="00FE1115" w:rsidRPr="00F35716">
        <w:t>E</w:t>
      </w:r>
      <w:r w:rsidRPr="00F35716">
        <w:t xml:space="preserve">l sector </w:t>
      </w:r>
      <w:r w:rsidR="00FE1115" w:rsidRPr="00F35716">
        <w:t>presta</w:t>
      </w:r>
      <w:r w:rsidRPr="00F35716">
        <w:t xml:space="preserve"> apoy</w:t>
      </w:r>
      <w:r w:rsidR="00FE1115" w:rsidRPr="00F35716">
        <w:t xml:space="preserve">o </w:t>
      </w:r>
      <w:r w:rsidRPr="00F35716">
        <w:t xml:space="preserve">a las cooperativas y </w:t>
      </w:r>
      <w:r w:rsidR="00FE1115" w:rsidRPr="00F35716">
        <w:t>las empresas de servicios y manufactura que generan ingresos</w:t>
      </w:r>
      <w:r w:rsidRPr="00F35716">
        <w:t xml:space="preserve"> impulsad</w:t>
      </w:r>
      <w:r w:rsidR="00FE1115" w:rsidRPr="00F35716">
        <w:t>a</w:t>
      </w:r>
      <w:r w:rsidRPr="00F35716">
        <w:t xml:space="preserve">s por mujeres. </w:t>
      </w:r>
      <w:r w:rsidR="00FE1115" w:rsidRPr="00F35716">
        <w:t>E</w:t>
      </w:r>
      <w:r w:rsidRPr="00F35716">
        <w:t xml:space="preserve">n 2013 se lanzó </w:t>
      </w:r>
      <w:r w:rsidR="00FE1115" w:rsidRPr="00F35716">
        <w:t>un</w:t>
      </w:r>
      <w:r w:rsidRPr="00F35716">
        <w:t xml:space="preserve"> proyecto </w:t>
      </w:r>
      <w:r w:rsidR="00FE1115" w:rsidRPr="00F35716">
        <w:t>de a</w:t>
      </w:r>
      <w:r w:rsidRPr="00F35716">
        <w:t xml:space="preserve">compañamiento de </w:t>
      </w:r>
      <w:r w:rsidR="00FE1115" w:rsidRPr="00F35716">
        <w:t>c</w:t>
      </w:r>
      <w:r w:rsidRPr="00F35716">
        <w:t xml:space="preserve">ooperativas. Además, el sector </w:t>
      </w:r>
      <w:r w:rsidR="00FE1115" w:rsidRPr="00F35716">
        <w:t xml:space="preserve">competente </w:t>
      </w:r>
      <w:r w:rsidRPr="00F35716">
        <w:t xml:space="preserve">supervisa 121 proyectos generadores de ingresos y cooperativos con 45 delegadas dentro de 77 </w:t>
      </w:r>
      <w:r w:rsidR="00FE1115" w:rsidRPr="00F35716">
        <w:t>empresas dirigidas por</w:t>
      </w:r>
      <w:r w:rsidRPr="00F35716">
        <w:t xml:space="preserve"> mujeres (55 urbanas y 22 rurales).</w:t>
      </w:r>
    </w:p>
    <w:p w14:paraId="32E943C8" w14:textId="5FA87F0F" w:rsidR="00EC3C86" w:rsidRPr="00F35716" w:rsidRDefault="00EC3C86" w:rsidP="00B3192A">
      <w:pPr>
        <w:pStyle w:val="SingleTxt"/>
        <w:numPr>
          <w:ilvl w:val="0"/>
          <w:numId w:val="8"/>
        </w:numPr>
        <w:ind w:left="1267" w:firstLine="0"/>
      </w:pPr>
      <w:r w:rsidRPr="00F35716">
        <w:t xml:space="preserve">Con respecto a la igualdad en la educación, el sector competente ha </w:t>
      </w:r>
      <w:r w:rsidR="00161D73" w:rsidRPr="00F35716">
        <w:t xml:space="preserve">puesto en marcha </w:t>
      </w:r>
      <w:r w:rsidRPr="00F35716">
        <w:t xml:space="preserve">varios programas </w:t>
      </w:r>
      <w:r w:rsidR="00FE1115" w:rsidRPr="00F35716">
        <w:t>para</w:t>
      </w:r>
      <w:r w:rsidRPr="00F35716">
        <w:t xml:space="preserve"> la primera infancia: </w:t>
      </w:r>
    </w:p>
    <w:p w14:paraId="32E943C9" w14:textId="77777777" w:rsidR="00EC3C86" w:rsidRPr="00F35716" w:rsidRDefault="00E625ED" w:rsidP="00E625ED">
      <w:pPr>
        <w:pStyle w:val="SingleTxt"/>
        <w:tabs>
          <w:tab w:val="right" w:pos="1685"/>
        </w:tabs>
        <w:ind w:left="1742" w:hanging="475"/>
      </w:pPr>
      <w:r w:rsidRPr="00F35716">
        <w:tab/>
        <w:t>–</w:t>
      </w:r>
      <w:r w:rsidRPr="00F35716">
        <w:tab/>
      </w:r>
      <w:r w:rsidR="00EC3C86" w:rsidRPr="00F35716">
        <w:t xml:space="preserve">Escuelas infantiles: 138 en el entorno urbano y 46 en el ámbito rural, con un total de 2.841 beneficiarios y beneficiarias. </w:t>
      </w:r>
    </w:p>
    <w:p w14:paraId="32E943CA" w14:textId="70DFA2F7" w:rsidR="00EC3C86" w:rsidRPr="00F35716" w:rsidRDefault="00E625ED" w:rsidP="00E625ED">
      <w:pPr>
        <w:pStyle w:val="SingleTxt"/>
        <w:tabs>
          <w:tab w:val="right" w:pos="1685"/>
        </w:tabs>
        <w:ind w:left="1742" w:hanging="475"/>
      </w:pPr>
      <w:r w:rsidRPr="00F35716">
        <w:tab/>
        <w:t>–</w:t>
      </w:r>
      <w:r w:rsidRPr="00F35716">
        <w:tab/>
      </w:r>
      <w:r w:rsidR="00EC3C86" w:rsidRPr="00F35716">
        <w:t xml:space="preserve">Guarderías infantiles: sus actividades fijas y divulgativas </w:t>
      </w:r>
      <w:r w:rsidR="00161D73" w:rsidRPr="00F35716">
        <w:t>han beneficiado a</w:t>
      </w:r>
      <w:r w:rsidR="00EC3C86" w:rsidRPr="00F35716">
        <w:t xml:space="preserve"> 61.676 </w:t>
      </w:r>
      <w:r w:rsidR="00161D73" w:rsidRPr="00F35716">
        <w:t>niños</w:t>
      </w:r>
      <w:r w:rsidR="00EC3C86" w:rsidRPr="00F35716">
        <w:t>, de los que 31.353 son niñas</w:t>
      </w:r>
      <w:r w:rsidR="00161D73" w:rsidRPr="00F35716">
        <w:t xml:space="preserve"> de zonas rurales y urbanas</w:t>
      </w:r>
      <w:r w:rsidR="00EC3C86" w:rsidRPr="00F35716">
        <w:t xml:space="preserve">. </w:t>
      </w:r>
    </w:p>
    <w:p w14:paraId="32E943CB" w14:textId="4B06CA3D" w:rsidR="00EC3C86" w:rsidRPr="00F35716" w:rsidRDefault="00E625ED" w:rsidP="000E49E6">
      <w:pPr>
        <w:pStyle w:val="SingleTxt"/>
        <w:tabs>
          <w:tab w:val="right" w:pos="1685"/>
        </w:tabs>
        <w:ind w:left="1742" w:hanging="475"/>
      </w:pPr>
      <w:r w:rsidRPr="00F35716">
        <w:tab/>
        <w:t>–</w:t>
      </w:r>
      <w:r w:rsidRPr="00F35716">
        <w:tab/>
      </w:r>
      <w:r w:rsidR="00161D73" w:rsidRPr="00F35716">
        <w:t>Aulas integradas</w:t>
      </w:r>
      <w:r w:rsidR="00EC3C86" w:rsidRPr="00F35716">
        <w:t xml:space="preserve">: reciben niños con discapacidad. Este experimento </w:t>
      </w:r>
      <w:r w:rsidR="00161D73" w:rsidRPr="00F35716">
        <w:t>abarcó</w:t>
      </w:r>
      <w:r w:rsidR="00EC3C86" w:rsidRPr="00F35716">
        <w:t xml:space="preserve"> 27 direcciones regionales en </w:t>
      </w:r>
      <w:r w:rsidR="00161D73" w:rsidRPr="00F35716">
        <w:t>el curso académico</w:t>
      </w:r>
      <w:r w:rsidR="00EC3C86" w:rsidRPr="00F35716">
        <w:t xml:space="preserve"> 2018-2019</w:t>
      </w:r>
      <w:r w:rsidR="00161D73" w:rsidRPr="00F35716">
        <w:t>. Un total de</w:t>
      </w:r>
      <w:r w:rsidR="00EC3C86" w:rsidRPr="00F35716">
        <w:t xml:space="preserve"> 45</w:t>
      </w:r>
      <w:r w:rsidR="005175D6" w:rsidRPr="00F35716">
        <w:t> </w:t>
      </w:r>
      <w:r w:rsidR="00EC3C86" w:rsidRPr="00F35716">
        <w:t>instituciones</w:t>
      </w:r>
      <w:r w:rsidR="00161D73" w:rsidRPr="00F35716">
        <w:t xml:space="preserve"> integraron a</w:t>
      </w:r>
      <w:r w:rsidR="00EC3C86" w:rsidRPr="00F35716">
        <w:t xml:space="preserve"> 79 </w:t>
      </w:r>
      <w:r w:rsidR="000E49E6" w:rsidRPr="00F35716">
        <w:t>participantes</w:t>
      </w:r>
      <w:r w:rsidR="00EC3C86" w:rsidRPr="00F35716">
        <w:t xml:space="preserve">, </w:t>
      </w:r>
      <w:r w:rsidR="000E49E6" w:rsidRPr="00F35716">
        <w:t xml:space="preserve">de </w:t>
      </w:r>
      <w:r w:rsidR="00EC3C86" w:rsidRPr="00F35716">
        <w:t xml:space="preserve">los </w:t>
      </w:r>
      <w:r w:rsidR="000E49E6" w:rsidRPr="00F35716">
        <w:t xml:space="preserve">que </w:t>
      </w:r>
      <w:r w:rsidR="00EC3C86" w:rsidRPr="00F35716">
        <w:t xml:space="preserve">28 </w:t>
      </w:r>
      <w:r w:rsidR="000E49E6" w:rsidRPr="00F35716">
        <w:t xml:space="preserve">eran </w:t>
      </w:r>
      <w:r w:rsidR="00EC3C86" w:rsidRPr="00F35716">
        <w:t xml:space="preserve">niñas. </w:t>
      </w:r>
    </w:p>
    <w:p w14:paraId="32E943CC" w14:textId="38BA22A0" w:rsidR="00EC3C86" w:rsidRPr="00F35716" w:rsidRDefault="00B0107B" w:rsidP="00B3192A">
      <w:pPr>
        <w:pStyle w:val="SingleTxt"/>
        <w:numPr>
          <w:ilvl w:val="0"/>
          <w:numId w:val="8"/>
        </w:numPr>
        <w:ind w:left="1267" w:firstLine="0"/>
      </w:pPr>
      <w:r w:rsidRPr="00F35716">
        <w:t xml:space="preserve">En cuanto a los programas dirigidos a jóvenes, </w:t>
      </w:r>
      <w:r w:rsidR="00EC3C86" w:rsidRPr="00F35716">
        <w:t xml:space="preserve">3.149.887 </w:t>
      </w:r>
      <w:r w:rsidRPr="00F35716">
        <w:t>varones</w:t>
      </w:r>
      <w:r w:rsidR="00EC3C86" w:rsidRPr="00F35716">
        <w:t xml:space="preserve"> y 1.926.890 mujeres</w:t>
      </w:r>
      <w:r w:rsidRPr="00F35716">
        <w:t xml:space="preserve"> se beneficiaron de las actividades orientadas a jóvenes</w:t>
      </w:r>
      <w:r w:rsidR="00EC3C86" w:rsidRPr="00F35716">
        <w:t>, mientras que 4.40</w:t>
      </w:r>
      <w:r w:rsidRPr="00F35716">
        <w:t>6</w:t>
      </w:r>
      <w:r w:rsidR="00EC3C86" w:rsidRPr="00F35716">
        <w:t>.</w:t>
      </w:r>
      <w:r w:rsidRPr="00F35716">
        <w:t>5</w:t>
      </w:r>
      <w:r w:rsidR="00EC3C86" w:rsidRPr="00F35716">
        <w:t xml:space="preserve">16 </w:t>
      </w:r>
      <w:r w:rsidRPr="00F35716">
        <w:t>varones</w:t>
      </w:r>
      <w:r w:rsidR="00EC3C86" w:rsidRPr="00F35716">
        <w:t xml:space="preserve"> y 2.965.002 mujeres participaron en actividades divulgativas.</w:t>
      </w:r>
    </w:p>
    <w:p w14:paraId="32E943CD" w14:textId="7691A0DE" w:rsidR="00EC3C86" w:rsidRPr="00F35716" w:rsidRDefault="00EC3C86" w:rsidP="00B3192A">
      <w:pPr>
        <w:pStyle w:val="SingleTxt"/>
        <w:numPr>
          <w:ilvl w:val="0"/>
          <w:numId w:val="8"/>
        </w:numPr>
        <w:ind w:left="1267" w:firstLine="0"/>
      </w:pPr>
      <w:r w:rsidRPr="00F35716">
        <w:t>El programa de deporte femenino ofrece una gama de actividades destinadas a fomentar el deporte femenino, especialmente en el mundo rural</w:t>
      </w:r>
      <w:r w:rsidR="00B0107B" w:rsidRPr="00F35716">
        <w:t>. Este programa ha creado</w:t>
      </w:r>
      <w:r w:rsidRPr="00F35716">
        <w:t xml:space="preserve"> asociaciones en </w:t>
      </w:r>
      <w:r w:rsidR="00B0107B" w:rsidRPr="00F35716">
        <w:t>diversas</w:t>
      </w:r>
      <w:r w:rsidRPr="00F35716">
        <w:t xml:space="preserve"> ciudades</w:t>
      </w:r>
      <w:r w:rsidR="00B0107B" w:rsidRPr="00F35716">
        <w:t>, ha</w:t>
      </w:r>
      <w:r w:rsidRPr="00F35716">
        <w:t xml:space="preserve"> organiza</w:t>
      </w:r>
      <w:r w:rsidR="00B0107B" w:rsidRPr="00F35716">
        <w:t>do</w:t>
      </w:r>
      <w:r w:rsidRPr="00F35716">
        <w:t xml:space="preserve"> actividades </w:t>
      </w:r>
      <w:r w:rsidR="00B0107B" w:rsidRPr="00F35716">
        <w:t xml:space="preserve">de atletismo </w:t>
      </w:r>
      <w:r w:rsidRPr="00F35716">
        <w:t xml:space="preserve">para mujeres y </w:t>
      </w:r>
      <w:r w:rsidR="00B0107B" w:rsidRPr="00F35716">
        <w:t xml:space="preserve">clases opcionales </w:t>
      </w:r>
      <w:r w:rsidRPr="00F35716">
        <w:t xml:space="preserve">de sensibilización sobre la importancia del </w:t>
      </w:r>
      <w:r w:rsidR="00B0107B" w:rsidRPr="00F35716">
        <w:t>atletismo, y ha impartido</w:t>
      </w:r>
      <w:r w:rsidRPr="00F35716">
        <w:t xml:space="preserve"> </w:t>
      </w:r>
      <w:r w:rsidR="00B0107B" w:rsidRPr="00F35716">
        <w:t>sesiones</w:t>
      </w:r>
      <w:r w:rsidRPr="00F35716">
        <w:t xml:space="preserve"> de formación para </w:t>
      </w:r>
      <w:r w:rsidR="00B0107B" w:rsidRPr="00F35716">
        <w:t>mujeres empresarias</w:t>
      </w:r>
      <w:r w:rsidRPr="00F35716">
        <w:t xml:space="preserve">. El número de mujeres </w:t>
      </w:r>
      <w:r w:rsidRPr="00F35716">
        <w:lastRenderedPageBreak/>
        <w:t xml:space="preserve">presidentas de federaciones deportivas llegó a cuatro, al igual que el de vicepresidentas. </w:t>
      </w:r>
    </w:p>
    <w:p w14:paraId="32E943CE" w14:textId="117EFA01" w:rsidR="00EC3C86" w:rsidRPr="00F35716" w:rsidRDefault="00EC3C86" w:rsidP="00B3192A">
      <w:pPr>
        <w:pStyle w:val="SingleTxt"/>
        <w:numPr>
          <w:ilvl w:val="0"/>
          <w:numId w:val="8"/>
        </w:numPr>
        <w:ind w:left="1267" w:firstLine="0"/>
      </w:pPr>
      <w:r w:rsidRPr="00F35716">
        <w:t xml:space="preserve">El sector competente ha trabajado en el marco de programas y estrategias </w:t>
      </w:r>
      <w:r w:rsidR="00B14D43" w:rsidRPr="00F35716">
        <w:t>de</w:t>
      </w:r>
      <w:r w:rsidRPr="00F35716">
        <w:t xml:space="preserve"> turismo para integrar a las jóvenes en centros de formación en hostelería y turismo y desarrollar programas educativos apropiados</w:t>
      </w:r>
      <w:r w:rsidR="00B14D43" w:rsidRPr="00F35716">
        <w:t>. El</w:t>
      </w:r>
      <w:r w:rsidRPr="00F35716">
        <w:t xml:space="preserve"> número de</w:t>
      </w:r>
      <w:r w:rsidR="005175D6" w:rsidRPr="00F35716">
        <w:t> </w:t>
      </w:r>
      <w:r w:rsidRPr="00F35716">
        <w:t>alumnas llegó a 143 en la formación superior, a 642 en la formación básica y a</w:t>
      </w:r>
      <w:r w:rsidR="005175D6" w:rsidRPr="00F35716">
        <w:t> </w:t>
      </w:r>
      <w:r w:rsidRPr="00F35716">
        <w:t>223</w:t>
      </w:r>
      <w:r w:rsidR="005175D6" w:rsidRPr="00F35716">
        <w:t> </w:t>
      </w:r>
      <w:r w:rsidRPr="00F35716">
        <w:t xml:space="preserve">en la formación </w:t>
      </w:r>
      <w:r w:rsidR="00B14D43" w:rsidRPr="00F35716">
        <w:t>de aprendices</w:t>
      </w:r>
      <w:r w:rsidRPr="00F35716">
        <w:t>.</w:t>
      </w:r>
    </w:p>
    <w:p w14:paraId="32E943CF" w14:textId="04605EBC" w:rsidR="00EC3C86" w:rsidRPr="00F35716" w:rsidRDefault="00EC3C86" w:rsidP="00B3192A">
      <w:pPr>
        <w:pStyle w:val="SingleTxt"/>
        <w:numPr>
          <w:ilvl w:val="0"/>
          <w:numId w:val="8"/>
        </w:numPr>
        <w:ind w:left="1267" w:firstLine="0"/>
      </w:pPr>
      <w:r w:rsidRPr="00F35716">
        <w:t>Con respecto a la formación profesional agrícola, el 27,1</w:t>
      </w:r>
      <w:r w:rsidR="0006736D" w:rsidRPr="00F35716">
        <w:t> %</w:t>
      </w:r>
      <w:r w:rsidRPr="00F35716">
        <w:t xml:space="preserve"> del total de </w:t>
      </w:r>
      <w:r w:rsidR="00B14D43" w:rsidRPr="00F35716">
        <w:t xml:space="preserve">graduados </w:t>
      </w:r>
      <w:r w:rsidRPr="00F35716">
        <w:t>en el curso 2017-2018 fueron mujeres (589 de 2.174). Por otro lado, 542</w:t>
      </w:r>
      <w:r w:rsidR="00940E3B" w:rsidRPr="00F35716">
        <w:t> </w:t>
      </w:r>
      <w:r w:rsidRPr="00F35716">
        <w:t>alumnas de zonas rurales de un total de 2.519 (el 21,5</w:t>
      </w:r>
      <w:r w:rsidR="0006736D" w:rsidRPr="00F35716">
        <w:t> %</w:t>
      </w:r>
      <w:r w:rsidRPr="00F35716">
        <w:t xml:space="preserve">) recibieron formación </w:t>
      </w:r>
      <w:r w:rsidR="00B14D43" w:rsidRPr="00F35716">
        <w:t>de aprendices</w:t>
      </w:r>
      <w:r w:rsidRPr="00F35716">
        <w:t xml:space="preserve">. En cuanto a la formación superior, 105 de </w:t>
      </w:r>
      <w:r w:rsidR="00B14D43" w:rsidRPr="00F35716">
        <w:t xml:space="preserve">un total de </w:t>
      </w:r>
      <w:r w:rsidRPr="00F35716">
        <w:t xml:space="preserve">440 </w:t>
      </w:r>
      <w:r w:rsidR="00B14D43" w:rsidRPr="00F35716">
        <w:t>graduados</w:t>
      </w:r>
      <w:r w:rsidRPr="00F35716">
        <w:t xml:space="preserve"> son mujeres, lo que equivale al 23,8</w:t>
      </w:r>
      <w:r w:rsidR="0006736D" w:rsidRPr="00F35716">
        <w:t> %</w:t>
      </w:r>
      <w:r w:rsidRPr="00F35716">
        <w:t xml:space="preserve">. </w:t>
      </w:r>
    </w:p>
    <w:p w14:paraId="32E943D0" w14:textId="77777777" w:rsidR="008B1012" w:rsidRPr="00F35716" w:rsidRDefault="008B1012" w:rsidP="008B1012">
      <w:pPr>
        <w:pStyle w:val="SingleTxt"/>
        <w:spacing w:after="0" w:line="120" w:lineRule="exact"/>
        <w:rPr>
          <w:sz w:val="10"/>
          <w:szCs w:val="20"/>
        </w:rPr>
      </w:pPr>
    </w:p>
    <w:p w14:paraId="32E943D1" w14:textId="77777777" w:rsidR="00EC3C86" w:rsidRPr="00F35716" w:rsidRDefault="00DC7516"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Cs w:val="0"/>
          <w:szCs w:val="20"/>
        </w:rPr>
        <w:t>Artículo 11</w:t>
      </w:r>
      <w:bookmarkStart w:id="45" w:name="_Toc24015481"/>
      <w:bookmarkEnd w:id="45"/>
    </w:p>
    <w:p w14:paraId="32E943D2" w14:textId="77777777" w:rsidR="008B1012" w:rsidRPr="00F35716" w:rsidRDefault="008B1012" w:rsidP="008B1012">
      <w:pPr>
        <w:pStyle w:val="SingleTxt"/>
        <w:spacing w:after="0" w:line="120" w:lineRule="exact"/>
        <w:rPr>
          <w:sz w:val="10"/>
          <w:szCs w:val="20"/>
        </w:rPr>
      </w:pPr>
    </w:p>
    <w:p w14:paraId="32E943D3" w14:textId="0FB2C706" w:rsidR="00EC3C86" w:rsidRPr="00F35716" w:rsidRDefault="00EC3C86" w:rsidP="00B3192A">
      <w:pPr>
        <w:pStyle w:val="SingleTxt"/>
        <w:numPr>
          <w:ilvl w:val="0"/>
          <w:numId w:val="8"/>
        </w:numPr>
        <w:ind w:left="1267" w:firstLine="0"/>
      </w:pPr>
      <w:r w:rsidRPr="00F35716">
        <w:t>El artículo 31 de la Constitución est</w:t>
      </w:r>
      <w:r w:rsidR="00F64DCD" w:rsidRPr="00F35716">
        <w:t>ablece</w:t>
      </w:r>
      <w:r w:rsidRPr="00F35716">
        <w:t xml:space="preserve"> que el Estado, las instituciones públicas y l</w:t>
      </w:r>
      <w:r w:rsidR="00F64DCD" w:rsidRPr="00F35716">
        <w:t>o</w:t>
      </w:r>
      <w:r w:rsidRPr="00F35716">
        <w:t xml:space="preserve">s </w:t>
      </w:r>
      <w:r w:rsidR="00F64DCD" w:rsidRPr="00F35716">
        <w:t>gobiernos locales</w:t>
      </w:r>
      <w:r w:rsidRPr="00F35716">
        <w:t xml:space="preserve"> movilizar</w:t>
      </w:r>
      <w:r w:rsidR="00F64DCD" w:rsidRPr="00F35716">
        <w:t>án</w:t>
      </w:r>
      <w:r w:rsidRPr="00F35716">
        <w:t xml:space="preserve"> todos los medios disponibles a fin de facilitar que las ciudadanas y los ciudadanos disfruten</w:t>
      </w:r>
      <w:r w:rsidR="00F64DCD" w:rsidRPr="00F35716">
        <w:t>, en pie de igualdad,</w:t>
      </w:r>
      <w:r w:rsidRPr="00F35716">
        <w:t xml:space="preserve"> del derecho al trabajo</w:t>
      </w:r>
      <w:r w:rsidR="0038526F" w:rsidRPr="00F35716">
        <w:t xml:space="preserve"> y</w:t>
      </w:r>
      <w:r w:rsidRPr="00F35716">
        <w:t xml:space="preserve"> </w:t>
      </w:r>
      <w:r w:rsidR="0038526F" w:rsidRPr="00F35716">
        <w:t>a</w:t>
      </w:r>
      <w:r w:rsidRPr="00F35716">
        <w:t>l apoyo de las autoridades públicas en la búsqueda de empleo o trabajo por cuenta propia</w:t>
      </w:r>
      <w:r w:rsidR="0038526F" w:rsidRPr="00F35716">
        <w:t>; el derecho a</w:t>
      </w:r>
      <w:r w:rsidRPr="00F35716">
        <w:t xml:space="preserve"> la protección social, </w:t>
      </w:r>
      <w:r w:rsidR="0038526F" w:rsidRPr="00F35716">
        <w:t xml:space="preserve">a </w:t>
      </w:r>
      <w:r w:rsidRPr="00F35716">
        <w:t xml:space="preserve">la cobertura sanitaria </w:t>
      </w:r>
      <w:r w:rsidR="0038526F" w:rsidRPr="00F35716">
        <w:t xml:space="preserve">y a la solidaridad </w:t>
      </w:r>
      <w:r w:rsidRPr="00F35716">
        <w:t>de mutualidades privadas o del Estado</w:t>
      </w:r>
      <w:r w:rsidR="0038526F" w:rsidRPr="00F35716">
        <w:t>; y el derecho a</w:t>
      </w:r>
      <w:r w:rsidRPr="00F35716">
        <w:t xml:space="preserve"> la formación profesional y</w:t>
      </w:r>
      <w:r w:rsidR="0038526F" w:rsidRPr="00F35716">
        <w:t xml:space="preserve"> a</w:t>
      </w:r>
      <w:r w:rsidRPr="00F35716">
        <w:t xml:space="preserve"> la educación física y artística</w:t>
      </w:r>
      <w:r w:rsidRPr="00F35716">
        <w:rPr>
          <w:vertAlign w:val="superscript"/>
        </w:rPr>
        <w:footnoteReference w:id="76"/>
      </w:r>
      <w:r w:rsidRPr="00F35716">
        <w:t xml:space="preserve">. </w:t>
      </w:r>
    </w:p>
    <w:p w14:paraId="32E943D4" w14:textId="251CC784" w:rsidR="00EC3C86" w:rsidRPr="00F35716" w:rsidRDefault="00EC3C86" w:rsidP="00B3192A">
      <w:pPr>
        <w:pStyle w:val="SingleTxt"/>
        <w:numPr>
          <w:ilvl w:val="0"/>
          <w:numId w:val="8"/>
        </w:numPr>
        <w:ind w:left="1267" w:firstLine="0"/>
      </w:pPr>
      <w:r w:rsidRPr="00F35716">
        <w:t xml:space="preserve">Las reformas a nivel legislativo e institucional </w:t>
      </w:r>
      <w:r w:rsidR="0038526F" w:rsidRPr="00F35716">
        <w:t xml:space="preserve">han </w:t>
      </w:r>
      <w:r w:rsidRPr="00F35716">
        <w:t>permiti</w:t>
      </w:r>
      <w:r w:rsidR="0038526F" w:rsidRPr="00F35716">
        <w:t>do</w:t>
      </w:r>
      <w:r w:rsidRPr="00F35716">
        <w:t xml:space="preserve"> la adopción de disposiciones destinadas a eliminar la discriminación contra la mujer en el </w:t>
      </w:r>
      <w:r w:rsidR="0038526F" w:rsidRPr="00F35716">
        <w:t>ámbito</w:t>
      </w:r>
      <w:r w:rsidRPr="00F35716">
        <w:t xml:space="preserve"> profesional y laboral</w:t>
      </w:r>
      <w:r w:rsidR="0038526F" w:rsidRPr="00F35716">
        <w:t>.</w:t>
      </w:r>
      <w:r w:rsidRPr="00F35716">
        <w:t xml:space="preserve"> </w:t>
      </w:r>
      <w:r w:rsidR="0038526F" w:rsidRPr="00F35716">
        <w:t>E</w:t>
      </w:r>
      <w:r w:rsidRPr="00F35716">
        <w:t xml:space="preserve">l Código </w:t>
      </w:r>
      <w:r w:rsidR="00837E8A" w:rsidRPr="00F35716">
        <w:t>Laboral</w:t>
      </w:r>
      <w:r w:rsidRPr="00F35716">
        <w:t xml:space="preserve"> </w:t>
      </w:r>
      <w:r w:rsidR="0038526F" w:rsidRPr="00F35716">
        <w:t>ha consagrado</w:t>
      </w:r>
      <w:r w:rsidRPr="00F35716">
        <w:t xml:space="preserve"> por primera vez el principio de no discriminación</w:t>
      </w:r>
      <w:r w:rsidR="0038526F" w:rsidRPr="00F35716">
        <w:rPr>
          <w:vertAlign w:val="superscript"/>
        </w:rPr>
        <w:footnoteReference w:id="77"/>
      </w:r>
      <w:r w:rsidRPr="00F35716">
        <w:t xml:space="preserve"> por motivos de sexo en relación con el empleo, l</w:t>
      </w:r>
      <w:r w:rsidR="0038526F" w:rsidRPr="00F35716">
        <w:t>os s</w:t>
      </w:r>
      <w:r w:rsidR="004617C4" w:rsidRPr="00F35716">
        <w:t>alarios</w:t>
      </w:r>
      <w:r w:rsidRPr="00F35716">
        <w:t xml:space="preserve">, el ascenso y todas las demás ventajas. </w:t>
      </w:r>
      <w:r w:rsidR="0038526F" w:rsidRPr="00F35716">
        <w:t>También se han ratificado varios</w:t>
      </w:r>
      <w:r w:rsidRPr="00F35716">
        <w:t xml:space="preserve"> </w:t>
      </w:r>
      <w:r w:rsidR="0038526F" w:rsidRPr="00F35716">
        <w:t xml:space="preserve">convenios </w:t>
      </w:r>
      <w:r w:rsidRPr="00F35716">
        <w:t>internacionales</w:t>
      </w:r>
      <w:r w:rsidR="0038526F" w:rsidRPr="00F35716">
        <w:t xml:space="preserve"> sobre el trabajo</w:t>
      </w:r>
      <w:r w:rsidRPr="00F35716">
        <w:t xml:space="preserve">, </w:t>
      </w:r>
      <w:r w:rsidR="00D0299D" w:rsidRPr="00F35716">
        <w:t>como</w:t>
      </w:r>
      <w:r w:rsidRPr="00F35716">
        <w:t xml:space="preserve"> el Convenio núm. 100</w:t>
      </w:r>
      <w:r w:rsidR="00D0299D" w:rsidRPr="00F35716">
        <w:t xml:space="preserve"> de la Organización Internacional del Trabajo,</w:t>
      </w:r>
      <w:r w:rsidRPr="00F35716">
        <w:t xml:space="preserve"> </w:t>
      </w:r>
      <w:r w:rsidR="00D0299D" w:rsidRPr="00F35716">
        <w:t>relativo a la Igualdad de Remuneración entre la Mano de Obra Masculina y la Mano de Obra Femenina por un Trabajo de Igual Valor,</w:t>
      </w:r>
      <w:r w:rsidRPr="00F35716">
        <w:t xml:space="preserve"> y el Convenio núm. 111</w:t>
      </w:r>
      <w:r w:rsidR="00D0299D" w:rsidRPr="00F35716">
        <w:t xml:space="preserve"> de la Organización Internacional del Trabajo,</w:t>
      </w:r>
      <w:r w:rsidRPr="00F35716">
        <w:t xml:space="preserve"> </w:t>
      </w:r>
      <w:r w:rsidR="00D0299D" w:rsidRPr="00F35716">
        <w:t>relativo a la D</w:t>
      </w:r>
      <w:r w:rsidRPr="00F35716">
        <w:t>iscriminación</w:t>
      </w:r>
      <w:r w:rsidR="00D0299D" w:rsidRPr="00F35716">
        <w:t xml:space="preserve"> en Materia de E</w:t>
      </w:r>
      <w:r w:rsidRPr="00F35716">
        <w:t xml:space="preserve">mpleo y </w:t>
      </w:r>
      <w:r w:rsidR="00D0299D" w:rsidRPr="00F35716">
        <w:t>O</w:t>
      </w:r>
      <w:r w:rsidRPr="00F35716">
        <w:t>cupación (</w:t>
      </w:r>
      <w:r w:rsidR="003A0AC3" w:rsidRPr="00F35716">
        <w:t>párrafo 29 de las observaciones finales</w:t>
      </w:r>
      <w:r w:rsidRPr="00F35716">
        <w:t>).</w:t>
      </w:r>
    </w:p>
    <w:p w14:paraId="32E943D5" w14:textId="7328FBE9" w:rsidR="00EC3C86" w:rsidRPr="00F35716" w:rsidRDefault="00EC3C86" w:rsidP="00B3192A">
      <w:pPr>
        <w:pStyle w:val="SingleTxt"/>
        <w:numPr>
          <w:ilvl w:val="0"/>
          <w:numId w:val="8"/>
        </w:numPr>
        <w:ind w:left="1267" w:firstLine="0"/>
      </w:pPr>
      <w:r w:rsidRPr="00F35716">
        <w:t xml:space="preserve">En el ámbito de las medidas de protección para las mujeres trabajadoras, el Código </w:t>
      </w:r>
      <w:r w:rsidR="00D0299D" w:rsidRPr="00F35716">
        <w:t>Laboral</w:t>
      </w:r>
      <w:r w:rsidRPr="00F35716">
        <w:t xml:space="preserve">: </w:t>
      </w:r>
    </w:p>
    <w:p w14:paraId="32E943D6" w14:textId="75B0086A" w:rsidR="00EC3C86" w:rsidRPr="00F35716" w:rsidRDefault="00EF27DB" w:rsidP="00EF27DB">
      <w:pPr>
        <w:pStyle w:val="SingleTxt"/>
        <w:tabs>
          <w:tab w:val="right" w:pos="1685"/>
        </w:tabs>
        <w:ind w:left="1742" w:hanging="475"/>
      </w:pPr>
      <w:r w:rsidRPr="00F35716">
        <w:tab/>
        <w:t>–</w:t>
      </w:r>
      <w:r w:rsidRPr="00F35716">
        <w:tab/>
      </w:r>
      <w:r w:rsidR="00D0299D" w:rsidRPr="00F35716">
        <w:t>Prohíbe</w:t>
      </w:r>
      <w:r w:rsidR="00EC3C86" w:rsidRPr="00F35716">
        <w:t xml:space="preserve"> la discriminación </w:t>
      </w:r>
      <w:r w:rsidR="00D0299D" w:rsidRPr="00F35716">
        <w:t>por razón de</w:t>
      </w:r>
      <w:r w:rsidR="00EC3C86" w:rsidRPr="00F35716">
        <w:t xml:space="preserve"> sexo en el trabajo</w:t>
      </w:r>
      <w:r w:rsidR="00D0299D" w:rsidRPr="00F35716">
        <w:t>. Afirma</w:t>
      </w:r>
      <w:r w:rsidR="00EC3C86" w:rsidRPr="00F35716">
        <w:t xml:space="preserve"> el derecho de las mujeres a afiliarse a un sindicato y participar en su gestión (artículo 9). El artículo 12 </w:t>
      </w:r>
      <w:r w:rsidR="00D0299D" w:rsidRPr="00F35716">
        <w:t>prevé</w:t>
      </w:r>
      <w:r w:rsidR="00EC3C86" w:rsidRPr="00F35716">
        <w:t xml:space="preserve"> una multa de 15.000 a 30.000 dírhams en caso de que se incumpla esta </w:t>
      </w:r>
      <w:r w:rsidR="00D0299D" w:rsidRPr="00F35716">
        <w:t>disposición</w:t>
      </w:r>
      <w:r w:rsidR="00EC3C86" w:rsidRPr="00F35716">
        <w:t>.</w:t>
      </w:r>
    </w:p>
    <w:p w14:paraId="32E943D7" w14:textId="333530FC" w:rsidR="00EC3C86" w:rsidRPr="00F35716" w:rsidRDefault="00EF27DB" w:rsidP="00EF27DB">
      <w:pPr>
        <w:pStyle w:val="SingleTxt"/>
        <w:tabs>
          <w:tab w:val="right" w:pos="1685"/>
        </w:tabs>
        <w:ind w:left="1742" w:hanging="475"/>
      </w:pPr>
      <w:r w:rsidRPr="00F35716">
        <w:tab/>
        <w:t>–</w:t>
      </w:r>
      <w:r w:rsidRPr="00F35716">
        <w:tab/>
      </w:r>
      <w:r w:rsidR="00D0299D" w:rsidRPr="00F35716">
        <w:t>Prohíbe</w:t>
      </w:r>
      <w:r w:rsidR="00EC3C86" w:rsidRPr="00F35716">
        <w:t xml:space="preserve"> la discriminación salarial si el trabajo es de igual valor (artículo 346), el acoso sexual y la contrata</w:t>
      </w:r>
      <w:r w:rsidR="00D0299D" w:rsidRPr="00F35716">
        <w:t>ción de</w:t>
      </w:r>
      <w:r w:rsidR="00EC3C86" w:rsidRPr="00F35716">
        <w:t xml:space="preserve"> mujeres para trabajos peligrosos (artículo</w:t>
      </w:r>
      <w:r w:rsidR="00075FA3">
        <w:t> </w:t>
      </w:r>
      <w:r w:rsidR="00EC3C86" w:rsidRPr="00F35716">
        <w:t>181).</w:t>
      </w:r>
    </w:p>
    <w:p w14:paraId="32E943D8" w14:textId="77777777" w:rsidR="00BB0232" w:rsidRPr="00F35716" w:rsidRDefault="00BB0232">
      <w:pPr>
        <w:suppressAutoHyphens w:val="0"/>
        <w:spacing w:line="240" w:lineRule="auto"/>
        <w:rPr>
          <w:kern w:val="14"/>
        </w:rPr>
      </w:pPr>
      <w:r w:rsidRPr="00F35716">
        <w:br w:type="page"/>
      </w:r>
    </w:p>
    <w:p w14:paraId="32E943D9" w14:textId="1C87D13A" w:rsidR="00EC3C86" w:rsidRPr="00F35716" w:rsidRDefault="00EF27DB" w:rsidP="00EF27DB">
      <w:pPr>
        <w:pStyle w:val="SingleTxt"/>
        <w:tabs>
          <w:tab w:val="right" w:pos="1685"/>
        </w:tabs>
        <w:ind w:left="1742" w:hanging="475"/>
      </w:pPr>
      <w:r w:rsidRPr="00F35716">
        <w:lastRenderedPageBreak/>
        <w:tab/>
        <w:t>–</w:t>
      </w:r>
      <w:r w:rsidRPr="00F35716">
        <w:tab/>
      </w:r>
      <w:r w:rsidR="00CE3446" w:rsidRPr="00F35716">
        <w:t>Garantiza</w:t>
      </w:r>
      <w:r w:rsidR="006250FF" w:rsidRPr="00F35716">
        <w:t xml:space="preserve"> la </w:t>
      </w:r>
      <w:r w:rsidR="00EC3C86" w:rsidRPr="00F35716">
        <w:t>protección de la</w:t>
      </w:r>
      <w:r w:rsidR="006250FF" w:rsidRPr="00F35716">
        <w:t>s</w:t>
      </w:r>
      <w:r w:rsidR="00EC3C86" w:rsidRPr="00F35716">
        <w:t xml:space="preserve"> mujer</w:t>
      </w:r>
      <w:r w:rsidR="006250FF" w:rsidRPr="00F35716">
        <w:t>es</w:t>
      </w:r>
      <w:r w:rsidR="00EC3C86" w:rsidRPr="00F35716">
        <w:t xml:space="preserve"> durante el trabajo nocturno (artículo 172).</w:t>
      </w:r>
    </w:p>
    <w:p w14:paraId="32E943DA" w14:textId="3EC2AC71" w:rsidR="00EC3C86" w:rsidRPr="00F35716" w:rsidRDefault="00EF27DB" w:rsidP="00EF27DB">
      <w:pPr>
        <w:pStyle w:val="SingleTxt"/>
        <w:tabs>
          <w:tab w:val="right" w:pos="1685"/>
        </w:tabs>
        <w:ind w:left="1742" w:hanging="475"/>
      </w:pPr>
      <w:r w:rsidRPr="00F35716">
        <w:tab/>
        <w:t>–</w:t>
      </w:r>
      <w:r w:rsidRPr="00F35716">
        <w:tab/>
      </w:r>
      <w:r w:rsidR="00EC3C86" w:rsidRPr="00F35716">
        <w:t>E</w:t>
      </w:r>
      <w:r w:rsidR="006250FF" w:rsidRPr="00F35716">
        <w:t>stablece e</w:t>
      </w:r>
      <w:r w:rsidR="00EC3C86" w:rsidRPr="00F35716">
        <w:t xml:space="preserve">l derecho de una mujer embarazada a suspender un contrato laboral y extender </w:t>
      </w:r>
      <w:r w:rsidR="006250FF" w:rsidRPr="00F35716">
        <w:t>la licencia</w:t>
      </w:r>
      <w:r w:rsidR="00EC3C86" w:rsidRPr="00F35716">
        <w:t xml:space="preserve"> hasta 22 semanas en caso de enfermedad derivada del embarazo o el parto (artículo 154)</w:t>
      </w:r>
      <w:r w:rsidR="006250FF" w:rsidRPr="00F35716">
        <w:t xml:space="preserve"> y permite</w:t>
      </w:r>
      <w:r w:rsidR="00EC3C86" w:rsidRPr="00F35716">
        <w:t xml:space="preserve"> que una mujer embarazada deje su trabajo sin notificación previa (artículo 158)</w:t>
      </w:r>
      <w:r w:rsidR="006250FF" w:rsidRPr="00F35716">
        <w:t xml:space="preserve">. Asimismo, otorga a las madres trabajadoras el </w:t>
      </w:r>
      <w:r w:rsidR="00EC3C86" w:rsidRPr="00F35716">
        <w:t xml:space="preserve">derecho a disfrutar de </w:t>
      </w:r>
      <w:r w:rsidR="006250FF" w:rsidRPr="00F35716">
        <w:t>pausas</w:t>
      </w:r>
      <w:r w:rsidR="00EC3C86" w:rsidRPr="00F35716">
        <w:t xml:space="preserve"> d</w:t>
      </w:r>
      <w:r w:rsidR="006250FF" w:rsidRPr="00F35716">
        <w:t>e</w:t>
      </w:r>
      <w:r w:rsidR="00EC3C86" w:rsidRPr="00F35716">
        <w:t xml:space="preserve"> media hora por la mañana y media hora por la tarde para la lactancia materna (artículo 161).</w:t>
      </w:r>
    </w:p>
    <w:p w14:paraId="32E943DB" w14:textId="5B673900" w:rsidR="00EC3C86" w:rsidRPr="00F35716" w:rsidRDefault="00EC3C86" w:rsidP="00B3192A">
      <w:pPr>
        <w:pStyle w:val="SingleTxt"/>
        <w:numPr>
          <w:ilvl w:val="0"/>
          <w:numId w:val="8"/>
        </w:numPr>
        <w:ind w:left="1267" w:firstLine="0"/>
      </w:pPr>
      <w:r w:rsidRPr="00F35716">
        <w:t>La Ley núm. 19</w:t>
      </w:r>
      <w:r w:rsidR="006250FF" w:rsidRPr="00F35716">
        <w:t>-12</w:t>
      </w:r>
      <w:r w:rsidRPr="00F35716">
        <w:t>, que especifica las condiciones de trabajo y empleo relacionadas con los trabajadores y trabajadoras domésticos (agosto de 2016), incluy</w:t>
      </w:r>
      <w:r w:rsidR="006250FF" w:rsidRPr="00F35716">
        <w:t>e</w:t>
      </w:r>
      <w:r w:rsidRPr="00F35716">
        <w:t xml:space="preserve"> </w:t>
      </w:r>
      <w:r w:rsidR="006250FF" w:rsidRPr="00F35716">
        <w:t xml:space="preserve">numerosas </w:t>
      </w:r>
      <w:r w:rsidRPr="00F35716">
        <w:t xml:space="preserve">disposiciones que garantizan la protección jurídica necesaria para esta categoría de </w:t>
      </w:r>
      <w:r w:rsidR="006250FF" w:rsidRPr="00F35716">
        <w:t>trabajadores</w:t>
      </w:r>
      <w:r w:rsidRPr="00F35716">
        <w:t xml:space="preserve">. </w:t>
      </w:r>
      <w:r w:rsidR="006250FF" w:rsidRPr="00F35716">
        <w:t>D</w:t>
      </w:r>
      <w:r w:rsidRPr="00F35716">
        <w:t xml:space="preserve">efine qué es el trabajo doméstico y las labores conexas, </w:t>
      </w:r>
      <w:r w:rsidR="006250FF" w:rsidRPr="00F35716">
        <w:t xml:space="preserve">y especifica la categoría de </w:t>
      </w:r>
      <w:r w:rsidR="00706BAD" w:rsidRPr="00F35716">
        <w:t>trabajadores cubiertos por la ley</w:t>
      </w:r>
      <w:r w:rsidRPr="00F35716">
        <w:t>,</w:t>
      </w:r>
      <w:r w:rsidR="00706BAD" w:rsidRPr="00F35716">
        <w:t xml:space="preserve"> así como</w:t>
      </w:r>
      <w:r w:rsidRPr="00F35716">
        <w:t xml:space="preserve"> la edad de empleo y trabajo legalmente prohibidos a menores</w:t>
      </w:r>
      <w:r w:rsidR="00706BAD" w:rsidRPr="00F35716">
        <w:t xml:space="preserve">. Se refiere a la formulación </w:t>
      </w:r>
      <w:r w:rsidRPr="00F35716">
        <w:t>de las disposiciones de los contratos de trabajo</w:t>
      </w:r>
      <w:r w:rsidR="00940E3B" w:rsidRPr="00F35716">
        <w:t> </w:t>
      </w:r>
      <w:r w:rsidRPr="00F35716">
        <w:t>para trabajadores y trabajadoras domésticos. Establece además los derechos de este tipo de trabajadores, entre los que destacan los relativos al descanso semanal, y el derecho a vacaciones, sueldo e indemnización</w:t>
      </w:r>
      <w:r w:rsidRPr="00F35716">
        <w:rPr>
          <w:vertAlign w:val="superscript"/>
        </w:rPr>
        <w:footnoteReference w:id="78"/>
      </w:r>
      <w:r w:rsidRPr="00F35716">
        <w:t xml:space="preserve">. </w:t>
      </w:r>
      <w:r w:rsidR="00706BAD" w:rsidRPr="00F35716">
        <w:t xml:space="preserve">Los </w:t>
      </w:r>
      <w:r w:rsidRPr="00F35716">
        <w:t>inspector</w:t>
      </w:r>
      <w:r w:rsidR="00706BAD" w:rsidRPr="00F35716">
        <w:t>es</w:t>
      </w:r>
      <w:r w:rsidRPr="00F35716">
        <w:t xml:space="preserve"> del trabajo ejerce</w:t>
      </w:r>
      <w:r w:rsidR="00706BAD" w:rsidRPr="00F35716">
        <w:t>n</w:t>
      </w:r>
      <w:r w:rsidRPr="00F35716">
        <w:t xml:space="preserve"> funciones de supervisión, que incluyen determinar las sanciones y delitos establecidos en los artículos 23 a 25, referentes a las personas que emplean trabajadores domésticos, que están sujetas a sanciones en caso de que no cumplan las condiciones laborales establecidas en el artículo 3 de la Ley. </w:t>
      </w:r>
    </w:p>
    <w:p w14:paraId="32E943DC" w14:textId="22029AC1" w:rsidR="00EC3C86" w:rsidRPr="00F35716" w:rsidRDefault="00EC3C86" w:rsidP="00B3192A">
      <w:pPr>
        <w:pStyle w:val="SingleTxt"/>
        <w:numPr>
          <w:ilvl w:val="0"/>
          <w:numId w:val="8"/>
        </w:numPr>
        <w:ind w:left="1267" w:firstLine="0"/>
      </w:pPr>
      <w:r w:rsidRPr="00F35716">
        <w:t xml:space="preserve">Con respecto a la seguridad social, en abril de 2015 los trabajadores pudieron empezar a cobrar el subsidio por pérdida de empleo que se aprobó en 2014. Desde que el sistema entró en vigor hasta finales de 2017, </w:t>
      </w:r>
      <w:r w:rsidR="007922AE" w:rsidRPr="00F35716">
        <w:t xml:space="preserve">unas </w:t>
      </w:r>
      <w:r w:rsidRPr="00F35716">
        <w:t>31.905 personas han percibido este subsidio, con casi un 20</w:t>
      </w:r>
      <w:r w:rsidR="0006736D" w:rsidRPr="00F35716">
        <w:t> %</w:t>
      </w:r>
      <w:r w:rsidRPr="00F35716">
        <w:t xml:space="preserve"> de mujeres beneficiarias.</w:t>
      </w:r>
    </w:p>
    <w:p w14:paraId="32E943DD" w14:textId="77777777" w:rsidR="00EC3C86" w:rsidRPr="00F35716" w:rsidRDefault="00EC3C86" w:rsidP="00B3192A">
      <w:pPr>
        <w:pStyle w:val="SingleTxt"/>
        <w:numPr>
          <w:ilvl w:val="0"/>
          <w:numId w:val="8"/>
        </w:numPr>
        <w:ind w:left="1267" w:firstLine="0"/>
      </w:pPr>
      <w:r w:rsidRPr="00F35716">
        <w:t>El Gobierno ha adoptado las siguientes medidas:</w:t>
      </w:r>
    </w:p>
    <w:p w14:paraId="32E943DE" w14:textId="5B6CCE0A" w:rsidR="00EC3C86" w:rsidRPr="00F35716" w:rsidRDefault="00EF27DB" w:rsidP="00EF27DB">
      <w:pPr>
        <w:pStyle w:val="SingleTxt"/>
        <w:tabs>
          <w:tab w:val="right" w:pos="1685"/>
        </w:tabs>
        <w:ind w:left="1742" w:hanging="475"/>
      </w:pPr>
      <w:r w:rsidRPr="00F35716">
        <w:tab/>
        <w:t>–</w:t>
      </w:r>
      <w:r w:rsidRPr="00F35716">
        <w:tab/>
      </w:r>
      <w:r w:rsidR="00EC3C86" w:rsidRPr="00F35716">
        <w:t xml:space="preserve">Los </w:t>
      </w:r>
      <w:r w:rsidR="00453AD8" w:rsidRPr="00F35716">
        <w:t xml:space="preserve">asalariados </w:t>
      </w:r>
      <w:r w:rsidR="00EC3C86" w:rsidRPr="00F35716">
        <w:t xml:space="preserve">que trabajan en </w:t>
      </w:r>
      <w:r w:rsidR="00453AD8" w:rsidRPr="00F35716">
        <w:t>las industrias</w:t>
      </w:r>
      <w:r w:rsidR="00EC3C86" w:rsidRPr="00F35716">
        <w:t xml:space="preserve"> agrícola y forestal y </w:t>
      </w:r>
      <w:r w:rsidR="00453AD8" w:rsidRPr="00F35716">
        <w:t>empresas adheridas</w:t>
      </w:r>
      <w:r w:rsidR="00EC3C86" w:rsidRPr="00F35716">
        <w:t xml:space="preserve"> pueden percibir subsidios familiares</w:t>
      </w:r>
      <w:r w:rsidR="00EC3C86" w:rsidRPr="00F35716">
        <w:rPr>
          <w:vertAlign w:val="superscript"/>
        </w:rPr>
        <w:footnoteReference w:id="79"/>
      </w:r>
      <w:r w:rsidR="00EC3C86" w:rsidRPr="00F35716">
        <w:t>.</w:t>
      </w:r>
    </w:p>
    <w:p w14:paraId="32E943DF" w14:textId="46EEBE82" w:rsidR="00EC3C86" w:rsidRPr="00F35716" w:rsidRDefault="00EF27DB" w:rsidP="00EF27DB">
      <w:pPr>
        <w:pStyle w:val="SingleTxt"/>
        <w:tabs>
          <w:tab w:val="right" w:pos="1685"/>
        </w:tabs>
        <w:ind w:left="1742" w:hanging="475"/>
      </w:pPr>
      <w:r w:rsidRPr="00F35716">
        <w:tab/>
        <w:t>–</w:t>
      </w:r>
      <w:r w:rsidRPr="00F35716">
        <w:tab/>
      </w:r>
      <w:r w:rsidR="00EC3C86" w:rsidRPr="00F35716">
        <w:t xml:space="preserve">A partir de julio de 2011 aumentó la pensión mínima pagada por la Caja Nacional de </w:t>
      </w:r>
      <w:r w:rsidR="00074685" w:rsidRPr="00F35716">
        <w:t xml:space="preserve">la </w:t>
      </w:r>
      <w:r w:rsidR="00EC3C86" w:rsidRPr="00F35716">
        <w:t>Seguridad Social, de 600 a 1.000 dírhams al mes</w:t>
      </w:r>
      <w:r w:rsidR="00EC3C86" w:rsidRPr="00F35716">
        <w:rPr>
          <w:vertAlign w:val="superscript"/>
        </w:rPr>
        <w:footnoteReference w:id="80"/>
      </w:r>
      <w:r w:rsidR="00EC3C86" w:rsidRPr="00F35716">
        <w:t xml:space="preserve">. </w:t>
      </w:r>
    </w:p>
    <w:p w14:paraId="32E943E0" w14:textId="77777777" w:rsidR="00EC3C86" w:rsidRPr="00F35716" w:rsidRDefault="00EF27DB" w:rsidP="00EF27DB">
      <w:pPr>
        <w:pStyle w:val="SingleTxt"/>
        <w:tabs>
          <w:tab w:val="right" w:pos="1685"/>
        </w:tabs>
        <w:ind w:left="1742" w:hanging="475"/>
      </w:pPr>
      <w:r w:rsidRPr="00F35716">
        <w:tab/>
        <w:t>–</w:t>
      </w:r>
      <w:r w:rsidRPr="00F35716">
        <w:tab/>
      </w:r>
      <w:r w:rsidR="00EC3C86" w:rsidRPr="00F35716">
        <w:t>Las viudas y los huérfanos pueden seguir disfrutando de la cobertura básica de salud de la Caja Nacional de la Seguridad Social, independientemente del monto de la pensión del asegurado fallecido</w:t>
      </w:r>
      <w:r w:rsidR="00EC3C86" w:rsidRPr="00F35716">
        <w:rPr>
          <w:vertAlign w:val="superscript"/>
        </w:rPr>
        <w:footnoteReference w:id="81"/>
      </w:r>
      <w:r w:rsidR="00EC3C86" w:rsidRPr="00F35716">
        <w:t>.</w:t>
      </w:r>
    </w:p>
    <w:p w14:paraId="32E943E1" w14:textId="77777777" w:rsidR="00EC3C86" w:rsidRPr="00F35716" w:rsidRDefault="00EF27DB" w:rsidP="00EF27DB">
      <w:pPr>
        <w:pStyle w:val="SingleTxt"/>
        <w:tabs>
          <w:tab w:val="right" w:pos="1685"/>
        </w:tabs>
        <w:ind w:left="1742" w:hanging="475"/>
      </w:pPr>
      <w:r w:rsidRPr="00F35716">
        <w:tab/>
        <w:t>–</w:t>
      </w:r>
      <w:r w:rsidRPr="00F35716">
        <w:tab/>
      </w:r>
      <w:r w:rsidR="00EC3C86" w:rsidRPr="00F35716">
        <w:t>A partir del curso escolar 2015-2016 se amplió la cobertura básica de salud para estudiantes de educación superior.</w:t>
      </w:r>
    </w:p>
    <w:p w14:paraId="32E943E2" w14:textId="782930E4" w:rsidR="00EC3C86" w:rsidRPr="00F35716" w:rsidRDefault="00EF27DB" w:rsidP="00EF27DB">
      <w:pPr>
        <w:pStyle w:val="SingleTxt"/>
        <w:tabs>
          <w:tab w:val="right" w:pos="1685"/>
        </w:tabs>
        <w:ind w:left="1742" w:hanging="475"/>
      </w:pPr>
      <w:r w:rsidRPr="00F35716">
        <w:tab/>
        <w:t>–</w:t>
      </w:r>
      <w:r w:rsidRPr="00F35716">
        <w:tab/>
      </w:r>
      <w:r w:rsidR="00EC3C86" w:rsidRPr="00F35716">
        <w:t>Completó los textos legislativos y reglamentarios relacionados con el marco general a fin de crear planes obligatorios de seguro de enfermedad y de jubilación para profesionales</w:t>
      </w:r>
      <w:r w:rsidR="00074685" w:rsidRPr="00F35716">
        <w:t xml:space="preserve"> independientes</w:t>
      </w:r>
      <w:r w:rsidR="00EC3C86" w:rsidRPr="00F35716">
        <w:t>, trabajadores por cuenta ajena y personas no asalariadas que ejercen una actividad privada.</w:t>
      </w:r>
    </w:p>
    <w:p w14:paraId="32E943E3" w14:textId="44B4B34D" w:rsidR="00EC3C86" w:rsidRPr="00F35716" w:rsidRDefault="00EF27DB" w:rsidP="00EF27DB">
      <w:pPr>
        <w:pStyle w:val="SingleTxt"/>
        <w:tabs>
          <w:tab w:val="right" w:pos="1685"/>
        </w:tabs>
        <w:ind w:left="1742" w:hanging="475"/>
      </w:pPr>
      <w:r w:rsidRPr="00F35716">
        <w:tab/>
        <w:t>–</w:t>
      </w:r>
      <w:r w:rsidRPr="00F35716">
        <w:tab/>
      </w:r>
      <w:r w:rsidR="00EC3C86" w:rsidRPr="00F35716">
        <w:t xml:space="preserve">Estableció un subsidio diario </w:t>
      </w:r>
      <w:r w:rsidR="00074685" w:rsidRPr="00F35716">
        <w:t xml:space="preserve">de maternidad </w:t>
      </w:r>
      <w:r w:rsidR="00EC3C86" w:rsidRPr="00F35716">
        <w:t xml:space="preserve">de 14 semanas. </w:t>
      </w:r>
    </w:p>
    <w:p w14:paraId="32E943E4" w14:textId="41B2A6E7" w:rsidR="00EC3C86" w:rsidRPr="00F35716" w:rsidRDefault="00EC3C86" w:rsidP="00075FA3">
      <w:pPr>
        <w:pStyle w:val="SingleTxt"/>
        <w:numPr>
          <w:ilvl w:val="0"/>
          <w:numId w:val="8"/>
        </w:numPr>
        <w:ind w:left="1267" w:firstLine="0"/>
      </w:pPr>
      <w:r w:rsidRPr="00F35716">
        <w:t xml:space="preserve">El sector laboral, en el marco del Plan Gubernamental para la Igualdad (2017-2021), </w:t>
      </w:r>
      <w:r w:rsidR="004152CD" w:rsidRPr="00F35716">
        <w:t xml:space="preserve">ha aplicado </w:t>
      </w:r>
      <w:r w:rsidRPr="00F35716">
        <w:t>medidas relacionadas con la lucha contra todas las formas de discriminación y violencia contra las mujeres</w:t>
      </w:r>
      <w:r w:rsidR="004152CD" w:rsidRPr="00F35716">
        <w:t>. Ha promovido</w:t>
      </w:r>
      <w:r w:rsidRPr="00F35716">
        <w:t xml:space="preserve"> la igualdad de oportunidades en el mercado laboral al dirigir una circular ministerial a todas las direcciones regionales de empleo y la integración profesional</w:t>
      </w:r>
      <w:r w:rsidR="004152CD" w:rsidRPr="00F35716">
        <w:t>, de manera que los inspectores del trabajo,</w:t>
      </w:r>
      <w:r w:rsidRPr="00F35716">
        <w:t xml:space="preserve"> durante las visitas</w:t>
      </w:r>
      <w:r w:rsidR="004152CD" w:rsidRPr="00F35716">
        <w:t xml:space="preserve"> de inspección,</w:t>
      </w:r>
      <w:r w:rsidRPr="00F35716">
        <w:t xml:space="preserve"> </w:t>
      </w:r>
      <w:r w:rsidR="004152CD" w:rsidRPr="00F35716">
        <w:t xml:space="preserve">presten especial atención al </w:t>
      </w:r>
      <w:r w:rsidR="004152CD" w:rsidRPr="00F35716">
        <w:lastRenderedPageBreak/>
        <w:t>cumplimiento de</w:t>
      </w:r>
      <w:r w:rsidRPr="00F35716">
        <w:t xml:space="preserve"> las disposiciones legislativas y reglamentarias rela</w:t>
      </w:r>
      <w:r w:rsidR="004152CD" w:rsidRPr="00F35716">
        <w:t>tivas a</w:t>
      </w:r>
      <w:r w:rsidRPr="00F35716">
        <w:t xml:space="preserve"> los derechos de las mujeres en el trabajo</w:t>
      </w:r>
      <w:r w:rsidR="004152CD" w:rsidRPr="00F35716">
        <w:t>. Ha trabajado para</w:t>
      </w:r>
      <w:r w:rsidRPr="00F35716">
        <w:t xml:space="preserve"> crear una base de datos </w:t>
      </w:r>
      <w:r w:rsidR="004152CD" w:rsidRPr="00F35716">
        <w:t xml:space="preserve">a ese respecto </w:t>
      </w:r>
      <w:r w:rsidRPr="00F35716">
        <w:t>y usarla en beneficio</w:t>
      </w:r>
      <w:r w:rsidR="002919E9" w:rsidRPr="00F35716">
        <w:t> </w:t>
      </w:r>
      <w:r w:rsidRPr="00F35716">
        <w:t>de</w:t>
      </w:r>
      <w:r w:rsidR="00940E3B" w:rsidRPr="00F35716">
        <w:t> </w:t>
      </w:r>
      <w:r w:rsidRPr="00F35716">
        <w:t xml:space="preserve">las mujeres </w:t>
      </w:r>
      <w:r w:rsidR="004152CD" w:rsidRPr="00F35716">
        <w:t>trabajadoras. Asimismo,</w:t>
      </w:r>
      <w:r w:rsidRPr="00F35716">
        <w:t xml:space="preserve"> elabora informes periódicos de</w:t>
      </w:r>
      <w:r w:rsidR="002919E9" w:rsidRPr="00F35716">
        <w:t> </w:t>
      </w:r>
      <w:r w:rsidRPr="00F35716">
        <w:t>evaluación</w:t>
      </w:r>
      <w:r w:rsidR="00940E3B" w:rsidRPr="00F35716">
        <w:t> </w:t>
      </w:r>
      <w:r w:rsidR="004152CD" w:rsidRPr="00F35716">
        <w:t>para</w:t>
      </w:r>
      <w:r w:rsidR="00667E1A" w:rsidRPr="00F35716">
        <w:t xml:space="preserve"> vigilar</w:t>
      </w:r>
      <w:r w:rsidR="004152CD" w:rsidRPr="00F35716">
        <w:t xml:space="preserve"> </w:t>
      </w:r>
      <w:r w:rsidRPr="00F35716">
        <w:t>el cumplimiento de las</w:t>
      </w:r>
      <w:r w:rsidR="002919E9" w:rsidRPr="00F35716">
        <w:t> </w:t>
      </w:r>
      <w:r w:rsidRPr="00F35716">
        <w:t xml:space="preserve">disposiciones </w:t>
      </w:r>
      <w:r w:rsidR="004152CD" w:rsidRPr="00F35716">
        <w:t>jurídicas</w:t>
      </w:r>
      <w:r w:rsidRPr="00F35716">
        <w:t xml:space="preserve"> rela</w:t>
      </w:r>
      <w:r w:rsidR="004152CD" w:rsidRPr="00F35716">
        <w:t>tivas a</w:t>
      </w:r>
      <w:r w:rsidRPr="00F35716">
        <w:t xml:space="preserve"> la igualdad y la lucha contra la discriminación en el trabajo.</w:t>
      </w:r>
    </w:p>
    <w:p w14:paraId="32E943E5" w14:textId="77777777" w:rsidR="008B1012" w:rsidRPr="00F35716" w:rsidRDefault="008B1012" w:rsidP="008B1012">
      <w:pPr>
        <w:pStyle w:val="SingleTxt"/>
        <w:spacing w:after="0" w:line="120" w:lineRule="exact"/>
        <w:rPr>
          <w:sz w:val="10"/>
          <w:szCs w:val="20"/>
        </w:rPr>
      </w:pPr>
    </w:p>
    <w:p w14:paraId="32E943E6" w14:textId="77777777" w:rsidR="00EC3C86" w:rsidRPr="00F35716" w:rsidRDefault="00EC3C86" w:rsidP="002D14B3">
      <w:pPr>
        <w:pStyle w:val="H23"/>
        <w:tabs>
          <w:tab w:val="left" w:pos="1742"/>
          <w:tab w:val="left" w:pos="2218"/>
          <w:tab w:val="left" w:pos="2693"/>
          <w:tab w:val="left" w:pos="3182"/>
          <w:tab w:val="left" w:pos="3658"/>
          <w:tab w:val="left" w:pos="4133"/>
          <w:tab w:val="left" w:pos="4622"/>
          <w:tab w:val="left" w:pos="5098"/>
          <w:tab w:val="left" w:pos="5573"/>
          <w:tab w:val="left" w:pos="6048"/>
        </w:tabs>
        <w:ind w:left="0" w:firstLine="0"/>
        <w:rPr>
          <w:bCs w:val="0"/>
          <w:szCs w:val="20"/>
        </w:rPr>
      </w:pPr>
      <w:r w:rsidRPr="00F35716">
        <w:rPr>
          <w:b w:val="0"/>
          <w:bCs w:val="0"/>
          <w:szCs w:val="20"/>
        </w:rPr>
        <w:t xml:space="preserve">Tabla 8: </w:t>
      </w:r>
      <w:r w:rsidR="00735173" w:rsidRPr="00F35716">
        <w:rPr>
          <w:bCs w:val="0"/>
          <w:szCs w:val="20"/>
        </w:rPr>
        <w:br/>
      </w:r>
      <w:r w:rsidRPr="00F35716">
        <w:rPr>
          <w:bCs w:val="0"/>
          <w:szCs w:val="20"/>
        </w:rPr>
        <w:t>Número de visitas de inspección</w:t>
      </w:r>
    </w:p>
    <w:p w14:paraId="32E943E7" w14:textId="77777777" w:rsidR="000C10BF" w:rsidRPr="00F35716" w:rsidRDefault="000C10BF" w:rsidP="008B1012">
      <w:pPr>
        <w:pStyle w:val="SingleTxt"/>
        <w:spacing w:after="0" w:line="120" w:lineRule="exact"/>
        <w:rPr>
          <w:sz w:val="10"/>
          <w:szCs w:val="20"/>
        </w:rPr>
      </w:pPr>
    </w:p>
    <w:tbl>
      <w:tblPr>
        <w:tblW w:w="4962" w:type="pct"/>
        <w:tblCellMar>
          <w:left w:w="0" w:type="dxa"/>
          <w:right w:w="43" w:type="dxa"/>
        </w:tblCellMar>
        <w:tblLook w:val="04A0" w:firstRow="1" w:lastRow="0" w:firstColumn="1" w:lastColumn="0" w:noHBand="0" w:noVBand="1"/>
      </w:tblPr>
      <w:tblGrid>
        <w:gridCol w:w="5493"/>
        <w:gridCol w:w="854"/>
        <w:gridCol w:w="858"/>
        <w:gridCol w:w="858"/>
        <w:gridCol w:w="858"/>
        <w:gridCol w:w="854"/>
      </w:tblGrid>
      <w:tr w:rsidR="00D446BE" w:rsidRPr="00F35716" w14:paraId="32E943EE" w14:textId="77777777" w:rsidTr="00D446BE">
        <w:trPr>
          <w:trHeight w:val="328"/>
          <w:tblHeader/>
        </w:trPr>
        <w:tc>
          <w:tcPr>
            <w:tcW w:w="2809" w:type="pct"/>
            <w:tcBorders>
              <w:top w:val="single" w:sz="4" w:space="0" w:color="auto"/>
              <w:bottom w:val="single" w:sz="12" w:space="0" w:color="auto"/>
            </w:tcBorders>
            <w:vAlign w:val="bottom"/>
          </w:tcPr>
          <w:p w14:paraId="32E943E8" w14:textId="77777777" w:rsidR="00D446BE" w:rsidRPr="00F35716" w:rsidRDefault="00D446BE"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r w:rsidRPr="00F35716">
              <w:rPr>
                <w:i/>
                <w:iCs/>
                <w:kern w:val="0"/>
                <w:sz w:val="14"/>
                <w:szCs w:val="14"/>
              </w:rPr>
              <w:t>Número</w:t>
            </w:r>
          </w:p>
        </w:tc>
        <w:tc>
          <w:tcPr>
            <w:tcW w:w="437" w:type="pct"/>
            <w:tcBorders>
              <w:top w:val="single" w:sz="4" w:space="0" w:color="auto"/>
              <w:bottom w:val="single" w:sz="12" w:space="0" w:color="auto"/>
            </w:tcBorders>
            <w:vAlign w:val="bottom"/>
          </w:tcPr>
          <w:p w14:paraId="32E943E9" w14:textId="77777777" w:rsidR="00D446BE" w:rsidRPr="00F35716" w:rsidRDefault="00D446BE"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2014</w:t>
            </w:r>
          </w:p>
        </w:tc>
        <w:tc>
          <w:tcPr>
            <w:tcW w:w="439" w:type="pct"/>
            <w:tcBorders>
              <w:top w:val="single" w:sz="4" w:space="0" w:color="auto"/>
              <w:bottom w:val="single" w:sz="12" w:space="0" w:color="auto"/>
            </w:tcBorders>
            <w:vAlign w:val="bottom"/>
          </w:tcPr>
          <w:p w14:paraId="32E943EA" w14:textId="77777777" w:rsidR="00D446BE" w:rsidRPr="00F35716" w:rsidRDefault="00D446BE"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2015</w:t>
            </w:r>
          </w:p>
        </w:tc>
        <w:tc>
          <w:tcPr>
            <w:tcW w:w="439" w:type="pct"/>
            <w:tcBorders>
              <w:top w:val="single" w:sz="4" w:space="0" w:color="auto"/>
              <w:bottom w:val="single" w:sz="12" w:space="0" w:color="auto"/>
            </w:tcBorders>
            <w:vAlign w:val="bottom"/>
          </w:tcPr>
          <w:p w14:paraId="32E943EB" w14:textId="77777777" w:rsidR="00D446BE" w:rsidRPr="00F35716" w:rsidRDefault="00D446BE"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2016</w:t>
            </w:r>
          </w:p>
        </w:tc>
        <w:tc>
          <w:tcPr>
            <w:tcW w:w="439" w:type="pct"/>
            <w:tcBorders>
              <w:top w:val="single" w:sz="4" w:space="0" w:color="auto"/>
              <w:bottom w:val="single" w:sz="12" w:space="0" w:color="auto"/>
            </w:tcBorders>
            <w:vAlign w:val="bottom"/>
          </w:tcPr>
          <w:p w14:paraId="32E943EC" w14:textId="77777777" w:rsidR="00D446BE" w:rsidRPr="00F35716" w:rsidRDefault="00D446BE"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2017</w:t>
            </w:r>
          </w:p>
        </w:tc>
        <w:tc>
          <w:tcPr>
            <w:tcW w:w="439" w:type="pct"/>
            <w:tcBorders>
              <w:top w:val="single" w:sz="4" w:space="0" w:color="auto"/>
              <w:bottom w:val="single" w:sz="12" w:space="0" w:color="auto"/>
            </w:tcBorders>
            <w:vAlign w:val="bottom"/>
          </w:tcPr>
          <w:p w14:paraId="32E943ED" w14:textId="77777777" w:rsidR="00D446BE" w:rsidRPr="00F35716" w:rsidRDefault="00D446BE"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2018</w:t>
            </w:r>
          </w:p>
        </w:tc>
      </w:tr>
      <w:tr w:rsidR="00D446BE" w:rsidRPr="00F35716" w14:paraId="32E943F5" w14:textId="77777777" w:rsidTr="00D446BE">
        <w:trPr>
          <w:trHeight w:hRule="exact" w:val="115"/>
          <w:tblHeader/>
        </w:trPr>
        <w:tc>
          <w:tcPr>
            <w:tcW w:w="2809" w:type="pct"/>
            <w:tcBorders>
              <w:top w:val="single" w:sz="12" w:space="0" w:color="auto"/>
            </w:tcBorders>
          </w:tcPr>
          <w:p w14:paraId="32E943EF" w14:textId="77777777" w:rsidR="00D446BE" w:rsidRPr="00F35716" w:rsidRDefault="00D446BE"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437" w:type="pct"/>
            <w:tcBorders>
              <w:top w:val="single" w:sz="12" w:space="0" w:color="auto"/>
            </w:tcBorders>
          </w:tcPr>
          <w:p w14:paraId="32E943F0" w14:textId="77777777" w:rsidR="00D446BE" w:rsidRPr="00F35716" w:rsidRDefault="00D446BE"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439" w:type="pct"/>
            <w:tcBorders>
              <w:top w:val="single" w:sz="12" w:space="0" w:color="auto"/>
            </w:tcBorders>
          </w:tcPr>
          <w:p w14:paraId="32E943F1" w14:textId="77777777" w:rsidR="00D446BE" w:rsidRPr="00F35716" w:rsidRDefault="00D446BE"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439" w:type="pct"/>
            <w:tcBorders>
              <w:top w:val="single" w:sz="12" w:space="0" w:color="auto"/>
            </w:tcBorders>
          </w:tcPr>
          <w:p w14:paraId="32E943F2" w14:textId="77777777" w:rsidR="00D446BE" w:rsidRPr="00F35716" w:rsidRDefault="00D446BE"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439" w:type="pct"/>
            <w:tcBorders>
              <w:top w:val="single" w:sz="12" w:space="0" w:color="auto"/>
            </w:tcBorders>
          </w:tcPr>
          <w:p w14:paraId="32E943F3" w14:textId="77777777" w:rsidR="00D446BE" w:rsidRPr="00F35716" w:rsidRDefault="00D446BE"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439" w:type="pct"/>
            <w:tcBorders>
              <w:top w:val="single" w:sz="12" w:space="0" w:color="auto"/>
            </w:tcBorders>
          </w:tcPr>
          <w:p w14:paraId="32E943F4" w14:textId="77777777" w:rsidR="00D446BE" w:rsidRPr="00F35716" w:rsidRDefault="00D446BE"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r>
      <w:tr w:rsidR="00D446BE" w:rsidRPr="00F35716" w14:paraId="32E943FC" w14:textId="77777777" w:rsidTr="00D446BE">
        <w:trPr>
          <w:trHeight w:val="270"/>
        </w:trPr>
        <w:tc>
          <w:tcPr>
            <w:tcW w:w="2809" w:type="pct"/>
          </w:tcPr>
          <w:p w14:paraId="32E943F6" w14:textId="5F86B2AD" w:rsidR="00D446BE" w:rsidRPr="00F35716" w:rsidRDefault="00D446BE" w:rsidP="0014163F">
            <w:pPr>
              <w:spacing w:before="40" w:after="80" w:line="210" w:lineRule="exact"/>
              <w:rPr>
                <w:sz w:val="17"/>
                <w:szCs w:val="17"/>
              </w:rPr>
            </w:pPr>
            <w:r w:rsidRPr="00F35716">
              <w:rPr>
                <w:sz w:val="17"/>
                <w:szCs w:val="17"/>
              </w:rPr>
              <w:t>Total, de visitas anuales de inspecci</w:t>
            </w:r>
            <w:r w:rsidR="00667E1A" w:rsidRPr="00F35716">
              <w:rPr>
                <w:sz w:val="17"/>
                <w:szCs w:val="17"/>
              </w:rPr>
              <w:t>ó</w:t>
            </w:r>
            <w:r w:rsidRPr="00F35716">
              <w:rPr>
                <w:sz w:val="17"/>
                <w:szCs w:val="17"/>
              </w:rPr>
              <w:t>n relacionadas con las condiciones laborales de las mujeres</w:t>
            </w:r>
          </w:p>
        </w:tc>
        <w:tc>
          <w:tcPr>
            <w:tcW w:w="437" w:type="pct"/>
          </w:tcPr>
          <w:p w14:paraId="32E943F7" w14:textId="77777777" w:rsidR="00D446BE" w:rsidRPr="00F35716" w:rsidRDefault="00D446BE" w:rsidP="006F34C8">
            <w:pPr>
              <w:spacing w:before="40" w:after="80" w:line="210" w:lineRule="exact"/>
              <w:jc w:val="right"/>
              <w:rPr>
                <w:sz w:val="17"/>
                <w:szCs w:val="17"/>
              </w:rPr>
            </w:pPr>
            <w:r w:rsidRPr="00F35716">
              <w:rPr>
                <w:sz w:val="17"/>
                <w:szCs w:val="17"/>
              </w:rPr>
              <w:t>12.833</w:t>
            </w:r>
          </w:p>
        </w:tc>
        <w:tc>
          <w:tcPr>
            <w:tcW w:w="439" w:type="pct"/>
          </w:tcPr>
          <w:p w14:paraId="32E943F8" w14:textId="77777777" w:rsidR="00D446BE" w:rsidRPr="00F35716" w:rsidRDefault="00D446BE" w:rsidP="006F34C8">
            <w:pPr>
              <w:spacing w:before="40" w:after="80" w:line="210" w:lineRule="exact"/>
              <w:jc w:val="right"/>
              <w:rPr>
                <w:sz w:val="17"/>
                <w:szCs w:val="17"/>
              </w:rPr>
            </w:pPr>
            <w:r w:rsidRPr="00F35716">
              <w:rPr>
                <w:sz w:val="17"/>
                <w:szCs w:val="17"/>
              </w:rPr>
              <w:t>17.661</w:t>
            </w:r>
          </w:p>
        </w:tc>
        <w:tc>
          <w:tcPr>
            <w:tcW w:w="439" w:type="pct"/>
          </w:tcPr>
          <w:p w14:paraId="32E943F9" w14:textId="77777777" w:rsidR="00D446BE" w:rsidRPr="00F35716" w:rsidRDefault="00D446BE" w:rsidP="006F34C8">
            <w:pPr>
              <w:spacing w:before="40" w:after="80" w:line="210" w:lineRule="exact"/>
              <w:jc w:val="right"/>
              <w:rPr>
                <w:sz w:val="17"/>
                <w:szCs w:val="17"/>
              </w:rPr>
            </w:pPr>
            <w:r w:rsidRPr="00F35716">
              <w:rPr>
                <w:sz w:val="17"/>
                <w:szCs w:val="17"/>
              </w:rPr>
              <w:t>16.762</w:t>
            </w:r>
          </w:p>
        </w:tc>
        <w:tc>
          <w:tcPr>
            <w:tcW w:w="439" w:type="pct"/>
          </w:tcPr>
          <w:p w14:paraId="32E943FA" w14:textId="77777777" w:rsidR="00D446BE" w:rsidRPr="00F35716" w:rsidRDefault="00D446BE" w:rsidP="006F34C8">
            <w:pPr>
              <w:spacing w:before="40" w:after="80" w:line="210" w:lineRule="exact"/>
              <w:jc w:val="right"/>
              <w:rPr>
                <w:sz w:val="17"/>
                <w:szCs w:val="17"/>
              </w:rPr>
            </w:pPr>
            <w:r w:rsidRPr="00F35716">
              <w:rPr>
                <w:sz w:val="17"/>
                <w:szCs w:val="17"/>
              </w:rPr>
              <w:t>19.526</w:t>
            </w:r>
          </w:p>
        </w:tc>
        <w:tc>
          <w:tcPr>
            <w:tcW w:w="439" w:type="pct"/>
          </w:tcPr>
          <w:p w14:paraId="32E943FB" w14:textId="77777777" w:rsidR="00D446BE" w:rsidRPr="00F35716" w:rsidRDefault="00D446BE" w:rsidP="006F34C8">
            <w:pPr>
              <w:spacing w:before="40" w:after="80" w:line="210" w:lineRule="exact"/>
              <w:jc w:val="right"/>
              <w:rPr>
                <w:bCs/>
                <w:sz w:val="17"/>
                <w:szCs w:val="17"/>
              </w:rPr>
            </w:pPr>
            <w:r w:rsidRPr="00F35716">
              <w:rPr>
                <w:bCs/>
                <w:sz w:val="17"/>
                <w:szCs w:val="17"/>
              </w:rPr>
              <w:t>19.526</w:t>
            </w:r>
          </w:p>
        </w:tc>
      </w:tr>
      <w:tr w:rsidR="00D446BE" w:rsidRPr="00F35716" w14:paraId="32E94403" w14:textId="77777777" w:rsidTr="00D446BE">
        <w:trPr>
          <w:trHeight w:val="270"/>
        </w:trPr>
        <w:tc>
          <w:tcPr>
            <w:tcW w:w="2809" w:type="pct"/>
          </w:tcPr>
          <w:p w14:paraId="32E943FD" w14:textId="6526E7E5" w:rsidR="00D446BE" w:rsidRPr="00F35716" w:rsidRDefault="00667E1A" w:rsidP="0014163F">
            <w:pPr>
              <w:spacing w:before="40" w:after="80" w:line="210" w:lineRule="exact"/>
              <w:rPr>
                <w:sz w:val="17"/>
                <w:szCs w:val="17"/>
              </w:rPr>
            </w:pPr>
            <w:r w:rsidRPr="00F35716">
              <w:rPr>
                <w:sz w:val="17"/>
                <w:szCs w:val="17"/>
              </w:rPr>
              <w:t xml:space="preserve">Número </w:t>
            </w:r>
            <w:r w:rsidR="00D446BE" w:rsidRPr="00F35716">
              <w:rPr>
                <w:sz w:val="17"/>
                <w:szCs w:val="17"/>
              </w:rPr>
              <w:t xml:space="preserve">total de </w:t>
            </w:r>
            <w:r w:rsidRPr="00F35716">
              <w:rPr>
                <w:sz w:val="17"/>
                <w:szCs w:val="17"/>
              </w:rPr>
              <w:t>asalariados cubiertos por</w:t>
            </w:r>
            <w:r w:rsidR="00D446BE" w:rsidRPr="00F35716">
              <w:rPr>
                <w:sz w:val="17"/>
                <w:szCs w:val="17"/>
              </w:rPr>
              <w:t xml:space="preserve"> las visitas de inspección</w:t>
            </w:r>
          </w:p>
        </w:tc>
        <w:tc>
          <w:tcPr>
            <w:tcW w:w="437" w:type="pct"/>
          </w:tcPr>
          <w:p w14:paraId="32E943FE" w14:textId="77777777" w:rsidR="00D446BE" w:rsidRPr="00F35716" w:rsidRDefault="00D446BE" w:rsidP="006F34C8">
            <w:pPr>
              <w:spacing w:before="40" w:after="80" w:line="210" w:lineRule="exact"/>
              <w:jc w:val="right"/>
              <w:rPr>
                <w:sz w:val="17"/>
                <w:szCs w:val="17"/>
              </w:rPr>
            </w:pPr>
            <w:r w:rsidRPr="00F35716">
              <w:rPr>
                <w:sz w:val="17"/>
                <w:szCs w:val="17"/>
              </w:rPr>
              <w:t>297.886</w:t>
            </w:r>
          </w:p>
        </w:tc>
        <w:tc>
          <w:tcPr>
            <w:tcW w:w="439" w:type="pct"/>
          </w:tcPr>
          <w:p w14:paraId="32E943FF" w14:textId="77777777" w:rsidR="00D446BE" w:rsidRPr="00F35716" w:rsidRDefault="00D446BE" w:rsidP="006F34C8">
            <w:pPr>
              <w:spacing w:before="40" w:after="80" w:line="210" w:lineRule="exact"/>
              <w:jc w:val="right"/>
              <w:rPr>
                <w:sz w:val="17"/>
                <w:szCs w:val="17"/>
              </w:rPr>
            </w:pPr>
            <w:r w:rsidRPr="00F35716">
              <w:rPr>
                <w:sz w:val="17"/>
                <w:szCs w:val="17"/>
              </w:rPr>
              <w:t>837.230</w:t>
            </w:r>
          </w:p>
        </w:tc>
        <w:tc>
          <w:tcPr>
            <w:tcW w:w="439" w:type="pct"/>
          </w:tcPr>
          <w:p w14:paraId="32E94400" w14:textId="77777777" w:rsidR="00D446BE" w:rsidRPr="00F35716" w:rsidRDefault="00D446BE" w:rsidP="006F34C8">
            <w:pPr>
              <w:spacing w:before="40" w:after="80" w:line="210" w:lineRule="exact"/>
              <w:jc w:val="right"/>
              <w:rPr>
                <w:sz w:val="17"/>
                <w:szCs w:val="17"/>
              </w:rPr>
            </w:pPr>
            <w:r w:rsidRPr="00F35716">
              <w:rPr>
                <w:sz w:val="17"/>
                <w:szCs w:val="17"/>
              </w:rPr>
              <w:t>803.933</w:t>
            </w:r>
          </w:p>
        </w:tc>
        <w:tc>
          <w:tcPr>
            <w:tcW w:w="439" w:type="pct"/>
          </w:tcPr>
          <w:p w14:paraId="32E94401" w14:textId="77777777" w:rsidR="00D446BE" w:rsidRPr="00F35716" w:rsidRDefault="00D446BE" w:rsidP="006F34C8">
            <w:pPr>
              <w:spacing w:before="40" w:after="80" w:line="210" w:lineRule="exact"/>
              <w:jc w:val="right"/>
              <w:rPr>
                <w:sz w:val="17"/>
                <w:szCs w:val="17"/>
              </w:rPr>
            </w:pPr>
            <w:r w:rsidRPr="00F35716">
              <w:rPr>
                <w:sz w:val="17"/>
                <w:szCs w:val="17"/>
              </w:rPr>
              <w:t>702.302</w:t>
            </w:r>
          </w:p>
        </w:tc>
        <w:tc>
          <w:tcPr>
            <w:tcW w:w="439" w:type="pct"/>
          </w:tcPr>
          <w:p w14:paraId="32E94402" w14:textId="77777777" w:rsidR="00D446BE" w:rsidRPr="00F35716" w:rsidRDefault="00D446BE" w:rsidP="006F34C8">
            <w:pPr>
              <w:spacing w:before="40" w:after="80" w:line="210" w:lineRule="exact"/>
              <w:jc w:val="right"/>
              <w:rPr>
                <w:bCs/>
                <w:sz w:val="17"/>
                <w:szCs w:val="17"/>
              </w:rPr>
            </w:pPr>
            <w:r w:rsidRPr="00F35716">
              <w:rPr>
                <w:bCs/>
                <w:sz w:val="17"/>
                <w:szCs w:val="17"/>
              </w:rPr>
              <w:t>460.801</w:t>
            </w:r>
          </w:p>
        </w:tc>
      </w:tr>
      <w:tr w:rsidR="00D446BE" w:rsidRPr="00F35716" w14:paraId="32E9440A" w14:textId="77777777" w:rsidTr="00D446BE">
        <w:trPr>
          <w:trHeight w:val="270"/>
        </w:trPr>
        <w:tc>
          <w:tcPr>
            <w:tcW w:w="2809" w:type="pct"/>
          </w:tcPr>
          <w:p w14:paraId="32E94404" w14:textId="45365761" w:rsidR="00D446BE" w:rsidRPr="00F35716" w:rsidRDefault="008B35A1" w:rsidP="0014163F">
            <w:pPr>
              <w:spacing w:before="40" w:after="80" w:line="210" w:lineRule="exact"/>
              <w:rPr>
                <w:sz w:val="17"/>
                <w:szCs w:val="17"/>
              </w:rPr>
            </w:pPr>
            <w:r w:rsidRPr="00F35716">
              <w:rPr>
                <w:sz w:val="17"/>
                <w:szCs w:val="17"/>
              </w:rPr>
              <w:t>Número de m</w:t>
            </w:r>
            <w:r w:rsidR="00D446BE" w:rsidRPr="00F35716">
              <w:rPr>
                <w:sz w:val="17"/>
                <w:szCs w:val="17"/>
              </w:rPr>
              <w:t xml:space="preserve">ujeres que </w:t>
            </w:r>
            <w:r w:rsidR="00667E1A" w:rsidRPr="00F35716">
              <w:rPr>
                <w:sz w:val="17"/>
                <w:szCs w:val="17"/>
              </w:rPr>
              <w:t>trabajan en</w:t>
            </w:r>
            <w:r w:rsidR="00D446BE" w:rsidRPr="00F35716">
              <w:rPr>
                <w:sz w:val="17"/>
                <w:szCs w:val="17"/>
              </w:rPr>
              <w:t xml:space="preserve"> las empresas inspeccionadas</w:t>
            </w:r>
          </w:p>
        </w:tc>
        <w:tc>
          <w:tcPr>
            <w:tcW w:w="437" w:type="pct"/>
          </w:tcPr>
          <w:p w14:paraId="32E94405" w14:textId="77777777" w:rsidR="00D446BE" w:rsidRPr="00F35716" w:rsidRDefault="00D446BE" w:rsidP="006F34C8">
            <w:pPr>
              <w:spacing w:before="40" w:after="80" w:line="210" w:lineRule="exact"/>
              <w:jc w:val="right"/>
              <w:rPr>
                <w:sz w:val="17"/>
                <w:szCs w:val="17"/>
              </w:rPr>
            </w:pPr>
            <w:r w:rsidRPr="00F35716">
              <w:rPr>
                <w:sz w:val="17"/>
                <w:szCs w:val="17"/>
              </w:rPr>
              <w:t>189.611</w:t>
            </w:r>
          </w:p>
        </w:tc>
        <w:tc>
          <w:tcPr>
            <w:tcW w:w="439" w:type="pct"/>
          </w:tcPr>
          <w:p w14:paraId="32E94406" w14:textId="77777777" w:rsidR="00D446BE" w:rsidRPr="00F35716" w:rsidRDefault="00D446BE" w:rsidP="006F34C8">
            <w:pPr>
              <w:spacing w:before="40" w:after="80" w:line="210" w:lineRule="exact"/>
              <w:jc w:val="right"/>
              <w:rPr>
                <w:sz w:val="17"/>
                <w:szCs w:val="17"/>
              </w:rPr>
            </w:pPr>
            <w:r w:rsidRPr="00F35716">
              <w:rPr>
                <w:sz w:val="17"/>
                <w:szCs w:val="17"/>
              </w:rPr>
              <w:t>339.137</w:t>
            </w:r>
          </w:p>
        </w:tc>
        <w:tc>
          <w:tcPr>
            <w:tcW w:w="439" w:type="pct"/>
          </w:tcPr>
          <w:p w14:paraId="32E94407" w14:textId="77777777" w:rsidR="00D446BE" w:rsidRPr="00F35716" w:rsidRDefault="00D446BE" w:rsidP="006F34C8">
            <w:pPr>
              <w:spacing w:before="40" w:after="80" w:line="210" w:lineRule="exact"/>
              <w:jc w:val="right"/>
              <w:rPr>
                <w:sz w:val="17"/>
                <w:szCs w:val="17"/>
              </w:rPr>
            </w:pPr>
            <w:r w:rsidRPr="00F35716">
              <w:rPr>
                <w:sz w:val="17"/>
                <w:szCs w:val="17"/>
              </w:rPr>
              <w:t>317.411</w:t>
            </w:r>
          </w:p>
        </w:tc>
        <w:tc>
          <w:tcPr>
            <w:tcW w:w="439" w:type="pct"/>
          </w:tcPr>
          <w:p w14:paraId="32E94408" w14:textId="77777777" w:rsidR="00D446BE" w:rsidRPr="00F35716" w:rsidRDefault="00D446BE" w:rsidP="006F34C8">
            <w:pPr>
              <w:spacing w:before="40" w:after="80" w:line="210" w:lineRule="exact"/>
              <w:jc w:val="right"/>
              <w:rPr>
                <w:sz w:val="17"/>
                <w:szCs w:val="17"/>
              </w:rPr>
            </w:pPr>
            <w:r w:rsidRPr="00F35716">
              <w:rPr>
                <w:sz w:val="17"/>
                <w:szCs w:val="17"/>
              </w:rPr>
              <w:t>242.597</w:t>
            </w:r>
          </w:p>
        </w:tc>
        <w:tc>
          <w:tcPr>
            <w:tcW w:w="439" w:type="pct"/>
          </w:tcPr>
          <w:p w14:paraId="32E94409" w14:textId="77777777" w:rsidR="00D446BE" w:rsidRPr="00F35716" w:rsidRDefault="00D446BE" w:rsidP="006F34C8">
            <w:pPr>
              <w:spacing w:before="40" w:after="80" w:line="210" w:lineRule="exact"/>
              <w:jc w:val="right"/>
              <w:rPr>
                <w:bCs/>
                <w:sz w:val="17"/>
                <w:szCs w:val="17"/>
              </w:rPr>
            </w:pPr>
            <w:r w:rsidRPr="00F35716">
              <w:rPr>
                <w:bCs/>
                <w:sz w:val="17"/>
                <w:szCs w:val="17"/>
              </w:rPr>
              <w:t>186.083</w:t>
            </w:r>
          </w:p>
        </w:tc>
      </w:tr>
      <w:tr w:rsidR="00D446BE" w:rsidRPr="00F35716" w14:paraId="32E94411" w14:textId="77777777" w:rsidTr="00D446BE">
        <w:trPr>
          <w:trHeight w:val="270"/>
        </w:trPr>
        <w:tc>
          <w:tcPr>
            <w:tcW w:w="2809" w:type="pct"/>
          </w:tcPr>
          <w:p w14:paraId="32E9440B" w14:textId="646F5A34" w:rsidR="00D446BE" w:rsidRPr="00F35716" w:rsidRDefault="008B35A1" w:rsidP="0014163F">
            <w:pPr>
              <w:spacing w:before="40" w:after="80" w:line="210" w:lineRule="exact"/>
              <w:rPr>
                <w:sz w:val="17"/>
                <w:szCs w:val="17"/>
              </w:rPr>
            </w:pPr>
            <w:r w:rsidRPr="00F35716">
              <w:rPr>
                <w:sz w:val="17"/>
                <w:szCs w:val="17"/>
              </w:rPr>
              <w:t>Mujeres con cargos de responsabilidad</w:t>
            </w:r>
            <w:r w:rsidR="00D446BE" w:rsidRPr="00F35716">
              <w:rPr>
                <w:sz w:val="17"/>
                <w:szCs w:val="17"/>
              </w:rPr>
              <w:t xml:space="preserve"> que </w:t>
            </w:r>
            <w:r w:rsidRPr="00F35716">
              <w:rPr>
                <w:sz w:val="17"/>
                <w:szCs w:val="17"/>
              </w:rPr>
              <w:t>trabajan en</w:t>
            </w:r>
            <w:r w:rsidR="00D446BE" w:rsidRPr="00F35716">
              <w:rPr>
                <w:sz w:val="17"/>
                <w:szCs w:val="17"/>
              </w:rPr>
              <w:t xml:space="preserve"> las empresas inspeccionadas</w:t>
            </w:r>
          </w:p>
        </w:tc>
        <w:tc>
          <w:tcPr>
            <w:tcW w:w="437" w:type="pct"/>
          </w:tcPr>
          <w:p w14:paraId="32E9440C" w14:textId="77777777" w:rsidR="00D446BE" w:rsidRPr="00F35716" w:rsidRDefault="00D446BE" w:rsidP="006F34C8">
            <w:pPr>
              <w:spacing w:before="40" w:after="80" w:line="210" w:lineRule="exact"/>
              <w:jc w:val="right"/>
              <w:rPr>
                <w:sz w:val="17"/>
                <w:szCs w:val="17"/>
              </w:rPr>
            </w:pPr>
            <w:r w:rsidRPr="00F35716">
              <w:rPr>
                <w:sz w:val="17"/>
                <w:szCs w:val="17"/>
              </w:rPr>
              <w:t>7.511</w:t>
            </w:r>
          </w:p>
        </w:tc>
        <w:tc>
          <w:tcPr>
            <w:tcW w:w="439" w:type="pct"/>
          </w:tcPr>
          <w:p w14:paraId="32E9440D" w14:textId="77777777" w:rsidR="00D446BE" w:rsidRPr="00F35716" w:rsidRDefault="00D446BE" w:rsidP="006F34C8">
            <w:pPr>
              <w:spacing w:before="40" w:after="80" w:line="210" w:lineRule="exact"/>
              <w:jc w:val="right"/>
              <w:rPr>
                <w:sz w:val="17"/>
                <w:szCs w:val="17"/>
              </w:rPr>
            </w:pPr>
            <w:r w:rsidRPr="00F35716">
              <w:rPr>
                <w:sz w:val="17"/>
                <w:szCs w:val="17"/>
              </w:rPr>
              <w:t>12.498</w:t>
            </w:r>
          </w:p>
        </w:tc>
        <w:tc>
          <w:tcPr>
            <w:tcW w:w="439" w:type="pct"/>
          </w:tcPr>
          <w:p w14:paraId="32E9440E" w14:textId="77777777" w:rsidR="00D446BE" w:rsidRPr="00F35716" w:rsidRDefault="00D446BE" w:rsidP="006F34C8">
            <w:pPr>
              <w:spacing w:before="40" w:after="80" w:line="210" w:lineRule="exact"/>
              <w:jc w:val="right"/>
              <w:rPr>
                <w:sz w:val="17"/>
                <w:szCs w:val="17"/>
              </w:rPr>
            </w:pPr>
            <w:r w:rsidRPr="00F35716">
              <w:rPr>
                <w:sz w:val="17"/>
                <w:szCs w:val="17"/>
              </w:rPr>
              <w:t>17.397</w:t>
            </w:r>
          </w:p>
        </w:tc>
        <w:tc>
          <w:tcPr>
            <w:tcW w:w="439" w:type="pct"/>
          </w:tcPr>
          <w:p w14:paraId="32E9440F" w14:textId="77777777" w:rsidR="00D446BE" w:rsidRPr="00F35716" w:rsidRDefault="00D446BE" w:rsidP="006F34C8">
            <w:pPr>
              <w:spacing w:before="40" w:after="80" w:line="210" w:lineRule="exact"/>
              <w:jc w:val="right"/>
              <w:rPr>
                <w:sz w:val="17"/>
                <w:szCs w:val="17"/>
              </w:rPr>
            </w:pPr>
            <w:r w:rsidRPr="00F35716">
              <w:rPr>
                <w:sz w:val="17"/>
                <w:szCs w:val="17"/>
              </w:rPr>
              <w:t>24.177</w:t>
            </w:r>
          </w:p>
        </w:tc>
        <w:tc>
          <w:tcPr>
            <w:tcW w:w="439" w:type="pct"/>
          </w:tcPr>
          <w:p w14:paraId="32E94410" w14:textId="77777777" w:rsidR="00D446BE" w:rsidRPr="00F35716" w:rsidRDefault="00D446BE" w:rsidP="006F34C8">
            <w:pPr>
              <w:spacing w:before="40" w:after="80" w:line="210" w:lineRule="exact"/>
              <w:jc w:val="right"/>
              <w:rPr>
                <w:bCs/>
                <w:sz w:val="17"/>
                <w:szCs w:val="17"/>
              </w:rPr>
            </w:pPr>
            <w:r w:rsidRPr="00F35716">
              <w:rPr>
                <w:bCs/>
                <w:sz w:val="17"/>
                <w:szCs w:val="17"/>
              </w:rPr>
              <w:t>15.907</w:t>
            </w:r>
          </w:p>
        </w:tc>
      </w:tr>
      <w:tr w:rsidR="00D446BE" w:rsidRPr="00F35716" w14:paraId="32E94418" w14:textId="77777777" w:rsidTr="00D446BE">
        <w:trPr>
          <w:trHeight w:val="270"/>
        </w:trPr>
        <w:tc>
          <w:tcPr>
            <w:tcW w:w="2809" w:type="pct"/>
          </w:tcPr>
          <w:p w14:paraId="32E94412" w14:textId="6A0A51C7" w:rsidR="00D446BE" w:rsidRPr="00F35716" w:rsidRDefault="00D446BE" w:rsidP="0014163F">
            <w:pPr>
              <w:spacing w:before="40" w:after="80" w:line="210" w:lineRule="exact"/>
              <w:rPr>
                <w:sz w:val="17"/>
                <w:szCs w:val="17"/>
              </w:rPr>
            </w:pPr>
            <w:r w:rsidRPr="00F35716">
              <w:rPr>
                <w:sz w:val="17"/>
                <w:szCs w:val="17"/>
              </w:rPr>
              <w:t xml:space="preserve">Número de mujeres </w:t>
            </w:r>
            <w:r w:rsidR="008B35A1" w:rsidRPr="00F35716">
              <w:rPr>
                <w:sz w:val="17"/>
                <w:szCs w:val="17"/>
              </w:rPr>
              <w:t>representantes de los trabajadores en</w:t>
            </w:r>
            <w:r w:rsidRPr="00F35716">
              <w:rPr>
                <w:sz w:val="17"/>
                <w:szCs w:val="17"/>
              </w:rPr>
              <w:t xml:space="preserve"> las empresas inspeccionadas</w:t>
            </w:r>
          </w:p>
        </w:tc>
        <w:tc>
          <w:tcPr>
            <w:tcW w:w="437" w:type="pct"/>
          </w:tcPr>
          <w:p w14:paraId="32E94413" w14:textId="77777777" w:rsidR="00D446BE" w:rsidRPr="00F35716" w:rsidRDefault="00D446BE" w:rsidP="006F34C8">
            <w:pPr>
              <w:spacing w:before="40" w:after="80" w:line="210" w:lineRule="exact"/>
              <w:jc w:val="right"/>
              <w:rPr>
                <w:sz w:val="17"/>
                <w:szCs w:val="17"/>
              </w:rPr>
            </w:pPr>
            <w:r w:rsidRPr="00F35716">
              <w:rPr>
                <w:sz w:val="17"/>
                <w:szCs w:val="17"/>
              </w:rPr>
              <w:t>620</w:t>
            </w:r>
          </w:p>
        </w:tc>
        <w:tc>
          <w:tcPr>
            <w:tcW w:w="439" w:type="pct"/>
          </w:tcPr>
          <w:p w14:paraId="32E94414" w14:textId="77777777" w:rsidR="00D446BE" w:rsidRPr="00F35716" w:rsidRDefault="00D446BE" w:rsidP="006F34C8">
            <w:pPr>
              <w:spacing w:before="40" w:after="80" w:line="210" w:lineRule="exact"/>
              <w:jc w:val="right"/>
              <w:rPr>
                <w:sz w:val="17"/>
                <w:szCs w:val="17"/>
              </w:rPr>
            </w:pPr>
            <w:r w:rsidRPr="00F35716">
              <w:rPr>
                <w:sz w:val="17"/>
                <w:szCs w:val="17"/>
              </w:rPr>
              <w:t>3.855</w:t>
            </w:r>
          </w:p>
        </w:tc>
        <w:tc>
          <w:tcPr>
            <w:tcW w:w="439" w:type="pct"/>
          </w:tcPr>
          <w:p w14:paraId="32E94415" w14:textId="77777777" w:rsidR="00D446BE" w:rsidRPr="00F35716" w:rsidRDefault="00D446BE" w:rsidP="006F34C8">
            <w:pPr>
              <w:spacing w:before="40" w:after="80" w:line="210" w:lineRule="exact"/>
              <w:jc w:val="right"/>
              <w:rPr>
                <w:sz w:val="17"/>
                <w:szCs w:val="17"/>
              </w:rPr>
            </w:pPr>
            <w:r w:rsidRPr="00F35716">
              <w:rPr>
                <w:sz w:val="17"/>
                <w:szCs w:val="17"/>
              </w:rPr>
              <w:t>3.890</w:t>
            </w:r>
          </w:p>
        </w:tc>
        <w:tc>
          <w:tcPr>
            <w:tcW w:w="439" w:type="pct"/>
          </w:tcPr>
          <w:p w14:paraId="32E94416" w14:textId="77777777" w:rsidR="00D446BE" w:rsidRPr="00F35716" w:rsidRDefault="00D446BE" w:rsidP="006F34C8">
            <w:pPr>
              <w:spacing w:before="40" w:after="80" w:line="210" w:lineRule="exact"/>
              <w:jc w:val="right"/>
              <w:rPr>
                <w:sz w:val="17"/>
                <w:szCs w:val="17"/>
              </w:rPr>
            </w:pPr>
            <w:r w:rsidRPr="00F35716">
              <w:rPr>
                <w:sz w:val="17"/>
                <w:szCs w:val="17"/>
              </w:rPr>
              <w:t>4.571</w:t>
            </w:r>
          </w:p>
        </w:tc>
        <w:tc>
          <w:tcPr>
            <w:tcW w:w="439" w:type="pct"/>
          </w:tcPr>
          <w:p w14:paraId="32E94417" w14:textId="77777777" w:rsidR="00D446BE" w:rsidRPr="00F35716" w:rsidRDefault="00D446BE" w:rsidP="006F34C8">
            <w:pPr>
              <w:spacing w:before="40" w:after="80" w:line="210" w:lineRule="exact"/>
              <w:jc w:val="right"/>
              <w:rPr>
                <w:bCs/>
                <w:sz w:val="17"/>
                <w:szCs w:val="17"/>
              </w:rPr>
            </w:pPr>
            <w:r w:rsidRPr="00F35716">
              <w:rPr>
                <w:bCs/>
                <w:sz w:val="17"/>
                <w:szCs w:val="17"/>
              </w:rPr>
              <w:t>3.782</w:t>
            </w:r>
          </w:p>
        </w:tc>
      </w:tr>
      <w:tr w:rsidR="00D446BE" w:rsidRPr="00F35716" w14:paraId="32E9441F" w14:textId="77777777" w:rsidTr="00D446BE">
        <w:trPr>
          <w:trHeight w:val="477"/>
        </w:trPr>
        <w:tc>
          <w:tcPr>
            <w:tcW w:w="2809" w:type="pct"/>
          </w:tcPr>
          <w:p w14:paraId="32E94419" w14:textId="0E0A8740" w:rsidR="00D446BE" w:rsidRPr="00F35716" w:rsidRDefault="00D446BE" w:rsidP="001721BE">
            <w:pPr>
              <w:spacing w:before="40" w:after="80" w:line="210" w:lineRule="exact"/>
              <w:rPr>
                <w:sz w:val="17"/>
                <w:szCs w:val="17"/>
              </w:rPr>
            </w:pPr>
            <w:r w:rsidRPr="00F35716">
              <w:rPr>
                <w:sz w:val="17"/>
                <w:szCs w:val="17"/>
              </w:rPr>
              <w:t xml:space="preserve">Número de </w:t>
            </w:r>
            <w:r w:rsidR="008B35A1" w:rsidRPr="00F35716">
              <w:rPr>
                <w:sz w:val="17"/>
                <w:szCs w:val="17"/>
              </w:rPr>
              <w:t xml:space="preserve">mujeres </w:t>
            </w:r>
            <w:r w:rsidRPr="00F35716">
              <w:rPr>
                <w:sz w:val="17"/>
                <w:szCs w:val="17"/>
              </w:rPr>
              <w:t>sindical</w:t>
            </w:r>
            <w:r w:rsidR="008B35A1" w:rsidRPr="00F35716">
              <w:rPr>
                <w:sz w:val="17"/>
                <w:szCs w:val="17"/>
              </w:rPr>
              <w:t>ista</w:t>
            </w:r>
            <w:r w:rsidRPr="00F35716">
              <w:rPr>
                <w:sz w:val="17"/>
                <w:szCs w:val="17"/>
              </w:rPr>
              <w:t xml:space="preserve">s </w:t>
            </w:r>
            <w:r w:rsidR="008B35A1" w:rsidRPr="00F35716">
              <w:rPr>
                <w:sz w:val="17"/>
                <w:szCs w:val="17"/>
              </w:rPr>
              <w:t>en</w:t>
            </w:r>
            <w:r w:rsidRPr="00F35716">
              <w:rPr>
                <w:sz w:val="17"/>
                <w:szCs w:val="17"/>
              </w:rPr>
              <w:t xml:space="preserve"> las</w:t>
            </w:r>
            <w:r w:rsidR="001721BE" w:rsidRPr="00F35716">
              <w:rPr>
                <w:sz w:val="17"/>
                <w:szCs w:val="17"/>
              </w:rPr>
              <w:t> </w:t>
            </w:r>
            <w:r w:rsidRPr="00F35716">
              <w:rPr>
                <w:sz w:val="17"/>
                <w:szCs w:val="17"/>
              </w:rPr>
              <w:t>empresas inspeccionadas</w:t>
            </w:r>
          </w:p>
        </w:tc>
        <w:tc>
          <w:tcPr>
            <w:tcW w:w="437" w:type="pct"/>
          </w:tcPr>
          <w:p w14:paraId="32E9441A" w14:textId="77777777" w:rsidR="00D446BE" w:rsidRPr="00F35716" w:rsidRDefault="00D446BE" w:rsidP="006F34C8">
            <w:pPr>
              <w:spacing w:before="40" w:after="80" w:line="210" w:lineRule="exact"/>
              <w:jc w:val="right"/>
              <w:rPr>
                <w:sz w:val="17"/>
                <w:szCs w:val="17"/>
              </w:rPr>
            </w:pPr>
            <w:r w:rsidRPr="00F35716">
              <w:rPr>
                <w:sz w:val="17"/>
                <w:szCs w:val="17"/>
              </w:rPr>
              <w:t>111</w:t>
            </w:r>
          </w:p>
        </w:tc>
        <w:tc>
          <w:tcPr>
            <w:tcW w:w="439" w:type="pct"/>
          </w:tcPr>
          <w:p w14:paraId="32E9441B" w14:textId="77777777" w:rsidR="00D446BE" w:rsidRPr="00F35716" w:rsidRDefault="00D446BE" w:rsidP="006F34C8">
            <w:pPr>
              <w:spacing w:before="40" w:after="80" w:line="210" w:lineRule="exact"/>
              <w:jc w:val="right"/>
              <w:rPr>
                <w:sz w:val="17"/>
                <w:szCs w:val="17"/>
              </w:rPr>
            </w:pPr>
            <w:r w:rsidRPr="00F35716">
              <w:rPr>
                <w:sz w:val="17"/>
                <w:szCs w:val="17"/>
              </w:rPr>
              <w:t>559</w:t>
            </w:r>
          </w:p>
        </w:tc>
        <w:tc>
          <w:tcPr>
            <w:tcW w:w="439" w:type="pct"/>
          </w:tcPr>
          <w:p w14:paraId="32E9441C" w14:textId="77777777" w:rsidR="00D446BE" w:rsidRPr="00F35716" w:rsidRDefault="00D446BE" w:rsidP="006F34C8">
            <w:pPr>
              <w:spacing w:before="40" w:after="80" w:line="210" w:lineRule="exact"/>
              <w:jc w:val="right"/>
              <w:rPr>
                <w:sz w:val="17"/>
                <w:szCs w:val="17"/>
              </w:rPr>
            </w:pPr>
            <w:r w:rsidRPr="00F35716">
              <w:rPr>
                <w:sz w:val="17"/>
                <w:szCs w:val="17"/>
              </w:rPr>
              <w:t>125</w:t>
            </w:r>
          </w:p>
        </w:tc>
        <w:tc>
          <w:tcPr>
            <w:tcW w:w="439" w:type="pct"/>
          </w:tcPr>
          <w:p w14:paraId="32E9441D" w14:textId="77777777" w:rsidR="00D446BE" w:rsidRPr="00F35716" w:rsidRDefault="00D446BE" w:rsidP="006F34C8">
            <w:pPr>
              <w:spacing w:before="40" w:after="80" w:line="210" w:lineRule="exact"/>
              <w:jc w:val="right"/>
              <w:rPr>
                <w:sz w:val="17"/>
                <w:szCs w:val="17"/>
              </w:rPr>
            </w:pPr>
            <w:r w:rsidRPr="00F35716">
              <w:rPr>
                <w:sz w:val="17"/>
                <w:szCs w:val="17"/>
              </w:rPr>
              <w:t>2.494</w:t>
            </w:r>
          </w:p>
        </w:tc>
        <w:tc>
          <w:tcPr>
            <w:tcW w:w="439" w:type="pct"/>
          </w:tcPr>
          <w:p w14:paraId="32E9441E" w14:textId="77777777" w:rsidR="00D446BE" w:rsidRPr="00F35716" w:rsidRDefault="00D446BE" w:rsidP="006F34C8">
            <w:pPr>
              <w:spacing w:before="40" w:after="80" w:line="210" w:lineRule="exact"/>
              <w:jc w:val="right"/>
              <w:rPr>
                <w:bCs/>
                <w:sz w:val="17"/>
                <w:szCs w:val="17"/>
              </w:rPr>
            </w:pPr>
            <w:r w:rsidRPr="00F35716">
              <w:rPr>
                <w:bCs/>
                <w:sz w:val="17"/>
                <w:szCs w:val="17"/>
              </w:rPr>
              <w:t>226</w:t>
            </w:r>
          </w:p>
        </w:tc>
      </w:tr>
      <w:tr w:rsidR="00D446BE" w:rsidRPr="00F35716" w14:paraId="32E94426" w14:textId="77777777" w:rsidTr="00D446BE">
        <w:trPr>
          <w:trHeight w:val="270"/>
        </w:trPr>
        <w:tc>
          <w:tcPr>
            <w:tcW w:w="2809" w:type="pct"/>
          </w:tcPr>
          <w:p w14:paraId="32E94420" w14:textId="77777777" w:rsidR="00D446BE" w:rsidRPr="00F35716" w:rsidRDefault="00D446BE" w:rsidP="0014163F">
            <w:pPr>
              <w:spacing w:before="40" w:after="80" w:line="210" w:lineRule="exact"/>
              <w:rPr>
                <w:sz w:val="17"/>
                <w:szCs w:val="17"/>
              </w:rPr>
            </w:pPr>
            <w:r w:rsidRPr="00F35716">
              <w:rPr>
                <w:sz w:val="17"/>
                <w:szCs w:val="17"/>
              </w:rPr>
              <w:t>Observaciones relacionadas con el salario</w:t>
            </w:r>
          </w:p>
        </w:tc>
        <w:tc>
          <w:tcPr>
            <w:tcW w:w="437" w:type="pct"/>
          </w:tcPr>
          <w:p w14:paraId="32E94421" w14:textId="77777777" w:rsidR="00D446BE" w:rsidRPr="00F35716" w:rsidRDefault="00D446BE" w:rsidP="006F34C8">
            <w:pPr>
              <w:spacing w:before="40" w:after="80" w:line="210" w:lineRule="exact"/>
              <w:jc w:val="right"/>
              <w:rPr>
                <w:sz w:val="17"/>
                <w:szCs w:val="17"/>
              </w:rPr>
            </w:pPr>
            <w:r w:rsidRPr="00F35716">
              <w:rPr>
                <w:sz w:val="17"/>
                <w:szCs w:val="17"/>
              </w:rPr>
              <w:t>3.732</w:t>
            </w:r>
          </w:p>
        </w:tc>
        <w:tc>
          <w:tcPr>
            <w:tcW w:w="439" w:type="pct"/>
          </w:tcPr>
          <w:p w14:paraId="32E94422" w14:textId="77777777" w:rsidR="00D446BE" w:rsidRPr="00F35716" w:rsidRDefault="00D446BE" w:rsidP="006F34C8">
            <w:pPr>
              <w:spacing w:before="40" w:after="80" w:line="210" w:lineRule="exact"/>
              <w:jc w:val="right"/>
              <w:rPr>
                <w:sz w:val="17"/>
                <w:szCs w:val="17"/>
              </w:rPr>
            </w:pPr>
            <w:r w:rsidRPr="00F35716">
              <w:rPr>
                <w:sz w:val="17"/>
                <w:szCs w:val="17"/>
              </w:rPr>
              <w:t>1.627</w:t>
            </w:r>
          </w:p>
        </w:tc>
        <w:tc>
          <w:tcPr>
            <w:tcW w:w="439" w:type="pct"/>
          </w:tcPr>
          <w:p w14:paraId="32E94423" w14:textId="77777777" w:rsidR="00D446BE" w:rsidRPr="00F35716" w:rsidRDefault="00D446BE" w:rsidP="006F34C8">
            <w:pPr>
              <w:spacing w:before="40" w:after="80" w:line="210" w:lineRule="exact"/>
              <w:jc w:val="right"/>
              <w:rPr>
                <w:sz w:val="17"/>
                <w:szCs w:val="17"/>
              </w:rPr>
            </w:pPr>
            <w:r w:rsidRPr="00F35716">
              <w:rPr>
                <w:sz w:val="17"/>
                <w:szCs w:val="17"/>
              </w:rPr>
              <w:t>10.039</w:t>
            </w:r>
          </w:p>
        </w:tc>
        <w:tc>
          <w:tcPr>
            <w:tcW w:w="439" w:type="pct"/>
          </w:tcPr>
          <w:p w14:paraId="32E94424" w14:textId="77777777" w:rsidR="00D446BE" w:rsidRPr="00F35716" w:rsidRDefault="00D446BE" w:rsidP="006F34C8">
            <w:pPr>
              <w:spacing w:before="40" w:after="80" w:line="210" w:lineRule="exact"/>
              <w:jc w:val="right"/>
              <w:rPr>
                <w:sz w:val="17"/>
                <w:szCs w:val="17"/>
              </w:rPr>
            </w:pPr>
            <w:r w:rsidRPr="00F35716">
              <w:rPr>
                <w:sz w:val="17"/>
                <w:szCs w:val="17"/>
              </w:rPr>
              <w:t>57.452</w:t>
            </w:r>
          </w:p>
        </w:tc>
        <w:tc>
          <w:tcPr>
            <w:tcW w:w="439" w:type="pct"/>
          </w:tcPr>
          <w:p w14:paraId="32E94425" w14:textId="77777777" w:rsidR="00D446BE" w:rsidRPr="00F35716" w:rsidRDefault="00D446BE" w:rsidP="006F34C8">
            <w:pPr>
              <w:spacing w:before="40" w:after="80" w:line="210" w:lineRule="exact"/>
              <w:jc w:val="right"/>
              <w:rPr>
                <w:bCs/>
                <w:sz w:val="17"/>
                <w:szCs w:val="17"/>
              </w:rPr>
            </w:pPr>
            <w:r w:rsidRPr="00F35716">
              <w:rPr>
                <w:bCs/>
                <w:sz w:val="17"/>
                <w:szCs w:val="17"/>
              </w:rPr>
              <w:t>6.060</w:t>
            </w:r>
          </w:p>
        </w:tc>
      </w:tr>
      <w:tr w:rsidR="00D446BE" w:rsidRPr="00F35716" w14:paraId="32E9442D" w14:textId="77777777" w:rsidTr="00D446BE">
        <w:trPr>
          <w:trHeight w:val="270"/>
        </w:trPr>
        <w:tc>
          <w:tcPr>
            <w:tcW w:w="2809" w:type="pct"/>
          </w:tcPr>
          <w:p w14:paraId="32E94427" w14:textId="77777777" w:rsidR="00D446BE" w:rsidRPr="00F35716" w:rsidRDefault="00D446BE" w:rsidP="0014163F">
            <w:pPr>
              <w:spacing w:before="40" w:after="80" w:line="210" w:lineRule="exact"/>
              <w:rPr>
                <w:sz w:val="17"/>
                <w:szCs w:val="17"/>
              </w:rPr>
            </w:pPr>
            <w:r w:rsidRPr="00F35716">
              <w:rPr>
                <w:sz w:val="17"/>
                <w:szCs w:val="17"/>
              </w:rPr>
              <w:t>Observaciones relacionadas con el empleo</w:t>
            </w:r>
          </w:p>
        </w:tc>
        <w:tc>
          <w:tcPr>
            <w:tcW w:w="437" w:type="pct"/>
          </w:tcPr>
          <w:p w14:paraId="32E94428" w14:textId="77777777" w:rsidR="00D446BE" w:rsidRPr="00F35716" w:rsidRDefault="00D446BE" w:rsidP="006F34C8">
            <w:pPr>
              <w:spacing w:before="40" w:after="80" w:line="210" w:lineRule="exact"/>
              <w:jc w:val="right"/>
              <w:rPr>
                <w:sz w:val="17"/>
                <w:szCs w:val="17"/>
              </w:rPr>
            </w:pPr>
            <w:r w:rsidRPr="00F35716">
              <w:rPr>
                <w:sz w:val="17"/>
                <w:szCs w:val="17"/>
              </w:rPr>
              <w:t>811</w:t>
            </w:r>
          </w:p>
        </w:tc>
        <w:tc>
          <w:tcPr>
            <w:tcW w:w="439" w:type="pct"/>
          </w:tcPr>
          <w:p w14:paraId="32E94429" w14:textId="77777777" w:rsidR="00D446BE" w:rsidRPr="00F35716" w:rsidRDefault="00D446BE" w:rsidP="006F34C8">
            <w:pPr>
              <w:spacing w:before="40" w:after="80" w:line="210" w:lineRule="exact"/>
              <w:jc w:val="right"/>
              <w:rPr>
                <w:sz w:val="17"/>
                <w:szCs w:val="17"/>
              </w:rPr>
            </w:pPr>
            <w:r w:rsidRPr="00F35716">
              <w:rPr>
                <w:sz w:val="17"/>
                <w:szCs w:val="17"/>
              </w:rPr>
              <w:t>173</w:t>
            </w:r>
          </w:p>
        </w:tc>
        <w:tc>
          <w:tcPr>
            <w:tcW w:w="439" w:type="pct"/>
          </w:tcPr>
          <w:p w14:paraId="32E9442A" w14:textId="77777777" w:rsidR="00D446BE" w:rsidRPr="00F35716" w:rsidRDefault="00D446BE" w:rsidP="006F34C8">
            <w:pPr>
              <w:spacing w:before="40" w:after="80" w:line="210" w:lineRule="exact"/>
              <w:jc w:val="right"/>
              <w:rPr>
                <w:sz w:val="17"/>
                <w:szCs w:val="17"/>
              </w:rPr>
            </w:pPr>
            <w:r w:rsidRPr="00F35716">
              <w:rPr>
                <w:sz w:val="17"/>
                <w:szCs w:val="17"/>
              </w:rPr>
              <w:t>1.208</w:t>
            </w:r>
          </w:p>
        </w:tc>
        <w:tc>
          <w:tcPr>
            <w:tcW w:w="439" w:type="pct"/>
          </w:tcPr>
          <w:p w14:paraId="32E9442B" w14:textId="77777777" w:rsidR="00D446BE" w:rsidRPr="00F35716" w:rsidRDefault="00D446BE" w:rsidP="006F34C8">
            <w:pPr>
              <w:spacing w:before="40" w:after="80" w:line="210" w:lineRule="exact"/>
              <w:jc w:val="right"/>
              <w:rPr>
                <w:sz w:val="17"/>
                <w:szCs w:val="17"/>
              </w:rPr>
            </w:pPr>
            <w:r w:rsidRPr="00F35716">
              <w:rPr>
                <w:sz w:val="17"/>
                <w:szCs w:val="17"/>
              </w:rPr>
              <w:t>1.132</w:t>
            </w:r>
          </w:p>
        </w:tc>
        <w:tc>
          <w:tcPr>
            <w:tcW w:w="439" w:type="pct"/>
          </w:tcPr>
          <w:p w14:paraId="32E9442C" w14:textId="77777777" w:rsidR="00D446BE" w:rsidRPr="00F35716" w:rsidRDefault="00D446BE" w:rsidP="006F34C8">
            <w:pPr>
              <w:spacing w:before="40" w:after="80" w:line="210" w:lineRule="exact"/>
              <w:jc w:val="right"/>
              <w:rPr>
                <w:bCs/>
                <w:sz w:val="17"/>
                <w:szCs w:val="17"/>
              </w:rPr>
            </w:pPr>
            <w:r w:rsidRPr="00F35716">
              <w:rPr>
                <w:bCs/>
                <w:sz w:val="17"/>
                <w:szCs w:val="17"/>
              </w:rPr>
              <w:t>1.846</w:t>
            </w:r>
          </w:p>
        </w:tc>
      </w:tr>
      <w:tr w:rsidR="00D446BE" w:rsidRPr="00F35716" w14:paraId="32E94434" w14:textId="77777777" w:rsidTr="00D446BE">
        <w:trPr>
          <w:trHeight w:val="270"/>
        </w:trPr>
        <w:tc>
          <w:tcPr>
            <w:tcW w:w="2809" w:type="pct"/>
          </w:tcPr>
          <w:p w14:paraId="32E9442E" w14:textId="77777777" w:rsidR="00D446BE" w:rsidRPr="00F35716" w:rsidRDefault="00D446BE" w:rsidP="0014163F">
            <w:pPr>
              <w:spacing w:before="40" w:after="80" w:line="210" w:lineRule="exact"/>
              <w:rPr>
                <w:sz w:val="17"/>
                <w:szCs w:val="17"/>
              </w:rPr>
            </w:pPr>
            <w:r w:rsidRPr="00F35716">
              <w:rPr>
                <w:sz w:val="17"/>
                <w:szCs w:val="17"/>
              </w:rPr>
              <w:t>Observaciones relacionadas con el acenso</w:t>
            </w:r>
          </w:p>
        </w:tc>
        <w:tc>
          <w:tcPr>
            <w:tcW w:w="437" w:type="pct"/>
          </w:tcPr>
          <w:p w14:paraId="32E9442F" w14:textId="77777777" w:rsidR="00D446BE" w:rsidRPr="00F35716" w:rsidRDefault="00D446BE" w:rsidP="006F34C8">
            <w:pPr>
              <w:spacing w:before="40" w:after="80" w:line="210" w:lineRule="exact"/>
              <w:jc w:val="right"/>
              <w:rPr>
                <w:sz w:val="17"/>
                <w:szCs w:val="17"/>
              </w:rPr>
            </w:pPr>
            <w:r w:rsidRPr="00F35716">
              <w:rPr>
                <w:sz w:val="17"/>
                <w:szCs w:val="17"/>
              </w:rPr>
              <w:t>222</w:t>
            </w:r>
          </w:p>
        </w:tc>
        <w:tc>
          <w:tcPr>
            <w:tcW w:w="439" w:type="pct"/>
          </w:tcPr>
          <w:p w14:paraId="32E94430" w14:textId="77777777" w:rsidR="00D446BE" w:rsidRPr="00F35716" w:rsidRDefault="00D446BE" w:rsidP="006F34C8">
            <w:pPr>
              <w:spacing w:before="40" w:after="80" w:line="210" w:lineRule="exact"/>
              <w:jc w:val="right"/>
              <w:rPr>
                <w:sz w:val="17"/>
                <w:szCs w:val="17"/>
              </w:rPr>
            </w:pPr>
            <w:r w:rsidRPr="00F35716">
              <w:rPr>
                <w:sz w:val="17"/>
                <w:szCs w:val="17"/>
              </w:rPr>
              <w:t>1.369</w:t>
            </w:r>
          </w:p>
        </w:tc>
        <w:tc>
          <w:tcPr>
            <w:tcW w:w="439" w:type="pct"/>
          </w:tcPr>
          <w:p w14:paraId="32E94431" w14:textId="77777777" w:rsidR="00D446BE" w:rsidRPr="00F35716" w:rsidRDefault="00D446BE" w:rsidP="006F34C8">
            <w:pPr>
              <w:spacing w:before="40" w:after="80" w:line="210" w:lineRule="exact"/>
              <w:jc w:val="right"/>
              <w:rPr>
                <w:sz w:val="17"/>
                <w:szCs w:val="17"/>
              </w:rPr>
            </w:pPr>
            <w:r w:rsidRPr="00F35716">
              <w:rPr>
                <w:sz w:val="17"/>
                <w:szCs w:val="17"/>
              </w:rPr>
              <w:t>99</w:t>
            </w:r>
          </w:p>
        </w:tc>
        <w:tc>
          <w:tcPr>
            <w:tcW w:w="439" w:type="pct"/>
          </w:tcPr>
          <w:p w14:paraId="32E94432" w14:textId="77777777" w:rsidR="00D446BE" w:rsidRPr="00F35716" w:rsidRDefault="00D446BE" w:rsidP="006F34C8">
            <w:pPr>
              <w:spacing w:before="40" w:after="80" w:line="210" w:lineRule="exact"/>
              <w:jc w:val="right"/>
              <w:rPr>
                <w:sz w:val="17"/>
                <w:szCs w:val="17"/>
              </w:rPr>
            </w:pPr>
            <w:r w:rsidRPr="00F35716">
              <w:rPr>
                <w:sz w:val="17"/>
                <w:szCs w:val="17"/>
              </w:rPr>
              <w:t>632</w:t>
            </w:r>
          </w:p>
        </w:tc>
        <w:tc>
          <w:tcPr>
            <w:tcW w:w="439" w:type="pct"/>
          </w:tcPr>
          <w:p w14:paraId="32E94433" w14:textId="77777777" w:rsidR="00D446BE" w:rsidRPr="00F35716" w:rsidRDefault="00D446BE" w:rsidP="006F34C8">
            <w:pPr>
              <w:spacing w:before="40" w:after="80" w:line="210" w:lineRule="exact"/>
              <w:jc w:val="right"/>
              <w:rPr>
                <w:bCs/>
                <w:sz w:val="17"/>
                <w:szCs w:val="17"/>
              </w:rPr>
            </w:pPr>
            <w:r w:rsidRPr="00F35716">
              <w:rPr>
                <w:bCs/>
                <w:sz w:val="17"/>
                <w:szCs w:val="17"/>
              </w:rPr>
              <w:t>153</w:t>
            </w:r>
          </w:p>
        </w:tc>
      </w:tr>
      <w:tr w:rsidR="00D446BE" w:rsidRPr="00F35716" w14:paraId="32E9443B" w14:textId="77777777" w:rsidTr="00D446BE">
        <w:trPr>
          <w:trHeight w:val="270"/>
        </w:trPr>
        <w:tc>
          <w:tcPr>
            <w:tcW w:w="2809" w:type="pct"/>
          </w:tcPr>
          <w:p w14:paraId="32E94435" w14:textId="44F36DB4" w:rsidR="00D446BE" w:rsidRPr="00F35716" w:rsidRDefault="00D446BE" w:rsidP="0014163F">
            <w:pPr>
              <w:spacing w:before="40" w:after="80" w:line="210" w:lineRule="exact"/>
              <w:rPr>
                <w:sz w:val="17"/>
                <w:szCs w:val="17"/>
              </w:rPr>
            </w:pPr>
            <w:r w:rsidRPr="00F35716">
              <w:rPr>
                <w:sz w:val="17"/>
                <w:szCs w:val="17"/>
              </w:rPr>
              <w:t xml:space="preserve">Observaciones relacionadas con </w:t>
            </w:r>
            <w:r w:rsidR="008B35A1" w:rsidRPr="00F35716">
              <w:rPr>
                <w:sz w:val="17"/>
                <w:szCs w:val="17"/>
              </w:rPr>
              <w:t>los turnos de noche</w:t>
            </w:r>
          </w:p>
        </w:tc>
        <w:tc>
          <w:tcPr>
            <w:tcW w:w="437" w:type="pct"/>
          </w:tcPr>
          <w:p w14:paraId="32E94436" w14:textId="77777777" w:rsidR="00D446BE" w:rsidRPr="00F35716" w:rsidRDefault="00D446BE" w:rsidP="006F34C8">
            <w:pPr>
              <w:spacing w:before="40" w:after="80" w:line="210" w:lineRule="exact"/>
              <w:jc w:val="right"/>
              <w:rPr>
                <w:sz w:val="17"/>
                <w:szCs w:val="17"/>
              </w:rPr>
            </w:pPr>
            <w:r w:rsidRPr="00F35716">
              <w:rPr>
                <w:sz w:val="17"/>
                <w:szCs w:val="17"/>
              </w:rPr>
              <w:t>54</w:t>
            </w:r>
          </w:p>
        </w:tc>
        <w:tc>
          <w:tcPr>
            <w:tcW w:w="439" w:type="pct"/>
          </w:tcPr>
          <w:p w14:paraId="32E94437" w14:textId="77777777" w:rsidR="00D446BE" w:rsidRPr="00F35716" w:rsidRDefault="00D446BE" w:rsidP="006F34C8">
            <w:pPr>
              <w:spacing w:before="40" w:after="80" w:line="210" w:lineRule="exact"/>
              <w:jc w:val="right"/>
              <w:rPr>
                <w:sz w:val="17"/>
                <w:szCs w:val="17"/>
              </w:rPr>
            </w:pPr>
            <w:r w:rsidRPr="00F35716">
              <w:rPr>
                <w:sz w:val="17"/>
                <w:szCs w:val="17"/>
              </w:rPr>
              <w:t>171</w:t>
            </w:r>
          </w:p>
        </w:tc>
        <w:tc>
          <w:tcPr>
            <w:tcW w:w="439" w:type="pct"/>
          </w:tcPr>
          <w:p w14:paraId="32E94438" w14:textId="77777777" w:rsidR="00D446BE" w:rsidRPr="00F35716" w:rsidRDefault="00D446BE" w:rsidP="006F34C8">
            <w:pPr>
              <w:spacing w:before="40" w:after="80" w:line="210" w:lineRule="exact"/>
              <w:jc w:val="right"/>
              <w:rPr>
                <w:sz w:val="17"/>
                <w:szCs w:val="17"/>
              </w:rPr>
            </w:pPr>
            <w:r w:rsidRPr="00F35716">
              <w:rPr>
                <w:sz w:val="17"/>
                <w:szCs w:val="17"/>
              </w:rPr>
              <w:t>225</w:t>
            </w:r>
          </w:p>
        </w:tc>
        <w:tc>
          <w:tcPr>
            <w:tcW w:w="439" w:type="pct"/>
          </w:tcPr>
          <w:p w14:paraId="32E94439" w14:textId="77777777" w:rsidR="00D446BE" w:rsidRPr="00F35716" w:rsidRDefault="00D446BE" w:rsidP="006F34C8">
            <w:pPr>
              <w:spacing w:before="40" w:after="80" w:line="210" w:lineRule="exact"/>
              <w:jc w:val="right"/>
              <w:rPr>
                <w:sz w:val="17"/>
                <w:szCs w:val="17"/>
              </w:rPr>
            </w:pPr>
            <w:r w:rsidRPr="00F35716">
              <w:rPr>
                <w:sz w:val="17"/>
                <w:szCs w:val="17"/>
              </w:rPr>
              <w:t>3.877</w:t>
            </w:r>
          </w:p>
        </w:tc>
        <w:tc>
          <w:tcPr>
            <w:tcW w:w="439" w:type="pct"/>
          </w:tcPr>
          <w:p w14:paraId="32E9443A" w14:textId="77777777" w:rsidR="00D446BE" w:rsidRPr="00F35716" w:rsidRDefault="00D446BE" w:rsidP="006F34C8">
            <w:pPr>
              <w:spacing w:before="40" w:after="80" w:line="210" w:lineRule="exact"/>
              <w:jc w:val="right"/>
              <w:rPr>
                <w:bCs/>
                <w:sz w:val="17"/>
                <w:szCs w:val="17"/>
              </w:rPr>
            </w:pPr>
            <w:r w:rsidRPr="00F35716">
              <w:rPr>
                <w:bCs/>
                <w:sz w:val="17"/>
                <w:szCs w:val="17"/>
              </w:rPr>
              <w:t>0</w:t>
            </w:r>
          </w:p>
        </w:tc>
      </w:tr>
      <w:tr w:rsidR="00D446BE" w:rsidRPr="00F35716" w14:paraId="32E94442" w14:textId="77777777" w:rsidTr="00D446BE">
        <w:trPr>
          <w:trHeight w:val="270"/>
        </w:trPr>
        <w:tc>
          <w:tcPr>
            <w:tcW w:w="2809" w:type="pct"/>
          </w:tcPr>
          <w:p w14:paraId="32E9443C" w14:textId="77777777" w:rsidR="00D446BE" w:rsidRPr="00F35716" w:rsidRDefault="00D446BE" w:rsidP="0014163F">
            <w:pPr>
              <w:spacing w:before="40" w:after="80" w:line="210" w:lineRule="exact"/>
              <w:rPr>
                <w:sz w:val="17"/>
                <w:szCs w:val="17"/>
              </w:rPr>
            </w:pPr>
            <w:r w:rsidRPr="00F35716">
              <w:rPr>
                <w:sz w:val="17"/>
                <w:szCs w:val="17"/>
              </w:rPr>
              <w:t>Observaciones relacionadas con la maternidad</w:t>
            </w:r>
          </w:p>
        </w:tc>
        <w:tc>
          <w:tcPr>
            <w:tcW w:w="437" w:type="pct"/>
          </w:tcPr>
          <w:p w14:paraId="32E9443D" w14:textId="77777777" w:rsidR="00D446BE" w:rsidRPr="00F35716" w:rsidRDefault="00D446BE" w:rsidP="006F34C8">
            <w:pPr>
              <w:spacing w:before="40" w:after="80" w:line="210" w:lineRule="exact"/>
              <w:jc w:val="right"/>
              <w:rPr>
                <w:sz w:val="17"/>
                <w:szCs w:val="17"/>
              </w:rPr>
            </w:pPr>
            <w:r w:rsidRPr="00F35716">
              <w:rPr>
                <w:sz w:val="17"/>
                <w:szCs w:val="17"/>
              </w:rPr>
              <w:t>37</w:t>
            </w:r>
          </w:p>
        </w:tc>
        <w:tc>
          <w:tcPr>
            <w:tcW w:w="439" w:type="pct"/>
          </w:tcPr>
          <w:p w14:paraId="32E9443E" w14:textId="77777777" w:rsidR="00D446BE" w:rsidRPr="00F35716" w:rsidRDefault="00D446BE" w:rsidP="006F34C8">
            <w:pPr>
              <w:spacing w:before="40" w:after="80" w:line="210" w:lineRule="exact"/>
              <w:jc w:val="right"/>
              <w:rPr>
                <w:sz w:val="17"/>
                <w:szCs w:val="17"/>
              </w:rPr>
            </w:pPr>
            <w:r w:rsidRPr="00F35716">
              <w:rPr>
                <w:sz w:val="17"/>
                <w:szCs w:val="17"/>
              </w:rPr>
              <w:t>174</w:t>
            </w:r>
          </w:p>
        </w:tc>
        <w:tc>
          <w:tcPr>
            <w:tcW w:w="439" w:type="pct"/>
          </w:tcPr>
          <w:p w14:paraId="32E9443F" w14:textId="77777777" w:rsidR="00D446BE" w:rsidRPr="00F35716" w:rsidRDefault="00D446BE" w:rsidP="006F34C8">
            <w:pPr>
              <w:spacing w:before="40" w:after="80" w:line="210" w:lineRule="exact"/>
              <w:jc w:val="right"/>
              <w:rPr>
                <w:sz w:val="17"/>
                <w:szCs w:val="17"/>
              </w:rPr>
            </w:pPr>
            <w:r w:rsidRPr="00F35716">
              <w:rPr>
                <w:sz w:val="17"/>
                <w:szCs w:val="17"/>
              </w:rPr>
              <w:t>321</w:t>
            </w:r>
          </w:p>
        </w:tc>
        <w:tc>
          <w:tcPr>
            <w:tcW w:w="439" w:type="pct"/>
          </w:tcPr>
          <w:p w14:paraId="32E94440" w14:textId="77777777" w:rsidR="00D446BE" w:rsidRPr="00F35716" w:rsidRDefault="00D446BE" w:rsidP="006F34C8">
            <w:pPr>
              <w:spacing w:before="40" w:after="80" w:line="210" w:lineRule="exact"/>
              <w:jc w:val="right"/>
              <w:rPr>
                <w:sz w:val="17"/>
                <w:szCs w:val="17"/>
              </w:rPr>
            </w:pPr>
            <w:r w:rsidRPr="00F35716">
              <w:rPr>
                <w:sz w:val="17"/>
                <w:szCs w:val="17"/>
              </w:rPr>
              <w:t>1.364</w:t>
            </w:r>
          </w:p>
        </w:tc>
        <w:tc>
          <w:tcPr>
            <w:tcW w:w="439" w:type="pct"/>
          </w:tcPr>
          <w:p w14:paraId="32E94441" w14:textId="77777777" w:rsidR="00D446BE" w:rsidRPr="00F35716" w:rsidRDefault="00D446BE" w:rsidP="006F34C8">
            <w:pPr>
              <w:spacing w:before="40" w:after="80" w:line="210" w:lineRule="exact"/>
              <w:jc w:val="right"/>
              <w:rPr>
                <w:bCs/>
                <w:sz w:val="17"/>
                <w:szCs w:val="17"/>
              </w:rPr>
            </w:pPr>
            <w:r w:rsidRPr="00F35716">
              <w:rPr>
                <w:bCs/>
                <w:sz w:val="17"/>
                <w:szCs w:val="17"/>
              </w:rPr>
              <w:t>1.262</w:t>
            </w:r>
          </w:p>
        </w:tc>
      </w:tr>
      <w:tr w:rsidR="00D446BE" w:rsidRPr="00F35716" w14:paraId="32E94449" w14:textId="77777777" w:rsidTr="00D446BE">
        <w:trPr>
          <w:trHeight w:val="270"/>
        </w:trPr>
        <w:tc>
          <w:tcPr>
            <w:tcW w:w="2809" w:type="pct"/>
            <w:tcBorders>
              <w:bottom w:val="single" w:sz="12" w:space="0" w:color="auto"/>
            </w:tcBorders>
          </w:tcPr>
          <w:p w14:paraId="32E94443" w14:textId="2555B2C9" w:rsidR="00D446BE" w:rsidRPr="00F35716" w:rsidRDefault="008B35A1" w:rsidP="0014163F">
            <w:pPr>
              <w:spacing w:before="40" w:after="80" w:line="210" w:lineRule="exact"/>
              <w:rPr>
                <w:sz w:val="17"/>
                <w:szCs w:val="17"/>
              </w:rPr>
            </w:pPr>
            <w:r w:rsidRPr="00F35716">
              <w:rPr>
                <w:sz w:val="17"/>
                <w:szCs w:val="17"/>
              </w:rPr>
              <w:t>Total de o</w:t>
            </w:r>
            <w:r w:rsidR="00D446BE" w:rsidRPr="00F35716">
              <w:rPr>
                <w:sz w:val="17"/>
                <w:szCs w:val="17"/>
              </w:rPr>
              <w:t>bservaciones relacionadas con la</w:t>
            </w:r>
            <w:r w:rsidRPr="00F35716">
              <w:rPr>
                <w:sz w:val="17"/>
                <w:szCs w:val="17"/>
              </w:rPr>
              <w:t xml:space="preserve">s condiciones de trabajo de las </w:t>
            </w:r>
            <w:r w:rsidR="00D446BE" w:rsidRPr="00F35716">
              <w:rPr>
                <w:sz w:val="17"/>
                <w:szCs w:val="17"/>
              </w:rPr>
              <w:t>mujer</w:t>
            </w:r>
            <w:r w:rsidRPr="00F35716">
              <w:rPr>
                <w:sz w:val="17"/>
                <w:szCs w:val="17"/>
              </w:rPr>
              <w:t>es</w:t>
            </w:r>
          </w:p>
        </w:tc>
        <w:tc>
          <w:tcPr>
            <w:tcW w:w="437" w:type="pct"/>
            <w:tcBorders>
              <w:bottom w:val="single" w:sz="12" w:space="0" w:color="auto"/>
            </w:tcBorders>
          </w:tcPr>
          <w:p w14:paraId="32E94444" w14:textId="77777777" w:rsidR="00D446BE" w:rsidRPr="00F35716" w:rsidRDefault="00D446BE" w:rsidP="006F34C8">
            <w:pPr>
              <w:spacing w:before="40" w:after="80" w:line="210" w:lineRule="exact"/>
              <w:jc w:val="right"/>
              <w:rPr>
                <w:sz w:val="17"/>
                <w:szCs w:val="17"/>
              </w:rPr>
            </w:pPr>
            <w:r w:rsidRPr="00F35716">
              <w:rPr>
                <w:sz w:val="17"/>
                <w:szCs w:val="17"/>
              </w:rPr>
              <w:t>4.856</w:t>
            </w:r>
          </w:p>
        </w:tc>
        <w:tc>
          <w:tcPr>
            <w:tcW w:w="439" w:type="pct"/>
            <w:tcBorders>
              <w:bottom w:val="single" w:sz="12" w:space="0" w:color="auto"/>
            </w:tcBorders>
          </w:tcPr>
          <w:p w14:paraId="32E94445" w14:textId="77777777" w:rsidR="00D446BE" w:rsidRPr="00F35716" w:rsidRDefault="00D446BE" w:rsidP="006F34C8">
            <w:pPr>
              <w:spacing w:before="40" w:after="80" w:line="210" w:lineRule="exact"/>
              <w:jc w:val="right"/>
              <w:rPr>
                <w:sz w:val="17"/>
                <w:szCs w:val="17"/>
              </w:rPr>
            </w:pPr>
            <w:r w:rsidRPr="00F35716">
              <w:rPr>
                <w:sz w:val="17"/>
                <w:szCs w:val="17"/>
              </w:rPr>
              <w:t>3.514</w:t>
            </w:r>
          </w:p>
        </w:tc>
        <w:tc>
          <w:tcPr>
            <w:tcW w:w="439" w:type="pct"/>
            <w:tcBorders>
              <w:bottom w:val="single" w:sz="12" w:space="0" w:color="auto"/>
            </w:tcBorders>
          </w:tcPr>
          <w:p w14:paraId="32E94446" w14:textId="77777777" w:rsidR="00D446BE" w:rsidRPr="00F35716" w:rsidRDefault="00D446BE" w:rsidP="006F34C8">
            <w:pPr>
              <w:spacing w:before="40" w:after="80" w:line="210" w:lineRule="exact"/>
              <w:jc w:val="right"/>
              <w:rPr>
                <w:sz w:val="17"/>
                <w:szCs w:val="17"/>
              </w:rPr>
            </w:pPr>
            <w:r w:rsidRPr="00F35716">
              <w:rPr>
                <w:sz w:val="17"/>
                <w:szCs w:val="17"/>
              </w:rPr>
              <w:t>11.892</w:t>
            </w:r>
          </w:p>
        </w:tc>
        <w:tc>
          <w:tcPr>
            <w:tcW w:w="439" w:type="pct"/>
            <w:tcBorders>
              <w:bottom w:val="single" w:sz="12" w:space="0" w:color="auto"/>
            </w:tcBorders>
          </w:tcPr>
          <w:p w14:paraId="32E94447" w14:textId="77777777" w:rsidR="00D446BE" w:rsidRPr="00F35716" w:rsidRDefault="00D446BE" w:rsidP="006F34C8">
            <w:pPr>
              <w:spacing w:before="40" w:after="80" w:line="210" w:lineRule="exact"/>
              <w:jc w:val="right"/>
              <w:rPr>
                <w:sz w:val="17"/>
                <w:szCs w:val="17"/>
              </w:rPr>
            </w:pPr>
            <w:r w:rsidRPr="00F35716">
              <w:rPr>
                <w:sz w:val="17"/>
                <w:szCs w:val="17"/>
              </w:rPr>
              <w:t>64.457</w:t>
            </w:r>
          </w:p>
        </w:tc>
        <w:tc>
          <w:tcPr>
            <w:tcW w:w="439" w:type="pct"/>
            <w:tcBorders>
              <w:bottom w:val="single" w:sz="12" w:space="0" w:color="auto"/>
            </w:tcBorders>
          </w:tcPr>
          <w:p w14:paraId="32E94448" w14:textId="77777777" w:rsidR="00D446BE" w:rsidRPr="00F35716" w:rsidRDefault="00D446BE" w:rsidP="006F34C8">
            <w:pPr>
              <w:spacing w:before="40" w:after="80" w:line="210" w:lineRule="exact"/>
              <w:jc w:val="right"/>
              <w:rPr>
                <w:bCs/>
                <w:sz w:val="17"/>
                <w:szCs w:val="17"/>
              </w:rPr>
            </w:pPr>
            <w:r w:rsidRPr="00F35716">
              <w:rPr>
                <w:bCs/>
                <w:sz w:val="17"/>
                <w:szCs w:val="17"/>
              </w:rPr>
              <w:t>9.321</w:t>
            </w:r>
          </w:p>
        </w:tc>
      </w:tr>
    </w:tbl>
    <w:p w14:paraId="32E9444A" w14:textId="77777777" w:rsidR="008B1012" w:rsidRPr="00F35716" w:rsidRDefault="008B1012" w:rsidP="008B1012">
      <w:pPr>
        <w:pStyle w:val="SingleTxt"/>
        <w:spacing w:after="0" w:line="120" w:lineRule="exact"/>
        <w:rPr>
          <w:sz w:val="10"/>
          <w:szCs w:val="20"/>
        </w:rPr>
      </w:pPr>
    </w:p>
    <w:p w14:paraId="32E9444B" w14:textId="77777777" w:rsidR="008B1012" w:rsidRPr="00F35716" w:rsidRDefault="008B1012" w:rsidP="008B1012">
      <w:pPr>
        <w:pStyle w:val="SingleTxt"/>
        <w:spacing w:after="0" w:line="120" w:lineRule="exact"/>
        <w:rPr>
          <w:sz w:val="10"/>
          <w:szCs w:val="20"/>
        </w:rPr>
      </w:pPr>
    </w:p>
    <w:p w14:paraId="32E9444C" w14:textId="7D3FB2BB" w:rsidR="00EC3C86" w:rsidRPr="00F35716" w:rsidRDefault="00EC3C86" w:rsidP="000C10BF">
      <w:pPr>
        <w:pStyle w:val="SingleTxt"/>
        <w:rPr>
          <w:szCs w:val="20"/>
        </w:rPr>
      </w:pPr>
      <w:r w:rsidRPr="00F35716">
        <w:rPr>
          <w:szCs w:val="20"/>
        </w:rPr>
        <w:t xml:space="preserve">La tabla muestra el número de visitas de inspección realizadas anualmente para </w:t>
      </w:r>
      <w:r w:rsidR="005F52D6" w:rsidRPr="00F35716">
        <w:rPr>
          <w:szCs w:val="20"/>
        </w:rPr>
        <w:t>dar cumplimiento a</w:t>
      </w:r>
      <w:r w:rsidR="00FF6698" w:rsidRPr="00F35716">
        <w:rPr>
          <w:szCs w:val="20"/>
        </w:rPr>
        <w:t xml:space="preserve"> </w:t>
      </w:r>
      <w:r w:rsidRPr="00F35716">
        <w:rPr>
          <w:szCs w:val="20"/>
        </w:rPr>
        <w:t xml:space="preserve">las prioridades del Plan Nacional de Inspección del Trabajo. Los </w:t>
      </w:r>
      <w:r w:rsidR="005F52D6" w:rsidRPr="00F35716">
        <w:rPr>
          <w:szCs w:val="20"/>
        </w:rPr>
        <w:t xml:space="preserve">datos e </w:t>
      </w:r>
      <w:r w:rsidRPr="00F35716">
        <w:rPr>
          <w:szCs w:val="20"/>
        </w:rPr>
        <w:t xml:space="preserve">indicadores </w:t>
      </w:r>
      <w:r w:rsidR="005F52D6" w:rsidRPr="00F35716">
        <w:rPr>
          <w:szCs w:val="20"/>
        </w:rPr>
        <w:t>resultantes</w:t>
      </w:r>
      <w:r w:rsidRPr="00F35716">
        <w:rPr>
          <w:szCs w:val="20"/>
        </w:rPr>
        <w:t xml:space="preserve"> de esas visitas varían según el tamaño de las instituciones visitadas, los sectores productivos involucrados, el porcentaje de mujeres y el grado de cumplimiento de las disposiciones legislativas y reglamentarias referentes al trabajo de las mujeres</w:t>
      </w:r>
      <w:r w:rsidR="005F52D6" w:rsidRPr="00F35716">
        <w:rPr>
          <w:szCs w:val="20"/>
        </w:rPr>
        <w:t xml:space="preserve"> por parte de los empleadores</w:t>
      </w:r>
      <w:r w:rsidRPr="00F35716">
        <w:rPr>
          <w:szCs w:val="20"/>
        </w:rPr>
        <w:t xml:space="preserve">. </w:t>
      </w:r>
    </w:p>
    <w:p w14:paraId="32E9444D" w14:textId="0147792C" w:rsidR="00EC3C86" w:rsidRPr="00F35716" w:rsidRDefault="00EC3C86" w:rsidP="00B3192A">
      <w:pPr>
        <w:pStyle w:val="SingleTxt"/>
        <w:numPr>
          <w:ilvl w:val="0"/>
          <w:numId w:val="8"/>
        </w:numPr>
        <w:ind w:left="1267" w:firstLine="0"/>
      </w:pPr>
      <w:r w:rsidRPr="00F35716">
        <w:t xml:space="preserve">Se </w:t>
      </w:r>
      <w:r w:rsidR="00F254D2" w:rsidRPr="00F35716">
        <w:t xml:space="preserve">han </w:t>
      </w:r>
      <w:r w:rsidRPr="00F35716">
        <w:t>adopta</w:t>
      </w:r>
      <w:r w:rsidR="00F254D2" w:rsidRPr="00F35716">
        <w:t>do</w:t>
      </w:r>
      <w:r w:rsidRPr="00F35716">
        <w:t xml:space="preserve"> una serie de medidas de sensibilización en las empresas del sector textil y de la confección</w:t>
      </w:r>
      <w:r w:rsidR="00F254D2" w:rsidRPr="00F35716">
        <w:t>,</w:t>
      </w:r>
      <w:r w:rsidRPr="00F35716">
        <w:t xml:space="preserve"> que es el que más mujeres emplea, a fin de adoptar la marca </w:t>
      </w:r>
      <w:r w:rsidR="00801A38" w:rsidRPr="00F35716">
        <w:t>“</w:t>
      </w:r>
      <w:r w:rsidRPr="00F35716">
        <w:t>Fib</w:t>
      </w:r>
      <w:r w:rsidR="00F254D2" w:rsidRPr="00F35716">
        <w:t>r</w:t>
      </w:r>
      <w:r w:rsidRPr="00F35716">
        <w:t>e Citoyenne</w:t>
      </w:r>
      <w:r w:rsidR="00801A38" w:rsidRPr="00F35716">
        <w:t>”</w:t>
      </w:r>
      <w:r w:rsidRPr="00F35716">
        <w:t xml:space="preserve"> aprobada por la Asociación Marroquí para la Industria Textil y de la Confección. Esta marca se basa en el</w:t>
      </w:r>
      <w:r w:rsidR="00D90E9C" w:rsidRPr="00F35716">
        <w:t> </w:t>
      </w:r>
      <w:r w:rsidRPr="00F35716">
        <w:t xml:space="preserve">respeto de los derechos humanos y </w:t>
      </w:r>
      <w:r w:rsidR="00F254D2" w:rsidRPr="00F35716">
        <w:t xml:space="preserve">la lucha </w:t>
      </w:r>
      <w:r w:rsidRPr="00F35716">
        <w:t>contra todas las formas de discriminación de género.</w:t>
      </w:r>
    </w:p>
    <w:p w14:paraId="32E9444E" w14:textId="0D2019C8" w:rsidR="00EC3C86" w:rsidRPr="00F35716" w:rsidRDefault="00EC3C86" w:rsidP="00B3192A">
      <w:pPr>
        <w:pStyle w:val="SingleTxt"/>
        <w:numPr>
          <w:ilvl w:val="0"/>
          <w:numId w:val="8"/>
        </w:numPr>
        <w:ind w:left="1267" w:firstLine="0"/>
      </w:pPr>
      <w:r w:rsidRPr="00F35716">
        <w:t xml:space="preserve">Aunque la legislación laboral nacional no distingue entre mujeres y hombres, las estadísticas y los estudios han mostrado </w:t>
      </w:r>
      <w:r w:rsidR="00B02C3A" w:rsidRPr="00F35716">
        <w:t>marcadas disparidades de género</w:t>
      </w:r>
      <w:r w:rsidR="00D90E9C" w:rsidRPr="00F35716">
        <w:t> </w:t>
      </w:r>
      <w:r w:rsidRPr="00F35716">
        <w:t>en</w:t>
      </w:r>
      <w:r w:rsidR="00EE63AE" w:rsidRPr="00F35716">
        <w:t> </w:t>
      </w:r>
      <w:r w:rsidRPr="00F35716">
        <w:t>el</w:t>
      </w:r>
      <w:r w:rsidR="00EE63AE" w:rsidRPr="00F35716">
        <w:t> </w:t>
      </w:r>
      <w:r w:rsidRPr="00F35716">
        <w:t xml:space="preserve">acceso al mercado </w:t>
      </w:r>
      <w:r w:rsidR="00B02C3A" w:rsidRPr="00F35716">
        <w:t>de trabajo</w:t>
      </w:r>
      <w:r w:rsidRPr="00F35716">
        <w:t xml:space="preserve">, algo que afecta </w:t>
      </w:r>
      <w:r w:rsidR="00F254D2" w:rsidRPr="00F35716">
        <w:t>considerab</w:t>
      </w:r>
      <w:r w:rsidR="00B02C3A" w:rsidRPr="00F35716">
        <w:t>l</w:t>
      </w:r>
      <w:r w:rsidR="00F254D2" w:rsidRPr="00F35716">
        <w:t>e</w:t>
      </w:r>
      <w:r w:rsidRPr="00F35716">
        <w:t>mente a la cobertura social</w:t>
      </w:r>
      <w:r w:rsidR="000A21C3" w:rsidRPr="00F35716">
        <w:rPr>
          <w:vertAlign w:val="superscript"/>
        </w:rPr>
        <w:footnoteReference w:id="82"/>
      </w:r>
      <w:r w:rsidRPr="00F35716">
        <w:t>.</w:t>
      </w:r>
    </w:p>
    <w:p w14:paraId="32E9444F" w14:textId="49C85588" w:rsidR="00075FA3" w:rsidRDefault="00075FA3">
      <w:pPr>
        <w:suppressAutoHyphens w:val="0"/>
        <w:spacing w:line="240" w:lineRule="auto"/>
        <w:rPr>
          <w:kern w:val="14"/>
          <w:sz w:val="10"/>
          <w:szCs w:val="20"/>
        </w:rPr>
      </w:pPr>
      <w:r>
        <w:rPr>
          <w:sz w:val="10"/>
          <w:szCs w:val="20"/>
        </w:rPr>
        <w:br w:type="page"/>
      </w:r>
    </w:p>
    <w:p w14:paraId="25861F05" w14:textId="77777777" w:rsidR="008B1012" w:rsidRPr="00F35716" w:rsidRDefault="008B1012" w:rsidP="008B1012">
      <w:pPr>
        <w:pStyle w:val="SingleTxt"/>
        <w:spacing w:after="0" w:line="120" w:lineRule="exact"/>
        <w:rPr>
          <w:sz w:val="10"/>
          <w:szCs w:val="20"/>
        </w:rPr>
      </w:pPr>
    </w:p>
    <w:p w14:paraId="32E94450" w14:textId="77777777" w:rsidR="00EC3C86" w:rsidRPr="00F35716" w:rsidRDefault="00735173"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 w:val="0"/>
          <w:bCs w:val="0"/>
          <w:szCs w:val="20"/>
        </w:rPr>
        <w:t xml:space="preserve">Tabla 9: </w:t>
      </w:r>
      <w:r w:rsidRPr="00F35716">
        <w:rPr>
          <w:bCs w:val="0"/>
          <w:szCs w:val="20"/>
        </w:rPr>
        <w:br/>
      </w:r>
      <w:r w:rsidR="00EC3C86" w:rsidRPr="00F35716">
        <w:rPr>
          <w:bCs w:val="0"/>
          <w:szCs w:val="20"/>
        </w:rPr>
        <w:t>Tasa de desempleo</w:t>
      </w:r>
    </w:p>
    <w:p w14:paraId="32E94451" w14:textId="77777777" w:rsidR="00735173" w:rsidRPr="00F35716" w:rsidRDefault="00735173" w:rsidP="008B1012">
      <w:pPr>
        <w:pStyle w:val="SingleTxt"/>
        <w:spacing w:after="0" w:line="120" w:lineRule="exact"/>
        <w:rPr>
          <w:sz w:val="10"/>
          <w:szCs w:val="20"/>
        </w:rPr>
      </w:pPr>
    </w:p>
    <w:tbl>
      <w:tblPr>
        <w:tblW w:w="7344" w:type="dxa"/>
        <w:tblInd w:w="1267" w:type="dxa"/>
        <w:tblLayout w:type="fixed"/>
        <w:tblCellMar>
          <w:left w:w="0" w:type="dxa"/>
          <w:right w:w="43" w:type="dxa"/>
        </w:tblCellMar>
        <w:tblLook w:val="04A0" w:firstRow="1" w:lastRow="0" w:firstColumn="1" w:lastColumn="0" w:noHBand="0" w:noVBand="1"/>
      </w:tblPr>
      <w:tblGrid>
        <w:gridCol w:w="3511"/>
        <w:gridCol w:w="1252"/>
        <w:gridCol w:w="1275"/>
        <w:gridCol w:w="1306"/>
      </w:tblGrid>
      <w:tr w:rsidR="00CD3930" w:rsidRPr="00F35716" w14:paraId="32E94456" w14:textId="77777777" w:rsidTr="002D14B3">
        <w:trPr>
          <w:trHeight w:val="70"/>
          <w:tblHeader/>
        </w:trPr>
        <w:tc>
          <w:tcPr>
            <w:tcW w:w="3511" w:type="dxa"/>
            <w:tcBorders>
              <w:top w:val="single" w:sz="4" w:space="0" w:color="auto"/>
              <w:bottom w:val="single" w:sz="12" w:space="0" w:color="auto"/>
            </w:tcBorders>
            <w:shd w:val="clear" w:color="auto" w:fill="auto"/>
            <w:vAlign w:val="bottom"/>
          </w:tcPr>
          <w:p w14:paraId="32E94452" w14:textId="74BD9E4D" w:rsidR="00EC3C86" w:rsidRPr="00F35716" w:rsidRDefault="00EC3C86" w:rsidP="00CD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r w:rsidRPr="00F35716">
              <w:rPr>
                <w:i/>
                <w:iCs/>
                <w:kern w:val="0"/>
                <w:sz w:val="14"/>
                <w:szCs w:val="14"/>
              </w:rPr>
              <w:t xml:space="preserve">Tasa de desempleo </w:t>
            </w:r>
            <w:r w:rsidR="00B02C3A" w:rsidRPr="00F35716">
              <w:rPr>
                <w:i/>
                <w:iCs/>
                <w:kern w:val="0"/>
                <w:sz w:val="14"/>
                <w:szCs w:val="14"/>
              </w:rPr>
              <w:t xml:space="preserve">en </w:t>
            </w:r>
            <w:r w:rsidRPr="00F35716">
              <w:rPr>
                <w:i/>
                <w:iCs/>
                <w:kern w:val="0"/>
                <w:sz w:val="14"/>
                <w:szCs w:val="14"/>
              </w:rPr>
              <w:t>2018 (</w:t>
            </w:r>
            <w:r w:rsidR="0006736D" w:rsidRPr="00F35716">
              <w:rPr>
                <w:i/>
                <w:iCs/>
                <w:kern w:val="0"/>
                <w:sz w:val="14"/>
                <w:szCs w:val="14"/>
              </w:rPr>
              <w:t>%</w:t>
            </w:r>
            <w:r w:rsidRPr="00F35716">
              <w:rPr>
                <w:i/>
                <w:iCs/>
                <w:kern w:val="0"/>
                <w:sz w:val="14"/>
                <w:szCs w:val="14"/>
              </w:rPr>
              <w:t xml:space="preserve">) </w:t>
            </w:r>
          </w:p>
        </w:tc>
        <w:tc>
          <w:tcPr>
            <w:tcW w:w="1252" w:type="dxa"/>
            <w:tcBorders>
              <w:top w:val="single" w:sz="4" w:space="0" w:color="auto"/>
              <w:bottom w:val="single" w:sz="12" w:space="0" w:color="auto"/>
            </w:tcBorders>
            <w:shd w:val="clear" w:color="auto" w:fill="auto"/>
            <w:vAlign w:val="bottom"/>
          </w:tcPr>
          <w:p w14:paraId="32E94453" w14:textId="77777777" w:rsidR="00EC3C86" w:rsidRPr="00F35716" w:rsidRDefault="00EC3C86" w:rsidP="00CD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Rural</w:t>
            </w:r>
          </w:p>
        </w:tc>
        <w:tc>
          <w:tcPr>
            <w:tcW w:w="1275" w:type="dxa"/>
            <w:tcBorders>
              <w:top w:val="single" w:sz="4" w:space="0" w:color="auto"/>
              <w:bottom w:val="single" w:sz="12" w:space="0" w:color="auto"/>
            </w:tcBorders>
            <w:shd w:val="clear" w:color="auto" w:fill="auto"/>
            <w:vAlign w:val="bottom"/>
          </w:tcPr>
          <w:p w14:paraId="32E94454" w14:textId="77777777" w:rsidR="00EC3C86" w:rsidRPr="00F35716" w:rsidRDefault="00EC3C86" w:rsidP="00CD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Urbano</w:t>
            </w:r>
          </w:p>
        </w:tc>
        <w:tc>
          <w:tcPr>
            <w:tcW w:w="1306" w:type="dxa"/>
            <w:tcBorders>
              <w:top w:val="single" w:sz="4" w:space="0" w:color="auto"/>
              <w:bottom w:val="single" w:sz="12" w:space="0" w:color="auto"/>
            </w:tcBorders>
            <w:shd w:val="clear" w:color="auto" w:fill="auto"/>
            <w:vAlign w:val="bottom"/>
          </w:tcPr>
          <w:p w14:paraId="32E94455" w14:textId="77777777" w:rsidR="00EC3C86" w:rsidRPr="00F35716" w:rsidRDefault="00EC3C86" w:rsidP="00CD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Nacional</w:t>
            </w:r>
          </w:p>
        </w:tc>
      </w:tr>
      <w:tr w:rsidR="00CD3930" w:rsidRPr="00F35716" w14:paraId="32E9445B" w14:textId="77777777" w:rsidTr="006D19F1">
        <w:trPr>
          <w:trHeight w:hRule="exact" w:val="115"/>
          <w:tblHeader/>
        </w:trPr>
        <w:tc>
          <w:tcPr>
            <w:tcW w:w="3511" w:type="dxa"/>
            <w:tcBorders>
              <w:top w:val="single" w:sz="12" w:space="0" w:color="auto"/>
            </w:tcBorders>
            <w:shd w:val="clear" w:color="auto" w:fill="auto"/>
            <w:vAlign w:val="bottom"/>
          </w:tcPr>
          <w:p w14:paraId="32E94457" w14:textId="77777777" w:rsidR="00CD3930" w:rsidRPr="00F35716" w:rsidRDefault="00CD3930" w:rsidP="00CD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1252" w:type="dxa"/>
            <w:tcBorders>
              <w:top w:val="single" w:sz="12" w:space="0" w:color="auto"/>
            </w:tcBorders>
            <w:shd w:val="clear" w:color="auto" w:fill="auto"/>
            <w:vAlign w:val="bottom"/>
          </w:tcPr>
          <w:p w14:paraId="32E94458" w14:textId="77777777" w:rsidR="00CD3930" w:rsidRPr="00F35716" w:rsidRDefault="00CD3930" w:rsidP="00CD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1275" w:type="dxa"/>
            <w:tcBorders>
              <w:top w:val="single" w:sz="12" w:space="0" w:color="auto"/>
            </w:tcBorders>
            <w:shd w:val="clear" w:color="auto" w:fill="auto"/>
            <w:vAlign w:val="bottom"/>
          </w:tcPr>
          <w:p w14:paraId="32E94459" w14:textId="77777777" w:rsidR="00CD3930" w:rsidRPr="00F35716" w:rsidRDefault="00CD3930" w:rsidP="00CD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1306" w:type="dxa"/>
            <w:tcBorders>
              <w:top w:val="single" w:sz="12" w:space="0" w:color="auto"/>
            </w:tcBorders>
            <w:shd w:val="clear" w:color="auto" w:fill="auto"/>
            <w:vAlign w:val="bottom"/>
          </w:tcPr>
          <w:p w14:paraId="32E9445A" w14:textId="77777777" w:rsidR="00CD3930" w:rsidRPr="00F35716" w:rsidRDefault="00CD3930" w:rsidP="00CD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r>
      <w:tr w:rsidR="006D19F1" w:rsidRPr="00F35716" w14:paraId="32E94460" w14:textId="77777777" w:rsidTr="006D19F1">
        <w:trPr>
          <w:trHeight w:val="117"/>
        </w:trPr>
        <w:tc>
          <w:tcPr>
            <w:tcW w:w="3511" w:type="dxa"/>
            <w:shd w:val="clear" w:color="auto" w:fill="auto"/>
            <w:vAlign w:val="bottom"/>
          </w:tcPr>
          <w:p w14:paraId="32E9445C" w14:textId="77777777" w:rsidR="00EC3C86" w:rsidRPr="00F35716" w:rsidRDefault="00EC3C86" w:rsidP="00BB0CA8">
            <w:pPr>
              <w:spacing w:before="40" w:after="80" w:line="210" w:lineRule="exact"/>
              <w:rPr>
                <w:bCs/>
                <w:sz w:val="17"/>
                <w:szCs w:val="17"/>
              </w:rPr>
            </w:pPr>
            <w:r w:rsidRPr="00F35716">
              <w:rPr>
                <w:bCs/>
                <w:sz w:val="17"/>
                <w:szCs w:val="17"/>
              </w:rPr>
              <w:t>Mujeres</w:t>
            </w:r>
          </w:p>
        </w:tc>
        <w:tc>
          <w:tcPr>
            <w:tcW w:w="1252" w:type="dxa"/>
            <w:shd w:val="clear" w:color="auto" w:fill="auto"/>
            <w:vAlign w:val="bottom"/>
          </w:tcPr>
          <w:p w14:paraId="32E9445D" w14:textId="77777777" w:rsidR="00EC3C86" w:rsidRPr="00F35716" w:rsidRDefault="00EC3C86" w:rsidP="00BB0CA8">
            <w:pPr>
              <w:spacing w:before="40" w:after="80" w:line="210" w:lineRule="exact"/>
              <w:jc w:val="right"/>
              <w:rPr>
                <w:sz w:val="17"/>
                <w:szCs w:val="17"/>
              </w:rPr>
            </w:pPr>
            <w:r w:rsidRPr="00F35716">
              <w:rPr>
                <w:sz w:val="17"/>
                <w:szCs w:val="17"/>
              </w:rPr>
              <w:t>2,5</w:t>
            </w:r>
          </w:p>
        </w:tc>
        <w:tc>
          <w:tcPr>
            <w:tcW w:w="1275" w:type="dxa"/>
            <w:shd w:val="clear" w:color="auto" w:fill="auto"/>
            <w:vAlign w:val="bottom"/>
          </w:tcPr>
          <w:p w14:paraId="32E9445E" w14:textId="77777777" w:rsidR="00EC3C86" w:rsidRPr="00F35716" w:rsidRDefault="00EC3C86" w:rsidP="00BB0CA8">
            <w:pPr>
              <w:spacing w:before="40" w:after="80" w:line="210" w:lineRule="exact"/>
              <w:jc w:val="right"/>
              <w:rPr>
                <w:sz w:val="17"/>
                <w:szCs w:val="17"/>
              </w:rPr>
            </w:pPr>
            <w:r w:rsidRPr="00F35716">
              <w:rPr>
                <w:sz w:val="17"/>
                <w:szCs w:val="17"/>
              </w:rPr>
              <w:t>24,3</w:t>
            </w:r>
          </w:p>
        </w:tc>
        <w:tc>
          <w:tcPr>
            <w:tcW w:w="1306" w:type="dxa"/>
            <w:shd w:val="clear" w:color="auto" w:fill="auto"/>
            <w:vAlign w:val="bottom"/>
          </w:tcPr>
          <w:p w14:paraId="32E9445F" w14:textId="77777777" w:rsidR="00EC3C86" w:rsidRPr="00F35716" w:rsidRDefault="00EC3C86" w:rsidP="00BB0CA8">
            <w:pPr>
              <w:spacing w:before="40" w:after="80" w:line="210" w:lineRule="exact"/>
              <w:jc w:val="right"/>
              <w:rPr>
                <w:sz w:val="17"/>
                <w:szCs w:val="17"/>
              </w:rPr>
            </w:pPr>
            <w:r w:rsidRPr="00F35716">
              <w:rPr>
                <w:sz w:val="17"/>
                <w:szCs w:val="17"/>
              </w:rPr>
              <w:t>14</w:t>
            </w:r>
          </w:p>
        </w:tc>
      </w:tr>
      <w:tr w:rsidR="006D19F1" w:rsidRPr="00F35716" w14:paraId="32E94465" w14:textId="77777777" w:rsidTr="002D14B3">
        <w:tc>
          <w:tcPr>
            <w:tcW w:w="3511" w:type="dxa"/>
            <w:tcBorders>
              <w:bottom w:val="single" w:sz="4" w:space="0" w:color="auto"/>
            </w:tcBorders>
            <w:shd w:val="clear" w:color="auto" w:fill="auto"/>
            <w:vAlign w:val="bottom"/>
          </w:tcPr>
          <w:p w14:paraId="32E94461" w14:textId="77777777" w:rsidR="00EC3C86" w:rsidRPr="00F35716" w:rsidRDefault="00EC3C86" w:rsidP="00BB0CA8">
            <w:pPr>
              <w:spacing w:before="40" w:after="80" w:line="210" w:lineRule="exact"/>
              <w:rPr>
                <w:bCs/>
                <w:sz w:val="17"/>
                <w:szCs w:val="17"/>
              </w:rPr>
            </w:pPr>
            <w:r w:rsidRPr="00F35716">
              <w:rPr>
                <w:bCs/>
                <w:sz w:val="17"/>
                <w:szCs w:val="17"/>
              </w:rPr>
              <w:t>Hombres</w:t>
            </w:r>
          </w:p>
        </w:tc>
        <w:tc>
          <w:tcPr>
            <w:tcW w:w="1252" w:type="dxa"/>
            <w:tcBorders>
              <w:bottom w:val="single" w:sz="4" w:space="0" w:color="auto"/>
            </w:tcBorders>
            <w:shd w:val="clear" w:color="auto" w:fill="auto"/>
            <w:vAlign w:val="bottom"/>
          </w:tcPr>
          <w:p w14:paraId="32E94462" w14:textId="77777777" w:rsidR="00EC3C86" w:rsidRPr="00F35716" w:rsidRDefault="00EC3C86" w:rsidP="00BB0CA8">
            <w:pPr>
              <w:spacing w:before="40" w:after="80" w:line="210" w:lineRule="exact"/>
              <w:jc w:val="right"/>
              <w:rPr>
                <w:sz w:val="17"/>
                <w:szCs w:val="17"/>
              </w:rPr>
            </w:pPr>
            <w:r w:rsidRPr="00F35716">
              <w:rPr>
                <w:sz w:val="17"/>
                <w:szCs w:val="17"/>
              </w:rPr>
              <w:t>3,9</w:t>
            </w:r>
          </w:p>
        </w:tc>
        <w:tc>
          <w:tcPr>
            <w:tcW w:w="1275" w:type="dxa"/>
            <w:tcBorders>
              <w:bottom w:val="single" w:sz="4" w:space="0" w:color="auto"/>
            </w:tcBorders>
            <w:shd w:val="clear" w:color="auto" w:fill="auto"/>
            <w:vAlign w:val="bottom"/>
          </w:tcPr>
          <w:p w14:paraId="32E94463" w14:textId="77777777" w:rsidR="00EC3C86" w:rsidRPr="00F35716" w:rsidRDefault="00EC3C86" w:rsidP="00BB0CA8">
            <w:pPr>
              <w:spacing w:before="40" w:after="80" w:line="210" w:lineRule="exact"/>
              <w:jc w:val="right"/>
              <w:rPr>
                <w:sz w:val="17"/>
                <w:szCs w:val="17"/>
              </w:rPr>
            </w:pPr>
            <w:r w:rsidRPr="00F35716">
              <w:rPr>
                <w:sz w:val="17"/>
                <w:szCs w:val="17"/>
              </w:rPr>
              <w:t>11,4</w:t>
            </w:r>
          </w:p>
        </w:tc>
        <w:tc>
          <w:tcPr>
            <w:tcW w:w="1306" w:type="dxa"/>
            <w:tcBorders>
              <w:bottom w:val="single" w:sz="4" w:space="0" w:color="auto"/>
            </w:tcBorders>
            <w:shd w:val="clear" w:color="auto" w:fill="auto"/>
            <w:vAlign w:val="bottom"/>
          </w:tcPr>
          <w:p w14:paraId="32E94464" w14:textId="77777777" w:rsidR="00EC3C86" w:rsidRPr="00F35716" w:rsidRDefault="00EC3C86" w:rsidP="00BB0CA8">
            <w:pPr>
              <w:spacing w:before="40" w:after="80" w:line="210" w:lineRule="exact"/>
              <w:jc w:val="right"/>
              <w:rPr>
                <w:sz w:val="17"/>
                <w:szCs w:val="17"/>
              </w:rPr>
            </w:pPr>
            <w:r w:rsidRPr="00F35716">
              <w:rPr>
                <w:sz w:val="17"/>
                <w:szCs w:val="17"/>
              </w:rPr>
              <w:t>8,4</w:t>
            </w:r>
          </w:p>
        </w:tc>
      </w:tr>
      <w:tr w:rsidR="006D19F1" w:rsidRPr="00F35716" w14:paraId="32E9446A" w14:textId="77777777" w:rsidTr="0014163F">
        <w:tc>
          <w:tcPr>
            <w:tcW w:w="3511" w:type="dxa"/>
            <w:tcBorders>
              <w:top w:val="single" w:sz="4" w:space="0" w:color="auto"/>
              <w:bottom w:val="single" w:sz="4" w:space="0" w:color="auto"/>
            </w:tcBorders>
            <w:shd w:val="clear" w:color="auto" w:fill="auto"/>
            <w:vAlign w:val="bottom"/>
          </w:tcPr>
          <w:p w14:paraId="32E94466" w14:textId="77777777" w:rsidR="00EC3C86" w:rsidRPr="00F35716" w:rsidRDefault="002D14B3" w:rsidP="00534208">
            <w:pPr>
              <w:tabs>
                <w:tab w:val="left" w:pos="365"/>
              </w:tabs>
              <w:spacing w:before="40" w:after="80" w:line="210" w:lineRule="exact"/>
              <w:rPr>
                <w:b/>
                <w:bCs/>
                <w:sz w:val="17"/>
                <w:szCs w:val="17"/>
              </w:rPr>
            </w:pPr>
            <w:r w:rsidRPr="00F35716">
              <w:rPr>
                <w:b/>
                <w:bCs/>
                <w:sz w:val="17"/>
                <w:szCs w:val="17"/>
              </w:rPr>
              <w:tab/>
            </w:r>
            <w:r w:rsidR="00EC3C86" w:rsidRPr="00F35716">
              <w:rPr>
                <w:b/>
                <w:bCs/>
                <w:sz w:val="17"/>
                <w:szCs w:val="17"/>
              </w:rPr>
              <w:t>Total</w:t>
            </w:r>
          </w:p>
        </w:tc>
        <w:tc>
          <w:tcPr>
            <w:tcW w:w="1252" w:type="dxa"/>
            <w:tcBorders>
              <w:top w:val="single" w:sz="4" w:space="0" w:color="auto"/>
              <w:bottom w:val="single" w:sz="4" w:space="0" w:color="auto"/>
            </w:tcBorders>
            <w:shd w:val="clear" w:color="auto" w:fill="auto"/>
            <w:vAlign w:val="bottom"/>
          </w:tcPr>
          <w:p w14:paraId="32E94467" w14:textId="77777777" w:rsidR="00EC3C86" w:rsidRPr="00F35716" w:rsidRDefault="00EC3C86" w:rsidP="00534208">
            <w:pPr>
              <w:spacing w:before="40" w:after="80" w:line="210" w:lineRule="exact"/>
              <w:jc w:val="right"/>
              <w:rPr>
                <w:b/>
                <w:sz w:val="17"/>
                <w:szCs w:val="17"/>
              </w:rPr>
            </w:pPr>
            <w:r w:rsidRPr="00F35716">
              <w:rPr>
                <w:b/>
                <w:sz w:val="17"/>
                <w:szCs w:val="17"/>
              </w:rPr>
              <w:t>3,5</w:t>
            </w:r>
          </w:p>
        </w:tc>
        <w:tc>
          <w:tcPr>
            <w:tcW w:w="1275" w:type="dxa"/>
            <w:tcBorders>
              <w:top w:val="single" w:sz="4" w:space="0" w:color="auto"/>
              <w:bottom w:val="single" w:sz="4" w:space="0" w:color="auto"/>
            </w:tcBorders>
            <w:shd w:val="clear" w:color="auto" w:fill="auto"/>
            <w:vAlign w:val="bottom"/>
          </w:tcPr>
          <w:p w14:paraId="32E94468" w14:textId="77777777" w:rsidR="00EC3C86" w:rsidRPr="00F35716" w:rsidRDefault="00EC3C86" w:rsidP="00534208">
            <w:pPr>
              <w:spacing w:before="40" w:after="80" w:line="210" w:lineRule="exact"/>
              <w:jc w:val="right"/>
              <w:rPr>
                <w:b/>
                <w:sz w:val="17"/>
                <w:szCs w:val="17"/>
              </w:rPr>
            </w:pPr>
            <w:r w:rsidRPr="00F35716">
              <w:rPr>
                <w:b/>
                <w:sz w:val="17"/>
                <w:szCs w:val="17"/>
              </w:rPr>
              <w:t>14,2</w:t>
            </w:r>
          </w:p>
        </w:tc>
        <w:tc>
          <w:tcPr>
            <w:tcW w:w="1306" w:type="dxa"/>
            <w:tcBorders>
              <w:top w:val="single" w:sz="4" w:space="0" w:color="auto"/>
              <w:bottom w:val="single" w:sz="4" w:space="0" w:color="auto"/>
            </w:tcBorders>
            <w:shd w:val="clear" w:color="auto" w:fill="auto"/>
            <w:vAlign w:val="bottom"/>
          </w:tcPr>
          <w:p w14:paraId="32E94469" w14:textId="77777777" w:rsidR="00EC3C86" w:rsidRPr="00F35716" w:rsidRDefault="00EC3C86" w:rsidP="00534208">
            <w:pPr>
              <w:spacing w:before="40" w:after="80" w:line="210" w:lineRule="exact"/>
              <w:jc w:val="right"/>
              <w:rPr>
                <w:b/>
                <w:sz w:val="17"/>
                <w:szCs w:val="17"/>
              </w:rPr>
            </w:pPr>
            <w:r w:rsidRPr="00F35716">
              <w:rPr>
                <w:b/>
                <w:sz w:val="17"/>
                <w:szCs w:val="17"/>
              </w:rPr>
              <w:t>9,8</w:t>
            </w:r>
          </w:p>
        </w:tc>
      </w:tr>
      <w:tr w:rsidR="006D19F1" w:rsidRPr="00F35716" w14:paraId="32E9446F" w14:textId="77777777" w:rsidTr="0014163F">
        <w:tc>
          <w:tcPr>
            <w:tcW w:w="3511" w:type="dxa"/>
            <w:tcBorders>
              <w:top w:val="single" w:sz="4" w:space="0" w:color="auto"/>
              <w:bottom w:val="single" w:sz="4" w:space="0" w:color="auto"/>
            </w:tcBorders>
            <w:shd w:val="clear" w:color="auto" w:fill="auto"/>
            <w:vAlign w:val="bottom"/>
          </w:tcPr>
          <w:p w14:paraId="32E9446B" w14:textId="1C1E2CD8" w:rsidR="00EC3C86" w:rsidRPr="00F35716" w:rsidRDefault="00EC3C86" w:rsidP="00BB0CA8">
            <w:pPr>
              <w:spacing w:before="40" w:after="80" w:line="210" w:lineRule="exact"/>
              <w:rPr>
                <w:bCs/>
                <w:sz w:val="17"/>
                <w:szCs w:val="17"/>
              </w:rPr>
            </w:pPr>
            <w:r w:rsidRPr="00F35716">
              <w:rPr>
                <w:bCs/>
                <w:sz w:val="17"/>
                <w:szCs w:val="17"/>
              </w:rPr>
              <w:t xml:space="preserve">Tasa de actividad </w:t>
            </w:r>
            <w:r w:rsidR="00B02C3A" w:rsidRPr="00F35716">
              <w:rPr>
                <w:bCs/>
                <w:sz w:val="17"/>
                <w:szCs w:val="17"/>
              </w:rPr>
              <w:t xml:space="preserve">en </w:t>
            </w:r>
            <w:r w:rsidRPr="00F35716">
              <w:rPr>
                <w:bCs/>
                <w:sz w:val="17"/>
                <w:szCs w:val="17"/>
              </w:rPr>
              <w:t>2018 (</w:t>
            </w:r>
            <w:r w:rsidR="0006736D" w:rsidRPr="00F35716">
              <w:rPr>
                <w:bCs/>
                <w:sz w:val="17"/>
                <w:szCs w:val="17"/>
              </w:rPr>
              <w:t>%</w:t>
            </w:r>
            <w:r w:rsidRPr="00F35716">
              <w:rPr>
                <w:bCs/>
                <w:sz w:val="17"/>
                <w:szCs w:val="17"/>
              </w:rPr>
              <w:t>)</w:t>
            </w:r>
          </w:p>
        </w:tc>
        <w:tc>
          <w:tcPr>
            <w:tcW w:w="1252" w:type="dxa"/>
            <w:tcBorders>
              <w:top w:val="single" w:sz="4" w:space="0" w:color="auto"/>
              <w:bottom w:val="single" w:sz="4" w:space="0" w:color="auto"/>
            </w:tcBorders>
            <w:shd w:val="clear" w:color="auto" w:fill="auto"/>
            <w:vAlign w:val="bottom"/>
          </w:tcPr>
          <w:p w14:paraId="32E9446C" w14:textId="77777777" w:rsidR="00EC3C86" w:rsidRPr="00F35716" w:rsidRDefault="00EC3C86" w:rsidP="00BB0CA8">
            <w:pPr>
              <w:spacing w:before="40" w:after="80" w:line="210" w:lineRule="exact"/>
              <w:jc w:val="right"/>
              <w:rPr>
                <w:sz w:val="17"/>
                <w:szCs w:val="17"/>
                <w:rtl/>
              </w:rPr>
            </w:pPr>
          </w:p>
        </w:tc>
        <w:tc>
          <w:tcPr>
            <w:tcW w:w="1275" w:type="dxa"/>
            <w:tcBorders>
              <w:top w:val="single" w:sz="4" w:space="0" w:color="auto"/>
              <w:bottom w:val="single" w:sz="4" w:space="0" w:color="auto"/>
            </w:tcBorders>
            <w:shd w:val="clear" w:color="auto" w:fill="auto"/>
            <w:vAlign w:val="bottom"/>
          </w:tcPr>
          <w:p w14:paraId="32E9446D" w14:textId="77777777" w:rsidR="00EC3C86" w:rsidRPr="00F35716" w:rsidRDefault="00EC3C86" w:rsidP="00BB0CA8">
            <w:pPr>
              <w:spacing w:before="40" w:after="80" w:line="210" w:lineRule="exact"/>
              <w:jc w:val="right"/>
              <w:rPr>
                <w:sz w:val="17"/>
                <w:szCs w:val="17"/>
                <w:rtl/>
              </w:rPr>
            </w:pPr>
          </w:p>
        </w:tc>
        <w:tc>
          <w:tcPr>
            <w:tcW w:w="1306" w:type="dxa"/>
            <w:tcBorders>
              <w:top w:val="single" w:sz="4" w:space="0" w:color="auto"/>
              <w:bottom w:val="single" w:sz="4" w:space="0" w:color="auto"/>
            </w:tcBorders>
            <w:shd w:val="clear" w:color="auto" w:fill="auto"/>
            <w:vAlign w:val="bottom"/>
          </w:tcPr>
          <w:p w14:paraId="32E9446E" w14:textId="77777777" w:rsidR="00EC3C86" w:rsidRPr="00F35716" w:rsidRDefault="00EC3C86" w:rsidP="00BB0CA8">
            <w:pPr>
              <w:spacing w:before="40" w:after="80" w:line="210" w:lineRule="exact"/>
              <w:jc w:val="right"/>
              <w:rPr>
                <w:sz w:val="17"/>
                <w:szCs w:val="17"/>
                <w:rtl/>
              </w:rPr>
            </w:pPr>
          </w:p>
        </w:tc>
      </w:tr>
      <w:tr w:rsidR="00BB0CA8" w:rsidRPr="00F35716" w14:paraId="32E94474" w14:textId="77777777" w:rsidTr="0014163F">
        <w:tc>
          <w:tcPr>
            <w:tcW w:w="3511" w:type="dxa"/>
            <w:tcBorders>
              <w:top w:val="single" w:sz="4" w:space="0" w:color="auto"/>
            </w:tcBorders>
            <w:shd w:val="clear" w:color="auto" w:fill="auto"/>
            <w:vAlign w:val="bottom"/>
          </w:tcPr>
          <w:p w14:paraId="32E94470" w14:textId="77777777" w:rsidR="00EC3C86" w:rsidRPr="00F35716" w:rsidRDefault="00EC3C86" w:rsidP="00BB0CA8">
            <w:pPr>
              <w:spacing w:before="40" w:after="80" w:line="210" w:lineRule="exact"/>
              <w:rPr>
                <w:bCs/>
                <w:sz w:val="17"/>
                <w:szCs w:val="17"/>
              </w:rPr>
            </w:pPr>
            <w:r w:rsidRPr="00F35716">
              <w:rPr>
                <w:bCs/>
                <w:sz w:val="17"/>
                <w:szCs w:val="17"/>
              </w:rPr>
              <w:t>Mujeres</w:t>
            </w:r>
          </w:p>
        </w:tc>
        <w:tc>
          <w:tcPr>
            <w:tcW w:w="1252" w:type="dxa"/>
            <w:tcBorders>
              <w:top w:val="single" w:sz="4" w:space="0" w:color="auto"/>
            </w:tcBorders>
            <w:shd w:val="clear" w:color="auto" w:fill="auto"/>
            <w:vAlign w:val="bottom"/>
          </w:tcPr>
          <w:p w14:paraId="32E94471" w14:textId="77777777" w:rsidR="00EC3C86" w:rsidRPr="00F35716" w:rsidRDefault="00EC3C86" w:rsidP="00BB0CA8">
            <w:pPr>
              <w:spacing w:before="40" w:after="80" w:line="210" w:lineRule="exact"/>
              <w:jc w:val="right"/>
              <w:rPr>
                <w:sz w:val="17"/>
                <w:szCs w:val="17"/>
              </w:rPr>
            </w:pPr>
            <w:r w:rsidRPr="00F35716">
              <w:rPr>
                <w:sz w:val="17"/>
                <w:szCs w:val="17"/>
              </w:rPr>
              <w:t>29,7</w:t>
            </w:r>
          </w:p>
        </w:tc>
        <w:tc>
          <w:tcPr>
            <w:tcW w:w="1275" w:type="dxa"/>
            <w:tcBorders>
              <w:top w:val="single" w:sz="4" w:space="0" w:color="auto"/>
            </w:tcBorders>
            <w:shd w:val="clear" w:color="auto" w:fill="auto"/>
            <w:vAlign w:val="bottom"/>
          </w:tcPr>
          <w:p w14:paraId="32E94472" w14:textId="77777777" w:rsidR="00EC3C86" w:rsidRPr="00F35716" w:rsidRDefault="00EC3C86" w:rsidP="00BB0CA8">
            <w:pPr>
              <w:spacing w:before="40" w:after="80" w:line="210" w:lineRule="exact"/>
              <w:jc w:val="right"/>
              <w:rPr>
                <w:sz w:val="17"/>
                <w:szCs w:val="17"/>
              </w:rPr>
            </w:pPr>
            <w:r w:rsidRPr="00F35716">
              <w:rPr>
                <w:sz w:val="17"/>
                <w:szCs w:val="17"/>
              </w:rPr>
              <w:t>18,1</w:t>
            </w:r>
          </w:p>
        </w:tc>
        <w:tc>
          <w:tcPr>
            <w:tcW w:w="1306" w:type="dxa"/>
            <w:tcBorders>
              <w:top w:val="single" w:sz="4" w:space="0" w:color="auto"/>
            </w:tcBorders>
            <w:shd w:val="clear" w:color="auto" w:fill="auto"/>
            <w:vAlign w:val="bottom"/>
          </w:tcPr>
          <w:p w14:paraId="32E94473" w14:textId="77777777" w:rsidR="00EC3C86" w:rsidRPr="00F35716" w:rsidRDefault="00EC3C86" w:rsidP="00BB0CA8">
            <w:pPr>
              <w:spacing w:before="40" w:after="80" w:line="210" w:lineRule="exact"/>
              <w:jc w:val="right"/>
              <w:rPr>
                <w:sz w:val="17"/>
                <w:szCs w:val="17"/>
              </w:rPr>
            </w:pPr>
            <w:r w:rsidRPr="00F35716">
              <w:rPr>
                <w:sz w:val="17"/>
                <w:szCs w:val="17"/>
              </w:rPr>
              <w:t>22,2</w:t>
            </w:r>
          </w:p>
        </w:tc>
      </w:tr>
      <w:tr w:rsidR="00CD3930" w:rsidRPr="00F35716" w14:paraId="32E94479" w14:textId="77777777" w:rsidTr="0094503C">
        <w:tc>
          <w:tcPr>
            <w:tcW w:w="3511" w:type="dxa"/>
            <w:tcBorders>
              <w:bottom w:val="single" w:sz="4" w:space="0" w:color="auto"/>
            </w:tcBorders>
            <w:shd w:val="clear" w:color="auto" w:fill="auto"/>
            <w:vAlign w:val="bottom"/>
          </w:tcPr>
          <w:p w14:paraId="32E94475" w14:textId="77777777" w:rsidR="00EC3C86" w:rsidRPr="00F35716" w:rsidRDefault="00EC3C86" w:rsidP="00BB0CA8">
            <w:pPr>
              <w:spacing w:before="40" w:after="80" w:line="210" w:lineRule="exact"/>
              <w:rPr>
                <w:bCs/>
                <w:sz w:val="17"/>
                <w:szCs w:val="17"/>
              </w:rPr>
            </w:pPr>
            <w:r w:rsidRPr="00F35716">
              <w:rPr>
                <w:bCs/>
                <w:sz w:val="17"/>
                <w:szCs w:val="17"/>
              </w:rPr>
              <w:t>Hombres</w:t>
            </w:r>
          </w:p>
        </w:tc>
        <w:tc>
          <w:tcPr>
            <w:tcW w:w="1252" w:type="dxa"/>
            <w:tcBorders>
              <w:bottom w:val="single" w:sz="4" w:space="0" w:color="auto"/>
            </w:tcBorders>
            <w:shd w:val="clear" w:color="auto" w:fill="auto"/>
            <w:vAlign w:val="bottom"/>
          </w:tcPr>
          <w:p w14:paraId="32E94476" w14:textId="77777777" w:rsidR="00EC3C86" w:rsidRPr="00F35716" w:rsidRDefault="00EC3C86" w:rsidP="00BB0CA8">
            <w:pPr>
              <w:spacing w:before="40" w:after="80" w:line="210" w:lineRule="exact"/>
              <w:jc w:val="right"/>
              <w:rPr>
                <w:sz w:val="17"/>
                <w:szCs w:val="17"/>
              </w:rPr>
            </w:pPr>
            <w:r w:rsidRPr="00F35716">
              <w:rPr>
                <w:sz w:val="17"/>
                <w:szCs w:val="17"/>
              </w:rPr>
              <w:t>77,9</w:t>
            </w:r>
          </w:p>
        </w:tc>
        <w:tc>
          <w:tcPr>
            <w:tcW w:w="1275" w:type="dxa"/>
            <w:tcBorders>
              <w:bottom w:val="single" w:sz="4" w:space="0" w:color="auto"/>
            </w:tcBorders>
            <w:shd w:val="clear" w:color="auto" w:fill="auto"/>
            <w:vAlign w:val="bottom"/>
          </w:tcPr>
          <w:p w14:paraId="32E94477" w14:textId="77777777" w:rsidR="00EC3C86" w:rsidRPr="00F35716" w:rsidRDefault="00EC3C86" w:rsidP="00BB0CA8">
            <w:pPr>
              <w:spacing w:before="40" w:after="80" w:line="210" w:lineRule="exact"/>
              <w:jc w:val="right"/>
              <w:rPr>
                <w:sz w:val="17"/>
                <w:szCs w:val="17"/>
              </w:rPr>
            </w:pPr>
            <w:r w:rsidRPr="00F35716">
              <w:rPr>
                <w:sz w:val="17"/>
                <w:szCs w:val="17"/>
              </w:rPr>
              <w:t>66,9</w:t>
            </w:r>
          </w:p>
        </w:tc>
        <w:tc>
          <w:tcPr>
            <w:tcW w:w="1306" w:type="dxa"/>
            <w:tcBorders>
              <w:bottom w:val="single" w:sz="4" w:space="0" w:color="auto"/>
            </w:tcBorders>
            <w:shd w:val="clear" w:color="auto" w:fill="auto"/>
            <w:vAlign w:val="bottom"/>
          </w:tcPr>
          <w:p w14:paraId="32E94478" w14:textId="77777777" w:rsidR="00EC3C86" w:rsidRPr="00F35716" w:rsidRDefault="00EC3C86" w:rsidP="00BB0CA8">
            <w:pPr>
              <w:spacing w:before="40" w:after="80" w:line="210" w:lineRule="exact"/>
              <w:jc w:val="right"/>
              <w:rPr>
                <w:sz w:val="17"/>
                <w:szCs w:val="17"/>
              </w:rPr>
            </w:pPr>
            <w:r w:rsidRPr="00F35716">
              <w:rPr>
                <w:sz w:val="17"/>
                <w:szCs w:val="17"/>
              </w:rPr>
              <w:t>70,9</w:t>
            </w:r>
          </w:p>
        </w:tc>
      </w:tr>
      <w:tr w:rsidR="00CD3930" w:rsidRPr="00F35716" w14:paraId="32E9447E" w14:textId="77777777" w:rsidTr="0094503C">
        <w:tc>
          <w:tcPr>
            <w:tcW w:w="3511" w:type="dxa"/>
            <w:tcBorders>
              <w:top w:val="single" w:sz="4" w:space="0" w:color="auto"/>
              <w:bottom w:val="single" w:sz="12" w:space="0" w:color="auto"/>
            </w:tcBorders>
            <w:shd w:val="clear" w:color="auto" w:fill="auto"/>
            <w:vAlign w:val="bottom"/>
          </w:tcPr>
          <w:p w14:paraId="32E9447A" w14:textId="77777777" w:rsidR="00EC3C86" w:rsidRPr="00F35716" w:rsidRDefault="0094503C" w:rsidP="00534208">
            <w:pPr>
              <w:tabs>
                <w:tab w:val="left" w:pos="365"/>
              </w:tabs>
              <w:spacing w:before="80" w:after="80" w:line="210" w:lineRule="exact"/>
              <w:rPr>
                <w:b/>
                <w:bCs/>
                <w:sz w:val="17"/>
                <w:szCs w:val="17"/>
              </w:rPr>
            </w:pPr>
            <w:r w:rsidRPr="00F35716">
              <w:rPr>
                <w:b/>
                <w:bCs/>
                <w:sz w:val="17"/>
                <w:szCs w:val="17"/>
              </w:rPr>
              <w:tab/>
            </w:r>
            <w:r w:rsidR="00EC3C86" w:rsidRPr="00F35716">
              <w:rPr>
                <w:b/>
                <w:bCs/>
                <w:sz w:val="17"/>
                <w:szCs w:val="17"/>
              </w:rPr>
              <w:t>Total</w:t>
            </w:r>
          </w:p>
        </w:tc>
        <w:tc>
          <w:tcPr>
            <w:tcW w:w="1252" w:type="dxa"/>
            <w:tcBorders>
              <w:top w:val="single" w:sz="4" w:space="0" w:color="auto"/>
              <w:bottom w:val="single" w:sz="12" w:space="0" w:color="auto"/>
            </w:tcBorders>
            <w:shd w:val="clear" w:color="auto" w:fill="auto"/>
            <w:vAlign w:val="bottom"/>
          </w:tcPr>
          <w:p w14:paraId="32E9447B" w14:textId="77777777" w:rsidR="00EC3C86" w:rsidRPr="00F35716" w:rsidRDefault="00EC3C86" w:rsidP="00534208">
            <w:pPr>
              <w:spacing w:before="80" w:after="80" w:line="210" w:lineRule="exact"/>
              <w:jc w:val="right"/>
              <w:rPr>
                <w:b/>
                <w:sz w:val="17"/>
                <w:szCs w:val="17"/>
              </w:rPr>
            </w:pPr>
            <w:r w:rsidRPr="00F35716">
              <w:rPr>
                <w:b/>
                <w:sz w:val="17"/>
                <w:szCs w:val="17"/>
              </w:rPr>
              <w:t>53,9</w:t>
            </w:r>
          </w:p>
        </w:tc>
        <w:tc>
          <w:tcPr>
            <w:tcW w:w="1275" w:type="dxa"/>
            <w:tcBorders>
              <w:top w:val="single" w:sz="4" w:space="0" w:color="auto"/>
              <w:bottom w:val="single" w:sz="12" w:space="0" w:color="auto"/>
            </w:tcBorders>
            <w:shd w:val="clear" w:color="auto" w:fill="auto"/>
            <w:vAlign w:val="bottom"/>
          </w:tcPr>
          <w:p w14:paraId="32E9447C" w14:textId="77777777" w:rsidR="00EC3C86" w:rsidRPr="00F35716" w:rsidRDefault="00EC3C86" w:rsidP="00534208">
            <w:pPr>
              <w:spacing w:before="80" w:after="80" w:line="210" w:lineRule="exact"/>
              <w:jc w:val="right"/>
              <w:rPr>
                <w:b/>
                <w:sz w:val="17"/>
                <w:szCs w:val="17"/>
              </w:rPr>
            </w:pPr>
            <w:r w:rsidRPr="00F35716">
              <w:rPr>
                <w:b/>
                <w:sz w:val="17"/>
                <w:szCs w:val="17"/>
              </w:rPr>
              <w:t>41,8</w:t>
            </w:r>
          </w:p>
        </w:tc>
        <w:tc>
          <w:tcPr>
            <w:tcW w:w="1306" w:type="dxa"/>
            <w:tcBorders>
              <w:top w:val="single" w:sz="4" w:space="0" w:color="auto"/>
              <w:bottom w:val="single" w:sz="12" w:space="0" w:color="auto"/>
            </w:tcBorders>
            <w:shd w:val="clear" w:color="auto" w:fill="auto"/>
            <w:vAlign w:val="bottom"/>
          </w:tcPr>
          <w:p w14:paraId="32E9447D" w14:textId="77777777" w:rsidR="00EC3C86" w:rsidRPr="00F35716" w:rsidRDefault="00EC3C86" w:rsidP="00534208">
            <w:pPr>
              <w:spacing w:before="80" w:after="80" w:line="210" w:lineRule="exact"/>
              <w:jc w:val="right"/>
              <w:rPr>
                <w:b/>
                <w:sz w:val="17"/>
                <w:szCs w:val="17"/>
              </w:rPr>
            </w:pPr>
            <w:r w:rsidRPr="00F35716">
              <w:rPr>
                <w:b/>
                <w:sz w:val="17"/>
                <w:szCs w:val="17"/>
              </w:rPr>
              <w:t>46,2</w:t>
            </w:r>
          </w:p>
        </w:tc>
      </w:tr>
    </w:tbl>
    <w:p w14:paraId="32E9447F" w14:textId="77777777" w:rsidR="008B1012" w:rsidRPr="00F35716" w:rsidRDefault="008B1012" w:rsidP="008B1012">
      <w:pPr>
        <w:pStyle w:val="SingleTxt"/>
        <w:spacing w:after="0" w:line="120" w:lineRule="exact"/>
        <w:rPr>
          <w:sz w:val="10"/>
          <w:szCs w:val="20"/>
        </w:rPr>
      </w:pPr>
    </w:p>
    <w:p w14:paraId="32E94480" w14:textId="77777777" w:rsidR="008B1012" w:rsidRPr="00F35716" w:rsidRDefault="008B1012" w:rsidP="008B1012">
      <w:pPr>
        <w:pStyle w:val="SingleTxt"/>
        <w:spacing w:after="0" w:line="120" w:lineRule="exact"/>
        <w:rPr>
          <w:sz w:val="10"/>
          <w:szCs w:val="20"/>
        </w:rPr>
      </w:pPr>
    </w:p>
    <w:p w14:paraId="32E94481" w14:textId="77777777" w:rsidR="00EC3C86" w:rsidRPr="00F35716" w:rsidRDefault="00735173"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 w:val="0"/>
          <w:bCs w:val="0"/>
          <w:szCs w:val="20"/>
        </w:rPr>
        <w:t xml:space="preserve">Tabla 10: </w:t>
      </w:r>
      <w:r w:rsidRPr="00F35716">
        <w:rPr>
          <w:bCs w:val="0"/>
          <w:szCs w:val="20"/>
        </w:rPr>
        <w:br/>
      </w:r>
      <w:r w:rsidR="00EC3C86" w:rsidRPr="00F35716">
        <w:rPr>
          <w:bCs w:val="0"/>
          <w:szCs w:val="20"/>
        </w:rPr>
        <w:t>Cobertura social</w:t>
      </w:r>
    </w:p>
    <w:p w14:paraId="32E94482" w14:textId="77777777" w:rsidR="00735173" w:rsidRPr="00F35716" w:rsidRDefault="00735173" w:rsidP="008B1012">
      <w:pPr>
        <w:pStyle w:val="SingleTxt"/>
        <w:spacing w:after="0" w:line="120" w:lineRule="exact"/>
        <w:rPr>
          <w:sz w:val="10"/>
          <w:szCs w:val="20"/>
        </w:rPr>
      </w:pPr>
    </w:p>
    <w:tbl>
      <w:tblPr>
        <w:tblW w:w="7344" w:type="dxa"/>
        <w:tblInd w:w="1267" w:type="dxa"/>
        <w:tblLayout w:type="fixed"/>
        <w:tblCellMar>
          <w:left w:w="0" w:type="dxa"/>
          <w:right w:w="43" w:type="dxa"/>
        </w:tblCellMar>
        <w:tblLook w:val="04A0" w:firstRow="1" w:lastRow="0" w:firstColumn="1" w:lastColumn="0" w:noHBand="0" w:noVBand="1"/>
      </w:tblPr>
      <w:tblGrid>
        <w:gridCol w:w="4763"/>
        <w:gridCol w:w="1260"/>
        <w:gridCol w:w="1321"/>
      </w:tblGrid>
      <w:tr w:rsidR="00EC3C86" w:rsidRPr="00F35716" w14:paraId="32E94486" w14:textId="77777777" w:rsidTr="00647053">
        <w:trPr>
          <w:trHeight w:val="307"/>
          <w:tblHeader/>
        </w:trPr>
        <w:tc>
          <w:tcPr>
            <w:tcW w:w="4763" w:type="dxa"/>
            <w:tcBorders>
              <w:top w:val="single" w:sz="4" w:space="0" w:color="auto"/>
              <w:bottom w:val="single" w:sz="12" w:space="0" w:color="auto"/>
            </w:tcBorders>
            <w:shd w:val="clear" w:color="auto" w:fill="auto"/>
            <w:vAlign w:val="bottom"/>
          </w:tcPr>
          <w:p w14:paraId="32E94483" w14:textId="77777777" w:rsidR="00EC3C86" w:rsidRPr="00F35716" w:rsidRDefault="00EC3C86" w:rsidP="00CD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r w:rsidRPr="00F35716">
              <w:rPr>
                <w:i/>
                <w:iCs/>
                <w:kern w:val="0"/>
                <w:sz w:val="14"/>
                <w:szCs w:val="14"/>
              </w:rPr>
              <w:t xml:space="preserve">Porcentaje de cobertura para la población activa trabajadora </w:t>
            </w:r>
            <w:r w:rsidR="00CD3930" w:rsidRPr="00F35716">
              <w:rPr>
                <w:i/>
                <w:iCs/>
                <w:kern w:val="0"/>
                <w:sz w:val="14"/>
                <w:szCs w:val="14"/>
              </w:rPr>
              <w:br/>
            </w:r>
            <w:r w:rsidRPr="00F35716">
              <w:rPr>
                <w:i/>
                <w:iCs/>
                <w:kern w:val="0"/>
                <w:sz w:val="14"/>
                <w:szCs w:val="14"/>
              </w:rPr>
              <w:t>(mayores de 15 años) (2018)</w:t>
            </w:r>
          </w:p>
        </w:tc>
        <w:tc>
          <w:tcPr>
            <w:tcW w:w="1260" w:type="dxa"/>
            <w:tcBorders>
              <w:top w:val="single" w:sz="4" w:space="0" w:color="auto"/>
              <w:bottom w:val="single" w:sz="12" w:space="0" w:color="auto"/>
            </w:tcBorders>
            <w:shd w:val="clear" w:color="auto" w:fill="auto"/>
            <w:vAlign w:val="bottom"/>
          </w:tcPr>
          <w:p w14:paraId="32E94484" w14:textId="77777777" w:rsidR="00EC3C86" w:rsidRPr="00F35716" w:rsidRDefault="00EC3C86" w:rsidP="00CD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Mujeres</w:t>
            </w:r>
          </w:p>
        </w:tc>
        <w:tc>
          <w:tcPr>
            <w:tcW w:w="1321" w:type="dxa"/>
            <w:tcBorders>
              <w:top w:val="single" w:sz="4" w:space="0" w:color="auto"/>
              <w:bottom w:val="single" w:sz="12" w:space="0" w:color="auto"/>
            </w:tcBorders>
            <w:shd w:val="clear" w:color="auto" w:fill="auto"/>
            <w:vAlign w:val="bottom"/>
          </w:tcPr>
          <w:p w14:paraId="32E94485" w14:textId="77777777" w:rsidR="00EC3C86" w:rsidRPr="00F35716" w:rsidRDefault="00EC3C86" w:rsidP="00CD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Hombres</w:t>
            </w:r>
          </w:p>
        </w:tc>
      </w:tr>
      <w:tr w:rsidR="00CD3930" w:rsidRPr="00F35716" w14:paraId="32E9448A" w14:textId="77777777" w:rsidTr="00647053">
        <w:trPr>
          <w:trHeight w:hRule="exact" w:val="115"/>
          <w:tblHeader/>
        </w:trPr>
        <w:tc>
          <w:tcPr>
            <w:tcW w:w="4763" w:type="dxa"/>
            <w:tcBorders>
              <w:top w:val="single" w:sz="12" w:space="0" w:color="auto"/>
            </w:tcBorders>
            <w:shd w:val="clear" w:color="auto" w:fill="auto"/>
            <w:vAlign w:val="bottom"/>
          </w:tcPr>
          <w:p w14:paraId="32E94487" w14:textId="77777777" w:rsidR="00CD3930" w:rsidRPr="00F35716" w:rsidRDefault="00CD3930" w:rsidP="00CD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1260" w:type="dxa"/>
            <w:tcBorders>
              <w:top w:val="single" w:sz="12" w:space="0" w:color="auto"/>
            </w:tcBorders>
            <w:shd w:val="clear" w:color="auto" w:fill="auto"/>
            <w:vAlign w:val="bottom"/>
          </w:tcPr>
          <w:p w14:paraId="32E94488" w14:textId="77777777" w:rsidR="00CD3930" w:rsidRPr="00F35716" w:rsidRDefault="00CD3930" w:rsidP="00CD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1321" w:type="dxa"/>
            <w:tcBorders>
              <w:top w:val="single" w:sz="12" w:space="0" w:color="auto"/>
            </w:tcBorders>
            <w:shd w:val="clear" w:color="auto" w:fill="auto"/>
            <w:vAlign w:val="bottom"/>
          </w:tcPr>
          <w:p w14:paraId="32E94489" w14:textId="77777777" w:rsidR="00CD3930" w:rsidRPr="00F35716" w:rsidRDefault="00CD3930" w:rsidP="00CD3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r>
      <w:tr w:rsidR="00EC3C86" w:rsidRPr="00F35716" w14:paraId="32E9448E" w14:textId="77777777" w:rsidTr="00647053">
        <w:trPr>
          <w:trHeight w:val="207"/>
        </w:trPr>
        <w:tc>
          <w:tcPr>
            <w:tcW w:w="4763" w:type="dxa"/>
            <w:shd w:val="clear" w:color="auto" w:fill="auto"/>
            <w:vAlign w:val="bottom"/>
          </w:tcPr>
          <w:p w14:paraId="32E9448B" w14:textId="77777777" w:rsidR="00EC3C86" w:rsidRPr="00F35716" w:rsidRDefault="00EC3C86" w:rsidP="00EB2FFE">
            <w:pPr>
              <w:spacing w:before="40" w:after="80" w:line="210" w:lineRule="exact"/>
              <w:rPr>
                <w:bCs/>
                <w:sz w:val="17"/>
                <w:szCs w:val="17"/>
              </w:rPr>
            </w:pPr>
            <w:r w:rsidRPr="00F35716">
              <w:rPr>
                <w:bCs/>
                <w:sz w:val="17"/>
                <w:szCs w:val="17"/>
              </w:rPr>
              <w:t>Cobertura sanitaria</w:t>
            </w:r>
          </w:p>
        </w:tc>
        <w:tc>
          <w:tcPr>
            <w:tcW w:w="1260" w:type="dxa"/>
            <w:shd w:val="clear" w:color="auto" w:fill="auto"/>
            <w:vAlign w:val="bottom"/>
          </w:tcPr>
          <w:p w14:paraId="32E9448C" w14:textId="77777777" w:rsidR="00EC3C86" w:rsidRPr="00F35716" w:rsidRDefault="00EC3C86" w:rsidP="00EB2FFE">
            <w:pPr>
              <w:spacing w:before="40" w:after="80" w:line="210" w:lineRule="exact"/>
              <w:jc w:val="right"/>
              <w:rPr>
                <w:sz w:val="17"/>
                <w:szCs w:val="17"/>
                <w:u w:val="single"/>
              </w:rPr>
            </w:pPr>
            <w:r w:rsidRPr="00F35716">
              <w:rPr>
                <w:sz w:val="17"/>
                <w:szCs w:val="17"/>
                <w:u w:val="single"/>
              </w:rPr>
              <w:t>53,6</w:t>
            </w:r>
          </w:p>
        </w:tc>
        <w:tc>
          <w:tcPr>
            <w:tcW w:w="1321" w:type="dxa"/>
            <w:shd w:val="clear" w:color="auto" w:fill="auto"/>
            <w:vAlign w:val="bottom"/>
          </w:tcPr>
          <w:p w14:paraId="32E9448D" w14:textId="77777777" w:rsidR="00EC3C86" w:rsidRPr="00F35716" w:rsidRDefault="00EC3C86" w:rsidP="00EB2FFE">
            <w:pPr>
              <w:spacing w:before="40" w:after="80" w:line="210" w:lineRule="exact"/>
              <w:jc w:val="right"/>
              <w:rPr>
                <w:sz w:val="17"/>
                <w:szCs w:val="17"/>
                <w:u w:val="single"/>
              </w:rPr>
            </w:pPr>
            <w:r w:rsidRPr="00F35716">
              <w:rPr>
                <w:sz w:val="17"/>
                <w:szCs w:val="17"/>
                <w:u w:val="single"/>
              </w:rPr>
              <w:t>43,3</w:t>
            </w:r>
          </w:p>
        </w:tc>
      </w:tr>
      <w:tr w:rsidR="00EC3C86" w:rsidRPr="00F35716" w14:paraId="32E94492" w14:textId="77777777" w:rsidTr="00647053">
        <w:trPr>
          <w:trHeight w:val="73"/>
        </w:trPr>
        <w:tc>
          <w:tcPr>
            <w:tcW w:w="4763" w:type="dxa"/>
            <w:tcBorders>
              <w:bottom w:val="single" w:sz="12" w:space="0" w:color="auto"/>
            </w:tcBorders>
            <w:shd w:val="clear" w:color="auto" w:fill="auto"/>
            <w:vAlign w:val="bottom"/>
          </w:tcPr>
          <w:p w14:paraId="32E9448F" w14:textId="77777777" w:rsidR="00EC3C86" w:rsidRPr="00F35716" w:rsidRDefault="00EC3C86" w:rsidP="00EB2FFE">
            <w:pPr>
              <w:spacing w:before="40" w:after="80" w:line="210" w:lineRule="exact"/>
              <w:rPr>
                <w:bCs/>
                <w:sz w:val="17"/>
                <w:szCs w:val="17"/>
              </w:rPr>
            </w:pPr>
            <w:r w:rsidRPr="00F35716">
              <w:rPr>
                <w:bCs/>
                <w:sz w:val="17"/>
                <w:szCs w:val="17"/>
              </w:rPr>
              <w:t>Cobertura de los sistemas de jubilación</w:t>
            </w:r>
          </w:p>
        </w:tc>
        <w:tc>
          <w:tcPr>
            <w:tcW w:w="1260" w:type="dxa"/>
            <w:tcBorders>
              <w:bottom w:val="single" w:sz="12" w:space="0" w:color="auto"/>
            </w:tcBorders>
            <w:shd w:val="clear" w:color="auto" w:fill="auto"/>
            <w:vAlign w:val="bottom"/>
          </w:tcPr>
          <w:p w14:paraId="32E94490" w14:textId="77777777" w:rsidR="00EC3C86" w:rsidRPr="00F35716" w:rsidRDefault="00EC3C86" w:rsidP="00EB2FFE">
            <w:pPr>
              <w:spacing w:before="40" w:after="80" w:line="210" w:lineRule="exact"/>
              <w:jc w:val="right"/>
              <w:rPr>
                <w:sz w:val="17"/>
                <w:szCs w:val="17"/>
                <w:u w:val="single"/>
              </w:rPr>
            </w:pPr>
            <w:r w:rsidRPr="00F35716">
              <w:rPr>
                <w:sz w:val="17"/>
                <w:szCs w:val="17"/>
                <w:u w:val="single"/>
              </w:rPr>
              <w:t>20,7</w:t>
            </w:r>
          </w:p>
        </w:tc>
        <w:tc>
          <w:tcPr>
            <w:tcW w:w="1321" w:type="dxa"/>
            <w:tcBorders>
              <w:bottom w:val="single" w:sz="12" w:space="0" w:color="auto"/>
            </w:tcBorders>
            <w:shd w:val="clear" w:color="auto" w:fill="auto"/>
            <w:vAlign w:val="bottom"/>
          </w:tcPr>
          <w:p w14:paraId="32E94491" w14:textId="77777777" w:rsidR="00EC3C86" w:rsidRPr="00F35716" w:rsidRDefault="00EC3C86" w:rsidP="00EB2FFE">
            <w:pPr>
              <w:spacing w:before="40" w:after="80" w:line="210" w:lineRule="exact"/>
              <w:jc w:val="right"/>
              <w:rPr>
                <w:sz w:val="17"/>
                <w:szCs w:val="17"/>
                <w:u w:val="single"/>
              </w:rPr>
            </w:pPr>
            <w:r w:rsidRPr="00F35716">
              <w:rPr>
                <w:sz w:val="17"/>
                <w:szCs w:val="17"/>
                <w:u w:val="single"/>
              </w:rPr>
              <w:t>19,1</w:t>
            </w:r>
          </w:p>
        </w:tc>
      </w:tr>
    </w:tbl>
    <w:p w14:paraId="32E94493" w14:textId="77777777" w:rsidR="008B1012" w:rsidRPr="00F35716" w:rsidRDefault="008B1012" w:rsidP="008B1012">
      <w:pPr>
        <w:pStyle w:val="SingleTxt"/>
        <w:spacing w:after="0" w:line="120" w:lineRule="exact"/>
        <w:rPr>
          <w:sz w:val="10"/>
          <w:szCs w:val="20"/>
        </w:rPr>
      </w:pPr>
    </w:p>
    <w:p w14:paraId="32E94494" w14:textId="1730ADE6" w:rsidR="00EC3C86" w:rsidRPr="00F35716" w:rsidRDefault="00EC3C86" w:rsidP="00895124">
      <w:pPr>
        <w:pStyle w:val="FootnoteText"/>
        <w:widowControl w:val="0"/>
        <w:tabs>
          <w:tab w:val="clear" w:pos="418"/>
          <w:tab w:val="right" w:pos="1476"/>
          <w:tab w:val="left" w:pos="1548"/>
          <w:tab w:val="right" w:pos="1836"/>
          <w:tab w:val="left" w:pos="1908"/>
        </w:tabs>
        <w:ind w:left="1548" w:right="1065" w:hanging="289"/>
      </w:pPr>
      <w:r w:rsidRPr="00F35716">
        <w:rPr>
          <w:i/>
        </w:rPr>
        <w:t>Fuente:</w:t>
      </w:r>
      <w:r w:rsidRPr="00F35716">
        <w:t xml:space="preserve"> Alto Comisionado de Planificación, encuesta nacional sobre empleo de 2018</w:t>
      </w:r>
      <w:r w:rsidR="00B02C3A" w:rsidRPr="00F35716">
        <w:t>.</w:t>
      </w:r>
    </w:p>
    <w:p w14:paraId="32E94495" w14:textId="77777777" w:rsidR="008B1012" w:rsidRPr="00F35716" w:rsidRDefault="008B1012" w:rsidP="008B1012">
      <w:pPr>
        <w:pStyle w:val="SingleTxt"/>
        <w:spacing w:after="0" w:line="120" w:lineRule="exact"/>
        <w:rPr>
          <w:sz w:val="10"/>
          <w:szCs w:val="20"/>
        </w:rPr>
      </w:pPr>
    </w:p>
    <w:p w14:paraId="32E94496" w14:textId="77777777" w:rsidR="008B1012" w:rsidRPr="00F35716" w:rsidRDefault="008B1012" w:rsidP="008B1012">
      <w:pPr>
        <w:pStyle w:val="SingleTxt"/>
        <w:spacing w:after="0" w:line="120" w:lineRule="exact"/>
        <w:rPr>
          <w:sz w:val="10"/>
          <w:szCs w:val="20"/>
        </w:rPr>
      </w:pPr>
    </w:p>
    <w:p w14:paraId="32E94497" w14:textId="5B341836" w:rsidR="00EC3C86" w:rsidRPr="00F35716" w:rsidRDefault="00EC3C86" w:rsidP="00B3192A">
      <w:pPr>
        <w:pStyle w:val="SingleTxt"/>
        <w:numPr>
          <w:ilvl w:val="0"/>
          <w:numId w:val="8"/>
        </w:numPr>
        <w:ind w:left="1267" w:firstLine="0"/>
      </w:pPr>
      <w:r w:rsidRPr="00F35716">
        <w:t xml:space="preserve">En 2018, el Gobierno </w:t>
      </w:r>
      <w:r w:rsidR="00CB6F0F" w:rsidRPr="00F35716">
        <w:t xml:space="preserve">elaboró </w:t>
      </w:r>
      <w:r w:rsidRPr="00F35716">
        <w:t xml:space="preserve">y aprobó el Plan Nacional para la Promoción del Empleo para 2021, que se </w:t>
      </w:r>
      <w:r w:rsidR="00CB6F0F" w:rsidRPr="00F35716">
        <w:t>centra en las siguientes medidas</w:t>
      </w:r>
      <w:r w:rsidRPr="00F35716">
        <w:t>:</w:t>
      </w:r>
    </w:p>
    <w:p w14:paraId="32E94498" w14:textId="03D4D5AE" w:rsidR="00EC3C86" w:rsidRPr="00F35716" w:rsidRDefault="0094503C" w:rsidP="0094503C">
      <w:pPr>
        <w:pStyle w:val="SingleTxt"/>
        <w:tabs>
          <w:tab w:val="right" w:pos="1685"/>
        </w:tabs>
        <w:ind w:left="1742" w:hanging="475"/>
      </w:pPr>
      <w:r w:rsidRPr="00F35716">
        <w:tab/>
        <w:t>•</w:t>
      </w:r>
      <w:r w:rsidRPr="00F35716">
        <w:tab/>
      </w:r>
      <w:r w:rsidR="00C5426F" w:rsidRPr="00F35716">
        <w:t>La</w:t>
      </w:r>
      <w:r w:rsidR="00EC3C86" w:rsidRPr="00F35716">
        <w:t xml:space="preserve"> </w:t>
      </w:r>
      <w:r w:rsidR="00DA167E" w:rsidRPr="00F35716">
        <w:t xml:space="preserve">aplicación de un </w:t>
      </w:r>
      <w:r w:rsidR="00EC3C86" w:rsidRPr="00F35716">
        <w:t>enfoque integral e integrado que incluy</w:t>
      </w:r>
      <w:r w:rsidR="00C5426F" w:rsidRPr="00F35716">
        <w:t>e</w:t>
      </w:r>
      <w:r w:rsidR="00EC3C86" w:rsidRPr="00F35716">
        <w:t xml:space="preserve"> las dimensiones económica, financiera e institucional.</w:t>
      </w:r>
    </w:p>
    <w:p w14:paraId="32E94499" w14:textId="4B2CFA3E" w:rsidR="00EC3C86" w:rsidRPr="00F35716" w:rsidRDefault="0094503C" w:rsidP="0094503C">
      <w:pPr>
        <w:pStyle w:val="SingleTxt"/>
        <w:tabs>
          <w:tab w:val="right" w:pos="1685"/>
        </w:tabs>
        <w:ind w:left="1742" w:hanging="475"/>
      </w:pPr>
      <w:r w:rsidRPr="00F35716">
        <w:tab/>
        <w:t>•</w:t>
      </w:r>
      <w:r w:rsidRPr="00F35716">
        <w:tab/>
      </w:r>
      <w:r w:rsidR="00EC3C86" w:rsidRPr="00F35716">
        <w:t xml:space="preserve">La </w:t>
      </w:r>
      <w:r w:rsidR="00CB6F0F" w:rsidRPr="00F35716">
        <w:t>puesta en marcha</w:t>
      </w:r>
      <w:r w:rsidR="00EC3C86" w:rsidRPr="00F35716">
        <w:t xml:space="preserve"> </w:t>
      </w:r>
      <w:r w:rsidR="00CB6F0F" w:rsidRPr="00F35716">
        <w:t>d</w:t>
      </w:r>
      <w:r w:rsidR="00EC3C86" w:rsidRPr="00F35716">
        <w:t>el programa</w:t>
      </w:r>
      <w:r w:rsidR="00CB6F0F" w:rsidRPr="00F35716">
        <w:t xml:space="preserve"> “Es posible”</w:t>
      </w:r>
      <w:r w:rsidR="00EC3C86" w:rsidRPr="00F35716">
        <w:t xml:space="preserve"> y la firma del pacto para su </w:t>
      </w:r>
      <w:r w:rsidR="00CB6F0F" w:rsidRPr="00F35716">
        <w:t>ejecución</w:t>
      </w:r>
      <w:r w:rsidR="00EC3C86" w:rsidRPr="00F35716">
        <w:t xml:space="preserve"> en abril de 2018 por los sectores </w:t>
      </w:r>
      <w:r w:rsidR="00C5426F" w:rsidRPr="00F35716">
        <w:t>pertinentes</w:t>
      </w:r>
      <w:r w:rsidR="00CB6F0F" w:rsidRPr="00F35716">
        <w:t>,</w:t>
      </w:r>
      <w:r w:rsidR="00EC3C86" w:rsidRPr="00F35716">
        <w:t xml:space="preserve"> la Confederación General de Empresas de Marruecos y la Asociación de Consejos Regionales.</w:t>
      </w:r>
    </w:p>
    <w:p w14:paraId="32E9449A" w14:textId="6B809F4F" w:rsidR="00EC3C86" w:rsidRPr="00F35716" w:rsidRDefault="0094503C" w:rsidP="0094503C">
      <w:pPr>
        <w:pStyle w:val="SingleTxt"/>
        <w:tabs>
          <w:tab w:val="right" w:pos="1685"/>
        </w:tabs>
        <w:ind w:left="1742" w:hanging="475"/>
      </w:pPr>
      <w:r w:rsidRPr="00F35716">
        <w:tab/>
        <w:t>•</w:t>
      </w:r>
      <w:r w:rsidRPr="00F35716">
        <w:tab/>
      </w:r>
      <w:r w:rsidR="00EC3C86" w:rsidRPr="00F35716">
        <w:t xml:space="preserve">La colocación del empleo en el centro de las políticas públicas, teniendo en cuenta la dimensión </w:t>
      </w:r>
      <w:r w:rsidR="00092210" w:rsidRPr="00F35716">
        <w:t xml:space="preserve">local </w:t>
      </w:r>
      <w:r w:rsidR="00EC3C86" w:rsidRPr="00F35716">
        <w:t>e</w:t>
      </w:r>
      <w:r w:rsidR="00092210" w:rsidRPr="00F35716">
        <w:t>n</w:t>
      </w:r>
      <w:r w:rsidR="00EC3C86" w:rsidRPr="00F35716">
        <w:t xml:space="preserve"> su aplicación. </w:t>
      </w:r>
    </w:p>
    <w:p w14:paraId="32E9449B" w14:textId="77777777" w:rsidR="00EC3C86" w:rsidRPr="00F35716" w:rsidRDefault="0094503C" w:rsidP="0094503C">
      <w:pPr>
        <w:pStyle w:val="SingleTxt"/>
        <w:tabs>
          <w:tab w:val="right" w:pos="1685"/>
        </w:tabs>
        <w:ind w:left="1742" w:hanging="475"/>
      </w:pPr>
      <w:r w:rsidRPr="00F35716">
        <w:tab/>
        <w:t>•</w:t>
      </w:r>
      <w:r w:rsidRPr="00F35716">
        <w:tab/>
      </w:r>
      <w:r w:rsidR="00EC3C86" w:rsidRPr="00F35716">
        <w:t>La ampliación de los grupos destinatarios de la política de empleo:</w:t>
      </w:r>
    </w:p>
    <w:p w14:paraId="32E9449C" w14:textId="0FB8A340" w:rsidR="00EC3C86" w:rsidRPr="00F35716" w:rsidRDefault="00573A42" w:rsidP="00573A42">
      <w:pPr>
        <w:pStyle w:val="SingleTxt"/>
        <w:tabs>
          <w:tab w:val="clear" w:pos="1267"/>
          <w:tab w:val="clear" w:pos="1742"/>
          <w:tab w:val="clear" w:pos="2218"/>
          <w:tab w:val="left" w:pos="2070"/>
        </w:tabs>
        <w:ind w:left="2070" w:hanging="263"/>
      </w:pPr>
      <w:r w:rsidRPr="00F35716">
        <w:sym w:font="Symbol" w:char="F02D"/>
      </w:r>
      <w:r w:rsidRPr="00F35716">
        <w:tab/>
      </w:r>
      <w:r w:rsidR="00EC3C86" w:rsidRPr="00F35716">
        <w:t xml:space="preserve">Mujeres </w:t>
      </w:r>
      <w:r w:rsidR="00092210" w:rsidRPr="00F35716">
        <w:t>desemple</w:t>
      </w:r>
      <w:r w:rsidR="00FF6698" w:rsidRPr="00F35716">
        <w:t>a</w:t>
      </w:r>
      <w:r w:rsidR="00092210" w:rsidRPr="00F35716">
        <w:t>das</w:t>
      </w:r>
      <w:r w:rsidR="00EC3C86" w:rsidRPr="00F35716">
        <w:t>;</w:t>
      </w:r>
    </w:p>
    <w:p w14:paraId="32E9449D" w14:textId="3CFF44D7" w:rsidR="00EC3C86" w:rsidRPr="00F35716" w:rsidRDefault="00573A42" w:rsidP="00573A42">
      <w:pPr>
        <w:pStyle w:val="SingleTxt"/>
        <w:tabs>
          <w:tab w:val="clear" w:pos="1267"/>
          <w:tab w:val="clear" w:pos="1742"/>
          <w:tab w:val="clear" w:pos="2218"/>
          <w:tab w:val="left" w:pos="2070"/>
        </w:tabs>
        <w:ind w:left="2070" w:hanging="263"/>
      </w:pPr>
      <w:r w:rsidRPr="00F35716">
        <w:sym w:font="Symbol" w:char="F02D"/>
      </w:r>
      <w:r w:rsidRPr="00F35716">
        <w:tab/>
      </w:r>
      <w:r w:rsidR="00EC3C86" w:rsidRPr="00F35716">
        <w:t xml:space="preserve">Jóvenes </w:t>
      </w:r>
      <w:r w:rsidR="00C5426F" w:rsidRPr="00F35716">
        <w:t>graduados</w:t>
      </w:r>
      <w:r w:rsidR="00EC3C86" w:rsidRPr="00F35716">
        <w:t>;</w:t>
      </w:r>
    </w:p>
    <w:p w14:paraId="32E9449E" w14:textId="1F95B90C" w:rsidR="00EC3C86" w:rsidRPr="00F35716" w:rsidRDefault="00573A42" w:rsidP="00573A42">
      <w:pPr>
        <w:pStyle w:val="SingleTxt"/>
        <w:tabs>
          <w:tab w:val="clear" w:pos="1267"/>
          <w:tab w:val="clear" w:pos="1742"/>
          <w:tab w:val="clear" w:pos="2218"/>
          <w:tab w:val="left" w:pos="2070"/>
        </w:tabs>
        <w:ind w:left="2070" w:hanging="263"/>
      </w:pPr>
      <w:r w:rsidRPr="00F35716">
        <w:sym w:font="Symbol" w:char="F02D"/>
      </w:r>
      <w:r w:rsidRPr="00F35716">
        <w:tab/>
      </w:r>
      <w:r w:rsidR="00EC3C86" w:rsidRPr="00F35716">
        <w:t xml:space="preserve">Jóvenes que </w:t>
      </w:r>
      <w:r w:rsidR="00092210" w:rsidRPr="00F35716">
        <w:t xml:space="preserve">han </w:t>
      </w:r>
      <w:r w:rsidR="00EC3C86" w:rsidRPr="00F35716">
        <w:t>abandona</w:t>
      </w:r>
      <w:r w:rsidR="00092210" w:rsidRPr="00F35716">
        <w:t>do</w:t>
      </w:r>
      <w:r w:rsidR="00EC3C86" w:rsidRPr="00F35716">
        <w:t xml:space="preserve"> sus estudios prematuramente;</w:t>
      </w:r>
    </w:p>
    <w:p w14:paraId="32E9449F" w14:textId="74AD590E" w:rsidR="00EC3C86" w:rsidRPr="00F35716" w:rsidRDefault="00573A42" w:rsidP="00573A42">
      <w:pPr>
        <w:pStyle w:val="SingleTxt"/>
        <w:tabs>
          <w:tab w:val="clear" w:pos="1267"/>
          <w:tab w:val="clear" w:pos="1742"/>
          <w:tab w:val="clear" w:pos="2218"/>
          <w:tab w:val="left" w:pos="2070"/>
        </w:tabs>
        <w:ind w:left="2070" w:hanging="263"/>
      </w:pPr>
      <w:r w:rsidRPr="00F35716">
        <w:sym w:font="Symbol" w:char="F02D"/>
      </w:r>
      <w:r w:rsidRPr="00F35716">
        <w:tab/>
      </w:r>
      <w:r w:rsidR="00EC3C86" w:rsidRPr="00F35716">
        <w:t xml:space="preserve">Trabajadores de </w:t>
      </w:r>
      <w:r w:rsidR="00092210" w:rsidRPr="00F35716">
        <w:t>micro</w:t>
      </w:r>
      <w:r w:rsidR="00EC3C86" w:rsidRPr="00F35716">
        <w:t xml:space="preserve">empresas y del sector no </w:t>
      </w:r>
      <w:r w:rsidR="00092210" w:rsidRPr="00F35716">
        <w:t>estructurado</w:t>
      </w:r>
      <w:r w:rsidR="00EC3C86" w:rsidRPr="00F35716">
        <w:t>;</w:t>
      </w:r>
    </w:p>
    <w:p w14:paraId="32E944A1" w14:textId="77777777" w:rsidR="00EC3C86" w:rsidRPr="00F35716" w:rsidRDefault="00573A42" w:rsidP="00573A42">
      <w:pPr>
        <w:pStyle w:val="SingleTxt"/>
        <w:tabs>
          <w:tab w:val="clear" w:pos="1267"/>
          <w:tab w:val="clear" w:pos="1742"/>
          <w:tab w:val="clear" w:pos="2218"/>
          <w:tab w:val="left" w:pos="2070"/>
        </w:tabs>
        <w:ind w:left="2070" w:hanging="263"/>
      </w:pPr>
      <w:r w:rsidRPr="00F35716">
        <w:sym w:font="Symbol" w:char="F02D"/>
      </w:r>
      <w:r w:rsidRPr="00F35716">
        <w:tab/>
      </w:r>
      <w:r w:rsidR="00EC3C86" w:rsidRPr="00F35716">
        <w:t>Habitantes del ámbito rural y mujeres rurales;</w:t>
      </w:r>
    </w:p>
    <w:p w14:paraId="32E944A2" w14:textId="77777777" w:rsidR="00EC3C86" w:rsidRPr="00F35716" w:rsidRDefault="00573A42" w:rsidP="00573A42">
      <w:pPr>
        <w:pStyle w:val="SingleTxt"/>
        <w:tabs>
          <w:tab w:val="clear" w:pos="1267"/>
          <w:tab w:val="clear" w:pos="1742"/>
          <w:tab w:val="clear" w:pos="2218"/>
          <w:tab w:val="left" w:pos="2070"/>
        </w:tabs>
        <w:ind w:left="2070" w:hanging="263"/>
      </w:pPr>
      <w:r w:rsidRPr="00F35716">
        <w:sym w:font="Symbol" w:char="F02D"/>
      </w:r>
      <w:r w:rsidRPr="00F35716">
        <w:tab/>
      </w:r>
      <w:r w:rsidR="00EC3C86" w:rsidRPr="00F35716">
        <w:t>Personas con discapacidad;</w:t>
      </w:r>
    </w:p>
    <w:p w14:paraId="32E944A3" w14:textId="393E70C3" w:rsidR="00EC3C86" w:rsidRPr="00F35716" w:rsidRDefault="00573A42" w:rsidP="00573A42">
      <w:pPr>
        <w:pStyle w:val="SingleTxt"/>
        <w:tabs>
          <w:tab w:val="clear" w:pos="1267"/>
          <w:tab w:val="clear" w:pos="1742"/>
          <w:tab w:val="clear" w:pos="2218"/>
          <w:tab w:val="left" w:pos="2070"/>
        </w:tabs>
        <w:ind w:left="2070" w:hanging="263"/>
      </w:pPr>
      <w:r w:rsidRPr="00F35716">
        <w:sym w:font="Symbol" w:char="F02D"/>
      </w:r>
      <w:r w:rsidRPr="00F35716">
        <w:tab/>
      </w:r>
      <w:r w:rsidR="00092210" w:rsidRPr="00F35716">
        <w:t xml:space="preserve">Migrantes </w:t>
      </w:r>
      <w:r w:rsidR="00EC3C86" w:rsidRPr="00F35716">
        <w:t>en situación regular.</w:t>
      </w:r>
    </w:p>
    <w:p w14:paraId="32E944A4" w14:textId="6AB82813" w:rsidR="00EC3C86" w:rsidRPr="00F35716" w:rsidRDefault="00EC3C86" w:rsidP="00B3192A">
      <w:pPr>
        <w:pStyle w:val="SingleTxt"/>
        <w:numPr>
          <w:ilvl w:val="0"/>
          <w:numId w:val="8"/>
        </w:numPr>
        <w:ind w:left="1267" w:firstLine="0"/>
      </w:pPr>
      <w:r w:rsidRPr="00F35716">
        <w:t xml:space="preserve">El plan incluye un paquete de medidas prácticas y operativas, que </w:t>
      </w:r>
      <w:r w:rsidR="00C5426F" w:rsidRPr="00F35716">
        <w:t>comprende</w:t>
      </w:r>
      <w:r w:rsidRPr="00F35716">
        <w:t xml:space="preserve"> 20</w:t>
      </w:r>
      <w:r w:rsidR="00664538" w:rsidRPr="00F35716">
        <w:t> </w:t>
      </w:r>
      <w:r w:rsidRPr="00F35716">
        <w:t xml:space="preserve">acciones prioritarias </w:t>
      </w:r>
      <w:r w:rsidR="00092210" w:rsidRPr="00F35716">
        <w:t xml:space="preserve">para el período </w:t>
      </w:r>
      <w:r w:rsidRPr="00F35716">
        <w:t xml:space="preserve">2018-2019 y otras medidas que </w:t>
      </w:r>
      <w:r w:rsidR="00C5426F" w:rsidRPr="00F35716">
        <w:t xml:space="preserve">se </w:t>
      </w:r>
      <w:r w:rsidR="00092210" w:rsidRPr="00F35716">
        <w:t>aplicarán</w:t>
      </w:r>
      <w:r w:rsidRPr="00F35716">
        <w:t xml:space="preserve"> a nivel</w:t>
      </w:r>
      <w:r w:rsidR="00664538" w:rsidRPr="00F35716">
        <w:t> </w:t>
      </w:r>
      <w:r w:rsidR="00092210" w:rsidRPr="00F35716">
        <w:t>local</w:t>
      </w:r>
      <w:r w:rsidRPr="00F35716">
        <w:t xml:space="preserve">. </w:t>
      </w:r>
    </w:p>
    <w:p w14:paraId="32E944A5" w14:textId="24CF5D85" w:rsidR="00EC3C86" w:rsidRPr="00F35716" w:rsidRDefault="00EC3C86" w:rsidP="00B3192A">
      <w:pPr>
        <w:pStyle w:val="SingleTxt"/>
        <w:numPr>
          <w:ilvl w:val="0"/>
          <w:numId w:val="8"/>
        </w:numPr>
        <w:ind w:left="1267" w:firstLine="0"/>
      </w:pPr>
      <w:r w:rsidRPr="00F35716">
        <w:t>Con respecto a las medidas de recuperación del empleo supervisadas por el ministerio, el programa de integración benefició a 102.773 personas, el 50</w:t>
      </w:r>
      <w:r w:rsidR="0006736D" w:rsidRPr="00F35716">
        <w:t> %</w:t>
      </w:r>
      <w:r w:rsidRPr="00F35716">
        <w:t xml:space="preserve"> de </w:t>
      </w:r>
      <w:r w:rsidR="00092210" w:rsidRPr="00F35716">
        <w:t>ellas</w:t>
      </w:r>
      <w:r w:rsidRPr="00F35716">
        <w:t xml:space="preserve"> </w:t>
      </w:r>
      <w:r w:rsidRPr="00F35716">
        <w:lastRenderedPageBreak/>
        <w:t>mujeres</w:t>
      </w:r>
      <w:r w:rsidR="00092210" w:rsidRPr="00F35716">
        <w:t>. El objetivo consiste en</w:t>
      </w:r>
      <w:r w:rsidRPr="00F35716">
        <w:t xml:space="preserve"> desarrollar los recursos humanos de la</w:t>
      </w:r>
      <w:r w:rsidR="00092210" w:rsidRPr="00F35716">
        <w:t>s</w:t>
      </w:r>
      <w:r w:rsidRPr="00F35716">
        <w:t xml:space="preserve"> empresa</w:t>
      </w:r>
      <w:r w:rsidR="00092210" w:rsidRPr="00F35716">
        <w:t>s</w:t>
      </w:r>
      <w:r w:rsidRPr="00F35716">
        <w:t xml:space="preserve"> mejorando </w:t>
      </w:r>
      <w:r w:rsidR="00092210" w:rsidRPr="00F35716">
        <w:t>la plantilla</w:t>
      </w:r>
      <w:r w:rsidRPr="00F35716">
        <w:t xml:space="preserve"> y alentando el empleo de jóvenes graduados que buscan trabajo para integrarlos en la vida laboral. </w:t>
      </w:r>
    </w:p>
    <w:p w14:paraId="32E944A6" w14:textId="6F38541F" w:rsidR="00EC3C86" w:rsidRPr="00F35716" w:rsidRDefault="006410CE" w:rsidP="00B3192A">
      <w:pPr>
        <w:pStyle w:val="SingleTxt"/>
        <w:numPr>
          <w:ilvl w:val="0"/>
          <w:numId w:val="8"/>
        </w:numPr>
        <w:ind w:left="1267" w:firstLine="0"/>
      </w:pPr>
      <w:r w:rsidRPr="00F35716">
        <w:t xml:space="preserve">El programa de cualificación tiene por objeto mejorar la empleabilidad de los </w:t>
      </w:r>
      <w:r w:rsidR="00C5426F" w:rsidRPr="00F35716">
        <w:t>graduados</w:t>
      </w:r>
      <w:r w:rsidRPr="00F35716">
        <w:t xml:space="preserve"> ayudándoles a obtener las cualificaciones profesionales necesarias para </w:t>
      </w:r>
      <w:r w:rsidR="003D40D4" w:rsidRPr="00F35716">
        <w:t>puestos</w:t>
      </w:r>
      <w:r w:rsidRPr="00F35716">
        <w:t xml:space="preserve"> específicos disponibles</w:t>
      </w:r>
      <w:r w:rsidR="003D40D4" w:rsidRPr="00F35716">
        <w:t xml:space="preserve">. </w:t>
      </w:r>
      <w:r w:rsidR="00EC3C86" w:rsidRPr="00F35716">
        <w:t>Un total de 27.125 solicitantes de empleo, el 60</w:t>
      </w:r>
      <w:r w:rsidR="0006736D" w:rsidRPr="00F35716">
        <w:t> %</w:t>
      </w:r>
      <w:r w:rsidR="00EC3C86" w:rsidRPr="00F35716">
        <w:t xml:space="preserve"> </w:t>
      </w:r>
      <w:r w:rsidR="003D40D4" w:rsidRPr="00F35716">
        <w:t xml:space="preserve">de ellos </w:t>
      </w:r>
      <w:r w:rsidR="00EC3C86" w:rsidRPr="00F35716">
        <w:t>mujeres</w:t>
      </w:r>
      <w:r w:rsidR="003D40D4" w:rsidRPr="00F35716">
        <w:t>, participaron en la</w:t>
      </w:r>
      <w:r w:rsidR="00EC3C86" w:rsidRPr="00F35716">
        <w:t xml:space="preserve"> formación contractual para el empleo. El programa de motivación fomenta el empleo en empresas o asociaciones de nueva creación</w:t>
      </w:r>
      <w:r w:rsidR="00661017" w:rsidRPr="00F35716">
        <w:t>. Se introdujeron</w:t>
      </w:r>
      <w:r w:rsidR="00EC3C86" w:rsidRPr="00F35716">
        <w:t xml:space="preserve"> una serie de mejoras en la Ley Financiera </w:t>
      </w:r>
      <w:r w:rsidR="003D40D4" w:rsidRPr="00F35716">
        <w:t>d</w:t>
      </w:r>
      <w:r w:rsidR="00EC3C86" w:rsidRPr="00F35716">
        <w:t xml:space="preserve">e 2018. Entre otras cosas, </w:t>
      </w:r>
      <w:r w:rsidR="00661017" w:rsidRPr="00F35716">
        <w:t xml:space="preserve">se </w:t>
      </w:r>
      <w:r w:rsidR="00EC3C86" w:rsidRPr="00F35716">
        <w:t xml:space="preserve">aumentó el número de solicitantes de empleo beneficiarios de </w:t>
      </w:r>
      <w:r w:rsidR="00661017" w:rsidRPr="00F35716">
        <w:t>prestaciones otorgadas de 5 a 10</w:t>
      </w:r>
      <w:r w:rsidR="00EC3C86" w:rsidRPr="00F35716">
        <w:t xml:space="preserve">, </w:t>
      </w:r>
      <w:r w:rsidR="00661017" w:rsidRPr="00F35716">
        <w:t xml:space="preserve">se </w:t>
      </w:r>
      <w:r w:rsidR="00EC3C86" w:rsidRPr="00F35716">
        <w:t>extendió el período de disfrute hasta finales de diciembre de 2020</w:t>
      </w:r>
      <w:r w:rsidR="00661017" w:rsidRPr="00F35716">
        <w:t xml:space="preserve"> y s</w:t>
      </w:r>
      <w:r w:rsidR="00EC3C86" w:rsidRPr="00F35716">
        <w:t xml:space="preserve">e integró a cooperativas dentro de las </w:t>
      </w:r>
      <w:r w:rsidR="00661017" w:rsidRPr="00F35716">
        <w:t>empresas</w:t>
      </w:r>
      <w:r w:rsidR="00EC3C86" w:rsidRPr="00F35716">
        <w:t xml:space="preserve"> beneficiarias. En total, 6.180 personas se han acogido a estas medidas, de las cuales el 38</w:t>
      </w:r>
      <w:r w:rsidR="0006736D" w:rsidRPr="00F35716">
        <w:t> %</w:t>
      </w:r>
      <w:r w:rsidR="00EC3C86" w:rsidRPr="00F35716">
        <w:t xml:space="preserve"> son mujeres.</w:t>
      </w:r>
      <w:r w:rsidR="00BD7E71" w:rsidRPr="00F35716">
        <w:t xml:space="preserve"> </w:t>
      </w:r>
    </w:p>
    <w:p w14:paraId="32E944A7" w14:textId="67C59EB9" w:rsidR="00EC3C86" w:rsidRPr="00F35716" w:rsidRDefault="00EC3C86" w:rsidP="00B3192A">
      <w:pPr>
        <w:pStyle w:val="SingleTxt"/>
        <w:numPr>
          <w:ilvl w:val="0"/>
          <w:numId w:val="8"/>
        </w:numPr>
        <w:ind w:left="1267" w:firstLine="0"/>
      </w:pPr>
      <w:r w:rsidRPr="00F35716">
        <w:t xml:space="preserve">El Servicio Público de Empleo ofrece, a través de su red de 86 agencias locales, servicios de mediación, </w:t>
      </w:r>
      <w:r w:rsidR="00796297" w:rsidRPr="00F35716">
        <w:t>información</w:t>
      </w:r>
      <w:r w:rsidRPr="00F35716">
        <w:t xml:space="preserve">, orientación, entrevistas de </w:t>
      </w:r>
      <w:r w:rsidR="00796297" w:rsidRPr="00F35716">
        <w:t>colocación</w:t>
      </w:r>
      <w:r w:rsidRPr="00F35716">
        <w:t xml:space="preserve"> y talleres de búsqueda de trabajo a los solicitantes de empleo. Las mujeres se benefician de </w:t>
      </w:r>
      <w:r w:rsidR="00796297" w:rsidRPr="00F35716">
        <w:t>los distintos</w:t>
      </w:r>
      <w:r w:rsidRPr="00F35716">
        <w:t xml:space="preserve"> servicios de </w:t>
      </w:r>
      <w:r w:rsidR="00796297" w:rsidRPr="00F35716">
        <w:t>informa</w:t>
      </w:r>
      <w:r w:rsidRPr="00F35716">
        <w:t xml:space="preserve">ción </w:t>
      </w:r>
      <w:r w:rsidR="00796297" w:rsidRPr="00F35716">
        <w:t xml:space="preserve">acerca de </w:t>
      </w:r>
      <w:r w:rsidRPr="00F35716">
        <w:t>l</w:t>
      </w:r>
      <w:r w:rsidR="000E4917" w:rsidRPr="00F35716">
        <w:t>a</w:t>
      </w:r>
      <w:r w:rsidRPr="00F35716">
        <w:t xml:space="preserve">s </w:t>
      </w:r>
      <w:r w:rsidR="000E4917" w:rsidRPr="00F35716">
        <w:t xml:space="preserve">vacantes </w:t>
      </w:r>
      <w:r w:rsidRPr="00F35716">
        <w:t xml:space="preserve">de empleo, así como de campañas de información por correo </w:t>
      </w:r>
      <w:r w:rsidR="00187DB3" w:rsidRPr="00F35716">
        <w:t xml:space="preserve">electrónico </w:t>
      </w:r>
      <w:r w:rsidRPr="00F35716">
        <w:t>y</w:t>
      </w:r>
      <w:r w:rsidR="00187DB3" w:rsidRPr="00F35716">
        <w:t xml:space="preserve"> </w:t>
      </w:r>
      <w:r w:rsidR="00C5426F" w:rsidRPr="00F35716">
        <w:t>mensajes de texto (</w:t>
      </w:r>
      <w:r w:rsidR="00187DB3" w:rsidRPr="00F35716">
        <w:t>sms</w:t>
      </w:r>
      <w:r w:rsidR="00C5426F" w:rsidRPr="00F35716">
        <w:t>)</w:t>
      </w:r>
      <w:r w:rsidRPr="00F35716">
        <w:t>.</w:t>
      </w:r>
    </w:p>
    <w:p w14:paraId="32E944A8" w14:textId="1256A198" w:rsidR="00EC3C86" w:rsidRPr="00F35716" w:rsidRDefault="00EC3C86" w:rsidP="00B3192A">
      <w:pPr>
        <w:pStyle w:val="SingleTxt"/>
        <w:numPr>
          <w:ilvl w:val="0"/>
          <w:numId w:val="8"/>
        </w:numPr>
        <w:ind w:left="1267" w:firstLine="0"/>
      </w:pPr>
      <w:r w:rsidRPr="00F35716">
        <w:t xml:space="preserve">En 2018, el número de nuevos solicitantes de empleo registrados en la </w:t>
      </w:r>
      <w:r w:rsidR="00333608" w:rsidRPr="00F35716">
        <w:t xml:space="preserve">base de datos de la </w:t>
      </w:r>
      <w:r w:rsidRPr="00F35716">
        <w:t>Agencia Nacional para la Promoción del Empleo y las Competencias llegó a 205.923, de los que el 44</w:t>
      </w:r>
      <w:r w:rsidR="0006736D" w:rsidRPr="00F35716">
        <w:t> %</w:t>
      </w:r>
      <w:r w:rsidRPr="00F35716">
        <w:t xml:space="preserve"> eran mujeres. Ese mismo año, 34.650 mujeres se beneficiaron de las entrevistas de </w:t>
      </w:r>
      <w:r w:rsidR="00333608" w:rsidRPr="00F35716">
        <w:t>colocación</w:t>
      </w:r>
      <w:r w:rsidRPr="00F35716">
        <w:t>, lo que equivale al 41</w:t>
      </w:r>
      <w:r w:rsidR="0006736D" w:rsidRPr="00F35716">
        <w:t> %</w:t>
      </w:r>
      <w:r w:rsidRPr="00F35716">
        <w:t xml:space="preserve"> de</w:t>
      </w:r>
      <w:r w:rsidR="00333608" w:rsidRPr="00F35716">
        <w:t xml:space="preserve"> </w:t>
      </w:r>
      <w:r w:rsidRPr="00F35716">
        <w:t>l</w:t>
      </w:r>
      <w:r w:rsidR="00333608" w:rsidRPr="00F35716">
        <w:t>os</w:t>
      </w:r>
      <w:r w:rsidRPr="00F35716">
        <w:t xml:space="preserve"> 84.466</w:t>
      </w:r>
      <w:r w:rsidR="00333608" w:rsidRPr="00F35716">
        <w:t xml:space="preserve"> beneficiarios</w:t>
      </w:r>
      <w:r w:rsidRPr="00F35716">
        <w:t>, y 29.700 de los 57.524 participantes en los talleres de búsqueda de empleo fueron mujeres, es decir, más de la mitad del total.</w:t>
      </w:r>
    </w:p>
    <w:p w14:paraId="32E944A9" w14:textId="552ED801" w:rsidR="00EC3C86" w:rsidRPr="00F35716" w:rsidRDefault="00333608" w:rsidP="00B3192A">
      <w:pPr>
        <w:pStyle w:val="SingleTxt"/>
        <w:numPr>
          <w:ilvl w:val="0"/>
          <w:numId w:val="8"/>
        </w:numPr>
        <w:ind w:left="1267" w:firstLine="0"/>
      </w:pPr>
      <w:r w:rsidRPr="00F35716">
        <w:t xml:space="preserve">Durante el período 2014-2015 se ejecutó </w:t>
      </w:r>
      <w:r w:rsidR="00EC3C86" w:rsidRPr="00F35716">
        <w:t xml:space="preserve">el programa </w:t>
      </w:r>
      <w:r w:rsidRPr="00F35716">
        <w:t>“</w:t>
      </w:r>
      <w:r w:rsidR="00EC3C86" w:rsidRPr="00F35716">
        <w:t>Mi Situación</w:t>
      </w:r>
      <w:r w:rsidRPr="00F35716">
        <w:t>”</w:t>
      </w:r>
      <w:r w:rsidR="00EC3C86" w:rsidRPr="00F35716">
        <w:t xml:space="preserve"> </w:t>
      </w:r>
      <w:r w:rsidRPr="00F35716">
        <w:t>par</w:t>
      </w:r>
      <w:r w:rsidR="00EC3C86" w:rsidRPr="00F35716">
        <w:t xml:space="preserve">a mejorar las condiciones para que las mujeres ingresen y </w:t>
      </w:r>
      <w:r w:rsidRPr="00F35716">
        <w:t xml:space="preserve">prosperen </w:t>
      </w:r>
      <w:r w:rsidR="00EC3C86" w:rsidRPr="00F35716">
        <w:t xml:space="preserve">en </w:t>
      </w:r>
      <w:r w:rsidRPr="00F35716">
        <w:t>un</w:t>
      </w:r>
      <w:r w:rsidR="00EC3C86" w:rsidRPr="00F35716">
        <w:t xml:space="preserve"> entorno profesional</w:t>
      </w:r>
      <w:r w:rsidRPr="00F35716">
        <w:t>. El objetivo era</w:t>
      </w:r>
      <w:r w:rsidR="00EC3C86" w:rsidRPr="00F35716">
        <w:t xml:space="preserve"> desarrollar la responsabilidad social de las empresas, promov</w:t>
      </w:r>
      <w:r w:rsidR="00B6378B" w:rsidRPr="00F35716">
        <w:t>er</w:t>
      </w:r>
      <w:r w:rsidR="00EC3C86" w:rsidRPr="00F35716">
        <w:t xml:space="preserve"> la igualdad de género dentro de las empresas y mejora</w:t>
      </w:r>
      <w:r w:rsidR="00B6378B" w:rsidRPr="00F35716">
        <w:t>r</w:t>
      </w:r>
      <w:r w:rsidR="00EC3C86" w:rsidRPr="00F35716">
        <w:t xml:space="preserve"> el acceso de las mujeres a la infraestructura colectiva. En el período 2015-2017 se realizó un seguimiento de la ejecución de las actividades del proyecto. En concreto:</w:t>
      </w:r>
    </w:p>
    <w:p w14:paraId="32E944AA" w14:textId="012172F6" w:rsidR="00EC3C86" w:rsidRPr="00F35716" w:rsidRDefault="00EC5919" w:rsidP="00EC5919">
      <w:pPr>
        <w:pStyle w:val="SingleTxt"/>
        <w:tabs>
          <w:tab w:val="right" w:pos="1685"/>
        </w:tabs>
        <w:ind w:left="1742" w:hanging="475"/>
      </w:pPr>
      <w:r w:rsidRPr="00F35716">
        <w:tab/>
        <w:t>–</w:t>
      </w:r>
      <w:r w:rsidRPr="00F35716">
        <w:tab/>
      </w:r>
      <w:r w:rsidR="00EC3C86" w:rsidRPr="00F35716">
        <w:t xml:space="preserve">Se censó a 400 mujeres para aumentar sus posibilidades de </w:t>
      </w:r>
      <w:r w:rsidR="00B6378B" w:rsidRPr="00F35716">
        <w:t>obtener un empleo</w:t>
      </w:r>
      <w:r w:rsidR="00EC3C86" w:rsidRPr="00F35716">
        <w:t>.</w:t>
      </w:r>
    </w:p>
    <w:p w14:paraId="32E944AB" w14:textId="1DBB520A" w:rsidR="00EC3C86" w:rsidRPr="00F35716" w:rsidRDefault="00EC5919" w:rsidP="00EC5919">
      <w:pPr>
        <w:pStyle w:val="SingleTxt"/>
        <w:tabs>
          <w:tab w:val="right" w:pos="1685"/>
        </w:tabs>
        <w:ind w:left="1742" w:hanging="475"/>
      </w:pPr>
      <w:r w:rsidRPr="00F35716">
        <w:tab/>
        <w:t>–</w:t>
      </w:r>
      <w:r w:rsidRPr="00F35716">
        <w:tab/>
      </w:r>
      <w:r w:rsidR="00EC3C86" w:rsidRPr="00F35716">
        <w:t xml:space="preserve">Se efectuaron auditorías de igualdad de género </w:t>
      </w:r>
      <w:r w:rsidR="00B6378B" w:rsidRPr="00F35716">
        <w:t>en diez</w:t>
      </w:r>
      <w:r w:rsidR="00EC3C86" w:rsidRPr="00F35716">
        <w:t xml:space="preserve"> empresas. </w:t>
      </w:r>
    </w:p>
    <w:p w14:paraId="32E944AC" w14:textId="2E6CB9B4" w:rsidR="00EC3C86" w:rsidRPr="00F35716" w:rsidRDefault="00EC3C86" w:rsidP="00553F73">
      <w:pPr>
        <w:pStyle w:val="SingleTxt"/>
        <w:keepLines/>
        <w:numPr>
          <w:ilvl w:val="0"/>
          <w:numId w:val="8"/>
        </w:numPr>
        <w:ind w:left="1267" w:firstLine="0"/>
      </w:pPr>
      <w:r w:rsidRPr="00F35716">
        <w:t xml:space="preserve">Para </w:t>
      </w:r>
      <w:r w:rsidR="00B6378B" w:rsidRPr="00F35716">
        <w:t xml:space="preserve">promover </w:t>
      </w:r>
      <w:r w:rsidRPr="00F35716">
        <w:t xml:space="preserve">una cultura de igualdad profesional dentro de la empresa, el sector competente organizó tres ediciones del Premio a la Igualdad Profesional </w:t>
      </w:r>
      <w:r w:rsidR="00B6378B" w:rsidRPr="00F35716">
        <w:t xml:space="preserve">(2016, 2017 y 2018) </w:t>
      </w:r>
      <w:r w:rsidRPr="00F35716">
        <w:t xml:space="preserve">en beneficio de las empresas nacionales e internacionales ubicadas dentro del territorio nacional que demostraron </w:t>
      </w:r>
      <w:r w:rsidR="00B6378B" w:rsidRPr="00F35716">
        <w:t>el cumplimiento de</w:t>
      </w:r>
      <w:r w:rsidRPr="00F35716">
        <w:t xml:space="preserve"> criterios relacionados con el principio de </w:t>
      </w:r>
      <w:r w:rsidR="00B6378B" w:rsidRPr="00F35716">
        <w:t>la igualdad de género y la</w:t>
      </w:r>
      <w:r w:rsidRPr="00F35716">
        <w:t xml:space="preserve"> igualdad de oportunidades en la</w:t>
      </w:r>
      <w:r w:rsidR="00B6378B" w:rsidRPr="00F35716">
        <w:t>s</w:t>
      </w:r>
      <w:r w:rsidRPr="00F35716">
        <w:t xml:space="preserve"> empresa</w:t>
      </w:r>
      <w:r w:rsidR="00B6378B" w:rsidRPr="00F35716">
        <w:t>s, la contratación</w:t>
      </w:r>
      <w:r w:rsidRPr="00F35716">
        <w:t xml:space="preserve">, las condiciones de trabajo y la formación continua, además de la </w:t>
      </w:r>
      <w:r w:rsidR="00B6378B" w:rsidRPr="00F35716">
        <w:t xml:space="preserve">inclusión </w:t>
      </w:r>
      <w:r w:rsidRPr="00F35716">
        <w:t>de mujeres en</w:t>
      </w:r>
      <w:r w:rsidR="00C15CCC" w:rsidRPr="00F35716">
        <w:t> </w:t>
      </w:r>
      <w:r w:rsidR="00B6378B" w:rsidRPr="00F35716">
        <w:t>sus órganos de representación</w:t>
      </w:r>
      <w:r w:rsidRPr="00F35716">
        <w:t xml:space="preserve">. En este proceso participaron aproximadamente 110 empresas: 34 en 2016, 33 en 2017 y 43 en 2018. </w:t>
      </w:r>
    </w:p>
    <w:p w14:paraId="32E944AD" w14:textId="68756E0F" w:rsidR="00EC3C86" w:rsidRPr="00F35716" w:rsidRDefault="00EC3C86" w:rsidP="00B3192A">
      <w:pPr>
        <w:pStyle w:val="SingleTxt"/>
        <w:numPr>
          <w:ilvl w:val="0"/>
          <w:numId w:val="8"/>
        </w:numPr>
        <w:ind w:left="1267" w:firstLine="0"/>
      </w:pPr>
      <w:r w:rsidRPr="00F35716">
        <w:t xml:space="preserve">Se ha </w:t>
      </w:r>
      <w:r w:rsidR="00D93C19" w:rsidRPr="00F35716">
        <w:t>destinado</w:t>
      </w:r>
      <w:r w:rsidRPr="00F35716">
        <w:t xml:space="preserve"> una </w:t>
      </w:r>
      <w:r w:rsidR="00D93C19" w:rsidRPr="00F35716">
        <w:t>dotación</w:t>
      </w:r>
      <w:r w:rsidRPr="00F35716">
        <w:t xml:space="preserve"> financiera en el presupuesto del sector laboral para apoyar los proyectos de asociaciones que trabajan en </w:t>
      </w:r>
      <w:r w:rsidR="00D93C19" w:rsidRPr="00F35716">
        <w:t>la esfera</w:t>
      </w:r>
      <w:r w:rsidRPr="00F35716">
        <w:t xml:space="preserve"> de la promoción de</w:t>
      </w:r>
      <w:r w:rsidR="00D93C19" w:rsidRPr="00F35716">
        <w:t>l derecho de las mujeres a</w:t>
      </w:r>
      <w:r w:rsidR="00907410" w:rsidRPr="00F35716">
        <w:t>l trabajo</w:t>
      </w:r>
      <w:r w:rsidRPr="00F35716">
        <w:t xml:space="preserve">. Asimismo, se han preparado especificaciones para </w:t>
      </w:r>
      <w:r w:rsidR="00D93C19" w:rsidRPr="00F35716">
        <w:t>la designación</w:t>
      </w:r>
      <w:r w:rsidRPr="00F35716">
        <w:t xml:space="preserve"> y el nombramiento de un comité interministerial encargado de seleccionar los proyectos de asociaciones candidatas. Este proceso se </w:t>
      </w:r>
      <w:r w:rsidR="008D49F4" w:rsidRPr="00F35716">
        <w:t>basa en las solicitudes y presentaciones</w:t>
      </w:r>
      <w:r w:rsidRPr="00F35716">
        <w:t xml:space="preserve"> de las asociaciones</w:t>
      </w:r>
      <w:r w:rsidR="008D49F4" w:rsidRPr="00F35716">
        <w:t xml:space="preserve"> y en</w:t>
      </w:r>
      <w:r w:rsidRPr="00F35716">
        <w:t xml:space="preserve"> la guía de referencia para los criterios a</w:t>
      </w:r>
      <w:r w:rsidR="008D49F4" w:rsidRPr="00F35716">
        <w:t>doptados</w:t>
      </w:r>
      <w:r w:rsidRPr="00F35716">
        <w:t xml:space="preserve"> en la estrategia del sector competente</w:t>
      </w:r>
      <w:r w:rsidR="008D49F4" w:rsidRPr="00F35716">
        <w:t>. Incluye</w:t>
      </w:r>
      <w:r w:rsidRPr="00F35716">
        <w:t xml:space="preserve"> actividades destinadas a sensibilizar </w:t>
      </w:r>
      <w:r w:rsidR="008D49F4" w:rsidRPr="00F35716">
        <w:t>sobre la situación de las mujeres</w:t>
      </w:r>
      <w:r w:rsidRPr="00F35716">
        <w:t xml:space="preserve"> </w:t>
      </w:r>
      <w:r w:rsidR="008D49F4" w:rsidRPr="00F35716">
        <w:t>en</w:t>
      </w:r>
      <w:r w:rsidRPr="00F35716">
        <w:t xml:space="preserve"> beneficio </w:t>
      </w:r>
      <w:r w:rsidR="008D49F4" w:rsidRPr="00F35716">
        <w:t>tanto de las empresas como de los asalariados</w:t>
      </w:r>
      <w:r w:rsidRPr="00F35716">
        <w:t xml:space="preserve">, empoderar a las mujeres en el lugar de trabajo y mejorar sus condiciones </w:t>
      </w:r>
      <w:r w:rsidR="008D49F4" w:rsidRPr="00F35716">
        <w:t>de trabajo</w:t>
      </w:r>
      <w:r w:rsidRPr="00F35716">
        <w:t xml:space="preserve">. En 2017 se </w:t>
      </w:r>
      <w:r w:rsidR="008D49F4" w:rsidRPr="00F35716">
        <w:t>seleccionaron</w:t>
      </w:r>
      <w:r w:rsidRPr="00F35716">
        <w:t xml:space="preserve"> 3 de los 9 proyectos propuestos por las asociaciones, mientras que en 2018 se seleccionaron 4 de 44.</w:t>
      </w:r>
    </w:p>
    <w:p w14:paraId="32E944AE" w14:textId="7B9D0F26" w:rsidR="00EC3C86" w:rsidRPr="00F35716" w:rsidRDefault="00EC3C86" w:rsidP="00B3192A">
      <w:pPr>
        <w:pStyle w:val="SingleTxt"/>
        <w:numPr>
          <w:ilvl w:val="0"/>
          <w:numId w:val="8"/>
        </w:numPr>
        <w:ind w:left="1267" w:firstLine="0"/>
      </w:pPr>
      <w:r w:rsidRPr="00F35716">
        <w:lastRenderedPageBreak/>
        <w:t xml:space="preserve">El Plan </w:t>
      </w:r>
      <w:r w:rsidR="008D49F4" w:rsidRPr="00F35716">
        <w:t>Gubernamental</w:t>
      </w:r>
      <w:r w:rsidRPr="00F35716">
        <w:t xml:space="preserve"> para la Igualdad (</w:t>
      </w:r>
      <w:r w:rsidR="008D49F4" w:rsidRPr="00F35716">
        <w:t xml:space="preserve">ICRAM 1 e ICRAM </w:t>
      </w:r>
      <w:r w:rsidRPr="00F35716">
        <w:t>2) de</w:t>
      </w:r>
      <w:r w:rsidR="008D49F4" w:rsidRPr="00F35716">
        <w:t>dica</w:t>
      </w:r>
      <w:r w:rsidRPr="00F35716">
        <w:t xml:space="preserve"> un</w:t>
      </w:r>
      <w:r w:rsidR="008D49F4" w:rsidRPr="00F35716">
        <w:t>a sección especial</w:t>
      </w:r>
      <w:r w:rsidRPr="00F35716">
        <w:t xml:space="preserve"> al empoderamiento económico de las mujeres. </w:t>
      </w:r>
      <w:r w:rsidR="007310A1" w:rsidRPr="00F35716">
        <w:t xml:space="preserve">El plan </w:t>
      </w:r>
      <w:r w:rsidR="008D49F4" w:rsidRPr="00F35716">
        <w:t>ICRAM 1</w:t>
      </w:r>
      <w:r w:rsidRPr="00F35716">
        <w:t xml:space="preserve"> adopt</w:t>
      </w:r>
      <w:r w:rsidR="008D49F4" w:rsidRPr="00F35716">
        <w:t>ó</w:t>
      </w:r>
      <w:r w:rsidRPr="00F35716">
        <w:t xml:space="preserve"> programas que </w:t>
      </w:r>
      <w:r w:rsidR="008D49F4" w:rsidRPr="00F35716">
        <w:t>alientan</w:t>
      </w:r>
      <w:r w:rsidRPr="00F35716">
        <w:t xml:space="preserve"> el desarrollo de alianzas con diversos agentes y </w:t>
      </w:r>
      <w:r w:rsidR="008D49F4" w:rsidRPr="00F35716">
        <w:t>aumenta</w:t>
      </w:r>
      <w:r w:rsidR="007310A1" w:rsidRPr="00F35716">
        <w:t>n</w:t>
      </w:r>
      <w:r w:rsidR="008D49F4" w:rsidRPr="00F35716">
        <w:t xml:space="preserve"> las sinergias</w:t>
      </w:r>
      <w:r w:rsidRPr="00F35716">
        <w:t xml:space="preserve">, a fin de dotar a las mujeres emprendedoras y </w:t>
      </w:r>
      <w:r w:rsidR="008D49F4" w:rsidRPr="00F35716">
        <w:t xml:space="preserve">las </w:t>
      </w:r>
      <w:r w:rsidRPr="00F35716">
        <w:t xml:space="preserve">directivas de cooperativas y asociaciones de los medios necesarios en el ámbito de </w:t>
      </w:r>
      <w:r w:rsidR="008D49F4" w:rsidRPr="00F35716">
        <w:t xml:space="preserve">la </w:t>
      </w:r>
      <w:r w:rsidRPr="00F35716">
        <w:t>comercialización y</w:t>
      </w:r>
      <w:r w:rsidR="008D49F4" w:rsidRPr="00F35716">
        <w:t xml:space="preserve"> la dotación de personal</w:t>
      </w:r>
      <w:r w:rsidRPr="00F35716">
        <w:t xml:space="preserve"> y de facilitar su acceso a préstamos y propiedades. El plan</w:t>
      </w:r>
      <w:r w:rsidR="007310A1" w:rsidRPr="00F35716">
        <w:t xml:space="preserve"> ICRAM</w:t>
      </w:r>
      <w:r w:rsidRPr="00F35716">
        <w:t xml:space="preserve"> 2 t</w:t>
      </w:r>
      <w:r w:rsidR="007310A1" w:rsidRPr="00F35716">
        <w:t>enía</w:t>
      </w:r>
      <w:r w:rsidRPr="00F35716">
        <w:t xml:space="preserve"> </w:t>
      </w:r>
      <w:r w:rsidR="00A056D2" w:rsidRPr="00F35716">
        <w:t>por</w:t>
      </w:r>
      <w:r w:rsidRPr="00F35716">
        <w:t xml:space="preserve"> objeto apoyar la independencia económica y el empoderamiento de las mujeres promoviendo su participación en el mercado laboral, garantizando </w:t>
      </w:r>
      <w:r w:rsidR="00A056D2" w:rsidRPr="00F35716">
        <w:t>el</w:t>
      </w:r>
      <w:r w:rsidRPr="00F35716">
        <w:t xml:space="preserve"> acceso igualitario a </w:t>
      </w:r>
      <w:r w:rsidR="007310A1" w:rsidRPr="00F35716">
        <w:t>la promoción profesional</w:t>
      </w:r>
      <w:r w:rsidRPr="00F35716">
        <w:t xml:space="preserve">, mejorando su </w:t>
      </w:r>
      <w:r w:rsidR="007310A1" w:rsidRPr="00F35716">
        <w:t>situación</w:t>
      </w:r>
      <w:r w:rsidRPr="00F35716">
        <w:t xml:space="preserve"> económica en </w:t>
      </w:r>
      <w:r w:rsidR="007310A1" w:rsidRPr="00F35716">
        <w:t>las zonas</w:t>
      </w:r>
      <w:r w:rsidRPr="00F35716">
        <w:t xml:space="preserve"> rural</w:t>
      </w:r>
      <w:r w:rsidR="007310A1" w:rsidRPr="00F35716">
        <w:t>es</w:t>
      </w:r>
      <w:r w:rsidRPr="00F35716">
        <w:t xml:space="preserve"> y apoyando la</w:t>
      </w:r>
      <w:r w:rsidR="007310A1" w:rsidRPr="00F35716">
        <w:t>s empresas de mujeres</w:t>
      </w:r>
      <w:r w:rsidRPr="00F35716">
        <w:t xml:space="preserve">. </w:t>
      </w:r>
    </w:p>
    <w:p w14:paraId="32E944AF" w14:textId="76C7B988" w:rsidR="00EC3C86" w:rsidRPr="00F35716" w:rsidRDefault="00EC3C86" w:rsidP="00B3192A">
      <w:pPr>
        <w:pStyle w:val="SingleTxt"/>
        <w:numPr>
          <w:ilvl w:val="0"/>
          <w:numId w:val="8"/>
        </w:numPr>
        <w:ind w:left="1267" w:firstLine="0"/>
      </w:pPr>
      <w:r w:rsidRPr="00F35716">
        <w:t xml:space="preserve">Se ha preparado un estudio estratégico sobre el empoderamiento económico de las mujeres que permitirá elaborar el programa nacional integrado </w:t>
      </w:r>
      <w:r w:rsidR="0090724D" w:rsidRPr="00F35716">
        <w:t>para el</w:t>
      </w:r>
      <w:r w:rsidR="000318AF" w:rsidRPr="00F35716">
        <w:t xml:space="preserve"> </w:t>
      </w:r>
      <w:r w:rsidRPr="00F35716">
        <w:t xml:space="preserve">empoderamiento económico de las mujeres para 2030, que se enmarca en el compromiso de ejecución del programa gubernamental 2017-2021 relacionado con el fortalecimiento de la inclusión económica de las mujeres en el desarrollo y la aplicación de los contenidos del Plan Gubernamental para la Igualdad relativos al empoderamiento económico. </w:t>
      </w:r>
    </w:p>
    <w:p w14:paraId="32E944B0" w14:textId="77634D0B" w:rsidR="00EC3C86" w:rsidRPr="00F35716" w:rsidRDefault="00EC3C86" w:rsidP="00B3192A">
      <w:pPr>
        <w:pStyle w:val="SingleTxt"/>
        <w:numPr>
          <w:ilvl w:val="0"/>
          <w:numId w:val="8"/>
        </w:numPr>
        <w:ind w:left="1267" w:firstLine="0"/>
      </w:pPr>
      <w:r w:rsidRPr="00F35716">
        <w:t>Con el fin de proteger los derechos de las personas con discapacidad, se promulgó la Ley Marco núm. 97</w:t>
      </w:r>
      <w:r w:rsidR="000318AF" w:rsidRPr="00F35716">
        <w:t>-</w:t>
      </w:r>
      <w:r w:rsidRPr="00F35716">
        <w:t xml:space="preserve">13, que incluye una sección sobre empleo e integración profesional. </w:t>
      </w:r>
      <w:r w:rsidR="000318AF" w:rsidRPr="00F35716">
        <w:t>E</w:t>
      </w:r>
      <w:r w:rsidRPr="00F35716">
        <w:t>n 2016 se emitieron dos nuevos decretos que garantizarán que est</w:t>
      </w:r>
      <w:r w:rsidR="000318AF" w:rsidRPr="00F35716">
        <w:t>a categoría de personas</w:t>
      </w:r>
      <w:r w:rsidRPr="00F35716">
        <w:t xml:space="preserve"> tenga acceso al empleo público mediante el fortalecimiento de</w:t>
      </w:r>
      <w:r w:rsidR="000318AF" w:rsidRPr="00F35716">
        <w:t>l sistema de c</w:t>
      </w:r>
      <w:r w:rsidRPr="00F35716">
        <w:t>uotas, que ha superado el 7</w:t>
      </w:r>
      <w:r w:rsidR="0006736D" w:rsidRPr="00F35716">
        <w:t> %</w:t>
      </w:r>
      <w:r w:rsidRPr="00F35716">
        <w:t xml:space="preserve"> en un grupo de casos y ha institucionalizado el proceso de gestión de distintos puestos organizativos nuevos mediante la creación de un comité nacional permanente </w:t>
      </w:r>
      <w:r w:rsidR="00B1255B" w:rsidRPr="00F35716">
        <w:t>encargado de</w:t>
      </w:r>
      <w:r w:rsidRPr="00F35716">
        <w:t xml:space="preserve"> realizar un seguimiento de los </w:t>
      </w:r>
      <w:r w:rsidR="00B1255B" w:rsidRPr="00F35716">
        <w:t>anuncios de vacantes</w:t>
      </w:r>
      <w:r w:rsidRPr="00F35716">
        <w:t xml:space="preserve"> para personas </w:t>
      </w:r>
      <w:r w:rsidR="00B1255B" w:rsidRPr="00F35716">
        <w:t>con</w:t>
      </w:r>
      <w:r w:rsidRPr="00F35716">
        <w:t xml:space="preserve"> discapacidad. </w:t>
      </w:r>
    </w:p>
    <w:p w14:paraId="32E944B1" w14:textId="77777777" w:rsidR="00204309" w:rsidRPr="00F35716" w:rsidRDefault="00204309" w:rsidP="00204309">
      <w:pPr>
        <w:pStyle w:val="SingleTxt"/>
        <w:spacing w:after="0" w:line="120" w:lineRule="exact"/>
        <w:rPr>
          <w:sz w:val="10"/>
          <w:szCs w:val="20"/>
        </w:rPr>
      </w:pPr>
    </w:p>
    <w:p w14:paraId="32E944B3" w14:textId="77777777" w:rsidR="00EC3C86" w:rsidRPr="00F35716" w:rsidRDefault="00DC7516"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Cs w:val="0"/>
          <w:szCs w:val="20"/>
        </w:rPr>
        <w:t>Artículo 12</w:t>
      </w:r>
      <w:bookmarkStart w:id="46" w:name="_Toc24015482"/>
      <w:bookmarkStart w:id="47" w:name="_Toc24100788"/>
      <w:bookmarkStart w:id="48" w:name="_Toc24548862"/>
      <w:bookmarkStart w:id="49" w:name="_Toc28165904"/>
      <w:bookmarkEnd w:id="46"/>
      <w:bookmarkEnd w:id="47"/>
      <w:bookmarkEnd w:id="48"/>
      <w:bookmarkEnd w:id="49"/>
    </w:p>
    <w:p w14:paraId="32E944B4" w14:textId="77777777" w:rsidR="00204309" w:rsidRPr="00F35716" w:rsidRDefault="00204309" w:rsidP="00204309">
      <w:pPr>
        <w:pStyle w:val="SingleTxt"/>
        <w:spacing w:after="0" w:line="120" w:lineRule="exact"/>
        <w:rPr>
          <w:sz w:val="10"/>
          <w:szCs w:val="20"/>
        </w:rPr>
      </w:pPr>
    </w:p>
    <w:p w14:paraId="32E944B5" w14:textId="1482DEC7" w:rsidR="00EC3C86" w:rsidRPr="00F35716" w:rsidRDefault="00482625" w:rsidP="00B3192A">
      <w:pPr>
        <w:pStyle w:val="SingleTxt"/>
        <w:numPr>
          <w:ilvl w:val="0"/>
          <w:numId w:val="8"/>
        </w:numPr>
        <w:ind w:left="1267" w:firstLine="0"/>
      </w:pPr>
      <w:r w:rsidRPr="00F35716">
        <w:t>Con respecto al párrafo 31 de las observaciones finales</w:t>
      </w:r>
      <w:r w:rsidR="00EC3C86" w:rsidRPr="00F35716">
        <w:t xml:space="preserve">, Marruecos ha progresado notablemente en la mejora de la </w:t>
      </w:r>
      <w:r w:rsidR="009B09FE" w:rsidRPr="00F35716">
        <w:t xml:space="preserve">salud de </w:t>
      </w:r>
      <w:r w:rsidR="00B1255B" w:rsidRPr="00F35716">
        <w:t>su</w:t>
      </w:r>
      <w:r w:rsidR="009B09FE" w:rsidRPr="00F35716">
        <w:t xml:space="preserve"> </w:t>
      </w:r>
      <w:r w:rsidR="00EC3C86" w:rsidRPr="00F35716">
        <w:t>población</w:t>
      </w:r>
      <w:r w:rsidR="00B1255B" w:rsidRPr="00F35716">
        <w:t>,</w:t>
      </w:r>
      <w:r w:rsidR="00EC3C86" w:rsidRPr="00F35716">
        <w:t xml:space="preserve"> y </w:t>
      </w:r>
      <w:r w:rsidR="0090724D" w:rsidRPr="00F35716">
        <w:t xml:space="preserve">de </w:t>
      </w:r>
      <w:r w:rsidR="00EC3C86" w:rsidRPr="00F35716">
        <w:t>la salud reproductiva en particular</w:t>
      </w:r>
      <w:r w:rsidR="00B1255B" w:rsidRPr="00F35716">
        <w:t>. Esa mejora ha quedado reflejada</w:t>
      </w:r>
      <w:r w:rsidR="00EC3C86" w:rsidRPr="00F35716">
        <w:t xml:space="preserve"> en l</w:t>
      </w:r>
      <w:r w:rsidR="00B1255B" w:rsidRPr="00F35716">
        <w:t>os indicadores relativos a l</w:t>
      </w:r>
      <w:r w:rsidR="00EC3C86" w:rsidRPr="00F35716">
        <w:t xml:space="preserve">a esperanza de vida al nacer y la mortalidad materna </w:t>
      </w:r>
      <w:r w:rsidR="00B1255B" w:rsidRPr="00F35716">
        <w:t>y en la niñez</w:t>
      </w:r>
      <w:r w:rsidR="00EC3C86" w:rsidRPr="00F35716">
        <w:t>:</w:t>
      </w:r>
    </w:p>
    <w:p w14:paraId="32E944B6" w14:textId="77777777" w:rsidR="0092414B" w:rsidRPr="00F35716" w:rsidRDefault="0092414B" w:rsidP="00204309">
      <w:pPr>
        <w:pStyle w:val="SingleTxt"/>
        <w:spacing w:after="0" w:line="120" w:lineRule="exact"/>
        <w:rPr>
          <w:sz w:val="10"/>
          <w:szCs w:val="20"/>
        </w:rPr>
      </w:pPr>
    </w:p>
    <w:p w14:paraId="32E944B7" w14:textId="77777777" w:rsidR="00EC3C86" w:rsidRPr="00F35716" w:rsidRDefault="00735173"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 w:val="0"/>
          <w:bCs w:val="0"/>
          <w:szCs w:val="20"/>
        </w:rPr>
        <w:t xml:space="preserve">Tabla 11: </w:t>
      </w:r>
      <w:r w:rsidRPr="00F35716">
        <w:rPr>
          <w:bCs w:val="0"/>
          <w:szCs w:val="20"/>
        </w:rPr>
        <w:br/>
      </w:r>
      <w:r w:rsidR="00EC3C86" w:rsidRPr="00F35716">
        <w:rPr>
          <w:bCs w:val="0"/>
          <w:szCs w:val="20"/>
        </w:rPr>
        <w:t>Esperanza de vida al nacer entre 2014 y 2050</w:t>
      </w:r>
    </w:p>
    <w:p w14:paraId="32E944B8" w14:textId="77777777" w:rsidR="00735173" w:rsidRPr="00F35716" w:rsidRDefault="00735173" w:rsidP="00204309">
      <w:pPr>
        <w:pStyle w:val="SingleTxt"/>
        <w:spacing w:after="0" w:line="120" w:lineRule="exact"/>
        <w:rPr>
          <w:sz w:val="10"/>
          <w:szCs w:val="20"/>
        </w:rPr>
      </w:pPr>
    </w:p>
    <w:tbl>
      <w:tblPr>
        <w:tblW w:w="7346" w:type="dxa"/>
        <w:tblInd w:w="1267" w:type="dxa"/>
        <w:tblLayout w:type="fixed"/>
        <w:tblCellMar>
          <w:left w:w="0" w:type="dxa"/>
          <w:right w:w="43" w:type="dxa"/>
        </w:tblCellMar>
        <w:tblLook w:val="04A0" w:firstRow="1" w:lastRow="0" w:firstColumn="1" w:lastColumn="0" w:noHBand="0" w:noVBand="1"/>
      </w:tblPr>
      <w:tblGrid>
        <w:gridCol w:w="1470"/>
        <w:gridCol w:w="1469"/>
        <w:gridCol w:w="1469"/>
        <w:gridCol w:w="1469"/>
        <w:gridCol w:w="1469"/>
      </w:tblGrid>
      <w:tr w:rsidR="00A869B2" w:rsidRPr="00F35716" w14:paraId="32E944BE" w14:textId="77777777" w:rsidTr="00A869B2">
        <w:trPr>
          <w:trHeight w:val="70"/>
          <w:tblHeader/>
        </w:trPr>
        <w:tc>
          <w:tcPr>
            <w:tcW w:w="1470" w:type="dxa"/>
            <w:tcBorders>
              <w:top w:val="single" w:sz="4" w:space="0" w:color="auto"/>
            </w:tcBorders>
          </w:tcPr>
          <w:p w14:paraId="32E944B9" w14:textId="77777777" w:rsidR="00A869B2" w:rsidRPr="00F35716" w:rsidRDefault="00A869B2" w:rsidP="00900F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1469" w:type="dxa"/>
            <w:tcBorders>
              <w:top w:val="single" w:sz="4" w:space="0" w:color="auto"/>
            </w:tcBorders>
            <w:vAlign w:val="bottom"/>
          </w:tcPr>
          <w:p w14:paraId="32E944BA" w14:textId="77777777" w:rsidR="00A869B2" w:rsidRPr="00F35716" w:rsidRDefault="00A869B2"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2014</w:t>
            </w:r>
          </w:p>
        </w:tc>
        <w:tc>
          <w:tcPr>
            <w:tcW w:w="1469" w:type="dxa"/>
            <w:tcBorders>
              <w:top w:val="single" w:sz="4" w:space="0" w:color="auto"/>
            </w:tcBorders>
            <w:vAlign w:val="bottom"/>
          </w:tcPr>
          <w:p w14:paraId="32E944BB" w14:textId="77777777" w:rsidR="00A869B2" w:rsidRPr="00F35716" w:rsidRDefault="00A869B2"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2020</w:t>
            </w:r>
          </w:p>
        </w:tc>
        <w:tc>
          <w:tcPr>
            <w:tcW w:w="1469" w:type="dxa"/>
            <w:tcBorders>
              <w:top w:val="single" w:sz="4" w:space="0" w:color="auto"/>
            </w:tcBorders>
            <w:vAlign w:val="bottom"/>
          </w:tcPr>
          <w:p w14:paraId="32E944BC" w14:textId="77777777" w:rsidR="00A869B2" w:rsidRPr="00F35716" w:rsidRDefault="00A869B2"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2030</w:t>
            </w:r>
          </w:p>
        </w:tc>
        <w:tc>
          <w:tcPr>
            <w:tcW w:w="1469" w:type="dxa"/>
            <w:tcBorders>
              <w:top w:val="single" w:sz="4" w:space="0" w:color="auto"/>
            </w:tcBorders>
            <w:shd w:val="clear" w:color="auto" w:fill="auto"/>
            <w:vAlign w:val="bottom"/>
          </w:tcPr>
          <w:p w14:paraId="32E944BD" w14:textId="77777777" w:rsidR="00A869B2" w:rsidRPr="00F35716" w:rsidRDefault="00A869B2" w:rsidP="00900F1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2050</w:t>
            </w:r>
          </w:p>
        </w:tc>
      </w:tr>
      <w:tr w:rsidR="00A869B2" w:rsidRPr="00F35716" w14:paraId="32E944C4" w14:textId="77777777" w:rsidTr="00A869B2">
        <w:trPr>
          <w:trHeight w:hRule="exact" w:val="80"/>
        </w:trPr>
        <w:tc>
          <w:tcPr>
            <w:tcW w:w="1470" w:type="dxa"/>
            <w:tcBorders>
              <w:bottom w:val="single" w:sz="12" w:space="0" w:color="auto"/>
            </w:tcBorders>
          </w:tcPr>
          <w:p w14:paraId="32E944BF" w14:textId="77777777" w:rsidR="00A869B2" w:rsidRPr="00F35716" w:rsidRDefault="00A869B2" w:rsidP="009241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1469" w:type="dxa"/>
            <w:tcBorders>
              <w:bottom w:val="single" w:sz="12" w:space="0" w:color="auto"/>
            </w:tcBorders>
            <w:vAlign w:val="bottom"/>
          </w:tcPr>
          <w:p w14:paraId="32E944C0" w14:textId="77777777" w:rsidR="00A869B2" w:rsidRPr="00F35716" w:rsidRDefault="00A869B2"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1469" w:type="dxa"/>
            <w:tcBorders>
              <w:bottom w:val="single" w:sz="12" w:space="0" w:color="auto"/>
            </w:tcBorders>
            <w:vAlign w:val="bottom"/>
          </w:tcPr>
          <w:p w14:paraId="32E944C1" w14:textId="77777777" w:rsidR="00A869B2" w:rsidRPr="00F35716" w:rsidRDefault="00A869B2"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1469" w:type="dxa"/>
            <w:tcBorders>
              <w:bottom w:val="single" w:sz="12" w:space="0" w:color="auto"/>
            </w:tcBorders>
            <w:vAlign w:val="bottom"/>
          </w:tcPr>
          <w:p w14:paraId="32E944C2" w14:textId="77777777" w:rsidR="00A869B2" w:rsidRPr="00F35716" w:rsidRDefault="00A869B2"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1469" w:type="dxa"/>
            <w:tcBorders>
              <w:bottom w:val="single" w:sz="12" w:space="0" w:color="auto"/>
            </w:tcBorders>
            <w:shd w:val="clear" w:color="auto" w:fill="auto"/>
            <w:vAlign w:val="bottom"/>
          </w:tcPr>
          <w:p w14:paraId="32E944C3" w14:textId="77777777" w:rsidR="00A869B2" w:rsidRPr="00F35716" w:rsidRDefault="00A869B2" w:rsidP="009241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r>
      <w:tr w:rsidR="00A869B2" w:rsidRPr="00F35716" w14:paraId="32E944CA" w14:textId="77777777" w:rsidTr="00A869B2">
        <w:tc>
          <w:tcPr>
            <w:tcW w:w="1470" w:type="dxa"/>
            <w:tcBorders>
              <w:top w:val="single" w:sz="12" w:space="0" w:color="auto"/>
            </w:tcBorders>
          </w:tcPr>
          <w:p w14:paraId="32E944C5" w14:textId="77777777" w:rsidR="00A869B2" w:rsidRPr="00F35716" w:rsidRDefault="00A869B2" w:rsidP="00BD5A25">
            <w:pPr>
              <w:spacing w:before="40" w:after="80" w:line="210" w:lineRule="exact"/>
              <w:rPr>
                <w:bCs/>
                <w:sz w:val="17"/>
                <w:szCs w:val="17"/>
              </w:rPr>
            </w:pPr>
            <w:r w:rsidRPr="00F35716">
              <w:rPr>
                <w:bCs/>
                <w:sz w:val="17"/>
                <w:szCs w:val="17"/>
              </w:rPr>
              <w:t>Hombres</w:t>
            </w:r>
          </w:p>
        </w:tc>
        <w:tc>
          <w:tcPr>
            <w:tcW w:w="1469" w:type="dxa"/>
            <w:tcBorders>
              <w:top w:val="single" w:sz="12" w:space="0" w:color="auto"/>
            </w:tcBorders>
            <w:vAlign w:val="bottom"/>
          </w:tcPr>
          <w:p w14:paraId="32E944C6" w14:textId="77777777" w:rsidR="00A869B2" w:rsidRPr="00F35716" w:rsidRDefault="00A869B2" w:rsidP="006F34C8">
            <w:pPr>
              <w:spacing w:before="40" w:after="80" w:line="210" w:lineRule="exact"/>
              <w:jc w:val="right"/>
              <w:rPr>
                <w:bCs/>
                <w:sz w:val="17"/>
                <w:szCs w:val="17"/>
              </w:rPr>
            </w:pPr>
            <w:r w:rsidRPr="00F35716">
              <w:rPr>
                <w:bCs/>
                <w:sz w:val="17"/>
                <w:szCs w:val="17"/>
              </w:rPr>
              <w:t>74,0</w:t>
            </w:r>
          </w:p>
        </w:tc>
        <w:tc>
          <w:tcPr>
            <w:tcW w:w="1469" w:type="dxa"/>
            <w:tcBorders>
              <w:top w:val="single" w:sz="12" w:space="0" w:color="auto"/>
            </w:tcBorders>
            <w:vAlign w:val="bottom"/>
          </w:tcPr>
          <w:p w14:paraId="32E944C7" w14:textId="77777777" w:rsidR="00A869B2" w:rsidRPr="00F35716" w:rsidRDefault="00A869B2" w:rsidP="006F34C8">
            <w:pPr>
              <w:spacing w:before="40" w:after="80" w:line="210" w:lineRule="exact"/>
              <w:jc w:val="right"/>
              <w:rPr>
                <w:bCs/>
                <w:sz w:val="17"/>
                <w:szCs w:val="17"/>
              </w:rPr>
            </w:pPr>
            <w:r w:rsidRPr="00F35716">
              <w:rPr>
                <w:bCs/>
                <w:sz w:val="17"/>
                <w:szCs w:val="17"/>
              </w:rPr>
              <w:t>74,9</w:t>
            </w:r>
          </w:p>
        </w:tc>
        <w:tc>
          <w:tcPr>
            <w:tcW w:w="1469" w:type="dxa"/>
            <w:tcBorders>
              <w:top w:val="single" w:sz="12" w:space="0" w:color="auto"/>
            </w:tcBorders>
            <w:vAlign w:val="bottom"/>
          </w:tcPr>
          <w:p w14:paraId="32E944C8" w14:textId="77777777" w:rsidR="00A869B2" w:rsidRPr="00F35716" w:rsidRDefault="00A869B2" w:rsidP="006F34C8">
            <w:pPr>
              <w:spacing w:before="40" w:after="80" w:line="210" w:lineRule="exact"/>
              <w:jc w:val="right"/>
              <w:rPr>
                <w:bCs/>
                <w:sz w:val="17"/>
                <w:szCs w:val="17"/>
              </w:rPr>
            </w:pPr>
            <w:r w:rsidRPr="00F35716">
              <w:rPr>
                <w:bCs/>
                <w:sz w:val="17"/>
                <w:szCs w:val="17"/>
              </w:rPr>
              <w:t>76,3</w:t>
            </w:r>
          </w:p>
        </w:tc>
        <w:tc>
          <w:tcPr>
            <w:tcW w:w="1469" w:type="dxa"/>
            <w:tcBorders>
              <w:top w:val="single" w:sz="12" w:space="0" w:color="auto"/>
            </w:tcBorders>
            <w:shd w:val="clear" w:color="auto" w:fill="auto"/>
            <w:vAlign w:val="bottom"/>
          </w:tcPr>
          <w:p w14:paraId="32E944C9" w14:textId="77777777" w:rsidR="00A869B2" w:rsidRPr="00F35716" w:rsidRDefault="00A869B2" w:rsidP="00900F13">
            <w:pPr>
              <w:spacing w:before="40" w:after="80" w:line="210" w:lineRule="exact"/>
              <w:jc w:val="right"/>
              <w:rPr>
                <w:bCs/>
                <w:sz w:val="17"/>
                <w:szCs w:val="17"/>
              </w:rPr>
            </w:pPr>
            <w:r w:rsidRPr="00F35716">
              <w:rPr>
                <w:bCs/>
                <w:sz w:val="17"/>
                <w:szCs w:val="17"/>
              </w:rPr>
              <w:t>78,6</w:t>
            </w:r>
          </w:p>
        </w:tc>
      </w:tr>
      <w:tr w:rsidR="00A869B2" w:rsidRPr="00F35716" w14:paraId="32E944D0" w14:textId="77777777" w:rsidTr="00A869B2">
        <w:tc>
          <w:tcPr>
            <w:tcW w:w="1470" w:type="dxa"/>
            <w:tcBorders>
              <w:bottom w:val="single" w:sz="4" w:space="0" w:color="auto"/>
            </w:tcBorders>
          </w:tcPr>
          <w:p w14:paraId="32E944CB" w14:textId="77777777" w:rsidR="00A869B2" w:rsidRPr="00F35716" w:rsidRDefault="00A869B2" w:rsidP="00BD5A25">
            <w:pPr>
              <w:spacing w:before="40" w:after="80" w:line="210" w:lineRule="exact"/>
              <w:rPr>
                <w:bCs/>
                <w:sz w:val="17"/>
                <w:szCs w:val="17"/>
              </w:rPr>
            </w:pPr>
            <w:r w:rsidRPr="00F35716">
              <w:rPr>
                <w:bCs/>
                <w:sz w:val="17"/>
                <w:szCs w:val="17"/>
              </w:rPr>
              <w:t>Mujeres</w:t>
            </w:r>
          </w:p>
        </w:tc>
        <w:tc>
          <w:tcPr>
            <w:tcW w:w="1469" w:type="dxa"/>
            <w:tcBorders>
              <w:bottom w:val="single" w:sz="4" w:space="0" w:color="auto"/>
            </w:tcBorders>
            <w:vAlign w:val="bottom"/>
          </w:tcPr>
          <w:p w14:paraId="32E944CC" w14:textId="77777777" w:rsidR="00A869B2" w:rsidRPr="00F35716" w:rsidRDefault="00A869B2" w:rsidP="006F34C8">
            <w:pPr>
              <w:spacing w:before="40" w:after="80" w:line="210" w:lineRule="exact"/>
              <w:jc w:val="right"/>
              <w:rPr>
                <w:bCs/>
                <w:sz w:val="17"/>
                <w:szCs w:val="17"/>
              </w:rPr>
            </w:pPr>
            <w:r w:rsidRPr="00F35716">
              <w:rPr>
                <w:bCs/>
                <w:sz w:val="17"/>
                <w:szCs w:val="17"/>
              </w:rPr>
              <w:t>77,3</w:t>
            </w:r>
          </w:p>
        </w:tc>
        <w:tc>
          <w:tcPr>
            <w:tcW w:w="1469" w:type="dxa"/>
            <w:tcBorders>
              <w:bottom w:val="single" w:sz="4" w:space="0" w:color="auto"/>
            </w:tcBorders>
            <w:vAlign w:val="bottom"/>
          </w:tcPr>
          <w:p w14:paraId="32E944CD" w14:textId="77777777" w:rsidR="00A869B2" w:rsidRPr="00F35716" w:rsidRDefault="00A869B2" w:rsidP="006F34C8">
            <w:pPr>
              <w:spacing w:before="40" w:after="80" w:line="210" w:lineRule="exact"/>
              <w:jc w:val="right"/>
              <w:rPr>
                <w:bCs/>
                <w:sz w:val="17"/>
                <w:szCs w:val="17"/>
              </w:rPr>
            </w:pPr>
            <w:r w:rsidRPr="00F35716">
              <w:rPr>
                <w:bCs/>
                <w:sz w:val="17"/>
                <w:szCs w:val="17"/>
              </w:rPr>
              <w:t>78,3</w:t>
            </w:r>
          </w:p>
        </w:tc>
        <w:tc>
          <w:tcPr>
            <w:tcW w:w="1469" w:type="dxa"/>
            <w:tcBorders>
              <w:bottom w:val="single" w:sz="4" w:space="0" w:color="auto"/>
            </w:tcBorders>
            <w:vAlign w:val="bottom"/>
          </w:tcPr>
          <w:p w14:paraId="32E944CE" w14:textId="77777777" w:rsidR="00A869B2" w:rsidRPr="00F35716" w:rsidRDefault="00A869B2" w:rsidP="006F34C8">
            <w:pPr>
              <w:spacing w:before="40" w:after="80" w:line="210" w:lineRule="exact"/>
              <w:jc w:val="right"/>
              <w:rPr>
                <w:bCs/>
                <w:sz w:val="17"/>
                <w:szCs w:val="17"/>
              </w:rPr>
            </w:pPr>
            <w:r w:rsidRPr="00F35716">
              <w:rPr>
                <w:bCs/>
                <w:sz w:val="17"/>
                <w:szCs w:val="17"/>
              </w:rPr>
              <w:t>79,8</w:t>
            </w:r>
          </w:p>
        </w:tc>
        <w:tc>
          <w:tcPr>
            <w:tcW w:w="1469" w:type="dxa"/>
            <w:tcBorders>
              <w:bottom w:val="single" w:sz="4" w:space="0" w:color="auto"/>
            </w:tcBorders>
            <w:shd w:val="clear" w:color="auto" w:fill="auto"/>
            <w:vAlign w:val="bottom"/>
          </w:tcPr>
          <w:p w14:paraId="32E944CF" w14:textId="77777777" w:rsidR="00A869B2" w:rsidRPr="00F35716" w:rsidRDefault="00A869B2" w:rsidP="00900F13">
            <w:pPr>
              <w:spacing w:before="40" w:after="80" w:line="210" w:lineRule="exact"/>
              <w:jc w:val="right"/>
              <w:rPr>
                <w:bCs/>
                <w:sz w:val="17"/>
                <w:szCs w:val="17"/>
              </w:rPr>
            </w:pPr>
            <w:r w:rsidRPr="00F35716">
              <w:rPr>
                <w:bCs/>
                <w:sz w:val="17"/>
                <w:szCs w:val="17"/>
              </w:rPr>
              <w:t>82,3</w:t>
            </w:r>
          </w:p>
        </w:tc>
      </w:tr>
      <w:tr w:rsidR="00A869B2" w:rsidRPr="00F35716" w14:paraId="32E944D6" w14:textId="77777777" w:rsidTr="00A869B2">
        <w:trPr>
          <w:trHeight w:val="288"/>
        </w:trPr>
        <w:tc>
          <w:tcPr>
            <w:tcW w:w="1470" w:type="dxa"/>
            <w:tcBorders>
              <w:top w:val="single" w:sz="4" w:space="0" w:color="auto"/>
              <w:bottom w:val="single" w:sz="12" w:space="0" w:color="auto"/>
            </w:tcBorders>
          </w:tcPr>
          <w:p w14:paraId="32E944D1" w14:textId="77777777" w:rsidR="00A869B2" w:rsidRPr="00F35716" w:rsidRDefault="00A869B2" w:rsidP="00BD5A25">
            <w:pPr>
              <w:spacing w:before="80" w:after="80" w:line="210" w:lineRule="exact"/>
              <w:rPr>
                <w:b/>
                <w:sz w:val="17"/>
                <w:szCs w:val="17"/>
              </w:rPr>
            </w:pPr>
            <w:r w:rsidRPr="00F35716">
              <w:rPr>
                <w:b/>
                <w:bCs/>
                <w:sz w:val="17"/>
                <w:szCs w:val="17"/>
              </w:rPr>
              <w:tab/>
              <w:t>Total</w:t>
            </w:r>
          </w:p>
        </w:tc>
        <w:tc>
          <w:tcPr>
            <w:tcW w:w="1469" w:type="dxa"/>
            <w:tcBorders>
              <w:top w:val="single" w:sz="4" w:space="0" w:color="auto"/>
              <w:bottom w:val="single" w:sz="12" w:space="0" w:color="auto"/>
            </w:tcBorders>
            <w:vAlign w:val="bottom"/>
          </w:tcPr>
          <w:p w14:paraId="32E944D2" w14:textId="77777777" w:rsidR="00A869B2" w:rsidRPr="00F35716" w:rsidRDefault="00A869B2" w:rsidP="006F34C8">
            <w:pPr>
              <w:spacing w:before="80" w:after="80" w:line="210" w:lineRule="exact"/>
              <w:jc w:val="right"/>
              <w:rPr>
                <w:b/>
                <w:sz w:val="17"/>
                <w:szCs w:val="17"/>
              </w:rPr>
            </w:pPr>
            <w:r w:rsidRPr="00F35716">
              <w:rPr>
                <w:b/>
                <w:sz w:val="17"/>
                <w:szCs w:val="17"/>
              </w:rPr>
              <w:t>75,6</w:t>
            </w:r>
          </w:p>
        </w:tc>
        <w:tc>
          <w:tcPr>
            <w:tcW w:w="1469" w:type="dxa"/>
            <w:tcBorders>
              <w:top w:val="single" w:sz="4" w:space="0" w:color="auto"/>
              <w:bottom w:val="single" w:sz="12" w:space="0" w:color="auto"/>
            </w:tcBorders>
            <w:vAlign w:val="bottom"/>
          </w:tcPr>
          <w:p w14:paraId="32E944D3" w14:textId="77777777" w:rsidR="00A869B2" w:rsidRPr="00F35716" w:rsidRDefault="00A869B2" w:rsidP="006F34C8">
            <w:pPr>
              <w:spacing w:before="80" w:after="80" w:line="210" w:lineRule="exact"/>
              <w:jc w:val="right"/>
              <w:rPr>
                <w:b/>
                <w:sz w:val="17"/>
                <w:szCs w:val="17"/>
              </w:rPr>
            </w:pPr>
            <w:r w:rsidRPr="00F35716">
              <w:rPr>
                <w:b/>
                <w:sz w:val="17"/>
                <w:szCs w:val="17"/>
              </w:rPr>
              <w:t>76,6</w:t>
            </w:r>
          </w:p>
        </w:tc>
        <w:tc>
          <w:tcPr>
            <w:tcW w:w="1469" w:type="dxa"/>
            <w:tcBorders>
              <w:top w:val="single" w:sz="4" w:space="0" w:color="auto"/>
              <w:bottom w:val="single" w:sz="12" w:space="0" w:color="auto"/>
            </w:tcBorders>
            <w:vAlign w:val="bottom"/>
          </w:tcPr>
          <w:p w14:paraId="32E944D4" w14:textId="77777777" w:rsidR="00A869B2" w:rsidRPr="00F35716" w:rsidRDefault="00A869B2" w:rsidP="006F34C8">
            <w:pPr>
              <w:spacing w:before="80" w:after="80" w:line="210" w:lineRule="exact"/>
              <w:jc w:val="right"/>
              <w:rPr>
                <w:b/>
                <w:sz w:val="17"/>
                <w:szCs w:val="17"/>
              </w:rPr>
            </w:pPr>
            <w:r w:rsidRPr="00F35716">
              <w:rPr>
                <w:b/>
                <w:sz w:val="17"/>
                <w:szCs w:val="17"/>
              </w:rPr>
              <w:t>78,0</w:t>
            </w:r>
          </w:p>
        </w:tc>
        <w:tc>
          <w:tcPr>
            <w:tcW w:w="1469" w:type="dxa"/>
            <w:tcBorders>
              <w:top w:val="single" w:sz="4" w:space="0" w:color="auto"/>
              <w:bottom w:val="single" w:sz="12" w:space="0" w:color="auto"/>
            </w:tcBorders>
            <w:shd w:val="clear" w:color="auto" w:fill="auto"/>
            <w:vAlign w:val="bottom"/>
          </w:tcPr>
          <w:p w14:paraId="32E944D5" w14:textId="77777777" w:rsidR="00A869B2" w:rsidRPr="00F35716" w:rsidRDefault="00A869B2" w:rsidP="0092414B">
            <w:pPr>
              <w:spacing w:before="80" w:after="80" w:line="210" w:lineRule="exact"/>
              <w:jc w:val="right"/>
              <w:rPr>
                <w:b/>
                <w:sz w:val="17"/>
                <w:szCs w:val="17"/>
              </w:rPr>
            </w:pPr>
            <w:r w:rsidRPr="00F35716">
              <w:rPr>
                <w:b/>
                <w:sz w:val="17"/>
                <w:szCs w:val="17"/>
              </w:rPr>
              <w:t>80,4</w:t>
            </w:r>
          </w:p>
        </w:tc>
      </w:tr>
    </w:tbl>
    <w:p w14:paraId="32E944D7" w14:textId="77777777" w:rsidR="00BF0715" w:rsidRPr="00F35716" w:rsidRDefault="00BF0715" w:rsidP="00204309">
      <w:pPr>
        <w:pStyle w:val="SingleTxt"/>
        <w:spacing w:after="0" w:line="120" w:lineRule="exact"/>
        <w:rPr>
          <w:sz w:val="10"/>
          <w:szCs w:val="20"/>
        </w:rPr>
      </w:pPr>
    </w:p>
    <w:p w14:paraId="32E944D8" w14:textId="6B8C426C" w:rsidR="00EC3C86" w:rsidRPr="00F35716" w:rsidRDefault="00EC3C86" w:rsidP="00735173">
      <w:pPr>
        <w:pStyle w:val="FootnoteText"/>
        <w:widowControl w:val="0"/>
        <w:tabs>
          <w:tab w:val="clear" w:pos="418"/>
          <w:tab w:val="right" w:pos="1476"/>
          <w:tab w:val="left" w:pos="1548"/>
          <w:tab w:val="right" w:pos="1836"/>
          <w:tab w:val="left" w:pos="1908"/>
        </w:tabs>
        <w:ind w:left="1548" w:right="1065" w:hanging="289"/>
      </w:pPr>
      <w:r w:rsidRPr="00F35716">
        <w:rPr>
          <w:i/>
        </w:rPr>
        <w:t xml:space="preserve">Fuente: </w:t>
      </w:r>
      <w:r w:rsidRPr="00F35716">
        <w:t>Alto Comisionado de Planificación, proyecciones demográficas de las familias, 2014-2050</w:t>
      </w:r>
      <w:r w:rsidR="00B1255B" w:rsidRPr="00F35716">
        <w:t>.</w:t>
      </w:r>
    </w:p>
    <w:p w14:paraId="32E944D9" w14:textId="77777777" w:rsidR="00735173" w:rsidRPr="00F35716" w:rsidRDefault="00735173" w:rsidP="00204309">
      <w:pPr>
        <w:pStyle w:val="SingleTxt"/>
        <w:spacing w:after="0" w:line="120" w:lineRule="exact"/>
        <w:rPr>
          <w:sz w:val="10"/>
          <w:szCs w:val="20"/>
        </w:rPr>
      </w:pPr>
    </w:p>
    <w:p w14:paraId="32E944DA" w14:textId="0DD19856" w:rsidR="00075FA3" w:rsidRDefault="00075FA3">
      <w:pPr>
        <w:suppressAutoHyphens w:val="0"/>
        <w:spacing w:line="240" w:lineRule="auto"/>
        <w:rPr>
          <w:kern w:val="14"/>
          <w:sz w:val="10"/>
          <w:szCs w:val="20"/>
        </w:rPr>
      </w:pPr>
      <w:r>
        <w:rPr>
          <w:sz w:val="10"/>
          <w:szCs w:val="20"/>
        </w:rPr>
        <w:br w:type="page"/>
      </w:r>
    </w:p>
    <w:p w14:paraId="3CCDD7C9" w14:textId="77777777" w:rsidR="00204309" w:rsidRPr="00F35716" w:rsidRDefault="00204309" w:rsidP="00204309">
      <w:pPr>
        <w:pStyle w:val="SingleTxt"/>
        <w:spacing w:after="0" w:line="120" w:lineRule="exact"/>
        <w:rPr>
          <w:sz w:val="10"/>
          <w:szCs w:val="20"/>
        </w:rPr>
      </w:pPr>
    </w:p>
    <w:tbl>
      <w:tblPr>
        <w:tblW w:w="7611"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3"/>
        <w:gridCol w:w="144"/>
      </w:tblGrid>
      <w:tr w:rsidR="00EB46BA" w:rsidRPr="00F35716" w14:paraId="32E944DF" w14:textId="77777777" w:rsidTr="006F34C8">
        <w:trPr>
          <w:trHeight w:hRule="exact" w:val="115"/>
        </w:trPr>
        <w:tc>
          <w:tcPr>
            <w:tcW w:w="144" w:type="dxa"/>
          </w:tcPr>
          <w:p w14:paraId="32E944DB" w14:textId="77777777" w:rsidR="00EB46BA" w:rsidRPr="00F35716" w:rsidRDefault="00EB46BA" w:rsidP="006F34C8">
            <w:pPr>
              <w:pStyle w:val="SingleTxt"/>
              <w:ind w:left="0"/>
            </w:pPr>
          </w:p>
        </w:tc>
        <w:tc>
          <w:tcPr>
            <w:tcW w:w="7323" w:type="dxa"/>
          </w:tcPr>
          <w:p w14:paraId="32E944DC" w14:textId="77777777" w:rsidR="00EB46BA" w:rsidRPr="00F35716" w:rsidRDefault="00EB46BA"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14:paraId="32E944DD" w14:textId="77777777" w:rsidR="00EB46BA" w:rsidRPr="00F35716" w:rsidRDefault="00EB46BA" w:rsidP="006F34C8">
            <w:pPr>
              <w:pStyle w:val="H23"/>
              <w:tabs>
                <w:tab w:val="left" w:pos="475"/>
                <w:tab w:val="left" w:pos="965"/>
                <w:tab w:val="left" w:pos="1440"/>
                <w:tab w:val="left" w:pos="1915"/>
                <w:tab w:val="left" w:pos="2405"/>
                <w:tab w:val="left" w:pos="2880"/>
                <w:tab w:val="left" w:pos="3355"/>
              </w:tabs>
              <w:spacing w:after="120"/>
            </w:pPr>
          </w:p>
        </w:tc>
        <w:tc>
          <w:tcPr>
            <w:tcW w:w="144" w:type="dxa"/>
          </w:tcPr>
          <w:p w14:paraId="32E944DE" w14:textId="77777777" w:rsidR="00EB46BA" w:rsidRPr="00F35716" w:rsidRDefault="00EB46BA" w:rsidP="006F34C8">
            <w:pPr>
              <w:pStyle w:val="SingleTxt"/>
            </w:pPr>
          </w:p>
        </w:tc>
      </w:tr>
      <w:tr w:rsidR="00EB46BA" w:rsidRPr="00F35716" w14:paraId="32E944E6" w14:textId="77777777" w:rsidTr="00EB46BA">
        <w:trPr>
          <w:trHeight w:val="2160"/>
        </w:trPr>
        <w:tc>
          <w:tcPr>
            <w:tcW w:w="144" w:type="dxa"/>
          </w:tcPr>
          <w:p w14:paraId="32E944E0" w14:textId="77777777" w:rsidR="00EB46BA" w:rsidRPr="00F35716" w:rsidRDefault="00EB46BA" w:rsidP="006F34C8">
            <w:pPr>
              <w:pStyle w:val="SingleTxt"/>
            </w:pPr>
          </w:p>
        </w:tc>
        <w:tc>
          <w:tcPr>
            <w:tcW w:w="7323" w:type="dxa"/>
          </w:tcPr>
          <w:p w14:paraId="32E944E1" w14:textId="483A987C" w:rsidR="00EB46BA" w:rsidRPr="00F35716" w:rsidRDefault="00EB46BA"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F35716">
              <w:t>E</w:t>
            </w:r>
            <w:r w:rsidR="00E821D7" w:rsidRPr="00F35716">
              <w:t>volución</w:t>
            </w:r>
            <w:r w:rsidRPr="00F35716">
              <w:t xml:space="preserve"> de los indicadores más importantes de salud materna e infantil</w:t>
            </w:r>
          </w:p>
          <w:p w14:paraId="32E944E2" w14:textId="058A8FC5" w:rsidR="00EB46BA" w:rsidRPr="00F35716" w:rsidRDefault="00EB46BA" w:rsidP="006F34C8">
            <w:pPr>
              <w:pStyle w:val="DualTxt"/>
              <w:tabs>
                <w:tab w:val="right" w:pos="360"/>
              </w:tabs>
              <w:ind w:left="475" w:hanging="475"/>
            </w:pPr>
            <w:r w:rsidRPr="00F35716">
              <w:tab/>
              <w:t>-</w:t>
            </w:r>
            <w:r w:rsidRPr="00F35716">
              <w:tab/>
            </w:r>
            <w:r w:rsidR="00B1255B" w:rsidRPr="00F35716">
              <w:t>L</w:t>
            </w:r>
            <w:r w:rsidRPr="00F35716">
              <w:t xml:space="preserve">a esperanza </w:t>
            </w:r>
            <w:r w:rsidR="00B1255B" w:rsidRPr="00F35716">
              <w:t xml:space="preserve">media </w:t>
            </w:r>
            <w:r w:rsidRPr="00F35716">
              <w:t xml:space="preserve">de vida al nacer </w:t>
            </w:r>
            <w:r w:rsidR="00B1255B" w:rsidRPr="00F35716">
              <w:t xml:space="preserve">aumentó </w:t>
            </w:r>
            <w:r w:rsidRPr="00F35716">
              <w:t>de 47 años en 1962 a 74,8 en 2010.</w:t>
            </w:r>
          </w:p>
          <w:p w14:paraId="32E944E3" w14:textId="1535684A" w:rsidR="00EB46BA" w:rsidRPr="00F35716" w:rsidRDefault="00EB46BA" w:rsidP="006F34C8">
            <w:pPr>
              <w:pStyle w:val="DualTxt"/>
              <w:tabs>
                <w:tab w:val="right" w:pos="360"/>
              </w:tabs>
              <w:ind w:left="475" w:hanging="475"/>
            </w:pPr>
            <w:r w:rsidRPr="00F35716">
              <w:tab/>
              <w:t>-</w:t>
            </w:r>
            <w:r w:rsidRPr="00F35716">
              <w:tab/>
              <w:t xml:space="preserve">La tasa de mortalidad materna </w:t>
            </w:r>
            <w:r w:rsidR="00B1255B" w:rsidRPr="00F35716">
              <w:t xml:space="preserve">disminuyó </w:t>
            </w:r>
            <w:r w:rsidRPr="00F35716">
              <w:t>en un 35</w:t>
            </w:r>
            <w:r w:rsidR="0006736D" w:rsidRPr="00F35716">
              <w:t> %</w:t>
            </w:r>
            <w:r w:rsidRPr="00F35716">
              <w:t xml:space="preserve">, de 112 muertes por cada 100.000 nacidos vivos en 2010 a 72,6 en 2017 (esta disminución </w:t>
            </w:r>
            <w:r w:rsidR="00B1255B" w:rsidRPr="00F35716">
              <w:t>fue</w:t>
            </w:r>
            <w:r w:rsidRPr="00F35716">
              <w:t xml:space="preserve"> </w:t>
            </w:r>
            <w:r w:rsidR="00B1255B" w:rsidRPr="00F35716">
              <w:t>d</w:t>
            </w:r>
            <w:r w:rsidRPr="00F35716">
              <w:t>el 39</w:t>
            </w:r>
            <w:r w:rsidR="0006736D" w:rsidRPr="00F35716">
              <w:t> %</w:t>
            </w:r>
            <w:r w:rsidRPr="00F35716">
              <w:t xml:space="preserve"> en las zonas urbanas y </w:t>
            </w:r>
            <w:r w:rsidR="00B1255B" w:rsidRPr="00F35716">
              <w:t>d</w:t>
            </w:r>
            <w:r w:rsidRPr="00F35716">
              <w:t>el 25</w:t>
            </w:r>
            <w:r w:rsidR="0006736D" w:rsidRPr="00F35716">
              <w:t> %</w:t>
            </w:r>
            <w:r w:rsidRPr="00F35716">
              <w:t xml:space="preserve"> en las zonas rurales).</w:t>
            </w:r>
          </w:p>
          <w:p w14:paraId="32E944E4" w14:textId="634F5AED" w:rsidR="00EB46BA" w:rsidRPr="00F35716" w:rsidRDefault="00EB46BA" w:rsidP="00EB46BA">
            <w:pPr>
              <w:pStyle w:val="DualTxt"/>
              <w:tabs>
                <w:tab w:val="right" w:pos="360"/>
              </w:tabs>
              <w:ind w:left="475" w:hanging="475"/>
            </w:pPr>
            <w:r w:rsidRPr="00F35716">
              <w:tab/>
              <w:t>-</w:t>
            </w:r>
            <w:r w:rsidRPr="00F35716">
              <w:tab/>
              <w:t xml:space="preserve">La mortalidad </w:t>
            </w:r>
            <w:r w:rsidR="00E821D7" w:rsidRPr="00F35716">
              <w:t>en la niñez disminuyó</w:t>
            </w:r>
            <w:r w:rsidRPr="00F35716">
              <w:t xml:space="preserve"> de 63 muertes por cada 1.000 nacidos vivos en 1992 a 28,8 en 2011.</w:t>
            </w:r>
          </w:p>
        </w:tc>
        <w:tc>
          <w:tcPr>
            <w:tcW w:w="144" w:type="dxa"/>
          </w:tcPr>
          <w:p w14:paraId="32E944E5" w14:textId="77777777" w:rsidR="00EB46BA" w:rsidRPr="00F35716" w:rsidRDefault="00EB46BA" w:rsidP="006F34C8">
            <w:pPr>
              <w:pStyle w:val="SingleTxt"/>
            </w:pPr>
          </w:p>
        </w:tc>
      </w:tr>
      <w:tr w:rsidR="00EB46BA" w:rsidRPr="00F35716" w14:paraId="32E944EA" w14:textId="77777777" w:rsidTr="006F34C8">
        <w:tblPrEx>
          <w:tblBorders>
            <w:top w:val="single" w:sz="2" w:space="0" w:color="000000"/>
            <w:left w:val="single" w:sz="2" w:space="0" w:color="000000"/>
            <w:bottom w:val="single" w:sz="2" w:space="0" w:color="000000"/>
            <w:right w:val="single" w:sz="2" w:space="0" w:color="000000"/>
          </w:tblBorders>
        </w:tblPrEx>
        <w:trPr>
          <w:cantSplit/>
          <w:trHeight w:hRule="exact" w:val="115"/>
        </w:trPr>
        <w:tc>
          <w:tcPr>
            <w:tcW w:w="144" w:type="dxa"/>
            <w:shd w:val="clear" w:color="auto" w:fill="auto"/>
          </w:tcPr>
          <w:p w14:paraId="32E944E7" w14:textId="77777777" w:rsidR="00EB46BA" w:rsidRPr="00F35716" w:rsidRDefault="00EB46BA" w:rsidP="006F34C8">
            <w:pPr>
              <w:pStyle w:val="SingleTxt"/>
            </w:pPr>
          </w:p>
        </w:tc>
        <w:tc>
          <w:tcPr>
            <w:tcW w:w="7323" w:type="dxa"/>
            <w:shd w:val="clear" w:color="auto" w:fill="auto"/>
          </w:tcPr>
          <w:p w14:paraId="32E944E8" w14:textId="77777777" w:rsidR="00EB46BA" w:rsidRPr="00F35716" w:rsidRDefault="00EB46BA"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14:paraId="32E944E9" w14:textId="77777777" w:rsidR="00EB46BA" w:rsidRPr="00F35716" w:rsidRDefault="00EB46BA" w:rsidP="006F34C8">
            <w:pPr>
              <w:pStyle w:val="SingleTxt"/>
              <w:ind w:left="0"/>
            </w:pPr>
          </w:p>
        </w:tc>
      </w:tr>
    </w:tbl>
    <w:p w14:paraId="32E944EB" w14:textId="77777777" w:rsidR="00EB46BA" w:rsidRPr="00F35716" w:rsidRDefault="00EB46BA" w:rsidP="00204309">
      <w:pPr>
        <w:pStyle w:val="SingleTxt"/>
        <w:spacing w:after="0" w:line="120" w:lineRule="exact"/>
        <w:rPr>
          <w:sz w:val="10"/>
          <w:szCs w:val="20"/>
        </w:rPr>
      </w:pPr>
    </w:p>
    <w:p w14:paraId="32E944EC" w14:textId="77777777" w:rsidR="00204309" w:rsidRPr="00F35716" w:rsidRDefault="00204309" w:rsidP="00204309">
      <w:pPr>
        <w:pStyle w:val="SingleTxt"/>
        <w:spacing w:after="0" w:line="120" w:lineRule="exact"/>
        <w:rPr>
          <w:sz w:val="10"/>
          <w:szCs w:val="20"/>
        </w:rPr>
      </w:pPr>
    </w:p>
    <w:p w14:paraId="32E944ED" w14:textId="66FA3EFD" w:rsidR="00EC3C86" w:rsidRPr="00F35716" w:rsidRDefault="00EC3C86" w:rsidP="00B3192A">
      <w:pPr>
        <w:pStyle w:val="SingleTxt"/>
        <w:numPr>
          <w:ilvl w:val="0"/>
          <w:numId w:val="8"/>
        </w:numPr>
        <w:ind w:left="1267" w:firstLine="0"/>
      </w:pPr>
      <w:r w:rsidRPr="00F35716">
        <w:t xml:space="preserve">Desde 2008, el Reino ha emprendido un conjunto de reformas legislativas que han </w:t>
      </w:r>
      <w:r w:rsidR="00E821D7" w:rsidRPr="00F35716">
        <w:t xml:space="preserve">mejorado </w:t>
      </w:r>
      <w:r w:rsidRPr="00F35716">
        <w:t>el acceso de las mujeres a los servicios de salud</w:t>
      </w:r>
      <w:r w:rsidR="00E821D7" w:rsidRPr="00F35716">
        <w:t>. L</w:t>
      </w:r>
      <w:r w:rsidRPr="00F35716">
        <w:t>a Constitución de 2011 h</w:t>
      </w:r>
      <w:r w:rsidR="00E821D7" w:rsidRPr="00F35716">
        <w:t>ace</w:t>
      </w:r>
      <w:r w:rsidRPr="00F35716">
        <w:t xml:space="preserve"> hincapié en el principio de la igualdad de acceso a los servicios de salud en su artículo 31</w:t>
      </w:r>
      <w:r w:rsidRPr="00F35716">
        <w:rPr>
          <w:vertAlign w:val="superscript"/>
        </w:rPr>
        <w:footnoteReference w:id="83"/>
      </w:r>
      <w:r w:rsidRPr="00F35716">
        <w:t>. La Ley Marco núm. 34</w:t>
      </w:r>
      <w:r w:rsidR="00E821D7" w:rsidRPr="00F35716">
        <w:t>-</w:t>
      </w:r>
      <w:r w:rsidRPr="00F35716">
        <w:t>09</w:t>
      </w:r>
      <w:r w:rsidR="00E821D7" w:rsidRPr="00F35716">
        <w:t>,</w:t>
      </w:r>
      <w:r w:rsidRPr="00F35716">
        <w:t xml:space="preserve"> de 2011, rela</w:t>
      </w:r>
      <w:r w:rsidR="00E821D7" w:rsidRPr="00F35716">
        <w:t>tiva a</w:t>
      </w:r>
      <w:r w:rsidRPr="00F35716">
        <w:t xml:space="preserve">l </w:t>
      </w:r>
      <w:r w:rsidR="0022421A" w:rsidRPr="00F35716">
        <w:t xml:space="preserve">Sistema </w:t>
      </w:r>
      <w:r w:rsidRPr="00F35716">
        <w:t xml:space="preserve">de </w:t>
      </w:r>
      <w:r w:rsidR="0022421A" w:rsidRPr="00F35716">
        <w:t>S</w:t>
      </w:r>
      <w:r w:rsidRPr="00F35716">
        <w:t xml:space="preserve">alud y la </w:t>
      </w:r>
      <w:r w:rsidR="0022421A" w:rsidRPr="00F35716">
        <w:t xml:space="preserve">Prestación </w:t>
      </w:r>
      <w:r w:rsidRPr="00F35716">
        <w:t xml:space="preserve">de </w:t>
      </w:r>
      <w:r w:rsidR="0022421A" w:rsidRPr="00F35716">
        <w:t>T</w:t>
      </w:r>
      <w:r w:rsidRPr="00F35716">
        <w:t>ratamientos</w:t>
      </w:r>
      <w:r w:rsidR="0022421A" w:rsidRPr="00F35716">
        <w:t>,</w:t>
      </w:r>
      <w:r w:rsidRPr="00F35716">
        <w:t xml:space="preserve"> (artículo 2) afirm</w:t>
      </w:r>
      <w:r w:rsidR="00E821D7" w:rsidRPr="00F35716">
        <w:t>a</w:t>
      </w:r>
      <w:r w:rsidRPr="00F35716">
        <w:t xml:space="preserve"> el principio de la igualdad de acceso a los tratamientos y servicios de salud, la equidad en </w:t>
      </w:r>
      <w:r w:rsidR="0022421A" w:rsidRPr="00F35716">
        <w:t>la</w:t>
      </w:r>
      <w:r w:rsidRPr="00F35716">
        <w:t xml:space="preserve"> distribución de los recursos sanitarios</w:t>
      </w:r>
      <w:r w:rsidR="0022421A" w:rsidRPr="00F35716">
        <w:t xml:space="preserve"> y</w:t>
      </w:r>
      <w:r w:rsidRPr="00F35716">
        <w:t xml:space="preserve"> la adopción de un</w:t>
      </w:r>
      <w:r w:rsidR="00E821D7" w:rsidRPr="00F35716">
        <w:t xml:space="preserve"> enfoque</w:t>
      </w:r>
      <w:r w:rsidRPr="00F35716">
        <w:t xml:space="preserve"> de género en </w:t>
      </w:r>
      <w:r w:rsidR="0022421A" w:rsidRPr="00F35716">
        <w:t>materia de</w:t>
      </w:r>
      <w:r w:rsidRPr="00F35716">
        <w:t xml:space="preserve"> servicios de salud</w:t>
      </w:r>
      <w:r w:rsidR="00293B98" w:rsidRPr="00F35716">
        <w:t>,</w:t>
      </w:r>
      <w:r w:rsidRPr="00F35716">
        <w:t xml:space="preserve"> y </w:t>
      </w:r>
      <w:r w:rsidR="0022421A" w:rsidRPr="00F35716">
        <w:t>(artículo 7) consagra la oposición a</w:t>
      </w:r>
      <w:r w:rsidRPr="00F35716">
        <w:t xml:space="preserve"> todas las formas de discriminación. La aplicación del Decreto núm. </w:t>
      </w:r>
      <w:r w:rsidR="00293B98" w:rsidRPr="00F35716">
        <w:t>2-14-</w:t>
      </w:r>
      <w:r w:rsidRPr="00F35716">
        <w:t xml:space="preserve">562 (julio de 2015), que </w:t>
      </w:r>
      <w:r w:rsidR="00E821D7" w:rsidRPr="00F35716">
        <w:t>regula</w:t>
      </w:r>
      <w:r w:rsidRPr="00F35716">
        <w:t xml:space="preserve"> la prestación de tratamientos, el</w:t>
      </w:r>
      <w:r w:rsidR="00553F73" w:rsidRPr="00F35716">
        <w:t> </w:t>
      </w:r>
      <w:r w:rsidRPr="00F35716">
        <w:t>mapa sanitario</w:t>
      </w:r>
      <w:r w:rsidR="00E821D7" w:rsidRPr="00F35716">
        <w:t xml:space="preserve"> y</w:t>
      </w:r>
      <w:r w:rsidRPr="00F35716">
        <w:t xml:space="preserve"> los planes regionales</w:t>
      </w:r>
      <w:r w:rsidR="00E821D7" w:rsidRPr="00F35716">
        <w:t xml:space="preserve">, ha contribuido a </w:t>
      </w:r>
      <w:r w:rsidRPr="00F35716">
        <w:t>la democratización del acceso a l</w:t>
      </w:r>
      <w:r w:rsidR="00FF6698" w:rsidRPr="00F35716">
        <w:t>o</w:t>
      </w:r>
      <w:r w:rsidRPr="00F35716">
        <w:t xml:space="preserve">s </w:t>
      </w:r>
      <w:r w:rsidR="00E821D7" w:rsidRPr="00F35716">
        <w:t>centros</w:t>
      </w:r>
      <w:r w:rsidRPr="00F35716">
        <w:t xml:space="preserve"> de salud</w:t>
      </w:r>
      <w:r w:rsidR="00FF6698" w:rsidRPr="00F35716">
        <w:t xml:space="preserve"> </w:t>
      </w:r>
      <w:r w:rsidR="00E821D7" w:rsidRPr="00F35716">
        <w:t>mediante</w:t>
      </w:r>
      <w:r w:rsidRPr="00F35716">
        <w:t xml:space="preserve"> la </w:t>
      </w:r>
      <w:r w:rsidR="00E821D7" w:rsidRPr="00F35716">
        <w:t>distribución</w:t>
      </w:r>
      <w:r w:rsidRPr="00F35716">
        <w:t xml:space="preserve"> óptima de los recursos sanitarios.</w:t>
      </w:r>
    </w:p>
    <w:p w14:paraId="32E944EE" w14:textId="0978724F" w:rsidR="00EC3C86" w:rsidRPr="00F35716" w:rsidRDefault="00EC3C86" w:rsidP="00B3192A">
      <w:pPr>
        <w:pStyle w:val="SingleTxt"/>
        <w:numPr>
          <w:ilvl w:val="0"/>
          <w:numId w:val="8"/>
        </w:numPr>
        <w:ind w:left="1267" w:firstLine="0"/>
      </w:pPr>
      <w:r w:rsidRPr="00F35716">
        <w:t xml:space="preserve">En Marruecos, el sistema básico de cobertura sanitaria </w:t>
      </w:r>
      <w:r w:rsidR="00293B98" w:rsidRPr="00F35716">
        <w:t>se compone de</w:t>
      </w:r>
      <w:r w:rsidRPr="00F35716">
        <w:t xml:space="preserve"> dos sistemas independientes: el sistema de seguro de enfermedad obligatorio </w:t>
      </w:r>
      <w:r w:rsidR="0022421A" w:rsidRPr="00F35716">
        <w:rPr>
          <w:rFonts w:asciiTheme="majorBidi" w:hAnsiTheme="majorBidi" w:cstheme="majorBidi"/>
        </w:rPr>
        <w:t xml:space="preserve">(Assurance Maladie Obligatoire - AMO) </w:t>
      </w:r>
      <w:r w:rsidRPr="00F35716">
        <w:t>y el sistema de asistencia sanitaria</w:t>
      </w:r>
      <w:r w:rsidR="0022421A" w:rsidRPr="00F35716">
        <w:t xml:space="preserve"> </w:t>
      </w:r>
      <w:r w:rsidR="0022421A" w:rsidRPr="00F35716">
        <w:rPr>
          <w:rFonts w:asciiTheme="majorBidi" w:hAnsiTheme="majorBidi" w:cstheme="majorBidi"/>
        </w:rPr>
        <w:t>(Régime d'Assistance Médicale Regime d’Assistance Médicale aux Economiquement Démunis – RAMED)</w:t>
      </w:r>
      <w:r w:rsidRPr="00F35716">
        <w:t xml:space="preserve">. Gracias a estos dos sistemas, Marruecos </w:t>
      </w:r>
      <w:r w:rsidR="0022421A" w:rsidRPr="00F35716">
        <w:t>ha podido</w:t>
      </w:r>
      <w:r w:rsidRPr="00F35716">
        <w:t xml:space="preserve"> alcanzar una cobertura sanitaria real del 62</w:t>
      </w:r>
      <w:r w:rsidR="0006736D" w:rsidRPr="00F35716">
        <w:t> %</w:t>
      </w:r>
      <w:r w:rsidRPr="00F35716">
        <w:t>. De ella, el 34</w:t>
      </w:r>
      <w:r w:rsidR="0006736D" w:rsidRPr="00F35716">
        <w:t> %</w:t>
      </w:r>
      <w:r w:rsidRPr="00F35716">
        <w:t xml:space="preserve"> se produjo a través del sistema </w:t>
      </w:r>
      <w:r w:rsidR="00FC7A95" w:rsidRPr="00F35716">
        <w:t>AMO</w:t>
      </w:r>
      <w:r w:rsidRPr="00F35716">
        <w:t xml:space="preserve"> y el 28</w:t>
      </w:r>
      <w:r w:rsidR="0006736D" w:rsidRPr="00F35716">
        <w:t> %</w:t>
      </w:r>
      <w:r w:rsidRPr="00F35716">
        <w:t xml:space="preserve">, a través del sistema </w:t>
      </w:r>
      <w:r w:rsidR="00FC7A95" w:rsidRPr="00F35716">
        <w:t>RAMED</w:t>
      </w:r>
      <w:r w:rsidRPr="00F35716">
        <w:t>. E</w:t>
      </w:r>
      <w:r w:rsidR="00FC7A95" w:rsidRPr="00F35716">
        <w:t>l objetivo es</w:t>
      </w:r>
      <w:r w:rsidRPr="00F35716">
        <w:t xml:space="preserve"> </w:t>
      </w:r>
      <w:r w:rsidR="00FC7A95" w:rsidRPr="00F35716">
        <w:t>generalizar la cobertura sanitaria</w:t>
      </w:r>
      <w:r w:rsidRPr="00F35716">
        <w:t xml:space="preserve"> para llegar al 90</w:t>
      </w:r>
      <w:r w:rsidR="0006736D" w:rsidRPr="00F35716">
        <w:t> %</w:t>
      </w:r>
      <w:r w:rsidRPr="00F35716">
        <w:t xml:space="preserve"> de la población en</w:t>
      </w:r>
      <w:r w:rsidR="00B6543E" w:rsidRPr="00F35716">
        <w:t> </w:t>
      </w:r>
      <w:r w:rsidRPr="00F35716">
        <w:t>2021.</w:t>
      </w:r>
    </w:p>
    <w:p w14:paraId="32E944EF" w14:textId="1BAB07DA" w:rsidR="00EC3C86" w:rsidRPr="00F35716" w:rsidRDefault="00EC3C86" w:rsidP="00553F73">
      <w:pPr>
        <w:pStyle w:val="SingleTxt"/>
        <w:keepLines/>
        <w:numPr>
          <w:ilvl w:val="0"/>
          <w:numId w:val="8"/>
        </w:numPr>
        <w:ind w:left="1267" w:firstLine="0"/>
      </w:pPr>
      <w:r w:rsidRPr="00F35716">
        <w:t>El artículo 5 de la Ley núm. 65</w:t>
      </w:r>
      <w:r w:rsidR="00FC7A95" w:rsidRPr="00F35716">
        <w:t>-00</w:t>
      </w:r>
      <w:r w:rsidRPr="00F35716">
        <w:t xml:space="preserve"> relativ</w:t>
      </w:r>
      <w:r w:rsidR="00293B98" w:rsidRPr="00F35716">
        <w:t>a</w:t>
      </w:r>
      <w:r w:rsidR="00163322" w:rsidRPr="00F35716">
        <w:t xml:space="preserve"> </w:t>
      </w:r>
      <w:r w:rsidRPr="00F35716">
        <w:t xml:space="preserve">al </w:t>
      </w:r>
      <w:r w:rsidR="00293B98" w:rsidRPr="00F35716">
        <w:t>R</w:t>
      </w:r>
      <w:r w:rsidRPr="00F35716">
        <w:t xml:space="preserve">égimen </w:t>
      </w:r>
      <w:r w:rsidR="00293B98" w:rsidRPr="00F35716">
        <w:t>B</w:t>
      </w:r>
      <w:r w:rsidRPr="00F35716">
        <w:t xml:space="preserve">ásico de </w:t>
      </w:r>
      <w:r w:rsidR="00293B98" w:rsidRPr="00F35716">
        <w:t>S</w:t>
      </w:r>
      <w:r w:rsidRPr="00F35716">
        <w:t xml:space="preserve">eguro </w:t>
      </w:r>
      <w:r w:rsidR="00293B98" w:rsidRPr="00F35716">
        <w:t>O</w:t>
      </w:r>
      <w:r w:rsidRPr="00F35716">
        <w:t xml:space="preserve">bligatorio de </w:t>
      </w:r>
      <w:r w:rsidR="00293B98" w:rsidRPr="00F35716">
        <w:t>E</w:t>
      </w:r>
      <w:r w:rsidRPr="00F35716">
        <w:t xml:space="preserve">nfermedad, </w:t>
      </w:r>
      <w:r w:rsidR="00FC7A95" w:rsidRPr="00F35716">
        <w:t xml:space="preserve">dispone </w:t>
      </w:r>
      <w:r w:rsidRPr="00F35716">
        <w:t xml:space="preserve">que el seguro obligatorio </w:t>
      </w:r>
      <w:r w:rsidR="00FC7A95" w:rsidRPr="00F35716">
        <w:t xml:space="preserve">debe </w:t>
      </w:r>
      <w:r w:rsidRPr="00F35716">
        <w:t>cubr</w:t>
      </w:r>
      <w:r w:rsidR="00FC7A95" w:rsidRPr="00F35716">
        <w:t>ir</w:t>
      </w:r>
      <w:r w:rsidRPr="00F35716">
        <w:t xml:space="preserve"> </w:t>
      </w:r>
      <w:r w:rsidR="00FC7A95" w:rsidRPr="00F35716">
        <w:t xml:space="preserve">tanto </w:t>
      </w:r>
      <w:r w:rsidRPr="00F35716">
        <w:t xml:space="preserve">a su titular </w:t>
      </w:r>
      <w:r w:rsidR="00FC7A95" w:rsidRPr="00F35716">
        <w:t xml:space="preserve">como </w:t>
      </w:r>
      <w:r w:rsidRPr="00F35716">
        <w:t xml:space="preserve">a los familiares </w:t>
      </w:r>
      <w:r w:rsidR="00FC7A95" w:rsidRPr="00F35716">
        <w:t>a su cargo</w:t>
      </w:r>
      <w:r w:rsidRPr="00F35716">
        <w:t>. Los artículos 35 y 36 de la Ley núm. 65</w:t>
      </w:r>
      <w:r w:rsidR="00FC7A95" w:rsidRPr="00F35716">
        <w:t>-00</w:t>
      </w:r>
      <w:r w:rsidRPr="00F35716">
        <w:t xml:space="preserve"> </w:t>
      </w:r>
      <w:r w:rsidR="00FC7A95" w:rsidRPr="00F35716">
        <w:t>disponen</w:t>
      </w:r>
      <w:r w:rsidRPr="00F35716">
        <w:t xml:space="preserve"> que las mujeres pueden continuar disfrutando de esta cobertura durante 2 años después de la muerte de su esposo o</w:t>
      </w:r>
      <w:r w:rsidR="00FC7A95" w:rsidRPr="00F35716">
        <w:t>, en caso de divorcio, durante 1 año tras la disolución del matrimonio</w:t>
      </w:r>
      <w:r w:rsidRPr="00F35716">
        <w:t xml:space="preserve">. </w:t>
      </w:r>
    </w:p>
    <w:p w14:paraId="32E944F0" w14:textId="1E8F2972" w:rsidR="00EC3C86" w:rsidRPr="00F35716" w:rsidRDefault="00EC3C86" w:rsidP="00B3192A">
      <w:pPr>
        <w:pStyle w:val="SingleTxt"/>
        <w:numPr>
          <w:ilvl w:val="0"/>
          <w:numId w:val="8"/>
        </w:numPr>
        <w:ind w:left="1267" w:firstLine="0"/>
      </w:pPr>
      <w:r w:rsidRPr="00F35716">
        <w:t xml:space="preserve">El sistema de asistencia </w:t>
      </w:r>
      <w:r w:rsidR="0048318E" w:rsidRPr="00F35716">
        <w:t>médica</w:t>
      </w:r>
      <w:r w:rsidRPr="00F35716">
        <w:t xml:space="preserve"> se </w:t>
      </w:r>
      <w:r w:rsidR="0048318E" w:rsidRPr="00F35716">
        <w:t xml:space="preserve">extendió </w:t>
      </w:r>
      <w:r w:rsidRPr="00F35716">
        <w:t>a la</w:t>
      </w:r>
      <w:r w:rsidR="0048318E" w:rsidRPr="00F35716">
        <w:t>s personas</w:t>
      </w:r>
      <w:r w:rsidRPr="00F35716">
        <w:t xml:space="preserve"> necesitada</w:t>
      </w:r>
      <w:r w:rsidR="0048318E" w:rsidRPr="00F35716">
        <w:t>s</w:t>
      </w:r>
      <w:r w:rsidRPr="00F35716">
        <w:t xml:space="preserve"> en 2012</w:t>
      </w:r>
      <w:r w:rsidR="0048318E" w:rsidRPr="00F35716">
        <w:t>,</w:t>
      </w:r>
      <w:r w:rsidRPr="00F35716">
        <w:t xml:space="preserve"> y </w:t>
      </w:r>
      <w:r w:rsidR="0048318E" w:rsidRPr="00F35716">
        <w:t xml:space="preserve">ha </w:t>
      </w:r>
      <w:r w:rsidRPr="00F35716">
        <w:t>contribu</w:t>
      </w:r>
      <w:r w:rsidR="0048318E" w:rsidRPr="00F35716">
        <w:t>ido</w:t>
      </w:r>
      <w:r w:rsidRPr="00F35716">
        <w:t xml:space="preserve"> a ampliar el acceso a tratamiento. Con este sistema se otorga la tarjeta</w:t>
      </w:r>
      <w:r w:rsidR="0048318E" w:rsidRPr="00F35716">
        <w:t xml:space="preserve"> RAMED</w:t>
      </w:r>
      <w:r w:rsidRPr="00F35716">
        <w:t xml:space="preserve"> a hombres y mujeres que se encuentran en situación de vulnerabilidad </w:t>
      </w:r>
      <w:r w:rsidR="0048318E" w:rsidRPr="00F35716">
        <w:t>o</w:t>
      </w:r>
      <w:r w:rsidRPr="00F35716">
        <w:t xml:space="preserve"> pobreza, sin discriminación, lo que les permite recibir la mayoría de los servicios prestados por las instituciones hospitalarias públicas. El número de beneficiarios del sistema de asistencia </w:t>
      </w:r>
      <w:r w:rsidR="0048318E" w:rsidRPr="00F35716">
        <w:t>médica</w:t>
      </w:r>
      <w:r w:rsidRPr="00F35716">
        <w:t xml:space="preserve"> alcanzó los 12 millones desde su </w:t>
      </w:r>
      <w:r w:rsidR="0048318E" w:rsidRPr="00F35716">
        <w:t>creación</w:t>
      </w:r>
      <w:r w:rsidRPr="00F35716">
        <w:t xml:space="preserve"> hasta 2018, </w:t>
      </w:r>
      <w:r w:rsidR="006B034B" w:rsidRPr="00F35716">
        <w:t>frente a</w:t>
      </w:r>
      <w:r w:rsidRPr="00F35716">
        <w:t xml:space="preserve"> los 10,3</w:t>
      </w:r>
      <w:r w:rsidR="00332FF3" w:rsidRPr="00F35716">
        <w:t> </w:t>
      </w:r>
      <w:r w:rsidRPr="00F35716">
        <w:t>millones de 2016. De ellos, 7,4 millones de personas t</w:t>
      </w:r>
      <w:r w:rsidR="006B034B" w:rsidRPr="00F35716">
        <w:t>enían</w:t>
      </w:r>
      <w:r w:rsidRPr="00F35716">
        <w:t xml:space="preserve"> tarjetas válidas con</w:t>
      </w:r>
      <w:r w:rsidR="00BF7546" w:rsidRPr="00F35716">
        <w:t> </w:t>
      </w:r>
      <w:r w:rsidRPr="00F35716">
        <w:t>una tasa de cobertura de más del 142</w:t>
      </w:r>
      <w:r w:rsidR="0006736D" w:rsidRPr="00F35716">
        <w:t> %</w:t>
      </w:r>
      <w:r w:rsidRPr="00F35716">
        <w:t>. Los beneficiarios se dividen del siguiente</w:t>
      </w:r>
      <w:r w:rsidR="00BF7546" w:rsidRPr="00F35716">
        <w:t> </w:t>
      </w:r>
      <w:r w:rsidRPr="00F35716">
        <w:t>modo:</w:t>
      </w:r>
    </w:p>
    <w:p w14:paraId="32E944F1" w14:textId="7535AE56" w:rsidR="00EC3C86" w:rsidRPr="00F35716" w:rsidRDefault="00B6543E" w:rsidP="00B6543E">
      <w:pPr>
        <w:pStyle w:val="SingleTxt"/>
        <w:tabs>
          <w:tab w:val="right" w:pos="1685"/>
        </w:tabs>
        <w:ind w:left="1742" w:hanging="475"/>
      </w:pPr>
      <w:r w:rsidRPr="00F35716">
        <w:tab/>
        <w:t>–</w:t>
      </w:r>
      <w:r w:rsidRPr="00F35716">
        <w:tab/>
      </w:r>
      <w:r w:rsidR="00EC3C86" w:rsidRPr="00F35716">
        <w:t>El 91</w:t>
      </w:r>
      <w:r w:rsidR="0006736D" w:rsidRPr="00F35716">
        <w:t> %</w:t>
      </w:r>
      <w:r w:rsidR="00EC3C86" w:rsidRPr="00F35716">
        <w:t xml:space="preserve"> están clasificados como pobres y el 9</w:t>
      </w:r>
      <w:r w:rsidR="0006736D" w:rsidRPr="00F35716">
        <w:t> %</w:t>
      </w:r>
      <w:r w:rsidR="00EC3C86" w:rsidRPr="00F35716">
        <w:t xml:space="preserve"> </w:t>
      </w:r>
      <w:r w:rsidR="006B034B" w:rsidRPr="00F35716">
        <w:t>como personas en situación</w:t>
      </w:r>
      <w:r w:rsidR="00EC3C86" w:rsidRPr="00F35716">
        <w:t xml:space="preserve"> de vulnerabilidad.</w:t>
      </w:r>
    </w:p>
    <w:p w14:paraId="32E944F2" w14:textId="77777777" w:rsidR="00EC3C86" w:rsidRPr="00F35716" w:rsidRDefault="00B6543E" w:rsidP="00B6543E">
      <w:pPr>
        <w:pStyle w:val="SingleTxt"/>
        <w:tabs>
          <w:tab w:val="right" w:pos="1685"/>
        </w:tabs>
        <w:ind w:left="1742" w:hanging="475"/>
      </w:pPr>
      <w:r w:rsidRPr="00F35716">
        <w:tab/>
        <w:t>–</w:t>
      </w:r>
      <w:r w:rsidRPr="00F35716">
        <w:tab/>
      </w:r>
      <w:r w:rsidR="00EC3C86" w:rsidRPr="00F35716">
        <w:t>El 53</w:t>
      </w:r>
      <w:r w:rsidR="0006736D" w:rsidRPr="00F35716">
        <w:t> %</w:t>
      </w:r>
      <w:r w:rsidR="00EC3C86" w:rsidRPr="00F35716">
        <w:t xml:space="preserve"> son mujeres y el 47</w:t>
      </w:r>
      <w:r w:rsidR="0006736D" w:rsidRPr="00F35716">
        <w:t> %</w:t>
      </w:r>
      <w:r w:rsidR="00EC3C86" w:rsidRPr="00F35716">
        <w:t>, hombres.</w:t>
      </w:r>
    </w:p>
    <w:p w14:paraId="32E944F3" w14:textId="00C3A1E9" w:rsidR="00EC3C86" w:rsidRPr="00F35716" w:rsidRDefault="00B6543E" w:rsidP="00B6543E">
      <w:pPr>
        <w:pStyle w:val="SingleTxt"/>
        <w:tabs>
          <w:tab w:val="right" w:pos="1685"/>
        </w:tabs>
        <w:ind w:left="1742" w:hanging="475"/>
      </w:pPr>
      <w:r w:rsidRPr="00F35716">
        <w:lastRenderedPageBreak/>
        <w:tab/>
        <w:t>–</w:t>
      </w:r>
      <w:r w:rsidRPr="00F35716">
        <w:tab/>
      </w:r>
      <w:r w:rsidR="00EC3C86" w:rsidRPr="00F35716">
        <w:t>El 51</w:t>
      </w:r>
      <w:r w:rsidR="0006736D" w:rsidRPr="00F35716">
        <w:t> %</w:t>
      </w:r>
      <w:r w:rsidR="00EC3C86" w:rsidRPr="00F35716">
        <w:t xml:space="preserve"> vive</w:t>
      </w:r>
      <w:r w:rsidR="006B034B" w:rsidRPr="00F35716">
        <w:t>n</w:t>
      </w:r>
      <w:r w:rsidR="00EC3C86" w:rsidRPr="00F35716">
        <w:t xml:space="preserve"> en zonas rurales y el 41</w:t>
      </w:r>
      <w:r w:rsidR="0006736D" w:rsidRPr="00F35716">
        <w:t> %</w:t>
      </w:r>
      <w:r w:rsidR="00EC3C86" w:rsidRPr="00F35716">
        <w:t>, en zonas urbanas.</w:t>
      </w:r>
    </w:p>
    <w:p w14:paraId="32E944F4" w14:textId="276E14BA" w:rsidR="00EC3C86" w:rsidRPr="00F35716" w:rsidRDefault="006B034B" w:rsidP="00B3192A">
      <w:pPr>
        <w:pStyle w:val="SingleTxt"/>
        <w:numPr>
          <w:ilvl w:val="0"/>
          <w:numId w:val="8"/>
        </w:numPr>
        <w:ind w:left="1267" w:firstLine="0"/>
      </w:pPr>
      <w:r w:rsidRPr="00F35716">
        <w:t>E</w:t>
      </w:r>
      <w:r w:rsidR="00EC3C86" w:rsidRPr="00F35716">
        <w:t>l sistema de protección social se ha ampliado a través de</w:t>
      </w:r>
      <w:r w:rsidRPr="00F35716">
        <w:t xml:space="preserve"> lo siguiente</w:t>
      </w:r>
      <w:r w:rsidR="00EC3C86" w:rsidRPr="00F35716">
        <w:t>:</w:t>
      </w:r>
    </w:p>
    <w:p w14:paraId="32E944F5" w14:textId="4D823185" w:rsidR="00EC3C86" w:rsidRPr="00F35716" w:rsidRDefault="00B6543E" w:rsidP="00B6543E">
      <w:pPr>
        <w:pStyle w:val="SingleTxt"/>
        <w:tabs>
          <w:tab w:val="right" w:pos="1685"/>
        </w:tabs>
        <w:ind w:left="1742" w:hanging="475"/>
      </w:pPr>
      <w:r w:rsidRPr="00F35716">
        <w:tab/>
        <w:t>–</w:t>
      </w:r>
      <w:r w:rsidRPr="00F35716">
        <w:tab/>
      </w:r>
      <w:r w:rsidR="006B034B" w:rsidRPr="00F35716">
        <w:t xml:space="preserve">El </w:t>
      </w:r>
      <w:r w:rsidR="00EC3C86" w:rsidRPr="00F35716">
        <w:t>sistema de cobertura de salud estudiantil</w:t>
      </w:r>
      <w:r w:rsidR="006B034B" w:rsidRPr="00F35716">
        <w:t>, en virtud de la</w:t>
      </w:r>
      <w:r w:rsidR="00EC3C86" w:rsidRPr="00F35716">
        <w:t xml:space="preserve"> Ley núm. </w:t>
      </w:r>
      <w:r w:rsidR="006B034B" w:rsidRPr="00F35716">
        <w:t>116-</w:t>
      </w:r>
      <w:r w:rsidR="00EC3C86" w:rsidRPr="00F35716">
        <w:t xml:space="preserve">12 relativa al </w:t>
      </w:r>
      <w:r w:rsidR="006B034B" w:rsidRPr="00F35716">
        <w:t>Régimen</w:t>
      </w:r>
      <w:r w:rsidR="00EC3C86" w:rsidRPr="00F35716">
        <w:t xml:space="preserve"> de</w:t>
      </w:r>
      <w:r w:rsidR="006B034B" w:rsidRPr="00F35716">
        <w:t>l</w:t>
      </w:r>
      <w:r w:rsidR="00EC3C86" w:rsidRPr="00F35716">
        <w:t xml:space="preserve"> Seguro Obligatorio Básico </w:t>
      </w:r>
      <w:r w:rsidR="006B034B" w:rsidRPr="00F35716">
        <w:t>de</w:t>
      </w:r>
      <w:r w:rsidR="00FF6698" w:rsidRPr="00F35716">
        <w:t xml:space="preserve"> </w:t>
      </w:r>
      <w:r w:rsidR="00EC3C86" w:rsidRPr="00F35716">
        <w:t>Enfermedad</w:t>
      </w:r>
      <w:r w:rsidR="006B034B" w:rsidRPr="00F35716">
        <w:t xml:space="preserve"> para</w:t>
      </w:r>
      <w:r w:rsidR="00EC3C86" w:rsidRPr="00F35716">
        <w:t xml:space="preserve"> Estudiant</w:t>
      </w:r>
      <w:r w:rsidR="006B034B" w:rsidRPr="00F35716">
        <w:t>es,</w:t>
      </w:r>
      <w:r w:rsidR="00EC3C86" w:rsidRPr="00F35716">
        <w:t xml:space="preserve"> en</w:t>
      </w:r>
      <w:r w:rsidR="00321A3A" w:rsidRPr="00F35716">
        <w:t> </w:t>
      </w:r>
      <w:r w:rsidR="00EC3C86" w:rsidRPr="00F35716">
        <w:t>2016.</w:t>
      </w:r>
    </w:p>
    <w:p w14:paraId="32E944F6" w14:textId="7CFBF3FF" w:rsidR="00EC3C86" w:rsidRPr="00F35716" w:rsidRDefault="00B6543E" w:rsidP="00B6543E">
      <w:pPr>
        <w:pStyle w:val="SingleTxt"/>
        <w:tabs>
          <w:tab w:val="right" w:pos="1685"/>
        </w:tabs>
        <w:ind w:left="1742" w:hanging="475"/>
      </w:pPr>
      <w:r w:rsidRPr="00F35716">
        <w:tab/>
        <w:t>–</w:t>
      </w:r>
      <w:r w:rsidRPr="00F35716">
        <w:tab/>
      </w:r>
      <w:r w:rsidR="006B034B" w:rsidRPr="00F35716">
        <w:t xml:space="preserve">El </w:t>
      </w:r>
      <w:r w:rsidR="00EC3C86" w:rsidRPr="00F35716">
        <w:t xml:space="preserve">sistema de seguro obligatorio </w:t>
      </w:r>
      <w:r w:rsidR="000230FD" w:rsidRPr="00F35716">
        <w:t xml:space="preserve">básico </w:t>
      </w:r>
      <w:r w:rsidR="00EC3C86" w:rsidRPr="00F35716">
        <w:t>de enfermedad para los trabajadores autónomos</w:t>
      </w:r>
      <w:r w:rsidR="000230FD" w:rsidRPr="00F35716">
        <w:t xml:space="preserve"> (2017)</w:t>
      </w:r>
      <w:r w:rsidR="00EC3C86" w:rsidRPr="00F35716">
        <w:rPr>
          <w:vertAlign w:val="superscript"/>
        </w:rPr>
        <w:footnoteReference w:id="84"/>
      </w:r>
      <w:r w:rsidR="00EC3C86" w:rsidRPr="00F35716">
        <w:t>, el cual garantiza que se cubran los gastos médicos y se les</w:t>
      </w:r>
      <w:r w:rsidR="00332FF3" w:rsidRPr="00F35716">
        <w:t> </w:t>
      </w:r>
      <w:r w:rsidR="00EC3C86" w:rsidRPr="00F35716">
        <w:t>preste la misma serie de tratamientos que garantiza el sector privado. En diciembre de 2017 se creó un sistema de pensiones para estos grupos mediante la Ley núm. 99</w:t>
      </w:r>
      <w:r w:rsidR="000230FD" w:rsidRPr="00F35716">
        <w:t>-15</w:t>
      </w:r>
      <w:r w:rsidR="00EC3C86" w:rsidRPr="00F35716">
        <w:t>, que garantiza una pensión de jubilación a partir de los 65</w:t>
      </w:r>
      <w:r w:rsidR="00332FF3" w:rsidRPr="00F35716">
        <w:t> </w:t>
      </w:r>
      <w:r w:rsidR="00EC3C86" w:rsidRPr="00F35716">
        <w:t xml:space="preserve">años y hasta los 75 años como máximo, además de las pensiones de los fallecidos que se pagan a sus familiares. </w:t>
      </w:r>
    </w:p>
    <w:p w14:paraId="32E944F7" w14:textId="34BD45F7" w:rsidR="00EC3C86" w:rsidRPr="00F35716" w:rsidRDefault="00B6543E" w:rsidP="00B6543E">
      <w:pPr>
        <w:pStyle w:val="SingleTxt"/>
        <w:tabs>
          <w:tab w:val="right" w:pos="1685"/>
        </w:tabs>
        <w:ind w:left="1742" w:hanging="475"/>
      </w:pPr>
      <w:r w:rsidRPr="00F35716">
        <w:tab/>
        <w:t>–</w:t>
      </w:r>
      <w:r w:rsidRPr="00F35716">
        <w:tab/>
      </w:r>
      <w:r w:rsidR="000D3534" w:rsidRPr="00F35716">
        <w:t xml:space="preserve">Con respecto a la </w:t>
      </w:r>
      <w:r w:rsidR="00EC3C86" w:rsidRPr="00F35716">
        <w:t>cobertura sanitaria para mujeres migrantes</w:t>
      </w:r>
      <w:r w:rsidR="000D3534" w:rsidRPr="00F35716">
        <w:t>, e</w:t>
      </w:r>
      <w:r w:rsidR="00EC3C86" w:rsidRPr="00F35716">
        <w:t xml:space="preserve">l sector encargado de los marroquíes </w:t>
      </w:r>
      <w:r w:rsidR="000D3534" w:rsidRPr="00F35716">
        <w:t>residentes</w:t>
      </w:r>
      <w:r w:rsidR="00EC3C86" w:rsidRPr="00F35716">
        <w:t xml:space="preserve"> en el extranjero y de los asuntos de inmigración, el Ministerio del Interior, el Ministerio de Economía y Finanzas y el Ministerio de Salud ha</w:t>
      </w:r>
      <w:r w:rsidR="000D3534" w:rsidRPr="00F35716">
        <w:t>n</w:t>
      </w:r>
      <w:r w:rsidR="00EC3C86" w:rsidRPr="00F35716">
        <w:t xml:space="preserve"> firmado un acuerdo marco general </w:t>
      </w:r>
      <w:r w:rsidR="000D3534" w:rsidRPr="00F35716">
        <w:t>de</w:t>
      </w:r>
      <w:r w:rsidR="00EC3C86" w:rsidRPr="00F35716">
        <w:t xml:space="preserve"> asociación y cooperación que facilita el acceso a los servicios de salud a los migrantes y refugiados </w:t>
      </w:r>
      <w:r w:rsidR="000D3534" w:rsidRPr="00F35716">
        <w:t>residentes</w:t>
      </w:r>
      <w:r w:rsidR="00EC3C86" w:rsidRPr="00F35716">
        <w:t xml:space="preserve"> en Marruecos. </w:t>
      </w:r>
    </w:p>
    <w:p w14:paraId="32E944F8" w14:textId="6F2CFF61" w:rsidR="00EC3C86" w:rsidRPr="00F35716" w:rsidRDefault="00B6543E" w:rsidP="00B6543E">
      <w:pPr>
        <w:pStyle w:val="SingleTxt"/>
        <w:tabs>
          <w:tab w:val="right" w:pos="1685"/>
        </w:tabs>
        <w:ind w:left="1742" w:hanging="475"/>
      </w:pPr>
      <w:r w:rsidRPr="00F35716">
        <w:tab/>
        <w:t>–</w:t>
      </w:r>
      <w:r w:rsidRPr="00F35716">
        <w:tab/>
      </w:r>
      <w:r w:rsidR="00EC3C86" w:rsidRPr="00F35716">
        <w:t xml:space="preserve">En </w:t>
      </w:r>
      <w:r w:rsidR="000D3534" w:rsidRPr="00F35716">
        <w:t xml:space="preserve">relación con el párrafo 33 de las conclusiones generales, </w:t>
      </w:r>
      <w:r w:rsidR="009B797F" w:rsidRPr="00F35716">
        <w:t xml:space="preserve">que se refiere </w:t>
      </w:r>
      <w:r w:rsidR="00EC3C86" w:rsidRPr="00F35716">
        <w:t xml:space="preserve">a los servicios de </w:t>
      </w:r>
      <w:r w:rsidR="009B797F" w:rsidRPr="00F35716">
        <w:t xml:space="preserve">atención de </w:t>
      </w:r>
      <w:r w:rsidR="00EC3C86" w:rsidRPr="00F35716">
        <w:t xml:space="preserve">salud en </w:t>
      </w:r>
      <w:r w:rsidR="009B797F" w:rsidRPr="00F35716">
        <w:t xml:space="preserve">las </w:t>
      </w:r>
      <w:r w:rsidR="00EC3C86" w:rsidRPr="00F35716">
        <w:t>zonas rurales, el Plan Nacional para la Promoción de la Salud en el Á</w:t>
      </w:r>
      <w:r w:rsidR="009B797F" w:rsidRPr="00F35716">
        <w:t>mbito</w:t>
      </w:r>
      <w:r w:rsidR="00EC3C86" w:rsidRPr="00F35716">
        <w:t xml:space="preserve"> Rural </w:t>
      </w:r>
      <w:r w:rsidR="009B797F" w:rsidRPr="00F35716">
        <w:t xml:space="preserve">ha </w:t>
      </w:r>
      <w:r w:rsidR="00EC3C86" w:rsidRPr="00F35716">
        <w:t>permiti</w:t>
      </w:r>
      <w:r w:rsidR="009B797F" w:rsidRPr="00F35716">
        <w:t>do</w:t>
      </w:r>
      <w:r w:rsidR="00EC3C86" w:rsidRPr="00F35716">
        <w:t xml:space="preserve"> mejorar el acceso de las mujeres rurales a los servicios de salud</w:t>
      </w:r>
      <w:r w:rsidR="00E52F64" w:rsidRPr="00F35716">
        <w:t xml:space="preserve">, lo que ha sido </w:t>
      </w:r>
      <w:r w:rsidR="00EC3C86" w:rsidRPr="00F35716">
        <w:t xml:space="preserve">especialmente </w:t>
      </w:r>
      <w:r w:rsidR="00E52F64" w:rsidRPr="00F35716">
        <w:t>beneficioso para</w:t>
      </w:r>
      <w:r w:rsidR="00EC3C86" w:rsidRPr="00F35716">
        <w:t xml:space="preserve"> la reducción de la mortalidad y la morbilidad materna</w:t>
      </w:r>
      <w:r w:rsidR="009B797F" w:rsidRPr="00F35716">
        <w:t>s</w:t>
      </w:r>
      <w:r w:rsidR="00EC3C86" w:rsidRPr="00F35716">
        <w:t xml:space="preserve">. </w:t>
      </w:r>
      <w:r w:rsidR="00E52F64" w:rsidRPr="00F35716">
        <w:t xml:space="preserve">Se ha mejorado tanto la atención primaria de la salud como la atención hospitalaria. En 2017 había </w:t>
      </w:r>
      <w:r w:rsidR="00EC3C86" w:rsidRPr="00F35716">
        <w:t>2.</w:t>
      </w:r>
      <w:r w:rsidR="00E52F64" w:rsidRPr="00F35716">
        <w:t>865</w:t>
      </w:r>
      <w:r w:rsidR="00EC3C86" w:rsidRPr="00F35716">
        <w:t xml:space="preserve"> instituciones </w:t>
      </w:r>
      <w:r w:rsidR="00E52F64" w:rsidRPr="00F35716">
        <w:t xml:space="preserve">de atención primaria de la salud </w:t>
      </w:r>
      <w:r w:rsidR="00EC3C86" w:rsidRPr="00F35716">
        <w:t>(2.034 en zonas rurales) dotadas de 3.308 médicos y 9.799 enfermer</w:t>
      </w:r>
      <w:r w:rsidR="007A3499" w:rsidRPr="00F35716">
        <w:t>o</w:t>
      </w:r>
      <w:r w:rsidR="00EC3C86" w:rsidRPr="00F35716">
        <w:t xml:space="preserve">s, </w:t>
      </w:r>
      <w:r w:rsidR="00E52F64" w:rsidRPr="00F35716">
        <w:t>así como 158</w:t>
      </w:r>
      <w:r w:rsidR="00EC3C86" w:rsidRPr="00F35716">
        <w:t xml:space="preserve"> </w:t>
      </w:r>
      <w:r w:rsidR="00E52F64" w:rsidRPr="00F35716">
        <w:t xml:space="preserve">centros que dispensaban prestaciones sanitarias </w:t>
      </w:r>
      <w:r w:rsidR="00EC3C86" w:rsidRPr="00F35716">
        <w:t>hospitalarias. A ellos se sumaron</w:t>
      </w:r>
      <w:r w:rsidR="001D5359" w:rsidRPr="00F35716">
        <w:t>,</w:t>
      </w:r>
      <w:r w:rsidR="00EC3C86" w:rsidRPr="00F35716">
        <w:t xml:space="preserve"> en 2018</w:t>
      </w:r>
      <w:r w:rsidR="001D5359" w:rsidRPr="00F35716">
        <w:t>,</w:t>
      </w:r>
      <w:r w:rsidR="00EC3C86" w:rsidRPr="00F35716">
        <w:t xml:space="preserve"> 5 hospitales y 2</w:t>
      </w:r>
      <w:r w:rsidR="00332FF3" w:rsidRPr="00F35716">
        <w:t> </w:t>
      </w:r>
      <w:r w:rsidR="00EC3C86" w:rsidRPr="00F35716">
        <w:t xml:space="preserve">centros de </w:t>
      </w:r>
      <w:r w:rsidR="001D5359" w:rsidRPr="00F35716">
        <w:t>diálisis</w:t>
      </w:r>
      <w:r w:rsidR="00EC3C86" w:rsidRPr="00F35716">
        <w:t xml:space="preserve">. </w:t>
      </w:r>
      <w:r w:rsidR="001D5359" w:rsidRPr="00F35716">
        <w:t>También se ha creado una</w:t>
      </w:r>
      <w:r w:rsidR="00EC3C86" w:rsidRPr="00F35716">
        <w:t xml:space="preserve"> red integrada de </w:t>
      </w:r>
      <w:r w:rsidR="001D5359" w:rsidRPr="00F35716">
        <w:t>tratamiento</w:t>
      </w:r>
      <w:r w:rsidR="00EC3C86" w:rsidRPr="00F35716">
        <w:t xml:space="preserve"> médic</w:t>
      </w:r>
      <w:r w:rsidR="001D5359" w:rsidRPr="00F35716">
        <w:t>o</w:t>
      </w:r>
      <w:r w:rsidR="00EC3C86" w:rsidRPr="00F35716">
        <w:t xml:space="preserve"> </w:t>
      </w:r>
      <w:r w:rsidR="001D5359" w:rsidRPr="00F35716">
        <w:t xml:space="preserve">de </w:t>
      </w:r>
      <w:r w:rsidR="00EC3C86" w:rsidRPr="00F35716">
        <w:t>urgen</w:t>
      </w:r>
      <w:r w:rsidR="001D5359" w:rsidRPr="00F35716">
        <w:t>cia</w:t>
      </w:r>
      <w:r w:rsidR="00EC3C86" w:rsidRPr="00F35716">
        <w:t xml:space="preserve"> de acuerdo con el mapa sanitario, </w:t>
      </w:r>
      <w:r w:rsidR="00483D95" w:rsidRPr="00F35716">
        <w:t xml:space="preserve">tanto </w:t>
      </w:r>
      <w:r w:rsidR="00EC3C86" w:rsidRPr="00F35716">
        <w:t>fij</w:t>
      </w:r>
      <w:r w:rsidR="00483D95" w:rsidRPr="00F35716">
        <w:t>a como</w:t>
      </w:r>
      <w:r w:rsidR="00EC3C86" w:rsidRPr="00F35716">
        <w:t xml:space="preserve"> móvil.</w:t>
      </w:r>
    </w:p>
    <w:p w14:paraId="32E944F9" w14:textId="615FA8FA" w:rsidR="00EC3C86" w:rsidRPr="00F35716" w:rsidRDefault="00966D7A" w:rsidP="00B3192A">
      <w:pPr>
        <w:pStyle w:val="SingleTxt"/>
        <w:numPr>
          <w:ilvl w:val="0"/>
          <w:numId w:val="8"/>
        </w:numPr>
        <w:ind w:left="1267" w:firstLine="0"/>
      </w:pPr>
      <w:r w:rsidRPr="00F35716">
        <w:t>En las</w:t>
      </w:r>
      <w:r w:rsidR="00EC3C86" w:rsidRPr="00F35716">
        <w:t xml:space="preserve"> unidades fijas, la prestación de atención de emergencia prehospitalaria se ha mejorado mediante</w:t>
      </w:r>
      <w:r w:rsidR="00271DB6" w:rsidRPr="00F35716">
        <w:t xml:space="preserve"> lo siguiente</w:t>
      </w:r>
      <w:r w:rsidR="00EC3C86" w:rsidRPr="00F35716">
        <w:t xml:space="preserve">: </w:t>
      </w:r>
    </w:p>
    <w:p w14:paraId="32E944FA" w14:textId="2DE26B78" w:rsidR="00EC3C86" w:rsidRPr="00F35716" w:rsidRDefault="00321A3A" w:rsidP="00321A3A">
      <w:pPr>
        <w:pStyle w:val="SingleTxt"/>
        <w:tabs>
          <w:tab w:val="right" w:pos="1685"/>
        </w:tabs>
        <w:ind w:left="1742" w:hanging="475"/>
      </w:pPr>
      <w:r w:rsidRPr="00F35716">
        <w:tab/>
        <w:t>–</w:t>
      </w:r>
      <w:r w:rsidRPr="00F35716">
        <w:tab/>
      </w:r>
      <w:r w:rsidR="00EC3C86" w:rsidRPr="00F35716">
        <w:t>La creación de 96 unidades médicas de emergencia próximas a los centros de salud.</w:t>
      </w:r>
    </w:p>
    <w:p w14:paraId="32E944FB" w14:textId="77777777" w:rsidR="00EC3C86" w:rsidRPr="00F35716" w:rsidRDefault="00321A3A" w:rsidP="00321A3A">
      <w:pPr>
        <w:pStyle w:val="SingleTxt"/>
        <w:tabs>
          <w:tab w:val="right" w:pos="1685"/>
        </w:tabs>
        <w:ind w:left="1742" w:hanging="475"/>
      </w:pPr>
      <w:r w:rsidRPr="00F35716">
        <w:tab/>
        <w:t>–</w:t>
      </w:r>
      <w:r w:rsidRPr="00F35716">
        <w:tab/>
      </w:r>
      <w:r w:rsidR="00EC3C86" w:rsidRPr="00F35716">
        <w:t xml:space="preserve">La habilitación de 48 servicios de recepción de emergencias médicas en centros hospitalarios. </w:t>
      </w:r>
    </w:p>
    <w:p w14:paraId="32E944FC" w14:textId="77777777" w:rsidR="00EC3C86" w:rsidRPr="00F35716" w:rsidRDefault="00321A3A" w:rsidP="00321A3A">
      <w:pPr>
        <w:pStyle w:val="SingleTxt"/>
        <w:tabs>
          <w:tab w:val="right" w:pos="1685"/>
        </w:tabs>
        <w:ind w:left="1742" w:hanging="475"/>
      </w:pPr>
      <w:r w:rsidRPr="00F35716">
        <w:tab/>
        <w:t>–</w:t>
      </w:r>
      <w:r w:rsidRPr="00F35716">
        <w:tab/>
      </w:r>
      <w:r w:rsidR="00EC3C86" w:rsidRPr="00F35716">
        <w:t>La creación de 11 departamentos de asistencia médica de emergencia según la nueva división regional.</w:t>
      </w:r>
    </w:p>
    <w:p w14:paraId="32E944FD" w14:textId="62419C9B" w:rsidR="00EC3C86" w:rsidRPr="00F35716" w:rsidRDefault="00321A3A" w:rsidP="00321A3A">
      <w:pPr>
        <w:pStyle w:val="SingleTxt"/>
        <w:tabs>
          <w:tab w:val="right" w:pos="1685"/>
        </w:tabs>
        <w:ind w:left="1742" w:hanging="475"/>
      </w:pPr>
      <w:r w:rsidRPr="00F35716">
        <w:tab/>
        <w:t>–</w:t>
      </w:r>
      <w:r w:rsidRPr="00F35716">
        <w:tab/>
      </w:r>
      <w:r w:rsidR="00EC3C86" w:rsidRPr="00F35716">
        <w:t xml:space="preserve">La </w:t>
      </w:r>
      <w:r w:rsidR="00271DB6" w:rsidRPr="00F35716">
        <w:t xml:space="preserve">habilitación </w:t>
      </w:r>
      <w:r w:rsidR="00EC3C86" w:rsidRPr="00F35716">
        <w:t>del número nacional gratuito 141 para llamadas de emergencia sanitaria.</w:t>
      </w:r>
    </w:p>
    <w:p w14:paraId="32E944FE" w14:textId="048A2AF5" w:rsidR="00EC3C86" w:rsidRPr="00F35716" w:rsidRDefault="00321A3A" w:rsidP="00321A3A">
      <w:pPr>
        <w:pStyle w:val="SingleTxt"/>
        <w:tabs>
          <w:tab w:val="right" w:pos="1685"/>
        </w:tabs>
        <w:ind w:left="1742" w:hanging="475"/>
      </w:pPr>
      <w:r w:rsidRPr="00F35716">
        <w:tab/>
        <w:t>–</w:t>
      </w:r>
      <w:r w:rsidRPr="00F35716">
        <w:tab/>
      </w:r>
      <w:r w:rsidR="00EC3C86" w:rsidRPr="00F35716">
        <w:t>La movilización de cuatro helicópteros de transporte para emergencia</w:t>
      </w:r>
      <w:r w:rsidR="00271DB6" w:rsidRPr="00F35716">
        <w:t>s</w:t>
      </w:r>
      <w:r w:rsidR="00EC3C86" w:rsidRPr="00F35716">
        <w:t xml:space="preserve"> sanitarias.</w:t>
      </w:r>
    </w:p>
    <w:p w14:paraId="32E944FF" w14:textId="4BFAA1CB" w:rsidR="00EC3C86" w:rsidRPr="00F35716" w:rsidRDefault="00321A3A" w:rsidP="00321A3A">
      <w:pPr>
        <w:pStyle w:val="SingleTxt"/>
        <w:tabs>
          <w:tab w:val="right" w:pos="1685"/>
        </w:tabs>
        <w:ind w:left="1742" w:hanging="475"/>
      </w:pPr>
      <w:r w:rsidRPr="00F35716">
        <w:tab/>
        <w:t>–</w:t>
      </w:r>
      <w:r w:rsidRPr="00F35716">
        <w:tab/>
      </w:r>
      <w:r w:rsidR="00EC3C86" w:rsidRPr="00F35716">
        <w:t>La adquisición de un hospital de campaña móvil para atender a los habitantes de zonas remotas que sufren condiciones climáticas severas</w:t>
      </w:r>
      <w:r w:rsidR="00271DB6" w:rsidRPr="00F35716">
        <w:t>. El hospital cuenta</w:t>
      </w:r>
      <w:r w:rsidR="00EC3C86" w:rsidRPr="00F35716">
        <w:t xml:space="preserve"> con un equipo multidisciplinario de personal médico, de enfermería, auxiliar, paramédico, técnico de mantenimiento y de soporte.</w:t>
      </w:r>
    </w:p>
    <w:p w14:paraId="32E94500" w14:textId="11CF5279" w:rsidR="00EC3C86" w:rsidRPr="00F35716" w:rsidRDefault="00321A3A" w:rsidP="00321A3A">
      <w:pPr>
        <w:pStyle w:val="SingleTxt"/>
        <w:tabs>
          <w:tab w:val="right" w:pos="1685"/>
        </w:tabs>
        <w:ind w:left="1742" w:hanging="475"/>
      </w:pPr>
      <w:r w:rsidRPr="00F35716">
        <w:lastRenderedPageBreak/>
        <w:tab/>
        <w:t>–</w:t>
      </w:r>
      <w:r w:rsidRPr="00F35716">
        <w:tab/>
      </w:r>
      <w:r w:rsidR="00EC3C86" w:rsidRPr="00F35716">
        <w:t>El establecimiento de</w:t>
      </w:r>
      <w:r w:rsidR="00271DB6" w:rsidRPr="00F35716">
        <w:t xml:space="preserve"> un</w:t>
      </w:r>
      <w:r w:rsidR="00EC3C86" w:rsidRPr="00F35716">
        <w:t xml:space="preserve"> sistema de asistencia </w:t>
      </w:r>
      <w:r w:rsidR="00271DB6" w:rsidRPr="00F35716">
        <w:t>en medicina reproductiva</w:t>
      </w:r>
      <w:r w:rsidR="00EC3C86" w:rsidRPr="00F35716">
        <w:t xml:space="preserve"> en zonas remotas (</w:t>
      </w:r>
      <w:r w:rsidR="00271DB6" w:rsidRPr="00F35716">
        <w:t>un</w:t>
      </w:r>
      <w:r w:rsidR="00EC3C86" w:rsidRPr="00F35716">
        <w:t xml:space="preserve"> </w:t>
      </w:r>
      <w:r w:rsidR="00271DB6" w:rsidRPr="00F35716">
        <w:t>s</w:t>
      </w:r>
      <w:r w:rsidR="00EC3C86" w:rsidRPr="00F35716">
        <w:t xml:space="preserve">istema de </w:t>
      </w:r>
      <w:r w:rsidR="00271DB6" w:rsidRPr="00F35716">
        <w:t>e</w:t>
      </w:r>
      <w:r w:rsidR="00EC3C86" w:rsidRPr="00F35716">
        <w:t xml:space="preserve">mergencia </w:t>
      </w:r>
      <w:r w:rsidR="00271DB6" w:rsidRPr="00F35716">
        <w:t>r</w:t>
      </w:r>
      <w:r w:rsidR="00EC3C86" w:rsidRPr="00F35716">
        <w:t>eproductiva).</w:t>
      </w:r>
    </w:p>
    <w:p w14:paraId="32E94501" w14:textId="77777777" w:rsidR="00EC3C86" w:rsidRPr="00F35716" w:rsidRDefault="00321A3A" w:rsidP="00321A3A">
      <w:pPr>
        <w:pStyle w:val="SingleTxt"/>
        <w:tabs>
          <w:tab w:val="right" w:pos="1685"/>
        </w:tabs>
        <w:ind w:left="1742" w:hanging="475"/>
      </w:pPr>
      <w:r w:rsidRPr="00F35716">
        <w:tab/>
        <w:t>–</w:t>
      </w:r>
      <w:r w:rsidRPr="00F35716">
        <w:tab/>
      </w:r>
      <w:r w:rsidR="00EC3C86" w:rsidRPr="00F35716">
        <w:t>La creación de cinco centros para la formación de técnicos en transporte y atención médica.</w:t>
      </w:r>
    </w:p>
    <w:p w14:paraId="32E94502" w14:textId="239BD673" w:rsidR="00EC3C86" w:rsidRPr="00F35716" w:rsidRDefault="00321A3A" w:rsidP="00321A3A">
      <w:pPr>
        <w:pStyle w:val="SingleTxt"/>
        <w:tabs>
          <w:tab w:val="right" w:pos="1685"/>
        </w:tabs>
        <w:ind w:left="1742" w:hanging="475"/>
      </w:pPr>
      <w:r w:rsidRPr="00F35716">
        <w:tab/>
        <w:t>–</w:t>
      </w:r>
      <w:r w:rsidRPr="00F35716">
        <w:tab/>
      </w:r>
      <w:r w:rsidR="00EC3C86" w:rsidRPr="00F35716">
        <w:t xml:space="preserve">La creación de programas para la formación de </w:t>
      </w:r>
      <w:r w:rsidR="00271DB6" w:rsidRPr="00F35716">
        <w:t xml:space="preserve">personal de </w:t>
      </w:r>
      <w:r w:rsidR="00EC3C86" w:rsidRPr="00F35716">
        <w:t>enfermer</w:t>
      </w:r>
      <w:r w:rsidR="00271DB6" w:rsidRPr="00F35716">
        <w:t>ía especializado</w:t>
      </w:r>
      <w:r w:rsidR="00EC3C86" w:rsidRPr="00F35716">
        <w:t xml:space="preserve"> en urgencias y cuidados intensivos en siete escuelas superiores de enfermería y t</w:t>
      </w:r>
      <w:r w:rsidR="00271DB6" w:rsidRPr="00F35716">
        <w:t>ecnología</w:t>
      </w:r>
      <w:r w:rsidR="00EC3C86" w:rsidRPr="00F35716">
        <w:t xml:space="preserve"> de salud.</w:t>
      </w:r>
    </w:p>
    <w:p w14:paraId="32E94503" w14:textId="2C7EAFA7" w:rsidR="00EC3C86" w:rsidRPr="00F35716" w:rsidRDefault="00321A3A" w:rsidP="00321A3A">
      <w:pPr>
        <w:pStyle w:val="SingleTxt"/>
        <w:tabs>
          <w:tab w:val="right" w:pos="1685"/>
        </w:tabs>
        <w:ind w:left="1742" w:hanging="475"/>
      </w:pPr>
      <w:r w:rsidRPr="00F35716">
        <w:tab/>
        <w:t>–</w:t>
      </w:r>
      <w:r w:rsidRPr="00F35716">
        <w:tab/>
      </w:r>
      <w:r w:rsidR="00EC3C86" w:rsidRPr="00F35716">
        <w:t xml:space="preserve">La incorporación de una unidad de formación en medicina de emergencia </w:t>
      </w:r>
      <w:r w:rsidR="00271DB6" w:rsidRPr="00F35716">
        <w:t>en los programas de estudios de</w:t>
      </w:r>
      <w:r w:rsidR="00EC3C86" w:rsidRPr="00F35716">
        <w:t xml:space="preserve"> salud familiar y comunitaria en la Escuela Nacional de Salud Pública.</w:t>
      </w:r>
    </w:p>
    <w:p w14:paraId="32E94504" w14:textId="65D47342" w:rsidR="00EC3C86" w:rsidRPr="00F35716" w:rsidRDefault="00271DB6" w:rsidP="00B3192A">
      <w:pPr>
        <w:pStyle w:val="SingleTxt"/>
        <w:numPr>
          <w:ilvl w:val="0"/>
          <w:numId w:val="8"/>
        </w:numPr>
        <w:ind w:left="1267" w:firstLine="0"/>
      </w:pPr>
      <w:r w:rsidRPr="00F35716">
        <w:t>L</w:t>
      </w:r>
      <w:r w:rsidR="00EC3C86" w:rsidRPr="00F35716">
        <w:t>as unidades móviles brindan un conjunto de servicios preventiv</w:t>
      </w:r>
      <w:r w:rsidR="00D03661" w:rsidRPr="00F35716">
        <w:t>os</w:t>
      </w:r>
      <w:r w:rsidR="00EC3C86" w:rsidRPr="00F35716">
        <w:t xml:space="preserve">, </w:t>
      </w:r>
      <w:r w:rsidR="00D03661" w:rsidRPr="00F35716">
        <w:t>terapéuticos</w:t>
      </w:r>
      <w:r w:rsidR="00EC3C86" w:rsidRPr="00F35716">
        <w:t xml:space="preserve"> y de sensibilización</w:t>
      </w:r>
      <w:r w:rsidR="00D03661" w:rsidRPr="00F35716">
        <w:t xml:space="preserve"> en materia de salud</w:t>
      </w:r>
      <w:r w:rsidR="00EC3C86" w:rsidRPr="00F35716">
        <w:t xml:space="preserve">, dando prioridad a los programas de salud materna, infantil y reproductiva, para lo cual realizan periódicamente visitas sobre el terreno. Por ejemplo, en 2017 efectuaron 12.037 visitas. </w:t>
      </w:r>
    </w:p>
    <w:p w14:paraId="32E94505" w14:textId="77777777" w:rsidR="00486919" w:rsidRPr="00F35716" w:rsidRDefault="00486919" w:rsidP="00204309">
      <w:pPr>
        <w:pStyle w:val="SingleTxt"/>
        <w:spacing w:after="0" w:line="120" w:lineRule="exact"/>
        <w:rPr>
          <w:sz w:val="10"/>
          <w:szCs w:val="20"/>
        </w:rPr>
      </w:pPr>
    </w:p>
    <w:p w14:paraId="32E94506" w14:textId="2256A869" w:rsidR="00EC3C86" w:rsidRPr="00F35716" w:rsidRDefault="00735173"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 w:val="0"/>
          <w:bCs w:val="0"/>
          <w:szCs w:val="20"/>
        </w:rPr>
        <w:t xml:space="preserve">Tabla 12: </w:t>
      </w:r>
      <w:r w:rsidRPr="00F35716">
        <w:rPr>
          <w:b w:val="0"/>
          <w:bCs w:val="0"/>
          <w:szCs w:val="20"/>
        </w:rPr>
        <w:br/>
      </w:r>
      <w:r w:rsidR="00EC3C86" w:rsidRPr="00F35716">
        <w:rPr>
          <w:bCs w:val="0"/>
          <w:szCs w:val="20"/>
        </w:rPr>
        <w:t xml:space="preserve">Visitas sobre el terreno </w:t>
      </w:r>
      <w:r w:rsidR="00D03661" w:rsidRPr="00F35716">
        <w:rPr>
          <w:bCs w:val="0"/>
          <w:szCs w:val="20"/>
        </w:rPr>
        <w:t>de</w:t>
      </w:r>
      <w:r w:rsidR="00EC3C86" w:rsidRPr="00F35716">
        <w:rPr>
          <w:bCs w:val="0"/>
          <w:szCs w:val="20"/>
        </w:rPr>
        <w:t xml:space="preserve"> unidades médicas móviles (2012-2017)</w:t>
      </w:r>
    </w:p>
    <w:p w14:paraId="32E94507" w14:textId="77777777" w:rsidR="00735173" w:rsidRPr="00F35716" w:rsidRDefault="00735173" w:rsidP="00204309">
      <w:pPr>
        <w:pStyle w:val="SingleTxt"/>
        <w:spacing w:after="0" w:line="120" w:lineRule="exact"/>
        <w:rPr>
          <w:sz w:val="10"/>
          <w:szCs w:val="20"/>
        </w:rPr>
      </w:pPr>
    </w:p>
    <w:tbl>
      <w:tblPr>
        <w:tblW w:w="7344" w:type="dxa"/>
        <w:tblInd w:w="1267" w:type="dxa"/>
        <w:tblLayout w:type="fixed"/>
        <w:tblCellMar>
          <w:left w:w="0" w:type="dxa"/>
          <w:right w:w="43" w:type="dxa"/>
        </w:tblCellMar>
        <w:tblLook w:val="04A0" w:firstRow="1" w:lastRow="0" w:firstColumn="1" w:lastColumn="0" w:noHBand="0" w:noVBand="1"/>
      </w:tblPr>
      <w:tblGrid>
        <w:gridCol w:w="2160"/>
        <w:gridCol w:w="864"/>
        <w:gridCol w:w="864"/>
        <w:gridCol w:w="864"/>
        <w:gridCol w:w="864"/>
        <w:gridCol w:w="864"/>
        <w:gridCol w:w="864"/>
      </w:tblGrid>
      <w:tr w:rsidR="00DA448A" w:rsidRPr="00F35716" w14:paraId="32E9450F" w14:textId="77777777" w:rsidTr="00DA448A">
        <w:trPr>
          <w:trHeight w:val="345"/>
          <w:tblHeader/>
        </w:trPr>
        <w:tc>
          <w:tcPr>
            <w:tcW w:w="2160" w:type="dxa"/>
            <w:tcBorders>
              <w:top w:val="single" w:sz="4" w:space="0" w:color="auto"/>
              <w:bottom w:val="single" w:sz="12" w:space="0" w:color="auto"/>
            </w:tcBorders>
            <w:shd w:val="clear" w:color="auto" w:fill="auto"/>
            <w:vAlign w:val="bottom"/>
          </w:tcPr>
          <w:p w14:paraId="32E94508" w14:textId="77777777" w:rsidR="00EC3C86" w:rsidRPr="00F35716" w:rsidRDefault="00EC3C86"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r w:rsidRPr="00F35716">
              <w:rPr>
                <w:i/>
                <w:iCs/>
                <w:kern w:val="0"/>
                <w:sz w:val="14"/>
                <w:szCs w:val="14"/>
              </w:rPr>
              <w:t>Año</w:t>
            </w:r>
          </w:p>
        </w:tc>
        <w:tc>
          <w:tcPr>
            <w:tcW w:w="864" w:type="dxa"/>
            <w:tcBorders>
              <w:top w:val="single" w:sz="4" w:space="0" w:color="auto"/>
              <w:bottom w:val="single" w:sz="12" w:space="0" w:color="auto"/>
            </w:tcBorders>
            <w:shd w:val="clear" w:color="auto" w:fill="auto"/>
            <w:vAlign w:val="bottom"/>
          </w:tcPr>
          <w:p w14:paraId="32E94509" w14:textId="77777777" w:rsidR="00EC3C86" w:rsidRPr="00F35716" w:rsidRDefault="00EC3C86"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2012</w:t>
            </w:r>
          </w:p>
        </w:tc>
        <w:tc>
          <w:tcPr>
            <w:tcW w:w="864" w:type="dxa"/>
            <w:tcBorders>
              <w:top w:val="single" w:sz="4" w:space="0" w:color="auto"/>
              <w:bottom w:val="single" w:sz="12" w:space="0" w:color="auto"/>
            </w:tcBorders>
            <w:shd w:val="clear" w:color="auto" w:fill="auto"/>
            <w:vAlign w:val="bottom"/>
          </w:tcPr>
          <w:p w14:paraId="32E9450A" w14:textId="77777777" w:rsidR="00EC3C86" w:rsidRPr="00F35716" w:rsidRDefault="00EC3C86"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2013</w:t>
            </w:r>
          </w:p>
        </w:tc>
        <w:tc>
          <w:tcPr>
            <w:tcW w:w="864" w:type="dxa"/>
            <w:tcBorders>
              <w:top w:val="single" w:sz="4" w:space="0" w:color="auto"/>
              <w:bottom w:val="single" w:sz="12" w:space="0" w:color="auto"/>
            </w:tcBorders>
            <w:shd w:val="clear" w:color="auto" w:fill="auto"/>
            <w:vAlign w:val="bottom"/>
          </w:tcPr>
          <w:p w14:paraId="32E9450B" w14:textId="77777777" w:rsidR="00EC3C86" w:rsidRPr="00F35716" w:rsidRDefault="00EC3C86"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2014</w:t>
            </w:r>
          </w:p>
        </w:tc>
        <w:tc>
          <w:tcPr>
            <w:tcW w:w="864" w:type="dxa"/>
            <w:tcBorders>
              <w:top w:val="single" w:sz="4" w:space="0" w:color="auto"/>
              <w:bottom w:val="single" w:sz="12" w:space="0" w:color="auto"/>
            </w:tcBorders>
            <w:shd w:val="clear" w:color="auto" w:fill="auto"/>
            <w:vAlign w:val="bottom"/>
          </w:tcPr>
          <w:p w14:paraId="32E9450C" w14:textId="77777777" w:rsidR="00EC3C86" w:rsidRPr="00F35716" w:rsidRDefault="00EC3C86"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2015</w:t>
            </w:r>
          </w:p>
        </w:tc>
        <w:tc>
          <w:tcPr>
            <w:tcW w:w="864" w:type="dxa"/>
            <w:tcBorders>
              <w:top w:val="single" w:sz="4" w:space="0" w:color="auto"/>
              <w:bottom w:val="single" w:sz="12" w:space="0" w:color="auto"/>
            </w:tcBorders>
            <w:shd w:val="clear" w:color="auto" w:fill="auto"/>
            <w:vAlign w:val="bottom"/>
          </w:tcPr>
          <w:p w14:paraId="32E9450D" w14:textId="77777777" w:rsidR="00EC3C86" w:rsidRPr="00F35716" w:rsidRDefault="00EC3C86"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2016</w:t>
            </w:r>
          </w:p>
        </w:tc>
        <w:tc>
          <w:tcPr>
            <w:tcW w:w="864" w:type="dxa"/>
            <w:tcBorders>
              <w:top w:val="single" w:sz="4" w:space="0" w:color="auto"/>
              <w:bottom w:val="single" w:sz="12" w:space="0" w:color="auto"/>
            </w:tcBorders>
            <w:shd w:val="clear" w:color="auto" w:fill="auto"/>
            <w:vAlign w:val="bottom"/>
          </w:tcPr>
          <w:p w14:paraId="32E9450E" w14:textId="77777777" w:rsidR="00EC3C86" w:rsidRPr="00F35716" w:rsidRDefault="00EC3C86"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2017</w:t>
            </w:r>
          </w:p>
        </w:tc>
      </w:tr>
      <w:tr w:rsidR="00171782" w:rsidRPr="00F35716" w14:paraId="32E94517" w14:textId="77777777" w:rsidTr="00DA448A">
        <w:trPr>
          <w:trHeight w:hRule="exact" w:val="115"/>
          <w:tblHeader/>
        </w:trPr>
        <w:tc>
          <w:tcPr>
            <w:tcW w:w="2160" w:type="dxa"/>
            <w:tcBorders>
              <w:top w:val="single" w:sz="12" w:space="0" w:color="auto"/>
            </w:tcBorders>
            <w:shd w:val="clear" w:color="auto" w:fill="auto"/>
            <w:vAlign w:val="center"/>
          </w:tcPr>
          <w:p w14:paraId="32E94510" w14:textId="77777777" w:rsidR="00171782" w:rsidRPr="00F35716" w:rsidRDefault="00171782"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864" w:type="dxa"/>
            <w:tcBorders>
              <w:top w:val="single" w:sz="12" w:space="0" w:color="auto"/>
            </w:tcBorders>
            <w:shd w:val="clear" w:color="auto" w:fill="auto"/>
            <w:vAlign w:val="center"/>
          </w:tcPr>
          <w:p w14:paraId="32E94511" w14:textId="77777777" w:rsidR="00171782" w:rsidRPr="00F35716" w:rsidRDefault="00171782"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864" w:type="dxa"/>
            <w:tcBorders>
              <w:top w:val="single" w:sz="12" w:space="0" w:color="auto"/>
            </w:tcBorders>
            <w:shd w:val="clear" w:color="auto" w:fill="auto"/>
            <w:vAlign w:val="center"/>
          </w:tcPr>
          <w:p w14:paraId="32E94512" w14:textId="77777777" w:rsidR="00171782" w:rsidRPr="00F35716" w:rsidRDefault="00171782"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864" w:type="dxa"/>
            <w:tcBorders>
              <w:top w:val="single" w:sz="12" w:space="0" w:color="auto"/>
            </w:tcBorders>
            <w:shd w:val="clear" w:color="auto" w:fill="auto"/>
            <w:vAlign w:val="center"/>
          </w:tcPr>
          <w:p w14:paraId="32E94513" w14:textId="77777777" w:rsidR="00171782" w:rsidRPr="00F35716" w:rsidRDefault="00171782"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864" w:type="dxa"/>
            <w:tcBorders>
              <w:top w:val="single" w:sz="12" w:space="0" w:color="auto"/>
            </w:tcBorders>
            <w:shd w:val="clear" w:color="auto" w:fill="auto"/>
            <w:vAlign w:val="center"/>
          </w:tcPr>
          <w:p w14:paraId="32E94514" w14:textId="77777777" w:rsidR="00171782" w:rsidRPr="00F35716" w:rsidRDefault="00171782"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864" w:type="dxa"/>
            <w:tcBorders>
              <w:top w:val="single" w:sz="12" w:space="0" w:color="auto"/>
            </w:tcBorders>
            <w:shd w:val="clear" w:color="auto" w:fill="auto"/>
            <w:vAlign w:val="center"/>
          </w:tcPr>
          <w:p w14:paraId="32E94515" w14:textId="77777777" w:rsidR="00171782" w:rsidRPr="00F35716" w:rsidRDefault="00171782"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864" w:type="dxa"/>
            <w:tcBorders>
              <w:top w:val="single" w:sz="12" w:space="0" w:color="auto"/>
            </w:tcBorders>
            <w:shd w:val="clear" w:color="auto" w:fill="auto"/>
            <w:vAlign w:val="center"/>
          </w:tcPr>
          <w:p w14:paraId="32E94516" w14:textId="77777777" w:rsidR="00171782" w:rsidRPr="00F35716" w:rsidRDefault="00171782"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r>
      <w:tr w:rsidR="00EC3C86" w:rsidRPr="00F35716" w14:paraId="32E9451F" w14:textId="77777777" w:rsidTr="00DA66C1">
        <w:trPr>
          <w:trHeight w:val="180"/>
        </w:trPr>
        <w:tc>
          <w:tcPr>
            <w:tcW w:w="2160" w:type="dxa"/>
            <w:tcBorders>
              <w:bottom w:val="single" w:sz="12" w:space="0" w:color="auto"/>
            </w:tcBorders>
            <w:shd w:val="clear" w:color="auto" w:fill="auto"/>
            <w:vAlign w:val="bottom"/>
          </w:tcPr>
          <w:p w14:paraId="32E94518" w14:textId="77777777" w:rsidR="00EC3C86" w:rsidRPr="00F35716" w:rsidRDefault="00EC3C86" w:rsidP="00DA66C1">
            <w:pPr>
              <w:spacing w:before="40" w:after="80" w:line="210" w:lineRule="exact"/>
              <w:rPr>
                <w:bCs/>
                <w:sz w:val="17"/>
                <w:szCs w:val="17"/>
              </w:rPr>
            </w:pPr>
            <w:r w:rsidRPr="00F35716">
              <w:rPr>
                <w:bCs/>
                <w:sz w:val="17"/>
                <w:szCs w:val="17"/>
              </w:rPr>
              <w:t>Visitas sobre el terreno</w:t>
            </w:r>
          </w:p>
        </w:tc>
        <w:tc>
          <w:tcPr>
            <w:tcW w:w="864" w:type="dxa"/>
            <w:tcBorders>
              <w:bottom w:val="single" w:sz="12" w:space="0" w:color="auto"/>
            </w:tcBorders>
            <w:shd w:val="clear" w:color="auto" w:fill="auto"/>
            <w:vAlign w:val="bottom"/>
          </w:tcPr>
          <w:p w14:paraId="32E94519" w14:textId="77777777" w:rsidR="00EC3C86" w:rsidRPr="00F35716" w:rsidRDefault="00EC3C86" w:rsidP="00DA66C1">
            <w:pPr>
              <w:spacing w:before="40" w:after="80" w:line="210" w:lineRule="exact"/>
              <w:jc w:val="right"/>
              <w:rPr>
                <w:bCs/>
                <w:sz w:val="17"/>
                <w:szCs w:val="17"/>
              </w:rPr>
            </w:pPr>
            <w:r w:rsidRPr="00F35716">
              <w:rPr>
                <w:bCs/>
                <w:sz w:val="17"/>
                <w:szCs w:val="17"/>
              </w:rPr>
              <w:t>10.045</w:t>
            </w:r>
          </w:p>
        </w:tc>
        <w:tc>
          <w:tcPr>
            <w:tcW w:w="864" w:type="dxa"/>
            <w:tcBorders>
              <w:bottom w:val="single" w:sz="12" w:space="0" w:color="auto"/>
            </w:tcBorders>
            <w:shd w:val="clear" w:color="auto" w:fill="auto"/>
            <w:vAlign w:val="bottom"/>
          </w:tcPr>
          <w:p w14:paraId="32E9451A" w14:textId="77777777" w:rsidR="00EC3C86" w:rsidRPr="00F35716" w:rsidRDefault="00EC3C86" w:rsidP="00DA66C1">
            <w:pPr>
              <w:spacing w:before="40" w:after="80" w:line="210" w:lineRule="exact"/>
              <w:jc w:val="right"/>
              <w:rPr>
                <w:bCs/>
                <w:sz w:val="17"/>
                <w:szCs w:val="17"/>
              </w:rPr>
            </w:pPr>
            <w:r w:rsidRPr="00F35716">
              <w:rPr>
                <w:bCs/>
                <w:sz w:val="17"/>
                <w:szCs w:val="17"/>
              </w:rPr>
              <w:t>11.589</w:t>
            </w:r>
          </w:p>
        </w:tc>
        <w:tc>
          <w:tcPr>
            <w:tcW w:w="864" w:type="dxa"/>
            <w:tcBorders>
              <w:bottom w:val="single" w:sz="12" w:space="0" w:color="auto"/>
            </w:tcBorders>
            <w:shd w:val="clear" w:color="auto" w:fill="auto"/>
            <w:vAlign w:val="bottom"/>
          </w:tcPr>
          <w:p w14:paraId="32E9451B" w14:textId="77777777" w:rsidR="00EC3C86" w:rsidRPr="00F35716" w:rsidRDefault="00EC3C86" w:rsidP="00DA66C1">
            <w:pPr>
              <w:spacing w:before="40" w:after="80" w:line="210" w:lineRule="exact"/>
              <w:jc w:val="right"/>
              <w:rPr>
                <w:bCs/>
                <w:sz w:val="17"/>
                <w:szCs w:val="17"/>
              </w:rPr>
            </w:pPr>
            <w:r w:rsidRPr="00F35716">
              <w:rPr>
                <w:bCs/>
                <w:sz w:val="17"/>
                <w:szCs w:val="17"/>
              </w:rPr>
              <w:t>12.032</w:t>
            </w:r>
          </w:p>
        </w:tc>
        <w:tc>
          <w:tcPr>
            <w:tcW w:w="864" w:type="dxa"/>
            <w:tcBorders>
              <w:bottom w:val="single" w:sz="12" w:space="0" w:color="auto"/>
            </w:tcBorders>
            <w:shd w:val="clear" w:color="auto" w:fill="auto"/>
            <w:vAlign w:val="bottom"/>
          </w:tcPr>
          <w:p w14:paraId="32E9451C" w14:textId="77777777" w:rsidR="00EC3C86" w:rsidRPr="00F35716" w:rsidRDefault="00EC3C86" w:rsidP="00DA66C1">
            <w:pPr>
              <w:spacing w:before="40" w:after="80" w:line="210" w:lineRule="exact"/>
              <w:jc w:val="right"/>
              <w:rPr>
                <w:bCs/>
                <w:sz w:val="17"/>
                <w:szCs w:val="17"/>
              </w:rPr>
            </w:pPr>
            <w:r w:rsidRPr="00F35716">
              <w:rPr>
                <w:bCs/>
                <w:sz w:val="17"/>
                <w:szCs w:val="17"/>
              </w:rPr>
              <w:t>12.618</w:t>
            </w:r>
          </w:p>
        </w:tc>
        <w:tc>
          <w:tcPr>
            <w:tcW w:w="864" w:type="dxa"/>
            <w:tcBorders>
              <w:bottom w:val="single" w:sz="12" w:space="0" w:color="auto"/>
            </w:tcBorders>
            <w:shd w:val="clear" w:color="auto" w:fill="auto"/>
            <w:vAlign w:val="bottom"/>
          </w:tcPr>
          <w:p w14:paraId="32E9451D" w14:textId="77777777" w:rsidR="00EC3C86" w:rsidRPr="00F35716" w:rsidRDefault="00EC3C86" w:rsidP="00DA66C1">
            <w:pPr>
              <w:spacing w:before="40" w:after="80" w:line="210" w:lineRule="exact"/>
              <w:jc w:val="right"/>
              <w:rPr>
                <w:bCs/>
                <w:sz w:val="17"/>
                <w:szCs w:val="17"/>
              </w:rPr>
            </w:pPr>
            <w:r w:rsidRPr="00F35716">
              <w:rPr>
                <w:bCs/>
                <w:sz w:val="17"/>
                <w:szCs w:val="17"/>
              </w:rPr>
              <w:t>12.859</w:t>
            </w:r>
          </w:p>
        </w:tc>
        <w:tc>
          <w:tcPr>
            <w:tcW w:w="864" w:type="dxa"/>
            <w:tcBorders>
              <w:bottom w:val="single" w:sz="12" w:space="0" w:color="auto"/>
            </w:tcBorders>
            <w:shd w:val="clear" w:color="auto" w:fill="auto"/>
            <w:vAlign w:val="bottom"/>
          </w:tcPr>
          <w:p w14:paraId="32E9451E" w14:textId="77777777" w:rsidR="00EC3C86" w:rsidRPr="00F35716" w:rsidRDefault="00EC3C86" w:rsidP="00DA66C1">
            <w:pPr>
              <w:spacing w:before="40" w:after="80" w:line="210" w:lineRule="exact"/>
              <w:jc w:val="right"/>
              <w:rPr>
                <w:bCs/>
                <w:sz w:val="17"/>
                <w:szCs w:val="17"/>
              </w:rPr>
            </w:pPr>
            <w:r w:rsidRPr="00F35716">
              <w:rPr>
                <w:bCs/>
                <w:sz w:val="17"/>
                <w:szCs w:val="17"/>
              </w:rPr>
              <w:t>12.037</w:t>
            </w:r>
          </w:p>
        </w:tc>
      </w:tr>
    </w:tbl>
    <w:p w14:paraId="32E94520" w14:textId="77777777" w:rsidR="00204309" w:rsidRPr="00F35716" w:rsidRDefault="00204309" w:rsidP="00204309">
      <w:pPr>
        <w:pStyle w:val="SingleTxt"/>
        <w:spacing w:after="0" w:line="120" w:lineRule="exact"/>
        <w:rPr>
          <w:sz w:val="10"/>
          <w:szCs w:val="20"/>
        </w:rPr>
      </w:pPr>
    </w:p>
    <w:p w14:paraId="32E94521" w14:textId="77777777" w:rsidR="00204309" w:rsidRPr="00F35716" w:rsidRDefault="00204309" w:rsidP="00204309">
      <w:pPr>
        <w:pStyle w:val="SingleTxt"/>
        <w:spacing w:after="0" w:line="120" w:lineRule="exact"/>
        <w:rPr>
          <w:sz w:val="10"/>
          <w:szCs w:val="20"/>
        </w:rPr>
      </w:pPr>
    </w:p>
    <w:p w14:paraId="32E94522" w14:textId="2C8EA3C9" w:rsidR="00EC3C86" w:rsidRPr="00F35716" w:rsidRDefault="00EC3C86" w:rsidP="00B3192A">
      <w:pPr>
        <w:pStyle w:val="SingleTxt"/>
        <w:numPr>
          <w:ilvl w:val="0"/>
          <w:numId w:val="8"/>
        </w:numPr>
        <w:ind w:left="1267" w:firstLine="0"/>
      </w:pPr>
      <w:r w:rsidRPr="00F35716">
        <w:t xml:space="preserve">Las visitas sobre el terreno de los convoyes médicos multidisciplinarios han aumentado desde </w:t>
      </w:r>
      <w:r w:rsidR="00D03661" w:rsidRPr="00F35716">
        <w:t>la puesta en marcha</w:t>
      </w:r>
      <w:r w:rsidRPr="00F35716">
        <w:t xml:space="preserve"> del sistema de asistencia sanitaria, llegando a 437 campañas médicas en 2018. Con el fin de garantizar la salud de los habitantes de zonas remotas expuestas a los efectos de las olas de frío, desde 2014 se trabajó para activar las operaciones de atención. </w:t>
      </w:r>
      <w:r w:rsidR="00D03661" w:rsidRPr="00F35716">
        <w:t>E</w:t>
      </w:r>
      <w:r w:rsidRPr="00F35716">
        <w:t>ntre noviembre de 2018 y marzo de 2019, estas</w:t>
      </w:r>
      <w:r w:rsidR="00BF2EDF" w:rsidRPr="00F35716">
        <w:t> </w:t>
      </w:r>
      <w:r w:rsidRPr="00F35716">
        <w:t>operaciones se centraron en 28 provincias y consistieron en la realización de</w:t>
      </w:r>
      <w:r w:rsidR="00BF2EDF" w:rsidRPr="00F35716">
        <w:t> </w:t>
      </w:r>
      <w:r w:rsidRPr="00F35716">
        <w:t>4.558</w:t>
      </w:r>
      <w:r w:rsidR="00BF2EDF" w:rsidRPr="00F35716">
        <w:t> </w:t>
      </w:r>
      <w:r w:rsidRPr="00F35716">
        <w:t xml:space="preserve">visitas sobre el terreno por parte de las unidades médicas móviles, la organización de 233 convoyes médicos y </w:t>
      </w:r>
      <w:r w:rsidR="00D03661" w:rsidRPr="00F35716">
        <w:t xml:space="preserve">la </w:t>
      </w:r>
      <w:r w:rsidRPr="00F35716">
        <w:t xml:space="preserve">prestación de 650.112 servicios de salud. </w:t>
      </w:r>
    </w:p>
    <w:p w14:paraId="32E94523" w14:textId="77777777" w:rsidR="00486919" w:rsidRPr="00F35716" w:rsidRDefault="00486919" w:rsidP="00204309">
      <w:pPr>
        <w:pStyle w:val="SingleTxt"/>
        <w:spacing w:after="0" w:line="120" w:lineRule="exact"/>
        <w:rPr>
          <w:sz w:val="10"/>
          <w:szCs w:val="20"/>
        </w:rPr>
      </w:pPr>
    </w:p>
    <w:p w14:paraId="32E94525" w14:textId="77777777" w:rsidR="00EC3C86" w:rsidRPr="00F35716" w:rsidRDefault="00735173"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 w:val="0"/>
          <w:bCs w:val="0"/>
          <w:szCs w:val="20"/>
        </w:rPr>
        <w:t xml:space="preserve">Tabla 13: </w:t>
      </w:r>
      <w:r w:rsidRPr="00F35716">
        <w:rPr>
          <w:bCs w:val="0"/>
          <w:szCs w:val="20"/>
        </w:rPr>
        <w:br/>
      </w:r>
      <w:r w:rsidR="00EC3C86" w:rsidRPr="00F35716">
        <w:rPr>
          <w:bCs w:val="0"/>
          <w:szCs w:val="20"/>
        </w:rPr>
        <w:t>Campañas médicas</w:t>
      </w:r>
    </w:p>
    <w:p w14:paraId="32E94526" w14:textId="77777777" w:rsidR="00735173" w:rsidRPr="00F35716" w:rsidRDefault="00735173" w:rsidP="00204309">
      <w:pPr>
        <w:pStyle w:val="SingleTxt"/>
        <w:spacing w:after="0" w:line="120" w:lineRule="exact"/>
        <w:rPr>
          <w:sz w:val="10"/>
          <w:szCs w:val="20"/>
        </w:rPr>
      </w:pPr>
    </w:p>
    <w:tbl>
      <w:tblPr>
        <w:tblW w:w="7344" w:type="dxa"/>
        <w:tblInd w:w="1267" w:type="dxa"/>
        <w:tblLayout w:type="fixed"/>
        <w:tblCellMar>
          <w:left w:w="0" w:type="dxa"/>
          <w:right w:w="43" w:type="dxa"/>
        </w:tblCellMar>
        <w:tblLook w:val="04A0" w:firstRow="1" w:lastRow="0" w:firstColumn="1" w:lastColumn="0" w:noHBand="0" w:noVBand="1"/>
      </w:tblPr>
      <w:tblGrid>
        <w:gridCol w:w="2764"/>
        <w:gridCol w:w="655"/>
        <w:gridCol w:w="655"/>
        <w:gridCol w:w="654"/>
        <w:gridCol w:w="654"/>
        <w:gridCol w:w="654"/>
        <w:gridCol w:w="654"/>
        <w:gridCol w:w="654"/>
      </w:tblGrid>
      <w:tr w:rsidR="00574DEF" w:rsidRPr="00F35716" w14:paraId="32E9452F" w14:textId="77777777" w:rsidTr="00574DEF">
        <w:trPr>
          <w:trHeight w:val="247"/>
          <w:tblHeader/>
        </w:trPr>
        <w:tc>
          <w:tcPr>
            <w:tcW w:w="2736" w:type="dxa"/>
            <w:tcBorders>
              <w:top w:val="single" w:sz="4" w:space="0" w:color="auto"/>
              <w:bottom w:val="single" w:sz="12" w:space="0" w:color="auto"/>
            </w:tcBorders>
            <w:shd w:val="clear" w:color="auto" w:fill="auto"/>
          </w:tcPr>
          <w:p w14:paraId="32E94527" w14:textId="77777777" w:rsidR="00EC3C86" w:rsidRPr="00F35716" w:rsidRDefault="00EC3C86"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r w:rsidRPr="00F35716">
              <w:rPr>
                <w:i/>
                <w:iCs/>
                <w:kern w:val="0"/>
                <w:sz w:val="14"/>
                <w:szCs w:val="14"/>
              </w:rPr>
              <w:t>Año</w:t>
            </w:r>
          </w:p>
        </w:tc>
        <w:tc>
          <w:tcPr>
            <w:tcW w:w="648" w:type="dxa"/>
            <w:tcBorders>
              <w:top w:val="single" w:sz="4" w:space="0" w:color="auto"/>
              <w:bottom w:val="single" w:sz="12" w:space="0" w:color="auto"/>
            </w:tcBorders>
            <w:shd w:val="clear" w:color="auto" w:fill="auto"/>
          </w:tcPr>
          <w:p w14:paraId="32E94528" w14:textId="77777777" w:rsidR="00EC3C86" w:rsidRPr="00F35716" w:rsidRDefault="00EC3C86"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2012</w:t>
            </w:r>
          </w:p>
        </w:tc>
        <w:tc>
          <w:tcPr>
            <w:tcW w:w="648" w:type="dxa"/>
            <w:tcBorders>
              <w:top w:val="single" w:sz="4" w:space="0" w:color="auto"/>
              <w:bottom w:val="single" w:sz="12" w:space="0" w:color="auto"/>
            </w:tcBorders>
            <w:shd w:val="clear" w:color="auto" w:fill="auto"/>
          </w:tcPr>
          <w:p w14:paraId="32E94529" w14:textId="77777777" w:rsidR="00EC3C86" w:rsidRPr="00F35716" w:rsidRDefault="00EC3C86"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2013</w:t>
            </w:r>
          </w:p>
        </w:tc>
        <w:tc>
          <w:tcPr>
            <w:tcW w:w="648" w:type="dxa"/>
            <w:tcBorders>
              <w:top w:val="single" w:sz="4" w:space="0" w:color="auto"/>
              <w:bottom w:val="single" w:sz="12" w:space="0" w:color="auto"/>
            </w:tcBorders>
            <w:shd w:val="clear" w:color="auto" w:fill="auto"/>
          </w:tcPr>
          <w:p w14:paraId="32E9452A" w14:textId="77777777" w:rsidR="00EC3C86" w:rsidRPr="00F35716" w:rsidRDefault="00EC3C86"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2014</w:t>
            </w:r>
          </w:p>
        </w:tc>
        <w:tc>
          <w:tcPr>
            <w:tcW w:w="648" w:type="dxa"/>
            <w:tcBorders>
              <w:top w:val="single" w:sz="4" w:space="0" w:color="auto"/>
              <w:bottom w:val="single" w:sz="12" w:space="0" w:color="auto"/>
            </w:tcBorders>
            <w:shd w:val="clear" w:color="auto" w:fill="auto"/>
          </w:tcPr>
          <w:p w14:paraId="32E9452B" w14:textId="77777777" w:rsidR="00EC3C86" w:rsidRPr="00F35716" w:rsidRDefault="00EC3C86"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2015</w:t>
            </w:r>
          </w:p>
        </w:tc>
        <w:tc>
          <w:tcPr>
            <w:tcW w:w="648" w:type="dxa"/>
            <w:tcBorders>
              <w:top w:val="single" w:sz="4" w:space="0" w:color="auto"/>
              <w:bottom w:val="single" w:sz="12" w:space="0" w:color="auto"/>
            </w:tcBorders>
            <w:shd w:val="clear" w:color="auto" w:fill="auto"/>
          </w:tcPr>
          <w:p w14:paraId="32E9452C" w14:textId="77777777" w:rsidR="00EC3C86" w:rsidRPr="00F35716" w:rsidRDefault="00EC3C86"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2016</w:t>
            </w:r>
          </w:p>
        </w:tc>
        <w:tc>
          <w:tcPr>
            <w:tcW w:w="648" w:type="dxa"/>
            <w:tcBorders>
              <w:top w:val="single" w:sz="4" w:space="0" w:color="auto"/>
              <w:bottom w:val="single" w:sz="12" w:space="0" w:color="auto"/>
            </w:tcBorders>
            <w:shd w:val="clear" w:color="auto" w:fill="auto"/>
          </w:tcPr>
          <w:p w14:paraId="32E9452D" w14:textId="77777777" w:rsidR="00EC3C86" w:rsidRPr="00F35716" w:rsidRDefault="00EC3C86"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2017</w:t>
            </w:r>
          </w:p>
        </w:tc>
        <w:tc>
          <w:tcPr>
            <w:tcW w:w="648" w:type="dxa"/>
            <w:tcBorders>
              <w:top w:val="single" w:sz="4" w:space="0" w:color="auto"/>
              <w:bottom w:val="single" w:sz="12" w:space="0" w:color="auto"/>
            </w:tcBorders>
            <w:shd w:val="clear" w:color="auto" w:fill="auto"/>
          </w:tcPr>
          <w:p w14:paraId="32E9452E" w14:textId="77777777" w:rsidR="00EC3C86" w:rsidRPr="00F35716" w:rsidRDefault="00EC3C86"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2018</w:t>
            </w:r>
          </w:p>
        </w:tc>
      </w:tr>
      <w:tr w:rsidR="00171782" w:rsidRPr="00F35716" w14:paraId="32E94538" w14:textId="77777777" w:rsidTr="00574DEF">
        <w:trPr>
          <w:trHeight w:hRule="exact" w:val="115"/>
          <w:tblHeader/>
        </w:trPr>
        <w:tc>
          <w:tcPr>
            <w:tcW w:w="2736" w:type="dxa"/>
            <w:tcBorders>
              <w:top w:val="single" w:sz="12" w:space="0" w:color="auto"/>
            </w:tcBorders>
            <w:shd w:val="clear" w:color="auto" w:fill="auto"/>
          </w:tcPr>
          <w:p w14:paraId="32E94530" w14:textId="77777777" w:rsidR="00171782" w:rsidRPr="00F35716" w:rsidRDefault="00171782"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648" w:type="dxa"/>
            <w:tcBorders>
              <w:top w:val="single" w:sz="12" w:space="0" w:color="auto"/>
            </w:tcBorders>
            <w:shd w:val="clear" w:color="auto" w:fill="auto"/>
          </w:tcPr>
          <w:p w14:paraId="32E94531" w14:textId="77777777" w:rsidR="00171782" w:rsidRPr="00F35716" w:rsidRDefault="00171782"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648" w:type="dxa"/>
            <w:tcBorders>
              <w:top w:val="single" w:sz="12" w:space="0" w:color="auto"/>
            </w:tcBorders>
            <w:shd w:val="clear" w:color="auto" w:fill="auto"/>
          </w:tcPr>
          <w:p w14:paraId="32E94532" w14:textId="77777777" w:rsidR="00171782" w:rsidRPr="00F35716" w:rsidRDefault="00171782"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648" w:type="dxa"/>
            <w:tcBorders>
              <w:top w:val="single" w:sz="12" w:space="0" w:color="auto"/>
            </w:tcBorders>
            <w:shd w:val="clear" w:color="auto" w:fill="auto"/>
          </w:tcPr>
          <w:p w14:paraId="32E94533" w14:textId="77777777" w:rsidR="00171782" w:rsidRPr="00F35716" w:rsidRDefault="00171782"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648" w:type="dxa"/>
            <w:tcBorders>
              <w:top w:val="single" w:sz="12" w:space="0" w:color="auto"/>
            </w:tcBorders>
            <w:shd w:val="clear" w:color="auto" w:fill="auto"/>
          </w:tcPr>
          <w:p w14:paraId="32E94534" w14:textId="77777777" w:rsidR="00171782" w:rsidRPr="00F35716" w:rsidRDefault="00171782"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648" w:type="dxa"/>
            <w:tcBorders>
              <w:top w:val="single" w:sz="12" w:space="0" w:color="auto"/>
            </w:tcBorders>
            <w:shd w:val="clear" w:color="auto" w:fill="auto"/>
          </w:tcPr>
          <w:p w14:paraId="32E94535" w14:textId="77777777" w:rsidR="00171782" w:rsidRPr="00F35716" w:rsidRDefault="00171782"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648" w:type="dxa"/>
            <w:tcBorders>
              <w:top w:val="single" w:sz="12" w:space="0" w:color="auto"/>
            </w:tcBorders>
            <w:shd w:val="clear" w:color="auto" w:fill="auto"/>
          </w:tcPr>
          <w:p w14:paraId="32E94536" w14:textId="77777777" w:rsidR="00171782" w:rsidRPr="00F35716" w:rsidRDefault="00171782"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648" w:type="dxa"/>
            <w:tcBorders>
              <w:top w:val="single" w:sz="12" w:space="0" w:color="auto"/>
            </w:tcBorders>
            <w:shd w:val="clear" w:color="auto" w:fill="auto"/>
          </w:tcPr>
          <w:p w14:paraId="32E94537" w14:textId="77777777" w:rsidR="00171782" w:rsidRPr="00F35716" w:rsidRDefault="00171782" w:rsidP="0017178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r>
      <w:tr w:rsidR="00574DEF" w:rsidRPr="00F35716" w14:paraId="32E94541" w14:textId="77777777" w:rsidTr="00574DEF">
        <w:trPr>
          <w:trHeight w:val="247"/>
        </w:trPr>
        <w:tc>
          <w:tcPr>
            <w:tcW w:w="2736" w:type="dxa"/>
            <w:tcBorders>
              <w:bottom w:val="single" w:sz="12" w:space="0" w:color="auto"/>
            </w:tcBorders>
            <w:shd w:val="clear" w:color="auto" w:fill="auto"/>
            <w:vAlign w:val="bottom"/>
          </w:tcPr>
          <w:p w14:paraId="32E94539" w14:textId="77777777" w:rsidR="00EC3C86" w:rsidRPr="00F35716" w:rsidRDefault="00EC3C86" w:rsidP="00171782">
            <w:pPr>
              <w:spacing w:before="40" w:after="80" w:line="210" w:lineRule="exact"/>
              <w:rPr>
                <w:bCs/>
                <w:sz w:val="17"/>
                <w:szCs w:val="17"/>
              </w:rPr>
            </w:pPr>
            <w:r w:rsidRPr="00F35716">
              <w:rPr>
                <w:bCs/>
                <w:sz w:val="17"/>
                <w:szCs w:val="17"/>
              </w:rPr>
              <w:t xml:space="preserve">Número de campañas médicas </w:t>
            </w:r>
          </w:p>
        </w:tc>
        <w:tc>
          <w:tcPr>
            <w:tcW w:w="648" w:type="dxa"/>
            <w:tcBorders>
              <w:bottom w:val="single" w:sz="12" w:space="0" w:color="auto"/>
            </w:tcBorders>
            <w:shd w:val="clear" w:color="auto" w:fill="auto"/>
            <w:vAlign w:val="bottom"/>
          </w:tcPr>
          <w:p w14:paraId="32E9453A" w14:textId="77777777" w:rsidR="00EC3C86" w:rsidRPr="00F35716" w:rsidRDefault="00EC3C86" w:rsidP="00171782">
            <w:pPr>
              <w:spacing w:before="40" w:after="80" w:line="210" w:lineRule="exact"/>
              <w:jc w:val="right"/>
              <w:rPr>
                <w:bCs/>
                <w:sz w:val="17"/>
                <w:szCs w:val="17"/>
              </w:rPr>
            </w:pPr>
            <w:r w:rsidRPr="00F35716">
              <w:rPr>
                <w:bCs/>
                <w:sz w:val="17"/>
                <w:szCs w:val="17"/>
              </w:rPr>
              <w:t>83</w:t>
            </w:r>
          </w:p>
        </w:tc>
        <w:tc>
          <w:tcPr>
            <w:tcW w:w="648" w:type="dxa"/>
            <w:tcBorders>
              <w:bottom w:val="single" w:sz="12" w:space="0" w:color="auto"/>
            </w:tcBorders>
            <w:shd w:val="clear" w:color="auto" w:fill="auto"/>
            <w:vAlign w:val="bottom"/>
          </w:tcPr>
          <w:p w14:paraId="32E9453B" w14:textId="77777777" w:rsidR="00EC3C86" w:rsidRPr="00F35716" w:rsidRDefault="00EC3C86" w:rsidP="00171782">
            <w:pPr>
              <w:spacing w:before="40" w:after="80" w:line="210" w:lineRule="exact"/>
              <w:jc w:val="right"/>
              <w:rPr>
                <w:bCs/>
                <w:sz w:val="17"/>
                <w:szCs w:val="17"/>
              </w:rPr>
            </w:pPr>
            <w:r w:rsidRPr="00F35716">
              <w:rPr>
                <w:bCs/>
                <w:sz w:val="17"/>
                <w:szCs w:val="17"/>
              </w:rPr>
              <w:t>117</w:t>
            </w:r>
          </w:p>
        </w:tc>
        <w:tc>
          <w:tcPr>
            <w:tcW w:w="648" w:type="dxa"/>
            <w:tcBorders>
              <w:bottom w:val="single" w:sz="12" w:space="0" w:color="auto"/>
            </w:tcBorders>
            <w:shd w:val="clear" w:color="auto" w:fill="auto"/>
            <w:vAlign w:val="bottom"/>
          </w:tcPr>
          <w:p w14:paraId="32E9453C" w14:textId="77777777" w:rsidR="00EC3C86" w:rsidRPr="00F35716" w:rsidRDefault="00EC3C86" w:rsidP="00171782">
            <w:pPr>
              <w:spacing w:before="40" w:after="80" w:line="210" w:lineRule="exact"/>
              <w:jc w:val="right"/>
              <w:rPr>
                <w:bCs/>
                <w:sz w:val="17"/>
                <w:szCs w:val="17"/>
              </w:rPr>
            </w:pPr>
            <w:r w:rsidRPr="00F35716">
              <w:rPr>
                <w:bCs/>
                <w:sz w:val="17"/>
                <w:szCs w:val="17"/>
              </w:rPr>
              <w:t>87</w:t>
            </w:r>
          </w:p>
        </w:tc>
        <w:tc>
          <w:tcPr>
            <w:tcW w:w="648" w:type="dxa"/>
            <w:tcBorders>
              <w:bottom w:val="single" w:sz="12" w:space="0" w:color="auto"/>
            </w:tcBorders>
            <w:shd w:val="clear" w:color="auto" w:fill="auto"/>
            <w:vAlign w:val="bottom"/>
          </w:tcPr>
          <w:p w14:paraId="32E9453D" w14:textId="77777777" w:rsidR="00EC3C86" w:rsidRPr="00F35716" w:rsidRDefault="00EC3C86" w:rsidP="00171782">
            <w:pPr>
              <w:spacing w:before="40" w:after="80" w:line="210" w:lineRule="exact"/>
              <w:jc w:val="right"/>
              <w:rPr>
                <w:bCs/>
                <w:sz w:val="17"/>
                <w:szCs w:val="17"/>
              </w:rPr>
            </w:pPr>
            <w:r w:rsidRPr="00F35716">
              <w:rPr>
                <w:bCs/>
                <w:sz w:val="17"/>
                <w:szCs w:val="17"/>
              </w:rPr>
              <w:t>94</w:t>
            </w:r>
          </w:p>
        </w:tc>
        <w:tc>
          <w:tcPr>
            <w:tcW w:w="648" w:type="dxa"/>
            <w:tcBorders>
              <w:bottom w:val="single" w:sz="12" w:space="0" w:color="auto"/>
            </w:tcBorders>
            <w:shd w:val="clear" w:color="auto" w:fill="auto"/>
            <w:vAlign w:val="bottom"/>
          </w:tcPr>
          <w:p w14:paraId="32E9453E" w14:textId="77777777" w:rsidR="00EC3C86" w:rsidRPr="00F35716" w:rsidRDefault="00EC3C86" w:rsidP="00171782">
            <w:pPr>
              <w:spacing w:before="40" w:after="80" w:line="210" w:lineRule="exact"/>
              <w:jc w:val="right"/>
              <w:rPr>
                <w:bCs/>
                <w:sz w:val="17"/>
                <w:szCs w:val="17"/>
              </w:rPr>
            </w:pPr>
            <w:r w:rsidRPr="00F35716">
              <w:rPr>
                <w:bCs/>
                <w:sz w:val="17"/>
                <w:szCs w:val="17"/>
              </w:rPr>
              <w:t>282</w:t>
            </w:r>
          </w:p>
        </w:tc>
        <w:tc>
          <w:tcPr>
            <w:tcW w:w="648" w:type="dxa"/>
            <w:tcBorders>
              <w:bottom w:val="single" w:sz="12" w:space="0" w:color="auto"/>
            </w:tcBorders>
            <w:shd w:val="clear" w:color="auto" w:fill="auto"/>
            <w:vAlign w:val="bottom"/>
          </w:tcPr>
          <w:p w14:paraId="32E9453F" w14:textId="77777777" w:rsidR="00EC3C86" w:rsidRPr="00F35716" w:rsidRDefault="00EC3C86" w:rsidP="00171782">
            <w:pPr>
              <w:spacing w:before="40" w:after="80" w:line="210" w:lineRule="exact"/>
              <w:jc w:val="right"/>
              <w:rPr>
                <w:bCs/>
                <w:sz w:val="17"/>
                <w:szCs w:val="17"/>
              </w:rPr>
            </w:pPr>
            <w:r w:rsidRPr="00F35716">
              <w:rPr>
                <w:bCs/>
                <w:sz w:val="17"/>
                <w:szCs w:val="17"/>
              </w:rPr>
              <w:t>564</w:t>
            </w:r>
          </w:p>
        </w:tc>
        <w:tc>
          <w:tcPr>
            <w:tcW w:w="648" w:type="dxa"/>
            <w:tcBorders>
              <w:bottom w:val="single" w:sz="12" w:space="0" w:color="auto"/>
            </w:tcBorders>
            <w:shd w:val="clear" w:color="auto" w:fill="auto"/>
            <w:vAlign w:val="bottom"/>
          </w:tcPr>
          <w:p w14:paraId="32E94540" w14:textId="77777777" w:rsidR="00EC3C86" w:rsidRPr="00F35716" w:rsidRDefault="00171782" w:rsidP="00171782">
            <w:pPr>
              <w:spacing w:before="40" w:after="80" w:line="210" w:lineRule="exact"/>
              <w:jc w:val="right"/>
              <w:rPr>
                <w:bCs/>
                <w:sz w:val="17"/>
                <w:szCs w:val="17"/>
              </w:rPr>
            </w:pPr>
            <w:r w:rsidRPr="00F35716">
              <w:rPr>
                <w:bCs/>
                <w:sz w:val="17"/>
                <w:szCs w:val="17"/>
              </w:rPr>
              <w:t>437</w:t>
            </w:r>
          </w:p>
        </w:tc>
      </w:tr>
    </w:tbl>
    <w:p w14:paraId="32E94542" w14:textId="77777777" w:rsidR="00113CF1" w:rsidRPr="00F35716" w:rsidRDefault="00113CF1" w:rsidP="00204309">
      <w:pPr>
        <w:pStyle w:val="SingleTxt"/>
        <w:spacing w:after="0" w:line="120" w:lineRule="exact"/>
        <w:rPr>
          <w:sz w:val="10"/>
          <w:szCs w:val="20"/>
        </w:rPr>
      </w:pPr>
    </w:p>
    <w:p w14:paraId="32E94543" w14:textId="77777777" w:rsidR="00204309" w:rsidRPr="00F35716" w:rsidRDefault="00204309" w:rsidP="00204309">
      <w:pPr>
        <w:pStyle w:val="SingleTxt"/>
        <w:spacing w:after="0" w:line="120" w:lineRule="exact"/>
        <w:rPr>
          <w:sz w:val="10"/>
          <w:szCs w:val="20"/>
        </w:rPr>
      </w:pPr>
    </w:p>
    <w:p w14:paraId="32E94544" w14:textId="03CFC6D3" w:rsidR="00EC3C86" w:rsidRPr="00F35716" w:rsidRDefault="00EC3C86" w:rsidP="00113CF1">
      <w:pPr>
        <w:pStyle w:val="SingleTxt"/>
        <w:rPr>
          <w:szCs w:val="20"/>
        </w:rPr>
      </w:pPr>
      <w:r w:rsidRPr="00F35716">
        <w:rPr>
          <w:szCs w:val="20"/>
        </w:rPr>
        <w:t>De acuerdo con la Encuesta Nacional de Salud de la Población y la Familia, los indicadores de salud en las zonas rurales mejoraron entre 2011 y 2018, ya que la tasa de mortalidad materna pasó de 112 muertes por cada 100.000 nacidos vivos en</w:t>
      </w:r>
      <w:r w:rsidR="00C14187" w:rsidRPr="00F35716">
        <w:rPr>
          <w:szCs w:val="20"/>
        </w:rPr>
        <w:t> </w:t>
      </w:r>
      <w:r w:rsidRPr="00F35716">
        <w:rPr>
          <w:szCs w:val="20"/>
        </w:rPr>
        <w:t xml:space="preserve">2010 a 72,6 muertes por cada 100.000 nacidos vivos en 2017. Esta tasa disminuyó en 37 puntos (de 148 a 111,1) en las zonas rurales, </w:t>
      </w:r>
      <w:r w:rsidR="00D03661" w:rsidRPr="00F35716">
        <w:rPr>
          <w:szCs w:val="20"/>
        </w:rPr>
        <w:t>frente a un</w:t>
      </w:r>
      <w:r w:rsidRPr="00F35716">
        <w:rPr>
          <w:szCs w:val="20"/>
        </w:rPr>
        <w:t xml:space="preserve"> descenso de 28 puntos en las zonas urbanas (de 73 a 44,6).</w:t>
      </w:r>
    </w:p>
    <w:p w14:paraId="32E94545" w14:textId="3DD3589D" w:rsidR="00EC3C86" w:rsidRPr="00F35716" w:rsidRDefault="00EC3C86" w:rsidP="00B3192A">
      <w:pPr>
        <w:pStyle w:val="SingleTxt"/>
        <w:numPr>
          <w:ilvl w:val="0"/>
          <w:numId w:val="8"/>
        </w:numPr>
        <w:ind w:left="1267" w:firstLine="0"/>
      </w:pPr>
      <w:r w:rsidRPr="00F35716">
        <w:t xml:space="preserve">Aunque la tasa de mortalidad materna ha disminuido, todavía hay disparidades entre las zonas urbanas y rurales, </w:t>
      </w:r>
      <w:r w:rsidR="00F40645" w:rsidRPr="00F35716">
        <w:t>en particular en la</w:t>
      </w:r>
      <w:r w:rsidRPr="00F35716">
        <w:t xml:space="preserve"> atención prenatal. Por </w:t>
      </w:r>
      <w:r w:rsidR="00F40645" w:rsidRPr="00F35716">
        <w:t>tanto</w:t>
      </w:r>
      <w:r w:rsidRPr="00F35716">
        <w:t xml:space="preserve">, es necesario realizar esfuerzos adicionales para garantizar el acceso equitativo a los servicios de salud. </w:t>
      </w:r>
    </w:p>
    <w:p w14:paraId="32E94546" w14:textId="37675727" w:rsidR="00EC3C86" w:rsidRPr="00F35716" w:rsidRDefault="00F40645" w:rsidP="00B3192A">
      <w:pPr>
        <w:pStyle w:val="SingleTxt"/>
        <w:numPr>
          <w:ilvl w:val="0"/>
          <w:numId w:val="8"/>
        </w:numPr>
        <w:ind w:left="1267" w:firstLine="0"/>
      </w:pPr>
      <w:r w:rsidRPr="00F35716">
        <w:t>En 2013 se creó l</w:t>
      </w:r>
      <w:r w:rsidR="00EC3C86" w:rsidRPr="00F35716">
        <w:t xml:space="preserve">a Red de Instituciones de Medicina Social de acuerdo con los requisitos del mapa de salud, en respuesta a las </w:t>
      </w:r>
      <w:r w:rsidRPr="00F35716">
        <w:t>necesidades específicas</w:t>
      </w:r>
      <w:r w:rsidR="00EC3C86" w:rsidRPr="00F35716">
        <w:t xml:space="preserve"> de algunos grupos sociales</w:t>
      </w:r>
      <w:r w:rsidRPr="00F35716">
        <w:t>. Entre dichas instituciones se incluyen aquellas</w:t>
      </w:r>
      <w:r w:rsidR="00EC3C86" w:rsidRPr="00F35716">
        <w:t xml:space="preserve"> </w:t>
      </w:r>
      <w:r w:rsidRPr="00F35716">
        <w:t>para</w:t>
      </w:r>
      <w:r w:rsidR="00EC3C86" w:rsidRPr="00F35716">
        <w:t xml:space="preserve"> personas con discapacidad </w:t>
      </w:r>
      <w:r w:rsidRPr="00F35716">
        <w:t>y centros de salud para</w:t>
      </w:r>
      <w:r w:rsidR="00EC3C86" w:rsidRPr="00F35716">
        <w:t xml:space="preserve"> jóvenes y estudiantes.</w:t>
      </w:r>
    </w:p>
    <w:p w14:paraId="32E94547" w14:textId="21C9659A" w:rsidR="00EC3C86" w:rsidRPr="00F35716" w:rsidRDefault="00EC3C86" w:rsidP="00B3192A">
      <w:pPr>
        <w:pStyle w:val="SingleTxt"/>
        <w:numPr>
          <w:ilvl w:val="0"/>
          <w:numId w:val="8"/>
        </w:numPr>
        <w:ind w:left="1267" w:firstLine="0"/>
      </w:pPr>
      <w:r w:rsidRPr="00F35716">
        <w:lastRenderedPageBreak/>
        <w:t xml:space="preserve">El Gobierno se está dedicando a fortalecer los servicios de salud dirigidos a ancianos </w:t>
      </w:r>
      <w:r w:rsidR="00C7743B" w:rsidRPr="00F35716">
        <w:t>con</w:t>
      </w:r>
      <w:r w:rsidRPr="00F35716">
        <w:t xml:space="preserve"> el lanzamiento de </w:t>
      </w:r>
      <w:r w:rsidR="00F40645" w:rsidRPr="00F35716">
        <w:t>una</w:t>
      </w:r>
      <w:r w:rsidRPr="00F35716">
        <w:t xml:space="preserve"> </w:t>
      </w:r>
      <w:r w:rsidR="00F40645" w:rsidRPr="00F35716">
        <w:t>e</w:t>
      </w:r>
      <w:r w:rsidRPr="00F35716">
        <w:t xml:space="preserve">strategia </w:t>
      </w:r>
      <w:r w:rsidR="00F40645" w:rsidRPr="00F35716">
        <w:t>n</w:t>
      </w:r>
      <w:r w:rsidRPr="00F35716">
        <w:t xml:space="preserve">acional de </w:t>
      </w:r>
      <w:r w:rsidR="00D82959" w:rsidRPr="00F35716">
        <w:t>s</w:t>
      </w:r>
      <w:r w:rsidRPr="00F35716">
        <w:t xml:space="preserve">alud de las </w:t>
      </w:r>
      <w:r w:rsidR="00D82959" w:rsidRPr="00F35716">
        <w:t>p</w:t>
      </w:r>
      <w:r w:rsidRPr="00F35716">
        <w:t xml:space="preserve">ersonas </w:t>
      </w:r>
      <w:r w:rsidR="00D82959" w:rsidRPr="00F35716">
        <w:t>m</w:t>
      </w:r>
      <w:r w:rsidRPr="00F35716">
        <w:t>ayores</w:t>
      </w:r>
      <w:r w:rsidR="00D82959" w:rsidRPr="00F35716">
        <w:t>,</w:t>
      </w:r>
      <w:r w:rsidRPr="00F35716">
        <w:t xml:space="preserve"> </w:t>
      </w:r>
      <w:r w:rsidR="00F40645" w:rsidRPr="00F35716">
        <w:t>“</w:t>
      </w:r>
      <w:r w:rsidRPr="00F35716">
        <w:t>Visión 20-30</w:t>
      </w:r>
      <w:r w:rsidR="00F40645" w:rsidRPr="00F35716">
        <w:t>”</w:t>
      </w:r>
      <w:r w:rsidRPr="00F35716">
        <w:t>, que aplicará mediante los planes de acción de 2020-2025 y 2025-2030. Se han creado unidades geriátricas y una unidad de salud psi</w:t>
      </w:r>
      <w:r w:rsidR="00D82959" w:rsidRPr="00F35716">
        <w:t>cológica</w:t>
      </w:r>
      <w:r w:rsidRPr="00F35716">
        <w:t xml:space="preserve"> y mental </w:t>
      </w:r>
      <w:r w:rsidR="00D82959" w:rsidRPr="00F35716">
        <w:t>par</w:t>
      </w:r>
      <w:r w:rsidRPr="00F35716">
        <w:t xml:space="preserve">a </w:t>
      </w:r>
      <w:r w:rsidR="00D82959" w:rsidRPr="00F35716">
        <w:t>las personas mayores</w:t>
      </w:r>
      <w:r w:rsidR="00262A0C" w:rsidRPr="00F35716">
        <w:t xml:space="preserve"> </w:t>
      </w:r>
      <w:r w:rsidR="00D82959" w:rsidRPr="00F35716">
        <w:t>en</w:t>
      </w:r>
      <w:r w:rsidRPr="00F35716">
        <w:t xml:space="preserve"> un hospital universitario para </w:t>
      </w:r>
      <w:r w:rsidR="00D82959" w:rsidRPr="00F35716">
        <w:t xml:space="preserve">personas con </w:t>
      </w:r>
      <w:r w:rsidRPr="00F35716">
        <w:t>enfermedades mentales</w:t>
      </w:r>
      <w:r w:rsidR="00D82959" w:rsidRPr="00F35716">
        <w:t>. Se han establecido</w:t>
      </w:r>
      <w:r w:rsidRPr="00F35716">
        <w:t xml:space="preserve"> reglas y criterios orientados a crear unidades especiales </w:t>
      </w:r>
      <w:r w:rsidR="00C7743B" w:rsidRPr="00F35716">
        <w:t>de</w:t>
      </w:r>
      <w:r w:rsidRPr="00F35716">
        <w:t xml:space="preserve"> geriatría para ingresos a corto plazo. Asimismo, desde 2012 los planes de estudio</w:t>
      </w:r>
      <w:r w:rsidR="00D82959" w:rsidRPr="00F35716">
        <w:t>s</w:t>
      </w:r>
      <w:r w:rsidRPr="00F35716">
        <w:t xml:space="preserve"> de formación básica para enfermeras y enfermeros de varias especialidades incluyen una unidad de geriatría.</w:t>
      </w:r>
    </w:p>
    <w:p w14:paraId="32E94548" w14:textId="5D98DC61" w:rsidR="00EC3C86" w:rsidRPr="00F35716" w:rsidRDefault="00EC3C86" w:rsidP="00B3192A">
      <w:pPr>
        <w:pStyle w:val="SingleTxt"/>
        <w:numPr>
          <w:ilvl w:val="0"/>
          <w:numId w:val="8"/>
        </w:numPr>
        <w:ind w:left="1267" w:firstLine="0"/>
      </w:pPr>
      <w:r w:rsidRPr="00F35716">
        <w:t xml:space="preserve">A fin de mejorar los servicios de salud maternoinfantil, en el marco de la Estrategia Nacional de Salud Reproductiva </w:t>
      </w:r>
      <w:r w:rsidR="00C7743B" w:rsidRPr="00F35716">
        <w:t>(</w:t>
      </w:r>
      <w:r w:rsidRPr="00F35716">
        <w:t>2011-2020</w:t>
      </w:r>
      <w:r w:rsidR="00C7743B" w:rsidRPr="00F35716">
        <w:t>)</w:t>
      </w:r>
      <w:r w:rsidRPr="00F35716">
        <w:t xml:space="preserve"> se </w:t>
      </w:r>
      <w:r w:rsidR="00012C47" w:rsidRPr="00F35716">
        <w:t xml:space="preserve">han </w:t>
      </w:r>
      <w:r w:rsidRPr="00F35716">
        <w:t>proporciona</w:t>
      </w:r>
      <w:r w:rsidR="00012C47" w:rsidRPr="00F35716">
        <w:t>do</w:t>
      </w:r>
      <w:r w:rsidRPr="00F35716">
        <w:t xml:space="preserve"> servicios integrales, accesibles y aceptables y se </w:t>
      </w:r>
      <w:r w:rsidR="00012C47" w:rsidRPr="00F35716">
        <w:t xml:space="preserve">han </w:t>
      </w:r>
      <w:r w:rsidRPr="00F35716">
        <w:t>reforza</w:t>
      </w:r>
      <w:r w:rsidR="00012C47" w:rsidRPr="00F35716">
        <w:t>do</w:t>
      </w:r>
      <w:r w:rsidRPr="00F35716">
        <w:t xml:space="preserve"> los servicios existentes para contribuir a mejora</w:t>
      </w:r>
      <w:r w:rsidR="00012C47" w:rsidRPr="00F35716">
        <w:t>r</w:t>
      </w:r>
      <w:r w:rsidRPr="00F35716">
        <w:t xml:space="preserve"> la salud</w:t>
      </w:r>
      <w:r w:rsidR="00012C47" w:rsidRPr="00F35716">
        <w:t xml:space="preserve"> materna y</w:t>
      </w:r>
      <w:r w:rsidRPr="00F35716">
        <w:t xml:space="preserve"> reproductiva. Los indicadores </w:t>
      </w:r>
      <w:r w:rsidR="00012C47" w:rsidRPr="00F35716">
        <w:t>relativos a</w:t>
      </w:r>
      <w:r w:rsidRPr="00F35716">
        <w:t>l uso de métodos de planificación familiar por parte de las mujeres mostraron una tendencia al alza, ya que aumentaron del 63</w:t>
      </w:r>
      <w:r w:rsidR="0006736D" w:rsidRPr="00F35716">
        <w:t> %</w:t>
      </w:r>
      <w:r w:rsidRPr="00F35716">
        <w:t xml:space="preserve"> en 2004 al 70,8</w:t>
      </w:r>
      <w:r w:rsidR="0006736D" w:rsidRPr="00F35716">
        <w:t> %</w:t>
      </w:r>
      <w:r w:rsidRPr="00F35716">
        <w:t xml:space="preserve"> en 2018, y el porcentaje de necesidades insatisfechas en </w:t>
      </w:r>
      <w:r w:rsidR="00012C47" w:rsidRPr="00F35716">
        <w:t>materia</w:t>
      </w:r>
      <w:r w:rsidRPr="00F35716">
        <w:t xml:space="preserve"> de planificación familiar cayó hasta el 11,3</w:t>
      </w:r>
      <w:r w:rsidR="0006736D" w:rsidRPr="00F35716">
        <w:t> %</w:t>
      </w:r>
      <w:r w:rsidRPr="00F35716">
        <w:t>.</w:t>
      </w:r>
    </w:p>
    <w:p w14:paraId="32E94549" w14:textId="2E7C68D2" w:rsidR="00EC3C86" w:rsidRPr="00F35716" w:rsidRDefault="00EC3C86" w:rsidP="00B3192A">
      <w:pPr>
        <w:pStyle w:val="SingleTxt"/>
        <w:numPr>
          <w:ilvl w:val="0"/>
          <w:numId w:val="8"/>
        </w:numPr>
        <w:ind w:left="1267" w:firstLine="0"/>
      </w:pPr>
      <w:r w:rsidRPr="00F35716">
        <w:t>En el marco del Programa Nacional para el Control de</w:t>
      </w:r>
      <w:r w:rsidR="00C7743B" w:rsidRPr="00F35716">
        <w:t>l</w:t>
      </w:r>
      <w:r w:rsidRPr="00F35716">
        <w:t xml:space="preserve"> Embarazo y el Parto, a partir de 2012 se tomaron un conjunto de medidas encaminadas a mejorar la política de exención del </w:t>
      </w:r>
      <w:r w:rsidR="008B4EE5" w:rsidRPr="00F35716">
        <w:t>pago de</w:t>
      </w:r>
      <w:r w:rsidRPr="00F35716">
        <w:t xml:space="preserve"> t</w:t>
      </w:r>
      <w:r w:rsidR="008B4EE5" w:rsidRPr="00F35716">
        <w:t>ratamientos</w:t>
      </w:r>
      <w:r w:rsidRPr="00F35716">
        <w:t xml:space="preserve"> obstétric</w:t>
      </w:r>
      <w:r w:rsidR="008B4EE5" w:rsidRPr="00F35716">
        <w:t>o</w:t>
      </w:r>
      <w:r w:rsidRPr="00F35716">
        <w:t>s y neonatales de emergencia</w:t>
      </w:r>
      <w:r w:rsidR="008B4EE5" w:rsidRPr="00F35716">
        <w:t xml:space="preserve"> y</w:t>
      </w:r>
      <w:r w:rsidRPr="00F35716">
        <w:t xml:space="preserve"> servicios de salud </w:t>
      </w:r>
      <w:r w:rsidR="008B4EE5" w:rsidRPr="00F35716">
        <w:t>dispensados</w:t>
      </w:r>
      <w:r w:rsidRPr="00F35716">
        <w:t xml:space="preserve"> en </w:t>
      </w:r>
      <w:r w:rsidR="008B4EE5" w:rsidRPr="00F35716">
        <w:t>estructuras sanitarias de base</w:t>
      </w:r>
      <w:r w:rsidRPr="00F35716">
        <w:t>, cesáreas y pruebas de laboratorio básicas</w:t>
      </w:r>
      <w:r w:rsidR="008B4EE5" w:rsidRPr="00F35716">
        <w:t>. También se</w:t>
      </w:r>
      <w:r w:rsidRPr="00F35716">
        <w:t xml:space="preserve"> garantiza el traslado </w:t>
      </w:r>
      <w:r w:rsidR="008B4EE5" w:rsidRPr="00F35716">
        <w:t>médico</w:t>
      </w:r>
      <w:r w:rsidRPr="00F35716">
        <w:t xml:space="preserve"> de mujeres embarazadas entre </w:t>
      </w:r>
      <w:r w:rsidR="008B4EE5" w:rsidRPr="00F35716">
        <w:t>distintos centros de salud</w:t>
      </w:r>
      <w:r w:rsidRPr="00F35716">
        <w:t>. A</w:t>
      </w:r>
      <w:r w:rsidR="00C7743B" w:rsidRPr="00F35716">
        <w:t>simismo,</w:t>
      </w:r>
      <w:r w:rsidRPr="00F35716">
        <w:t xml:space="preserve"> se brind</w:t>
      </w:r>
      <w:r w:rsidR="00BF63BF" w:rsidRPr="00F35716">
        <w:t>a</w:t>
      </w:r>
      <w:r w:rsidRPr="00F35716">
        <w:t xml:space="preserve"> apoyo a las unidades de asistencia médica para rescatar a mujeres embarazadas en zonas aisladas y con menos cobertura</w:t>
      </w:r>
      <w:r w:rsidR="00BF63BF" w:rsidRPr="00F35716">
        <w:t xml:space="preserve">. Se ha </w:t>
      </w:r>
      <w:r w:rsidRPr="00F35716">
        <w:t>mejor</w:t>
      </w:r>
      <w:r w:rsidR="00BF63BF" w:rsidRPr="00F35716">
        <w:t>ado</w:t>
      </w:r>
      <w:r w:rsidRPr="00F35716">
        <w:t xml:space="preserve"> la calidad de la atención para las complicaciones derivadas del embarazo</w:t>
      </w:r>
      <w:r w:rsidR="00BF63BF" w:rsidRPr="00F35716">
        <w:t>. Existe</w:t>
      </w:r>
      <w:r w:rsidRPr="00F35716">
        <w:t xml:space="preserve"> un programa de formación anual para médicos y obstetras en emergencias obstétricas. Además, se promulgó la Ley</w:t>
      </w:r>
      <w:r w:rsidR="00C7743B" w:rsidRPr="00F35716">
        <w:t> </w:t>
      </w:r>
      <w:r w:rsidRPr="00F35716">
        <w:t>núm. 44</w:t>
      </w:r>
      <w:r w:rsidR="00BF63BF" w:rsidRPr="00F35716">
        <w:t>-</w:t>
      </w:r>
      <w:r w:rsidRPr="00F35716">
        <w:t>13 con el objetivo de proteger la profesión de obstetra. Según los resultados de la Encuesta Nacional sobre Salud de la Población y la Familia de 2018, también han mejorado significativamente otros indicadores. Entre otras cosas:</w:t>
      </w:r>
    </w:p>
    <w:p w14:paraId="32E9454A" w14:textId="0E7E8ED2" w:rsidR="00EC3C86" w:rsidRPr="00F35716" w:rsidRDefault="00113CF1" w:rsidP="00113CF1">
      <w:pPr>
        <w:pStyle w:val="SingleTxt"/>
        <w:tabs>
          <w:tab w:val="right" w:pos="1685"/>
        </w:tabs>
        <w:ind w:left="1742" w:hanging="475"/>
      </w:pPr>
      <w:r w:rsidRPr="00F35716">
        <w:tab/>
        <w:t>–</w:t>
      </w:r>
      <w:r w:rsidRPr="00F35716">
        <w:tab/>
      </w:r>
      <w:r w:rsidR="00EC3C86" w:rsidRPr="00F35716">
        <w:t>En 2018</w:t>
      </w:r>
      <w:r w:rsidR="00BF63BF" w:rsidRPr="00F35716">
        <w:t>,</w:t>
      </w:r>
      <w:r w:rsidR="00EC3C86" w:rsidRPr="00F35716">
        <w:t xml:space="preserve"> más del 88,6</w:t>
      </w:r>
      <w:r w:rsidR="0006736D" w:rsidRPr="00F35716">
        <w:t> %</w:t>
      </w:r>
      <w:r w:rsidR="00EC3C86" w:rsidRPr="00F35716">
        <w:t xml:space="preserve"> de las mujeres embarazadas fueron atendidas por instituciones de salud, </w:t>
      </w:r>
      <w:r w:rsidR="00BF63BF" w:rsidRPr="00F35716">
        <w:t>frente a un</w:t>
      </w:r>
      <w:r w:rsidR="00EC3C86" w:rsidRPr="00F35716">
        <w:t xml:space="preserve"> 76</w:t>
      </w:r>
      <w:r w:rsidR="0006736D" w:rsidRPr="00F35716">
        <w:t> %</w:t>
      </w:r>
      <w:r w:rsidR="00EC3C86" w:rsidRPr="00F35716">
        <w:t xml:space="preserve"> e</w:t>
      </w:r>
      <w:r w:rsidR="00483D95" w:rsidRPr="00F35716">
        <w:t>n</w:t>
      </w:r>
      <w:r w:rsidR="00EC3C86" w:rsidRPr="00F35716">
        <w:t xml:space="preserve"> 2011.</w:t>
      </w:r>
    </w:p>
    <w:p w14:paraId="32E9454B" w14:textId="2B81DD5C" w:rsidR="00EC3C86" w:rsidRPr="00F35716" w:rsidRDefault="00113CF1" w:rsidP="00113CF1">
      <w:pPr>
        <w:pStyle w:val="SingleTxt"/>
        <w:tabs>
          <w:tab w:val="right" w:pos="1685"/>
        </w:tabs>
        <w:ind w:left="1742" w:hanging="475"/>
      </w:pPr>
      <w:r w:rsidRPr="00F35716">
        <w:tab/>
        <w:t>–</w:t>
      </w:r>
      <w:r w:rsidRPr="00F35716">
        <w:tab/>
      </w:r>
      <w:r w:rsidR="00EC3C86" w:rsidRPr="00F35716">
        <w:t>En 2018, más del 86</w:t>
      </w:r>
      <w:r w:rsidR="0006736D" w:rsidRPr="00F35716">
        <w:t> %</w:t>
      </w:r>
      <w:r w:rsidR="00EC3C86" w:rsidRPr="00F35716">
        <w:t xml:space="preserve"> de los nacimientos tuvieron lugar en instituciones de salud, </w:t>
      </w:r>
      <w:r w:rsidR="00BF63BF" w:rsidRPr="00F35716">
        <w:t>frente a un</w:t>
      </w:r>
      <w:r w:rsidR="00EC3C86" w:rsidRPr="00F35716">
        <w:t xml:space="preserve"> 73</w:t>
      </w:r>
      <w:r w:rsidR="0006736D" w:rsidRPr="00F35716">
        <w:t> %</w:t>
      </w:r>
      <w:r w:rsidR="00EC3C86" w:rsidRPr="00F35716">
        <w:t xml:space="preserve"> e</w:t>
      </w:r>
      <w:r w:rsidR="00BF63BF" w:rsidRPr="00F35716">
        <w:t>n</w:t>
      </w:r>
      <w:r w:rsidR="00EC3C86" w:rsidRPr="00F35716">
        <w:t xml:space="preserve"> 2011.</w:t>
      </w:r>
    </w:p>
    <w:p w14:paraId="32E9454C" w14:textId="31A2D23F" w:rsidR="00EC3C86" w:rsidRPr="00F35716" w:rsidRDefault="00EC3C86" w:rsidP="00B3192A">
      <w:pPr>
        <w:pStyle w:val="SingleTxt"/>
        <w:numPr>
          <w:ilvl w:val="0"/>
          <w:numId w:val="8"/>
        </w:numPr>
        <w:ind w:left="1267" w:firstLine="0"/>
      </w:pPr>
      <w:r w:rsidRPr="00F35716">
        <w:t xml:space="preserve">Para mejorar </w:t>
      </w:r>
      <w:r w:rsidR="00BF63BF" w:rsidRPr="00F35716">
        <w:t>las condiciones de</w:t>
      </w:r>
      <w:r w:rsidRPr="00F35716">
        <w:t xml:space="preserve"> maternidad, el Gobierno </w:t>
      </w:r>
      <w:r w:rsidR="00BF63BF" w:rsidRPr="00F35716">
        <w:t>ha seguido</w:t>
      </w:r>
      <w:r w:rsidRPr="00F35716">
        <w:t xml:space="preserve"> organizando campañas nacionales </w:t>
      </w:r>
      <w:r w:rsidR="00BF63BF" w:rsidRPr="00F35716">
        <w:t xml:space="preserve">destinadas </w:t>
      </w:r>
      <w:r w:rsidRPr="00F35716">
        <w:t xml:space="preserve">a motivar a las mujeres embarazadas </w:t>
      </w:r>
      <w:r w:rsidR="00BF63BF" w:rsidRPr="00F35716">
        <w:t>para que</w:t>
      </w:r>
      <w:r w:rsidRPr="00F35716">
        <w:t xml:space="preserve"> </w:t>
      </w:r>
      <w:r w:rsidR="00BF63BF" w:rsidRPr="00F35716">
        <w:t>recurran a</w:t>
      </w:r>
      <w:r w:rsidRPr="00F35716">
        <w:t xml:space="preserve"> los servicios de salud para el control del embarazo y el parto, especialmente a aquellas que se encuentran en zonas remotas. </w:t>
      </w:r>
      <w:r w:rsidR="00BF63BF" w:rsidRPr="00F35716">
        <w:t>E</w:t>
      </w:r>
      <w:r w:rsidRPr="00F35716">
        <w:t xml:space="preserve">l enfoque de la sección materna </w:t>
      </w:r>
      <w:r w:rsidR="00BF63BF" w:rsidRPr="00F35716">
        <w:t>se ha adoptado en e</w:t>
      </w:r>
      <w:r w:rsidRPr="00F35716">
        <w:t>l 60</w:t>
      </w:r>
      <w:r w:rsidR="0006736D" w:rsidRPr="00F35716">
        <w:t> %</w:t>
      </w:r>
      <w:r w:rsidRPr="00F35716">
        <w:t xml:space="preserve"> de las instituciones </w:t>
      </w:r>
      <w:r w:rsidR="00BF63BF" w:rsidRPr="00F35716">
        <w:t>pertinentes</w:t>
      </w:r>
      <w:r w:rsidRPr="00F35716">
        <w:t>.</w:t>
      </w:r>
    </w:p>
    <w:p w14:paraId="32E9454D" w14:textId="6F7EE038" w:rsidR="00EC3C86" w:rsidRPr="00F35716" w:rsidRDefault="00EC3C86" w:rsidP="00B3192A">
      <w:pPr>
        <w:pStyle w:val="SingleTxt"/>
        <w:numPr>
          <w:ilvl w:val="0"/>
          <w:numId w:val="8"/>
        </w:numPr>
        <w:ind w:left="1267" w:firstLine="0"/>
      </w:pPr>
      <w:r w:rsidRPr="00F35716">
        <w:t xml:space="preserve">En el marco del Plan Nacional para la Prevención y el Control del Cáncer </w:t>
      </w:r>
      <w:r w:rsidR="00EF53C3" w:rsidRPr="00F35716">
        <w:t>(</w:t>
      </w:r>
      <w:r w:rsidRPr="00F35716">
        <w:t>2010-2019</w:t>
      </w:r>
      <w:r w:rsidR="00EF53C3" w:rsidRPr="00F35716">
        <w:t>)</w:t>
      </w:r>
      <w:r w:rsidRPr="00F35716">
        <w:t xml:space="preserve">, se </w:t>
      </w:r>
      <w:r w:rsidR="00232220" w:rsidRPr="00F35716">
        <w:t xml:space="preserve">ha </w:t>
      </w:r>
      <w:r w:rsidR="00597B4F" w:rsidRPr="00F35716">
        <w:t>reforzado</w:t>
      </w:r>
      <w:r w:rsidRPr="00F35716">
        <w:t xml:space="preserve"> el proceso de seguimiento temprano del cáncer de mama y de cuello uterino. En 2017, más de 1.832.000 mujeres de entre 40 y 69 años </w:t>
      </w:r>
      <w:r w:rsidR="00597B4F" w:rsidRPr="00F35716">
        <w:t>recurrieron a</w:t>
      </w:r>
      <w:r w:rsidRPr="00F35716">
        <w:t xml:space="preserve"> servicios de detección temprana de</w:t>
      </w:r>
      <w:r w:rsidR="00597B4F" w:rsidRPr="00F35716">
        <w:t>l</w:t>
      </w:r>
      <w:r w:rsidRPr="00F35716">
        <w:t xml:space="preserve"> cáncer de mama. Se diagnosticaron más de 1.504 casos de cáncer de mama</w:t>
      </w:r>
      <w:r w:rsidR="00597B4F" w:rsidRPr="00F35716">
        <w:t>. Unas</w:t>
      </w:r>
      <w:r w:rsidRPr="00F35716">
        <w:t xml:space="preserve"> 920.000 mujeres se</w:t>
      </w:r>
      <w:r w:rsidR="00121651" w:rsidRPr="00F35716">
        <w:t> </w:t>
      </w:r>
      <w:r w:rsidR="00597B4F" w:rsidRPr="00F35716">
        <w:t>sometieron a exámenes de</w:t>
      </w:r>
      <w:r w:rsidRPr="00F35716">
        <w:t xml:space="preserve"> detección temprana, y en la campaña nacional de 2018 se diagnosticaron unos 133 casos de cáncer de mama. En 2018, más de 145.500</w:t>
      </w:r>
      <w:r w:rsidR="00BF2EDF" w:rsidRPr="00F35716">
        <w:t> </w:t>
      </w:r>
      <w:r w:rsidRPr="00F35716">
        <w:t>mujeres se beneficiaron de la detección temprana, se detectaron 455</w:t>
      </w:r>
      <w:r w:rsidR="00BF2EDF" w:rsidRPr="00F35716">
        <w:t> </w:t>
      </w:r>
      <w:r w:rsidRPr="00F35716">
        <w:t xml:space="preserve">lesiones precancerosas del cuello uterino y se diagnosticaron 23 casos de cáncer de cuello uterino. </w:t>
      </w:r>
    </w:p>
    <w:p w14:paraId="32E9454E" w14:textId="77777777" w:rsidR="00EC3C86" w:rsidRPr="00F35716" w:rsidRDefault="00EC3C86" w:rsidP="00B3192A">
      <w:pPr>
        <w:pStyle w:val="SingleTxt"/>
        <w:numPr>
          <w:ilvl w:val="0"/>
          <w:numId w:val="8"/>
        </w:numPr>
        <w:ind w:left="1267" w:firstLine="0"/>
      </w:pPr>
      <w:r w:rsidRPr="00F35716">
        <w:t xml:space="preserve">En el marco de la estrategia nacional para combatir las enfermedades de transmisión sexual curables, más de 350.000 mujeres fueron atendidas anualmente y se les detectó el VIH, especialmente mujeres en edad fértil y embarazadas, ya que </w:t>
      </w:r>
      <w:r w:rsidRPr="00F35716">
        <w:lastRenderedPageBreak/>
        <w:t>el</w:t>
      </w:r>
      <w:r w:rsidR="00121651" w:rsidRPr="00F35716">
        <w:t> </w:t>
      </w:r>
      <w:r w:rsidRPr="00F35716">
        <w:t>número de mujeres embarazadas que se beneficiaron del examen aumentó de 43.000 en 2012 a más de 120.000 en 2018.</w:t>
      </w:r>
    </w:p>
    <w:p w14:paraId="32E9454F" w14:textId="0A20E821" w:rsidR="00EC3C86" w:rsidRPr="00F35716" w:rsidRDefault="00EC3C86" w:rsidP="00B3192A">
      <w:pPr>
        <w:pStyle w:val="SingleTxt"/>
        <w:numPr>
          <w:ilvl w:val="0"/>
          <w:numId w:val="8"/>
        </w:numPr>
        <w:ind w:left="1267" w:firstLine="0"/>
      </w:pPr>
      <w:r w:rsidRPr="00F35716">
        <w:t xml:space="preserve">En el marco del plan nacional para eliminar la transmisión maternoinfantil del VIH y la sífilis congénita para 2020, se trabaja para educar a las mujeres en edad fértil sobre los riesgos que conlleva la transmisión del virus y las bacterias que causan la sífilis y evitar embarazos no deseados en mujeres seropositivas. </w:t>
      </w:r>
      <w:r w:rsidR="00F9510A" w:rsidRPr="00F35716">
        <w:t>Se ha puesto en marcha un</w:t>
      </w:r>
      <w:r w:rsidRPr="00F35716">
        <w:t xml:space="preserve"> programa </w:t>
      </w:r>
      <w:r w:rsidR="00F9510A" w:rsidRPr="00F35716">
        <w:t xml:space="preserve">para </w:t>
      </w:r>
      <w:r w:rsidRPr="00F35716">
        <w:t xml:space="preserve">prevenir la transmisión del </w:t>
      </w:r>
      <w:r w:rsidR="00F9510A" w:rsidRPr="00F35716">
        <w:t>VIH</w:t>
      </w:r>
      <w:r w:rsidRPr="00F35716">
        <w:t xml:space="preserve"> y de todas las </w:t>
      </w:r>
      <w:r w:rsidR="00F9510A" w:rsidRPr="00F35716">
        <w:t xml:space="preserve">enfermedades </w:t>
      </w:r>
      <w:r w:rsidRPr="00F35716">
        <w:t>de transmisión sexual de madre a hijo a través de la detección temprana</w:t>
      </w:r>
      <w:r w:rsidR="00F9510A" w:rsidRPr="00F35716">
        <w:t xml:space="preserve"> y</w:t>
      </w:r>
      <w:r w:rsidRPr="00F35716">
        <w:t xml:space="preserve"> el tratamiento para mujeres seropositivas. La proporción de mujeres embarazadas que viven con el VIH y han recibido la terapia triple aumentó del 12</w:t>
      </w:r>
      <w:r w:rsidR="0006736D" w:rsidRPr="00F35716">
        <w:t> %</w:t>
      </w:r>
      <w:r w:rsidRPr="00F35716">
        <w:t xml:space="preserve"> en 2007 al</w:t>
      </w:r>
      <w:r w:rsidR="0025023F" w:rsidRPr="00F35716">
        <w:t> </w:t>
      </w:r>
      <w:r w:rsidRPr="00F35716">
        <w:t>65</w:t>
      </w:r>
      <w:r w:rsidR="0006736D" w:rsidRPr="00F35716">
        <w:t> %</w:t>
      </w:r>
      <w:r w:rsidRPr="00F35716">
        <w:t xml:space="preserve"> en 2018.</w:t>
      </w:r>
    </w:p>
    <w:p w14:paraId="32E94550" w14:textId="5E163304" w:rsidR="00EC3C86" w:rsidRPr="00F35716" w:rsidRDefault="00EC3C86" w:rsidP="00B3192A">
      <w:pPr>
        <w:pStyle w:val="SingleTxt"/>
        <w:numPr>
          <w:ilvl w:val="0"/>
          <w:numId w:val="8"/>
        </w:numPr>
        <w:ind w:left="1267" w:firstLine="0"/>
      </w:pPr>
      <w:r w:rsidRPr="00F35716">
        <w:t xml:space="preserve">Se </w:t>
      </w:r>
      <w:r w:rsidR="003E51C2" w:rsidRPr="00F35716">
        <w:t>ha introducido el enfoque</w:t>
      </w:r>
      <w:r w:rsidRPr="00F35716">
        <w:t xml:space="preserve"> de género en los programas para el cuidado de personas con discapacidad. Gracias a ello, en 2016 68.450 mujeres y niñas recibieron </w:t>
      </w:r>
      <w:r w:rsidR="003E51C2" w:rsidRPr="00F35716">
        <w:t xml:space="preserve">clases de capacitación </w:t>
      </w:r>
      <w:r w:rsidRPr="00F35716">
        <w:t>médic</w:t>
      </w:r>
      <w:r w:rsidR="003E51C2" w:rsidRPr="00F35716">
        <w:t>a</w:t>
      </w:r>
      <w:r w:rsidRPr="00F35716">
        <w:t xml:space="preserve"> en diversas especialidades en centros regionales, frente a 62.161 e</w:t>
      </w:r>
      <w:r w:rsidR="003E51C2" w:rsidRPr="00F35716">
        <w:t>n</w:t>
      </w:r>
      <w:r w:rsidRPr="00F35716">
        <w:t xml:space="preserve"> 2012, lo que supone un incremento del 10</w:t>
      </w:r>
      <w:r w:rsidR="0006736D" w:rsidRPr="00F35716">
        <w:t> %</w:t>
      </w:r>
      <w:r w:rsidRPr="00F35716">
        <w:t>. En 2016 se implantaron extremidades artificiales (órtesis y prótesis) a 1.944 mujeres y niñas con discapacidad en los centros regionales. Este aumento del 199</w:t>
      </w:r>
      <w:r w:rsidR="0006736D" w:rsidRPr="00F35716">
        <w:t> %</w:t>
      </w:r>
      <w:r w:rsidRPr="00F35716">
        <w:t xml:space="preserve"> </w:t>
      </w:r>
      <w:r w:rsidR="003E51C2" w:rsidRPr="00F35716">
        <w:t>con respecto a</w:t>
      </w:r>
      <w:r w:rsidRPr="00F35716">
        <w:t xml:space="preserve"> las 650 pacientes de 2012 se debe a que el número de centros antes mencionados pasó de 12 en 2012 a 15 en 2016. También se preparó un plan nacional centrado en la salud de las personas con discapacidad</w:t>
      </w:r>
      <w:r w:rsidRPr="00F35716">
        <w:rPr>
          <w:vertAlign w:val="superscript"/>
        </w:rPr>
        <w:footnoteReference w:id="85"/>
      </w:r>
      <w:r w:rsidRPr="00F35716">
        <w:t xml:space="preserve"> para el período 2015-2021.</w:t>
      </w:r>
    </w:p>
    <w:p w14:paraId="32E94551" w14:textId="006C26FC" w:rsidR="00EC3C86" w:rsidRPr="00F35716" w:rsidRDefault="00EC3C86" w:rsidP="00132DAF">
      <w:pPr>
        <w:pStyle w:val="SingleTxt"/>
        <w:keepLines/>
        <w:numPr>
          <w:ilvl w:val="0"/>
          <w:numId w:val="8"/>
        </w:numPr>
        <w:ind w:left="1267" w:firstLine="0"/>
      </w:pPr>
      <w:r w:rsidRPr="00F35716">
        <w:t>En lo tocante al fortalecimiento de la</w:t>
      </w:r>
      <w:r w:rsidR="00106AD3" w:rsidRPr="00F35716">
        <w:t>s alianzas</w:t>
      </w:r>
      <w:r w:rsidRPr="00F35716">
        <w:t xml:space="preserve"> con los agentes locales, se </w:t>
      </w:r>
      <w:r w:rsidR="00106AD3" w:rsidRPr="00F35716">
        <w:t>realizaron experimentos</w:t>
      </w:r>
      <w:r w:rsidRPr="00F35716">
        <w:t xml:space="preserve"> en el ámbito de la participación comunitaria</w:t>
      </w:r>
      <w:r w:rsidR="00106AD3" w:rsidRPr="00F35716">
        <w:t>, como</w:t>
      </w:r>
      <w:r w:rsidRPr="00F35716">
        <w:t xml:space="preserve"> actividades </w:t>
      </w:r>
      <w:r w:rsidR="00106AD3" w:rsidRPr="00F35716">
        <w:t>para sensibilizar</w:t>
      </w:r>
      <w:r w:rsidRPr="00F35716">
        <w:t xml:space="preserve"> sobre </w:t>
      </w:r>
      <w:r w:rsidR="00106AD3" w:rsidRPr="00F35716">
        <w:t xml:space="preserve">importantes </w:t>
      </w:r>
      <w:r w:rsidRPr="00F35716">
        <w:t>problemas de salud</w:t>
      </w:r>
      <w:r w:rsidR="00106AD3" w:rsidRPr="00F35716">
        <w:t>. Los</w:t>
      </w:r>
      <w:r w:rsidRPr="00F35716">
        <w:t xml:space="preserve"> partos </w:t>
      </w:r>
      <w:r w:rsidR="00106AD3" w:rsidRPr="00F35716">
        <w:t xml:space="preserve">de </w:t>
      </w:r>
      <w:r w:rsidRPr="00F35716">
        <w:t>urgen</w:t>
      </w:r>
      <w:r w:rsidR="00106AD3" w:rsidRPr="00F35716">
        <w:t>cia se transfieren</w:t>
      </w:r>
      <w:r w:rsidRPr="00F35716">
        <w:t xml:space="preserve"> a los departamentos de salud apropiados a través del sistema de asistencia de emergencia para madres y recién nacidos, habilitados en 31 lugares</w:t>
      </w:r>
      <w:r w:rsidR="00106AD3" w:rsidRPr="00F35716">
        <w:t>.</w:t>
      </w:r>
      <w:r w:rsidRPr="00F35716">
        <w:t xml:space="preserve"> </w:t>
      </w:r>
      <w:r w:rsidR="00106AD3" w:rsidRPr="00F35716">
        <w:t>Se han acercado</w:t>
      </w:r>
      <w:r w:rsidRPr="00F35716">
        <w:t xml:space="preserve"> los servicios de salud a la población de zonas remotas</w:t>
      </w:r>
      <w:r w:rsidR="00106AD3" w:rsidRPr="00F35716">
        <w:t xml:space="preserve"> (ahora</w:t>
      </w:r>
      <w:r w:rsidRPr="00F35716">
        <w:t xml:space="preserve"> hay aproximadamente 30 matern</w:t>
      </w:r>
      <w:r w:rsidR="00106AD3" w:rsidRPr="00F35716">
        <w:t>idades)</w:t>
      </w:r>
      <w:r w:rsidRPr="00F35716">
        <w:t>.</w:t>
      </w:r>
      <w:r w:rsidR="00BD7E71" w:rsidRPr="00F35716">
        <w:t xml:space="preserve"> </w:t>
      </w:r>
      <w:r w:rsidRPr="00F35716">
        <w:t xml:space="preserve">La sociedad civil </w:t>
      </w:r>
      <w:r w:rsidR="00106AD3" w:rsidRPr="00F35716">
        <w:t xml:space="preserve">ha </w:t>
      </w:r>
      <w:r w:rsidRPr="00F35716">
        <w:t>participa</w:t>
      </w:r>
      <w:r w:rsidR="00106AD3" w:rsidRPr="00F35716">
        <w:t>do</w:t>
      </w:r>
      <w:r w:rsidRPr="00F35716">
        <w:t xml:space="preserve"> en la elaboración de proyectos y programas para promover la salud materna</w:t>
      </w:r>
      <w:r w:rsidR="00106AD3" w:rsidRPr="00F35716">
        <w:t>. Estos</w:t>
      </w:r>
      <w:r w:rsidRPr="00F35716">
        <w:t xml:space="preserve"> se enfocan en las zonas rurales a través de la expansión del concepto de matern</w:t>
      </w:r>
      <w:r w:rsidR="00106AD3" w:rsidRPr="00F35716">
        <w:t>idad</w:t>
      </w:r>
      <w:r w:rsidRPr="00F35716">
        <w:t xml:space="preserve"> y </w:t>
      </w:r>
      <w:r w:rsidR="00341C5C" w:rsidRPr="00F35716">
        <w:t>fomentan</w:t>
      </w:r>
      <w:r w:rsidRPr="00F35716">
        <w:t xml:space="preserve"> la educación parental </w:t>
      </w:r>
      <w:r w:rsidR="00341C5C" w:rsidRPr="00F35716">
        <w:t>involucrando a</w:t>
      </w:r>
      <w:r w:rsidRPr="00F35716">
        <w:t xml:space="preserve"> agentes de desarrollo local </w:t>
      </w:r>
      <w:r w:rsidR="00341C5C" w:rsidRPr="00F35716">
        <w:t xml:space="preserve">para que promuevan la atención </w:t>
      </w:r>
      <w:r w:rsidRPr="00F35716">
        <w:t xml:space="preserve">del parto en centros sanitarios. En 2018 se firmaron 20 acuerdos de asociación con diversos </w:t>
      </w:r>
      <w:r w:rsidR="00341C5C" w:rsidRPr="00F35716">
        <w:t>agentes</w:t>
      </w:r>
      <w:r w:rsidRPr="00F35716">
        <w:t>, incluidos 9 acuerdos con asociaciones de salud.</w:t>
      </w:r>
    </w:p>
    <w:p w14:paraId="32E94552" w14:textId="77777777" w:rsidR="00D84BB6" w:rsidRPr="00F35716" w:rsidRDefault="00D84BB6" w:rsidP="00D84BB6">
      <w:pPr>
        <w:pStyle w:val="SingleTxt"/>
        <w:spacing w:after="0" w:line="120" w:lineRule="exact"/>
        <w:rPr>
          <w:sz w:val="10"/>
          <w:szCs w:val="20"/>
        </w:rPr>
      </w:pPr>
    </w:p>
    <w:p w14:paraId="32E94553" w14:textId="77777777" w:rsidR="00EC3C86" w:rsidRPr="00F35716" w:rsidRDefault="00DC7516"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Cs w:val="0"/>
          <w:szCs w:val="20"/>
        </w:rPr>
        <w:t>Artículo 13</w:t>
      </w:r>
      <w:bookmarkStart w:id="50" w:name="_Toc24015483"/>
      <w:bookmarkStart w:id="51" w:name="_Toc24100789"/>
      <w:bookmarkStart w:id="52" w:name="_Toc24548863"/>
      <w:bookmarkStart w:id="53" w:name="_Toc28165905"/>
      <w:bookmarkEnd w:id="50"/>
      <w:bookmarkEnd w:id="51"/>
      <w:bookmarkEnd w:id="52"/>
      <w:bookmarkEnd w:id="53"/>
    </w:p>
    <w:p w14:paraId="32E94554" w14:textId="77777777" w:rsidR="00D84BB6" w:rsidRPr="00F35716" w:rsidRDefault="00D84BB6" w:rsidP="00D84BB6">
      <w:pPr>
        <w:pStyle w:val="SingleTxt"/>
        <w:spacing w:after="0" w:line="120" w:lineRule="exact"/>
        <w:rPr>
          <w:sz w:val="10"/>
          <w:szCs w:val="20"/>
        </w:rPr>
      </w:pPr>
    </w:p>
    <w:p w14:paraId="32E94555" w14:textId="50204805" w:rsidR="00EC3C86" w:rsidRPr="00F35716" w:rsidRDefault="00EC3C86" w:rsidP="00B3192A">
      <w:pPr>
        <w:pStyle w:val="SingleTxt"/>
        <w:numPr>
          <w:ilvl w:val="0"/>
          <w:numId w:val="8"/>
        </w:numPr>
        <w:ind w:left="1267" w:firstLine="0"/>
      </w:pPr>
      <w:r w:rsidRPr="00F35716">
        <w:t>Las condiciones de vida de las familias encabezadas por mujeres han mejorado</w:t>
      </w:r>
      <w:r w:rsidR="00341C5C" w:rsidRPr="00F35716">
        <w:t xml:space="preserve">, lo que </w:t>
      </w:r>
      <w:r w:rsidR="00CA1443" w:rsidRPr="00F35716">
        <w:t>ha quedado</w:t>
      </w:r>
      <w:r w:rsidR="00F53D0C" w:rsidRPr="00F35716">
        <w:t xml:space="preserve"> reflejado en</w:t>
      </w:r>
      <w:r w:rsidRPr="00F35716">
        <w:t xml:space="preserve"> la disminución de la pobreza y la fragilidad </w:t>
      </w:r>
      <w:r w:rsidR="00F53D0C" w:rsidRPr="00F35716">
        <w:t xml:space="preserve">registrada </w:t>
      </w:r>
      <w:r w:rsidRPr="00F35716">
        <w:t>entre 2007 y 2014:</w:t>
      </w:r>
    </w:p>
    <w:p w14:paraId="32E94556" w14:textId="77777777" w:rsidR="00D84BB6" w:rsidRPr="00F35716" w:rsidRDefault="00D84BB6" w:rsidP="00D84BB6">
      <w:pPr>
        <w:pStyle w:val="SingleTxt"/>
        <w:spacing w:after="0" w:line="120" w:lineRule="exact"/>
        <w:rPr>
          <w:sz w:val="10"/>
          <w:szCs w:val="20"/>
        </w:rPr>
      </w:pPr>
    </w:p>
    <w:p w14:paraId="606BEDBA" w14:textId="77777777" w:rsidR="00075FA3" w:rsidRDefault="00075FA3">
      <w:pPr>
        <w:suppressAutoHyphens w:val="0"/>
        <w:spacing w:line="240" w:lineRule="auto"/>
        <w:rPr>
          <w:b/>
          <w:spacing w:val="2"/>
          <w:kern w:val="14"/>
          <w:szCs w:val="20"/>
        </w:rPr>
      </w:pPr>
      <w:r>
        <w:rPr>
          <w:bCs/>
          <w:szCs w:val="20"/>
        </w:rPr>
        <w:br w:type="page"/>
      </w:r>
    </w:p>
    <w:p w14:paraId="32E94557" w14:textId="7799C01C" w:rsidR="00EC3C86" w:rsidRPr="00F35716" w:rsidRDefault="00735173"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lastRenderedPageBreak/>
        <w:tab/>
      </w:r>
      <w:r w:rsidRPr="00F35716">
        <w:rPr>
          <w:bCs w:val="0"/>
          <w:szCs w:val="20"/>
        </w:rPr>
        <w:tab/>
      </w:r>
      <w:r w:rsidR="00EC3C86" w:rsidRPr="00F35716">
        <w:rPr>
          <w:b w:val="0"/>
          <w:bCs w:val="0"/>
          <w:szCs w:val="20"/>
        </w:rPr>
        <w:t xml:space="preserve">Tabla 14: </w:t>
      </w:r>
      <w:r w:rsidRPr="00F35716">
        <w:rPr>
          <w:b w:val="0"/>
          <w:bCs w:val="0"/>
          <w:szCs w:val="20"/>
        </w:rPr>
        <w:br/>
      </w:r>
      <w:r w:rsidR="00EC3C86" w:rsidRPr="00F35716">
        <w:rPr>
          <w:bCs w:val="0"/>
          <w:szCs w:val="20"/>
        </w:rPr>
        <w:t>Tasa de pobreza entre las mujeres</w:t>
      </w:r>
    </w:p>
    <w:p w14:paraId="32E94558" w14:textId="77777777" w:rsidR="00735173" w:rsidRPr="00F35716" w:rsidRDefault="00735173" w:rsidP="00D84BB6">
      <w:pPr>
        <w:pStyle w:val="SingleTxt"/>
        <w:spacing w:after="0" w:line="120" w:lineRule="exact"/>
        <w:rPr>
          <w:sz w:val="10"/>
          <w:szCs w:val="20"/>
        </w:rPr>
      </w:pPr>
    </w:p>
    <w:tbl>
      <w:tblPr>
        <w:tblW w:w="8554" w:type="dxa"/>
        <w:tblInd w:w="1267" w:type="dxa"/>
        <w:tblLayout w:type="fixed"/>
        <w:tblCellMar>
          <w:left w:w="0" w:type="dxa"/>
          <w:right w:w="43" w:type="dxa"/>
        </w:tblCellMar>
        <w:tblLook w:val="04A0" w:firstRow="1" w:lastRow="0" w:firstColumn="1" w:lastColumn="0" w:noHBand="0" w:noVBand="1"/>
      </w:tblPr>
      <w:tblGrid>
        <w:gridCol w:w="2232"/>
        <w:gridCol w:w="1050"/>
        <w:gridCol w:w="1049"/>
        <w:gridCol w:w="1049"/>
        <w:gridCol w:w="1049"/>
        <w:gridCol w:w="1049"/>
        <w:gridCol w:w="1076"/>
      </w:tblGrid>
      <w:tr w:rsidR="00EC3C86" w:rsidRPr="00F35716" w14:paraId="32E9455D" w14:textId="77777777" w:rsidTr="00285CF2">
        <w:trPr>
          <w:trHeight w:val="170"/>
          <w:tblHeader/>
        </w:trPr>
        <w:tc>
          <w:tcPr>
            <w:tcW w:w="2232" w:type="dxa"/>
            <w:vMerge w:val="restart"/>
            <w:tcBorders>
              <w:top w:val="single" w:sz="4" w:space="0" w:color="auto"/>
            </w:tcBorders>
            <w:shd w:val="clear" w:color="auto" w:fill="auto"/>
            <w:vAlign w:val="bottom"/>
          </w:tcPr>
          <w:p w14:paraId="32E94559" w14:textId="0177C3AF" w:rsidR="00EC3C86" w:rsidRPr="00F35716" w:rsidRDefault="00EC3C86" w:rsidP="00DA66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r w:rsidRPr="00F35716">
              <w:rPr>
                <w:i/>
                <w:iCs/>
                <w:kern w:val="0"/>
                <w:sz w:val="14"/>
                <w:szCs w:val="14"/>
              </w:rPr>
              <w:t>Tasa de pobreza y vulnerabilidad entre las mujeres (</w:t>
            </w:r>
            <w:r w:rsidR="00CA1443" w:rsidRPr="00F35716">
              <w:rPr>
                <w:i/>
                <w:iCs/>
                <w:kern w:val="0"/>
                <w:sz w:val="14"/>
                <w:szCs w:val="14"/>
              </w:rPr>
              <w:t>cabeza de familia</w:t>
            </w:r>
            <w:r w:rsidRPr="00F35716">
              <w:rPr>
                <w:i/>
                <w:iCs/>
                <w:kern w:val="0"/>
                <w:sz w:val="14"/>
                <w:szCs w:val="14"/>
              </w:rPr>
              <w:t>)</w:t>
            </w:r>
          </w:p>
        </w:tc>
        <w:tc>
          <w:tcPr>
            <w:tcW w:w="2099" w:type="dxa"/>
            <w:gridSpan w:val="2"/>
            <w:tcBorders>
              <w:top w:val="single" w:sz="4" w:space="0" w:color="auto"/>
              <w:bottom w:val="single" w:sz="4" w:space="0" w:color="auto"/>
            </w:tcBorders>
            <w:shd w:val="clear" w:color="auto" w:fill="auto"/>
            <w:vAlign w:val="bottom"/>
          </w:tcPr>
          <w:p w14:paraId="32E9455A" w14:textId="77777777" w:rsidR="00EC3C86" w:rsidRPr="00F35716" w:rsidRDefault="00EC3C86" w:rsidP="00DA66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center"/>
              <w:rPr>
                <w:i/>
                <w:iCs/>
                <w:kern w:val="0"/>
                <w:sz w:val="14"/>
                <w:szCs w:val="14"/>
              </w:rPr>
            </w:pPr>
            <w:r w:rsidRPr="00F35716">
              <w:rPr>
                <w:i/>
                <w:iCs/>
                <w:kern w:val="0"/>
                <w:sz w:val="14"/>
                <w:szCs w:val="14"/>
              </w:rPr>
              <w:t>Rural</w:t>
            </w:r>
          </w:p>
        </w:tc>
        <w:tc>
          <w:tcPr>
            <w:tcW w:w="2098" w:type="dxa"/>
            <w:gridSpan w:val="2"/>
            <w:tcBorders>
              <w:top w:val="single" w:sz="4" w:space="0" w:color="auto"/>
              <w:bottom w:val="single" w:sz="4" w:space="0" w:color="auto"/>
            </w:tcBorders>
            <w:shd w:val="clear" w:color="auto" w:fill="auto"/>
            <w:vAlign w:val="bottom"/>
          </w:tcPr>
          <w:p w14:paraId="32E9455B" w14:textId="77777777" w:rsidR="00EC3C86" w:rsidRPr="00F35716" w:rsidRDefault="00EC3C86" w:rsidP="00DA66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30"/>
              </w:tabs>
              <w:spacing w:before="80" w:after="80" w:line="160" w:lineRule="exact"/>
              <w:ind w:left="0" w:right="0"/>
              <w:jc w:val="center"/>
              <w:rPr>
                <w:i/>
                <w:iCs/>
                <w:kern w:val="0"/>
                <w:sz w:val="14"/>
                <w:szCs w:val="14"/>
              </w:rPr>
            </w:pPr>
            <w:r w:rsidRPr="00F35716">
              <w:rPr>
                <w:i/>
                <w:iCs/>
                <w:kern w:val="0"/>
                <w:sz w:val="14"/>
                <w:szCs w:val="14"/>
              </w:rPr>
              <w:t>Urbano</w:t>
            </w:r>
          </w:p>
        </w:tc>
        <w:tc>
          <w:tcPr>
            <w:tcW w:w="2125" w:type="dxa"/>
            <w:gridSpan w:val="2"/>
            <w:tcBorders>
              <w:top w:val="single" w:sz="4" w:space="0" w:color="auto"/>
              <w:bottom w:val="single" w:sz="4" w:space="0" w:color="auto"/>
            </w:tcBorders>
            <w:shd w:val="clear" w:color="auto" w:fill="auto"/>
            <w:vAlign w:val="bottom"/>
          </w:tcPr>
          <w:p w14:paraId="32E9455C" w14:textId="77777777" w:rsidR="00EC3C86" w:rsidRPr="00F35716" w:rsidRDefault="00EC3C86" w:rsidP="00DA66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center"/>
              <w:rPr>
                <w:i/>
                <w:iCs/>
                <w:kern w:val="0"/>
                <w:sz w:val="14"/>
                <w:szCs w:val="14"/>
              </w:rPr>
            </w:pPr>
            <w:r w:rsidRPr="00F35716">
              <w:rPr>
                <w:i/>
                <w:iCs/>
                <w:kern w:val="0"/>
                <w:sz w:val="14"/>
                <w:szCs w:val="14"/>
              </w:rPr>
              <w:t>Total</w:t>
            </w:r>
          </w:p>
        </w:tc>
      </w:tr>
      <w:tr w:rsidR="00285CF2" w:rsidRPr="00F35716" w14:paraId="32E94565" w14:textId="77777777" w:rsidTr="00285CF2">
        <w:trPr>
          <w:trHeight w:val="107"/>
          <w:tblHeader/>
        </w:trPr>
        <w:tc>
          <w:tcPr>
            <w:tcW w:w="2232" w:type="dxa"/>
            <w:vMerge/>
            <w:tcBorders>
              <w:bottom w:val="single" w:sz="12" w:space="0" w:color="auto"/>
            </w:tcBorders>
            <w:shd w:val="clear" w:color="auto" w:fill="auto"/>
          </w:tcPr>
          <w:p w14:paraId="32E9455E" w14:textId="77777777" w:rsidR="00EC3C86" w:rsidRPr="00F35716" w:rsidRDefault="00EC3C86" w:rsidP="00DA66C1">
            <w:pPr>
              <w:bidi/>
              <w:spacing w:line="276" w:lineRule="auto"/>
              <w:jc w:val="both"/>
              <w:rPr>
                <w:szCs w:val="20"/>
                <w:rtl/>
                <w:lang w:eastAsia="fr-FR" w:bidi="ar-MA"/>
              </w:rPr>
            </w:pPr>
          </w:p>
        </w:tc>
        <w:tc>
          <w:tcPr>
            <w:tcW w:w="1050" w:type="dxa"/>
            <w:tcBorders>
              <w:top w:val="single" w:sz="4" w:space="0" w:color="auto"/>
              <w:bottom w:val="single" w:sz="12" w:space="0" w:color="auto"/>
            </w:tcBorders>
            <w:shd w:val="clear" w:color="auto" w:fill="auto"/>
            <w:vAlign w:val="bottom"/>
          </w:tcPr>
          <w:p w14:paraId="32E9455F" w14:textId="77777777" w:rsidR="00EC3C86" w:rsidRPr="00F35716" w:rsidRDefault="00EC3C86" w:rsidP="00DA66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2007</w:t>
            </w:r>
          </w:p>
        </w:tc>
        <w:tc>
          <w:tcPr>
            <w:tcW w:w="1049" w:type="dxa"/>
            <w:tcBorders>
              <w:top w:val="single" w:sz="4" w:space="0" w:color="auto"/>
              <w:bottom w:val="single" w:sz="12" w:space="0" w:color="auto"/>
            </w:tcBorders>
            <w:shd w:val="clear" w:color="auto" w:fill="auto"/>
            <w:vAlign w:val="bottom"/>
          </w:tcPr>
          <w:p w14:paraId="32E94560" w14:textId="77777777" w:rsidR="00EC3C86" w:rsidRPr="00F35716" w:rsidRDefault="00EC3C86" w:rsidP="00DA66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2014</w:t>
            </w:r>
          </w:p>
        </w:tc>
        <w:tc>
          <w:tcPr>
            <w:tcW w:w="1049" w:type="dxa"/>
            <w:tcBorders>
              <w:top w:val="single" w:sz="4" w:space="0" w:color="auto"/>
              <w:bottom w:val="single" w:sz="12" w:space="0" w:color="auto"/>
            </w:tcBorders>
            <w:shd w:val="clear" w:color="auto" w:fill="auto"/>
            <w:vAlign w:val="bottom"/>
          </w:tcPr>
          <w:p w14:paraId="32E94561" w14:textId="77777777" w:rsidR="00EC3C86" w:rsidRPr="00F35716" w:rsidRDefault="00EC3C86" w:rsidP="00DA66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2007</w:t>
            </w:r>
          </w:p>
        </w:tc>
        <w:tc>
          <w:tcPr>
            <w:tcW w:w="1049" w:type="dxa"/>
            <w:tcBorders>
              <w:top w:val="single" w:sz="4" w:space="0" w:color="auto"/>
              <w:bottom w:val="single" w:sz="12" w:space="0" w:color="auto"/>
            </w:tcBorders>
            <w:shd w:val="clear" w:color="auto" w:fill="auto"/>
            <w:vAlign w:val="bottom"/>
          </w:tcPr>
          <w:p w14:paraId="32E94562" w14:textId="77777777" w:rsidR="00EC3C86" w:rsidRPr="00F35716" w:rsidRDefault="00EC3C86" w:rsidP="00DA66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2014</w:t>
            </w:r>
          </w:p>
        </w:tc>
        <w:tc>
          <w:tcPr>
            <w:tcW w:w="1049" w:type="dxa"/>
            <w:tcBorders>
              <w:top w:val="single" w:sz="4" w:space="0" w:color="auto"/>
              <w:bottom w:val="single" w:sz="12" w:space="0" w:color="auto"/>
            </w:tcBorders>
            <w:shd w:val="clear" w:color="auto" w:fill="auto"/>
            <w:vAlign w:val="bottom"/>
          </w:tcPr>
          <w:p w14:paraId="32E94563" w14:textId="77777777" w:rsidR="00EC3C86" w:rsidRPr="00F35716" w:rsidRDefault="00EC3C86" w:rsidP="00DA66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2007</w:t>
            </w:r>
          </w:p>
        </w:tc>
        <w:tc>
          <w:tcPr>
            <w:tcW w:w="1076" w:type="dxa"/>
            <w:tcBorders>
              <w:top w:val="single" w:sz="4" w:space="0" w:color="auto"/>
              <w:bottom w:val="single" w:sz="12" w:space="0" w:color="auto"/>
            </w:tcBorders>
            <w:shd w:val="clear" w:color="auto" w:fill="auto"/>
            <w:vAlign w:val="bottom"/>
          </w:tcPr>
          <w:p w14:paraId="32E94564" w14:textId="77777777" w:rsidR="00EC3C86" w:rsidRPr="00F35716" w:rsidRDefault="00EC3C86" w:rsidP="00DA66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2014</w:t>
            </w:r>
          </w:p>
        </w:tc>
      </w:tr>
      <w:tr w:rsidR="00DA66C1" w:rsidRPr="00F35716" w14:paraId="32E9456D" w14:textId="77777777" w:rsidTr="00DA66C1">
        <w:trPr>
          <w:trHeight w:hRule="exact" w:val="115"/>
          <w:tblHeader/>
        </w:trPr>
        <w:tc>
          <w:tcPr>
            <w:tcW w:w="2232" w:type="dxa"/>
            <w:tcBorders>
              <w:top w:val="single" w:sz="12" w:space="0" w:color="auto"/>
            </w:tcBorders>
            <w:shd w:val="clear" w:color="auto" w:fill="auto"/>
          </w:tcPr>
          <w:p w14:paraId="32E94566" w14:textId="77777777" w:rsidR="00DA66C1" w:rsidRPr="00F35716" w:rsidRDefault="00DA66C1" w:rsidP="00586E9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tl/>
              </w:rPr>
            </w:pPr>
          </w:p>
        </w:tc>
        <w:tc>
          <w:tcPr>
            <w:tcW w:w="1050" w:type="dxa"/>
            <w:tcBorders>
              <w:top w:val="single" w:sz="12" w:space="0" w:color="auto"/>
            </w:tcBorders>
            <w:shd w:val="clear" w:color="auto" w:fill="auto"/>
          </w:tcPr>
          <w:p w14:paraId="32E94567" w14:textId="77777777" w:rsidR="00DA66C1" w:rsidRPr="00F35716" w:rsidRDefault="00DA66C1" w:rsidP="00DA66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1049" w:type="dxa"/>
            <w:tcBorders>
              <w:top w:val="single" w:sz="12" w:space="0" w:color="auto"/>
            </w:tcBorders>
            <w:shd w:val="clear" w:color="auto" w:fill="auto"/>
          </w:tcPr>
          <w:p w14:paraId="32E94568" w14:textId="77777777" w:rsidR="00DA66C1" w:rsidRPr="00F35716" w:rsidRDefault="00DA66C1" w:rsidP="00DA66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1049" w:type="dxa"/>
            <w:tcBorders>
              <w:top w:val="single" w:sz="12" w:space="0" w:color="auto"/>
            </w:tcBorders>
            <w:shd w:val="clear" w:color="auto" w:fill="auto"/>
          </w:tcPr>
          <w:p w14:paraId="32E94569" w14:textId="77777777" w:rsidR="00DA66C1" w:rsidRPr="00F35716" w:rsidRDefault="00DA66C1" w:rsidP="00DA66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1049" w:type="dxa"/>
            <w:tcBorders>
              <w:top w:val="single" w:sz="12" w:space="0" w:color="auto"/>
            </w:tcBorders>
            <w:shd w:val="clear" w:color="auto" w:fill="auto"/>
          </w:tcPr>
          <w:p w14:paraId="32E9456A" w14:textId="77777777" w:rsidR="00DA66C1" w:rsidRPr="00F35716" w:rsidRDefault="00DA66C1" w:rsidP="00DA66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1049" w:type="dxa"/>
            <w:tcBorders>
              <w:top w:val="single" w:sz="12" w:space="0" w:color="auto"/>
            </w:tcBorders>
            <w:shd w:val="clear" w:color="auto" w:fill="auto"/>
          </w:tcPr>
          <w:p w14:paraId="32E9456B" w14:textId="77777777" w:rsidR="00DA66C1" w:rsidRPr="00F35716" w:rsidRDefault="00DA66C1" w:rsidP="00DA66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1076" w:type="dxa"/>
            <w:tcBorders>
              <w:top w:val="single" w:sz="12" w:space="0" w:color="auto"/>
            </w:tcBorders>
            <w:shd w:val="clear" w:color="auto" w:fill="auto"/>
          </w:tcPr>
          <w:p w14:paraId="32E9456C" w14:textId="77777777" w:rsidR="00DA66C1" w:rsidRPr="00F35716" w:rsidRDefault="00DA66C1" w:rsidP="00DA66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r>
      <w:tr w:rsidR="00EC3C86" w:rsidRPr="00F35716" w14:paraId="32E94575" w14:textId="77777777" w:rsidTr="00285CF2">
        <w:trPr>
          <w:trHeight w:val="117"/>
        </w:trPr>
        <w:tc>
          <w:tcPr>
            <w:tcW w:w="2232" w:type="dxa"/>
            <w:shd w:val="clear" w:color="auto" w:fill="auto"/>
            <w:vAlign w:val="bottom"/>
          </w:tcPr>
          <w:p w14:paraId="32E9456E" w14:textId="77777777" w:rsidR="00EC3C86" w:rsidRPr="00F35716" w:rsidRDefault="00EC3C86" w:rsidP="00DA66C1">
            <w:pPr>
              <w:spacing w:before="40" w:after="80" w:line="210" w:lineRule="exact"/>
              <w:rPr>
                <w:bCs/>
                <w:sz w:val="17"/>
                <w:szCs w:val="17"/>
              </w:rPr>
            </w:pPr>
            <w:r w:rsidRPr="00F35716">
              <w:rPr>
                <w:bCs/>
                <w:sz w:val="17"/>
                <w:szCs w:val="17"/>
              </w:rPr>
              <w:t xml:space="preserve">Pobreza de ingresos </w:t>
            </w:r>
          </w:p>
        </w:tc>
        <w:tc>
          <w:tcPr>
            <w:tcW w:w="1050" w:type="dxa"/>
            <w:shd w:val="clear" w:color="auto" w:fill="auto"/>
            <w:vAlign w:val="bottom"/>
          </w:tcPr>
          <w:p w14:paraId="32E9456F" w14:textId="77777777" w:rsidR="00EC3C86" w:rsidRPr="00F35716" w:rsidRDefault="00EC3C86" w:rsidP="00DA66C1">
            <w:pPr>
              <w:spacing w:before="40" w:after="80" w:line="210" w:lineRule="exact"/>
              <w:jc w:val="right"/>
              <w:rPr>
                <w:bCs/>
                <w:sz w:val="17"/>
                <w:szCs w:val="17"/>
                <w:u w:val="single"/>
              </w:rPr>
            </w:pPr>
            <w:r w:rsidRPr="00F35716">
              <w:rPr>
                <w:bCs/>
                <w:sz w:val="17"/>
                <w:szCs w:val="17"/>
                <w:u w:val="single"/>
              </w:rPr>
              <w:t>15,1</w:t>
            </w:r>
          </w:p>
        </w:tc>
        <w:tc>
          <w:tcPr>
            <w:tcW w:w="1049" w:type="dxa"/>
            <w:shd w:val="clear" w:color="auto" w:fill="auto"/>
            <w:vAlign w:val="bottom"/>
          </w:tcPr>
          <w:p w14:paraId="32E94570" w14:textId="77777777" w:rsidR="00EC3C86" w:rsidRPr="00F35716" w:rsidRDefault="00EC3C86" w:rsidP="00DA66C1">
            <w:pPr>
              <w:spacing w:before="40" w:after="80" w:line="210" w:lineRule="exact"/>
              <w:jc w:val="right"/>
              <w:rPr>
                <w:bCs/>
                <w:sz w:val="17"/>
                <w:szCs w:val="17"/>
                <w:u w:val="single"/>
              </w:rPr>
            </w:pPr>
            <w:r w:rsidRPr="00F35716">
              <w:rPr>
                <w:bCs/>
                <w:sz w:val="17"/>
                <w:szCs w:val="17"/>
                <w:u w:val="single"/>
              </w:rPr>
              <w:t>9,6</w:t>
            </w:r>
          </w:p>
        </w:tc>
        <w:tc>
          <w:tcPr>
            <w:tcW w:w="1049" w:type="dxa"/>
            <w:shd w:val="clear" w:color="auto" w:fill="auto"/>
            <w:vAlign w:val="bottom"/>
          </w:tcPr>
          <w:p w14:paraId="32E94571" w14:textId="77777777" w:rsidR="00EC3C86" w:rsidRPr="00F35716" w:rsidRDefault="00EC3C86" w:rsidP="00DA66C1">
            <w:pPr>
              <w:spacing w:before="40" w:after="80" w:line="210" w:lineRule="exact"/>
              <w:jc w:val="right"/>
              <w:rPr>
                <w:bCs/>
                <w:sz w:val="17"/>
                <w:szCs w:val="17"/>
                <w:u w:val="single"/>
              </w:rPr>
            </w:pPr>
            <w:r w:rsidRPr="00F35716">
              <w:rPr>
                <w:bCs/>
                <w:sz w:val="17"/>
                <w:szCs w:val="17"/>
                <w:u w:val="single"/>
              </w:rPr>
              <w:t>4</w:t>
            </w:r>
          </w:p>
        </w:tc>
        <w:tc>
          <w:tcPr>
            <w:tcW w:w="1049" w:type="dxa"/>
            <w:shd w:val="clear" w:color="auto" w:fill="auto"/>
            <w:vAlign w:val="bottom"/>
          </w:tcPr>
          <w:p w14:paraId="32E94572" w14:textId="77777777" w:rsidR="00EC3C86" w:rsidRPr="00F35716" w:rsidRDefault="00EC3C86" w:rsidP="00DA66C1">
            <w:pPr>
              <w:spacing w:before="40" w:after="80" w:line="210" w:lineRule="exact"/>
              <w:jc w:val="right"/>
              <w:rPr>
                <w:bCs/>
                <w:sz w:val="17"/>
                <w:szCs w:val="17"/>
                <w:u w:val="single"/>
              </w:rPr>
            </w:pPr>
            <w:r w:rsidRPr="00F35716">
              <w:rPr>
                <w:bCs/>
                <w:sz w:val="17"/>
                <w:szCs w:val="17"/>
                <w:u w:val="single"/>
              </w:rPr>
              <w:t>1,9</w:t>
            </w:r>
          </w:p>
        </w:tc>
        <w:tc>
          <w:tcPr>
            <w:tcW w:w="1049" w:type="dxa"/>
            <w:shd w:val="clear" w:color="auto" w:fill="auto"/>
            <w:vAlign w:val="bottom"/>
          </w:tcPr>
          <w:p w14:paraId="32E94573" w14:textId="77777777" w:rsidR="00EC3C86" w:rsidRPr="00F35716" w:rsidRDefault="00EC3C86" w:rsidP="00DA66C1">
            <w:pPr>
              <w:spacing w:before="40" w:after="80" w:line="210" w:lineRule="exact"/>
              <w:jc w:val="right"/>
              <w:rPr>
                <w:bCs/>
                <w:sz w:val="17"/>
                <w:szCs w:val="17"/>
                <w:u w:val="single"/>
              </w:rPr>
            </w:pPr>
            <w:r w:rsidRPr="00F35716">
              <w:rPr>
                <w:bCs/>
                <w:sz w:val="17"/>
                <w:szCs w:val="17"/>
                <w:u w:val="single"/>
              </w:rPr>
              <w:t>7,4</w:t>
            </w:r>
          </w:p>
        </w:tc>
        <w:tc>
          <w:tcPr>
            <w:tcW w:w="1076" w:type="dxa"/>
            <w:shd w:val="clear" w:color="auto" w:fill="auto"/>
            <w:vAlign w:val="bottom"/>
          </w:tcPr>
          <w:p w14:paraId="32E94574" w14:textId="77777777" w:rsidR="00EC3C86" w:rsidRPr="00F35716" w:rsidRDefault="00EC3C86" w:rsidP="00DA66C1">
            <w:pPr>
              <w:spacing w:before="40" w:after="80" w:line="210" w:lineRule="exact"/>
              <w:jc w:val="right"/>
              <w:rPr>
                <w:bCs/>
                <w:sz w:val="17"/>
                <w:szCs w:val="17"/>
                <w:u w:val="single"/>
              </w:rPr>
            </w:pPr>
            <w:r w:rsidRPr="00F35716">
              <w:rPr>
                <w:bCs/>
                <w:sz w:val="17"/>
                <w:szCs w:val="17"/>
                <w:u w:val="single"/>
              </w:rPr>
              <w:t>3,9</w:t>
            </w:r>
          </w:p>
        </w:tc>
      </w:tr>
      <w:tr w:rsidR="00EC3C86" w:rsidRPr="00F35716" w14:paraId="32E9457D" w14:textId="77777777" w:rsidTr="00285CF2">
        <w:trPr>
          <w:trHeight w:val="80"/>
        </w:trPr>
        <w:tc>
          <w:tcPr>
            <w:tcW w:w="2232" w:type="dxa"/>
            <w:tcBorders>
              <w:bottom w:val="single" w:sz="12" w:space="0" w:color="auto"/>
            </w:tcBorders>
            <w:shd w:val="clear" w:color="auto" w:fill="auto"/>
            <w:vAlign w:val="bottom"/>
          </w:tcPr>
          <w:p w14:paraId="32E94576" w14:textId="77777777" w:rsidR="00EC3C86" w:rsidRPr="00F35716" w:rsidRDefault="00EC3C86" w:rsidP="00DA66C1">
            <w:pPr>
              <w:spacing w:before="40" w:after="80" w:line="210" w:lineRule="exact"/>
              <w:rPr>
                <w:bCs/>
                <w:sz w:val="17"/>
                <w:szCs w:val="17"/>
              </w:rPr>
            </w:pPr>
            <w:r w:rsidRPr="00F35716">
              <w:rPr>
                <w:bCs/>
                <w:sz w:val="17"/>
                <w:szCs w:val="17"/>
              </w:rPr>
              <w:t xml:space="preserve">Vulnerabilidad </w:t>
            </w:r>
          </w:p>
        </w:tc>
        <w:tc>
          <w:tcPr>
            <w:tcW w:w="1050" w:type="dxa"/>
            <w:tcBorders>
              <w:bottom w:val="single" w:sz="12" w:space="0" w:color="auto"/>
            </w:tcBorders>
            <w:shd w:val="clear" w:color="auto" w:fill="auto"/>
            <w:vAlign w:val="bottom"/>
          </w:tcPr>
          <w:p w14:paraId="32E94577" w14:textId="77777777" w:rsidR="00EC3C86" w:rsidRPr="00F35716" w:rsidRDefault="00EC3C86" w:rsidP="00DA66C1">
            <w:pPr>
              <w:spacing w:before="40" w:after="80" w:line="210" w:lineRule="exact"/>
              <w:jc w:val="right"/>
              <w:rPr>
                <w:bCs/>
                <w:sz w:val="17"/>
                <w:szCs w:val="17"/>
                <w:u w:val="single"/>
              </w:rPr>
            </w:pPr>
            <w:r w:rsidRPr="00F35716">
              <w:rPr>
                <w:bCs/>
                <w:sz w:val="17"/>
                <w:szCs w:val="17"/>
                <w:u w:val="single"/>
              </w:rPr>
              <w:t>23,2</w:t>
            </w:r>
          </w:p>
        </w:tc>
        <w:tc>
          <w:tcPr>
            <w:tcW w:w="1049" w:type="dxa"/>
            <w:tcBorders>
              <w:bottom w:val="single" w:sz="12" w:space="0" w:color="auto"/>
            </w:tcBorders>
            <w:shd w:val="clear" w:color="auto" w:fill="auto"/>
            <w:vAlign w:val="bottom"/>
          </w:tcPr>
          <w:p w14:paraId="32E94578" w14:textId="77777777" w:rsidR="00EC3C86" w:rsidRPr="00F35716" w:rsidRDefault="00EC3C86" w:rsidP="00DA66C1">
            <w:pPr>
              <w:spacing w:before="40" w:after="80" w:line="210" w:lineRule="exact"/>
              <w:jc w:val="right"/>
              <w:rPr>
                <w:bCs/>
                <w:sz w:val="17"/>
                <w:szCs w:val="17"/>
                <w:u w:val="single"/>
              </w:rPr>
            </w:pPr>
            <w:r w:rsidRPr="00F35716">
              <w:rPr>
                <w:bCs/>
                <w:sz w:val="17"/>
                <w:szCs w:val="17"/>
                <w:u w:val="single"/>
              </w:rPr>
              <w:t>17,4</w:t>
            </w:r>
          </w:p>
        </w:tc>
        <w:tc>
          <w:tcPr>
            <w:tcW w:w="1049" w:type="dxa"/>
            <w:tcBorders>
              <w:bottom w:val="single" w:sz="12" w:space="0" w:color="auto"/>
            </w:tcBorders>
            <w:shd w:val="clear" w:color="auto" w:fill="auto"/>
            <w:vAlign w:val="bottom"/>
          </w:tcPr>
          <w:p w14:paraId="32E94579" w14:textId="77777777" w:rsidR="00EC3C86" w:rsidRPr="00F35716" w:rsidRDefault="00EC3C86" w:rsidP="00DA66C1">
            <w:pPr>
              <w:spacing w:before="40" w:after="80" w:line="210" w:lineRule="exact"/>
              <w:jc w:val="right"/>
              <w:rPr>
                <w:bCs/>
                <w:sz w:val="17"/>
                <w:szCs w:val="17"/>
                <w:u w:val="single"/>
              </w:rPr>
            </w:pPr>
            <w:r w:rsidRPr="00F35716">
              <w:rPr>
                <w:bCs/>
                <w:sz w:val="17"/>
                <w:szCs w:val="17"/>
                <w:u w:val="single"/>
              </w:rPr>
              <w:t>13,4</w:t>
            </w:r>
          </w:p>
        </w:tc>
        <w:tc>
          <w:tcPr>
            <w:tcW w:w="1049" w:type="dxa"/>
            <w:tcBorders>
              <w:bottom w:val="single" w:sz="12" w:space="0" w:color="auto"/>
            </w:tcBorders>
            <w:shd w:val="clear" w:color="auto" w:fill="auto"/>
            <w:vAlign w:val="bottom"/>
          </w:tcPr>
          <w:p w14:paraId="32E9457A" w14:textId="77777777" w:rsidR="00EC3C86" w:rsidRPr="00F35716" w:rsidRDefault="00EC3C86" w:rsidP="00DA66C1">
            <w:pPr>
              <w:spacing w:before="40" w:after="80" w:line="210" w:lineRule="exact"/>
              <w:jc w:val="right"/>
              <w:rPr>
                <w:bCs/>
                <w:sz w:val="17"/>
                <w:szCs w:val="17"/>
                <w:u w:val="single"/>
              </w:rPr>
            </w:pPr>
            <w:r w:rsidRPr="00F35716">
              <w:rPr>
                <w:bCs/>
                <w:sz w:val="17"/>
                <w:szCs w:val="17"/>
                <w:u w:val="single"/>
              </w:rPr>
              <w:t>8,2</w:t>
            </w:r>
          </w:p>
        </w:tc>
        <w:tc>
          <w:tcPr>
            <w:tcW w:w="1049" w:type="dxa"/>
            <w:tcBorders>
              <w:bottom w:val="single" w:sz="12" w:space="0" w:color="auto"/>
            </w:tcBorders>
            <w:shd w:val="clear" w:color="auto" w:fill="auto"/>
            <w:vAlign w:val="bottom"/>
          </w:tcPr>
          <w:p w14:paraId="32E9457B" w14:textId="77777777" w:rsidR="00EC3C86" w:rsidRPr="00F35716" w:rsidRDefault="00EC3C86" w:rsidP="00DA66C1">
            <w:pPr>
              <w:spacing w:before="40" w:after="80" w:line="210" w:lineRule="exact"/>
              <w:jc w:val="right"/>
              <w:rPr>
                <w:bCs/>
                <w:sz w:val="17"/>
                <w:szCs w:val="17"/>
                <w:u w:val="single"/>
              </w:rPr>
            </w:pPr>
            <w:r w:rsidRPr="00F35716">
              <w:rPr>
                <w:bCs/>
                <w:sz w:val="17"/>
                <w:szCs w:val="17"/>
                <w:u w:val="single"/>
              </w:rPr>
              <w:t>16,4</w:t>
            </w:r>
          </w:p>
        </w:tc>
        <w:tc>
          <w:tcPr>
            <w:tcW w:w="1076" w:type="dxa"/>
            <w:tcBorders>
              <w:bottom w:val="single" w:sz="12" w:space="0" w:color="auto"/>
            </w:tcBorders>
            <w:shd w:val="clear" w:color="auto" w:fill="auto"/>
            <w:vAlign w:val="bottom"/>
          </w:tcPr>
          <w:p w14:paraId="32E9457C" w14:textId="77777777" w:rsidR="00EC3C86" w:rsidRPr="00F35716" w:rsidRDefault="00EC3C86" w:rsidP="00DA66C1">
            <w:pPr>
              <w:spacing w:before="40" w:after="80" w:line="210" w:lineRule="exact"/>
              <w:jc w:val="right"/>
              <w:rPr>
                <w:bCs/>
                <w:sz w:val="17"/>
                <w:szCs w:val="17"/>
                <w:u w:val="single"/>
              </w:rPr>
            </w:pPr>
            <w:r w:rsidRPr="00F35716">
              <w:rPr>
                <w:bCs/>
                <w:sz w:val="17"/>
                <w:szCs w:val="17"/>
                <w:u w:val="single"/>
              </w:rPr>
              <w:t>10,6</w:t>
            </w:r>
          </w:p>
        </w:tc>
      </w:tr>
    </w:tbl>
    <w:p w14:paraId="32E9457E" w14:textId="77777777" w:rsidR="00D84BB6" w:rsidRPr="00F35716" w:rsidRDefault="00D84BB6" w:rsidP="00D84BB6">
      <w:pPr>
        <w:pStyle w:val="SingleTxt"/>
        <w:spacing w:after="0" w:line="120" w:lineRule="exact"/>
        <w:rPr>
          <w:sz w:val="10"/>
          <w:szCs w:val="20"/>
        </w:rPr>
      </w:pPr>
    </w:p>
    <w:p w14:paraId="32E9457F" w14:textId="630FB2E1" w:rsidR="00EC3C86" w:rsidRPr="00F35716" w:rsidRDefault="00EC3C86" w:rsidP="00631236">
      <w:pPr>
        <w:pStyle w:val="FootnoteText"/>
        <w:widowControl w:val="0"/>
        <w:tabs>
          <w:tab w:val="clear" w:pos="418"/>
          <w:tab w:val="right" w:pos="1476"/>
          <w:tab w:val="left" w:pos="1548"/>
          <w:tab w:val="right" w:pos="1836"/>
          <w:tab w:val="left" w:pos="1908"/>
        </w:tabs>
        <w:ind w:left="1548" w:right="1065" w:hanging="289"/>
      </w:pPr>
      <w:r w:rsidRPr="00F35716">
        <w:rPr>
          <w:i/>
        </w:rPr>
        <w:t>Fuente:</w:t>
      </w:r>
      <w:r w:rsidRPr="00F35716">
        <w:t xml:space="preserve"> Alto Comisionado de Planificación, mapa de pobreza de 2014</w:t>
      </w:r>
      <w:r w:rsidR="00CA1443" w:rsidRPr="00F35716">
        <w:t>.</w:t>
      </w:r>
    </w:p>
    <w:p w14:paraId="32E94580" w14:textId="77777777" w:rsidR="00D84BB6" w:rsidRPr="00F35716" w:rsidRDefault="00D84BB6" w:rsidP="00D84BB6">
      <w:pPr>
        <w:pStyle w:val="SingleTxt"/>
        <w:spacing w:after="0" w:line="120" w:lineRule="exact"/>
        <w:rPr>
          <w:sz w:val="10"/>
          <w:szCs w:val="20"/>
        </w:rPr>
      </w:pPr>
    </w:p>
    <w:p w14:paraId="32E94581" w14:textId="77777777" w:rsidR="00D84BB6" w:rsidRPr="00F35716" w:rsidRDefault="00D84BB6" w:rsidP="00D84BB6">
      <w:pPr>
        <w:pStyle w:val="SingleTxt"/>
        <w:spacing w:after="0" w:line="120" w:lineRule="exact"/>
        <w:rPr>
          <w:sz w:val="10"/>
          <w:szCs w:val="20"/>
        </w:rPr>
      </w:pPr>
    </w:p>
    <w:p w14:paraId="32E94582" w14:textId="2B155BE6" w:rsidR="00EC3C86" w:rsidRPr="00F35716" w:rsidRDefault="00EC3C86" w:rsidP="00B3192A">
      <w:pPr>
        <w:pStyle w:val="SingleTxt"/>
        <w:numPr>
          <w:ilvl w:val="0"/>
          <w:numId w:val="8"/>
        </w:numPr>
        <w:ind w:left="1267" w:firstLine="0"/>
      </w:pPr>
      <w:r w:rsidRPr="00F35716">
        <w:t xml:space="preserve">Con el objetivo de </w:t>
      </w:r>
      <w:r w:rsidR="00CA1443" w:rsidRPr="00F35716">
        <w:t>promover</w:t>
      </w:r>
      <w:r w:rsidRPr="00F35716">
        <w:t xml:space="preserve"> la protección social y el empoderamiento económico de las mujeres, en diciembre de 2014 se emitió el Decreto núm.</w:t>
      </w:r>
      <w:r w:rsidR="00B65486" w:rsidRPr="00F35716">
        <w:t> 2-14-</w:t>
      </w:r>
      <w:r w:rsidRPr="00F35716">
        <w:t>791, con el que se buscaba brindar apoyo directo a las mujeres viudas en situación vulnerable que están cuidando a sus hijos hasta que estos cumplan 21</w:t>
      </w:r>
      <w:r w:rsidR="0025023F" w:rsidRPr="00F35716">
        <w:t> </w:t>
      </w:r>
      <w:r w:rsidRPr="00F35716">
        <w:t>años. A tal fin, es obligatorio que los niños en edad escolar continúen los estudios o la formación profesional que corresponda, con la excepción de los niños</w:t>
      </w:r>
      <w:r w:rsidR="000E5DB6" w:rsidRPr="00F35716">
        <w:t> </w:t>
      </w:r>
      <w:r w:rsidRPr="00F35716">
        <w:t>huérfanos con discapacidad. Cada niño huérfano percibe 350 dírhams al mes,</w:t>
      </w:r>
      <w:r w:rsidR="000E5DB6" w:rsidRPr="00F35716">
        <w:t> </w:t>
      </w:r>
      <w:r w:rsidRPr="00F35716">
        <w:t xml:space="preserve">siempre que el total de la ayuda </w:t>
      </w:r>
      <w:r w:rsidR="00F62245" w:rsidRPr="00F35716">
        <w:t>concedida a</w:t>
      </w:r>
      <w:r w:rsidRPr="00F35716">
        <w:t xml:space="preserve"> la familia no supere los 1.050 dírhams mensuales. </w:t>
      </w:r>
    </w:p>
    <w:p w14:paraId="32E94583" w14:textId="2448E2C8" w:rsidR="00EC3C86" w:rsidRPr="00F35716" w:rsidRDefault="00EC3C86" w:rsidP="00B3192A">
      <w:pPr>
        <w:pStyle w:val="SingleTxt"/>
        <w:numPr>
          <w:ilvl w:val="0"/>
          <w:numId w:val="8"/>
        </w:numPr>
        <w:ind w:left="1267" w:firstLine="0"/>
      </w:pPr>
      <w:r w:rsidRPr="00F35716">
        <w:t>Hasta finales de 2018, se habían acogido a este programa 91.126 viudas que cuidan de más de 156.000 huérfanos y huérfanas, lo que equivale a más de 90.000</w:t>
      </w:r>
      <w:r w:rsidR="0025023F" w:rsidRPr="00F35716">
        <w:t> </w:t>
      </w:r>
      <w:r w:rsidRPr="00F35716">
        <w:t>familias</w:t>
      </w:r>
      <w:r w:rsidR="00F62245" w:rsidRPr="00F35716">
        <w:t xml:space="preserve"> beneficiarias</w:t>
      </w:r>
      <w:r w:rsidRPr="00F35716">
        <w:t>. El monto asignado a este programa pasó de 196 millones de dírhams en 2015 a 587 millones de dírhams en 2017.</w:t>
      </w:r>
    </w:p>
    <w:p w14:paraId="32E94585" w14:textId="2E674974" w:rsidR="00EC3C86" w:rsidRPr="00F35716" w:rsidRDefault="00EC3C86" w:rsidP="00B3192A">
      <w:pPr>
        <w:pStyle w:val="SingleTxt"/>
        <w:numPr>
          <w:ilvl w:val="0"/>
          <w:numId w:val="8"/>
        </w:numPr>
        <w:ind w:left="1267" w:firstLine="0"/>
      </w:pPr>
      <w:r w:rsidRPr="00F35716">
        <w:t>El Fondo de Cohesión Social se creó, de conformidad con el artículo 18 de la Ley de Finanzas de 2012, para fortalecer los mecanismos de cohesión social en favor de las personas en situación vulnerable, especialmente las mujeres y las niñas</w:t>
      </w:r>
      <w:r w:rsidR="00F62245" w:rsidRPr="00F35716">
        <w:t>. El objetivo es</w:t>
      </w:r>
      <w:r w:rsidRPr="00F35716">
        <w:t xml:space="preserve"> financiar los gastos relacionados con la </w:t>
      </w:r>
      <w:r w:rsidR="00F62245" w:rsidRPr="00F35716">
        <w:t>ejecución y expansión</w:t>
      </w:r>
      <w:r w:rsidRPr="00F35716">
        <w:t xml:space="preserve"> del </w:t>
      </w:r>
      <w:r w:rsidR="00F62245" w:rsidRPr="00F35716">
        <w:t xml:space="preserve">plan </w:t>
      </w:r>
      <w:r w:rsidRPr="00F35716">
        <w:t xml:space="preserve">de asistencia médica y proporcionar asistencia a las personas </w:t>
      </w:r>
      <w:r w:rsidR="00F62245" w:rsidRPr="00F35716">
        <w:t>en situación de vulnerabilidad</w:t>
      </w:r>
      <w:r w:rsidRPr="00F35716">
        <w:t>. Se comenzó a proporcionar ayuda financiera para programas sociales a partir de 2014</w:t>
      </w:r>
      <w:r w:rsidRPr="00F35716">
        <w:rPr>
          <w:vertAlign w:val="superscript"/>
        </w:rPr>
        <w:footnoteReference w:id="86"/>
      </w:r>
      <w:r w:rsidRPr="00F35716">
        <w:t xml:space="preserve">. </w:t>
      </w:r>
    </w:p>
    <w:p w14:paraId="32E94586" w14:textId="4AEAEC74" w:rsidR="00EC3C86" w:rsidRPr="00F35716" w:rsidRDefault="00EC3C86" w:rsidP="00132DAF">
      <w:pPr>
        <w:pStyle w:val="SingleTxt"/>
        <w:numPr>
          <w:ilvl w:val="0"/>
          <w:numId w:val="8"/>
        </w:numPr>
        <w:ind w:left="1267" w:firstLine="0"/>
      </w:pPr>
      <w:r w:rsidRPr="00F35716">
        <w:t xml:space="preserve">El Fondo de Solidaridad Familiar tiene como objetivo proteger a las mujeres divorciadas y sus hijos de las carencias resultantes de la insolvencia del esposo. El sector de la justicia ha </w:t>
      </w:r>
      <w:r w:rsidR="00A341B5" w:rsidRPr="00F35716">
        <w:t>tratado de</w:t>
      </w:r>
      <w:r w:rsidRPr="00F35716">
        <w:t xml:space="preserve"> superar </w:t>
      </w:r>
      <w:r w:rsidR="00A341B5" w:rsidRPr="00F35716">
        <w:t>los problemas que surgieron</w:t>
      </w:r>
      <w:r w:rsidRPr="00F35716">
        <w:t xml:space="preserve"> </w:t>
      </w:r>
      <w:r w:rsidR="00A341B5" w:rsidRPr="00F35716">
        <w:t>con</w:t>
      </w:r>
      <w:r w:rsidRPr="00F35716">
        <w:t xml:space="preserve"> la aplicación de la ley </w:t>
      </w:r>
      <w:r w:rsidR="00A341B5" w:rsidRPr="00F35716">
        <w:t>que establece</w:t>
      </w:r>
      <w:r w:rsidRPr="00F35716">
        <w:t xml:space="preserve"> las condiciones y normas </w:t>
      </w:r>
      <w:r w:rsidR="00A341B5" w:rsidRPr="00F35716">
        <w:t>aplicables a los</w:t>
      </w:r>
      <w:r w:rsidRPr="00F35716">
        <w:t xml:space="preserve"> beneficiar</w:t>
      </w:r>
      <w:r w:rsidR="00A341B5" w:rsidRPr="00F35716">
        <w:t>ios</w:t>
      </w:r>
      <w:r w:rsidRPr="00F35716">
        <w:rPr>
          <w:vertAlign w:val="superscript"/>
        </w:rPr>
        <w:footnoteReference w:id="87"/>
      </w:r>
      <w:r w:rsidRPr="00F35716">
        <w:t xml:space="preserve">. </w:t>
      </w:r>
      <w:r w:rsidR="00994009" w:rsidRPr="00F35716">
        <w:t>S</w:t>
      </w:r>
      <w:r w:rsidR="00A341B5" w:rsidRPr="00F35716">
        <w:t>e han modificado</w:t>
      </w:r>
      <w:r w:rsidRPr="00F35716">
        <w:t xml:space="preserve"> las disposiciones del decreto </w:t>
      </w:r>
      <w:r w:rsidR="00994009" w:rsidRPr="00F35716">
        <w:t>de</w:t>
      </w:r>
      <w:r w:rsidRPr="00F35716">
        <w:t xml:space="preserve"> aplicación de esa ley, </w:t>
      </w:r>
      <w:r w:rsidR="00994009" w:rsidRPr="00F35716">
        <w:t>principalmente aquellas sobre</w:t>
      </w:r>
      <w:r w:rsidRPr="00F35716">
        <w:t xml:space="preserve"> los documentos necesarios para beneficiarse de</w:t>
      </w:r>
      <w:r w:rsidR="00994009" w:rsidRPr="00F35716">
        <w:t>l anticipo de las ayudas</w:t>
      </w:r>
      <w:r w:rsidRPr="00F35716">
        <w:t xml:space="preserve"> y </w:t>
      </w:r>
      <w:r w:rsidR="00994009" w:rsidRPr="00F35716">
        <w:t xml:space="preserve">sobre </w:t>
      </w:r>
      <w:r w:rsidRPr="00F35716">
        <w:t xml:space="preserve">el límite máximo del </w:t>
      </w:r>
      <w:r w:rsidR="00994009" w:rsidRPr="00F35716">
        <w:t>F</w:t>
      </w:r>
      <w:r w:rsidRPr="00F35716">
        <w:t>ondo</w:t>
      </w:r>
      <w:r w:rsidRPr="00F35716">
        <w:rPr>
          <w:vertAlign w:val="superscript"/>
        </w:rPr>
        <w:footnoteReference w:id="88"/>
      </w:r>
      <w:r w:rsidRPr="00F35716">
        <w:t xml:space="preserve">. El </w:t>
      </w:r>
      <w:r w:rsidR="00994009" w:rsidRPr="00F35716">
        <w:t xml:space="preserve">grupo </w:t>
      </w:r>
      <w:r w:rsidRPr="00F35716">
        <w:t>de beneficiarios también se ha ampliado para incluir a las esposas sin recursos, las madres abandonadas y los hijos que tienen derecho a pensión alimenticia durante la relación matrimonial, así como aquellos que tienen derecho a percibir una pensión alimenticia tras la disolución del matrimonio. El Consejo de Gobierno aprobó las enmiendas al proyecto de ley en diciembre de 2017.</w:t>
      </w:r>
      <w:bookmarkStart w:id="54" w:name="_ftnref1"/>
      <w:bookmarkStart w:id="55" w:name="_ftnref2"/>
      <w:bookmarkEnd w:id="54"/>
      <w:bookmarkEnd w:id="55"/>
    </w:p>
    <w:p w14:paraId="32E94587" w14:textId="2B75A640" w:rsidR="00EC3C86" w:rsidRPr="00F35716" w:rsidRDefault="00EC3C86" w:rsidP="00B3192A">
      <w:pPr>
        <w:pStyle w:val="SingleTxt"/>
        <w:numPr>
          <w:ilvl w:val="0"/>
          <w:numId w:val="8"/>
        </w:numPr>
        <w:ind w:left="1267" w:firstLine="0"/>
      </w:pPr>
      <w:r w:rsidRPr="00F35716">
        <w:lastRenderedPageBreak/>
        <w:t xml:space="preserve">En 2017, en cumplimiento de la decisión del Consejo de Gobierno de inscribir a los niños en los registros civiles, se creó un comité ministerial para implementar esta decisión. Como resultado, se organizaron dos campañas para inscribir a los niños. La primera tuvo lugar entre 2017 y 2018, y la segunda comenzó en 2019, </w:t>
      </w:r>
      <w:r w:rsidR="00855C2D" w:rsidRPr="00F35716">
        <w:t xml:space="preserve">y </w:t>
      </w:r>
      <w:r w:rsidRPr="00F35716">
        <w:t xml:space="preserve">se inscribieron en el registro civil 23.151 personas (niños y adultos). El número de </w:t>
      </w:r>
      <w:r w:rsidR="00855C2D" w:rsidRPr="00F35716">
        <w:t xml:space="preserve">expedientes </w:t>
      </w:r>
      <w:r w:rsidRPr="00F35716">
        <w:t xml:space="preserve">sometidos al poder judicial ascendió a 39.481, y </w:t>
      </w:r>
      <w:r w:rsidR="00855C2D" w:rsidRPr="00F35716">
        <w:t>se dictaron</w:t>
      </w:r>
      <w:r w:rsidRPr="00F35716">
        <w:t xml:space="preserve"> 16.808 sentencias declarativas</w:t>
      </w:r>
      <w:r w:rsidRPr="00F35716">
        <w:rPr>
          <w:vertAlign w:val="superscript"/>
        </w:rPr>
        <w:footnoteReference w:id="89"/>
      </w:r>
      <w:r w:rsidR="00855C2D" w:rsidRPr="00F35716">
        <w:t>.</w:t>
      </w:r>
      <w:r w:rsidRPr="00F35716">
        <w:t xml:space="preserve"> </w:t>
      </w:r>
    </w:p>
    <w:p w14:paraId="32E94588" w14:textId="69AA6087" w:rsidR="00EC3C86" w:rsidRPr="00F35716" w:rsidRDefault="00EC3C86" w:rsidP="00B3192A">
      <w:pPr>
        <w:pStyle w:val="SingleTxt"/>
        <w:numPr>
          <w:ilvl w:val="0"/>
          <w:numId w:val="8"/>
        </w:numPr>
        <w:ind w:left="1267" w:firstLine="0"/>
      </w:pPr>
      <w:r w:rsidRPr="00F35716">
        <w:t xml:space="preserve">En relación con </w:t>
      </w:r>
      <w:r w:rsidR="00466706" w:rsidRPr="00F35716">
        <w:t>el párrafo 43 de las observaciones finales,</w:t>
      </w:r>
      <w:r w:rsidRPr="00F35716">
        <w:t xml:space="preserve"> y en el marco de la Iniciativa Nacional </w:t>
      </w:r>
      <w:r w:rsidR="00240D4E" w:rsidRPr="00F35716">
        <w:t>de</w:t>
      </w:r>
      <w:r w:rsidRPr="00F35716">
        <w:t xml:space="preserve"> Desarrollo Humano, se tomaron medidas en favor de las mujeres en situación </w:t>
      </w:r>
      <w:r w:rsidR="00855C2D" w:rsidRPr="00F35716">
        <w:t xml:space="preserve">de </w:t>
      </w:r>
      <w:r w:rsidRPr="00F35716">
        <w:t>vulnerab</w:t>
      </w:r>
      <w:r w:rsidR="00855C2D" w:rsidRPr="00F35716">
        <w:t>ilidad</w:t>
      </w:r>
      <w:r w:rsidRPr="00F35716">
        <w:t xml:space="preserve"> a través de cuatro áreas principales: el apoyo a actividades generadoras de ingresos, la mejora del acceso a los servicios educativos, la creación de estructuras de activación sociocultural y deportiva y el </w:t>
      </w:r>
      <w:r w:rsidR="00855C2D" w:rsidRPr="00F35716">
        <w:t>apoyo a</w:t>
      </w:r>
      <w:r w:rsidRPr="00F35716">
        <w:t xml:space="preserve"> los centros de acogida. Desde 2005 hasta 2017, 4,2 millones de mujeres mejoraron sus condiciones sociales y económicas</w:t>
      </w:r>
      <w:r w:rsidR="00A350E2" w:rsidRPr="00F35716">
        <w:rPr>
          <w:vertAlign w:val="superscript"/>
        </w:rPr>
        <w:footnoteReference w:id="90"/>
      </w:r>
      <w:r w:rsidRPr="00F35716">
        <w:t>. En 2017 se registraron más de 7.764 actividades generadoras de ingresos (el 65</w:t>
      </w:r>
      <w:r w:rsidR="0006736D" w:rsidRPr="00F35716">
        <w:t> %</w:t>
      </w:r>
      <w:r w:rsidRPr="00F35716">
        <w:t xml:space="preserve"> </w:t>
      </w:r>
      <w:r w:rsidR="00A350E2" w:rsidRPr="00F35716">
        <w:t xml:space="preserve">de ellas </w:t>
      </w:r>
      <w:r w:rsidRPr="00F35716">
        <w:t xml:space="preserve">en </w:t>
      </w:r>
      <w:r w:rsidR="00A350E2" w:rsidRPr="00F35716">
        <w:t>zonas</w:t>
      </w:r>
      <w:r w:rsidRPr="00F35716">
        <w:t xml:space="preserve"> rural</w:t>
      </w:r>
      <w:r w:rsidR="00A350E2" w:rsidRPr="00F35716">
        <w:t>es</w:t>
      </w:r>
      <w:r w:rsidRPr="00F35716">
        <w:t xml:space="preserve">), con una inversión total de aproximadamente 2.400 millones de dírhams, entre los que se incluyen una contribución de 1.400 millones de dírhams de la </w:t>
      </w:r>
      <w:r w:rsidR="00A350E2" w:rsidRPr="00F35716">
        <w:t>I</w:t>
      </w:r>
      <w:r w:rsidRPr="00F35716">
        <w:t xml:space="preserve">niciativa </w:t>
      </w:r>
      <w:r w:rsidR="00A350E2" w:rsidRPr="00F35716">
        <w:t>N</w:t>
      </w:r>
      <w:r w:rsidRPr="00F35716">
        <w:t>acional en apoyo de 118.000 beneficiarias.</w:t>
      </w:r>
    </w:p>
    <w:p w14:paraId="32E94589" w14:textId="77777777" w:rsidR="004500CF" w:rsidRPr="00F35716" w:rsidRDefault="004500CF" w:rsidP="004500CF">
      <w:pPr>
        <w:pStyle w:val="SingleTxt"/>
        <w:spacing w:after="0" w:line="120" w:lineRule="exact"/>
        <w:rPr>
          <w:sz w:val="10"/>
          <w:szCs w:val="20"/>
        </w:rPr>
      </w:pPr>
    </w:p>
    <w:p w14:paraId="32E9458A" w14:textId="2984C306" w:rsidR="00EC3C86" w:rsidRPr="00F35716" w:rsidRDefault="00735173"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 w:val="0"/>
          <w:bCs w:val="0"/>
          <w:szCs w:val="20"/>
        </w:rPr>
        <w:t xml:space="preserve">Tabla 15: </w:t>
      </w:r>
      <w:r w:rsidRPr="00F35716">
        <w:rPr>
          <w:bCs w:val="0"/>
          <w:szCs w:val="20"/>
        </w:rPr>
        <w:br/>
      </w:r>
      <w:r w:rsidR="00EC3C86" w:rsidRPr="00F35716">
        <w:rPr>
          <w:bCs w:val="0"/>
          <w:szCs w:val="20"/>
        </w:rPr>
        <w:t xml:space="preserve">Distribución de </w:t>
      </w:r>
      <w:r w:rsidR="007102BE" w:rsidRPr="00F35716">
        <w:rPr>
          <w:bCs w:val="0"/>
          <w:szCs w:val="20"/>
        </w:rPr>
        <w:t xml:space="preserve">las </w:t>
      </w:r>
      <w:r w:rsidR="00EC3C86" w:rsidRPr="00F35716">
        <w:rPr>
          <w:bCs w:val="0"/>
          <w:szCs w:val="20"/>
        </w:rPr>
        <w:t xml:space="preserve">beneficiarias </w:t>
      </w:r>
      <w:r w:rsidR="007102BE" w:rsidRPr="00F35716">
        <w:rPr>
          <w:bCs w:val="0"/>
          <w:szCs w:val="20"/>
        </w:rPr>
        <w:t>por</w:t>
      </w:r>
      <w:r w:rsidR="00EC3C86" w:rsidRPr="00F35716">
        <w:rPr>
          <w:bCs w:val="0"/>
          <w:szCs w:val="20"/>
        </w:rPr>
        <w:t xml:space="preserve"> ámbito de las actividades generadoras de</w:t>
      </w:r>
      <w:r w:rsidR="004500CF" w:rsidRPr="00F35716">
        <w:rPr>
          <w:bCs w:val="0"/>
          <w:szCs w:val="20"/>
        </w:rPr>
        <w:t> </w:t>
      </w:r>
      <w:r w:rsidR="00EC3C86" w:rsidRPr="00F35716">
        <w:rPr>
          <w:bCs w:val="0"/>
          <w:szCs w:val="20"/>
        </w:rPr>
        <w:t>ingresos</w:t>
      </w:r>
    </w:p>
    <w:p w14:paraId="32E9458B" w14:textId="77777777" w:rsidR="004500CF" w:rsidRPr="00F35716" w:rsidRDefault="004500CF" w:rsidP="004500CF">
      <w:pPr>
        <w:pStyle w:val="SingleTxt"/>
        <w:spacing w:after="0" w:line="120" w:lineRule="exact"/>
        <w:rPr>
          <w:sz w:val="10"/>
          <w:szCs w:val="20"/>
        </w:rPr>
      </w:pPr>
    </w:p>
    <w:tbl>
      <w:tblPr>
        <w:tblW w:w="7344" w:type="dxa"/>
        <w:tblInd w:w="1267" w:type="dxa"/>
        <w:tblLayout w:type="fixed"/>
        <w:tblCellMar>
          <w:left w:w="0" w:type="dxa"/>
          <w:right w:w="43" w:type="dxa"/>
        </w:tblCellMar>
        <w:tblLook w:val="04A0" w:firstRow="1" w:lastRow="0" w:firstColumn="1" w:lastColumn="0" w:noHBand="0" w:noVBand="1"/>
      </w:tblPr>
      <w:tblGrid>
        <w:gridCol w:w="2448"/>
        <w:gridCol w:w="2448"/>
        <w:gridCol w:w="2448"/>
      </w:tblGrid>
      <w:tr w:rsidR="00C14CB5" w:rsidRPr="00F35716" w14:paraId="32E9458F" w14:textId="77777777" w:rsidTr="00C14CB5">
        <w:trPr>
          <w:tblHeader/>
        </w:trPr>
        <w:tc>
          <w:tcPr>
            <w:tcW w:w="2498" w:type="dxa"/>
            <w:tcBorders>
              <w:top w:val="single" w:sz="4" w:space="0" w:color="auto"/>
              <w:bottom w:val="single" w:sz="12" w:space="0" w:color="auto"/>
            </w:tcBorders>
            <w:vAlign w:val="bottom"/>
          </w:tcPr>
          <w:p w14:paraId="32E9458C" w14:textId="77777777" w:rsidR="00C14CB5" w:rsidRPr="00F35716" w:rsidRDefault="00C14CB5" w:rsidP="00B3481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r w:rsidRPr="00F35716">
              <w:rPr>
                <w:i/>
                <w:iCs/>
                <w:kern w:val="0"/>
                <w:sz w:val="14"/>
                <w:szCs w:val="14"/>
              </w:rPr>
              <w:t>Ámbito</w:t>
            </w:r>
          </w:p>
        </w:tc>
        <w:tc>
          <w:tcPr>
            <w:tcW w:w="2498" w:type="dxa"/>
            <w:tcBorders>
              <w:top w:val="single" w:sz="4" w:space="0" w:color="auto"/>
              <w:bottom w:val="single" w:sz="12" w:space="0" w:color="auto"/>
            </w:tcBorders>
            <w:vAlign w:val="bottom"/>
          </w:tcPr>
          <w:p w14:paraId="32E9458D" w14:textId="5D9260FE" w:rsidR="00C14CB5" w:rsidRPr="00F35716" w:rsidRDefault="00C14CB5"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 xml:space="preserve">Número de </w:t>
            </w:r>
            <w:r w:rsidR="00DC1800" w:rsidRPr="00F35716">
              <w:rPr>
                <w:i/>
                <w:iCs/>
                <w:kern w:val="0"/>
                <w:sz w:val="14"/>
                <w:szCs w:val="14"/>
              </w:rPr>
              <w:t>empresas</w:t>
            </w:r>
          </w:p>
        </w:tc>
        <w:tc>
          <w:tcPr>
            <w:tcW w:w="2498" w:type="dxa"/>
            <w:tcBorders>
              <w:top w:val="single" w:sz="4" w:space="0" w:color="auto"/>
              <w:bottom w:val="single" w:sz="12" w:space="0" w:color="auto"/>
            </w:tcBorders>
            <w:shd w:val="clear" w:color="auto" w:fill="auto"/>
            <w:vAlign w:val="bottom"/>
          </w:tcPr>
          <w:p w14:paraId="32E9458E" w14:textId="77777777" w:rsidR="00C14CB5" w:rsidRPr="00F35716" w:rsidRDefault="00C14CB5" w:rsidP="00B3481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Número de beneficiarias</w:t>
            </w:r>
          </w:p>
        </w:tc>
      </w:tr>
      <w:tr w:rsidR="00C14CB5" w:rsidRPr="00F35716" w14:paraId="32E94593" w14:textId="77777777" w:rsidTr="00C14CB5">
        <w:trPr>
          <w:trHeight w:hRule="exact" w:val="115"/>
          <w:tblHeader/>
        </w:trPr>
        <w:tc>
          <w:tcPr>
            <w:tcW w:w="2498" w:type="dxa"/>
            <w:tcBorders>
              <w:top w:val="single" w:sz="12" w:space="0" w:color="auto"/>
            </w:tcBorders>
          </w:tcPr>
          <w:p w14:paraId="32E94590" w14:textId="77777777" w:rsidR="00C14CB5" w:rsidRPr="00F35716" w:rsidRDefault="00C14CB5" w:rsidP="00673B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2498" w:type="dxa"/>
            <w:tcBorders>
              <w:top w:val="single" w:sz="12" w:space="0" w:color="auto"/>
            </w:tcBorders>
            <w:vAlign w:val="bottom"/>
          </w:tcPr>
          <w:p w14:paraId="32E94591" w14:textId="77777777" w:rsidR="00C14CB5" w:rsidRPr="00F35716" w:rsidRDefault="00C14CB5"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2498" w:type="dxa"/>
            <w:tcBorders>
              <w:top w:val="single" w:sz="12" w:space="0" w:color="auto"/>
            </w:tcBorders>
            <w:shd w:val="clear" w:color="auto" w:fill="auto"/>
            <w:vAlign w:val="bottom"/>
          </w:tcPr>
          <w:p w14:paraId="32E94592" w14:textId="77777777" w:rsidR="00C14CB5" w:rsidRPr="00F35716" w:rsidRDefault="00C14CB5" w:rsidP="00673B2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r>
      <w:tr w:rsidR="00C14CB5" w:rsidRPr="00F35716" w14:paraId="32E94597" w14:textId="77777777" w:rsidTr="00C14CB5">
        <w:tc>
          <w:tcPr>
            <w:tcW w:w="2498" w:type="dxa"/>
            <w:vAlign w:val="bottom"/>
          </w:tcPr>
          <w:p w14:paraId="32E94594" w14:textId="77777777" w:rsidR="00C14CB5" w:rsidRPr="00F35716" w:rsidRDefault="00C14CB5" w:rsidP="006F34C8">
            <w:pPr>
              <w:spacing w:before="40" w:after="80" w:line="210" w:lineRule="exact"/>
              <w:rPr>
                <w:bCs/>
                <w:sz w:val="17"/>
                <w:szCs w:val="17"/>
              </w:rPr>
            </w:pPr>
            <w:r w:rsidRPr="00F35716">
              <w:rPr>
                <w:bCs/>
                <w:sz w:val="17"/>
                <w:szCs w:val="17"/>
              </w:rPr>
              <w:t>Agricultura</w:t>
            </w:r>
          </w:p>
        </w:tc>
        <w:tc>
          <w:tcPr>
            <w:tcW w:w="2498" w:type="dxa"/>
            <w:vAlign w:val="bottom"/>
          </w:tcPr>
          <w:p w14:paraId="32E94595" w14:textId="77777777" w:rsidR="00C14CB5" w:rsidRPr="00F35716" w:rsidRDefault="00C14CB5" w:rsidP="006F34C8">
            <w:pPr>
              <w:spacing w:before="40" w:after="80" w:line="210" w:lineRule="exact"/>
              <w:jc w:val="right"/>
              <w:rPr>
                <w:bCs/>
                <w:sz w:val="17"/>
                <w:szCs w:val="17"/>
              </w:rPr>
            </w:pPr>
            <w:r w:rsidRPr="00F35716">
              <w:rPr>
                <w:bCs/>
                <w:sz w:val="17"/>
                <w:szCs w:val="17"/>
              </w:rPr>
              <w:t>4.320</w:t>
            </w:r>
          </w:p>
        </w:tc>
        <w:tc>
          <w:tcPr>
            <w:tcW w:w="2498" w:type="dxa"/>
            <w:shd w:val="clear" w:color="auto" w:fill="auto"/>
            <w:vAlign w:val="bottom"/>
          </w:tcPr>
          <w:p w14:paraId="32E94596" w14:textId="77777777" w:rsidR="00C14CB5" w:rsidRPr="00F35716" w:rsidRDefault="00C14CB5" w:rsidP="00B3481D">
            <w:pPr>
              <w:spacing w:before="40" w:after="80" w:line="210" w:lineRule="exact"/>
              <w:jc w:val="right"/>
              <w:rPr>
                <w:bCs/>
                <w:sz w:val="17"/>
                <w:szCs w:val="17"/>
              </w:rPr>
            </w:pPr>
            <w:r w:rsidRPr="00F35716">
              <w:rPr>
                <w:bCs/>
                <w:sz w:val="17"/>
                <w:szCs w:val="17"/>
              </w:rPr>
              <w:t>26.477</w:t>
            </w:r>
          </w:p>
        </w:tc>
      </w:tr>
      <w:tr w:rsidR="00C14CB5" w:rsidRPr="00F35716" w14:paraId="32E9459B" w14:textId="77777777" w:rsidTr="00C14CB5">
        <w:tc>
          <w:tcPr>
            <w:tcW w:w="2498" w:type="dxa"/>
            <w:vAlign w:val="bottom"/>
          </w:tcPr>
          <w:p w14:paraId="32E94598" w14:textId="77777777" w:rsidR="00C14CB5" w:rsidRPr="00F35716" w:rsidRDefault="00C14CB5" w:rsidP="006F34C8">
            <w:pPr>
              <w:spacing w:before="40" w:after="80" w:line="210" w:lineRule="exact"/>
              <w:rPr>
                <w:bCs/>
                <w:sz w:val="17"/>
                <w:szCs w:val="17"/>
              </w:rPr>
            </w:pPr>
            <w:r w:rsidRPr="00F35716">
              <w:rPr>
                <w:bCs/>
                <w:sz w:val="17"/>
                <w:szCs w:val="17"/>
              </w:rPr>
              <w:t>Artesanía</w:t>
            </w:r>
          </w:p>
        </w:tc>
        <w:tc>
          <w:tcPr>
            <w:tcW w:w="2498" w:type="dxa"/>
            <w:vAlign w:val="bottom"/>
          </w:tcPr>
          <w:p w14:paraId="32E94599" w14:textId="77777777" w:rsidR="00C14CB5" w:rsidRPr="00F35716" w:rsidRDefault="00C14CB5" w:rsidP="006F34C8">
            <w:pPr>
              <w:spacing w:before="40" w:after="80" w:line="210" w:lineRule="exact"/>
              <w:jc w:val="right"/>
              <w:rPr>
                <w:bCs/>
                <w:sz w:val="17"/>
                <w:szCs w:val="17"/>
              </w:rPr>
            </w:pPr>
            <w:r w:rsidRPr="00F35716">
              <w:rPr>
                <w:bCs/>
                <w:sz w:val="17"/>
                <w:szCs w:val="17"/>
              </w:rPr>
              <w:t>1.102</w:t>
            </w:r>
          </w:p>
        </w:tc>
        <w:tc>
          <w:tcPr>
            <w:tcW w:w="2498" w:type="dxa"/>
            <w:shd w:val="clear" w:color="auto" w:fill="auto"/>
            <w:vAlign w:val="bottom"/>
          </w:tcPr>
          <w:p w14:paraId="32E9459A" w14:textId="77777777" w:rsidR="00C14CB5" w:rsidRPr="00F35716" w:rsidRDefault="00C14CB5" w:rsidP="00B3481D">
            <w:pPr>
              <w:spacing w:before="40" w:after="80" w:line="210" w:lineRule="exact"/>
              <w:jc w:val="right"/>
              <w:rPr>
                <w:bCs/>
                <w:sz w:val="17"/>
                <w:szCs w:val="17"/>
              </w:rPr>
            </w:pPr>
            <w:r w:rsidRPr="00F35716">
              <w:rPr>
                <w:bCs/>
                <w:sz w:val="17"/>
                <w:szCs w:val="17"/>
              </w:rPr>
              <w:t>10.624</w:t>
            </w:r>
          </w:p>
        </w:tc>
      </w:tr>
      <w:tr w:rsidR="00C14CB5" w:rsidRPr="00F35716" w14:paraId="32E9459F" w14:textId="77777777" w:rsidTr="00C14CB5">
        <w:tc>
          <w:tcPr>
            <w:tcW w:w="2498" w:type="dxa"/>
            <w:vAlign w:val="bottom"/>
          </w:tcPr>
          <w:p w14:paraId="32E9459C" w14:textId="77777777" w:rsidR="00C14CB5" w:rsidRPr="00F35716" w:rsidRDefault="00C14CB5" w:rsidP="006F34C8">
            <w:pPr>
              <w:tabs>
                <w:tab w:val="left" w:pos="2070"/>
              </w:tabs>
              <w:spacing w:before="40" w:after="80" w:line="210" w:lineRule="exact"/>
              <w:rPr>
                <w:bCs/>
                <w:sz w:val="17"/>
                <w:szCs w:val="17"/>
              </w:rPr>
            </w:pPr>
            <w:r w:rsidRPr="00F35716">
              <w:rPr>
                <w:bCs/>
                <w:sz w:val="17"/>
                <w:szCs w:val="17"/>
              </w:rPr>
              <w:t>Comercio de proximidad</w:t>
            </w:r>
          </w:p>
        </w:tc>
        <w:tc>
          <w:tcPr>
            <w:tcW w:w="2498" w:type="dxa"/>
            <w:vAlign w:val="bottom"/>
          </w:tcPr>
          <w:p w14:paraId="32E9459D" w14:textId="77777777" w:rsidR="00C14CB5" w:rsidRPr="00F35716" w:rsidRDefault="00C14CB5" w:rsidP="006F34C8">
            <w:pPr>
              <w:spacing w:before="40" w:after="80" w:line="210" w:lineRule="exact"/>
              <w:jc w:val="right"/>
              <w:rPr>
                <w:bCs/>
                <w:sz w:val="17"/>
                <w:szCs w:val="17"/>
              </w:rPr>
            </w:pPr>
            <w:r w:rsidRPr="00F35716">
              <w:rPr>
                <w:bCs/>
                <w:sz w:val="17"/>
                <w:szCs w:val="17"/>
              </w:rPr>
              <w:t>1.914</w:t>
            </w:r>
          </w:p>
        </w:tc>
        <w:tc>
          <w:tcPr>
            <w:tcW w:w="2498" w:type="dxa"/>
            <w:shd w:val="clear" w:color="auto" w:fill="auto"/>
            <w:vAlign w:val="bottom"/>
          </w:tcPr>
          <w:p w14:paraId="32E9459E" w14:textId="77777777" w:rsidR="00C14CB5" w:rsidRPr="00F35716" w:rsidRDefault="00C14CB5" w:rsidP="00B3481D">
            <w:pPr>
              <w:spacing w:before="40" w:after="80" w:line="210" w:lineRule="exact"/>
              <w:jc w:val="right"/>
              <w:rPr>
                <w:bCs/>
                <w:sz w:val="17"/>
                <w:szCs w:val="17"/>
              </w:rPr>
            </w:pPr>
            <w:r w:rsidRPr="00F35716">
              <w:rPr>
                <w:bCs/>
                <w:sz w:val="17"/>
                <w:szCs w:val="17"/>
              </w:rPr>
              <w:t>12.351</w:t>
            </w:r>
          </w:p>
        </w:tc>
      </w:tr>
      <w:tr w:rsidR="00C14CB5" w:rsidRPr="00F35716" w14:paraId="32E945A3" w14:textId="77777777" w:rsidTr="00C14CB5">
        <w:tc>
          <w:tcPr>
            <w:tcW w:w="2498" w:type="dxa"/>
            <w:vAlign w:val="bottom"/>
          </w:tcPr>
          <w:p w14:paraId="32E945A0" w14:textId="77777777" w:rsidR="00C14CB5" w:rsidRPr="00F35716" w:rsidRDefault="00C14CB5" w:rsidP="006F34C8">
            <w:pPr>
              <w:spacing w:before="40" w:after="80" w:line="210" w:lineRule="exact"/>
              <w:rPr>
                <w:bCs/>
                <w:sz w:val="17"/>
                <w:szCs w:val="17"/>
              </w:rPr>
            </w:pPr>
            <w:r w:rsidRPr="00F35716">
              <w:rPr>
                <w:bCs/>
                <w:sz w:val="17"/>
                <w:szCs w:val="17"/>
              </w:rPr>
              <w:t>Pesca tradicional</w:t>
            </w:r>
          </w:p>
        </w:tc>
        <w:tc>
          <w:tcPr>
            <w:tcW w:w="2498" w:type="dxa"/>
            <w:vAlign w:val="bottom"/>
          </w:tcPr>
          <w:p w14:paraId="32E945A1" w14:textId="77777777" w:rsidR="00C14CB5" w:rsidRPr="00F35716" w:rsidRDefault="00C14CB5" w:rsidP="006F34C8">
            <w:pPr>
              <w:spacing w:before="40" w:after="80" w:line="210" w:lineRule="exact"/>
              <w:jc w:val="right"/>
              <w:rPr>
                <w:bCs/>
                <w:sz w:val="17"/>
                <w:szCs w:val="17"/>
              </w:rPr>
            </w:pPr>
            <w:r w:rsidRPr="00F35716">
              <w:rPr>
                <w:bCs/>
                <w:sz w:val="17"/>
                <w:szCs w:val="17"/>
              </w:rPr>
              <w:t>315</w:t>
            </w:r>
          </w:p>
        </w:tc>
        <w:tc>
          <w:tcPr>
            <w:tcW w:w="2498" w:type="dxa"/>
            <w:shd w:val="clear" w:color="auto" w:fill="auto"/>
            <w:vAlign w:val="bottom"/>
          </w:tcPr>
          <w:p w14:paraId="32E945A2" w14:textId="77777777" w:rsidR="00C14CB5" w:rsidRPr="00F35716" w:rsidRDefault="00C14CB5" w:rsidP="00B3481D">
            <w:pPr>
              <w:spacing w:before="40" w:after="80" w:line="210" w:lineRule="exact"/>
              <w:jc w:val="right"/>
              <w:rPr>
                <w:bCs/>
                <w:sz w:val="17"/>
                <w:szCs w:val="17"/>
              </w:rPr>
            </w:pPr>
            <w:r w:rsidRPr="00F35716">
              <w:rPr>
                <w:bCs/>
                <w:sz w:val="17"/>
                <w:szCs w:val="17"/>
              </w:rPr>
              <w:t>816</w:t>
            </w:r>
          </w:p>
        </w:tc>
      </w:tr>
      <w:tr w:rsidR="00C14CB5" w:rsidRPr="00F35716" w14:paraId="32E945A7" w14:textId="77777777" w:rsidTr="00C14CB5">
        <w:tc>
          <w:tcPr>
            <w:tcW w:w="2498" w:type="dxa"/>
            <w:tcBorders>
              <w:bottom w:val="single" w:sz="4" w:space="0" w:color="auto"/>
            </w:tcBorders>
            <w:vAlign w:val="bottom"/>
          </w:tcPr>
          <w:p w14:paraId="32E945A4" w14:textId="77777777" w:rsidR="00C14CB5" w:rsidRPr="00F35716" w:rsidRDefault="00C14CB5" w:rsidP="006F34C8">
            <w:pPr>
              <w:spacing w:before="40" w:after="80" w:line="210" w:lineRule="exact"/>
              <w:rPr>
                <w:bCs/>
                <w:sz w:val="17"/>
                <w:szCs w:val="17"/>
              </w:rPr>
            </w:pPr>
            <w:r w:rsidRPr="00F35716">
              <w:rPr>
                <w:bCs/>
                <w:sz w:val="17"/>
                <w:szCs w:val="17"/>
              </w:rPr>
              <w:t>Turismo</w:t>
            </w:r>
          </w:p>
        </w:tc>
        <w:tc>
          <w:tcPr>
            <w:tcW w:w="2498" w:type="dxa"/>
            <w:tcBorders>
              <w:bottom w:val="single" w:sz="4" w:space="0" w:color="auto"/>
            </w:tcBorders>
            <w:vAlign w:val="bottom"/>
          </w:tcPr>
          <w:p w14:paraId="32E945A5" w14:textId="77777777" w:rsidR="00C14CB5" w:rsidRPr="00F35716" w:rsidRDefault="00C14CB5" w:rsidP="006F34C8">
            <w:pPr>
              <w:spacing w:before="40" w:after="80" w:line="210" w:lineRule="exact"/>
              <w:jc w:val="right"/>
              <w:rPr>
                <w:bCs/>
                <w:sz w:val="17"/>
                <w:szCs w:val="17"/>
              </w:rPr>
            </w:pPr>
            <w:r w:rsidRPr="00F35716">
              <w:rPr>
                <w:bCs/>
                <w:sz w:val="17"/>
                <w:szCs w:val="17"/>
              </w:rPr>
              <w:t>113</w:t>
            </w:r>
          </w:p>
        </w:tc>
        <w:tc>
          <w:tcPr>
            <w:tcW w:w="2498" w:type="dxa"/>
            <w:tcBorders>
              <w:bottom w:val="single" w:sz="4" w:space="0" w:color="auto"/>
            </w:tcBorders>
            <w:shd w:val="clear" w:color="auto" w:fill="auto"/>
            <w:vAlign w:val="bottom"/>
          </w:tcPr>
          <w:p w14:paraId="32E945A6" w14:textId="77777777" w:rsidR="00C14CB5" w:rsidRPr="00F35716" w:rsidRDefault="00C14CB5" w:rsidP="00B3481D">
            <w:pPr>
              <w:spacing w:before="40" w:after="80" w:line="210" w:lineRule="exact"/>
              <w:jc w:val="right"/>
              <w:rPr>
                <w:bCs/>
                <w:sz w:val="17"/>
                <w:szCs w:val="17"/>
              </w:rPr>
            </w:pPr>
            <w:r w:rsidRPr="00F35716">
              <w:rPr>
                <w:bCs/>
                <w:sz w:val="17"/>
                <w:szCs w:val="17"/>
              </w:rPr>
              <w:t>799</w:t>
            </w:r>
          </w:p>
        </w:tc>
      </w:tr>
      <w:tr w:rsidR="00C14CB5" w:rsidRPr="00F35716" w14:paraId="32E945AB" w14:textId="77777777" w:rsidTr="00C14CB5">
        <w:trPr>
          <w:trHeight w:val="90"/>
        </w:trPr>
        <w:tc>
          <w:tcPr>
            <w:tcW w:w="2498" w:type="dxa"/>
            <w:tcBorders>
              <w:top w:val="single" w:sz="4" w:space="0" w:color="auto"/>
              <w:bottom w:val="single" w:sz="12" w:space="0" w:color="auto"/>
            </w:tcBorders>
            <w:vAlign w:val="bottom"/>
          </w:tcPr>
          <w:p w14:paraId="32E945A8" w14:textId="77777777" w:rsidR="00C14CB5" w:rsidRPr="00F35716" w:rsidRDefault="00C14CB5" w:rsidP="00534208">
            <w:pPr>
              <w:spacing w:before="80" w:after="80" w:line="210" w:lineRule="exact"/>
              <w:rPr>
                <w:b/>
                <w:bCs/>
                <w:sz w:val="17"/>
                <w:szCs w:val="17"/>
              </w:rPr>
            </w:pPr>
            <w:r w:rsidRPr="00F35716">
              <w:rPr>
                <w:b/>
                <w:bCs/>
                <w:sz w:val="17"/>
                <w:szCs w:val="17"/>
              </w:rPr>
              <w:tab/>
              <w:t>Total</w:t>
            </w:r>
          </w:p>
        </w:tc>
        <w:tc>
          <w:tcPr>
            <w:tcW w:w="2498" w:type="dxa"/>
            <w:tcBorders>
              <w:top w:val="single" w:sz="4" w:space="0" w:color="auto"/>
              <w:bottom w:val="single" w:sz="12" w:space="0" w:color="auto"/>
            </w:tcBorders>
            <w:vAlign w:val="bottom"/>
          </w:tcPr>
          <w:p w14:paraId="32E945A9" w14:textId="77777777" w:rsidR="00C14CB5" w:rsidRPr="00F35716" w:rsidRDefault="00C14CB5" w:rsidP="006F34C8">
            <w:pPr>
              <w:spacing w:before="80" w:after="80" w:line="210" w:lineRule="exact"/>
              <w:jc w:val="right"/>
              <w:rPr>
                <w:b/>
                <w:sz w:val="17"/>
                <w:szCs w:val="17"/>
              </w:rPr>
            </w:pPr>
            <w:r w:rsidRPr="00F35716">
              <w:rPr>
                <w:b/>
                <w:sz w:val="17"/>
                <w:szCs w:val="17"/>
              </w:rPr>
              <w:t>7.764</w:t>
            </w:r>
          </w:p>
        </w:tc>
        <w:tc>
          <w:tcPr>
            <w:tcW w:w="2498" w:type="dxa"/>
            <w:tcBorders>
              <w:top w:val="single" w:sz="4" w:space="0" w:color="auto"/>
              <w:bottom w:val="single" w:sz="12" w:space="0" w:color="auto"/>
            </w:tcBorders>
            <w:shd w:val="clear" w:color="auto" w:fill="auto"/>
            <w:vAlign w:val="bottom"/>
          </w:tcPr>
          <w:p w14:paraId="32E945AA" w14:textId="77777777" w:rsidR="00C14CB5" w:rsidRPr="00F35716" w:rsidRDefault="00C14CB5" w:rsidP="00534208">
            <w:pPr>
              <w:spacing w:before="80" w:after="80" w:line="210" w:lineRule="exact"/>
              <w:jc w:val="right"/>
              <w:rPr>
                <w:b/>
                <w:sz w:val="17"/>
                <w:szCs w:val="17"/>
              </w:rPr>
            </w:pPr>
            <w:r w:rsidRPr="00F35716">
              <w:rPr>
                <w:b/>
                <w:sz w:val="17"/>
                <w:szCs w:val="17"/>
              </w:rPr>
              <w:t>51.067</w:t>
            </w:r>
          </w:p>
        </w:tc>
      </w:tr>
    </w:tbl>
    <w:p w14:paraId="32E945AC" w14:textId="77777777" w:rsidR="004500CF" w:rsidRPr="00F35716" w:rsidRDefault="004500CF" w:rsidP="004500CF">
      <w:pPr>
        <w:pStyle w:val="SingleTxt"/>
        <w:spacing w:after="0" w:line="120" w:lineRule="exact"/>
        <w:rPr>
          <w:sz w:val="10"/>
          <w:szCs w:val="20"/>
        </w:rPr>
      </w:pPr>
    </w:p>
    <w:p w14:paraId="32E945AD" w14:textId="77777777" w:rsidR="004500CF" w:rsidRPr="00F35716" w:rsidRDefault="004500CF" w:rsidP="004500CF">
      <w:pPr>
        <w:pStyle w:val="SingleTxt"/>
        <w:spacing w:after="0" w:line="120" w:lineRule="exact"/>
        <w:rPr>
          <w:sz w:val="10"/>
          <w:szCs w:val="20"/>
        </w:rPr>
      </w:pPr>
    </w:p>
    <w:p w14:paraId="32E945AE" w14:textId="5BB97646" w:rsidR="00EC3C86" w:rsidRPr="00F35716" w:rsidRDefault="00EC3C86" w:rsidP="00B3192A">
      <w:pPr>
        <w:pStyle w:val="SingleTxt"/>
        <w:numPr>
          <w:ilvl w:val="0"/>
          <w:numId w:val="8"/>
        </w:numPr>
        <w:ind w:left="1267" w:firstLine="0"/>
      </w:pPr>
      <w:r w:rsidRPr="00F35716">
        <w:t xml:space="preserve">La </w:t>
      </w:r>
      <w:r w:rsidR="007102BE" w:rsidRPr="00F35716">
        <w:t xml:space="preserve">Iniciativa </w:t>
      </w:r>
      <w:r w:rsidR="002669A6" w:rsidRPr="00F35716">
        <w:t>se ha asegurado de que</w:t>
      </w:r>
      <w:r w:rsidRPr="00F35716">
        <w:t xml:space="preserve"> las mujeres </w:t>
      </w:r>
      <w:r w:rsidR="002669A6" w:rsidRPr="00F35716">
        <w:t xml:space="preserve">desempeñen </w:t>
      </w:r>
      <w:r w:rsidRPr="00F35716">
        <w:t>un papel fundamental en la</w:t>
      </w:r>
      <w:r w:rsidR="007A3B85" w:rsidRPr="00F35716">
        <w:t> </w:t>
      </w:r>
      <w:r w:rsidR="000369E6" w:rsidRPr="00F35716">
        <w:t xml:space="preserve">ejecución </w:t>
      </w:r>
      <w:r w:rsidRPr="00F35716">
        <w:t>de sus programas. En el período 2005-2018 se pusieron en marcha alrededor de 9.400 actividades generadoras de ingresos en beneficio de los titula</w:t>
      </w:r>
      <w:r w:rsidR="000369E6" w:rsidRPr="00F35716">
        <w:t>res de certificados</w:t>
      </w:r>
      <w:r w:rsidRPr="00F35716">
        <w:t xml:space="preserve"> de diferentes grupos objetivo, la mitad de los cuales eran mujeres</w:t>
      </w:r>
      <w:r w:rsidR="002669A6" w:rsidRPr="00F35716">
        <w:t xml:space="preserve"> que pudieron</w:t>
      </w:r>
      <w:r w:rsidRPr="00F35716">
        <w:t xml:space="preserve"> mejorar sus condiciones sociales y económicas.</w:t>
      </w:r>
    </w:p>
    <w:p w14:paraId="32E945AF" w14:textId="58173631" w:rsidR="00EC3C86" w:rsidRPr="00F35716" w:rsidRDefault="00EC3C86" w:rsidP="00B3192A">
      <w:pPr>
        <w:pStyle w:val="SingleTxt"/>
        <w:numPr>
          <w:ilvl w:val="0"/>
          <w:numId w:val="8"/>
        </w:numPr>
        <w:ind w:left="1267" w:firstLine="0"/>
      </w:pPr>
      <w:r w:rsidRPr="00F35716">
        <w:t xml:space="preserve">Se ha </w:t>
      </w:r>
      <w:r w:rsidR="002669A6" w:rsidRPr="00F35716">
        <w:t>desarrollado</w:t>
      </w:r>
      <w:r w:rsidRPr="00F35716">
        <w:t xml:space="preserve"> un conjunto de proyectos para combatir el abandono escolar y alentar en especial a las niñas de zonas rurales a estudiar. En dichas zonas, la </w:t>
      </w:r>
      <w:r w:rsidR="002669A6" w:rsidRPr="00F35716">
        <w:t>I</w:t>
      </w:r>
      <w:r w:rsidRPr="00F35716">
        <w:t xml:space="preserve">niciativa trabajó para construir y equipar </w:t>
      </w:r>
      <w:r w:rsidR="002669A6" w:rsidRPr="00F35716">
        <w:t>diversas</w:t>
      </w:r>
      <w:r w:rsidRPr="00F35716">
        <w:t xml:space="preserve"> residencias de estudiantes y adquirir medios de transporte escolar.</w:t>
      </w:r>
    </w:p>
    <w:p w14:paraId="32E945B0" w14:textId="25C35015" w:rsidR="00EC3C86" w:rsidRPr="00F35716" w:rsidRDefault="00EC3C86" w:rsidP="00B3192A">
      <w:pPr>
        <w:pStyle w:val="SingleTxt"/>
        <w:numPr>
          <w:ilvl w:val="0"/>
          <w:numId w:val="8"/>
        </w:numPr>
        <w:ind w:left="1267" w:firstLine="0"/>
      </w:pPr>
      <w:r w:rsidRPr="00F35716">
        <w:t>Con el objetivo de mejorar el acceso de las mujeres a los servicios de salud, se han proporcionado y rehabilitado algunos centros de salud</w:t>
      </w:r>
      <w:r w:rsidR="00B44A1F" w:rsidRPr="00F35716">
        <w:t>. S</w:t>
      </w:r>
      <w:r w:rsidRPr="00F35716">
        <w:t xml:space="preserve">e </w:t>
      </w:r>
      <w:r w:rsidR="00B44A1F" w:rsidRPr="00F35716">
        <w:t xml:space="preserve">han </w:t>
      </w:r>
      <w:r w:rsidRPr="00F35716">
        <w:t>organiza</w:t>
      </w:r>
      <w:r w:rsidR="00B44A1F" w:rsidRPr="00F35716">
        <w:t>do</w:t>
      </w:r>
      <w:r w:rsidRPr="00F35716">
        <w:t xml:space="preserve"> convoyes médicos y campañas de sensibilización y se </w:t>
      </w:r>
      <w:r w:rsidR="00B44A1F" w:rsidRPr="00F35716">
        <w:t>han creado</w:t>
      </w:r>
      <w:r w:rsidRPr="00F35716">
        <w:t xml:space="preserve"> cerca de 240 </w:t>
      </w:r>
      <w:r w:rsidR="00240D4E" w:rsidRPr="00F35716">
        <w:t>maternidades y paritorios</w:t>
      </w:r>
      <w:r w:rsidRPr="00F35716">
        <w:t xml:space="preserve"> que han contribuido a reducir la tasa de mortalidad materna </w:t>
      </w:r>
      <w:r w:rsidR="00B44A1F" w:rsidRPr="00F35716">
        <w:t>y en la niñez</w:t>
      </w:r>
      <w:r w:rsidRPr="00F35716">
        <w:t xml:space="preserve">. También se </w:t>
      </w:r>
      <w:r w:rsidR="00B44A1F" w:rsidRPr="00F35716">
        <w:t xml:space="preserve">han </w:t>
      </w:r>
      <w:r w:rsidRPr="00F35716">
        <w:t>crea</w:t>
      </w:r>
      <w:r w:rsidR="00B44A1F" w:rsidRPr="00F35716">
        <w:t>do</w:t>
      </w:r>
      <w:r w:rsidRPr="00F35716">
        <w:t xml:space="preserve"> 1.134 centros especiales destinados a atender a mujeres </w:t>
      </w:r>
      <w:r w:rsidR="00B44A1F" w:rsidRPr="00F35716">
        <w:t>que se encuentran en circunstancias difíciles</w:t>
      </w:r>
      <w:r w:rsidRPr="00F35716">
        <w:t>.</w:t>
      </w:r>
    </w:p>
    <w:p w14:paraId="32E945B1" w14:textId="507C43C3" w:rsidR="00EC3C86" w:rsidRPr="00F35716" w:rsidRDefault="00EC3C86" w:rsidP="00B3192A">
      <w:pPr>
        <w:pStyle w:val="SingleTxt"/>
        <w:numPr>
          <w:ilvl w:val="0"/>
          <w:numId w:val="8"/>
        </w:numPr>
        <w:ind w:left="1267" w:firstLine="0"/>
      </w:pPr>
      <w:r w:rsidRPr="00F35716">
        <w:lastRenderedPageBreak/>
        <w:t xml:space="preserve">La tercera fase de la Iniciativa Nacional de Desarrollo Humano </w:t>
      </w:r>
      <w:r w:rsidR="00240D4E" w:rsidRPr="00F35716">
        <w:t>(</w:t>
      </w:r>
      <w:r w:rsidRPr="00F35716">
        <w:t>2019-2023</w:t>
      </w:r>
      <w:r w:rsidR="00240D4E" w:rsidRPr="00F35716">
        <w:t>)</w:t>
      </w:r>
      <w:r w:rsidRPr="00F35716">
        <w:t xml:space="preserve"> comenzó el 18 de septiembre de 2018. Esta </w:t>
      </w:r>
      <w:r w:rsidR="00C30463" w:rsidRPr="00F35716">
        <w:t>fase se pone en práctica usando</w:t>
      </w:r>
      <w:r w:rsidRPr="00F35716">
        <w:t xml:space="preserve"> un sistema de focalización preciso</w:t>
      </w:r>
      <w:r w:rsidR="00240D4E" w:rsidRPr="00F35716">
        <w:t xml:space="preserve"> basado en un</w:t>
      </w:r>
      <w:r w:rsidR="00483D95" w:rsidRPr="00F35716">
        <w:t xml:space="preserve"> </w:t>
      </w:r>
      <w:r w:rsidRPr="00F35716">
        <w:t>programa dirigid</w:t>
      </w:r>
      <w:r w:rsidR="00240D4E" w:rsidRPr="00F35716">
        <w:t>o</w:t>
      </w:r>
      <w:r w:rsidRPr="00F35716">
        <w:t xml:space="preserve"> a promover el capital humano. Las tareas de </w:t>
      </w:r>
      <w:r w:rsidR="00C30463" w:rsidRPr="00F35716">
        <w:t>los órganos de gobernanza local</w:t>
      </w:r>
      <w:r w:rsidRPr="00F35716">
        <w:t xml:space="preserve"> se han redefinido de acuerdo con </w:t>
      </w:r>
      <w:r w:rsidR="00C30463" w:rsidRPr="00F35716">
        <w:t xml:space="preserve">las exigencias de mayor regionalismo y descentralización </w:t>
      </w:r>
      <w:r w:rsidRPr="00F35716">
        <w:t>administrativ</w:t>
      </w:r>
      <w:r w:rsidR="00C30463" w:rsidRPr="00F35716">
        <w:t>a. L</w:t>
      </w:r>
      <w:r w:rsidRPr="00F35716">
        <w:t>a representación de las mujeres en estos órganos se ha elevado al 20</w:t>
      </w:r>
      <w:r w:rsidR="0006736D" w:rsidRPr="00F35716">
        <w:t> %</w:t>
      </w:r>
      <w:r w:rsidRPr="00F35716">
        <w:t xml:space="preserve">. </w:t>
      </w:r>
      <w:r w:rsidR="00C30463" w:rsidRPr="00F35716">
        <w:t>S</w:t>
      </w:r>
      <w:r w:rsidRPr="00F35716">
        <w:t xml:space="preserve">e ha </w:t>
      </w:r>
      <w:r w:rsidR="00C30463" w:rsidRPr="00F35716">
        <w:t xml:space="preserve">destinado </w:t>
      </w:r>
      <w:r w:rsidRPr="00F35716">
        <w:t xml:space="preserve">una </w:t>
      </w:r>
      <w:r w:rsidR="00C30463" w:rsidRPr="00F35716">
        <w:t xml:space="preserve">dotación </w:t>
      </w:r>
      <w:r w:rsidRPr="00F35716">
        <w:t xml:space="preserve">financiera de 18.000 millones de dírhams </w:t>
      </w:r>
      <w:r w:rsidR="00C30463" w:rsidRPr="00F35716">
        <w:t xml:space="preserve">para esta fase con miras a </w:t>
      </w:r>
      <w:r w:rsidRPr="00F35716">
        <w:t>financiar cuatro programas:</w:t>
      </w:r>
    </w:p>
    <w:p w14:paraId="32E945B2" w14:textId="6662F46C" w:rsidR="00EC3C86" w:rsidRPr="00F35716" w:rsidRDefault="00113CF1" w:rsidP="00113CF1">
      <w:pPr>
        <w:pStyle w:val="SingleTxt"/>
        <w:tabs>
          <w:tab w:val="right" w:pos="1685"/>
        </w:tabs>
        <w:ind w:left="1742" w:hanging="475"/>
        <w:rPr>
          <w:rFonts w:eastAsia="SimSun"/>
          <w:rtl/>
          <w:cs/>
          <w:lang w:eastAsia="zh-CN"/>
        </w:rPr>
      </w:pPr>
      <w:r w:rsidRPr="00F35716">
        <w:tab/>
        <w:t>–</w:t>
      </w:r>
      <w:r w:rsidRPr="00F35716">
        <w:tab/>
      </w:r>
      <w:r w:rsidR="00EC3C86" w:rsidRPr="00F35716">
        <w:t xml:space="preserve">Un programa para remediar las deficiencias de las infraestructuras y los servicios básicos en </w:t>
      </w:r>
      <w:r w:rsidR="00C30463" w:rsidRPr="00F35716">
        <w:t>las localidades</w:t>
      </w:r>
      <w:r w:rsidR="00EC3C86" w:rsidRPr="00F35716">
        <w:t xml:space="preserve"> </w:t>
      </w:r>
      <w:r w:rsidR="00C30463" w:rsidRPr="00F35716">
        <w:t xml:space="preserve">peor </w:t>
      </w:r>
      <w:r w:rsidR="00EC3C86" w:rsidRPr="00F35716">
        <w:t>equipad</w:t>
      </w:r>
      <w:r w:rsidR="00C30463" w:rsidRPr="00F35716">
        <w:t>a</w:t>
      </w:r>
      <w:r w:rsidR="00EC3C86" w:rsidRPr="00F35716">
        <w:t>s, con un presupuesto de 4.000 millones de dírhams.</w:t>
      </w:r>
    </w:p>
    <w:p w14:paraId="32E945B3" w14:textId="7AF7AB08" w:rsidR="00EC3C86" w:rsidRPr="00F35716" w:rsidRDefault="00113CF1" w:rsidP="00113CF1">
      <w:pPr>
        <w:pStyle w:val="SingleTxt"/>
        <w:tabs>
          <w:tab w:val="right" w:pos="1685"/>
        </w:tabs>
        <w:ind w:left="1742" w:hanging="475"/>
      </w:pPr>
      <w:r w:rsidRPr="00F35716">
        <w:tab/>
        <w:t>–</w:t>
      </w:r>
      <w:r w:rsidRPr="00F35716">
        <w:tab/>
      </w:r>
      <w:r w:rsidR="00EC3C86" w:rsidRPr="00F35716">
        <w:t xml:space="preserve">Un programa para acompañar a las personas en situación </w:t>
      </w:r>
      <w:r w:rsidR="00C30463" w:rsidRPr="00F35716">
        <w:t xml:space="preserve">de </w:t>
      </w:r>
      <w:r w:rsidR="00EC3C86" w:rsidRPr="00F35716">
        <w:t>vulnerab</w:t>
      </w:r>
      <w:r w:rsidR="00C30463" w:rsidRPr="00F35716">
        <w:t>ilidad</w:t>
      </w:r>
      <w:r w:rsidR="00EC3C86" w:rsidRPr="00F35716">
        <w:t xml:space="preserve">, </w:t>
      </w:r>
      <w:r w:rsidR="00AB55A3" w:rsidRPr="00F35716">
        <w:t>de</w:t>
      </w:r>
      <w:r w:rsidR="00EC3C86" w:rsidRPr="00F35716">
        <w:t xml:space="preserve"> 11 categorías</w:t>
      </w:r>
      <w:r w:rsidR="00AB55A3" w:rsidRPr="00F35716">
        <w:t xml:space="preserve"> distintas</w:t>
      </w:r>
      <w:r w:rsidR="00EC3C86" w:rsidRPr="00F35716">
        <w:t>, con un presupuesto de 4.000 millones de</w:t>
      </w:r>
      <w:r w:rsidR="0090038C" w:rsidRPr="00F35716">
        <w:t> </w:t>
      </w:r>
      <w:r w:rsidR="00EC3C86" w:rsidRPr="00F35716">
        <w:t>dírhams.</w:t>
      </w:r>
    </w:p>
    <w:p w14:paraId="32E945B4" w14:textId="42929749" w:rsidR="00EC3C86" w:rsidRPr="00F35716" w:rsidRDefault="00113CF1" w:rsidP="00113CF1">
      <w:pPr>
        <w:pStyle w:val="SingleTxt"/>
        <w:tabs>
          <w:tab w:val="right" w:pos="1685"/>
        </w:tabs>
        <w:ind w:left="1742" w:hanging="475"/>
      </w:pPr>
      <w:r w:rsidRPr="00F35716">
        <w:tab/>
        <w:t>–</w:t>
      </w:r>
      <w:r w:rsidRPr="00F35716">
        <w:tab/>
      </w:r>
      <w:r w:rsidR="00EC3C86" w:rsidRPr="00F35716">
        <w:t xml:space="preserve">Un programa para incrementar los ingresos, </w:t>
      </w:r>
      <w:r w:rsidR="00AB55A3" w:rsidRPr="00F35716">
        <w:t xml:space="preserve">mejorar </w:t>
      </w:r>
      <w:r w:rsidR="00EC3C86" w:rsidRPr="00F35716">
        <w:t xml:space="preserve">la inclusión económica de los jóvenes y crear oportunidades de trabajo para ellos </w:t>
      </w:r>
      <w:r w:rsidR="00AB55A3" w:rsidRPr="00F35716">
        <w:t>mediante la</w:t>
      </w:r>
      <w:r w:rsidR="004C382F" w:rsidRPr="00F35716">
        <w:t> </w:t>
      </w:r>
      <w:r w:rsidR="00EC3C86" w:rsidRPr="00F35716">
        <w:t xml:space="preserve">capacitación y </w:t>
      </w:r>
      <w:r w:rsidR="00AB55A3" w:rsidRPr="00F35716">
        <w:t>el apoyo,</w:t>
      </w:r>
      <w:r w:rsidR="00EC3C86" w:rsidRPr="00F35716">
        <w:t xml:space="preserve"> con un presupuesto de 4.000</w:t>
      </w:r>
      <w:r w:rsidR="004C382F" w:rsidRPr="00F35716">
        <w:t> </w:t>
      </w:r>
      <w:r w:rsidR="00EC3C86" w:rsidRPr="00F35716">
        <w:t>millones de dírhams.</w:t>
      </w:r>
    </w:p>
    <w:p w14:paraId="32E945B5" w14:textId="51119F61" w:rsidR="00EC3C86" w:rsidRPr="00F35716" w:rsidRDefault="00113CF1" w:rsidP="00132DAF">
      <w:pPr>
        <w:pStyle w:val="SingleTxt"/>
        <w:keepLines/>
        <w:tabs>
          <w:tab w:val="right" w:pos="1685"/>
        </w:tabs>
        <w:ind w:left="1742" w:hanging="475"/>
      </w:pPr>
      <w:r w:rsidRPr="00F35716">
        <w:tab/>
        <w:t>–</w:t>
      </w:r>
      <w:r w:rsidRPr="00F35716">
        <w:tab/>
      </w:r>
      <w:r w:rsidR="00EC3C86" w:rsidRPr="00F35716">
        <w:t xml:space="preserve">Un programa para impulsar el desarrollo humano de las generaciones </w:t>
      </w:r>
      <w:r w:rsidR="00AB55A3" w:rsidRPr="00F35716">
        <w:t>venideras ofreciéndoles apoyo durante</w:t>
      </w:r>
      <w:r w:rsidR="00EC3C86" w:rsidRPr="00F35716">
        <w:t xml:space="preserve"> la primera infancia y la juventud</w:t>
      </w:r>
      <w:r w:rsidR="00AB55A3" w:rsidRPr="00F35716">
        <w:t>,</w:t>
      </w:r>
      <w:r w:rsidR="00EC3C86" w:rsidRPr="00F35716">
        <w:t xml:space="preserve"> con un presupuesto de 6.000 millones de dírhams</w:t>
      </w:r>
      <w:r w:rsidR="00AB55A3" w:rsidRPr="00F35716">
        <w:t>. Uno de los objetivos de este programa es</w:t>
      </w:r>
      <w:r w:rsidR="00EC3C86" w:rsidRPr="00F35716">
        <w:t xml:space="preserve"> mejorar la salud y la nutrición de la madre y el niño.</w:t>
      </w:r>
    </w:p>
    <w:p w14:paraId="32E945B6" w14:textId="50A56B26" w:rsidR="00EC3C86" w:rsidRPr="00F35716" w:rsidRDefault="00EC3C86" w:rsidP="00B3192A">
      <w:pPr>
        <w:pStyle w:val="SingleTxt"/>
        <w:numPr>
          <w:ilvl w:val="0"/>
          <w:numId w:val="8"/>
        </w:numPr>
        <w:ind w:left="1267" w:firstLine="0"/>
      </w:pPr>
      <w:r w:rsidRPr="00F35716">
        <w:t xml:space="preserve">A fin de generar un </w:t>
      </w:r>
      <w:r w:rsidR="00AB55A3" w:rsidRPr="00F35716">
        <w:t>entorno</w:t>
      </w:r>
      <w:r w:rsidRPr="00F35716">
        <w:t xml:space="preserve"> propicio para el </w:t>
      </w:r>
      <w:r w:rsidR="00AB55A3" w:rsidRPr="00F35716">
        <w:t>empleo</w:t>
      </w:r>
      <w:r w:rsidRPr="00F35716">
        <w:t xml:space="preserve"> de las mujeres y el emprendimiento femenino, se han implementado varias medidas en colaboración con asociaciones, el sector privado y asociados internacionales para el desarrollo. Entre ellas</w:t>
      </w:r>
      <w:r w:rsidR="00AB55A3" w:rsidRPr="00F35716">
        <w:t xml:space="preserve"> cabe destacar</w:t>
      </w:r>
      <w:r w:rsidRPr="00F35716">
        <w:t>:</w:t>
      </w:r>
    </w:p>
    <w:p w14:paraId="32E945B7" w14:textId="6C76D6DC" w:rsidR="00EC3C86" w:rsidRPr="00F35716" w:rsidRDefault="009815A6" w:rsidP="009815A6">
      <w:pPr>
        <w:pStyle w:val="SingleTxt"/>
        <w:tabs>
          <w:tab w:val="right" w:pos="1685"/>
        </w:tabs>
        <w:ind w:left="1742" w:hanging="475"/>
      </w:pPr>
      <w:r w:rsidRPr="00F35716">
        <w:tab/>
        <w:t>•</w:t>
      </w:r>
      <w:r w:rsidRPr="00F35716">
        <w:tab/>
      </w:r>
      <w:r w:rsidR="00EC3C86" w:rsidRPr="00F35716">
        <w:t>La creación de</w:t>
      </w:r>
      <w:r w:rsidR="00AB55A3" w:rsidRPr="00F35716">
        <w:t>l fondo</w:t>
      </w:r>
      <w:r w:rsidR="00EC3C86" w:rsidRPr="00F35716">
        <w:t xml:space="preserve"> </w:t>
      </w:r>
      <w:r w:rsidR="00AB55A3" w:rsidRPr="00F35716">
        <w:t>“</w:t>
      </w:r>
      <w:r w:rsidR="00EC3C86" w:rsidRPr="00F35716">
        <w:rPr>
          <w:iCs/>
        </w:rPr>
        <w:t>Ilayki</w:t>
      </w:r>
      <w:r w:rsidR="00AB55A3" w:rsidRPr="00F35716">
        <w:rPr>
          <w:iCs/>
        </w:rPr>
        <w:t>”</w:t>
      </w:r>
      <w:r w:rsidR="00EC3C86" w:rsidRPr="00F35716">
        <w:t>, cuyo propósito es animar a las mujeres a iniciar un negocio otorg</w:t>
      </w:r>
      <w:r w:rsidR="00AB55A3" w:rsidRPr="00F35716">
        <w:t>ándoles</w:t>
      </w:r>
      <w:r w:rsidR="00EC3C86" w:rsidRPr="00F35716">
        <w:t xml:space="preserve"> hasta el 80</w:t>
      </w:r>
      <w:r w:rsidR="0006736D" w:rsidRPr="00F35716">
        <w:t> %</w:t>
      </w:r>
      <w:r w:rsidR="00EC3C86" w:rsidRPr="00F35716">
        <w:t xml:space="preserve"> de los préstamos bancarios. Desde su </w:t>
      </w:r>
      <w:r w:rsidR="009D1857" w:rsidRPr="00F35716">
        <w:t xml:space="preserve">puesta en marcha </w:t>
      </w:r>
      <w:r w:rsidR="00EC3C86" w:rsidRPr="00F35716">
        <w:t xml:space="preserve">en marzo de 2013 hasta noviembre de 2019, se han aprobado unos 3.643 proyectos, con un presupuesto de 773 millones de dírhams, </w:t>
      </w:r>
      <w:r w:rsidR="009D1857" w:rsidRPr="00F35716">
        <w:t xml:space="preserve">distribuidos </w:t>
      </w:r>
      <w:r w:rsidR="00EC3C86" w:rsidRPr="00F35716">
        <w:t>en</w:t>
      </w:r>
      <w:r w:rsidR="009D1857" w:rsidRPr="00F35716">
        <w:t>tre</w:t>
      </w:r>
      <w:r w:rsidR="00EC3C86" w:rsidRPr="00F35716">
        <w:t xml:space="preserve"> los sectores de la salud y el trabajo social (36</w:t>
      </w:r>
      <w:r w:rsidR="0006736D" w:rsidRPr="00F35716">
        <w:t> %</w:t>
      </w:r>
      <w:r w:rsidR="00EC3C86" w:rsidRPr="00F35716">
        <w:t>), el comercio (27</w:t>
      </w:r>
      <w:r w:rsidR="0006736D" w:rsidRPr="00F35716">
        <w:t> %</w:t>
      </w:r>
      <w:r w:rsidR="00EC3C86" w:rsidRPr="00F35716">
        <w:t>), los servicios (16</w:t>
      </w:r>
      <w:r w:rsidR="0006736D" w:rsidRPr="00F35716">
        <w:t> %</w:t>
      </w:r>
      <w:r w:rsidR="00EC3C86" w:rsidRPr="00F35716">
        <w:t>), los hoteles y restaurantes (6</w:t>
      </w:r>
      <w:r w:rsidR="0006736D" w:rsidRPr="00F35716">
        <w:t> %</w:t>
      </w:r>
      <w:r w:rsidR="00EC3C86" w:rsidRPr="00F35716">
        <w:t>), la industria (5</w:t>
      </w:r>
      <w:r w:rsidR="0006736D" w:rsidRPr="00F35716">
        <w:t> %</w:t>
      </w:r>
      <w:r w:rsidR="00EC3C86" w:rsidRPr="00F35716">
        <w:t>) y la educación (4</w:t>
      </w:r>
      <w:r w:rsidR="0006736D" w:rsidRPr="00F35716">
        <w:t> %</w:t>
      </w:r>
      <w:r w:rsidR="00EC3C86" w:rsidRPr="00F35716">
        <w:t xml:space="preserve">). </w:t>
      </w:r>
    </w:p>
    <w:p w14:paraId="32E945B8" w14:textId="59688368" w:rsidR="00EC3C86" w:rsidRPr="00F35716" w:rsidRDefault="009815A6" w:rsidP="009815A6">
      <w:pPr>
        <w:pStyle w:val="SingleTxt"/>
        <w:tabs>
          <w:tab w:val="right" w:pos="1685"/>
        </w:tabs>
        <w:ind w:left="1742" w:hanging="475"/>
      </w:pPr>
      <w:r w:rsidRPr="00F35716">
        <w:tab/>
        <w:t>•</w:t>
      </w:r>
      <w:r w:rsidRPr="00F35716">
        <w:tab/>
      </w:r>
      <w:r w:rsidR="00EC3C86" w:rsidRPr="00F35716">
        <w:t xml:space="preserve">Un sistema de autocontratación que, entre 2015 y finales de abril de 2019, permitió crear 103.160 </w:t>
      </w:r>
      <w:r w:rsidR="009D1857" w:rsidRPr="00F35716">
        <w:t xml:space="preserve">empresas </w:t>
      </w:r>
      <w:r w:rsidR="00EC3C86" w:rsidRPr="00F35716">
        <w:t xml:space="preserve">por cuenta propia, de </w:t>
      </w:r>
      <w:r w:rsidR="009D1857" w:rsidRPr="00F35716">
        <w:t xml:space="preserve">las </w:t>
      </w:r>
      <w:r w:rsidR="00EC3C86" w:rsidRPr="00F35716">
        <w:t>cuales el 31</w:t>
      </w:r>
      <w:r w:rsidR="0006736D" w:rsidRPr="00F35716">
        <w:t> %</w:t>
      </w:r>
      <w:r w:rsidR="00EC3C86" w:rsidRPr="00F35716">
        <w:t xml:space="preserve"> eran de mujeres.</w:t>
      </w:r>
    </w:p>
    <w:p w14:paraId="32E945B9" w14:textId="0C2FFD48" w:rsidR="00EC3C86" w:rsidRPr="00F35716" w:rsidRDefault="009815A6" w:rsidP="009815A6">
      <w:pPr>
        <w:pStyle w:val="SingleTxt"/>
        <w:tabs>
          <w:tab w:val="right" w:pos="1685"/>
        </w:tabs>
        <w:ind w:left="1742" w:hanging="475"/>
      </w:pPr>
      <w:r w:rsidRPr="00F35716">
        <w:tab/>
        <w:t>•</w:t>
      </w:r>
      <w:r w:rsidRPr="00F35716">
        <w:tab/>
      </w:r>
      <w:r w:rsidR="00EC3C86" w:rsidRPr="00F35716">
        <w:t xml:space="preserve">La prestación de apoyo </w:t>
      </w:r>
      <w:r w:rsidR="009D1857" w:rsidRPr="00F35716">
        <w:t>a</w:t>
      </w:r>
      <w:r w:rsidR="00EC3C86" w:rsidRPr="00F35716">
        <w:t xml:space="preserve">l emprendimiento femenino mediante el desarrollo de herramientas destinadas a respaldar a las </w:t>
      </w:r>
      <w:r w:rsidR="009D1857" w:rsidRPr="00F35716">
        <w:t>pequeñas y medianas empresas</w:t>
      </w:r>
      <w:r w:rsidR="00EC3C86" w:rsidRPr="00F35716">
        <w:t xml:space="preserve"> y a producir datos desglosados por tipo.</w:t>
      </w:r>
    </w:p>
    <w:p w14:paraId="32E945BA" w14:textId="17D7BC18" w:rsidR="00EC3C86" w:rsidRPr="00F35716" w:rsidRDefault="009815A6" w:rsidP="009815A6">
      <w:pPr>
        <w:pStyle w:val="SingleTxt"/>
        <w:tabs>
          <w:tab w:val="right" w:pos="1685"/>
        </w:tabs>
        <w:ind w:left="1742" w:hanging="475"/>
      </w:pPr>
      <w:r w:rsidRPr="00F35716">
        <w:tab/>
        <w:t>•</w:t>
      </w:r>
      <w:r w:rsidRPr="00F35716">
        <w:tab/>
      </w:r>
      <w:r w:rsidR="00EC3C86" w:rsidRPr="00F35716">
        <w:t xml:space="preserve">Programas de cooperación internacional relacionados con el empoderamiento económico de las mujeres, cuyo objetivo es apoyar el establecimiento y desarrollo de </w:t>
      </w:r>
      <w:r w:rsidR="009D1857" w:rsidRPr="00F35716">
        <w:t xml:space="preserve">empresas </w:t>
      </w:r>
      <w:r w:rsidR="00EC3C86" w:rsidRPr="00F35716">
        <w:t>dirigid</w:t>
      </w:r>
      <w:r w:rsidR="009D1857" w:rsidRPr="00F35716">
        <w:t>a</w:t>
      </w:r>
      <w:r w:rsidR="00EC3C86" w:rsidRPr="00F35716">
        <w:t xml:space="preserve">s por mujeres, mejorar </w:t>
      </w:r>
      <w:r w:rsidR="009D1857" w:rsidRPr="00F35716">
        <w:t>el</w:t>
      </w:r>
      <w:r w:rsidR="00EC3C86" w:rsidRPr="00F35716">
        <w:t xml:space="preserve"> clima empresarial </w:t>
      </w:r>
      <w:r w:rsidR="009D1857" w:rsidRPr="00F35716">
        <w:t xml:space="preserve">para ellas </w:t>
      </w:r>
      <w:r w:rsidR="00EC3C86" w:rsidRPr="00F35716">
        <w:t xml:space="preserve">y fortalecer la capacidad de las asociaciones nacionales de mujeres profesionales. La Organización de las Naciones Unidas para el Desarrollo Industrial </w:t>
      </w:r>
      <w:r w:rsidR="005C6B6D" w:rsidRPr="00F35716">
        <w:t xml:space="preserve">(ONUDI) </w:t>
      </w:r>
      <w:r w:rsidR="00EC3C86" w:rsidRPr="00F35716">
        <w:t xml:space="preserve">supervisa la </w:t>
      </w:r>
      <w:r w:rsidR="005C6B6D" w:rsidRPr="00F35716">
        <w:t xml:space="preserve">ejecución </w:t>
      </w:r>
      <w:r w:rsidR="00EC3C86" w:rsidRPr="00F35716">
        <w:t xml:space="preserve">del proyecto Promover el Empoderamiento de las Mujeres para </w:t>
      </w:r>
      <w:r w:rsidR="005C6B6D" w:rsidRPr="00F35716">
        <w:t xml:space="preserve">Lograr </w:t>
      </w:r>
      <w:r w:rsidR="00EC3C86" w:rsidRPr="00F35716">
        <w:t>el Desarrollo Industrial I</w:t>
      </w:r>
      <w:r w:rsidR="005C6B6D" w:rsidRPr="00F35716">
        <w:t>nclusivo</w:t>
      </w:r>
      <w:r w:rsidR="00EC3C86" w:rsidRPr="00F35716">
        <w:t xml:space="preserve"> y Sostenible en</w:t>
      </w:r>
      <w:r w:rsidR="005C6B6D" w:rsidRPr="00F35716">
        <w:t xml:space="preserve"> la Región de</w:t>
      </w:r>
      <w:r w:rsidR="00EC3C86" w:rsidRPr="00F35716">
        <w:t xml:space="preserve"> Oriente Medio y Norte de África. </w:t>
      </w:r>
    </w:p>
    <w:p w14:paraId="32E945BB" w14:textId="0E66955E" w:rsidR="00EC3C86" w:rsidRPr="00F35716" w:rsidRDefault="00EC3C86" w:rsidP="00B3192A">
      <w:pPr>
        <w:pStyle w:val="SingleTxt"/>
        <w:numPr>
          <w:ilvl w:val="0"/>
          <w:numId w:val="8"/>
        </w:numPr>
        <w:ind w:left="1267" w:firstLine="0"/>
      </w:pPr>
      <w:r w:rsidRPr="00F35716">
        <w:t xml:space="preserve">En </w:t>
      </w:r>
      <w:r w:rsidR="005C6B6D" w:rsidRPr="00F35716">
        <w:t xml:space="preserve">colaboración </w:t>
      </w:r>
      <w:r w:rsidRPr="00F35716">
        <w:t xml:space="preserve">con ONU-Mujeres, se han </w:t>
      </w:r>
      <w:r w:rsidR="004E05AC" w:rsidRPr="00F35716">
        <w:t>administrado</w:t>
      </w:r>
      <w:r w:rsidRPr="00F35716">
        <w:t xml:space="preserve"> varias actividades destinadas a integrar </w:t>
      </w:r>
      <w:r w:rsidR="004E05AC" w:rsidRPr="00F35716">
        <w:t>el</w:t>
      </w:r>
      <w:r w:rsidRPr="00F35716">
        <w:t xml:space="preserve"> </w:t>
      </w:r>
      <w:r w:rsidR="004E05AC" w:rsidRPr="00F35716">
        <w:t>enfoque</w:t>
      </w:r>
      <w:r w:rsidRPr="00F35716">
        <w:t xml:space="preserve"> de género en </w:t>
      </w:r>
      <w:r w:rsidR="004E05AC" w:rsidRPr="00F35716">
        <w:t>el diseño</w:t>
      </w:r>
      <w:r w:rsidRPr="00F35716">
        <w:t xml:space="preserve"> y </w:t>
      </w:r>
      <w:r w:rsidR="004E05AC" w:rsidRPr="00F35716">
        <w:t xml:space="preserve">la </w:t>
      </w:r>
      <w:r w:rsidRPr="00F35716">
        <w:t>planificación urban</w:t>
      </w:r>
      <w:r w:rsidR="004E05AC" w:rsidRPr="00F35716">
        <w:t>o</w:t>
      </w:r>
      <w:r w:rsidRPr="00F35716">
        <w:t xml:space="preserve">s, teniendo en cuenta el derecho de las mujeres de acceder a instalaciones y servicios públicos. Esta </w:t>
      </w:r>
      <w:r w:rsidR="004E05AC" w:rsidRPr="00F35716">
        <w:t>colabor</w:t>
      </w:r>
      <w:r w:rsidRPr="00F35716">
        <w:t xml:space="preserve">ación permitió </w:t>
      </w:r>
      <w:r w:rsidR="004A280D" w:rsidRPr="00F35716">
        <w:t>realizar</w:t>
      </w:r>
      <w:r w:rsidRPr="00F35716">
        <w:t xml:space="preserve"> sobre experiencias internacionales antes </w:t>
      </w:r>
      <w:r w:rsidRPr="00F35716">
        <w:lastRenderedPageBreak/>
        <w:t>de embarcarse en la redacción de una guía de referencia para in</w:t>
      </w:r>
      <w:r w:rsidR="004E05AC" w:rsidRPr="00F35716">
        <w:t>tegrar</w:t>
      </w:r>
      <w:r w:rsidRPr="00F35716">
        <w:t xml:space="preserve"> un</w:t>
      </w:r>
      <w:r w:rsidR="004E05AC" w:rsidRPr="00F35716">
        <w:t xml:space="preserve"> enfoque</w:t>
      </w:r>
      <w:r w:rsidRPr="00F35716">
        <w:t xml:space="preserve"> de género en </w:t>
      </w:r>
      <w:r w:rsidR="004E05AC" w:rsidRPr="00F35716">
        <w:t>las</w:t>
      </w:r>
      <w:r w:rsidRPr="00F35716">
        <w:t xml:space="preserve"> polític</w:t>
      </w:r>
      <w:r w:rsidR="004E05AC" w:rsidRPr="00F35716">
        <w:t>a</w:t>
      </w:r>
      <w:r w:rsidRPr="00F35716">
        <w:t xml:space="preserve">s </w:t>
      </w:r>
      <w:r w:rsidR="004E05AC" w:rsidRPr="00F35716">
        <w:t>urbanas propuestas</w:t>
      </w:r>
      <w:r w:rsidRPr="00F35716">
        <w:t>.</w:t>
      </w:r>
    </w:p>
    <w:p w14:paraId="32E945BC" w14:textId="5B64B64E" w:rsidR="00EC3C86" w:rsidRPr="00F35716" w:rsidRDefault="00EC3C86" w:rsidP="00B3192A">
      <w:pPr>
        <w:pStyle w:val="SingleTxt"/>
        <w:numPr>
          <w:ilvl w:val="0"/>
          <w:numId w:val="8"/>
        </w:numPr>
        <w:ind w:left="1267" w:firstLine="0"/>
      </w:pPr>
      <w:r w:rsidRPr="00F35716">
        <w:t xml:space="preserve">Durante 2018, el sector del </w:t>
      </w:r>
      <w:r w:rsidR="004E05AC" w:rsidRPr="00F35716">
        <w:t>empleo</w:t>
      </w:r>
      <w:r w:rsidRPr="00F35716">
        <w:t xml:space="preserve"> llevó a cabo un programa </w:t>
      </w:r>
      <w:r w:rsidR="004E05AC" w:rsidRPr="00F35716">
        <w:t>de formación</w:t>
      </w:r>
      <w:r w:rsidRPr="00F35716">
        <w:t xml:space="preserve"> (18 </w:t>
      </w:r>
      <w:r w:rsidR="004E05AC" w:rsidRPr="00F35716">
        <w:t>sesiones</w:t>
      </w:r>
      <w:r w:rsidRPr="00F35716">
        <w:t>) sobre los derechos laborales básicos</w:t>
      </w:r>
      <w:r w:rsidR="004E05AC" w:rsidRPr="00F35716">
        <w:t xml:space="preserve">, en el que se sensibilizó sobre la </w:t>
      </w:r>
      <w:r w:rsidRPr="00F35716">
        <w:t>Ley núm.</w:t>
      </w:r>
      <w:r w:rsidR="001B127F" w:rsidRPr="00F35716">
        <w:t> </w:t>
      </w:r>
      <w:r w:rsidRPr="00F35716">
        <w:t>19</w:t>
      </w:r>
      <w:r w:rsidR="004E05AC" w:rsidRPr="00F35716">
        <w:t>-</w:t>
      </w:r>
      <w:r w:rsidRPr="00F35716">
        <w:t xml:space="preserve">12 </w:t>
      </w:r>
      <w:r w:rsidR="004E05AC" w:rsidRPr="00F35716">
        <w:t xml:space="preserve">relativa a </w:t>
      </w:r>
      <w:r w:rsidRPr="00F35716">
        <w:t xml:space="preserve">la Determinación de las Condiciones de Trabajo y Empleo de los Trabajadores </w:t>
      </w:r>
      <w:r w:rsidR="004E05AC" w:rsidRPr="00F35716">
        <w:t xml:space="preserve">y Trabajadoras </w:t>
      </w:r>
      <w:r w:rsidRPr="00F35716">
        <w:t xml:space="preserve">Domésticos. En el contexto de la movilización de recursos humanos, también </w:t>
      </w:r>
      <w:r w:rsidR="00563989" w:rsidRPr="00F35716">
        <w:t>impartió formación de reciclaje profesional a</w:t>
      </w:r>
      <w:r w:rsidRPr="00F35716">
        <w:t xml:space="preserve"> 30 administra</w:t>
      </w:r>
      <w:r w:rsidR="004E05AC" w:rsidRPr="00F35716">
        <w:t>dores</w:t>
      </w:r>
      <w:r w:rsidRPr="00F35716">
        <w:t xml:space="preserve"> para </w:t>
      </w:r>
      <w:r w:rsidR="004E05AC" w:rsidRPr="00F35716">
        <w:t>que actuaran en calidad de</w:t>
      </w:r>
      <w:r w:rsidRPr="00F35716">
        <w:t xml:space="preserve"> inspectores de</w:t>
      </w:r>
      <w:r w:rsidR="00483D95" w:rsidRPr="00F35716">
        <w:t>l</w:t>
      </w:r>
      <w:r w:rsidRPr="00F35716">
        <w:t xml:space="preserve"> trabajo. </w:t>
      </w:r>
    </w:p>
    <w:p w14:paraId="32E945BD" w14:textId="4F4EF283" w:rsidR="00EC3C86" w:rsidRPr="00F35716" w:rsidRDefault="00EC3C86" w:rsidP="00B3192A">
      <w:pPr>
        <w:pStyle w:val="SingleTxt"/>
        <w:numPr>
          <w:ilvl w:val="0"/>
          <w:numId w:val="8"/>
        </w:numPr>
        <w:ind w:left="1267" w:firstLine="0"/>
      </w:pPr>
      <w:r w:rsidRPr="00F35716">
        <w:t xml:space="preserve">En el marco de la cooperación internacional con el Ministerio de Trabajo de los Estados Unidos y con la participación de la Unión General para la Contratación de Marruecos, el ministerio </w:t>
      </w:r>
      <w:r w:rsidR="00563989" w:rsidRPr="00F35716">
        <w:t xml:space="preserve">ha realizado un seguimiento </w:t>
      </w:r>
      <w:r w:rsidRPr="00F35716">
        <w:t xml:space="preserve">del proyecto </w:t>
      </w:r>
      <w:r w:rsidR="00563989" w:rsidRPr="00F35716">
        <w:rPr>
          <w:i/>
        </w:rPr>
        <w:t>“</w:t>
      </w:r>
      <w:r w:rsidRPr="00F35716">
        <w:t>Mi Situación</w:t>
      </w:r>
      <w:r w:rsidR="00563989" w:rsidRPr="00F35716">
        <w:t>”</w:t>
      </w:r>
      <w:r w:rsidRPr="00F35716">
        <w:t xml:space="preserve"> (2015-2017) en la región de Casablanca, con miras a fortalecer la participación de las mujeres en la vida política y económica y desarrollar sus responsabilidades sociales dentro de la empresa. En este sentido:</w:t>
      </w:r>
    </w:p>
    <w:p w14:paraId="32E945BE" w14:textId="10BF5C42" w:rsidR="00EC3C86" w:rsidRPr="00F35716" w:rsidRDefault="00721E11" w:rsidP="00721E11">
      <w:pPr>
        <w:pStyle w:val="SingleTxt"/>
        <w:tabs>
          <w:tab w:val="right" w:pos="1685"/>
        </w:tabs>
        <w:ind w:left="1742" w:hanging="475"/>
      </w:pPr>
      <w:r w:rsidRPr="00F35716">
        <w:tab/>
        <w:t>–</w:t>
      </w:r>
      <w:r w:rsidRPr="00F35716">
        <w:tab/>
      </w:r>
      <w:r w:rsidR="00EC3C86" w:rsidRPr="00F35716">
        <w:t xml:space="preserve">Se ha </w:t>
      </w:r>
      <w:r w:rsidR="00563989" w:rsidRPr="00F35716">
        <w:t>identificado</w:t>
      </w:r>
      <w:r w:rsidR="00EC3C86" w:rsidRPr="00F35716">
        <w:t xml:space="preserve"> y </w:t>
      </w:r>
      <w:r w:rsidR="00563989" w:rsidRPr="00F35716">
        <w:t xml:space="preserve">capacitado </w:t>
      </w:r>
      <w:r w:rsidR="00EC3C86" w:rsidRPr="00F35716">
        <w:t xml:space="preserve">a unas 400 mujeres para aumentar sus posibilidades de conseguir un </w:t>
      </w:r>
      <w:r w:rsidR="00563989" w:rsidRPr="00F35716">
        <w:t>empleo</w:t>
      </w:r>
      <w:r w:rsidR="00EC3C86" w:rsidRPr="00F35716">
        <w:t xml:space="preserve">. </w:t>
      </w:r>
    </w:p>
    <w:p w14:paraId="32E945BF" w14:textId="1A25A314" w:rsidR="00EC3C86" w:rsidRPr="00F35716" w:rsidRDefault="00721E11" w:rsidP="00721E11">
      <w:pPr>
        <w:pStyle w:val="SingleTxt"/>
        <w:tabs>
          <w:tab w:val="right" w:pos="1685"/>
        </w:tabs>
        <w:ind w:left="1742" w:hanging="475"/>
      </w:pPr>
      <w:r w:rsidRPr="00F35716">
        <w:tab/>
        <w:t>–</w:t>
      </w:r>
      <w:r w:rsidRPr="00F35716">
        <w:tab/>
      </w:r>
      <w:r w:rsidR="00EC3C86" w:rsidRPr="00F35716">
        <w:t xml:space="preserve">Se ha </w:t>
      </w:r>
      <w:r w:rsidR="00563989" w:rsidRPr="00F35716">
        <w:t>llevado a cabo un</w:t>
      </w:r>
      <w:r w:rsidR="00EC3C86" w:rsidRPr="00F35716">
        <w:t xml:space="preserve"> programa de auditoría en igualdad de género en 10 de las 15 empresas contratadas</w:t>
      </w:r>
      <w:r w:rsidR="00563989" w:rsidRPr="00F35716">
        <w:t xml:space="preserve"> ubicadas en la región </w:t>
      </w:r>
      <w:r w:rsidR="00EC3C86" w:rsidRPr="00F35716">
        <w:t>de Rabat-Salé-Kenitra.</w:t>
      </w:r>
    </w:p>
    <w:p w14:paraId="32E945C0" w14:textId="77777777" w:rsidR="00EC3C86" w:rsidRPr="00F35716" w:rsidRDefault="00721E11" w:rsidP="00721E11">
      <w:pPr>
        <w:pStyle w:val="SingleTxt"/>
        <w:tabs>
          <w:tab w:val="right" w:pos="1685"/>
        </w:tabs>
        <w:ind w:left="1742" w:hanging="475"/>
      </w:pPr>
      <w:r w:rsidRPr="00F35716">
        <w:tab/>
        <w:t>–</w:t>
      </w:r>
      <w:r w:rsidRPr="00F35716">
        <w:tab/>
      </w:r>
      <w:r w:rsidR="00EC3C86" w:rsidRPr="00F35716">
        <w:t>Se ha preparado una guía sobre la auditoría de la perspectiva de género dentro de la empresa, que se ha distribuido al conjunto de empresas a travé</w:t>
      </w:r>
      <w:r w:rsidR="00BD7E71" w:rsidRPr="00F35716">
        <w:t>s del sitio web del proyecto.</w:t>
      </w:r>
    </w:p>
    <w:p w14:paraId="32E945C1" w14:textId="1B9551A8" w:rsidR="00EC3C86" w:rsidRPr="00F35716" w:rsidRDefault="00EC3C86" w:rsidP="00B3192A">
      <w:pPr>
        <w:pStyle w:val="SingleTxt"/>
        <w:numPr>
          <w:ilvl w:val="0"/>
          <w:numId w:val="8"/>
        </w:numPr>
        <w:ind w:left="1267" w:firstLine="0"/>
      </w:pPr>
      <w:r w:rsidRPr="00F35716">
        <w:t xml:space="preserve">El programa </w:t>
      </w:r>
      <w:r w:rsidR="00563989" w:rsidRPr="00F35716">
        <w:t>“</w:t>
      </w:r>
      <w:r w:rsidR="00563989" w:rsidRPr="00F35716">
        <w:rPr>
          <w:rFonts w:asciiTheme="majorBidi" w:hAnsiTheme="majorBidi" w:cstheme="majorBidi"/>
        </w:rPr>
        <w:t>Baynahunna”</w:t>
      </w:r>
      <w:r w:rsidRPr="00F35716">
        <w:t xml:space="preserve"> se </w:t>
      </w:r>
      <w:r w:rsidR="00563989" w:rsidRPr="00F35716">
        <w:t xml:space="preserve">puso en marcha </w:t>
      </w:r>
      <w:r w:rsidRPr="00F35716">
        <w:t>en las regiones como parte de un acuerdo entre la Agencia Nacional para la Promoción de las Pequeñas y Medianas Empresas</w:t>
      </w:r>
      <w:r w:rsidR="00563989" w:rsidRPr="00F35716">
        <w:t xml:space="preserve">, </w:t>
      </w:r>
      <w:r w:rsidRPr="00F35716">
        <w:t xml:space="preserve">los </w:t>
      </w:r>
      <w:r w:rsidR="00563989" w:rsidRPr="00F35716">
        <w:t xml:space="preserve">centros regionales </w:t>
      </w:r>
      <w:r w:rsidRPr="00F35716">
        <w:t xml:space="preserve">de </w:t>
      </w:r>
      <w:r w:rsidR="00563989" w:rsidRPr="00F35716">
        <w:t xml:space="preserve">inversión </w:t>
      </w:r>
      <w:r w:rsidRPr="00F35716">
        <w:t xml:space="preserve">y </w:t>
      </w:r>
      <w:r w:rsidR="00604504" w:rsidRPr="00F35716">
        <w:t xml:space="preserve">el Organismo Alemán de </w:t>
      </w:r>
      <w:r w:rsidRPr="00F35716">
        <w:t xml:space="preserve">Cooperación Internacional, con el objetivo de apoyar y acompañar a las mujeres propietarias de empresas </w:t>
      </w:r>
      <w:r w:rsidR="00604504" w:rsidRPr="00F35716">
        <w:t xml:space="preserve">muy pequeñas </w:t>
      </w:r>
      <w:r w:rsidRPr="00F35716">
        <w:t xml:space="preserve">y </w:t>
      </w:r>
      <w:r w:rsidR="00604504" w:rsidRPr="00F35716">
        <w:t xml:space="preserve">pequeñas inmediatamente después de </w:t>
      </w:r>
      <w:r w:rsidR="005636A0" w:rsidRPr="00F35716">
        <w:t>su</w:t>
      </w:r>
      <w:r w:rsidRPr="00F35716">
        <w:t xml:space="preserve"> constitución</w:t>
      </w:r>
      <w:r w:rsidR="00292541" w:rsidRPr="00F35716">
        <w:t>.</w:t>
      </w:r>
      <w:r w:rsidRPr="00F35716">
        <w:t xml:space="preserve"> </w:t>
      </w:r>
      <w:r w:rsidR="00292541" w:rsidRPr="00F35716">
        <w:t xml:space="preserve">A finales de 2013, </w:t>
      </w:r>
      <w:r w:rsidRPr="00F35716">
        <w:t xml:space="preserve">120 </w:t>
      </w:r>
      <w:r w:rsidR="00292541" w:rsidRPr="00F35716">
        <w:t>contratistas</w:t>
      </w:r>
      <w:r w:rsidRPr="00F35716">
        <w:t xml:space="preserve"> se </w:t>
      </w:r>
      <w:r w:rsidR="00292541" w:rsidRPr="00F35716">
        <w:t xml:space="preserve">habían </w:t>
      </w:r>
      <w:r w:rsidRPr="00F35716">
        <w:t>beneficia</w:t>
      </w:r>
      <w:r w:rsidR="00292541" w:rsidRPr="00F35716">
        <w:t>do</w:t>
      </w:r>
      <w:r w:rsidRPr="00F35716">
        <w:t xml:space="preserve"> de este programa</w:t>
      </w:r>
      <w:r w:rsidR="00292541" w:rsidRPr="00F35716">
        <w:t xml:space="preserve">, entre los que figuraban, </w:t>
      </w:r>
      <w:r w:rsidR="005636A0" w:rsidRPr="00F35716">
        <w:t>d</w:t>
      </w:r>
      <w:r w:rsidRPr="00F35716">
        <w:t xml:space="preserve">urante la primera edición del programa, 80 </w:t>
      </w:r>
      <w:r w:rsidR="00292541" w:rsidRPr="00F35716">
        <w:t>mujeres</w:t>
      </w:r>
      <w:r w:rsidRPr="00F35716">
        <w:t>, frente a las 40 mujeres de la</w:t>
      </w:r>
      <w:r w:rsidR="00E55ECE" w:rsidRPr="00F35716">
        <w:t> </w:t>
      </w:r>
      <w:r w:rsidRPr="00F35716">
        <w:t>segunda edición. La tercera edición del programa apoyar</w:t>
      </w:r>
      <w:r w:rsidR="00292541" w:rsidRPr="00F35716">
        <w:t>á</w:t>
      </w:r>
      <w:r w:rsidRPr="00F35716">
        <w:t xml:space="preserve"> a 70</w:t>
      </w:r>
      <w:r w:rsidR="00610F27" w:rsidRPr="00F35716">
        <w:t> </w:t>
      </w:r>
      <w:r w:rsidR="00292541" w:rsidRPr="00F35716">
        <w:t>mujeres contratistas</w:t>
      </w:r>
      <w:r w:rsidRPr="00F35716">
        <w:t>.</w:t>
      </w:r>
    </w:p>
    <w:p w14:paraId="32E945C2" w14:textId="6BB63FB0" w:rsidR="00EC3C86" w:rsidRPr="00F35716" w:rsidRDefault="00EC3C86" w:rsidP="00B3192A">
      <w:pPr>
        <w:pStyle w:val="SingleTxt"/>
        <w:numPr>
          <w:ilvl w:val="0"/>
          <w:numId w:val="8"/>
        </w:numPr>
        <w:ind w:left="1267" w:firstLine="0"/>
      </w:pPr>
      <w:r w:rsidRPr="00F35716">
        <w:t>E</w:t>
      </w:r>
      <w:r w:rsidR="00292541" w:rsidRPr="00F35716">
        <w:t>n 2018, e</w:t>
      </w:r>
      <w:r w:rsidRPr="00F35716">
        <w:t xml:space="preserve">l </w:t>
      </w:r>
      <w:r w:rsidR="00292541" w:rsidRPr="00F35716">
        <w:t>P</w:t>
      </w:r>
      <w:r w:rsidRPr="00F35716">
        <w:t xml:space="preserve">rograma de </w:t>
      </w:r>
      <w:r w:rsidR="00292541" w:rsidRPr="00F35716">
        <w:t>A</w:t>
      </w:r>
      <w:r w:rsidRPr="00F35716">
        <w:t xml:space="preserve">poyo al </w:t>
      </w:r>
      <w:r w:rsidR="00292541" w:rsidRPr="00F35716">
        <w:t>A</w:t>
      </w:r>
      <w:r w:rsidRPr="00F35716">
        <w:t>utoempleo, que tiene por objeto respaldar la creación de empresas</w:t>
      </w:r>
      <w:r w:rsidR="00292541" w:rsidRPr="00F35716">
        <w:t xml:space="preserve"> muy pequeñas</w:t>
      </w:r>
      <w:r w:rsidRPr="00F35716">
        <w:t>, a</w:t>
      </w:r>
      <w:r w:rsidR="00292541" w:rsidRPr="00F35716">
        <w:t>yudó a</w:t>
      </w:r>
      <w:r w:rsidRPr="00F35716">
        <w:t xml:space="preserve"> 2.785 </w:t>
      </w:r>
      <w:r w:rsidR="00292541" w:rsidRPr="00F35716">
        <w:t>emprendedores</w:t>
      </w:r>
      <w:r w:rsidRPr="00F35716">
        <w:t>, el</w:t>
      </w:r>
      <w:r w:rsidR="00416DAA" w:rsidRPr="00F35716">
        <w:t> </w:t>
      </w:r>
      <w:r w:rsidRPr="00F35716">
        <w:t>30</w:t>
      </w:r>
      <w:r w:rsidR="0006736D" w:rsidRPr="00F35716">
        <w:t> %</w:t>
      </w:r>
      <w:r w:rsidRPr="00F35716">
        <w:t xml:space="preserve"> de ellos mujeres, </w:t>
      </w:r>
      <w:r w:rsidR="00292541" w:rsidRPr="00F35716">
        <w:t>frente</w:t>
      </w:r>
      <w:r w:rsidRPr="00F35716">
        <w:t xml:space="preserve"> </w:t>
      </w:r>
      <w:r w:rsidR="00292541" w:rsidRPr="00F35716">
        <w:t>a</w:t>
      </w:r>
      <w:r w:rsidRPr="00F35716">
        <w:t>l 27</w:t>
      </w:r>
      <w:r w:rsidR="0006736D" w:rsidRPr="00F35716">
        <w:t> %</w:t>
      </w:r>
      <w:r w:rsidRPr="00F35716">
        <w:t xml:space="preserve"> de 2017, y a 1.351</w:t>
      </w:r>
      <w:r w:rsidR="00416DAA" w:rsidRPr="00F35716">
        <w:t> </w:t>
      </w:r>
      <w:r w:rsidRPr="00F35716">
        <w:t xml:space="preserve">empresas </w:t>
      </w:r>
      <w:r w:rsidR="00292541" w:rsidRPr="00F35716">
        <w:t xml:space="preserve">muy pequeñas </w:t>
      </w:r>
      <w:r w:rsidRPr="00F35716">
        <w:t>o actividades generadoras de ingresos autofinancia</w:t>
      </w:r>
      <w:r w:rsidR="00014EC5" w:rsidRPr="00F35716">
        <w:t xml:space="preserve">das. Asimismo, </w:t>
      </w:r>
      <w:r w:rsidRPr="00F35716">
        <w:t>contribuyó a la creación de 4.526 puestos de trabajo.</w:t>
      </w:r>
    </w:p>
    <w:p w14:paraId="32E945C3" w14:textId="71916464" w:rsidR="00EC3C86" w:rsidRPr="00F35716" w:rsidRDefault="00EC3C86" w:rsidP="00B3192A">
      <w:pPr>
        <w:pStyle w:val="SingleTxt"/>
        <w:numPr>
          <w:ilvl w:val="0"/>
          <w:numId w:val="8"/>
        </w:numPr>
        <w:ind w:left="1267" w:firstLine="0"/>
      </w:pPr>
      <w:r w:rsidRPr="00F35716">
        <w:t xml:space="preserve">En </w:t>
      </w:r>
      <w:r w:rsidR="00014EC5" w:rsidRPr="00F35716">
        <w:t xml:space="preserve">abril de 2017, en </w:t>
      </w:r>
      <w:r w:rsidRPr="00F35716">
        <w:t>el marco de la cooperación belga-marroquí</w:t>
      </w:r>
      <w:r w:rsidR="00014EC5" w:rsidRPr="00F35716">
        <w:t xml:space="preserve"> y</w:t>
      </w:r>
      <w:r w:rsidRPr="00F35716">
        <w:t xml:space="preserve"> en colaboración con la Asociación para la Promoción de la Educación y la Formación en el Extranjero (APEFE), </w:t>
      </w:r>
      <w:r w:rsidR="00014EC5" w:rsidRPr="00F35716">
        <w:t xml:space="preserve">el sector del empleo lanzó </w:t>
      </w:r>
      <w:r w:rsidRPr="00F35716">
        <w:t xml:space="preserve">la segunda edición del proyecto </w:t>
      </w:r>
      <w:r w:rsidR="00014EC5" w:rsidRPr="00F35716">
        <w:t>“</w:t>
      </w:r>
      <w:r w:rsidR="00014EC5" w:rsidRPr="00F35716">
        <w:rPr>
          <w:rFonts w:asciiTheme="majorBidi" w:hAnsiTheme="majorBidi" w:cstheme="majorBidi"/>
        </w:rPr>
        <w:t>Min ajliki”</w:t>
      </w:r>
      <w:r w:rsidRPr="00F35716">
        <w:t xml:space="preserve"> para el quinquenio 2017-2021. E</w:t>
      </w:r>
      <w:r w:rsidR="00804B85" w:rsidRPr="00F35716">
        <w:t>ste</w:t>
      </w:r>
      <w:r w:rsidRPr="00F35716">
        <w:t xml:space="preserve"> proyecto, dirigido específicamente a la</w:t>
      </w:r>
      <w:r w:rsidR="00014EC5" w:rsidRPr="00F35716">
        <w:t>s mujeres</w:t>
      </w:r>
      <w:r w:rsidRPr="00F35716">
        <w:t xml:space="preserve">, tiene como objetivo </w:t>
      </w:r>
      <w:r w:rsidR="00014EC5" w:rsidRPr="00F35716">
        <w:t xml:space="preserve">promover </w:t>
      </w:r>
      <w:r w:rsidRPr="00F35716">
        <w:t xml:space="preserve">el empoderamiento económico de las mujeres en Marruecos mejorando de forma cuantitativa y cualitativa el </w:t>
      </w:r>
      <w:r w:rsidR="00014EC5" w:rsidRPr="00F35716">
        <w:t>autoempleo y</w:t>
      </w:r>
      <w:r w:rsidRPr="00F35716">
        <w:t xml:space="preserve"> la empleabilidad de las mujeres.</w:t>
      </w:r>
    </w:p>
    <w:p w14:paraId="32E945C4" w14:textId="48818960" w:rsidR="00EC3C86" w:rsidRPr="00F35716" w:rsidRDefault="00610F27" w:rsidP="00610F27">
      <w:pPr>
        <w:pStyle w:val="SingleTxt"/>
        <w:tabs>
          <w:tab w:val="right" w:pos="1685"/>
        </w:tabs>
        <w:ind w:left="1742" w:hanging="475"/>
      </w:pPr>
      <w:r w:rsidRPr="00F35716">
        <w:tab/>
        <w:t>–</w:t>
      </w:r>
      <w:r w:rsidRPr="00F35716">
        <w:tab/>
      </w:r>
      <w:r w:rsidR="00792D48" w:rsidRPr="00F35716">
        <w:t>E</w:t>
      </w:r>
      <w:r w:rsidR="00EC3C86" w:rsidRPr="00F35716">
        <w:t xml:space="preserve">mpresarias </w:t>
      </w:r>
      <w:r w:rsidR="00792D48" w:rsidRPr="00F35716">
        <w:t xml:space="preserve">potenciales </w:t>
      </w:r>
      <w:r w:rsidR="00EC3C86" w:rsidRPr="00F35716">
        <w:t xml:space="preserve">que desean </w:t>
      </w:r>
      <w:r w:rsidR="00792D48" w:rsidRPr="00F35716">
        <w:t>adentrarse</w:t>
      </w:r>
      <w:r w:rsidR="00EC3C86" w:rsidRPr="00F35716">
        <w:t xml:space="preserve"> en el mundo </w:t>
      </w:r>
      <w:r w:rsidR="00792D48" w:rsidRPr="00F35716">
        <w:t>de los negocios</w:t>
      </w:r>
      <w:r w:rsidR="00EC3C86" w:rsidRPr="00F35716">
        <w:t>.</w:t>
      </w:r>
    </w:p>
    <w:p w14:paraId="32E945C5" w14:textId="6F4358F2" w:rsidR="00EC3C86" w:rsidRPr="00F35716" w:rsidRDefault="00610F27" w:rsidP="00610F27">
      <w:pPr>
        <w:pStyle w:val="SingleTxt"/>
        <w:tabs>
          <w:tab w:val="right" w:pos="1685"/>
        </w:tabs>
        <w:ind w:left="1742" w:hanging="475"/>
      </w:pPr>
      <w:r w:rsidRPr="00F35716">
        <w:tab/>
        <w:t>–</w:t>
      </w:r>
      <w:r w:rsidRPr="00F35716">
        <w:tab/>
      </w:r>
      <w:r w:rsidR="00014EC5" w:rsidRPr="00F35716">
        <w:t>Mujeres que se dedican a</w:t>
      </w:r>
      <w:r w:rsidR="00EC3C86" w:rsidRPr="00F35716">
        <w:t xml:space="preserve"> actividad</w:t>
      </w:r>
      <w:r w:rsidR="00014EC5" w:rsidRPr="00F35716">
        <w:t>es</w:t>
      </w:r>
      <w:r w:rsidR="00792D48" w:rsidRPr="00F35716">
        <w:t xml:space="preserve"> del</w:t>
      </w:r>
      <w:r w:rsidR="00EC3C86" w:rsidRPr="00F35716">
        <w:t xml:space="preserve"> sector no estructurado. </w:t>
      </w:r>
    </w:p>
    <w:p w14:paraId="32E945C6" w14:textId="07B8B9BA" w:rsidR="00EC3C86" w:rsidRPr="00F35716" w:rsidRDefault="00610F27" w:rsidP="00610F27">
      <w:pPr>
        <w:pStyle w:val="SingleTxt"/>
        <w:tabs>
          <w:tab w:val="right" w:pos="1685"/>
        </w:tabs>
        <w:ind w:left="1742" w:hanging="475"/>
      </w:pPr>
      <w:r w:rsidRPr="00F35716">
        <w:tab/>
        <w:t>–</w:t>
      </w:r>
      <w:r w:rsidRPr="00F35716">
        <w:tab/>
      </w:r>
      <w:r w:rsidR="00792D48" w:rsidRPr="00F35716">
        <w:t>E</w:t>
      </w:r>
      <w:r w:rsidR="00EC3C86" w:rsidRPr="00F35716">
        <w:t>mpresarias que desean evolucionar.</w:t>
      </w:r>
    </w:p>
    <w:p w14:paraId="32E945C7" w14:textId="6BB0FEF3" w:rsidR="00EC3C86" w:rsidRPr="00F35716" w:rsidRDefault="00610F27" w:rsidP="00610F27">
      <w:pPr>
        <w:pStyle w:val="SingleTxt"/>
        <w:tabs>
          <w:tab w:val="right" w:pos="1685"/>
        </w:tabs>
        <w:ind w:left="1742" w:hanging="475"/>
      </w:pPr>
      <w:r w:rsidRPr="00F35716">
        <w:tab/>
        <w:t>–</w:t>
      </w:r>
      <w:r w:rsidRPr="00F35716">
        <w:tab/>
      </w:r>
      <w:r w:rsidR="00792D48" w:rsidRPr="00F35716">
        <w:t xml:space="preserve">Mujeres que llevan </w:t>
      </w:r>
      <w:r w:rsidR="00EC3C86" w:rsidRPr="00F35716">
        <w:t>actividades sociales o solidarias (cooperativas).</w:t>
      </w:r>
    </w:p>
    <w:p w14:paraId="748EF4CB" w14:textId="77777777" w:rsidR="00075FA3" w:rsidRDefault="00075FA3">
      <w:pPr>
        <w:suppressAutoHyphens w:val="0"/>
        <w:spacing w:line="240" w:lineRule="auto"/>
        <w:rPr>
          <w:kern w:val="14"/>
          <w:szCs w:val="20"/>
        </w:rPr>
      </w:pPr>
      <w:r>
        <w:rPr>
          <w:szCs w:val="20"/>
        </w:rPr>
        <w:br w:type="page"/>
      </w:r>
    </w:p>
    <w:p w14:paraId="32E945C8" w14:textId="3D1BF4E6" w:rsidR="00EC3C86" w:rsidRPr="00F35716" w:rsidRDefault="00EC3C86" w:rsidP="00C65E9B">
      <w:pPr>
        <w:pStyle w:val="SingleTxt"/>
        <w:rPr>
          <w:szCs w:val="20"/>
        </w:rPr>
      </w:pPr>
      <w:r w:rsidRPr="00F35716">
        <w:rPr>
          <w:szCs w:val="20"/>
        </w:rPr>
        <w:lastRenderedPageBreak/>
        <w:t>Desde el lanzamiento de la segunda edición del proyecto, se han conseguido los siguientes resultados:</w:t>
      </w:r>
    </w:p>
    <w:p w14:paraId="32E945C9" w14:textId="5BB9D539" w:rsidR="00EC3C86" w:rsidRPr="00F35716" w:rsidRDefault="00C65E9B" w:rsidP="00C65E9B">
      <w:pPr>
        <w:pStyle w:val="SingleTxt"/>
        <w:tabs>
          <w:tab w:val="right" w:pos="1685"/>
        </w:tabs>
        <w:ind w:left="1742" w:hanging="475"/>
      </w:pPr>
      <w:r w:rsidRPr="00F35716">
        <w:tab/>
        <w:t>–</w:t>
      </w:r>
      <w:r w:rsidRPr="00F35716">
        <w:tab/>
      </w:r>
      <w:r w:rsidR="00792D48" w:rsidRPr="00F35716">
        <w:t>Un total de</w:t>
      </w:r>
      <w:r w:rsidR="00EC3C86" w:rsidRPr="00F35716">
        <w:t xml:space="preserve"> 13.500 personas</w:t>
      </w:r>
      <w:r w:rsidR="00792D48" w:rsidRPr="00F35716">
        <w:t xml:space="preserve"> han recibido información acerca del programa</w:t>
      </w:r>
      <w:r w:rsidR="00EC3C86" w:rsidRPr="00F35716">
        <w:t xml:space="preserve"> y 1.650 mujeres </w:t>
      </w:r>
      <w:r w:rsidR="00792D48" w:rsidRPr="00F35716">
        <w:t xml:space="preserve">han </w:t>
      </w:r>
      <w:r w:rsidR="00EC3C86" w:rsidRPr="00F35716">
        <w:t>participa</w:t>
      </w:r>
      <w:r w:rsidR="00792D48" w:rsidRPr="00F35716">
        <w:t>do</w:t>
      </w:r>
      <w:r w:rsidR="00EC3C86" w:rsidRPr="00F35716">
        <w:t xml:space="preserve"> en talleres de sensibilización </w:t>
      </w:r>
      <w:r w:rsidR="00792D48" w:rsidRPr="00F35716">
        <w:t>sobre la iniciativa empresarial</w:t>
      </w:r>
      <w:r w:rsidR="00EC3C86" w:rsidRPr="00F35716">
        <w:t>.</w:t>
      </w:r>
    </w:p>
    <w:p w14:paraId="32E945CA" w14:textId="39B0504E" w:rsidR="00EC3C86" w:rsidRPr="00F35716" w:rsidRDefault="00C65E9B" w:rsidP="00C65E9B">
      <w:pPr>
        <w:pStyle w:val="SingleTxt"/>
        <w:tabs>
          <w:tab w:val="right" w:pos="1685"/>
        </w:tabs>
        <w:ind w:left="1742" w:hanging="475"/>
      </w:pPr>
      <w:r w:rsidRPr="00F35716">
        <w:tab/>
        <w:t>–</w:t>
      </w:r>
      <w:r w:rsidRPr="00F35716">
        <w:tab/>
      </w:r>
      <w:r w:rsidR="00792D48" w:rsidRPr="00F35716">
        <w:t>Un total de</w:t>
      </w:r>
      <w:r w:rsidR="00EC3C86" w:rsidRPr="00F35716">
        <w:t xml:space="preserve"> 1.670 mujeres</w:t>
      </w:r>
      <w:r w:rsidR="00792D48" w:rsidRPr="00F35716">
        <w:t xml:space="preserve"> se </w:t>
      </w:r>
      <w:r w:rsidR="00FB01C7" w:rsidRPr="00F35716">
        <w:t xml:space="preserve">han </w:t>
      </w:r>
      <w:r w:rsidR="00792D48" w:rsidRPr="00F35716">
        <w:t>beneficia</w:t>
      </w:r>
      <w:r w:rsidR="00FB01C7" w:rsidRPr="00F35716">
        <w:t>do</w:t>
      </w:r>
      <w:r w:rsidR="00792D48" w:rsidRPr="00F35716">
        <w:t xml:space="preserve"> de los primeros acompañamientos</w:t>
      </w:r>
      <w:r w:rsidR="00FB01C7" w:rsidRPr="00F35716">
        <w:t>, y s</w:t>
      </w:r>
      <w:r w:rsidR="00EC3C86" w:rsidRPr="00F35716">
        <w:t xml:space="preserve">e </w:t>
      </w:r>
      <w:r w:rsidR="00FB01C7" w:rsidRPr="00F35716">
        <w:t xml:space="preserve">ha </w:t>
      </w:r>
      <w:r w:rsidR="00EC3C86" w:rsidRPr="00F35716">
        <w:t>brind</w:t>
      </w:r>
      <w:r w:rsidR="00FB01C7" w:rsidRPr="00F35716">
        <w:t>ado</w:t>
      </w:r>
      <w:r w:rsidR="00EC3C86" w:rsidRPr="00F35716">
        <w:t xml:space="preserve"> acompañamiento posterior a 557 mujeres</w:t>
      </w:r>
      <w:r w:rsidR="00FB01C7" w:rsidRPr="00F35716">
        <w:t>. Se han</w:t>
      </w:r>
      <w:r w:rsidR="00EC3C86" w:rsidRPr="00F35716">
        <w:t xml:space="preserve"> </w:t>
      </w:r>
      <w:r w:rsidR="00792D48" w:rsidRPr="00F35716">
        <w:t>incuba</w:t>
      </w:r>
      <w:r w:rsidR="00FB01C7" w:rsidRPr="00F35716">
        <w:t>do</w:t>
      </w:r>
      <w:r w:rsidR="00EC3C86" w:rsidRPr="00F35716">
        <w:t xml:space="preserve"> 59 empresa</w:t>
      </w:r>
      <w:r w:rsidR="00792D48" w:rsidRPr="00F35716">
        <w:t>s de mujeres</w:t>
      </w:r>
      <w:r w:rsidR="00EC3C86" w:rsidRPr="00F35716">
        <w:t>.</w:t>
      </w:r>
    </w:p>
    <w:p w14:paraId="32E945CB" w14:textId="5CA41A3E" w:rsidR="00EC3C86" w:rsidRPr="00F35716" w:rsidRDefault="00C65E9B" w:rsidP="00C65E9B">
      <w:pPr>
        <w:pStyle w:val="SingleTxt"/>
        <w:tabs>
          <w:tab w:val="right" w:pos="1685"/>
        </w:tabs>
        <w:ind w:left="1742" w:hanging="475"/>
      </w:pPr>
      <w:r w:rsidRPr="00F35716">
        <w:tab/>
        <w:t>–</w:t>
      </w:r>
      <w:r w:rsidRPr="00F35716">
        <w:tab/>
      </w:r>
      <w:r w:rsidR="00EC3C86" w:rsidRPr="00F35716">
        <w:t xml:space="preserve">Se ha </w:t>
      </w:r>
      <w:r w:rsidR="00FB01C7" w:rsidRPr="00F35716">
        <w:t>prestado apoyo en materia de</w:t>
      </w:r>
      <w:r w:rsidR="00EC3C86" w:rsidRPr="00F35716">
        <w:t xml:space="preserve"> comercial</w:t>
      </w:r>
      <w:r w:rsidR="00FB01C7" w:rsidRPr="00F35716">
        <w:t>ización</w:t>
      </w:r>
      <w:r w:rsidR="00EC3C86" w:rsidRPr="00F35716">
        <w:t xml:space="preserve"> a 567 empresarias.</w:t>
      </w:r>
    </w:p>
    <w:p w14:paraId="32E945CC" w14:textId="1E8FA80C" w:rsidR="00EC3C86" w:rsidRPr="00F35716" w:rsidRDefault="00C65E9B" w:rsidP="00C65E9B">
      <w:pPr>
        <w:pStyle w:val="SingleTxt"/>
        <w:tabs>
          <w:tab w:val="right" w:pos="1685"/>
        </w:tabs>
        <w:ind w:left="1742" w:hanging="475"/>
      </w:pPr>
      <w:r w:rsidRPr="00F35716">
        <w:tab/>
        <w:t>–</w:t>
      </w:r>
      <w:r w:rsidRPr="00F35716">
        <w:tab/>
      </w:r>
      <w:r w:rsidR="00EC3C86" w:rsidRPr="00F35716">
        <w:t xml:space="preserve">Los </w:t>
      </w:r>
      <w:r w:rsidR="00FB01C7" w:rsidRPr="00F35716">
        <w:t>a</w:t>
      </w:r>
      <w:r w:rsidR="00EC3C86" w:rsidRPr="00F35716">
        <w:t>soci</w:t>
      </w:r>
      <w:r w:rsidR="00FB01C7" w:rsidRPr="00F35716">
        <w:t>ado</w:t>
      </w:r>
      <w:r w:rsidR="00EC3C86" w:rsidRPr="00F35716">
        <w:t>s del programa han creado 231 empresas.</w:t>
      </w:r>
    </w:p>
    <w:p w14:paraId="32E945CD" w14:textId="05B8256B" w:rsidR="00EC3C86" w:rsidRPr="00F35716" w:rsidRDefault="00C65E9B" w:rsidP="00C65E9B">
      <w:pPr>
        <w:pStyle w:val="SingleTxt"/>
        <w:tabs>
          <w:tab w:val="right" w:pos="1685"/>
        </w:tabs>
        <w:ind w:left="1742" w:hanging="475"/>
      </w:pPr>
      <w:r w:rsidRPr="00F35716">
        <w:tab/>
        <w:t>–</w:t>
      </w:r>
      <w:r w:rsidRPr="00F35716">
        <w:tab/>
      </w:r>
      <w:r w:rsidR="00EC3C86" w:rsidRPr="00F35716">
        <w:t>Se ha</w:t>
      </w:r>
      <w:r w:rsidR="00FB01C7" w:rsidRPr="00F35716">
        <w:t>n creado</w:t>
      </w:r>
      <w:r w:rsidR="00EC3C86" w:rsidRPr="00F35716">
        <w:t xml:space="preserve"> 298 empresas </w:t>
      </w:r>
      <w:r w:rsidR="00FB01C7" w:rsidRPr="00F35716">
        <w:t>en el marco d</w:t>
      </w:r>
      <w:r w:rsidR="00EC3C86" w:rsidRPr="00F35716">
        <w:t>el sistema de auto</w:t>
      </w:r>
      <w:r w:rsidR="00FB01C7" w:rsidRPr="00F35716">
        <w:t>empleo</w:t>
      </w:r>
      <w:r w:rsidR="00EC3C86" w:rsidRPr="00F35716">
        <w:t xml:space="preserve"> y </w:t>
      </w:r>
      <w:r w:rsidR="00FB01C7" w:rsidRPr="00F35716">
        <w:t xml:space="preserve">se ha ayudado </w:t>
      </w:r>
      <w:r w:rsidR="00EC3C86" w:rsidRPr="00F35716">
        <w:t xml:space="preserve">a 50 </w:t>
      </w:r>
      <w:r w:rsidR="00FB01C7" w:rsidRPr="00F35716">
        <w:t>empresas del sector no estructurado</w:t>
      </w:r>
      <w:r w:rsidR="005636A0" w:rsidRPr="00F35716">
        <w:t xml:space="preserve"> </w:t>
      </w:r>
      <w:r w:rsidR="00FB01C7" w:rsidRPr="00F35716">
        <w:t>a hacer la transición al</w:t>
      </w:r>
      <w:r w:rsidR="00EC3C86" w:rsidRPr="00F35716">
        <w:t xml:space="preserve"> sector estructurado.</w:t>
      </w:r>
    </w:p>
    <w:p w14:paraId="32E945CE" w14:textId="4F7BF567" w:rsidR="00EC3C86" w:rsidRPr="00F35716" w:rsidRDefault="00C65E9B" w:rsidP="00C65E9B">
      <w:pPr>
        <w:pStyle w:val="SingleTxt"/>
        <w:tabs>
          <w:tab w:val="right" w:pos="1685"/>
        </w:tabs>
        <w:ind w:left="1742" w:hanging="475"/>
      </w:pPr>
      <w:r w:rsidRPr="00F35716">
        <w:tab/>
        <w:t>–</w:t>
      </w:r>
      <w:r w:rsidRPr="00F35716">
        <w:tab/>
      </w:r>
      <w:r w:rsidR="00EC3C86" w:rsidRPr="00F35716">
        <w:t xml:space="preserve">Se han creado 792 </w:t>
      </w:r>
      <w:r w:rsidR="00FB01C7" w:rsidRPr="00F35716">
        <w:t>oportunidades de empleo</w:t>
      </w:r>
      <w:r w:rsidR="00EC3C86" w:rsidRPr="00F35716">
        <w:t>.</w:t>
      </w:r>
    </w:p>
    <w:p w14:paraId="32E945CF" w14:textId="048023C3" w:rsidR="00EC3C86" w:rsidRPr="00F35716" w:rsidRDefault="00EC3C86" w:rsidP="00B3192A">
      <w:pPr>
        <w:pStyle w:val="SingleTxt"/>
        <w:numPr>
          <w:ilvl w:val="0"/>
          <w:numId w:val="8"/>
        </w:numPr>
        <w:ind w:left="1267" w:firstLine="0"/>
      </w:pPr>
      <w:r w:rsidRPr="00F35716">
        <w:t xml:space="preserve">Durante 2018 prosiguieron las actividades del proyecto </w:t>
      </w:r>
      <w:r w:rsidR="00FB01C7" w:rsidRPr="00F35716">
        <w:t>“</w:t>
      </w:r>
      <w:r w:rsidRPr="00F35716">
        <w:t xml:space="preserve">Los Jóvenes </w:t>
      </w:r>
      <w:r w:rsidR="00883D43" w:rsidRPr="00F35716">
        <w:t>Trabajan</w:t>
      </w:r>
      <w:r w:rsidR="00FB01C7" w:rsidRPr="00F35716">
        <w:t>”</w:t>
      </w:r>
      <w:r w:rsidRPr="00F35716">
        <w:rPr>
          <w:vertAlign w:val="superscript"/>
        </w:rPr>
        <w:footnoteReference w:id="91"/>
      </w:r>
      <w:r w:rsidRPr="00F35716">
        <w:t xml:space="preserve">, que presta especial atención al tema de la igualdad de género y </w:t>
      </w:r>
      <w:r w:rsidR="00FB01C7" w:rsidRPr="00F35716">
        <w:t xml:space="preserve">ha </w:t>
      </w:r>
      <w:r w:rsidRPr="00F35716">
        <w:t>establec</w:t>
      </w:r>
      <w:r w:rsidR="00FB01C7" w:rsidRPr="00F35716">
        <w:t>ido</w:t>
      </w:r>
      <w:r w:rsidRPr="00F35716">
        <w:t xml:space="preserve"> objetivos e indicadores para las mujeres en tod</w:t>
      </w:r>
      <w:r w:rsidR="00FB01C7" w:rsidRPr="00F35716">
        <w:t>o</w:t>
      </w:r>
      <w:r w:rsidRPr="00F35716">
        <w:t>s</w:t>
      </w:r>
      <w:r w:rsidR="005636A0" w:rsidRPr="00F35716">
        <w:t xml:space="preserve"> </w:t>
      </w:r>
      <w:r w:rsidR="00FB01C7" w:rsidRPr="00F35716">
        <w:t>sus ámbitos</w:t>
      </w:r>
      <w:r w:rsidRPr="00F35716">
        <w:t xml:space="preserve"> de intervención. Este proyecto se centró además en la investigación científica en </w:t>
      </w:r>
      <w:r w:rsidR="00FB01C7" w:rsidRPr="00F35716">
        <w:t>materia de</w:t>
      </w:r>
      <w:r w:rsidRPr="00F35716">
        <w:t xml:space="preserve"> acceso de las mujeres al mundo de</w:t>
      </w:r>
      <w:r w:rsidR="00FB01C7" w:rsidRPr="00F35716">
        <w:t xml:space="preserve"> </w:t>
      </w:r>
      <w:r w:rsidRPr="00F35716">
        <w:t>l</w:t>
      </w:r>
      <w:r w:rsidR="00FB01C7" w:rsidRPr="00F35716">
        <w:t>os negocios</w:t>
      </w:r>
      <w:r w:rsidRPr="00F35716">
        <w:t xml:space="preserve">, para lo </w:t>
      </w:r>
      <w:r w:rsidR="00FB01C7" w:rsidRPr="00F35716">
        <w:t xml:space="preserve">cual </w:t>
      </w:r>
      <w:r w:rsidRPr="00F35716">
        <w:t>realizó un estudio nacional sobre el desarrollo de las empresa</w:t>
      </w:r>
      <w:r w:rsidR="00FB01C7" w:rsidRPr="00F35716">
        <w:t>rias</w:t>
      </w:r>
      <w:r w:rsidRPr="00F35716">
        <w:t xml:space="preserve"> en Marruecos.</w:t>
      </w:r>
    </w:p>
    <w:p w14:paraId="32E945D0" w14:textId="7B280F28" w:rsidR="00EC3C86" w:rsidRPr="00F35716" w:rsidRDefault="00EC3C86" w:rsidP="00B3192A">
      <w:pPr>
        <w:pStyle w:val="SingleTxt"/>
        <w:numPr>
          <w:ilvl w:val="0"/>
          <w:numId w:val="8"/>
        </w:numPr>
        <w:ind w:left="1267" w:firstLine="0"/>
      </w:pPr>
      <w:r w:rsidRPr="00F35716">
        <w:t xml:space="preserve">En agosto de 2016, el Ministerio de Familia, Solidaridad, Igualdad y Desarrollo Social firmó un acuerdo de colaboración con la Asociación de Mujeres Emprendedoras de Marruecos (AFEM) referente a un proyecto para desarrollar el espíritu empresarial de las mujeres en entornos urbanos, semiurbanos y rurales a través de aceleradores </w:t>
      </w:r>
      <w:r w:rsidR="000B5344" w:rsidRPr="00F35716">
        <w:t>e incubadoras de empresas</w:t>
      </w:r>
      <w:r w:rsidRPr="00F35716">
        <w:t xml:space="preserve"> en tres regiones de Marruecos. </w:t>
      </w:r>
    </w:p>
    <w:p w14:paraId="32E945D1" w14:textId="420282D6" w:rsidR="00EC3C86" w:rsidRPr="00F35716" w:rsidRDefault="00EC3C86" w:rsidP="00B3192A">
      <w:pPr>
        <w:pStyle w:val="SingleTxt"/>
        <w:numPr>
          <w:ilvl w:val="0"/>
          <w:numId w:val="8"/>
        </w:numPr>
        <w:ind w:left="1267" w:firstLine="0"/>
      </w:pPr>
      <w:r w:rsidRPr="00F35716">
        <w:t xml:space="preserve">En 2016 se </w:t>
      </w:r>
      <w:r w:rsidR="00083C63" w:rsidRPr="00F35716">
        <w:t xml:space="preserve">firmó </w:t>
      </w:r>
      <w:r w:rsidRPr="00F35716">
        <w:t xml:space="preserve">un memorando de entendimiento con la Organización Mundial del Turismo, la Confederación Nacional de Turismo y </w:t>
      </w:r>
      <w:r w:rsidR="00083C63" w:rsidRPr="00F35716">
        <w:t>ONU-</w:t>
      </w:r>
      <w:r w:rsidRPr="00F35716">
        <w:t xml:space="preserve">Mujeres sobre </w:t>
      </w:r>
      <w:r w:rsidR="00083C63" w:rsidRPr="00F35716">
        <w:t>un</w:t>
      </w:r>
      <w:r w:rsidRPr="00F35716">
        <w:t xml:space="preserve"> proyecto de empoderamiento social y económico de las mujeres para </w:t>
      </w:r>
      <w:r w:rsidR="00083C63" w:rsidRPr="00F35716">
        <w:t xml:space="preserve">promover </w:t>
      </w:r>
      <w:r w:rsidRPr="00F35716">
        <w:t xml:space="preserve">el impacto positivo del desarrollo turístico en </w:t>
      </w:r>
      <w:r w:rsidR="00083C63" w:rsidRPr="00F35716">
        <w:t xml:space="preserve">la </w:t>
      </w:r>
      <w:r w:rsidRPr="00F35716">
        <w:t>vida</w:t>
      </w:r>
      <w:r w:rsidR="00083C63" w:rsidRPr="00F35716">
        <w:t xml:space="preserve"> de las mujeres</w:t>
      </w:r>
      <w:r w:rsidRPr="00F35716">
        <w:t xml:space="preserve"> y su contribución </w:t>
      </w:r>
      <w:r w:rsidR="00083C63" w:rsidRPr="00F35716">
        <w:t>a</w:t>
      </w:r>
      <w:r w:rsidRPr="00F35716">
        <w:t xml:space="preserve"> la igualdad de género</w:t>
      </w:r>
      <w:r w:rsidR="00083C63" w:rsidRPr="00F35716">
        <w:t>. Dicho memorando tiene por objeto</w:t>
      </w:r>
      <w:r w:rsidRPr="00F35716">
        <w:t xml:space="preserve"> aumentar las oportunidades para establecer pequeñas empresas turísticas a través de las microfinanzas, y alentar la participación de las mujeres en la planificación del turismo, la administración local y la toma de decisiones.</w:t>
      </w:r>
    </w:p>
    <w:p w14:paraId="32E945D2" w14:textId="18319318" w:rsidR="00EC3C86" w:rsidRPr="00F35716" w:rsidRDefault="00EC3C86" w:rsidP="00B3192A">
      <w:pPr>
        <w:pStyle w:val="SingleTxt"/>
        <w:numPr>
          <w:ilvl w:val="0"/>
          <w:numId w:val="8"/>
        </w:numPr>
        <w:ind w:left="1267" w:firstLine="0"/>
      </w:pPr>
      <w:r w:rsidRPr="00F35716">
        <w:t xml:space="preserve">En el marco de la estrategia nacional </w:t>
      </w:r>
      <w:r w:rsidR="00083C63" w:rsidRPr="00F35716">
        <w:t>“</w:t>
      </w:r>
      <w:r w:rsidRPr="00F35716">
        <w:t>Marruecos Innovación</w:t>
      </w:r>
      <w:r w:rsidR="00083C63" w:rsidRPr="00F35716">
        <w:t>”</w:t>
      </w:r>
      <w:r w:rsidRPr="00F35716">
        <w:t xml:space="preserve">, que se lanzó en 2011, el Fondo Central de Garantía </w:t>
      </w:r>
      <w:r w:rsidR="00083C63" w:rsidRPr="00F35716">
        <w:t xml:space="preserve">ha </w:t>
      </w:r>
      <w:r w:rsidRPr="00F35716">
        <w:t>apoy</w:t>
      </w:r>
      <w:r w:rsidR="00083C63" w:rsidRPr="00F35716">
        <w:t>ado</w:t>
      </w:r>
      <w:r w:rsidRPr="00F35716">
        <w:t>, hasta diciembre de 2014, 60 proyectos innovadores</w:t>
      </w:r>
      <w:r w:rsidR="00083C63" w:rsidRPr="00F35716">
        <w:t>, el</w:t>
      </w:r>
      <w:r w:rsidRPr="00F35716">
        <w:t xml:space="preserve"> 10</w:t>
      </w:r>
      <w:r w:rsidR="0006736D" w:rsidRPr="00F35716">
        <w:t> %</w:t>
      </w:r>
      <w:r w:rsidRPr="00F35716">
        <w:t xml:space="preserve"> de </w:t>
      </w:r>
      <w:r w:rsidR="00083C63" w:rsidRPr="00F35716">
        <w:t>ellos dirigidos por</w:t>
      </w:r>
      <w:r w:rsidRPr="00F35716">
        <w:t xml:space="preserve"> mujeres. El Gobierno trabaja para </w:t>
      </w:r>
      <w:r w:rsidR="009B6AF8" w:rsidRPr="00F35716">
        <w:t xml:space="preserve">impulsar </w:t>
      </w:r>
      <w:r w:rsidRPr="00F35716">
        <w:t xml:space="preserve">el </w:t>
      </w:r>
      <w:r w:rsidR="009B6AF8" w:rsidRPr="00F35716">
        <w:t>emprendimiento y la</w:t>
      </w:r>
      <w:r w:rsidRPr="00F35716">
        <w:t xml:space="preserve"> inversión entre las mujeres emprendedoras a través de varios programas </w:t>
      </w:r>
      <w:r w:rsidR="009B6AF8" w:rsidRPr="00F35716">
        <w:t>de formación. Entre los beneficiarios se incluyen los siguientes</w:t>
      </w:r>
      <w:r w:rsidRPr="00F35716">
        <w:t>:</w:t>
      </w:r>
    </w:p>
    <w:p w14:paraId="32E945D3" w14:textId="7C277FBE" w:rsidR="00EC3C86" w:rsidRPr="00F35716" w:rsidRDefault="00A90BBF" w:rsidP="00A90BBF">
      <w:pPr>
        <w:pStyle w:val="SingleTxt"/>
        <w:tabs>
          <w:tab w:val="right" w:pos="1685"/>
        </w:tabs>
        <w:ind w:left="1742" w:hanging="475"/>
      </w:pPr>
      <w:r w:rsidRPr="00F35716">
        <w:tab/>
        <w:t>–</w:t>
      </w:r>
      <w:r w:rsidRPr="00F35716">
        <w:tab/>
      </w:r>
      <w:r w:rsidR="009B6AF8" w:rsidRPr="00F35716">
        <w:t>Un total de</w:t>
      </w:r>
      <w:r w:rsidR="00EC3C86" w:rsidRPr="00F35716">
        <w:t xml:space="preserve"> 128.339 </w:t>
      </w:r>
      <w:r w:rsidR="00816573" w:rsidRPr="00F35716">
        <w:t>jóvenes</w:t>
      </w:r>
      <w:r w:rsidR="009B6AF8" w:rsidRPr="00F35716">
        <w:t xml:space="preserve"> </w:t>
      </w:r>
      <w:r w:rsidR="00EC3C86" w:rsidRPr="00F35716">
        <w:t xml:space="preserve">en el ámbito de </w:t>
      </w:r>
      <w:r w:rsidR="009B6AF8" w:rsidRPr="00F35716">
        <w:t>los negocios y proyectos</w:t>
      </w:r>
      <w:r w:rsidR="00EC3C86" w:rsidRPr="00F35716">
        <w:t xml:space="preserve"> generador</w:t>
      </w:r>
      <w:r w:rsidR="009B6AF8" w:rsidRPr="00F35716">
        <w:t>e</w:t>
      </w:r>
      <w:r w:rsidR="00EC3C86" w:rsidRPr="00F35716">
        <w:t xml:space="preserve">s de ingresos en </w:t>
      </w:r>
      <w:r w:rsidR="009B6AF8" w:rsidRPr="00F35716">
        <w:t>instituciones</w:t>
      </w:r>
      <w:r w:rsidR="00EC3C86" w:rsidRPr="00F35716">
        <w:t xml:space="preserve"> de mujeres.</w:t>
      </w:r>
    </w:p>
    <w:p w14:paraId="32E945D4" w14:textId="2874322F" w:rsidR="00EC3C86" w:rsidRPr="00F35716" w:rsidRDefault="00A90BBF" w:rsidP="00A90BBF">
      <w:pPr>
        <w:pStyle w:val="SingleTxt"/>
        <w:tabs>
          <w:tab w:val="right" w:pos="1685"/>
        </w:tabs>
        <w:ind w:left="1742" w:hanging="475"/>
      </w:pPr>
      <w:r w:rsidRPr="00F35716">
        <w:tab/>
        <w:t>–</w:t>
      </w:r>
      <w:r w:rsidRPr="00F35716">
        <w:tab/>
      </w:r>
      <w:r w:rsidR="009B6AF8" w:rsidRPr="00F35716">
        <w:t>A</w:t>
      </w:r>
      <w:r w:rsidR="00EC3C86" w:rsidRPr="00F35716">
        <w:t xml:space="preserve">lrededor de 11.000 jóvenes, incluidas aproximadamente 5.000 mujeres jóvenes, </w:t>
      </w:r>
      <w:r w:rsidR="009B6AF8" w:rsidRPr="00F35716">
        <w:t>en el marco de un p</w:t>
      </w:r>
      <w:r w:rsidR="00EC3C86" w:rsidRPr="00F35716">
        <w:t xml:space="preserve">rograma de </w:t>
      </w:r>
      <w:r w:rsidR="009B6AF8" w:rsidRPr="00F35716">
        <w:t>a</w:t>
      </w:r>
      <w:r w:rsidR="00EC3C86" w:rsidRPr="00F35716">
        <w:t>utoempleo apoyado por el Banco</w:t>
      </w:r>
      <w:r w:rsidR="00966EAE" w:rsidRPr="00F35716">
        <w:t> </w:t>
      </w:r>
      <w:r w:rsidR="00EC3C86" w:rsidRPr="00F35716">
        <w:t xml:space="preserve">Mundial. </w:t>
      </w:r>
    </w:p>
    <w:p w14:paraId="32E945D5" w14:textId="3CF17501" w:rsidR="00EC3C86" w:rsidRPr="00F35716" w:rsidRDefault="00A90BBF" w:rsidP="00A90BBF">
      <w:pPr>
        <w:pStyle w:val="SingleTxt"/>
        <w:tabs>
          <w:tab w:val="right" w:pos="1685"/>
        </w:tabs>
        <w:ind w:left="1742" w:hanging="475"/>
      </w:pPr>
      <w:r w:rsidRPr="00F35716">
        <w:lastRenderedPageBreak/>
        <w:tab/>
        <w:t>–</w:t>
      </w:r>
      <w:r w:rsidRPr="00F35716">
        <w:tab/>
      </w:r>
      <w:r w:rsidR="00EC3C86" w:rsidRPr="00F35716">
        <w:t xml:space="preserve">Doscientos estudiantes (con una representación igualitaria de ambos sexos) </w:t>
      </w:r>
      <w:r w:rsidR="009B6AF8" w:rsidRPr="00F35716">
        <w:t xml:space="preserve">que </w:t>
      </w:r>
      <w:r w:rsidR="00EC3C86" w:rsidRPr="00F35716">
        <w:t>emprendieron, entre 2011 y 2014, 50 proyectos innovadores dentro de una unidad de formación sobre la creación de empresas innovadoras en cinco centros de educación superior.</w:t>
      </w:r>
    </w:p>
    <w:p w14:paraId="32E945D6" w14:textId="428A3B45" w:rsidR="00EC3C86" w:rsidRPr="00F35716" w:rsidRDefault="00A90BBF" w:rsidP="00A90BBF">
      <w:pPr>
        <w:pStyle w:val="SingleTxt"/>
        <w:tabs>
          <w:tab w:val="right" w:pos="1685"/>
        </w:tabs>
        <w:ind w:left="1742" w:hanging="475"/>
      </w:pPr>
      <w:r w:rsidRPr="00F35716">
        <w:tab/>
        <w:t>–</w:t>
      </w:r>
      <w:r w:rsidRPr="00F35716">
        <w:tab/>
      </w:r>
      <w:r w:rsidR="009B6AF8" w:rsidRPr="00F35716">
        <w:t>Un total de</w:t>
      </w:r>
      <w:r w:rsidR="00EC3C86" w:rsidRPr="00F35716">
        <w:t xml:space="preserve"> 113 proyectos, el 48</w:t>
      </w:r>
      <w:r w:rsidR="0006736D" w:rsidRPr="00F35716">
        <w:t> %</w:t>
      </w:r>
      <w:r w:rsidR="00EC3C86" w:rsidRPr="00F35716">
        <w:t xml:space="preserve"> de los cuales estaban dirigidos </w:t>
      </w:r>
      <w:r w:rsidR="009B6AF8" w:rsidRPr="00F35716">
        <w:t>por</w:t>
      </w:r>
      <w:r w:rsidR="00EC3C86" w:rsidRPr="00F35716">
        <w:t xml:space="preserve"> mujeres, </w:t>
      </w:r>
      <w:r w:rsidR="009B6AF8" w:rsidRPr="00F35716">
        <w:t>en el marco d</w:t>
      </w:r>
      <w:r w:rsidR="00EC3C86" w:rsidRPr="00F35716">
        <w:t>el programa del Fondo</w:t>
      </w:r>
      <w:r w:rsidR="00070A0A" w:rsidRPr="00F35716">
        <w:t xml:space="preserve"> para la Integración de los Jóvenes</w:t>
      </w:r>
      <w:r w:rsidR="00EC3C86" w:rsidRPr="00F35716">
        <w:t xml:space="preserve">. </w:t>
      </w:r>
    </w:p>
    <w:p w14:paraId="32E945D7" w14:textId="18F1749A" w:rsidR="00EC3C86" w:rsidRPr="00F35716" w:rsidRDefault="00EC3C86" w:rsidP="00B3192A">
      <w:pPr>
        <w:pStyle w:val="SingleTxt"/>
        <w:numPr>
          <w:ilvl w:val="0"/>
          <w:numId w:val="8"/>
        </w:numPr>
        <w:ind w:left="1267" w:firstLine="0"/>
      </w:pPr>
      <w:r w:rsidRPr="00F35716">
        <w:t>Con respecto al programa de modernización del comercio de proximidad, se han renovado más de 24.480 puntos de venta en más de 100 ciudades y pueblos de</w:t>
      </w:r>
      <w:r w:rsidR="00416DAA" w:rsidRPr="00F35716">
        <w:t> </w:t>
      </w:r>
      <w:r w:rsidRPr="00F35716">
        <w:t xml:space="preserve">diversas regiones, lo cual ha beneficiado </w:t>
      </w:r>
      <w:r w:rsidR="00070A0A" w:rsidRPr="00F35716">
        <w:t xml:space="preserve">a </w:t>
      </w:r>
      <w:r w:rsidRPr="00F35716">
        <w:t>2.452 mujeres comerciantes (el</w:t>
      </w:r>
      <w:r w:rsidR="00416DAA" w:rsidRPr="00F35716">
        <w:t> </w:t>
      </w:r>
      <w:r w:rsidRPr="00F35716">
        <w:t>10</w:t>
      </w:r>
      <w:r w:rsidR="0006736D" w:rsidRPr="00F35716">
        <w:t> %</w:t>
      </w:r>
      <w:r w:rsidRPr="00F35716">
        <w:t xml:space="preserve"> del total).</w:t>
      </w:r>
    </w:p>
    <w:p w14:paraId="32E945D8" w14:textId="005F5E34" w:rsidR="00EC3C86" w:rsidRPr="00F35716" w:rsidRDefault="00EC3C86" w:rsidP="00BE3BAD">
      <w:pPr>
        <w:pStyle w:val="SingleTxt"/>
        <w:keepLines/>
        <w:numPr>
          <w:ilvl w:val="0"/>
          <w:numId w:val="8"/>
        </w:numPr>
        <w:ind w:left="1267" w:firstLine="0"/>
      </w:pPr>
      <w:r w:rsidRPr="00F35716">
        <w:t xml:space="preserve">La Constitución de 2011 </w:t>
      </w:r>
      <w:r w:rsidR="00070A0A" w:rsidRPr="00F35716">
        <w:t>consagró</w:t>
      </w:r>
      <w:r w:rsidRPr="00F35716">
        <w:t xml:space="preserve"> el concepto de desarrollo sostenible y lo convirtió en un derecho para todos los ciudadanos. </w:t>
      </w:r>
      <w:r w:rsidR="00070A0A" w:rsidRPr="00F35716">
        <w:t>S</w:t>
      </w:r>
      <w:r w:rsidRPr="00F35716">
        <w:t xml:space="preserve">e elaboró una nueva lista de 56 indicadores de desarrollo sostenible que está más en </w:t>
      </w:r>
      <w:r w:rsidR="00070A0A" w:rsidRPr="00F35716">
        <w:t xml:space="preserve">consonancia </w:t>
      </w:r>
      <w:r w:rsidRPr="00F35716">
        <w:t xml:space="preserve">con las preocupaciones actuales y con las necesidades de seguimiento y evaluación de las políticas de desarrollo sostenible que </w:t>
      </w:r>
      <w:r w:rsidR="00070A0A" w:rsidRPr="00F35716">
        <w:t>aplican</w:t>
      </w:r>
      <w:r w:rsidRPr="00F35716">
        <w:t xml:space="preserve"> </w:t>
      </w:r>
      <w:r w:rsidR="00070A0A" w:rsidRPr="00F35716">
        <w:t>diversos agentes. La incorporación de</w:t>
      </w:r>
      <w:r w:rsidRPr="00F35716">
        <w:t xml:space="preserve"> la perspectiva de género </w:t>
      </w:r>
      <w:r w:rsidR="00070A0A" w:rsidRPr="00F35716">
        <w:t>se ha convertido en</w:t>
      </w:r>
      <w:r w:rsidRPr="00F35716">
        <w:t xml:space="preserve"> un indicador importante de desarrollo sostenible.</w:t>
      </w:r>
    </w:p>
    <w:p w14:paraId="32E945D9" w14:textId="14CD7455" w:rsidR="00EC3C86" w:rsidRPr="00F35716" w:rsidRDefault="00EC3C86" w:rsidP="00B3192A">
      <w:pPr>
        <w:pStyle w:val="SingleTxt"/>
        <w:numPr>
          <w:ilvl w:val="0"/>
          <w:numId w:val="8"/>
        </w:numPr>
        <w:ind w:left="1267" w:firstLine="0"/>
      </w:pPr>
      <w:r w:rsidRPr="00F35716">
        <w:t xml:space="preserve">Se </w:t>
      </w:r>
      <w:r w:rsidR="00070A0A" w:rsidRPr="00F35716">
        <w:t xml:space="preserve">ultimó </w:t>
      </w:r>
      <w:r w:rsidRPr="00F35716">
        <w:t xml:space="preserve">una estrategia para institucionalizar la incorporación de la perspectiva de género en el </w:t>
      </w:r>
      <w:r w:rsidR="00070A0A" w:rsidRPr="00F35716">
        <w:t xml:space="preserve">ámbito </w:t>
      </w:r>
      <w:r w:rsidRPr="00F35716">
        <w:t xml:space="preserve">del medio ambiente y el desarrollo sostenible en el marco de un acuerdo de </w:t>
      </w:r>
      <w:r w:rsidR="00070A0A" w:rsidRPr="00F35716">
        <w:t>colabora</w:t>
      </w:r>
      <w:r w:rsidRPr="00F35716">
        <w:t>ción con ONU-Mujeres (marzo de 2018). Dicha estrategia se basa en las siguientes pautas:</w:t>
      </w:r>
    </w:p>
    <w:p w14:paraId="32E945DA" w14:textId="770EC90F" w:rsidR="00EC3C86" w:rsidRPr="00F35716" w:rsidRDefault="00966EAE" w:rsidP="00966EAE">
      <w:pPr>
        <w:pStyle w:val="SingleTxt"/>
        <w:tabs>
          <w:tab w:val="right" w:pos="1685"/>
        </w:tabs>
        <w:ind w:left="1742" w:hanging="475"/>
      </w:pPr>
      <w:r w:rsidRPr="00F35716">
        <w:tab/>
        <w:t>–</w:t>
      </w:r>
      <w:r w:rsidRPr="00F35716">
        <w:tab/>
      </w:r>
      <w:r w:rsidR="00EC3C86" w:rsidRPr="00F35716">
        <w:t xml:space="preserve">Contribuir a la aplicación de la </w:t>
      </w:r>
      <w:r w:rsidR="00070A0A" w:rsidRPr="00F35716">
        <w:t>E</w:t>
      </w:r>
      <w:r w:rsidR="00EC3C86" w:rsidRPr="00F35716">
        <w:t xml:space="preserve">strategia </w:t>
      </w:r>
      <w:r w:rsidR="00070A0A" w:rsidRPr="00F35716">
        <w:t>N</w:t>
      </w:r>
      <w:r w:rsidR="00EC3C86" w:rsidRPr="00F35716">
        <w:t xml:space="preserve">acional para la </w:t>
      </w:r>
      <w:r w:rsidR="00070A0A" w:rsidRPr="00F35716">
        <w:t>I</w:t>
      </w:r>
      <w:r w:rsidR="00EC3C86" w:rsidRPr="00F35716">
        <w:t xml:space="preserve">gualdad y la </w:t>
      </w:r>
      <w:r w:rsidR="00B24090" w:rsidRPr="00F35716">
        <w:t xml:space="preserve">Paridad </w:t>
      </w:r>
      <w:r w:rsidR="00EC3C86" w:rsidRPr="00F35716">
        <w:t xml:space="preserve">de </w:t>
      </w:r>
      <w:r w:rsidR="00B24090" w:rsidRPr="00F35716">
        <w:t>G</w:t>
      </w:r>
      <w:r w:rsidR="00EC3C86" w:rsidRPr="00F35716">
        <w:t xml:space="preserve">énero, en </w:t>
      </w:r>
      <w:r w:rsidR="00070A0A" w:rsidRPr="00F35716">
        <w:t xml:space="preserve">consonancia </w:t>
      </w:r>
      <w:r w:rsidR="00EC3C86" w:rsidRPr="00F35716">
        <w:t xml:space="preserve">con los objetivos y programas de acción de la </w:t>
      </w:r>
      <w:r w:rsidR="00070A0A" w:rsidRPr="00F35716">
        <w:t>E</w:t>
      </w:r>
      <w:r w:rsidR="00EC3C86" w:rsidRPr="00F35716">
        <w:t xml:space="preserve">strategia </w:t>
      </w:r>
      <w:r w:rsidR="00070A0A" w:rsidRPr="00F35716">
        <w:t>N</w:t>
      </w:r>
      <w:r w:rsidR="00EC3C86" w:rsidRPr="00F35716">
        <w:t xml:space="preserve">acional </w:t>
      </w:r>
      <w:r w:rsidR="00070A0A" w:rsidRPr="00F35716">
        <w:t>de</w:t>
      </w:r>
      <w:r w:rsidR="00EC3C86" w:rsidRPr="00F35716">
        <w:t xml:space="preserve"> </w:t>
      </w:r>
      <w:r w:rsidR="00070A0A" w:rsidRPr="00F35716">
        <w:t>D</w:t>
      </w:r>
      <w:r w:rsidR="00EC3C86" w:rsidRPr="00F35716">
        <w:t xml:space="preserve">esarrollo </w:t>
      </w:r>
      <w:r w:rsidR="00070A0A" w:rsidRPr="00F35716">
        <w:t>S</w:t>
      </w:r>
      <w:r w:rsidR="00EC3C86" w:rsidRPr="00F35716">
        <w:t>ostenible.</w:t>
      </w:r>
    </w:p>
    <w:p w14:paraId="32E945DB" w14:textId="77777777" w:rsidR="00EC3C86" w:rsidRPr="00F35716" w:rsidRDefault="00966EAE" w:rsidP="00966EAE">
      <w:pPr>
        <w:pStyle w:val="SingleTxt"/>
        <w:tabs>
          <w:tab w:val="right" w:pos="1685"/>
        </w:tabs>
        <w:ind w:left="1742" w:hanging="475"/>
      </w:pPr>
      <w:r w:rsidRPr="00F35716">
        <w:tab/>
        <w:t>–</w:t>
      </w:r>
      <w:r w:rsidRPr="00F35716">
        <w:tab/>
      </w:r>
      <w:r w:rsidR="00EC3C86" w:rsidRPr="00F35716">
        <w:t>Incorporar el principio de igualdad en el proceso de gestión de los recursos humanos y las competencias.</w:t>
      </w:r>
    </w:p>
    <w:p w14:paraId="32E945DC" w14:textId="0D4442DB" w:rsidR="00EC3C86" w:rsidRPr="00F35716" w:rsidRDefault="00966EAE" w:rsidP="00966EAE">
      <w:pPr>
        <w:pStyle w:val="SingleTxt"/>
        <w:tabs>
          <w:tab w:val="right" w:pos="1685"/>
        </w:tabs>
        <w:ind w:left="1742" w:hanging="475"/>
      </w:pPr>
      <w:r w:rsidRPr="00F35716">
        <w:tab/>
        <w:t>–</w:t>
      </w:r>
      <w:r w:rsidRPr="00F35716">
        <w:tab/>
      </w:r>
      <w:r w:rsidR="00EC3C86" w:rsidRPr="00F35716">
        <w:t>Institucionalizar la</w:t>
      </w:r>
      <w:r w:rsidR="00B24090" w:rsidRPr="00F35716">
        <w:t>s</w:t>
      </w:r>
      <w:r w:rsidR="00EC3C86" w:rsidRPr="00F35716">
        <w:t xml:space="preserve"> unidad</w:t>
      </w:r>
      <w:r w:rsidR="00B24090" w:rsidRPr="00F35716">
        <w:t>es</w:t>
      </w:r>
      <w:r w:rsidR="00EC3C86" w:rsidRPr="00F35716">
        <w:t xml:space="preserve"> de género </w:t>
      </w:r>
      <w:r w:rsidR="00B24090" w:rsidRPr="00F35716">
        <w:t>y promover</w:t>
      </w:r>
      <w:r w:rsidR="00EC3C86" w:rsidRPr="00F35716">
        <w:t xml:space="preserve"> la igualdad de género en </w:t>
      </w:r>
      <w:r w:rsidR="00B24090" w:rsidRPr="00F35716">
        <w:t xml:space="preserve">las </w:t>
      </w:r>
      <w:r w:rsidR="00EC3C86" w:rsidRPr="00F35716">
        <w:t xml:space="preserve">prácticas, </w:t>
      </w:r>
      <w:r w:rsidR="00B24090" w:rsidRPr="00F35716">
        <w:t xml:space="preserve">los </w:t>
      </w:r>
      <w:r w:rsidR="00EC3C86" w:rsidRPr="00F35716">
        <w:t xml:space="preserve">comportamientos, </w:t>
      </w:r>
      <w:r w:rsidR="00B24090" w:rsidRPr="00F35716">
        <w:t xml:space="preserve">los </w:t>
      </w:r>
      <w:r w:rsidR="00EC3C86" w:rsidRPr="00F35716">
        <w:t xml:space="preserve">programas y </w:t>
      </w:r>
      <w:r w:rsidR="00B24090" w:rsidRPr="00F35716">
        <w:t xml:space="preserve">los </w:t>
      </w:r>
      <w:r w:rsidR="00EC3C86" w:rsidRPr="00F35716">
        <w:t>planes de acción en materia de medio ambiente y desarrollo sostenible.</w:t>
      </w:r>
    </w:p>
    <w:p w14:paraId="32E945DD" w14:textId="032A8E1E" w:rsidR="00EC3C86" w:rsidRPr="00F35716" w:rsidRDefault="00EC3C86" w:rsidP="00B3192A">
      <w:pPr>
        <w:pStyle w:val="SingleTxt"/>
        <w:numPr>
          <w:ilvl w:val="0"/>
          <w:numId w:val="8"/>
        </w:numPr>
        <w:ind w:left="1267" w:firstLine="0"/>
      </w:pPr>
      <w:r w:rsidRPr="00F35716">
        <w:t xml:space="preserve">Con el fin de sentar las bases de una economía verde para 2020, se </w:t>
      </w:r>
      <w:r w:rsidR="00B24090" w:rsidRPr="00F35716">
        <w:t>formuló</w:t>
      </w:r>
      <w:r w:rsidRPr="00F35716">
        <w:t xml:space="preserve"> una estrategia nacional </w:t>
      </w:r>
      <w:r w:rsidR="00B24090" w:rsidRPr="00F35716">
        <w:t>d</w:t>
      </w:r>
      <w:r w:rsidRPr="00F35716">
        <w:t xml:space="preserve">e desarrollo sostenible. En este marco, </w:t>
      </w:r>
      <w:r w:rsidR="00FB48F5" w:rsidRPr="00F35716">
        <w:t xml:space="preserve">y en paralelo al 22º período de sesiones de la Conferencia de las Partes en la Convención Marco de las Naciones Unidas sobre el Cambio Climático, </w:t>
      </w:r>
      <w:r w:rsidRPr="00F35716">
        <w:t xml:space="preserve">se </w:t>
      </w:r>
      <w:r w:rsidR="00B24090" w:rsidRPr="00F35716">
        <w:t xml:space="preserve">puso en marcha </w:t>
      </w:r>
      <w:r w:rsidRPr="00F35716">
        <w:t xml:space="preserve">el </w:t>
      </w:r>
      <w:r w:rsidR="00FB48F5" w:rsidRPr="00F35716">
        <w:t>Programa Mundial de Innovación en materia de Tecnologías Limpias - Marruecos</w:t>
      </w:r>
      <w:r w:rsidRPr="00F35716">
        <w:t xml:space="preserve"> </w:t>
      </w:r>
      <w:r w:rsidR="00B24090" w:rsidRPr="00F35716">
        <w:t>con miras a promover una</w:t>
      </w:r>
      <w:r w:rsidRPr="00F35716">
        <w:t xml:space="preserve"> economía verde, en </w:t>
      </w:r>
      <w:r w:rsidR="00B24090" w:rsidRPr="00F35716">
        <w:t>colaboración</w:t>
      </w:r>
      <w:r w:rsidRPr="00F35716">
        <w:t xml:space="preserve"> con el Fondo Mundial para el Medio Ambiente y la </w:t>
      </w:r>
      <w:r w:rsidR="00B24090" w:rsidRPr="00F35716">
        <w:t>ONUDI</w:t>
      </w:r>
      <w:r w:rsidRPr="00F35716">
        <w:t xml:space="preserve">, </w:t>
      </w:r>
      <w:r w:rsidR="00B24090" w:rsidRPr="00F35716">
        <w:t>para fomentar</w:t>
      </w:r>
      <w:r w:rsidRPr="00F35716">
        <w:t xml:space="preserve"> la participación de las mujeres en la consecución del desarrollo sostenible. </w:t>
      </w:r>
      <w:r w:rsidR="00FB48F5" w:rsidRPr="00F35716">
        <w:t>S</w:t>
      </w:r>
      <w:r w:rsidRPr="00F35716">
        <w:t>e seleccionaron seis proyectos para proporcionarles apoyo financiero y técnico.</w:t>
      </w:r>
    </w:p>
    <w:p w14:paraId="32E945DE" w14:textId="4E578C18" w:rsidR="00EC3C86" w:rsidRPr="00F35716" w:rsidRDefault="00300C5E" w:rsidP="00B3192A">
      <w:pPr>
        <w:pStyle w:val="SingleTxt"/>
        <w:numPr>
          <w:ilvl w:val="0"/>
          <w:numId w:val="8"/>
        </w:numPr>
        <w:ind w:left="1267" w:firstLine="0"/>
      </w:pPr>
      <w:r w:rsidRPr="00F35716">
        <w:t>Como parte</w:t>
      </w:r>
      <w:r w:rsidR="00EC3C86" w:rsidRPr="00F35716">
        <w:t xml:space="preserve"> del apoyo que se presta a las asociaciones para </w:t>
      </w:r>
      <w:r w:rsidR="00FB48F5" w:rsidRPr="00F35716">
        <w:t>formular</w:t>
      </w:r>
      <w:r w:rsidR="00EC3C86" w:rsidRPr="00F35716">
        <w:t xml:space="preserve"> y presentar iniciativas y proyectos ambientales, </w:t>
      </w:r>
      <w:r w:rsidR="0000710C" w:rsidRPr="00F35716">
        <w:t xml:space="preserve">a la hora de seleccionar proyectos </w:t>
      </w:r>
      <w:r w:rsidR="00EC3C86" w:rsidRPr="00F35716">
        <w:t>se</w:t>
      </w:r>
      <w:r w:rsidRPr="00F35716">
        <w:t xml:space="preserve"> adopta un</w:t>
      </w:r>
      <w:r w:rsidR="00FB48F5" w:rsidRPr="00F35716">
        <w:t xml:space="preserve"> enfoque</w:t>
      </w:r>
      <w:r w:rsidR="00EC3C86" w:rsidRPr="00F35716">
        <w:t xml:space="preserve"> de género:</w:t>
      </w:r>
    </w:p>
    <w:p w14:paraId="32E945DF" w14:textId="5273CD00" w:rsidR="00EC3C86" w:rsidRPr="00F35716" w:rsidRDefault="00966EAE" w:rsidP="00966EAE">
      <w:pPr>
        <w:pStyle w:val="SingleTxt"/>
        <w:tabs>
          <w:tab w:val="right" w:pos="1685"/>
        </w:tabs>
        <w:ind w:left="1742" w:hanging="475"/>
      </w:pPr>
      <w:r w:rsidRPr="00F35716">
        <w:tab/>
        <w:t>–</w:t>
      </w:r>
      <w:r w:rsidRPr="00F35716">
        <w:tab/>
      </w:r>
      <w:r w:rsidR="00EC3C86" w:rsidRPr="00F35716">
        <w:t xml:space="preserve">Velando por </w:t>
      </w:r>
      <w:r w:rsidR="00A32065" w:rsidRPr="00F35716">
        <w:t>que</w:t>
      </w:r>
      <w:r w:rsidR="00EC3C86" w:rsidRPr="00F35716">
        <w:t xml:space="preserve"> las asociaciones de mujeres</w:t>
      </w:r>
      <w:r w:rsidR="00A32065" w:rsidRPr="00F35716">
        <w:t xml:space="preserve"> estén representadas</w:t>
      </w:r>
      <w:r w:rsidR="00EC3C86" w:rsidRPr="00F35716">
        <w:t>.</w:t>
      </w:r>
    </w:p>
    <w:p w14:paraId="32E945E0" w14:textId="7D14939B" w:rsidR="00EC3C86" w:rsidRPr="00F35716" w:rsidRDefault="00966EAE" w:rsidP="00966EAE">
      <w:pPr>
        <w:pStyle w:val="SingleTxt"/>
        <w:tabs>
          <w:tab w:val="right" w:pos="1685"/>
        </w:tabs>
        <w:ind w:left="1742" w:hanging="475"/>
      </w:pPr>
      <w:r w:rsidRPr="00F35716">
        <w:tab/>
        <w:t>–</w:t>
      </w:r>
      <w:r w:rsidRPr="00F35716">
        <w:tab/>
      </w:r>
      <w:r w:rsidR="00A32065" w:rsidRPr="00F35716">
        <w:t>Prestando atención a los</w:t>
      </w:r>
      <w:r w:rsidR="00EC3C86" w:rsidRPr="00F35716">
        <w:t xml:space="preserve"> jóvenes y </w:t>
      </w:r>
      <w:r w:rsidR="00A32065" w:rsidRPr="00F35716">
        <w:t xml:space="preserve">las </w:t>
      </w:r>
      <w:r w:rsidR="00EC3C86" w:rsidRPr="00F35716">
        <w:t>mujeres durante las</w:t>
      </w:r>
      <w:r w:rsidR="00A32065" w:rsidRPr="00F35716">
        <w:t xml:space="preserve"> distintas</w:t>
      </w:r>
      <w:r w:rsidR="00EC3C86" w:rsidRPr="00F35716">
        <w:t xml:space="preserve"> fases de</w:t>
      </w:r>
      <w:r w:rsidR="00A32065" w:rsidRPr="00F35716">
        <w:t xml:space="preserve"> formulación y ejecución de los proyectos</w:t>
      </w:r>
      <w:r w:rsidR="00EC3C86" w:rsidRPr="00F35716">
        <w:t>.</w:t>
      </w:r>
    </w:p>
    <w:p w14:paraId="32E945E1" w14:textId="11446FCA" w:rsidR="00EC3C86" w:rsidRPr="00F35716" w:rsidRDefault="00966EAE" w:rsidP="00966EAE">
      <w:pPr>
        <w:pStyle w:val="SingleTxt"/>
        <w:tabs>
          <w:tab w:val="right" w:pos="1685"/>
        </w:tabs>
        <w:ind w:left="1742" w:hanging="475"/>
      </w:pPr>
      <w:r w:rsidRPr="00F35716">
        <w:tab/>
        <w:t>–</w:t>
      </w:r>
      <w:r w:rsidRPr="00F35716">
        <w:tab/>
      </w:r>
      <w:r w:rsidR="00A32065" w:rsidRPr="00F35716">
        <w:t>Procurando</w:t>
      </w:r>
      <w:r w:rsidR="00EC3C86" w:rsidRPr="00F35716">
        <w:t xml:space="preserve"> que </w:t>
      </w:r>
      <w:r w:rsidR="00A32065" w:rsidRPr="00F35716">
        <w:t>los</w:t>
      </w:r>
      <w:r w:rsidR="00EC3C86" w:rsidRPr="00F35716">
        <w:t xml:space="preserve"> proyecto</w:t>
      </w:r>
      <w:r w:rsidR="00A32065" w:rsidRPr="00F35716">
        <w:t>s</w:t>
      </w:r>
      <w:r w:rsidR="00EC3C86" w:rsidRPr="00F35716">
        <w:t xml:space="preserve"> tenga</w:t>
      </w:r>
      <w:r w:rsidR="00A32065" w:rsidRPr="00F35716">
        <w:t>n</w:t>
      </w:r>
      <w:r w:rsidR="00EC3C86" w:rsidRPr="00F35716">
        <w:t xml:space="preserve"> repercusiones positivas para las mujeres, especialmente en el </w:t>
      </w:r>
      <w:r w:rsidR="00FB48F5" w:rsidRPr="00F35716">
        <w:t>ámbito</w:t>
      </w:r>
      <w:r w:rsidR="00EC3C86" w:rsidRPr="00F35716">
        <w:t xml:space="preserve"> rural y</w:t>
      </w:r>
      <w:r w:rsidR="004F32B1" w:rsidRPr="00F35716">
        <w:t xml:space="preserve"> en lo que respecta a la escolarizació</w:t>
      </w:r>
      <w:r w:rsidR="00EC3C86" w:rsidRPr="00F35716">
        <w:t>n</w:t>
      </w:r>
      <w:r w:rsidR="00FB48F5" w:rsidRPr="00F35716">
        <w:t xml:space="preserve"> de las niñas,</w:t>
      </w:r>
      <w:r w:rsidR="00EC3C86" w:rsidRPr="00F35716">
        <w:t xml:space="preserve"> la conciencia ambiental y e</w:t>
      </w:r>
      <w:r w:rsidR="00FB48F5" w:rsidRPr="00F35716">
        <w:t>l</w:t>
      </w:r>
      <w:r w:rsidR="00EC3C86" w:rsidRPr="00F35716">
        <w:t xml:space="preserve"> desarrollo sostenible. </w:t>
      </w:r>
    </w:p>
    <w:p w14:paraId="32E945E2" w14:textId="344BFFF6" w:rsidR="00EC3C86" w:rsidRPr="00F35716" w:rsidRDefault="00966EAE" w:rsidP="00966EAE">
      <w:pPr>
        <w:pStyle w:val="SingleTxt"/>
        <w:tabs>
          <w:tab w:val="right" w:pos="1685"/>
        </w:tabs>
        <w:ind w:left="1742" w:hanging="475"/>
      </w:pPr>
      <w:r w:rsidRPr="00F35716">
        <w:lastRenderedPageBreak/>
        <w:tab/>
        <w:t>–</w:t>
      </w:r>
      <w:r w:rsidRPr="00F35716">
        <w:tab/>
      </w:r>
      <w:r w:rsidR="00EC3C86" w:rsidRPr="00F35716">
        <w:t xml:space="preserve">Promoviendo actividades generadoras de ingresos mediante la creación y el fomento </w:t>
      </w:r>
      <w:r w:rsidR="0090413F" w:rsidRPr="00F35716">
        <w:t>de</w:t>
      </w:r>
      <w:r w:rsidR="00EC3C86" w:rsidRPr="00F35716">
        <w:t xml:space="preserve"> cooperativas de mujeres que </w:t>
      </w:r>
      <w:r w:rsidR="000A6B7E" w:rsidRPr="00F35716">
        <w:t xml:space="preserve">se proponen </w:t>
      </w:r>
      <w:r w:rsidR="0082317A" w:rsidRPr="00F35716">
        <w:t>cultivar</w:t>
      </w:r>
      <w:r w:rsidR="00EC3C86" w:rsidRPr="00F35716">
        <w:t xml:space="preserve"> productos locales. Durante </w:t>
      </w:r>
      <w:r w:rsidR="0082317A" w:rsidRPr="00F35716">
        <w:t>el ciclo</w:t>
      </w:r>
      <w:r w:rsidR="00EC3C86" w:rsidRPr="00F35716">
        <w:t xml:space="preserve"> de 2016 </w:t>
      </w:r>
      <w:r w:rsidR="0082317A" w:rsidRPr="00F35716">
        <w:t>se promovieron</w:t>
      </w:r>
      <w:r w:rsidR="00EC3C86" w:rsidRPr="00F35716">
        <w:t xml:space="preserve"> proyectos e iniciativas de la sociedad civil </w:t>
      </w:r>
      <w:r w:rsidR="009F1520" w:rsidRPr="00F35716">
        <w:t xml:space="preserve">relacionados con </w:t>
      </w:r>
      <w:r w:rsidR="00EC3C86" w:rsidRPr="00F35716">
        <w:t>el cambio climático</w:t>
      </w:r>
      <w:r w:rsidR="009F1520" w:rsidRPr="00F35716">
        <w:t xml:space="preserve">. </w:t>
      </w:r>
      <w:r w:rsidR="00FA697F" w:rsidRPr="00F35716">
        <w:t>E</w:t>
      </w:r>
      <w:r w:rsidR="009F1520" w:rsidRPr="00F35716">
        <w:t>l</w:t>
      </w:r>
      <w:r w:rsidR="00EC3C86" w:rsidRPr="00F35716">
        <w:t xml:space="preserve"> indicador </w:t>
      </w:r>
      <w:r w:rsidR="00B444CC" w:rsidRPr="00F35716">
        <w:t>sobre la diversidad de</w:t>
      </w:r>
      <w:r w:rsidR="00EC3C86" w:rsidRPr="00F35716">
        <w:t xml:space="preserve"> género </w:t>
      </w:r>
      <w:r w:rsidR="00FA697F" w:rsidRPr="00F35716">
        <w:t xml:space="preserve">se </w:t>
      </w:r>
      <w:r w:rsidR="00B444CC" w:rsidRPr="00F35716">
        <w:t>empleó con el objetivo de</w:t>
      </w:r>
      <w:r w:rsidR="00FA697F" w:rsidRPr="00F35716">
        <w:t xml:space="preserve"> valorar en qué</w:t>
      </w:r>
      <w:r w:rsidR="00EC3C86" w:rsidRPr="00F35716">
        <w:t xml:space="preserve"> medida </w:t>
      </w:r>
      <w:r w:rsidR="00FA697F" w:rsidRPr="00F35716">
        <w:t xml:space="preserve">las </w:t>
      </w:r>
      <w:r w:rsidR="00EC3C86" w:rsidRPr="00F35716">
        <w:t>actividades de esos proyectos contribu</w:t>
      </w:r>
      <w:r w:rsidR="00B444CC" w:rsidRPr="00F35716">
        <w:t>ía</w:t>
      </w:r>
      <w:r w:rsidR="00EC3C86" w:rsidRPr="00F35716">
        <w:t xml:space="preserve">n a la igualdad de género y </w:t>
      </w:r>
      <w:r w:rsidR="00816573" w:rsidRPr="00F35716">
        <w:t>e</w:t>
      </w:r>
      <w:r w:rsidR="00EC3C86" w:rsidRPr="00F35716">
        <w:t>l empoderamiento de las mujeres para</w:t>
      </w:r>
      <w:r w:rsidR="00B444CC" w:rsidRPr="00F35716">
        <w:t xml:space="preserve"> </w:t>
      </w:r>
      <w:r w:rsidR="000A6B7E" w:rsidRPr="00F35716">
        <w:t>llevar a cabo</w:t>
      </w:r>
      <w:r w:rsidR="00EC3C86" w:rsidRPr="00F35716">
        <w:t xml:space="preserve"> actividades generadoras de</w:t>
      </w:r>
      <w:r w:rsidR="00A15E29" w:rsidRPr="00F35716">
        <w:t> </w:t>
      </w:r>
      <w:r w:rsidR="00EC3C86" w:rsidRPr="00F35716">
        <w:t>ingresos.</w:t>
      </w:r>
    </w:p>
    <w:p w14:paraId="32E945E3" w14:textId="23375258" w:rsidR="00EC3C86" w:rsidRPr="00F35716" w:rsidRDefault="00EC3C86" w:rsidP="00BE3BAD">
      <w:pPr>
        <w:pStyle w:val="SingleTxt"/>
        <w:keepLines/>
        <w:numPr>
          <w:ilvl w:val="0"/>
          <w:numId w:val="8"/>
        </w:numPr>
        <w:ind w:left="1267" w:firstLine="0"/>
      </w:pPr>
      <w:r w:rsidRPr="00F35716">
        <w:t xml:space="preserve">A principios de 2013, el sector juvenil y deportivo </w:t>
      </w:r>
      <w:r w:rsidR="000A6B7E" w:rsidRPr="00F35716">
        <w:t xml:space="preserve">puso en marcha </w:t>
      </w:r>
      <w:r w:rsidRPr="00F35716">
        <w:t xml:space="preserve">el programa </w:t>
      </w:r>
      <w:r w:rsidR="000A6B7E" w:rsidRPr="00F35716">
        <w:t>“</w:t>
      </w:r>
      <w:r w:rsidRPr="00F35716">
        <w:t>Acompañamiento de Cooperativas</w:t>
      </w:r>
      <w:r w:rsidR="000A6B7E" w:rsidRPr="00F35716">
        <w:t>”</w:t>
      </w:r>
      <w:r w:rsidRPr="00F35716">
        <w:t xml:space="preserve">, que </w:t>
      </w:r>
      <w:r w:rsidR="000A6B7E" w:rsidRPr="00F35716">
        <w:t>abarca</w:t>
      </w:r>
      <w:r w:rsidRPr="00F35716">
        <w:t xml:space="preserve"> 121 proyectos cooperativos y </w:t>
      </w:r>
      <w:r w:rsidR="000A6B7E" w:rsidRPr="00F35716">
        <w:t>generadores</w:t>
      </w:r>
      <w:r w:rsidRPr="00F35716">
        <w:t xml:space="preserve"> de ingresos. L</w:t>
      </w:r>
      <w:r w:rsidR="000A6B7E" w:rsidRPr="00F35716">
        <w:t>o</w:t>
      </w:r>
      <w:r w:rsidRPr="00F35716">
        <w:t xml:space="preserve">s </w:t>
      </w:r>
      <w:r w:rsidR="000A6B7E" w:rsidRPr="00F35716">
        <w:t>centros</w:t>
      </w:r>
      <w:r w:rsidRPr="00F35716">
        <w:t xml:space="preserve"> de formación profesional también trabajan en favor del autoempoderamiento de mujeres y niñas, y facilitan su integración en la</w:t>
      </w:r>
      <w:r w:rsidR="00E55ECE" w:rsidRPr="00F35716">
        <w:t> </w:t>
      </w:r>
      <w:r w:rsidRPr="00F35716">
        <w:t xml:space="preserve">vida socioeconómica y su acceso al mercado laboral. También </w:t>
      </w:r>
      <w:r w:rsidR="000A6B7E" w:rsidRPr="00F35716">
        <w:t>existe</w:t>
      </w:r>
      <w:r w:rsidRPr="00F35716">
        <w:t xml:space="preserve"> </w:t>
      </w:r>
      <w:r w:rsidR="000A6B7E" w:rsidRPr="00F35716">
        <w:t>un</w:t>
      </w:r>
      <w:r w:rsidR="00E55ECE" w:rsidRPr="00F35716">
        <w:t> </w:t>
      </w:r>
      <w:r w:rsidRPr="00F35716">
        <w:t xml:space="preserve">proyecto </w:t>
      </w:r>
      <w:r w:rsidR="000A6B7E" w:rsidRPr="00F35716">
        <w:t xml:space="preserve">orientado a </w:t>
      </w:r>
      <w:r w:rsidRPr="00F35716">
        <w:t xml:space="preserve">integrar a 2.000 graduados en el </w:t>
      </w:r>
      <w:r w:rsidR="008C172B" w:rsidRPr="00F35716">
        <w:t>sector</w:t>
      </w:r>
      <w:r w:rsidRPr="00F35716">
        <w:t xml:space="preserve"> de los repuestos para automóvil</w:t>
      </w:r>
      <w:r w:rsidR="00E55ECE" w:rsidRPr="00F35716">
        <w:t> </w:t>
      </w:r>
      <w:r w:rsidRPr="00F35716">
        <w:t xml:space="preserve">en </w:t>
      </w:r>
      <w:r w:rsidR="008C172B" w:rsidRPr="00F35716">
        <w:t>colaboración</w:t>
      </w:r>
      <w:r w:rsidRPr="00F35716">
        <w:t xml:space="preserve"> con la Agencia Nacional para la Promoción del Empleo y las Competencias</w:t>
      </w:r>
      <w:r w:rsidR="008C172B" w:rsidRPr="00F35716">
        <w:t xml:space="preserve"> (ANAPEC)</w:t>
      </w:r>
      <w:r w:rsidRPr="00F35716">
        <w:t xml:space="preserve">. </w:t>
      </w:r>
    </w:p>
    <w:p w14:paraId="32E945E4" w14:textId="015D816F" w:rsidR="00EC3C86" w:rsidRPr="00F35716" w:rsidRDefault="00927E7A" w:rsidP="00B3192A">
      <w:pPr>
        <w:pStyle w:val="SingleTxt"/>
        <w:numPr>
          <w:ilvl w:val="0"/>
          <w:numId w:val="8"/>
        </w:numPr>
        <w:ind w:left="1267" w:firstLine="0"/>
      </w:pPr>
      <w:r w:rsidRPr="00F35716">
        <w:t>En el marco del Programa para Promover el Emprendimiento de los Jóvenes (PPEJ) s</w:t>
      </w:r>
      <w:r w:rsidR="00EC3C86" w:rsidRPr="00F35716">
        <w:t xml:space="preserve">e </w:t>
      </w:r>
      <w:r w:rsidRPr="00F35716">
        <w:t>ejecutó</w:t>
      </w:r>
      <w:r w:rsidR="00EC3C86" w:rsidRPr="00F35716">
        <w:t xml:space="preserve"> el programa </w:t>
      </w:r>
      <w:r w:rsidRPr="00F35716">
        <w:t>“</w:t>
      </w:r>
      <w:r w:rsidR="00EC3C86" w:rsidRPr="00F35716">
        <w:t xml:space="preserve">Apoyar las Capacidades Empresariales de los Jóvenes en </w:t>
      </w:r>
      <w:r w:rsidRPr="00F35716">
        <w:t>Situación de Vulnerabilidad</w:t>
      </w:r>
      <w:r w:rsidR="00EC3C86" w:rsidRPr="00F35716">
        <w:t xml:space="preserve"> en el Sector Informal</w:t>
      </w:r>
      <w:r w:rsidRPr="00F35716">
        <w:t>”</w:t>
      </w:r>
      <w:r w:rsidR="00EC3C86" w:rsidRPr="00F35716">
        <w:t xml:space="preserve">, </w:t>
      </w:r>
      <w:r w:rsidRPr="00F35716">
        <w:t>que ofrece</w:t>
      </w:r>
      <w:r w:rsidR="00EC3C86" w:rsidRPr="00F35716">
        <w:t xml:space="preserve"> capacitación para la creación de microempresas a unos 5.000 jóvenes. </w:t>
      </w:r>
      <w:r w:rsidRPr="00F35716">
        <w:t>E</w:t>
      </w:r>
      <w:r w:rsidR="00EC3C86" w:rsidRPr="00F35716">
        <w:t>l 40</w:t>
      </w:r>
      <w:r w:rsidR="0006736D" w:rsidRPr="00F35716">
        <w:t> %</w:t>
      </w:r>
      <w:r w:rsidR="00EC3C86" w:rsidRPr="00F35716">
        <w:t xml:space="preserve"> de sus beneficiarios fueron mujeres.</w:t>
      </w:r>
      <w:r w:rsidR="00BD7E71" w:rsidRPr="00F35716">
        <w:t xml:space="preserve"> </w:t>
      </w:r>
    </w:p>
    <w:p w14:paraId="32E945E5" w14:textId="7B3B3DF6" w:rsidR="00EC3C86" w:rsidRPr="00F35716" w:rsidRDefault="00EC3C86" w:rsidP="00B70088">
      <w:pPr>
        <w:pStyle w:val="SingleTxt"/>
        <w:keepNext/>
        <w:numPr>
          <w:ilvl w:val="0"/>
          <w:numId w:val="8"/>
        </w:numPr>
        <w:ind w:left="1267" w:firstLine="0"/>
      </w:pPr>
      <w:r w:rsidRPr="00F35716">
        <w:t xml:space="preserve">Para </w:t>
      </w:r>
      <w:r w:rsidR="00927E7A" w:rsidRPr="00F35716">
        <w:t xml:space="preserve">promover </w:t>
      </w:r>
      <w:r w:rsidRPr="00F35716">
        <w:t>el acceso de las mujeres a los derechos culturales, se han adoptado las siguientes medidas</w:t>
      </w:r>
      <w:r w:rsidR="00A31F93" w:rsidRPr="00F35716">
        <w:t>:</w:t>
      </w:r>
    </w:p>
    <w:p w14:paraId="32E945E6" w14:textId="2AC500E1" w:rsidR="00EC3C86" w:rsidRPr="00F35716" w:rsidRDefault="00966EAE" w:rsidP="00966EAE">
      <w:pPr>
        <w:pStyle w:val="SingleTxt"/>
        <w:tabs>
          <w:tab w:val="right" w:pos="1685"/>
        </w:tabs>
        <w:ind w:left="1742" w:hanging="475"/>
      </w:pPr>
      <w:r w:rsidRPr="00F35716">
        <w:tab/>
        <w:t>–</w:t>
      </w:r>
      <w:r w:rsidRPr="00F35716">
        <w:tab/>
      </w:r>
      <w:r w:rsidR="00EC3C86" w:rsidRPr="00F35716">
        <w:t>La institucionalización de la perspectiva de género en el sector cultural mediante la creación de unidad</w:t>
      </w:r>
      <w:r w:rsidR="00927E7A" w:rsidRPr="00F35716">
        <w:t>es</w:t>
      </w:r>
      <w:r w:rsidR="00EC3C86" w:rsidRPr="00F35716">
        <w:t xml:space="preserve"> de género</w:t>
      </w:r>
      <w:r w:rsidR="00EC3C86" w:rsidRPr="00F35716">
        <w:rPr>
          <w:vertAlign w:val="superscript"/>
        </w:rPr>
        <w:footnoteReference w:id="92"/>
      </w:r>
      <w:r w:rsidR="00EC3C86" w:rsidRPr="00F35716">
        <w:t>.</w:t>
      </w:r>
    </w:p>
    <w:p w14:paraId="32E945E7" w14:textId="38DAAFAB" w:rsidR="00EC3C86" w:rsidRPr="00F35716" w:rsidRDefault="00966EAE" w:rsidP="00966EAE">
      <w:pPr>
        <w:pStyle w:val="SingleTxt"/>
        <w:tabs>
          <w:tab w:val="right" w:pos="1685"/>
        </w:tabs>
        <w:ind w:left="1742" w:hanging="475"/>
      </w:pPr>
      <w:r w:rsidRPr="00F35716">
        <w:tab/>
        <w:t>–</w:t>
      </w:r>
      <w:r w:rsidRPr="00F35716">
        <w:tab/>
      </w:r>
      <w:r w:rsidR="00EC3C86" w:rsidRPr="00F35716">
        <w:t>El fomento y la mejora de las oportunidades de las mujeres en las enseñanzas artísticas y los oficios tradicionales</w:t>
      </w:r>
      <w:r w:rsidR="003E455C" w:rsidRPr="00F35716">
        <w:t>. E</w:t>
      </w:r>
      <w:r w:rsidR="00EC3C86" w:rsidRPr="00F35716">
        <w:t xml:space="preserve">l número de niñas inscritas en escuelas superiores y </w:t>
      </w:r>
      <w:r w:rsidR="003E455C" w:rsidRPr="00F35716">
        <w:t>conservatorios</w:t>
      </w:r>
      <w:r w:rsidR="00EC3C86" w:rsidRPr="00F35716">
        <w:t xml:space="preserve"> </w:t>
      </w:r>
      <w:r w:rsidR="00615424" w:rsidRPr="00F35716">
        <w:t xml:space="preserve">de música </w:t>
      </w:r>
      <w:r w:rsidR="00EC3C86" w:rsidRPr="00F35716">
        <w:t xml:space="preserve">pasó de 6.250 durante </w:t>
      </w:r>
      <w:r w:rsidR="003E455C" w:rsidRPr="00F35716">
        <w:t>el curso académico de</w:t>
      </w:r>
      <w:r w:rsidR="00EC3C86" w:rsidRPr="00F35716">
        <w:t xml:space="preserve"> 2016 a 7.114 durante </w:t>
      </w:r>
      <w:r w:rsidR="003E455C" w:rsidRPr="00F35716">
        <w:t>el curso académico</w:t>
      </w:r>
      <w:r w:rsidR="00EC3C86" w:rsidRPr="00F35716">
        <w:t xml:space="preserve"> 2017-2018.</w:t>
      </w:r>
      <w:r w:rsidR="00BD7E71" w:rsidRPr="00F35716">
        <w:t xml:space="preserve"> </w:t>
      </w:r>
    </w:p>
    <w:p w14:paraId="32E945E8" w14:textId="3F2A90C4" w:rsidR="00EC3C86" w:rsidRPr="00F35716" w:rsidRDefault="00966EAE" w:rsidP="00966EAE">
      <w:pPr>
        <w:pStyle w:val="SingleTxt"/>
        <w:tabs>
          <w:tab w:val="right" w:pos="1685"/>
        </w:tabs>
        <w:ind w:left="1742" w:hanging="475"/>
      </w:pPr>
      <w:r w:rsidRPr="00F35716">
        <w:tab/>
        <w:t>–</w:t>
      </w:r>
      <w:r w:rsidRPr="00F35716">
        <w:tab/>
      </w:r>
      <w:r w:rsidR="00EC3C86" w:rsidRPr="00F35716">
        <w:t>La facilitación de las mismas oportunidades a ambos sexos para recibir asistencia, a fin de lograr el empoderamiento económico de las mujeres en el marco de la política de apoyar proyectos culturales en l</w:t>
      </w:r>
      <w:r w:rsidR="003E455C" w:rsidRPr="00F35716">
        <w:t>o</w:t>
      </w:r>
      <w:r w:rsidR="00EC3C86" w:rsidRPr="00F35716">
        <w:t xml:space="preserve">s </w:t>
      </w:r>
      <w:r w:rsidR="003E455C" w:rsidRPr="00F35716">
        <w:t>ámbitos</w:t>
      </w:r>
      <w:r w:rsidR="00EC3C86" w:rsidRPr="00F35716">
        <w:t xml:space="preserve"> del teatro, la música, el canto, las artes plásticas y visuales, las artes patrimoniales, los festivales, la publicación y el libro.</w:t>
      </w:r>
    </w:p>
    <w:p w14:paraId="32E945E9" w14:textId="77777777" w:rsidR="00966EAE" w:rsidRPr="00F35716" w:rsidRDefault="00966EAE" w:rsidP="00A7212C">
      <w:pPr>
        <w:pStyle w:val="SingleTxt"/>
        <w:spacing w:after="0" w:line="120" w:lineRule="exact"/>
        <w:rPr>
          <w:sz w:val="10"/>
          <w:szCs w:val="20"/>
        </w:rPr>
      </w:pPr>
    </w:p>
    <w:p w14:paraId="32E945EA" w14:textId="76A2AEFD" w:rsidR="00EC3C86" w:rsidRPr="00F35716" w:rsidRDefault="00EC3C86" w:rsidP="00631D35">
      <w:pPr>
        <w:pStyle w:val="H23"/>
        <w:tabs>
          <w:tab w:val="left" w:pos="1742"/>
          <w:tab w:val="left" w:pos="2218"/>
          <w:tab w:val="left" w:pos="2693"/>
          <w:tab w:val="left" w:pos="3182"/>
          <w:tab w:val="left" w:pos="3658"/>
          <w:tab w:val="left" w:pos="4133"/>
          <w:tab w:val="left" w:pos="4622"/>
          <w:tab w:val="left" w:pos="5098"/>
          <w:tab w:val="left" w:pos="5573"/>
          <w:tab w:val="left" w:pos="6048"/>
        </w:tabs>
        <w:ind w:left="0" w:firstLine="0"/>
        <w:rPr>
          <w:bCs w:val="0"/>
          <w:szCs w:val="20"/>
        </w:rPr>
      </w:pPr>
      <w:r w:rsidRPr="00F35716">
        <w:rPr>
          <w:b w:val="0"/>
          <w:bCs w:val="0"/>
          <w:szCs w:val="20"/>
        </w:rPr>
        <w:t xml:space="preserve">Tabla 16: </w:t>
      </w:r>
      <w:r w:rsidR="00FC4F60" w:rsidRPr="00F35716">
        <w:rPr>
          <w:bCs w:val="0"/>
          <w:szCs w:val="20"/>
        </w:rPr>
        <w:br/>
      </w:r>
      <w:r w:rsidR="003E455C" w:rsidRPr="00F35716">
        <w:rPr>
          <w:bCs w:val="0"/>
          <w:szCs w:val="20"/>
        </w:rPr>
        <w:t>Apoyo a p</w:t>
      </w:r>
      <w:r w:rsidRPr="00F35716">
        <w:rPr>
          <w:bCs w:val="0"/>
          <w:szCs w:val="20"/>
        </w:rPr>
        <w:t>royecto</w:t>
      </w:r>
      <w:r w:rsidR="003E455C" w:rsidRPr="00F35716">
        <w:rPr>
          <w:bCs w:val="0"/>
          <w:szCs w:val="20"/>
        </w:rPr>
        <w:t>s</w:t>
      </w:r>
      <w:r w:rsidRPr="00F35716">
        <w:rPr>
          <w:bCs w:val="0"/>
          <w:szCs w:val="20"/>
        </w:rPr>
        <w:t xml:space="preserve"> d</w:t>
      </w:r>
      <w:r w:rsidR="003E455C" w:rsidRPr="00F35716">
        <w:rPr>
          <w:bCs w:val="0"/>
          <w:szCs w:val="20"/>
        </w:rPr>
        <w:t>irigidos por mujeres</w:t>
      </w:r>
    </w:p>
    <w:p w14:paraId="32E945EB" w14:textId="77777777" w:rsidR="00A7212C" w:rsidRPr="00F35716" w:rsidRDefault="00A7212C" w:rsidP="00A7212C">
      <w:pPr>
        <w:pStyle w:val="SingleTxt"/>
        <w:spacing w:after="0" w:line="120" w:lineRule="exact"/>
        <w:rPr>
          <w:sz w:val="10"/>
          <w:szCs w:val="20"/>
        </w:rPr>
      </w:pPr>
    </w:p>
    <w:tbl>
      <w:tblPr>
        <w:tblW w:w="9864" w:type="dxa"/>
        <w:tblLayout w:type="fixed"/>
        <w:tblCellMar>
          <w:left w:w="0" w:type="dxa"/>
          <w:right w:w="43" w:type="dxa"/>
        </w:tblCellMar>
        <w:tblLook w:val="04A0" w:firstRow="1" w:lastRow="0" w:firstColumn="1" w:lastColumn="0" w:noHBand="0" w:noVBand="1"/>
      </w:tblPr>
      <w:tblGrid>
        <w:gridCol w:w="2376"/>
        <w:gridCol w:w="936"/>
        <w:gridCol w:w="936"/>
        <w:gridCol w:w="936"/>
        <w:gridCol w:w="936"/>
        <w:gridCol w:w="936"/>
        <w:gridCol w:w="936"/>
        <w:gridCol w:w="936"/>
        <w:gridCol w:w="936"/>
      </w:tblGrid>
      <w:tr w:rsidR="005B233F" w:rsidRPr="00F35716" w14:paraId="32E945F1" w14:textId="77777777" w:rsidTr="005B233F">
        <w:trPr>
          <w:trHeight w:val="143"/>
          <w:tblHeader/>
        </w:trPr>
        <w:tc>
          <w:tcPr>
            <w:tcW w:w="2376" w:type="dxa"/>
            <w:vMerge w:val="restart"/>
            <w:tcBorders>
              <w:top w:val="single" w:sz="4" w:space="0" w:color="auto"/>
            </w:tcBorders>
            <w:vAlign w:val="bottom"/>
          </w:tcPr>
          <w:p w14:paraId="32E945EC" w14:textId="77777777" w:rsidR="005B233F" w:rsidRPr="00F35716" w:rsidRDefault="005B233F" w:rsidP="003D18A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r w:rsidRPr="00F35716">
              <w:rPr>
                <w:i/>
                <w:iCs/>
                <w:kern w:val="0"/>
                <w:sz w:val="14"/>
                <w:szCs w:val="14"/>
              </w:rPr>
              <w:t>Esfera de apoyo</w:t>
            </w:r>
          </w:p>
        </w:tc>
        <w:tc>
          <w:tcPr>
            <w:tcW w:w="1872" w:type="dxa"/>
            <w:gridSpan w:val="2"/>
            <w:tcBorders>
              <w:top w:val="single" w:sz="4" w:space="0" w:color="auto"/>
              <w:bottom w:val="single" w:sz="4" w:space="0" w:color="auto"/>
            </w:tcBorders>
          </w:tcPr>
          <w:p w14:paraId="32E945ED" w14:textId="77777777" w:rsidR="005B233F" w:rsidRPr="00F35716" w:rsidRDefault="005B233F" w:rsidP="00A15E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center"/>
              <w:rPr>
                <w:i/>
                <w:iCs/>
                <w:kern w:val="0"/>
                <w:sz w:val="14"/>
                <w:szCs w:val="14"/>
              </w:rPr>
            </w:pPr>
            <w:r w:rsidRPr="00F35716">
              <w:rPr>
                <w:i/>
                <w:iCs/>
                <w:kern w:val="0"/>
                <w:sz w:val="14"/>
                <w:szCs w:val="14"/>
              </w:rPr>
              <w:t>2014</w:t>
            </w:r>
          </w:p>
        </w:tc>
        <w:tc>
          <w:tcPr>
            <w:tcW w:w="1872" w:type="dxa"/>
            <w:gridSpan w:val="2"/>
            <w:tcBorders>
              <w:top w:val="single" w:sz="4" w:space="0" w:color="auto"/>
              <w:bottom w:val="single" w:sz="4" w:space="0" w:color="auto"/>
            </w:tcBorders>
            <w:vAlign w:val="bottom"/>
          </w:tcPr>
          <w:p w14:paraId="32E945EE" w14:textId="77777777" w:rsidR="005B233F" w:rsidRPr="00F35716" w:rsidRDefault="005B233F" w:rsidP="00A15E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center"/>
              <w:rPr>
                <w:i/>
                <w:iCs/>
                <w:kern w:val="0"/>
                <w:sz w:val="14"/>
                <w:szCs w:val="14"/>
              </w:rPr>
            </w:pPr>
            <w:r w:rsidRPr="00F35716">
              <w:rPr>
                <w:i/>
                <w:iCs/>
                <w:kern w:val="0"/>
                <w:sz w:val="14"/>
                <w:szCs w:val="14"/>
              </w:rPr>
              <w:t>2015</w:t>
            </w:r>
          </w:p>
        </w:tc>
        <w:tc>
          <w:tcPr>
            <w:tcW w:w="1872" w:type="dxa"/>
            <w:gridSpan w:val="2"/>
            <w:tcBorders>
              <w:top w:val="single" w:sz="4" w:space="0" w:color="auto"/>
              <w:bottom w:val="single" w:sz="4" w:space="0" w:color="auto"/>
            </w:tcBorders>
            <w:shd w:val="clear" w:color="auto" w:fill="auto"/>
            <w:vAlign w:val="bottom"/>
          </w:tcPr>
          <w:p w14:paraId="32E945EF" w14:textId="77777777" w:rsidR="005B233F" w:rsidRPr="00F35716" w:rsidRDefault="005B233F" w:rsidP="00A15E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center"/>
              <w:rPr>
                <w:i/>
                <w:iCs/>
                <w:kern w:val="0"/>
                <w:sz w:val="14"/>
                <w:szCs w:val="14"/>
              </w:rPr>
            </w:pPr>
            <w:r w:rsidRPr="00F35716">
              <w:rPr>
                <w:i/>
                <w:iCs/>
                <w:kern w:val="0"/>
                <w:sz w:val="14"/>
                <w:szCs w:val="14"/>
              </w:rPr>
              <w:t>2016</w:t>
            </w:r>
          </w:p>
        </w:tc>
        <w:tc>
          <w:tcPr>
            <w:tcW w:w="1872" w:type="dxa"/>
            <w:gridSpan w:val="2"/>
            <w:tcBorders>
              <w:top w:val="single" w:sz="4" w:space="0" w:color="auto"/>
              <w:bottom w:val="single" w:sz="4" w:space="0" w:color="auto"/>
            </w:tcBorders>
            <w:shd w:val="clear" w:color="auto" w:fill="auto"/>
            <w:vAlign w:val="bottom"/>
          </w:tcPr>
          <w:p w14:paraId="32E945F0" w14:textId="77777777" w:rsidR="005B233F" w:rsidRPr="00F35716" w:rsidRDefault="005B233F" w:rsidP="00A15E2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center"/>
              <w:rPr>
                <w:i/>
                <w:iCs/>
                <w:kern w:val="0"/>
                <w:sz w:val="14"/>
                <w:szCs w:val="14"/>
              </w:rPr>
            </w:pPr>
            <w:r w:rsidRPr="00F35716">
              <w:rPr>
                <w:i/>
                <w:iCs/>
                <w:kern w:val="0"/>
                <w:sz w:val="14"/>
                <w:szCs w:val="14"/>
              </w:rPr>
              <w:t>2017</w:t>
            </w:r>
          </w:p>
        </w:tc>
      </w:tr>
      <w:tr w:rsidR="005B233F" w:rsidRPr="00F35716" w14:paraId="32E945FB" w14:textId="77777777" w:rsidTr="005B233F">
        <w:trPr>
          <w:trHeight w:val="260"/>
          <w:tblHeader/>
        </w:trPr>
        <w:tc>
          <w:tcPr>
            <w:tcW w:w="2376" w:type="dxa"/>
            <w:vMerge/>
            <w:tcBorders>
              <w:bottom w:val="single" w:sz="12" w:space="0" w:color="auto"/>
            </w:tcBorders>
          </w:tcPr>
          <w:p w14:paraId="32E945F2" w14:textId="77777777" w:rsidR="005B233F" w:rsidRPr="00F35716" w:rsidRDefault="005B233F"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936" w:type="dxa"/>
            <w:tcBorders>
              <w:top w:val="single" w:sz="4" w:space="0" w:color="auto"/>
              <w:bottom w:val="single" w:sz="12" w:space="0" w:color="auto"/>
            </w:tcBorders>
            <w:vAlign w:val="bottom"/>
          </w:tcPr>
          <w:p w14:paraId="32E945F3" w14:textId="77777777" w:rsidR="005B233F" w:rsidRPr="00F35716" w:rsidRDefault="005B233F" w:rsidP="005B233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 xml:space="preserve">Número </w:t>
            </w:r>
            <w:r w:rsidRPr="00F35716">
              <w:rPr>
                <w:i/>
                <w:iCs/>
                <w:kern w:val="0"/>
                <w:sz w:val="14"/>
                <w:szCs w:val="14"/>
              </w:rPr>
              <w:br/>
              <w:t>de proyectos de mujeres</w:t>
            </w:r>
          </w:p>
        </w:tc>
        <w:tc>
          <w:tcPr>
            <w:tcW w:w="936" w:type="dxa"/>
            <w:tcBorders>
              <w:top w:val="single" w:sz="4" w:space="0" w:color="auto"/>
              <w:bottom w:val="single" w:sz="12" w:space="0" w:color="auto"/>
            </w:tcBorders>
            <w:vAlign w:val="bottom"/>
          </w:tcPr>
          <w:p w14:paraId="32E945F4" w14:textId="77777777" w:rsidR="005B233F" w:rsidRPr="00F35716" w:rsidRDefault="005B233F"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Total</w:t>
            </w:r>
          </w:p>
        </w:tc>
        <w:tc>
          <w:tcPr>
            <w:tcW w:w="936" w:type="dxa"/>
            <w:tcBorders>
              <w:top w:val="single" w:sz="4" w:space="0" w:color="auto"/>
              <w:bottom w:val="single" w:sz="12" w:space="0" w:color="auto"/>
            </w:tcBorders>
            <w:vAlign w:val="bottom"/>
          </w:tcPr>
          <w:p w14:paraId="32E945F5" w14:textId="77777777" w:rsidR="005B233F" w:rsidRPr="00F35716" w:rsidRDefault="005B233F" w:rsidP="00A92CA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 xml:space="preserve">Número </w:t>
            </w:r>
            <w:r w:rsidRPr="00F35716">
              <w:rPr>
                <w:i/>
                <w:iCs/>
                <w:kern w:val="0"/>
                <w:sz w:val="14"/>
                <w:szCs w:val="14"/>
              </w:rPr>
              <w:br/>
              <w:t>de proyectos de mujeres</w:t>
            </w:r>
          </w:p>
        </w:tc>
        <w:tc>
          <w:tcPr>
            <w:tcW w:w="936" w:type="dxa"/>
            <w:tcBorders>
              <w:top w:val="single" w:sz="4" w:space="0" w:color="auto"/>
              <w:bottom w:val="single" w:sz="12" w:space="0" w:color="auto"/>
            </w:tcBorders>
            <w:vAlign w:val="bottom"/>
          </w:tcPr>
          <w:p w14:paraId="32E945F6" w14:textId="77777777" w:rsidR="005B233F" w:rsidRPr="00F35716" w:rsidRDefault="005B233F" w:rsidP="002A60A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Total</w:t>
            </w:r>
          </w:p>
        </w:tc>
        <w:tc>
          <w:tcPr>
            <w:tcW w:w="936" w:type="dxa"/>
            <w:tcBorders>
              <w:top w:val="single" w:sz="4" w:space="0" w:color="auto"/>
              <w:bottom w:val="single" w:sz="12" w:space="0" w:color="auto"/>
            </w:tcBorders>
            <w:shd w:val="clear" w:color="auto" w:fill="auto"/>
            <w:vAlign w:val="bottom"/>
          </w:tcPr>
          <w:p w14:paraId="32E945F7" w14:textId="77777777" w:rsidR="005B233F" w:rsidRPr="00F35716" w:rsidRDefault="005B233F"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 xml:space="preserve">Número </w:t>
            </w:r>
            <w:r w:rsidRPr="00F35716">
              <w:rPr>
                <w:i/>
                <w:iCs/>
                <w:kern w:val="0"/>
                <w:sz w:val="14"/>
                <w:szCs w:val="14"/>
              </w:rPr>
              <w:br/>
              <w:t>de proyectos de mujeres</w:t>
            </w:r>
          </w:p>
        </w:tc>
        <w:tc>
          <w:tcPr>
            <w:tcW w:w="936" w:type="dxa"/>
            <w:tcBorders>
              <w:top w:val="single" w:sz="4" w:space="0" w:color="auto"/>
              <w:bottom w:val="single" w:sz="12" w:space="0" w:color="auto"/>
            </w:tcBorders>
            <w:shd w:val="clear" w:color="auto" w:fill="auto"/>
            <w:vAlign w:val="bottom"/>
          </w:tcPr>
          <w:p w14:paraId="32E945F8" w14:textId="77777777" w:rsidR="005B233F" w:rsidRPr="00F35716" w:rsidRDefault="005B233F"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Total</w:t>
            </w:r>
          </w:p>
        </w:tc>
        <w:tc>
          <w:tcPr>
            <w:tcW w:w="936" w:type="dxa"/>
            <w:tcBorders>
              <w:top w:val="single" w:sz="4" w:space="0" w:color="auto"/>
              <w:bottom w:val="single" w:sz="12" w:space="0" w:color="auto"/>
            </w:tcBorders>
            <w:shd w:val="clear" w:color="auto" w:fill="auto"/>
            <w:vAlign w:val="bottom"/>
          </w:tcPr>
          <w:p w14:paraId="32E945F9" w14:textId="77777777" w:rsidR="005B233F" w:rsidRPr="00F35716" w:rsidRDefault="005B233F"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 xml:space="preserve">Número </w:t>
            </w:r>
            <w:r w:rsidRPr="00F35716">
              <w:rPr>
                <w:i/>
                <w:iCs/>
                <w:kern w:val="0"/>
                <w:sz w:val="14"/>
                <w:szCs w:val="14"/>
              </w:rPr>
              <w:br/>
              <w:t>de proyectos de mujeres</w:t>
            </w:r>
          </w:p>
        </w:tc>
        <w:tc>
          <w:tcPr>
            <w:tcW w:w="936" w:type="dxa"/>
            <w:tcBorders>
              <w:top w:val="single" w:sz="4" w:space="0" w:color="auto"/>
              <w:bottom w:val="single" w:sz="12" w:space="0" w:color="auto"/>
            </w:tcBorders>
            <w:shd w:val="clear" w:color="auto" w:fill="auto"/>
            <w:vAlign w:val="bottom"/>
          </w:tcPr>
          <w:p w14:paraId="32E945FA" w14:textId="77777777" w:rsidR="005B233F" w:rsidRPr="00F35716" w:rsidRDefault="005B233F"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Total</w:t>
            </w:r>
          </w:p>
        </w:tc>
      </w:tr>
      <w:tr w:rsidR="005B233F" w:rsidRPr="00F35716" w14:paraId="32E94602" w14:textId="77777777" w:rsidTr="005B233F">
        <w:trPr>
          <w:trHeight w:hRule="exact" w:val="115"/>
          <w:tblHeader/>
        </w:trPr>
        <w:tc>
          <w:tcPr>
            <w:tcW w:w="2376" w:type="dxa"/>
            <w:vAlign w:val="bottom"/>
          </w:tcPr>
          <w:p w14:paraId="32E945FC" w14:textId="77777777" w:rsidR="005B233F" w:rsidRPr="00F35716" w:rsidRDefault="005B233F" w:rsidP="00547525">
            <w:pPr>
              <w:spacing w:before="40" w:after="80" w:line="210" w:lineRule="exact"/>
              <w:rPr>
                <w:bCs/>
                <w:sz w:val="17"/>
                <w:szCs w:val="17"/>
              </w:rPr>
            </w:pPr>
          </w:p>
        </w:tc>
        <w:tc>
          <w:tcPr>
            <w:tcW w:w="936" w:type="dxa"/>
          </w:tcPr>
          <w:p w14:paraId="32E945FD" w14:textId="77777777" w:rsidR="005B233F" w:rsidRPr="00F35716" w:rsidRDefault="005B233F" w:rsidP="00547525">
            <w:pPr>
              <w:spacing w:before="40" w:after="80" w:line="210" w:lineRule="exact"/>
              <w:rPr>
                <w:bCs/>
                <w:sz w:val="17"/>
                <w:szCs w:val="17"/>
              </w:rPr>
            </w:pPr>
          </w:p>
        </w:tc>
        <w:tc>
          <w:tcPr>
            <w:tcW w:w="936" w:type="dxa"/>
          </w:tcPr>
          <w:p w14:paraId="32E945FE" w14:textId="77777777" w:rsidR="005B233F" w:rsidRPr="00F35716" w:rsidRDefault="005B233F" w:rsidP="00547525">
            <w:pPr>
              <w:spacing w:before="40" w:after="80" w:line="210" w:lineRule="exact"/>
              <w:rPr>
                <w:bCs/>
                <w:sz w:val="17"/>
                <w:szCs w:val="17"/>
              </w:rPr>
            </w:pPr>
          </w:p>
        </w:tc>
        <w:tc>
          <w:tcPr>
            <w:tcW w:w="1872" w:type="dxa"/>
            <w:gridSpan w:val="2"/>
            <w:vAlign w:val="bottom"/>
          </w:tcPr>
          <w:p w14:paraId="32E945FF" w14:textId="77777777" w:rsidR="005B233F" w:rsidRPr="00F35716" w:rsidRDefault="005B233F" w:rsidP="00547525">
            <w:pPr>
              <w:spacing w:before="40" w:after="80" w:line="210" w:lineRule="exact"/>
              <w:rPr>
                <w:bCs/>
                <w:sz w:val="17"/>
                <w:szCs w:val="17"/>
              </w:rPr>
            </w:pPr>
          </w:p>
        </w:tc>
        <w:tc>
          <w:tcPr>
            <w:tcW w:w="1872" w:type="dxa"/>
            <w:gridSpan w:val="2"/>
            <w:shd w:val="clear" w:color="auto" w:fill="auto"/>
            <w:vAlign w:val="bottom"/>
          </w:tcPr>
          <w:p w14:paraId="32E94600" w14:textId="77777777" w:rsidR="005B233F" w:rsidRPr="00F35716" w:rsidRDefault="005B233F" w:rsidP="00547525">
            <w:pPr>
              <w:spacing w:before="40" w:after="80" w:line="210" w:lineRule="exact"/>
              <w:rPr>
                <w:bCs/>
                <w:sz w:val="17"/>
                <w:szCs w:val="17"/>
              </w:rPr>
            </w:pPr>
          </w:p>
        </w:tc>
        <w:tc>
          <w:tcPr>
            <w:tcW w:w="1872" w:type="dxa"/>
            <w:gridSpan w:val="2"/>
            <w:shd w:val="clear" w:color="auto" w:fill="auto"/>
            <w:vAlign w:val="bottom"/>
          </w:tcPr>
          <w:p w14:paraId="32E94601" w14:textId="77777777" w:rsidR="005B233F" w:rsidRPr="00F35716" w:rsidRDefault="005B233F" w:rsidP="00547525">
            <w:pPr>
              <w:spacing w:before="40" w:after="80" w:line="210" w:lineRule="exact"/>
              <w:rPr>
                <w:bCs/>
                <w:sz w:val="17"/>
                <w:szCs w:val="17"/>
              </w:rPr>
            </w:pPr>
          </w:p>
        </w:tc>
      </w:tr>
      <w:tr w:rsidR="005B233F" w:rsidRPr="00F35716" w14:paraId="32E9460C" w14:textId="77777777" w:rsidTr="005B233F">
        <w:tc>
          <w:tcPr>
            <w:tcW w:w="2376" w:type="dxa"/>
            <w:vAlign w:val="bottom"/>
          </w:tcPr>
          <w:p w14:paraId="32E94603" w14:textId="77777777" w:rsidR="005B233F" w:rsidRPr="00F35716" w:rsidRDefault="005B233F" w:rsidP="009B7F1A">
            <w:pPr>
              <w:spacing w:before="40" w:after="80" w:line="210" w:lineRule="exact"/>
              <w:rPr>
                <w:bCs/>
                <w:sz w:val="17"/>
                <w:szCs w:val="17"/>
              </w:rPr>
            </w:pPr>
            <w:r w:rsidRPr="00F35716">
              <w:rPr>
                <w:bCs/>
                <w:sz w:val="17"/>
                <w:szCs w:val="17"/>
              </w:rPr>
              <w:t>Publicación de libros</w:t>
            </w:r>
          </w:p>
        </w:tc>
        <w:tc>
          <w:tcPr>
            <w:tcW w:w="936" w:type="dxa"/>
            <w:vAlign w:val="bottom"/>
          </w:tcPr>
          <w:p w14:paraId="32E94604" w14:textId="77777777" w:rsidR="005B233F" w:rsidRPr="00F35716" w:rsidRDefault="005B233F" w:rsidP="006F34C8">
            <w:pPr>
              <w:spacing w:before="40" w:after="80" w:line="210" w:lineRule="exact"/>
              <w:jc w:val="right"/>
              <w:rPr>
                <w:bCs/>
                <w:sz w:val="17"/>
                <w:szCs w:val="17"/>
              </w:rPr>
            </w:pPr>
            <w:r w:rsidRPr="00F35716">
              <w:rPr>
                <w:bCs/>
                <w:sz w:val="17"/>
                <w:szCs w:val="17"/>
              </w:rPr>
              <w:t>24</w:t>
            </w:r>
          </w:p>
        </w:tc>
        <w:tc>
          <w:tcPr>
            <w:tcW w:w="936" w:type="dxa"/>
            <w:vAlign w:val="bottom"/>
          </w:tcPr>
          <w:p w14:paraId="32E94605" w14:textId="77777777" w:rsidR="005B233F" w:rsidRPr="00F35716" w:rsidRDefault="005B233F" w:rsidP="006F34C8">
            <w:pPr>
              <w:spacing w:before="40" w:after="80" w:line="210" w:lineRule="exact"/>
              <w:jc w:val="right"/>
              <w:rPr>
                <w:bCs/>
                <w:sz w:val="17"/>
                <w:szCs w:val="17"/>
              </w:rPr>
            </w:pPr>
            <w:r w:rsidRPr="00F35716">
              <w:rPr>
                <w:bCs/>
                <w:sz w:val="17"/>
                <w:szCs w:val="17"/>
              </w:rPr>
              <w:t>204</w:t>
            </w:r>
          </w:p>
        </w:tc>
        <w:tc>
          <w:tcPr>
            <w:tcW w:w="936" w:type="dxa"/>
            <w:vAlign w:val="bottom"/>
          </w:tcPr>
          <w:p w14:paraId="32E94606" w14:textId="77777777" w:rsidR="005B233F" w:rsidRPr="00F35716" w:rsidRDefault="005B233F" w:rsidP="006F34C8">
            <w:pPr>
              <w:spacing w:before="40" w:after="80" w:line="210" w:lineRule="exact"/>
              <w:jc w:val="right"/>
              <w:rPr>
                <w:bCs/>
                <w:sz w:val="17"/>
                <w:szCs w:val="17"/>
              </w:rPr>
            </w:pPr>
            <w:r w:rsidRPr="00F35716">
              <w:rPr>
                <w:bCs/>
                <w:sz w:val="17"/>
                <w:szCs w:val="17"/>
              </w:rPr>
              <w:t>43</w:t>
            </w:r>
          </w:p>
        </w:tc>
        <w:tc>
          <w:tcPr>
            <w:tcW w:w="936" w:type="dxa"/>
            <w:vAlign w:val="bottom"/>
          </w:tcPr>
          <w:p w14:paraId="32E94607" w14:textId="77777777" w:rsidR="005B233F" w:rsidRPr="00F35716" w:rsidRDefault="005B233F" w:rsidP="006F34C8">
            <w:pPr>
              <w:spacing w:before="40" w:after="80" w:line="210" w:lineRule="exact"/>
              <w:jc w:val="right"/>
              <w:rPr>
                <w:bCs/>
                <w:sz w:val="17"/>
                <w:szCs w:val="17"/>
              </w:rPr>
            </w:pPr>
            <w:r w:rsidRPr="00F35716">
              <w:rPr>
                <w:bCs/>
                <w:sz w:val="17"/>
                <w:szCs w:val="17"/>
              </w:rPr>
              <w:t>350</w:t>
            </w:r>
          </w:p>
        </w:tc>
        <w:tc>
          <w:tcPr>
            <w:tcW w:w="936" w:type="dxa"/>
            <w:shd w:val="clear" w:color="auto" w:fill="auto"/>
            <w:vAlign w:val="bottom"/>
          </w:tcPr>
          <w:p w14:paraId="32E94608" w14:textId="77777777" w:rsidR="005B233F" w:rsidRPr="00F35716" w:rsidRDefault="005B233F" w:rsidP="006F34C8">
            <w:pPr>
              <w:spacing w:before="40" w:after="80" w:line="210" w:lineRule="exact"/>
              <w:jc w:val="right"/>
              <w:rPr>
                <w:bCs/>
                <w:sz w:val="17"/>
                <w:szCs w:val="17"/>
              </w:rPr>
            </w:pPr>
            <w:r w:rsidRPr="00F35716">
              <w:rPr>
                <w:bCs/>
                <w:sz w:val="17"/>
                <w:szCs w:val="17"/>
              </w:rPr>
              <w:t>84</w:t>
            </w:r>
          </w:p>
        </w:tc>
        <w:tc>
          <w:tcPr>
            <w:tcW w:w="936" w:type="dxa"/>
            <w:shd w:val="clear" w:color="auto" w:fill="auto"/>
            <w:vAlign w:val="bottom"/>
          </w:tcPr>
          <w:p w14:paraId="32E94609" w14:textId="77777777" w:rsidR="005B233F" w:rsidRPr="00F35716" w:rsidRDefault="005B233F" w:rsidP="006F34C8">
            <w:pPr>
              <w:spacing w:before="40" w:after="80" w:line="210" w:lineRule="exact"/>
              <w:jc w:val="right"/>
              <w:rPr>
                <w:bCs/>
                <w:sz w:val="17"/>
                <w:szCs w:val="17"/>
              </w:rPr>
            </w:pPr>
            <w:r w:rsidRPr="00F35716">
              <w:rPr>
                <w:bCs/>
                <w:sz w:val="17"/>
                <w:szCs w:val="17"/>
              </w:rPr>
              <w:t>459</w:t>
            </w:r>
          </w:p>
        </w:tc>
        <w:tc>
          <w:tcPr>
            <w:tcW w:w="936" w:type="dxa"/>
            <w:shd w:val="clear" w:color="auto" w:fill="auto"/>
            <w:vAlign w:val="bottom"/>
          </w:tcPr>
          <w:p w14:paraId="32E9460A" w14:textId="77777777" w:rsidR="005B233F" w:rsidRPr="00F35716" w:rsidRDefault="005B233F" w:rsidP="006F34C8">
            <w:pPr>
              <w:spacing w:before="40" w:after="80" w:line="210" w:lineRule="exact"/>
              <w:jc w:val="right"/>
              <w:rPr>
                <w:bCs/>
                <w:sz w:val="17"/>
                <w:szCs w:val="17"/>
              </w:rPr>
            </w:pPr>
            <w:r w:rsidRPr="00F35716">
              <w:rPr>
                <w:bCs/>
                <w:sz w:val="17"/>
                <w:szCs w:val="17"/>
              </w:rPr>
              <w:t>37</w:t>
            </w:r>
          </w:p>
        </w:tc>
        <w:tc>
          <w:tcPr>
            <w:tcW w:w="936" w:type="dxa"/>
            <w:shd w:val="clear" w:color="auto" w:fill="auto"/>
            <w:vAlign w:val="bottom"/>
          </w:tcPr>
          <w:p w14:paraId="32E9460B" w14:textId="77777777" w:rsidR="005B233F" w:rsidRPr="00F35716" w:rsidRDefault="005B233F" w:rsidP="006F34C8">
            <w:pPr>
              <w:spacing w:before="40" w:after="80" w:line="210" w:lineRule="exact"/>
              <w:jc w:val="right"/>
              <w:rPr>
                <w:bCs/>
                <w:sz w:val="17"/>
                <w:szCs w:val="17"/>
              </w:rPr>
            </w:pPr>
            <w:r w:rsidRPr="00F35716">
              <w:rPr>
                <w:bCs/>
                <w:sz w:val="17"/>
                <w:szCs w:val="17"/>
              </w:rPr>
              <w:t>315</w:t>
            </w:r>
          </w:p>
        </w:tc>
      </w:tr>
      <w:tr w:rsidR="005B233F" w:rsidRPr="00F35716" w14:paraId="32E94616" w14:textId="77777777" w:rsidTr="005B233F">
        <w:tc>
          <w:tcPr>
            <w:tcW w:w="2376" w:type="dxa"/>
            <w:vAlign w:val="bottom"/>
          </w:tcPr>
          <w:p w14:paraId="32E9460D" w14:textId="77777777" w:rsidR="005B233F" w:rsidRPr="00F35716" w:rsidRDefault="005B233F" w:rsidP="009B7F1A">
            <w:pPr>
              <w:spacing w:before="40" w:after="80" w:line="210" w:lineRule="exact"/>
              <w:rPr>
                <w:bCs/>
                <w:sz w:val="17"/>
                <w:szCs w:val="17"/>
              </w:rPr>
            </w:pPr>
            <w:r w:rsidRPr="00F35716">
              <w:rPr>
                <w:bCs/>
                <w:sz w:val="17"/>
                <w:szCs w:val="17"/>
              </w:rPr>
              <w:t>Publicación de revistas</w:t>
            </w:r>
          </w:p>
        </w:tc>
        <w:tc>
          <w:tcPr>
            <w:tcW w:w="936" w:type="dxa"/>
            <w:vAlign w:val="bottom"/>
          </w:tcPr>
          <w:p w14:paraId="32E9460E" w14:textId="77777777" w:rsidR="005B233F" w:rsidRPr="00F35716" w:rsidRDefault="005B233F" w:rsidP="006F34C8">
            <w:pPr>
              <w:spacing w:before="40" w:after="80" w:line="210" w:lineRule="exact"/>
              <w:jc w:val="right"/>
              <w:rPr>
                <w:bCs/>
                <w:sz w:val="17"/>
                <w:szCs w:val="17"/>
              </w:rPr>
            </w:pPr>
            <w:r w:rsidRPr="00F35716">
              <w:rPr>
                <w:bCs/>
                <w:sz w:val="17"/>
                <w:szCs w:val="17"/>
              </w:rPr>
              <w:t>2</w:t>
            </w:r>
          </w:p>
        </w:tc>
        <w:tc>
          <w:tcPr>
            <w:tcW w:w="936" w:type="dxa"/>
            <w:vAlign w:val="bottom"/>
          </w:tcPr>
          <w:p w14:paraId="32E9460F" w14:textId="77777777" w:rsidR="005B233F" w:rsidRPr="00F35716" w:rsidRDefault="005B233F" w:rsidP="006F34C8">
            <w:pPr>
              <w:spacing w:before="40" w:after="80" w:line="210" w:lineRule="exact"/>
              <w:jc w:val="right"/>
              <w:rPr>
                <w:bCs/>
                <w:sz w:val="17"/>
                <w:szCs w:val="17"/>
              </w:rPr>
            </w:pPr>
            <w:r w:rsidRPr="00F35716">
              <w:rPr>
                <w:bCs/>
                <w:sz w:val="17"/>
                <w:szCs w:val="17"/>
              </w:rPr>
              <w:t>63</w:t>
            </w:r>
          </w:p>
        </w:tc>
        <w:tc>
          <w:tcPr>
            <w:tcW w:w="936" w:type="dxa"/>
            <w:vAlign w:val="bottom"/>
          </w:tcPr>
          <w:p w14:paraId="32E94610" w14:textId="77777777" w:rsidR="005B233F" w:rsidRPr="00F35716" w:rsidRDefault="005B233F" w:rsidP="006F34C8">
            <w:pPr>
              <w:spacing w:before="40" w:after="80" w:line="210" w:lineRule="exact"/>
              <w:jc w:val="right"/>
              <w:rPr>
                <w:bCs/>
                <w:sz w:val="17"/>
                <w:szCs w:val="17"/>
              </w:rPr>
            </w:pPr>
            <w:r w:rsidRPr="00F35716">
              <w:rPr>
                <w:bCs/>
                <w:sz w:val="17"/>
                <w:szCs w:val="17"/>
              </w:rPr>
              <w:t>3</w:t>
            </w:r>
          </w:p>
        </w:tc>
        <w:tc>
          <w:tcPr>
            <w:tcW w:w="936" w:type="dxa"/>
            <w:vAlign w:val="bottom"/>
          </w:tcPr>
          <w:p w14:paraId="32E94611" w14:textId="77777777" w:rsidR="005B233F" w:rsidRPr="00F35716" w:rsidRDefault="005B233F" w:rsidP="006F34C8">
            <w:pPr>
              <w:spacing w:before="40" w:after="80" w:line="210" w:lineRule="exact"/>
              <w:jc w:val="right"/>
              <w:rPr>
                <w:bCs/>
                <w:sz w:val="17"/>
                <w:szCs w:val="17"/>
              </w:rPr>
            </w:pPr>
            <w:r w:rsidRPr="00F35716">
              <w:rPr>
                <w:bCs/>
                <w:sz w:val="17"/>
                <w:szCs w:val="17"/>
              </w:rPr>
              <w:t>83</w:t>
            </w:r>
          </w:p>
        </w:tc>
        <w:tc>
          <w:tcPr>
            <w:tcW w:w="936" w:type="dxa"/>
            <w:shd w:val="clear" w:color="auto" w:fill="auto"/>
            <w:vAlign w:val="bottom"/>
          </w:tcPr>
          <w:p w14:paraId="32E94612" w14:textId="77777777" w:rsidR="005B233F" w:rsidRPr="00F35716" w:rsidRDefault="005B233F" w:rsidP="006F34C8">
            <w:pPr>
              <w:spacing w:before="40" w:after="80" w:line="210" w:lineRule="exact"/>
              <w:jc w:val="right"/>
              <w:rPr>
                <w:bCs/>
                <w:sz w:val="17"/>
                <w:szCs w:val="17"/>
              </w:rPr>
            </w:pPr>
            <w:r w:rsidRPr="00F35716">
              <w:rPr>
                <w:bCs/>
                <w:sz w:val="17"/>
                <w:szCs w:val="17"/>
              </w:rPr>
              <w:t>2</w:t>
            </w:r>
          </w:p>
        </w:tc>
        <w:tc>
          <w:tcPr>
            <w:tcW w:w="936" w:type="dxa"/>
            <w:shd w:val="clear" w:color="auto" w:fill="auto"/>
            <w:vAlign w:val="bottom"/>
          </w:tcPr>
          <w:p w14:paraId="32E94613" w14:textId="77777777" w:rsidR="005B233F" w:rsidRPr="00F35716" w:rsidRDefault="005B233F" w:rsidP="006F34C8">
            <w:pPr>
              <w:spacing w:before="40" w:after="80" w:line="210" w:lineRule="exact"/>
              <w:jc w:val="right"/>
              <w:rPr>
                <w:bCs/>
                <w:sz w:val="17"/>
                <w:szCs w:val="17"/>
              </w:rPr>
            </w:pPr>
            <w:r w:rsidRPr="00F35716">
              <w:rPr>
                <w:bCs/>
                <w:sz w:val="17"/>
                <w:szCs w:val="17"/>
              </w:rPr>
              <w:t>113</w:t>
            </w:r>
          </w:p>
        </w:tc>
        <w:tc>
          <w:tcPr>
            <w:tcW w:w="936" w:type="dxa"/>
            <w:shd w:val="clear" w:color="auto" w:fill="auto"/>
            <w:vAlign w:val="bottom"/>
          </w:tcPr>
          <w:p w14:paraId="32E94614" w14:textId="77777777" w:rsidR="005B233F" w:rsidRPr="00F35716" w:rsidRDefault="005B233F" w:rsidP="006F34C8">
            <w:pPr>
              <w:spacing w:before="40" w:after="80" w:line="210" w:lineRule="exact"/>
              <w:jc w:val="right"/>
              <w:rPr>
                <w:bCs/>
                <w:sz w:val="17"/>
                <w:szCs w:val="17"/>
              </w:rPr>
            </w:pPr>
            <w:r w:rsidRPr="00F35716">
              <w:rPr>
                <w:bCs/>
                <w:sz w:val="17"/>
                <w:szCs w:val="17"/>
              </w:rPr>
              <w:t>7</w:t>
            </w:r>
          </w:p>
        </w:tc>
        <w:tc>
          <w:tcPr>
            <w:tcW w:w="936" w:type="dxa"/>
            <w:shd w:val="clear" w:color="auto" w:fill="auto"/>
            <w:vAlign w:val="bottom"/>
          </w:tcPr>
          <w:p w14:paraId="32E94615" w14:textId="77777777" w:rsidR="005B233F" w:rsidRPr="00F35716" w:rsidRDefault="005B233F" w:rsidP="006F34C8">
            <w:pPr>
              <w:spacing w:before="40" w:after="80" w:line="210" w:lineRule="exact"/>
              <w:jc w:val="right"/>
              <w:rPr>
                <w:bCs/>
                <w:sz w:val="17"/>
                <w:szCs w:val="17"/>
              </w:rPr>
            </w:pPr>
            <w:r w:rsidRPr="00F35716">
              <w:rPr>
                <w:bCs/>
                <w:sz w:val="17"/>
                <w:szCs w:val="17"/>
              </w:rPr>
              <w:t>86</w:t>
            </w:r>
          </w:p>
        </w:tc>
      </w:tr>
      <w:tr w:rsidR="005B233F" w:rsidRPr="00F35716" w14:paraId="32E94620" w14:textId="77777777" w:rsidTr="005B233F">
        <w:tc>
          <w:tcPr>
            <w:tcW w:w="2376" w:type="dxa"/>
            <w:vAlign w:val="bottom"/>
          </w:tcPr>
          <w:p w14:paraId="32E94617" w14:textId="77777777" w:rsidR="005B233F" w:rsidRPr="00F35716" w:rsidRDefault="005B233F" w:rsidP="009B7F1A">
            <w:pPr>
              <w:spacing w:before="40" w:after="80" w:line="210" w:lineRule="exact"/>
              <w:rPr>
                <w:bCs/>
                <w:sz w:val="17"/>
                <w:szCs w:val="17"/>
              </w:rPr>
            </w:pPr>
            <w:r w:rsidRPr="00F35716">
              <w:rPr>
                <w:bCs/>
                <w:sz w:val="17"/>
                <w:szCs w:val="17"/>
              </w:rPr>
              <w:t>Sensibilización a la lectura</w:t>
            </w:r>
          </w:p>
        </w:tc>
        <w:tc>
          <w:tcPr>
            <w:tcW w:w="936" w:type="dxa"/>
            <w:vAlign w:val="bottom"/>
          </w:tcPr>
          <w:p w14:paraId="32E94618" w14:textId="77777777" w:rsidR="005B233F" w:rsidRPr="00F35716" w:rsidRDefault="005B233F" w:rsidP="006F34C8">
            <w:pPr>
              <w:spacing w:before="40" w:after="80" w:line="210" w:lineRule="exact"/>
              <w:jc w:val="right"/>
              <w:rPr>
                <w:bCs/>
                <w:sz w:val="17"/>
                <w:szCs w:val="17"/>
              </w:rPr>
            </w:pPr>
            <w:r w:rsidRPr="00F35716">
              <w:rPr>
                <w:bCs/>
                <w:sz w:val="17"/>
                <w:szCs w:val="17"/>
              </w:rPr>
              <w:t>2</w:t>
            </w:r>
          </w:p>
        </w:tc>
        <w:tc>
          <w:tcPr>
            <w:tcW w:w="936" w:type="dxa"/>
            <w:vAlign w:val="bottom"/>
          </w:tcPr>
          <w:p w14:paraId="32E94619" w14:textId="77777777" w:rsidR="005B233F" w:rsidRPr="00F35716" w:rsidRDefault="005B233F" w:rsidP="006F34C8">
            <w:pPr>
              <w:spacing w:before="40" w:after="80" w:line="210" w:lineRule="exact"/>
              <w:jc w:val="right"/>
              <w:rPr>
                <w:bCs/>
                <w:sz w:val="17"/>
                <w:szCs w:val="17"/>
              </w:rPr>
            </w:pPr>
            <w:r w:rsidRPr="00F35716">
              <w:rPr>
                <w:bCs/>
                <w:sz w:val="17"/>
                <w:szCs w:val="17"/>
              </w:rPr>
              <w:t>18</w:t>
            </w:r>
          </w:p>
        </w:tc>
        <w:tc>
          <w:tcPr>
            <w:tcW w:w="936" w:type="dxa"/>
            <w:vAlign w:val="bottom"/>
          </w:tcPr>
          <w:p w14:paraId="32E9461A" w14:textId="77777777" w:rsidR="005B233F" w:rsidRPr="00F35716" w:rsidRDefault="005B233F" w:rsidP="006F34C8">
            <w:pPr>
              <w:spacing w:before="40" w:after="80" w:line="210" w:lineRule="exact"/>
              <w:jc w:val="right"/>
              <w:rPr>
                <w:bCs/>
                <w:sz w:val="17"/>
                <w:szCs w:val="17"/>
              </w:rPr>
            </w:pPr>
            <w:r w:rsidRPr="00F35716">
              <w:rPr>
                <w:bCs/>
                <w:sz w:val="17"/>
                <w:szCs w:val="17"/>
              </w:rPr>
              <w:t>7</w:t>
            </w:r>
          </w:p>
        </w:tc>
        <w:tc>
          <w:tcPr>
            <w:tcW w:w="936" w:type="dxa"/>
            <w:vAlign w:val="bottom"/>
          </w:tcPr>
          <w:p w14:paraId="32E9461B" w14:textId="77777777" w:rsidR="005B233F" w:rsidRPr="00F35716" w:rsidRDefault="005B233F" w:rsidP="006F34C8">
            <w:pPr>
              <w:spacing w:before="40" w:after="80" w:line="210" w:lineRule="exact"/>
              <w:jc w:val="right"/>
              <w:rPr>
                <w:bCs/>
                <w:sz w:val="17"/>
                <w:szCs w:val="17"/>
              </w:rPr>
            </w:pPr>
            <w:r w:rsidRPr="00F35716">
              <w:rPr>
                <w:bCs/>
                <w:sz w:val="17"/>
                <w:szCs w:val="17"/>
              </w:rPr>
              <w:t>31</w:t>
            </w:r>
          </w:p>
        </w:tc>
        <w:tc>
          <w:tcPr>
            <w:tcW w:w="936" w:type="dxa"/>
            <w:shd w:val="clear" w:color="auto" w:fill="auto"/>
            <w:vAlign w:val="bottom"/>
          </w:tcPr>
          <w:p w14:paraId="32E9461C" w14:textId="77777777" w:rsidR="005B233F" w:rsidRPr="00F35716" w:rsidRDefault="005B233F" w:rsidP="006F34C8">
            <w:pPr>
              <w:spacing w:before="40" w:after="80" w:line="210" w:lineRule="exact"/>
              <w:jc w:val="right"/>
              <w:rPr>
                <w:bCs/>
                <w:sz w:val="17"/>
                <w:szCs w:val="17"/>
              </w:rPr>
            </w:pPr>
            <w:r w:rsidRPr="00F35716">
              <w:rPr>
                <w:bCs/>
                <w:sz w:val="17"/>
                <w:szCs w:val="17"/>
              </w:rPr>
              <w:t>12</w:t>
            </w:r>
          </w:p>
        </w:tc>
        <w:tc>
          <w:tcPr>
            <w:tcW w:w="936" w:type="dxa"/>
            <w:shd w:val="clear" w:color="auto" w:fill="auto"/>
            <w:vAlign w:val="bottom"/>
          </w:tcPr>
          <w:p w14:paraId="32E9461D" w14:textId="77777777" w:rsidR="005B233F" w:rsidRPr="00F35716" w:rsidRDefault="005B233F" w:rsidP="006F34C8">
            <w:pPr>
              <w:spacing w:before="40" w:after="80" w:line="210" w:lineRule="exact"/>
              <w:jc w:val="right"/>
              <w:rPr>
                <w:bCs/>
                <w:sz w:val="17"/>
                <w:szCs w:val="17"/>
              </w:rPr>
            </w:pPr>
            <w:r w:rsidRPr="00F35716">
              <w:rPr>
                <w:bCs/>
                <w:sz w:val="17"/>
                <w:szCs w:val="17"/>
              </w:rPr>
              <w:t>56</w:t>
            </w:r>
          </w:p>
        </w:tc>
        <w:tc>
          <w:tcPr>
            <w:tcW w:w="936" w:type="dxa"/>
            <w:shd w:val="clear" w:color="auto" w:fill="auto"/>
            <w:vAlign w:val="bottom"/>
          </w:tcPr>
          <w:p w14:paraId="32E9461E" w14:textId="77777777" w:rsidR="005B233F" w:rsidRPr="00F35716" w:rsidRDefault="005B233F" w:rsidP="006F34C8">
            <w:pPr>
              <w:spacing w:before="40" w:after="80" w:line="210" w:lineRule="exact"/>
              <w:jc w:val="right"/>
              <w:rPr>
                <w:bCs/>
                <w:sz w:val="17"/>
                <w:szCs w:val="17"/>
              </w:rPr>
            </w:pPr>
            <w:r w:rsidRPr="00F35716">
              <w:rPr>
                <w:bCs/>
                <w:sz w:val="17"/>
                <w:szCs w:val="17"/>
              </w:rPr>
              <w:t>9</w:t>
            </w:r>
          </w:p>
        </w:tc>
        <w:tc>
          <w:tcPr>
            <w:tcW w:w="936" w:type="dxa"/>
            <w:shd w:val="clear" w:color="auto" w:fill="auto"/>
            <w:vAlign w:val="bottom"/>
          </w:tcPr>
          <w:p w14:paraId="32E9461F" w14:textId="77777777" w:rsidR="005B233F" w:rsidRPr="00F35716" w:rsidRDefault="005B233F" w:rsidP="006F34C8">
            <w:pPr>
              <w:spacing w:before="40" w:after="80" w:line="210" w:lineRule="exact"/>
              <w:jc w:val="right"/>
              <w:rPr>
                <w:bCs/>
                <w:sz w:val="17"/>
                <w:szCs w:val="17"/>
              </w:rPr>
            </w:pPr>
            <w:r w:rsidRPr="00F35716">
              <w:rPr>
                <w:bCs/>
                <w:sz w:val="17"/>
                <w:szCs w:val="17"/>
              </w:rPr>
              <w:t>37</w:t>
            </w:r>
          </w:p>
        </w:tc>
      </w:tr>
      <w:tr w:rsidR="005B233F" w:rsidRPr="00F35716" w14:paraId="32E9462A" w14:textId="77777777" w:rsidTr="005B233F">
        <w:tc>
          <w:tcPr>
            <w:tcW w:w="2376" w:type="dxa"/>
            <w:tcBorders>
              <w:bottom w:val="single" w:sz="12" w:space="0" w:color="auto"/>
            </w:tcBorders>
            <w:vAlign w:val="bottom"/>
          </w:tcPr>
          <w:p w14:paraId="32E94621" w14:textId="5A200B5B" w:rsidR="005B233F" w:rsidRPr="00F35716" w:rsidRDefault="003E455C" w:rsidP="009B7F1A">
            <w:pPr>
              <w:spacing w:before="40" w:after="80" w:line="210" w:lineRule="exact"/>
              <w:rPr>
                <w:bCs/>
                <w:sz w:val="17"/>
                <w:szCs w:val="17"/>
              </w:rPr>
            </w:pPr>
            <w:r w:rsidRPr="00F35716">
              <w:rPr>
                <w:bCs/>
                <w:sz w:val="17"/>
                <w:szCs w:val="17"/>
              </w:rPr>
              <w:t xml:space="preserve">Ferias </w:t>
            </w:r>
            <w:r w:rsidR="005B233F" w:rsidRPr="00F35716">
              <w:rPr>
                <w:bCs/>
                <w:sz w:val="17"/>
                <w:szCs w:val="17"/>
              </w:rPr>
              <w:t>internacionales</w:t>
            </w:r>
          </w:p>
        </w:tc>
        <w:tc>
          <w:tcPr>
            <w:tcW w:w="936" w:type="dxa"/>
            <w:tcBorders>
              <w:bottom w:val="single" w:sz="12" w:space="0" w:color="auto"/>
            </w:tcBorders>
            <w:vAlign w:val="bottom"/>
          </w:tcPr>
          <w:p w14:paraId="32E94622" w14:textId="77777777" w:rsidR="005B233F" w:rsidRPr="00F35716" w:rsidRDefault="005B233F" w:rsidP="006F34C8">
            <w:pPr>
              <w:spacing w:before="40" w:after="80" w:line="210" w:lineRule="exact"/>
              <w:jc w:val="right"/>
              <w:rPr>
                <w:bCs/>
                <w:sz w:val="17"/>
                <w:szCs w:val="17"/>
              </w:rPr>
            </w:pPr>
            <w:r w:rsidRPr="00F35716">
              <w:rPr>
                <w:bCs/>
                <w:sz w:val="17"/>
                <w:szCs w:val="17"/>
              </w:rPr>
              <w:t>10</w:t>
            </w:r>
          </w:p>
        </w:tc>
        <w:tc>
          <w:tcPr>
            <w:tcW w:w="936" w:type="dxa"/>
            <w:tcBorders>
              <w:bottom w:val="single" w:sz="12" w:space="0" w:color="auto"/>
            </w:tcBorders>
            <w:vAlign w:val="bottom"/>
          </w:tcPr>
          <w:p w14:paraId="32E94623" w14:textId="77777777" w:rsidR="005B233F" w:rsidRPr="00F35716" w:rsidRDefault="005B233F" w:rsidP="006F34C8">
            <w:pPr>
              <w:spacing w:before="40" w:after="80" w:line="210" w:lineRule="exact"/>
              <w:jc w:val="right"/>
              <w:rPr>
                <w:bCs/>
                <w:sz w:val="17"/>
                <w:szCs w:val="17"/>
              </w:rPr>
            </w:pPr>
            <w:r w:rsidRPr="00F35716">
              <w:rPr>
                <w:bCs/>
                <w:sz w:val="17"/>
                <w:szCs w:val="17"/>
              </w:rPr>
              <w:t>43</w:t>
            </w:r>
          </w:p>
        </w:tc>
        <w:tc>
          <w:tcPr>
            <w:tcW w:w="936" w:type="dxa"/>
            <w:tcBorders>
              <w:bottom w:val="single" w:sz="12" w:space="0" w:color="auto"/>
            </w:tcBorders>
            <w:vAlign w:val="bottom"/>
          </w:tcPr>
          <w:p w14:paraId="32E94624" w14:textId="77777777" w:rsidR="005B233F" w:rsidRPr="00F35716" w:rsidRDefault="005B233F" w:rsidP="006F34C8">
            <w:pPr>
              <w:spacing w:before="40" w:after="80" w:line="210" w:lineRule="exact"/>
              <w:jc w:val="right"/>
              <w:rPr>
                <w:bCs/>
                <w:sz w:val="17"/>
                <w:szCs w:val="17"/>
              </w:rPr>
            </w:pPr>
            <w:r w:rsidRPr="00F35716">
              <w:rPr>
                <w:bCs/>
                <w:sz w:val="17"/>
                <w:szCs w:val="17"/>
              </w:rPr>
              <w:t>21</w:t>
            </w:r>
          </w:p>
        </w:tc>
        <w:tc>
          <w:tcPr>
            <w:tcW w:w="936" w:type="dxa"/>
            <w:tcBorders>
              <w:bottom w:val="single" w:sz="12" w:space="0" w:color="auto"/>
            </w:tcBorders>
            <w:vAlign w:val="bottom"/>
          </w:tcPr>
          <w:p w14:paraId="32E94625" w14:textId="77777777" w:rsidR="005B233F" w:rsidRPr="00F35716" w:rsidRDefault="005B233F" w:rsidP="006F34C8">
            <w:pPr>
              <w:spacing w:before="40" w:after="80" w:line="210" w:lineRule="exact"/>
              <w:jc w:val="right"/>
              <w:rPr>
                <w:bCs/>
                <w:sz w:val="17"/>
                <w:szCs w:val="17"/>
              </w:rPr>
            </w:pPr>
            <w:r w:rsidRPr="00F35716">
              <w:rPr>
                <w:bCs/>
                <w:sz w:val="17"/>
                <w:szCs w:val="17"/>
              </w:rPr>
              <w:t>104</w:t>
            </w:r>
          </w:p>
        </w:tc>
        <w:tc>
          <w:tcPr>
            <w:tcW w:w="936" w:type="dxa"/>
            <w:tcBorders>
              <w:bottom w:val="single" w:sz="12" w:space="0" w:color="auto"/>
            </w:tcBorders>
            <w:shd w:val="clear" w:color="auto" w:fill="auto"/>
            <w:vAlign w:val="bottom"/>
          </w:tcPr>
          <w:p w14:paraId="32E94626" w14:textId="77777777" w:rsidR="005B233F" w:rsidRPr="00F35716" w:rsidRDefault="005B233F" w:rsidP="006F34C8">
            <w:pPr>
              <w:spacing w:before="40" w:after="80" w:line="210" w:lineRule="exact"/>
              <w:jc w:val="right"/>
              <w:rPr>
                <w:bCs/>
                <w:sz w:val="17"/>
                <w:szCs w:val="17"/>
              </w:rPr>
            </w:pPr>
            <w:r w:rsidRPr="00F35716">
              <w:rPr>
                <w:bCs/>
                <w:sz w:val="17"/>
                <w:szCs w:val="17"/>
              </w:rPr>
              <w:t>48</w:t>
            </w:r>
          </w:p>
        </w:tc>
        <w:tc>
          <w:tcPr>
            <w:tcW w:w="936" w:type="dxa"/>
            <w:tcBorders>
              <w:bottom w:val="single" w:sz="12" w:space="0" w:color="auto"/>
            </w:tcBorders>
            <w:shd w:val="clear" w:color="auto" w:fill="auto"/>
            <w:vAlign w:val="bottom"/>
          </w:tcPr>
          <w:p w14:paraId="32E94627" w14:textId="77777777" w:rsidR="005B233F" w:rsidRPr="00F35716" w:rsidRDefault="005B233F" w:rsidP="006F34C8">
            <w:pPr>
              <w:spacing w:before="40" w:after="80" w:line="210" w:lineRule="exact"/>
              <w:jc w:val="right"/>
              <w:rPr>
                <w:bCs/>
                <w:sz w:val="17"/>
                <w:szCs w:val="17"/>
              </w:rPr>
            </w:pPr>
            <w:r w:rsidRPr="00F35716">
              <w:rPr>
                <w:bCs/>
                <w:sz w:val="17"/>
                <w:szCs w:val="17"/>
              </w:rPr>
              <w:t>138</w:t>
            </w:r>
          </w:p>
        </w:tc>
        <w:tc>
          <w:tcPr>
            <w:tcW w:w="936" w:type="dxa"/>
            <w:tcBorders>
              <w:bottom w:val="single" w:sz="12" w:space="0" w:color="auto"/>
            </w:tcBorders>
            <w:shd w:val="clear" w:color="auto" w:fill="auto"/>
            <w:vAlign w:val="bottom"/>
          </w:tcPr>
          <w:p w14:paraId="32E94628" w14:textId="77777777" w:rsidR="005B233F" w:rsidRPr="00F35716" w:rsidRDefault="005B233F" w:rsidP="006F34C8">
            <w:pPr>
              <w:spacing w:before="40" w:after="80" w:line="210" w:lineRule="exact"/>
              <w:jc w:val="right"/>
              <w:rPr>
                <w:bCs/>
                <w:sz w:val="17"/>
                <w:szCs w:val="17"/>
              </w:rPr>
            </w:pPr>
            <w:r w:rsidRPr="00F35716">
              <w:rPr>
                <w:bCs/>
                <w:sz w:val="17"/>
                <w:szCs w:val="17"/>
              </w:rPr>
              <w:t>46</w:t>
            </w:r>
          </w:p>
        </w:tc>
        <w:tc>
          <w:tcPr>
            <w:tcW w:w="936" w:type="dxa"/>
            <w:tcBorders>
              <w:bottom w:val="single" w:sz="12" w:space="0" w:color="auto"/>
            </w:tcBorders>
            <w:shd w:val="clear" w:color="auto" w:fill="auto"/>
            <w:vAlign w:val="bottom"/>
          </w:tcPr>
          <w:p w14:paraId="32E94629" w14:textId="77777777" w:rsidR="005B233F" w:rsidRPr="00F35716" w:rsidRDefault="005B233F" w:rsidP="006F34C8">
            <w:pPr>
              <w:spacing w:before="40" w:after="80" w:line="210" w:lineRule="exact"/>
              <w:jc w:val="right"/>
              <w:rPr>
                <w:bCs/>
                <w:sz w:val="17"/>
                <w:szCs w:val="17"/>
              </w:rPr>
            </w:pPr>
            <w:r w:rsidRPr="00F35716">
              <w:rPr>
                <w:bCs/>
                <w:sz w:val="17"/>
                <w:szCs w:val="17"/>
              </w:rPr>
              <w:t>144</w:t>
            </w:r>
          </w:p>
        </w:tc>
      </w:tr>
    </w:tbl>
    <w:p w14:paraId="32E9462B" w14:textId="77777777" w:rsidR="00CD463A" w:rsidRPr="00F35716" w:rsidRDefault="00CD463A" w:rsidP="00A7212C">
      <w:pPr>
        <w:pStyle w:val="SingleTxt"/>
        <w:spacing w:after="0" w:line="120" w:lineRule="exact"/>
        <w:rPr>
          <w:sz w:val="10"/>
          <w:szCs w:val="20"/>
        </w:rPr>
      </w:pPr>
    </w:p>
    <w:p w14:paraId="32E9462C" w14:textId="03FF97E0" w:rsidR="00EC3C86" w:rsidRPr="00F35716" w:rsidRDefault="00EC3C86" w:rsidP="00B70088">
      <w:pPr>
        <w:pStyle w:val="FootnoteText"/>
        <w:tabs>
          <w:tab w:val="clear" w:pos="418"/>
          <w:tab w:val="right" w:pos="216"/>
          <w:tab w:val="left" w:pos="288"/>
          <w:tab w:val="right" w:pos="576"/>
          <w:tab w:val="left" w:pos="648"/>
        </w:tabs>
        <w:ind w:left="288" w:hanging="288"/>
      </w:pPr>
      <w:r w:rsidRPr="00F35716">
        <w:rPr>
          <w:i/>
        </w:rPr>
        <w:t>Fuente:</w:t>
      </w:r>
      <w:r w:rsidRPr="00F35716">
        <w:t xml:space="preserve"> Ministerio de Cultura</w:t>
      </w:r>
      <w:r w:rsidR="003E455C" w:rsidRPr="00F35716">
        <w:t>.</w:t>
      </w:r>
    </w:p>
    <w:p w14:paraId="32E9462D" w14:textId="77777777" w:rsidR="002242E2" w:rsidRPr="00F35716" w:rsidRDefault="002242E2" w:rsidP="00A7212C">
      <w:pPr>
        <w:pStyle w:val="SingleTxt"/>
        <w:spacing w:after="0" w:line="120" w:lineRule="exact"/>
        <w:rPr>
          <w:sz w:val="10"/>
          <w:szCs w:val="20"/>
        </w:rPr>
      </w:pPr>
    </w:p>
    <w:p w14:paraId="32E9462E" w14:textId="77777777" w:rsidR="00A7212C" w:rsidRPr="00F35716" w:rsidRDefault="00A7212C" w:rsidP="00A7212C">
      <w:pPr>
        <w:pStyle w:val="SingleTxt"/>
        <w:spacing w:after="0" w:line="120" w:lineRule="exact"/>
        <w:rPr>
          <w:sz w:val="10"/>
          <w:szCs w:val="20"/>
        </w:rPr>
      </w:pPr>
    </w:p>
    <w:p w14:paraId="32E9462F" w14:textId="1A608E2F" w:rsidR="00EC3C86" w:rsidRPr="00F35716" w:rsidRDefault="002242E2" w:rsidP="002242E2">
      <w:pPr>
        <w:pStyle w:val="SingleTxt"/>
        <w:tabs>
          <w:tab w:val="right" w:pos="1685"/>
        </w:tabs>
        <w:ind w:left="1742" w:hanging="475"/>
      </w:pPr>
      <w:r w:rsidRPr="00F35716">
        <w:lastRenderedPageBreak/>
        <w:tab/>
        <w:t>–</w:t>
      </w:r>
      <w:r w:rsidRPr="00F35716">
        <w:tab/>
      </w:r>
      <w:r w:rsidR="00EC3C86" w:rsidRPr="00F35716">
        <w:t>La garantización de la representación de las mujeres y la presencia de la creatividad femenina en sus diversas manifestaciones</w:t>
      </w:r>
      <w:r w:rsidR="0004777D" w:rsidRPr="00F35716">
        <w:t xml:space="preserve"> en exposiciones y </w:t>
      </w:r>
      <w:r w:rsidR="00EC3C86" w:rsidRPr="00F35716">
        <w:t>semanas culturales marroquíes organizadas en el extranjero.</w:t>
      </w:r>
    </w:p>
    <w:p w14:paraId="32E94630" w14:textId="053B58AD" w:rsidR="00EC3C86" w:rsidRPr="00F35716" w:rsidRDefault="002242E2" w:rsidP="002242E2">
      <w:pPr>
        <w:pStyle w:val="SingleTxt"/>
        <w:tabs>
          <w:tab w:val="right" w:pos="1685"/>
        </w:tabs>
        <w:ind w:left="1742" w:hanging="475"/>
      </w:pPr>
      <w:r w:rsidRPr="00F35716">
        <w:tab/>
        <w:t>–</w:t>
      </w:r>
      <w:r w:rsidRPr="00F35716">
        <w:tab/>
      </w:r>
      <w:r w:rsidR="00EC3C86" w:rsidRPr="00F35716">
        <w:t xml:space="preserve">La participación </w:t>
      </w:r>
      <w:r w:rsidR="0004777D" w:rsidRPr="00F35716">
        <w:t xml:space="preserve">de las mujeres </w:t>
      </w:r>
      <w:r w:rsidR="00EC3C86" w:rsidRPr="00F35716">
        <w:t xml:space="preserve">en </w:t>
      </w:r>
      <w:r w:rsidR="0004777D" w:rsidRPr="00F35716">
        <w:t>diversas</w:t>
      </w:r>
      <w:r w:rsidR="00EC3C86" w:rsidRPr="00F35716">
        <w:t xml:space="preserve"> reuniones intelectuales y estudios sobre cuestiones relacionadas con las mujeres. </w:t>
      </w:r>
    </w:p>
    <w:p w14:paraId="32E94631" w14:textId="77777777" w:rsidR="00EC3C86" w:rsidRPr="00F35716" w:rsidRDefault="002242E2" w:rsidP="002242E2">
      <w:pPr>
        <w:pStyle w:val="SingleTxt"/>
        <w:tabs>
          <w:tab w:val="right" w:pos="1685"/>
        </w:tabs>
        <w:ind w:left="1742" w:hanging="475"/>
      </w:pPr>
      <w:r w:rsidRPr="00F35716">
        <w:tab/>
        <w:t>–</w:t>
      </w:r>
      <w:r w:rsidRPr="00F35716">
        <w:tab/>
      </w:r>
      <w:r w:rsidR="00EC3C86" w:rsidRPr="00F35716">
        <w:t xml:space="preserve">La recopilación de datos y la documentación de las costumbres, tradiciones, habilidades, artesanías y artes creadas por las mujeres. </w:t>
      </w:r>
    </w:p>
    <w:p w14:paraId="32E94632" w14:textId="4629C891" w:rsidR="00EC3C86" w:rsidRPr="00F35716" w:rsidRDefault="002242E2" w:rsidP="002242E2">
      <w:pPr>
        <w:pStyle w:val="SingleTxt"/>
        <w:tabs>
          <w:tab w:val="right" w:pos="1685"/>
        </w:tabs>
        <w:ind w:left="1742" w:hanging="475"/>
      </w:pPr>
      <w:r w:rsidRPr="00F35716">
        <w:tab/>
        <w:t>–</w:t>
      </w:r>
      <w:r w:rsidRPr="00F35716">
        <w:tab/>
      </w:r>
      <w:r w:rsidR="00EC3C86" w:rsidRPr="00F35716">
        <w:t>La creación de un premio a</w:t>
      </w:r>
      <w:r w:rsidR="007137BD" w:rsidRPr="00F35716">
        <w:t xml:space="preserve"> </w:t>
      </w:r>
      <w:r w:rsidR="00EC3C86" w:rsidRPr="00F35716">
        <w:t>l</w:t>
      </w:r>
      <w:r w:rsidR="007137BD" w:rsidRPr="00F35716">
        <w:t>a</w:t>
      </w:r>
      <w:r w:rsidR="00EC3C86" w:rsidRPr="00F35716">
        <w:t xml:space="preserve"> mejor </w:t>
      </w:r>
      <w:r w:rsidR="007137BD" w:rsidRPr="00F35716">
        <w:t>actriz</w:t>
      </w:r>
      <w:r w:rsidR="00EC3C86" w:rsidRPr="00F35716">
        <w:t xml:space="preserve"> </w:t>
      </w:r>
      <w:r w:rsidR="007137BD" w:rsidRPr="00F35716">
        <w:t xml:space="preserve">en </w:t>
      </w:r>
      <w:r w:rsidR="00EC3C86" w:rsidRPr="00F35716">
        <w:t>el Festival Nacional de Teatro.</w:t>
      </w:r>
    </w:p>
    <w:p w14:paraId="32E94633" w14:textId="4C004581" w:rsidR="00EC3C86" w:rsidRPr="00F35716" w:rsidRDefault="002242E2" w:rsidP="002242E2">
      <w:pPr>
        <w:pStyle w:val="SingleTxt"/>
        <w:tabs>
          <w:tab w:val="right" w:pos="1685"/>
        </w:tabs>
        <w:ind w:left="1742" w:hanging="475"/>
      </w:pPr>
      <w:r w:rsidRPr="00F35716">
        <w:tab/>
        <w:t>–</w:t>
      </w:r>
      <w:r w:rsidRPr="00F35716">
        <w:tab/>
      </w:r>
      <w:r w:rsidR="00EC3C86" w:rsidRPr="00F35716">
        <w:t xml:space="preserve">El homenaje a las mujeres artistas y </w:t>
      </w:r>
      <w:r w:rsidR="007137BD" w:rsidRPr="00F35716">
        <w:t xml:space="preserve">pioneras </w:t>
      </w:r>
      <w:r w:rsidR="00EC3C86" w:rsidRPr="00F35716">
        <w:t xml:space="preserve">en todos los eventos artísticos. </w:t>
      </w:r>
    </w:p>
    <w:p w14:paraId="32E94634" w14:textId="77777777" w:rsidR="00A95266" w:rsidRPr="00F35716" w:rsidRDefault="00A95266" w:rsidP="00A95266">
      <w:pPr>
        <w:pStyle w:val="SingleTxt"/>
        <w:spacing w:after="0" w:line="120" w:lineRule="exact"/>
        <w:rPr>
          <w:sz w:val="10"/>
          <w:szCs w:val="20"/>
        </w:rPr>
      </w:pPr>
    </w:p>
    <w:p w14:paraId="32E94635" w14:textId="77777777" w:rsidR="00EC3C86" w:rsidRPr="00F35716" w:rsidRDefault="00DC7516"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Cs w:val="0"/>
          <w:szCs w:val="20"/>
        </w:rPr>
        <w:t>Artículo 14</w:t>
      </w:r>
      <w:bookmarkStart w:id="56" w:name="_Toc24015484"/>
      <w:bookmarkStart w:id="57" w:name="_Toc24100790"/>
      <w:bookmarkStart w:id="58" w:name="_Toc24548864"/>
      <w:bookmarkStart w:id="59" w:name="_Toc28165906"/>
      <w:bookmarkEnd w:id="56"/>
      <w:bookmarkEnd w:id="57"/>
      <w:bookmarkEnd w:id="58"/>
      <w:bookmarkEnd w:id="59"/>
    </w:p>
    <w:p w14:paraId="32E94636" w14:textId="77777777" w:rsidR="00A95266" w:rsidRPr="00F35716" w:rsidRDefault="00A95266" w:rsidP="00A95266">
      <w:pPr>
        <w:pStyle w:val="SingleTxt"/>
        <w:spacing w:after="0" w:line="120" w:lineRule="exact"/>
        <w:rPr>
          <w:sz w:val="10"/>
          <w:szCs w:val="20"/>
        </w:rPr>
      </w:pPr>
    </w:p>
    <w:p w14:paraId="32E94637" w14:textId="367E13DF" w:rsidR="00EC3C86" w:rsidRPr="00F35716" w:rsidRDefault="00EC3C86" w:rsidP="00B3192A">
      <w:pPr>
        <w:pStyle w:val="SingleTxt"/>
        <w:numPr>
          <w:ilvl w:val="0"/>
          <w:numId w:val="8"/>
        </w:numPr>
        <w:ind w:left="1267" w:firstLine="0"/>
      </w:pPr>
      <w:r w:rsidRPr="00F35716">
        <w:t>Las autoridades públicas han emprendido medidas e iniciativas de acuerdo con un enfoque participativo</w:t>
      </w:r>
      <w:r w:rsidR="007137BD" w:rsidRPr="00F35716">
        <w:t xml:space="preserve"> encaminadas a</w:t>
      </w:r>
      <w:r w:rsidRPr="00F35716">
        <w:t xml:space="preserve"> mejorar la situación de las mujeres rurales, </w:t>
      </w:r>
      <w:r w:rsidR="007137BD" w:rsidRPr="00F35716">
        <w:t>creando</w:t>
      </w:r>
      <w:r w:rsidRPr="00F35716">
        <w:t xml:space="preserve"> programas de desarrollo local en su beneficio </w:t>
      </w:r>
      <w:r w:rsidR="007137BD" w:rsidRPr="00F35716">
        <w:t>e involucrando a</w:t>
      </w:r>
      <w:r w:rsidRPr="00F35716">
        <w:t xml:space="preserve"> diversos agentes en políticas y programas públicos.</w:t>
      </w:r>
    </w:p>
    <w:p w14:paraId="32E94638" w14:textId="600EE35F" w:rsidR="00EC3C86" w:rsidRPr="00F35716" w:rsidRDefault="00EC3C86" w:rsidP="00B3192A">
      <w:pPr>
        <w:pStyle w:val="SingleTxt"/>
        <w:numPr>
          <w:ilvl w:val="0"/>
          <w:numId w:val="8"/>
        </w:numPr>
        <w:ind w:left="1267" w:firstLine="0"/>
      </w:pPr>
      <w:r w:rsidRPr="00F35716">
        <w:t xml:space="preserve">La </w:t>
      </w:r>
      <w:r w:rsidR="007137BD" w:rsidRPr="00F35716">
        <w:t xml:space="preserve">ejecución </w:t>
      </w:r>
      <w:r w:rsidRPr="00F35716">
        <w:t xml:space="preserve">del programa nacional </w:t>
      </w:r>
      <w:r w:rsidR="00ED15F0" w:rsidRPr="00F35716">
        <w:t>de abastecimiento de</w:t>
      </w:r>
      <w:r w:rsidRPr="00F35716">
        <w:t xml:space="preserve"> agua potable a</w:t>
      </w:r>
      <w:r w:rsidR="007137BD" w:rsidRPr="00F35716">
        <w:t xml:space="preserve"> </w:t>
      </w:r>
      <w:r w:rsidRPr="00F35716">
        <w:t>l</w:t>
      </w:r>
      <w:r w:rsidR="007137BD" w:rsidRPr="00F35716">
        <w:t xml:space="preserve">as </w:t>
      </w:r>
      <w:r w:rsidR="00ED15F0" w:rsidRPr="00F35716">
        <w:t>poblaciones</w:t>
      </w:r>
      <w:r w:rsidRPr="00F35716">
        <w:t xml:space="preserve"> rural</w:t>
      </w:r>
      <w:r w:rsidR="007137BD" w:rsidRPr="00F35716">
        <w:t>es</w:t>
      </w:r>
      <w:r w:rsidRPr="00F35716">
        <w:t xml:space="preserve"> aumentó la tasa de </w:t>
      </w:r>
      <w:r w:rsidR="00ED15F0" w:rsidRPr="00F35716">
        <w:t xml:space="preserve">abastecimiento </w:t>
      </w:r>
      <w:r w:rsidRPr="00F35716">
        <w:t>del 87</w:t>
      </w:r>
      <w:r w:rsidR="0006736D" w:rsidRPr="00F35716">
        <w:t> %</w:t>
      </w:r>
      <w:r w:rsidRPr="00F35716">
        <w:t xml:space="preserve"> en 2008 al </w:t>
      </w:r>
      <w:r w:rsidR="007137BD" w:rsidRPr="00F35716">
        <w:t>7</w:t>
      </w:r>
      <w:r w:rsidRPr="00F35716">
        <w:t>9</w:t>
      </w:r>
      <w:r w:rsidR="0006736D" w:rsidRPr="00F35716">
        <w:t> %</w:t>
      </w:r>
      <w:r w:rsidRPr="00F35716">
        <w:t xml:space="preserve"> en 2018. El número de beneficiarios </w:t>
      </w:r>
      <w:r w:rsidR="007137BD" w:rsidRPr="00F35716">
        <w:t>fue de</w:t>
      </w:r>
      <w:r w:rsidRPr="00F35716">
        <w:t xml:space="preserve"> 13.754.197 personas, de los cuales 6.825.481 fueron mujeres y niñas. </w:t>
      </w:r>
      <w:r w:rsidR="007137BD" w:rsidRPr="00F35716">
        <w:t>E</w:t>
      </w:r>
      <w:r w:rsidRPr="00F35716">
        <w:t xml:space="preserve">llo contribuyó a </w:t>
      </w:r>
      <w:r w:rsidR="007137BD" w:rsidRPr="00F35716">
        <w:t>aumentar</w:t>
      </w:r>
      <w:r w:rsidRPr="00F35716">
        <w:t xml:space="preserve"> la escolarización de las niñas y </w:t>
      </w:r>
      <w:r w:rsidR="007137BD" w:rsidRPr="00F35716">
        <w:t>ofreció</w:t>
      </w:r>
      <w:r w:rsidRPr="00F35716">
        <w:t xml:space="preserve"> a las mujeres más tiempo para </w:t>
      </w:r>
      <w:r w:rsidR="007137BD" w:rsidRPr="00F35716">
        <w:t xml:space="preserve">dedicarse a </w:t>
      </w:r>
      <w:r w:rsidRPr="00F35716">
        <w:t xml:space="preserve">actividades generadoras de ingresos. </w:t>
      </w:r>
    </w:p>
    <w:p w14:paraId="32E94639" w14:textId="4B4A758F" w:rsidR="00EC3C86" w:rsidRPr="00F35716" w:rsidRDefault="00EC3C86" w:rsidP="00B3192A">
      <w:pPr>
        <w:pStyle w:val="SingleTxt"/>
        <w:numPr>
          <w:ilvl w:val="0"/>
          <w:numId w:val="8"/>
        </w:numPr>
        <w:ind w:left="1267" w:firstLine="0"/>
      </w:pPr>
      <w:r w:rsidRPr="00F35716">
        <w:t>El programa integral de electrificación rural ha contribuido a mejorar el estilo de vida de las mujeres en las zonas rurales</w:t>
      </w:r>
      <w:r w:rsidR="007137BD" w:rsidRPr="00F35716">
        <w:t>. E</w:t>
      </w:r>
      <w:r w:rsidRPr="00F35716">
        <w:t xml:space="preserve">l uso de </w:t>
      </w:r>
      <w:r w:rsidR="007137BD" w:rsidRPr="00F35716">
        <w:t>electrodomésticos</w:t>
      </w:r>
      <w:r w:rsidRPr="00F35716">
        <w:t xml:space="preserve"> ha redundado en </w:t>
      </w:r>
      <w:r w:rsidR="00E040B4" w:rsidRPr="00F35716">
        <w:t xml:space="preserve">un ahorro de tiempo </w:t>
      </w:r>
      <w:r w:rsidRPr="00F35716">
        <w:t xml:space="preserve">que </w:t>
      </w:r>
      <w:r w:rsidR="00E040B4" w:rsidRPr="00F35716">
        <w:t xml:space="preserve">se puede </w:t>
      </w:r>
      <w:r w:rsidRPr="00F35716">
        <w:t xml:space="preserve">dedicar a </w:t>
      </w:r>
      <w:r w:rsidR="00E040B4" w:rsidRPr="00F35716">
        <w:t>impartir más</w:t>
      </w:r>
      <w:r w:rsidRPr="00F35716">
        <w:t xml:space="preserve"> educación </w:t>
      </w:r>
      <w:r w:rsidR="00E040B4" w:rsidRPr="00F35716">
        <w:t xml:space="preserve">a </w:t>
      </w:r>
      <w:r w:rsidRPr="00F35716">
        <w:t xml:space="preserve">las niñas </w:t>
      </w:r>
      <w:r w:rsidR="00E040B4" w:rsidRPr="00F35716">
        <w:t xml:space="preserve">de las zonas </w:t>
      </w:r>
      <w:r w:rsidRPr="00F35716">
        <w:t xml:space="preserve">rurales, combatir el analfabetismo, fomentar actividades generadoras de ingresos (con la creación cooperativas) </w:t>
      </w:r>
      <w:r w:rsidR="00E040B4" w:rsidRPr="00F35716">
        <w:t xml:space="preserve">y </w:t>
      </w:r>
      <w:r w:rsidRPr="00F35716">
        <w:t>aprender nuevas habilidades</w:t>
      </w:r>
      <w:r w:rsidR="00E040B4" w:rsidRPr="00F35716">
        <w:t>. Se está aumentando la conciencia</w:t>
      </w:r>
      <w:r w:rsidRPr="00F35716">
        <w:t xml:space="preserve"> en materia de salud a través de programas de televisión. Además, la electrificación de los centros de proximidad para el tratamiento permite hacer un seguimiento de los embarazos, </w:t>
      </w:r>
      <w:r w:rsidR="00E040B4" w:rsidRPr="00F35716">
        <w:t xml:space="preserve">con lo que se </w:t>
      </w:r>
      <w:r w:rsidRPr="00F35716">
        <w:t>reduc</w:t>
      </w:r>
      <w:r w:rsidR="00E040B4" w:rsidRPr="00F35716">
        <w:t>e</w:t>
      </w:r>
      <w:r w:rsidRPr="00F35716">
        <w:t xml:space="preserve"> la tasa</w:t>
      </w:r>
      <w:r w:rsidR="009B7F1A" w:rsidRPr="00F35716">
        <w:t> </w:t>
      </w:r>
      <w:r w:rsidRPr="00F35716">
        <w:t>de mortalidad de las mujeres embarazadas y los</w:t>
      </w:r>
      <w:r w:rsidR="00C25CFF" w:rsidRPr="00F35716">
        <w:t xml:space="preserve"> lactantes</w:t>
      </w:r>
      <w:r w:rsidRPr="00F35716">
        <w:t xml:space="preserve"> y </w:t>
      </w:r>
      <w:r w:rsidR="00E040B4" w:rsidRPr="00F35716">
        <w:t xml:space="preserve">se </w:t>
      </w:r>
      <w:r w:rsidRPr="00F35716">
        <w:t>garantiza una mejor atención.</w:t>
      </w:r>
    </w:p>
    <w:p w14:paraId="32E9463A" w14:textId="11531D6E" w:rsidR="00EC3C86" w:rsidRPr="00F35716" w:rsidRDefault="00EC3C86" w:rsidP="00B3192A">
      <w:pPr>
        <w:pStyle w:val="SingleTxt"/>
        <w:numPr>
          <w:ilvl w:val="0"/>
          <w:numId w:val="8"/>
        </w:numPr>
        <w:ind w:left="1267" w:firstLine="0"/>
      </w:pPr>
      <w:r w:rsidRPr="00F35716">
        <w:t>Desde 1996 hasta finales de noviembre de 2018, este programa aument</w:t>
      </w:r>
      <w:r w:rsidR="00C25CFF" w:rsidRPr="00F35716">
        <w:t>ó</w:t>
      </w:r>
      <w:r w:rsidRPr="00F35716">
        <w:t xml:space="preserve"> </w:t>
      </w:r>
      <w:r w:rsidR="00C25CFF" w:rsidRPr="00F35716">
        <w:t>la tasa</w:t>
      </w:r>
      <w:r w:rsidRPr="00F35716">
        <w:t xml:space="preserve"> de electrificación rural del 18</w:t>
      </w:r>
      <w:r w:rsidR="0006736D" w:rsidRPr="00F35716">
        <w:t> %</w:t>
      </w:r>
      <w:r w:rsidRPr="00F35716">
        <w:t xml:space="preserve"> en 1995 al 99,63</w:t>
      </w:r>
      <w:r w:rsidR="0006736D" w:rsidRPr="00F35716">
        <w:t> %</w:t>
      </w:r>
      <w:r w:rsidRPr="00F35716">
        <w:t xml:space="preserve"> a finales de noviembre de 2018. En ese período:</w:t>
      </w:r>
    </w:p>
    <w:p w14:paraId="32E9463B" w14:textId="3C9CBCEF" w:rsidR="00EC3C86" w:rsidRPr="00F35716" w:rsidRDefault="002242E2" w:rsidP="002242E2">
      <w:pPr>
        <w:pStyle w:val="SingleTxt"/>
        <w:tabs>
          <w:tab w:val="right" w:pos="1685"/>
        </w:tabs>
        <w:ind w:left="1742" w:hanging="475"/>
      </w:pPr>
      <w:r w:rsidRPr="00F35716">
        <w:tab/>
        <w:t>–</w:t>
      </w:r>
      <w:r w:rsidRPr="00F35716">
        <w:tab/>
      </w:r>
      <w:r w:rsidR="00EC3C86" w:rsidRPr="00F35716">
        <w:t>Se dotó de suministro eléctrico a 40.393 aldeas con un total de 2.291.123</w:t>
      </w:r>
      <w:r w:rsidR="00403337" w:rsidRPr="00F35716">
        <w:t> </w:t>
      </w:r>
      <w:r w:rsidR="00C25CFF" w:rsidRPr="00F35716">
        <w:t>viviendas</w:t>
      </w:r>
      <w:r w:rsidR="00EC3C86" w:rsidRPr="00F35716">
        <w:t>, a las que se conectó a la red nacional.</w:t>
      </w:r>
    </w:p>
    <w:p w14:paraId="32E9463C" w14:textId="6408EA99" w:rsidR="00EC3C86" w:rsidRPr="00F35716" w:rsidRDefault="002242E2" w:rsidP="002242E2">
      <w:pPr>
        <w:pStyle w:val="SingleTxt"/>
        <w:tabs>
          <w:tab w:val="right" w:pos="1685"/>
        </w:tabs>
        <w:ind w:left="1742" w:hanging="475"/>
      </w:pPr>
      <w:r w:rsidRPr="00F35716">
        <w:tab/>
        <w:t>–</w:t>
      </w:r>
      <w:r w:rsidRPr="00F35716">
        <w:tab/>
      </w:r>
      <w:r w:rsidR="00EC3C86" w:rsidRPr="00F35716">
        <w:t>Se instalaron 51.559 paneles solares en 3.663 a</w:t>
      </w:r>
      <w:r w:rsidR="00C25CFF" w:rsidRPr="00F35716">
        <w:t>ldeas</w:t>
      </w:r>
      <w:r w:rsidR="00C25CFF" w:rsidRPr="00F35716">
        <w:rPr>
          <w:vertAlign w:val="superscript"/>
        </w:rPr>
        <w:footnoteReference w:id="93"/>
      </w:r>
      <w:r w:rsidR="00EC3C86" w:rsidRPr="00F35716">
        <w:t xml:space="preserve"> entre 1998 y 2009</w:t>
      </w:r>
      <w:r w:rsidR="00C25CFF" w:rsidRPr="00F35716">
        <w:t>.</w:t>
      </w:r>
      <w:r w:rsidR="00EC3C86" w:rsidRPr="00F35716">
        <w:t xml:space="preserve"> </w:t>
      </w:r>
    </w:p>
    <w:p w14:paraId="32E9463D" w14:textId="752C001F" w:rsidR="00EC3C86" w:rsidRPr="00F35716" w:rsidRDefault="002242E2" w:rsidP="002242E2">
      <w:pPr>
        <w:pStyle w:val="SingleTxt"/>
        <w:tabs>
          <w:tab w:val="right" w:pos="1685"/>
        </w:tabs>
        <w:ind w:left="1742" w:hanging="475"/>
      </w:pPr>
      <w:r w:rsidRPr="00F35716">
        <w:tab/>
        <w:t>–</w:t>
      </w:r>
      <w:r w:rsidRPr="00F35716">
        <w:tab/>
      </w:r>
      <w:r w:rsidR="00EC3C86" w:rsidRPr="00F35716">
        <w:t>Se instalaron 19.438 dispositivos solares en 900 aldeas entre 2016 y enero de</w:t>
      </w:r>
      <w:r w:rsidR="00D6092A" w:rsidRPr="00F35716">
        <w:t> </w:t>
      </w:r>
      <w:r w:rsidR="00EC3C86" w:rsidRPr="00F35716">
        <w:t xml:space="preserve">2017. </w:t>
      </w:r>
    </w:p>
    <w:p w14:paraId="32E9463E" w14:textId="58373DC1" w:rsidR="00EC3C86" w:rsidRPr="00F35716" w:rsidRDefault="00EC3C86" w:rsidP="00B3192A">
      <w:pPr>
        <w:pStyle w:val="SingleTxt"/>
        <w:numPr>
          <w:ilvl w:val="0"/>
          <w:numId w:val="8"/>
        </w:numPr>
        <w:ind w:left="1267" w:firstLine="0"/>
      </w:pPr>
      <w:r w:rsidRPr="00F35716">
        <w:t xml:space="preserve">Con la ejecución del </w:t>
      </w:r>
      <w:r w:rsidR="00C25CFF" w:rsidRPr="00F35716">
        <w:t>P</w:t>
      </w:r>
      <w:r w:rsidRPr="00F35716">
        <w:t xml:space="preserve">rimer </w:t>
      </w:r>
      <w:r w:rsidR="00C25CFF" w:rsidRPr="00F35716">
        <w:t>P</w:t>
      </w:r>
      <w:r w:rsidRPr="00F35716">
        <w:t xml:space="preserve">rograma </w:t>
      </w:r>
      <w:r w:rsidR="00C25CFF" w:rsidRPr="00F35716">
        <w:t>N</w:t>
      </w:r>
      <w:r w:rsidRPr="00F35716">
        <w:t xml:space="preserve">acional </w:t>
      </w:r>
      <w:r w:rsidR="00C25CFF" w:rsidRPr="00F35716">
        <w:t>de</w:t>
      </w:r>
      <w:r w:rsidRPr="00F35716">
        <w:t xml:space="preserve"> </w:t>
      </w:r>
      <w:r w:rsidR="00C25CFF" w:rsidRPr="00F35716">
        <w:t>C</w:t>
      </w:r>
      <w:r w:rsidRPr="00F35716">
        <w:t xml:space="preserve">aminos </w:t>
      </w:r>
      <w:r w:rsidR="00C25CFF" w:rsidRPr="00F35716">
        <w:t>R</w:t>
      </w:r>
      <w:r w:rsidRPr="00F35716">
        <w:t xml:space="preserve">urales (1995-2005), se habilitaron 11.000 km con un costo de 7.000 millones de dírhams, lo que ha aumentado la tasa de acceso de los residentes rurales a </w:t>
      </w:r>
      <w:r w:rsidR="004408EB" w:rsidRPr="00F35716">
        <w:t>redes viales</w:t>
      </w:r>
      <w:r w:rsidRPr="00F35716">
        <w:t xml:space="preserve"> del 34</w:t>
      </w:r>
      <w:r w:rsidR="0006736D" w:rsidRPr="00F35716">
        <w:t> %</w:t>
      </w:r>
      <w:r w:rsidRPr="00F35716">
        <w:t xml:space="preserve"> al 54</w:t>
      </w:r>
      <w:r w:rsidR="0006736D" w:rsidRPr="00F35716">
        <w:t> %</w:t>
      </w:r>
      <w:r w:rsidRPr="00F35716">
        <w:t xml:space="preserve">. Continuando con este esfuerzo, se </w:t>
      </w:r>
      <w:r w:rsidR="00C25CFF" w:rsidRPr="00F35716">
        <w:t>ejecutó</w:t>
      </w:r>
      <w:r w:rsidRPr="00F35716">
        <w:t xml:space="preserve"> el </w:t>
      </w:r>
      <w:r w:rsidR="00C25CFF" w:rsidRPr="00F35716">
        <w:t>S</w:t>
      </w:r>
      <w:r w:rsidRPr="00F35716">
        <w:t xml:space="preserve">egundo </w:t>
      </w:r>
      <w:r w:rsidR="00C25CFF" w:rsidRPr="00F35716">
        <w:t>P</w:t>
      </w:r>
      <w:r w:rsidRPr="00F35716">
        <w:t xml:space="preserve">rograma </w:t>
      </w:r>
      <w:r w:rsidR="00C25CFF" w:rsidRPr="00F35716">
        <w:t>N</w:t>
      </w:r>
      <w:r w:rsidRPr="00F35716">
        <w:t xml:space="preserve">acional </w:t>
      </w:r>
      <w:r w:rsidR="00C25CFF" w:rsidRPr="00F35716">
        <w:t>de</w:t>
      </w:r>
      <w:r w:rsidRPr="00F35716">
        <w:t xml:space="preserve"> </w:t>
      </w:r>
      <w:r w:rsidR="00C25CFF" w:rsidRPr="00F35716">
        <w:t>C</w:t>
      </w:r>
      <w:r w:rsidRPr="00F35716">
        <w:t xml:space="preserve">aminos </w:t>
      </w:r>
      <w:r w:rsidR="00C25CFF" w:rsidRPr="00F35716">
        <w:t>R</w:t>
      </w:r>
      <w:r w:rsidRPr="00F35716">
        <w:t>urales (2006-2016), con el que la longitud total</w:t>
      </w:r>
      <w:r w:rsidR="00A75C79" w:rsidRPr="00F35716">
        <w:t> </w:t>
      </w:r>
      <w:r w:rsidRPr="00F35716">
        <w:t>de</w:t>
      </w:r>
      <w:r w:rsidR="00A75C79" w:rsidRPr="00F35716">
        <w:t> </w:t>
      </w:r>
      <w:r w:rsidRPr="00F35716">
        <w:t xml:space="preserve">los caminos </w:t>
      </w:r>
      <w:r w:rsidR="00ED15F0" w:rsidRPr="00F35716">
        <w:t>rurales</w:t>
      </w:r>
      <w:r w:rsidRPr="00F35716">
        <w:t xml:space="preserve"> completados desde el inicio del programa hasta junio</w:t>
      </w:r>
      <w:r w:rsidR="00022AAB" w:rsidRPr="00F35716">
        <w:t> </w:t>
      </w:r>
      <w:r w:rsidRPr="00F35716">
        <w:t>de 2016 aumentó a 13.871 km. Gracias a ello, se puso fin al aislamiento de</w:t>
      </w:r>
      <w:r w:rsidR="00ED1929" w:rsidRPr="00F35716">
        <w:t> </w:t>
      </w:r>
      <w:r w:rsidRPr="00F35716">
        <w:t>2.885.000 de personas de zonas rurales, de las que, según el censo de 2014, el</w:t>
      </w:r>
      <w:r w:rsidR="00ED1929" w:rsidRPr="00F35716">
        <w:t> </w:t>
      </w:r>
      <w:r w:rsidRPr="00F35716">
        <w:t>50,7</w:t>
      </w:r>
      <w:r w:rsidR="0006736D" w:rsidRPr="00F35716">
        <w:t> %</w:t>
      </w:r>
      <w:r w:rsidRPr="00F35716">
        <w:t xml:space="preserve"> eran mujeres (es decir, unas 1.462.695 personas).</w:t>
      </w:r>
    </w:p>
    <w:p w14:paraId="32E94640" w14:textId="36670064" w:rsidR="00EC3C86" w:rsidRPr="00F35716" w:rsidRDefault="00EC3C86" w:rsidP="00B3192A">
      <w:pPr>
        <w:pStyle w:val="SingleTxt"/>
        <w:numPr>
          <w:ilvl w:val="0"/>
          <w:numId w:val="8"/>
        </w:numPr>
        <w:ind w:left="1267" w:firstLine="0"/>
      </w:pPr>
      <w:r w:rsidRPr="00F35716">
        <w:lastRenderedPageBreak/>
        <w:t xml:space="preserve">Un estudio del impacto de estos dos programas, que se </w:t>
      </w:r>
      <w:r w:rsidR="00ED15F0" w:rsidRPr="00F35716">
        <w:t xml:space="preserve">llevaron a cabo </w:t>
      </w:r>
      <w:r w:rsidRPr="00F35716">
        <w:t>en 2013, mostr</w:t>
      </w:r>
      <w:r w:rsidR="00ED15F0" w:rsidRPr="00F35716">
        <w:t>ó</w:t>
      </w:r>
      <w:r w:rsidRPr="00F35716">
        <w:t xml:space="preserve"> los siguientes indicadores positivos:</w:t>
      </w:r>
    </w:p>
    <w:p w14:paraId="32E94641" w14:textId="77777777" w:rsidR="00EC3C86" w:rsidRPr="00F35716" w:rsidRDefault="00AD4181" w:rsidP="00AD4181">
      <w:pPr>
        <w:pStyle w:val="SingleTxt"/>
        <w:tabs>
          <w:tab w:val="right" w:pos="1685"/>
        </w:tabs>
        <w:ind w:left="1742" w:hanging="475"/>
      </w:pPr>
      <w:r w:rsidRPr="00F35716">
        <w:tab/>
        <w:t>•</w:t>
      </w:r>
      <w:r w:rsidRPr="00F35716">
        <w:tab/>
      </w:r>
      <w:r w:rsidR="00EC3C86" w:rsidRPr="00F35716">
        <w:t>El aumento del número de niñas escolarizadas en 7,4 puntos porcentuales (del</w:t>
      </w:r>
      <w:r w:rsidR="008A1BD9" w:rsidRPr="00F35716">
        <w:t> </w:t>
      </w:r>
      <w:r w:rsidR="00EC3C86" w:rsidRPr="00F35716">
        <w:t>65</w:t>
      </w:r>
      <w:r w:rsidR="0006736D" w:rsidRPr="00F35716">
        <w:t> %</w:t>
      </w:r>
      <w:r w:rsidR="00EC3C86" w:rsidRPr="00F35716">
        <w:t xml:space="preserve"> al 72,4</w:t>
      </w:r>
      <w:r w:rsidR="0006736D" w:rsidRPr="00F35716">
        <w:t> %</w:t>
      </w:r>
      <w:r w:rsidR="00EC3C86" w:rsidRPr="00F35716">
        <w:t>).</w:t>
      </w:r>
    </w:p>
    <w:p w14:paraId="32E94642" w14:textId="77777777" w:rsidR="00EC3C86" w:rsidRPr="00F35716" w:rsidRDefault="00AD4181" w:rsidP="00AD4181">
      <w:pPr>
        <w:pStyle w:val="SingleTxt"/>
        <w:tabs>
          <w:tab w:val="right" w:pos="1685"/>
        </w:tabs>
        <w:ind w:left="1742" w:hanging="475"/>
      </w:pPr>
      <w:r w:rsidRPr="00F35716">
        <w:tab/>
        <w:t>•</w:t>
      </w:r>
      <w:r w:rsidRPr="00F35716">
        <w:tab/>
      </w:r>
      <w:r w:rsidR="00EC3C86" w:rsidRPr="00F35716">
        <w:t>El aumento de la tasa anual de visitas familiares a los centros de salud en un</w:t>
      </w:r>
      <w:r w:rsidR="00CD077C" w:rsidRPr="00F35716">
        <w:t> </w:t>
      </w:r>
      <w:r w:rsidR="00EC3C86" w:rsidRPr="00F35716">
        <w:t>32,3</w:t>
      </w:r>
      <w:r w:rsidR="0006736D" w:rsidRPr="00F35716">
        <w:t> %</w:t>
      </w:r>
      <w:r w:rsidR="00EC3C86" w:rsidRPr="00F35716">
        <w:t xml:space="preserve"> (de 6,4 a 8,5 visitas familiares por año).</w:t>
      </w:r>
    </w:p>
    <w:p w14:paraId="32E94643" w14:textId="55B6999B" w:rsidR="00EC3C86" w:rsidRPr="00F35716" w:rsidRDefault="00AD4181" w:rsidP="00AD4181">
      <w:pPr>
        <w:pStyle w:val="SingleTxt"/>
        <w:tabs>
          <w:tab w:val="right" w:pos="1685"/>
        </w:tabs>
        <w:ind w:left="1742" w:hanging="475"/>
      </w:pPr>
      <w:r w:rsidRPr="00F35716">
        <w:tab/>
        <w:t>•</w:t>
      </w:r>
      <w:r w:rsidRPr="00F35716">
        <w:tab/>
      </w:r>
      <w:r w:rsidR="00EC3C86" w:rsidRPr="00F35716">
        <w:t xml:space="preserve">La reducción del tiempo de </w:t>
      </w:r>
      <w:r w:rsidR="00ED15F0" w:rsidRPr="00F35716">
        <w:t xml:space="preserve">traslado </w:t>
      </w:r>
      <w:r w:rsidR="00EC3C86" w:rsidRPr="00F35716">
        <w:t xml:space="preserve">al centro de salud más cercano en </w:t>
      </w:r>
      <w:r w:rsidR="00E94BE8" w:rsidRPr="00F35716">
        <w:br/>
      </w:r>
      <w:r w:rsidR="00EC3C86" w:rsidRPr="00F35716">
        <w:t>un 35,1</w:t>
      </w:r>
      <w:r w:rsidR="0006736D" w:rsidRPr="00F35716">
        <w:t> %</w:t>
      </w:r>
      <w:r w:rsidR="00EC3C86" w:rsidRPr="00F35716">
        <w:t xml:space="preserve"> (de 57 a 37 minutos) durante la estación seca y en un 35,7</w:t>
      </w:r>
      <w:r w:rsidR="0006736D" w:rsidRPr="00F35716">
        <w:t> %</w:t>
      </w:r>
      <w:r w:rsidR="00EC3C86" w:rsidRPr="00F35716">
        <w:t xml:space="preserve"> </w:t>
      </w:r>
      <w:r w:rsidR="00E94BE8" w:rsidRPr="00F35716">
        <w:br/>
      </w:r>
      <w:r w:rsidR="00EC3C86" w:rsidRPr="00F35716">
        <w:t>(de 70 a 45</w:t>
      </w:r>
      <w:r w:rsidR="00AD3036" w:rsidRPr="00F35716">
        <w:t> </w:t>
      </w:r>
      <w:r w:rsidR="00EC3C86" w:rsidRPr="00F35716">
        <w:t xml:space="preserve">minutos) durante </w:t>
      </w:r>
      <w:r w:rsidR="00ED15F0" w:rsidRPr="00F35716">
        <w:t>la temporada de lluvias</w:t>
      </w:r>
      <w:r w:rsidR="00EC3C86" w:rsidRPr="00F35716">
        <w:t xml:space="preserve">. </w:t>
      </w:r>
    </w:p>
    <w:p w14:paraId="32E94644" w14:textId="77777777" w:rsidR="00EC3C86" w:rsidRPr="00F35716" w:rsidRDefault="00AD4181" w:rsidP="00AD4181">
      <w:pPr>
        <w:pStyle w:val="SingleTxt"/>
        <w:tabs>
          <w:tab w:val="right" w:pos="1685"/>
        </w:tabs>
        <w:ind w:left="1742" w:hanging="475"/>
      </w:pPr>
      <w:r w:rsidRPr="00F35716">
        <w:tab/>
        <w:t>•</w:t>
      </w:r>
      <w:r w:rsidRPr="00F35716">
        <w:tab/>
      </w:r>
      <w:r w:rsidR="00EC3C86" w:rsidRPr="00F35716">
        <w:t>La reducción del costo del transporte público en un 26</w:t>
      </w:r>
      <w:r w:rsidR="0006736D" w:rsidRPr="00F35716">
        <w:t> %</w:t>
      </w:r>
      <w:r w:rsidR="00EC3C86" w:rsidRPr="00F35716">
        <w:t xml:space="preserve"> (de 0,88 a 0,65</w:t>
      </w:r>
      <w:r w:rsidR="00AD3036" w:rsidRPr="00F35716">
        <w:t> </w:t>
      </w:r>
      <w:r w:rsidR="00EC3C86" w:rsidRPr="00F35716">
        <w:t>dírhams por persona y kilómetro).</w:t>
      </w:r>
    </w:p>
    <w:p w14:paraId="32E94645" w14:textId="77777777" w:rsidR="00EC3C86" w:rsidRPr="00F35716" w:rsidRDefault="00AD4181" w:rsidP="00AD4181">
      <w:pPr>
        <w:pStyle w:val="SingleTxt"/>
        <w:tabs>
          <w:tab w:val="right" w:pos="1685"/>
        </w:tabs>
        <w:ind w:left="1742" w:hanging="475"/>
      </w:pPr>
      <w:r w:rsidRPr="00F35716">
        <w:tab/>
        <w:t>•</w:t>
      </w:r>
      <w:r w:rsidRPr="00F35716">
        <w:tab/>
      </w:r>
      <w:r w:rsidR="00EC3C86" w:rsidRPr="00F35716">
        <w:t>La reducción del costo del transporte de mercancías en un 14,7</w:t>
      </w:r>
      <w:r w:rsidR="0006736D" w:rsidRPr="00F35716">
        <w:t> %</w:t>
      </w:r>
      <w:r w:rsidR="00EC3C86" w:rsidRPr="00F35716">
        <w:t xml:space="preserve"> (de 3,24 a 2,76 dírhams por tonelada y kilómetro).</w:t>
      </w:r>
      <w:r w:rsidR="00BD7E71" w:rsidRPr="00F35716">
        <w:t xml:space="preserve"> </w:t>
      </w:r>
    </w:p>
    <w:p w14:paraId="32E94646" w14:textId="62406D83" w:rsidR="00EC3C86" w:rsidRPr="00F35716" w:rsidRDefault="00EC3C86" w:rsidP="00B3192A">
      <w:pPr>
        <w:pStyle w:val="SingleTxt"/>
        <w:numPr>
          <w:ilvl w:val="0"/>
          <w:numId w:val="8"/>
        </w:numPr>
        <w:ind w:left="1267" w:firstLine="0"/>
      </w:pPr>
      <w:r w:rsidRPr="00F35716">
        <w:t xml:space="preserve">Durante 2015 se </w:t>
      </w:r>
      <w:r w:rsidR="004408EB" w:rsidRPr="00F35716">
        <w:t>elaboró</w:t>
      </w:r>
      <w:r w:rsidRPr="00F35716">
        <w:t xml:space="preserve"> un plan de acción integrado para financiar proyectos de infraestructura en comunidades </w:t>
      </w:r>
      <w:r w:rsidR="004408EB" w:rsidRPr="00F35716">
        <w:t xml:space="preserve">locales </w:t>
      </w:r>
      <w:r w:rsidRPr="00F35716">
        <w:t xml:space="preserve">y zonas remotas. </w:t>
      </w:r>
      <w:r w:rsidR="004408EB" w:rsidRPr="00F35716">
        <w:t>En el marco del Plan Nacional para el Desarrollo de las Zonas Rurales y Montañosas</w:t>
      </w:r>
      <w:r w:rsidRPr="00F35716">
        <w:t xml:space="preserve">, se </w:t>
      </w:r>
      <w:r w:rsidR="004408EB" w:rsidRPr="00F35716">
        <w:t xml:space="preserve">diseñó </w:t>
      </w:r>
      <w:r w:rsidRPr="00F35716">
        <w:t xml:space="preserve">un programa para reducir las </w:t>
      </w:r>
      <w:r w:rsidR="004408EB" w:rsidRPr="00F35716">
        <w:t>disparidades geográficas</w:t>
      </w:r>
      <w:r w:rsidRPr="00F35716">
        <w:t xml:space="preserve">. </w:t>
      </w:r>
      <w:r w:rsidR="004408EB" w:rsidRPr="00F35716">
        <w:t xml:space="preserve">Los </w:t>
      </w:r>
      <w:r w:rsidRPr="00F35716">
        <w:t xml:space="preserve">objetivos </w:t>
      </w:r>
      <w:r w:rsidR="004408EB" w:rsidRPr="00F35716">
        <w:t>del programa eran</w:t>
      </w:r>
      <w:r w:rsidRPr="00F35716">
        <w:t xml:space="preserve"> los siguientes: </w:t>
      </w:r>
    </w:p>
    <w:p w14:paraId="32E94647" w14:textId="77777777" w:rsidR="00EC3C86" w:rsidRPr="00F35716" w:rsidRDefault="00A6487D" w:rsidP="00A6487D">
      <w:pPr>
        <w:pStyle w:val="SingleTxt"/>
        <w:tabs>
          <w:tab w:val="right" w:pos="1685"/>
        </w:tabs>
        <w:ind w:left="1742" w:hanging="475"/>
      </w:pPr>
      <w:r w:rsidRPr="00F35716">
        <w:tab/>
        <w:t>–</w:t>
      </w:r>
      <w:r w:rsidRPr="00F35716">
        <w:tab/>
      </w:r>
      <w:r w:rsidR="00EC3C86" w:rsidRPr="00F35716">
        <w:t>Poner fin al aislamiento de las zonas remotas y montañosas mediante la construcción de carreteras, caminos y cruces.</w:t>
      </w:r>
    </w:p>
    <w:p w14:paraId="32E94648" w14:textId="5F036128" w:rsidR="00EC3C86" w:rsidRPr="00F35716" w:rsidRDefault="00A6487D" w:rsidP="00A6487D">
      <w:pPr>
        <w:pStyle w:val="SingleTxt"/>
        <w:tabs>
          <w:tab w:val="right" w:pos="1685"/>
        </w:tabs>
        <w:ind w:left="1742" w:hanging="475"/>
      </w:pPr>
      <w:r w:rsidRPr="00F35716">
        <w:tab/>
        <w:t>–</w:t>
      </w:r>
      <w:r w:rsidRPr="00F35716">
        <w:tab/>
      </w:r>
      <w:r w:rsidR="00EC3C86" w:rsidRPr="00F35716">
        <w:t xml:space="preserve">Mejorar </w:t>
      </w:r>
      <w:r w:rsidR="004408EB" w:rsidRPr="00F35716">
        <w:t>y universalizar</w:t>
      </w:r>
      <w:r w:rsidR="00EC3C86" w:rsidRPr="00F35716">
        <w:t xml:space="preserve"> el acceso de l</w:t>
      </w:r>
      <w:r w:rsidR="004408EB" w:rsidRPr="00F35716">
        <w:t>a</w:t>
      </w:r>
      <w:r w:rsidR="00EC3C86" w:rsidRPr="00F35716">
        <w:t xml:space="preserve"> </w:t>
      </w:r>
      <w:r w:rsidR="004408EB" w:rsidRPr="00F35716">
        <w:t>población</w:t>
      </w:r>
      <w:r w:rsidR="00EC3C86" w:rsidRPr="00F35716">
        <w:t xml:space="preserve"> rural a servicios básicos relacionados con la electricidad, el agua potable, la educación y la salud.</w:t>
      </w:r>
    </w:p>
    <w:p w14:paraId="32E94649" w14:textId="77777777" w:rsidR="00EC3C86" w:rsidRPr="00F35716" w:rsidRDefault="00A6487D" w:rsidP="00A6487D">
      <w:pPr>
        <w:pStyle w:val="SingleTxt"/>
        <w:tabs>
          <w:tab w:val="right" w:pos="1685"/>
        </w:tabs>
        <w:ind w:left="1742" w:hanging="475"/>
      </w:pPr>
      <w:r w:rsidRPr="00F35716">
        <w:tab/>
        <w:t>–</w:t>
      </w:r>
      <w:r w:rsidRPr="00F35716">
        <w:tab/>
      </w:r>
      <w:r w:rsidR="00EC3C86" w:rsidRPr="00F35716">
        <w:t>Crear las condiciones necesarias para mejorar y diversificar la capacidad económica de las zonas rurales y montañosas.</w:t>
      </w:r>
    </w:p>
    <w:p w14:paraId="32E9464A" w14:textId="42D52296" w:rsidR="00EC3C86" w:rsidRPr="00F35716" w:rsidRDefault="004408EB" w:rsidP="00A6487D">
      <w:pPr>
        <w:pStyle w:val="SingleTxt"/>
        <w:rPr>
          <w:szCs w:val="20"/>
        </w:rPr>
      </w:pPr>
      <w:r w:rsidRPr="00F35716">
        <w:rPr>
          <w:szCs w:val="20"/>
        </w:rPr>
        <w:t>L</w:t>
      </w:r>
      <w:r w:rsidR="00EC3C86" w:rsidRPr="00F35716">
        <w:rPr>
          <w:szCs w:val="20"/>
        </w:rPr>
        <w:t xml:space="preserve">a ejecución de este programa contará con una </w:t>
      </w:r>
      <w:r w:rsidRPr="00F35716">
        <w:rPr>
          <w:szCs w:val="20"/>
        </w:rPr>
        <w:t>dotación</w:t>
      </w:r>
      <w:r w:rsidR="00EC3C86" w:rsidRPr="00F35716">
        <w:rPr>
          <w:szCs w:val="20"/>
        </w:rPr>
        <w:t xml:space="preserve"> financiera de aproximadamente 50.000 millones de dírhams durante un período de siete años. Las instalaciones completadas gracias a este programa permitirán poner fin al aislamiento de 5.190 aldeas y que más de 6 millones de personas de 1.100 </w:t>
      </w:r>
      <w:r w:rsidRPr="00F35716">
        <w:rPr>
          <w:szCs w:val="20"/>
        </w:rPr>
        <w:t>comunidades</w:t>
      </w:r>
      <w:r w:rsidR="00EC3C86" w:rsidRPr="00F35716">
        <w:rPr>
          <w:szCs w:val="20"/>
        </w:rPr>
        <w:t xml:space="preserve"> </w:t>
      </w:r>
      <w:r w:rsidRPr="00F35716">
        <w:rPr>
          <w:szCs w:val="20"/>
        </w:rPr>
        <w:t xml:space="preserve">tengan acceso </w:t>
      </w:r>
      <w:r w:rsidR="00EC3C86" w:rsidRPr="00F35716">
        <w:rPr>
          <w:szCs w:val="20"/>
        </w:rPr>
        <w:t xml:space="preserve">a servicios de salud, educación, agua y electricidad. </w:t>
      </w:r>
    </w:p>
    <w:p w14:paraId="32E9464B" w14:textId="57462DA0" w:rsidR="00EC3C86" w:rsidRPr="00F35716" w:rsidRDefault="00EC3C86" w:rsidP="00B3192A">
      <w:pPr>
        <w:pStyle w:val="SingleTxt"/>
        <w:numPr>
          <w:ilvl w:val="0"/>
          <w:numId w:val="8"/>
        </w:numPr>
        <w:ind w:left="1267" w:firstLine="0"/>
      </w:pPr>
      <w:r w:rsidRPr="00F35716">
        <w:t xml:space="preserve">El Gobierno preparó el programa de </w:t>
      </w:r>
      <w:r w:rsidR="0060314B" w:rsidRPr="00F35716">
        <w:t>re</w:t>
      </w:r>
      <w:r w:rsidRPr="00F35716">
        <w:t xml:space="preserve">habilitación </w:t>
      </w:r>
      <w:r w:rsidR="0060314B" w:rsidRPr="00F35716">
        <w:t>local</w:t>
      </w:r>
      <w:r w:rsidRPr="00F35716">
        <w:t xml:space="preserve"> (2005-2011), con un costo de 2.500 millones de dírhams, con el que se cubrieron 2.313 kilómetros y se construyeron 90 instalaciones de tránsito, 68 de ellas aisladas, beneficiando así a 810.960 personas distribuidas entre 207 </w:t>
      </w:r>
      <w:r w:rsidR="0060314B" w:rsidRPr="00F35716">
        <w:t>comunidades</w:t>
      </w:r>
      <w:r w:rsidRPr="00F35716">
        <w:t xml:space="preserve"> locales pertenecientes a 22 regiones. Además, la tasa de acceso aument</w:t>
      </w:r>
      <w:r w:rsidR="0060314B" w:rsidRPr="00F35716">
        <w:t>ó del</w:t>
      </w:r>
      <w:r w:rsidRPr="00F35716">
        <w:t xml:space="preserve"> 50</w:t>
      </w:r>
      <w:r w:rsidR="0006736D" w:rsidRPr="00F35716">
        <w:t> %</w:t>
      </w:r>
      <w:r w:rsidRPr="00F35716">
        <w:t xml:space="preserve"> al 85</w:t>
      </w:r>
      <w:r w:rsidR="0006736D" w:rsidRPr="00F35716">
        <w:t> %</w:t>
      </w:r>
      <w:r w:rsidRPr="00F35716">
        <w:t xml:space="preserve"> después de completar el </w:t>
      </w:r>
      <w:r w:rsidR="0060314B" w:rsidRPr="00F35716">
        <w:t>S</w:t>
      </w:r>
      <w:r w:rsidRPr="00F35716">
        <w:t xml:space="preserve">egundo </w:t>
      </w:r>
      <w:r w:rsidR="0060314B" w:rsidRPr="00F35716">
        <w:t>P</w:t>
      </w:r>
      <w:r w:rsidRPr="00F35716">
        <w:t xml:space="preserve">rograma </w:t>
      </w:r>
      <w:r w:rsidR="0060314B" w:rsidRPr="00F35716">
        <w:t>N</w:t>
      </w:r>
      <w:r w:rsidRPr="00F35716">
        <w:t xml:space="preserve">acional de </w:t>
      </w:r>
      <w:r w:rsidR="0060314B" w:rsidRPr="00F35716">
        <w:t>C</w:t>
      </w:r>
      <w:r w:rsidRPr="00F35716">
        <w:t xml:space="preserve">aminos </w:t>
      </w:r>
      <w:r w:rsidR="0060314B" w:rsidRPr="00F35716">
        <w:t>R</w:t>
      </w:r>
      <w:r w:rsidRPr="00F35716">
        <w:t xml:space="preserve">urales y el programa de rehabilitación </w:t>
      </w:r>
      <w:r w:rsidR="0060314B" w:rsidRPr="00F35716">
        <w:t>local</w:t>
      </w:r>
      <w:r w:rsidRPr="00F35716">
        <w:t xml:space="preserve">. </w:t>
      </w:r>
    </w:p>
    <w:p w14:paraId="32E9464C" w14:textId="16FEDFC0" w:rsidR="00EC3C86" w:rsidRPr="00F35716" w:rsidRDefault="00EC3C86" w:rsidP="00B3192A">
      <w:pPr>
        <w:pStyle w:val="SingleTxt"/>
        <w:numPr>
          <w:ilvl w:val="0"/>
          <w:numId w:val="8"/>
        </w:numPr>
        <w:ind w:left="1267" w:firstLine="0"/>
      </w:pPr>
      <w:r w:rsidRPr="00F35716">
        <w:t xml:space="preserve">En aplicación de la Ley </w:t>
      </w:r>
      <w:r w:rsidR="0060314B" w:rsidRPr="00F35716">
        <w:t xml:space="preserve">Marco </w:t>
      </w:r>
      <w:r w:rsidRPr="00F35716">
        <w:t>núm. 34</w:t>
      </w:r>
      <w:r w:rsidR="0060314B" w:rsidRPr="00F35716">
        <w:t>-</w:t>
      </w:r>
      <w:r w:rsidRPr="00F35716">
        <w:t>09</w:t>
      </w:r>
      <w:r w:rsidR="0060314B" w:rsidRPr="00F35716">
        <w:t xml:space="preserve"> relativa al</w:t>
      </w:r>
      <w:r w:rsidRPr="00F35716">
        <w:t xml:space="preserve"> sistema de salud, se ha </w:t>
      </w:r>
      <w:r w:rsidR="0060314B" w:rsidRPr="00F35716">
        <w:t>ejecutado</w:t>
      </w:r>
      <w:r w:rsidRPr="00F35716">
        <w:t xml:space="preserve"> en zonas rurales un conjunto de programas</w:t>
      </w:r>
      <w:r w:rsidR="0060314B" w:rsidRPr="00F35716">
        <w:t>. Estos consisten en</w:t>
      </w:r>
      <w:r w:rsidRPr="00F35716">
        <w:t xml:space="preserve"> un plan de acción para acelerar la reducción de </w:t>
      </w:r>
      <w:r w:rsidR="00355628" w:rsidRPr="00F35716">
        <w:t xml:space="preserve">la </w:t>
      </w:r>
      <w:r w:rsidR="0060314B" w:rsidRPr="00F35716">
        <w:t>mortalidad</w:t>
      </w:r>
      <w:r w:rsidRPr="00F35716">
        <w:t xml:space="preserve"> materna</w:t>
      </w:r>
      <w:r w:rsidR="0060314B" w:rsidRPr="00F35716">
        <w:t xml:space="preserve"> y neonatal</w:t>
      </w:r>
      <w:r w:rsidRPr="00F35716">
        <w:t xml:space="preserve">; </w:t>
      </w:r>
      <w:r w:rsidR="0060314B" w:rsidRPr="00F35716">
        <w:t>un</w:t>
      </w:r>
      <w:r w:rsidRPr="00F35716">
        <w:t xml:space="preserve"> plan de acción </w:t>
      </w:r>
      <w:r w:rsidR="0060314B" w:rsidRPr="00F35716">
        <w:t>(</w:t>
      </w:r>
      <w:r w:rsidRPr="00F35716">
        <w:t>2011-2013</w:t>
      </w:r>
      <w:r w:rsidR="0060314B" w:rsidRPr="00F35716">
        <w:t>)</w:t>
      </w:r>
      <w:r w:rsidRPr="00F35716">
        <w:t xml:space="preserve"> para salvar las vidas de madres y niños</w:t>
      </w:r>
      <w:r w:rsidR="0060314B" w:rsidRPr="00F35716">
        <w:t>; un p</w:t>
      </w:r>
      <w:r w:rsidRPr="00F35716">
        <w:t xml:space="preserve">lan </w:t>
      </w:r>
      <w:r w:rsidR="0060314B" w:rsidRPr="00F35716">
        <w:t>n</w:t>
      </w:r>
      <w:r w:rsidRPr="00F35716">
        <w:t xml:space="preserve">acional de </w:t>
      </w:r>
      <w:r w:rsidR="0060314B" w:rsidRPr="00F35716">
        <w:t>s</w:t>
      </w:r>
      <w:r w:rsidRPr="00F35716">
        <w:t xml:space="preserve">alud </w:t>
      </w:r>
      <w:r w:rsidR="0060314B" w:rsidRPr="00F35716">
        <w:t>i</w:t>
      </w:r>
      <w:r w:rsidRPr="00F35716">
        <w:t>nfantil</w:t>
      </w:r>
      <w:r w:rsidR="0060314B" w:rsidRPr="00F35716">
        <w:t>; una e</w:t>
      </w:r>
      <w:r w:rsidRPr="00F35716">
        <w:t xml:space="preserve">strategia </w:t>
      </w:r>
      <w:r w:rsidR="0060314B" w:rsidRPr="00F35716">
        <w:t>n</w:t>
      </w:r>
      <w:r w:rsidRPr="00F35716">
        <w:t xml:space="preserve">acional de </w:t>
      </w:r>
      <w:r w:rsidR="0060314B" w:rsidRPr="00F35716">
        <w:t>n</w:t>
      </w:r>
      <w:r w:rsidRPr="00F35716">
        <w:t>utrición (2011-2019)</w:t>
      </w:r>
      <w:r w:rsidR="003F77A9" w:rsidRPr="00F35716">
        <w:t>; una e</w:t>
      </w:r>
      <w:r w:rsidRPr="00F35716">
        <w:t xml:space="preserve">strategia </w:t>
      </w:r>
      <w:r w:rsidR="003F77A9" w:rsidRPr="00F35716">
        <w:t>n</w:t>
      </w:r>
      <w:r w:rsidRPr="00F35716">
        <w:t xml:space="preserve">acional de </w:t>
      </w:r>
      <w:r w:rsidR="003F77A9" w:rsidRPr="00F35716">
        <w:t>s</w:t>
      </w:r>
      <w:r w:rsidRPr="00F35716">
        <w:t xml:space="preserve">alud </w:t>
      </w:r>
      <w:r w:rsidR="003F77A9" w:rsidRPr="00F35716">
        <w:t>r</w:t>
      </w:r>
      <w:r w:rsidRPr="00F35716">
        <w:t>eproductiva</w:t>
      </w:r>
      <w:r w:rsidR="003F77A9" w:rsidRPr="00F35716">
        <w:t>; y un</w:t>
      </w:r>
      <w:r w:rsidRPr="00F35716">
        <w:t xml:space="preserve"> </w:t>
      </w:r>
      <w:r w:rsidR="003F77A9" w:rsidRPr="00F35716">
        <w:t>p</w:t>
      </w:r>
      <w:r w:rsidRPr="00F35716">
        <w:t xml:space="preserve">lan de </w:t>
      </w:r>
      <w:r w:rsidR="003F77A9" w:rsidRPr="00F35716">
        <w:t>s</w:t>
      </w:r>
      <w:r w:rsidRPr="00F35716">
        <w:t xml:space="preserve">alud </w:t>
      </w:r>
      <w:r w:rsidR="003F77A9" w:rsidRPr="00F35716">
        <w:t>para las zonas rurales.</w:t>
      </w:r>
      <w:r w:rsidRPr="00F35716">
        <w:t xml:space="preserve"> </w:t>
      </w:r>
      <w:r w:rsidR="003F77A9" w:rsidRPr="00F35716">
        <w:t>También se ha mejorado el</w:t>
      </w:r>
      <w:r w:rsidRPr="00F35716">
        <w:t xml:space="preserve"> modelo móvil de cobertura sanitaria, y </w:t>
      </w:r>
      <w:r w:rsidR="003F77A9" w:rsidRPr="00F35716">
        <w:t xml:space="preserve">se puso en </w:t>
      </w:r>
      <w:r w:rsidRPr="00F35716">
        <w:t>marcha un</w:t>
      </w:r>
      <w:r w:rsidR="003F77A9" w:rsidRPr="00F35716">
        <w:t>a iniciativa</w:t>
      </w:r>
      <w:r w:rsidRPr="00F35716">
        <w:t xml:space="preserve"> de </w:t>
      </w:r>
      <w:r w:rsidR="00355628" w:rsidRPr="00F35716">
        <w:t>asistencia</w:t>
      </w:r>
      <w:r w:rsidRPr="00F35716">
        <w:t xml:space="preserve"> </w:t>
      </w:r>
      <w:r w:rsidR="00CD1BB2" w:rsidRPr="00F35716">
        <w:t xml:space="preserve">dirigida </w:t>
      </w:r>
      <w:r w:rsidRPr="00F35716">
        <w:t xml:space="preserve">a </w:t>
      </w:r>
      <w:r w:rsidR="003F77A9" w:rsidRPr="00F35716">
        <w:t xml:space="preserve">las regiones </w:t>
      </w:r>
      <w:r w:rsidRPr="00F35716">
        <w:t>afectad</w:t>
      </w:r>
      <w:r w:rsidR="003F77A9" w:rsidRPr="00F35716">
        <w:t>a</w:t>
      </w:r>
      <w:r w:rsidRPr="00F35716">
        <w:t xml:space="preserve">s por el cambio climático, especialmente por </w:t>
      </w:r>
      <w:r w:rsidR="003F77A9" w:rsidRPr="00F35716">
        <w:t>fuertes precipitaciones</w:t>
      </w:r>
      <w:r w:rsidRPr="00F35716">
        <w:rPr>
          <w:vertAlign w:val="superscript"/>
        </w:rPr>
        <w:footnoteReference w:id="94"/>
      </w:r>
      <w:r w:rsidRPr="00F35716">
        <w:t>.</w:t>
      </w:r>
    </w:p>
    <w:p w14:paraId="32E9464D" w14:textId="5F41A04C" w:rsidR="00EC3C86" w:rsidRPr="00F35716" w:rsidRDefault="003F77A9" w:rsidP="00520434">
      <w:pPr>
        <w:pStyle w:val="SingleTxt"/>
        <w:numPr>
          <w:ilvl w:val="0"/>
          <w:numId w:val="8"/>
        </w:numPr>
        <w:ind w:left="1267" w:firstLine="0"/>
      </w:pPr>
      <w:r w:rsidRPr="00F35716">
        <w:lastRenderedPageBreak/>
        <w:t>En relación con los párrafos</w:t>
      </w:r>
      <w:r w:rsidR="00EC3C86" w:rsidRPr="00F35716">
        <w:t xml:space="preserve"> 27 y 33</w:t>
      </w:r>
      <w:r w:rsidRPr="00F35716">
        <w:t xml:space="preserve"> de las observaciones finales</w:t>
      </w:r>
      <w:r w:rsidR="00EC3C86" w:rsidRPr="00F35716">
        <w:t xml:space="preserve">, se apoyó la escolarización de las niñas </w:t>
      </w:r>
      <w:r w:rsidRPr="00F35716">
        <w:t>de las zonas rurales</w:t>
      </w:r>
      <w:r w:rsidR="00EC3C86" w:rsidRPr="00F35716">
        <w:t xml:space="preserve"> amplia</w:t>
      </w:r>
      <w:r w:rsidRPr="00F35716">
        <w:t>ndo</w:t>
      </w:r>
      <w:r w:rsidR="00EC3C86" w:rsidRPr="00F35716">
        <w:t xml:space="preserve"> la oferta y los servicios de las instituciones de </w:t>
      </w:r>
      <w:r w:rsidR="008C6D8B" w:rsidRPr="00F35716">
        <w:t>asistencia</w:t>
      </w:r>
      <w:r w:rsidR="00EC3C86" w:rsidRPr="00F35716">
        <w:t xml:space="preserve"> social (</w:t>
      </w:r>
      <w:r w:rsidR="007E4F0E" w:rsidRPr="00F35716">
        <w:t>residencias y hogares</w:t>
      </w:r>
      <w:r w:rsidR="00712FBC" w:rsidRPr="00F35716">
        <w:t xml:space="preserve"> para mujeres estudiantes)</w:t>
      </w:r>
      <w:r w:rsidR="00EC3C86" w:rsidRPr="00F35716">
        <w:t xml:space="preserve">, que incluyen alimentación escolar, </w:t>
      </w:r>
      <w:r w:rsidR="00520434" w:rsidRPr="00F35716">
        <w:t>alojamiento</w:t>
      </w:r>
      <w:r w:rsidR="00EC3C86" w:rsidRPr="00F35716">
        <w:t>, clases</w:t>
      </w:r>
      <w:r w:rsidRPr="00F35716">
        <w:t>,</w:t>
      </w:r>
      <w:r w:rsidR="00EC3C86" w:rsidRPr="00F35716">
        <w:t xml:space="preserve"> apoyo escolar, campamentos de verano, actividades culturales y deportivas y servicios de apoyo psicológico. En 2014, el 45,08</w:t>
      </w:r>
      <w:r w:rsidR="0006736D" w:rsidRPr="00F35716">
        <w:t> %</w:t>
      </w:r>
      <w:r w:rsidR="00EC3C86" w:rsidRPr="00F35716">
        <w:t xml:space="preserve"> de los beneficiarios fueron niñas (46.675)</w:t>
      </w:r>
      <w:r w:rsidRPr="00F35716">
        <w:t>, cuya</w:t>
      </w:r>
      <w:r w:rsidR="00EC3C86" w:rsidRPr="00F35716">
        <w:t xml:space="preserve"> tasa de éxito escolar fue del</w:t>
      </w:r>
      <w:r w:rsidR="009A1F00" w:rsidRPr="00F35716">
        <w:t> </w:t>
      </w:r>
      <w:r w:rsidR="00EC3C86" w:rsidRPr="00F35716">
        <w:t>80</w:t>
      </w:r>
      <w:r w:rsidR="0006736D" w:rsidRPr="00F35716">
        <w:t> %</w:t>
      </w:r>
      <w:r w:rsidR="00EC3C86" w:rsidRPr="00F35716">
        <w:t>.</w:t>
      </w:r>
    </w:p>
    <w:p w14:paraId="32E9464E" w14:textId="5A0D875E" w:rsidR="00EC3C86" w:rsidRPr="00F35716" w:rsidRDefault="00EC3C86" w:rsidP="00B3192A">
      <w:pPr>
        <w:pStyle w:val="SingleTxt"/>
        <w:numPr>
          <w:ilvl w:val="0"/>
          <w:numId w:val="8"/>
        </w:numPr>
        <w:ind w:left="1267" w:firstLine="0"/>
      </w:pPr>
      <w:r w:rsidRPr="00F35716">
        <w:t xml:space="preserve">Numerosas cooperativas </w:t>
      </w:r>
      <w:r w:rsidR="00712FBC" w:rsidRPr="00F35716">
        <w:t xml:space="preserve">de mujeres </w:t>
      </w:r>
      <w:r w:rsidRPr="00F35716">
        <w:t>en las esferas de la agricultura, la artesanía y el turismo han recibido apoyo y experimentado un notable aumento, pues pasaron de 738 en 2008 a 2.021 en 2014 (el 14,6</w:t>
      </w:r>
      <w:r w:rsidR="0006736D" w:rsidRPr="00F35716">
        <w:t> %</w:t>
      </w:r>
      <w:r w:rsidRPr="00F35716">
        <w:t xml:space="preserve"> de todas las existentes). En 2016 contaban con un total de 34.877 colaboradoras repartidas entre los ámbitos de la agricultura (12.662), la artesanía (12.482) y la </w:t>
      </w:r>
      <w:r w:rsidR="00712FBC" w:rsidRPr="00F35716">
        <w:t xml:space="preserve">plantación </w:t>
      </w:r>
      <w:r w:rsidRPr="00F35716">
        <w:t>de árbol</w:t>
      </w:r>
      <w:r w:rsidR="00712FBC" w:rsidRPr="00F35716">
        <w:t>es</w:t>
      </w:r>
      <w:r w:rsidRPr="00F35716">
        <w:t xml:space="preserve"> de argán (6.860).</w:t>
      </w:r>
    </w:p>
    <w:p w14:paraId="32E9464F" w14:textId="05943FA3" w:rsidR="00EC3C86" w:rsidRPr="00F35716" w:rsidRDefault="00EC3C86" w:rsidP="00B3192A">
      <w:pPr>
        <w:pStyle w:val="SingleTxt"/>
        <w:numPr>
          <w:ilvl w:val="0"/>
          <w:numId w:val="8"/>
        </w:numPr>
        <w:ind w:left="1267" w:firstLine="0"/>
      </w:pPr>
      <w:r w:rsidRPr="00F35716">
        <w:t>Con respecto a</w:t>
      </w:r>
      <w:r w:rsidR="00712FBC" w:rsidRPr="00F35716">
        <w:t xml:space="preserve"> </w:t>
      </w:r>
      <w:r w:rsidRPr="00F35716">
        <w:t>l</w:t>
      </w:r>
      <w:r w:rsidR="00712FBC" w:rsidRPr="00F35716">
        <w:t>a</w:t>
      </w:r>
      <w:r w:rsidRPr="00F35716">
        <w:t xml:space="preserve"> agr</w:t>
      </w:r>
      <w:r w:rsidR="00712FBC" w:rsidRPr="00F35716">
        <w:t>icultura</w:t>
      </w:r>
      <w:r w:rsidRPr="00F35716">
        <w:rPr>
          <w:vertAlign w:val="superscript"/>
        </w:rPr>
        <w:footnoteReference w:id="95"/>
      </w:r>
      <w:r w:rsidRPr="00F35716">
        <w:t>, el Plan Marruecos Verde otorg</w:t>
      </w:r>
      <w:r w:rsidR="00712FBC" w:rsidRPr="00F35716">
        <w:t>a</w:t>
      </w:r>
      <w:r w:rsidRPr="00F35716">
        <w:t xml:space="preserve"> especial importancia a las mujeres rurales al establecer políticas integrales de desarrollo </w:t>
      </w:r>
      <w:r w:rsidR="00712FBC" w:rsidRPr="00F35716">
        <w:t>que tienen por objeto</w:t>
      </w:r>
      <w:r w:rsidRPr="00F35716">
        <w:t xml:space="preserve"> reducir las brechas entre los </w:t>
      </w:r>
      <w:r w:rsidR="00AE5042" w:rsidRPr="00F35716">
        <w:t xml:space="preserve">géneros </w:t>
      </w:r>
      <w:r w:rsidRPr="00F35716">
        <w:t>y garantizar la igualdad de oportunidades para</w:t>
      </w:r>
      <w:r w:rsidR="00712FBC" w:rsidRPr="00F35716">
        <w:t xml:space="preserve"> que</w:t>
      </w:r>
      <w:r w:rsidRPr="00F35716">
        <w:t xml:space="preserve"> las mujeres </w:t>
      </w:r>
      <w:r w:rsidR="00AE5042" w:rsidRPr="00F35716">
        <w:t>puedan participar en</w:t>
      </w:r>
      <w:r w:rsidRPr="00F35716">
        <w:t xml:space="preserve"> programas de desarrollo agrícola e incorporar en ellos una perspectiva de género.</w:t>
      </w:r>
    </w:p>
    <w:p w14:paraId="32E94650" w14:textId="235A112E" w:rsidR="00EC3C86" w:rsidRPr="00F35716" w:rsidRDefault="00EC3C86" w:rsidP="00B3192A">
      <w:pPr>
        <w:pStyle w:val="SingleTxt"/>
        <w:numPr>
          <w:ilvl w:val="0"/>
          <w:numId w:val="8"/>
        </w:numPr>
        <w:ind w:left="1267" w:firstLine="0"/>
      </w:pPr>
      <w:r w:rsidRPr="00F35716">
        <w:t xml:space="preserve">En el contexto del empoderamiento socioeconómico de las mujeres, el sector </w:t>
      </w:r>
      <w:r w:rsidR="00AE5042" w:rsidRPr="00F35716">
        <w:t xml:space="preserve">competente </w:t>
      </w:r>
      <w:r w:rsidRPr="00F35716">
        <w:t>se preocupa por:</w:t>
      </w:r>
    </w:p>
    <w:p w14:paraId="32E94651" w14:textId="08569763" w:rsidR="00EC3C86" w:rsidRPr="00F35716" w:rsidRDefault="001F3D69" w:rsidP="001F3D69">
      <w:pPr>
        <w:pStyle w:val="SingleTxt"/>
        <w:tabs>
          <w:tab w:val="right" w:pos="1685"/>
        </w:tabs>
        <w:ind w:left="1742" w:hanging="475"/>
      </w:pPr>
      <w:r w:rsidRPr="00F35716">
        <w:tab/>
        <w:t>–</w:t>
      </w:r>
      <w:r w:rsidRPr="00F35716">
        <w:tab/>
      </w:r>
      <w:r w:rsidR="00EC3C86" w:rsidRPr="00F35716">
        <w:t xml:space="preserve">Desarrollar herramientas y mecanismos </w:t>
      </w:r>
      <w:r w:rsidR="00AE5042" w:rsidRPr="00F35716">
        <w:t>operacionales</w:t>
      </w:r>
      <w:r w:rsidR="00EC3C86" w:rsidRPr="00F35716">
        <w:t xml:space="preserve"> para </w:t>
      </w:r>
      <w:r w:rsidR="00AE5042" w:rsidRPr="00F35716">
        <w:t xml:space="preserve">estimular </w:t>
      </w:r>
      <w:r w:rsidR="00EC3C86" w:rsidRPr="00F35716">
        <w:t xml:space="preserve">el </w:t>
      </w:r>
      <w:r w:rsidR="00AE5042" w:rsidRPr="00F35716">
        <w:t>emprendimiento y la</w:t>
      </w:r>
      <w:r w:rsidR="00EC3C86" w:rsidRPr="00F35716">
        <w:t xml:space="preserve"> inversión y fomentar la creación de empresa</w:t>
      </w:r>
      <w:r w:rsidR="00AE5042" w:rsidRPr="00F35716">
        <w:t>s</w:t>
      </w:r>
      <w:r w:rsidR="00EC3C86" w:rsidRPr="00F35716">
        <w:t xml:space="preserve"> agrícola</w:t>
      </w:r>
      <w:r w:rsidR="00AE5042" w:rsidRPr="00F35716">
        <w:t>s de mujeres</w:t>
      </w:r>
      <w:r w:rsidR="00EC3C86" w:rsidRPr="00F35716">
        <w:t xml:space="preserve"> a través de los proyectos del segundo pilar del Plan Marruecos Verde.</w:t>
      </w:r>
    </w:p>
    <w:p w14:paraId="32E94652" w14:textId="091153B0" w:rsidR="00EC3C86" w:rsidRPr="00F35716" w:rsidRDefault="001F3D69" w:rsidP="001F3D69">
      <w:pPr>
        <w:pStyle w:val="SingleTxt"/>
        <w:tabs>
          <w:tab w:val="right" w:pos="1685"/>
        </w:tabs>
        <w:ind w:left="1742" w:hanging="475"/>
      </w:pPr>
      <w:r w:rsidRPr="00F35716">
        <w:tab/>
        <w:t>–</w:t>
      </w:r>
      <w:r w:rsidRPr="00F35716">
        <w:tab/>
      </w:r>
      <w:r w:rsidR="00EC3C86" w:rsidRPr="00F35716">
        <w:t xml:space="preserve">Adoptar </w:t>
      </w:r>
      <w:r w:rsidR="00B33C43" w:rsidRPr="00F35716">
        <w:t>un</w:t>
      </w:r>
      <w:r w:rsidR="00EC3C86" w:rsidRPr="00F35716">
        <w:t>a guía</w:t>
      </w:r>
      <w:r w:rsidR="00B33C43" w:rsidRPr="00F35716">
        <w:t xml:space="preserve"> de prioridades</w:t>
      </w:r>
      <w:r w:rsidR="00EC3C86" w:rsidRPr="00F35716">
        <w:t xml:space="preserve"> para proyectos agrícolas solidarios e incluir en ella normas relacionadas con el género, </w:t>
      </w:r>
      <w:r w:rsidR="00B33C43" w:rsidRPr="00F35716">
        <w:t>y, desde 2017, ha aplicado el indicador</w:t>
      </w:r>
      <w:r w:rsidR="00EC3C86" w:rsidRPr="00F35716">
        <w:t xml:space="preserve"> de perspectiva de género en el marco de</w:t>
      </w:r>
      <w:r w:rsidR="00B33C43" w:rsidRPr="00F35716">
        <w:t xml:space="preserve"> un</w:t>
      </w:r>
      <w:r w:rsidR="00EC3C86" w:rsidRPr="00F35716">
        <w:t xml:space="preserve"> programa de apoyo a la política del sector agrícola</w:t>
      </w:r>
      <w:r w:rsidR="00365EC7" w:rsidRPr="00F35716">
        <w:t> </w:t>
      </w:r>
      <w:r w:rsidR="00EC3C86" w:rsidRPr="00F35716">
        <w:t xml:space="preserve">por parte de la Unión Europea. Este indicador </w:t>
      </w:r>
      <w:r w:rsidR="00B33C43" w:rsidRPr="00F35716">
        <w:t>promueve</w:t>
      </w:r>
      <w:r w:rsidR="00EC3C86" w:rsidRPr="00F35716">
        <w:t xml:space="preserve"> la representación de las mujeres en las estructuras </w:t>
      </w:r>
      <w:r w:rsidR="00B33C43" w:rsidRPr="00F35716">
        <w:t xml:space="preserve">jerárquicas </w:t>
      </w:r>
      <w:r w:rsidR="00EC3C86" w:rsidRPr="00F35716">
        <w:t>de las organizaciones profesionales.</w:t>
      </w:r>
      <w:r w:rsidR="00BD7E71" w:rsidRPr="00F35716">
        <w:t xml:space="preserve"> </w:t>
      </w:r>
    </w:p>
    <w:p w14:paraId="32E94653" w14:textId="6D9C1CC1" w:rsidR="00EC3C86" w:rsidRPr="00F35716" w:rsidRDefault="001F3D69" w:rsidP="001F3D69">
      <w:pPr>
        <w:pStyle w:val="SingleTxt"/>
        <w:tabs>
          <w:tab w:val="right" w:pos="1685"/>
        </w:tabs>
        <w:ind w:left="1742" w:hanging="475"/>
      </w:pPr>
      <w:r w:rsidRPr="00F35716">
        <w:tab/>
        <w:t>–</w:t>
      </w:r>
      <w:r w:rsidRPr="00F35716">
        <w:tab/>
      </w:r>
      <w:r w:rsidR="009733C9" w:rsidRPr="00F35716">
        <w:t xml:space="preserve">Promover </w:t>
      </w:r>
      <w:r w:rsidR="00EC3C86" w:rsidRPr="00F35716">
        <w:t xml:space="preserve">servicios de asesoría </w:t>
      </w:r>
      <w:r w:rsidR="00B33C43" w:rsidRPr="00F35716">
        <w:t>agrícola</w:t>
      </w:r>
      <w:r w:rsidR="00EC3C86" w:rsidRPr="00F35716">
        <w:t xml:space="preserve"> dirigida a mujeres rurales (</w:t>
      </w:r>
      <w:r w:rsidR="00B33C43" w:rsidRPr="00F35716">
        <w:t>prestando asistencia permanente</w:t>
      </w:r>
      <w:r w:rsidR="00EC3C86" w:rsidRPr="00F35716">
        <w:t xml:space="preserve"> a 217.567 mujeres).</w:t>
      </w:r>
    </w:p>
    <w:p w14:paraId="32E94654" w14:textId="532B83D2" w:rsidR="00EC3C86" w:rsidRPr="00F35716" w:rsidRDefault="001F3D69" w:rsidP="001F3D69">
      <w:pPr>
        <w:pStyle w:val="SingleTxt"/>
        <w:tabs>
          <w:tab w:val="right" w:pos="1685"/>
        </w:tabs>
        <w:ind w:left="1742" w:hanging="475"/>
      </w:pPr>
      <w:r w:rsidRPr="00F35716">
        <w:tab/>
        <w:t>–</w:t>
      </w:r>
      <w:r w:rsidRPr="00F35716">
        <w:tab/>
      </w:r>
      <w:r w:rsidR="00EC3C86" w:rsidRPr="00F35716">
        <w:t xml:space="preserve">Fomentar y mantener el ritmo de la organización profesional agrícola de mujeres (1.410 cooperativas agrícolas femeninas y </w:t>
      </w:r>
      <w:r w:rsidR="009733C9" w:rsidRPr="00F35716">
        <w:t xml:space="preserve">de </w:t>
      </w:r>
      <w:r w:rsidR="00EC3C86" w:rsidRPr="00F35716">
        <w:t>argán con un 25</w:t>
      </w:r>
      <w:r w:rsidR="0006736D" w:rsidRPr="00F35716">
        <w:t> %</w:t>
      </w:r>
      <w:r w:rsidR="00EC3C86" w:rsidRPr="00F35716">
        <w:t>).</w:t>
      </w:r>
    </w:p>
    <w:p w14:paraId="32E94655" w14:textId="540F15A9" w:rsidR="00EC3C86" w:rsidRPr="00F35716" w:rsidRDefault="001F3D69" w:rsidP="001F3D69">
      <w:pPr>
        <w:pStyle w:val="SingleTxt"/>
        <w:tabs>
          <w:tab w:val="right" w:pos="1685"/>
        </w:tabs>
        <w:ind w:left="1742" w:hanging="475"/>
      </w:pPr>
      <w:r w:rsidRPr="00F35716">
        <w:tab/>
        <w:t>–</w:t>
      </w:r>
      <w:r w:rsidRPr="00F35716">
        <w:tab/>
      </w:r>
      <w:r w:rsidR="00EC3C86" w:rsidRPr="00F35716">
        <w:t xml:space="preserve">Apoyar la valoración, comercialización y </w:t>
      </w:r>
      <w:r w:rsidR="009733C9" w:rsidRPr="00F35716">
        <w:t xml:space="preserve">distribución </w:t>
      </w:r>
      <w:r w:rsidR="00EC3C86" w:rsidRPr="00F35716">
        <w:t xml:space="preserve">de productos </w:t>
      </w:r>
      <w:r w:rsidR="009733C9" w:rsidRPr="00F35716">
        <w:t xml:space="preserve">de </w:t>
      </w:r>
      <w:r w:rsidR="00EC3C86" w:rsidRPr="00F35716">
        <w:t>cooperativ</w:t>
      </w:r>
      <w:r w:rsidR="009733C9" w:rsidRPr="00F35716">
        <w:t>a</w:t>
      </w:r>
      <w:r w:rsidR="00EC3C86" w:rsidRPr="00F35716">
        <w:t>s</w:t>
      </w:r>
      <w:r w:rsidR="009733C9" w:rsidRPr="00F35716">
        <w:t xml:space="preserve"> agrícolas</w:t>
      </w:r>
      <w:r w:rsidR="00EC3C86" w:rsidRPr="00F35716">
        <w:t xml:space="preserve"> y el acceso a ferias regionales, nacionales e internacionales (más de 8.000 mujeres beneficiarias)</w:t>
      </w:r>
      <w:r w:rsidR="009733C9" w:rsidRPr="00F35716">
        <w:t>. C</w:t>
      </w:r>
      <w:r w:rsidR="00EC3C86" w:rsidRPr="00F35716">
        <w:t>rear estaciones para comercializar productos en algunas regiones del Reino</w:t>
      </w:r>
      <w:r w:rsidR="009733C9" w:rsidRPr="00F35716">
        <w:t>. Organizar</w:t>
      </w:r>
      <w:r w:rsidR="00EC3C86" w:rsidRPr="00F35716">
        <w:t xml:space="preserve"> a</w:t>
      </w:r>
      <w:r w:rsidR="009733C9" w:rsidRPr="00F35716">
        <w:t>lianzas</w:t>
      </w:r>
      <w:r w:rsidR="00EC3C86" w:rsidRPr="00F35716">
        <w:t xml:space="preserve"> regionales con </w:t>
      </w:r>
      <w:r w:rsidR="009733C9" w:rsidRPr="00F35716">
        <w:t>grandes</w:t>
      </w:r>
      <w:r w:rsidR="00EC3C86" w:rsidRPr="00F35716">
        <w:t xml:space="preserve"> espacios comerciales</w:t>
      </w:r>
      <w:r w:rsidR="009733C9" w:rsidRPr="00F35716">
        <w:t xml:space="preserve">. Además, ha </w:t>
      </w:r>
      <w:r w:rsidR="00EC3C86" w:rsidRPr="00F35716">
        <w:t>establec</w:t>
      </w:r>
      <w:r w:rsidR="009733C9" w:rsidRPr="00F35716">
        <w:t>ido</w:t>
      </w:r>
      <w:r w:rsidR="00EC3C86" w:rsidRPr="00F35716">
        <w:t xml:space="preserve"> ocho sitios de venta </w:t>
      </w:r>
      <w:r w:rsidR="009733C9" w:rsidRPr="00F35716">
        <w:t xml:space="preserve">de productos </w:t>
      </w:r>
      <w:r w:rsidR="00EC3C86" w:rsidRPr="00F35716">
        <w:t>a través de Internet</w:t>
      </w:r>
      <w:r w:rsidR="00FE5BDF" w:rsidRPr="00F35716">
        <w:t xml:space="preserve"> y ha prestad</w:t>
      </w:r>
      <w:r w:rsidR="005D0949" w:rsidRPr="00F35716">
        <w:t>o</w:t>
      </w:r>
      <w:r w:rsidR="00FE5BDF" w:rsidRPr="00F35716">
        <w:t xml:space="preserve"> servicios de programación</w:t>
      </w:r>
      <w:r w:rsidR="00EC3C86" w:rsidRPr="00F35716">
        <w:t xml:space="preserve"> </w:t>
      </w:r>
      <w:r w:rsidR="00FE5BDF" w:rsidRPr="00F35716">
        <w:t>a</w:t>
      </w:r>
      <w:r w:rsidR="00EC3C86" w:rsidRPr="00F35716">
        <w:t xml:space="preserve"> 34 grupos encabezados por mujeres.</w:t>
      </w:r>
    </w:p>
    <w:p w14:paraId="32E94656" w14:textId="77777777" w:rsidR="00EC3C86" w:rsidRPr="00F35716" w:rsidRDefault="001F3D69" w:rsidP="001F3D69">
      <w:pPr>
        <w:pStyle w:val="SingleTxt"/>
        <w:tabs>
          <w:tab w:val="right" w:pos="1685"/>
        </w:tabs>
        <w:ind w:left="1742" w:hanging="475"/>
      </w:pPr>
      <w:r w:rsidRPr="00F35716">
        <w:tab/>
        <w:t>–</w:t>
      </w:r>
      <w:r w:rsidRPr="00F35716">
        <w:tab/>
      </w:r>
      <w:r w:rsidR="00EC3C86" w:rsidRPr="00F35716">
        <w:t>Atender al 52</w:t>
      </w:r>
      <w:r w:rsidR="0006736D" w:rsidRPr="00F35716">
        <w:t> %</w:t>
      </w:r>
      <w:r w:rsidR="00EC3C86" w:rsidRPr="00F35716">
        <w:t xml:space="preserve"> de las mujeres que se benefician de proyectos en las regiones de Argán y Al Waha.</w:t>
      </w:r>
    </w:p>
    <w:p w14:paraId="32E94657" w14:textId="68EEFD6D" w:rsidR="00EC3C86" w:rsidRPr="00F35716" w:rsidRDefault="001F3D69" w:rsidP="001F3D69">
      <w:pPr>
        <w:pStyle w:val="SingleTxt"/>
        <w:tabs>
          <w:tab w:val="right" w:pos="1685"/>
        </w:tabs>
        <w:ind w:left="1742" w:hanging="475"/>
      </w:pPr>
      <w:r w:rsidRPr="00F35716">
        <w:tab/>
        <w:t>–</w:t>
      </w:r>
      <w:r w:rsidRPr="00F35716">
        <w:tab/>
      </w:r>
      <w:r w:rsidR="00EC3C86" w:rsidRPr="00F35716">
        <w:t xml:space="preserve">Transmitir 31 programas de radio y anuncios para sensibilizar sobre </w:t>
      </w:r>
      <w:r w:rsidR="006E25B2" w:rsidRPr="00F35716">
        <w:t>las cuestiones de</w:t>
      </w:r>
      <w:r w:rsidR="00EC3C86" w:rsidRPr="00F35716">
        <w:t xml:space="preserve"> género.</w:t>
      </w:r>
    </w:p>
    <w:p w14:paraId="32E94658" w14:textId="337D2DCB" w:rsidR="00EC3C86" w:rsidRPr="00F35716" w:rsidRDefault="001F3D69" w:rsidP="001F3D69">
      <w:pPr>
        <w:pStyle w:val="SingleTxt"/>
        <w:tabs>
          <w:tab w:val="right" w:pos="1685"/>
        </w:tabs>
        <w:ind w:left="1742" w:hanging="475"/>
      </w:pPr>
      <w:r w:rsidRPr="00F35716">
        <w:tab/>
        <w:t>–</w:t>
      </w:r>
      <w:r w:rsidRPr="00F35716">
        <w:tab/>
      </w:r>
      <w:r w:rsidR="00EC3C86" w:rsidRPr="00F35716">
        <w:t>De un total de 883 créditos otorgados (8,5</w:t>
      </w:r>
      <w:r w:rsidR="0006736D" w:rsidRPr="00F35716">
        <w:t> %</w:t>
      </w:r>
      <w:r w:rsidR="00EC3C86" w:rsidRPr="00F35716">
        <w:t xml:space="preserve">), 75 mujeres se beneficiaron de la acreditación para el desempeño de la asesoría </w:t>
      </w:r>
      <w:r w:rsidR="006E25B2" w:rsidRPr="00F35716">
        <w:t>agrícola</w:t>
      </w:r>
      <w:r w:rsidR="00EC3C86" w:rsidRPr="00F35716">
        <w:t>.</w:t>
      </w:r>
    </w:p>
    <w:p w14:paraId="32E94659" w14:textId="4E0B4FA6" w:rsidR="00EC3C86" w:rsidRPr="00F35716" w:rsidRDefault="00EC3C86" w:rsidP="00B3192A">
      <w:pPr>
        <w:pStyle w:val="SingleTxt"/>
        <w:numPr>
          <w:ilvl w:val="0"/>
          <w:numId w:val="8"/>
        </w:numPr>
        <w:ind w:left="1267" w:firstLine="0"/>
      </w:pPr>
      <w:r w:rsidRPr="00F35716">
        <w:lastRenderedPageBreak/>
        <w:t xml:space="preserve">En el marco de la visión estratégica </w:t>
      </w:r>
      <w:r w:rsidR="006E25B2" w:rsidRPr="00F35716">
        <w:t xml:space="preserve">para </w:t>
      </w:r>
      <w:r w:rsidRPr="00F35716">
        <w:t xml:space="preserve">la </w:t>
      </w:r>
      <w:r w:rsidR="006E25B2" w:rsidRPr="00F35716">
        <w:t>integración de la diversidad</w:t>
      </w:r>
      <w:r w:rsidRPr="00F35716">
        <w:t xml:space="preserve"> en el sector agrícola, también se han desarroll</w:t>
      </w:r>
      <w:r w:rsidR="008C0BC4" w:rsidRPr="00F35716">
        <w:t>ado las siguientes actividades:</w:t>
      </w:r>
    </w:p>
    <w:p w14:paraId="32E9465A" w14:textId="22FB7F94" w:rsidR="00EC3C86" w:rsidRPr="00F35716" w:rsidRDefault="001F3D69" w:rsidP="001F3D69">
      <w:pPr>
        <w:pStyle w:val="SingleTxt"/>
        <w:tabs>
          <w:tab w:val="right" w:pos="1685"/>
        </w:tabs>
        <w:ind w:left="1742" w:hanging="475"/>
      </w:pPr>
      <w:r w:rsidRPr="00F35716">
        <w:tab/>
        <w:t>–</w:t>
      </w:r>
      <w:r w:rsidRPr="00F35716">
        <w:tab/>
      </w:r>
      <w:r w:rsidR="00EC3C86" w:rsidRPr="00F35716">
        <w:t xml:space="preserve">Se ha realizado un estudio sobre el </w:t>
      </w:r>
      <w:r w:rsidR="006E25B2" w:rsidRPr="00F35716">
        <w:t xml:space="preserve">progreso </w:t>
      </w:r>
      <w:r w:rsidR="00EC3C86" w:rsidRPr="00F35716">
        <w:t>de la</w:t>
      </w:r>
      <w:r w:rsidR="006E25B2" w:rsidRPr="00F35716">
        <w:t>s</w:t>
      </w:r>
      <w:r w:rsidR="00EC3C86" w:rsidRPr="00F35716">
        <w:t xml:space="preserve"> empresa</w:t>
      </w:r>
      <w:r w:rsidR="006E25B2" w:rsidRPr="00F35716">
        <w:t>s</w:t>
      </w:r>
      <w:r w:rsidR="00EC3C86" w:rsidRPr="00F35716">
        <w:t xml:space="preserve"> agrícola</w:t>
      </w:r>
      <w:r w:rsidR="006E25B2" w:rsidRPr="00F35716">
        <w:t>s</w:t>
      </w:r>
      <w:r w:rsidR="00EC3C86" w:rsidRPr="00F35716">
        <w:t xml:space="preserve"> femenina en</w:t>
      </w:r>
      <w:r w:rsidR="00F2649F" w:rsidRPr="00F35716">
        <w:t> </w:t>
      </w:r>
      <w:r w:rsidR="00EC3C86" w:rsidRPr="00F35716">
        <w:t>Marruecos.</w:t>
      </w:r>
    </w:p>
    <w:p w14:paraId="32E9465B" w14:textId="1718EF88" w:rsidR="00EC3C86" w:rsidRPr="00F35716" w:rsidRDefault="001F3D69" w:rsidP="001F3D69">
      <w:pPr>
        <w:pStyle w:val="SingleTxt"/>
        <w:tabs>
          <w:tab w:val="right" w:pos="1685"/>
        </w:tabs>
        <w:ind w:left="1742" w:hanging="475"/>
      </w:pPr>
      <w:r w:rsidRPr="00F35716">
        <w:tab/>
        <w:t>–</w:t>
      </w:r>
      <w:r w:rsidRPr="00F35716">
        <w:tab/>
      </w:r>
      <w:r w:rsidR="00EC3C86" w:rsidRPr="00F35716">
        <w:t xml:space="preserve">Se ha </w:t>
      </w:r>
      <w:r w:rsidR="006E25B2" w:rsidRPr="00F35716">
        <w:t xml:space="preserve">reformado </w:t>
      </w:r>
      <w:r w:rsidR="00EC3C86" w:rsidRPr="00F35716">
        <w:t xml:space="preserve">el sistema de educación y capacitación agrícola sobre la base de la </w:t>
      </w:r>
      <w:r w:rsidR="006E25B2" w:rsidRPr="00F35716">
        <w:t>paridad</w:t>
      </w:r>
      <w:r w:rsidR="00EC3C86" w:rsidRPr="00F35716">
        <w:t xml:space="preserve"> y la igualdad, </w:t>
      </w:r>
      <w:r w:rsidR="005D0949" w:rsidRPr="00F35716">
        <w:t>consolidando al mismo tiempo</w:t>
      </w:r>
      <w:r w:rsidR="00EC3C86" w:rsidRPr="00F35716">
        <w:t xml:space="preserve"> la cultura de</w:t>
      </w:r>
      <w:r w:rsidR="006E25B2" w:rsidRPr="00F35716">
        <w:t>l emprendimiento</w:t>
      </w:r>
      <w:r w:rsidR="00EC3C86" w:rsidRPr="00F35716">
        <w:t xml:space="preserve"> agrícola. </w:t>
      </w:r>
    </w:p>
    <w:p w14:paraId="32E9465C" w14:textId="7D11230D" w:rsidR="00EC3C86" w:rsidRPr="00F35716" w:rsidRDefault="001F3D69" w:rsidP="001F3D69">
      <w:pPr>
        <w:pStyle w:val="SingleTxt"/>
        <w:tabs>
          <w:tab w:val="right" w:pos="1685"/>
        </w:tabs>
        <w:ind w:left="1742" w:hanging="475"/>
      </w:pPr>
      <w:r w:rsidRPr="00F35716">
        <w:tab/>
        <w:t>–</w:t>
      </w:r>
      <w:r w:rsidRPr="00F35716">
        <w:tab/>
      </w:r>
      <w:r w:rsidR="00EC3C86" w:rsidRPr="00F35716">
        <w:t xml:space="preserve">Se han impartido cursos de formación para </w:t>
      </w:r>
      <w:r w:rsidR="006E25B2" w:rsidRPr="00F35716">
        <w:t>coordinadores ministeriales</w:t>
      </w:r>
      <w:r w:rsidR="00EC3C86" w:rsidRPr="00F35716">
        <w:t xml:space="preserve"> con </w:t>
      </w:r>
      <w:r w:rsidR="006E25B2" w:rsidRPr="00F35716">
        <w:t>vistas al fortalecimiento</w:t>
      </w:r>
      <w:r w:rsidR="00EC3C86" w:rsidRPr="00F35716">
        <w:t xml:space="preserve"> de</w:t>
      </w:r>
      <w:r w:rsidR="006E25B2" w:rsidRPr="00F35716">
        <w:t xml:space="preserve"> sus</w:t>
      </w:r>
      <w:r w:rsidR="00EC3C86" w:rsidRPr="00F35716">
        <w:t xml:space="preserve"> capacidades y </w:t>
      </w:r>
      <w:r w:rsidR="006E25B2" w:rsidRPr="00F35716">
        <w:t>la adquisición de</w:t>
      </w:r>
      <w:r w:rsidR="00EC3C86" w:rsidRPr="00F35716">
        <w:t xml:space="preserve"> las herramientas necesarias para integrar </w:t>
      </w:r>
      <w:r w:rsidR="006E25B2" w:rsidRPr="00F35716">
        <w:t>la perspectiva de</w:t>
      </w:r>
      <w:r w:rsidR="00EC3C86" w:rsidRPr="00F35716">
        <w:t xml:space="preserve"> género en los programas y proyectos de desarrollo de cadenas de producción agrícola.</w:t>
      </w:r>
    </w:p>
    <w:p w14:paraId="32E9465D" w14:textId="489AECAF" w:rsidR="00EC3C86" w:rsidRPr="00F35716" w:rsidRDefault="00EC3C86" w:rsidP="00B3192A">
      <w:pPr>
        <w:pStyle w:val="SingleTxt"/>
        <w:numPr>
          <w:ilvl w:val="0"/>
          <w:numId w:val="8"/>
        </w:numPr>
        <w:ind w:left="1267" w:firstLine="0"/>
      </w:pPr>
      <w:r w:rsidRPr="00F35716">
        <w:t xml:space="preserve">En el </w:t>
      </w:r>
      <w:r w:rsidR="00521893" w:rsidRPr="00F35716">
        <w:t xml:space="preserve">ámbito </w:t>
      </w:r>
      <w:r w:rsidRPr="00F35716">
        <w:t xml:space="preserve">de la pesca marina, se prestó apoyo a dos proyectos a fin de construir y equipar dos unidades para </w:t>
      </w:r>
      <w:r w:rsidR="00521893" w:rsidRPr="00F35716">
        <w:t>el cultivo de especies</w:t>
      </w:r>
      <w:r w:rsidRPr="00F35716">
        <w:t xml:space="preserve"> marin</w:t>
      </w:r>
      <w:r w:rsidR="00521893" w:rsidRPr="00F35716">
        <w:t>a</w:t>
      </w:r>
      <w:r w:rsidRPr="00F35716">
        <w:t xml:space="preserve">s. </w:t>
      </w:r>
      <w:r w:rsidR="00521893" w:rsidRPr="00F35716">
        <w:t>Se trata, por una parte, de una unidad de cooperativas de mujeres con un</w:t>
      </w:r>
      <w:r w:rsidRPr="00F35716">
        <w:t xml:space="preserve"> punto</w:t>
      </w:r>
      <w:r w:rsidR="009A1F00" w:rsidRPr="00F35716">
        <w:t> </w:t>
      </w:r>
      <w:r w:rsidRPr="00F35716">
        <w:t xml:space="preserve">de volcado establecido, cuya actividad se basa en la recolección, </w:t>
      </w:r>
      <w:r w:rsidR="00521893" w:rsidRPr="00F35716">
        <w:t xml:space="preserve">la </w:t>
      </w:r>
      <w:r w:rsidRPr="00F35716">
        <w:t xml:space="preserve">transformación y </w:t>
      </w:r>
      <w:r w:rsidR="00521893" w:rsidRPr="00F35716">
        <w:t xml:space="preserve">el </w:t>
      </w:r>
      <w:r w:rsidRPr="00F35716">
        <w:t>envasado de productos marinos costeros y la recolección, el secado y el almacenamiento de algas</w:t>
      </w:r>
      <w:r w:rsidR="00521893" w:rsidRPr="00F35716">
        <w:t xml:space="preserve">. La </w:t>
      </w:r>
      <w:r w:rsidR="00657F30" w:rsidRPr="00F35716">
        <w:t>segunda</w:t>
      </w:r>
      <w:r w:rsidR="00521893" w:rsidRPr="00F35716">
        <w:t xml:space="preserve"> es</w:t>
      </w:r>
      <w:r w:rsidRPr="00F35716">
        <w:t xml:space="preserve"> una unidad de cooperativa </w:t>
      </w:r>
      <w:r w:rsidR="00521893" w:rsidRPr="00F35716">
        <w:t xml:space="preserve">de mujeres </w:t>
      </w:r>
      <w:r w:rsidRPr="00F35716">
        <w:t>especializada en la salazón y el ahumado de pescado de superficie. En</w:t>
      </w:r>
      <w:r w:rsidR="009A1F00" w:rsidRPr="00F35716">
        <w:t xml:space="preserve"> </w:t>
      </w:r>
      <w:r w:rsidRPr="00F35716">
        <w:t xml:space="preserve">2013 se estableció una red de mujeres marroquíes que trabajan en el sector </w:t>
      </w:r>
      <w:r w:rsidR="00521893" w:rsidRPr="00F35716">
        <w:t xml:space="preserve">de la </w:t>
      </w:r>
      <w:r w:rsidRPr="00F35716">
        <w:t>pes</w:t>
      </w:r>
      <w:r w:rsidR="00521893" w:rsidRPr="00F35716">
        <w:t>ca marítima</w:t>
      </w:r>
      <w:r w:rsidRPr="00F35716">
        <w:t>.</w:t>
      </w:r>
    </w:p>
    <w:p w14:paraId="32E9465E" w14:textId="0C4A4F0F" w:rsidR="00EC3C86" w:rsidRPr="00F35716" w:rsidRDefault="00EC3C86" w:rsidP="00B3192A">
      <w:pPr>
        <w:pStyle w:val="SingleTxt"/>
        <w:numPr>
          <w:ilvl w:val="0"/>
          <w:numId w:val="8"/>
        </w:numPr>
        <w:ind w:left="1267" w:firstLine="0"/>
      </w:pPr>
      <w:r w:rsidRPr="00F35716">
        <w:t xml:space="preserve">En el </w:t>
      </w:r>
      <w:r w:rsidR="00521893" w:rsidRPr="00F35716">
        <w:t xml:space="preserve">ámbito </w:t>
      </w:r>
      <w:r w:rsidRPr="00F35716">
        <w:t xml:space="preserve">de la artesanía, hasta finales de 2014 se establecieron 64 hogares para manufactureras en </w:t>
      </w:r>
      <w:r w:rsidR="00521893" w:rsidRPr="00F35716">
        <w:t>las</w:t>
      </w:r>
      <w:r w:rsidRPr="00F35716">
        <w:t xml:space="preserve"> </w:t>
      </w:r>
      <w:r w:rsidR="00521893" w:rsidRPr="00F35716">
        <w:t>zonas</w:t>
      </w:r>
      <w:r w:rsidRPr="00F35716">
        <w:t xml:space="preserve"> rural</w:t>
      </w:r>
      <w:r w:rsidR="00521893" w:rsidRPr="00F35716">
        <w:t>es</w:t>
      </w:r>
      <w:r w:rsidRPr="00F35716">
        <w:t xml:space="preserve"> para brindar apoyo a los fabricantes tradicionales, que incluyen 3.650 mujeres que trabajan en el campo. En 2015 se crearon otros 11 hogares para manufactureras, con el objetivo de incluir el comercio justo dentro de las cooperativas de mujeres e integrar una perspectiva de género en la estrategia de marca tradicional y la comercialización de las marcas terminadas. A</w:t>
      </w:r>
      <w:r w:rsidR="00697621" w:rsidRPr="00F35716">
        <w:t> </w:t>
      </w:r>
      <w:r w:rsidRPr="00F35716">
        <w:t xml:space="preserve">finales de 2014 se </w:t>
      </w:r>
      <w:r w:rsidR="005474C2" w:rsidRPr="00F35716">
        <w:t xml:space="preserve">habían </w:t>
      </w:r>
      <w:r w:rsidRPr="00F35716">
        <w:t>crea</w:t>
      </w:r>
      <w:r w:rsidR="005474C2" w:rsidRPr="00F35716">
        <w:t>do</w:t>
      </w:r>
      <w:r w:rsidRPr="00F35716">
        <w:t xml:space="preserve"> 839 cooperativas de mujeres, el 41,5</w:t>
      </w:r>
      <w:r w:rsidR="0006736D" w:rsidRPr="00F35716">
        <w:t> %</w:t>
      </w:r>
      <w:r w:rsidRPr="00F35716">
        <w:t xml:space="preserve"> de todas las existentes, con un total de 34.877 colaboradoras. Quince marcas registradas de la industria tradicional se han completado o están en proceso de implementación para</w:t>
      </w:r>
      <w:r w:rsidR="00697621" w:rsidRPr="00F35716">
        <w:t> </w:t>
      </w:r>
      <w:r w:rsidRPr="00F35716">
        <w:t>beneficio de los fabricantes tradicionales, lo que equivale al 40</w:t>
      </w:r>
      <w:r w:rsidR="0006736D" w:rsidRPr="00F35716">
        <w:t> %</w:t>
      </w:r>
      <w:r w:rsidRPr="00F35716">
        <w:t xml:space="preserve"> de todas las</w:t>
      </w:r>
      <w:r w:rsidR="00697621" w:rsidRPr="00F35716">
        <w:t> </w:t>
      </w:r>
      <w:r w:rsidRPr="00F35716">
        <w:t xml:space="preserve">marcas. </w:t>
      </w:r>
    </w:p>
    <w:p w14:paraId="32E9465F" w14:textId="5DED233A" w:rsidR="00EC3C86" w:rsidRPr="00F35716" w:rsidRDefault="005474C2" w:rsidP="00B3192A">
      <w:pPr>
        <w:pStyle w:val="SingleTxt"/>
        <w:numPr>
          <w:ilvl w:val="0"/>
          <w:numId w:val="8"/>
        </w:numPr>
        <w:ind w:left="1267" w:firstLine="0"/>
      </w:pPr>
      <w:r w:rsidRPr="00F35716">
        <w:t>Con respecto a</w:t>
      </w:r>
      <w:r w:rsidR="00EC3C86" w:rsidRPr="00F35716">
        <w:t xml:space="preserve"> la </w:t>
      </w:r>
      <w:r w:rsidRPr="00F35716">
        <w:t xml:space="preserve">integración </w:t>
      </w:r>
      <w:r w:rsidR="00EC3C86" w:rsidRPr="00F35716">
        <w:t xml:space="preserve">social a través del empoderamiento económico de las mujeres </w:t>
      </w:r>
      <w:r w:rsidRPr="00F35716">
        <w:t>de las zonas</w:t>
      </w:r>
      <w:r w:rsidR="00EC3C86" w:rsidRPr="00F35716">
        <w:t xml:space="preserve"> rural</w:t>
      </w:r>
      <w:r w:rsidRPr="00F35716">
        <w:t>es</w:t>
      </w:r>
      <w:r w:rsidR="00EC3C86" w:rsidRPr="00F35716">
        <w:t>, el sector competente apoyó en 2015 276</w:t>
      </w:r>
      <w:r w:rsidR="003076FE" w:rsidRPr="00F35716">
        <w:t> </w:t>
      </w:r>
      <w:r w:rsidR="00EC3C86" w:rsidRPr="00F35716">
        <w:t xml:space="preserve">proyectos, con una </w:t>
      </w:r>
      <w:r w:rsidRPr="00F35716">
        <w:t>dotación</w:t>
      </w:r>
      <w:r w:rsidR="00EC3C86" w:rsidRPr="00F35716">
        <w:t xml:space="preserve"> financiera de 50.878.338 dírhams. </w:t>
      </w:r>
    </w:p>
    <w:p w14:paraId="32E94660" w14:textId="168C2755" w:rsidR="00EC3C86" w:rsidRPr="00F35716" w:rsidRDefault="00EC3C86" w:rsidP="00B3192A">
      <w:pPr>
        <w:pStyle w:val="SingleTxt"/>
        <w:numPr>
          <w:ilvl w:val="0"/>
          <w:numId w:val="8"/>
        </w:numPr>
        <w:ind w:left="1267" w:firstLine="0"/>
      </w:pPr>
      <w:r w:rsidRPr="00F35716">
        <w:t>En el marco de la cooperación marroquí-alemana, en 2015 se empezó a ejecutar el programa para mejorar la empleabilidad de l</w:t>
      </w:r>
      <w:r w:rsidR="005474C2" w:rsidRPr="00F35716">
        <w:t>a</w:t>
      </w:r>
      <w:r w:rsidRPr="00F35716">
        <w:t xml:space="preserve">s </w:t>
      </w:r>
      <w:r w:rsidR="005474C2" w:rsidRPr="00F35716">
        <w:t>mujeres que viven en zonas rurales de Marruecos</w:t>
      </w:r>
      <w:r w:rsidRPr="00F35716">
        <w:t>, cuyo objetivo e</w:t>
      </w:r>
      <w:r w:rsidR="006154C2" w:rsidRPr="00F35716">
        <w:t>ra</w:t>
      </w:r>
      <w:r w:rsidRPr="00F35716">
        <w:t xml:space="preserve"> mejorar los servicios de proximidad </w:t>
      </w:r>
      <w:r w:rsidR="005474C2" w:rsidRPr="00F35716">
        <w:t>mediante la ejecución de un</w:t>
      </w:r>
      <w:r w:rsidRPr="00F35716">
        <w:t xml:space="preserve"> proyecto de unidades móviles de la Agencia Nacional para la</w:t>
      </w:r>
      <w:r w:rsidR="008C0BC4" w:rsidRPr="00F35716">
        <w:t> </w:t>
      </w:r>
      <w:r w:rsidRPr="00F35716">
        <w:t xml:space="preserve">Promoción del Empleo y </w:t>
      </w:r>
      <w:r w:rsidR="005474C2" w:rsidRPr="00F35716">
        <w:t xml:space="preserve">las </w:t>
      </w:r>
      <w:r w:rsidRPr="00F35716">
        <w:t xml:space="preserve">Competencias. Asimismo, se adquirieron cuatro </w:t>
      </w:r>
      <w:r w:rsidR="006154C2" w:rsidRPr="00F35716">
        <w:t xml:space="preserve">unidades </w:t>
      </w:r>
      <w:r w:rsidRPr="00F35716">
        <w:t xml:space="preserve">móviles con </w:t>
      </w:r>
      <w:r w:rsidR="006154C2" w:rsidRPr="00F35716">
        <w:t>vistas a</w:t>
      </w:r>
      <w:r w:rsidRPr="00F35716">
        <w:t xml:space="preserve"> mejorar la </w:t>
      </w:r>
      <w:r w:rsidR="006154C2" w:rsidRPr="00F35716">
        <w:t xml:space="preserve">empleabilidad </w:t>
      </w:r>
      <w:r w:rsidRPr="00F35716">
        <w:t>de la</w:t>
      </w:r>
      <w:r w:rsidR="006154C2" w:rsidRPr="00F35716">
        <w:t>s</w:t>
      </w:r>
      <w:r w:rsidRPr="00F35716">
        <w:t xml:space="preserve"> </w:t>
      </w:r>
      <w:r w:rsidR="006154C2" w:rsidRPr="00F35716">
        <w:t>mujeres</w:t>
      </w:r>
      <w:r w:rsidRPr="00F35716">
        <w:t xml:space="preserve"> rural</w:t>
      </w:r>
      <w:r w:rsidR="006154C2" w:rsidRPr="00F35716">
        <w:t>es</w:t>
      </w:r>
      <w:r w:rsidRPr="00F35716">
        <w:t xml:space="preserve"> en cuatro </w:t>
      </w:r>
      <w:r w:rsidR="006154C2" w:rsidRPr="00F35716">
        <w:t>regiones</w:t>
      </w:r>
      <w:r w:rsidRPr="00F35716">
        <w:t xml:space="preserve">. Estas unidades </w:t>
      </w:r>
      <w:r w:rsidR="006154C2" w:rsidRPr="00F35716">
        <w:t>tienen por objeto</w:t>
      </w:r>
      <w:r w:rsidRPr="00F35716">
        <w:t xml:space="preserve"> responder a las necesidades de la población rural</w:t>
      </w:r>
      <w:r w:rsidR="006154C2" w:rsidRPr="00F35716">
        <w:t>,</w:t>
      </w:r>
      <w:r w:rsidRPr="00F35716">
        <w:t xml:space="preserve"> y </w:t>
      </w:r>
      <w:r w:rsidR="006154C2" w:rsidRPr="00F35716">
        <w:t>ofrecen</w:t>
      </w:r>
      <w:r w:rsidRPr="00F35716">
        <w:t xml:space="preserve"> un paquete de servicios </w:t>
      </w:r>
      <w:r w:rsidR="006154C2" w:rsidRPr="00F35716">
        <w:t>dirigidos a</w:t>
      </w:r>
      <w:r w:rsidRPr="00F35716">
        <w:t xml:space="preserve"> la población rural, entre los que figuran:</w:t>
      </w:r>
    </w:p>
    <w:p w14:paraId="32E94661" w14:textId="69388215" w:rsidR="00EC3C86" w:rsidRPr="00F35716" w:rsidRDefault="00F11FDF" w:rsidP="00F11FDF">
      <w:pPr>
        <w:pStyle w:val="SingleTxt"/>
        <w:tabs>
          <w:tab w:val="right" w:pos="1685"/>
        </w:tabs>
        <w:ind w:left="1742" w:hanging="475"/>
      </w:pPr>
      <w:r w:rsidRPr="00F35716">
        <w:tab/>
        <w:t>–</w:t>
      </w:r>
      <w:r w:rsidRPr="00F35716">
        <w:tab/>
      </w:r>
      <w:r w:rsidR="00EC3C86" w:rsidRPr="00F35716">
        <w:t xml:space="preserve">La traducción </w:t>
      </w:r>
      <w:r w:rsidR="006154C2" w:rsidRPr="00F35716">
        <w:t xml:space="preserve">al árabe </w:t>
      </w:r>
      <w:r w:rsidR="00EC3C86" w:rsidRPr="00F35716">
        <w:t>de una parte de</w:t>
      </w:r>
      <w:r w:rsidR="006154C2" w:rsidRPr="00F35716">
        <w:t xml:space="preserve"> </w:t>
      </w:r>
      <w:r w:rsidR="00EC3C86" w:rsidRPr="00F35716">
        <w:t>l</w:t>
      </w:r>
      <w:r w:rsidR="006154C2" w:rsidRPr="00F35716">
        <w:t>a guía de</w:t>
      </w:r>
      <w:r w:rsidR="00EC3C86" w:rsidRPr="00F35716">
        <w:t xml:space="preserve"> trabajo</w:t>
      </w:r>
      <w:r w:rsidR="006154C2" w:rsidRPr="00F35716">
        <w:t>s</w:t>
      </w:r>
      <w:r w:rsidR="00EC3C86" w:rsidRPr="00F35716">
        <w:t xml:space="preserve"> y profesiones, y el acercamiento de la información relacionada con la creación de empresas y la</w:t>
      </w:r>
      <w:r w:rsidR="006154C2" w:rsidRPr="00F35716">
        <w:t xml:space="preserve"> formación</w:t>
      </w:r>
      <w:r w:rsidR="00EC3C86" w:rsidRPr="00F35716">
        <w:t xml:space="preserve"> disponible. </w:t>
      </w:r>
    </w:p>
    <w:p w14:paraId="32E94662" w14:textId="0AAEE8B3" w:rsidR="00EC3C86" w:rsidRPr="00F35716" w:rsidRDefault="00F11FDF" w:rsidP="00AB1AA4">
      <w:pPr>
        <w:pStyle w:val="SingleTxt"/>
        <w:keepLines/>
        <w:tabs>
          <w:tab w:val="right" w:pos="1685"/>
        </w:tabs>
        <w:ind w:left="1742" w:hanging="475"/>
      </w:pPr>
      <w:r w:rsidRPr="00F35716">
        <w:tab/>
        <w:t>–</w:t>
      </w:r>
      <w:r w:rsidRPr="00F35716">
        <w:tab/>
      </w:r>
      <w:r w:rsidR="00EC3C86" w:rsidRPr="00F35716">
        <w:t xml:space="preserve">El desarrollo de nuevos servicios </w:t>
      </w:r>
      <w:r w:rsidR="006154C2" w:rsidRPr="00F35716">
        <w:t xml:space="preserve">centrados </w:t>
      </w:r>
      <w:r w:rsidR="00EC3C86" w:rsidRPr="00F35716">
        <w:t>en la mejora de la</w:t>
      </w:r>
      <w:r w:rsidR="006154C2" w:rsidRPr="00F35716">
        <w:t>s competencias para la vida y prácticas conexas</w:t>
      </w:r>
      <w:r w:rsidR="00EC3C86" w:rsidRPr="00F35716">
        <w:t xml:space="preserve">, </w:t>
      </w:r>
      <w:r w:rsidR="006154C2" w:rsidRPr="00F35716">
        <w:t>así como</w:t>
      </w:r>
      <w:r w:rsidR="00EC3C86" w:rsidRPr="00F35716">
        <w:t xml:space="preserve"> la organización de algunos talleres de sensibilización para </w:t>
      </w:r>
      <w:r w:rsidR="006154C2" w:rsidRPr="00F35716">
        <w:t>mujeres</w:t>
      </w:r>
      <w:r w:rsidR="00EC3C86" w:rsidRPr="00F35716">
        <w:t xml:space="preserve"> rurales. Las mujeres </w:t>
      </w:r>
      <w:r w:rsidR="006154C2" w:rsidRPr="00F35716">
        <w:t>constituyen el 40 % de los</w:t>
      </w:r>
      <w:r w:rsidR="00EC3C86" w:rsidRPr="00F35716">
        <w:t xml:space="preserve"> beneficia</w:t>
      </w:r>
      <w:r w:rsidR="006154C2" w:rsidRPr="00F35716">
        <w:t>rios</w:t>
      </w:r>
      <w:r w:rsidR="00EC3C86" w:rsidRPr="00F35716">
        <w:t xml:space="preserve"> del programa.</w:t>
      </w:r>
    </w:p>
    <w:p w14:paraId="32E94663" w14:textId="77777777" w:rsidR="00A95266" w:rsidRPr="00F35716" w:rsidRDefault="00A95266" w:rsidP="00A95266">
      <w:pPr>
        <w:pStyle w:val="SingleTxt"/>
        <w:spacing w:after="0" w:line="120" w:lineRule="exact"/>
        <w:rPr>
          <w:sz w:val="10"/>
          <w:szCs w:val="20"/>
        </w:rPr>
      </w:pPr>
    </w:p>
    <w:p w14:paraId="32E94664" w14:textId="77777777" w:rsidR="00A95266" w:rsidRPr="00F35716" w:rsidRDefault="00A95266" w:rsidP="00A95266">
      <w:pPr>
        <w:pStyle w:val="SingleTxt"/>
        <w:spacing w:after="0" w:line="120" w:lineRule="exact"/>
        <w:rPr>
          <w:sz w:val="10"/>
          <w:szCs w:val="20"/>
        </w:rPr>
      </w:pPr>
    </w:p>
    <w:p w14:paraId="32E94665" w14:textId="77777777" w:rsidR="00EC3C86" w:rsidRPr="00F35716" w:rsidRDefault="00167D2E" w:rsidP="000E51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F35716">
        <w:rPr>
          <w:szCs w:val="20"/>
        </w:rPr>
        <w:lastRenderedPageBreak/>
        <w:tab/>
      </w:r>
      <w:r w:rsidRPr="00F35716">
        <w:rPr>
          <w:szCs w:val="20"/>
        </w:rPr>
        <w:tab/>
      </w:r>
      <w:r w:rsidR="00EC3C86" w:rsidRPr="00F35716">
        <w:rPr>
          <w:szCs w:val="20"/>
        </w:rPr>
        <w:t>Parte IV</w:t>
      </w:r>
      <w:bookmarkStart w:id="60" w:name="_Toc24015485"/>
      <w:bookmarkStart w:id="61" w:name="_Toc24100791"/>
      <w:bookmarkStart w:id="62" w:name="_Toc24548865"/>
      <w:bookmarkStart w:id="63" w:name="_Toc28165907"/>
    </w:p>
    <w:p w14:paraId="32E94666" w14:textId="77777777" w:rsidR="00A95266" w:rsidRPr="00F35716" w:rsidRDefault="00A95266" w:rsidP="00A95266">
      <w:pPr>
        <w:pStyle w:val="SingleTxt"/>
        <w:spacing w:after="0" w:line="120" w:lineRule="exact"/>
        <w:rPr>
          <w:sz w:val="10"/>
          <w:szCs w:val="20"/>
        </w:rPr>
      </w:pPr>
    </w:p>
    <w:p w14:paraId="32E94667" w14:textId="77777777" w:rsidR="00A95266" w:rsidRPr="00F35716" w:rsidRDefault="00A95266" w:rsidP="00A95266">
      <w:pPr>
        <w:pStyle w:val="SingleTxt"/>
        <w:spacing w:after="0" w:line="120" w:lineRule="exact"/>
        <w:rPr>
          <w:sz w:val="10"/>
          <w:szCs w:val="20"/>
        </w:rPr>
      </w:pPr>
    </w:p>
    <w:p w14:paraId="32E94668" w14:textId="77777777" w:rsidR="00EC3C86" w:rsidRPr="00F35716" w:rsidRDefault="00DC7516"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Cs w:val="0"/>
          <w:szCs w:val="20"/>
        </w:rPr>
        <w:t>Artículo 15</w:t>
      </w:r>
      <w:bookmarkEnd w:id="60"/>
      <w:bookmarkEnd w:id="61"/>
      <w:bookmarkEnd w:id="62"/>
      <w:bookmarkEnd w:id="63"/>
    </w:p>
    <w:p w14:paraId="32E94669" w14:textId="77777777" w:rsidR="00A95266" w:rsidRPr="00F35716" w:rsidRDefault="00A95266" w:rsidP="00A95266">
      <w:pPr>
        <w:pStyle w:val="SingleTxt"/>
        <w:spacing w:after="0" w:line="120" w:lineRule="exact"/>
        <w:rPr>
          <w:sz w:val="10"/>
          <w:szCs w:val="20"/>
        </w:rPr>
      </w:pPr>
    </w:p>
    <w:p w14:paraId="32E9466A" w14:textId="394D6848" w:rsidR="00EC3C86" w:rsidRPr="00F35716" w:rsidRDefault="00EC3C86" w:rsidP="00F11FDF">
      <w:pPr>
        <w:pStyle w:val="SingleTxt"/>
        <w:rPr>
          <w:szCs w:val="20"/>
        </w:rPr>
      </w:pPr>
      <w:r w:rsidRPr="00F35716">
        <w:rPr>
          <w:szCs w:val="20"/>
        </w:rPr>
        <w:t xml:space="preserve">Se </w:t>
      </w:r>
      <w:r w:rsidR="003D7D50" w:rsidRPr="00F35716">
        <w:rPr>
          <w:szCs w:val="20"/>
        </w:rPr>
        <w:t xml:space="preserve">ha </w:t>
      </w:r>
      <w:r w:rsidR="006154C2" w:rsidRPr="00F35716">
        <w:rPr>
          <w:szCs w:val="20"/>
        </w:rPr>
        <w:t>modific</w:t>
      </w:r>
      <w:r w:rsidR="003D7D50" w:rsidRPr="00F35716">
        <w:rPr>
          <w:szCs w:val="20"/>
        </w:rPr>
        <w:t>ado</w:t>
      </w:r>
      <w:r w:rsidR="006154C2" w:rsidRPr="00F35716">
        <w:rPr>
          <w:szCs w:val="20"/>
        </w:rPr>
        <w:t xml:space="preserve"> </w:t>
      </w:r>
      <w:r w:rsidRPr="00F35716">
        <w:rPr>
          <w:szCs w:val="20"/>
        </w:rPr>
        <w:t xml:space="preserve">la ley que </w:t>
      </w:r>
      <w:r w:rsidR="003D7D50" w:rsidRPr="00F35716">
        <w:rPr>
          <w:szCs w:val="20"/>
        </w:rPr>
        <w:t xml:space="preserve">establece las condiciones y reglas para beneficiarse </w:t>
      </w:r>
      <w:r w:rsidR="003D7D50" w:rsidRPr="00F35716">
        <w:rPr>
          <w:szCs w:val="17"/>
        </w:rPr>
        <w:t>de las prestaciones</w:t>
      </w:r>
      <w:r w:rsidRPr="00F35716">
        <w:rPr>
          <w:szCs w:val="20"/>
        </w:rPr>
        <w:t xml:space="preserve"> del Fondo de Solidaridad Familiar</w:t>
      </w:r>
      <w:r w:rsidR="003D7D50" w:rsidRPr="00F35716">
        <w:rPr>
          <w:szCs w:val="20"/>
        </w:rPr>
        <w:t xml:space="preserve">, así como </w:t>
      </w:r>
      <w:r w:rsidRPr="00F35716">
        <w:rPr>
          <w:szCs w:val="20"/>
        </w:rPr>
        <w:t xml:space="preserve">el decreto </w:t>
      </w:r>
      <w:r w:rsidR="003D7D50" w:rsidRPr="00F35716">
        <w:rPr>
          <w:szCs w:val="20"/>
        </w:rPr>
        <w:t>de aplicación</w:t>
      </w:r>
      <w:r w:rsidRPr="00F35716">
        <w:rPr>
          <w:szCs w:val="20"/>
        </w:rPr>
        <w:t xml:space="preserve"> de dicha ley</w:t>
      </w:r>
      <w:r w:rsidR="003D7D50" w:rsidRPr="00F35716">
        <w:rPr>
          <w:szCs w:val="20"/>
        </w:rPr>
        <w:t>.</w:t>
      </w:r>
      <w:r w:rsidRPr="00F35716">
        <w:rPr>
          <w:szCs w:val="20"/>
        </w:rPr>
        <w:t xml:space="preserve"> </w:t>
      </w:r>
      <w:r w:rsidR="003D7D50" w:rsidRPr="00F35716">
        <w:rPr>
          <w:szCs w:val="20"/>
        </w:rPr>
        <w:t>Por su parte, e</w:t>
      </w:r>
      <w:r w:rsidRPr="00F35716">
        <w:rPr>
          <w:szCs w:val="20"/>
        </w:rPr>
        <w:t xml:space="preserve">l Ministro de Justicia y el Ministro de Economía y Finanzas </w:t>
      </w:r>
      <w:r w:rsidR="003D7D50" w:rsidRPr="00F35716">
        <w:rPr>
          <w:szCs w:val="20"/>
        </w:rPr>
        <w:t>emitieron una resolución conjunta</w:t>
      </w:r>
      <w:r w:rsidRPr="00F35716">
        <w:rPr>
          <w:szCs w:val="20"/>
        </w:rPr>
        <w:t xml:space="preserve"> con </w:t>
      </w:r>
      <w:r w:rsidR="003D7D50" w:rsidRPr="00F35716">
        <w:rPr>
          <w:szCs w:val="20"/>
        </w:rPr>
        <w:t>los siguientes objetivos</w:t>
      </w:r>
      <w:r w:rsidRPr="00F35716">
        <w:rPr>
          <w:szCs w:val="20"/>
        </w:rPr>
        <w:t xml:space="preserve">: </w:t>
      </w:r>
    </w:p>
    <w:p w14:paraId="32E9466B" w14:textId="7675038D" w:rsidR="00EC3C86" w:rsidRPr="00F35716" w:rsidRDefault="00F11FDF" w:rsidP="00F11FDF">
      <w:pPr>
        <w:pStyle w:val="SingleTxt"/>
        <w:tabs>
          <w:tab w:val="right" w:pos="1685"/>
        </w:tabs>
        <w:ind w:left="1742" w:hanging="475"/>
      </w:pPr>
      <w:r w:rsidRPr="00F35716">
        <w:tab/>
        <w:t>–</w:t>
      </w:r>
      <w:r w:rsidRPr="00F35716">
        <w:tab/>
      </w:r>
      <w:r w:rsidR="00EC3C86" w:rsidRPr="00F35716">
        <w:t xml:space="preserve">Ampliar el </w:t>
      </w:r>
      <w:r w:rsidR="003D7D50" w:rsidRPr="00F35716">
        <w:t xml:space="preserve">grupo </w:t>
      </w:r>
      <w:r w:rsidR="00EC3C86" w:rsidRPr="00F35716">
        <w:t>de beneficiarios para incluir a los niños con derecho a pensión alimenticia durante la relación matrimonial</w:t>
      </w:r>
      <w:r w:rsidR="003D7D50" w:rsidRPr="00F35716">
        <w:t>, así como a</w:t>
      </w:r>
      <w:r w:rsidR="00EC3C86" w:rsidRPr="00F35716">
        <w:t xml:space="preserve"> los niños que tienen derecho a pensión alimenticia </w:t>
      </w:r>
      <w:r w:rsidR="00F412A6" w:rsidRPr="00F35716">
        <w:t>tras</w:t>
      </w:r>
      <w:r w:rsidR="00EC3C86" w:rsidRPr="00F35716">
        <w:t xml:space="preserve"> la disolución del matrimonio.</w:t>
      </w:r>
    </w:p>
    <w:p w14:paraId="32E9466C" w14:textId="2B9739AD" w:rsidR="00EC3C86" w:rsidRPr="00F35716" w:rsidRDefault="00F11FDF" w:rsidP="00F11FDF">
      <w:pPr>
        <w:pStyle w:val="SingleTxt"/>
        <w:tabs>
          <w:tab w:val="right" w:pos="1685"/>
        </w:tabs>
        <w:ind w:left="1742" w:hanging="475"/>
      </w:pPr>
      <w:r w:rsidRPr="00F35716">
        <w:tab/>
        <w:t>–</w:t>
      </w:r>
      <w:r w:rsidRPr="00F35716">
        <w:tab/>
      </w:r>
      <w:r w:rsidR="00EC3C86" w:rsidRPr="00F35716">
        <w:t xml:space="preserve">Simplificar los procedimientos para </w:t>
      </w:r>
      <w:r w:rsidR="00F412A6" w:rsidRPr="00F35716">
        <w:t>tener derecho a recibir</w:t>
      </w:r>
      <w:r w:rsidR="00EC3C86" w:rsidRPr="00F35716">
        <w:t xml:space="preserve"> </w:t>
      </w:r>
      <w:r w:rsidR="00F412A6" w:rsidRPr="00F35716">
        <w:t xml:space="preserve">prestaciones </w:t>
      </w:r>
      <w:r w:rsidR="00EC3C86" w:rsidRPr="00F35716">
        <w:t>financieras.</w:t>
      </w:r>
    </w:p>
    <w:p w14:paraId="32E9466D" w14:textId="06CA059C" w:rsidR="00EC3C86" w:rsidRPr="00F35716" w:rsidRDefault="00F11FDF" w:rsidP="00F11FDF">
      <w:pPr>
        <w:pStyle w:val="SingleTxt"/>
        <w:tabs>
          <w:tab w:val="right" w:pos="1685"/>
        </w:tabs>
        <w:ind w:left="1742" w:hanging="475"/>
      </w:pPr>
      <w:r w:rsidRPr="00F35716">
        <w:tab/>
        <w:t>–</w:t>
      </w:r>
      <w:r w:rsidRPr="00F35716">
        <w:tab/>
      </w:r>
      <w:r w:rsidR="00EC3C86" w:rsidRPr="00F35716">
        <w:t xml:space="preserve">Ampliar </w:t>
      </w:r>
      <w:r w:rsidR="00F412A6" w:rsidRPr="00F35716">
        <w:t xml:space="preserve">el ámbito de </w:t>
      </w:r>
      <w:r w:rsidR="00EC3C86" w:rsidRPr="00F35716">
        <w:t xml:space="preserve">intervención del Fondo para cubrir los importes de la pensión alimenticia concedida por </w:t>
      </w:r>
      <w:r w:rsidR="00F412A6" w:rsidRPr="00F35716">
        <w:t>resolución</w:t>
      </w:r>
      <w:r w:rsidR="00EC3C86" w:rsidRPr="00F35716">
        <w:t xml:space="preserve"> judicial durante </w:t>
      </w:r>
      <w:r w:rsidR="00F412A6" w:rsidRPr="00F35716">
        <w:t xml:space="preserve">los </w:t>
      </w:r>
      <w:r w:rsidR="00EC3C86" w:rsidRPr="00F35716">
        <w:t>12 meses ante</w:t>
      </w:r>
      <w:r w:rsidR="00F412A6" w:rsidRPr="00F35716">
        <w:t xml:space="preserve">riores a la presentación </w:t>
      </w:r>
      <w:r w:rsidR="00EC3C86" w:rsidRPr="00F35716">
        <w:t xml:space="preserve">de </w:t>
      </w:r>
      <w:r w:rsidR="00F412A6" w:rsidRPr="00F35716">
        <w:t>l</w:t>
      </w:r>
      <w:r w:rsidR="00EC3C86" w:rsidRPr="00F35716">
        <w:t xml:space="preserve">a solicitud para beneficiarse </w:t>
      </w:r>
      <w:r w:rsidR="00F412A6" w:rsidRPr="00F35716">
        <w:t>de las prestaciones</w:t>
      </w:r>
      <w:r w:rsidR="00EC3C86" w:rsidRPr="00F35716">
        <w:t>.</w:t>
      </w:r>
    </w:p>
    <w:p w14:paraId="32E9466E" w14:textId="25514604" w:rsidR="00EC3C86" w:rsidRPr="00F35716" w:rsidRDefault="00F11FDF" w:rsidP="00F11FDF">
      <w:pPr>
        <w:pStyle w:val="SingleTxt"/>
        <w:tabs>
          <w:tab w:val="right" w:pos="1685"/>
        </w:tabs>
        <w:ind w:left="1742" w:hanging="475"/>
      </w:pPr>
      <w:r w:rsidRPr="00F35716">
        <w:tab/>
        <w:t>–</w:t>
      </w:r>
      <w:r w:rsidRPr="00F35716">
        <w:tab/>
      </w:r>
      <w:r w:rsidR="00EC3C86" w:rsidRPr="00F35716">
        <w:t>Fortalecer el mecanismo de protección de</w:t>
      </w:r>
      <w:r w:rsidR="00F412A6" w:rsidRPr="00F35716">
        <w:t xml:space="preserve"> </w:t>
      </w:r>
      <w:r w:rsidR="00EC3C86" w:rsidRPr="00F35716">
        <w:t>l</w:t>
      </w:r>
      <w:r w:rsidR="00F412A6" w:rsidRPr="00F35716">
        <w:t>os recursos del</w:t>
      </w:r>
      <w:r w:rsidR="00EC3C86" w:rsidRPr="00F35716">
        <w:t xml:space="preserve"> Fondo contra cualquier fraude.</w:t>
      </w:r>
    </w:p>
    <w:p w14:paraId="32E9466F" w14:textId="157AAC07" w:rsidR="00EC3C86" w:rsidRPr="00F35716" w:rsidRDefault="00F11FDF" w:rsidP="00F11FDF">
      <w:pPr>
        <w:pStyle w:val="SingleTxt"/>
        <w:tabs>
          <w:tab w:val="right" w:pos="1685"/>
        </w:tabs>
        <w:ind w:left="1742" w:hanging="475"/>
      </w:pPr>
      <w:r w:rsidRPr="00F35716">
        <w:tab/>
        <w:t>–</w:t>
      </w:r>
      <w:r w:rsidRPr="00F35716">
        <w:tab/>
      </w:r>
      <w:r w:rsidR="00EC3C86" w:rsidRPr="00F35716">
        <w:t xml:space="preserve">Aumentar </w:t>
      </w:r>
      <w:r w:rsidR="00F412A6" w:rsidRPr="00F35716">
        <w:t>la prestación financiera</w:t>
      </w:r>
      <w:r w:rsidR="00EC3C86" w:rsidRPr="00F35716">
        <w:t xml:space="preserve"> otorgad</w:t>
      </w:r>
      <w:r w:rsidR="00F412A6" w:rsidRPr="00F35716">
        <w:t>a</w:t>
      </w:r>
      <w:r w:rsidR="00EC3C86" w:rsidRPr="00F35716">
        <w:t xml:space="preserve"> a una familia compuesta por una esposa necesitada y sus hijos </w:t>
      </w:r>
      <w:r w:rsidR="00F412A6" w:rsidRPr="00F35716">
        <w:t xml:space="preserve">de 1.050 </w:t>
      </w:r>
      <w:r w:rsidR="00EC3C86" w:rsidRPr="00F35716">
        <w:t xml:space="preserve">a 1.400 dírhams </w:t>
      </w:r>
      <w:r w:rsidR="00F412A6" w:rsidRPr="00F35716">
        <w:t>mensuales</w:t>
      </w:r>
      <w:r w:rsidR="00EC3C86" w:rsidRPr="00F35716">
        <w:t>.</w:t>
      </w:r>
    </w:p>
    <w:p w14:paraId="32E94670" w14:textId="315C2B94" w:rsidR="00EC3C86" w:rsidRPr="00F35716" w:rsidRDefault="00EC3C86" w:rsidP="00B3192A">
      <w:pPr>
        <w:pStyle w:val="SingleTxt"/>
        <w:numPr>
          <w:ilvl w:val="0"/>
          <w:numId w:val="8"/>
        </w:numPr>
        <w:ind w:left="1267" w:firstLine="0"/>
      </w:pPr>
      <w:r w:rsidRPr="00F35716">
        <w:t xml:space="preserve">En cuanto a la estrategia para dar a conocer el Fondo y sus objetivos, así como para beneficiarse de sus servicios, se desarrolló un plan de comunicación </w:t>
      </w:r>
      <w:r w:rsidR="008C247D" w:rsidRPr="00F35716">
        <w:t>para incluir a</w:t>
      </w:r>
      <w:r w:rsidRPr="00F35716">
        <w:t xml:space="preserve"> diversos agentes y organi</w:t>
      </w:r>
      <w:r w:rsidR="008C247D" w:rsidRPr="00F35716">
        <w:t>zaciones</w:t>
      </w:r>
      <w:r w:rsidRPr="00F35716">
        <w:t xml:space="preserve"> de la sociedad civil. </w:t>
      </w:r>
      <w:r w:rsidR="008C247D" w:rsidRPr="00F35716">
        <w:t>Ello</w:t>
      </w:r>
      <w:r w:rsidRPr="00F35716">
        <w:t xml:space="preserve"> contribuyó a aument</w:t>
      </w:r>
      <w:r w:rsidR="008C247D" w:rsidRPr="00F35716">
        <w:t>ar</w:t>
      </w:r>
      <w:r w:rsidRPr="00F35716">
        <w:t xml:space="preserve"> el número de </w:t>
      </w:r>
      <w:r w:rsidR="008C247D" w:rsidRPr="00F35716">
        <w:t xml:space="preserve">resoluciones </w:t>
      </w:r>
      <w:r w:rsidRPr="00F35716">
        <w:t>judiciales a favor de los grupos objetivo del Fondo</w:t>
      </w:r>
      <w:r w:rsidR="008C247D" w:rsidRPr="00F35716">
        <w:t xml:space="preserve">. En 2018 se habían dictado </w:t>
      </w:r>
      <w:r w:rsidRPr="00F35716">
        <w:t>4.542</w:t>
      </w:r>
      <w:r w:rsidR="008C247D" w:rsidRPr="00F35716">
        <w:t xml:space="preserve"> resoluciones judiciales</w:t>
      </w:r>
      <w:r w:rsidRPr="00F35716">
        <w:t xml:space="preserve">, con una </w:t>
      </w:r>
      <w:r w:rsidR="008C247D" w:rsidRPr="00F35716">
        <w:t>dotación</w:t>
      </w:r>
      <w:r w:rsidRPr="00F35716">
        <w:t xml:space="preserve"> financiera de 4.669.940,958 dírhams.</w:t>
      </w:r>
    </w:p>
    <w:p w14:paraId="32E94671" w14:textId="1E0EBD2B" w:rsidR="00EC3C86" w:rsidRPr="00F35716" w:rsidRDefault="002E50CA" w:rsidP="00B3192A">
      <w:pPr>
        <w:pStyle w:val="SingleTxt"/>
        <w:numPr>
          <w:ilvl w:val="0"/>
          <w:numId w:val="8"/>
        </w:numPr>
        <w:ind w:left="1267" w:firstLine="0"/>
      </w:pPr>
      <w:r w:rsidRPr="00F35716">
        <w:t>En lo que respecta al párrafo 17 de las observaciones finales</w:t>
      </w:r>
      <w:r w:rsidR="00EC3C86" w:rsidRPr="00F35716">
        <w:t xml:space="preserve">, se han adoptado medidas para promover la discriminación positiva a favor de las mujeres, como disfrutar de asistencia </w:t>
      </w:r>
      <w:r w:rsidR="008C247D" w:rsidRPr="00F35716">
        <w:t>jurídica</w:t>
      </w:r>
      <w:r w:rsidR="00EC3C86" w:rsidRPr="00F35716">
        <w:t xml:space="preserve">, activar unidades de asistencia, garantizar </w:t>
      </w:r>
      <w:r w:rsidR="008C247D" w:rsidRPr="00F35716">
        <w:t xml:space="preserve">la gratuidad de las </w:t>
      </w:r>
      <w:r w:rsidR="00EC3C86" w:rsidRPr="00F35716">
        <w:t xml:space="preserve">demandas relacionadas con </w:t>
      </w:r>
      <w:r w:rsidR="008C247D" w:rsidRPr="00F35716">
        <w:t>la situación</w:t>
      </w:r>
      <w:r w:rsidR="00EC3C86" w:rsidRPr="00F35716">
        <w:t xml:space="preserve"> personal de las mujeres divorciadas, apoyar la estructura de recepción</w:t>
      </w:r>
      <w:r w:rsidR="009314D5" w:rsidRPr="00F35716">
        <w:t xml:space="preserve"> o</w:t>
      </w:r>
      <w:r w:rsidR="00EC3C86" w:rsidRPr="00F35716">
        <w:t xml:space="preserve"> facilitar el acceso de las mujeres a los tribunales.</w:t>
      </w:r>
      <w:r w:rsidR="009314D5" w:rsidRPr="00F35716">
        <w:t xml:space="preserve"> Se contrata a trabajadoras sociales para que apliquen el Código de Familia. Se han llevado a cabo campañas sobre el terreno para documentar los </w:t>
      </w:r>
      <w:r w:rsidR="009279FF" w:rsidRPr="00F35716">
        <w:t>matrimonios contraídos</w:t>
      </w:r>
      <w:r w:rsidR="009314D5" w:rsidRPr="00F35716">
        <w:t xml:space="preserve"> en todo el Reino.</w:t>
      </w:r>
    </w:p>
    <w:p w14:paraId="32E94672" w14:textId="582B0829" w:rsidR="00EC3C86" w:rsidRPr="00F35716" w:rsidRDefault="00EC3C86" w:rsidP="00B3192A">
      <w:pPr>
        <w:pStyle w:val="SingleTxt"/>
        <w:numPr>
          <w:ilvl w:val="0"/>
          <w:numId w:val="8"/>
        </w:numPr>
        <w:ind w:left="1267" w:firstLine="0"/>
      </w:pPr>
      <w:r w:rsidRPr="00F35716">
        <w:t>Con respecto a l</w:t>
      </w:r>
      <w:r w:rsidR="009279FF" w:rsidRPr="00F35716">
        <w:t>os tribunales de familia</w:t>
      </w:r>
      <w:r w:rsidRPr="00F35716">
        <w:t xml:space="preserve">, el Ministerio de Justicia ha </w:t>
      </w:r>
      <w:r w:rsidR="009235BC" w:rsidRPr="00F35716">
        <w:t>tratado de</w:t>
      </w:r>
      <w:r w:rsidRPr="00F35716">
        <w:t xml:space="preserve"> generalizar </w:t>
      </w:r>
      <w:r w:rsidR="009235BC" w:rsidRPr="00F35716">
        <w:t>el uso de</w:t>
      </w:r>
      <w:r w:rsidRPr="00F35716">
        <w:t xml:space="preserve"> edificios </w:t>
      </w:r>
      <w:r w:rsidR="009235BC" w:rsidRPr="00F35716">
        <w:t>separados para las salas del tribunal de familia</w:t>
      </w:r>
      <w:r w:rsidRPr="00F35716">
        <w:t xml:space="preserve"> bajo la tutela de los tribunales de primera instancia, a fin de facilitar el acceso de las mujeres a la justicia familiar y dotar a est</w:t>
      </w:r>
      <w:r w:rsidR="009235BC" w:rsidRPr="00F35716">
        <w:t>a</w:t>
      </w:r>
      <w:r w:rsidRPr="00F35716">
        <w:t xml:space="preserve">s </w:t>
      </w:r>
      <w:r w:rsidR="009235BC" w:rsidRPr="00F35716">
        <w:t xml:space="preserve">salas </w:t>
      </w:r>
      <w:r w:rsidRPr="00F35716">
        <w:t xml:space="preserve">de </w:t>
      </w:r>
      <w:r w:rsidR="009235BC" w:rsidRPr="00F35716">
        <w:t xml:space="preserve">trabajadoras </w:t>
      </w:r>
      <w:r w:rsidRPr="00F35716">
        <w:t>sociales que velen por las mujeres y los niños.</w:t>
      </w:r>
    </w:p>
    <w:p w14:paraId="32E94673" w14:textId="57260218" w:rsidR="00EC3C86" w:rsidRPr="00F35716" w:rsidRDefault="00EC3C86" w:rsidP="00B3192A">
      <w:pPr>
        <w:pStyle w:val="SingleTxt"/>
        <w:numPr>
          <w:ilvl w:val="0"/>
          <w:numId w:val="8"/>
        </w:numPr>
        <w:ind w:left="1267" w:firstLine="0"/>
      </w:pPr>
      <w:r w:rsidRPr="00F35716">
        <w:t>Las autoridades públicas han promov</w:t>
      </w:r>
      <w:r w:rsidR="009235BC" w:rsidRPr="00F35716">
        <w:t>ido</w:t>
      </w:r>
      <w:r w:rsidRPr="00F35716">
        <w:t xml:space="preserve"> la igualdad de género en el uso de las tierras colectivas</w:t>
      </w:r>
      <w:r w:rsidR="009235BC" w:rsidRPr="00F35716">
        <w:t xml:space="preserve"> tradicionales</w:t>
      </w:r>
      <w:r w:rsidRPr="00F35716">
        <w:t xml:space="preserve">. </w:t>
      </w:r>
      <w:r w:rsidR="009235BC" w:rsidRPr="00F35716">
        <w:t>Han aplicado lo dispuesto en las circulares emitidas por el Ministerio del Interior</w:t>
      </w:r>
      <w:r w:rsidRPr="00F35716">
        <w:t xml:space="preserve"> en 2010 y 2012</w:t>
      </w:r>
      <w:r w:rsidR="009235BC" w:rsidRPr="00F35716">
        <w:t>,</w:t>
      </w:r>
      <w:r w:rsidRPr="00F35716">
        <w:t xml:space="preserve"> que insta</w:t>
      </w:r>
      <w:r w:rsidR="009235BC" w:rsidRPr="00F35716">
        <w:t>n</w:t>
      </w:r>
      <w:r w:rsidRPr="00F35716">
        <w:t xml:space="preserve"> a los representantes de esas tierras colectivas a incluir a las mujeres en </w:t>
      </w:r>
      <w:r w:rsidR="009235BC" w:rsidRPr="00F35716">
        <w:t>los registros</w:t>
      </w:r>
      <w:r w:rsidRPr="00F35716">
        <w:t xml:space="preserve"> de titulares de derechos, a fin de que se beneficien de compensaciones tanto en especie</w:t>
      </w:r>
      <w:r w:rsidR="00646D98" w:rsidRPr="00F35716">
        <w:t> </w:t>
      </w:r>
      <w:r w:rsidRPr="00F35716">
        <w:t xml:space="preserve">como materiales. En 2010, el Consejo Superior de Ulemas emitió una fetua </w:t>
      </w:r>
      <w:r w:rsidR="00673D5A" w:rsidRPr="00F35716">
        <w:t xml:space="preserve">en la que </w:t>
      </w:r>
      <w:r w:rsidRPr="00F35716">
        <w:t>afirma</w:t>
      </w:r>
      <w:r w:rsidR="00984CD0" w:rsidRPr="00F35716">
        <w:t>ba</w:t>
      </w:r>
      <w:r w:rsidRPr="00F35716">
        <w:t xml:space="preserve"> que las mujeres deben </w:t>
      </w:r>
      <w:r w:rsidR="00673D5A" w:rsidRPr="00F35716">
        <w:t>obtener</w:t>
      </w:r>
      <w:r w:rsidRPr="00F35716">
        <w:t xml:space="preserve"> los mismos </w:t>
      </w:r>
      <w:r w:rsidR="00673D5A" w:rsidRPr="00F35716">
        <w:t>beneficios materiales y en especie</w:t>
      </w:r>
      <w:r w:rsidRPr="00F35716">
        <w:t xml:space="preserve"> que los hombres</w:t>
      </w:r>
      <w:r w:rsidR="00673D5A" w:rsidRPr="00F35716">
        <w:t xml:space="preserve"> en</w:t>
      </w:r>
      <w:r w:rsidRPr="00F35716">
        <w:t xml:space="preserve"> las operaciones inmobiliarias de tierras colectivas.</w:t>
      </w:r>
      <w:r w:rsidR="00673D5A" w:rsidRPr="00F35716">
        <w:t xml:space="preserve"> El Código de Habices de 2010</w:t>
      </w:r>
      <w:r w:rsidR="009539C6" w:rsidRPr="00F35716">
        <w:t xml:space="preserve"> dispone la abolición del trato de favor que se da a los hombres frente a las mujeres.</w:t>
      </w:r>
      <w:r w:rsidRPr="00F35716">
        <w:t xml:space="preserve"> </w:t>
      </w:r>
      <w:r w:rsidR="009539C6" w:rsidRPr="00F35716">
        <w:t>Su</w:t>
      </w:r>
      <w:r w:rsidRPr="00F35716">
        <w:t xml:space="preserve"> artículo 113 </w:t>
      </w:r>
      <w:r w:rsidR="00673D5A" w:rsidRPr="00F35716">
        <w:t>establece</w:t>
      </w:r>
      <w:r w:rsidRPr="00F35716">
        <w:t xml:space="preserve"> que la devolución de</w:t>
      </w:r>
      <w:r w:rsidR="005D631A" w:rsidRPr="00F35716">
        <w:t>l legado</w:t>
      </w:r>
      <w:r w:rsidRPr="00F35716">
        <w:t xml:space="preserve"> suspendid</w:t>
      </w:r>
      <w:r w:rsidR="005D631A" w:rsidRPr="00F35716">
        <w:t>o</w:t>
      </w:r>
      <w:r w:rsidRPr="00F35716">
        <w:t xml:space="preserve"> se dividirá en partes iguales entre </w:t>
      </w:r>
      <w:r w:rsidR="00673D5A" w:rsidRPr="00F35716">
        <w:t>los beneficiarios</w:t>
      </w:r>
      <w:r w:rsidRPr="00F35716">
        <w:t xml:space="preserve">, hombres y mujeres, a menos que el testador haya dispuesto otra cosa. </w:t>
      </w:r>
    </w:p>
    <w:p w14:paraId="32E94674" w14:textId="3D227B7F" w:rsidR="00EC3C86" w:rsidRPr="00F35716" w:rsidRDefault="00EC3C86" w:rsidP="00B3192A">
      <w:pPr>
        <w:pStyle w:val="SingleTxt"/>
        <w:numPr>
          <w:ilvl w:val="0"/>
          <w:numId w:val="8"/>
        </w:numPr>
        <w:ind w:left="1267" w:firstLine="0"/>
      </w:pPr>
      <w:r w:rsidRPr="00F35716">
        <w:lastRenderedPageBreak/>
        <w:t xml:space="preserve">El Consejo de Gobierno aprobó tres leyes, la más importante de las cuales es la Ley núm. 62-17 (agosto de 2019) sobre la Tutela Administrativa de las Tierras Colectivas, que consagra la igualdad entre mujeres y hombres en los derechos y deberes. </w:t>
      </w:r>
    </w:p>
    <w:p w14:paraId="32E94675" w14:textId="77777777" w:rsidR="00801A38" w:rsidRPr="00F35716" w:rsidRDefault="00801A38" w:rsidP="00801A38">
      <w:pPr>
        <w:pStyle w:val="SingleTxt"/>
        <w:spacing w:after="0" w:line="120" w:lineRule="exact"/>
        <w:rPr>
          <w:sz w:val="10"/>
          <w:szCs w:val="20"/>
        </w:rPr>
      </w:pPr>
      <w:bookmarkStart w:id="64" w:name="_Toc24015486"/>
    </w:p>
    <w:p w14:paraId="32E94676" w14:textId="77777777" w:rsidR="00EC3C86" w:rsidRPr="00F35716" w:rsidRDefault="00DC7516"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bookmarkStart w:id="65" w:name="_Toc28165908"/>
      <w:r w:rsidRPr="00F35716">
        <w:rPr>
          <w:bCs w:val="0"/>
          <w:szCs w:val="20"/>
        </w:rPr>
        <w:tab/>
      </w:r>
      <w:r w:rsidRPr="00F35716">
        <w:rPr>
          <w:bCs w:val="0"/>
          <w:szCs w:val="20"/>
        </w:rPr>
        <w:tab/>
      </w:r>
      <w:r w:rsidR="00EC3C86" w:rsidRPr="00F35716">
        <w:rPr>
          <w:bCs w:val="0"/>
          <w:szCs w:val="20"/>
        </w:rPr>
        <w:t>Artículo 16</w:t>
      </w:r>
      <w:bookmarkEnd w:id="64"/>
      <w:bookmarkEnd w:id="65"/>
    </w:p>
    <w:p w14:paraId="32E94677" w14:textId="77777777" w:rsidR="00801A38" w:rsidRPr="00F35716" w:rsidRDefault="00801A38" w:rsidP="00801A38">
      <w:pPr>
        <w:pStyle w:val="SingleTxt"/>
        <w:spacing w:after="0" w:line="120" w:lineRule="exact"/>
        <w:rPr>
          <w:sz w:val="10"/>
          <w:szCs w:val="20"/>
        </w:rPr>
      </w:pPr>
    </w:p>
    <w:p w14:paraId="32E94678" w14:textId="30912CB1" w:rsidR="00EC3C86" w:rsidRPr="00F35716" w:rsidRDefault="00EC3C86" w:rsidP="00B3192A">
      <w:pPr>
        <w:pStyle w:val="SingleTxt"/>
        <w:numPr>
          <w:ilvl w:val="0"/>
          <w:numId w:val="8"/>
        </w:numPr>
        <w:ind w:left="1267" w:firstLine="0"/>
      </w:pPr>
      <w:r w:rsidRPr="00F35716">
        <w:t>El Código de Familia consagra un</w:t>
      </w:r>
      <w:r w:rsidR="005D631A" w:rsidRPr="00F35716">
        <w:t>a serie de</w:t>
      </w:r>
      <w:r w:rsidRPr="00F35716">
        <w:t xml:space="preserve"> derechos. Entre otros, garantiza el derecho al matrimonio y la libertad de elegir un cónyuge para mujeres y hombres (artículo 25)</w:t>
      </w:r>
      <w:r w:rsidR="005D631A" w:rsidRPr="00F35716">
        <w:t>;</w:t>
      </w:r>
      <w:r w:rsidRPr="00F35716">
        <w:t xml:space="preserve"> la igualdad de derechos durante el matrimonio y </w:t>
      </w:r>
      <w:r w:rsidR="005D631A" w:rsidRPr="00F35716">
        <w:t xml:space="preserve">tras </w:t>
      </w:r>
      <w:r w:rsidRPr="00F35716">
        <w:t>su disolución</w:t>
      </w:r>
      <w:r w:rsidR="005D631A" w:rsidRPr="00F35716">
        <w:t>;</w:t>
      </w:r>
      <w:r w:rsidRPr="00F35716">
        <w:t xml:space="preserve"> la responsabilidad conjunta de los cónyuges </w:t>
      </w:r>
      <w:r w:rsidR="00A85D31" w:rsidRPr="00F35716">
        <w:t>para con</w:t>
      </w:r>
      <w:r w:rsidRPr="00F35716">
        <w:t xml:space="preserve"> los hijos (artículo 4)</w:t>
      </w:r>
      <w:r w:rsidR="00A85D31" w:rsidRPr="00F35716">
        <w:t>;</w:t>
      </w:r>
      <w:r w:rsidRPr="00F35716">
        <w:t xml:space="preserve"> el derecho de las mujeres divorciadas </w:t>
      </w:r>
      <w:r w:rsidR="00984CD0" w:rsidRPr="00F35716">
        <w:t>de</w:t>
      </w:r>
      <w:r w:rsidRPr="00F35716">
        <w:t xml:space="preserve"> beneficiarse de los </w:t>
      </w:r>
      <w:r w:rsidR="00A85D31" w:rsidRPr="00F35716">
        <w:t>bienes comunes adquiridos</w:t>
      </w:r>
      <w:r w:rsidRPr="00F35716">
        <w:t xml:space="preserve"> durante </w:t>
      </w:r>
      <w:r w:rsidR="00A85D31" w:rsidRPr="00F35716">
        <w:t>el matrimonio</w:t>
      </w:r>
      <w:r w:rsidRPr="00F35716">
        <w:t xml:space="preserve"> (artículo 49)</w:t>
      </w:r>
      <w:r w:rsidR="00A85D31" w:rsidRPr="00F35716">
        <w:t>;</w:t>
      </w:r>
      <w:r w:rsidRPr="00F35716">
        <w:t xml:space="preserve"> y el derecho a </w:t>
      </w:r>
      <w:r w:rsidR="00A85D31" w:rsidRPr="00F35716">
        <w:t>la división de</w:t>
      </w:r>
      <w:r w:rsidRPr="00F35716">
        <w:t xml:space="preserve"> l</w:t>
      </w:r>
      <w:r w:rsidR="00A85D31" w:rsidRPr="00F35716">
        <w:t>os bienes</w:t>
      </w:r>
      <w:r w:rsidRPr="00F35716">
        <w:t xml:space="preserve"> </w:t>
      </w:r>
      <w:r w:rsidR="00A85D31" w:rsidRPr="00F35716">
        <w:t>tras</w:t>
      </w:r>
      <w:r w:rsidRPr="00F35716">
        <w:t xml:space="preserve"> la disolución del matrimonio. Asimismo, eleva la edad del matrimonio a 18 años para ambos cónyuges (artículo 19)</w:t>
      </w:r>
      <w:r w:rsidR="00A85D31" w:rsidRPr="00F35716">
        <w:t>;</w:t>
      </w:r>
      <w:r w:rsidRPr="00F35716">
        <w:t xml:space="preserve"> restringe la poligamia (artículos 40 y 41)</w:t>
      </w:r>
      <w:r w:rsidR="00A85D31" w:rsidRPr="00F35716">
        <w:t>;</w:t>
      </w:r>
      <w:r w:rsidRPr="00F35716">
        <w:t xml:space="preserve"> pone el divorcio bajo la supervisión del poder judicial</w:t>
      </w:r>
      <w:r w:rsidR="00984CD0" w:rsidRPr="00F35716">
        <w:t xml:space="preserve"> y</w:t>
      </w:r>
      <w:r w:rsidRPr="00F35716">
        <w:t xml:space="preserve"> confiere a ambos cónyuges el derecho al divorcio y el repudio (artículo 78)</w:t>
      </w:r>
      <w:r w:rsidR="00984CD0" w:rsidRPr="00F35716">
        <w:t>;</w:t>
      </w:r>
      <w:r w:rsidRPr="00F35716">
        <w:t xml:space="preserve"> </w:t>
      </w:r>
      <w:r w:rsidR="00A85D31" w:rsidRPr="00F35716">
        <w:t>y prohíbe</w:t>
      </w:r>
      <w:r w:rsidRPr="00F35716">
        <w:t xml:space="preserve"> que un hombre se case con una segunda mujer sin el consentimiento de la primera esposa (artículo 43). También adopta el procedimiento de discordia, que permite que hombres y mujeres se divorcien, a instancia de un</w:t>
      </w:r>
      <w:r w:rsidR="00A85D31" w:rsidRPr="00F35716">
        <w:t>a</w:t>
      </w:r>
      <w:r w:rsidRPr="00F35716">
        <w:t xml:space="preserve"> de </w:t>
      </w:r>
      <w:r w:rsidR="00A85D31" w:rsidRPr="00F35716">
        <w:t>las partes</w:t>
      </w:r>
      <w:r w:rsidRPr="00F35716">
        <w:t>, acogiéndose a las disposiciones de discordia</w:t>
      </w:r>
      <w:r w:rsidR="00A85D31" w:rsidRPr="00F35716">
        <w:t>;</w:t>
      </w:r>
      <w:r w:rsidRPr="00F35716">
        <w:t xml:space="preserve"> y regula la custodia basándose en el principio del interés superior del niño, al tiempo que unifica sus disposiciones para conceder la custodia a ambos sexos (artículos 166 y</w:t>
      </w:r>
      <w:r w:rsidR="00075FA3">
        <w:t> </w:t>
      </w:r>
      <w:r w:rsidRPr="00F35716">
        <w:t>171).</w:t>
      </w:r>
    </w:p>
    <w:p w14:paraId="32E94679" w14:textId="5F0B3623" w:rsidR="00EC3C86" w:rsidRPr="00F35716" w:rsidRDefault="00EC3C86" w:rsidP="00B3192A">
      <w:pPr>
        <w:pStyle w:val="SingleTxt"/>
        <w:numPr>
          <w:ilvl w:val="0"/>
          <w:numId w:val="8"/>
        </w:numPr>
        <w:ind w:left="1267" w:firstLine="0"/>
      </w:pPr>
      <w:r w:rsidRPr="00F35716">
        <w:t xml:space="preserve">Se han tomado varias medidas para garantizar la correcta </w:t>
      </w:r>
      <w:r w:rsidR="00A85D31" w:rsidRPr="00F35716">
        <w:t xml:space="preserve">aplicación </w:t>
      </w:r>
      <w:r w:rsidRPr="00F35716">
        <w:t>del Código. Entre ellas destacan las siguientes:</w:t>
      </w:r>
      <w:r w:rsidR="00BD7E71" w:rsidRPr="00F35716">
        <w:t xml:space="preserve"> </w:t>
      </w:r>
    </w:p>
    <w:p w14:paraId="32E9467A" w14:textId="37779D7E" w:rsidR="00EC3C86" w:rsidRPr="00F35716" w:rsidRDefault="00E053D6" w:rsidP="00E053D6">
      <w:pPr>
        <w:pStyle w:val="SingleTxt"/>
        <w:tabs>
          <w:tab w:val="right" w:pos="1685"/>
        </w:tabs>
        <w:ind w:left="1742" w:hanging="475"/>
      </w:pPr>
      <w:r w:rsidRPr="00F35716">
        <w:tab/>
        <w:t>–</w:t>
      </w:r>
      <w:r w:rsidRPr="00F35716">
        <w:tab/>
      </w:r>
      <w:r w:rsidR="00EC3C86" w:rsidRPr="00F35716">
        <w:t xml:space="preserve">La creación de </w:t>
      </w:r>
      <w:r w:rsidR="00A85D31" w:rsidRPr="00F35716">
        <w:t xml:space="preserve">salas </w:t>
      </w:r>
      <w:r w:rsidR="00EC3C86" w:rsidRPr="00F35716">
        <w:t>especial</w:t>
      </w:r>
      <w:r w:rsidR="00A85D31" w:rsidRPr="00F35716">
        <w:t>es de justicia familiar</w:t>
      </w:r>
      <w:r w:rsidR="00E578C9" w:rsidRPr="00F35716">
        <w:t xml:space="preserve"> en los tribunales.</w:t>
      </w:r>
    </w:p>
    <w:p w14:paraId="32E9467B" w14:textId="77777777" w:rsidR="00EC3C86" w:rsidRPr="00F35716" w:rsidRDefault="00E053D6" w:rsidP="00E053D6">
      <w:pPr>
        <w:pStyle w:val="SingleTxt"/>
        <w:tabs>
          <w:tab w:val="right" w:pos="1685"/>
        </w:tabs>
        <w:ind w:left="1742" w:hanging="475"/>
      </w:pPr>
      <w:r w:rsidRPr="00F35716">
        <w:tab/>
        <w:t>–</w:t>
      </w:r>
      <w:r w:rsidRPr="00F35716">
        <w:tab/>
      </w:r>
      <w:r w:rsidR="00EC3C86" w:rsidRPr="00F35716">
        <w:t>La capacitación de jueces especializados en los derechos de las mujeres y la prestación de medios para motivarlos.</w:t>
      </w:r>
    </w:p>
    <w:p w14:paraId="32E9467C" w14:textId="2A9C8892" w:rsidR="00EC3C86" w:rsidRPr="00F35716" w:rsidRDefault="00E053D6" w:rsidP="00E053D6">
      <w:pPr>
        <w:pStyle w:val="SingleTxt"/>
        <w:tabs>
          <w:tab w:val="right" w:pos="1685"/>
        </w:tabs>
        <w:ind w:left="1742" w:hanging="475"/>
      </w:pPr>
      <w:r w:rsidRPr="00F35716">
        <w:tab/>
        <w:t>–</w:t>
      </w:r>
      <w:r w:rsidRPr="00F35716">
        <w:tab/>
      </w:r>
      <w:r w:rsidR="00EC3C86" w:rsidRPr="00F35716">
        <w:t xml:space="preserve">La formación continua de jueces para que cumplan mejor sus </w:t>
      </w:r>
      <w:r w:rsidR="008B3249" w:rsidRPr="00F35716">
        <w:t>funciones</w:t>
      </w:r>
      <w:r w:rsidR="00EC3C86" w:rsidRPr="00F35716">
        <w:t xml:space="preserve"> en el </w:t>
      </w:r>
      <w:r w:rsidR="008B3249" w:rsidRPr="00F35716">
        <w:t xml:space="preserve">ámbito </w:t>
      </w:r>
      <w:r w:rsidR="00EC3C86" w:rsidRPr="00F35716">
        <w:t>de la protección de los derechos de las mujeres.</w:t>
      </w:r>
    </w:p>
    <w:p w14:paraId="32E9467D" w14:textId="426E61FB" w:rsidR="00EC3C86" w:rsidRPr="00F35716" w:rsidRDefault="00E053D6" w:rsidP="00E053D6">
      <w:pPr>
        <w:pStyle w:val="SingleTxt"/>
        <w:tabs>
          <w:tab w:val="right" w:pos="1685"/>
        </w:tabs>
        <w:ind w:left="1742" w:hanging="475"/>
      </w:pPr>
      <w:r w:rsidRPr="00F35716">
        <w:tab/>
        <w:t>–</w:t>
      </w:r>
      <w:r w:rsidRPr="00F35716">
        <w:tab/>
      </w:r>
      <w:r w:rsidR="00EC3C86" w:rsidRPr="00F35716">
        <w:t xml:space="preserve">La publicación anual de estadísticas sobre la aplicación del Código de Familia para que las asociaciones y </w:t>
      </w:r>
      <w:r w:rsidR="008B3249" w:rsidRPr="00F35716">
        <w:t xml:space="preserve">otros </w:t>
      </w:r>
      <w:r w:rsidR="00EC3C86" w:rsidRPr="00F35716">
        <w:t xml:space="preserve">agentes </w:t>
      </w:r>
      <w:r w:rsidR="008B3249" w:rsidRPr="00F35716">
        <w:t>puedan hacer</w:t>
      </w:r>
      <w:r w:rsidR="00EC3C86" w:rsidRPr="00F35716">
        <w:t xml:space="preserve"> un seguimiento de dicha aplicación.</w:t>
      </w:r>
    </w:p>
    <w:p w14:paraId="32E9467E" w14:textId="0A79A51C" w:rsidR="00EC3C86" w:rsidRPr="00F35716" w:rsidRDefault="00E053D6" w:rsidP="00E053D6">
      <w:pPr>
        <w:pStyle w:val="SingleTxt"/>
        <w:tabs>
          <w:tab w:val="right" w:pos="1685"/>
        </w:tabs>
        <w:ind w:left="1742" w:hanging="475"/>
      </w:pPr>
      <w:r w:rsidRPr="00F35716">
        <w:tab/>
        <w:t>–</w:t>
      </w:r>
      <w:r w:rsidRPr="00F35716">
        <w:tab/>
      </w:r>
      <w:r w:rsidR="00EC3C86" w:rsidRPr="00F35716">
        <w:t xml:space="preserve">El envío de memorandos a </w:t>
      </w:r>
      <w:r w:rsidR="008B3249" w:rsidRPr="00F35716">
        <w:t xml:space="preserve">todos los </w:t>
      </w:r>
      <w:r w:rsidR="00EC3C86" w:rsidRPr="00F35716">
        <w:t>fiscal</w:t>
      </w:r>
      <w:r w:rsidR="008B3249" w:rsidRPr="00F35716">
        <w:t>es</w:t>
      </w:r>
      <w:r w:rsidR="00EC3C86" w:rsidRPr="00F35716">
        <w:t xml:space="preserve"> para </w:t>
      </w:r>
      <w:r w:rsidR="008B3249" w:rsidRPr="00F35716">
        <w:t xml:space="preserve">hacer cumplir </w:t>
      </w:r>
      <w:r w:rsidR="00EC3C86" w:rsidRPr="00F35716">
        <w:t>las disposiciones que buscan acabar con la violencia contra las mujeres.</w:t>
      </w:r>
    </w:p>
    <w:p w14:paraId="32E9467F" w14:textId="39CC9219" w:rsidR="00EC3C86" w:rsidRPr="00F35716" w:rsidRDefault="00E053D6" w:rsidP="00E053D6">
      <w:pPr>
        <w:pStyle w:val="SingleTxt"/>
        <w:tabs>
          <w:tab w:val="right" w:pos="1685"/>
        </w:tabs>
        <w:ind w:left="1742" w:hanging="475"/>
      </w:pPr>
      <w:r w:rsidRPr="00F35716">
        <w:tab/>
        <w:t>–</w:t>
      </w:r>
      <w:r w:rsidRPr="00F35716">
        <w:tab/>
      </w:r>
      <w:r w:rsidR="00EC3C86" w:rsidRPr="00F35716">
        <w:t xml:space="preserve">La formación de unidades de comunicación con los centros de </w:t>
      </w:r>
      <w:r w:rsidR="008B3249" w:rsidRPr="00F35716">
        <w:t>asesoramiento</w:t>
      </w:r>
      <w:r w:rsidR="00EC3C86" w:rsidRPr="00F35716">
        <w:t xml:space="preserve"> </w:t>
      </w:r>
      <w:r w:rsidR="008B3249" w:rsidRPr="00F35716">
        <w:t>en las fiscalías</w:t>
      </w:r>
      <w:r w:rsidR="00EC3C86" w:rsidRPr="00F35716">
        <w:t xml:space="preserve">, supervisadas por </w:t>
      </w:r>
      <w:r w:rsidR="008B3249" w:rsidRPr="00F35716">
        <w:t>una Fiscal General Adjunta o Fiscal Adjunta del Rey</w:t>
      </w:r>
      <w:r w:rsidR="00EC3C86" w:rsidRPr="00F35716">
        <w:t>.</w:t>
      </w:r>
    </w:p>
    <w:p w14:paraId="32E94680" w14:textId="5B272EDA" w:rsidR="00EC3C86" w:rsidRPr="00F35716" w:rsidRDefault="00E053D6" w:rsidP="00E053D6">
      <w:pPr>
        <w:pStyle w:val="SingleTxt"/>
        <w:tabs>
          <w:tab w:val="right" w:pos="1685"/>
        </w:tabs>
        <w:ind w:left="1742" w:hanging="475"/>
      </w:pPr>
      <w:r w:rsidRPr="00F35716">
        <w:tab/>
        <w:t>–</w:t>
      </w:r>
      <w:r w:rsidRPr="00F35716">
        <w:tab/>
      </w:r>
      <w:r w:rsidR="00EC3C86" w:rsidRPr="00F35716">
        <w:t xml:space="preserve">La realización de campañas de </w:t>
      </w:r>
      <w:r w:rsidR="008B3249" w:rsidRPr="00F35716">
        <w:t>verificación</w:t>
      </w:r>
      <w:r w:rsidR="00EC3C86" w:rsidRPr="00F35716">
        <w:t xml:space="preserve"> matrimonial para </w:t>
      </w:r>
      <w:r w:rsidR="008B3249" w:rsidRPr="00F35716">
        <w:t>documentar los</w:t>
      </w:r>
      <w:r w:rsidR="00EC3C86" w:rsidRPr="00F35716">
        <w:t xml:space="preserve"> matrimonio</w:t>
      </w:r>
      <w:r w:rsidR="008A44DE" w:rsidRPr="00F35716">
        <w:t>s</w:t>
      </w:r>
      <w:r w:rsidR="00EC3C86" w:rsidRPr="00F35716">
        <w:t xml:space="preserve"> a fin de preservar los derechos de las mujeres, que </w:t>
      </w:r>
      <w:r w:rsidR="008A44DE" w:rsidRPr="00F35716">
        <w:t>han dado lugar a una</w:t>
      </w:r>
      <w:r w:rsidR="00EC3C86" w:rsidRPr="00F35716">
        <w:t xml:space="preserve"> disminución del número de matrimonios </w:t>
      </w:r>
      <w:r w:rsidR="008A44DE" w:rsidRPr="00F35716">
        <w:t xml:space="preserve">no </w:t>
      </w:r>
      <w:r w:rsidR="00EC3C86" w:rsidRPr="00F35716">
        <w:t xml:space="preserve">documentados. </w:t>
      </w:r>
    </w:p>
    <w:p w14:paraId="32E94681" w14:textId="4D01C871" w:rsidR="00EC3C86" w:rsidRPr="00F35716" w:rsidRDefault="00E053D6" w:rsidP="00E053D6">
      <w:pPr>
        <w:pStyle w:val="SingleTxt"/>
        <w:tabs>
          <w:tab w:val="right" w:pos="1685"/>
        </w:tabs>
        <w:ind w:left="1742" w:hanging="475"/>
      </w:pPr>
      <w:r w:rsidRPr="00F35716">
        <w:tab/>
        <w:t>–</w:t>
      </w:r>
      <w:r w:rsidRPr="00F35716">
        <w:tab/>
      </w:r>
      <w:r w:rsidR="00EC3C86" w:rsidRPr="00F35716">
        <w:t xml:space="preserve">El número de sentencias </w:t>
      </w:r>
      <w:r w:rsidR="008A44DE" w:rsidRPr="00F35716">
        <w:t>dictadas</w:t>
      </w:r>
      <w:r w:rsidR="00EC3C86" w:rsidRPr="00F35716">
        <w:t xml:space="preserve"> </w:t>
      </w:r>
      <w:r w:rsidR="008A44DE" w:rsidRPr="00F35716">
        <w:t>para documentar</w:t>
      </w:r>
      <w:r w:rsidR="00EC3C86" w:rsidRPr="00F35716">
        <w:t xml:space="preserve"> matrimonio</w:t>
      </w:r>
      <w:r w:rsidR="008A44DE" w:rsidRPr="00F35716">
        <w:t>s</w:t>
      </w:r>
      <w:r w:rsidR="00EC3C86" w:rsidRPr="00F35716">
        <w:t xml:space="preserve"> disminuyó de 16.332 en 2014 a 1.871 en 2016.</w:t>
      </w:r>
    </w:p>
    <w:p w14:paraId="32E94682" w14:textId="288D2CBA" w:rsidR="00EC3C86" w:rsidRPr="00F35716" w:rsidRDefault="00EC3C86" w:rsidP="00646D98">
      <w:pPr>
        <w:pStyle w:val="SingleTxt"/>
        <w:keepLines/>
        <w:numPr>
          <w:ilvl w:val="0"/>
          <w:numId w:val="8"/>
        </w:numPr>
        <w:ind w:left="1267" w:firstLine="0"/>
      </w:pPr>
      <w:r w:rsidRPr="00F35716">
        <w:t xml:space="preserve">La </w:t>
      </w:r>
      <w:r w:rsidR="008A44DE" w:rsidRPr="00F35716">
        <w:t xml:space="preserve">aplicación </w:t>
      </w:r>
      <w:r w:rsidRPr="00F35716">
        <w:t xml:space="preserve">del Código </w:t>
      </w:r>
      <w:r w:rsidR="009D1B5F" w:rsidRPr="00F35716">
        <w:t xml:space="preserve">ha </w:t>
      </w:r>
      <w:r w:rsidRPr="00F35716">
        <w:t>permiti</w:t>
      </w:r>
      <w:r w:rsidR="009D1B5F" w:rsidRPr="00F35716">
        <w:t>do</w:t>
      </w:r>
      <w:r w:rsidRPr="00F35716">
        <w:t xml:space="preserve"> obtener much</w:t>
      </w:r>
      <w:r w:rsidR="008A44DE" w:rsidRPr="00F35716">
        <w:t>o</w:t>
      </w:r>
      <w:r w:rsidRPr="00F35716">
        <w:t xml:space="preserve">s </w:t>
      </w:r>
      <w:r w:rsidR="008A44DE" w:rsidRPr="00F35716">
        <w:t>beneficios</w:t>
      </w:r>
      <w:r w:rsidRPr="00F35716">
        <w:t>, ya que se observ</w:t>
      </w:r>
      <w:r w:rsidR="009D1B5F" w:rsidRPr="00F35716">
        <w:t>a</w:t>
      </w:r>
      <w:r w:rsidRPr="00F35716">
        <w:t xml:space="preserve"> una tendencia al alza en la </w:t>
      </w:r>
      <w:r w:rsidR="00051DE1" w:rsidRPr="00F35716">
        <w:t>documentación</w:t>
      </w:r>
      <w:r w:rsidRPr="00F35716">
        <w:t xml:space="preserve"> del matrimonio. En concreto, se registró un aumento entre los aproximadamente 237.000 matrimoni</w:t>
      </w:r>
      <w:r w:rsidR="008A44DE" w:rsidRPr="00F35716">
        <w:t>os contraídos</w:t>
      </w:r>
      <w:r w:rsidRPr="00F35716">
        <w:t xml:space="preserve"> en 2004 y los más de 280.000 de 2017. </w:t>
      </w:r>
    </w:p>
    <w:p w14:paraId="32E94683" w14:textId="7529C9F8" w:rsidR="00EC3C86" w:rsidRPr="00F35716" w:rsidRDefault="002E50CA" w:rsidP="00B3192A">
      <w:pPr>
        <w:pStyle w:val="SingleTxt"/>
        <w:numPr>
          <w:ilvl w:val="0"/>
          <w:numId w:val="8"/>
        </w:numPr>
        <w:ind w:left="1267" w:firstLine="0"/>
      </w:pPr>
      <w:r w:rsidRPr="00F35716">
        <w:t>En relación con el párrafo 37 de las observaciones finales</w:t>
      </w:r>
      <w:r w:rsidR="00EC3C86" w:rsidRPr="00F35716">
        <w:t xml:space="preserve">, la aplicación de las disposiciones del Código </w:t>
      </w:r>
      <w:r w:rsidR="009D1B5F" w:rsidRPr="00F35716">
        <w:t xml:space="preserve">ha </w:t>
      </w:r>
      <w:r w:rsidR="00EC3C86" w:rsidRPr="00F35716">
        <w:t>ayud</w:t>
      </w:r>
      <w:r w:rsidR="009D1B5F" w:rsidRPr="00F35716">
        <w:t>ado</w:t>
      </w:r>
      <w:r w:rsidR="00EC3C86" w:rsidRPr="00F35716">
        <w:t xml:space="preserve"> a garantizar una m</w:t>
      </w:r>
      <w:r w:rsidR="009D1B5F" w:rsidRPr="00F35716">
        <w:t>ayor</w:t>
      </w:r>
      <w:r w:rsidR="00EC3C86" w:rsidRPr="00F35716">
        <w:t xml:space="preserve"> estabilidad en lo tocante a la poligamia, </w:t>
      </w:r>
      <w:r w:rsidR="009D1B5F" w:rsidRPr="00F35716">
        <w:t>que suponía</w:t>
      </w:r>
      <w:r w:rsidR="00EC3C86" w:rsidRPr="00F35716">
        <w:t xml:space="preserve"> el 0,38</w:t>
      </w:r>
      <w:r w:rsidR="0006736D" w:rsidRPr="00F35716">
        <w:t> %</w:t>
      </w:r>
      <w:r w:rsidR="00EC3C86" w:rsidRPr="00F35716">
        <w:t xml:space="preserve"> del total de los matrimonio</w:t>
      </w:r>
      <w:r w:rsidR="009D1B5F" w:rsidRPr="00F35716">
        <w:t>s contraídos</w:t>
      </w:r>
      <w:r w:rsidR="00EC3C86" w:rsidRPr="00F35716">
        <w:t xml:space="preserve"> en 2016. </w:t>
      </w:r>
      <w:r w:rsidR="00984CD0" w:rsidRPr="00F35716">
        <w:lastRenderedPageBreak/>
        <w:t>E</w:t>
      </w:r>
      <w:r w:rsidR="009D1B5F" w:rsidRPr="00F35716">
        <w:t>l porcentaje de certificados de</w:t>
      </w:r>
      <w:r w:rsidR="00EC3C86" w:rsidRPr="00F35716">
        <w:t xml:space="preserve"> matrimonio</w:t>
      </w:r>
      <w:r w:rsidR="009D1B5F" w:rsidRPr="00F35716">
        <w:t xml:space="preserve"> registrados</w:t>
      </w:r>
      <w:r w:rsidR="00EC3C86" w:rsidRPr="00F35716">
        <w:t xml:space="preserve"> </w:t>
      </w:r>
      <w:r w:rsidR="009D1B5F" w:rsidRPr="00F35716">
        <w:t>en</w:t>
      </w:r>
      <w:r w:rsidR="00EC3C86" w:rsidRPr="00F35716">
        <w:t xml:space="preserve"> 2012, 2013 y 2017 alcanzó un</w:t>
      </w:r>
      <w:r w:rsidR="008B6DC9" w:rsidRPr="00F35716">
        <w:t> </w:t>
      </w:r>
      <w:r w:rsidR="00EC3C86" w:rsidRPr="00F35716">
        <w:t>total de 0,26</w:t>
      </w:r>
      <w:r w:rsidR="0006736D" w:rsidRPr="00F35716">
        <w:t> %</w:t>
      </w:r>
      <w:r w:rsidR="00EC3C86" w:rsidRPr="00F35716">
        <w:t xml:space="preserve">, </w:t>
      </w:r>
      <w:r w:rsidR="00984CD0" w:rsidRPr="00F35716">
        <w:t>y</w:t>
      </w:r>
      <w:r w:rsidR="00EC3C86" w:rsidRPr="00F35716">
        <w:t xml:space="preserve"> </w:t>
      </w:r>
      <w:r w:rsidR="009D1B5F" w:rsidRPr="00F35716">
        <w:t xml:space="preserve">se situó </w:t>
      </w:r>
      <w:r w:rsidR="00EC3C86" w:rsidRPr="00F35716">
        <w:t>entre el 0,28</w:t>
      </w:r>
      <w:r w:rsidR="0006736D" w:rsidRPr="00F35716">
        <w:t> %</w:t>
      </w:r>
      <w:r w:rsidR="00EC3C86" w:rsidRPr="00F35716">
        <w:t xml:space="preserve"> en 2014 y el</w:t>
      </w:r>
      <w:r w:rsidR="008B6DC9" w:rsidRPr="00F35716">
        <w:t> </w:t>
      </w:r>
      <w:r w:rsidR="00EC3C86" w:rsidRPr="00F35716">
        <w:t>0,32</w:t>
      </w:r>
      <w:r w:rsidR="0006736D" w:rsidRPr="00F35716">
        <w:t> %</w:t>
      </w:r>
      <w:r w:rsidR="00EC3C86" w:rsidRPr="00F35716">
        <w:t xml:space="preserve"> en 2015.</w:t>
      </w:r>
    </w:p>
    <w:p w14:paraId="32E94684" w14:textId="3094363F" w:rsidR="00EC3C86" w:rsidRPr="00F35716" w:rsidRDefault="00EC3C86" w:rsidP="00B3192A">
      <w:pPr>
        <w:pStyle w:val="SingleTxt"/>
        <w:numPr>
          <w:ilvl w:val="0"/>
          <w:numId w:val="8"/>
        </w:numPr>
        <w:ind w:left="1267" w:firstLine="0"/>
      </w:pPr>
      <w:r w:rsidRPr="00F35716">
        <w:t>Los tribunales también recurrieron al procedimiento de conciliación para 20.278 familias en casos de divorcio en 2016, año en que l</w:t>
      </w:r>
      <w:r w:rsidR="009D1B5F" w:rsidRPr="00F35716">
        <w:t>a</w:t>
      </w:r>
      <w:r w:rsidRPr="00F35716">
        <w:t xml:space="preserve">s </w:t>
      </w:r>
      <w:r w:rsidR="009D1B5F" w:rsidRPr="00F35716">
        <w:t xml:space="preserve">salas </w:t>
      </w:r>
      <w:r w:rsidRPr="00F35716">
        <w:t xml:space="preserve">de justicia familiar registraron 114.352 casos de este tipo. Por otro lado, </w:t>
      </w:r>
      <w:r w:rsidR="009D1B5F" w:rsidRPr="00F35716">
        <w:t>los certificados de</w:t>
      </w:r>
      <w:r w:rsidRPr="00F35716">
        <w:t xml:space="preserve"> matrimonio de menores de edad disminuy</w:t>
      </w:r>
      <w:r w:rsidR="009D1B5F" w:rsidRPr="00F35716">
        <w:t>eron</w:t>
      </w:r>
      <w:r w:rsidRPr="00F35716">
        <w:t xml:space="preserve"> en 2017, cuando se registraron 262.098 matrimonios de este tipo, lo que supuso una disminución de más de </w:t>
      </w:r>
      <w:r w:rsidR="005636A0" w:rsidRPr="00F35716">
        <w:t>3 </w:t>
      </w:r>
      <w:r w:rsidRPr="00F35716">
        <w:t xml:space="preserve">puntos porcentuales </w:t>
      </w:r>
      <w:r w:rsidR="008E00D6" w:rsidRPr="00F35716">
        <w:t>con respecto a</w:t>
      </w:r>
      <w:r w:rsidRPr="00F35716">
        <w:t xml:space="preserve"> 2016, hasta el 9,72</w:t>
      </w:r>
      <w:r w:rsidR="0006736D" w:rsidRPr="00F35716">
        <w:t> %</w:t>
      </w:r>
      <w:r w:rsidRPr="00F35716">
        <w:t xml:space="preserve">. </w:t>
      </w:r>
    </w:p>
    <w:p w14:paraId="32E94685" w14:textId="2BA857E3" w:rsidR="00EC3C86" w:rsidRPr="00F35716" w:rsidRDefault="008E00D6" w:rsidP="00B3192A">
      <w:pPr>
        <w:pStyle w:val="SingleTxt"/>
        <w:numPr>
          <w:ilvl w:val="0"/>
          <w:numId w:val="8"/>
        </w:numPr>
        <w:ind w:left="1267" w:firstLine="0"/>
      </w:pPr>
      <w:r w:rsidRPr="00F35716">
        <w:t>En relación con e</w:t>
      </w:r>
      <w:r w:rsidR="002E50CA" w:rsidRPr="00F35716">
        <w:t>l párrafo 39 de las observaciones finales</w:t>
      </w:r>
      <w:r w:rsidR="00EC3C86" w:rsidRPr="00F35716">
        <w:t>, el número de documentos para administrar bienes adquiridos durante el matrimonio aumentó relativamente, pasando de 312 documentos en 2004 a 537 en 2017, aunque en 201</w:t>
      </w:r>
      <w:r w:rsidRPr="00F35716">
        <w:t>4</w:t>
      </w:r>
      <w:r w:rsidR="00EC3C86" w:rsidRPr="00F35716">
        <w:t xml:space="preserve"> llegó a 1.607.</w:t>
      </w:r>
    </w:p>
    <w:p w14:paraId="32E94686" w14:textId="1E3782A3" w:rsidR="00EC3C86" w:rsidRPr="00F35716" w:rsidRDefault="00EC3C86" w:rsidP="00B3192A">
      <w:pPr>
        <w:pStyle w:val="SingleTxt"/>
        <w:numPr>
          <w:ilvl w:val="0"/>
          <w:numId w:val="8"/>
        </w:numPr>
        <w:ind w:left="1267" w:firstLine="0"/>
      </w:pPr>
      <w:r w:rsidRPr="00F35716">
        <w:t>Se ha modificado el artículo 16 del Código de Familia con miras a prorrogar el período de transición para atender la demanda de constancia de matrimonio por cinco años adicionales, en virtud del artículo único de la Ley núm. 102</w:t>
      </w:r>
      <w:r w:rsidR="008E00D6" w:rsidRPr="00F35716">
        <w:t>-</w:t>
      </w:r>
      <w:r w:rsidRPr="00F35716">
        <w:t>15</w:t>
      </w:r>
      <w:r w:rsidR="008E00D6" w:rsidRPr="00F35716">
        <w:t xml:space="preserve"> de modificación</w:t>
      </w:r>
      <w:r w:rsidR="005636A0" w:rsidRPr="00F35716">
        <w:t xml:space="preserve"> </w:t>
      </w:r>
      <w:r w:rsidR="008E00D6" w:rsidRPr="00F35716">
        <w:t>d</w:t>
      </w:r>
      <w:r w:rsidRPr="00F35716">
        <w:t>el artículo 16 de la Ley núm. 70</w:t>
      </w:r>
      <w:r w:rsidR="008E00D6" w:rsidRPr="00F35716">
        <w:t>-</w:t>
      </w:r>
      <w:r w:rsidRPr="00F35716">
        <w:t xml:space="preserve">03 </w:t>
      </w:r>
      <w:r w:rsidR="008E00D6" w:rsidRPr="00F35716">
        <w:t xml:space="preserve">relativa al </w:t>
      </w:r>
      <w:r w:rsidRPr="00F35716">
        <w:t>Código de Familia, emitido por el Decreto núm. 1</w:t>
      </w:r>
      <w:r w:rsidR="008E00D6" w:rsidRPr="00F35716">
        <w:t>-</w:t>
      </w:r>
      <w:r w:rsidRPr="00F35716">
        <w:t>16</w:t>
      </w:r>
      <w:r w:rsidR="008E00D6" w:rsidRPr="00F35716">
        <w:t>-</w:t>
      </w:r>
      <w:r w:rsidRPr="00F35716">
        <w:t>2</w:t>
      </w:r>
      <w:r w:rsidR="008E00D6" w:rsidRPr="00F35716">
        <w:t xml:space="preserve">, de </w:t>
      </w:r>
      <w:r w:rsidRPr="00F35716">
        <w:t>12 de enero de 2016</w:t>
      </w:r>
      <w:r w:rsidR="008E00D6" w:rsidRPr="00F35716">
        <w:t>,</w:t>
      </w:r>
      <w:r w:rsidRPr="00F35716">
        <w:t xml:space="preserve"> y publicado en el Boletín Oficial núm. 6433 (enero de 2016).</w:t>
      </w:r>
    </w:p>
    <w:p w14:paraId="32E94687" w14:textId="43E3039C" w:rsidR="00EC3C86" w:rsidRPr="00F35716" w:rsidRDefault="00EC3C86" w:rsidP="00B3192A">
      <w:pPr>
        <w:pStyle w:val="SingleTxt"/>
        <w:numPr>
          <w:ilvl w:val="0"/>
          <w:numId w:val="8"/>
        </w:numPr>
        <w:ind w:left="1267" w:firstLine="0"/>
      </w:pPr>
      <w:r w:rsidRPr="00F35716">
        <w:t xml:space="preserve">En respuesta </w:t>
      </w:r>
      <w:r w:rsidR="002E50CA" w:rsidRPr="00F35716">
        <w:t>al párrafo 35 de las observaciones finales</w:t>
      </w:r>
      <w:r w:rsidRPr="00F35716">
        <w:t xml:space="preserve">, la Fiscalía </w:t>
      </w:r>
      <w:r w:rsidR="009E32DF" w:rsidRPr="00F35716">
        <w:t>envió</w:t>
      </w:r>
      <w:r w:rsidRPr="00F35716">
        <w:t xml:space="preserve"> </w:t>
      </w:r>
      <w:r w:rsidR="009E32DF" w:rsidRPr="00F35716">
        <w:t>la circular núm. 20/29 (2018)</w:t>
      </w:r>
      <w:r w:rsidR="009E32DF" w:rsidRPr="00F35716">
        <w:rPr>
          <w:vertAlign w:val="superscript"/>
        </w:rPr>
        <w:footnoteReference w:id="96"/>
      </w:r>
      <w:r w:rsidR="009E32DF" w:rsidRPr="00F35716">
        <w:t xml:space="preserve"> </w:t>
      </w:r>
      <w:r w:rsidRPr="00F35716">
        <w:t>a l</w:t>
      </w:r>
      <w:r w:rsidR="009E32DF" w:rsidRPr="00F35716">
        <w:t>os fiscales de diversos</w:t>
      </w:r>
      <w:r w:rsidRPr="00F35716">
        <w:t xml:space="preserve"> tribunales, </w:t>
      </w:r>
      <w:r w:rsidR="009E32DF" w:rsidRPr="00F35716">
        <w:t>instándolos a</w:t>
      </w:r>
      <w:r w:rsidRPr="00F35716">
        <w:t xml:space="preserve"> garantizar que las peticiones se presenten a los jueces de conformidad con la intención del legislador de </w:t>
      </w:r>
      <w:r w:rsidR="00B941DD" w:rsidRPr="00F35716">
        <w:t>supeditar</w:t>
      </w:r>
      <w:r w:rsidRPr="00F35716">
        <w:t xml:space="preserve"> el matrimonio antes de la </w:t>
      </w:r>
      <w:r w:rsidR="009E32DF" w:rsidRPr="00F35716">
        <w:t xml:space="preserve">mayoría </w:t>
      </w:r>
      <w:r w:rsidRPr="00F35716">
        <w:t xml:space="preserve">edad </w:t>
      </w:r>
      <w:r w:rsidR="009E32DF" w:rsidRPr="00F35716">
        <w:t>a</w:t>
      </w:r>
      <w:r w:rsidRPr="00F35716">
        <w:t xml:space="preserve"> la aprobación del poder judicial. Asimismo, los exhortó a oponerse a las solicitudes de matrimonio que no tengan en cuenta </w:t>
      </w:r>
      <w:r w:rsidR="009E32DF" w:rsidRPr="00F35716">
        <w:t>el interés superior</w:t>
      </w:r>
      <w:r w:rsidRPr="00F35716">
        <w:t xml:space="preserve"> del menor cuando lo estimen oportuno</w:t>
      </w:r>
      <w:r w:rsidR="009E32DF" w:rsidRPr="00F35716">
        <w:t>, así como</w:t>
      </w:r>
      <w:r w:rsidRPr="00F35716">
        <w:t xml:space="preserve"> a elevar peticiones a los jueces para que las </w:t>
      </w:r>
      <w:r w:rsidR="009E32DF" w:rsidRPr="00F35716">
        <w:t>vistas que se celebren</w:t>
      </w:r>
      <w:r w:rsidRPr="00F35716">
        <w:t xml:space="preserve"> sean apropiadas para educar al menor sobre los daños que pueden derivarse del matrimonio precoz y para</w:t>
      </w:r>
      <w:r w:rsidR="009E32DF" w:rsidRPr="00F35716">
        <w:t xml:space="preserve"> que</w:t>
      </w:r>
      <w:r w:rsidRPr="00F35716">
        <w:t xml:space="preserve"> </w:t>
      </w:r>
      <w:r w:rsidR="009E32DF" w:rsidRPr="00F35716">
        <w:t xml:space="preserve">recurran a </w:t>
      </w:r>
      <w:r w:rsidRPr="00F35716">
        <w:t>la asistencia social en ese sentido.</w:t>
      </w:r>
    </w:p>
    <w:p w14:paraId="32E94688" w14:textId="7AF25A76" w:rsidR="00EC3C86" w:rsidRPr="00F35716" w:rsidRDefault="00EC3C86" w:rsidP="00B3192A">
      <w:pPr>
        <w:pStyle w:val="SingleTxt"/>
        <w:numPr>
          <w:ilvl w:val="0"/>
          <w:numId w:val="8"/>
        </w:numPr>
        <w:ind w:left="1267" w:firstLine="0"/>
      </w:pPr>
      <w:r w:rsidRPr="00F35716">
        <w:t xml:space="preserve">Cabe señalar que el Ministerio de Justicia </w:t>
      </w:r>
      <w:r w:rsidR="009E32DF" w:rsidRPr="00F35716">
        <w:t xml:space="preserve">reaccionó </w:t>
      </w:r>
      <w:r w:rsidRPr="00F35716">
        <w:t xml:space="preserve">positivamente </w:t>
      </w:r>
      <w:r w:rsidR="009E32DF" w:rsidRPr="00F35716">
        <w:t xml:space="preserve">a </w:t>
      </w:r>
      <w:r w:rsidRPr="00F35716">
        <w:t>una</w:t>
      </w:r>
      <w:r w:rsidR="00677819" w:rsidRPr="00F35716">
        <w:t> </w:t>
      </w:r>
      <w:r w:rsidRPr="00F35716">
        <w:t xml:space="preserve">propuesta de ley que </w:t>
      </w:r>
      <w:r w:rsidR="009E32DF" w:rsidRPr="00F35716">
        <w:t xml:space="preserve">modificaría </w:t>
      </w:r>
      <w:r w:rsidRPr="00F35716">
        <w:t>y complementaría el artículo 20 de la Ley núm.</w:t>
      </w:r>
      <w:r w:rsidR="00E578C9" w:rsidRPr="00F35716">
        <w:t> </w:t>
      </w:r>
      <w:r w:rsidRPr="00F35716">
        <w:t>70</w:t>
      </w:r>
      <w:r w:rsidR="009E32DF" w:rsidRPr="00F35716">
        <w:t>-</w:t>
      </w:r>
      <w:r w:rsidRPr="00F35716">
        <w:t xml:space="preserve">03 </w:t>
      </w:r>
      <w:r w:rsidR="009E32DF" w:rsidRPr="00F35716">
        <w:t>relativa al</w:t>
      </w:r>
      <w:r w:rsidRPr="00F35716">
        <w:t xml:space="preserve"> Código de Familia.</w:t>
      </w:r>
      <w:r w:rsidR="00BD7E71" w:rsidRPr="00F35716">
        <w:t xml:space="preserve"> </w:t>
      </w:r>
      <w:r w:rsidRPr="00F35716">
        <w:t xml:space="preserve">La propuesta, que </w:t>
      </w:r>
      <w:r w:rsidR="00B034D7" w:rsidRPr="00F35716">
        <w:t xml:space="preserve">impone restricciones al matrimonio de </w:t>
      </w:r>
      <w:r w:rsidRPr="00F35716">
        <w:t xml:space="preserve">menores, es la siguiente: </w:t>
      </w:r>
    </w:p>
    <w:p w14:paraId="32E94689" w14:textId="77777777" w:rsidR="00EC3C86" w:rsidRPr="00F35716" w:rsidRDefault="00195F9F" w:rsidP="00195F9F">
      <w:pPr>
        <w:pStyle w:val="SingleTxt"/>
        <w:tabs>
          <w:tab w:val="right" w:pos="1685"/>
        </w:tabs>
        <w:ind w:left="1742" w:hanging="475"/>
      </w:pPr>
      <w:r w:rsidRPr="00F35716">
        <w:tab/>
        <w:t>–</w:t>
      </w:r>
      <w:r w:rsidRPr="00F35716">
        <w:tab/>
      </w:r>
      <w:r w:rsidR="00EC3C86" w:rsidRPr="00F35716">
        <w:t>Determinar la edad mínima para contraer matrimonio por debajo de la edad de elegibilidad, al menos 16 años, ya que se ha limitado el poder discrecional de los jueces de familia designados.</w:t>
      </w:r>
    </w:p>
    <w:p w14:paraId="32E9468A" w14:textId="3E85493E" w:rsidR="00EC3C86" w:rsidRPr="00F35716" w:rsidRDefault="00195F9F" w:rsidP="00195F9F">
      <w:pPr>
        <w:pStyle w:val="SingleTxt"/>
        <w:tabs>
          <w:tab w:val="right" w:pos="1685"/>
        </w:tabs>
        <w:ind w:left="1742" w:hanging="475"/>
      </w:pPr>
      <w:r w:rsidRPr="00F35716">
        <w:tab/>
        <w:t>–</w:t>
      </w:r>
      <w:r w:rsidRPr="00F35716">
        <w:tab/>
      </w:r>
      <w:r w:rsidR="00EC3C86" w:rsidRPr="00F35716">
        <w:t xml:space="preserve">Otorgar permiso para casarse con menores en casos en que la edad del menor </w:t>
      </w:r>
      <w:r w:rsidR="00B034D7" w:rsidRPr="00F35716">
        <w:t xml:space="preserve">sea de </w:t>
      </w:r>
      <w:r w:rsidR="00EC3C86" w:rsidRPr="00F35716">
        <w:t>entre 16 y 18 años, exclusivamente.</w:t>
      </w:r>
    </w:p>
    <w:p w14:paraId="32E9468C" w14:textId="76FFE379" w:rsidR="00EC3C86" w:rsidRPr="00F35716" w:rsidRDefault="00195F9F" w:rsidP="00195F9F">
      <w:pPr>
        <w:pStyle w:val="SingleTxt"/>
        <w:tabs>
          <w:tab w:val="right" w:pos="1685"/>
        </w:tabs>
        <w:ind w:left="1742" w:hanging="475"/>
      </w:pPr>
      <w:r w:rsidRPr="00F35716">
        <w:tab/>
        <w:t>–</w:t>
      </w:r>
      <w:r w:rsidRPr="00F35716">
        <w:tab/>
      </w:r>
      <w:r w:rsidR="00EC3C86" w:rsidRPr="00F35716">
        <w:t xml:space="preserve">Exigir que los jueces de familia </w:t>
      </w:r>
      <w:r w:rsidR="00B941DD" w:rsidRPr="00F35716">
        <w:t>posean</w:t>
      </w:r>
      <w:r w:rsidR="00EC3C86" w:rsidRPr="00F35716">
        <w:t xml:space="preserve"> conocimientos médicos y realicen investigaciones sociales para otorgar permiso para casarse.</w:t>
      </w:r>
    </w:p>
    <w:p w14:paraId="32E9468D" w14:textId="303164A6" w:rsidR="00EC3C86" w:rsidRPr="00F35716" w:rsidRDefault="00195F9F" w:rsidP="00195F9F">
      <w:pPr>
        <w:pStyle w:val="SingleTxt"/>
        <w:tabs>
          <w:tab w:val="right" w:pos="1685"/>
        </w:tabs>
        <w:ind w:left="1742" w:hanging="475"/>
      </w:pPr>
      <w:r w:rsidRPr="00F35716">
        <w:tab/>
        <w:t>–</w:t>
      </w:r>
      <w:r w:rsidRPr="00F35716">
        <w:tab/>
      </w:r>
      <w:r w:rsidR="00EC3C86" w:rsidRPr="00F35716">
        <w:t xml:space="preserve">Tener en cuenta la </w:t>
      </w:r>
      <w:r w:rsidR="00B034D7" w:rsidRPr="00F35716">
        <w:t xml:space="preserve">proximidad </w:t>
      </w:r>
      <w:r w:rsidR="00EC3C86" w:rsidRPr="00F35716">
        <w:t>de edad entre las partes interesadas en el matrimonio</w:t>
      </w:r>
      <w:r w:rsidR="00B034D7" w:rsidRPr="00F35716">
        <w:t xml:space="preserve"> cuando</w:t>
      </w:r>
      <w:r w:rsidR="00EC3C86" w:rsidRPr="00F35716">
        <w:t xml:space="preserve"> una de ellas sea menor de edad.</w:t>
      </w:r>
      <w:r w:rsidR="00BD7E71" w:rsidRPr="00F35716">
        <w:t xml:space="preserve"> </w:t>
      </w:r>
    </w:p>
    <w:p w14:paraId="32E9468E" w14:textId="599974F9" w:rsidR="00EC3C86" w:rsidRPr="00F35716" w:rsidRDefault="00EC3C86" w:rsidP="00B3192A">
      <w:pPr>
        <w:pStyle w:val="SingleTxt"/>
        <w:numPr>
          <w:ilvl w:val="0"/>
          <w:numId w:val="8"/>
        </w:numPr>
        <w:ind w:left="1267" w:firstLine="0"/>
      </w:pPr>
      <w:r w:rsidRPr="00F35716">
        <w:t xml:space="preserve">Con respecto a protección económica </w:t>
      </w:r>
      <w:r w:rsidR="00046898" w:rsidRPr="00F35716">
        <w:t xml:space="preserve">otorgada </w:t>
      </w:r>
      <w:r w:rsidRPr="00F35716">
        <w:t xml:space="preserve">a la esposa, se puede citar jurisprudencia pionera, como el fallo emitido por el </w:t>
      </w:r>
      <w:r w:rsidR="00046898" w:rsidRPr="00F35716">
        <w:t>T</w:t>
      </w:r>
      <w:r w:rsidRPr="00F35716">
        <w:t xml:space="preserve">ribunal de </w:t>
      </w:r>
      <w:r w:rsidR="00046898" w:rsidRPr="00F35716">
        <w:t>P</w:t>
      </w:r>
      <w:r w:rsidRPr="00F35716">
        <w:t xml:space="preserve">rimera </w:t>
      </w:r>
      <w:r w:rsidR="00046898" w:rsidRPr="00F35716">
        <w:t>I</w:t>
      </w:r>
      <w:r w:rsidRPr="00F35716">
        <w:t>nstancia de Rabat en octubre de 2010 (núm. 94 - caso 10/1/2010), que reconoce el derecho de la esposa a obtener el 50</w:t>
      </w:r>
      <w:r w:rsidR="0006736D" w:rsidRPr="00F35716">
        <w:t> %</w:t>
      </w:r>
      <w:r w:rsidRPr="00F35716">
        <w:t xml:space="preserve"> de la parte del demandado si </w:t>
      </w:r>
      <w:r w:rsidR="00046898" w:rsidRPr="00F35716">
        <w:t xml:space="preserve">queda </w:t>
      </w:r>
      <w:r w:rsidRPr="00F35716">
        <w:t>dem</w:t>
      </w:r>
      <w:r w:rsidR="00046898" w:rsidRPr="00F35716">
        <w:t>ostrado que</w:t>
      </w:r>
      <w:r w:rsidRPr="00F35716">
        <w:t xml:space="preserve"> su trabajo y cuidado</w:t>
      </w:r>
      <w:r w:rsidRPr="00F35716">
        <w:rPr>
          <w:vertAlign w:val="superscript"/>
        </w:rPr>
        <w:footnoteReference w:id="97"/>
      </w:r>
      <w:r w:rsidRPr="00F35716">
        <w:t xml:space="preserve"> contribuyeron a desarrollar los bienes familiares a través de la creación de la empresa. También cabe señalar la resolución emitida por el </w:t>
      </w:r>
      <w:r w:rsidR="00734511" w:rsidRPr="00F35716">
        <w:t>T</w:t>
      </w:r>
      <w:r w:rsidRPr="00F35716">
        <w:t xml:space="preserve">ribunal de </w:t>
      </w:r>
      <w:r w:rsidR="00734511" w:rsidRPr="00F35716">
        <w:lastRenderedPageBreak/>
        <w:t>P</w:t>
      </w:r>
      <w:r w:rsidRPr="00F35716">
        <w:t xml:space="preserve">rimera </w:t>
      </w:r>
      <w:r w:rsidR="00734511" w:rsidRPr="00F35716">
        <w:t>I</w:t>
      </w:r>
      <w:r w:rsidRPr="00F35716">
        <w:t>nstancia de Casablanca en abril de 2006 (n</w:t>
      </w:r>
      <w:r w:rsidR="00734511" w:rsidRPr="00F35716">
        <w:t>úm</w:t>
      </w:r>
      <w:r w:rsidRPr="00F35716">
        <w:t xml:space="preserve">. 98-685/4), que </w:t>
      </w:r>
      <w:r w:rsidR="00734511" w:rsidRPr="00F35716">
        <w:t xml:space="preserve">afirmaba </w:t>
      </w:r>
      <w:r w:rsidRPr="00F35716">
        <w:t xml:space="preserve">que el trabajo diario de la esposa, incluso dentro del hogar, </w:t>
      </w:r>
      <w:r w:rsidR="00734511" w:rsidRPr="00F35716">
        <w:t xml:space="preserve">se considera </w:t>
      </w:r>
      <w:r w:rsidRPr="00F35716">
        <w:t xml:space="preserve">una contribución productiva </w:t>
      </w:r>
      <w:r w:rsidR="00734511" w:rsidRPr="00F35716">
        <w:t>por cuanto</w:t>
      </w:r>
      <w:r w:rsidRPr="00F35716">
        <w:t xml:space="preserve"> el contrato matrimonial no obliga a la esposa a servir el hogar.</w:t>
      </w:r>
    </w:p>
    <w:p w14:paraId="32E9468F" w14:textId="13F0A07A" w:rsidR="00EC3C86" w:rsidRPr="00F35716" w:rsidRDefault="00EC3C86" w:rsidP="00B3192A">
      <w:pPr>
        <w:pStyle w:val="SingleTxt"/>
        <w:numPr>
          <w:ilvl w:val="0"/>
          <w:numId w:val="8"/>
        </w:numPr>
        <w:ind w:left="1267" w:firstLine="0"/>
      </w:pPr>
      <w:r w:rsidRPr="00F35716">
        <w:t xml:space="preserve">Para promover la igualdad de derechos dentro de la familia, se ha preparado un programa de servicios de mediación familiar para gestionar las disputas familiares antes de </w:t>
      </w:r>
      <w:r w:rsidR="00333BF7" w:rsidRPr="00F35716">
        <w:t>recurr</w:t>
      </w:r>
      <w:r w:rsidR="00734511" w:rsidRPr="00F35716">
        <w:t xml:space="preserve">ir </w:t>
      </w:r>
      <w:r w:rsidRPr="00F35716">
        <w:t>a los tribunales. Sus objetivos son d</w:t>
      </w:r>
      <w:r w:rsidR="00734511" w:rsidRPr="00F35716">
        <w:t>ar a conocer</w:t>
      </w:r>
      <w:r w:rsidRPr="00F35716">
        <w:t xml:space="preserve"> la importancia de la mediación familiar y desarroll</w:t>
      </w:r>
      <w:r w:rsidR="00734511" w:rsidRPr="00F35716">
        <w:t>ar</w:t>
      </w:r>
      <w:r w:rsidRPr="00F35716">
        <w:t xml:space="preserve"> técnicas profesionales para ejercerl</w:t>
      </w:r>
      <w:r w:rsidR="00734511" w:rsidRPr="00F35716">
        <w:t>a;</w:t>
      </w:r>
      <w:r w:rsidRPr="00F35716">
        <w:t xml:space="preserve"> </w:t>
      </w:r>
      <w:r w:rsidR="00734511" w:rsidRPr="00F35716">
        <w:t xml:space="preserve">ofrecer </w:t>
      </w:r>
      <w:r w:rsidRPr="00F35716">
        <w:t>servicios de asesoramiento para mantener la cohesión familiar</w:t>
      </w:r>
      <w:r w:rsidR="00734511" w:rsidRPr="00F35716">
        <w:t>;</w:t>
      </w:r>
      <w:r w:rsidRPr="00F35716">
        <w:t xml:space="preserve"> apoyar la creación y generalización de centros de mediación familiar</w:t>
      </w:r>
      <w:r w:rsidR="00734511" w:rsidRPr="00F35716">
        <w:t>;</w:t>
      </w:r>
      <w:r w:rsidRPr="00F35716">
        <w:t xml:space="preserve"> y apoyar la colaboración con las asociaciones que trabajan en esa esfera. En este contexto, en 2014 se apoyaron los proyectos de 15 asociaciones que trabajan en el ámbito de la mediación familiar con un monto de 2</w:t>
      </w:r>
      <w:r w:rsidR="00734511" w:rsidRPr="00F35716">
        <w:t>.</w:t>
      </w:r>
      <w:r w:rsidRPr="00F35716">
        <w:t>536</w:t>
      </w:r>
      <w:r w:rsidR="00734511" w:rsidRPr="00F35716">
        <w:t>.</w:t>
      </w:r>
      <w:r w:rsidRPr="00F35716">
        <w:t xml:space="preserve">600 dírhams. Del mismo modo, en 2015 se prestó asistencia a 43 proyectos relacionados con centros de mediación familiar, con una </w:t>
      </w:r>
      <w:r w:rsidR="00734511" w:rsidRPr="00F35716">
        <w:t>dotación</w:t>
      </w:r>
      <w:r w:rsidRPr="00F35716">
        <w:t xml:space="preserve"> financiera de 15.912.412 dírhams.</w:t>
      </w:r>
    </w:p>
    <w:p w14:paraId="32E94690" w14:textId="3FF52DAA" w:rsidR="00EC3C86" w:rsidRPr="00F35716" w:rsidRDefault="00EC3C86" w:rsidP="00B3192A">
      <w:pPr>
        <w:pStyle w:val="SingleTxt"/>
        <w:numPr>
          <w:ilvl w:val="0"/>
          <w:numId w:val="8"/>
        </w:numPr>
        <w:ind w:left="1267" w:firstLine="0"/>
      </w:pPr>
      <w:r w:rsidRPr="00F35716">
        <w:t xml:space="preserve">Para dar cumplimiento a las disposiciones de la Constitución, se </w:t>
      </w:r>
      <w:r w:rsidR="00490415" w:rsidRPr="00F35716">
        <w:t>promulgó</w:t>
      </w:r>
      <w:r w:rsidRPr="00F35716">
        <w:t xml:space="preserve"> la ley relativa al Consejo Consultivo </w:t>
      </w:r>
      <w:r w:rsidR="00490415" w:rsidRPr="00F35716">
        <w:t>de</w:t>
      </w:r>
      <w:r w:rsidRPr="00F35716">
        <w:t xml:space="preserve"> la Familia y la Infancia</w:t>
      </w:r>
      <w:r w:rsidRPr="00F35716">
        <w:rPr>
          <w:vertAlign w:val="superscript"/>
        </w:rPr>
        <w:footnoteReference w:id="98"/>
      </w:r>
      <w:r w:rsidR="00691795" w:rsidRPr="00F35716">
        <w:t>. Este</w:t>
      </w:r>
      <w:r w:rsidRPr="00F35716">
        <w:t xml:space="preserve"> </w:t>
      </w:r>
      <w:r w:rsidR="00691795" w:rsidRPr="00F35716">
        <w:t>adopta</w:t>
      </w:r>
      <w:r w:rsidRPr="00F35716">
        <w:t xml:space="preserve"> un enfoque participativo </w:t>
      </w:r>
      <w:r w:rsidR="00691795" w:rsidRPr="00F35716">
        <w:t>para</w:t>
      </w:r>
      <w:r w:rsidRPr="00F35716">
        <w:t xml:space="preserve"> vigilar </w:t>
      </w:r>
      <w:r w:rsidR="00691795" w:rsidRPr="00F35716">
        <w:t xml:space="preserve">y hacer un seguimiento de </w:t>
      </w:r>
      <w:r w:rsidRPr="00F35716">
        <w:t xml:space="preserve">la situación de la familia y los niños </w:t>
      </w:r>
      <w:r w:rsidR="00691795" w:rsidRPr="00F35716">
        <w:t>con respecto a los derechos humanos y las condiciones sociales y económicas</w:t>
      </w:r>
      <w:r w:rsidRPr="00F35716">
        <w:t xml:space="preserve">, </w:t>
      </w:r>
      <w:r w:rsidR="00691795" w:rsidRPr="00F35716">
        <w:t xml:space="preserve">y para vigilar en qué medida </w:t>
      </w:r>
      <w:r w:rsidRPr="00F35716">
        <w:t xml:space="preserve">los programas nacionales que conciernen a la familia y los niños </w:t>
      </w:r>
      <w:r w:rsidR="00691795" w:rsidRPr="00F35716">
        <w:t>cumplen los compromisos internacionales asumidos por</w:t>
      </w:r>
      <w:r w:rsidRPr="00F35716">
        <w:t xml:space="preserve"> Marruecos</w:t>
      </w:r>
      <w:r w:rsidR="00691795" w:rsidRPr="00F35716">
        <w:t>. E</w:t>
      </w:r>
      <w:r w:rsidRPr="00F35716">
        <w:t>mit</w:t>
      </w:r>
      <w:r w:rsidR="005636A0" w:rsidRPr="00F35716">
        <w:t>e</w:t>
      </w:r>
      <w:r w:rsidR="00691795" w:rsidRPr="00F35716">
        <w:t xml:space="preserve"> dictámenes</w:t>
      </w:r>
      <w:r w:rsidRPr="00F35716">
        <w:t xml:space="preserve"> sobre los planes nacionales relacionados con esos ámbitos</w:t>
      </w:r>
      <w:r w:rsidR="00691795" w:rsidRPr="00F35716">
        <w:t xml:space="preserve"> y</w:t>
      </w:r>
      <w:r w:rsidRPr="00F35716">
        <w:t xml:space="preserve"> estimul</w:t>
      </w:r>
      <w:r w:rsidR="00333BF7" w:rsidRPr="00F35716">
        <w:t>a</w:t>
      </w:r>
      <w:r w:rsidRPr="00F35716">
        <w:t xml:space="preserve"> el debate</w:t>
      </w:r>
      <w:r w:rsidR="00EB4968" w:rsidRPr="00F35716">
        <w:t> </w:t>
      </w:r>
      <w:r w:rsidRPr="00F35716">
        <w:t>sobre las políticas públicas en el ámbito de la familia y la infancia</w:t>
      </w:r>
      <w:r w:rsidR="00691795" w:rsidRPr="00F35716">
        <w:t>. Asimismo,</w:t>
      </w:r>
      <w:r w:rsidRPr="00F35716">
        <w:t xml:space="preserve"> </w:t>
      </w:r>
      <w:r w:rsidR="00691795" w:rsidRPr="00F35716">
        <w:t xml:space="preserve">vela por </w:t>
      </w:r>
      <w:r w:rsidRPr="00F35716">
        <w:t xml:space="preserve">que </w:t>
      </w:r>
      <w:r w:rsidR="00691795" w:rsidRPr="00F35716">
        <w:t>todos los</w:t>
      </w:r>
      <w:r w:rsidRPr="00F35716">
        <w:t xml:space="preserve"> sectores y organismos competentes </w:t>
      </w:r>
      <w:r w:rsidR="00691795" w:rsidRPr="00F35716">
        <w:t>estén aplicando</w:t>
      </w:r>
      <w:r w:rsidR="00522228" w:rsidRPr="00F35716">
        <w:t xml:space="preserve"> </w:t>
      </w:r>
      <w:r w:rsidRPr="00F35716">
        <w:t>los programas nacionales.</w:t>
      </w:r>
    </w:p>
    <w:p w14:paraId="32E94691" w14:textId="77777777" w:rsidR="00A95266" w:rsidRPr="00F35716" w:rsidRDefault="00A95266" w:rsidP="00A95266">
      <w:pPr>
        <w:pStyle w:val="SingleTxt"/>
        <w:spacing w:after="0" w:line="120" w:lineRule="exact"/>
        <w:rPr>
          <w:sz w:val="10"/>
          <w:szCs w:val="20"/>
        </w:rPr>
      </w:pPr>
    </w:p>
    <w:p w14:paraId="32E94692" w14:textId="77777777" w:rsidR="00EC3C86" w:rsidRPr="00F35716" w:rsidRDefault="00C72C07" w:rsidP="00C72C07">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Cs w:val="0"/>
          <w:szCs w:val="20"/>
        </w:rPr>
        <w:t>Combatir la violencia contra las mujeres</w:t>
      </w:r>
      <w:bookmarkStart w:id="66" w:name="_Toc24015487"/>
      <w:bookmarkStart w:id="67" w:name="_Toc24100792"/>
      <w:bookmarkStart w:id="68" w:name="_Toc24548866"/>
      <w:bookmarkStart w:id="69" w:name="_Toc28165909"/>
      <w:bookmarkEnd w:id="66"/>
      <w:bookmarkEnd w:id="67"/>
      <w:bookmarkEnd w:id="68"/>
      <w:bookmarkEnd w:id="69"/>
    </w:p>
    <w:p w14:paraId="32E94693" w14:textId="77777777" w:rsidR="00A95266" w:rsidRPr="00F35716" w:rsidRDefault="00A95266" w:rsidP="00A95266">
      <w:pPr>
        <w:pStyle w:val="SingleTxt"/>
        <w:spacing w:after="0" w:line="120" w:lineRule="exact"/>
        <w:rPr>
          <w:sz w:val="10"/>
          <w:szCs w:val="20"/>
        </w:rPr>
      </w:pPr>
    </w:p>
    <w:p w14:paraId="32E94694" w14:textId="49B9AB49" w:rsidR="00EC3C86" w:rsidRPr="00F35716" w:rsidRDefault="00EC3C86" w:rsidP="00B3192A">
      <w:pPr>
        <w:pStyle w:val="SingleTxt"/>
        <w:numPr>
          <w:ilvl w:val="0"/>
          <w:numId w:val="8"/>
        </w:numPr>
        <w:ind w:left="1267" w:firstLine="0"/>
      </w:pPr>
      <w:r w:rsidRPr="00F35716">
        <w:t>En aplicación de l</w:t>
      </w:r>
      <w:r w:rsidR="00490415" w:rsidRPr="00F35716">
        <w:t>o</w:t>
      </w:r>
      <w:r w:rsidR="005636A0" w:rsidRPr="00F35716">
        <w:t>s</w:t>
      </w:r>
      <w:r w:rsidR="00490415" w:rsidRPr="00F35716">
        <w:t xml:space="preserve"> párrafos</w:t>
      </w:r>
      <w:r w:rsidRPr="00F35716">
        <w:t xml:space="preserve"> 17 y 21, el Reino de Marruecos </w:t>
      </w:r>
      <w:r w:rsidR="00490415" w:rsidRPr="00F35716">
        <w:t>se sumó rápidamente a</w:t>
      </w:r>
      <w:r w:rsidRPr="00F35716">
        <w:t xml:space="preserve"> la lucha contra la violencia contra las mujeres y las niñas. Con ese fin, puso en marcha el Programa </w:t>
      </w:r>
      <w:r w:rsidRPr="00F35716">
        <w:rPr>
          <w:iCs/>
        </w:rPr>
        <w:t>Tamkeen</w:t>
      </w:r>
      <w:r w:rsidRPr="00F35716">
        <w:t xml:space="preserve"> 2008-2012, un programa multisectorial para combatir la violencia de género empoderando a las mujeres y las niñas</w:t>
      </w:r>
      <w:r w:rsidR="00490415" w:rsidRPr="00F35716">
        <w:t>. Este programa ofreció</w:t>
      </w:r>
      <w:r w:rsidR="005636A0" w:rsidRPr="00F35716">
        <w:t xml:space="preserve"> </w:t>
      </w:r>
      <w:r w:rsidRPr="00F35716">
        <w:t>servicios a las mujeres y niñas víctimas de la violencia</w:t>
      </w:r>
      <w:r w:rsidR="00490415" w:rsidRPr="00F35716">
        <w:t>, y demostró ser un</w:t>
      </w:r>
      <w:r w:rsidRPr="00F35716">
        <w:t xml:space="preserve"> modelo </w:t>
      </w:r>
      <w:r w:rsidR="00490415" w:rsidRPr="00F35716">
        <w:t>de colaboración</w:t>
      </w:r>
      <w:r w:rsidRPr="00F35716">
        <w:t xml:space="preserve"> multilateral</w:t>
      </w:r>
      <w:r w:rsidRPr="00F35716">
        <w:rPr>
          <w:vertAlign w:val="superscript"/>
        </w:rPr>
        <w:footnoteReference w:id="99"/>
      </w:r>
      <w:r w:rsidRPr="00F35716">
        <w:t xml:space="preserve">. </w:t>
      </w:r>
    </w:p>
    <w:p w14:paraId="32E94695" w14:textId="5B9F621B" w:rsidR="00EC3C86" w:rsidRPr="00F35716" w:rsidRDefault="00EC3C86" w:rsidP="00E97C5E">
      <w:pPr>
        <w:pStyle w:val="SingleTxt"/>
        <w:keepLines/>
        <w:numPr>
          <w:ilvl w:val="0"/>
          <w:numId w:val="8"/>
        </w:numPr>
        <w:ind w:left="1267" w:firstLine="0"/>
      </w:pPr>
      <w:r w:rsidRPr="00F35716">
        <w:t xml:space="preserve">El Ministerio de Familia, Solidaridad, Igualdad y Desarrollo Social </w:t>
      </w:r>
      <w:r w:rsidR="00D41707" w:rsidRPr="00F35716">
        <w:t xml:space="preserve">redactó </w:t>
      </w:r>
      <w:r w:rsidRPr="00F35716">
        <w:t>la Ley núm. 103</w:t>
      </w:r>
      <w:r w:rsidR="00D41707" w:rsidRPr="00F35716">
        <w:t>-</w:t>
      </w:r>
      <w:r w:rsidRPr="00F35716">
        <w:t>13</w:t>
      </w:r>
      <w:r w:rsidR="00D41707" w:rsidRPr="00F35716">
        <w:t xml:space="preserve"> relativa a</w:t>
      </w:r>
      <w:r w:rsidRPr="00F35716">
        <w:t xml:space="preserve"> la </w:t>
      </w:r>
      <w:r w:rsidR="00D41707" w:rsidRPr="00F35716">
        <w:t>L</w:t>
      </w:r>
      <w:r w:rsidRPr="00F35716">
        <w:t xml:space="preserve">ucha contra la </w:t>
      </w:r>
      <w:r w:rsidR="00D41707" w:rsidRPr="00F35716">
        <w:t>V</w:t>
      </w:r>
      <w:r w:rsidRPr="00F35716">
        <w:t xml:space="preserve">iolencia contra las </w:t>
      </w:r>
      <w:r w:rsidR="00D41707" w:rsidRPr="00F35716">
        <w:t>M</w:t>
      </w:r>
      <w:r w:rsidRPr="00F35716">
        <w:t xml:space="preserve">ujeres, de acuerdo con un enfoque participativo </w:t>
      </w:r>
      <w:r w:rsidR="00646CBC" w:rsidRPr="00F35716">
        <w:t>que involucraba a</w:t>
      </w:r>
      <w:r w:rsidRPr="00F35716">
        <w:t xml:space="preserve"> diversos agentes. Esta Ley se publicó en el Boletín Oficial el 12 de marzo de 2018</w:t>
      </w:r>
      <w:r w:rsidRPr="00F35716">
        <w:rPr>
          <w:vertAlign w:val="superscript"/>
        </w:rPr>
        <w:footnoteReference w:id="100"/>
      </w:r>
      <w:r w:rsidRPr="00F35716">
        <w:t xml:space="preserve"> y se basa en los principios básicos para </w:t>
      </w:r>
      <w:r w:rsidR="00646CBC" w:rsidRPr="00F35716">
        <w:t xml:space="preserve">hacer frente a </w:t>
      </w:r>
      <w:r w:rsidRPr="00F35716">
        <w:t xml:space="preserve">este fenómeno, a saber: el </w:t>
      </w:r>
      <w:r w:rsidR="00646CBC" w:rsidRPr="00F35716">
        <w:t xml:space="preserve">castigo </w:t>
      </w:r>
      <w:r w:rsidRPr="00F35716">
        <w:t xml:space="preserve">de los autores de </w:t>
      </w:r>
      <w:r w:rsidR="00646CBC" w:rsidRPr="00F35716">
        <w:t xml:space="preserve">actos de </w:t>
      </w:r>
      <w:r w:rsidRPr="00F35716">
        <w:t xml:space="preserve">violencia, la prevención de la violencia, la protección de las víctimas de la violencia y la atención a las víctimas. A tal fin, incluye un conjunto de disposiciones legales </w:t>
      </w:r>
      <w:r w:rsidR="00646CBC" w:rsidRPr="00F35716">
        <w:t xml:space="preserve">para </w:t>
      </w:r>
      <w:r w:rsidRPr="00F35716">
        <w:t>proteger a las mujeres de la violencia, entre las que destacan</w:t>
      </w:r>
      <w:r w:rsidR="00646CBC" w:rsidRPr="00F35716">
        <w:t xml:space="preserve"> las siguientes</w:t>
      </w:r>
      <w:r w:rsidRPr="00F35716">
        <w:t>:</w:t>
      </w:r>
    </w:p>
    <w:p w14:paraId="32E94696" w14:textId="7C78DC07" w:rsidR="00EC3C86" w:rsidRPr="00F35716" w:rsidRDefault="00C72C07" w:rsidP="00C72C07">
      <w:pPr>
        <w:pStyle w:val="SingleTxt"/>
        <w:tabs>
          <w:tab w:val="right" w:pos="1685"/>
        </w:tabs>
        <w:ind w:left="1742" w:hanging="475"/>
      </w:pPr>
      <w:r w:rsidRPr="00F35716">
        <w:tab/>
        <w:t>–</w:t>
      </w:r>
      <w:r w:rsidRPr="00F35716">
        <w:tab/>
      </w:r>
      <w:r w:rsidR="00D77B4F" w:rsidRPr="00F35716">
        <w:t>Se d</w:t>
      </w:r>
      <w:r w:rsidR="00EC3C86" w:rsidRPr="00F35716">
        <w:t>efin</w:t>
      </w:r>
      <w:r w:rsidR="00646CBC" w:rsidRPr="00F35716">
        <w:t>e</w:t>
      </w:r>
      <w:r w:rsidR="00EC3C86" w:rsidRPr="00F35716">
        <w:t xml:space="preserve"> un marco conceptual preciso que ayud</w:t>
      </w:r>
      <w:r w:rsidR="00646CBC" w:rsidRPr="00F35716">
        <w:t>ará</w:t>
      </w:r>
      <w:r w:rsidR="00EC3C86" w:rsidRPr="00F35716">
        <w:t xml:space="preserve"> a </w:t>
      </w:r>
      <w:r w:rsidR="00646CBC" w:rsidRPr="00F35716">
        <w:t>quienes realizan intervenciones</w:t>
      </w:r>
      <w:r w:rsidR="00EC3C86" w:rsidRPr="00F35716">
        <w:t xml:space="preserve"> a </w:t>
      </w:r>
      <w:r w:rsidR="00646CBC" w:rsidRPr="00F35716">
        <w:t>identificar y registrar</w:t>
      </w:r>
      <w:r w:rsidR="00EC3C86" w:rsidRPr="00F35716">
        <w:t xml:space="preserve"> l</w:t>
      </w:r>
      <w:r w:rsidR="00646CBC" w:rsidRPr="00F35716">
        <w:t>o</w:t>
      </w:r>
      <w:r w:rsidR="00EC3C86" w:rsidRPr="00F35716">
        <w:t>s ac</w:t>
      </w:r>
      <w:r w:rsidR="00646CBC" w:rsidRPr="00F35716">
        <w:t>tos</w:t>
      </w:r>
      <w:r w:rsidR="00EC3C86" w:rsidRPr="00F35716">
        <w:t xml:space="preserve"> y comportamientos </w:t>
      </w:r>
      <w:r w:rsidR="00646CBC" w:rsidRPr="00F35716">
        <w:t>que entran en la categoría de</w:t>
      </w:r>
      <w:r w:rsidR="00EC3C86" w:rsidRPr="00F35716">
        <w:t xml:space="preserve"> violencia contra la mujer, definiendo el concepto de violencia y sus diversas formas</w:t>
      </w:r>
      <w:r w:rsidR="00EC3C86" w:rsidRPr="00F35716">
        <w:rPr>
          <w:vertAlign w:val="superscript"/>
        </w:rPr>
        <w:footnoteReference w:id="101"/>
      </w:r>
      <w:r w:rsidR="00EC3C86" w:rsidRPr="00F35716">
        <w:t>.</w:t>
      </w:r>
    </w:p>
    <w:p w14:paraId="32E94697" w14:textId="244905FA" w:rsidR="00EC3C86" w:rsidRPr="00F35716" w:rsidRDefault="00C72C07" w:rsidP="00C72C07">
      <w:pPr>
        <w:pStyle w:val="SingleTxt"/>
        <w:tabs>
          <w:tab w:val="right" w:pos="1685"/>
        </w:tabs>
        <w:ind w:left="1742" w:hanging="475"/>
      </w:pPr>
      <w:r w:rsidRPr="00F35716">
        <w:lastRenderedPageBreak/>
        <w:tab/>
        <w:t>–</w:t>
      </w:r>
      <w:r w:rsidRPr="00F35716">
        <w:tab/>
      </w:r>
      <w:r w:rsidR="00D77B4F" w:rsidRPr="00F35716">
        <w:t>Se t</w:t>
      </w:r>
      <w:r w:rsidR="00EC3C86" w:rsidRPr="00F35716">
        <w:t>ipifica</w:t>
      </w:r>
      <w:r w:rsidR="00A76BF9" w:rsidRPr="00F35716">
        <w:t>n</w:t>
      </w:r>
      <w:r w:rsidR="00EC3C86" w:rsidRPr="00F35716">
        <w:t xml:space="preserve"> ciertos actos como violencia que perjudica a las mujeres, </w:t>
      </w:r>
      <w:r w:rsidR="00633C43" w:rsidRPr="00F35716">
        <w:t>por ejemplo,</w:t>
      </w:r>
      <w:r w:rsidR="00EC3C86" w:rsidRPr="00F35716">
        <w:t xml:space="preserve"> </w:t>
      </w:r>
      <w:r w:rsidR="00646CBC" w:rsidRPr="00F35716">
        <w:t xml:space="preserve">impedir que </w:t>
      </w:r>
      <w:r w:rsidR="00EC3C86" w:rsidRPr="00F35716">
        <w:t xml:space="preserve">la esposa expulsada </w:t>
      </w:r>
      <w:r w:rsidR="00646CBC" w:rsidRPr="00F35716">
        <w:t xml:space="preserve">vuelva </w:t>
      </w:r>
      <w:r w:rsidR="00EC3C86" w:rsidRPr="00F35716">
        <w:t xml:space="preserve">al hogar conyugal, forzar el matrimonio, atentar contra la intimidad del cuerpo de la mujer y malgastar o </w:t>
      </w:r>
      <w:r w:rsidR="00633C43" w:rsidRPr="00F35716">
        <w:t>no contribuir a la economía familiar</w:t>
      </w:r>
      <w:r w:rsidR="00EC3C86" w:rsidRPr="00F35716">
        <w:t xml:space="preserve"> de mala fe.</w:t>
      </w:r>
    </w:p>
    <w:p w14:paraId="32E94698" w14:textId="6DD28B61" w:rsidR="00EC3C86" w:rsidRPr="00F35716" w:rsidRDefault="00C72C07" w:rsidP="00C72C07">
      <w:pPr>
        <w:pStyle w:val="SingleTxt"/>
        <w:tabs>
          <w:tab w:val="right" w:pos="1685"/>
        </w:tabs>
        <w:ind w:left="1742" w:hanging="475"/>
      </w:pPr>
      <w:r w:rsidRPr="00F35716">
        <w:tab/>
        <w:t>–</w:t>
      </w:r>
      <w:r w:rsidRPr="00F35716">
        <w:tab/>
      </w:r>
      <w:r w:rsidR="00D77B4F" w:rsidRPr="00F35716">
        <w:t>Se t</w:t>
      </w:r>
      <w:r w:rsidR="00EC3C86" w:rsidRPr="00F35716">
        <w:t xml:space="preserve">ipifica como delito el acoso sexual, con sanciones más severas </w:t>
      </w:r>
      <w:r w:rsidR="00633C43" w:rsidRPr="00F35716">
        <w:t>por la comisión de dicho acto dependiendo de las</w:t>
      </w:r>
      <w:r w:rsidR="00EC3C86" w:rsidRPr="00F35716">
        <w:t xml:space="preserve"> circunstancias y </w:t>
      </w:r>
      <w:r w:rsidR="00633C43" w:rsidRPr="00F35716">
        <w:t xml:space="preserve">de las </w:t>
      </w:r>
      <w:r w:rsidR="00EC3C86" w:rsidRPr="00F35716">
        <w:t xml:space="preserve">personas </w:t>
      </w:r>
      <w:r w:rsidR="00633C43" w:rsidRPr="00F35716">
        <w:t>involucradas</w:t>
      </w:r>
      <w:r w:rsidR="00EC3C86" w:rsidRPr="00F35716">
        <w:t xml:space="preserve">, como </w:t>
      </w:r>
      <w:r w:rsidR="00633C43" w:rsidRPr="00F35716">
        <w:t>parientes, compañeros de trabajo,</w:t>
      </w:r>
      <w:r w:rsidR="00EC3C86" w:rsidRPr="00F35716">
        <w:t xml:space="preserve"> agente</w:t>
      </w:r>
      <w:r w:rsidR="00633C43" w:rsidRPr="00F35716">
        <w:t>s</w:t>
      </w:r>
      <w:r w:rsidR="00EC3C86" w:rsidRPr="00F35716">
        <w:t xml:space="preserve"> del orden, </w:t>
      </w:r>
      <w:r w:rsidR="00633C43" w:rsidRPr="00F35716">
        <w:t>etc.</w:t>
      </w:r>
    </w:p>
    <w:p w14:paraId="32E94699" w14:textId="0DFE46B1" w:rsidR="00EC3C86" w:rsidRPr="00F35716" w:rsidRDefault="00C72C07" w:rsidP="00C72C07">
      <w:pPr>
        <w:pStyle w:val="SingleTxt"/>
        <w:tabs>
          <w:tab w:val="right" w:pos="1685"/>
        </w:tabs>
        <w:ind w:left="1742" w:hanging="475"/>
      </w:pPr>
      <w:r w:rsidRPr="00F35716">
        <w:tab/>
        <w:t>–</w:t>
      </w:r>
      <w:r w:rsidRPr="00F35716">
        <w:tab/>
      </w:r>
      <w:r w:rsidR="00D77B4F" w:rsidRPr="00F35716">
        <w:t>Se e</w:t>
      </w:r>
      <w:r w:rsidR="00EC3C86" w:rsidRPr="00F35716">
        <w:t>ndurece</w:t>
      </w:r>
      <w:r w:rsidR="00D77B4F" w:rsidRPr="00F35716">
        <w:t>n</w:t>
      </w:r>
      <w:r w:rsidR="00EC3C86" w:rsidRPr="00F35716">
        <w:t xml:space="preserve"> las sanciones por </w:t>
      </w:r>
      <w:r w:rsidR="00D77B4F" w:rsidRPr="00F35716">
        <w:t xml:space="preserve">la comisión de </w:t>
      </w:r>
      <w:r w:rsidR="00EC3C86" w:rsidRPr="00F35716">
        <w:t>ciertos actos contra mujeres en situaci</w:t>
      </w:r>
      <w:r w:rsidR="00A76BF9" w:rsidRPr="00F35716">
        <w:t>o</w:t>
      </w:r>
      <w:r w:rsidR="00EC3C86" w:rsidRPr="00F35716">
        <w:t>n</w:t>
      </w:r>
      <w:r w:rsidR="00A76BF9" w:rsidRPr="00F35716">
        <w:t>es</w:t>
      </w:r>
      <w:r w:rsidR="00EC3C86" w:rsidRPr="00F35716">
        <w:t xml:space="preserve"> especial</w:t>
      </w:r>
      <w:r w:rsidR="00A76BF9" w:rsidRPr="00F35716">
        <w:t>es</w:t>
      </w:r>
      <w:r w:rsidR="00EC3C86" w:rsidRPr="00F35716">
        <w:t>, como la violencia contra mujer</w:t>
      </w:r>
      <w:r w:rsidR="00856DD1" w:rsidRPr="00F35716">
        <w:t>es</w:t>
      </w:r>
      <w:r w:rsidR="00EC3C86" w:rsidRPr="00F35716">
        <w:t xml:space="preserve"> con discapacidad, menor</w:t>
      </w:r>
      <w:r w:rsidR="00856DD1" w:rsidRPr="00F35716">
        <w:t>es</w:t>
      </w:r>
      <w:r w:rsidR="00EC3C86" w:rsidRPr="00F35716">
        <w:t>, mujer</w:t>
      </w:r>
      <w:r w:rsidR="00856DD1" w:rsidRPr="00F35716">
        <w:t>es</w:t>
      </w:r>
      <w:r w:rsidR="00EC3C86" w:rsidRPr="00F35716">
        <w:t xml:space="preserve"> embarazada</w:t>
      </w:r>
      <w:r w:rsidR="00856DD1" w:rsidRPr="00F35716">
        <w:t>s</w:t>
      </w:r>
      <w:r w:rsidR="00EC3C86" w:rsidRPr="00F35716">
        <w:t xml:space="preserve"> o mujer</w:t>
      </w:r>
      <w:r w:rsidR="00856DD1" w:rsidRPr="00F35716">
        <w:t>es</w:t>
      </w:r>
      <w:r w:rsidR="00EC3C86" w:rsidRPr="00F35716">
        <w:t xml:space="preserve"> casada</w:t>
      </w:r>
      <w:r w:rsidR="00856DD1" w:rsidRPr="00F35716">
        <w:t>s</w:t>
      </w:r>
      <w:r w:rsidR="00EC3C86" w:rsidRPr="00F35716">
        <w:t xml:space="preserve"> o divorciada</w:t>
      </w:r>
      <w:r w:rsidR="00856DD1" w:rsidRPr="00F35716">
        <w:t>s</w:t>
      </w:r>
      <w:r w:rsidR="00EC3C86" w:rsidRPr="00F35716">
        <w:t xml:space="preserve"> en presencia de sus hijos o padres.</w:t>
      </w:r>
    </w:p>
    <w:p w14:paraId="32E9469A" w14:textId="15C32C2D" w:rsidR="00EC3C86" w:rsidRPr="00F35716" w:rsidRDefault="00C72C07" w:rsidP="00C72C07">
      <w:pPr>
        <w:pStyle w:val="SingleTxt"/>
        <w:tabs>
          <w:tab w:val="right" w:pos="1685"/>
        </w:tabs>
        <w:ind w:left="1742" w:hanging="475"/>
      </w:pPr>
      <w:r w:rsidRPr="00F35716">
        <w:tab/>
        <w:t>–</w:t>
      </w:r>
      <w:r w:rsidRPr="00F35716">
        <w:tab/>
      </w:r>
      <w:r w:rsidR="00D77B4F" w:rsidRPr="00F35716">
        <w:t>Se a</w:t>
      </w:r>
      <w:r w:rsidR="00EC3C86" w:rsidRPr="00F35716">
        <w:t>dopta</w:t>
      </w:r>
      <w:r w:rsidR="00D77B4F" w:rsidRPr="00F35716">
        <w:t>n</w:t>
      </w:r>
      <w:r w:rsidR="00EC3C86" w:rsidRPr="00F35716">
        <w:t xml:space="preserve"> nuevas medidas de protección</w:t>
      </w:r>
      <w:r w:rsidR="00635798" w:rsidRPr="00F35716">
        <w:t>,</w:t>
      </w:r>
      <w:r w:rsidR="00EC3C86" w:rsidRPr="00F35716">
        <w:t xml:space="preserve"> como, por ejemplo, alejar al esposo agresor; advertir al agresor de que no cometa actos violentos en caso de que</w:t>
      </w:r>
      <w:r w:rsidR="00E97C5E" w:rsidRPr="00F35716">
        <w:t> </w:t>
      </w:r>
      <w:r w:rsidR="00EC3C86" w:rsidRPr="00F35716">
        <w:t>amenace con ello</w:t>
      </w:r>
      <w:r w:rsidR="00635798" w:rsidRPr="00F35716">
        <w:t xml:space="preserve"> u</w:t>
      </w:r>
      <w:r w:rsidR="00EC3C86" w:rsidRPr="00F35716">
        <w:t xml:space="preserve"> </w:t>
      </w:r>
      <w:r w:rsidR="00635798" w:rsidRPr="00F35716">
        <w:t>obligarle a prometer que no cometerá actos de violencia;</w:t>
      </w:r>
      <w:r w:rsidR="00EC3C86" w:rsidRPr="00F35716">
        <w:t xml:space="preserve"> dev</w:t>
      </w:r>
      <w:r w:rsidR="00635798" w:rsidRPr="00F35716">
        <w:t>olver a su hogar a las madres lactantes junto con el hijo que están amamantando; prohibir al agresor</w:t>
      </w:r>
      <w:r w:rsidR="00EC3C86" w:rsidRPr="00F35716">
        <w:t xml:space="preserve"> acercarse a la víctima o su residencia; y notificar al agresor la prohibición de disponer de los fondos conjuntos de la pareja.</w:t>
      </w:r>
    </w:p>
    <w:p w14:paraId="32E9469B" w14:textId="3EFFA51D" w:rsidR="00EC3C86" w:rsidRPr="00F35716" w:rsidRDefault="00C72C07" w:rsidP="00C72C07">
      <w:pPr>
        <w:pStyle w:val="SingleTxt"/>
        <w:tabs>
          <w:tab w:val="right" w:pos="1685"/>
        </w:tabs>
        <w:ind w:left="1742" w:hanging="475"/>
      </w:pPr>
      <w:r w:rsidRPr="00F35716">
        <w:tab/>
        <w:t>–</w:t>
      </w:r>
      <w:r w:rsidRPr="00F35716">
        <w:tab/>
      </w:r>
      <w:r w:rsidR="00D77B4F" w:rsidRPr="00F35716">
        <w:t>Se exige la adopción inmediata de</w:t>
      </w:r>
      <w:r w:rsidR="00EC3C86" w:rsidRPr="00F35716">
        <w:t xml:space="preserve"> medidas de protección </w:t>
      </w:r>
      <w:r w:rsidR="00D77B4F" w:rsidRPr="00F35716">
        <w:t>y se especifican las</w:t>
      </w:r>
      <w:r w:rsidR="00EC3C86" w:rsidRPr="00F35716">
        <w:t xml:space="preserve"> sanciones en caso de incumplimiento.</w:t>
      </w:r>
    </w:p>
    <w:p w14:paraId="32E9469C" w14:textId="48578A88" w:rsidR="00EC3C86" w:rsidRPr="00F35716" w:rsidRDefault="00C72C07" w:rsidP="00C72C07">
      <w:pPr>
        <w:pStyle w:val="SingleTxt"/>
        <w:tabs>
          <w:tab w:val="right" w:pos="1685"/>
        </w:tabs>
        <w:ind w:left="1742" w:hanging="475"/>
      </w:pPr>
      <w:r w:rsidRPr="00F35716">
        <w:tab/>
        <w:t>–</w:t>
      </w:r>
      <w:r w:rsidRPr="00F35716">
        <w:tab/>
      </w:r>
      <w:r w:rsidR="00D77B4F" w:rsidRPr="00F35716">
        <w:t>Se han a</w:t>
      </w:r>
      <w:r w:rsidR="00EC3C86" w:rsidRPr="00F35716">
        <w:t>dopta</w:t>
      </w:r>
      <w:r w:rsidR="00D77B4F" w:rsidRPr="00F35716">
        <w:t>do</w:t>
      </w:r>
      <w:r w:rsidR="00EC3C86" w:rsidRPr="00F35716">
        <w:t xml:space="preserve"> marcos institucionales para la coordinación entre los diversos involucrados en la lucha contra la violencia y la protección de las mujeres, como </w:t>
      </w:r>
      <w:r w:rsidR="00D77B4F" w:rsidRPr="00F35716">
        <w:t>los miembros d</w:t>
      </w:r>
      <w:r w:rsidR="00EC3C86" w:rsidRPr="00F35716">
        <w:t>el poder judicial, l</w:t>
      </w:r>
      <w:r w:rsidR="00D77B4F" w:rsidRPr="00F35716">
        <w:t>os organismos de</w:t>
      </w:r>
      <w:r w:rsidR="00EC3C86" w:rsidRPr="00F35716">
        <w:t xml:space="preserve"> seguridad nacional, la </w:t>
      </w:r>
      <w:r w:rsidR="00D77B4F" w:rsidRPr="00F35716">
        <w:t>G</w:t>
      </w:r>
      <w:r w:rsidR="00EC3C86" w:rsidRPr="00F35716">
        <w:t>endarmería</w:t>
      </w:r>
      <w:r w:rsidR="00D77B4F" w:rsidRPr="00F35716">
        <w:t xml:space="preserve"> Real</w:t>
      </w:r>
      <w:r w:rsidR="00EC3C86" w:rsidRPr="00F35716">
        <w:t xml:space="preserve"> y los sectores gubernamentales </w:t>
      </w:r>
      <w:r w:rsidR="00D77B4F" w:rsidRPr="00F35716">
        <w:t>pertinentes</w:t>
      </w:r>
      <w:r w:rsidR="00EC3C86" w:rsidRPr="00F35716">
        <w:t>, entre otros agentes.</w:t>
      </w:r>
    </w:p>
    <w:p w14:paraId="32E9469D" w14:textId="48A1EA65" w:rsidR="00EC3C86" w:rsidRPr="00F35716" w:rsidRDefault="00C72C07" w:rsidP="00C72C07">
      <w:pPr>
        <w:pStyle w:val="SingleTxt"/>
        <w:tabs>
          <w:tab w:val="right" w:pos="1685"/>
        </w:tabs>
        <w:ind w:left="1742" w:hanging="475"/>
      </w:pPr>
      <w:r w:rsidRPr="00F35716">
        <w:tab/>
        <w:t>–</w:t>
      </w:r>
      <w:r w:rsidRPr="00F35716">
        <w:tab/>
      </w:r>
      <w:r w:rsidR="00D77B4F" w:rsidRPr="00F35716">
        <w:t xml:space="preserve">Se ha creado </w:t>
      </w:r>
      <w:r w:rsidR="00EC3C86" w:rsidRPr="00F35716">
        <w:t xml:space="preserve">un sistema para </w:t>
      </w:r>
      <w:r w:rsidR="00D77B4F" w:rsidRPr="00F35716">
        <w:t xml:space="preserve">atender </w:t>
      </w:r>
      <w:r w:rsidR="00EC3C86" w:rsidRPr="00F35716">
        <w:t>a las mujeres víctimas de la violencia.</w:t>
      </w:r>
    </w:p>
    <w:p w14:paraId="32E9469E" w14:textId="57C7A53A" w:rsidR="00EC3C86" w:rsidRPr="00F35716" w:rsidRDefault="005B62B1" w:rsidP="00C72C07">
      <w:pPr>
        <w:pStyle w:val="SingleTxt"/>
        <w:tabs>
          <w:tab w:val="right" w:pos="1685"/>
        </w:tabs>
        <w:ind w:left="1742" w:hanging="475"/>
      </w:pPr>
      <w:r w:rsidRPr="00F35716">
        <w:tab/>
        <w:t>–</w:t>
      </w:r>
      <w:r w:rsidRPr="00F35716">
        <w:tab/>
      </w:r>
      <w:r w:rsidR="00D77B4F" w:rsidRPr="00F35716">
        <w:t xml:space="preserve">Se ha dedicado </w:t>
      </w:r>
      <w:r w:rsidR="00EC3C86" w:rsidRPr="00F35716">
        <w:t xml:space="preserve">una sección </w:t>
      </w:r>
      <w:r w:rsidR="00D77B4F" w:rsidRPr="00F35716">
        <w:t>a la</w:t>
      </w:r>
      <w:r w:rsidR="00EC3C86" w:rsidRPr="00F35716">
        <w:t xml:space="preserve"> prevención</w:t>
      </w:r>
      <w:r w:rsidR="00D77B4F" w:rsidRPr="00F35716">
        <w:t>. Las</w:t>
      </w:r>
      <w:r w:rsidR="00EC3C86" w:rsidRPr="00F35716">
        <w:t xml:space="preserve"> autoridades están obligadas a tomar las medidas necesarias para prevenir la violencia contra las mujeres.</w:t>
      </w:r>
    </w:p>
    <w:p w14:paraId="32E9469F" w14:textId="009FA060" w:rsidR="00EC3C86" w:rsidRPr="00F35716" w:rsidRDefault="00D77B4F" w:rsidP="00B3192A">
      <w:pPr>
        <w:pStyle w:val="SingleTxt"/>
        <w:numPr>
          <w:ilvl w:val="0"/>
          <w:numId w:val="8"/>
        </w:numPr>
        <w:ind w:left="1267" w:firstLine="0"/>
      </w:pPr>
      <w:r w:rsidRPr="00F35716">
        <w:t>El 28 de marzo de 2019, en</w:t>
      </w:r>
      <w:r w:rsidR="00EC3C86" w:rsidRPr="00F35716">
        <w:t xml:space="preserve"> el marco de la </w:t>
      </w:r>
      <w:r w:rsidRPr="00F35716">
        <w:t xml:space="preserve">aplicación </w:t>
      </w:r>
      <w:r w:rsidR="00EC3C86" w:rsidRPr="00F35716">
        <w:t xml:space="preserve">de esta ley, el Consejo de Gobierno aprobó el decreto </w:t>
      </w:r>
      <w:r w:rsidRPr="00F35716">
        <w:t>de aplicación de esta ley. El decreto</w:t>
      </w:r>
      <w:r w:rsidR="00EC3C86" w:rsidRPr="00F35716">
        <w:t xml:space="preserve"> se </w:t>
      </w:r>
      <w:r w:rsidR="00CF6D82" w:rsidRPr="00F35716">
        <w:t>refiere a</w:t>
      </w:r>
      <w:r w:rsidR="00A95266" w:rsidRPr="00F35716">
        <w:t> </w:t>
      </w:r>
      <w:r w:rsidR="00EC3C86" w:rsidRPr="00F35716">
        <w:t xml:space="preserve">un conjunto de situaciones </w:t>
      </w:r>
      <w:r w:rsidR="00CF6D82" w:rsidRPr="00F35716">
        <w:t>reglamentarias vinculadas en gran medida a</w:t>
      </w:r>
      <w:r w:rsidR="00EC3C86" w:rsidRPr="00F35716">
        <w:t xml:space="preserve"> los mecanismos para </w:t>
      </w:r>
      <w:r w:rsidRPr="00F35716">
        <w:t>atender a</w:t>
      </w:r>
      <w:r w:rsidR="00EC3C86" w:rsidRPr="00F35716">
        <w:t xml:space="preserve"> las mujeres víctimas de la violencia</w:t>
      </w:r>
      <w:r w:rsidR="00CF6D82" w:rsidRPr="00F35716">
        <w:t>. El decreto permitirá crear</w:t>
      </w:r>
      <w:r w:rsidR="00EC3C86" w:rsidRPr="00F35716">
        <w:t>:</w:t>
      </w:r>
    </w:p>
    <w:p w14:paraId="32E946A0" w14:textId="06D82C50" w:rsidR="00EC3C86" w:rsidRPr="00F35716" w:rsidRDefault="005B62B1" w:rsidP="005B62B1">
      <w:pPr>
        <w:pStyle w:val="SingleTxt"/>
        <w:tabs>
          <w:tab w:val="right" w:pos="1685"/>
        </w:tabs>
        <w:ind w:left="1742" w:hanging="475"/>
      </w:pPr>
      <w:r w:rsidRPr="00F35716">
        <w:tab/>
        <w:t>–</w:t>
      </w:r>
      <w:r w:rsidRPr="00F35716">
        <w:tab/>
      </w:r>
      <w:r w:rsidR="00EC3C86" w:rsidRPr="00F35716">
        <w:t xml:space="preserve">Comités nacionales, regionales y locales para </w:t>
      </w:r>
      <w:r w:rsidR="00CF6D82" w:rsidRPr="00F35716">
        <w:t xml:space="preserve">atender </w:t>
      </w:r>
      <w:r w:rsidR="00EC3C86" w:rsidRPr="00F35716">
        <w:t>a las mujeres víctimas de violencia.</w:t>
      </w:r>
    </w:p>
    <w:p w14:paraId="32E946A1" w14:textId="04CC3D84" w:rsidR="00EC3C86" w:rsidRPr="00F35716" w:rsidRDefault="005B62B1" w:rsidP="005B62B1">
      <w:pPr>
        <w:pStyle w:val="SingleTxt"/>
        <w:tabs>
          <w:tab w:val="right" w:pos="1685"/>
        </w:tabs>
        <w:ind w:left="1742" w:hanging="475"/>
      </w:pPr>
      <w:r w:rsidRPr="00F35716">
        <w:tab/>
        <w:t>–</w:t>
      </w:r>
      <w:r w:rsidRPr="00F35716">
        <w:tab/>
      </w:r>
      <w:r w:rsidR="00EC3C86" w:rsidRPr="00F35716">
        <w:t xml:space="preserve">Unidades centrales y descentralizadas de atención </w:t>
      </w:r>
      <w:r w:rsidR="00CF6D82" w:rsidRPr="00F35716">
        <w:t>en los tribunales;</w:t>
      </w:r>
      <w:r w:rsidR="00EC3C86" w:rsidRPr="00F35716">
        <w:t xml:space="preserve"> sectores encargados de la justicia, la salud, la juventud</w:t>
      </w:r>
      <w:r w:rsidR="00CF6D82" w:rsidRPr="00F35716">
        <w:t xml:space="preserve"> y</w:t>
      </w:r>
      <w:r w:rsidR="00EC3C86" w:rsidRPr="00F35716">
        <w:t xml:space="preserve"> las mujeres</w:t>
      </w:r>
      <w:r w:rsidR="00CF6D82" w:rsidRPr="00F35716">
        <w:t>;</w:t>
      </w:r>
      <w:r w:rsidR="00EC3C86" w:rsidRPr="00F35716">
        <w:t xml:space="preserve"> la Dirección General de Seguridad Nacional y </w:t>
      </w:r>
      <w:r w:rsidR="00CF6D82" w:rsidRPr="00F35716">
        <w:t xml:space="preserve">el Alto Mando </w:t>
      </w:r>
      <w:r w:rsidR="00EC3C86" w:rsidRPr="00F35716">
        <w:t>de la Gendarmería Real.</w:t>
      </w:r>
    </w:p>
    <w:p w14:paraId="32E946A2" w14:textId="15E85959" w:rsidR="00EC3C86" w:rsidRPr="00F35716" w:rsidRDefault="00EC3C86" w:rsidP="00B3192A">
      <w:pPr>
        <w:pStyle w:val="SingleTxt"/>
        <w:numPr>
          <w:ilvl w:val="0"/>
          <w:numId w:val="8"/>
        </w:numPr>
        <w:ind w:left="1267" w:firstLine="0"/>
      </w:pPr>
      <w:r w:rsidRPr="00F35716">
        <w:t xml:space="preserve">Con el fin de poner en práctica el contenido de la Ley </w:t>
      </w:r>
      <w:r w:rsidR="00CF6D82" w:rsidRPr="00F35716">
        <w:t xml:space="preserve">relativa a la </w:t>
      </w:r>
      <w:r w:rsidRPr="00F35716">
        <w:t xml:space="preserve">Lucha contra la Violencia contra las Mujeres y su decreto de aplicación, se ha constituido el </w:t>
      </w:r>
      <w:r w:rsidR="008458A5" w:rsidRPr="00F35716">
        <w:t>Comité Nacional para la Asistencia de las Mujeres Víctimas de la Violencia</w:t>
      </w:r>
      <w:r w:rsidRPr="00F35716">
        <w:t xml:space="preserve">, al que la legislación confiere importantes poderes. En </w:t>
      </w:r>
      <w:r w:rsidR="00723625" w:rsidRPr="00F35716">
        <w:t>particular</w:t>
      </w:r>
      <w:r w:rsidRPr="00F35716">
        <w:t xml:space="preserve">, </w:t>
      </w:r>
      <w:r w:rsidR="00723625" w:rsidRPr="00F35716">
        <w:t>este órgano garantiza</w:t>
      </w:r>
      <w:r w:rsidRPr="00F35716">
        <w:t xml:space="preserve"> la comunicación y coordinación entre </w:t>
      </w:r>
      <w:r w:rsidR="00CF6D82" w:rsidRPr="00F35716">
        <w:t xml:space="preserve">distintas </w:t>
      </w:r>
      <w:r w:rsidRPr="00F35716">
        <w:t xml:space="preserve">intervenciones con miras a </w:t>
      </w:r>
      <w:r w:rsidR="00CF6D82" w:rsidRPr="00F35716">
        <w:t>hacer frente a</w:t>
      </w:r>
      <w:r w:rsidRPr="00F35716">
        <w:t xml:space="preserve"> la violencia contra las mujeres y contribuye a desarrollar mecanismos para mejorar y </w:t>
      </w:r>
      <w:r w:rsidR="00990A96" w:rsidRPr="00F35716">
        <w:t xml:space="preserve">expandir </w:t>
      </w:r>
      <w:r w:rsidRPr="00F35716">
        <w:t xml:space="preserve">el sistema de atención a las víctimas. Otras de sus </w:t>
      </w:r>
      <w:r w:rsidR="00990A96" w:rsidRPr="00F35716">
        <w:t>competencias</w:t>
      </w:r>
      <w:r w:rsidRPr="00F35716">
        <w:t xml:space="preserve"> están relacionadas con el fortalecimiento de los mecanismos de cooperación con </w:t>
      </w:r>
      <w:r w:rsidR="00990A96" w:rsidRPr="00F35716">
        <w:t xml:space="preserve">diversos </w:t>
      </w:r>
      <w:r w:rsidRPr="00F35716">
        <w:t xml:space="preserve">agentes, la presentación de propuestas y la preparación de informes. </w:t>
      </w:r>
    </w:p>
    <w:p w14:paraId="32E946A3" w14:textId="26979D47" w:rsidR="00EC3C86" w:rsidRPr="00F35716" w:rsidRDefault="00EC3C86" w:rsidP="00B3192A">
      <w:pPr>
        <w:pStyle w:val="SingleTxt"/>
        <w:numPr>
          <w:ilvl w:val="0"/>
          <w:numId w:val="8"/>
        </w:numPr>
        <w:ind w:left="1267" w:firstLine="0"/>
      </w:pPr>
      <w:r w:rsidRPr="00F35716">
        <w:t>Además de est</w:t>
      </w:r>
      <w:r w:rsidR="00990A96" w:rsidRPr="00F35716">
        <w:t>a</w:t>
      </w:r>
      <w:r w:rsidRPr="00F35716">
        <w:t xml:space="preserve"> </w:t>
      </w:r>
      <w:r w:rsidR="00990A96" w:rsidRPr="00F35716">
        <w:t>labor</w:t>
      </w:r>
      <w:r w:rsidRPr="00F35716">
        <w:t xml:space="preserve"> legislativ</w:t>
      </w:r>
      <w:r w:rsidR="00990A96" w:rsidRPr="00F35716">
        <w:t>a</w:t>
      </w:r>
      <w:r w:rsidRPr="00F35716">
        <w:t xml:space="preserve"> en curso, el Reino de Marruecos está haciendo esfuerzos paralelos para combatir el fenómeno, especialmente en lo que respecta a </w:t>
      </w:r>
      <w:r w:rsidR="00990A96" w:rsidRPr="00F35716">
        <w:t>la vigilancia de la violencia</w:t>
      </w:r>
      <w:r w:rsidRPr="00F35716">
        <w:t xml:space="preserve">, la prestación de protección </w:t>
      </w:r>
      <w:r w:rsidR="00CE3446" w:rsidRPr="00F35716">
        <w:t>jurídica</w:t>
      </w:r>
      <w:r w:rsidRPr="00F35716">
        <w:t xml:space="preserve"> a las víctimas y el </w:t>
      </w:r>
      <w:r w:rsidR="00990A96" w:rsidRPr="00F35716">
        <w:lastRenderedPageBreak/>
        <w:t xml:space="preserve">enjuiciamiento </w:t>
      </w:r>
      <w:r w:rsidRPr="00F35716">
        <w:t xml:space="preserve">de los </w:t>
      </w:r>
      <w:r w:rsidR="00990A96" w:rsidRPr="00F35716">
        <w:t>autores</w:t>
      </w:r>
      <w:r w:rsidRPr="00F35716">
        <w:t xml:space="preserve">, como se demostró con el seguimiento del </w:t>
      </w:r>
      <w:r w:rsidR="00990A96" w:rsidRPr="00F35716">
        <w:t>proceso</w:t>
      </w:r>
      <w:r w:rsidRPr="00F35716">
        <w:t xml:space="preserve"> judicial. Esto se debe a la convicción que existe entre los jueces de la posibilidad de demostrar la violencia conyugal por </w:t>
      </w:r>
      <w:r w:rsidR="00990A96" w:rsidRPr="00F35716">
        <w:t>diversos</w:t>
      </w:r>
      <w:r w:rsidRPr="00F35716">
        <w:t xml:space="preserve"> medios, </w:t>
      </w:r>
      <w:r w:rsidR="00990A96" w:rsidRPr="00F35716">
        <w:t>como</w:t>
      </w:r>
      <w:r w:rsidRPr="00F35716">
        <w:t xml:space="preserve"> certificado</w:t>
      </w:r>
      <w:r w:rsidR="00990A96" w:rsidRPr="00F35716">
        <w:t>s</w:t>
      </w:r>
      <w:r w:rsidRPr="00F35716">
        <w:t xml:space="preserve"> médico</w:t>
      </w:r>
      <w:r w:rsidR="00990A96" w:rsidRPr="00F35716">
        <w:t>s</w:t>
      </w:r>
      <w:r w:rsidRPr="00F35716">
        <w:t xml:space="preserve">, fotografías, muestras u otros medios </w:t>
      </w:r>
      <w:r w:rsidR="00990A96" w:rsidRPr="00F35716">
        <w:t xml:space="preserve">de prueba </w:t>
      </w:r>
      <w:r w:rsidRPr="00F35716">
        <w:t>disponibles (artículo 286 del Código de Procedimiento Penal).</w:t>
      </w:r>
    </w:p>
    <w:p w14:paraId="32E946A4" w14:textId="4C2C7090" w:rsidR="00EC3C86" w:rsidRPr="00F35716" w:rsidRDefault="00990A96" w:rsidP="00B3192A">
      <w:pPr>
        <w:pStyle w:val="SingleTxt"/>
        <w:numPr>
          <w:ilvl w:val="0"/>
          <w:numId w:val="8"/>
        </w:numPr>
        <w:ind w:left="1267" w:firstLine="0"/>
      </w:pPr>
      <w:r w:rsidRPr="00F35716">
        <w:t>Se introdujo una modificación importante en</w:t>
      </w:r>
      <w:r w:rsidR="00EC3C86" w:rsidRPr="00F35716">
        <w:t xml:space="preserve"> el Código de Procedimiento Penal en 2011 en lo que respecta a la protección </w:t>
      </w:r>
      <w:r w:rsidRPr="00F35716">
        <w:t>frente a los delitos de</w:t>
      </w:r>
      <w:r w:rsidR="00EC3C86" w:rsidRPr="00F35716">
        <w:t xml:space="preserve"> violencia contra las mujeres</w:t>
      </w:r>
      <w:r w:rsidRPr="00F35716">
        <w:t xml:space="preserve">. Se añadió una sección </w:t>
      </w:r>
      <w:r w:rsidR="00EC3C86" w:rsidRPr="00F35716">
        <w:t>relacionada con la protección de las víctimas y los testigos</w:t>
      </w:r>
      <w:r w:rsidRPr="00F35716">
        <w:t xml:space="preserve"> que</w:t>
      </w:r>
      <w:r w:rsidR="00EC3C86" w:rsidRPr="00F35716">
        <w:t xml:space="preserve"> incluye </w:t>
      </w:r>
      <w:r w:rsidRPr="00F35716">
        <w:t xml:space="preserve">las siguientes </w:t>
      </w:r>
      <w:r w:rsidR="00EC3C86" w:rsidRPr="00F35716">
        <w:t>medidas de protección para la</w:t>
      </w:r>
      <w:r w:rsidRPr="00F35716">
        <w:t>s</w:t>
      </w:r>
      <w:r w:rsidR="00EC3C86" w:rsidRPr="00F35716">
        <w:t xml:space="preserve"> víctima</w:t>
      </w:r>
      <w:r w:rsidRPr="00F35716">
        <w:t>s</w:t>
      </w:r>
      <w:r w:rsidR="00EC3C86" w:rsidRPr="00F35716">
        <w:t xml:space="preserve">: garantizar la protección física de la víctima y sus familiares; cambiar </w:t>
      </w:r>
      <w:r w:rsidRPr="00F35716">
        <w:t>e</w:t>
      </w:r>
      <w:r w:rsidR="00EC3C86" w:rsidRPr="00F35716">
        <w:t xml:space="preserve">l lugar de residencia </w:t>
      </w:r>
      <w:r w:rsidRPr="00F35716">
        <w:t xml:space="preserve">de la víctima; </w:t>
      </w:r>
      <w:r w:rsidR="00EC3C86" w:rsidRPr="00F35716">
        <w:t xml:space="preserve">no revelar información relacionada con </w:t>
      </w:r>
      <w:r w:rsidRPr="00F35716">
        <w:t>su</w:t>
      </w:r>
      <w:r w:rsidR="00EC3C86" w:rsidRPr="00F35716">
        <w:t xml:space="preserve"> identidad; garantizar la recuperación física y psicológica de la víctima ofreciéndole la atención de un médico </w:t>
      </w:r>
      <w:r w:rsidR="009A5593" w:rsidRPr="00F35716">
        <w:t>cualificado</w:t>
      </w:r>
      <w:r w:rsidR="00EC3C86" w:rsidRPr="00F35716">
        <w:t xml:space="preserve"> y la prestación de asistencia social; informar</w:t>
      </w:r>
      <w:r w:rsidR="00BD7E71" w:rsidRPr="00F35716">
        <w:t xml:space="preserve"> </w:t>
      </w:r>
      <w:r w:rsidR="00EC3C86" w:rsidRPr="00F35716">
        <w:t>a la</w:t>
      </w:r>
      <w:r w:rsidR="009A5593" w:rsidRPr="00F35716">
        <w:t>s</w:t>
      </w:r>
      <w:r w:rsidR="00EC3C86" w:rsidRPr="00F35716">
        <w:t xml:space="preserve"> víctima</w:t>
      </w:r>
      <w:r w:rsidR="009A5593" w:rsidRPr="00F35716">
        <w:t>s</w:t>
      </w:r>
      <w:r w:rsidR="00EC3C86" w:rsidRPr="00F35716">
        <w:t xml:space="preserve"> de su derecho a presentarse como demandante</w:t>
      </w:r>
      <w:r w:rsidR="00C62434" w:rsidRPr="00F35716">
        <w:t>s</w:t>
      </w:r>
      <w:r w:rsidR="00EC3C86" w:rsidRPr="00F35716">
        <w:t xml:space="preserve"> civil</w:t>
      </w:r>
      <w:r w:rsidR="00C62434" w:rsidRPr="00F35716">
        <w:t>es</w:t>
      </w:r>
      <w:r w:rsidR="00EC3C86" w:rsidRPr="00F35716">
        <w:t xml:space="preserve"> ante </w:t>
      </w:r>
      <w:r w:rsidR="009A5593" w:rsidRPr="00F35716">
        <w:t>un</w:t>
      </w:r>
      <w:r w:rsidR="00EC3C86" w:rsidRPr="00F35716">
        <w:t xml:space="preserve"> juez de instrucción o ante el tribunal</w:t>
      </w:r>
      <w:r w:rsidR="009A5593" w:rsidRPr="00F35716">
        <w:t>; e informar a las víctimas</w:t>
      </w:r>
      <w:r w:rsidR="00C62434" w:rsidRPr="00F35716">
        <w:t xml:space="preserve"> de</w:t>
      </w:r>
      <w:r w:rsidR="00EC3C86" w:rsidRPr="00F35716">
        <w:t xml:space="preserve"> los derechos que le</w:t>
      </w:r>
      <w:r w:rsidR="00C62434" w:rsidRPr="00F35716">
        <w:t>s</w:t>
      </w:r>
      <w:r w:rsidR="00EC3C86" w:rsidRPr="00F35716">
        <w:t xml:space="preserve"> confiere la ley.</w:t>
      </w:r>
    </w:p>
    <w:p w14:paraId="32E946A5" w14:textId="552C69B1" w:rsidR="00EC3C86" w:rsidRPr="00F35716" w:rsidRDefault="00EC3C86" w:rsidP="00B3192A">
      <w:pPr>
        <w:pStyle w:val="SingleTxt"/>
        <w:numPr>
          <w:ilvl w:val="0"/>
          <w:numId w:val="8"/>
        </w:numPr>
        <w:ind w:left="1267" w:firstLine="0"/>
      </w:pPr>
      <w:r w:rsidRPr="00F35716">
        <w:t xml:space="preserve">Con respecto a las medidas tomadas para </w:t>
      </w:r>
      <w:r w:rsidR="009A5593" w:rsidRPr="00F35716">
        <w:t xml:space="preserve">vigilar </w:t>
      </w:r>
      <w:r w:rsidRPr="00F35716">
        <w:t xml:space="preserve">el fenómeno, se ha creado un sistema de información institucional sobre violencia contra las mujeres que tiene como objetivo recopilar diversos datos </w:t>
      </w:r>
      <w:r w:rsidR="009A5593" w:rsidRPr="00F35716">
        <w:t>sobre</w:t>
      </w:r>
      <w:r w:rsidRPr="00F35716">
        <w:t xml:space="preserve"> mujeres y niñas que son víctimas de violencia a nivel regional y nacional. Para desarrollar este sistema, en 2014 se firmó un protocolo de intercambio de información entre </w:t>
      </w:r>
      <w:r w:rsidR="009A5593" w:rsidRPr="00F35716">
        <w:t xml:space="preserve">el </w:t>
      </w:r>
      <w:r w:rsidRPr="00F35716">
        <w:t>Ministerio de Familia, Solidaridad, Igualdad</w:t>
      </w:r>
      <w:r w:rsidR="009A5593" w:rsidRPr="00F35716">
        <w:t xml:space="preserve"> y</w:t>
      </w:r>
      <w:r w:rsidRPr="00F35716">
        <w:t xml:space="preserve"> Desarrollo Social, </w:t>
      </w:r>
      <w:r w:rsidR="009A5593" w:rsidRPr="00F35716">
        <w:t xml:space="preserve">el Ministerio de </w:t>
      </w:r>
      <w:r w:rsidRPr="00F35716">
        <w:t>Justicia</w:t>
      </w:r>
      <w:r w:rsidR="009A5593" w:rsidRPr="00F35716">
        <w:t>, el Ministerio de</w:t>
      </w:r>
      <w:r w:rsidRPr="00F35716">
        <w:t xml:space="preserve"> Salud, la Dirección General de Seguridad Nacional y la Gendarmería Real. </w:t>
      </w:r>
    </w:p>
    <w:p w14:paraId="32E946A6" w14:textId="73AF775F" w:rsidR="00EC3C86" w:rsidRPr="00F35716" w:rsidRDefault="009A5593" w:rsidP="00A526B4">
      <w:pPr>
        <w:pStyle w:val="SingleTxt"/>
        <w:numPr>
          <w:ilvl w:val="0"/>
          <w:numId w:val="8"/>
        </w:numPr>
        <w:ind w:left="1267" w:firstLine="0"/>
      </w:pPr>
      <w:r w:rsidRPr="00F35716">
        <w:t xml:space="preserve">Entre </w:t>
      </w:r>
      <w:r w:rsidR="00EC3C86" w:rsidRPr="00F35716">
        <w:t xml:space="preserve">junio de 2009 </w:t>
      </w:r>
      <w:r w:rsidRPr="00F35716">
        <w:t xml:space="preserve">y </w:t>
      </w:r>
      <w:r w:rsidR="00EC3C86" w:rsidRPr="00F35716">
        <w:t xml:space="preserve">enero de 2010, el Alto Comisionado de Planificación </w:t>
      </w:r>
      <w:r w:rsidRPr="00F35716">
        <w:t xml:space="preserve">llevó a cabo </w:t>
      </w:r>
      <w:r w:rsidR="00EC3C86" w:rsidRPr="00F35716">
        <w:t>una encuesta nacional sobre la violencia contra la mujer, que</w:t>
      </w:r>
      <w:r w:rsidR="00677819" w:rsidRPr="00F35716">
        <w:t> </w:t>
      </w:r>
      <w:r w:rsidR="00EC3C86" w:rsidRPr="00F35716">
        <w:t>abarcó todo el territorio nacional e incluyó una muestra compuesta por 9.534</w:t>
      </w:r>
      <w:r w:rsidR="00677819" w:rsidRPr="00F35716">
        <w:t> </w:t>
      </w:r>
      <w:r w:rsidR="00EC3C86" w:rsidRPr="00F35716">
        <w:t>mujeres de entre 18 y 64 años. Para actualizar los datos y las estadísticas referentes a este fenómeno y medir los indicadores de violencia de acuerdo con los</w:t>
      </w:r>
      <w:r w:rsidR="00175A4F" w:rsidRPr="00F35716">
        <w:t> </w:t>
      </w:r>
      <w:r w:rsidRPr="00F35716">
        <w:t>O</w:t>
      </w:r>
      <w:r w:rsidR="00EC3C86" w:rsidRPr="00F35716">
        <w:t xml:space="preserve">bjetivos de </w:t>
      </w:r>
      <w:r w:rsidRPr="00F35716">
        <w:t>D</w:t>
      </w:r>
      <w:r w:rsidR="00EC3C86" w:rsidRPr="00F35716">
        <w:t xml:space="preserve">esarrollo </w:t>
      </w:r>
      <w:r w:rsidRPr="00F35716">
        <w:t>S</w:t>
      </w:r>
      <w:r w:rsidR="00EC3C86" w:rsidRPr="00F35716">
        <w:t xml:space="preserve">ostenible, el Alto Comisionado de Planificación inició en 2019 </w:t>
      </w:r>
      <w:r w:rsidRPr="00F35716">
        <w:t>una</w:t>
      </w:r>
      <w:r w:rsidR="00EC3C86" w:rsidRPr="00F35716">
        <w:t xml:space="preserve"> segunda </w:t>
      </w:r>
      <w:r w:rsidR="00042B87" w:rsidRPr="00F35716">
        <w:t>ronda de investigaciones sobre el terreno</w:t>
      </w:r>
      <w:r w:rsidR="00EC3C86" w:rsidRPr="00F35716">
        <w:t xml:space="preserve"> sobre la violencia </w:t>
      </w:r>
      <w:r w:rsidRPr="00F35716">
        <w:t>contra las mujeres. Esta</w:t>
      </w:r>
      <w:r w:rsidR="00042B87" w:rsidRPr="00F35716">
        <w:t>s</w:t>
      </w:r>
      <w:r w:rsidR="00EC3C86" w:rsidRPr="00F35716">
        <w:t xml:space="preserve"> permitirá</w:t>
      </w:r>
      <w:r w:rsidR="00042B87" w:rsidRPr="00F35716">
        <w:t>n</w:t>
      </w:r>
      <w:r w:rsidR="00EC3C86" w:rsidRPr="00F35716">
        <w:t xml:space="preserve"> recopilar datos sobre </w:t>
      </w:r>
      <w:r w:rsidRPr="00F35716">
        <w:t>e</w:t>
      </w:r>
      <w:r w:rsidR="00EC3C86" w:rsidRPr="00F35716">
        <w:t>l</w:t>
      </w:r>
      <w:r w:rsidRPr="00F35716">
        <w:t xml:space="preserve"> alcance</w:t>
      </w:r>
      <w:r w:rsidR="00EC3C86" w:rsidRPr="00F35716">
        <w:t xml:space="preserve"> del fenómeno a nivel nacional y regional para el grupo de edad </w:t>
      </w:r>
      <w:r w:rsidRPr="00F35716">
        <w:t xml:space="preserve">de </w:t>
      </w:r>
      <w:r w:rsidR="00EC3C86" w:rsidRPr="00F35716">
        <w:t xml:space="preserve">15 </w:t>
      </w:r>
      <w:r w:rsidRPr="00F35716">
        <w:t>a</w:t>
      </w:r>
      <w:r w:rsidR="00EC3C86" w:rsidRPr="00F35716">
        <w:t xml:space="preserve"> 74 años y calcular su costo económico y social.</w:t>
      </w:r>
    </w:p>
    <w:p w14:paraId="32E946A8" w14:textId="4B43FB5B" w:rsidR="00EC3C86" w:rsidRPr="00F35716" w:rsidRDefault="00EC3C86" w:rsidP="00B3192A">
      <w:pPr>
        <w:pStyle w:val="SingleTxt"/>
        <w:numPr>
          <w:ilvl w:val="0"/>
          <w:numId w:val="8"/>
        </w:numPr>
        <w:ind w:left="1267" w:firstLine="0"/>
      </w:pPr>
      <w:r w:rsidRPr="00F35716">
        <w:t>E</w:t>
      </w:r>
      <w:r w:rsidR="00707155" w:rsidRPr="00F35716">
        <w:t>n 2019 e</w:t>
      </w:r>
      <w:r w:rsidRPr="00F35716">
        <w:t xml:space="preserve">l ministerio competente </w:t>
      </w:r>
      <w:r w:rsidR="00707155" w:rsidRPr="00F35716">
        <w:t xml:space="preserve">llevó a cabo una segunda ronda de </w:t>
      </w:r>
      <w:r w:rsidRPr="00F35716">
        <w:t>investigaci</w:t>
      </w:r>
      <w:r w:rsidR="00707155" w:rsidRPr="00F35716">
        <w:t>o</w:t>
      </w:r>
      <w:r w:rsidRPr="00F35716">
        <w:t>n</w:t>
      </w:r>
      <w:r w:rsidR="005636A0" w:rsidRPr="00F35716">
        <w:t>es</w:t>
      </w:r>
      <w:r w:rsidRPr="00F35716">
        <w:t xml:space="preserve"> nacional</w:t>
      </w:r>
      <w:r w:rsidR="00707155" w:rsidRPr="00F35716">
        <w:t>es</w:t>
      </w:r>
      <w:r w:rsidRPr="00F35716">
        <w:t xml:space="preserve"> sobre la prevalencia de la violencia contra las mujeres, cuyos objetivos son:</w:t>
      </w:r>
    </w:p>
    <w:p w14:paraId="32E946A9" w14:textId="04CA1D66" w:rsidR="00EC3C86" w:rsidRPr="00F35716" w:rsidRDefault="005B62B1" w:rsidP="005B62B1">
      <w:pPr>
        <w:pStyle w:val="SingleTxt"/>
        <w:tabs>
          <w:tab w:val="right" w:pos="1685"/>
        </w:tabs>
        <w:ind w:left="1742" w:hanging="475"/>
      </w:pPr>
      <w:r w:rsidRPr="00F35716">
        <w:tab/>
        <w:t>–</w:t>
      </w:r>
      <w:r w:rsidRPr="00F35716">
        <w:tab/>
      </w:r>
      <w:r w:rsidR="00EC3C86" w:rsidRPr="00F35716">
        <w:t>Proporcionar datos y estadísticas actualizad</w:t>
      </w:r>
      <w:r w:rsidR="00707155" w:rsidRPr="00F35716">
        <w:t>o</w:t>
      </w:r>
      <w:r w:rsidR="00EC3C86" w:rsidRPr="00F35716">
        <w:t>s sobre la violencia contra la</w:t>
      </w:r>
      <w:r w:rsidR="00DE7FF8" w:rsidRPr="00F35716">
        <w:t>s</w:t>
      </w:r>
      <w:r w:rsidR="00B0025E" w:rsidRPr="00F35716">
        <w:t> </w:t>
      </w:r>
      <w:r w:rsidR="00EC3C86" w:rsidRPr="00F35716">
        <w:t>mujer</w:t>
      </w:r>
      <w:r w:rsidR="00DE7FF8" w:rsidRPr="00F35716">
        <w:t>es</w:t>
      </w:r>
      <w:r w:rsidR="00EC3C86" w:rsidRPr="00F35716">
        <w:t>.</w:t>
      </w:r>
    </w:p>
    <w:p w14:paraId="32E946AA" w14:textId="4DDED8E4" w:rsidR="00EC3C86" w:rsidRPr="00F35716" w:rsidRDefault="005B62B1" w:rsidP="005B62B1">
      <w:pPr>
        <w:pStyle w:val="SingleTxt"/>
        <w:tabs>
          <w:tab w:val="right" w:pos="1685"/>
        </w:tabs>
        <w:ind w:left="1742" w:hanging="475"/>
      </w:pPr>
      <w:r w:rsidRPr="00F35716">
        <w:tab/>
        <w:t>–</w:t>
      </w:r>
      <w:r w:rsidRPr="00F35716">
        <w:tab/>
      </w:r>
      <w:r w:rsidR="00EC3C86" w:rsidRPr="00F35716">
        <w:t xml:space="preserve">Determinar </w:t>
      </w:r>
      <w:r w:rsidR="00DE7FF8" w:rsidRPr="00F35716">
        <w:t>la</w:t>
      </w:r>
      <w:r w:rsidR="00EC3C86" w:rsidRPr="00F35716">
        <w:t xml:space="preserve"> prevalencia de la violencia contra la</w:t>
      </w:r>
      <w:r w:rsidR="00DE7FF8" w:rsidRPr="00F35716">
        <w:t>s</w:t>
      </w:r>
      <w:r w:rsidR="00EC3C86" w:rsidRPr="00F35716">
        <w:t xml:space="preserve"> mujer</w:t>
      </w:r>
      <w:r w:rsidR="00DE7FF8" w:rsidRPr="00F35716">
        <w:t>es</w:t>
      </w:r>
      <w:r w:rsidR="00EC3C86" w:rsidRPr="00F35716">
        <w:t xml:space="preserve"> a nivel nacional, en función del </w:t>
      </w:r>
      <w:r w:rsidR="00DE7FF8" w:rsidRPr="00F35716">
        <w:t xml:space="preserve">entorno </w:t>
      </w:r>
      <w:r w:rsidR="00EC3C86" w:rsidRPr="00F35716">
        <w:t xml:space="preserve">en el que </w:t>
      </w:r>
      <w:r w:rsidR="00DE7FF8" w:rsidRPr="00F35716">
        <w:t xml:space="preserve">se produjo </w:t>
      </w:r>
      <w:r w:rsidR="00EC3C86" w:rsidRPr="00F35716">
        <w:t xml:space="preserve">y las formas </w:t>
      </w:r>
      <w:r w:rsidR="00DE7FF8" w:rsidRPr="00F35716">
        <w:t xml:space="preserve">establecidas </w:t>
      </w:r>
      <w:r w:rsidR="00EC3C86" w:rsidRPr="00F35716">
        <w:t>en la Ley</w:t>
      </w:r>
      <w:r w:rsidR="00DC5B02" w:rsidRPr="00F35716">
        <w:t> </w:t>
      </w:r>
      <w:r w:rsidR="00EC3C86" w:rsidRPr="00F35716">
        <w:t>núm. 1</w:t>
      </w:r>
      <w:r w:rsidR="00DE7FF8" w:rsidRPr="00F35716">
        <w:t>0</w:t>
      </w:r>
      <w:r w:rsidR="00EC3C86" w:rsidRPr="00F35716">
        <w:t>3-</w:t>
      </w:r>
      <w:r w:rsidR="00A526B4" w:rsidRPr="00F35716">
        <w:t>1</w:t>
      </w:r>
      <w:r w:rsidR="00EC3C86" w:rsidRPr="00F35716">
        <w:t xml:space="preserve">3 </w:t>
      </w:r>
      <w:r w:rsidR="00DE7FF8" w:rsidRPr="00F35716">
        <w:t xml:space="preserve">relativa a </w:t>
      </w:r>
      <w:r w:rsidR="00EC3C86" w:rsidRPr="00F35716">
        <w:t>la Lucha contra la Violencia contra la</w:t>
      </w:r>
      <w:r w:rsidR="00DE7FF8" w:rsidRPr="00F35716">
        <w:t>s</w:t>
      </w:r>
      <w:r w:rsidR="00EC3C86" w:rsidRPr="00F35716">
        <w:t xml:space="preserve"> Mujer</w:t>
      </w:r>
      <w:r w:rsidR="00DE7FF8" w:rsidRPr="00F35716">
        <w:t>es</w:t>
      </w:r>
      <w:r w:rsidR="00EC3C86" w:rsidRPr="00F35716">
        <w:t>.</w:t>
      </w:r>
    </w:p>
    <w:p w14:paraId="32E946AB" w14:textId="44D945B1" w:rsidR="00EC3C86" w:rsidRPr="00F35716" w:rsidRDefault="005B62B1" w:rsidP="005B62B1">
      <w:pPr>
        <w:pStyle w:val="SingleTxt"/>
        <w:tabs>
          <w:tab w:val="right" w:pos="1685"/>
        </w:tabs>
        <w:ind w:left="1742" w:hanging="475"/>
      </w:pPr>
      <w:r w:rsidRPr="00F35716">
        <w:tab/>
        <w:t>–</w:t>
      </w:r>
      <w:r w:rsidRPr="00F35716">
        <w:tab/>
      </w:r>
      <w:r w:rsidR="00EC3C86" w:rsidRPr="00F35716">
        <w:t>Definir las características socioeconómicas y el entorno de l</w:t>
      </w:r>
      <w:r w:rsidR="00DE7FF8" w:rsidRPr="00F35716">
        <w:t>a</w:t>
      </w:r>
      <w:r w:rsidR="00EC3C86" w:rsidRPr="00F35716">
        <w:t xml:space="preserve">s </w:t>
      </w:r>
      <w:r w:rsidR="00DE7FF8" w:rsidRPr="00F35716">
        <w:t xml:space="preserve">víctimas y los </w:t>
      </w:r>
      <w:r w:rsidR="00EC3C86" w:rsidRPr="00F35716">
        <w:t>autores de l</w:t>
      </w:r>
      <w:r w:rsidR="00DE7FF8" w:rsidRPr="00F35716">
        <w:t>os actos de</w:t>
      </w:r>
      <w:r w:rsidR="00EC3C86" w:rsidRPr="00F35716">
        <w:t xml:space="preserve"> violencia </w:t>
      </w:r>
      <w:r w:rsidR="00DE7FF8" w:rsidRPr="00F35716">
        <w:t>contra las mujeres</w:t>
      </w:r>
      <w:r w:rsidR="00EC3C86" w:rsidRPr="00F35716">
        <w:t>.</w:t>
      </w:r>
    </w:p>
    <w:p w14:paraId="32E946AC" w14:textId="41594D10" w:rsidR="00EC3C86" w:rsidRPr="00F35716" w:rsidRDefault="005B62B1" w:rsidP="005B62B1">
      <w:pPr>
        <w:pStyle w:val="SingleTxt"/>
        <w:tabs>
          <w:tab w:val="right" w:pos="1685"/>
        </w:tabs>
        <w:ind w:left="1742" w:hanging="475"/>
      </w:pPr>
      <w:r w:rsidRPr="00F35716">
        <w:tab/>
        <w:t>–</w:t>
      </w:r>
      <w:r w:rsidRPr="00F35716">
        <w:tab/>
      </w:r>
      <w:r w:rsidR="00DE7FF8" w:rsidRPr="00F35716">
        <w:t xml:space="preserve">Usar </w:t>
      </w:r>
      <w:r w:rsidR="00EC3C86" w:rsidRPr="00F35716">
        <w:t>los resultados de la investigación nacional para determinar las iniciativas que pueden eliminar el fenómeno.</w:t>
      </w:r>
    </w:p>
    <w:p w14:paraId="32E946AD" w14:textId="2D8369B4" w:rsidR="00EC3C86" w:rsidRPr="00F35716" w:rsidRDefault="00EC3C86" w:rsidP="00084653">
      <w:pPr>
        <w:pStyle w:val="SingleTxt"/>
        <w:numPr>
          <w:ilvl w:val="0"/>
          <w:numId w:val="8"/>
        </w:numPr>
        <w:ind w:left="1267" w:firstLine="0"/>
      </w:pPr>
      <w:r w:rsidRPr="00F35716">
        <w:t xml:space="preserve">La investigación </w:t>
      </w:r>
      <w:r w:rsidR="00DE7FF8" w:rsidRPr="00F35716">
        <w:t xml:space="preserve">incluyó </w:t>
      </w:r>
      <w:r w:rsidRPr="00F35716">
        <w:t xml:space="preserve">a 13.543 mujeres de entre 18 y 64 años de </w:t>
      </w:r>
      <w:r w:rsidR="00DE7FF8" w:rsidRPr="00F35716">
        <w:t xml:space="preserve">diferentes </w:t>
      </w:r>
      <w:r w:rsidRPr="00F35716">
        <w:t>regiones</w:t>
      </w:r>
      <w:r w:rsidR="00DE7FF8" w:rsidRPr="00F35716">
        <w:t>. El</w:t>
      </w:r>
      <w:r w:rsidRPr="00F35716">
        <w:t xml:space="preserve"> ministerio anunció sus resultados preliminares en 2019</w:t>
      </w:r>
      <w:r w:rsidR="00DE7FF8" w:rsidRPr="00F35716">
        <w:t>, los cuales revelaron que</w:t>
      </w:r>
      <w:r w:rsidRPr="00F35716">
        <w:t xml:space="preserve"> la violencia contra las mujeres tuvo una prevalencia del 54,4</w:t>
      </w:r>
      <w:r w:rsidR="0006736D" w:rsidRPr="00F35716">
        <w:t> %</w:t>
      </w:r>
      <w:r w:rsidRPr="00F35716">
        <w:t xml:space="preserve"> en 2018, </w:t>
      </w:r>
      <w:r w:rsidR="00DE7FF8" w:rsidRPr="00F35716">
        <w:t>frente al</w:t>
      </w:r>
      <w:r w:rsidRPr="00F35716">
        <w:t xml:space="preserve"> el 62,8</w:t>
      </w:r>
      <w:r w:rsidR="0006736D" w:rsidRPr="00F35716">
        <w:t> %</w:t>
      </w:r>
      <w:r w:rsidRPr="00F35716">
        <w:t xml:space="preserve"> de 2009. La distribución por </w:t>
      </w:r>
      <w:r w:rsidR="00DE7FF8" w:rsidRPr="00F35716">
        <w:t>zona</w:t>
      </w:r>
      <w:r w:rsidRPr="00F35716">
        <w:t xml:space="preserve"> muestra que las mujeres de zonas urbanas son las más expuestas a la violencia, con un</w:t>
      </w:r>
      <w:r w:rsidR="00DE7FF8" w:rsidRPr="00F35716">
        <w:t xml:space="preserve"> porcentaje</w:t>
      </w:r>
      <w:r w:rsidRPr="00F35716">
        <w:t xml:space="preserve"> del 55,8</w:t>
      </w:r>
      <w:r w:rsidR="0006736D" w:rsidRPr="00F35716">
        <w:t> %</w:t>
      </w:r>
      <w:r w:rsidRPr="00F35716">
        <w:t xml:space="preserve"> frente al 51,6</w:t>
      </w:r>
      <w:r w:rsidR="0006736D" w:rsidRPr="00F35716">
        <w:t> %</w:t>
      </w:r>
      <w:r w:rsidRPr="00F35716">
        <w:t xml:space="preserve"> </w:t>
      </w:r>
      <w:r w:rsidR="00DE7FF8" w:rsidRPr="00F35716">
        <w:t xml:space="preserve">en el caso de </w:t>
      </w:r>
      <w:r w:rsidRPr="00F35716">
        <w:t xml:space="preserve">las mujeres rurales. Los resultados de la investigación también mostraron que la violencia psicológica es la más </w:t>
      </w:r>
      <w:r w:rsidR="00084653" w:rsidRPr="00F35716">
        <w:t>extendida</w:t>
      </w:r>
      <w:r w:rsidRPr="00F35716">
        <w:t xml:space="preserve">, pues aproximadamente la </w:t>
      </w:r>
      <w:r w:rsidRPr="00F35716">
        <w:lastRenderedPageBreak/>
        <w:t>mitad de las mujeres (el 49,1</w:t>
      </w:r>
      <w:r w:rsidR="0006736D" w:rsidRPr="00F35716">
        <w:t> %</w:t>
      </w:r>
      <w:r w:rsidRPr="00F35716">
        <w:t>) declararon haberla experimentado. A ella le siguen la violencia económica (16,7</w:t>
      </w:r>
      <w:r w:rsidR="0006736D" w:rsidRPr="00F35716">
        <w:t> %</w:t>
      </w:r>
      <w:r w:rsidRPr="00F35716">
        <w:t>), la violencia física (15,9</w:t>
      </w:r>
      <w:r w:rsidR="0006736D" w:rsidRPr="00F35716">
        <w:t> %</w:t>
      </w:r>
      <w:r w:rsidRPr="00F35716">
        <w:t>) y la violencia sexual (14,3</w:t>
      </w:r>
      <w:r w:rsidR="0006736D" w:rsidRPr="00F35716">
        <w:t> %</w:t>
      </w:r>
      <w:r w:rsidRPr="00F35716">
        <w:t>).</w:t>
      </w:r>
    </w:p>
    <w:p w14:paraId="32E946AE" w14:textId="2AFDD53A" w:rsidR="00EC3C86" w:rsidRPr="00F35716" w:rsidRDefault="00EC3C86" w:rsidP="00B3192A">
      <w:pPr>
        <w:pStyle w:val="SingleTxt"/>
        <w:numPr>
          <w:ilvl w:val="0"/>
          <w:numId w:val="8"/>
        </w:numPr>
        <w:ind w:left="1267" w:firstLine="0"/>
      </w:pPr>
      <w:r w:rsidRPr="00F35716">
        <w:t>En 2014 se creó el Observatorio Nacional de la Violencia contra la</w:t>
      </w:r>
      <w:r w:rsidR="001356B9" w:rsidRPr="00F35716">
        <w:t>s</w:t>
      </w:r>
      <w:r w:rsidRPr="00F35716">
        <w:t xml:space="preserve"> Mujer</w:t>
      </w:r>
      <w:r w:rsidR="001356B9" w:rsidRPr="00F35716">
        <w:t>es</w:t>
      </w:r>
      <w:r w:rsidRPr="00F35716">
        <w:t xml:space="preserve"> como mecanismo institucional nacional que engloba</w:t>
      </w:r>
      <w:r w:rsidR="001356B9" w:rsidRPr="00F35716">
        <w:t>, además de</w:t>
      </w:r>
      <w:r w:rsidRPr="00F35716">
        <w:t xml:space="preserve"> a los sectores gubernamentales, </w:t>
      </w:r>
      <w:r w:rsidR="001356B9" w:rsidRPr="00F35716">
        <w:t xml:space="preserve">a </w:t>
      </w:r>
      <w:r w:rsidRPr="00F35716">
        <w:t>la sociedad civil</w:t>
      </w:r>
      <w:r w:rsidR="001356B9" w:rsidRPr="00F35716">
        <w:t>,</w:t>
      </w:r>
      <w:r w:rsidRPr="00F35716">
        <w:t xml:space="preserve"> centros de investigación y estudios </w:t>
      </w:r>
      <w:r w:rsidR="001356B9" w:rsidRPr="00F35716">
        <w:t xml:space="preserve">y </w:t>
      </w:r>
      <w:r w:rsidRPr="00F35716">
        <w:t>universi</w:t>
      </w:r>
      <w:r w:rsidR="001356B9" w:rsidRPr="00F35716">
        <w:t>dades</w:t>
      </w:r>
      <w:r w:rsidRPr="00F35716">
        <w:t>. Sus principales funciones son el control y la vigilancia, que ejerce mediante la recopilación de datos estadísticos regionales y nacionales.</w:t>
      </w:r>
    </w:p>
    <w:p w14:paraId="32E946AF" w14:textId="38E0DEC4" w:rsidR="00EC3C86" w:rsidRPr="00F35716" w:rsidRDefault="001356B9" w:rsidP="00B3192A">
      <w:pPr>
        <w:pStyle w:val="SingleTxt"/>
        <w:numPr>
          <w:ilvl w:val="0"/>
          <w:numId w:val="8"/>
        </w:numPr>
        <w:ind w:left="1267" w:firstLine="0"/>
      </w:pPr>
      <w:r w:rsidRPr="00F35716">
        <w:t>En 2015 y 2016, e</w:t>
      </w:r>
      <w:r w:rsidR="00EC3C86" w:rsidRPr="00F35716">
        <w:t xml:space="preserve">l Observatorio publicó informes anuales basados en los datos </w:t>
      </w:r>
      <w:r w:rsidRPr="00F35716">
        <w:t xml:space="preserve">recopilados por </w:t>
      </w:r>
      <w:r w:rsidR="00EC3C86" w:rsidRPr="00F35716">
        <w:t xml:space="preserve">las unidades institucionales dedicadas a </w:t>
      </w:r>
      <w:r w:rsidRPr="00F35716">
        <w:t xml:space="preserve">atender </w:t>
      </w:r>
      <w:r w:rsidR="00EC3C86" w:rsidRPr="00F35716">
        <w:t>a las mujeres víctimas de violencia en los tribunales del Reino, los hospitales</w:t>
      </w:r>
      <w:r w:rsidRPr="00F35716">
        <w:t>,</w:t>
      </w:r>
      <w:r w:rsidR="00EC3C86" w:rsidRPr="00F35716">
        <w:t xml:space="preserve"> la Dirección General de Seguridad Nacional y la Gendarmería Real. Los datos del segundo informe, publicado en 2016, muestran una tendencia a la baja a medida que disminuyó el número de casos de violencia física registrados a nivel judicial, que pasaron de</w:t>
      </w:r>
      <w:r w:rsidR="00856904" w:rsidRPr="00F35716">
        <w:t> </w:t>
      </w:r>
      <w:r w:rsidR="00EC3C86" w:rsidRPr="00F35716">
        <w:t>12.148 en 2014 y 10.455 en 2015 a 8.717 en 2016</w:t>
      </w:r>
      <w:r w:rsidR="004523CE" w:rsidRPr="00F35716">
        <w:rPr>
          <w:vertAlign w:val="superscript"/>
        </w:rPr>
        <w:footnoteReference w:id="102"/>
      </w:r>
      <w:r w:rsidR="004523CE" w:rsidRPr="00F35716">
        <w:t xml:space="preserve">. Ello </w:t>
      </w:r>
      <w:r w:rsidR="00EC3C86" w:rsidRPr="00F35716">
        <w:t>supone una reducción del</w:t>
      </w:r>
      <w:r w:rsidR="00856904" w:rsidRPr="00F35716">
        <w:t> </w:t>
      </w:r>
      <w:r w:rsidR="00EC3C86" w:rsidRPr="00F35716">
        <w:t>28</w:t>
      </w:r>
      <w:r w:rsidR="0006736D" w:rsidRPr="00F35716">
        <w:t> %</w:t>
      </w:r>
      <w:r w:rsidR="00EC3C86" w:rsidRPr="00F35716">
        <w:t>.</w:t>
      </w:r>
    </w:p>
    <w:p w14:paraId="32E946B0" w14:textId="78894D00" w:rsidR="00EC3C86" w:rsidRPr="00F35716" w:rsidRDefault="00EC3C86" w:rsidP="00670ABD">
      <w:pPr>
        <w:pStyle w:val="SingleTxt"/>
        <w:numPr>
          <w:ilvl w:val="0"/>
          <w:numId w:val="8"/>
        </w:numPr>
        <w:ind w:left="1267" w:firstLine="0"/>
      </w:pPr>
      <w:r w:rsidRPr="00F35716">
        <w:t xml:space="preserve">La Gendarmería Real </w:t>
      </w:r>
      <w:r w:rsidR="004523CE" w:rsidRPr="00F35716">
        <w:t xml:space="preserve">ha </w:t>
      </w:r>
      <w:r w:rsidRPr="00F35716">
        <w:t>trabaj</w:t>
      </w:r>
      <w:r w:rsidR="004523CE" w:rsidRPr="00F35716">
        <w:t>ado</w:t>
      </w:r>
      <w:r w:rsidRPr="00F35716">
        <w:t xml:space="preserve"> para apoyar a los </w:t>
      </w:r>
      <w:r w:rsidR="004523CE" w:rsidRPr="00F35716">
        <w:t xml:space="preserve">agentes </w:t>
      </w:r>
      <w:r w:rsidRPr="00F35716">
        <w:t xml:space="preserve">de la </w:t>
      </w:r>
      <w:r w:rsidR="004523CE" w:rsidRPr="00F35716">
        <w:t>p</w:t>
      </w:r>
      <w:r w:rsidRPr="00F35716">
        <w:t xml:space="preserve">olicía </w:t>
      </w:r>
      <w:r w:rsidR="004523CE" w:rsidRPr="00F35716">
        <w:t>j</w:t>
      </w:r>
      <w:r w:rsidRPr="00F35716">
        <w:t>udicial</w:t>
      </w:r>
      <w:r w:rsidR="00BD625E" w:rsidRPr="00F35716">
        <w:t> </w:t>
      </w:r>
      <w:r w:rsidRPr="00F35716">
        <w:t xml:space="preserve">presentes en sus centros, incluidas las mujeres, a fin de garantizar la </w:t>
      </w:r>
      <w:r w:rsidR="004523CE" w:rsidRPr="00F35716">
        <w:t>atención a</w:t>
      </w:r>
      <w:r w:rsidRPr="00F35716">
        <w:t xml:space="preserve"> las mujeres víctimas de violencia. </w:t>
      </w:r>
      <w:r w:rsidR="004523CE" w:rsidRPr="00F35716">
        <w:t>En 2017 s</w:t>
      </w:r>
      <w:r w:rsidRPr="00F35716">
        <w:t xml:space="preserve">e registraron 9.376 casos, de los cuales 8.339 se resolvieron. </w:t>
      </w:r>
      <w:r w:rsidR="00084653" w:rsidRPr="00F35716">
        <w:t>En 2016 se registraron 9.801 casos, de los que se resolvieron 8.658</w:t>
      </w:r>
      <w:r w:rsidR="00670ABD" w:rsidRPr="00F35716">
        <w:t>, y e</w:t>
      </w:r>
      <w:r w:rsidRPr="00F35716">
        <w:t>n 2015 se registraron 12.122 casos</w:t>
      </w:r>
      <w:r w:rsidR="00670ABD" w:rsidRPr="00F35716">
        <w:t>. E</w:t>
      </w:r>
      <w:r w:rsidRPr="00F35716">
        <w:t>n 2018 se registraron 9.433 casos, de los cuales se resolvieron 8.390. Gracias a ello, se arrestó y llevó ante la justicia a 1.303 personas y se tomó declaración a más de 5.472</w:t>
      </w:r>
      <w:r w:rsidR="00830A87" w:rsidRPr="00F35716">
        <w:t xml:space="preserve"> </w:t>
      </w:r>
      <w:r w:rsidRPr="00F35716">
        <w:t xml:space="preserve">personas. El número de víctimas fue de 9.789, incluidos 1.263 menores. </w:t>
      </w:r>
    </w:p>
    <w:p w14:paraId="32E946B1" w14:textId="578A63A4" w:rsidR="00EC3C86" w:rsidRPr="00F35716" w:rsidRDefault="00EC3C86" w:rsidP="00B3192A">
      <w:pPr>
        <w:pStyle w:val="SingleTxt"/>
        <w:numPr>
          <w:ilvl w:val="0"/>
          <w:numId w:val="8"/>
        </w:numPr>
        <w:ind w:left="1267" w:firstLine="0"/>
      </w:pPr>
      <w:r w:rsidRPr="00F35716">
        <w:t xml:space="preserve">Las dependencias de la Gendarmería Real disponen de datos desglosados </w:t>
      </w:r>
      <w:r w:rsidR="004523CE" w:rsidRPr="00F35716">
        <w:t>por</w:t>
      </w:r>
      <w:r w:rsidRPr="00F35716">
        <w:t xml:space="preserve"> tipo de violencia, sus formas, la distribución geográfica, la edad de las víctimas y el lugar donde se produce la violencia.</w:t>
      </w:r>
    </w:p>
    <w:p w14:paraId="32E946B2" w14:textId="77777777" w:rsidR="00B0025E" w:rsidRPr="00F35716" w:rsidRDefault="00B0025E" w:rsidP="00955CBF">
      <w:pPr>
        <w:pStyle w:val="SingleTxt"/>
        <w:spacing w:after="0" w:line="120" w:lineRule="exact"/>
        <w:rPr>
          <w:sz w:val="10"/>
          <w:szCs w:val="20"/>
        </w:rPr>
      </w:pPr>
    </w:p>
    <w:p w14:paraId="32E946B4" w14:textId="77777777" w:rsidR="00EC3C86" w:rsidRPr="00F35716" w:rsidRDefault="00FC4F60" w:rsidP="00FC4F60">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 w:val="0"/>
          <w:bCs w:val="0"/>
          <w:szCs w:val="20"/>
        </w:rPr>
        <w:t xml:space="preserve">Tabla 17: </w:t>
      </w:r>
      <w:r w:rsidRPr="00F35716">
        <w:rPr>
          <w:b w:val="0"/>
          <w:bCs w:val="0"/>
          <w:szCs w:val="20"/>
        </w:rPr>
        <w:br/>
      </w:r>
      <w:r w:rsidR="00EC3C86" w:rsidRPr="00F35716">
        <w:rPr>
          <w:bCs w:val="0"/>
          <w:szCs w:val="20"/>
        </w:rPr>
        <w:t>Estadísticas de violencia contra las mujeres registradas en las dependencias de la</w:t>
      </w:r>
      <w:r w:rsidRPr="00F35716">
        <w:rPr>
          <w:bCs w:val="0"/>
          <w:szCs w:val="20"/>
        </w:rPr>
        <w:t> </w:t>
      </w:r>
      <w:r w:rsidR="00EC3C86" w:rsidRPr="00F35716">
        <w:rPr>
          <w:bCs w:val="0"/>
          <w:szCs w:val="20"/>
        </w:rPr>
        <w:t>Gendarmería Real (2018)</w:t>
      </w:r>
    </w:p>
    <w:p w14:paraId="32E946B5" w14:textId="77777777" w:rsidR="00FC4F60" w:rsidRPr="00F35716" w:rsidRDefault="00FC4F60" w:rsidP="00955CBF">
      <w:pPr>
        <w:pStyle w:val="SingleTxt"/>
        <w:spacing w:after="0" w:line="120" w:lineRule="exact"/>
        <w:rPr>
          <w:sz w:val="10"/>
          <w:szCs w:val="20"/>
        </w:rPr>
      </w:pPr>
    </w:p>
    <w:tbl>
      <w:tblPr>
        <w:tblW w:w="7344" w:type="dxa"/>
        <w:tblInd w:w="1267" w:type="dxa"/>
        <w:tblLayout w:type="fixed"/>
        <w:tblCellMar>
          <w:left w:w="0" w:type="dxa"/>
          <w:right w:w="43" w:type="dxa"/>
        </w:tblCellMar>
        <w:tblLook w:val="04A0" w:firstRow="1" w:lastRow="0" w:firstColumn="1" w:lastColumn="0" w:noHBand="0" w:noVBand="1"/>
      </w:tblPr>
      <w:tblGrid>
        <w:gridCol w:w="2813"/>
        <w:gridCol w:w="2250"/>
        <w:gridCol w:w="2281"/>
      </w:tblGrid>
      <w:tr w:rsidR="00EC3C86" w:rsidRPr="00F35716" w14:paraId="32E946B9" w14:textId="77777777" w:rsidTr="00CE36CC">
        <w:trPr>
          <w:tblHeader/>
        </w:trPr>
        <w:tc>
          <w:tcPr>
            <w:tcW w:w="2813" w:type="dxa"/>
            <w:tcBorders>
              <w:top w:val="single" w:sz="4" w:space="0" w:color="auto"/>
              <w:bottom w:val="single" w:sz="12" w:space="0" w:color="auto"/>
            </w:tcBorders>
            <w:shd w:val="clear" w:color="auto" w:fill="auto"/>
            <w:vAlign w:val="bottom"/>
          </w:tcPr>
          <w:p w14:paraId="32E946B6" w14:textId="77777777" w:rsidR="00EC3C86" w:rsidRPr="00F35716" w:rsidRDefault="00EC3C86" w:rsidP="00631D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r w:rsidRPr="00F35716">
              <w:rPr>
                <w:i/>
                <w:iCs/>
                <w:kern w:val="0"/>
                <w:sz w:val="14"/>
                <w:szCs w:val="14"/>
              </w:rPr>
              <w:t>Grupo de edad de la víctima</w:t>
            </w:r>
          </w:p>
        </w:tc>
        <w:tc>
          <w:tcPr>
            <w:tcW w:w="2250" w:type="dxa"/>
            <w:tcBorders>
              <w:top w:val="single" w:sz="4" w:space="0" w:color="auto"/>
              <w:bottom w:val="single" w:sz="12" w:space="0" w:color="auto"/>
            </w:tcBorders>
            <w:shd w:val="clear" w:color="auto" w:fill="auto"/>
            <w:vAlign w:val="bottom"/>
          </w:tcPr>
          <w:p w14:paraId="32E946B7" w14:textId="77777777" w:rsidR="00EC3C86" w:rsidRPr="00F35716" w:rsidRDefault="00EC3C86" w:rsidP="00631D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Violencia sexual</w:t>
            </w:r>
          </w:p>
        </w:tc>
        <w:tc>
          <w:tcPr>
            <w:tcW w:w="2281" w:type="dxa"/>
            <w:tcBorders>
              <w:top w:val="single" w:sz="4" w:space="0" w:color="auto"/>
              <w:bottom w:val="single" w:sz="12" w:space="0" w:color="auto"/>
            </w:tcBorders>
            <w:shd w:val="clear" w:color="auto" w:fill="auto"/>
            <w:vAlign w:val="bottom"/>
          </w:tcPr>
          <w:p w14:paraId="32E946B8" w14:textId="69B327B6" w:rsidR="00EC3C86" w:rsidRPr="00F35716" w:rsidRDefault="00EC3C86" w:rsidP="00631D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 xml:space="preserve">Violencia </w:t>
            </w:r>
            <w:r w:rsidR="0076601A" w:rsidRPr="00F35716">
              <w:rPr>
                <w:i/>
                <w:iCs/>
                <w:kern w:val="0"/>
                <w:sz w:val="14"/>
                <w:szCs w:val="14"/>
              </w:rPr>
              <w:t>física</w:t>
            </w:r>
          </w:p>
        </w:tc>
      </w:tr>
      <w:tr w:rsidR="00631D35" w:rsidRPr="00F35716" w14:paraId="32E946BD" w14:textId="77777777" w:rsidTr="00CE36CC">
        <w:trPr>
          <w:trHeight w:hRule="exact" w:val="115"/>
          <w:tblHeader/>
        </w:trPr>
        <w:tc>
          <w:tcPr>
            <w:tcW w:w="2813" w:type="dxa"/>
            <w:tcBorders>
              <w:top w:val="single" w:sz="12" w:space="0" w:color="auto"/>
            </w:tcBorders>
            <w:shd w:val="clear" w:color="auto" w:fill="auto"/>
          </w:tcPr>
          <w:p w14:paraId="32E946BA" w14:textId="77777777" w:rsidR="00631D35" w:rsidRPr="00F35716" w:rsidRDefault="00631D35" w:rsidP="00631D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2250" w:type="dxa"/>
            <w:tcBorders>
              <w:top w:val="single" w:sz="12" w:space="0" w:color="auto"/>
            </w:tcBorders>
            <w:shd w:val="clear" w:color="auto" w:fill="auto"/>
          </w:tcPr>
          <w:p w14:paraId="32E946BB" w14:textId="77777777" w:rsidR="00631D35" w:rsidRPr="00F35716" w:rsidRDefault="00631D35" w:rsidP="00631D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2281" w:type="dxa"/>
            <w:tcBorders>
              <w:top w:val="single" w:sz="12" w:space="0" w:color="auto"/>
            </w:tcBorders>
            <w:shd w:val="clear" w:color="auto" w:fill="auto"/>
          </w:tcPr>
          <w:p w14:paraId="32E946BC" w14:textId="77777777" w:rsidR="00631D35" w:rsidRPr="00F35716" w:rsidRDefault="00631D35" w:rsidP="00631D3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r>
      <w:tr w:rsidR="00EC3C86" w:rsidRPr="00F35716" w14:paraId="32E946C1" w14:textId="77777777" w:rsidTr="00CE36CC">
        <w:tc>
          <w:tcPr>
            <w:tcW w:w="2813" w:type="dxa"/>
            <w:shd w:val="clear" w:color="auto" w:fill="auto"/>
            <w:vAlign w:val="bottom"/>
          </w:tcPr>
          <w:p w14:paraId="32E946BE" w14:textId="77777777" w:rsidR="00EC3C86" w:rsidRPr="00F35716" w:rsidRDefault="00EC3C86" w:rsidP="00631D35">
            <w:pPr>
              <w:spacing w:before="40" w:after="80" w:line="210" w:lineRule="exact"/>
              <w:rPr>
                <w:bCs/>
                <w:sz w:val="17"/>
                <w:szCs w:val="17"/>
              </w:rPr>
            </w:pPr>
            <w:r w:rsidRPr="00F35716">
              <w:rPr>
                <w:bCs/>
                <w:sz w:val="17"/>
                <w:szCs w:val="17"/>
              </w:rPr>
              <w:t>-18</w:t>
            </w:r>
          </w:p>
        </w:tc>
        <w:tc>
          <w:tcPr>
            <w:tcW w:w="2250" w:type="dxa"/>
            <w:shd w:val="clear" w:color="auto" w:fill="auto"/>
            <w:vAlign w:val="bottom"/>
          </w:tcPr>
          <w:p w14:paraId="32E946BF" w14:textId="77777777" w:rsidR="00EC3C86" w:rsidRPr="00F35716" w:rsidRDefault="00EC3C86" w:rsidP="00631D35">
            <w:pPr>
              <w:spacing w:before="40" w:after="80" w:line="210" w:lineRule="exact"/>
              <w:jc w:val="right"/>
              <w:rPr>
                <w:sz w:val="17"/>
                <w:szCs w:val="17"/>
              </w:rPr>
            </w:pPr>
            <w:r w:rsidRPr="00F35716">
              <w:rPr>
                <w:sz w:val="17"/>
                <w:szCs w:val="17"/>
              </w:rPr>
              <w:t>623</w:t>
            </w:r>
          </w:p>
        </w:tc>
        <w:tc>
          <w:tcPr>
            <w:tcW w:w="2281" w:type="dxa"/>
            <w:shd w:val="clear" w:color="auto" w:fill="auto"/>
            <w:vAlign w:val="bottom"/>
          </w:tcPr>
          <w:p w14:paraId="32E946C0" w14:textId="77777777" w:rsidR="00EC3C86" w:rsidRPr="00F35716" w:rsidRDefault="00EC3C86" w:rsidP="00631D35">
            <w:pPr>
              <w:spacing w:before="40" w:after="80" w:line="210" w:lineRule="exact"/>
              <w:jc w:val="right"/>
              <w:rPr>
                <w:sz w:val="17"/>
                <w:szCs w:val="17"/>
              </w:rPr>
            </w:pPr>
            <w:r w:rsidRPr="00F35716">
              <w:rPr>
                <w:sz w:val="17"/>
                <w:szCs w:val="17"/>
              </w:rPr>
              <w:t>640</w:t>
            </w:r>
          </w:p>
        </w:tc>
      </w:tr>
      <w:tr w:rsidR="00EC3C86" w:rsidRPr="00F35716" w14:paraId="32E946C5" w14:textId="77777777" w:rsidTr="00CE36CC">
        <w:tc>
          <w:tcPr>
            <w:tcW w:w="2813" w:type="dxa"/>
            <w:shd w:val="clear" w:color="auto" w:fill="auto"/>
            <w:vAlign w:val="bottom"/>
          </w:tcPr>
          <w:p w14:paraId="32E946C2" w14:textId="77777777" w:rsidR="00EC3C86" w:rsidRPr="00F35716" w:rsidRDefault="00EC3C86" w:rsidP="00631D35">
            <w:pPr>
              <w:spacing w:before="40" w:after="80" w:line="210" w:lineRule="exact"/>
              <w:rPr>
                <w:bCs/>
                <w:sz w:val="17"/>
                <w:szCs w:val="17"/>
              </w:rPr>
            </w:pPr>
            <w:r w:rsidRPr="00F35716">
              <w:rPr>
                <w:bCs/>
                <w:sz w:val="17"/>
                <w:szCs w:val="17"/>
              </w:rPr>
              <w:t>18-30</w:t>
            </w:r>
          </w:p>
        </w:tc>
        <w:tc>
          <w:tcPr>
            <w:tcW w:w="2250" w:type="dxa"/>
            <w:shd w:val="clear" w:color="auto" w:fill="auto"/>
            <w:vAlign w:val="bottom"/>
          </w:tcPr>
          <w:p w14:paraId="32E946C3" w14:textId="77777777" w:rsidR="00EC3C86" w:rsidRPr="00F35716" w:rsidRDefault="00EC3C86" w:rsidP="00631D35">
            <w:pPr>
              <w:spacing w:before="40" w:after="80" w:line="210" w:lineRule="exact"/>
              <w:jc w:val="right"/>
              <w:rPr>
                <w:sz w:val="17"/>
                <w:szCs w:val="17"/>
              </w:rPr>
            </w:pPr>
            <w:r w:rsidRPr="00F35716">
              <w:rPr>
                <w:sz w:val="17"/>
                <w:szCs w:val="17"/>
              </w:rPr>
              <w:t>425</w:t>
            </w:r>
          </w:p>
        </w:tc>
        <w:tc>
          <w:tcPr>
            <w:tcW w:w="2281" w:type="dxa"/>
            <w:shd w:val="clear" w:color="auto" w:fill="auto"/>
            <w:vAlign w:val="bottom"/>
          </w:tcPr>
          <w:p w14:paraId="32E946C4" w14:textId="77777777" w:rsidR="00EC3C86" w:rsidRPr="00F35716" w:rsidRDefault="00EC3C86" w:rsidP="00631D35">
            <w:pPr>
              <w:spacing w:before="40" w:after="80" w:line="210" w:lineRule="exact"/>
              <w:jc w:val="right"/>
              <w:rPr>
                <w:sz w:val="17"/>
                <w:szCs w:val="17"/>
              </w:rPr>
            </w:pPr>
            <w:r w:rsidRPr="00F35716">
              <w:rPr>
                <w:sz w:val="17"/>
                <w:szCs w:val="17"/>
              </w:rPr>
              <w:t>2.177</w:t>
            </w:r>
          </w:p>
        </w:tc>
      </w:tr>
      <w:tr w:rsidR="00EC3C86" w:rsidRPr="00F35716" w14:paraId="32E946C9" w14:textId="77777777" w:rsidTr="00CE36CC">
        <w:tc>
          <w:tcPr>
            <w:tcW w:w="2813" w:type="dxa"/>
            <w:shd w:val="clear" w:color="auto" w:fill="auto"/>
            <w:vAlign w:val="bottom"/>
          </w:tcPr>
          <w:p w14:paraId="32E946C6" w14:textId="77777777" w:rsidR="00EC3C86" w:rsidRPr="00F35716" w:rsidRDefault="00EC3C86" w:rsidP="00631D35">
            <w:pPr>
              <w:spacing w:before="40" w:after="80" w:line="210" w:lineRule="exact"/>
              <w:rPr>
                <w:bCs/>
                <w:sz w:val="17"/>
                <w:szCs w:val="17"/>
              </w:rPr>
            </w:pPr>
            <w:r w:rsidRPr="00F35716">
              <w:rPr>
                <w:bCs/>
                <w:sz w:val="17"/>
                <w:szCs w:val="17"/>
              </w:rPr>
              <w:t>30-45</w:t>
            </w:r>
          </w:p>
        </w:tc>
        <w:tc>
          <w:tcPr>
            <w:tcW w:w="2250" w:type="dxa"/>
            <w:shd w:val="clear" w:color="auto" w:fill="auto"/>
            <w:vAlign w:val="bottom"/>
          </w:tcPr>
          <w:p w14:paraId="32E946C7" w14:textId="77777777" w:rsidR="00EC3C86" w:rsidRPr="00F35716" w:rsidRDefault="00EC3C86" w:rsidP="00631D35">
            <w:pPr>
              <w:spacing w:before="40" w:after="80" w:line="210" w:lineRule="exact"/>
              <w:jc w:val="right"/>
              <w:rPr>
                <w:sz w:val="17"/>
                <w:szCs w:val="17"/>
              </w:rPr>
            </w:pPr>
            <w:r w:rsidRPr="00F35716">
              <w:rPr>
                <w:sz w:val="17"/>
                <w:szCs w:val="17"/>
              </w:rPr>
              <w:t>319</w:t>
            </w:r>
          </w:p>
        </w:tc>
        <w:tc>
          <w:tcPr>
            <w:tcW w:w="2281" w:type="dxa"/>
            <w:shd w:val="clear" w:color="auto" w:fill="auto"/>
            <w:vAlign w:val="bottom"/>
          </w:tcPr>
          <w:p w14:paraId="32E946C8" w14:textId="77777777" w:rsidR="00EC3C86" w:rsidRPr="00F35716" w:rsidRDefault="00EC3C86" w:rsidP="00631D35">
            <w:pPr>
              <w:spacing w:before="40" w:after="80" w:line="210" w:lineRule="exact"/>
              <w:jc w:val="right"/>
              <w:rPr>
                <w:sz w:val="17"/>
                <w:szCs w:val="17"/>
              </w:rPr>
            </w:pPr>
            <w:r w:rsidRPr="00F35716">
              <w:rPr>
                <w:sz w:val="17"/>
                <w:szCs w:val="17"/>
              </w:rPr>
              <w:t>3.441</w:t>
            </w:r>
          </w:p>
        </w:tc>
      </w:tr>
      <w:tr w:rsidR="00EC3C86" w:rsidRPr="00F35716" w14:paraId="32E946CD" w14:textId="77777777" w:rsidTr="00CE36CC">
        <w:tc>
          <w:tcPr>
            <w:tcW w:w="2813" w:type="dxa"/>
            <w:tcBorders>
              <w:bottom w:val="single" w:sz="4" w:space="0" w:color="auto"/>
            </w:tcBorders>
            <w:shd w:val="clear" w:color="auto" w:fill="auto"/>
            <w:vAlign w:val="bottom"/>
          </w:tcPr>
          <w:p w14:paraId="32E946CA" w14:textId="77777777" w:rsidR="00EC3C86" w:rsidRPr="00F35716" w:rsidRDefault="00EC3C86" w:rsidP="00631D35">
            <w:pPr>
              <w:spacing w:before="40" w:after="80" w:line="210" w:lineRule="exact"/>
              <w:rPr>
                <w:bCs/>
                <w:sz w:val="17"/>
                <w:szCs w:val="17"/>
              </w:rPr>
            </w:pPr>
            <w:r w:rsidRPr="00F35716">
              <w:rPr>
                <w:bCs/>
                <w:sz w:val="17"/>
                <w:szCs w:val="17"/>
              </w:rPr>
              <w:t>+45</w:t>
            </w:r>
          </w:p>
        </w:tc>
        <w:tc>
          <w:tcPr>
            <w:tcW w:w="2250" w:type="dxa"/>
            <w:tcBorders>
              <w:bottom w:val="single" w:sz="4" w:space="0" w:color="auto"/>
            </w:tcBorders>
            <w:shd w:val="clear" w:color="auto" w:fill="auto"/>
            <w:vAlign w:val="bottom"/>
          </w:tcPr>
          <w:p w14:paraId="32E946CB" w14:textId="77777777" w:rsidR="00EC3C86" w:rsidRPr="00F35716" w:rsidRDefault="00EC3C86" w:rsidP="00631D35">
            <w:pPr>
              <w:spacing w:before="40" w:after="80" w:line="210" w:lineRule="exact"/>
              <w:jc w:val="right"/>
              <w:rPr>
                <w:sz w:val="17"/>
                <w:szCs w:val="17"/>
              </w:rPr>
            </w:pPr>
            <w:r w:rsidRPr="00F35716">
              <w:rPr>
                <w:sz w:val="17"/>
                <w:szCs w:val="17"/>
              </w:rPr>
              <w:t>131</w:t>
            </w:r>
          </w:p>
        </w:tc>
        <w:tc>
          <w:tcPr>
            <w:tcW w:w="2281" w:type="dxa"/>
            <w:tcBorders>
              <w:bottom w:val="single" w:sz="4" w:space="0" w:color="auto"/>
            </w:tcBorders>
            <w:shd w:val="clear" w:color="auto" w:fill="auto"/>
            <w:vAlign w:val="bottom"/>
          </w:tcPr>
          <w:p w14:paraId="32E946CC" w14:textId="77777777" w:rsidR="00EC3C86" w:rsidRPr="00F35716" w:rsidRDefault="00EC3C86" w:rsidP="00631D35">
            <w:pPr>
              <w:spacing w:before="40" w:after="80" w:line="210" w:lineRule="exact"/>
              <w:jc w:val="right"/>
              <w:rPr>
                <w:sz w:val="17"/>
                <w:szCs w:val="17"/>
              </w:rPr>
            </w:pPr>
            <w:r w:rsidRPr="00F35716">
              <w:rPr>
                <w:sz w:val="17"/>
                <w:szCs w:val="17"/>
              </w:rPr>
              <w:t>2.033</w:t>
            </w:r>
          </w:p>
        </w:tc>
      </w:tr>
      <w:tr w:rsidR="00EC3C86" w:rsidRPr="00F35716" w14:paraId="32E946D1" w14:textId="77777777" w:rsidTr="00CC254E">
        <w:tc>
          <w:tcPr>
            <w:tcW w:w="2813" w:type="dxa"/>
            <w:tcBorders>
              <w:top w:val="single" w:sz="4" w:space="0" w:color="auto"/>
              <w:bottom w:val="single" w:sz="12" w:space="0" w:color="auto"/>
            </w:tcBorders>
            <w:shd w:val="clear" w:color="auto" w:fill="auto"/>
            <w:vAlign w:val="bottom"/>
          </w:tcPr>
          <w:p w14:paraId="32E946CE" w14:textId="77777777" w:rsidR="00EC3C86" w:rsidRPr="00F35716" w:rsidRDefault="00631D35" w:rsidP="00534208">
            <w:pPr>
              <w:tabs>
                <w:tab w:val="left" w:pos="365"/>
              </w:tabs>
              <w:spacing w:before="80" w:after="80" w:line="210" w:lineRule="exact"/>
              <w:rPr>
                <w:b/>
                <w:bCs/>
                <w:sz w:val="17"/>
                <w:szCs w:val="17"/>
              </w:rPr>
            </w:pPr>
            <w:r w:rsidRPr="00F35716">
              <w:rPr>
                <w:b/>
                <w:bCs/>
                <w:sz w:val="17"/>
                <w:szCs w:val="17"/>
              </w:rPr>
              <w:tab/>
            </w:r>
            <w:r w:rsidR="00EC3C86" w:rsidRPr="00F35716">
              <w:rPr>
                <w:b/>
                <w:bCs/>
                <w:sz w:val="17"/>
                <w:szCs w:val="17"/>
              </w:rPr>
              <w:t>Total</w:t>
            </w:r>
          </w:p>
        </w:tc>
        <w:tc>
          <w:tcPr>
            <w:tcW w:w="2250" w:type="dxa"/>
            <w:tcBorders>
              <w:top w:val="single" w:sz="4" w:space="0" w:color="auto"/>
              <w:bottom w:val="single" w:sz="12" w:space="0" w:color="auto"/>
            </w:tcBorders>
            <w:shd w:val="clear" w:color="auto" w:fill="auto"/>
            <w:vAlign w:val="bottom"/>
          </w:tcPr>
          <w:p w14:paraId="32E946CF" w14:textId="77777777" w:rsidR="00EC3C86" w:rsidRPr="00F35716" w:rsidRDefault="00EC3C86" w:rsidP="00631D35">
            <w:pPr>
              <w:spacing w:before="80" w:after="80" w:line="210" w:lineRule="exact"/>
              <w:jc w:val="right"/>
              <w:rPr>
                <w:b/>
                <w:sz w:val="17"/>
                <w:szCs w:val="17"/>
              </w:rPr>
            </w:pPr>
            <w:r w:rsidRPr="00F35716">
              <w:rPr>
                <w:b/>
                <w:sz w:val="17"/>
                <w:szCs w:val="17"/>
              </w:rPr>
              <w:t>1.498</w:t>
            </w:r>
          </w:p>
        </w:tc>
        <w:tc>
          <w:tcPr>
            <w:tcW w:w="2281" w:type="dxa"/>
            <w:tcBorders>
              <w:top w:val="single" w:sz="4" w:space="0" w:color="auto"/>
              <w:bottom w:val="single" w:sz="12" w:space="0" w:color="auto"/>
            </w:tcBorders>
            <w:shd w:val="clear" w:color="auto" w:fill="auto"/>
            <w:vAlign w:val="bottom"/>
          </w:tcPr>
          <w:p w14:paraId="32E946D0" w14:textId="77777777" w:rsidR="00EC3C86" w:rsidRPr="00F35716" w:rsidRDefault="00EC3C86" w:rsidP="00631D35">
            <w:pPr>
              <w:spacing w:before="80" w:after="80" w:line="210" w:lineRule="exact"/>
              <w:jc w:val="right"/>
              <w:rPr>
                <w:b/>
                <w:sz w:val="17"/>
                <w:szCs w:val="17"/>
              </w:rPr>
            </w:pPr>
            <w:r w:rsidRPr="00F35716">
              <w:rPr>
                <w:b/>
                <w:sz w:val="17"/>
                <w:szCs w:val="17"/>
              </w:rPr>
              <w:t>8.291</w:t>
            </w:r>
          </w:p>
        </w:tc>
      </w:tr>
    </w:tbl>
    <w:p w14:paraId="32E946D2" w14:textId="77777777" w:rsidR="00B0025E" w:rsidRPr="00F35716" w:rsidRDefault="00B0025E" w:rsidP="00955CBF">
      <w:pPr>
        <w:pStyle w:val="SingleTxt"/>
        <w:spacing w:after="0" w:line="120" w:lineRule="exact"/>
        <w:rPr>
          <w:sz w:val="10"/>
          <w:szCs w:val="20"/>
        </w:rPr>
      </w:pPr>
    </w:p>
    <w:p w14:paraId="32E946D3" w14:textId="77777777" w:rsidR="00955CBF" w:rsidRPr="00F35716" w:rsidRDefault="00955CBF" w:rsidP="00955CBF">
      <w:pPr>
        <w:pStyle w:val="SingleTxt"/>
        <w:spacing w:after="0" w:line="120" w:lineRule="exact"/>
        <w:rPr>
          <w:sz w:val="10"/>
          <w:szCs w:val="20"/>
        </w:rPr>
      </w:pPr>
    </w:p>
    <w:p w14:paraId="32E946D4" w14:textId="2A65E2AD" w:rsidR="00EC3C86" w:rsidRPr="00F35716" w:rsidRDefault="00EC3C86" w:rsidP="00B3192A">
      <w:pPr>
        <w:pStyle w:val="SingleTxt"/>
        <w:numPr>
          <w:ilvl w:val="0"/>
          <w:numId w:val="8"/>
        </w:numPr>
        <w:ind w:left="1267" w:firstLine="0"/>
      </w:pPr>
      <w:r w:rsidRPr="00F35716">
        <w:t xml:space="preserve">Se han </w:t>
      </w:r>
      <w:r w:rsidR="004523CE" w:rsidRPr="00F35716">
        <w:t xml:space="preserve">ampliado los </w:t>
      </w:r>
      <w:r w:rsidRPr="00F35716">
        <w:t xml:space="preserve">mecanismos </w:t>
      </w:r>
      <w:r w:rsidR="004523CE" w:rsidRPr="00F35716">
        <w:t xml:space="preserve">gubernamentales </w:t>
      </w:r>
      <w:r w:rsidRPr="00F35716">
        <w:t xml:space="preserve">para </w:t>
      </w:r>
      <w:r w:rsidR="004523CE" w:rsidRPr="00F35716">
        <w:t xml:space="preserve">atender </w:t>
      </w:r>
      <w:r w:rsidRPr="00F35716">
        <w:t>a las mujeres víctimas de violencia</w:t>
      </w:r>
      <w:r w:rsidR="004523CE" w:rsidRPr="00F35716">
        <w:t xml:space="preserve"> mediante la creación de</w:t>
      </w:r>
      <w:r w:rsidRPr="00F35716">
        <w:t xml:space="preserve"> unidades de recepción </w:t>
      </w:r>
      <w:r w:rsidR="00A40CC4" w:rsidRPr="00F35716">
        <w:t>en</w:t>
      </w:r>
      <w:r w:rsidRPr="00F35716">
        <w:t xml:space="preserve"> los tribunales de primera instancia</w:t>
      </w:r>
      <w:r w:rsidR="00A40CC4" w:rsidRPr="00F35716">
        <w:t>. Estas unidades, que actualmente ascienden a 88 a nivel nacional</w:t>
      </w:r>
      <w:r w:rsidRPr="00F35716">
        <w:t>, se encargan de escuchar y brindar apoyo psicológico a las víctimas</w:t>
      </w:r>
      <w:r w:rsidR="00A40CC4" w:rsidRPr="00F35716">
        <w:t>. Se ha diseñado</w:t>
      </w:r>
      <w:r w:rsidRPr="00F35716">
        <w:t xml:space="preserve"> un plan para </w:t>
      </w:r>
      <w:r w:rsidR="00A40CC4" w:rsidRPr="00F35716">
        <w:t>mejorar el proceso</w:t>
      </w:r>
      <w:r w:rsidRPr="00F35716">
        <w:t xml:space="preserve"> judicial, que se actualiza cada año, </w:t>
      </w:r>
      <w:r w:rsidR="00A40CC4" w:rsidRPr="00F35716">
        <w:t xml:space="preserve">centrado </w:t>
      </w:r>
      <w:r w:rsidRPr="00F35716">
        <w:t xml:space="preserve">en </w:t>
      </w:r>
      <w:r w:rsidR="00A40CC4" w:rsidRPr="00F35716">
        <w:t xml:space="preserve">fomentar </w:t>
      </w:r>
      <w:r w:rsidRPr="00F35716">
        <w:t xml:space="preserve">las capacidades de </w:t>
      </w:r>
      <w:r w:rsidR="00A40CC4" w:rsidRPr="00F35716">
        <w:t xml:space="preserve">las personas que </w:t>
      </w:r>
      <w:r w:rsidRPr="00F35716">
        <w:t>trabaja</w:t>
      </w:r>
      <w:r w:rsidR="00A40CC4" w:rsidRPr="00F35716">
        <w:t>n</w:t>
      </w:r>
      <w:r w:rsidRPr="00F35716">
        <w:t xml:space="preserve"> en las unidades de </w:t>
      </w:r>
      <w:r w:rsidR="00C71EEA" w:rsidRPr="00F35716">
        <w:t>asistencia</w:t>
      </w:r>
      <w:r w:rsidRPr="00F35716">
        <w:t xml:space="preserve">. También se </w:t>
      </w:r>
      <w:r w:rsidR="00A40CC4" w:rsidRPr="00F35716">
        <w:t xml:space="preserve">contrató a trabajadores </w:t>
      </w:r>
      <w:r w:rsidRPr="00F35716">
        <w:t>sociales (pasaron de ser 81 en 2008 a 298 en 2015; un aumento del 268</w:t>
      </w:r>
      <w:r w:rsidR="0006736D" w:rsidRPr="00F35716">
        <w:t> %</w:t>
      </w:r>
      <w:r w:rsidRPr="00F35716">
        <w:t>)</w:t>
      </w:r>
      <w:r w:rsidR="00A40CC4" w:rsidRPr="00F35716">
        <w:t>. Se han creado</w:t>
      </w:r>
      <w:r w:rsidRPr="00F35716">
        <w:t xml:space="preserve"> espacios para niños dentro de l</w:t>
      </w:r>
      <w:r w:rsidR="00A40CC4" w:rsidRPr="00F35716">
        <w:t>a</w:t>
      </w:r>
      <w:r w:rsidRPr="00F35716">
        <w:t xml:space="preserve">s </w:t>
      </w:r>
      <w:r w:rsidR="00A40CC4" w:rsidRPr="00F35716">
        <w:t>salas</w:t>
      </w:r>
      <w:r w:rsidRPr="00F35716">
        <w:t xml:space="preserve"> de justicia familiar, y se </w:t>
      </w:r>
      <w:r w:rsidR="00A40CC4" w:rsidRPr="00F35716">
        <w:t xml:space="preserve">ha </w:t>
      </w:r>
      <w:r w:rsidRPr="00F35716">
        <w:t>generaliz</w:t>
      </w:r>
      <w:r w:rsidR="00A40CC4" w:rsidRPr="00F35716">
        <w:t>ado</w:t>
      </w:r>
      <w:r w:rsidRPr="00F35716">
        <w:t xml:space="preserve"> la asistencia social a </w:t>
      </w:r>
      <w:r w:rsidR="00A40CC4" w:rsidRPr="00F35716">
        <w:t xml:space="preserve">diferentes </w:t>
      </w:r>
      <w:r w:rsidRPr="00F35716">
        <w:t xml:space="preserve">departamentos, </w:t>
      </w:r>
      <w:r w:rsidRPr="00F35716">
        <w:lastRenderedPageBreak/>
        <w:t>que se ofrece continuamente en el</w:t>
      </w:r>
      <w:r w:rsidR="006C3DA8" w:rsidRPr="00F35716">
        <w:t> </w:t>
      </w:r>
      <w:r w:rsidRPr="00F35716">
        <w:t>ámbito de la investigación social</w:t>
      </w:r>
      <w:r w:rsidR="00A40CC4" w:rsidRPr="00F35716">
        <w:t>,</w:t>
      </w:r>
      <w:r w:rsidRPr="00F35716">
        <w:t xml:space="preserve"> en particular con respecto al matrimonio de menor</w:t>
      </w:r>
      <w:r w:rsidR="00A40CC4" w:rsidRPr="00F35716">
        <w:t>es</w:t>
      </w:r>
      <w:r w:rsidRPr="00F35716">
        <w:t>.</w:t>
      </w:r>
    </w:p>
    <w:p w14:paraId="32E946D5" w14:textId="77777777" w:rsidR="00936B71" w:rsidRPr="00F35716" w:rsidRDefault="00936B71" w:rsidP="00955CBF">
      <w:pPr>
        <w:pStyle w:val="SingleTxt"/>
        <w:spacing w:after="0" w:line="120" w:lineRule="exact"/>
        <w:rPr>
          <w:sz w:val="10"/>
          <w:szCs w:val="20"/>
        </w:rPr>
      </w:pPr>
    </w:p>
    <w:p w14:paraId="32E946D6" w14:textId="124DAC28" w:rsidR="00EC3C86" w:rsidRPr="00F35716" w:rsidRDefault="00BA64EA" w:rsidP="00BA64EA">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 w:val="0"/>
          <w:bCs w:val="0"/>
          <w:szCs w:val="20"/>
        </w:rPr>
        <w:t xml:space="preserve">Tabla 18: </w:t>
      </w:r>
      <w:r w:rsidRPr="00F35716">
        <w:rPr>
          <w:b w:val="0"/>
          <w:bCs w:val="0"/>
          <w:szCs w:val="20"/>
        </w:rPr>
        <w:br/>
      </w:r>
      <w:r w:rsidR="00A40CC4" w:rsidRPr="00F35716">
        <w:rPr>
          <w:bCs w:val="0"/>
          <w:szCs w:val="20"/>
        </w:rPr>
        <w:t>Aumento de la contratación</w:t>
      </w:r>
      <w:r w:rsidR="00EC3C86" w:rsidRPr="00F35716">
        <w:rPr>
          <w:bCs w:val="0"/>
          <w:szCs w:val="20"/>
        </w:rPr>
        <w:t xml:space="preserve"> de </w:t>
      </w:r>
      <w:r w:rsidR="00A40CC4" w:rsidRPr="00F35716">
        <w:rPr>
          <w:bCs w:val="0"/>
          <w:szCs w:val="20"/>
        </w:rPr>
        <w:t xml:space="preserve">trabajadores </w:t>
      </w:r>
      <w:r w:rsidR="00EC3C86" w:rsidRPr="00F35716">
        <w:rPr>
          <w:bCs w:val="0"/>
          <w:szCs w:val="20"/>
        </w:rPr>
        <w:t>sociales en el Ministerio de Justicia</w:t>
      </w:r>
    </w:p>
    <w:p w14:paraId="32E946D7" w14:textId="77777777" w:rsidR="00BA64EA" w:rsidRPr="00F35716" w:rsidRDefault="00BA64EA" w:rsidP="00955CBF">
      <w:pPr>
        <w:pStyle w:val="SingleTxt"/>
        <w:spacing w:after="0" w:line="120" w:lineRule="exact"/>
        <w:rPr>
          <w:sz w:val="10"/>
          <w:szCs w:val="20"/>
        </w:rPr>
      </w:pPr>
    </w:p>
    <w:tbl>
      <w:tblPr>
        <w:tblW w:w="7344" w:type="dxa"/>
        <w:tblInd w:w="1267" w:type="dxa"/>
        <w:tblLayout w:type="fixed"/>
        <w:tblCellMar>
          <w:left w:w="0" w:type="dxa"/>
          <w:right w:w="43" w:type="dxa"/>
        </w:tblCellMar>
        <w:tblLook w:val="04A0" w:firstRow="1" w:lastRow="0" w:firstColumn="1" w:lastColumn="0" w:noHBand="0" w:noVBand="1"/>
      </w:tblPr>
      <w:tblGrid>
        <w:gridCol w:w="2423"/>
        <w:gridCol w:w="2460"/>
        <w:gridCol w:w="2461"/>
      </w:tblGrid>
      <w:tr w:rsidR="009019FD" w:rsidRPr="00F35716" w14:paraId="32E946DB" w14:textId="77777777" w:rsidTr="00EA329F">
        <w:trPr>
          <w:tblHeader/>
        </w:trPr>
        <w:tc>
          <w:tcPr>
            <w:tcW w:w="2423" w:type="dxa"/>
            <w:tcBorders>
              <w:top w:val="single" w:sz="4" w:space="0" w:color="auto"/>
              <w:bottom w:val="single" w:sz="12" w:space="0" w:color="auto"/>
            </w:tcBorders>
            <w:shd w:val="clear" w:color="auto" w:fill="auto"/>
            <w:vAlign w:val="bottom"/>
          </w:tcPr>
          <w:p w14:paraId="32E946D8" w14:textId="77777777" w:rsidR="002B2CEC" w:rsidRPr="00F35716" w:rsidRDefault="002B2CEC"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r w:rsidRPr="00F35716">
              <w:rPr>
                <w:i/>
                <w:iCs/>
                <w:kern w:val="0"/>
                <w:sz w:val="14"/>
                <w:szCs w:val="14"/>
              </w:rPr>
              <w:t>Año</w:t>
            </w:r>
          </w:p>
        </w:tc>
        <w:tc>
          <w:tcPr>
            <w:tcW w:w="2460" w:type="dxa"/>
            <w:tcBorders>
              <w:top w:val="single" w:sz="4" w:space="0" w:color="auto"/>
              <w:bottom w:val="single" w:sz="12" w:space="0" w:color="auto"/>
            </w:tcBorders>
            <w:shd w:val="clear" w:color="auto" w:fill="auto"/>
            <w:vAlign w:val="bottom"/>
          </w:tcPr>
          <w:p w14:paraId="32E946D9" w14:textId="446F3B0D" w:rsidR="002B2CEC" w:rsidRPr="00F35716" w:rsidRDefault="002B2CEC"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 xml:space="preserve">Número de </w:t>
            </w:r>
            <w:r w:rsidR="00A40CC4" w:rsidRPr="00F35716">
              <w:rPr>
                <w:i/>
                <w:iCs/>
                <w:kern w:val="0"/>
                <w:sz w:val="14"/>
                <w:szCs w:val="14"/>
              </w:rPr>
              <w:t xml:space="preserve">trabajadores </w:t>
            </w:r>
            <w:r w:rsidRPr="00F35716">
              <w:rPr>
                <w:i/>
                <w:iCs/>
                <w:kern w:val="0"/>
                <w:sz w:val="14"/>
                <w:szCs w:val="14"/>
              </w:rPr>
              <w:t>sociales</w:t>
            </w:r>
          </w:p>
        </w:tc>
        <w:tc>
          <w:tcPr>
            <w:tcW w:w="2461" w:type="dxa"/>
            <w:tcBorders>
              <w:top w:val="single" w:sz="4" w:space="0" w:color="auto"/>
              <w:bottom w:val="single" w:sz="12" w:space="0" w:color="auto"/>
            </w:tcBorders>
            <w:shd w:val="clear" w:color="auto" w:fill="auto"/>
            <w:vAlign w:val="bottom"/>
          </w:tcPr>
          <w:p w14:paraId="32E946DA" w14:textId="28D390A8" w:rsidR="002B2CEC" w:rsidRPr="00F35716" w:rsidRDefault="002B2CEC" w:rsidP="00D0281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 xml:space="preserve">Porcentaje del </w:t>
            </w:r>
            <w:r w:rsidR="00A40CC4" w:rsidRPr="00F35716">
              <w:rPr>
                <w:i/>
                <w:iCs/>
                <w:kern w:val="0"/>
                <w:sz w:val="14"/>
                <w:szCs w:val="14"/>
              </w:rPr>
              <w:t>aumento</w:t>
            </w:r>
          </w:p>
        </w:tc>
      </w:tr>
      <w:tr w:rsidR="002B2CEC" w:rsidRPr="00F35716" w14:paraId="32E946DF" w14:textId="77777777" w:rsidTr="00EA329F">
        <w:trPr>
          <w:trHeight w:hRule="exact" w:val="115"/>
          <w:tblHeader/>
        </w:trPr>
        <w:tc>
          <w:tcPr>
            <w:tcW w:w="2423" w:type="dxa"/>
            <w:tcBorders>
              <w:top w:val="single" w:sz="12" w:space="0" w:color="auto"/>
            </w:tcBorders>
            <w:shd w:val="clear" w:color="auto" w:fill="auto"/>
          </w:tcPr>
          <w:p w14:paraId="32E946DC" w14:textId="77777777" w:rsidR="002B2CEC" w:rsidRPr="00F35716" w:rsidRDefault="002B2CEC"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2460" w:type="dxa"/>
            <w:tcBorders>
              <w:top w:val="single" w:sz="12" w:space="0" w:color="auto"/>
            </w:tcBorders>
            <w:shd w:val="clear" w:color="auto" w:fill="auto"/>
          </w:tcPr>
          <w:p w14:paraId="32E946DD" w14:textId="77777777" w:rsidR="002B2CEC" w:rsidRPr="00F35716" w:rsidRDefault="002B2CEC"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2461" w:type="dxa"/>
            <w:tcBorders>
              <w:top w:val="single" w:sz="12" w:space="0" w:color="auto"/>
            </w:tcBorders>
            <w:shd w:val="clear" w:color="auto" w:fill="auto"/>
          </w:tcPr>
          <w:p w14:paraId="32E946DE" w14:textId="77777777" w:rsidR="002B2CEC" w:rsidRPr="00F35716" w:rsidRDefault="002B2CEC"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r>
      <w:tr w:rsidR="00EA329F" w:rsidRPr="00F35716" w14:paraId="32E946E3" w14:textId="77777777" w:rsidTr="00EA329F">
        <w:tc>
          <w:tcPr>
            <w:tcW w:w="2423" w:type="dxa"/>
            <w:shd w:val="clear" w:color="auto" w:fill="auto"/>
            <w:vAlign w:val="bottom"/>
          </w:tcPr>
          <w:p w14:paraId="32E946E0" w14:textId="77777777" w:rsidR="002B2CEC" w:rsidRPr="00F35716" w:rsidRDefault="002B2CEC" w:rsidP="006F34C8">
            <w:pPr>
              <w:spacing w:before="40" w:after="80" w:line="210" w:lineRule="exact"/>
              <w:rPr>
                <w:bCs/>
                <w:sz w:val="17"/>
                <w:szCs w:val="17"/>
              </w:rPr>
            </w:pPr>
            <w:r w:rsidRPr="00F35716">
              <w:rPr>
                <w:bCs/>
                <w:sz w:val="17"/>
                <w:szCs w:val="17"/>
              </w:rPr>
              <w:t>2008</w:t>
            </w:r>
          </w:p>
        </w:tc>
        <w:tc>
          <w:tcPr>
            <w:tcW w:w="2460" w:type="dxa"/>
            <w:shd w:val="clear" w:color="auto" w:fill="auto"/>
            <w:vAlign w:val="bottom"/>
          </w:tcPr>
          <w:p w14:paraId="32E946E1" w14:textId="77777777" w:rsidR="002B2CEC" w:rsidRPr="00F35716" w:rsidRDefault="002B2CEC" w:rsidP="006F34C8">
            <w:pPr>
              <w:spacing w:before="40" w:after="80" w:line="210" w:lineRule="exact"/>
              <w:jc w:val="right"/>
              <w:rPr>
                <w:sz w:val="17"/>
                <w:szCs w:val="17"/>
              </w:rPr>
            </w:pPr>
            <w:r w:rsidRPr="00F35716">
              <w:rPr>
                <w:sz w:val="17"/>
                <w:szCs w:val="17"/>
              </w:rPr>
              <w:t>81</w:t>
            </w:r>
          </w:p>
        </w:tc>
        <w:tc>
          <w:tcPr>
            <w:tcW w:w="2461" w:type="dxa"/>
            <w:shd w:val="clear" w:color="auto" w:fill="auto"/>
            <w:vAlign w:val="bottom"/>
          </w:tcPr>
          <w:p w14:paraId="32E946E2" w14:textId="77777777" w:rsidR="002B2CEC" w:rsidRPr="00F35716" w:rsidRDefault="002B2CEC" w:rsidP="006F34C8">
            <w:pPr>
              <w:spacing w:before="40" w:after="80" w:line="210" w:lineRule="exact"/>
              <w:jc w:val="right"/>
              <w:rPr>
                <w:sz w:val="17"/>
                <w:szCs w:val="17"/>
              </w:rPr>
            </w:pPr>
          </w:p>
        </w:tc>
      </w:tr>
      <w:tr w:rsidR="00EA329F" w:rsidRPr="00F35716" w14:paraId="32E946E7" w14:textId="77777777" w:rsidTr="00EA329F">
        <w:tc>
          <w:tcPr>
            <w:tcW w:w="2423" w:type="dxa"/>
            <w:shd w:val="clear" w:color="auto" w:fill="auto"/>
            <w:vAlign w:val="bottom"/>
          </w:tcPr>
          <w:p w14:paraId="32E946E4" w14:textId="77777777" w:rsidR="002B2CEC" w:rsidRPr="00F35716" w:rsidRDefault="002B2CEC" w:rsidP="006F34C8">
            <w:pPr>
              <w:spacing w:before="40" w:after="80" w:line="210" w:lineRule="exact"/>
              <w:rPr>
                <w:bCs/>
                <w:sz w:val="17"/>
                <w:szCs w:val="17"/>
              </w:rPr>
            </w:pPr>
            <w:r w:rsidRPr="00F35716">
              <w:rPr>
                <w:bCs/>
                <w:sz w:val="17"/>
                <w:szCs w:val="17"/>
              </w:rPr>
              <w:t>2010</w:t>
            </w:r>
          </w:p>
        </w:tc>
        <w:tc>
          <w:tcPr>
            <w:tcW w:w="2460" w:type="dxa"/>
            <w:shd w:val="clear" w:color="auto" w:fill="auto"/>
            <w:vAlign w:val="bottom"/>
          </w:tcPr>
          <w:p w14:paraId="32E946E5" w14:textId="77777777" w:rsidR="002B2CEC" w:rsidRPr="00F35716" w:rsidRDefault="002B2CEC" w:rsidP="006F34C8">
            <w:pPr>
              <w:spacing w:before="40" w:after="80" w:line="210" w:lineRule="exact"/>
              <w:jc w:val="right"/>
              <w:rPr>
                <w:sz w:val="17"/>
                <w:szCs w:val="17"/>
              </w:rPr>
            </w:pPr>
            <w:r w:rsidRPr="00F35716">
              <w:rPr>
                <w:sz w:val="17"/>
                <w:szCs w:val="17"/>
              </w:rPr>
              <w:t>105</w:t>
            </w:r>
          </w:p>
        </w:tc>
        <w:tc>
          <w:tcPr>
            <w:tcW w:w="2461" w:type="dxa"/>
            <w:shd w:val="clear" w:color="auto" w:fill="auto"/>
            <w:vAlign w:val="bottom"/>
          </w:tcPr>
          <w:p w14:paraId="32E946E6" w14:textId="77777777" w:rsidR="002B2CEC" w:rsidRPr="00F35716" w:rsidRDefault="002B2CEC" w:rsidP="006F34C8">
            <w:pPr>
              <w:spacing w:before="40" w:after="80" w:line="210" w:lineRule="exact"/>
              <w:jc w:val="right"/>
              <w:rPr>
                <w:sz w:val="17"/>
                <w:szCs w:val="17"/>
              </w:rPr>
            </w:pPr>
            <w:r w:rsidRPr="00F35716">
              <w:rPr>
                <w:sz w:val="17"/>
                <w:szCs w:val="17"/>
              </w:rPr>
              <w:t>30</w:t>
            </w:r>
          </w:p>
        </w:tc>
      </w:tr>
      <w:tr w:rsidR="00EA329F" w:rsidRPr="00F35716" w14:paraId="32E946EB" w14:textId="77777777" w:rsidTr="00EA329F">
        <w:tc>
          <w:tcPr>
            <w:tcW w:w="2423" w:type="dxa"/>
            <w:shd w:val="clear" w:color="auto" w:fill="auto"/>
            <w:vAlign w:val="bottom"/>
          </w:tcPr>
          <w:p w14:paraId="32E946E8" w14:textId="77777777" w:rsidR="002B2CEC" w:rsidRPr="00F35716" w:rsidRDefault="002B2CEC" w:rsidP="006F34C8">
            <w:pPr>
              <w:spacing w:before="40" w:after="80" w:line="210" w:lineRule="exact"/>
              <w:rPr>
                <w:bCs/>
                <w:sz w:val="17"/>
                <w:szCs w:val="17"/>
              </w:rPr>
            </w:pPr>
            <w:r w:rsidRPr="00F35716">
              <w:rPr>
                <w:bCs/>
                <w:sz w:val="17"/>
                <w:szCs w:val="17"/>
              </w:rPr>
              <w:t>2011</w:t>
            </w:r>
          </w:p>
        </w:tc>
        <w:tc>
          <w:tcPr>
            <w:tcW w:w="2460" w:type="dxa"/>
            <w:shd w:val="clear" w:color="auto" w:fill="auto"/>
            <w:vAlign w:val="bottom"/>
          </w:tcPr>
          <w:p w14:paraId="32E946E9" w14:textId="77777777" w:rsidR="002B2CEC" w:rsidRPr="00F35716" w:rsidRDefault="002B2CEC" w:rsidP="006F34C8">
            <w:pPr>
              <w:spacing w:before="40" w:after="80" w:line="210" w:lineRule="exact"/>
              <w:jc w:val="right"/>
              <w:rPr>
                <w:sz w:val="17"/>
                <w:szCs w:val="17"/>
              </w:rPr>
            </w:pPr>
            <w:r w:rsidRPr="00F35716">
              <w:rPr>
                <w:sz w:val="17"/>
                <w:szCs w:val="17"/>
              </w:rPr>
              <w:t>202</w:t>
            </w:r>
          </w:p>
        </w:tc>
        <w:tc>
          <w:tcPr>
            <w:tcW w:w="2461" w:type="dxa"/>
            <w:shd w:val="clear" w:color="auto" w:fill="auto"/>
            <w:vAlign w:val="bottom"/>
          </w:tcPr>
          <w:p w14:paraId="32E946EA" w14:textId="77777777" w:rsidR="002B2CEC" w:rsidRPr="00F35716" w:rsidRDefault="002B2CEC" w:rsidP="006F34C8">
            <w:pPr>
              <w:spacing w:before="40" w:after="80" w:line="210" w:lineRule="exact"/>
              <w:jc w:val="right"/>
              <w:rPr>
                <w:sz w:val="17"/>
                <w:szCs w:val="17"/>
              </w:rPr>
            </w:pPr>
            <w:r w:rsidRPr="00F35716">
              <w:rPr>
                <w:sz w:val="17"/>
                <w:szCs w:val="17"/>
              </w:rPr>
              <w:t>149</w:t>
            </w:r>
          </w:p>
        </w:tc>
      </w:tr>
      <w:tr w:rsidR="002B2CEC" w:rsidRPr="00F35716" w14:paraId="32E946EF" w14:textId="77777777" w:rsidTr="00EA329F">
        <w:tc>
          <w:tcPr>
            <w:tcW w:w="2423" w:type="dxa"/>
            <w:shd w:val="clear" w:color="auto" w:fill="auto"/>
            <w:vAlign w:val="bottom"/>
          </w:tcPr>
          <w:p w14:paraId="32E946EC" w14:textId="77777777" w:rsidR="002B2CEC" w:rsidRPr="00F35716" w:rsidRDefault="002B2CEC" w:rsidP="006F34C8">
            <w:pPr>
              <w:spacing w:before="40" w:after="80" w:line="210" w:lineRule="exact"/>
              <w:rPr>
                <w:bCs/>
                <w:sz w:val="17"/>
                <w:szCs w:val="17"/>
              </w:rPr>
            </w:pPr>
            <w:r w:rsidRPr="00F35716">
              <w:rPr>
                <w:bCs/>
                <w:sz w:val="17"/>
                <w:szCs w:val="17"/>
              </w:rPr>
              <w:t>2013</w:t>
            </w:r>
          </w:p>
        </w:tc>
        <w:tc>
          <w:tcPr>
            <w:tcW w:w="2460" w:type="dxa"/>
            <w:shd w:val="clear" w:color="auto" w:fill="auto"/>
            <w:vAlign w:val="bottom"/>
          </w:tcPr>
          <w:p w14:paraId="32E946ED" w14:textId="77777777" w:rsidR="002B2CEC" w:rsidRPr="00F35716" w:rsidRDefault="002B2CEC" w:rsidP="006F34C8">
            <w:pPr>
              <w:spacing w:before="40" w:after="80" w:line="210" w:lineRule="exact"/>
              <w:jc w:val="right"/>
              <w:rPr>
                <w:sz w:val="17"/>
                <w:szCs w:val="17"/>
              </w:rPr>
            </w:pPr>
            <w:r w:rsidRPr="00F35716">
              <w:rPr>
                <w:sz w:val="17"/>
                <w:szCs w:val="17"/>
              </w:rPr>
              <w:t>273</w:t>
            </w:r>
          </w:p>
        </w:tc>
        <w:tc>
          <w:tcPr>
            <w:tcW w:w="2461" w:type="dxa"/>
            <w:shd w:val="clear" w:color="auto" w:fill="auto"/>
            <w:vAlign w:val="bottom"/>
          </w:tcPr>
          <w:p w14:paraId="32E946EE" w14:textId="77777777" w:rsidR="002B2CEC" w:rsidRPr="00F35716" w:rsidRDefault="002B2CEC" w:rsidP="006F34C8">
            <w:pPr>
              <w:spacing w:before="40" w:after="80" w:line="210" w:lineRule="exact"/>
              <w:jc w:val="right"/>
              <w:rPr>
                <w:sz w:val="17"/>
                <w:szCs w:val="17"/>
              </w:rPr>
            </w:pPr>
            <w:r w:rsidRPr="00F35716">
              <w:rPr>
                <w:sz w:val="17"/>
                <w:szCs w:val="17"/>
              </w:rPr>
              <w:t>237</w:t>
            </w:r>
          </w:p>
        </w:tc>
      </w:tr>
      <w:tr w:rsidR="009019FD" w:rsidRPr="00F35716" w14:paraId="32E946F3" w14:textId="77777777" w:rsidTr="00EA329F">
        <w:tc>
          <w:tcPr>
            <w:tcW w:w="2423" w:type="dxa"/>
            <w:tcBorders>
              <w:bottom w:val="single" w:sz="12" w:space="0" w:color="auto"/>
            </w:tcBorders>
            <w:shd w:val="clear" w:color="auto" w:fill="auto"/>
            <w:vAlign w:val="bottom"/>
          </w:tcPr>
          <w:p w14:paraId="32E946F0" w14:textId="77777777" w:rsidR="002B2CEC" w:rsidRPr="00F35716" w:rsidRDefault="002B2CEC" w:rsidP="006F34C8">
            <w:pPr>
              <w:spacing w:before="40" w:after="80" w:line="210" w:lineRule="exact"/>
              <w:rPr>
                <w:bCs/>
                <w:sz w:val="17"/>
                <w:szCs w:val="17"/>
              </w:rPr>
            </w:pPr>
            <w:r w:rsidRPr="00F35716">
              <w:rPr>
                <w:bCs/>
                <w:sz w:val="17"/>
                <w:szCs w:val="17"/>
              </w:rPr>
              <w:t>2015</w:t>
            </w:r>
          </w:p>
        </w:tc>
        <w:tc>
          <w:tcPr>
            <w:tcW w:w="2460" w:type="dxa"/>
            <w:tcBorders>
              <w:bottom w:val="single" w:sz="12" w:space="0" w:color="auto"/>
            </w:tcBorders>
            <w:shd w:val="clear" w:color="auto" w:fill="auto"/>
            <w:vAlign w:val="bottom"/>
          </w:tcPr>
          <w:p w14:paraId="32E946F1" w14:textId="77777777" w:rsidR="002B2CEC" w:rsidRPr="00F35716" w:rsidRDefault="002B2CEC" w:rsidP="006F34C8">
            <w:pPr>
              <w:spacing w:before="40" w:after="80" w:line="210" w:lineRule="exact"/>
              <w:jc w:val="right"/>
              <w:rPr>
                <w:sz w:val="17"/>
                <w:szCs w:val="17"/>
              </w:rPr>
            </w:pPr>
            <w:r w:rsidRPr="00F35716">
              <w:rPr>
                <w:sz w:val="17"/>
                <w:szCs w:val="17"/>
              </w:rPr>
              <w:t>298</w:t>
            </w:r>
          </w:p>
        </w:tc>
        <w:tc>
          <w:tcPr>
            <w:tcW w:w="2461" w:type="dxa"/>
            <w:tcBorders>
              <w:bottom w:val="single" w:sz="12" w:space="0" w:color="auto"/>
            </w:tcBorders>
            <w:shd w:val="clear" w:color="auto" w:fill="auto"/>
            <w:vAlign w:val="bottom"/>
          </w:tcPr>
          <w:p w14:paraId="32E946F2" w14:textId="77777777" w:rsidR="002B2CEC" w:rsidRPr="00F35716" w:rsidRDefault="002B2CEC" w:rsidP="006F34C8">
            <w:pPr>
              <w:spacing w:before="40" w:after="80" w:line="210" w:lineRule="exact"/>
              <w:jc w:val="right"/>
              <w:rPr>
                <w:sz w:val="17"/>
                <w:szCs w:val="17"/>
              </w:rPr>
            </w:pPr>
            <w:r w:rsidRPr="00F35716">
              <w:rPr>
                <w:sz w:val="17"/>
                <w:szCs w:val="17"/>
              </w:rPr>
              <w:t>268</w:t>
            </w:r>
          </w:p>
        </w:tc>
      </w:tr>
    </w:tbl>
    <w:p w14:paraId="32E946F4" w14:textId="77777777" w:rsidR="002B2CEC" w:rsidRPr="00F35716" w:rsidRDefault="002B2CEC" w:rsidP="00955CBF">
      <w:pPr>
        <w:pStyle w:val="SingleTxt"/>
        <w:spacing w:after="0" w:line="120" w:lineRule="exact"/>
        <w:rPr>
          <w:sz w:val="10"/>
          <w:szCs w:val="20"/>
        </w:rPr>
      </w:pPr>
    </w:p>
    <w:p w14:paraId="32E946F5" w14:textId="77777777" w:rsidR="002B2CEC" w:rsidRPr="00F35716" w:rsidRDefault="002B2CEC" w:rsidP="00955CBF">
      <w:pPr>
        <w:pStyle w:val="SingleTxt"/>
        <w:spacing w:after="0" w:line="120" w:lineRule="exact"/>
        <w:rPr>
          <w:sz w:val="10"/>
          <w:szCs w:val="20"/>
        </w:rPr>
      </w:pPr>
    </w:p>
    <w:p w14:paraId="32E946F6" w14:textId="5F6DBD94" w:rsidR="00EC3C86" w:rsidRPr="00F35716" w:rsidRDefault="00EC3C86" w:rsidP="00B3192A">
      <w:pPr>
        <w:pStyle w:val="SingleTxt"/>
        <w:numPr>
          <w:ilvl w:val="0"/>
          <w:numId w:val="8"/>
        </w:numPr>
        <w:ind w:left="1267" w:firstLine="0"/>
      </w:pPr>
      <w:r w:rsidRPr="00F35716">
        <w:t>Se crearon y distribuyeron en instituciones de salud unidades médicas y psicológicas para mujeres víctimas de violencia</w:t>
      </w:r>
      <w:r w:rsidR="00391870" w:rsidRPr="00F35716">
        <w:t>. Pueden obtenerse</w:t>
      </w:r>
      <w:r w:rsidRPr="00F35716">
        <w:t xml:space="preserve"> pruebas médicas de forma gratuita</w:t>
      </w:r>
      <w:r w:rsidRPr="00F35716">
        <w:rPr>
          <w:vertAlign w:val="superscript"/>
        </w:rPr>
        <w:footnoteReference w:id="103"/>
      </w:r>
      <w:r w:rsidRPr="00F35716">
        <w:t xml:space="preserve">. En total, </w:t>
      </w:r>
      <w:r w:rsidR="00391870" w:rsidRPr="00F35716">
        <w:t>existen</w:t>
      </w:r>
      <w:r w:rsidRPr="00F35716">
        <w:t xml:space="preserve"> 99 unidades </w:t>
      </w:r>
      <w:r w:rsidR="00391870" w:rsidRPr="00F35716">
        <w:t>integradas de este tipo</w:t>
      </w:r>
      <w:r w:rsidRPr="00F35716">
        <w:t xml:space="preserve">, distribuidas del siguiente modo: 16 en hospitales locales, 64 en hospitales </w:t>
      </w:r>
      <w:r w:rsidR="00391870" w:rsidRPr="00F35716">
        <w:t>de distrito</w:t>
      </w:r>
      <w:r w:rsidRPr="00F35716">
        <w:t>, 11 en hospitales regionales y 5 en centros universitarios. Más de 17.290</w:t>
      </w:r>
      <w:r w:rsidR="00830A87" w:rsidRPr="00F35716">
        <w:t> </w:t>
      </w:r>
      <w:r w:rsidRPr="00F35716">
        <w:t xml:space="preserve">mujeres maltratadas y 5.244 niños </w:t>
      </w:r>
      <w:r w:rsidR="00391870" w:rsidRPr="00F35716">
        <w:t>víctimas de violencia</w:t>
      </w:r>
      <w:r w:rsidRPr="00F35716">
        <w:t xml:space="preserve"> recibieron asistencia en 2016. Se </w:t>
      </w:r>
      <w:r w:rsidR="00391870" w:rsidRPr="00F35716">
        <w:t xml:space="preserve">han </w:t>
      </w:r>
      <w:r w:rsidRPr="00F35716">
        <w:t>fortaleci</w:t>
      </w:r>
      <w:r w:rsidR="00391870" w:rsidRPr="00F35716">
        <w:t>do</w:t>
      </w:r>
      <w:r w:rsidRPr="00F35716">
        <w:t xml:space="preserve"> los </w:t>
      </w:r>
      <w:r w:rsidR="00391870" w:rsidRPr="00F35716">
        <w:t xml:space="preserve">procedimientos </w:t>
      </w:r>
      <w:r w:rsidRPr="00F35716">
        <w:t xml:space="preserve">y sistemas para </w:t>
      </w:r>
      <w:r w:rsidR="00391870" w:rsidRPr="00F35716">
        <w:t>atender</w:t>
      </w:r>
      <w:r w:rsidRPr="00F35716">
        <w:t xml:space="preserve"> a las mujeres víctimas de violencia, incluid</w:t>
      </w:r>
      <w:r w:rsidR="00391870" w:rsidRPr="00F35716">
        <w:t>o un protocolo de atención.</w:t>
      </w:r>
      <w:r w:rsidRPr="00F35716">
        <w:t xml:space="preserve"> </w:t>
      </w:r>
      <w:r w:rsidR="00391870" w:rsidRPr="00F35716">
        <w:t>S</w:t>
      </w:r>
      <w:r w:rsidRPr="00F35716">
        <w:t xml:space="preserve">e </w:t>
      </w:r>
      <w:r w:rsidR="00391870" w:rsidRPr="00F35716">
        <w:t xml:space="preserve">ha </w:t>
      </w:r>
      <w:r w:rsidRPr="00F35716">
        <w:t>consolid</w:t>
      </w:r>
      <w:r w:rsidR="00391870" w:rsidRPr="00F35716">
        <w:t>ado</w:t>
      </w:r>
      <w:r w:rsidRPr="00F35716">
        <w:t xml:space="preserve"> el sistema de intercambio de información entre </w:t>
      </w:r>
      <w:r w:rsidR="00391870" w:rsidRPr="00F35716">
        <w:t>asociados</w:t>
      </w:r>
      <w:r w:rsidRPr="00F35716">
        <w:t xml:space="preserve"> institucionales en el á</w:t>
      </w:r>
      <w:r w:rsidR="00391870" w:rsidRPr="00F35716">
        <w:t>mbito</w:t>
      </w:r>
      <w:r w:rsidRPr="00F35716">
        <w:t xml:space="preserve"> de la lucha contra la violencia contra las mujeres</w:t>
      </w:r>
      <w:r w:rsidR="00391870" w:rsidRPr="00F35716">
        <w:t>. Se han</w:t>
      </w:r>
      <w:r w:rsidRPr="00F35716">
        <w:t xml:space="preserve"> reforza</w:t>
      </w:r>
      <w:r w:rsidR="00391870" w:rsidRPr="00F35716">
        <w:t>do las capacidades de</w:t>
      </w:r>
      <w:r w:rsidRPr="00F35716">
        <w:t xml:space="preserve"> los profesionales </w:t>
      </w:r>
      <w:r w:rsidR="00391870" w:rsidRPr="00F35716">
        <w:t>sanitarios</w:t>
      </w:r>
      <w:r w:rsidRPr="00F35716">
        <w:t xml:space="preserve"> y los </w:t>
      </w:r>
      <w:r w:rsidR="00391870" w:rsidRPr="00F35716">
        <w:t xml:space="preserve">trabajadores </w:t>
      </w:r>
      <w:r w:rsidRPr="00F35716">
        <w:t xml:space="preserve">sociales. </w:t>
      </w:r>
    </w:p>
    <w:p w14:paraId="32E946F7" w14:textId="268DC356" w:rsidR="00EC3C86" w:rsidRPr="00F35716" w:rsidRDefault="00EC3C86" w:rsidP="00CC254E">
      <w:pPr>
        <w:pStyle w:val="SingleTxt"/>
        <w:keepLines/>
        <w:rPr>
          <w:szCs w:val="20"/>
        </w:rPr>
      </w:pPr>
      <w:r w:rsidRPr="00F35716">
        <w:rPr>
          <w:szCs w:val="20"/>
        </w:rPr>
        <w:t xml:space="preserve">En </w:t>
      </w:r>
      <w:r w:rsidR="00EB45AC" w:rsidRPr="00F35716">
        <w:rPr>
          <w:szCs w:val="20"/>
        </w:rPr>
        <w:t>octubre de 2007 se crearon unidades encargadas de recibir a mujeres víctimas de violencia en</w:t>
      </w:r>
      <w:r w:rsidRPr="00F35716">
        <w:rPr>
          <w:szCs w:val="20"/>
        </w:rPr>
        <w:t xml:space="preserve"> las dependencias de la </w:t>
      </w:r>
      <w:r w:rsidR="00EB45AC" w:rsidRPr="00F35716">
        <w:rPr>
          <w:szCs w:val="20"/>
        </w:rPr>
        <w:t>p</w:t>
      </w:r>
      <w:r w:rsidRPr="00F35716">
        <w:rPr>
          <w:szCs w:val="20"/>
        </w:rPr>
        <w:t xml:space="preserve">olicía </w:t>
      </w:r>
      <w:r w:rsidR="00EB45AC" w:rsidRPr="00F35716">
        <w:rPr>
          <w:szCs w:val="20"/>
        </w:rPr>
        <w:t>j</w:t>
      </w:r>
      <w:r w:rsidRPr="00F35716">
        <w:rPr>
          <w:szCs w:val="20"/>
        </w:rPr>
        <w:t xml:space="preserve">udicial, </w:t>
      </w:r>
      <w:r w:rsidR="00EB45AC" w:rsidRPr="00F35716">
        <w:rPr>
          <w:szCs w:val="20"/>
        </w:rPr>
        <w:t>y</w:t>
      </w:r>
      <w:r w:rsidRPr="00F35716">
        <w:rPr>
          <w:szCs w:val="20"/>
        </w:rPr>
        <w:t xml:space="preserve"> han sido reestructuradas</w:t>
      </w:r>
      <w:r w:rsidR="00EB45AC" w:rsidRPr="00F35716">
        <w:rPr>
          <w:szCs w:val="20"/>
        </w:rPr>
        <w:t>. Se</w:t>
      </w:r>
      <w:r w:rsidRPr="00F35716">
        <w:rPr>
          <w:szCs w:val="20"/>
        </w:rPr>
        <w:t xml:space="preserve"> ha dado prioridad a las mujeres para que se encarguen de dirigirlas. Con ello se pretende mejorar los servicios prestados, especialmente después de la promulgación de la </w:t>
      </w:r>
      <w:r w:rsidR="00EB45AC" w:rsidRPr="00F35716">
        <w:rPr>
          <w:szCs w:val="20"/>
        </w:rPr>
        <w:t>L</w:t>
      </w:r>
      <w:r w:rsidRPr="00F35716">
        <w:rPr>
          <w:szCs w:val="20"/>
        </w:rPr>
        <w:t xml:space="preserve">ey </w:t>
      </w:r>
      <w:r w:rsidR="00EB45AC" w:rsidRPr="00F35716">
        <w:rPr>
          <w:szCs w:val="20"/>
        </w:rPr>
        <w:t>relativa a la Lucha contra la Violencia contra las Mujeres</w:t>
      </w:r>
      <w:r w:rsidRPr="00F35716">
        <w:rPr>
          <w:szCs w:val="20"/>
        </w:rPr>
        <w:t>.</w:t>
      </w:r>
    </w:p>
    <w:p w14:paraId="32E946F8" w14:textId="77777777" w:rsidR="00936B71" w:rsidRPr="00F35716" w:rsidRDefault="00936B71" w:rsidP="00955CBF">
      <w:pPr>
        <w:pStyle w:val="SingleTxt"/>
        <w:spacing w:after="0" w:line="120" w:lineRule="exact"/>
        <w:rPr>
          <w:sz w:val="10"/>
          <w:szCs w:val="20"/>
        </w:rPr>
      </w:pPr>
    </w:p>
    <w:p w14:paraId="32E946F9" w14:textId="2536A7F0" w:rsidR="00EC3C86" w:rsidRPr="00F35716" w:rsidRDefault="00BA64EA" w:rsidP="00BA64EA">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 w:val="0"/>
          <w:bCs w:val="0"/>
          <w:szCs w:val="20"/>
        </w:rPr>
        <w:t xml:space="preserve">Tabla 19: </w:t>
      </w:r>
      <w:r w:rsidRPr="00F35716">
        <w:rPr>
          <w:b w:val="0"/>
          <w:bCs w:val="0"/>
          <w:szCs w:val="20"/>
        </w:rPr>
        <w:br/>
      </w:r>
      <w:r w:rsidR="00EC3C86" w:rsidRPr="00F35716">
        <w:rPr>
          <w:bCs w:val="0"/>
          <w:szCs w:val="20"/>
        </w:rPr>
        <w:t>Número de casos registrados de violencia contra la</w:t>
      </w:r>
      <w:r w:rsidR="00EB45AC" w:rsidRPr="00F35716">
        <w:rPr>
          <w:bCs w:val="0"/>
          <w:szCs w:val="20"/>
        </w:rPr>
        <w:t>s</w:t>
      </w:r>
      <w:r w:rsidR="00EC3C86" w:rsidRPr="00F35716">
        <w:rPr>
          <w:bCs w:val="0"/>
          <w:szCs w:val="20"/>
        </w:rPr>
        <w:t xml:space="preserve"> mujer</w:t>
      </w:r>
      <w:r w:rsidR="00EB45AC" w:rsidRPr="00F35716">
        <w:rPr>
          <w:bCs w:val="0"/>
          <w:szCs w:val="20"/>
        </w:rPr>
        <w:t>es</w:t>
      </w:r>
    </w:p>
    <w:p w14:paraId="32E946FA" w14:textId="77777777" w:rsidR="00936B71" w:rsidRPr="00F35716" w:rsidRDefault="00936B71" w:rsidP="00955CBF">
      <w:pPr>
        <w:pStyle w:val="SingleTxt"/>
        <w:spacing w:after="0" w:line="120" w:lineRule="exact"/>
        <w:rPr>
          <w:sz w:val="10"/>
          <w:szCs w:val="20"/>
        </w:rPr>
      </w:pPr>
    </w:p>
    <w:tbl>
      <w:tblPr>
        <w:tblW w:w="7344" w:type="dxa"/>
        <w:tblInd w:w="1267" w:type="dxa"/>
        <w:tblLayout w:type="fixed"/>
        <w:tblCellMar>
          <w:left w:w="0" w:type="dxa"/>
          <w:right w:w="43" w:type="dxa"/>
        </w:tblCellMar>
        <w:tblLook w:val="04A0" w:firstRow="1" w:lastRow="0" w:firstColumn="1" w:lastColumn="0" w:noHBand="0" w:noVBand="1"/>
      </w:tblPr>
      <w:tblGrid>
        <w:gridCol w:w="1352"/>
        <w:gridCol w:w="856"/>
        <w:gridCol w:w="856"/>
        <w:gridCol w:w="856"/>
        <w:gridCol w:w="856"/>
        <w:gridCol w:w="856"/>
        <w:gridCol w:w="856"/>
        <w:gridCol w:w="856"/>
      </w:tblGrid>
      <w:tr w:rsidR="00EC3C86" w:rsidRPr="00F35716" w14:paraId="32E94703" w14:textId="77777777" w:rsidTr="00EA329F">
        <w:trPr>
          <w:tblHeader/>
        </w:trPr>
        <w:tc>
          <w:tcPr>
            <w:tcW w:w="1352" w:type="dxa"/>
            <w:tcBorders>
              <w:top w:val="single" w:sz="4" w:space="0" w:color="auto"/>
              <w:bottom w:val="single" w:sz="12" w:space="0" w:color="auto"/>
            </w:tcBorders>
            <w:shd w:val="clear" w:color="auto" w:fill="auto"/>
            <w:vAlign w:val="bottom"/>
          </w:tcPr>
          <w:p w14:paraId="32E946FB" w14:textId="77777777" w:rsidR="00EC3C86" w:rsidRPr="00F35716" w:rsidRDefault="00EC3C86" w:rsidP="00EA32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r w:rsidRPr="00F35716">
              <w:rPr>
                <w:i/>
                <w:iCs/>
                <w:kern w:val="0"/>
                <w:sz w:val="14"/>
                <w:szCs w:val="14"/>
              </w:rPr>
              <w:t>Año</w:t>
            </w:r>
          </w:p>
        </w:tc>
        <w:tc>
          <w:tcPr>
            <w:tcW w:w="855" w:type="dxa"/>
            <w:tcBorders>
              <w:top w:val="single" w:sz="4" w:space="0" w:color="auto"/>
              <w:bottom w:val="single" w:sz="12" w:space="0" w:color="auto"/>
            </w:tcBorders>
            <w:shd w:val="clear" w:color="auto" w:fill="auto"/>
            <w:vAlign w:val="bottom"/>
          </w:tcPr>
          <w:p w14:paraId="32E946FC" w14:textId="77777777" w:rsidR="00EC3C86" w:rsidRPr="00F35716" w:rsidRDefault="00EC3C86" w:rsidP="00EA32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2011</w:t>
            </w:r>
          </w:p>
        </w:tc>
        <w:tc>
          <w:tcPr>
            <w:tcW w:w="855" w:type="dxa"/>
            <w:tcBorders>
              <w:top w:val="single" w:sz="4" w:space="0" w:color="auto"/>
              <w:bottom w:val="single" w:sz="12" w:space="0" w:color="auto"/>
            </w:tcBorders>
            <w:shd w:val="clear" w:color="auto" w:fill="auto"/>
            <w:vAlign w:val="bottom"/>
          </w:tcPr>
          <w:p w14:paraId="32E946FD" w14:textId="77777777" w:rsidR="00EC3C86" w:rsidRPr="00F35716" w:rsidRDefault="00EC3C86" w:rsidP="00EA32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2012</w:t>
            </w:r>
          </w:p>
        </w:tc>
        <w:tc>
          <w:tcPr>
            <w:tcW w:w="855" w:type="dxa"/>
            <w:tcBorders>
              <w:top w:val="single" w:sz="4" w:space="0" w:color="auto"/>
              <w:bottom w:val="single" w:sz="12" w:space="0" w:color="auto"/>
            </w:tcBorders>
            <w:shd w:val="clear" w:color="auto" w:fill="auto"/>
            <w:vAlign w:val="bottom"/>
          </w:tcPr>
          <w:p w14:paraId="32E946FE" w14:textId="77777777" w:rsidR="00EC3C86" w:rsidRPr="00F35716" w:rsidRDefault="00EC3C86" w:rsidP="00EA32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2013</w:t>
            </w:r>
          </w:p>
        </w:tc>
        <w:tc>
          <w:tcPr>
            <w:tcW w:w="855" w:type="dxa"/>
            <w:tcBorders>
              <w:top w:val="single" w:sz="4" w:space="0" w:color="auto"/>
              <w:bottom w:val="single" w:sz="12" w:space="0" w:color="auto"/>
            </w:tcBorders>
            <w:shd w:val="clear" w:color="auto" w:fill="auto"/>
            <w:vAlign w:val="bottom"/>
          </w:tcPr>
          <w:p w14:paraId="32E946FF" w14:textId="77777777" w:rsidR="00EC3C86" w:rsidRPr="00F35716" w:rsidRDefault="00EC3C86" w:rsidP="00EA32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2014</w:t>
            </w:r>
          </w:p>
        </w:tc>
        <w:tc>
          <w:tcPr>
            <w:tcW w:w="855" w:type="dxa"/>
            <w:tcBorders>
              <w:top w:val="single" w:sz="4" w:space="0" w:color="auto"/>
              <w:bottom w:val="single" w:sz="12" w:space="0" w:color="auto"/>
            </w:tcBorders>
            <w:shd w:val="clear" w:color="auto" w:fill="auto"/>
            <w:vAlign w:val="bottom"/>
          </w:tcPr>
          <w:p w14:paraId="32E94700" w14:textId="77777777" w:rsidR="00EC3C86" w:rsidRPr="00F35716" w:rsidRDefault="00EC3C86" w:rsidP="00EA32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2015</w:t>
            </w:r>
          </w:p>
        </w:tc>
        <w:tc>
          <w:tcPr>
            <w:tcW w:w="855" w:type="dxa"/>
            <w:tcBorders>
              <w:top w:val="single" w:sz="4" w:space="0" w:color="auto"/>
              <w:bottom w:val="single" w:sz="12" w:space="0" w:color="auto"/>
            </w:tcBorders>
            <w:shd w:val="clear" w:color="auto" w:fill="auto"/>
            <w:vAlign w:val="bottom"/>
          </w:tcPr>
          <w:p w14:paraId="32E94701" w14:textId="77777777" w:rsidR="00EC3C86" w:rsidRPr="00F35716" w:rsidRDefault="00EC3C86" w:rsidP="00EA32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2016</w:t>
            </w:r>
          </w:p>
        </w:tc>
        <w:tc>
          <w:tcPr>
            <w:tcW w:w="855" w:type="dxa"/>
            <w:tcBorders>
              <w:top w:val="single" w:sz="4" w:space="0" w:color="auto"/>
              <w:bottom w:val="single" w:sz="12" w:space="0" w:color="auto"/>
            </w:tcBorders>
            <w:shd w:val="clear" w:color="auto" w:fill="auto"/>
            <w:vAlign w:val="bottom"/>
          </w:tcPr>
          <w:p w14:paraId="32E94702" w14:textId="77777777" w:rsidR="00EC3C86" w:rsidRPr="00F35716" w:rsidRDefault="00EC3C86" w:rsidP="00EA32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2017</w:t>
            </w:r>
          </w:p>
        </w:tc>
      </w:tr>
      <w:tr w:rsidR="00EA329F" w:rsidRPr="00F35716" w14:paraId="32E9470C" w14:textId="77777777" w:rsidTr="00EA329F">
        <w:trPr>
          <w:trHeight w:hRule="exact" w:val="115"/>
          <w:tblHeader/>
        </w:trPr>
        <w:tc>
          <w:tcPr>
            <w:tcW w:w="1352" w:type="dxa"/>
            <w:tcBorders>
              <w:top w:val="single" w:sz="12" w:space="0" w:color="auto"/>
            </w:tcBorders>
            <w:shd w:val="clear" w:color="auto" w:fill="auto"/>
            <w:vAlign w:val="bottom"/>
          </w:tcPr>
          <w:p w14:paraId="32E94704" w14:textId="77777777" w:rsidR="00EA329F" w:rsidRPr="00F35716" w:rsidRDefault="00EA329F" w:rsidP="00EA32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855" w:type="dxa"/>
            <w:tcBorders>
              <w:top w:val="single" w:sz="12" w:space="0" w:color="auto"/>
            </w:tcBorders>
            <w:shd w:val="clear" w:color="auto" w:fill="auto"/>
            <w:vAlign w:val="bottom"/>
          </w:tcPr>
          <w:p w14:paraId="32E94705" w14:textId="77777777" w:rsidR="00EA329F" w:rsidRPr="00F35716" w:rsidRDefault="00EA329F" w:rsidP="00EA32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855" w:type="dxa"/>
            <w:tcBorders>
              <w:top w:val="single" w:sz="12" w:space="0" w:color="auto"/>
            </w:tcBorders>
            <w:shd w:val="clear" w:color="auto" w:fill="auto"/>
            <w:vAlign w:val="bottom"/>
          </w:tcPr>
          <w:p w14:paraId="32E94706" w14:textId="77777777" w:rsidR="00EA329F" w:rsidRPr="00F35716" w:rsidRDefault="00EA329F" w:rsidP="00EA32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855" w:type="dxa"/>
            <w:tcBorders>
              <w:top w:val="single" w:sz="12" w:space="0" w:color="auto"/>
            </w:tcBorders>
            <w:shd w:val="clear" w:color="auto" w:fill="auto"/>
            <w:vAlign w:val="bottom"/>
          </w:tcPr>
          <w:p w14:paraId="32E94707" w14:textId="77777777" w:rsidR="00EA329F" w:rsidRPr="00F35716" w:rsidRDefault="00EA329F" w:rsidP="00EA32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855" w:type="dxa"/>
            <w:tcBorders>
              <w:top w:val="single" w:sz="12" w:space="0" w:color="auto"/>
            </w:tcBorders>
            <w:shd w:val="clear" w:color="auto" w:fill="auto"/>
            <w:vAlign w:val="bottom"/>
          </w:tcPr>
          <w:p w14:paraId="32E94708" w14:textId="77777777" w:rsidR="00EA329F" w:rsidRPr="00F35716" w:rsidRDefault="00EA329F" w:rsidP="00EA32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855" w:type="dxa"/>
            <w:tcBorders>
              <w:top w:val="single" w:sz="12" w:space="0" w:color="auto"/>
            </w:tcBorders>
            <w:shd w:val="clear" w:color="auto" w:fill="auto"/>
            <w:vAlign w:val="bottom"/>
          </w:tcPr>
          <w:p w14:paraId="32E94709" w14:textId="77777777" w:rsidR="00EA329F" w:rsidRPr="00F35716" w:rsidRDefault="00EA329F" w:rsidP="00EA32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855" w:type="dxa"/>
            <w:tcBorders>
              <w:top w:val="single" w:sz="12" w:space="0" w:color="auto"/>
            </w:tcBorders>
            <w:shd w:val="clear" w:color="auto" w:fill="auto"/>
            <w:vAlign w:val="bottom"/>
          </w:tcPr>
          <w:p w14:paraId="32E9470A" w14:textId="77777777" w:rsidR="00EA329F" w:rsidRPr="00F35716" w:rsidRDefault="00EA329F" w:rsidP="00EA32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c>
          <w:tcPr>
            <w:tcW w:w="855" w:type="dxa"/>
            <w:tcBorders>
              <w:top w:val="single" w:sz="12" w:space="0" w:color="auto"/>
            </w:tcBorders>
            <w:shd w:val="clear" w:color="auto" w:fill="auto"/>
            <w:vAlign w:val="bottom"/>
          </w:tcPr>
          <w:p w14:paraId="32E9470B" w14:textId="77777777" w:rsidR="00EA329F" w:rsidRPr="00F35716" w:rsidRDefault="00EA329F" w:rsidP="00EA329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p>
        </w:tc>
      </w:tr>
      <w:tr w:rsidR="00EC3C86" w:rsidRPr="00F35716" w14:paraId="32E94715" w14:textId="77777777" w:rsidTr="00EA329F">
        <w:tc>
          <w:tcPr>
            <w:tcW w:w="1352" w:type="dxa"/>
            <w:tcBorders>
              <w:bottom w:val="single" w:sz="12" w:space="0" w:color="auto"/>
            </w:tcBorders>
            <w:shd w:val="clear" w:color="auto" w:fill="auto"/>
            <w:vAlign w:val="bottom"/>
          </w:tcPr>
          <w:p w14:paraId="32E9470D" w14:textId="77777777" w:rsidR="00EC3C86" w:rsidRPr="00F35716" w:rsidRDefault="00EC3C86" w:rsidP="00EA329F">
            <w:pPr>
              <w:spacing w:before="40" w:after="80" w:line="210" w:lineRule="exact"/>
              <w:rPr>
                <w:bCs/>
                <w:sz w:val="17"/>
                <w:szCs w:val="17"/>
              </w:rPr>
            </w:pPr>
            <w:r w:rsidRPr="00F35716">
              <w:rPr>
                <w:bCs/>
                <w:sz w:val="17"/>
                <w:szCs w:val="17"/>
              </w:rPr>
              <w:t>Número de casos</w:t>
            </w:r>
          </w:p>
        </w:tc>
        <w:tc>
          <w:tcPr>
            <w:tcW w:w="855" w:type="dxa"/>
            <w:tcBorders>
              <w:bottom w:val="single" w:sz="12" w:space="0" w:color="auto"/>
            </w:tcBorders>
            <w:shd w:val="clear" w:color="auto" w:fill="auto"/>
            <w:vAlign w:val="bottom"/>
          </w:tcPr>
          <w:p w14:paraId="32E9470E" w14:textId="77777777" w:rsidR="00EC3C86" w:rsidRPr="00F35716" w:rsidRDefault="00EC3C86" w:rsidP="00EA329F">
            <w:pPr>
              <w:spacing w:before="40" w:after="80" w:line="210" w:lineRule="exact"/>
              <w:jc w:val="right"/>
              <w:rPr>
                <w:sz w:val="17"/>
                <w:szCs w:val="17"/>
              </w:rPr>
            </w:pPr>
            <w:r w:rsidRPr="00F35716">
              <w:rPr>
                <w:sz w:val="17"/>
                <w:szCs w:val="17"/>
              </w:rPr>
              <w:t>15.573</w:t>
            </w:r>
          </w:p>
        </w:tc>
        <w:tc>
          <w:tcPr>
            <w:tcW w:w="855" w:type="dxa"/>
            <w:tcBorders>
              <w:bottom w:val="single" w:sz="12" w:space="0" w:color="auto"/>
            </w:tcBorders>
            <w:shd w:val="clear" w:color="auto" w:fill="auto"/>
            <w:vAlign w:val="bottom"/>
          </w:tcPr>
          <w:p w14:paraId="32E9470F" w14:textId="77777777" w:rsidR="00EC3C86" w:rsidRPr="00F35716" w:rsidRDefault="00EC3C86" w:rsidP="00EA329F">
            <w:pPr>
              <w:spacing w:before="40" w:after="80" w:line="210" w:lineRule="exact"/>
              <w:jc w:val="right"/>
              <w:rPr>
                <w:sz w:val="17"/>
                <w:szCs w:val="17"/>
              </w:rPr>
            </w:pPr>
            <w:r w:rsidRPr="00F35716">
              <w:rPr>
                <w:sz w:val="17"/>
                <w:szCs w:val="17"/>
              </w:rPr>
              <w:t>18.110</w:t>
            </w:r>
          </w:p>
        </w:tc>
        <w:tc>
          <w:tcPr>
            <w:tcW w:w="855" w:type="dxa"/>
            <w:tcBorders>
              <w:bottom w:val="single" w:sz="12" w:space="0" w:color="auto"/>
            </w:tcBorders>
            <w:shd w:val="clear" w:color="auto" w:fill="auto"/>
            <w:vAlign w:val="bottom"/>
          </w:tcPr>
          <w:p w14:paraId="32E94710" w14:textId="77777777" w:rsidR="00EC3C86" w:rsidRPr="00F35716" w:rsidRDefault="00EC3C86" w:rsidP="00EA329F">
            <w:pPr>
              <w:spacing w:before="40" w:after="80" w:line="210" w:lineRule="exact"/>
              <w:jc w:val="right"/>
              <w:rPr>
                <w:sz w:val="17"/>
                <w:szCs w:val="17"/>
              </w:rPr>
            </w:pPr>
            <w:r w:rsidRPr="00F35716">
              <w:rPr>
                <w:sz w:val="17"/>
                <w:szCs w:val="17"/>
              </w:rPr>
              <w:t>20.488</w:t>
            </w:r>
          </w:p>
        </w:tc>
        <w:tc>
          <w:tcPr>
            <w:tcW w:w="855" w:type="dxa"/>
            <w:tcBorders>
              <w:bottom w:val="single" w:sz="12" w:space="0" w:color="auto"/>
            </w:tcBorders>
            <w:shd w:val="clear" w:color="auto" w:fill="auto"/>
            <w:vAlign w:val="bottom"/>
          </w:tcPr>
          <w:p w14:paraId="32E94711" w14:textId="77777777" w:rsidR="00EC3C86" w:rsidRPr="00F35716" w:rsidRDefault="00EC3C86" w:rsidP="00EA329F">
            <w:pPr>
              <w:spacing w:before="40" w:after="80" w:line="210" w:lineRule="exact"/>
              <w:jc w:val="right"/>
              <w:rPr>
                <w:sz w:val="17"/>
                <w:szCs w:val="17"/>
              </w:rPr>
            </w:pPr>
            <w:r w:rsidRPr="00F35716">
              <w:rPr>
                <w:sz w:val="17"/>
                <w:szCs w:val="17"/>
              </w:rPr>
              <w:t>19.199</w:t>
            </w:r>
          </w:p>
        </w:tc>
        <w:tc>
          <w:tcPr>
            <w:tcW w:w="855" w:type="dxa"/>
            <w:tcBorders>
              <w:bottom w:val="single" w:sz="12" w:space="0" w:color="auto"/>
            </w:tcBorders>
            <w:shd w:val="clear" w:color="auto" w:fill="auto"/>
            <w:vAlign w:val="bottom"/>
          </w:tcPr>
          <w:p w14:paraId="32E94712" w14:textId="77777777" w:rsidR="00EC3C86" w:rsidRPr="00F35716" w:rsidRDefault="00EC3C86" w:rsidP="00EA329F">
            <w:pPr>
              <w:spacing w:before="40" w:after="80" w:line="210" w:lineRule="exact"/>
              <w:jc w:val="right"/>
              <w:rPr>
                <w:sz w:val="17"/>
                <w:szCs w:val="17"/>
              </w:rPr>
            </w:pPr>
            <w:r w:rsidRPr="00F35716">
              <w:rPr>
                <w:sz w:val="17"/>
                <w:szCs w:val="17"/>
              </w:rPr>
              <w:t>16.501</w:t>
            </w:r>
          </w:p>
        </w:tc>
        <w:tc>
          <w:tcPr>
            <w:tcW w:w="855" w:type="dxa"/>
            <w:tcBorders>
              <w:bottom w:val="single" w:sz="12" w:space="0" w:color="auto"/>
            </w:tcBorders>
            <w:shd w:val="clear" w:color="auto" w:fill="auto"/>
            <w:vAlign w:val="bottom"/>
          </w:tcPr>
          <w:p w14:paraId="32E94713" w14:textId="77777777" w:rsidR="00EC3C86" w:rsidRPr="00F35716" w:rsidRDefault="00EC3C86" w:rsidP="00EA329F">
            <w:pPr>
              <w:spacing w:before="40" w:after="80" w:line="210" w:lineRule="exact"/>
              <w:jc w:val="right"/>
              <w:rPr>
                <w:sz w:val="17"/>
                <w:szCs w:val="17"/>
              </w:rPr>
            </w:pPr>
            <w:r w:rsidRPr="00F35716">
              <w:rPr>
                <w:sz w:val="17"/>
                <w:szCs w:val="17"/>
              </w:rPr>
              <w:t>15.012</w:t>
            </w:r>
          </w:p>
        </w:tc>
        <w:tc>
          <w:tcPr>
            <w:tcW w:w="855" w:type="dxa"/>
            <w:tcBorders>
              <w:bottom w:val="single" w:sz="12" w:space="0" w:color="auto"/>
            </w:tcBorders>
            <w:shd w:val="clear" w:color="auto" w:fill="auto"/>
            <w:vAlign w:val="bottom"/>
          </w:tcPr>
          <w:p w14:paraId="32E94714" w14:textId="77777777" w:rsidR="00EC3C86" w:rsidRPr="00F35716" w:rsidRDefault="00EC3C86" w:rsidP="00EA329F">
            <w:pPr>
              <w:spacing w:before="40" w:after="80" w:line="210" w:lineRule="exact"/>
              <w:jc w:val="right"/>
              <w:rPr>
                <w:sz w:val="17"/>
                <w:szCs w:val="17"/>
              </w:rPr>
            </w:pPr>
            <w:r w:rsidRPr="00F35716">
              <w:rPr>
                <w:sz w:val="17"/>
                <w:szCs w:val="17"/>
              </w:rPr>
              <w:t>16.873</w:t>
            </w:r>
          </w:p>
        </w:tc>
      </w:tr>
    </w:tbl>
    <w:p w14:paraId="32E94716" w14:textId="77777777" w:rsidR="00936B71" w:rsidRPr="00F35716" w:rsidRDefault="00936B71" w:rsidP="00955CBF">
      <w:pPr>
        <w:pStyle w:val="SingleTxt"/>
        <w:spacing w:after="0" w:line="120" w:lineRule="exact"/>
        <w:rPr>
          <w:sz w:val="10"/>
          <w:szCs w:val="20"/>
        </w:rPr>
      </w:pPr>
    </w:p>
    <w:p w14:paraId="32E94717" w14:textId="77777777" w:rsidR="00955CBF" w:rsidRPr="00F35716" w:rsidRDefault="00955CBF" w:rsidP="00955CBF">
      <w:pPr>
        <w:pStyle w:val="SingleTxt"/>
        <w:spacing w:after="0" w:line="120" w:lineRule="exact"/>
        <w:rPr>
          <w:sz w:val="10"/>
          <w:szCs w:val="20"/>
        </w:rPr>
      </w:pPr>
    </w:p>
    <w:p w14:paraId="32E94718" w14:textId="60526045" w:rsidR="00EC3C86" w:rsidRPr="00F35716" w:rsidRDefault="00BA64EA" w:rsidP="00BA64EA">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tab/>
      </w:r>
      <w:r w:rsidRPr="00F35716">
        <w:rPr>
          <w:bCs w:val="0"/>
          <w:szCs w:val="20"/>
        </w:rPr>
        <w:tab/>
      </w:r>
      <w:r w:rsidR="00EC3C86" w:rsidRPr="00F35716">
        <w:rPr>
          <w:b w:val="0"/>
          <w:bCs w:val="0"/>
          <w:szCs w:val="20"/>
        </w:rPr>
        <w:t xml:space="preserve">Tabla 20: </w:t>
      </w:r>
      <w:r w:rsidRPr="00F35716">
        <w:rPr>
          <w:b w:val="0"/>
          <w:bCs w:val="0"/>
          <w:szCs w:val="20"/>
        </w:rPr>
        <w:br/>
      </w:r>
      <w:r w:rsidR="00EC3C86" w:rsidRPr="00F35716">
        <w:rPr>
          <w:bCs w:val="0"/>
          <w:szCs w:val="20"/>
        </w:rPr>
        <w:t>Violencia</w:t>
      </w:r>
      <w:r w:rsidR="00EB45AC" w:rsidRPr="00F35716">
        <w:rPr>
          <w:bCs w:val="0"/>
          <w:szCs w:val="20"/>
        </w:rPr>
        <w:t>, por</w:t>
      </w:r>
      <w:r w:rsidR="00EC3C86" w:rsidRPr="00F35716">
        <w:rPr>
          <w:bCs w:val="0"/>
          <w:szCs w:val="20"/>
        </w:rPr>
        <w:t xml:space="preserve"> grupo de edad</w:t>
      </w:r>
    </w:p>
    <w:p w14:paraId="32E94719" w14:textId="77777777" w:rsidR="00936B71" w:rsidRPr="00F35716" w:rsidRDefault="00936B71" w:rsidP="00955CBF">
      <w:pPr>
        <w:pStyle w:val="SingleTxt"/>
        <w:spacing w:after="0" w:line="120" w:lineRule="exact"/>
        <w:rPr>
          <w:sz w:val="10"/>
          <w:szCs w:val="20"/>
        </w:rPr>
      </w:pPr>
    </w:p>
    <w:tbl>
      <w:tblPr>
        <w:tblW w:w="7344" w:type="dxa"/>
        <w:tblInd w:w="1267" w:type="dxa"/>
        <w:tblLayout w:type="fixed"/>
        <w:tblCellMar>
          <w:left w:w="0" w:type="dxa"/>
          <w:right w:w="43" w:type="dxa"/>
        </w:tblCellMar>
        <w:tblLook w:val="04A0" w:firstRow="1" w:lastRow="0" w:firstColumn="1" w:lastColumn="0" w:noHBand="0" w:noVBand="1"/>
      </w:tblPr>
      <w:tblGrid>
        <w:gridCol w:w="2423"/>
        <w:gridCol w:w="2460"/>
        <w:gridCol w:w="2461"/>
      </w:tblGrid>
      <w:tr w:rsidR="00D0281D" w:rsidRPr="00F35716" w14:paraId="32E9471D" w14:textId="77777777" w:rsidTr="006F34C8">
        <w:trPr>
          <w:tblHeader/>
        </w:trPr>
        <w:tc>
          <w:tcPr>
            <w:tcW w:w="2423" w:type="dxa"/>
            <w:tcBorders>
              <w:top w:val="single" w:sz="4" w:space="0" w:color="auto"/>
              <w:bottom w:val="single" w:sz="12" w:space="0" w:color="auto"/>
            </w:tcBorders>
            <w:shd w:val="clear" w:color="auto" w:fill="auto"/>
            <w:vAlign w:val="bottom"/>
          </w:tcPr>
          <w:p w14:paraId="32E9471A" w14:textId="77777777" w:rsidR="00D0281D" w:rsidRPr="00F35716" w:rsidRDefault="00D0281D"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r w:rsidRPr="00F35716">
              <w:rPr>
                <w:i/>
                <w:iCs/>
                <w:kern w:val="0"/>
                <w:sz w:val="14"/>
                <w:szCs w:val="14"/>
              </w:rPr>
              <w:t>Grupo de edad de la víctima</w:t>
            </w:r>
          </w:p>
        </w:tc>
        <w:tc>
          <w:tcPr>
            <w:tcW w:w="2460" w:type="dxa"/>
            <w:tcBorders>
              <w:top w:val="single" w:sz="4" w:space="0" w:color="auto"/>
              <w:bottom w:val="single" w:sz="12" w:space="0" w:color="auto"/>
            </w:tcBorders>
            <w:shd w:val="clear" w:color="auto" w:fill="auto"/>
            <w:vAlign w:val="bottom"/>
          </w:tcPr>
          <w:p w14:paraId="32E9471B" w14:textId="77777777" w:rsidR="00D0281D" w:rsidRPr="00F35716" w:rsidRDefault="00D0281D"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Violencia sexual</w:t>
            </w:r>
          </w:p>
        </w:tc>
        <w:tc>
          <w:tcPr>
            <w:tcW w:w="2461" w:type="dxa"/>
            <w:tcBorders>
              <w:top w:val="single" w:sz="4" w:space="0" w:color="auto"/>
              <w:bottom w:val="single" w:sz="12" w:space="0" w:color="auto"/>
            </w:tcBorders>
            <w:shd w:val="clear" w:color="auto" w:fill="auto"/>
            <w:vAlign w:val="bottom"/>
          </w:tcPr>
          <w:p w14:paraId="32E9471C" w14:textId="0FF43114" w:rsidR="00D0281D" w:rsidRPr="00F35716" w:rsidRDefault="00D0281D"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 xml:space="preserve">Violencia </w:t>
            </w:r>
            <w:r w:rsidR="00C55B61" w:rsidRPr="00F35716">
              <w:rPr>
                <w:i/>
                <w:iCs/>
                <w:kern w:val="0"/>
                <w:sz w:val="14"/>
                <w:szCs w:val="14"/>
              </w:rPr>
              <w:t>física</w:t>
            </w:r>
          </w:p>
        </w:tc>
      </w:tr>
      <w:tr w:rsidR="00D0281D" w:rsidRPr="00F35716" w14:paraId="32E94721" w14:textId="77777777" w:rsidTr="006F34C8">
        <w:trPr>
          <w:trHeight w:hRule="exact" w:val="115"/>
          <w:tblHeader/>
        </w:trPr>
        <w:tc>
          <w:tcPr>
            <w:tcW w:w="2423" w:type="dxa"/>
            <w:tcBorders>
              <w:top w:val="single" w:sz="12" w:space="0" w:color="auto"/>
            </w:tcBorders>
            <w:shd w:val="clear" w:color="auto" w:fill="auto"/>
          </w:tcPr>
          <w:p w14:paraId="32E9471E" w14:textId="77777777" w:rsidR="00D0281D" w:rsidRPr="00F35716" w:rsidRDefault="00D0281D"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2460" w:type="dxa"/>
            <w:tcBorders>
              <w:top w:val="single" w:sz="12" w:space="0" w:color="auto"/>
            </w:tcBorders>
            <w:shd w:val="clear" w:color="auto" w:fill="auto"/>
          </w:tcPr>
          <w:p w14:paraId="32E9471F" w14:textId="77777777" w:rsidR="00D0281D" w:rsidRPr="00F35716" w:rsidRDefault="00D0281D"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2461" w:type="dxa"/>
            <w:tcBorders>
              <w:top w:val="single" w:sz="12" w:space="0" w:color="auto"/>
            </w:tcBorders>
            <w:shd w:val="clear" w:color="auto" w:fill="auto"/>
          </w:tcPr>
          <w:p w14:paraId="32E94720" w14:textId="77777777" w:rsidR="00D0281D" w:rsidRPr="00F35716" w:rsidRDefault="00D0281D" w:rsidP="006F34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r>
      <w:tr w:rsidR="00D0281D" w:rsidRPr="00F35716" w14:paraId="32E94725" w14:textId="77777777" w:rsidTr="006F34C8">
        <w:tc>
          <w:tcPr>
            <w:tcW w:w="2423" w:type="dxa"/>
            <w:shd w:val="clear" w:color="auto" w:fill="auto"/>
            <w:vAlign w:val="bottom"/>
          </w:tcPr>
          <w:p w14:paraId="32E94722" w14:textId="77777777" w:rsidR="00D0281D" w:rsidRPr="00F35716" w:rsidRDefault="007428C6" w:rsidP="006F34C8">
            <w:pPr>
              <w:spacing w:before="40" w:after="80" w:line="210" w:lineRule="exact"/>
              <w:rPr>
                <w:bCs/>
                <w:sz w:val="17"/>
                <w:szCs w:val="17"/>
              </w:rPr>
            </w:pPr>
            <w:r w:rsidRPr="00F35716">
              <w:rPr>
                <w:bCs/>
                <w:sz w:val="17"/>
                <w:szCs w:val="17"/>
              </w:rPr>
              <w:t>18-30</w:t>
            </w:r>
          </w:p>
        </w:tc>
        <w:tc>
          <w:tcPr>
            <w:tcW w:w="2460" w:type="dxa"/>
            <w:shd w:val="clear" w:color="auto" w:fill="auto"/>
            <w:vAlign w:val="bottom"/>
          </w:tcPr>
          <w:p w14:paraId="32E94723" w14:textId="77777777" w:rsidR="00D0281D" w:rsidRPr="00F35716" w:rsidRDefault="007428C6" w:rsidP="006F34C8">
            <w:pPr>
              <w:spacing w:before="40" w:after="80" w:line="210" w:lineRule="exact"/>
              <w:jc w:val="right"/>
              <w:rPr>
                <w:sz w:val="17"/>
                <w:szCs w:val="17"/>
              </w:rPr>
            </w:pPr>
            <w:r w:rsidRPr="00F35716">
              <w:rPr>
                <w:sz w:val="17"/>
                <w:szCs w:val="17"/>
              </w:rPr>
              <w:t>623</w:t>
            </w:r>
          </w:p>
        </w:tc>
        <w:tc>
          <w:tcPr>
            <w:tcW w:w="2461" w:type="dxa"/>
            <w:shd w:val="clear" w:color="auto" w:fill="auto"/>
            <w:vAlign w:val="bottom"/>
          </w:tcPr>
          <w:p w14:paraId="32E94724" w14:textId="77777777" w:rsidR="00D0281D" w:rsidRPr="00F35716" w:rsidRDefault="007428C6" w:rsidP="006F34C8">
            <w:pPr>
              <w:spacing w:before="40" w:after="80" w:line="210" w:lineRule="exact"/>
              <w:jc w:val="right"/>
              <w:rPr>
                <w:sz w:val="17"/>
                <w:szCs w:val="17"/>
              </w:rPr>
            </w:pPr>
            <w:r w:rsidRPr="00F35716">
              <w:rPr>
                <w:sz w:val="17"/>
                <w:szCs w:val="17"/>
              </w:rPr>
              <w:t>6.940</w:t>
            </w:r>
          </w:p>
        </w:tc>
      </w:tr>
      <w:tr w:rsidR="00D0281D" w:rsidRPr="00F35716" w14:paraId="32E94729" w14:textId="77777777" w:rsidTr="006F34C8">
        <w:tc>
          <w:tcPr>
            <w:tcW w:w="2423" w:type="dxa"/>
            <w:shd w:val="clear" w:color="auto" w:fill="auto"/>
            <w:vAlign w:val="bottom"/>
          </w:tcPr>
          <w:p w14:paraId="32E94726" w14:textId="77777777" w:rsidR="00D0281D" w:rsidRPr="00F35716" w:rsidRDefault="007428C6" w:rsidP="006F34C8">
            <w:pPr>
              <w:spacing w:before="40" w:after="80" w:line="210" w:lineRule="exact"/>
              <w:rPr>
                <w:bCs/>
                <w:sz w:val="17"/>
                <w:szCs w:val="17"/>
              </w:rPr>
            </w:pPr>
            <w:r w:rsidRPr="00F35716">
              <w:rPr>
                <w:bCs/>
                <w:sz w:val="17"/>
                <w:szCs w:val="17"/>
              </w:rPr>
              <w:t>31-45</w:t>
            </w:r>
          </w:p>
        </w:tc>
        <w:tc>
          <w:tcPr>
            <w:tcW w:w="2460" w:type="dxa"/>
            <w:shd w:val="clear" w:color="auto" w:fill="auto"/>
            <w:vAlign w:val="bottom"/>
          </w:tcPr>
          <w:p w14:paraId="32E94727" w14:textId="77777777" w:rsidR="00D0281D" w:rsidRPr="00F35716" w:rsidRDefault="007428C6" w:rsidP="006F34C8">
            <w:pPr>
              <w:spacing w:before="40" w:after="80" w:line="210" w:lineRule="exact"/>
              <w:jc w:val="right"/>
              <w:rPr>
                <w:sz w:val="17"/>
                <w:szCs w:val="17"/>
              </w:rPr>
            </w:pPr>
            <w:r w:rsidRPr="00F35716">
              <w:rPr>
                <w:sz w:val="17"/>
                <w:szCs w:val="17"/>
              </w:rPr>
              <w:t>283</w:t>
            </w:r>
          </w:p>
        </w:tc>
        <w:tc>
          <w:tcPr>
            <w:tcW w:w="2461" w:type="dxa"/>
            <w:shd w:val="clear" w:color="auto" w:fill="auto"/>
            <w:vAlign w:val="bottom"/>
          </w:tcPr>
          <w:p w14:paraId="32E94728" w14:textId="77777777" w:rsidR="00D0281D" w:rsidRPr="00F35716" w:rsidRDefault="007428C6" w:rsidP="006F34C8">
            <w:pPr>
              <w:spacing w:before="40" w:after="80" w:line="210" w:lineRule="exact"/>
              <w:jc w:val="right"/>
              <w:rPr>
                <w:sz w:val="17"/>
                <w:szCs w:val="17"/>
              </w:rPr>
            </w:pPr>
            <w:r w:rsidRPr="00F35716">
              <w:rPr>
                <w:sz w:val="17"/>
                <w:szCs w:val="17"/>
              </w:rPr>
              <w:t>6.600</w:t>
            </w:r>
          </w:p>
        </w:tc>
      </w:tr>
      <w:tr w:rsidR="00D0281D" w:rsidRPr="00F35716" w14:paraId="32E9472D" w14:textId="77777777" w:rsidTr="006F34C8">
        <w:tc>
          <w:tcPr>
            <w:tcW w:w="2423" w:type="dxa"/>
            <w:shd w:val="clear" w:color="auto" w:fill="auto"/>
            <w:vAlign w:val="bottom"/>
          </w:tcPr>
          <w:p w14:paraId="32E9472A" w14:textId="77777777" w:rsidR="00D0281D" w:rsidRPr="00F35716" w:rsidRDefault="007428C6" w:rsidP="006F34C8">
            <w:pPr>
              <w:spacing w:before="40" w:after="80" w:line="210" w:lineRule="exact"/>
              <w:rPr>
                <w:bCs/>
                <w:sz w:val="17"/>
                <w:szCs w:val="17"/>
              </w:rPr>
            </w:pPr>
            <w:r w:rsidRPr="00F35716">
              <w:rPr>
                <w:bCs/>
                <w:sz w:val="17"/>
                <w:szCs w:val="17"/>
              </w:rPr>
              <w:t>46-60</w:t>
            </w:r>
          </w:p>
        </w:tc>
        <w:tc>
          <w:tcPr>
            <w:tcW w:w="2460" w:type="dxa"/>
            <w:shd w:val="clear" w:color="auto" w:fill="auto"/>
            <w:vAlign w:val="bottom"/>
          </w:tcPr>
          <w:p w14:paraId="32E9472B" w14:textId="77777777" w:rsidR="00D0281D" w:rsidRPr="00F35716" w:rsidRDefault="007428C6" w:rsidP="006F34C8">
            <w:pPr>
              <w:spacing w:before="40" w:after="80" w:line="210" w:lineRule="exact"/>
              <w:jc w:val="right"/>
              <w:rPr>
                <w:sz w:val="17"/>
                <w:szCs w:val="17"/>
              </w:rPr>
            </w:pPr>
            <w:r w:rsidRPr="00F35716">
              <w:rPr>
                <w:sz w:val="17"/>
                <w:szCs w:val="17"/>
              </w:rPr>
              <w:t>58</w:t>
            </w:r>
          </w:p>
        </w:tc>
        <w:tc>
          <w:tcPr>
            <w:tcW w:w="2461" w:type="dxa"/>
            <w:shd w:val="clear" w:color="auto" w:fill="auto"/>
            <w:vAlign w:val="bottom"/>
          </w:tcPr>
          <w:p w14:paraId="32E9472C" w14:textId="77777777" w:rsidR="00D0281D" w:rsidRPr="00F35716" w:rsidRDefault="007428C6" w:rsidP="006F34C8">
            <w:pPr>
              <w:spacing w:before="40" w:after="80" w:line="210" w:lineRule="exact"/>
              <w:jc w:val="right"/>
              <w:rPr>
                <w:sz w:val="17"/>
                <w:szCs w:val="17"/>
              </w:rPr>
            </w:pPr>
            <w:r w:rsidRPr="00F35716">
              <w:rPr>
                <w:sz w:val="17"/>
                <w:szCs w:val="17"/>
              </w:rPr>
              <w:t>3.052</w:t>
            </w:r>
          </w:p>
        </w:tc>
      </w:tr>
      <w:tr w:rsidR="00D0281D" w:rsidRPr="00F35716" w14:paraId="32E94731" w14:textId="77777777" w:rsidTr="007428C6">
        <w:tc>
          <w:tcPr>
            <w:tcW w:w="2423" w:type="dxa"/>
            <w:tcBorders>
              <w:bottom w:val="single" w:sz="4" w:space="0" w:color="auto"/>
            </w:tcBorders>
            <w:shd w:val="clear" w:color="auto" w:fill="auto"/>
            <w:vAlign w:val="bottom"/>
          </w:tcPr>
          <w:p w14:paraId="32E9472E" w14:textId="77777777" w:rsidR="00D0281D" w:rsidRPr="00F35716" w:rsidRDefault="007428C6" w:rsidP="006F34C8">
            <w:pPr>
              <w:spacing w:before="40" w:after="80" w:line="210" w:lineRule="exact"/>
              <w:rPr>
                <w:bCs/>
                <w:sz w:val="17"/>
                <w:szCs w:val="17"/>
              </w:rPr>
            </w:pPr>
            <w:r w:rsidRPr="00F35716">
              <w:rPr>
                <w:bCs/>
                <w:sz w:val="17"/>
                <w:szCs w:val="17"/>
              </w:rPr>
              <w:t>≥ 61</w:t>
            </w:r>
          </w:p>
        </w:tc>
        <w:tc>
          <w:tcPr>
            <w:tcW w:w="2460" w:type="dxa"/>
            <w:tcBorders>
              <w:bottom w:val="single" w:sz="4" w:space="0" w:color="auto"/>
            </w:tcBorders>
            <w:shd w:val="clear" w:color="auto" w:fill="auto"/>
            <w:vAlign w:val="bottom"/>
          </w:tcPr>
          <w:p w14:paraId="32E9472F" w14:textId="77777777" w:rsidR="00D0281D" w:rsidRPr="00F35716" w:rsidRDefault="007428C6" w:rsidP="006F34C8">
            <w:pPr>
              <w:spacing w:before="40" w:after="80" w:line="210" w:lineRule="exact"/>
              <w:jc w:val="right"/>
              <w:rPr>
                <w:sz w:val="17"/>
                <w:szCs w:val="17"/>
              </w:rPr>
            </w:pPr>
            <w:r w:rsidRPr="00F35716">
              <w:rPr>
                <w:sz w:val="17"/>
                <w:szCs w:val="17"/>
              </w:rPr>
              <w:t>14</w:t>
            </w:r>
          </w:p>
        </w:tc>
        <w:tc>
          <w:tcPr>
            <w:tcW w:w="2461" w:type="dxa"/>
            <w:tcBorders>
              <w:bottom w:val="single" w:sz="4" w:space="0" w:color="auto"/>
            </w:tcBorders>
            <w:shd w:val="clear" w:color="auto" w:fill="auto"/>
            <w:vAlign w:val="bottom"/>
          </w:tcPr>
          <w:p w14:paraId="32E94730" w14:textId="77777777" w:rsidR="00D0281D" w:rsidRPr="00F35716" w:rsidRDefault="007428C6" w:rsidP="006F34C8">
            <w:pPr>
              <w:spacing w:before="40" w:after="80" w:line="210" w:lineRule="exact"/>
              <w:jc w:val="right"/>
              <w:rPr>
                <w:sz w:val="17"/>
                <w:szCs w:val="17"/>
              </w:rPr>
            </w:pPr>
            <w:r w:rsidRPr="00F35716">
              <w:rPr>
                <w:sz w:val="17"/>
                <w:szCs w:val="17"/>
              </w:rPr>
              <w:t>610</w:t>
            </w:r>
          </w:p>
        </w:tc>
      </w:tr>
      <w:tr w:rsidR="00D0281D" w:rsidRPr="00F35716" w14:paraId="32E94735" w14:textId="77777777" w:rsidTr="007428C6">
        <w:tc>
          <w:tcPr>
            <w:tcW w:w="2423" w:type="dxa"/>
            <w:tcBorders>
              <w:top w:val="single" w:sz="4" w:space="0" w:color="auto"/>
              <w:bottom w:val="single" w:sz="12" w:space="0" w:color="auto"/>
            </w:tcBorders>
            <w:shd w:val="clear" w:color="auto" w:fill="auto"/>
            <w:vAlign w:val="bottom"/>
          </w:tcPr>
          <w:p w14:paraId="32E94732" w14:textId="77777777" w:rsidR="00D0281D" w:rsidRPr="00F35716" w:rsidRDefault="00534208" w:rsidP="00534208">
            <w:pPr>
              <w:tabs>
                <w:tab w:val="left" w:pos="365"/>
              </w:tabs>
              <w:spacing w:before="80" w:after="80" w:line="210" w:lineRule="exact"/>
              <w:rPr>
                <w:b/>
                <w:bCs/>
                <w:sz w:val="17"/>
                <w:szCs w:val="17"/>
              </w:rPr>
            </w:pPr>
            <w:r w:rsidRPr="00F35716">
              <w:rPr>
                <w:b/>
                <w:bCs/>
                <w:sz w:val="17"/>
                <w:szCs w:val="17"/>
              </w:rPr>
              <w:tab/>
            </w:r>
            <w:r w:rsidR="007428C6" w:rsidRPr="00F35716">
              <w:rPr>
                <w:b/>
                <w:bCs/>
                <w:sz w:val="17"/>
                <w:szCs w:val="17"/>
              </w:rPr>
              <w:t>Total</w:t>
            </w:r>
          </w:p>
        </w:tc>
        <w:tc>
          <w:tcPr>
            <w:tcW w:w="2460" w:type="dxa"/>
            <w:tcBorders>
              <w:top w:val="single" w:sz="4" w:space="0" w:color="auto"/>
              <w:bottom w:val="single" w:sz="12" w:space="0" w:color="auto"/>
            </w:tcBorders>
            <w:shd w:val="clear" w:color="auto" w:fill="auto"/>
            <w:vAlign w:val="bottom"/>
          </w:tcPr>
          <w:p w14:paraId="32E94733" w14:textId="77777777" w:rsidR="00D0281D" w:rsidRPr="00F35716" w:rsidRDefault="007428C6" w:rsidP="00534208">
            <w:pPr>
              <w:spacing w:before="80" w:after="80" w:line="210" w:lineRule="exact"/>
              <w:jc w:val="right"/>
              <w:rPr>
                <w:b/>
                <w:sz w:val="17"/>
                <w:szCs w:val="17"/>
              </w:rPr>
            </w:pPr>
            <w:r w:rsidRPr="00F35716">
              <w:rPr>
                <w:b/>
                <w:sz w:val="17"/>
                <w:szCs w:val="17"/>
              </w:rPr>
              <w:t>978</w:t>
            </w:r>
          </w:p>
        </w:tc>
        <w:tc>
          <w:tcPr>
            <w:tcW w:w="2461" w:type="dxa"/>
            <w:tcBorders>
              <w:top w:val="single" w:sz="4" w:space="0" w:color="auto"/>
              <w:bottom w:val="single" w:sz="12" w:space="0" w:color="auto"/>
            </w:tcBorders>
            <w:shd w:val="clear" w:color="auto" w:fill="auto"/>
            <w:vAlign w:val="bottom"/>
          </w:tcPr>
          <w:p w14:paraId="32E94734" w14:textId="77777777" w:rsidR="00D0281D" w:rsidRPr="00F35716" w:rsidRDefault="007428C6" w:rsidP="00534208">
            <w:pPr>
              <w:spacing w:before="80" w:after="80" w:line="210" w:lineRule="exact"/>
              <w:jc w:val="right"/>
              <w:rPr>
                <w:b/>
                <w:sz w:val="17"/>
                <w:szCs w:val="17"/>
              </w:rPr>
            </w:pPr>
            <w:r w:rsidRPr="00F35716">
              <w:rPr>
                <w:b/>
                <w:sz w:val="17"/>
                <w:szCs w:val="17"/>
              </w:rPr>
              <w:t>17.202</w:t>
            </w:r>
          </w:p>
        </w:tc>
      </w:tr>
    </w:tbl>
    <w:p w14:paraId="32E94736" w14:textId="77777777" w:rsidR="00D0281D" w:rsidRPr="00F35716" w:rsidRDefault="00D0281D" w:rsidP="00955CBF">
      <w:pPr>
        <w:pStyle w:val="SingleTxt"/>
        <w:spacing w:after="0" w:line="120" w:lineRule="exact"/>
        <w:rPr>
          <w:sz w:val="10"/>
          <w:szCs w:val="20"/>
        </w:rPr>
      </w:pPr>
    </w:p>
    <w:p w14:paraId="32E94737" w14:textId="77777777" w:rsidR="00AE1787" w:rsidRPr="00F35716" w:rsidRDefault="00AE1787" w:rsidP="00955CBF">
      <w:pPr>
        <w:pStyle w:val="SingleTxt"/>
        <w:spacing w:after="0" w:line="120" w:lineRule="exact"/>
        <w:rPr>
          <w:sz w:val="10"/>
          <w:szCs w:val="20"/>
        </w:rPr>
      </w:pPr>
    </w:p>
    <w:p w14:paraId="32E94738" w14:textId="0945B92D" w:rsidR="00EC3C86" w:rsidRPr="00F35716" w:rsidRDefault="00BA64EA" w:rsidP="00BA64EA">
      <w:pPr>
        <w:pStyle w:val="H23"/>
        <w:tabs>
          <w:tab w:val="left" w:pos="1742"/>
          <w:tab w:val="left" w:pos="2218"/>
          <w:tab w:val="left" w:pos="2693"/>
          <w:tab w:val="left" w:pos="3182"/>
          <w:tab w:val="left" w:pos="3658"/>
          <w:tab w:val="left" w:pos="4133"/>
          <w:tab w:val="left" w:pos="4622"/>
          <w:tab w:val="left" w:pos="5098"/>
          <w:tab w:val="left" w:pos="5573"/>
          <w:tab w:val="left" w:pos="6048"/>
        </w:tabs>
        <w:ind w:right="1260"/>
        <w:rPr>
          <w:bCs w:val="0"/>
          <w:szCs w:val="20"/>
        </w:rPr>
      </w:pPr>
      <w:r w:rsidRPr="00F35716">
        <w:rPr>
          <w:bCs w:val="0"/>
          <w:szCs w:val="20"/>
        </w:rPr>
        <w:lastRenderedPageBreak/>
        <w:tab/>
      </w:r>
      <w:r w:rsidRPr="00F35716">
        <w:rPr>
          <w:bCs w:val="0"/>
          <w:szCs w:val="20"/>
        </w:rPr>
        <w:tab/>
      </w:r>
      <w:r w:rsidR="00EC3C86" w:rsidRPr="00F35716">
        <w:rPr>
          <w:b w:val="0"/>
          <w:bCs w:val="0"/>
          <w:szCs w:val="20"/>
        </w:rPr>
        <w:t xml:space="preserve">Tabla 21: </w:t>
      </w:r>
      <w:r w:rsidRPr="00F35716">
        <w:rPr>
          <w:b w:val="0"/>
          <w:bCs w:val="0"/>
          <w:szCs w:val="20"/>
        </w:rPr>
        <w:br/>
      </w:r>
      <w:r w:rsidR="00EC3C86" w:rsidRPr="00F35716">
        <w:rPr>
          <w:bCs w:val="0"/>
          <w:szCs w:val="20"/>
        </w:rPr>
        <w:t xml:space="preserve">Sentencias </w:t>
      </w:r>
      <w:r w:rsidR="00EB45AC" w:rsidRPr="00F35716">
        <w:rPr>
          <w:bCs w:val="0"/>
          <w:szCs w:val="20"/>
        </w:rPr>
        <w:t xml:space="preserve">dictadas </w:t>
      </w:r>
      <w:r w:rsidR="00EC3C86" w:rsidRPr="00F35716">
        <w:rPr>
          <w:bCs w:val="0"/>
          <w:szCs w:val="20"/>
        </w:rPr>
        <w:t xml:space="preserve">contra los </w:t>
      </w:r>
      <w:r w:rsidR="00EB45AC" w:rsidRPr="00F35716">
        <w:rPr>
          <w:bCs w:val="0"/>
          <w:szCs w:val="20"/>
        </w:rPr>
        <w:t xml:space="preserve">acusados </w:t>
      </w:r>
      <w:r w:rsidR="00EC3C86" w:rsidRPr="00F35716">
        <w:rPr>
          <w:bCs w:val="0"/>
          <w:szCs w:val="20"/>
        </w:rPr>
        <w:t>en casos de violencia</w:t>
      </w:r>
    </w:p>
    <w:p w14:paraId="32E94739" w14:textId="77777777" w:rsidR="00955CBF" w:rsidRPr="00F35716" w:rsidRDefault="00955CBF" w:rsidP="00955CBF">
      <w:pPr>
        <w:pStyle w:val="SingleTxt"/>
        <w:spacing w:after="0" w:line="120" w:lineRule="exact"/>
        <w:rPr>
          <w:sz w:val="10"/>
          <w:szCs w:val="20"/>
        </w:rPr>
      </w:pPr>
    </w:p>
    <w:tbl>
      <w:tblPr>
        <w:tblW w:w="7344" w:type="dxa"/>
        <w:tblInd w:w="1267" w:type="dxa"/>
        <w:tblLayout w:type="fixed"/>
        <w:tblCellMar>
          <w:left w:w="0" w:type="dxa"/>
          <w:right w:w="43" w:type="dxa"/>
        </w:tblCellMar>
        <w:tblLook w:val="04A0" w:firstRow="1" w:lastRow="0" w:firstColumn="1" w:lastColumn="0" w:noHBand="0" w:noVBand="1"/>
      </w:tblPr>
      <w:tblGrid>
        <w:gridCol w:w="1788"/>
        <w:gridCol w:w="793"/>
        <w:gridCol w:w="793"/>
        <w:gridCol w:w="793"/>
        <w:gridCol w:w="793"/>
        <w:gridCol w:w="793"/>
        <w:gridCol w:w="793"/>
        <w:gridCol w:w="798"/>
      </w:tblGrid>
      <w:tr w:rsidR="00AE1787" w:rsidRPr="00F35716" w14:paraId="32E94742" w14:textId="77777777" w:rsidTr="00AE1787">
        <w:tc>
          <w:tcPr>
            <w:tcW w:w="1872" w:type="dxa"/>
            <w:tcBorders>
              <w:top w:val="single" w:sz="4" w:space="0" w:color="auto"/>
              <w:bottom w:val="single" w:sz="12" w:space="0" w:color="auto"/>
            </w:tcBorders>
            <w:shd w:val="clear" w:color="auto" w:fill="auto"/>
            <w:vAlign w:val="bottom"/>
          </w:tcPr>
          <w:p w14:paraId="32E9473A" w14:textId="77777777" w:rsidR="00EC3C86" w:rsidRPr="00F35716" w:rsidRDefault="00EC3C86" w:rsidP="00D15A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r w:rsidRPr="00F35716">
              <w:rPr>
                <w:i/>
                <w:iCs/>
                <w:kern w:val="0"/>
                <w:sz w:val="14"/>
                <w:szCs w:val="14"/>
              </w:rPr>
              <w:t xml:space="preserve">Año </w:t>
            </w:r>
          </w:p>
        </w:tc>
        <w:tc>
          <w:tcPr>
            <w:tcW w:w="828" w:type="dxa"/>
            <w:tcBorders>
              <w:top w:val="single" w:sz="4" w:space="0" w:color="auto"/>
              <w:bottom w:val="single" w:sz="12" w:space="0" w:color="auto"/>
            </w:tcBorders>
            <w:shd w:val="clear" w:color="auto" w:fill="auto"/>
            <w:vAlign w:val="bottom"/>
          </w:tcPr>
          <w:p w14:paraId="32E9473B" w14:textId="77777777" w:rsidR="00EC3C86" w:rsidRPr="00F35716" w:rsidRDefault="00EC3C86" w:rsidP="005923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2011</w:t>
            </w:r>
          </w:p>
        </w:tc>
        <w:tc>
          <w:tcPr>
            <w:tcW w:w="828" w:type="dxa"/>
            <w:tcBorders>
              <w:top w:val="single" w:sz="4" w:space="0" w:color="auto"/>
              <w:bottom w:val="single" w:sz="12" w:space="0" w:color="auto"/>
            </w:tcBorders>
            <w:shd w:val="clear" w:color="auto" w:fill="auto"/>
            <w:vAlign w:val="bottom"/>
          </w:tcPr>
          <w:p w14:paraId="32E9473C" w14:textId="77777777" w:rsidR="00EC3C86" w:rsidRPr="00F35716" w:rsidRDefault="00EC3C86" w:rsidP="005923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2012</w:t>
            </w:r>
          </w:p>
        </w:tc>
        <w:tc>
          <w:tcPr>
            <w:tcW w:w="828" w:type="dxa"/>
            <w:tcBorders>
              <w:top w:val="single" w:sz="4" w:space="0" w:color="auto"/>
              <w:bottom w:val="single" w:sz="12" w:space="0" w:color="auto"/>
            </w:tcBorders>
            <w:shd w:val="clear" w:color="auto" w:fill="auto"/>
            <w:vAlign w:val="bottom"/>
          </w:tcPr>
          <w:p w14:paraId="32E9473D" w14:textId="77777777" w:rsidR="00EC3C86" w:rsidRPr="00F35716" w:rsidRDefault="00EC3C86" w:rsidP="005923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2013</w:t>
            </w:r>
          </w:p>
        </w:tc>
        <w:tc>
          <w:tcPr>
            <w:tcW w:w="828" w:type="dxa"/>
            <w:tcBorders>
              <w:top w:val="single" w:sz="4" w:space="0" w:color="auto"/>
              <w:bottom w:val="single" w:sz="12" w:space="0" w:color="auto"/>
            </w:tcBorders>
            <w:shd w:val="clear" w:color="auto" w:fill="auto"/>
            <w:vAlign w:val="bottom"/>
          </w:tcPr>
          <w:p w14:paraId="32E9473E" w14:textId="77777777" w:rsidR="00EC3C86" w:rsidRPr="00F35716" w:rsidRDefault="00EC3C86" w:rsidP="005923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2014</w:t>
            </w:r>
          </w:p>
        </w:tc>
        <w:tc>
          <w:tcPr>
            <w:tcW w:w="828" w:type="dxa"/>
            <w:tcBorders>
              <w:top w:val="single" w:sz="4" w:space="0" w:color="auto"/>
              <w:bottom w:val="single" w:sz="12" w:space="0" w:color="auto"/>
            </w:tcBorders>
            <w:shd w:val="clear" w:color="auto" w:fill="auto"/>
            <w:vAlign w:val="bottom"/>
          </w:tcPr>
          <w:p w14:paraId="32E9473F" w14:textId="77777777" w:rsidR="00EC3C86" w:rsidRPr="00F35716" w:rsidRDefault="00EC3C86" w:rsidP="005923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2015</w:t>
            </w:r>
          </w:p>
        </w:tc>
        <w:tc>
          <w:tcPr>
            <w:tcW w:w="828" w:type="dxa"/>
            <w:tcBorders>
              <w:top w:val="single" w:sz="4" w:space="0" w:color="auto"/>
              <w:bottom w:val="single" w:sz="12" w:space="0" w:color="auto"/>
            </w:tcBorders>
            <w:shd w:val="clear" w:color="auto" w:fill="auto"/>
            <w:vAlign w:val="bottom"/>
          </w:tcPr>
          <w:p w14:paraId="32E94740" w14:textId="77777777" w:rsidR="00EC3C86" w:rsidRPr="00F35716" w:rsidRDefault="00EC3C86" w:rsidP="005923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2016</w:t>
            </w:r>
          </w:p>
        </w:tc>
        <w:tc>
          <w:tcPr>
            <w:tcW w:w="833" w:type="dxa"/>
            <w:tcBorders>
              <w:top w:val="single" w:sz="4" w:space="0" w:color="auto"/>
              <w:bottom w:val="single" w:sz="12" w:space="0" w:color="auto"/>
            </w:tcBorders>
            <w:shd w:val="clear" w:color="auto" w:fill="auto"/>
            <w:vAlign w:val="bottom"/>
          </w:tcPr>
          <w:p w14:paraId="32E94741" w14:textId="77777777" w:rsidR="00EC3C86" w:rsidRPr="00F35716" w:rsidRDefault="00EC3C86" w:rsidP="005923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right"/>
              <w:rPr>
                <w:i/>
                <w:iCs/>
                <w:kern w:val="0"/>
                <w:sz w:val="14"/>
                <w:szCs w:val="14"/>
              </w:rPr>
            </w:pPr>
            <w:r w:rsidRPr="00F35716">
              <w:rPr>
                <w:i/>
                <w:iCs/>
                <w:kern w:val="0"/>
                <w:sz w:val="14"/>
                <w:szCs w:val="14"/>
              </w:rPr>
              <w:t>2017</w:t>
            </w:r>
          </w:p>
        </w:tc>
      </w:tr>
      <w:tr w:rsidR="005923FA" w:rsidRPr="00F35716" w14:paraId="32E9474B" w14:textId="77777777" w:rsidTr="00AE1787">
        <w:trPr>
          <w:trHeight w:hRule="exact" w:val="115"/>
        </w:trPr>
        <w:tc>
          <w:tcPr>
            <w:tcW w:w="1872" w:type="dxa"/>
            <w:tcBorders>
              <w:top w:val="single" w:sz="12" w:space="0" w:color="auto"/>
            </w:tcBorders>
            <w:shd w:val="clear" w:color="auto" w:fill="auto"/>
            <w:vAlign w:val="bottom"/>
          </w:tcPr>
          <w:p w14:paraId="32E94743" w14:textId="77777777" w:rsidR="005923FA" w:rsidRPr="00F35716" w:rsidRDefault="005923FA" w:rsidP="00D15AA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828" w:type="dxa"/>
            <w:tcBorders>
              <w:top w:val="single" w:sz="12" w:space="0" w:color="auto"/>
            </w:tcBorders>
            <w:shd w:val="clear" w:color="auto" w:fill="auto"/>
            <w:vAlign w:val="bottom"/>
          </w:tcPr>
          <w:p w14:paraId="32E94744" w14:textId="77777777" w:rsidR="005923FA" w:rsidRPr="00F35716" w:rsidRDefault="005923FA" w:rsidP="002B05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828" w:type="dxa"/>
            <w:tcBorders>
              <w:top w:val="single" w:sz="12" w:space="0" w:color="auto"/>
            </w:tcBorders>
            <w:shd w:val="clear" w:color="auto" w:fill="auto"/>
            <w:vAlign w:val="bottom"/>
          </w:tcPr>
          <w:p w14:paraId="32E94745" w14:textId="77777777" w:rsidR="005923FA" w:rsidRPr="00F35716" w:rsidRDefault="005923FA" w:rsidP="002B05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828" w:type="dxa"/>
            <w:tcBorders>
              <w:top w:val="single" w:sz="12" w:space="0" w:color="auto"/>
            </w:tcBorders>
            <w:shd w:val="clear" w:color="auto" w:fill="auto"/>
            <w:vAlign w:val="bottom"/>
          </w:tcPr>
          <w:p w14:paraId="32E94746" w14:textId="77777777" w:rsidR="005923FA" w:rsidRPr="00F35716" w:rsidRDefault="005923FA" w:rsidP="002B05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828" w:type="dxa"/>
            <w:tcBorders>
              <w:top w:val="single" w:sz="12" w:space="0" w:color="auto"/>
            </w:tcBorders>
            <w:shd w:val="clear" w:color="auto" w:fill="auto"/>
            <w:vAlign w:val="bottom"/>
          </w:tcPr>
          <w:p w14:paraId="32E94747" w14:textId="77777777" w:rsidR="005923FA" w:rsidRPr="00F35716" w:rsidRDefault="005923FA" w:rsidP="002B05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828" w:type="dxa"/>
            <w:tcBorders>
              <w:top w:val="single" w:sz="12" w:space="0" w:color="auto"/>
            </w:tcBorders>
            <w:shd w:val="clear" w:color="auto" w:fill="auto"/>
            <w:vAlign w:val="bottom"/>
          </w:tcPr>
          <w:p w14:paraId="32E94748" w14:textId="77777777" w:rsidR="005923FA" w:rsidRPr="00F35716" w:rsidRDefault="005923FA" w:rsidP="002B05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828" w:type="dxa"/>
            <w:tcBorders>
              <w:top w:val="single" w:sz="12" w:space="0" w:color="auto"/>
            </w:tcBorders>
            <w:shd w:val="clear" w:color="auto" w:fill="auto"/>
            <w:vAlign w:val="bottom"/>
          </w:tcPr>
          <w:p w14:paraId="32E94749" w14:textId="77777777" w:rsidR="005923FA" w:rsidRPr="00F35716" w:rsidRDefault="005923FA" w:rsidP="002B05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c>
          <w:tcPr>
            <w:tcW w:w="833" w:type="dxa"/>
            <w:tcBorders>
              <w:top w:val="single" w:sz="12" w:space="0" w:color="auto"/>
            </w:tcBorders>
            <w:shd w:val="clear" w:color="auto" w:fill="auto"/>
            <w:vAlign w:val="bottom"/>
          </w:tcPr>
          <w:p w14:paraId="32E9474A" w14:textId="77777777" w:rsidR="005923FA" w:rsidRPr="00F35716" w:rsidRDefault="005923FA" w:rsidP="002B059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0" w:after="80" w:line="160" w:lineRule="exact"/>
              <w:ind w:left="0" w:right="0"/>
              <w:jc w:val="left"/>
              <w:rPr>
                <w:i/>
                <w:iCs/>
                <w:kern w:val="0"/>
                <w:sz w:val="14"/>
                <w:szCs w:val="14"/>
              </w:rPr>
            </w:pPr>
          </w:p>
        </w:tc>
      </w:tr>
      <w:tr w:rsidR="00AE1787" w:rsidRPr="00F35716" w14:paraId="32E94754" w14:textId="77777777" w:rsidTr="002B0591">
        <w:trPr>
          <w:trHeight w:val="90"/>
        </w:trPr>
        <w:tc>
          <w:tcPr>
            <w:tcW w:w="1872" w:type="dxa"/>
            <w:tcBorders>
              <w:bottom w:val="single" w:sz="12" w:space="0" w:color="auto"/>
            </w:tcBorders>
            <w:shd w:val="clear" w:color="auto" w:fill="auto"/>
          </w:tcPr>
          <w:p w14:paraId="32E9474C" w14:textId="77777777" w:rsidR="00EC3C86" w:rsidRPr="00F35716" w:rsidRDefault="00EC3C86" w:rsidP="00506730">
            <w:pPr>
              <w:spacing w:before="40" w:after="80" w:line="210" w:lineRule="exact"/>
              <w:rPr>
                <w:bCs/>
                <w:sz w:val="17"/>
                <w:szCs w:val="17"/>
              </w:rPr>
            </w:pPr>
            <w:r w:rsidRPr="00F35716">
              <w:rPr>
                <w:bCs/>
                <w:sz w:val="17"/>
                <w:szCs w:val="17"/>
              </w:rPr>
              <w:t xml:space="preserve">Número de sentencias </w:t>
            </w:r>
          </w:p>
        </w:tc>
        <w:tc>
          <w:tcPr>
            <w:tcW w:w="828" w:type="dxa"/>
            <w:tcBorders>
              <w:bottom w:val="single" w:sz="12" w:space="0" w:color="auto"/>
            </w:tcBorders>
            <w:shd w:val="clear" w:color="auto" w:fill="auto"/>
          </w:tcPr>
          <w:p w14:paraId="32E9474D" w14:textId="77777777" w:rsidR="00EC3C86" w:rsidRPr="00F35716" w:rsidRDefault="00EC3C86" w:rsidP="00506730">
            <w:pPr>
              <w:spacing w:before="40" w:after="80" w:line="210" w:lineRule="exact"/>
              <w:jc w:val="right"/>
              <w:rPr>
                <w:sz w:val="17"/>
                <w:szCs w:val="17"/>
              </w:rPr>
            </w:pPr>
            <w:r w:rsidRPr="00F35716">
              <w:rPr>
                <w:sz w:val="17"/>
                <w:szCs w:val="17"/>
              </w:rPr>
              <w:t>11.001</w:t>
            </w:r>
          </w:p>
        </w:tc>
        <w:tc>
          <w:tcPr>
            <w:tcW w:w="828" w:type="dxa"/>
            <w:tcBorders>
              <w:bottom w:val="single" w:sz="12" w:space="0" w:color="auto"/>
            </w:tcBorders>
            <w:shd w:val="clear" w:color="auto" w:fill="auto"/>
          </w:tcPr>
          <w:p w14:paraId="32E9474E" w14:textId="77777777" w:rsidR="00EC3C86" w:rsidRPr="00F35716" w:rsidRDefault="00EC3C86" w:rsidP="00506730">
            <w:pPr>
              <w:spacing w:before="40" w:after="80" w:line="210" w:lineRule="exact"/>
              <w:jc w:val="right"/>
              <w:rPr>
                <w:sz w:val="17"/>
                <w:szCs w:val="17"/>
              </w:rPr>
            </w:pPr>
            <w:r w:rsidRPr="00F35716">
              <w:rPr>
                <w:sz w:val="17"/>
                <w:szCs w:val="17"/>
              </w:rPr>
              <w:t>10.684</w:t>
            </w:r>
          </w:p>
        </w:tc>
        <w:tc>
          <w:tcPr>
            <w:tcW w:w="828" w:type="dxa"/>
            <w:tcBorders>
              <w:bottom w:val="single" w:sz="12" w:space="0" w:color="auto"/>
            </w:tcBorders>
            <w:shd w:val="clear" w:color="auto" w:fill="auto"/>
          </w:tcPr>
          <w:p w14:paraId="32E9474F" w14:textId="77777777" w:rsidR="00EC3C86" w:rsidRPr="00F35716" w:rsidRDefault="00EC3C86" w:rsidP="00506730">
            <w:pPr>
              <w:spacing w:before="40" w:after="80" w:line="210" w:lineRule="exact"/>
              <w:jc w:val="right"/>
              <w:rPr>
                <w:sz w:val="17"/>
                <w:szCs w:val="17"/>
              </w:rPr>
            </w:pPr>
            <w:r w:rsidRPr="00F35716">
              <w:rPr>
                <w:sz w:val="17"/>
                <w:szCs w:val="17"/>
              </w:rPr>
              <w:t>11.786</w:t>
            </w:r>
          </w:p>
        </w:tc>
        <w:tc>
          <w:tcPr>
            <w:tcW w:w="828" w:type="dxa"/>
            <w:tcBorders>
              <w:bottom w:val="single" w:sz="12" w:space="0" w:color="auto"/>
            </w:tcBorders>
            <w:shd w:val="clear" w:color="auto" w:fill="auto"/>
          </w:tcPr>
          <w:p w14:paraId="32E94750" w14:textId="77777777" w:rsidR="00EC3C86" w:rsidRPr="00F35716" w:rsidRDefault="00EC3C86" w:rsidP="00506730">
            <w:pPr>
              <w:spacing w:before="40" w:after="80" w:line="210" w:lineRule="exact"/>
              <w:jc w:val="right"/>
              <w:rPr>
                <w:sz w:val="17"/>
                <w:szCs w:val="17"/>
              </w:rPr>
            </w:pPr>
            <w:r w:rsidRPr="00F35716">
              <w:rPr>
                <w:sz w:val="17"/>
                <w:szCs w:val="17"/>
              </w:rPr>
              <w:t>11.851</w:t>
            </w:r>
          </w:p>
        </w:tc>
        <w:tc>
          <w:tcPr>
            <w:tcW w:w="828" w:type="dxa"/>
            <w:tcBorders>
              <w:bottom w:val="single" w:sz="12" w:space="0" w:color="auto"/>
            </w:tcBorders>
            <w:shd w:val="clear" w:color="auto" w:fill="auto"/>
          </w:tcPr>
          <w:p w14:paraId="32E94751" w14:textId="77777777" w:rsidR="00EC3C86" w:rsidRPr="00F35716" w:rsidRDefault="00EC3C86" w:rsidP="00506730">
            <w:pPr>
              <w:spacing w:before="40" w:after="80" w:line="210" w:lineRule="exact"/>
              <w:jc w:val="right"/>
              <w:rPr>
                <w:sz w:val="17"/>
                <w:szCs w:val="17"/>
              </w:rPr>
            </w:pPr>
            <w:r w:rsidRPr="00F35716">
              <w:rPr>
                <w:sz w:val="17"/>
                <w:szCs w:val="17"/>
              </w:rPr>
              <w:t>12.062</w:t>
            </w:r>
          </w:p>
        </w:tc>
        <w:tc>
          <w:tcPr>
            <w:tcW w:w="828" w:type="dxa"/>
            <w:tcBorders>
              <w:bottom w:val="single" w:sz="12" w:space="0" w:color="auto"/>
            </w:tcBorders>
            <w:shd w:val="clear" w:color="auto" w:fill="auto"/>
          </w:tcPr>
          <w:p w14:paraId="32E94752" w14:textId="77777777" w:rsidR="00EC3C86" w:rsidRPr="00F35716" w:rsidRDefault="00EC3C86" w:rsidP="00506730">
            <w:pPr>
              <w:spacing w:before="40" w:after="80" w:line="210" w:lineRule="exact"/>
              <w:jc w:val="right"/>
              <w:rPr>
                <w:sz w:val="17"/>
                <w:szCs w:val="17"/>
              </w:rPr>
            </w:pPr>
            <w:r w:rsidRPr="00F35716">
              <w:rPr>
                <w:sz w:val="17"/>
                <w:szCs w:val="17"/>
              </w:rPr>
              <w:t>12.461</w:t>
            </w:r>
          </w:p>
        </w:tc>
        <w:tc>
          <w:tcPr>
            <w:tcW w:w="833" w:type="dxa"/>
            <w:tcBorders>
              <w:bottom w:val="single" w:sz="12" w:space="0" w:color="auto"/>
            </w:tcBorders>
            <w:shd w:val="clear" w:color="auto" w:fill="auto"/>
          </w:tcPr>
          <w:p w14:paraId="32E94753" w14:textId="77777777" w:rsidR="00EC3C86" w:rsidRPr="00F35716" w:rsidRDefault="00EC3C86" w:rsidP="00506730">
            <w:pPr>
              <w:spacing w:before="40" w:after="80" w:line="210" w:lineRule="exact"/>
              <w:jc w:val="right"/>
              <w:rPr>
                <w:sz w:val="17"/>
                <w:szCs w:val="17"/>
              </w:rPr>
            </w:pPr>
            <w:r w:rsidRPr="00F35716">
              <w:rPr>
                <w:sz w:val="17"/>
                <w:szCs w:val="17"/>
              </w:rPr>
              <w:t>13.525</w:t>
            </w:r>
          </w:p>
        </w:tc>
      </w:tr>
    </w:tbl>
    <w:p w14:paraId="32E94755" w14:textId="77777777" w:rsidR="00955CBF" w:rsidRPr="00F35716" w:rsidRDefault="00955CBF" w:rsidP="00955CBF">
      <w:pPr>
        <w:pStyle w:val="SingleTxt"/>
        <w:spacing w:after="0" w:line="120" w:lineRule="exact"/>
        <w:rPr>
          <w:sz w:val="10"/>
          <w:szCs w:val="20"/>
        </w:rPr>
      </w:pPr>
    </w:p>
    <w:p w14:paraId="32E94756" w14:textId="77777777" w:rsidR="00955CBF" w:rsidRPr="00F35716" w:rsidRDefault="00955CBF" w:rsidP="00955CBF">
      <w:pPr>
        <w:pStyle w:val="SingleTxt"/>
        <w:spacing w:after="0" w:line="120" w:lineRule="exact"/>
        <w:rPr>
          <w:sz w:val="10"/>
          <w:szCs w:val="20"/>
        </w:rPr>
      </w:pPr>
    </w:p>
    <w:p w14:paraId="32E94757" w14:textId="4C5FCD2B" w:rsidR="00EC3C86" w:rsidRPr="00F35716" w:rsidRDefault="00EC3C86" w:rsidP="00B3192A">
      <w:pPr>
        <w:pStyle w:val="SingleTxt"/>
        <w:numPr>
          <w:ilvl w:val="0"/>
          <w:numId w:val="8"/>
        </w:numPr>
        <w:ind w:left="1267" w:firstLine="0"/>
      </w:pPr>
      <w:r w:rsidRPr="00F35716">
        <w:t xml:space="preserve">A nivel </w:t>
      </w:r>
      <w:r w:rsidR="000A20E3" w:rsidRPr="00F35716">
        <w:t>local</w:t>
      </w:r>
      <w:r w:rsidRPr="00F35716">
        <w:t xml:space="preserve">, en 2015 se crearon 40 nuevos espacios multifuncionales especializados en </w:t>
      </w:r>
      <w:r w:rsidR="000A20E3" w:rsidRPr="00F35716">
        <w:t>atender</w:t>
      </w:r>
      <w:r w:rsidRPr="00F35716">
        <w:t xml:space="preserve"> a las mujeres víctimas de violencia (</w:t>
      </w:r>
      <w:r w:rsidR="000A20E3" w:rsidRPr="00F35716">
        <w:t>escucharlas</w:t>
      </w:r>
      <w:r w:rsidRPr="00F35716">
        <w:t xml:space="preserve">, </w:t>
      </w:r>
      <w:r w:rsidR="000A20E3" w:rsidRPr="00F35716">
        <w:t>orientarlas</w:t>
      </w:r>
      <w:r w:rsidRPr="00F35716">
        <w:t xml:space="preserve">, </w:t>
      </w:r>
      <w:r w:rsidR="000A20E3" w:rsidRPr="00F35716">
        <w:t>prestarles asistencia</w:t>
      </w:r>
      <w:r w:rsidRPr="00F35716">
        <w:t xml:space="preserve"> y proporcionar</w:t>
      </w:r>
      <w:r w:rsidR="000A20E3" w:rsidRPr="00F35716">
        <w:t>les</w:t>
      </w:r>
      <w:r w:rsidRPr="00F35716">
        <w:t xml:space="preserve"> alojamiento </w:t>
      </w:r>
      <w:r w:rsidR="00434572" w:rsidRPr="00F35716">
        <w:t>provisional</w:t>
      </w:r>
      <w:r w:rsidRPr="00F35716">
        <w:t xml:space="preserve">), así como en </w:t>
      </w:r>
      <w:r w:rsidR="000A20E3" w:rsidRPr="00F35716">
        <w:t>ofrecer servicios de colocación y orientación</w:t>
      </w:r>
      <w:r w:rsidRPr="00F35716">
        <w:t xml:space="preserve"> a las mujeres en situaci</w:t>
      </w:r>
      <w:r w:rsidR="000A20E3" w:rsidRPr="00F35716">
        <w:t>o</w:t>
      </w:r>
      <w:r w:rsidRPr="00F35716">
        <w:t>n</w:t>
      </w:r>
      <w:r w:rsidR="000A20E3" w:rsidRPr="00F35716">
        <w:t>es</w:t>
      </w:r>
      <w:r w:rsidRPr="00F35716">
        <w:t xml:space="preserve"> difícil</w:t>
      </w:r>
      <w:r w:rsidR="000A20E3" w:rsidRPr="00F35716">
        <w:t>es</w:t>
      </w:r>
      <w:r w:rsidRPr="00F35716">
        <w:t>. Con este propósito, se elabor</w:t>
      </w:r>
      <w:r w:rsidR="000A20E3" w:rsidRPr="00F35716">
        <w:t>aron</w:t>
      </w:r>
      <w:r w:rsidRPr="00F35716">
        <w:t xml:space="preserve"> especificaciones para estos espacios, de acuerdo con los criterios internacionales. En el marco de la colaboración con asociaciones que trabajan en e</w:t>
      </w:r>
      <w:r w:rsidR="000A20E3" w:rsidRPr="00F35716">
        <w:t>se ámbito</w:t>
      </w:r>
      <w:r w:rsidRPr="00F35716">
        <w:t>, los centros de escucha y orientación jurídica para mujeres víctimas de violencia reciben apoyo sobre la base de una estrategia trienal, en lugar de anual. Con ello se busca garantizar la continuidad y la calidad de los servicios que estos centros brindan a las</w:t>
      </w:r>
      <w:r w:rsidR="0041719A" w:rsidRPr="00F35716">
        <w:t> </w:t>
      </w:r>
      <w:r w:rsidRPr="00F35716">
        <w:t>mujeres víctimas de la violencia. Entre 2012 y 2018, 264 centros recibieron asistencia por valor de 80,3 millones de dírhams.</w:t>
      </w:r>
      <w:r w:rsidR="00BD7E71" w:rsidRPr="00F35716">
        <w:t xml:space="preserve"> </w:t>
      </w:r>
    </w:p>
    <w:p w14:paraId="32E94758" w14:textId="0112E51D" w:rsidR="00EC3C86" w:rsidRPr="00F35716" w:rsidRDefault="00EC3C86" w:rsidP="00B3192A">
      <w:pPr>
        <w:pStyle w:val="SingleTxt"/>
        <w:numPr>
          <w:ilvl w:val="0"/>
          <w:numId w:val="8"/>
        </w:numPr>
        <w:ind w:left="1267" w:firstLine="0"/>
      </w:pPr>
      <w:r w:rsidRPr="00F35716">
        <w:t xml:space="preserve">En 2013 se </w:t>
      </w:r>
      <w:r w:rsidR="000A20E3" w:rsidRPr="00F35716">
        <w:t>puso en marcha un p</w:t>
      </w:r>
      <w:r w:rsidRPr="00F35716">
        <w:t xml:space="preserve">rograma </w:t>
      </w:r>
      <w:r w:rsidR="000A20E3" w:rsidRPr="00F35716">
        <w:t>i</w:t>
      </w:r>
      <w:r w:rsidRPr="00F35716">
        <w:t xml:space="preserve">ntersectorial </w:t>
      </w:r>
      <w:r w:rsidR="000A20E3" w:rsidRPr="00F35716">
        <w:t>de sensibilización</w:t>
      </w:r>
      <w:r w:rsidRPr="00F35716">
        <w:t xml:space="preserve"> para </w:t>
      </w:r>
      <w:r w:rsidR="000A20E3" w:rsidRPr="00F35716">
        <w:t>c</w:t>
      </w:r>
      <w:r w:rsidRPr="00F35716">
        <w:t xml:space="preserve">ombatir la </w:t>
      </w:r>
      <w:r w:rsidR="000A20E3" w:rsidRPr="00F35716">
        <w:t>v</w:t>
      </w:r>
      <w:r w:rsidRPr="00F35716">
        <w:t>iolencia contra la</w:t>
      </w:r>
      <w:r w:rsidR="000A20E3" w:rsidRPr="00F35716">
        <w:t>s</w:t>
      </w:r>
      <w:r w:rsidRPr="00F35716">
        <w:t xml:space="preserve"> </w:t>
      </w:r>
      <w:r w:rsidR="000A20E3" w:rsidRPr="00F35716">
        <w:t>m</w:t>
      </w:r>
      <w:r w:rsidRPr="00F35716">
        <w:t>ujer</w:t>
      </w:r>
      <w:r w:rsidR="000A20E3" w:rsidRPr="00F35716">
        <w:t>es</w:t>
      </w:r>
      <w:r w:rsidRPr="00F35716">
        <w:t xml:space="preserve"> por un período de cuatro años. Dicho programa </w:t>
      </w:r>
      <w:r w:rsidR="00B84ACA" w:rsidRPr="00F35716">
        <w:t>promovió la</w:t>
      </w:r>
      <w:r w:rsidRPr="00F35716">
        <w:t xml:space="preserve"> conciencia acerca de los peligros que entrañan la violencia y la discriminación contra la</w:t>
      </w:r>
      <w:r w:rsidR="000A20E3" w:rsidRPr="00F35716">
        <w:t>s</w:t>
      </w:r>
      <w:r w:rsidRPr="00F35716">
        <w:t xml:space="preserve"> mujer</w:t>
      </w:r>
      <w:r w:rsidR="000A20E3" w:rsidRPr="00F35716">
        <w:t>es</w:t>
      </w:r>
      <w:r w:rsidRPr="00F35716">
        <w:t xml:space="preserve">; </w:t>
      </w:r>
      <w:r w:rsidR="00B84ACA" w:rsidRPr="00F35716">
        <w:t>facilitó la colaboración entre los diversos</w:t>
      </w:r>
      <w:r w:rsidRPr="00F35716">
        <w:t xml:space="preserve"> agentes en la movilización social integral e institucionaliz</w:t>
      </w:r>
      <w:r w:rsidR="00B84ACA" w:rsidRPr="00F35716">
        <w:t>ó</w:t>
      </w:r>
      <w:r w:rsidRPr="00F35716">
        <w:t xml:space="preserve"> la a</w:t>
      </w:r>
      <w:r w:rsidR="00B84ACA" w:rsidRPr="00F35716">
        <w:t>lianza</w:t>
      </w:r>
      <w:r w:rsidRPr="00F35716">
        <w:t xml:space="preserve"> </w:t>
      </w:r>
      <w:r w:rsidR="00B84ACA" w:rsidRPr="00F35716">
        <w:t>intersectorial</w:t>
      </w:r>
      <w:r w:rsidRPr="00F35716">
        <w:t xml:space="preserve"> </w:t>
      </w:r>
      <w:r w:rsidR="00B84ACA" w:rsidRPr="00F35716">
        <w:t>para</w:t>
      </w:r>
      <w:r w:rsidRPr="00F35716">
        <w:t xml:space="preserve"> sensibiliza</w:t>
      </w:r>
      <w:r w:rsidR="00B84ACA" w:rsidRPr="00F35716">
        <w:t>r sobre la lucha contra</w:t>
      </w:r>
      <w:r w:rsidRPr="00F35716">
        <w:t xml:space="preserve"> la violencia contra las mujeres.</w:t>
      </w:r>
    </w:p>
    <w:p w14:paraId="32E94759" w14:textId="11613627" w:rsidR="00EC3C86" w:rsidRPr="00F35716" w:rsidRDefault="00EC3C86" w:rsidP="002B0591">
      <w:pPr>
        <w:pStyle w:val="SingleTxt"/>
        <w:keepLines/>
        <w:numPr>
          <w:ilvl w:val="0"/>
          <w:numId w:val="8"/>
        </w:numPr>
        <w:ind w:left="1267" w:firstLine="0"/>
      </w:pPr>
      <w:r w:rsidRPr="00F35716">
        <w:t xml:space="preserve">La Campaña Nacional para Combatir la Violencia contra las Mujeres </w:t>
      </w:r>
      <w:r w:rsidR="00C71EEA" w:rsidRPr="00F35716">
        <w:t>—</w:t>
      </w:r>
      <w:r w:rsidRPr="00F35716">
        <w:t>una campaña de sensibilización anual dirigida a la población general de las diversas regiones del Reino</w:t>
      </w:r>
      <w:r w:rsidR="00C71EEA" w:rsidRPr="00F35716">
        <w:t>—</w:t>
      </w:r>
      <w:r w:rsidRPr="00F35716">
        <w:t xml:space="preserve"> ha adquirido carácter oficial. En 2012 abordó los problemas asociados con este fenómeno, mientras que en 2013 estuvo dirigida a mujeres asalariadas. Por su parte, la campaña de 2014 se centró en sensibilizar acerca de diversas formas de violencia y explotación contra las mujeres</w:t>
      </w:r>
      <w:r w:rsidR="00B84ACA" w:rsidRPr="00F35716">
        <w:t>,</w:t>
      </w:r>
      <w:r w:rsidRPr="00F35716">
        <w:t xml:space="preserve"> mediante la organización de reuniones regionales </w:t>
      </w:r>
      <w:r w:rsidR="00B84ACA" w:rsidRPr="00F35716">
        <w:t xml:space="preserve">que contaron </w:t>
      </w:r>
      <w:r w:rsidRPr="00F35716">
        <w:t>con la participación de</w:t>
      </w:r>
      <w:r w:rsidR="00B84ACA" w:rsidRPr="00F35716">
        <w:t>l organismo nacional de asistencia mutua</w:t>
      </w:r>
      <w:r w:rsidRPr="00F35716">
        <w:t xml:space="preserve"> y </w:t>
      </w:r>
      <w:r w:rsidR="00DA085F" w:rsidRPr="00F35716">
        <w:t>organizaciones no gubernamentales</w:t>
      </w:r>
      <w:r w:rsidRPr="00F35716">
        <w:t xml:space="preserve"> locales. En 2015 se organizó la 13ª campaña bajo el lema </w:t>
      </w:r>
      <w:r w:rsidR="00801A38" w:rsidRPr="00F35716">
        <w:t>“</w:t>
      </w:r>
      <w:r w:rsidR="002E3C76" w:rsidRPr="00F35716">
        <w:t>Ú</w:t>
      </w:r>
      <w:r w:rsidRPr="00F35716">
        <w:t xml:space="preserve">ltima advertencia </w:t>
      </w:r>
      <w:r w:rsidR="002E3C76" w:rsidRPr="00F35716">
        <w:t>de castigo para los agresores</w:t>
      </w:r>
      <w:r w:rsidR="00801A38" w:rsidRPr="00F35716">
        <w:t>”</w:t>
      </w:r>
      <w:r w:rsidRPr="00F35716">
        <w:t>, que arrojó luz sobre las características de los autores de actos de violencia contra la</w:t>
      </w:r>
      <w:r w:rsidR="00B84ACA" w:rsidRPr="00F35716">
        <w:t>s</w:t>
      </w:r>
      <w:r w:rsidRPr="00F35716">
        <w:t xml:space="preserve"> mujer</w:t>
      </w:r>
      <w:r w:rsidR="00B84ACA" w:rsidRPr="00F35716">
        <w:t>es</w:t>
      </w:r>
      <w:r w:rsidRPr="00F35716">
        <w:t xml:space="preserve"> e incluyó la organización de 12 reuniones regionales a nivel </w:t>
      </w:r>
      <w:r w:rsidR="002E3C76" w:rsidRPr="00F35716">
        <w:t xml:space="preserve">local </w:t>
      </w:r>
      <w:r w:rsidRPr="00F35716">
        <w:t>en co</w:t>
      </w:r>
      <w:r w:rsidR="002E3C76" w:rsidRPr="00F35716">
        <w:t>laboración</w:t>
      </w:r>
      <w:r w:rsidRPr="00F35716">
        <w:t xml:space="preserve"> con los componentes del </w:t>
      </w:r>
      <w:r w:rsidR="002E3C76" w:rsidRPr="00F35716">
        <w:t>sector socia</w:t>
      </w:r>
      <w:r w:rsidRPr="00F35716">
        <w:t xml:space="preserve">l. En cambio, las campañas de 2016 y 2017 se centraron en el tema </w:t>
      </w:r>
      <w:r w:rsidR="002E3C76" w:rsidRPr="00F35716">
        <w:t xml:space="preserve">de </w:t>
      </w:r>
      <w:r w:rsidR="00801A38" w:rsidRPr="00F35716">
        <w:t>“</w:t>
      </w:r>
      <w:r w:rsidRPr="00F35716">
        <w:t>La violencia contra las mujeres en lugares públicos</w:t>
      </w:r>
      <w:r w:rsidR="00801A38" w:rsidRPr="00F35716">
        <w:t>”</w:t>
      </w:r>
      <w:r w:rsidRPr="00F35716">
        <w:t xml:space="preserve">. </w:t>
      </w:r>
      <w:r w:rsidR="002E3C76" w:rsidRPr="00F35716">
        <w:t>L</w:t>
      </w:r>
      <w:r w:rsidRPr="00F35716">
        <w:t>os resultados del primer y el segundo informe anual del Observatorio Nacional de Violencia contra la</w:t>
      </w:r>
      <w:r w:rsidR="002E3C76" w:rsidRPr="00F35716">
        <w:t>s</w:t>
      </w:r>
      <w:r w:rsidRPr="00F35716">
        <w:t xml:space="preserve"> Mujer</w:t>
      </w:r>
      <w:r w:rsidR="002E3C76" w:rsidRPr="00F35716">
        <w:t>es ilustran los</w:t>
      </w:r>
      <w:r w:rsidRPr="00F35716">
        <w:t xml:space="preserve"> altos niveles de violencia contra la</w:t>
      </w:r>
      <w:r w:rsidR="002E3C76" w:rsidRPr="00F35716">
        <w:t>s</w:t>
      </w:r>
      <w:r w:rsidRPr="00F35716">
        <w:t xml:space="preserve"> mujer</w:t>
      </w:r>
      <w:r w:rsidR="002E3C76" w:rsidRPr="00F35716">
        <w:t>es</w:t>
      </w:r>
      <w:r w:rsidRPr="00F35716">
        <w:t xml:space="preserve"> en lugares públicos </w:t>
      </w:r>
      <w:r w:rsidR="002E3C76" w:rsidRPr="00F35716">
        <w:t>y la diversidad de formas en que se manifiesta.</w:t>
      </w:r>
      <w:r w:rsidRPr="00F35716">
        <w:t xml:space="preserve"> </w:t>
      </w:r>
      <w:r w:rsidR="002E3C76" w:rsidRPr="00F35716">
        <w:t>L</w:t>
      </w:r>
      <w:r w:rsidRPr="00F35716">
        <w:t xml:space="preserve">a 15ª </w:t>
      </w:r>
      <w:r w:rsidR="002E3C76" w:rsidRPr="00F35716">
        <w:t>Campaña N</w:t>
      </w:r>
      <w:r w:rsidRPr="00F35716">
        <w:t xml:space="preserve">acional tuvo un carácter más cualitativo que las anteriores, pues se dirigió a grupos amplios. En concreto, se </w:t>
      </w:r>
      <w:r w:rsidR="002E3C76" w:rsidRPr="00F35716">
        <w:t>prestó más atención a la cuestión de</w:t>
      </w:r>
      <w:r w:rsidRPr="00F35716">
        <w:t xml:space="preserve"> la reducción de la violencia contra las mujeres desde el centro</w:t>
      </w:r>
      <w:r w:rsidR="00B86DF0" w:rsidRPr="00F35716">
        <w:t>,</w:t>
      </w:r>
      <w:r w:rsidRPr="00F35716">
        <w:t xml:space="preserve"> </w:t>
      </w:r>
      <w:r w:rsidR="00B86DF0" w:rsidRPr="00F35716">
        <w:t>a</w:t>
      </w:r>
      <w:r w:rsidRPr="00F35716">
        <w:t xml:space="preserve"> las </w:t>
      </w:r>
      <w:r w:rsidR="002E3C76" w:rsidRPr="00F35716">
        <w:t>regiones</w:t>
      </w:r>
      <w:r w:rsidRPr="00F35716">
        <w:t xml:space="preserve"> y</w:t>
      </w:r>
      <w:r w:rsidR="00B86DF0" w:rsidRPr="00F35716">
        <w:t xml:space="preserve"> hasta</w:t>
      </w:r>
      <w:r w:rsidRPr="00F35716">
        <w:t xml:space="preserve"> </w:t>
      </w:r>
      <w:r w:rsidR="001C7FE7" w:rsidRPr="00F35716">
        <w:t>las subdivisiones locales</w:t>
      </w:r>
      <w:r w:rsidRPr="00F35716">
        <w:t xml:space="preserve">. Entre sus resultados cabe mencionar la adopción de la Declaración de Rabat para Acabar con la Violencia contra las Mujeres en los Espacios Públicos, que </w:t>
      </w:r>
      <w:r w:rsidR="001C7FE7" w:rsidRPr="00F35716">
        <w:t xml:space="preserve">sentó </w:t>
      </w:r>
      <w:r w:rsidRPr="00F35716">
        <w:t xml:space="preserve">las bases para cooperar con </w:t>
      </w:r>
      <w:r w:rsidR="001C7FE7" w:rsidRPr="00F35716">
        <w:t>diversas partes</w:t>
      </w:r>
      <w:r w:rsidRPr="00F35716">
        <w:t xml:space="preserve"> a nivel nacional y </w:t>
      </w:r>
      <w:r w:rsidR="001C7FE7" w:rsidRPr="00F35716">
        <w:t>local</w:t>
      </w:r>
      <w:r w:rsidRPr="00F35716">
        <w:t xml:space="preserve">. Por último, la campaña 2018 se centró en el tema de la movilización colectiva </w:t>
      </w:r>
      <w:r w:rsidR="001C7FE7" w:rsidRPr="00F35716">
        <w:t xml:space="preserve">de la comunidad </w:t>
      </w:r>
      <w:r w:rsidRPr="00F35716">
        <w:t>para eliminar la violencia.</w:t>
      </w:r>
    </w:p>
    <w:p w14:paraId="32E9475A" w14:textId="714F40EB" w:rsidR="00EC3C86" w:rsidRPr="00F35716" w:rsidRDefault="001C7FE7" w:rsidP="00B3192A">
      <w:pPr>
        <w:pStyle w:val="SingleTxt"/>
        <w:numPr>
          <w:ilvl w:val="0"/>
          <w:numId w:val="8"/>
        </w:numPr>
        <w:ind w:left="1267" w:firstLine="0"/>
      </w:pPr>
      <w:r w:rsidRPr="00F35716">
        <w:t xml:space="preserve">El Gobierno también ha puesto en marcha </w:t>
      </w:r>
      <w:r w:rsidR="00EC3C86" w:rsidRPr="00F35716">
        <w:t xml:space="preserve">programas para </w:t>
      </w:r>
      <w:r w:rsidRPr="00F35716">
        <w:t xml:space="preserve">foros </w:t>
      </w:r>
      <w:r w:rsidR="00EC3C86" w:rsidRPr="00F35716">
        <w:t>y conferencias sobre enseñanzas religiosas que se ocupan de las mujeres y la familia y que rechazan todas las formas de violencia</w:t>
      </w:r>
      <w:r w:rsidRPr="00F35716">
        <w:t>. Estos programas se llevaron a cabo</w:t>
      </w:r>
      <w:r w:rsidR="00EC3C86" w:rsidRPr="00F35716">
        <w:t xml:space="preserve"> en todo el territorio nacional en coordinación con los consejos locales de ulemas. </w:t>
      </w:r>
      <w:r w:rsidRPr="00F35716">
        <w:t xml:space="preserve">En </w:t>
      </w:r>
      <w:r w:rsidR="00EC3C86" w:rsidRPr="00F35716">
        <w:t xml:space="preserve">2015 también se </w:t>
      </w:r>
      <w:r w:rsidRPr="00F35716">
        <w:t xml:space="preserve">celebraron </w:t>
      </w:r>
      <w:r w:rsidR="00EC3C86" w:rsidRPr="00F35716">
        <w:t>589.728</w:t>
      </w:r>
      <w:r w:rsidR="00830A87" w:rsidRPr="00F35716">
        <w:t> </w:t>
      </w:r>
      <w:r w:rsidR="00EC3C86" w:rsidRPr="00F35716">
        <w:t xml:space="preserve">cursos sobre el tema del rechazo de la violencia psicológica y </w:t>
      </w:r>
      <w:r w:rsidR="00EC3C86" w:rsidRPr="00F35716">
        <w:lastRenderedPageBreak/>
        <w:t>física contra</w:t>
      </w:r>
      <w:r w:rsidR="00830A87" w:rsidRPr="00F35716">
        <w:t> </w:t>
      </w:r>
      <w:r w:rsidR="00EC3C86" w:rsidRPr="00F35716">
        <w:t xml:space="preserve">las mujeres, </w:t>
      </w:r>
      <w:r w:rsidR="00950DD4" w:rsidRPr="00F35716">
        <w:t>impartidos por</w:t>
      </w:r>
      <w:r w:rsidR="00EC3C86" w:rsidRPr="00F35716">
        <w:t xml:space="preserve"> 5.280 predicadores y 863 predicadoras. Por</w:t>
      </w:r>
      <w:r w:rsidR="00830A87" w:rsidRPr="00F35716">
        <w:t> </w:t>
      </w:r>
      <w:r w:rsidR="00EC3C86" w:rsidRPr="00F35716">
        <w:t>otro lado, el sermón del viernes 30 de noviembre de 2018</w:t>
      </w:r>
      <w:r w:rsidR="00950DD4" w:rsidRPr="00F35716">
        <w:t>,</w:t>
      </w:r>
      <w:r w:rsidR="00EC3C86" w:rsidRPr="00F35716">
        <w:t xml:space="preserve"> sobre el tema de la lucha contra la discriminación y la violencia contra las mujeres</w:t>
      </w:r>
      <w:r w:rsidR="00950DD4" w:rsidRPr="00F35716">
        <w:t>,</w:t>
      </w:r>
      <w:r w:rsidR="00EC3C86" w:rsidRPr="00F35716">
        <w:t xml:space="preserve"> se pronunció en 24.500</w:t>
      </w:r>
      <w:r w:rsidR="00830A87" w:rsidRPr="00F35716">
        <w:t> </w:t>
      </w:r>
      <w:r w:rsidR="00EC3C86" w:rsidRPr="00F35716">
        <w:t>mezquitas de todo el territorio nacional.</w:t>
      </w:r>
    </w:p>
    <w:p w14:paraId="32E9475B" w14:textId="3E4419AB" w:rsidR="00EC3C86" w:rsidRPr="00F35716" w:rsidRDefault="00EC3C86" w:rsidP="00B3192A">
      <w:pPr>
        <w:pStyle w:val="SingleTxt"/>
        <w:numPr>
          <w:ilvl w:val="0"/>
          <w:numId w:val="8"/>
        </w:numPr>
        <w:ind w:left="1267" w:firstLine="0"/>
      </w:pPr>
      <w:r w:rsidRPr="00F35716">
        <w:t xml:space="preserve">El Ministerio de Justicia </w:t>
      </w:r>
      <w:r w:rsidR="00950DD4" w:rsidRPr="00F35716">
        <w:t xml:space="preserve">está </w:t>
      </w:r>
      <w:r w:rsidRPr="00F35716">
        <w:t>fortalec</w:t>
      </w:r>
      <w:r w:rsidR="00950DD4" w:rsidRPr="00F35716">
        <w:t>iendo</w:t>
      </w:r>
      <w:r w:rsidRPr="00F35716">
        <w:t xml:space="preserve"> las capacidades de los trabajadores en el </w:t>
      </w:r>
      <w:r w:rsidR="00950DD4" w:rsidRPr="00F35716">
        <w:t>ámbito</w:t>
      </w:r>
      <w:r w:rsidRPr="00F35716">
        <w:t xml:space="preserve"> de la lucha contra la violencia contra las mujeres, al incluir </w:t>
      </w:r>
      <w:r w:rsidR="00950DD4" w:rsidRPr="00F35716">
        <w:t>material sobre</w:t>
      </w:r>
      <w:r w:rsidRPr="00F35716">
        <w:t xml:space="preserve"> derechos humanos en los programas de formación básica para jueces. De 2012 a 2015 se </w:t>
      </w:r>
      <w:r w:rsidR="00950DD4" w:rsidRPr="00F35716">
        <w:t xml:space="preserve">capacitó a </w:t>
      </w:r>
      <w:r w:rsidRPr="00F35716">
        <w:t>852 a</w:t>
      </w:r>
      <w:r w:rsidR="00950DD4" w:rsidRPr="00F35716">
        <w:t>gregados</w:t>
      </w:r>
      <w:r w:rsidRPr="00F35716">
        <w:t xml:space="preserve"> judiciales en materia de derechos humanos e igualdad de género</w:t>
      </w:r>
      <w:r w:rsidR="00950DD4" w:rsidRPr="00F35716">
        <w:t>. También se impartieron</w:t>
      </w:r>
      <w:r w:rsidRPr="00F35716">
        <w:t xml:space="preserve"> programas </w:t>
      </w:r>
      <w:r w:rsidR="00950DD4" w:rsidRPr="00F35716">
        <w:t>de formación</w:t>
      </w:r>
      <w:r w:rsidRPr="00F35716">
        <w:t xml:space="preserve"> dirigidos a</w:t>
      </w:r>
      <w:r w:rsidR="00950DD4" w:rsidRPr="00F35716">
        <w:t xml:space="preserve"> otros funcionarios y miembros del personal,</w:t>
      </w:r>
      <w:r w:rsidRPr="00F35716">
        <w:t xml:space="preserve"> en los que participaron 1.523 empleados de las unidades de </w:t>
      </w:r>
      <w:r w:rsidR="00C71EEA" w:rsidRPr="00F35716">
        <w:t>asistencia</w:t>
      </w:r>
      <w:r w:rsidR="00950DD4" w:rsidRPr="00F35716">
        <w:t xml:space="preserve"> </w:t>
      </w:r>
      <w:r w:rsidR="00C71EEA" w:rsidRPr="00F35716">
        <w:t>para</w:t>
      </w:r>
      <w:r w:rsidRPr="00F35716">
        <w:t xml:space="preserve"> mujeres y niños de los tribunales y l</w:t>
      </w:r>
      <w:r w:rsidR="00950DD4" w:rsidRPr="00F35716">
        <w:t>a</w:t>
      </w:r>
      <w:r w:rsidRPr="00F35716">
        <w:t xml:space="preserve">s </w:t>
      </w:r>
      <w:r w:rsidR="00950DD4" w:rsidRPr="00F35716">
        <w:t>salas</w:t>
      </w:r>
      <w:r w:rsidRPr="00F35716">
        <w:t xml:space="preserve"> de justicia familiar. Por su parte, la Gendarmería Real </w:t>
      </w:r>
      <w:r w:rsidR="00950DD4" w:rsidRPr="00F35716">
        <w:t>administró</w:t>
      </w:r>
      <w:r w:rsidRPr="00F35716">
        <w:t xml:space="preserve"> un programa </w:t>
      </w:r>
      <w:r w:rsidR="00950DD4" w:rsidRPr="00F35716">
        <w:t>de formación</w:t>
      </w:r>
      <w:r w:rsidRPr="00F35716">
        <w:t xml:space="preserve"> </w:t>
      </w:r>
      <w:r w:rsidR="00950DD4" w:rsidRPr="00F35716">
        <w:t xml:space="preserve">destinado </w:t>
      </w:r>
      <w:r w:rsidR="00605009" w:rsidRPr="00F35716">
        <w:t xml:space="preserve">a </w:t>
      </w:r>
      <w:r w:rsidRPr="00F35716">
        <w:t xml:space="preserve">1.000 beneficiarios, el cual trató sobre la unificación de </w:t>
      </w:r>
      <w:r w:rsidR="00950DD4" w:rsidRPr="00F35716">
        <w:t>los procedimientos</w:t>
      </w:r>
      <w:r w:rsidRPr="00F35716">
        <w:t xml:space="preserve"> para atender a las mujeres víctimas de violencia</w:t>
      </w:r>
      <w:r w:rsidR="00950DD4" w:rsidRPr="00F35716">
        <w:t>. Se redactó</w:t>
      </w:r>
      <w:r w:rsidRPr="00F35716">
        <w:t xml:space="preserve"> un manual </w:t>
      </w:r>
      <w:r w:rsidR="00950DD4" w:rsidRPr="00F35716">
        <w:t xml:space="preserve">de procedimiento </w:t>
      </w:r>
      <w:r w:rsidRPr="00F35716">
        <w:t xml:space="preserve">para agentes de la policía judicial que se distribuyó a todos los centros y </w:t>
      </w:r>
      <w:r w:rsidR="00DA085F" w:rsidRPr="00F35716">
        <w:t>unidades</w:t>
      </w:r>
      <w:r w:rsidRPr="00F35716">
        <w:t xml:space="preserve"> de la Gendarmería Real. </w:t>
      </w:r>
    </w:p>
    <w:p w14:paraId="32E9475C" w14:textId="1586B07F" w:rsidR="00EC3C86" w:rsidRPr="00F35716" w:rsidRDefault="00EC3C86" w:rsidP="00B3192A">
      <w:pPr>
        <w:pStyle w:val="SingleTxt"/>
        <w:numPr>
          <w:ilvl w:val="0"/>
          <w:numId w:val="8"/>
        </w:numPr>
        <w:ind w:left="1267" w:firstLine="0"/>
      </w:pPr>
      <w:r w:rsidRPr="00F35716">
        <w:t xml:space="preserve">Entre 2009 y 2018 la Dirección General de Seguridad Nacional </w:t>
      </w:r>
      <w:r w:rsidR="00605009" w:rsidRPr="00F35716">
        <w:t>organizó</w:t>
      </w:r>
      <w:r w:rsidR="006B25BF" w:rsidRPr="00F35716">
        <w:t xml:space="preserve"> 55</w:t>
      </w:r>
      <w:r w:rsidR="00075FA3">
        <w:t> </w:t>
      </w:r>
      <w:r w:rsidR="006B25BF" w:rsidRPr="00F35716">
        <w:t>cursos de</w:t>
      </w:r>
      <w:r w:rsidRPr="00F35716">
        <w:t xml:space="preserve"> formación continua</w:t>
      </w:r>
      <w:r w:rsidR="006B25BF" w:rsidRPr="00F35716">
        <w:t xml:space="preserve"> para</w:t>
      </w:r>
      <w:r w:rsidRPr="00F35716">
        <w:t xml:space="preserve"> 1.029 profesionales. En ell</w:t>
      </w:r>
      <w:r w:rsidR="006B25BF" w:rsidRPr="00F35716">
        <w:t>o</w:t>
      </w:r>
      <w:r w:rsidRPr="00F35716">
        <w:t>s se habló de los enfoques jurídico y de derecho</w:t>
      </w:r>
      <w:r w:rsidR="006B25BF" w:rsidRPr="00F35716">
        <w:t>s humanos</w:t>
      </w:r>
      <w:r w:rsidRPr="00F35716">
        <w:t xml:space="preserve">, </w:t>
      </w:r>
      <w:r w:rsidR="006B25BF" w:rsidRPr="00F35716">
        <w:t xml:space="preserve">las </w:t>
      </w:r>
      <w:r w:rsidRPr="00F35716">
        <w:t xml:space="preserve">técnicas de intervención, el papel de la medicina forense en </w:t>
      </w:r>
      <w:r w:rsidR="006B25BF" w:rsidRPr="00F35716">
        <w:t>los</w:t>
      </w:r>
      <w:r w:rsidRPr="00F35716">
        <w:t xml:space="preserve"> casos de violencia contra las mujeres, </w:t>
      </w:r>
      <w:r w:rsidR="006B25BF" w:rsidRPr="00F35716">
        <w:t xml:space="preserve">las </w:t>
      </w:r>
      <w:r w:rsidRPr="00F35716">
        <w:t xml:space="preserve">técnicas de escucha y </w:t>
      </w:r>
      <w:r w:rsidR="006B25BF" w:rsidRPr="00F35716">
        <w:t>los últimos</w:t>
      </w:r>
      <w:r w:rsidRPr="00F35716">
        <w:t xml:space="preserve"> avance</w:t>
      </w:r>
      <w:r w:rsidR="006B25BF" w:rsidRPr="00F35716">
        <w:t xml:space="preserve">s en </w:t>
      </w:r>
      <w:r w:rsidRPr="00F35716">
        <w:t>el sistema</w:t>
      </w:r>
      <w:r w:rsidR="006B25BF" w:rsidRPr="00F35716">
        <w:t xml:space="preserve"> de información </w:t>
      </w:r>
      <w:r w:rsidRPr="00F35716">
        <w:t>sobre la violencia contra la mujer.</w:t>
      </w:r>
    </w:p>
    <w:p w14:paraId="32E9475D" w14:textId="0DE990DD" w:rsidR="00923F57" w:rsidRPr="00F35716" w:rsidRDefault="00EC3C86" w:rsidP="00385373">
      <w:pPr>
        <w:pStyle w:val="SingleTxt"/>
        <w:keepLines/>
        <w:numPr>
          <w:ilvl w:val="0"/>
          <w:numId w:val="8"/>
        </w:numPr>
        <w:ind w:left="1267" w:firstLine="0"/>
      </w:pPr>
      <w:r w:rsidRPr="00F35716">
        <w:t xml:space="preserve">El Ministerio de Justicia </w:t>
      </w:r>
      <w:r w:rsidR="006B25BF" w:rsidRPr="00F35716">
        <w:t xml:space="preserve">está </w:t>
      </w:r>
      <w:r w:rsidRPr="00F35716">
        <w:t>trabaja</w:t>
      </w:r>
      <w:r w:rsidR="006B25BF" w:rsidRPr="00F35716">
        <w:t>ndo</w:t>
      </w:r>
      <w:r w:rsidRPr="00F35716">
        <w:t xml:space="preserve"> para </w:t>
      </w:r>
      <w:r w:rsidR="006B25BF" w:rsidRPr="00F35716">
        <w:t xml:space="preserve">fortalecer </w:t>
      </w:r>
      <w:r w:rsidRPr="00F35716">
        <w:t xml:space="preserve">las capacidades de los profesionales de la justicia, incluidos jueces, funcionarios de la Secretaría Judicial, auxiliares judiciales y </w:t>
      </w:r>
      <w:r w:rsidR="006B25BF" w:rsidRPr="00F35716">
        <w:t xml:space="preserve">trabajadores </w:t>
      </w:r>
      <w:r w:rsidRPr="00F35716">
        <w:t xml:space="preserve">sociales, a través de programas de formación y jornadas de </w:t>
      </w:r>
      <w:r w:rsidR="006B25BF" w:rsidRPr="00F35716">
        <w:t>divulgación sobre</w:t>
      </w:r>
      <w:r w:rsidRPr="00F35716">
        <w:t xml:space="preserve"> la lucha contra la violencia contra las mujeres. </w:t>
      </w:r>
      <w:r w:rsidR="00BA0F79" w:rsidRPr="00F35716">
        <w:t xml:space="preserve">La Fiscalía ha trabajado para fortalecer las capacidades de los jueces en el ámbito de la protección de los derechos de las mujeres. </w:t>
      </w:r>
      <w:r w:rsidRPr="00F35716">
        <w:t xml:space="preserve">En aplicación </w:t>
      </w:r>
      <w:r w:rsidR="00492FEC" w:rsidRPr="00F35716">
        <w:t>del párrafo 17 de las observaciones finales,</w:t>
      </w:r>
      <w:r w:rsidRPr="00F35716">
        <w:t xml:space="preserve"> </w:t>
      </w:r>
      <w:r w:rsidR="006B25BF" w:rsidRPr="00F35716">
        <w:t xml:space="preserve">en el </w:t>
      </w:r>
      <w:r w:rsidRPr="00F35716">
        <w:t>que</w:t>
      </w:r>
      <w:r w:rsidR="006B25BF" w:rsidRPr="00F35716">
        <w:t xml:space="preserve"> se</w:t>
      </w:r>
      <w:r w:rsidRPr="00F35716">
        <w:t xml:space="preserve"> </w:t>
      </w:r>
      <w:r w:rsidR="00BA0F79" w:rsidRPr="00F35716">
        <w:t xml:space="preserve">recomendaba </w:t>
      </w:r>
      <w:r w:rsidRPr="00F35716">
        <w:t xml:space="preserve">intensificar las campañas de sensibilización y </w:t>
      </w:r>
      <w:r w:rsidR="007D4C65" w:rsidRPr="00F35716">
        <w:t xml:space="preserve">la </w:t>
      </w:r>
      <w:r w:rsidRPr="00F35716">
        <w:t xml:space="preserve">capacitación sobre la legislación </w:t>
      </w:r>
      <w:r w:rsidR="007D4C65" w:rsidRPr="00F35716">
        <w:t>recién adoptada</w:t>
      </w:r>
      <w:r w:rsidRPr="00F35716">
        <w:t xml:space="preserve"> </w:t>
      </w:r>
      <w:r w:rsidR="007D4C65" w:rsidRPr="00F35716">
        <w:t>dirigidas a</w:t>
      </w:r>
      <w:r w:rsidRPr="00F35716">
        <w:t xml:space="preserve"> </w:t>
      </w:r>
      <w:r w:rsidR="007D4C65" w:rsidRPr="00F35716">
        <w:t xml:space="preserve">abogados, </w:t>
      </w:r>
      <w:r w:rsidRPr="00F35716">
        <w:t xml:space="preserve">fiscales y jueces, se elaboró un estudio sobre la protección penal </w:t>
      </w:r>
      <w:r w:rsidR="001C7278" w:rsidRPr="00F35716">
        <w:t>de que</w:t>
      </w:r>
      <w:r w:rsidR="00075FA3">
        <w:t> </w:t>
      </w:r>
      <w:r w:rsidR="001C7278" w:rsidRPr="00F35716">
        <w:t>disponen</w:t>
      </w:r>
      <w:r w:rsidRPr="00F35716">
        <w:t xml:space="preserve"> las mujeres </w:t>
      </w:r>
      <w:r w:rsidR="001C7278" w:rsidRPr="00F35716">
        <w:t>en virtud</w:t>
      </w:r>
      <w:r w:rsidRPr="00F35716">
        <w:t xml:space="preserve"> de la Ley núm. 103</w:t>
      </w:r>
      <w:r w:rsidR="007D4C65" w:rsidRPr="00F35716">
        <w:t>-13</w:t>
      </w:r>
      <w:r w:rsidRPr="00F35716">
        <w:t xml:space="preserve"> (noviembre de 2018 en Rabat). </w:t>
      </w:r>
      <w:r w:rsidR="007D4C65" w:rsidRPr="00F35716">
        <w:t>La Fiscalía distribuyó a los fiscales de todos los tribunales</w:t>
      </w:r>
      <w:r w:rsidRPr="00F35716">
        <w:t xml:space="preserve"> la Circular núm.</w:t>
      </w:r>
      <w:r w:rsidR="00605009" w:rsidRPr="00F35716">
        <w:t> </w:t>
      </w:r>
      <w:r w:rsidRPr="00F35716">
        <w:t>31</w:t>
      </w:r>
      <w:r w:rsidR="007D4C65" w:rsidRPr="00F35716">
        <w:t xml:space="preserve">, de junio de </w:t>
      </w:r>
      <w:r w:rsidRPr="00F35716">
        <w:t>2018</w:t>
      </w:r>
      <w:r w:rsidR="007D4C65" w:rsidRPr="00F35716">
        <w:t>,</w:t>
      </w:r>
      <w:r w:rsidRPr="00F35716">
        <w:t xml:space="preserve"> referente a la </w:t>
      </w:r>
      <w:r w:rsidR="007D4C65" w:rsidRPr="00F35716">
        <w:t>aplicación</w:t>
      </w:r>
      <w:r w:rsidRPr="00F35716">
        <w:t xml:space="preserve"> de las nuevas disposiciones de la Ley núm. 103</w:t>
      </w:r>
      <w:r w:rsidR="00843FB0" w:rsidRPr="00F35716">
        <w:t>-13</w:t>
      </w:r>
      <w:r w:rsidRPr="00F35716">
        <w:t>.</w:t>
      </w:r>
    </w:p>
    <w:p w14:paraId="32E9475E" w14:textId="77777777" w:rsidR="00571F37" w:rsidRPr="00F35716" w:rsidRDefault="001037C7" w:rsidP="00571F37">
      <w:pPr>
        <w:pStyle w:val="SingleTxt"/>
        <w:tabs>
          <w:tab w:val="right" w:pos="1022"/>
        </w:tabs>
        <w:ind w:right="1260"/>
      </w:pPr>
      <w:r w:rsidRPr="00F35716">
        <w:rPr>
          <w:noProof/>
          <w:w w:val="100"/>
          <w:lang w:val="en-US" w:eastAsia="zh-CN"/>
        </w:rPr>
        <mc:AlternateContent>
          <mc:Choice Requires="wps">
            <w:drawing>
              <wp:anchor distT="4294967293" distB="4294967293" distL="114300" distR="114300" simplePos="0" relativeHeight="251657216" behindDoc="0" locked="0" layoutInCell="1" allowOverlap="1" wp14:anchorId="32E94761" wp14:editId="32E94762">
                <wp:simplePos x="0" y="0"/>
                <wp:positionH relativeFrom="column">
                  <wp:posOffset>2669540</wp:posOffset>
                </wp:positionH>
                <wp:positionV relativeFrom="paragraph">
                  <wp:posOffset>304799</wp:posOffset>
                </wp:positionV>
                <wp:extent cx="914400" cy="0"/>
                <wp:effectExtent l="0" t="0" r="19050" b="1905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5C32DD" id="Straight Connector 5"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" strokecolor="#010000" strokeweight=".25pt">
                <o:lock v:ext="edit" shapetype="f"/>
              </v:line>
            </w:pict>
          </mc:Fallback>
        </mc:AlternateContent>
      </w:r>
      <w:bookmarkStart w:id="70" w:name="EndPage"/>
      <w:bookmarkEnd w:id="70"/>
    </w:p>
    <w:sectPr w:rsidR="00571F37" w:rsidRPr="00F35716" w:rsidSect="00037E63">
      <w:endnotePr>
        <w:numFmt w:val="decimal"/>
      </w:endnotePr>
      <w:type w:val="continuous"/>
      <w:pgSz w:w="12240" w:h="15840" w:code="1"/>
      <w:pgMar w:top="1440" w:right="1195" w:bottom="1152" w:left="1195" w:header="432" w:footer="504" w:gutter="0"/>
      <w:cols w:space="708"/>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5-01T11:23:00Z" w:initials="Start">
    <w:p w14:paraId="2CF39296" w14:textId="77777777" w:rsidR="00F35716" w:rsidRPr="00E52AAD" w:rsidRDefault="00F35716">
      <w:pPr>
        <w:pStyle w:val="CommentText"/>
        <w:rPr>
          <w:lang w:val="en-US"/>
        </w:rPr>
      </w:pPr>
      <w:r>
        <w:rPr>
          <w:rStyle w:val="CommentReference"/>
        </w:rPr>
        <w:annotationRef/>
      </w:r>
      <w:r w:rsidRPr="00E52AAD">
        <w:rPr>
          <w:lang w:val="en-US"/>
        </w:rPr>
        <w:t>&lt;&lt;ODS JOB NO&gt;&gt;N2004357S&lt;&lt;ODS JOB NO&gt;&gt;</w:t>
      </w:r>
    </w:p>
    <w:p w14:paraId="3F244EEF" w14:textId="77777777" w:rsidR="00F35716" w:rsidRPr="00E52AAD" w:rsidRDefault="00F35716">
      <w:pPr>
        <w:pStyle w:val="CommentText"/>
        <w:rPr>
          <w:lang w:val="en-US"/>
        </w:rPr>
      </w:pPr>
      <w:r w:rsidRPr="00E52AAD">
        <w:rPr>
          <w:lang w:val="en-US"/>
        </w:rPr>
        <w:t>&lt;&lt;ODS DOC SYMBOL1&gt;&gt;CEDAW/C/MAR/5-6&lt;&lt;ODS DOC SYMBOL1&gt;&gt;</w:t>
      </w:r>
    </w:p>
    <w:p w14:paraId="0834DB4E" w14:textId="6EF4FCEA" w:rsidR="00F35716" w:rsidRPr="00E52AAD" w:rsidRDefault="00F35716">
      <w:pPr>
        <w:pStyle w:val="CommentText"/>
        <w:rPr>
          <w:lang w:val="en-US"/>
        </w:rPr>
      </w:pPr>
      <w:r w:rsidRPr="00E52AAD">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34DB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34DB4E" w16cid:durableId="225685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7B114" w14:textId="77777777" w:rsidR="00F35716" w:rsidRDefault="00F35716" w:rsidP="008F1E8F">
      <w:pPr>
        <w:spacing w:line="240" w:lineRule="auto"/>
      </w:pPr>
      <w:r>
        <w:separator/>
      </w:r>
    </w:p>
  </w:endnote>
  <w:endnote w:type="continuationSeparator" w:id="0">
    <w:p w14:paraId="00A2D7F9" w14:textId="77777777" w:rsidR="00F35716" w:rsidRDefault="00F35716"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kkal Majalla">
    <w:altName w:val="Times New Roman"/>
    <w:charset w:val="B2"/>
    <w:family w:val="auto"/>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rge tawagan">
    <w:altName w:val="Times New Roman"/>
    <w:panose1 w:val="00000000000000000000"/>
    <w:charset w:val="00"/>
    <w:family w:val="roman"/>
    <w:notTrueType/>
    <w:pitch w:val="default"/>
    <w:sig w:usb0="00000003" w:usb1="00000000" w:usb2="00000000" w:usb3="00000000" w:csb0="00000001" w:csb1="00000000"/>
  </w:font>
  <w:font w:name="Helvetica Neue">
    <w:panose1 w:val="00000000000000000000"/>
    <w:charset w:val="01"/>
    <w:family w:val="modern"/>
    <w:notTrueType/>
    <w:pitch w:val="variable"/>
    <w:sig w:usb0="80000067"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Arabic Transparent">
    <w:panose1 w:val="020B0604020202020204"/>
    <w:charset w:val="00"/>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F35716" w14:paraId="32E94774" w14:textId="77777777" w:rsidTr="008D21BB">
      <w:tc>
        <w:tcPr>
          <w:tcW w:w="5028" w:type="dxa"/>
        </w:tcPr>
        <w:p w14:paraId="32E94772" w14:textId="09BD0D5A" w:rsidR="00F35716" w:rsidRPr="008D21BB" w:rsidRDefault="00F35716" w:rsidP="008D21BB">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C7262">
            <w:rPr>
              <w:b w:val="0"/>
              <w:color w:val="000000"/>
              <w:w w:val="103"/>
              <w:sz w:val="14"/>
            </w:rPr>
            <w:t>20-02608</w:t>
          </w:r>
          <w:r>
            <w:rPr>
              <w:b w:val="0"/>
              <w:color w:val="000000"/>
              <w:w w:val="103"/>
              <w:sz w:val="14"/>
            </w:rPr>
            <w:fldChar w:fldCharType="end"/>
          </w:r>
        </w:p>
      </w:tc>
      <w:tc>
        <w:tcPr>
          <w:tcW w:w="5028" w:type="dxa"/>
        </w:tcPr>
        <w:p w14:paraId="32E94773" w14:textId="32414E76" w:rsidR="00F35716" w:rsidRPr="00E52AAD" w:rsidRDefault="00F35716" w:rsidP="008D21BB">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rPr>
            <w:t>5</w:t>
          </w:r>
          <w:r>
            <w:rPr>
              <w:color w:val="000000"/>
              <w:w w:val="103"/>
            </w:rPr>
            <w:fldChar w:fldCharType="end"/>
          </w:r>
        </w:p>
      </w:tc>
    </w:tr>
  </w:tbl>
  <w:p w14:paraId="32E94775" w14:textId="77777777" w:rsidR="00F35716" w:rsidRPr="008D21BB" w:rsidRDefault="00F35716" w:rsidP="008D2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F35716" w14:paraId="32E94778" w14:textId="77777777" w:rsidTr="008D21BB">
      <w:tc>
        <w:tcPr>
          <w:tcW w:w="5028" w:type="dxa"/>
        </w:tcPr>
        <w:p w14:paraId="32E94776" w14:textId="18659A13" w:rsidR="00F35716" w:rsidRPr="00E52AAD" w:rsidRDefault="00F35716" w:rsidP="008D21BB">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rPr>
            <w:t>11</w:t>
          </w:r>
          <w:r>
            <w:rPr>
              <w:color w:val="000000"/>
              <w:w w:val="103"/>
            </w:rPr>
            <w:fldChar w:fldCharType="end"/>
          </w:r>
        </w:p>
      </w:tc>
      <w:tc>
        <w:tcPr>
          <w:tcW w:w="5028" w:type="dxa"/>
        </w:tcPr>
        <w:p w14:paraId="32E94777" w14:textId="42A22471" w:rsidR="00F35716" w:rsidRPr="008D21BB" w:rsidRDefault="00F35716" w:rsidP="008D21BB">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C7262">
            <w:rPr>
              <w:b w:val="0"/>
              <w:color w:val="000000"/>
              <w:w w:val="103"/>
              <w:sz w:val="14"/>
            </w:rPr>
            <w:t>20-02608</w:t>
          </w:r>
          <w:r>
            <w:rPr>
              <w:b w:val="0"/>
              <w:color w:val="000000"/>
              <w:w w:val="103"/>
              <w:sz w:val="14"/>
            </w:rPr>
            <w:fldChar w:fldCharType="end"/>
          </w:r>
        </w:p>
      </w:tc>
    </w:tr>
  </w:tbl>
  <w:p w14:paraId="32E94779" w14:textId="77777777" w:rsidR="00F35716" w:rsidRPr="008D21BB" w:rsidRDefault="00F35716" w:rsidP="008D2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94787" w14:textId="77777777" w:rsidR="00F35716" w:rsidRPr="008D21BB" w:rsidRDefault="00F35716" w:rsidP="008D21BB">
    <w:pPr>
      <w:pStyle w:val="Footer"/>
      <w:spacing w:line="120" w:lineRule="exact"/>
      <w:rPr>
        <w:b w:val="0"/>
        <w:sz w:val="10"/>
      </w:rPr>
    </w:pPr>
    <w:r>
      <w:rPr>
        <w:lang w:eastAsia="zh-CN"/>
      </w:rPr>
      <w:drawing>
        <wp:anchor distT="0" distB="0" distL="114300" distR="114300" simplePos="0" relativeHeight="251659264" behindDoc="0" locked="0" layoutInCell="1" allowOverlap="1" wp14:anchorId="32E9478F" wp14:editId="32E94790">
          <wp:simplePos x="0" y="0"/>
          <wp:positionH relativeFrom="column">
            <wp:posOffset>5556250</wp:posOffset>
          </wp:positionH>
          <wp:positionV relativeFrom="paragraph">
            <wp:posOffset>-287020</wp:posOffset>
          </wp:positionV>
          <wp:extent cx="694690" cy="694690"/>
          <wp:effectExtent l="0" t="0" r="0" b="0"/>
          <wp:wrapNone/>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3830"/>
      <w:gridCol w:w="5028"/>
    </w:tblGrid>
    <w:tr w:rsidR="00F35716" w14:paraId="32E9478B" w14:textId="77777777" w:rsidTr="008D21BB">
      <w:tc>
        <w:tcPr>
          <w:tcW w:w="3830" w:type="dxa"/>
        </w:tcPr>
        <w:p w14:paraId="32E94788" w14:textId="392CA258" w:rsidR="00F35716" w:rsidRDefault="00F35716" w:rsidP="008D21BB">
          <w:pPr>
            <w:pStyle w:val="ReleaseDate"/>
          </w:pPr>
          <w:r>
            <w:t>20-02608X (S)</w:t>
          </w:r>
          <w:r w:rsidRPr="00397EF1">
            <w:t xml:space="preserve"> </w:t>
          </w:r>
        </w:p>
        <w:p w14:paraId="32E94789" w14:textId="77777777" w:rsidR="00F35716" w:rsidRPr="008D21BB" w:rsidRDefault="00F35716" w:rsidP="008D21BB">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*2002608*</w:t>
          </w:r>
        </w:p>
      </w:tc>
      <w:tc>
        <w:tcPr>
          <w:tcW w:w="5028" w:type="dxa"/>
        </w:tcPr>
        <w:p w14:paraId="32E9478A" w14:textId="77777777" w:rsidR="00F35716" w:rsidRDefault="00F35716" w:rsidP="008D21BB">
          <w:pPr>
            <w:pStyle w:val="Footer"/>
            <w:jc w:val="right"/>
            <w:rPr>
              <w:b w:val="0"/>
              <w:sz w:val="20"/>
            </w:rPr>
          </w:pPr>
          <w:r>
            <w:rPr>
              <w:b w:val="0"/>
              <w:sz w:val="20"/>
              <w:lang w:eastAsia="zh-CN"/>
            </w:rPr>
            <w:drawing>
              <wp:inline distT="0" distB="0" distL="0" distR="0" wp14:anchorId="32E94791" wp14:editId="32E94792">
                <wp:extent cx="1052830" cy="22352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2830" cy="223520"/>
                        </a:xfrm>
                        <a:prstGeom prst="rect">
                          <a:avLst/>
                        </a:prstGeom>
                        <a:noFill/>
                        <a:ln>
                          <a:noFill/>
                        </a:ln>
                      </pic:spPr>
                    </pic:pic>
                  </a:graphicData>
                </a:graphic>
              </wp:inline>
            </w:drawing>
          </w:r>
        </w:p>
      </w:tc>
    </w:tr>
  </w:tbl>
  <w:p w14:paraId="32E9478C" w14:textId="77777777" w:rsidR="00F35716" w:rsidRPr="008D21BB" w:rsidRDefault="00F35716" w:rsidP="008D21B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8FDDA" w14:textId="77777777" w:rsidR="00F35716" w:rsidRPr="00E52AAD" w:rsidRDefault="00F35716" w:rsidP="00E52AAD">
      <w:pPr>
        <w:pStyle w:val="Footer"/>
        <w:spacing w:after="80"/>
        <w:ind w:left="792"/>
        <w:rPr>
          <w:sz w:val="16"/>
        </w:rPr>
      </w:pPr>
      <w:r w:rsidRPr="00E52AAD">
        <w:rPr>
          <w:sz w:val="16"/>
        </w:rPr>
        <w:t>__________________</w:t>
      </w:r>
    </w:p>
  </w:footnote>
  <w:footnote w:type="continuationSeparator" w:id="0">
    <w:p w14:paraId="5B149C49" w14:textId="77777777" w:rsidR="00F35716" w:rsidRPr="00E52AAD" w:rsidRDefault="00F35716" w:rsidP="00E52AAD">
      <w:pPr>
        <w:pStyle w:val="Footer"/>
        <w:spacing w:after="80"/>
        <w:ind w:left="792"/>
        <w:rPr>
          <w:sz w:val="16"/>
        </w:rPr>
      </w:pPr>
      <w:r w:rsidRPr="00E52AAD">
        <w:rPr>
          <w:sz w:val="16"/>
        </w:rPr>
        <w:t>__________________</w:t>
      </w:r>
    </w:p>
  </w:footnote>
  <w:footnote w:id="1">
    <w:p w14:paraId="32E94793" w14:textId="17AA514D"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Informe nacional sobre Beijing+25.</w:t>
      </w:r>
    </w:p>
  </w:footnote>
  <w:footnote w:id="2">
    <w:p w14:paraId="32E94794" w14:textId="7777777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Preámbulo de la Constitución de 2001 (anexo 1).</w:t>
      </w:r>
    </w:p>
  </w:footnote>
  <w:footnote w:id="3">
    <w:p w14:paraId="32E94795" w14:textId="7777777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Preámbulo de la Constitución (anexo 1).</w:t>
      </w:r>
    </w:p>
  </w:footnote>
  <w:footnote w:id="4">
    <w:p w14:paraId="32E94796" w14:textId="7777777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Artículo 19 de la Constitución (anexo 1).</w:t>
      </w:r>
    </w:p>
  </w:footnote>
  <w:footnote w:id="5">
    <w:p w14:paraId="32E94797" w14:textId="7BFDC38C"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Boletín Oficial núm. 6387 (anexo 2).</w:t>
      </w:r>
    </w:p>
  </w:footnote>
  <w:footnote w:id="6">
    <w:p w14:paraId="22526ACB" w14:textId="7777777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Los documentos para la retirada de las reservas se depositaron el 8 de abril de 2011 (anexo 3).</w:t>
      </w:r>
    </w:p>
  </w:footnote>
  <w:footnote w:id="7">
    <w:p w14:paraId="32E94799" w14:textId="46F8ABAD"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El levantamiento de estas reservas entró en vigor el 8 de abril de 2011, y su retirada se publicó en el Boletín Oficial del Reino núm. 5974 (septiembre de 2011) (anexo 3).</w:t>
      </w:r>
    </w:p>
  </w:footnote>
  <w:footnote w:id="8">
    <w:p w14:paraId="32E9479A" w14:textId="416E0782"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Preámbulo de la Constitución y artículos 6, 14, 15, 19, 31, 32, 115, 154 y 164 (anexo 1).</w:t>
      </w:r>
    </w:p>
  </w:footnote>
  <w:footnote w:id="9">
    <w:p w14:paraId="32E9479B" w14:textId="043D179A"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Preámbulo y artículos 9, 12, 36, 40, 152, 153, 154, 156, 159, 162, 172, 179, 183, 346, 361, 472, 484 y 486 (anexo 4).</w:t>
      </w:r>
    </w:p>
  </w:footnote>
  <w:footnote w:id="10">
    <w:p w14:paraId="32E9479C" w14:textId="54A0FA16"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Véase el artículo 4 del informe.</w:t>
      </w:r>
    </w:p>
  </w:footnote>
  <w:footnote w:id="11">
    <w:p w14:paraId="11CF2E47" w14:textId="01E348DF"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El artículo 431 arriba señalado ha sido modificado mediante la Ley núm. 103-13, artículo 2 (anexo</w:t>
      </w:r>
      <w:r>
        <w:rPr>
          <w:spacing w:val="4"/>
          <w:w w:val="103"/>
          <w:szCs w:val="17"/>
          <w:lang w:val="es-ES_tradnl"/>
        </w:rPr>
        <w:t> </w:t>
      </w:r>
      <w:r w:rsidRPr="00C108BE">
        <w:rPr>
          <w:spacing w:val="4"/>
          <w:w w:val="103"/>
          <w:szCs w:val="17"/>
          <w:lang w:val="es-ES_tradnl"/>
        </w:rPr>
        <w:t>5).</w:t>
      </w:r>
    </w:p>
  </w:footnote>
  <w:footnote w:id="12">
    <w:p w14:paraId="32E9479E" w14:textId="4CCA02CF"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 xml:space="preserve">Artículos 494, 495 y 496 del Código Penal modificados en virtud del </w:t>
      </w:r>
      <w:r w:rsidRPr="00C108BE">
        <w:rPr>
          <w:i/>
          <w:spacing w:val="4"/>
          <w:w w:val="103"/>
          <w:szCs w:val="17"/>
          <w:lang w:val="es-ES_tradnl"/>
        </w:rPr>
        <w:t>Dahir</w:t>
      </w:r>
      <w:r w:rsidRPr="00C108BE">
        <w:rPr>
          <w:spacing w:val="4"/>
          <w:w w:val="103"/>
          <w:szCs w:val="17"/>
          <w:lang w:val="es-ES_tradnl"/>
        </w:rPr>
        <w:t xml:space="preserve"> núm. 71-13-1 </w:t>
      </w:r>
      <w:r>
        <w:rPr>
          <w:spacing w:val="4"/>
          <w:w w:val="103"/>
          <w:szCs w:val="17"/>
          <w:lang w:val="es-ES_tradnl"/>
        </w:rPr>
        <w:br/>
      </w:r>
      <w:r w:rsidRPr="00C108BE">
        <w:rPr>
          <w:spacing w:val="4"/>
          <w:w w:val="103"/>
          <w:szCs w:val="17"/>
          <w:lang w:val="es-ES_tradnl"/>
        </w:rPr>
        <w:t>(julio de 2013) de aplicación de la Ley núm. 92-13 (anexo 6).</w:t>
      </w:r>
    </w:p>
  </w:footnote>
  <w:footnote w:id="13">
    <w:p w14:paraId="51217457" w14:textId="7777777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Véase el documento básico común (anexo 26).</w:t>
      </w:r>
    </w:p>
  </w:footnote>
  <w:footnote w:id="14">
    <w:p w14:paraId="32E947A0" w14:textId="3527A596"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Ley núm. 25-14-1 (marzo de 2014) de aplicación de la Ley núm. 146-12 relativa a la aprobación del Convenio Europeo sobre el Ejercicio de los Derechos de los Niños, firmado el 25 de enero de 1996, y Ley núm. 11-14-1 (marzo de 2014) de aplicación de la Ley núm. 144-12 relativa a la aprobación del Convenio núm. 132 relativo a las Vacaciones Anuales Pagadas (Revisado), aprobado en Ginebra en junio de 1970.</w:t>
      </w:r>
    </w:p>
  </w:footnote>
  <w:footnote w:id="15">
    <w:p w14:paraId="32E947A1" w14:textId="63F0019F"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Ley núm. 86-14-1 (mayo de 2014) de aplicación de la Ley núm. 147-12 relativa a la aprobación del Convenio del Consejo de Europa sobre las Relaciones Personales del Menor, firmado en Estrasburgo el 15 de mayo de 2003.</w:t>
      </w:r>
    </w:p>
  </w:footnote>
  <w:footnote w:id="16">
    <w:p w14:paraId="32E947A2" w14:textId="097B1C10"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Ley núm. 87-14-1 (mayo de 2014) de aplicación de la Ley núm. 148-12 relativa al Convenio del Consejo de Europa para la Protección de los Niños contra la Explotación y el Abuso Sexual, firmado en Lanzarote en octubre de 2007.</w:t>
      </w:r>
    </w:p>
  </w:footnote>
  <w:footnote w:id="17">
    <w:p w14:paraId="32E947A3" w14:textId="665F51D0"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La creación de este órgano ayudará a institucionalizar los mecanismos de coordinación entre quienes se dedican a luchar contra la violencia contra las mujeres, garantizará la comunicación y coordinación entre las distintas intervenciones de lucha contra la violencia contra las mujeres y contribuirá a establecer mecanismos encaminados a mejorar la eficacia de las unidades de asistencia a nivel nacional, además de otras autoridades pertinentes dedicadas al fortalecimiento de las alianzas y de la cooperación, la presentación de propuestas y la preparación de informes.</w:t>
      </w:r>
    </w:p>
  </w:footnote>
  <w:footnote w:id="18">
    <w:p w14:paraId="32E947A4" w14:textId="59DD6BC3"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Ley núm. 103-13, artículos 11 y 12 (véase el anexo 5).</w:t>
      </w:r>
    </w:p>
  </w:footnote>
  <w:footnote w:id="19">
    <w:p w14:paraId="32E947A5" w14:textId="2ADD90F9"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 xml:space="preserve">En aplicación de la Ley núm. 79-14 relativa a la Autoridad para la Paridad y la Lucha contra </w:t>
      </w:r>
      <w:r w:rsidRPr="00C108BE">
        <w:rPr>
          <w:spacing w:val="4"/>
          <w:w w:val="103"/>
          <w:szCs w:val="17"/>
          <w:lang w:val="es-ES_tradnl"/>
        </w:rPr>
        <w:br/>
        <w:t>Todas las Formas de Discriminación (anexo 26).</w:t>
      </w:r>
    </w:p>
  </w:footnote>
  <w:footnote w:id="20">
    <w:p w14:paraId="32E947A6" w14:textId="7777777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Estereotipos de género en los anuncios publicitarios (anexo 7).</w:t>
      </w:r>
    </w:p>
  </w:footnote>
  <w:footnote w:id="21">
    <w:p w14:paraId="32E947A7" w14:textId="12EC22BB"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Artículo 44 de la Ley núm. 14-16 relativa a la Institución del Mediador del Reino (anexo 8).</w:t>
      </w:r>
    </w:p>
  </w:footnote>
  <w:footnote w:id="22">
    <w:p w14:paraId="32E947A8" w14:textId="07FD2266"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Artículo 14 de la Ley núm. 14-16 relativa a la Institución del Mediador del Reino (anexo 8).</w:t>
      </w:r>
    </w:p>
  </w:footnote>
  <w:footnote w:id="23">
    <w:p w14:paraId="32E947A9" w14:textId="22370973"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Aprobado por el Consejo de Gobierno en junio de 2013.</w:t>
      </w:r>
    </w:p>
  </w:footnote>
  <w:footnote w:id="24">
    <w:p w14:paraId="32E947AA" w14:textId="3055198C"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Establecido en virtud del Decreto núm. 2-13-495, de julio de 2013, se le asignaron las siguientes tareas:</w:t>
      </w:r>
    </w:p>
    <w:p w14:paraId="32E947AB" w14:textId="1496AB2E"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lang w:val="es-ES_tradnl"/>
        </w:rPr>
        <w:sym w:font="Wingdings" w:char="F09F"/>
      </w:r>
      <w:r w:rsidRPr="00C108BE">
        <w:rPr>
          <w:spacing w:val="4"/>
          <w:w w:val="103"/>
          <w:szCs w:val="17"/>
          <w:lang w:val="es-ES_tradnl"/>
        </w:rPr>
        <w:tab/>
        <w:t>Alentar a diversas autoridades públicas a adoptar las medidas necesarias para ejecutar el Plan Gubernamental para la Igualdad;</w:t>
      </w:r>
    </w:p>
    <w:p w14:paraId="32E947AC" w14:textId="335EF284"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lang w:val="es-ES_tradnl"/>
        </w:rPr>
        <w:sym w:font="Wingdings" w:char="F09F"/>
      </w:r>
      <w:r w:rsidRPr="00C108BE">
        <w:rPr>
          <w:spacing w:val="4"/>
          <w:w w:val="103"/>
          <w:szCs w:val="17"/>
          <w:lang w:val="es-ES_tradnl"/>
        </w:rPr>
        <w:tab/>
        <w:t>Llevar a cabo las actividades de coordinación y seguimiento interministeriales para promover los derechos de la mujer;</w:t>
      </w:r>
    </w:p>
    <w:p w14:paraId="32E947AD" w14:textId="2FC84AEA"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lang w:val="es-ES_tradnl"/>
        </w:rPr>
        <w:sym w:font="Wingdings" w:char="F09F"/>
      </w:r>
      <w:r w:rsidRPr="00C108BE">
        <w:rPr>
          <w:spacing w:val="4"/>
          <w:w w:val="103"/>
          <w:szCs w:val="17"/>
          <w:lang w:val="es-ES_tradnl"/>
        </w:rPr>
        <w:tab/>
        <w:t>Supervisar la aplicación de los principios y programas del Plan por parte de los sectores pertinentes;</w:t>
      </w:r>
    </w:p>
    <w:p w14:paraId="32E947AE" w14:textId="4B979F3D"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lang w:val="es-ES_tradnl"/>
        </w:rPr>
        <w:sym w:font="Wingdings" w:char="F09F"/>
      </w:r>
      <w:r w:rsidRPr="00C108BE">
        <w:rPr>
          <w:spacing w:val="4"/>
          <w:w w:val="103"/>
          <w:szCs w:val="17"/>
          <w:lang w:val="es-ES_tradnl"/>
        </w:rPr>
        <w:tab/>
        <w:t>Proponer medidas legislativas y reglamentarias para aplicar las disposiciones del Plan relacionadas con la inculcación de los principios de igualdad y paridad de conformidad con el artículo 19 de la Constitución;</w:t>
      </w:r>
    </w:p>
    <w:p w14:paraId="32E947AF" w14:textId="589AFD19"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lang w:val="es-ES_tradnl"/>
        </w:rPr>
        <w:sym w:font="Wingdings" w:char="F09F"/>
      </w:r>
      <w:r w:rsidRPr="00C108BE">
        <w:rPr>
          <w:spacing w:val="4"/>
          <w:w w:val="103"/>
          <w:szCs w:val="17"/>
          <w:lang w:val="es-ES_tradnl"/>
        </w:rPr>
        <w:tab/>
        <w:t>Apoyar el proceso de consulta con las organizaciones del sector privado y las asociaciones de la sociedad civil y promover la divulgación entre ellas en lo que respecta a las directrices para fomentar los derechos de las mujeres y la igualdad.</w:t>
      </w:r>
    </w:p>
  </w:footnote>
  <w:footnote w:id="25">
    <w:p w14:paraId="32E947B0" w14:textId="7777777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Se le asignaron las siguientes tareas:</w:t>
      </w:r>
    </w:p>
    <w:p w14:paraId="32E947B1" w14:textId="16BBD581"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t>-</w:t>
      </w:r>
      <w:r w:rsidRPr="00C108BE">
        <w:rPr>
          <w:spacing w:val="4"/>
          <w:w w:val="103"/>
          <w:szCs w:val="17"/>
          <w:lang w:val="es-ES_tradnl"/>
        </w:rPr>
        <w:tab/>
        <w:t>Recopilar y proporcionar todos los datos y estadísticas necesarios para ayudar al Comité Ministerial a vigilar la ejecución del Plan Gubernamental para la Igualdad;</w:t>
      </w:r>
    </w:p>
    <w:p w14:paraId="32E947B2" w14:textId="28D012F5"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t>-</w:t>
      </w:r>
      <w:r w:rsidRPr="00C108BE">
        <w:rPr>
          <w:spacing w:val="4"/>
          <w:w w:val="103"/>
          <w:szCs w:val="17"/>
          <w:lang w:val="es-ES_tradnl"/>
        </w:rPr>
        <w:tab/>
        <w:t>Preparar resoluciones y recomendaciones y presentarlas al Comité Ministerial;</w:t>
      </w:r>
    </w:p>
    <w:p w14:paraId="32E947B3" w14:textId="1C636854"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rtl/>
          <w:lang w:val="es-ES_tradnl"/>
        </w:rPr>
      </w:pPr>
      <w:r w:rsidRPr="00C108BE">
        <w:rPr>
          <w:spacing w:val="4"/>
          <w:w w:val="103"/>
          <w:szCs w:val="17"/>
          <w:lang w:val="es-ES_tradnl"/>
        </w:rPr>
        <w:tab/>
        <w:t>-</w:t>
      </w:r>
      <w:r w:rsidRPr="00C108BE">
        <w:rPr>
          <w:spacing w:val="4"/>
          <w:w w:val="103"/>
          <w:szCs w:val="17"/>
          <w:lang w:val="es-ES_tradnl"/>
        </w:rPr>
        <w:tab/>
        <w:t>Ampliar los proyectos de informes periódicos preparados por el ministerio competente con información precisa sobre los resultados y los logros del plan basándose en indicadores específicos, y presentarlos al Comité Ministerial para su aprobación.</w:t>
      </w:r>
    </w:p>
  </w:footnote>
  <w:footnote w:id="26">
    <w:p w14:paraId="32E947B4" w14:textId="136226E0"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Objetivo 1.7: incorporar la perspectiva de género en los gobiernos locales, y objetivo 2.7: promover la integración de las cuestiones de género en los planes de desarrollo regional y local y los programas de acción colectiva, así como iniciativas de gobiernos locales relacionadas con el plan ICRAM 2) (anexo 28).</w:t>
      </w:r>
    </w:p>
  </w:footnote>
  <w:footnote w:id="27">
    <w:p w14:paraId="32E947B5" w14:textId="40A5C486"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Plan de Acción Nacional en materia de Democracia y Derechos Humanos (anexo 29).</w:t>
      </w:r>
    </w:p>
  </w:footnote>
  <w:footnote w:id="28">
    <w:p w14:paraId="32E947B6" w14:textId="2D78CFBA"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Ministerio de Justicia, Ministerio de Salud, Dirección de Seguridad Nacional y Gendarmería Real.</w:t>
      </w:r>
    </w:p>
  </w:footnote>
  <w:footnote w:id="29">
    <w:p w14:paraId="32E947B7" w14:textId="7777777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Ministerio de Comunicación e Instituto Superior de Información y Comunicación.</w:t>
      </w:r>
    </w:p>
  </w:footnote>
  <w:footnote w:id="30">
    <w:p w14:paraId="6C6A15D9" w14:textId="1B140A9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Artículo 14: El derecho de petición en materia de legislación. Artículo 15: El derecho de petición a las autoridades públicas. Artículo 139: Los consejos regionales y otras autoridades locales de gobierno establecerán mecanismos de diálogo y consulta a fin de facilitar que los ciudadanos, ciudadanas y asociaciones contribuyan a la preparación y el seguimiento de los programas de desarrollo.</w:t>
      </w:r>
    </w:p>
  </w:footnote>
  <w:footnote w:id="31">
    <w:p w14:paraId="32E947BA" w14:textId="645C6759"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Ley Orgánica núm. 44-14 sobre las condiciones para ejercer el derecho de presentar peticiones a las autoridades públicas (Boletín Oficial núm. 6492, agosto de 2016).</w:t>
      </w:r>
    </w:p>
    <w:p w14:paraId="32E947BB" w14:textId="3441DBC4"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lang w:val="es-ES_tradnl"/>
        </w:rPr>
        <w:tab/>
        <w:t>Ley Orgánica núm. 64-14 sobre las condiciones para ejercer el derecho de presentación de propuestas legislativas.</w:t>
      </w:r>
    </w:p>
  </w:footnote>
  <w:footnote w:id="32">
    <w:p w14:paraId="32E947BC" w14:textId="7CDAB05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 xml:space="preserve">La ley distingue entre las peticiones dirigidas a las autoridades públicas (Ley Orgánica </w:t>
      </w:r>
      <w:r>
        <w:rPr>
          <w:spacing w:val="4"/>
          <w:w w:val="103"/>
          <w:szCs w:val="17"/>
          <w:lang w:val="es-ES_tradnl"/>
        </w:rPr>
        <w:br/>
      </w:r>
      <w:r w:rsidRPr="00C108BE">
        <w:rPr>
          <w:spacing w:val="4"/>
          <w:w w:val="103"/>
          <w:szCs w:val="17"/>
          <w:lang w:val="es-ES_tradnl"/>
        </w:rPr>
        <w:t>núm. 44-14) y las peticiones presentadas a las autoridades locales (artículo 139 de la Constitución).</w:t>
      </w:r>
    </w:p>
  </w:footnote>
  <w:footnote w:id="33">
    <w:p w14:paraId="32E947BD" w14:textId="50193EA6"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Por la que se modifica y complementa la Ley Orgánica núm. 59-11.</w:t>
      </w:r>
    </w:p>
  </w:footnote>
  <w:footnote w:id="34">
    <w:p w14:paraId="22139440" w14:textId="359B0CF5"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Ley Orgánica núm. 111-14 relativa a las Regiones (julio de 2015). Ley Orgánica núm. 112-14 relativa a las Prefecturas y Provincias (julio de 2015). Ley Orgánica núm. 113-14 relativa a los Gobiernos Locales (julio de 2015).</w:t>
      </w:r>
    </w:p>
  </w:footnote>
  <w:footnote w:id="35">
    <w:p w14:paraId="32E947C1" w14:textId="4DA1B483"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Las comisiones para la igualdad de oportunidades son comisiones de asesoramiento a los gobiernos locales integradas por asociaciones locales y que proponen actividades de la sociedad civil a los presidentes de los gobiernos locales. Su misión es expresar su opinión sobre cuestiones relacionadas con la igualdad, la igualdad de oportunidades y la incorporación de la perspectiva de género.</w:t>
      </w:r>
    </w:p>
  </w:footnote>
  <w:footnote w:id="36">
    <w:p w14:paraId="4647016B" w14:textId="629E964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rtl/>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En paralelo al sexagésimo séptimo período de sesiones de la Asamblea General de las Naciones Unidas, bajo los auspicios del Banco Mundial y ONU-Mujeres.</w:t>
      </w:r>
    </w:p>
  </w:footnote>
  <w:footnote w:id="37">
    <w:p w14:paraId="26FBB5D3" w14:textId="7777777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Con la asistencia del Fondo de Apoyo a la Igualdad de Género de la Agencia Canadiense de Desarrollo Internacional.</w:t>
      </w:r>
    </w:p>
  </w:footnote>
  <w:footnote w:id="38">
    <w:p w14:paraId="32E947C4" w14:textId="021C4143"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Ley núm. 83-13, por la que se complementa la Ley núm. 77-03 de Comunicación Audiovisual (anexo 9).</w:t>
      </w:r>
    </w:p>
  </w:footnote>
  <w:footnote w:id="39">
    <w:p w14:paraId="32E947C5" w14:textId="7777777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Estadísticas de la Alta Autoridad de la Comunicación Audiovisual.</w:t>
      </w:r>
    </w:p>
  </w:footnote>
  <w:footnote w:id="40">
    <w:p w14:paraId="32E947C6" w14:textId="7777777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Proyecto de Monitoreo Global de Medios (GMMP), 2017.</w:t>
      </w:r>
    </w:p>
  </w:footnote>
  <w:footnote w:id="41">
    <w:p w14:paraId="32E947C7" w14:textId="10D45B3C"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En virtud de la decisión núm. 2852.14 de la Ministra de Solidaridad, Mujer, Familia y Desarrollo Social (7 de agosto de 2014).</w:t>
      </w:r>
    </w:p>
  </w:footnote>
  <w:footnote w:id="42">
    <w:p w14:paraId="32E947C8" w14:textId="56582DB6"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 xml:space="preserve">Mecanismo nacional de estructura tripartita que reúne a representantes de sectores gubernamentales, la sociedad civil, órganos profesionales y centros universitarios </w:t>
      </w:r>
      <w:r w:rsidRPr="00C108BE">
        <w:rPr>
          <w:spacing w:val="4"/>
          <w:w w:val="103"/>
          <w:szCs w:val="17"/>
          <w:lang w:val="es-ES_tradnl"/>
        </w:rPr>
        <w:br/>
        <w:t>de estudio e investigación.</w:t>
      </w:r>
    </w:p>
  </w:footnote>
  <w:footnote w:id="43">
    <w:p w14:paraId="7FF6D7D6" w14:textId="4DC7E69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rtl/>
          <w:lang w:val="es-ES_tradnl"/>
        </w:rPr>
        <w:footnoteRef/>
      </w:r>
      <w:r w:rsidRPr="00C108BE">
        <w:rPr>
          <w:spacing w:val="4"/>
          <w:w w:val="103"/>
          <w:szCs w:val="17"/>
          <w:lang w:val="es-ES_tradnl"/>
        </w:rPr>
        <w:tab/>
        <w:t>Párrafo</w:t>
      </w:r>
      <w:r w:rsidRPr="00C108BE">
        <w:rPr>
          <w:spacing w:val="4"/>
          <w:w w:val="103"/>
          <w:szCs w:val="17"/>
          <w:rtl/>
          <w:lang w:val="es-ES_tradnl"/>
        </w:rPr>
        <w:t xml:space="preserve"> 65 </w:t>
      </w:r>
      <w:r w:rsidRPr="00C108BE">
        <w:rPr>
          <w:spacing w:val="4"/>
          <w:w w:val="103"/>
          <w:szCs w:val="17"/>
          <w:lang w:val="es-ES_tradnl"/>
        </w:rPr>
        <w:t>del</w:t>
      </w:r>
      <w:r w:rsidRPr="00C108BE">
        <w:rPr>
          <w:spacing w:val="4"/>
          <w:w w:val="103"/>
          <w:szCs w:val="17"/>
          <w:rtl/>
          <w:lang w:val="es-ES_tradnl"/>
        </w:rPr>
        <w:t xml:space="preserve"> </w:t>
      </w:r>
      <w:r w:rsidRPr="00C108BE">
        <w:rPr>
          <w:spacing w:val="4"/>
          <w:w w:val="103"/>
          <w:szCs w:val="17"/>
          <w:lang w:val="es-ES_tradnl"/>
        </w:rPr>
        <w:t>informe</w:t>
      </w:r>
      <w:r w:rsidRPr="00C108BE">
        <w:rPr>
          <w:spacing w:val="4"/>
          <w:w w:val="103"/>
          <w:szCs w:val="17"/>
          <w:rtl/>
          <w:lang w:val="es-ES_tradnl"/>
        </w:rPr>
        <w:t xml:space="preserve"> </w:t>
      </w:r>
      <w:r w:rsidRPr="00C108BE">
        <w:rPr>
          <w:spacing w:val="4"/>
          <w:w w:val="103"/>
          <w:szCs w:val="17"/>
          <w:lang w:val="es-ES_tradnl"/>
        </w:rPr>
        <w:t>de</w:t>
      </w:r>
      <w:r w:rsidRPr="00C108BE">
        <w:rPr>
          <w:spacing w:val="4"/>
          <w:w w:val="103"/>
          <w:szCs w:val="17"/>
          <w:rtl/>
          <w:lang w:val="es-ES_tradnl"/>
        </w:rPr>
        <w:t xml:space="preserve"> </w:t>
      </w:r>
      <w:r w:rsidRPr="00C108BE">
        <w:rPr>
          <w:spacing w:val="4"/>
          <w:w w:val="103"/>
          <w:szCs w:val="17"/>
          <w:lang w:val="es-ES_tradnl"/>
        </w:rPr>
        <w:t>la</w:t>
      </w:r>
      <w:r w:rsidRPr="00C108BE">
        <w:rPr>
          <w:spacing w:val="4"/>
          <w:w w:val="103"/>
          <w:szCs w:val="17"/>
          <w:rtl/>
          <w:lang w:val="es-ES_tradnl"/>
        </w:rPr>
        <w:t xml:space="preserve"> </w:t>
      </w:r>
      <w:r w:rsidRPr="00C108BE">
        <w:rPr>
          <w:spacing w:val="4"/>
          <w:w w:val="103"/>
          <w:szCs w:val="17"/>
          <w:lang w:val="es-ES_tradnl"/>
        </w:rPr>
        <w:t>Experta</w:t>
      </w:r>
      <w:r w:rsidRPr="00C108BE">
        <w:rPr>
          <w:spacing w:val="4"/>
          <w:w w:val="103"/>
          <w:szCs w:val="17"/>
          <w:rtl/>
          <w:lang w:val="es-ES_tradnl"/>
        </w:rPr>
        <w:t xml:space="preserve"> (</w:t>
      </w:r>
      <w:hyperlink r:id="rId1" w:history="1">
        <w:r w:rsidRPr="00F35716">
          <w:rPr>
            <w:rStyle w:val="Hyperlink"/>
            <w:spacing w:val="4"/>
            <w:w w:val="103"/>
            <w:szCs w:val="17"/>
            <w:lang w:val="es-ES_tradnl"/>
          </w:rPr>
          <w:t>A/HRC/20/26/Add.2</w:t>
        </w:r>
      </w:hyperlink>
      <w:r w:rsidRPr="00C108BE">
        <w:rPr>
          <w:spacing w:val="4"/>
          <w:w w:val="103"/>
          <w:szCs w:val="17"/>
          <w:lang w:val="es-ES_tradnl"/>
        </w:rPr>
        <w:t>)</w:t>
      </w:r>
      <w:r w:rsidRPr="00C108BE">
        <w:rPr>
          <w:spacing w:val="4"/>
          <w:w w:val="103"/>
          <w:szCs w:val="17"/>
          <w:rtl/>
          <w:lang w:val="es-ES_tradnl"/>
        </w:rPr>
        <w:t>.</w:t>
      </w:r>
    </w:p>
  </w:footnote>
  <w:footnote w:id="44">
    <w:p w14:paraId="32E947CA" w14:textId="538CD845"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En colaboración con el Programa Internacional para la Erradicación del Trabajo Infantil (IPEC).</w:t>
      </w:r>
    </w:p>
  </w:footnote>
  <w:footnote w:id="45">
    <w:p w14:paraId="32E947CB" w14:textId="200EC65D"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Se llevó a cabo una campaña nacional del 20 de noviembre de 2014 al 25 de mayo de 2015 con el apoyo del Fondo de las Naciones Unidas para la Infancia (UNICEF).</w:t>
      </w:r>
    </w:p>
  </w:footnote>
  <w:footnote w:id="46">
    <w:p w14:paraId="32E947CC" w14:textId="35926AF4"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La Ley núm. 95-14 está pendiente de ratificación por la Secretaría General del Gobierno.</w:t>
      </w:r>
    </w:p>
  </w:footnote>
  <w:footnote w:id="47">
    <w:p w14:paraId="32E947CD" w14:textId="22077FA8"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 xml:space="preserve">La Ley núm. 26-14 está pendiente de ratificación por la Secretaría General del Gobierno. </w:t>
      </w:r>
    </w:p>
  </w:footnote>
  <w:footnote w:id="48">
    <w:p w14:paraId="32E947CE" w14:textId="2C9C3CD8"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Ley núm. 27-14 de Lucha contra la Trata de Personas (anexo 10).</w:t>
      </w:r>
    </w:p>
  </w:footnote>
  <w:footnote w:id="49">
    <w:p w14:paraId="32E947CF" w14:textId="67A7E002"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Decreto núm. 2-17-740 (julio de 2018), Boletín Oficial núm. 6692 (julio de 2018).</w:t>
      </w:r>
    </w:p>
  </w:footnote>
  <w:footnote w:id="50">
    <w:p w14:paraId="7E807542" w14:textId="7777777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Ley núm. 0116, Boletín Oficial núm. 6493 (agosto de 2016).</w:t>
      </w:r>
    </w:p>
  </w:footnote>
  <w:footnote w:id="51">
    <w:p w14:paraId="32E947D1" w14:textId="7777777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Ley núm. 8713, Boletín Oficial núm. 6277 (julio de 2014).</w:t>
      </w:r>
    </w:p>
  </w:footnote>
  <w:footnote w:id="52">
    <w:p w14:paraId="32E947D2" w14:textId="5F20327C"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Un grupo de asociaciones supervisa proyectos relacionados con la formación y enseñanza de un oficio a mujeres para que accedan al mercado laboral o pongan en marcha sus propias empresas.</w:t>
      </w:r>
    </w:p>
  </w:footnote>
  <w:footnote w:id="53">
    <w:p w14:paraId="32E947D3" w14:textId="3B3744BA"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Dos proyectos integrados, que cuentan con el apoyo de la Agencia Alemana de Cooperación Internacional, dirigidos a fortalecer la capacidad de diez grupos de asociados locales para llevar a cabo proyectos piloto de integración.</w:t>
      </w:r>
    </w:p>
  </w:footnote>
  <w:footnote w:id="54">
    <w:p w14:paraId="32E947D4" w14:textId="08A06D3B"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Artículo 30 de la Constitución de 2011 (anexo 1).</w:t>
      </w:r>
    </w:p>
  </w:footnote>
  <w:footnote w:id="55">
    <w:p w14:paraId="32E947D5" w14:textId="2D4F5A6E"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Artículo 146 de la Constitución de 2011 (anexo 1).</w:t>
      </w:r>
    </w:p>
  </w:footnote>
  <w:footnote w:id="56">
    <w:p w14:paraId="32E947D6" w14:textId="7777777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Boletín Oficial núm. 6490 (agosto de 2016) (anexo 11).</w:t>
      </w:r>
    </w:p>
  </w:footnote>
  <w:footnote w:id="57">
    <w:p w14:paraId="4ACA2166" w14:textId="584D03D4"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Boletín Oficial núm. 5997 (noviembre de 2011) (anexo 12).</w:t>
      </w:r>
    </w:p>
  </w:footnote>
  <w:footnote w:id="58">
    <w:p w14:paraId="32E947D8" w14:textId="7777777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Boletín Oficial núm. 5997 bis (noviembre de 2011) (anexo 12).</w:t>
      </w:r>
    </w:p>
  </w:footnote>
  <w:footnote w:id="59">
    <w:p w14:paraId="32E947D9" w14:textId="7777777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Boletín Oficial núm. 6380 (julio de 2015) (anexo 13).</w:t>
      </w:r>
    </w:p>
  </w:footnote>
  <w:footnote w:id="60">
    <w:p w14:paraId="32E947DA" w14:textId="49C3450E"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rtl/>
          <w:lang w:val="es-ES_tradnl"/>
        </w:rPr>
        <w:footnoteRef/>
      </w:r>
      <w:r w:rsidRPr="00C108BE">
        <w:rPr>
          <w:spacing w:val="4"/>
          <w:w w:val="103"/>
          <w:szCs w:val="17"/>
          <w:lang w:val="es-ES_tradnl"/>
        </w:rPr>
        <w:tab/>
        <w:t>Un tercio de ellas eran menores de 35 años. En 2007 el 54 % de las consejeras tenía estudios secundarios o superiores.</w:t>
      </w:r>
    </w:p>
  </w:footnote>
  <w:footnote w:id="61">
    <w:p w14:paraId="412CA3D9" w14:textId="5171CBA4"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Artículo 4 de la Ley Orgánica núm. 02-12 relativa al Nombramiento de Altos Cargos (anexo 14).</w:t>
      </w:r>
    </w:p>
  </w:footnote>
  <w:footnote w:id="62">
    <w:p w14:paraId="32E947DC" w14:textId="61617AF4"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Ley núm. 50-05 relativa al Estatuto General de la Administración Pública (anexo 15).</w:t>
      </w:r>
    </w:p>
  </w:footnote>
  <w:footnote w:id="63">
    <w:p w14:paraId="32E947DD" w14:textId="52C58825"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Anexo 15.</w:t>
      </w:r>
    </w:p>
  </w:footnote>
  <w:footnote w:id="64">
    <w:p w14:paraId="32E947DE" w14:textId="4E0ED350"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Decisión por la que se crea un Observatorio de la Perspectiva de Género en la Administración Pública (anexo 16).</w:t>
      </w:r>
    </w:p>
  </w:footnote>
  <w:footnote w:id="65">
    <w:p w14:paraId="32E947DF" w14:textId="22C8A311"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Circular de agosto de 2018 sobre la licencia posterior al parto (anexo 17).</w:t>
      </w:r>
    </w:p>
  </w:footnote>
  <w:footnote w:id="66">
    <w:p w14:paraId="43E9B906" w14:textId="2162248D"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Circular de septiembre de 2019 sobre el establecimiento de guarderías en los servicios públicos (anexo 18).</w:t>
      </w:r>
    </w:p>
  </w:footnote>
  <w:footnote w:id="67">
    <w:p w14:paraId="32E947E1" w14:textId="73CBB208"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 xml:space="preserve">Continuando con las garantías incluidas en el Decreto núm. 300-03-1, de abril de 2004, relativo a la reestructuración de los consejos de ulemas, en el que el Rey dispuso que, dado que las mujeres marroquíes, en vista de su formación religiosa, desempeñan funciones activas en todas las esferas y ejercen todas las responsabilidades para las que están cualificadas, y habida cuenta de que el aprendizaje religioso aborda cuestiones sociales y religiosas que afectan a los ciudadanos de ambos sexos, declaraba su decisión de integrar a las mujeres ulemas en esos consejos en aras de la paridad y por cuanto realizarían una contribución positiva. </w:t>
      </w:r>
    </w:p>
  </w:footnote>
  <w:footnote w:id="68">
    <w:p w14:paraId="32E947E2" w14:textId="5D0B59E1"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Había 559 mujeres que ejercían como guías espirituales en comunidades urbanas, 166 mujeres que ejercían como guías espirituales en comunidades rurales y 46 mujeres que ejercían como guías espirituales en comunidades tanto urbanas como rurales ascendió a 46.</w:t>
      </w:r>
    </w:p>
  </w:footnote>
  <w:footnote w:id="69">
    <w:p w14:paraId="32E947E3" w14:textId="50582E36"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Las escuelas del ámbito rural reciben a estudiantes de zonas remotas y les proporcionan alojamiento, transporte y actividades deportivas y culturales.</w:t>
      </w:r>
    </w:p>
  </w:footnote>
  <w:footnote w:id="70">
    <w:p w14:paraId="32E947E4" w14:textId="7777777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r>
      <w:r w:rsidRPr="00C108BE">
        <w:rPr>
          <w:iCs/>
          <w:spacing w:val="4"/>
          <w:w w:val="103"/>
          <w:szCs w:val="17"/>
          <w:lang w:val="es-ES_tradnl"/>
        </w:rPr>
        <w:t>Tayssir</w:t>
      </w:r>
      <w:r w:rsidRPr="00C108BE">
        <w:rPr>
          <w:spacing w:val="4"/>
          <w:w w:val="103"/>
          <w:szCs w:val="17"/>
          <w:lang w:val="es-ES_tradnl"/>
        </w:rPr>
        <w:t xml:space="preserve"> es un programa destinado a reducir el abandono escolar, especialmente en el caso de las niñas. Con ese fin, desde 2006 proporciona asistencia económica condicionada a la matriculación de los niños de zonas remotas.</w:t>
      </w:r>
    </w:p>
  </w:footnote>
  <w:footnote w:id="71">
    <w:p w14:paraId="32E947E5" w14:textId="5AE8797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La visión estratégica para la reforma incluía 23 puntos relacionados con las niñas, entre ellos, la mejora de la educación de calidad, la paridad y la promoción.</w:t>
      </w:r>
    </w:p>
  </w:footnote>
  <w:footnote w:id="72">
    <w:p w14:paraId="32E947E6" w14:textId="55823EA3"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Ley Marco núm. 51-17 sobre el Sistema de Educación, Capacitación e Investigación Científica (anexo 30).</w:t>
      </w:r>
    </w:p>
  </w:footnote>
  <w:footnote w:id="73">
    <w:p w14:paraId="32E947E7" w14:textId="75355A95"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Ley núm. 14-05 sobre las Condiciones para la Apertura de Instituciones de Asistencia Social (anexo 31).</w:t>
      </w:r>
    </w:p>
  </w:footnote>
  <w:footnote w:id="74">
    <w:p w14:paraId="32E947E8" w14:textId="4C3FB12B"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Anexo 19.</w:t>
      </w:r>
    </w:p>
  </w:footnote>
  <w:footnote w:id="75">
    <w:p w14:paraId="32E947E9" w14:textId="7777777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Existen 1.937 centros de formación profesional, de los cuales 558 son públicos y 1.379, privados.</w:t>
      </w:r>
    </w:p>
  </w:footnote>
  <w:footnote w:id="76">
    <w:p w14:paraId="32E947EA" w14:textId="4F201EEA"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rtl/>
          <w:lang w:val="es-ES_tradnl"/>
        </w:rPr>
        <w:footnoteRef/>
      </w:r>
      <w:r w:rsidRPr="00C108BE">
        <w:rPr>
          <w:spacing w:val="4"/>
          <w:w w:val="103"/>
          <w:szCs w:val="17"/>
          <w:lang w:val="es-ES_tradnl"/>
        </w:rPr>
        <w:tab/>
        <w:t>Artículo 31 de la Constitución (anexo 1).</w:t>
      </w:r>
    </w:p>
  </w:footnote>
  <w:footnote w:id="77">
    <w:p w14:paraId="7FC17D61" w14:textId="4149648F"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Artículos 5, 9, 15, 40, 153, 154, 158, 161 y 179 del Código Laboral (anexo 4).</w:t>
      </w:r>
    </w:p>
  </w:footnote>
  <w:footnote w:id="78">
    <w:p w14:paraId="32E947EC" w14:textId="6BA7C1AF"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rtl/>
          <w:lang w:val="es-ES_tradnl"/>
        </w:rPr>
        <w:footnoteRef/>
      </w:r>
      <w:r w:rsidRPr="00C108BE">
        <w:rPr>
          <w:spacing w:val="4"/>
          <w:w w:val="103"/>
          <w:szCs w:val="17"/>
          <w:lang w:val="es-ES_tradnl"/>
        </w:rPr>
        <w:tab/>
        <w:t>Se organizó una jornada de estudio sobre el artículo 31 de la Constitución.</w:t>
      </w:r>
    </w:p>
  </w:footnote>
  <w:footnote w:id="79">
    <w:p w14:paraId="32E947ED" w14:textId="61ADE411"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Decreto núm. 2-08-357, de julio de 2008.</w:t>
      </w:r>
    </w:p>
  </w:footnote>
  <w:footnote w:id="80">
    <w:p w14:paraId="32E947EE" w14:textId="6A67718C"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 xml:space="preserve">Decreto 2-11-432, de junio de 2011. </w:t>
      </w:r>
    </w:p>
  </w:footnote>
  <w:footnote w:id="81">
    <w:p w14:paraId="32E947EF" w14:textId="7B11F75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rtl/>
          <w:lang w:val="es-ES_tradnl"/>
        </w:rPr>
        <w:footnoteRef/>
      </w:r>
      <w:r w:rsidRPr="00C108BE">
        <w:rPr>
          <w:spacing w:val="4"/>
          <w:w w:val="103"/>
          <w:szCs w:val="17"/>
          <w:lang w:val="es-ES_tradnl"/>
        </w:rPr>
        <w:tab/>
        <w:t>Decreto núm. 2-11-464, de septiembre de 2011 (anexo 20).</w:t>
      </w:r>
      <w:r w:rsidRPr="00C108BE">
        <w:rPr>
          <w:spacing w:val="4"/>
          <w:w w:val="103"/>
          <w:szCs w:val="17"/>
          <w:rtl/>
          <w:lang w:val="es-ES_tradnl"/>
        </w:rPr>
        <w:t xml:space="preserve"> </w:t>
      </w:r>
    </w:p>
  </w:footnote>
  <w:footnote w:id="82">
    <w:p w14:paraId="32E947F0" w14:textId="7777777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Las diferencias están relacionadas con el mercado laboral, lo que conduce a una variación en el porcentaje de cobertura social de las mujeres.</w:t>
      </w:r>
    </w:p>
  </w:footnote>
  <w:footnote w:id="83">
    <w:p w14:paraId="32E947F1" w14:textId="0BA37A2B"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Artículo 31 de la Constitución (anexo 1).</w:t>
      </w:r>
    </w:p>
  </w:footnote>
  <w:footnote w:id="84">
    <w:p w14:paraId="32E947F2" w14:textId="4C3CF1B2"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Ley núm. 98-15.</w:t>
      </w:r>
    </w:p>
  </w:footnote>
  <w:footnote w:id="85">
    <w:p w14:paraId="32E947F3" w14:textId="716CC525"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Este plan se centra en seis pilares: fortalecer los programas de salud preventiva y la detección temprana de enfermedades que conducen a la discapacidad; mejorar los servicios sanitarios; fortalecer la capacitación básica y la formación continua; fortalecer el marco jurídico y participativo; la movilización social y la lucha contra el estigma y la discriminación; y promover el seguimiento, la evaluación y la investigación científica.</w:t>
      </w:r>
    </w:p>
  </w:footnote>
  <w:footnote w:id="86">
    <w:p w14:paraId="32E947F4" w14:textId="0D795A8A"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 xml:space="preserve">El programa </w:t>
      </w:r>
      <w:r w:rsidRPr="00C108BE">
        <w:rPr>
          <w:iCs/>
          <w:spacing w:val="4"/>
          <w:w w:val="103"/>
          <w:szCs w:val="17"/>
          <w:lang w:val="es-ES_tradnl"/>
        </w:rPr>
        <w:t>Tayssir</w:t>
      </w:r>
      <w:r w:rsidRPr="00C108BE">
        <w:rPr>
          <w:spacing w:val="4"/>
          <w:w w:val="103"/>
          <w:szCs w:val="17"/>
          <w:lang w:val="es-ES_tradnl"/>
        </w:rPr>
        <w:t>, el programa Un Millón de Carteras y el programa de asistencia médica. El Programa de Apoyo a las Personas con Discapacidad y el Programa de Apoyo a las Viudas se pusieron en marcha a finales de 2015, después de preparar los criterios para acogerse a ellos, las directrices de procedimiento y las directrices para el desembolso de las ayudas.</w:t>
      </w:r>
    </w:p>
  </w:footnote>
  <w:footnote w:id="87">
    <w:p w14:paraId="32E947F5" w14:textId="77055F85"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Ley núm. 1-18-20 (febrero de 2018) relativa a la aplicación de la Ley núm. 83-17 por la que se modifica la Ley núm. 41-10 relativa al Fondo de Solidaridad Familiar (anexo 32).</w:t>
      </w:r>
    </w:p>
  </w:footnote>
  <w:footnote w:id="88">
    <w:p w14:paraId="32E947F6" w14:textId="7D7913BD"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Decreto núm. 2-18-249 aprobado por el Consejo de Gobierno, publicado en el Boletín Oficial núm. 4427 (julio de 2018), por el que se modifica el Decreto núm. 2-11-195 (septiembre de 2011) de aplicación de las disposiciones de la Ley núm. 41-10 relativa al Establecimiento de las Condiciones y Reglas para Beneficiarse de las Prestaciones del Fondo de Solidaridad Familiar (anexo 21).</w:t>
      </w:r>
    </w:p>
  </w:footnote>
  <w:footnote w:id="89">
    <w:p w14:paraId="32E947F7" w14:textId="317ECD7F"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Anexo 22.</w:t>
      </w:r>
    </w:p>
  </w:footnote>
  <w:footnote w:id="90">
    <w:p w14:paraId="5757E733" w14:textId="1BE473B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rtl/>
          <w:lang w:val="es-ES_tradnl"/>
        </w:rPr>
        <w:footnoteRef/>
      </w:r>
      <w:r w:rsidRPr="00C108BE">
        <w:rPr>
          <w:spacing w:val="4"/>
          <w:w w:val="103"/>
          <w:szCs w:val="17"/>
          <w:lang w:val="es-ES_tradnl"/>
        </w:rPr>
        <w:tab/>
        <w:t>La representación de las mujeres en los órganos de gobernanza ascendió al 21 % en 2017, frente al 6 % de 2005.</w:t>
      </w:r>
    </w:p>
  </w:footnote>
  <w:footnote w:id="91">
    <w:p w14:paraId="32E947F9" w14:textId="2712F1C8"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Ejecutado en el marco de una colaboración entre el sector laboral y la Oficina Internacional del Trabajo, con financiación del Ministerio de Relaciones Internacionales del Canadá de 2012 a junio de 2018.</w:t>
      </w:r>
    </w:p>
  </w:footnote>
  <w:footnote w:id="92">
    <w:p w14:paraId="32E947FA" w14:textId="7777777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 xml:space="preserve">Resolución núm. 17/2018 del Ministro de Cultura y Comunicación. </w:t>
      </w:r>
    </w:p>
  </w:footnote>
  <w:footnote w:id="93">
    <w:p w14:paraId="3706C56D" w14:textId="68FBBF4C"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Por “aldea” (</w:t>
      </w:r>
      <w:r w:rsidRPr="00C108BE">
        <w:rPr>
          <w:i/>
          <w:iCs/>
          <w:spacing w:val="4"/>
          <w:w w:val="103"/>
          <w:szCs w:val="17"/>
          <w:lang w:val="es-ES_tradnl"/>
        </w:rPr>
        <w:t>douar</w:t>
      </w:r>
      <w:r w:rsidRPr="00C108BE">
        <w:rPr>
          <w:spacing w:val="4"/>
          <w:w w:val="103"/>
          <w:szCs w:val="17"/>
          <w:lang w:val="es-ES_tradnl"/>
        </w:rPr>
        <w:t>) se entiende un grupo de viviendas de un grupo de residentes.</w:t>
      </w:r>
    </w:p>
  </w:footnote>
  <w:footnote w:id="94">
    <w:p w14:paraId="32E947FC" w14:textId="1CE6B56E"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 xml:space="preserve">Véase el artículo 12 del informe. </w:t>
      </w:r>
    </w:p>
  </w:footnote>
  <w:footnote w:id="95">
    <w:p w14:paraId="32E947FD" w14:textId="7777777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Plan Marruecos Verde.</w:t>
      </w:r>
    </w:p>
  </w:footnote>
  <w:footnote w:id="96">
    <w:p w14:paraId="182B9CE5" w14:textId="5D2E3F8D"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Circular de la Fiscalía sobre el matrimonio de menores (anexo 23).</w:t>
      </w:r>
    </w:p>
  </w:footnote>
  <w:footnote w:id="97">
    <w:p w14:paraId="32E947FF" w14:textId="5248EE9F"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El trabajo y cuidado es una costumbre que establece el reconocimiento de los esfuerzos de la esposa para aumentar la riqueza de la familia y su derecho a recibir su parte en caso de divorcio.</w:t>
      </w:r>
    </w:p>
  </w:footnote>
  <w:footnote w:id="98">
    <w:p w14:paraId="32E94800" w14:textId="52F720E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Boletín Oficial núm. 6491 (agosto de 2016) (anexo 24).</w:t>
      </w:r>
    </w:p>
  </w:footnote>
  <w:footnote w:id="99">
    <w:p w14:paraId="32E94801" w14:textId="0D0FEC1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Trece sectores gubernamentales, 8 organismos del sistema de las Naciones Unidas y más de 40 asociaciones civiles.</w:t>
      </w:r>
    </w:p>
  </w:footnote>
  <w:footnote w:id="100">
    <w:p w14:paraId="32E94802" w14:textId="77777777"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Boletín Oficial núm. 6655 (marzo de 2018) (anexo 33).</w:t>
      </w:r>
    </w:p>
  </w:footnote>
  <w:footnote w:id="101">
    <w:p w14:paraId="32E94803" w14:textId="6C8C56D1"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rtl/>
          <w:lang w:val="es-ES_tradnl"/>
        </w:rPr>
        <w:footnoteRef/>
      </w:r>
      <w:r w:rsidRPr="00C108BE">
        <w:rPr>
          <w:spacing w:val="4"/>
          <w:w w:val="103"/>
          <w:szCs w:val="17"/>
          <w:lang w:val="es-ES_tradnl"/>
        </w:rPr>
        <w:tab/>
        <w:t>Anexo 33</w:t>
      </w:r>
      <w:r w:rsidRPr="00C108BE">
        <w:rPr>
          <w:spacing w:val="4"/>
          <w:w w:val="103"/>
          <w:szCs w:val="17"/>
          <w:rtl/>
          <w:lang w:val="es-ES_tradnl"/>
        </w:rPr>
        <w:t>.</w:t>
      </w:r>
    </w:p>
  </w:footnote>
  <w:footnote w:id="102">
    <w:p w14:paraId="399E727E" w14:textId="682E5908"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Informes del Observatorio 2015-2016 (anexo 34).</w:t>
      </w:r>
    </w:p>
  </w:footnote>
  <w:footnote w:id="103">
    <w:p w14:paraId="32E94805" w14:textId="341A593C" w:rsidR="00F35716" w:rsidRPr="00C108BE" w:rsidRDefault="00F35716" w:rsidP="00E52AAD">
      <w:pPr>
        <w:pStyle w:val="FootnoteText"/>
        <w:tabs>
          <w:tab w:val="clear" w:pos="418"/>
          <w:tab w:val="right" w:pos="1195"/>
          <w:tab w:val="left" w:pos="1267"/>
          <w:tab w:val="left" w:pos="1742"/>
          <w:tab w:val="left" w:pos="2218"/>
          <w:tab w:val="left" w:pos="2693"/>
        </w:tabs>
        <w:ind w:left="1267" w:right="1267" w:hanging="432"/>
        <w:rPr>
          <w:spacing w:val="4"/>
          <w:w w:val="103"/>
          <w:szCs w:val="17"/>
          <w:rtl/>
          <w:lang w:val="es-ES_tradnl"/>
        </w:rPr>
      </w:pPr>
      <w:r w:rsidRPr="00C108BE">
        <w:rPr>
          <w:spacing w:val="4"/>
          <w:w w:val="103"/>
          <w:szCs w:val="17"/>
          <w:lang w:val="es-ES_tradnl"/>
        </w:rPr>
        <w:tab/>
      </w:r>
      <w:r w:rsidRPr="00C108BE">
        <w:rPr>
          <w:spacing w:val="4"/>
          <w:w w:val="103"/>
          <w:szCs w:val="17"/>
          <w:vertAlign w:val="superscript"/>
          <w:lang w:val="es-ES_tradnl"/>
        </w:rPr>
        <w:footnoteRef/>
      </w:r>
      <w:r w:rsidRPr="00C108BE">
        <w:rPr>
          <w:spacing w:val="4"/>
          <w:w w:val="103"/>
          <w:szCs w:val="17"/>
          <w:lang w:val="es-ES_tradnl"/>
        </w:rPr>
        <w:tab/>
        <w:t xml:space="preserve">Artículo 5 de la Resolución núm. 1299-13 del Ministro de Salud, abril de 2013, y Circular Ministerial núm. 1040 </w:t>
      </w:r>
      <w:r w:rsidRPr="00C108BE">
        <w:rPr>
          <w:i/>
          <w:iCs/>
          <w:spacing w:val="4"/>
          <w:w w:val="103"/>
          <w:szCs w:val="17"/>
          <w:lang w:val="es-ES_tradnl"/>
        </w:rPr>
        <w:t>mim sin</w:t>
      </w:r>
      <w:r w:rsidRPr="00C108BE">
        <w:rPr>
          <w:spacing w:val="4"/>
          <w:w w:val="103"/>
          <w:szCs w:val="17"/>
          <w:lang w:val="es-ES_tradnl"/>
        </w:rPr>
        <w:t xml:space="preserve"> y Circular Ministerial núm. 162 </w:t>
      </w:r>
      <w:r w:rsidRPr="00C108BE">
        <w:rPr>
          <w:i/>
          <w:iCs/>
          <w:spacing w:val="4"/>
          <w:w w:val="103"/>
          <w:szCs w:val="17"/>
          <w:lang w:val="es-ES_tradnl"/>
        </w:rPr>
        <w:t>mim ayn mim</w:t>
      </w:r>
      <w:r w:rsidRPr="00C108BE">
        <w:rPr>
          <w:spacing w:val="4"/>
          <w:w w:val="103"/>
          <w:szCs w:val="17"/>
          <w:lang w:val="es-ES_tradnl"/>
        </w:rPr>
        <w:t xml:space="preserve"> (anexo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35716" w:rsidRPr="00043015" w14:paraId="32E9476C" w14:textId="77777777" w:rsidTr="008D21BB">
      <w:trPr>
        <w:trHeight w:hRule="exact" w:val="864"/>
      </w:trPr>
      <w:tc>
        <w:tcPr>
          <w:tcW w:w="4838" w:type="dxa"/>
          <w:tcBorders>
            <w:bottom w:val="single" w:sz="2" w:space="0" w:color="010000"/>
          </w:tcBorders>
          <w:vAlign w:val="bottom"/>
        </w:tcPr>
        <w:p w14:paraId="32E9476A" w14:textId="74ACC8B3" w:rsidR="00F35716" w:rsidRPr="008D21BB" w:rsidRDefault="00F35716" w:rsidP="008D21B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C7262">
            <w:rPr>
              <w:b/>
              <w:color w:val="000000"/>
            </w:rPr>
            <w:t>CEDAW/C/MAR/5-6</w:t>
          </w:r>
          <w:r>
            <w:rPr>
              <w:b/>
              <w:color w:val="000000"/>
            </w:rPr>
            <w:fldChar w:fldCharType="end"/>
          </w:r>
        </w:p>
      </w:tc>
      <w:tc>
        <w:tcPr>
          <w:tcW w:w="5028" w:type="dxa"/>
          <w:tcBorders>
            <w:bottom w:val="single" w:sz="2" w:space="0" w:color="010000"/>
          </w:tcBorders>
          <w:vAlign w:val="bottom"/>
        </w:tcPr>
        <w:p w14:paraId="32E9476B" w14:textId="77777777" w:rsidR="00F35716" w:rsidRDefault="00F35716" w:rsidP="008D21BB">
          <w:pPr>
            <w:pStyle w:val="Header"/>
          </w:pPr>
        </w:p>
      </w:tc>
    </w:tr>
  </w:tbl>
  <w:p w14:paraId="32E9476D" w14:textId="77777777" w:rsidR="00F35716" w:rsidRPr="008D21BB" w:rsidRDefault="00F35716" w:rsidP="008D21B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F35716" w:rsidRPr="00043015" w14:paraId="32E94770" w14:textId="77777777" w:rsidTr="008D21BB">
      <w:trPr>
        <w:trHeight w:hRule="exact" w:val="864"/>
      </w:trPr>
      <w:tc>
        <w:tcPr>
          <w:tcW w:w="4838" w:type="dxa"/>
          <w:tcBorders>
            <w:bottom w:val="single" w:sz="2" w:space="0" w:color="010000"/>
          </w:tcBorders>
          <w:vAlign w:val="bottom"/>
        </w:tcPr>
        <w:p w14:paraId="32E9476E" w14:textId="77777777" w:rsidR="00F35716" w:rsidRDefault="00F35716" w:rsidP="008D21BB">
          <w:pPr>
            <w:pStyle w:val="Header"/>
          </w:pPr>
        </w:p>
      </w:tc>
      <w:tc>
        <w:tcPr>
          <w:tcW w:w="5028" w:type="dxa"/>
          <w:tcBorders>
            <w:bottom w:val="single" w:sz="2" w:space="0" w:color="010000"/>
          </w:tcBorders>
          <w:vAlign w:val="bottom"/>
        </w:tcPr>
        <w:p w14:paraId="32E9476F" w14:textId="459D9344" w:rsidR="00F35716" w:rsidRPr="008D21BB" w:rsidRDefault="00F35716" w:rsidP="008D21B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C7262">
            <w:rPr>
              <w:b/>
              <w:color w:val="000000"/>
            </w:rPr>
            <w:t>CEDAW/C/MAR/5-6</w:t>
          </w:r>
          <w:r>
            <w:rPr>
              <w:b/>
              <w:color w:val="000000"/>
            </w:rPr>
            <w:fldChar w:fldCharType="end"/>
          </w:r>
        </w:p>
      </w:tc>
    </w:tr>
  </w:tbl>
  <w:p w14:paraId="32E94771" w14:textId="77777777" w:rsidR="00F35716" w:rsidRPr="008D21BB" w:rsidRDefault="00F35716" w:rsidP="008D21B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184"/>
      <w:gridCol w:w="2984"/>
      <w:gridCol w:w="245"/>
      <w:gridCol w:w="3168"/>
      <w:gridCol w:w="12"/>
    </w:tblGrid>
    <w:tr w:rsidR="00F35716" w:rsidRPr="00043015" w14:paraId="32E9477E" w14:textId="77777777" w:rsidTr="00FD7378">
      <w:trPr>
        <w:gridAfter w:val="1"/>
        <w:wAfter w:w="12" w:type="dxa"/>
        <w:trHeight w:hRule="exact" w:val="864"/>
      </w:trPr>
      <w:tc>
        <w:tcPr>
          <w:tcW w:w="1267" w:type="dxa"/>
          <w:tcBorders>
            <w:bottom w:val="single" w:sz="4" w:space="0" w:color="auto"/>
          </w:tcBorders>
          <w:vAlign w:val="bottom"/>
        </w:tcPr>
        <w:p w14:paraId="32E9477A" w14:textId="77777777" w:rsidR="00F35716" w:rsidRDefault="00F35716" w:rsidP="008D21BB">
          <w:pPr>
            <w:pStyle w:val="Header"/>
            <w:spacing w:after="120"/>
          </w:pPr>
        </w:p>
      </w:tc>
      <w:tc>
        <w:tcPr>
          <w:tcW w:w="2059" w:type="dxa"/>
          <w:tcBorders>
            <w:bottom w:val="single" w:sz="4" w:space="0" w:color="auto"/>
          </w:tcBorders>
          <w:vAlign w:val="bottom"/>
        </w:tcPr>
        <w:p w14:paraId="32E9477B" w14:textId="77777777" w:rsidR="00F35716" w:rsidRPr="006C4A53" w:rsidRDefault="00F35716" w:rsidP="006C4A5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rPr>
              <w:b w:val="0"/>
              <w:spacing w:val="2"/>
              <w:w w:val="96"/>
              <w:szCs w:val="24"/>
              <w:lang w:eastAsia="es-ES"/>
            </w:rPr>
          </w:pPr>
          <w:r w:rsidRPr="006C4A53">
            <w:rPr>
              <w:b w:val="0"/>
              <w:spacing w:val="2"/>
              <w:w w:val="96"/>
              <w:szCs w:val="24"/>
              <w:lang w:eastAsia="es-ES"/>
            </w:rPr>
            <w:t>Naciones Unidas</w:t>
          </w:r>
        </w:p>
      </w:tc>
      <w:tc>
        <w:tcPr>
          <w:tcW w:w="184" w:type="dxa"/>
          <w:tcBorders>
            <w:bottom w:val="single" w:sz="4" w:space="0" w:color="auto"/>
          </w:tcBorders>
          <w:vAlign w:val="bottom"/>
        </w:tcPr>
        <w:p w14:paraId="32E9477C" w14:textId="77777777" w:rsidR="00F35716" w:rsidRDefault="00F35716" w:rsidP="008D21BB">
          <w:pPr>
            <w:pStyle w:val="Header"/>
            <w:spacing w:after="120"/>
          </w:pPr>
        </w:p>
      </w:tc>
      <w:tc>
        <w:tcPr>
          <w:tcW w:w="6397" w:type="dxa"/>
          <w:gridSpan w:val="3"/>
          <w:tcBorders>
            <w:bottom w:val="single" w:sz="4" w:space="0" w:color="auto"/>
          </w:tcBorders>
          <w:vAlign w:val="bottom"/>
        </w:tcPr>
        <w:p w14:paraId="32E9477D" w14:textId="77777777" w:rsidR="00F35716" w:rsidRPr="00571F37" w:rsidRDefault="00F35716" w:rsidP="00BB262C">
          <w:pPr>
            <w:spacing w:after="80" w:line="240" w:lineRule="auto"/>
            <w:jc w:val="right"/>
            <w:rPr>
              <w:position w:val="-4"/>
              <w:lang w:val="en-US"/>
            </w:rPr>
          </w:pPr>
          <w:r w:rsidRPr="00571F37">
            <w:rPr>
              <w:position w:val="-4"/>
              <w:sz w:val="40"/>
              <w:lang w:val="en-US"/>
            </w:rPr>
            <w:t>CEDAW</w:t>
          </w:r>
          <w:r w:rsidRPr="00571F37">
            <w:rPr>
              <w:position w:val="-4"/>
              <w:lang w:val="en-US"/>
            </w:rPr>
            <w:t>/C/</w:t>
          </w:r>
          <w:r>
            <w:rPr>
              <w:position w:val="-4"/>
              <w:lang w:val="en-US"/>
            </w:rPr>
            <w:t>MAR/5-6</w:t>
          </w:r>
        </w:p>
      </w:tc>
    </w:tr>
    <w:tr w:rsidR="00F35716" w:rsidRPr="008D21BB" w14:paraId="32E94785" w14:textId="77777777" w:rsidTr="008D21BB">
      <w:trPr>
        <w:trHeight w:hRule="exact" w:val="2880"/>
      </w:trPr>
      <w:tc>
        <w:tcPr>
          <w:tcW w:w="1267" w:type="dxa"/>
          <w:tcBorders>
            <w:top w:val="single" w:sz="4" w:space="0" w:color="auto"/>
            <w:bottom w:val="single" w:sz="12" w:space="0" w:color="auto"/>
          </w:tcBorders>
        </w:tcPr>
        <w:p w14:paraId="32E9477F" w14:textId="77777777" w:rsidR="00F35716" w:rsidRPr="008D21BB" w:rsidRDefault="00F35716" w:rsidP="008D21BB">
          <w:pPr>
            <w:pStyle w:val="Header"/>
            <w:spacing w:before="120"/>
            <w:jc w:val="center"/>
          </w:pPr>
          <w:r>
            <w:t xml:space="preserve"> </w:t>
          </w:r>
          <w:r>
            <w:rPr>
              <w:lang w:eastAsia="zh-CN"/>
            </w:rPr>
            <w:drawing>
              <wp:inline distT="0" distB="0" distL="0" distR="0" wp14:anchorId="32E9478D" wp14:editId="32E9478E">
                <wp:extent cx="669925" cy="57404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74040"/>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32E94780" w14:textId="77777777" w:rsidR="00F35716" w:rsidRPr="008D21BB" w:rsidRDefault="00F35716" w:rsidP="007E35F5">
          <w:pPr>
            <w:suppressAutoHyphens w:val="0"/>
            <w:spacing w:before="120" w:line="380" w:lineRule="exact"/>
          </w:pPr>
          <w:r w:rsidRPr="007E35F5">
            <w:rPr>
              <w:b/>
              <w:spacing w:val="0"/>
              <w:w w:val="100"/>
              <w:sz w:val="34"/>
              <w:szCs w:val="40"/>
              <w:lang w:eastAsia="es-ES"/>
            </w:rPr>
            <w:t>Convención sobre la</w:t>
          </w:r>
          <w:r>
            <w:rPr>
              <w:b/>
              <w:spacing w:val="0"/>
              <w:w w:val="100"/>
              <w:sz w:val="34"/>
              <w:szCs w:val="40"/>
              <w:lang w:eastAsia="es-ES"/>
            </w:rPr>
            <w:t xml:space="preserve"> </w:t>
          </w:r>
          <w:r w:rsidRPr="007E35F5">
            <w:rPr>
              <w:b/>
              <w:spacing w:val="0"/>
              <w:w w:val="100"/>
              <w:sz w:val="34"/>
              <w:szCs w:val="40"/>
              <w:lang w:eastAsia="es-ES"/>
            </w:rPr>
            <w:t xml:space="preserve">Eliminación </w:t>
          </w:r>
          <w:r>
            <w:rPr>
              <w:b/>
              <w:spacing w:val="0"/>
              <w:w w:val="100"/>
              <w:sz w:val="34"/>
              <w:szCs w:val="40"/>
              <w:lang w:eastAsia="es-ES"/>
            </w:rPr>
            <w:br/>
          </w:r>
          <w:r w:rsidRPr="007E35F5">
            <w:rPr>
              <w:b/>
              <w:spacing w:val="0"/>
              <w:w w:val="100"/>
              <w:sz w:val="34"/>
              <w:szCs w:val="40"/>
              <w:lang w:eastAsia="es-ES"/>
            </w:rPr>
            <w:t>de Todas las</w:t>
          </w:r>
          <w:r>
            <w:rPr>
              <w:b/>
              <w:spacing w:val="0"/>
              <w:w w:val="100"/>
              <w:sz w:val="34"/>
              <w:szCs w:val="40"/>
              <w:lang w:eastAsia="es-ES"/>
            </w:rPr>
            <w:t xml:space="preserve"> </w:t>
          </w:r>
          <w:r w:rsidRPr="007E35F5">
            <w:rPr>
              <w:b/>
              <w:spacing w:val="0"/>
              <w:w w:val="100"/>
              <w:sz w:val="34"/>
              <w:szCs w:val="40"/>
              <w:lang w:eastAsia="es-ES"/>
            </w:rPr>
            <w:t>Formas de Discriminación</w:t>
          </w:r>
          <w:r>
            <w:rPr>
              <w:b/>
              <w:spacing w:val="0"/>
              <w:w w:val="100"/>
              <w:sz w:val="34"/>
              <w:szCs w:val="40"/>
              <w:lang w:eastAsia="es-ES"/>
            </w:rPr>
            <w:t xml:space="preserve"> </w:t>
          </w:r>
          <w:r w:rsidRPr="007E35F5">
            <w:rPr>
              <w:b/>
              <w:spacing w:val="0"/>
              <w:w w:val="100"/>
              <w:sz w:val="34"/>
              <w:szCs w:val="40"/>
              <w:lang w:eastAsia="es-ES"/>
            </w:rPr>
            <w:t>contra la Mujer</w:t>
          </w:r>
        </w:p>
      </w:tc>
      <w:tc>
        <w:tcPr>
          <w:tcW w:w="245" w:type="dxa"/>
          <w:tcBorders>
            <w:top w:val="single" w:sz="4" w:space="0" w:color="auto"/>
            <w:bottom w:val="single" w:sz="12" w:space="0" w:color="auto"/>
          </w:tcBorders>
        </w:tcPr>
        <w:p w14:paraId="32E94781" w14:textId="77777777" w:rsidR="00F35716" w:rsidRPr="00571F37" w:rsidRDefault="00F35716" w:rsidP="008D21BB">
          <w:pPr>
            <w:pStyle w:val="Header"/>
            <w:spacing w:before="109"/>
            <w:rPr>
              <w:lang w:val="es-ES_tradnl"/>
            </w:rPr>
          </w:pPr>
        </w:p>
      </w:tc>
      <w:tc>
        <w:tcPr>
          <w:tcW w:w="3180" w:type="dxa"/>
          <w:gridSpan w:val="2"/>
          <w:tcBorders>
            <w:top w:val="single" w:sz="4" w:space="0" w:color="auto"/>
            <w:bottom w:val="single" w:sz="12" w:space="0" w:color="auto"/>
          </w:tcBorders>
        </w:tcPr>
        <w:p w14:paraId="32E94782" w14:textId="77777777" w:rsidR="00F35716" w:rsidRDefault="00F35716" w:rsidP="008D21BB">
          <w:pPr>
            <w:pStyle w:val="Distribution"/>
            <w:spacing w:before="240"/>
          </w:pPr>
          <w:r w:rsidRPr="006857D9">
            <w:t>Distr. general</w:t>
          </w:r>
        </w:p>
        <w:p w14:paraId="32E94783" w14:textId="25AFC469" w:rsidR="00F35716" w:rsidRDefault="00F35716" w:rsidP="008D21BB">
          <w:pPr>
            <w:pStyle w:val="Publication"/>
          </w:pPr>
          <w:r>
            <w:t>19</w:t>
          </w:r>
          <w:r w:rsidRPr="006857D9">
            <w:t xml:space="preserve"> de </w:t>
          </w:r>
          <w:r>
            <w:t>febrero de 2020</w:t>
          </w:r>
        </w:p>
        <w:p w14:paraId="32E94784" w14:textId="77777777" w:rsidR="00F35716" w:rsidRPr="008D21BB" w:rsidRDefault="00F35716" w:rsidP="00BB262C">
          <w:r>
            <w:t>Español</w:t>
          </w:r>
          <w:r>
            <w:br/>
            <w:t>Original: árabe</w:t>
          </w:r>
          <w:r>
            <w:br/>
            <w:t>Árabe</w:t>
          </w:r>
          <w:r w:rsidRPr="00F25091">
            <w:t xml:space="preserve">, </w:t>
          </w:r>
          <w:r>
            <w:t xml:space="preserve">español, </w:t>
          </w:r>
          <w:r w:rsidRPr="00F25091">
            <w:t>francés e inglés únicamente</w:t>
          </w:r>
        </w:p>
      </w:tc>
    </w:tr>
  </w:tbl>
  <w:p w14:paraId="32E94786" w14:textId="77777777" w:rsidR="00F35716" w:rsidRPr="00043015" w:rsidRDefault="00F35716" w:rsidP="008D21BB">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18FC"/>
    <w:multiLevelType w:val="hybridMultilevel"/>
    <w:tmpl w:val="BAE0C936"/>
    <w:lvl w:ilvl="0" w:tplc="8B68991E">
      <w:start w:val="127"/>
      <w:numFmt w:val="bullet"/>
      <w:lvlText w:val="-"/>
      <w:lvlJc w:val="left"/>
      <w:pPr>
        <w:ind w:left="720" w:hanging="360"/>
      </w:pPr>
      <w:rPr>
        <w:rFonts w:ascii="Sakkal Majalla" w:eastAsia="Times New Roman" w:hAnsi="Sakkal Majalla" w:cs="Sakkal Majalla"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3ACB43FD"/>
    <w:multiLevelType w:val="multilevel"/>
    <w:tmpl w:val="0C0A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cs="Times New Roman" w:hint="default"/>
      </w:rPr>
    </w:lvl>
    <w:lvl w:ilvl="2">
      <w:start w:val="1"/>
      <w:numFmt w:val="lowerRoman"/>
      <w:lvlText w:val="%3)"/>
      <w:lvlJc w:val="left"/>
      <w:pPr>
        <w:tabs>
          <w:tab w:val="num" w:pos="3096"/>
        </w:tabs>
        <w:ind w:left="3096" w:hanging="360"/>
      </w:pPr>
      <w:rPr>
        <w:rFonts w:cs="Times New Roman" w:hint="default"/>
      </w:rPr>
    </w:lvl>
    <w:lvl w:ilvl="3">
      <w:start w:val="1"/>
      <w:numFmt w:val="decimal"/>
      <w:lvlText w:val="(%4)"/>
      <w:lvlJc w:val="left"/>
      <w:pPr>
        <w:tabs>
          <w:tab w:val="num" w:pos="3456"/>
        </w:tabs>
        <w:ind w:left="3456" w:hanging="360"/>
      </w:pPr>
      <w:rPr>
        <w:rFonts w:cs="Times New Roman" w:hint="default"/>
      </w:rPr>
    </w:lvl>
    <w:lvl w:ilvl="4">
      <w:start w:val="1"/>
      <w:numFmt w:val="lowerLetter"/>
      <w:lvlText w:val="(%5)"/>
      <w:lvlJc w:val="left"/>
      <w:pPr>
        <w:tabs>
          <w:tab w:val="num" w:pos="3816"/>
        </w:tabs>
        <w:ind w:left="3816" w:hanging="360"/>
      </w:pPr>
      <w:rPr>
        <w:rFonts w:cs="Times New Roman" w:hint="default"/>
      </w:rPr>
    </w:lvl>
    <w:lvl w:ilvl="5">
      <w:start w:val="1"/>
      <w:numFmt w:val="lowerRoman"/>
      <w:lvlText w:val="(%6)"/>
      <w:lvlJc w:val="left"/>
      <w:pPr>
        <w:tabs>
          <w:tab w:val="num" w:pos="4176"/>
        </w:tabs>
        <w:ind w:left="4176" w:hanging="360"/>
      </w:pPr>
      <w:rPr>
        <w:rFonts w:cs="Times New Roman" w:hint="default"/>
      </w:rPr>
    </w:lvl>
    <w:lvl w:ilvl="6">
      <w:start w:val="1"/>
      <w:numFmt w:val="decimal"/>
      <w:lvlText w:val="%7."/>
      <w:lvlJc w:val="left"/>
      <w:pPr>
        <w:tabs>
          <w:tab w:val="num" w:pos="4536"/>
        </w:tabs>
        <w:ind w:left="4536" w:hanging="360"/>
      </w:pPr>
      <w:rPr>
        <w:rFonts w:cs="Times New Roman" w:hint="default"/>
      </w:rPr>
    </w:lvl>
    <w:lvl w:ilvl="7">
      <w:start w:val="1"/>
      <w:numFmt w:val="lowerLetter"/>
      <w:lvlText w:val="%8."/>
      <w:lvlJc w:val="left"/>
      <w:pPr>
        <w:tabs>
          <w:tab w:val="num" w:pos="4896"/>
        </w:tabs>
        <w:ind w:left="4896" w:hanging="360"/>
      </w:pPr>
      <w:rPr>
        <w:rFonts w:cs="Times New Roman" w:hint="default"/>
      </w:rPr>
    </w:lvl>
    <w:lvl w:ilvl="8">
      <w:start w:val="1"/>
      <w:numFmt w:val="lowerRoman"/>
      <w:lvlText w:val="%9."/>
      <w:lvlJc w:val="left"/>
      <w:pPr>
        <w:tabs>
          <w:tab w:val="num" w:pos="5256"/>
        </w:tabs>
        <w:ind w:left="5256" w:hanging="360"/>
      </w:pPr>
      <w:rPr>
        <w:rFonts w:cs="Times New Roman"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15:restartNumberingAfterBreak="0">
    <w:nsid w:val="6B34077A"/>
    <w:multiLevelType w:val="hybridMultilevel"/>
    <w:tmpl w:val="D75EE2F0"/>
    <w:lvl w:ilvl="0" w:tplc="17488ED4">
      <w:start w:val="43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ADF01A6"/>
    <w:multiLevelType w:val="hybridMultilevel"/>
    <w:tmpl w:val="E502395A"/>
    <w:lvl w:ilvl="0" w:tplc="0C0A000F">
      <w:start w:val="1"/>
      <w:numFmt w:val="decimal"/>
      <w:lvlText w:val="%1."/>
      <w:lvlJc w:val="left"/>
      <w:pPr>
        <w:ind w:left="1987" w:hanging="360"/>
      </w:pPr>
      <w:rPr>
        <w:rFonts w:cs="Times New Roman" w:hint="default"/>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num w:numId="1">
    <w:abstractNumId w:val="5"/>
  </w:num>
  <w:num w:numId="2">
    <w:abstractNumId w:val="8"/>
  </w:num>
  <w:num w:numId="3">
    <w:abstractNumId w:val="3"/>
  </w:num>
  <w:num w:numId="4">
    <w:abstractNumId w:val="6"/>
  </w:num>
  <w:num w:numId="5">
    <w:abstractNumId w:val="7"/>
  </w:num>
  <w:num w:numId="6">
    <w:abstractNumId w:val="2"/>
  </w:num>
  <w:num w:numId="7">
    <w:abstractNumId w:val="1"/>
  </w:num>
  <w:num w:numId="8">
    <w:abstractNumId w:val="10"/>
  </w:num>
  <w:num w:numId="9">
    <w:abstractNumId w:val="4"/>
  </w:num>
  <w:num w:numId="10">
    <w:abstractNumId w:val="0"/>
    <w:lvlOverride w:ilvl="0">
      <w:lvl w:ilvl="0" w:tplc="8B68991E">
        <w:start w:val="127"/>
        <w:numFmt w:val="bullet"/>
        <w:lvlText w:val="-"/>
        <w:lvlJc w:val="left"/>
        <w:pPr>
          <w:ind w:left="720" w:hanging="360"/>
        </w:pPr>
        <w:rPr>
          <w:rFonts w:ascii="Sakkal Majalla" w:eastAsia="Times New Roman" w:hAnsi="Sakkal Majalla" w:cs="Sakkal Majalla" w:hint="default"/>
          <w:sz w:val="28"/>
        </w:rPr>
      </w:lvl>
    </w:lvlOverride>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02608*"/>
    <w:docVar w:name="FooterJN" w:val="20-02608"/>
    <w:docVar w:name="jobn" w:val="20-02608 (S)"/>
    <w:docVar w:name="JobNo" w:val="2002608S"/>
    <w:docVar w:name="ODSRefJobNo" w:val="2004357S"/>
    <w:docVar w:name="sss1" w:val="CEDAW/C/MAR/5-6"/>
    <w:docVar w:name="sss2" w:val="-"/>
  </w:docVars>
  <w:rsids>
    <w:rsidRoot w:val="001C653D"/>
    <w:rsid w:val="0000104C"/>
    <w:rsid w:val="00001487"/>
    <w:rsid w:val="00001CC4"/>
    <w:rsid w:val="000025A2"/>
    <w:rsid w:val="00002B98"/>
    <w:rsid w:val="0000430F"/>
    <w:rsid w:val="00004964"/>
    <w:rsid w:val="00005995"/>
    <w:rsid w:val="00006EDF"/>
    <w:rsid w:val="0000710C"/>
    <w:rsid w:val="0001023A"/>
    <w:rsid w:val="00010695"/>
    <w:rsid w:val="00011ED9"/>
    <w:rsid w:val="00012C47"/>
    <w:rsid w:val="000145F1"/>
    <w:rsid w:val="000148F0"/>
    <w:rsid w:val="00014EC5"/>
    <w:rsid w:val="00016FE6"/>
    <w:rsid w:val="0001710A"/>
    <w:rsid w:val="000206ED"/>
    <w:rsid w:val="00020C01"/>
    <w:rsid w:val="00021431"/>
    <w:rsid w:val="00022AAB"/>
    <w:rsid w:val="000230FD"/>
    <w:rsid w:val="00023216"/>
    <w:rsid w:val="00025324"/>
    <w:rsid w:val="00025DF8"/>
    <w:rsid w:val="00026454"/>
    <w:rsid w:val="000271D6"/>
    <w:rsid w:val="00030619"/>
    <w:rsid w:val="000318AF"/>
    <w:rsid w:val="00033058"/>
    <w:rsid w:val="000336E0"/>
    <w:rsid w:val="000342CD"/>
    <w:rsid w:val="0003430A"/>
    <w:rsid w:val="000349DD"/>
    <w:rsid w:val="00035410"/>
    <w:rsid w:val="00035AAF"/>
    <w:rsid w:val="000369B5"/>
    <w:rsid w:val="000369E6"/>
    <w:rsid w:val="000371D6"/>
    <w:rsid w:val="000375F9"/>
    <w:rsid w:val="00037E63"/>
    <w:rsid w:val="00037EFC"/>
    <w:rsid w:val="00040B8F"/>
    <w:rsid w:val="000417D2"/>
    <w:rsid w:val="00042B87"/>
    <w:rsid w:val="00042F3C"/>
    <w:rsid w:val="00043015"/>
    <w:rsid w:val="00043D79"/>
    <w:rsid w:val="00044517"/>
    <w:rsid w:val="00045CA9"/>
    <w:rsid w:val="00046165"/>
    <w:rsid w:val="00046898"/>
    <w:rsid w:val="0004777D"/>
    <w:rsid w:val="000479D0"/>
    <w:rsid w:val="00051DE1"/>
    <w:rsid w:val="0005203D"/>
    <w:rsid w:val="0005325C"/>
    <w:rsid w:val="000534EB"/>
    <w:rsid w:val="00054DB8"/>
    <w:rsid w:val="00056C98"/>
    <w:rsid w:val="0006088E"/>
    <w:rsid w:val="00061177"/>
    <w:rsid w:val="00063095"/>
    <w:rsid w:val="000631FC"/>
    <w:rsid w:val="000637D6"/>
    <w:rsid w:val="000640B1"/>
    <w:rsid w:val="00066260"/>
    <w:rsid w:val="000667E7"/>
    <w:rsid w:val="0006736D"/>
    <w:rsid w:val="00067D9C"/>
    <w:rsid w:val="00067E43"/>
    <w:rsid w:val="0007083E"/>
    <w:rsid w:val="00070A0A"/>
    <w:rsid w:val="000724E5"/>
    <w:rsid w:val="00074685"/>
    <w:rsid w:val="0007540F"/>
    <w:rsid w:val="00075FA3"/>
    <w:rsid w:val="00076C30"/>
    <w:rsid w:val="00076E01"/>
    <w:rsid w:val="000806AC"/>
    <w:rsid w:val="00080B40"/>
    <w:rsid w:val="00082ABE"/>
    <w:rsid w:val="00083C63"/>
    <w:rsid w:val="00084653"/>
    <w:rsid w:val="00084B23"/>
    <w:rsid w:val="00085DDE"/>
    <w:rsid w:val="000865BD"/>
    <w:rsid w:val="000871C1"/>
    <w:rsid w:val="000873D4"/>
    <w:rsid w:val="0009032B"/>
    <w:rsid w:val="00092210"/>
    <w:rsid w:val="00092F9D"/>
    <w:rsid w:val="00093E29"/>
    <w:rsid w:val="000947C5"/>
    <w:rsid w:val="00095062"/>
    <w:rsid w:val="00096348"/>
    <w:rsid w:val="000A0C7C"/>
    <w:rsid w:val="000A1573"/>
    <w:rsid w:val="000A1971"/>
    <w:rsid w:val="000A20E3"/>
    <w:rsid w:val="000A21C3"/>
    <w:rsid w:val="000A2978"/>
    <w:rsid w:val="000A2E2A"/>
    <w:rsid w:val="000A53F1"/>
    <w:rsid w:val="000A6B28"/>
    <w:rsid w:val="000A6B7E"/>
    <w:rsid w:val="000A7197"/>
    <w:rsid w:val="000A7E1E"/>
    <w:rsid w:val="000B0690"/>
    <w:rsid w:val="000B0965"/>
    <w:rsid w:val="000B2A4E"/>
    <w:rsid w:val="000B369F"/>
    <w:rsid w:val="000B5129"/>
    <w:rsid w:val="000B5344"/>
    <w:rsid w:val="000B71D9"/>
    <w:rsid w:val="000C1009"/>
    <w:rsid w:val="000C10BF"/>
    <w:rsid w:val="000C4DCC"/>
    <w:rsid w:val="000C4E7D"/>
    <w:rsid w:val="000C51DD"/>
    <w:rsid w:val="000C655C"/>
    <w:rsid w:val="000C6904"/>
    <w:rsid w:val="000C7473"/>
    <w:rsid w:val="000D11F7"/>
    <w:rsid w:val="000D1E48"/>
    <w:rsid w:val="000D1F3D"/>
    <w:rsid w:val="000D21E6"/>
    <w:rsid w:val="000D2428"/>
    <w:rsid w:val="000D3534"/>
    <w:rsid w:val="000D3C2B"/>
    <w:rsid w:val="000D4A11"/>
    <w:rsid w:val="000D64ED"/>
    <w:rsid w:val="000D686E"/>
    <w:rsid w:val="000D6F76"/>
    <w:rsid w:val="000D7076"/>
    <w:rsid w:val="000D777F"/>
    <w:rsid w:val="000E01F7"/>
    <w:rsid w:val="000E2489"/>
    <w:rsid w:val="000E3195"/>
    <w:rsid w:val="000E4917"/>
    <w:rsid w:val="000E49E6"/>
    <w:rsid w:val="000E5000"/>
    <w:rsid w:val="000E512E"/>
    <w:rsid w:val="000E536E"/>
    <w:rsid w:val="000E5DB6"/>
    <w:rsid w:val="000E66F5"/>
    <w:rsid w:val="000E67FD"/>
    <w:rsid w:val="000E6FEB"/>
    <w:rsid w:val="000E7B9F"/>
    <w:rsid w:val="000F5982"/>
    <w:rsid w:val="000F5AC7"/>
    <w:rsid w:val="000F6BD9"/>
    <w:rsid w:val="000F7375"/>
    <w:rsid w:val="001003F0"/>
    <w:rsid w:val="00100672"/>
    <w:rsid w:val="00100AEB"/>
    <w:rsid w:val="00101405"/>
    <w:rsid w:val="00102135"/>
    <w:rsid w:val="001023C5"/>
    <w:rsid w:val="00102AB4"/>
    <w:rsid w:val="001037C7"/>
    <w:rsid w:val="001049B2"/>
    <w:rsid w:val="00105947"/>
    <w:rsid w:val="00105C30"/>
    <w:rsid w:val="00106AD3"/>
    <w:rsid w:val="00107701"/>
    <w:rsid w:val="00107739"/>
    <w:rsid w:val="001109AD"/>
    <w:rsid w:val="00111023"/>
    <w:rsid w:val="00111557"/>
    <w:rsid w:val="00111CCB"/>
    <w:rsid w:val="00112DEA"/>
    <w:rsid w:val="00113CF1"/>
    <w:rsid w:val="00116268"/>
    <w:rsid w:val="001174B6"/>
    <w:rsid w:val="001179C3"/>
    <w:rsid w:val="00120313"/>
    <w:rsid w:val="00121175"/>
    <w:rsid w:val="0012119F"/>
    <w:rsid w:val="00121651"/>
    <w:rsid w:val="00124FD0"/>
    <w:rsid w:val="001259AF"/>
    <w:rsid w:val="00125F73"/>
    <w:rsid w:val="0012729B"/>
    <w:rsid w:val="00127EBE"/>
    <w:rsid w:val="00132DAF"/>
    <w:rsid w:val="001356B9"/>
    <w:rsid w:val="00135E50"/>
    <w:rsid w:val="00136CE5"/>
    <w:rsid w:val="00140F45"/>
    <w:rsid w:val="0014163F"/>
    <w:rsid w:val="00143B7C"/>
    <w:rsid w:val="00144177"/>
    <w:rsid w:val="00144E52"/>
    <w:rsid w:val="0014610D"/>
    <w:rsid w:val="001471F6"/>
    <w:rsid w:val="00147CC5"/>
    <w:rsid w:val="00152E53"/>
    <w:rsid w:val="00153EA2"/>
    <w:rsid w:val="00153FD7"/>
    <w:rsid w:val="00154204"/>
    <w:rsid w:val="001561B2"/>
    <w:rsid w:val="00156468"/>
    <w:rsid w:val="0015662C"/>
    <w:rsid w:val="001571BC"/>
    <w:rsid w:val="001576DA"/>
    <w:rsid w:val="00161D73"/>
    <w:rsid w:val="00162A62"/>
    <w:rsid w:val="00163322"/>
    <w:rsid w:val="00164540"/>
    <w:rsid w:val="00167AA8"/>
    <w:rsid w:val="00167D2E"/>
    <w:rsid w:val="001701FE"/>
    <w:rsid w:val="00170784"/>
    <w:rsid w:val="0017081E"/>
    <w:rsid w:val="00171782"/>
    <w:rsid w:val="001721BE"/>
    <w:rsid w:val="0017279C"/>
    <w:rsid w:val="00174971"/>
    <w:rsid w:val="00174BD8"/>
    <w:rsid w:val="00175A4F"/>
    <w:rsid w:val="0017756D"/>
    <w:rsid w:val="00177A61"/>
    <w:rsid w:val="00177ACC"/>
    <w:rsid w:val="0018579A"/>
    <w:rsid w:val="00186A14"/>
    <w:rsid w:val="00187C4A"/>
    <w:rsid w:val="00187DB3"/>
    <w:rsid w:val="00190B00"/>
    <w:rsid w:val="00190CE7"/>
    <w:rsid w:val="0019335C"/>
    <w:rsid w:val="0019346E"/>
    <w:rsid w:val="0019526C"/>
    <w:rsid w:val="00195B62"/>
    <w:rsid w:val="00195EFF"/>
    <w:rsid w:val="00195F9F"/>
    <w:rsid w:val="00196654"/>
    <w:rsid w:val="00197E48"/>
    <w:rsid w:val="001A0A30"/>
    <w:rsid w:val="001A13FC"/>
    <w:rsid w:val="001A208A"/>
    <w:rsid w:val="001A2E38"/>
    <w:rsid w:val="001A2FAC"/>
    <w:rsid w:val="001A3A4E"/>
    <w:rsid w:val="001A546F"/>
    <w:rsid w:val="001A592C"/>
    <w:rsid w:val="001A72EA"/>
    <w:rsid w:val="001B127F"/>
    <w:rsid w:val="001B2FC3"/>
    <w:rsid w:val="001B4A68"/>
    <w:rsid w:val="001B4AD2"/>
    <w:rsid w:val="001B4B25"/>
    <w:rsid w:val="001B56CE"/>
    <w:rsid w:val="001B581E"/>
    <w:rsid w:val="001B5CC5"/>
    <w:rsid w:val="001B5DD4"/>
    <w:rsid w:val="001B6E48"/>
    <w:rsid w:val="001C00F4"/>
    <w:rsid w:val="001C16CA"/>
    <w:rsid w:val="001C1CD5"/>
    <w:rsid w:val="001C1FA6"/>
    <w:rsid w:val="001C2044"/>
    <w:rsid w:val="001C2D40"/>
    <w:rsid w:val="001C2E87"/>
    <w:rsid w:val="001C339D"/>
    <w:rsid w:val="001C4833"/>
    <w:rsid w:val="001C5E85"/>
    <w:rsid w:val="001C653D"/>
    <w:rsid w:val="001C7278"/>
    <w:rsid w:val="001C7AC8"/>
    <w:rsid w:val="001C7FE7"/>
    <w:rsid w:val="001D04E3"/>
    <w:rsid w:val="001D057A"/>
    <w:rsid w:val="001D0CA8"/>
    <w:rsid w:val="001D14BB"/>
    <w:rsid w:val="001D3927"/>
    <w:rsid w:val="001D4A0C"/>
    <w:rsid w:val="001D5359"/>
    <w:rsid w:val="001D681C"/>
    <w:rsid w:val="001D6BDA"/>
    <w:rsid w:val="001E04C4"/>
    <w:rsid w:val="001E2641"/>
    <w:rsid w:val="001E290A"/>
    <w:rsid w:val="001E4835"/>
    <w:rsid w:val="001F0EC3"/>
    <w:rsid w:val="001F1D4C"/>
    <w:rsid w:val="001F2FC0"/>
    <w:rsid w:val="001F3D69"/>
    <w:rsid w:val="001F434E"/>
    <w:rsid w:val="001F574A"/>
    <w:rsid w:val="001F74B0"/>
    <w:rsid w:val="001F7883"/>
    <w:rsid w:val="00200A61"/>
    <w:rsid w:val="002010D8"/>
    <w:rsid w:val="002010EC"/>
    <w:rsid w:val="00201DC4"/>
    <w:rsid w:val="0020317D"/>
    <w:rsid w:val="00203C5D"/>
    <w:rsid w:val="00204309"/>
    <w:rsid w:val="00205DD8"/>
    <w:rsid w:val="0020684C"/>
    <w:rsid w:val="002070C6"/>
    <w:rsid w:val="00207467"/>
    <w:rsid w:val="00207F24"/>
    <w:rsid w:val="00211015"/>
    <w:rsid w:val="00213294"/>
    <w:rsid w:val="002139EA"/>
    <w:rsid w:val="00214A77"/>
    <w:rsid w:val="00214AF3"/>
    <w:rsid w:val="002160F6"/>
    <w:rsid w:val="0021646A"/>
    <w:rsid w:val="0021667F"/>
    <w:rsid w:val="002173A1"/>
    <w:rsid w:val="00217E05"/>
    <w:rsid w:val="0022060C"/>
    <w:rsid w:val="002210BB"/>
    <w:rsid w:val="0022389F"/>
    <w:rsid w:val="0022421A"/>
    <w:rsid w:val="002242E2"/>
    <w:rsid w:val="002277C7"/>
    <w:rsid w:val="0023063E"/>
    <w:rsid w:val="002307A4"/>
    <w:rsid w:val="00232220"/>
    <w:rsid w:val="0023253E"/>
    <w:rsid w:val="00232F14"/>
    <w:rsid w:val="00233CB8"/>
    <w:rsid w:val="00233D59"/>
    <w:rsid w:val="00233F13"/>
    <w:rsid w:val="0023411A"/>
    <w:rsid w:val="002345EA"/>
    <w:rsid w:val="00235EB9"/>
    <w:rsid w:val="00237DC0"/>
    <w:rsid w:val="00240653"/>
    <w:rsid w:val="00240D4E"/>
    <w:rsid w:val="0024120C"/>
    <w:rsid w:val="00242088"/>
    <w:rsid w:val="00242727"/>
    <w:rsid w:val="0024283D"/>
    <w:rsid w:val="0024338C"/>
    <w:rsid w:val="00244CF4"/>
    <w:rsid w:val="002457EF"/>
    <w:rsid w:val="00246EB0"/>
    <w:rsid w:val="00246F79"/>
    <w:rsid w:val="00247894"/>
    <w:rsid w:val="0025023F"/>
    <w:rsid w:val="00250B90"/>
    <w:rsid w:val="00251995"/>
    <w:rsid w:val="00254473"/>
    <w:rsid w:val="002548DE"/>
    <w:rsid w:val="00255046"/>
    <w:rsid w:val="00255E19"/>
    <w:rsid w:val="0025615B"/>
    <w:rsid w:val="00260DF5"/>
    <w:rsid w:val="00261CCA"/>
    <w:rsid w:val="00262A0C"/>
    <w:rsid w:val="0026366C"/>
    <w:rsid w:val="002639B8"/>
    <w:rsid w:val="00264271"/>
    <w:rsid w:val="0026516E"/>
    <w:rsid w:val="002652F7"/>
    <w:rsid w:val="00265440"/>
    <w:rsid w:val="002669A6"/>
    <w:rsid w:val="00266F6B"/>
    <w:rsid w:val="00267C5A"/>
    <w:rsid w:val="00271DB6"/>
    <w:rsid w:val="00272964"/>
    <w:rsid w:val="0027346B"/>
    <w:rsid w:val="002744AC"/>
    <w:rsid w:val="00276008"/>
    <w:rsid w:val="00276848"/>
    <w:rsid w:val="0027694B"/>
    <w:rsid w:val="00277685"/>
    <w:rsid w:val="00280C39"/>
    <w:rsid w:val="00281CCC"/>
    <w:rsid w:val="00283B0F"/>
    <w:rsid w:val="002841B4"/>
    <w:rsid w:val="00285CF2"/>
    <w:rsid w:val="0028737C"/>
    <w:rsid w:val="002919A1"/>
    <w:rsid w:val="002919E9"/>
    <w:rsid w:val="00292541"/>
    <w:rsid w:val="00292914"/>
    <w:rsid w:val="00293B98"/>
    <w:rsid w:val="00295FD6"/>
    <w:rsid w:val="0029609B"/>
    <w:rsid w:val="00296961"/>
    <w:rsid w:val="00297ED1"/>
    <w:rsid w:val="002A0F94"/>
    <w:rsid w:val="002A10AD"/>
    <w:rsid w:val="002A1F8A"/>
    <w:rsid w:val="002A2E26"/>
    <w:rsid w:val="002A2F43"/>
    <w:rsid w:val="002A45F9"/>
    <w:rsid w:val="002A5306"/>
    <w:rsid w:val="002A60A9"/>
    <w:rsid w:val="002A65ED"/>
    <w:rsid w:val="002A79F2"/>
    <w:rsid w:val="002A7DDE"/>
    <w:rsid w:val="002B0591"/>
    <w:rsid w:val="002B0F08"/>
    <w:rsid w:val="002B105C"/>
    <w:rsid w:val="002B1378"/>
    <w:rsid w:val="002B1548"/>
    <w:rsid w:val="002B2680"/>
    <w:rsid w:val="002B2B36"/>
    <w:rsid w:val="002B2CEC"/>
    <w:rsid w:val="002B38EE"/>
    <w:rsid w:val="002B5897"/>
    <w:rsid w:val="002B6B53"/>
    <w:rsid w:val="002B7407"/>
    <w:rsid w:val="002C2496"/>
    <w:rsid w:val="002C2BD0"/>
    <w:rsid w:val="002C2CAF"/>
    <w:rsid w:val="002C345B"/>
    <w:rsid w:val="002C379E"/>
    <w:rsid w:val="002C3D40"/>
    <w:rsid w:val="002C3E79"/>
    <w:rsid w:val="002C716B"/>
    <w:rsid w:val="002C7EF1"/>
    <w:rsid w:val="002D14B3"/>
    <w:rsid w:val="002D27DE"/>
    <w:rsid w:val="002D3F35"/>
    <w:rsid w:val="002D422C"/>
    <w:rsid w:val="002D53C0"/>
    <w:rsid w:val="002D56D8"/>
    <w:rsid w:val="002D79B5"/>
    <w:rsid w:val="002E1262"/>
    <w:rsid w:val="002E2A29"/>
    <w:rsid w:val="002E308E"/>
    <w:rsid w:val="002E3C76"/>
    <w:rsid w:val="002E50CA"/>
    <w:rsid w:val="002E6792"/>
    <w:rsid w:val="002E7B8C"/>
    <w:rsid w:val="002F0A5D"/>
    <w:rsid w:val="002F23EC"/>
    <w:rsid w:val="002F2E0B"/>
    <w:rsid w:val="002F4C08"/>
    <w:rsid w:val="00300BA6"/>
    <w:rsid w:val="00300C5E"/>
    <w:rsid w:val="003034FD"/>
    <w:rsid w:val="00303A2A"/>
    <w:rsid w:val="00304AC4"/>
    <w:rsid w:val="00305CCD"/>
    <w:rsid w:val="003076FE"/>
    <w:rsid w:val="00310579"/>
    <w:rsid w:val="00311B18"/>
    <w:rsid w:val="00312481"/>
    <w:rsid w:val="00316935"/>
    <w:rsid w:val="00321A3A"/>
    <w:rsid w:val="00321E20"/>
    <w:rsid w:val="00322F8F"/>
    <w:rsid w:val="00323F27"/>
    <w:rsid w:val="00324458"/>
    <w:rsid w:val="00327A13"/>
    <w:rsid w:val="00327CF4"/>
    <w:rsid w:val="00330167"/>
    <w:rsid w:val="00331FB6"/>
    <w:rsid w:val="00332991"/>
    <w:rsid w:val="00332BD8"/>
    <w:rsid w:val="00332FF3"/>
    <w:rsid w:val="00333576"/>
    <w:rsid w:val="00333608"/>
    <w:rsid w:val="00333BF7"/>
    <w:rsid w:val="003359DE"/>
    <w:rsid w:val="003363C7"/>
    <w:rsid w:val="00336D0F"/>
    <w:rsid w:val="0033750B"/>
    <w:rsid w:val="00337761"/>
    <w:rsid w:val="00341C5C"/>
    <w:rsid w:val="00343253"/>
    <w:rsid w:val="003452B8"/>
    <w:rsid w:val="00345851"/>
    <w:rsid w:val="0034771F"/>
    <w:rsid w:val="00347865"/>
    <w:rsid w:val="00347A66"/>
    <w:rsid w:val="003500B0"/>
    <w:rsid w:val="00352CDF"/>
    <w:rsid w:val="00355628"/>
    <w:rsid w:val="0035601E"/>
    <w:rsid w:val="003574EA"/>
    <w:rsid w:val="00357E24"/>
    <w:rsid w:val="00360B1A"/>
    <w:rsid w:val="00360FB4"/>
    <w:rsid w:val="003626AF"/>
    <w:rsid w:val="00363CCE"/>
    <w:rsid w:val="00364682"/>
    <w:rsid w:val="00364F73"/>
    <w:rsid w:val="00365806"/>
    <w:rsid w:val="00365EC7"/>
    <w:rsid w:val="00367739"/>
    <w:rsid w:val="00370229"/>
    <w:rsid w:val="00371AE2"/>
    <w:rsid w:val="0037276B"/>
    <w:rsid w:val="0037312C"/>
    <w:rsid w:val="0037429E"/>
    <w:rsid w:val="003754AD"/>
    <w:rsid w:val="00375801"/>
    <w:rsid w:val="00375BA4"/>
    <w:rsid w:val="003779EE"/>
    <w:rsid w:val="00377C84"/>
    <w:rsid w:val="00381011"/>
    <w:rsid w:val="00381543"/>
    <w:rsid w:val="00382027"/>
    <w:rsid w:val="00383890"/>
    <w:rsid w:val="00384B72"/>
    <w:rsid w:val="0038526F"/>
    <w:rsid w:val="00385373"/>
    <w:rsid w:val="00385EC5"/>
    <w:rsid w:val="00387A7E"/>
    <w:rsid w:val="00391870"/>
    <w:rsid w:val="0039216F"/>
    <w:rsid w:val="003926E1"/>
    <w:rsid w:val="00392C66"/>
    <w:rsid w:val="00393F05"/>
    <w:rsid w:val="00396585"/>
    <w:rsid w:val="003965EE"/>
    <w:rsid w:val="00397636"/>
    <w:rsid w:val="00397EF1"/>
    <w:rsid w:val="003A0AC3"/>
    <w:rsid w:val="003A1259"/>
    <w:rsid w:val="003A46BA"/>
    <w:rsid w:val="003A48C4"/>
    <w:rsid w:val="003A4CF3"/>
    <w:rsid w:val="003A5026"/>
    <w:rsid w:val="003A53E9"/>
    <w:rsid w:val="003A5CE7"/>
    <w:rsid w:val="003B11A4"/>
    <w:rsid w:val="003B145C"/>
    <w:rsid w:val="003B24BF"/>
    <w:rsid w:val="003B311E"/>
    <w:rsid w:val="003B3AF7"/>
    <w:rsid w:val="003B5428"/>
    <w:rsid w:val="003B613E"/>
    <w:rsid w:val="003C0ECF"/>
    <w:rsid w:val="003C12C7"/>
    <w:rsid w:val="003C1B11"/>
    <w:rsid w:val="003C29C1"/>
    <w:rsid w:val="003C2AA1"/>
    <w:rsid w:val="003C2D96"/>
    <w:rsid w:val="003C3292"/>
    <w:rsid w:val="003C473B"/>
    <w:rsid w:val="003C4940"/>
    <w:rsid w:val="003C5008"/>
    <w:rsid w:val="003C5E03"/>
    <w:rsid w:val="003C67B3"/>
    <w:rsid w:val="003C6A90"/>
    <w:rsid w:val="003D0109"/>
    <w:rsid w:val="003D0989"/>
    <w:rsid w:val="003D1093"/>
    <w:rsid w:val="003D18AF"/>
    <w:rsid w:val="003D27F6"/>
    <w:rsid w:val="003D2D4A"/>
    <w:rsid w:val="003D31CB"/>
    <w:rsid w:val="003D40D4"/>
    <w:rsid w:val="003D7D50"/>
    <w:rsid w:val="003D7F12"/>
    <w:rsid w:val="003E060E"/>
    <w:rsid w:val="003E2B19"/>
    <w:rsid w:val="003E2D85"/>
    <w:rsid w:val="003E455C"/>
    <w:rsid w:val="003E51C2"/>
    <w:rsid w:val="003E5AAE"/>
    <w:rsid w:val="003E60D2"/>
    <w:rsid w:val="003E64FA"/>
    <w:rsid w:val="003E6AE7"/>
    <w:rsid w:val="003E7A69"/>
    <w:rsid w:val="003F0129"/>
    <w:rsid w:val="003F2A56"/>
    <w:rsid w:val="003F3052"/>
    <w:rsid w:val="003F3231"/>
    <w:rsid w:val="003F3C3C"/>
    <w:rsid w:val="003F5D4D"/>
    <w:rsid w:val="003F72BB"/>
    <w:rsid w:val="003F77A9"/>
    <w:rsid w:val="003F7F2A"/>
    <w:rsid w:val="00400307"/>
    <w:rsid w:val="00400A6A"/>
    <w:rsid w:val="00401FA2"/>
    <w:rsid w:val="00403337"/>
    <w:rsid w:val="00403D85"/>
    <w:rsid w:val="00404990"/>
    <w:rsid w:val="0040564F"/>
    <w:rsid w:val="004057C7"/>
    <w:rsid w:val="00405E0F"/>
    <w:rsid w:val="004072AB"/>
    <w:rsid w:val="0041088C"/>
    <w:rsid w:val="0041384A"/>
    <w:rsid w:val="004141CE"/>
    <w:rsid w:val="004152CD"/>
    <w:rsid w:val="00416DAA"/>
    <w:rsid w:val="0041719A"/>
    <w:rsid w:val="0041778C"/>
    <w:rsid w:val="00417A1F"/>
    <w:rsid w:val="00420A92"/>
    <w:rsid w:val="0042107F"/>
    <w:rsid w:val="004211F7"/>
    <w:rsid w:val="00423CFD"/>
    <w:rsid w:val="0042642D"/>
    <w:rsid w:val="00426979"/>
    <w:rsid w:val="00427317"/>
    <w:rsid w:val="00431501"/>
    <w:rsid w:val="004318E8"/>
    <w:rsid w:val="004319AD"/>
    <w:rsid w:val="00433AF8"/>
    <w:rsid w:val="00433FB5"/>
    <w:rsid w:val="00434234"/>
    <w:rsid w:val="00434572"/>
    <w:rsid w:val="004374B8"/>
    <w:rsid w:val="00437612"/>
    <w:rsid w:val="00437D02"/>
    <w:rsid w:val="004406BF"/>
    <w:rsid w:val="004408EB"/>
    <w:rsid w:val="004411D4"/>
    <w:rsid w:val="00441547"/>
    <w:rsid w:val="0044207D"/>
    <w:rsid w:val="00442D4B"/>
    <w:rsid w:val="00443CA4"/>
    <w:rsid w:val="004450AF"/>
    <w:rsid w:val="0044526E"/>
    <w:rsid w:val="004452B0"/>
    <w:rsid w:val="004465F9"/>
    <w:rsid w:val="004500CF"/>
    <w:rsid w:val="00451290"/>
    <w:rsid w:val="0045204A"/>
    <w:rsid w:val="00452380"/>
    <w:rsid w:val="004523CE"/>
    <w:rsid w:val="004525C9"/>
    <w:rsid w:val="00452C87"/>
    <w:rsid w:val="00453AD8"/>
    <w:rsid w:val="00453F86"/>
    <w:rsid w:val="00454E04"/>
    <w:rsid w:val="00455B4C"/>
    <w:rsid w:val="0045650A"/>
    <w:rsid w:val="00456674"/>
    <w:rsid w:val="00456C28"/>
    <w:rsid w:val="00460AD1"/>
    <w:rsid w:val="004613A1"/>
    <w:rsid w:val="004617C4"/>
    <w:rsid w:val="00462886"/>
    <w:rsid w:val="00465121"/>
    <w:rsid w:val="00466635"/>
    <w:rsid w:val="00466706"/>
    <w:rsid w:val="00467907"/>
    <w:rsid w:val="00467F49"/>
    <w:rsid w:val="004700F4"/>
    <w:rsid w:val="004713D8"/>
    <w:rsid w:val="00471F9B"/>
    <w:rsid w:val="0047362B"/>
    <w:rsid w:val="00474035"/>
    <w:rsid w:val="00474799"/>
    <w:rsid w:val="00474F6E"/>
    <w:rsid w:val="00475770"/>
    <w:rsid w:val="00475AB8"/>
    <w:rsid w:val="00476219"/>
    <w:rsid w:val="004762F7"/>
    <w:rsid w:val="004806A1"/>
    <w:rsid w:val="00480D83"/>
    <w:rsid w:val="00482625"/>
    <w:rsid w:val="0048318E"/>
    <w:rsid w:val="004836F3"/>
    <w:rsid w:val="00483D95"/>
    <w:rsid w:val="00484133"/>
    <w:rsid w:val="004843EE"/>
    <w:rsid w:val="00484EA5"/>
    <w:rsid w:val="00486919"/>
    <w:rsid w:val="00486DF8"/>
    <w:rsid w:val="00487B34"/>
    <w:rsid w:val="00487C9A"/>
    <w:rsid w:val="00490415"/>
    <w:rsid w:val="00490E18"/>
    <w:rsid w:val="00491613"/>
    <w:rsid w:val="0049207E"/>
    <w:rsid w:val="00492FEC"/>
    <w:rsid w:val="00496324"/>
    <w:rsid w:val="00496527"/>
    <w:rsid w:val="004A146B"/>
    <w:rsid w:val="004A280D"/>
    <w:rsid w:val="004A3174"/>
    <w:rsid w:val="004A3AA1"/>
    <w:rsid w:val="004A434C"/>
    <w:rsid w:val="004A57AD"/>
    <w:rsid w:val="004A79EF"/>
    <w:rsid w:val="004A7C6C"/>
    <w:rsid w:val="004A7E0B"/>
    <w:rsid w:val="004B2460"/>
    <w:rsid w:val="004B323A"/>
    <w:rsid w:val="004B396B"/>
    <w:rsid w:val="004B47A3"/>
    <w:rsid w:val="004B7559"/>
    <w:rsid w:val="004B77C1"/>
    <w:rsid w:val="004C0A02"/>
    <w:rsid w:val="004C1BCD"/>
    <w:rsid w:val="004C204C"/>
    <w:rsid w:val="004C2E92"/>
    <w:rsid w:val="004C382F"/>
    <w:rsid w:val="004C5497"/>
    <w:rsid w:val="004C6209"/>
    <w:rsid w:val="004C7228"/>
    <w:rsid w:val="004C75AE"/>
    <w:rsid w:val="004C7731"/>
    <w:rsid w:val="004C7BD6"/>
    <w:rsid w:val="004C7EA8"/>
    <w:rsid w:val="004D0061"/>
    <w:rsid w:val="004D2A3E"/>
    <w:rsid w:val="004D2E6E"/>
    <w:rsid w:val="004D33E9"/>
    <w:rsid w:val="004D4AC0"/>
    <w:rsid w:val="004D5E47"/>
    <w:rsid w:val="004D6407"/>
    <w:rsid w:val="004D779E"/>
    <w:rsid w:val="004D7C35"/>
    <w:rsid w:val="004E05AC"/>
    <w:rsid w:val="004E085C"/>
    <w:rsid w:val="004E0FD7"/>
    <w:rsid w:val="004E133D"/>
    <w:rsid w:val="004E20DD"/>
    <w:rsid w:val="004E2C80"/>
    <w:rsid w:val="004E2D59"/>
    <w:rsid w:val="004E36BA"/>
    <w:rsid w:val="004E4333"/>
    <w:rsid w:val="004E4F87"/>
    <w:rsid w:val="004E5569"/>
    <w:rsid w:val="004E6C35"/>
    <w:rsid w:val="004E757B"/>
    <w:rsid w:val="004F1432"/>
    <w:rsid w:val="004F14EE"/>
    <w:rsid w:val="004F1532"/>
    <w:rsid w:val="004F32B1"/>
    <w:rsid w:val="004F3477"/>
    <w:rsid w:val="004F4843"/>
    <w:rsid w:val="004F4A39"/>
    <w:rsid w:val="004F5BAB"/>
    <w:rsid w:val="004F5C89"/>
    <w:rsid w:val="0050020B"/>
    <w:rsid w:val="00500463"/>
    <w:rsid w:val="005008E6"/>
    <w:rsid w:val="00501A26"/>
    <w:rsid w:val="005031D9"/>
    <w:rsid w:val="00504DB4"/>
    <w:rsid w:val="005053EA"/>
    <w:rsid w:val="005056C9"/>
    <w:rsid w:val="0050627B"/>
    <w:rsid w:val="00506730"/>
    <w:rsid w:val="00506C71"/>
    <w:rsid w:val="00506F95"/>
    <w:rsid w:val="00507265"/>
    <w:rsid w:val="00507434"/>
    <w:rsid w:val="0051017B"/>
    <w:rsid w:val="00511D5E"/>
    <w:rsid w:val="0051211E"/>
    <w:rsid w:val="005130D6"/>
    <w:rsid w:val="00514135"/>
    <w:rsid w:val="0051540B"/>
    <w:rsid w:val="00515758"/>
    <w:rsid w:val="005175D6"/>
    <w:rsid w:val="00520434"/>
    <w:rsid w:val="00521893"/>
    <w:rsid w:val="00522228"/>
    <w:rsid w:val="00522CE1"/>
    <w:rsid w:val="00523B1B"/>
    <w:rsid w:val="00523F4C"/>
    <w:rsid w:val="00524A16"/>
    <w:rsid w:val="00524C14"/>
    <w:rsid w:val="00525F31"/>
    <w:rsid w:val="00531A54"/>
    <w:rsid w:val="00531F88"/>
    <w:rsid w:val="005334E6"/>
    <w:rsid w:val="00533E81"/>
    <w:rsid w:val="00534208"/>
    <w:rsid w:val="00534962"/>
    <w:rsid w:val="00534D37"/>
    <w:rsid w:val="00534EBD"/>
    <w:rsid w:val="00535642"/>
    <w:rsid w:val="00535721"/>
    <w:rsid w:val="00536A22"/>
    <w:rsid w:val="005403E4"/>
    <w:rsid w:val="0054067F"/>
    <w:rsid w:val="005414A8"/>
    <w:rsid w:val="00542A52"/>
    <w:rsid w:val="00543025"/>
    <w:rsid w:val="00543033"/>
    <w:rsid w:val="005434BC"/>
    <w:rsid w:val="00543F87"/>
    <w:rsid w:val="005453E3"/>
    <w:rsid w:val="0054650A"/>
    <w:rsid w:val="005466CD"/>
    <w:rsid w:val="005474C2"/>
    <w:rsid w:val="00547525"/>
    <w:rsid w:val="0054783D"/>
    <w:rsid w:val="00547B39"/>
    <w:rsid w:val="00550243"/>
    <w:rsid w:val="0055204A"/>
    <w:rsid w:val="00552359"/>
    <w:rsid w:val="00552711"/>
    <w:rsid w:val="00552A11"/>
    <w:rsid w:val="005538AD"/>
    <w:rsid w:val="00553F73"/>
    <w:rsid w:val="00555602"/>
    <w:rsid w:val="00555A39"/>
    <w:rsid w:val="00555A6B"/>
    <w:rsid w:val="00556B04"/>
    <w:rsid w:val="00556CEB"/>
    <w:rsid w:val="00560D1E"/>
    <w:rsid w:val="00561A05"/>
    <w:rsid w:val="00562257"/>
    <w:rsid w:val="00562263"/>
    <w:rsid w:val="005625F8"/>
    <w:rsid w:val="00562CA9"/>
    <w:rsid w:val="005636A0"/>
    <w:rsid w:val="00563989"/>
    <w:rsid w:val="00565717"/>
    <w:rsid w:val="005657AC"/>
    <w:rsid w:val="00565A0B"/>
    <w:rsid w:val="00567942"/>
    <w:rsid w:val="00567DA4"/>
    <w:rsid w:val="00567E51"/>
    <w:rsid w:val="00571A1C"/>
    <w:rsid w:val="00571DC3"/>
    <w:rsid w:val="00571F2A"/>
    <w:rsid w:val="00571F37"/>
    <w:rsid w:val="005737E7"/>
    <w:rsid w:val="00573A42"/>
    <w:rsid w:val="00573ECA"/>
    <w:rsid w:val="00574DEF"/>
    <w:rsid w:val="005751DE"/>
    <w:rsid w:val="0057641D"/>
    <w:rsid w:val="00576731"/>
    <w:rsid w:val="005802F2"/>
    <w:rsid w:val="0058043D"/>
    <w:rsid w:val="00582AF8"/>
    <w:rsid w:val="00582B10"/>
    <w:rsid w:val="0058485E"/>
    <w:rsid w:val="00585931"/>
    <w:rsid w:val="00585D41"/>
    <w:rsid w:val="005868A4"/>
    <w:rsid w:val="00586E97"/>
    <w:rsid w:val="00586ED9"/>
    <w:rsid w:val="00587E23"/>
    <w:rsid w:val="00590151"/>
    <w:rsid w:val="005906B3"/>
    <w:rsid w:val="005923FA"/>
    <w:rsid w:val="00595DE1"/>
    <w:rsid w:val="005962E5"/>
    <w:rsid w:val="00596535"/>
    <w:rsid w:val="00596BFD"/>
    <w:rsid w:val="00597B0E"/>
    <w:rsid w:val="00597B4F"/>
    <w:rsid w:val="005A059D"/>
    <w:rsid w:val="005A1929"/>
    <w:rsid w:val="005A242A"/>
    <w:rsid w:val="005A3D8A"/>
    <w:rsid w:val="005A651B"/>
    <w:rsid w:val="005A77D1"/>
    <w:rsid w:val="005B0FA4"/>
    <w:rsid w:val="005B233F"/>
    <w:rsid w:val="005B62B1"/>
    <w:rsid w:val="005B68DB"/>
    <w:rsid w:val="005B6C1F"/>
    <w:rsid w:val="005C08C9"/>
    <w:rsid w:val="005C2569"/>
    <w:rsid w:val="005C314E"/>
    <w:rsid w:val="005C547D"/>
    <w:rsid w:val="005C581E"/>
    <w:rsid w:val="005C5D27"/>
    <w:rsid w:val="005C5FA0"/>
    <w:rsid w:val="005C617A"/>
    <w:rsid w:val="005C6B6D"/>
    <w:rsid w:val="005D0949"/>
    <w:rsid w:val="005D3721"/>
    <w:rsid w:val="005D631A"/>
    <w:rsid w:val="005D63A4"/>
    <w:rsid w:val="005D6C02"/>
    <w:rsid w:val="005E11CC"/>
    <w:rsid w:val="005E15CB"/>
    <w:rsid w:val="005E4F7D"/>
    <w:rsid w:val="005E5B14"/>
    <w:rsid w:val="005E6371"/>
    <w:rsid w:val="005E6B39"/>
    <w:rsid w:val="005E7C8B"/>
    <w:rsid w:val="005F04AD"/>
    <w:rsid w:val="005F0A93"/>
    <w:rsid w:val="005F1561"/>
    <w:rsid w:val="005F2AD5"/>
    <w:rsid w:val="005F4603"/>
    <w:rsid w:val="005F52D6"/>
    <w:rsid w:val="005F5E48"/>
    <w:rsid w:val="005F6986"/>
    <w:rsid w:val="005F6C65"/>
    <w:rsid w:val="005F7052"/>
    <w:rsid w:val="00600EE4"/>
    <w:rsid w:val="00601523"/>
    <w:rsid w:val="0060314B"/>
    <w:rsid w:val="00604504"/>
    <w:rsid w:val="00604AC0"/>
    <w:rsid w:val="00605009"/>
    <w:rsid w:val="00607D0F"/>
    <w:rsid w:val="00607ECF"/>
    <w:rsid w:val="00610348"/>
    <w:rsid w:val="00610F27"/>
    <w:rsid w:val="006111BB"/>
    <w:rsid w:val="00611203"/>
    <w:rsid w:val="0061177D"/>
    <w:rsid w:val="00612DA1"/>
    <w:rsid w:val="0061383D"/>
    <w:rsid w:val="006147E4"/>
    <w:rsid w:val="00614858"/>
    <w:rsid w:val="00614C74"/>
    <w:rsid w:val="00615424"/>
    <w:rsid w:val="006154C2"/>
    <w:rsid w:val="00616088"/>
    <w:rsid w:val="00616619"/>
    <w:rsid w:val="006166DB"/>
    <w:rsid w:val="006169F5"/>
    <w:rsid w:val="00617D15"/>
    <w:rsid w:val="00620953"/>
    <w:rsid w:val="00621A40"/>
    <w:rsid w:val="0062290B"/>
    <w:rsid w:val="00624E47"/>
    <w:rsid w:val="006250FF"/>
    <w:rsid w:val="0062597B"/>
    <w:rsid w:val="00626449"/>
    <w:rsid w:val="00627251"/>
    <w:rsid w:val="00627831"/>
    <w:rsid w:val="00630224"/>
    <w:rsid w:val="00630C54"/>
    <w:rsid w:val="00630CE1"/>
    <w:rsid w:val="00630F7F"/>
    <w:rsid w:val="00631114"/>
    <w:rsid w:val="00631236"/>
    <w:rsid w:val="00631D35"/>
    <w:rsid w:val="00633C43"/>
    <w:rsid w:val="0063405C"/>
    <w:rsid w:val="00634915"/>
    <w:rsid w:val="00634C89"/>
    <w:rsid w:val="00635798"/>
    <w:rsid w:val="00636DA1"/>
    <w:rsid w:val="00637AB0"/>
    <w:rsid w:val="00640183"/>
    <w:rsid w:val="006410CE"/>
    <w:rsid w:val="00641130"/>
    <w:rsid w:val="006429E9"/>
    <w:rsid w:val="00643833"/>
    <w:rsid w:val="0064513E"/>
    <w:rsid w:val="00645DF2"/>
    <w:rsid w:val="006463C7"/>
    <w:rsid w:val="00646CBC"/>
    <w:rsid w:val="00646D98"/>
    <w:rsid w:val="00647053"/>
    <w:rsid w:val="006471BF"/>
    <w:rsid w:val="006510D7"/>
    <w:rsid w:val="00651574"/>
    <w:rsid w:val="0065266F"/>
    <w:rsid w:val="00652843"/>
    <w:rsid w:val="00653125"/>
    <w:rsid w:val="006533BB"/>
    <w:rsid w:val="00653EF9"/>
    <w:rsid w:val="00657088"/>
    <w:rsid w:val="00657F30"/>
    <w:rsid w:val="00661017"/>
    <w:rsid w:val="00662F75"/>
    <w:rsid w:val="00664183"/>
    <w:rsid w:val="00664538"/>
    <w:rsid w:val="00664F83"/>
    <w:rsid w:val="0066550D"/>
    <w:rsid w:val="00666B35"/>
    <w:rsid w:val="006671BC"/>
    <w:rsid w:val="006678A8"/>
    <w:rsid w:val="00667E1A"/>
    <w:rsid w:val="00670153"/>
    <w:rsid w:val="00670ABD"/>
    <w:rsid w:val="00671096"/>
    <w:rsid w:val="00671AF7"/>
    <w:rsid w:val="00672CCA"/>
    <w:rsid w:val="006730B8"/>
    <w:rsid w:val="0067379A"/>
    <w:rsid w:val="00673B23"/>
    <w:rsid w:val="00673D5A"/>
    <w:rsid w:val="0067566D"/>
    <w:rsid w:val="0067715A"/>
    <w:rsid w:val="00677761"/>
    <w:rsid w:val="00677819"/>
    <w:rsid w:val="00677B4C"/>
    <w:rsid w:val="006800F2"/>
    <w:rsid w:val="006807E7"/>
    <w:rsid w:val="00680FD1"/>
    <w:rsid w:val="00681B42"/>
    <w:rsid w:val="00681FBD"/>
    <w:rsid w:val="00682F18"/>
    <w:rsid w:val="00683416"/>
    <w:rsid w:val="006857D9"/>
    <w:rsid w:val="006878DB"/>
    <w:rsid w:val="0069047A"/>
    <w:rsid w:val="00691795"/>
    <w:rsid w:val="0069186D"/>
    <w:rsid w:val="00691F33"/>
    <w:rsid w:val="00692C6B"/>
    <w:rsid w:val="006938DB"/>
    <w:rsid w:val="006956F4"/>
    <w:rsid w:val="00696921"/>
    <w:rsid w:val="00696CA5"/>
    <w:rsid w:val="00697621"/>
    <w:rsid w:val="006A091D"/>
    <w:rsid w:val="006A1826"/>
    <w:rsid w:val="006A2424"/>
    <w:rsid w:val="006A2758"/>
    <w:rsid w:val="006A3096"/>
    <w:rsid w:val="006A3806"/>
    <w:rsid w:val="006A6D10"/>
    <w:rsid w:val="006B034B"/>
    <w:rsid w:val="006B08F8"/>
    <w:rsid w:val="006B25BF"/>
    <w:rsid w:val="006B4BE7"/>
    <w:rsid w:val="006B7D41"/>
    <w:rsid w:val="006C1864"/>
    <w:rsid w:val="006C2FE7"/>
    <w:rsid w:val="006C3274"/>
    <w:rsid w:val="006C3A65"/>
    <w:rsid w:val="006C3DA8"/>
    <w:rsid w:val="006C4163"/>
    <w:rsid w:val="006C4A53"/>
    <w:rsid w:val="006C6173"/>
    <w:rsid w:val="006D0B17"/>
    <w:rsid w:val="006D0C1A"/>
    <w:rsid w:val="006D19F1"/>
    <w:rsid w:val="006D2349"/>
    <w:rsid w:val="006D2A3B"/>
    <w:rsid w:val="006D3321"/>
    <w:rsid w:val="006D3B5F"/>
    <w:rsid w:val="006D475B"/>
    <w:rsid w:val="006D6BC2"/>
    <w:rsid w:val="006E0E95"/>
    <w:rsid w:val="006E0EF0"/>
    <w:rsid w:val="006E25B2"/>
    <w:rsid w:val="006E296C"/>
    <w:rsid w:val="006E3436"/>
    <w:rsid w:val="006E39F5"/>
    <w:rsid w:val="006E41D2"/>
    <w:rsid w:val="006E4ECD"/>
    <w:rsid w:val="006E66D5"/>
    <w:rsid w:val="006E689B"/>
    <w:rsid w:val="006E7D2F"/>
    <w:rsid w:val="006F0358"/>
    <w:rsid w:val="006F171A"/>
    <w:rsid w:val="006F2D57"/>
    <w:rsid w:val="006F34C8"/>
    <w:rsid w:val="006F36E2"/>
    <w:rsid w:val="006F4381"/>
    <w:rsid w:val="006F4411"/>
    <w:rsid w:val="006F5827"/>
    <w:rsid w:val="006F5E25"/>
    <w:rsid w:val="006F7E74"/>
    <w:rsid w:val="0070417F"/>
    <w:rsid w:val="00705085"/>
    <w:rsid w:val="007059AB"/>
    <w:rsid w:val="0070602F"/>
    <w:rsid w:val="0070692D"/>
    <w:rsid w:val="00706BAD"/>
    <w:rsid w:val="007070B8"/>
    <w:rsid w:val="00707155"/>
    <w:rsid w:val="00707553"/>
    <w:rsid w:val="007102BE"/>
    <w:rsid w:val="007115A6"/>
    <w:rsid w:val="00712FBC"/>
    <w:rsid w:val="007137B2"/>
    <w:rsid w:val="007137BD"/>
    <w:rsid w:val="007138DA"/>
    <w:rsid w:val="00714288"/>
    <w:rsid w:val="007142B6"/>
    <w:rsid w:val="007155B3"/>
    <w:rsid w:val="00716C1C"/>
    <w:rsid w:val="00717568"/>
    <w:rsid w:val="0072046A"/>
    <w:rsid w:val="00720F62"/>
    <w:rsid w:val="0072186D"/>
    <w:rsid w:val="00721E11"/>
    <w:rsid w:val="00723625"/>
    <w:rsid w:val="00723B89"/>
    <w:rsid w:val="007245DF"/>
    <w:rsid w:val="007253D7"/>
    <w:rsid w:val="007263E3"/>
    <w:rsid w:val="007310A1"/>
    <w:rsid w:val="00732348"/>
    <w:rsid w:val="0073329F"/>
    <w:rsid w:val="00734511"/>
    <w:rsid w:val="00734776"/>
    <w:rsid w:val="00735173"/>
    <w:rsid w:val="00735820"/>
    <w:rsid w:val="0073710F"/>
    <w:rsid w:val="0074000F"/>
    <w:rsid w:val="007401AE"/>
    <w:rsid w:val="0074183D"/>
    <w:rsid w:val="007428C6"/>
    <w:rsid w:val="007456D5"/>
    <w:rsid w:val="0074749F"/>
    <w:rsid w:val="007502C6"/>
    <w:rsid w:val="00750DA9"/>
    <w:rsid w:val="007516CE"/>
    <w:rsid w:val="007528E1"/>
    <w:rsid w:val="00752F78"/>
    <w:rsid w:val="00754308"/>
    <w:rsid w:val="007549E2"/>
    <w:rsid w:val="00754F43"/>
    <w:rsid w:val="0075647C"/>
    <w:rsid w:val="007577D7"/>
    <w:rsid w:val="00757CF2"/>
    <w:rsid w:val="00764714"/>
    <w:rsid w:val="00765B4F"/>
    <w:rsid w:val="00765F44"/>
    <w:rsid w:val="0076601A"/>
    <w:rsid w:val="00766422"/>
    <w:rsid w:val="0077153F"/>
    <w:rsid w:val="00773CE6"/>
    <w:rsid w:val="00776571"/>
    <w:rsid w:val="00776DCA"/>
    <w:rsid w:val="00777C17"/>
    <w:rsid w:val="00777C5C"/>
    <w:rsid w:val="007803AB"/>
    <w:rsid w:val="00781040"/>
    <w:rsid w:val="00781DFE"/>
    <w:rsid w:val="0078232C"/>
    <w:rsid w:val="00784660"/>
    <w:rsid w:val="00785F06"/>
    <w:rsid w:val="0078705F"/>
    <w:rsid w:val="007909B2"/>
    <w:rsid w:val="00791665"/>
    <w:rsid w:val="007922AE"/>
    <w:rsid w:val="00792D48"/>
    <w:rsid w:val="00793FFF"/>
    <w:rsid w:val="00795667"/>
    <w:rsid w:val="00796297"/>
    <w:rsid w:val="007A267E"/>
    <w:rsid w:val="007A3499"/>
    <w:rsid w:val="007A384D"/>
    <w:rsid w:val="007A3B85"/>
    <w:rsid w:val="007A7681"/>
    <w:rsid w:val="007B04E8"/>
    <w:rsid w:val="007B2E44"/>
    <w:rsid w:val="007B3555"/>
    <w:rsid w:val="007B4800"/>
    <w:rsid w:val="007B4E24"/>
    <w:rsid w:val="007B5BC1"/>
    <w:rsid w:val="007B6129"/>
    <w:rsid w:val="007C4DDD"/>
    <w:rsid w:val="007C51E9"/>
    <w:rsid w:val="007C566A"/>
    <w:rsid w:val="007C5925"/>
    <w:rsid w:val="007C68C6"/>
    <w:rsid w:val="007C6EF3"/>
    <w:rsid w:val="007C7D32"/>
    <w:rsid w:val="007D0893"/>
    <w:rsid w:val="007D0E2E"/>
    <w:rsid w:val="007D27AF"/>
    <w:rsid w:val="007D31E3"/>
    <w:rsid w:val="007D4943"/>
    <w:rsid w:val="007D4C65"/>
    <w:rsid w:val="007D564C"/>
    <w:rsid w:val="007D59F4"/>
    <w:rsid w:val="007D6F94"/>
    <w:rsid w:val="007E044D"/>
    <w:rsid w:val="007E282F"/>
    <w:rsid w:val="007E31CA"/>
    <w:rsid w:val="007E322D"/>
    <w:rsid w:val="007E35F5"/>
    <w:rsid w:val="007E4015"/>
    <w:rsid w:val="007E4B86"/>
    <w:rsid w:val="007E4CB9"/>
    <w:rsid w:val="007E4F0E"/>
    <w:rsid w:val="007E5F23"/>
    <w:rsid w:val="007E647A"/>
    <w:rsid w:val="007E671C"/>
    <w:rsid w:val="007E6F2D"/>
    <w:rsid w:val="007F1B9E"/>
    <w:rsid w:val="007F276B"/>
    <w:rsid w:val="007F2E3D"/>
    <w:rsid w:val="007F42D3"/>
    <w:rsid w:val="007F4C76"/>
    <w:rsid w:val="007F5AF9"/>
    <w:rsid w:val="007F692D"/>
    <w:rsid w:val="00800677"/>
    <w:rsid w:val="00801A38"/>
    <w:rsid w:val="00801B3F"/>
    <w:rsid w:val="00803060"/>
    <w:rsid w:val="008038D4"/>
    <w:rsid w:val="00804B85"/>
    <w:rsid w:val="00804B9A"/>
    <w:rsid w:val="00807323"/>
    <w:rsid w:val="0081283B"/>
    <w:rsid w:val="00813690"/>
    <w:rsid w:val="00813C40"/>
    <w:rsid w:val="00815287"/>
    <w:rsid w:val="00815615"/>
    <w:rsid w:val="00815EA8"/>
    <w:rsid w:val="00816573"/>
    <w:rsid w:val="008165FB"/>
    <w:rsid w:val="008178AF"/>
    <w:rsid w:val="00817D11"/>
    <w:rsid w:val="0082070F"/>
    <w:rsid w:val="0082087B"/>
    <w:rsid w:val="0082107A"/>
    <w:rsid w:val="00821E34"/>
    <w:rsid w:val="0082317A"/>
    <w:rsid w:val="00823340"/>
    <w:rsid w:val="00823BE3"/>
    <w:rsid w:val="00824B02"/>
    <w:rsid w:val="00824EA5"/>
    <w:rsid w:val="00825B7D"/>
    <w:rsid w:val="00826F2E"/>
    <w:rsid w:val="008305DF"/>
    <w:rsid w:val="00830911"/>
    <w:rsid w:val="00830A87"/>
    <w:rsid w:val="00832268"/>
    <w:rsid w:val="008323CE"/>
    <w:rsid w:val="008325D9"/>
    <w:rsid w:val="00833B57"/>
    <w:rsid w:val="00834163"/>
    <w:rsid w:val="00834408"/>
    <w:rsid w:val="0083457C"/>
    <w:rsid w:val="00837E8A"/>
    <w:rsid w:val="00841A95"/>
    <w:rsid w:val="00842265"/>
    <w:rsid w:val="00843FB0"/>
    <w:rsid w:val="00844658"/>
    <w:rsid w:val="008451DF"/>
    <w:rsid w:val="008458A5"/>
    <w:rsid w:val="008463C4"/>
    <w:rsid w:val="008466A7"/>
    <w:rsid w:val="00846BBD"/>
    <w:rsid w:val="00850504"/>
    <w:rsid w:val="0085192D"/>
    <w:rsid w:val="00851DC4"/>
    <w:rsid w:val="008521F6"/>
    <w:rsid w:val="008539AC"/>
    <w:rsid w:val="00853A6F"/>
    <w:rsid w:val="0085443F"/>
    <w:rsid w:val="00855C2D"/>
    <w:rsid w:val="00855D29"/>
    <w:rsid w:val="00855E9B"/>
    <w:rsid w:val="00856904"/>
    <w:rsid w:val="00856DD1"/>
    <w:rsid w:val="008607B3"/>
    <w:rsid w:val="00860B12"/>
    <w:rsid w:val="0086143E"/>
    <w:rsid w:val="008620C3"/>
    <w:rsid w:val="0086249C"/>
    <w:rsid w:val="00863869"/>
    <w:rsid w:val="00866EE3"/>
    <w:rsid w:val="008715DA"/>
    <w:rsid w:val="00871928"/>
    <w:rsid w:val="00871CB3"/>
    <w:rsid w:val="00872139"/>
    <w:rsid w:val="00875415"/>
    <w:rsid w:val="00875F65"/>
    <w:rsid w:val="00876129"/>
    <w:rsid w:val="00880535"/>
    <w:rsid w:val="008826F1"/>
    <w:rsid w:val="00883D43"/>
    <w:rsid w:val="00885218"/>
    <w:rsid w:val="008926A8"/>
    <w:rsid w:val="00892C2C"/>
    <w:rsid w:val="0089324E"/>
    <w:rsid w:val="008940F7"/>
    <w:rsid w:val="00894A85"/>
    <w:rsid w:val="00894D50"/>
    <w:rsid w:val="00895124"/>
    <w:rsid w:val="00895DAC"/>
    <w:rsid w:val="00896289"/>
    <w:rsid w:val="00897EE4"/>
    <w:rsid w:val="008A1BD9"/>
    <w:rsid w:val="008A2A83"/>
    <w:rsid w:val="008A2C2B"/>
    <w:rsid w:val="008A4013"/>
    <w:rsid w:val="008A44DE"/>
    <w:rsid w:val="008A5EA2"/>
    <w:rsid w:val="008A680C"/>
    <w:rsid w:val="008B1012"/>
    <w:rsid w:val="008B2CC1"/>
    <w:rsid w:val="008B30AC"/>
    <w:rsid w:val="008B3249"/>
    <w:rsid w:val="008B35A1"/>
    <w:rsid w:val="008B3D57"/>
    <w:rsid w:val="008B4491"/>
    <w:rsid w:val="008B4EE5"/>
    <w:rsid w:val="008B59F9"/>
    <w:rsid w:val="008B5FC3"/>
    <w:rsid w:val="008B6392"/>
    <w:rsid w:val="008B6DC9"/>
    <w:rsid w:val="008B789B"/>
    <w:rsid w:val="008C0BC4"/>
    <w:rsid w:val="008C172B"/>
    <w:rsid w:val="008C19B3"/>
    <w:rsid w:val="008C1BC4"/>
    <w:rsid w:val="008C247D"/>
    <w:rsid w:val="008C51BB"/>
    <w:rsid w:val="008C54DA"/>
    <w:rsid w:val="008C694B"/>
    <w:rsid w:val="008C6C72"/>
    <w:rsid w:val="008C6D8B"/>
    <w:rsid w:val="008C70A0"/>
    <w:rsid w:val="008D0563"/>
    <w:rsid w:val="008D0F57"/>
    <w:rsid w:val="008D17EE"/>
    <w:rsid w:val="008D180B"/>
    <w:rsid w:val="008D1C04"/>
    <w:rsid w:val="008D21BB"/>
    <w:rsid w:val="008D253F"/>
    <w:rsid w:val="008D2AE1"/>
    <w:rsid w:val="008D2CF3"/>
    <w:rsid w:val="008D3D19"/>
    <w:rsid w:val="008D436B"/>
    <w:rsid w:val="008D49F4"/>
    <w:rsid w:val="008D53A0"/>
    <w:rsid w:val="008D7807"/>
    <w:rsid w:val="008E00D6"/>
    <w:rsid w:val="008E20B1"/>
    <w:rsid w:val="008E2957"/>
    <w:rsid w:val="008E2B2E"/>
    <w:rsid w:val="008E37CD"/>
    <w:rsid w:val="008E3A40"/>
    <w:rsid w:val="008E4000"/>
    <w:rsid w:val="008E41D0"/>
    <w:rsid w:val="008E7B1E"/>
    <w:rsid w:val="008F1890"/>
    <w:rsid w:val="008F1E8F"/>
    <w:rsid w:val="008F2959"/>
    <w:rsid w:val="008F532E"/>
    <w:rsid w:val="008F7AE0"/>
    <w:rsid w:val="008F7DC0"/>
    <w:rsid w:val="0090038C"/>
    <w:rsid w:val="00900BCE"/>
    <w:rsid w:val="00900DE9"/>
    <w:rsid w:val="00900F13"/>
    <w:rsid w:val="009019FD"/>
    <w:rsid w:val="0090413F"/>
    <w:rsid w:val="0090577F"/>
    <w:rsid w:val="00906D4E"/>
    <w:rsid w:val="0090724D"/>
    <w:rsid w:val="00907410"/>
    <w:rsid w:val="009108CF"/>
    <w:rsid w:val="00912115"/>
    <w:rsid w:val="00912204"/>
    <w:rsid w:val="00913197"/>
    <w:rsid w:val="009134F8"/>
    <w:rsid w:val="0091532B"/>
    <w:rsid w:val="0091591F"/>
    <w:rsid w:val="0091629D"/>
    <w:rsid w:val="00917F05"/>
    <w:rsid w:val="00917F62"/>
    <w:rsid w:val="009221CC"/>
    <w:rsid w:val="009226E3"/>
    <w:rsid w:val="009235BC"/>
    <w:rsid w:val="00923F57"/>
    <w:rsid w:val="0092414B"/>
    <w:rsid w:val="00925606"/>
    <w:rsid w:val="00925D19"/>
    <w:rsid w:val="0092631B"/>
    <w:rsid w:val="00926637"/>
    <w:rsid w:val="009268BC"/>
    <w:rsid w:val="00926916"/>
    <w:rsid w:val="00926E5E"/>
    <w:rsid w:val="0092733C"/>
    <w:rsid w:val="009278CF"/>
    <w:rsid w:val="009279FF"/>
    <w:rsid w:val="00927C68"/>
    <w:rsid w:val="00927E7A"/>
    <w:rsid w:val="00931062"/>
    <w:rsid w:val="009314D5"/>
    <w:rsid w:val="0093190E"/>
    <w:rsid w:val="00931AC8"/>
    <w:rsid w:val="009338A9"/>
    <w:rsid w:val="009349E7"/>
    <w:rsid w:val="00934B5B"/>
    <w:rsid w:val="00935444"/>
    <w:rsid w:val="00935619"/>
    <w:rsid w:val="00935AD9"/>
    <w:rsid w:val="00936752"/>
    <w:rsid w:val="00936782"/>
    <w:rsid w:val="00936B71"/>
    <w:rsid w:val="00937166"/>
    <w:rsid w:val="00940E3B"/>
    <w:rsid w:val="009417F9"/>
    <w:rsid w:val="00942639"/>
    <w:rsid w:val="00943AF0"/>
    <w:rsid w:val="0094503C"/>
    <w:rsid w:val="009467E9"/>
    <w:rsid w:val="00946EAA"/>
    <w:rsid w:val="0094747E"/>
    <w:rsid w:val="00950936"/>
    <w:rsid w:val="00950DD4"/>
    <w:rsid w:val="00952BAE"/>
    <w:rsid w:val="009531F6"/>
    <w:rsid w:val="009539C6"/>
    <w:rsid w:val="00953B0C"/>
    <w:rsid w:val="00953D2A"/>
    <w:rsid w:val="009540A8"/>
    <w:rsid w:val="00954982"/>
    <w:rsid w:val="00954B76"/>
    <w:rsid w:val="00955CBF"/>
    <w:rsid w:val="00957349"/>
    <w:rsid w:val="00960BA7"/>
    <w:rsid w:val="009617DF"/>
    <w:rsid w:val="00961828"/>
    <w:rsid w:val="009635B0"/>
    <w:rsid w:val="00966D7A"/>
    <w:rsid w:val="00966EAE"/>
    <w:rsid w:val="0096763D"/>
    <w:rsid w:val="00971020"/>
    <w:rsid w:val="00972CB9"/>
    <w:rsid w:val="009733C9"/>
    <w:rsid w:val="0097584E"/>
    <w:rsid w:val="00977CE4"/>
    <w:rsid w:val="00977FA9"/>
    <w:rsid w:val="0098045D"/>
    <w:rsid w:val="0098055D"/>
    <w:rsid w:val="009815A6"/>
    <w:rsid w:val="00984800"/>
    <w:rsid w:val="009849A0"/>
    <w:rsid w:val="00984CD0"/>
    <w:rsid w:val="00984E6C"/>
    <w:rsid w:val="00986627"/>
    <w:rsid w:val="00986990"/>
    <w:rsid w:val="00987692"/>
    <w:rsid w:val="0099044E"/>
    <w:rsid w:val="00990A96"/>
    <w:rsid w:val="00991572"/>
    <w:rsid w:val="009925FB"/>
    <w:rsid w:val="00994009"/>
    <w:rsid w:val="00995BD2"/>
    <w:rsid w:val="0099684E"/>
    <w:rsid w:val="00996F0A"/>
    <w:rsid w:val="009A1638"/>
    <w:rsid w:val="009A1CFB"/>
    <w:rsid w:val="009A1F00"/>
    <w:rsid w:val="009A2A28"/>
    <w:rsid w:val="009A2E93"/>
    <w:rsid w:val="009A54AA"/>
    <w:rsid w:val="009A5593"/>
    <w:rsid w:val="009A73EA"/>
    <w:rsid w:val="009A7735"/>
    <w:rsid w:val="009B09FE"/>
    <w:rsid w:val="009B1724"/>
    <w:rsid w:val="009B1C06"/>
    <w:rsid w:val="009B26B8"/>
    <w:rsid w:val="009B26E0"/>
    <w:rsid w:val="009B2C46"/>
    <w:rsid w:val="009B60AA"/>
    <w:rsid w:val="009B6140"/>
    <w:rsid w:val="009B615A"/>
    <w:rsid w:val="009B6AF8"/>
    <w:rsid w:val="009B7932"/>
    <w:rsid w:val="009B797F"/>
    <w:rsid w:val="009B7F1A"/>
    <w:rsid w:val="009C0A42"/>
    <w:rsid w:val="009C0D3E"/>
    <w:rsid w:val="009C1FAB"/>
    <w:rsid w:val="009C2BE5"/>
    <w:rsid w:val="009C2DC8"/>
    <w:rsid w:val="009C31A4"/>
    <w:rsid w:val="009C3306"/>
    <w:rsid w:val="009C3952"/>
    <w:rsid w:val="009C558E"/>
    <w:rsid w:val="009D1857"/>
    <w:rsid w:val="009D1B5F"/>
    <w:rsid w:val="009D1CD3"/>
    <w:rsid w:val="009D32AC"/>
    <w:rsid w:val="009D3384"/>
    <w:rsid w:val="009D5257"/>
    <w:rsid w:val="009D6A03"/>
    <w:rsid w:val="009D6DC5"/>
    <w:rsid w:val="009D7DE0"/>
    <w:rsid w:val="009D7E27"/>
    <w:rsid w:val="009E01E2"/>
    <w:rsid w:val="009E11DA"/>
    <w:rsid w:val="009E300B"/>
    <w:rsid w:val="009E32DF"/>
    <w:rsid w:val="009E3DF2"/>
    <w:rsid w:val="009E455C"/>
    <w:rsid w:val="009E5765"/>
    <w:rsid w:val="009E5F42"/>
    <w:rsid w:val="009E639E"/>
    <w:rsid w:val="009E6B71"/>
    <w:rsid w:val="009E6D58"/>
    <w:rsid w:val="009F0782"/>
    <w:rsid w:val="009F1520"/>
    <w:rsid w:val="009F2CC3"/>
    <w:rsid w:val="009F3F73"/>
    <w:rsid w:val="009F5F16"/>
    <w:rsid w:val="009F6D65"/>
    <w:rsid w:val="009F701F"/>
    <w:rsid w:val="009F75FD"/>
    <w:rsid w:val="009F793E"/>
    <w:rsid w:val="00A0005B"/>
    <w:rsid w:val="00A00121"/>
    <w:rsid w:val="00A00374"/>
    <w:rsid w:val="00A00D8C"/>
    <w:rsid w:val="00A01177"/>
    <w:rsid w:val="00A0166A"/>
    <w:rsid w:val="00A01C7B"/>
    <w:rsid w:val="00A02FF4"/>
    <w:rsid w:val="00A03B88"/>
    <w:rsid w:val="00A056D2"/>
    <w:rsid w:val="00A05753"/>
    <w:rsid w:val="00A058FF"/>
    <w:rsid w:val="00A06AC4"/>
    <w:rsid w:val="00A10FDF"/>
    <w:rsid w:val="00A114BC"/>
    <w:rsid w:val="00A138BA"/>
    <w:rsid w:val="00A15E29"/>
    <w:rsid w:val="00A15E35"/>
    <w:rsid w:val="00A17776"/>
    <w:rsid w:val="00A17B2C"/>
    <w:rsid w:val="00A210D1"/>
    <w:rsid w:val="00A21683"/>
    <w:rsid w:val="00A24508"/>
    <w:rsid w:val="00A26619"/>
    <w:rsid w:val="00A30126"/>
    <w:rsid w:val="00A3163E"/>
    <w:rsid w:val="00A31F93"/>
    <w:rsid w:val="00A32065"/>
    <w:rsid w:val="00A33C9A"/>
    <w:rsid w:val="00A341B5"/>
    <w:rsid w:val="00A350E2"/>
    <w:rsid w:val="00A35B5A"/>
    <w:rsid w:val="00A4039A"/>
    <w:rsid w:val="00A40660"/>
    <w:rsid w:val="00A40CC4"/>
    <w:rsid w:val="00A41A2F"/>
    <w:rsid w:val="00A42FFF"/>
    <w:rsid w:val="00A4488E"/>
    <w:rsid w:val="00A46E56"/>
    <w:rsid w:val="00A474FE"/>
    <w:rsid w:val="00A4758E"/>
    <w:rsid w:val="00A50C14"/>
    <w:rsid w:val="00A526B4"/>
    <w:rsid w:val="00A5353F"/>
    <w:rsid w:val="00A538F5"/>
    <w:rsid w:val="00A5537A"/>
    <w:rsid w:val="00A55631"/>
    <w:rsid w:val="00A564D7"/>
    <w:rsid w:val="00A56EE3"/>
    <w:rsid w:val="00A607E7"/>
    <w:rsid w:val="00A626D2"/>
    <w:rsid w:val="00A627D6"/>
    <w:rsid w:val="00A64851"/>
    <w:rsid w:val="00A6487D"/>
    <w:rsid w:val="00A64A88"/>
    <w:rsid w:val="00A64E36"/>
    <w:rsid w:val="00A65544"/>
    <w:rsid w:val="00A65B90"/>
    <w:rsid w:val="00A65C9E"/>
    <w:rsid w:val="00A6649E"/>
    <w:rsid w:val="00A6761C"/>
    <w:rsid w:val="00A67F4B"/>
    <w:rsid w:val="00A7100A"/>
    <w:rsid w:val="00A71D7C"/>
    <w:rsid w:val="00A7212C"/>
    <w:rsid w:val="00A75C79"/>
    <w:rsid w:val="00A76BF9"/>
    <w:rsid w:val="00A772DA"/>
    <w:rsid w:val="00A7751C"/>
    <w:rsid w:val="00A808AB"/>
    <w:rsid w:val="00A81007"/>
    <w:rsid w:val="00A816B0"/>
    <w:rsid w:val="00A82530"/>
    <w:rsid w:val="00A836B4"/>
    <w:rsid w:val="00A83AD7"/>
    <w:rsid w:val="00A84D3A"/>
    <w:rsid w:val="00A8503D"/>
    <w:rsid w:val="00A85D31"/>
    <w:rsid w:val="00A869B2"/>
    <w:rsid w:val="00A86FEA"/>
    <w:rsid w:val="00A875E5"/>
    <w:rsid w:val="00A87755"/>
    <w:rsid w:val="00A90BBF"/>
    <w:rsid w:val="00A92CA5"/>
    <w:rsid w:val="00A95266"/>
    <w:rsid w:val="00A953B4"/>
    <w:rsid w:val="00A9599A"/>
    <w:rsid w:val="00A95B50"/>
    <w:rsid w:val="00A972BD"/>
    <w:rsid w:val="00AA0019"/>
    <w:rsid w:val="00AA0543"/>
    <w:rsid w:val="00AA11DB"/>
    <w:rsid w:val="00AA3114"/>
    <w:rsid w:val="00AA4184"/>
    <w:rsid w:val="00AA68BE"/>
    <w:rsid w:val="00AA7777"/>
    <w:rsid w:val="00AA7DC9"/>
    <w:rsid w:val="00AB089E"/>
    <w:rsid w:val="00AB0EAB"/>
    <w:rsid w:val="00AB0ED1"/>
    <w:rsid w:val="00AB1AA4"/>
    <w:rsid w:val="00AB4BB1"/>
    <w:rsid w:val="00AB55A3"/>
    <w:rsid w:val="00AB7232"/>
    <w:rsid w:val="00AB7836"/>
    <w:rsid w:val="00AB7E48"/>
    <w:rsid w:val="00AC17FF"/>
    <w:rsid w:val="00AC2B4D"/>
    <w:rsid w:val="00AC3B31"/>
    <w:rsid w:val="00AC3F53"/>
    <w:rsid w:val="00AC557C"/>
    <w:rsid w:val="00AC597F"/>
    <w:rsid w:val="00AC5CBF"/>
    <w:rsid w:val="00AC5E2C"/>
    <w:rsid w:val="00AC6AD9"/>
    <w:rsid w:val="00AC7262"/>
    <w:rsid w:val="00AD0BE5"/>
    <w:rsid w:val="00AD2C02"/>
    <w:rsid w:val="00AD3036"/>
    <w:rsid w:val="00AD35B4"/>
    <w:rsid w:val="00AD37F0"/>
    <w:rsid w:val="00AD4181"/>
    <w:rsid w:val="00AD5C0B"/>
    <w:rsid w:val="00AD5D6A"/>
    <w:rsid w:val="00AD778A"/>
    <w:rsid w:val="00AE03AC"/>
    <w:rsid w:val="00AE1395"/>
    <w:rsid w:val="00AE1787"/>
    <w:rsid w:val="00AE2B68"/>
    <w:rsid w:val="00AE366A"/>
    <w:rsid w:val="00AE4F24"/>
    <w:rsid w:val="00AE5042"/>
    <w:rsid w:val="00AE52EC"/>
    <w:rsid w:val="00AE6357"/>
    <w:rsid w:val="00AE6D02"/>
    <w:rsid w:val="00AE7DA7"/>
    <w:rsid w:val="00AE7E3D"/>
    <w:rsid w:val="00AF0741"/>
    <w:rsid w:val="00AF1C63"/>
    <w:rsid w:val="00AF43FE"/>
    <w:rsid w:val="00AF5D28"/>
    <w:rsid w:val="00AF5E76"/>
    <w:rsid w:val="00AF7054"/>
    <w:rsid w:val="00B0025E"/>
    <w:rsid w:val="00B0107B"/>
    <w:rsid w:val="00B02B30"/>
    <w:rsid w:val="00B02C3A"/>
    <w:rsid w:val="00B02E95"/>
    <w:rsid w:val="00B034D7"/>
    <w:rsid w:val="00B05251"/>
    <w:rsid w:val="00B06F99"/>
    <w:rsid w:val="00B079FC"/>
    <w:rsid w:val="00B1059E"/>
    <w:rsid w:val="00B11C44"/>
    <w:rsid w:val="00B1255B"/>
    <w:rsid w:val="00B12C5A"/>
    <w:rsid w:val="00B14D43"/>
    <w:rsid w:val="00B151F5"/>
    <w:rsid w:val="00B15E6C"/>
    <w:rsid w:val="00B15F63"/>
    <w:rsid w:val="00B212D8"/>
    <w:rsid w:val="00B232EC"/>
    <w:rsid w:val="00B2358F"/>
    <w:rsid w:val="00B24090"/>
    <w:rsid w:val="00B253AE"/>
    <w:rsid w:val="00B259E3"/>
    <w:rsid w:val="00B274D1"/>
    <w:rsid w:val="00B30002"/>
    <w:rsid w:val="00B301BA"/>
    <w:rsid w:val="00B303B5"/>
    <w:rsid w:val="00B308D0"/>
    <w:rsid w:val="00B3192A"/>
    <w:rsid w:val="00B31E37"/>
    <w:rsid w:val="00B31E54"/>
    <w:rsid w:val="00B3337E"/>
    <w:rsid w:val="00B33C43"/>
    <w:rsid w:val="00B34619"/>
    <w:rsid w:val="00B3481D"/>
    <w:rsid w:val="00B34BCE"/>
    <w:rsid w:val="00B34F17"/>
    <w:rsid w:val="00B35BAD"/>
    <w:rsid w:val="00B35DD0"/>
    <w:rsid w:val="00B36075"/>
    <w:rsid w:val="00B367B0"/>
    <w:rsid w:val="00B37AA2"/>
    <w:rsid w:val="00B37F26"/>
    <w:rsid w:val="00B40ADB"/>
    <w:rsid w:val="00B42469"/>
    <w:rsid w:val="00B426AB"/>
    <w:rsid w:val="00B428DF"/>
    <w:rsid w:val="00B43280"/>
    <w:rsid w:val="00B444CC"/>
    <w:rsid w:val="00B44A1F"/>
    <w:rsid w:val="00B44E52"/>
    <w:rsid w:val="00B45233"/>
    <w:rsid w:val="00B47A82"/>
    <w:rsid w:val="00B50A9D"/>
    <w:rsid w:val="00B51534"/>
    <w:rsid w:val="00B550F0"/>
    <w:rsid w:val="00B55243"/>
    <w:rsid w:val="00B55478"/>
    <w:rsid w:val="00B57DFF"/>
    <w:rsid w:val="00B60F27"/>
    <w:rsid w:val="00B6163A"/>
    <w:rsid w:val="00B61E24"/>
    <w:rsid w:val="00B6378B"/>
    <w:rsid w:val="00B63AF7"/>
    <w:rsid w:val="00B63CDA"/>
    <w:rsid w:val="00B6400F"/>
    <w:rsid w:val="00B645EF"/>
    <w:rsid w:val="00B6543E"/>
    <w:rsid w:val="00B65486"/>
    <w:rsid w:val="00B70088"/>
    <w:rsid w:val="00B732A8"/>
    <w:rsid w:val="00B7371D"/>
    <w:rsid w:val="00B73A2E"/>
    <w:rsid w:val="00B76CC6"/>
    <w:rsid w:val="00B7700F"/>
    <w:rsid w:val="00B77D31"/>
    <w:rsid w:val="00B8368A"/>
    <w:rsid w:val="00B84ACA"/>
    <w:rsid w:val="00B86A83"/>
    <w:rsid w:val="00B86DF0"/>
    <w:rsid w:val="00B8762A"/>
    <w:rsid w:val="00B909E1"/>
    <w:rsid w:val="00B91514"/>
    <w:rsid w:val="00B941DD"/>
    <w:rsid w:val="00B9489E"/>
    <w:rsid w:val="00B9503A"/>
    <w:rsid w:val="00B97F21"/>
    <w:rsid w:val="00BA051C"/>
    <w:rsid w:val="00BA0F79"/>
    <w:rsid w:val="00BA2460"/>
    <w:rsid w:val="00BA44DF"/>
    <w:rsid w:val="00BA4A2E"/>
    <w:rsid w:val="00BA64EA"/>
    <w:rsid w:val="00BA68A6"/>
    <w:rsid w:val="00BA6B28"/>
    <w:rsid w:val="00BA6B42"/>
    <w:rsid w:val="00BA762C"/>
    <w:rsid w:val="00BB0232"/>
    <w:rsid w:val="00BB0959"/>
    <w:rsid w:val="00BB0BE4"/>
    <w:rsid w:val="00BB0CA8"/>
    <w:rsid w:val="00BB1CCF"/>
    <w:rsid w:val="00BB23DE"/>
    <w:rsid w:val="00BB262C"/>
    <w:rsid w:val="00BB2C2B"/>
    <w:rsid w:val="00BB3635"/>
    <w:rsid w:val="00BB5514"/>
    <w:rsid w:val="00BB5EB4"/>
    <w:rsid w:val="00BB61EE"/>
    <w:rsid w:val="00BB7090"/>
    <w:rsid w:val="00BC0F7D"/>
    <w:rsid w:val="00BC2142"/>
    <w:rsid w:val="00BC31B5"/>
    <w:rsid w:val="00BC3756"/>
    <w:rsid w:val="00BC3F29"/>
    <w:rsid w:val="00BC3FB6"/>
    <w:rsid w:val="00BC40A4"/>
    <w:rsid w:val="00BC5963"/>
    <w:rsid w:val="00BC60F3"/>
    <w:rsid w:val="00BC6A42"/>
    <w:rsid w:val="00BC7B5B"/>
    <w:rsid w:val="00BD087D"/>
    <w:rsid w:val="00BD2931"/>
    <w:rsid w:val="00BD2E0E"/>
    <w:rsid w:val="00BD3306"/>
    <w:rsid w:val="00BD3A9D"/>
    <w:rsid w:val="00BD3D17"/>
    <w:rsid w:val="00BD4396"/>
    <w:rsid w:val="00BD47B9"/>
    <w:rsid w:val="00BD49E3"/>
    <w:rsid w:val="00BD5A25"/>
    <w:rsid w:val="00BD625E"/>
    <w:rsid w:val="00BD7E71"/>
    <w:rsid w:val="00BE0818"/>
    <w:rsid w:val="00BE0E03"/>
    <w:rsid w:val="00BE0EA5"/>
    <w:rsid w:val="00BE2BF9"/>
    <w:rsid w:val="00BE32B5"/>
    <w:rsid w:val="00BE3BAD"/>
    <w:rsid w:val="00BE41BC"/>
    <w:rsid w:val="00BE4F04"/>
    <w:rsid w:val="00BE6BB3"/>
    <w:rsid w:val="00BF0715"/>
    <w:rsid w:val="00BF1D37"/>
    <w:rsid w:val="00BF2EDF"/>
    <w:rsid w:val="00BF3216"/>
    <w:rsid w:val="00BF32B0"/>
    <w:rsid w:val="00BF438B"/>
    <w:rsid w:val="00BF4DA8"/>
    <w:rsid w:val="00BF5521"/>
    <w:rsid w:val="00BF5A1E"/>
    <w:rsid w:val="00BF63BF"/>
    <w:rsid w:val="00BF7546"/>
    <w:rsid w:val="00C0050E"/>
    <w:rsid w:val="00C00E64"/>
    <w:rsid w:val="00C00E6C"/>
    <w:rsid w:val="00C02367"/>
    <w:rsid w:val="00C02D06"/>
    <w:rsid w:val="00C04A4E"/>
    <w:rsid w:val="00C050AF"/>
    <w:rsid w:val="00C053A0"/>
    <w:rsid w:val="00C07E0F"/>
    <w:rsid w:val="00C10265"/>
    <w:rsid w:val="00C108BE"/>
    <w:rsid w:val="00C127DC"/>
    <w:rsid w:val="00C13749"/>
    <w:rsid w:val="00C13D38"/>
    <w:rsid w:val="00C13D48"/>
    <w:rsid w:val="00C14187"/>
    <w:rsid w:val="00C14CB5"/>
    <w:rsid w:val="00C14EE9"/>
    <w:rsid w:val="00C154A9"/>
    <w:rsid w:val="00C15CCC"/>
    <w:rsid w:val="00C161D9"/>
    <w:rsid w:val="00C169B6"/>
    <w:rsid w:val="00C17741"/>
    <w:rsid w:val="00C17DD3"/>
    <w:rsid w:val="00C20F72"/>
    <w:rsid w:val="00C22208"/>
    <w:rsid w:val="00C22BC2"/>
    <w:rsid w:val="00C22EDA"/>
    <w:rsid w:val="00C235E2"/>
    <w:rsid w:val="00C24049"/>
    <w:rsid w:val="00C242E4"/>
    <w:rsid w:val="00C24486"/>
    <w:rsid w:val="00C2551F"/>
    <w:rsid w:val="00C25CFF"/>
    <w:rsid w:val="00C2704A"/>
    <w:rsid w:val="00C27C32"/>
    <w:rsid w:val="00C30463"/>
    <w:rsid w:val="00C30BCF"/>
    <w:rsid w:val="00C32D88"/>
    <w:rsid w:val="00C35339"/>
    <w:rsid w:val="00C36698"/>
    <w:rsid w:val="00C36A7F"/>
    <w:rsid w:val="00C36C74"/>
    <w:rsid w:val="00C401F5"/>
    <w:rsid w:val="00C41651"/>
    <w:rsid w:val="00C41A19"/>
    <w:rsid w:val="00C43A51"/>
    <w:rsid w:val="00C44996"/>
    <w:rsid w:val="00C4680D"/>
    <w:rsid w:val="00C468A1"/>
    <w:rsid w:val="00C472F9"/>
    <w:rsid w:val="00C47393"/>
    <w:rsid w:val="00C47BBA"/>
    <w:rsid w:val="00C47CCD"/>
    <w:rsid w:val="00C50DE1"/>
    <w:rsid w:val="00C51D2E"/>
    <w:rsid w:val="00C541B6"/>
    <w:rsid w:val="00C5426F"/>
    <w:rsid w:val="00C55B61"/>
    <w:rsid w:val="00C55BFC"/>
    <w:rsid w:val="00C56024"/>
    <w:rsid w:val="00C56EE6"/>
    <w:rsid w:val="00C6016B"/>
    <w:rsid w:val="00C61D23"/>
    <w:rsid w:val="00C62434"/>
    <w:rsid w:val="00C63A69"/>
    <w:rsid w:val="00C63D66"/>
    <w:rsid w:val="00C65DB3"/>
    <w:rsid w:val="00C65E9B"/>
    <w:rsid w:val="00C677A3"/>
    <w:rsid w:val="00C71D8C"/>
    <w:rsid w:val="00C71EEA"/>
    <w:rsid w:val="00C71FDF"/>
    <w:rsid w:val="00C72875"/>
    <w:rsid w:val="00C72AD9"/>
    <w:rsid w:val="00C72C07"/>
    <w:rsid w:val="00C7369D"/>
    <w:rsid w:val="00C755BA"/>
    <w:rsid w:val="00C75683"/>
    <w:rsid w:val="00C7743B"/>
    <w:rsid w:val="00C77A23"/>
    <w:rsid w:val="00C80192"/>
    <w:rsid w:val="00C802DF"/>
    <w:rsid w:val="00C81163"/>
    <w:rsid w:val="00C8131F"/>
    <w:rsid w:val="00C833E6"/>
    <w:rsid w:val="00C847F0"/>
    <w:rsid w:val="00C85099"/>
    <w:rsid w:val="00C859E1"/>
    <w:rsid w:val="00C86A01"/>
    <w:rsid w:val="00C903E1"/>
    <w:rsid w:val="00C91CE9"/>
    <w:rsid w:val="00C92DF7"/>
    <w:rsid w:val="00C94035"/>
    <w:rsid w:val="00C9498D"/>
    <w:rsid w:val="00C94BB6"/>
    <w:rsid w:val="00C95408"/>
    <w:rsid w:val="00C95E8C"/>
    <w:rsid w:val="00CA0227"/>
    <w:rsid w:val="00CA12C8"/>
    <w:rsid w:val="00CA1407"/>
    <w:rsid w:val="00CA1443"/>
    <w:rsid w:val="00CA1B96"/>
    <w:rsid w:val="00CA2127"/>
    <w:rsid w:val="00CA3F5B"/>
    <w:rsid w:val="00CA5568"/>
    <w:rsid w:val="00CA5A12"/>
    <w:rsid w:val="00CB1844"/>
    <w:rsid w:val="00CB432F"/>
    <w:rsid w:val="00CB5082"/>
    <w:rsid w:val="00CB5C47"/>
    <w:rsid w:val="00CB6772"/>
    <w:rsid w:val="00CB6F0F"/>
    <w:rsid w:val="00CC1FF9"/>
    <w:rsid w:val="00CC254E"/>
    <w:rsid w:val="00CC36C8"/>
    <w:rsid w:val="00CC5750"/>
    <w:rsid w:val="00CC60AD"/>
    <w:rsid w:val="00CC67D4"/>
    <w:rsid w:val="00CC6DBC"/>
    <w:rsid w:val="00CC709E"/>
    <w:rsid w:val="00CC7169"/>
    <w:rsid w:val="00CD077C"/>
    <w:rsid w:val="00CD1545"/>
    <w:rsid w:val="00CD1BB2"/>
    <w:rsid w:val="00CD2C4C"/>
    <w:rsid w:val="00CD2E46"/>
    <w:rsid w:val="00CD3837"/>
    <w:rsid w:val="00CD3930"/>
    <w:rsid w:val="00CD3E09"/>
    <w:rsid w:val="00CD40E6"/>
    <w:rsid w:val="00CD463A"/>
    <w:rsid w:val="00CD4760"/>
    <w:rsid w:val="00CD57FF"/>
    <w:rsid w:val="00CD5ACA"/>
    <w:rsid w:val="00CD7F4C"/>
    <w:rsid w:val="00CE0045"/>
    <w:rsid w:val="00CE0C39"/>
    <w:rsid w:val="00CE1381"/>
    <w:rsid w:val="00CE1638"/>
    <w:rsid w:val="00CE1884"/>
    <w:rsid w:val="00CE2308"/>
    <w:rsid w:val="00CE2A43"/>
    <w:rsid w:val="00CE2DDF"/>
    <w:rsid w:val="00CE3446"/>
    <w:rsid w:val="00CE36CC"/>
    <w:rsid w:val="00CE4846"/>
    <w:rsid w:val="00CE4E1A"/>
    <w:rsid w:val="00CE7F4E"/>
    <w:rsid w:val="00CF322D"/>
    <w:rsid w:val="00CF4CD9"/>
    <w:rsid w:val="00CF6D82"/>
    <w:rsid w:val="00D00424"/>
    <w:rsid w:val="00D00E66"/>
    <w:rsid w:val="00D00E85"/>
    <w:rsid w:val="00D0281D"/>
    <w:rsid w:val="00D0299D"/>
    <w:rsid w:val="00D02C41"/>
    <w:rsid w:val="00D03661"/>
    <w:rsid w:val="00D037B1"/>
    <w:rsid w:val="00D051A5"/>
    <w:rsid w:val="00D063B1"/>
    <w:rsid w:val="00D10008"/>
    <w:rsid w:val="00D10ADE"/>
    <w:rsid w:val="00D10D1C"/>
    <w:rsid w:val="00D11D4A"/>
    <w:rsid w:val="00D123D8"/>
    <w:rsid w:val="00D139B1"/>
    <w:rsid w:val="00D13BA7"/>
    <w:rsid w:val="00D14313"/>
    <w:rsid w:val="00D14B23"/>
    <w:rsid w:val="00D15544"/>
    <w:rsid w:val="00D15615"/>
    <w:rsid w:val="00D15AA8"/>
    <w:rsid w:val="00D1714E"/>
    <w:rsid w:val="00D17B8D"/>
    <w:rsid w:val="00D200AE"/>
    <w:rsid w:val="00D2197C"/>
    <w:rsid w:val="00D2247A"/>
    <w:rsid w:val="00D238CB"/>
    <w:rsid w:val="00D2412C"/>
    <w:rsid w:val="00D27113"/>
    <w:rsid w:val="00D27721"/>
    <w:rsid w:val="00D27C55"/>
    <w:rsid w:val="00D302A2"/>
    <w:rsid w:val="00D30E8B"/>
    <w:rsid w:val="00D316E6"/>
    <w:rsid w:val="00D32925"/>
    <w:rsid w:val="00D32DF1"/>
    <w:rsid w:val="00D33EB4"/>
    <w:rsid w:val="00D36FEB"/>
    <w:rsid w:val="00D370C9"/>
    <w:rsid w:val="00D40561"/>
    <w:rsid w:val="00D41707"/>
    <w:rsid w:val="00D41A68"/>
    <w:rsid w:val="00D42CA0"/>
    <w:rsid w:val="00D42E58"/>
    <w:rsid w:val="00D42E61"/>
    <w:rsid w:val="00D43275"/>
    <w:rsid w:val="00D446BE"/>
    <w:rsid w:val="00D44C94"/>
    <w:rsid w:val="00D44E35"/>
    <w:rsid w:val="00D450BF"/>
    <w:rsid w:val="00D5080B"/>
    <w:rsid w:val="00D510FA"/>
    <w:rsid w:val="00D53231"/>
    <w:rsid w:val="00D5333F"/>
    <w:rsid w:val="00D535F0"/>
    <w:rsid w:val="00D5507B"/>
    <w:rsid w:val="00D55B81"/>
    <w:rsid w:val="00D60200"/>
    <w:rsid w:val="00D6092A"/>
    <w:rsid w:val="00D610AB"/>
    <w:rsid w:val="00D611E5"/>
    <w:rsid w:val="00D621E4"/>
    <w:rsid w:val="00D62D35"/>
    <w:rsid w:val="00D63DCE"/>
    <w:rsid w:val="00D66326"/>
    <w:rsid w:val="00D6726F"/>
    <w:rsid w:val="00D726B4"/>
    <w:rsid w:val="00D726F1"/>
    <w:rsid w:val="00D72926"/>
    <w:rsid w:val="00D75748"/>
    <w:rsid w:val="00D75DCF"/>
    <w:rsid w:val="00D76C94"/>
    <w:rsid w:val="00D77B4F"/>
    <w:rsid w:val="00D8108D"/>
    <w:rsid w:val="00D81FDD"/>
    <w:rsid w:val="00D82959"/>
    <w:rsid w:val="00D82D56"/>
    <w:rsid w:val="00D83A97"/>
    <w:rsid w:val="00D84037"/>
    <w:rsid w:val="00D84103"/>
    <w:rsid w:val="00D84BB6"/>
    <w:rsid w:val="00D8691B"/>
    <w:rsid w:val="00D90E9C"/>
    <w:rsid w:val="00D93984"/>
    <w:rsid w:val="00D93C19"/>
    <w:rsid w:val="00D94787"/>
    <w:rsid w:val="00D95982"/>
    <w:rsid w:val="00D960E9"/>
    <w:rsid w:val="00D9621C"/>
    <w:rsid w:val="00D96A79"/>
    <w:rsid w:val="00DA085F"/>
    <w:rsid w:val="00DA0BDF"/>
    <w:rsid w:val="00DA0F47"/>
    <w:rsid w:val="00DA1417"/>
    <w:rsid w:val="00DA167E"/>
    <w:rsid w:val="00DA212D"/>
    <w:rsid w:val="00DA4419"/>
    <w:rsid w:val="00DA448A"/>
    <w:rsid w:val="00DA5058"/>
    <w:rsid w:val="00DA66C1"/>
    <w:rsid w:val="00DA7865"/>
    <w:rsid w:val="00DA7DD8"/>
    <w:rsid w:val="00DA7DFA"/>
    <w:rsid w:val="00DB08AD"/>
    <w:rsid w:val="00DB094C"/>
    <w:rsid w:val="00DB2B5E"/>
    <w:rsid w:val="00DB2EA7"/>
    <w:rsid w:val="00DB6259"/>
    <w:rsid w:val="00DB67CC"/>
    <w:rsid w:val="00DB7D8D"/>
    <w:rsid w:val="00DC0389"/>
    <w:rsid w:val="00DC070F"/>
    <w:rsid w:val="00DC1800"/>
    <w:rsid w:val="00DC2649"/>
    <w:rsid w:val="00DC2727"/>
    <w:rsid w:val="00DC2D73"/>
    <w:rsid w:val="00DC425C"/>
    <w:rsid w:val="00DC4B85"/>
    <w:rsid w:val="00DC52AB"/>
    <w:rsid w:val="00DC5B02"/>
    <w:rsid w:val="00DC6A24"/>
    <w:rsid w:val="00DC6A91"/>
    <w:rsid w:val="00DC7516"/>
    <w:rsid w:val="00DD3004"/>
    <w:rsid w:val="00DD3DA0"/>
    <w:rsid w:val="00DD5564"/>
    <w:rsid w:val="00DD5908"/>
    <w:rsid w:val="00DD5DA8"/>
    <w:rsid w:val="00DD76B9"/>
    <w:rsid w:val="00DE118F"/>
    <w:rsid w:val="00DE23B0"/>
    <w:rsid w:val="00DE3D96"/>
    <w:rsid w:val="00DE6649"/>
    <w:rsid w:val="00DE67C5"/>
    <w:rsid w:val="00DE6AD7"/>
    <w:rsid w:val="00DE6FF5"/>
    <w:rsid w:val="00DE7A9E"/>
    <w:rsid w:val="00DE7D2F"/>
    <w:rsid w:val="00DE7FF8"/>
    <w:rsid w:val="00DF00C0"/>
    <w:rsid w:val="00DF0FCD"/>
    <w:rsid w:val="00DF18A6"/>
    <w:rsid w:val="00DF2660"/>
    <w:rsid w:val="00DF2E15"/>
    <w:rsid w:val="00DF33AF"/>
    <w:rsid w:val="00DF383B"/>
    <w:rsid w:val="00DF397C"/>
    <w:rsid w:val="00DF3DBD"/>
    <w:rsid w:val="00DF42E2"/>
    <w:rsid w:val="00DF4C48"/>
    <w:rsid w:val="00DF74B2"/>
    <w:rsid w:val="00DF77B3"/>
    <w:rsid w:val="00DF7A50"/>
    <w:rsid w:val="00E0123F"/>
    <w:rsid w:val="00E01FF9"/>
    <w:rsid w:val="00E0224E"/>
    <w:rsid w:val="00E040B4"/>
    <w:rsid w:val="00E04ABB"/>
    <w:rsid w:val="00E04B03"/>
    <w:rsid w:val="00E053D6"/>
    <w:rsid w:val="00E054C0"/>
    <w:rsid w:val="00E05743"/>
    <w:rsid w:val="00E061F1"/>
    <w:rsid w:val="00E06BC7"/>
    <w:rsid w:val="00E119D6"/>
    <w:rsid w:val="00E11A78"/>
    <w:rsid w:val="00E12F97"/>
    <w:rsid w:val="00E14888"/>
    <w:rsid w:val="00E14FD7"/>
    <w:rsid w:val="00E1561C"/>
    <w:rsid w:val="00E15907"/>
    <w:rsid w:val="00E176C1"/>
    <w:rsid w:val="00E17B16"/>
    <w:rsid w:val="00E21005"/>
    <w:rsid w:val="00E22473"/>
    <w:rsid w:val="00E225D3"/>
    <w:rsid w:val="00E22845"/>
    <w:rsid w:val="00E241A1"/>
    <w:rsid w:val="00E24C61"/>
    <w:rsid w:val="00E26459"/>
    <w:rsid w:val="00E26954"/>
    <w:rsid w:val="00E31D49"/>
    <w:rsid w:val="00E32DAC"/>
    <w:rsid w:val="00E34E17"/>
    <w:rsid w:val="00E35244"/>
    <w:rsid w:val="00E3526E"/>
    <w:rsid w:val="00E3610B"/>
    <w:rsid w:val="00E42271"/>
    <w:rsid w:val="00E4267C"/>
    <w:rsid w:val="00E427B7"/>
    <w:rsid w:val="00E43B96"/>
    <w:rsid w:val="00E442C3"/>
    <w:rsid w:val="00E47F5F"/>
    <w:rsid w:val="00E502D7"/>
    <w:rsid w:val="00E50390"/>
    <w:rsid w:val="00E51BC9"/>
    <w:rsid w:val="00E52AAD"/>
    <w:rsid w:val="00E52F64"/>
    <w:rsid w:val="00E54F48"/>
    <w:rsid w:val="00E55ECE"/>
    <w:rsid w:val="00E578C9"/>
    <w:rsid w:val="00E606CA"/>
    <w:rsid w:val="00E60E46"/>
    <w:rsid w:val="00E6115F"/>
    <w:rsid w:val="00E625ED"/>
    <w:rsid w:val="00E62D26"/>
    <w:rsid w:val="00E65BE8"/>
    <w:rsid w:val="00E65BFB"/>
    <w:rsid w:val="00E66A26"/>
    <w:rsid w:val="00E679D1"/>
    <w:rsid w:val="00E70B1D"/>
    <w:rsid w:val="00E71031"/>
    <w:rsid w:val="00E72ACD"/>
    <w:rsid w:val="00E72F59"/>
    <w:rsid w:val="00E73276"/>
    <w:rsid w:val="00E73409"/>
    <w:rsid w:val="00E73A8A"/>
    <w:rsid w:val="00E75679"/>
    <w:rsid w:val="00E774C3"/>
    <w:rsid w:val="00E8075A"/>
    <w:rsid w:val="00E80BB2"/>
    <w:rsid w:val="00E81AFE"/>
    <w:rsid w:val="00E821D7"/>
    <w:rsid w:val="00E824D8"/>
    <w:rsid w:val="00E82666"/>
    <w:rsid w:val="00E8338A"/>
    <w:rsid w:val="00E83723"/>
    <w:rsid w:val="00E84B10"/>
    <w:rsid w:val="00E86422"/>
    <w:rsid w:val="00E875CB"/>
    <w:rsid w:val="00E926C5"/>
    <w:rsid w:val="00E92962"/>
    <w:rsid w:val="00E932A5"/>
    <w:rsid w:val="00E93444"/>
    <w:rsid w:val="00E948D9"/>
    <w:rsid w:val="00E94AFF"/>
    <w:rsid w:val="00E94BE8"/>
    <w:rsid w:val="00E96210"/>
    <w:rsid w:val="00E970D2"/>
    <w:rsid w:val="00E97B13"/>
    <w:rsid w:val="00E97C5E"/>
    <w:rsid w:val="00EA25AE"/>
    <w:rsid w:val="00EA2C66"/>
    <w:rsid w:val="00EA329F"/>
    <w:rsid w:val="00EA425E"/>
    <w:rsid w:val="00EA46B4"/>
    <w:rsid w:val="00EA60AF"/>
    <w:rsid w:val="00EA7271"/>
    <w:rsid w:val="00EB158E"/>
    <w:rsid w:val="00EB2FFE"/>
    <w:rsid w:val="00EB3BF0"/>
    <w:rsid w:val="00EB45AC"/>
    <w:rsid w:val="00EB46BA"/>
    <w:rsid w:val="00EB48D9"/>
    <w:rsid w:val="00EB4968"/>
    <w:rsid w:val="00EB508B"/>
    <w:rsid w:val="00EB5A41"/>
    <w:rsid w:val="00EB5DF7"/>
    <w:rsid w:val="00EB7A3D"/>
    <w:rsid w:val="00EC0D8B"/>
    <w:rsid w:val="00EC1443"/>
    <w:rsid w:val="00EC268E"/>
    <w:rsid w:val="00EC3C86"/>
    <w:rsid w:val="00EC3D06"/>
    <w:rsid w:val="00EC5919"/>
    <w:rsid w:val="00ED0FF9"/>
    <w:rsid w:val="00ED15F0"/>
    <w:rsid w:val="00ED1929"/>
    <w:rsid w:val="00ED1F10"/>
    <w:rsid w:val="00ED3CA7"/>
    <w:rsid w:val="00ED4905"/>
    <w:rsid w:val="00ED57C6"/>
    <w:rsid w:val="00ED6290"/>
    <w:rsid w:val="00ED7A82"/>
    <w:rsid w:val="00ED7CD7"/>
    <w:rsid w:val="00EE09F7"/>
    <w:rsid w:val="00EE1800"/>
    <w:rsid w:val="00EE3038"/>
    <w:rsid w:val="00EE5FD6"/>
    <w:rsid w:val="00EE63AE"/>
    <w:rsid w:val="00EE707B"/>
    <w:rsid w:val="00EF0517"/>
    <w:rsid w:val="00EF1E10"/>
    <w:rsid w:val="00EF27DB"/>
    <w:rsid w:val="00EF4A6F"/>
    <w:rsid w:val="00EF53C3"/>
    <w:rsid w:val="00EF5CB7"/>
    <w:rsid w:val="00EF68AA"/>
    <w:rsid w:val="00EF7171"/>
    <w:rsid w:val="00EF79B4"/>
    <w:rsid w:val="00F0104A"/>
    <w:rsid w:val="00F02410"/>
    <w:rsid w:val="00F03369"/>
    <w:rsid w:val="00F036E0"/>
    <w:rsid w:val="00F061A0"/>
    <w:rsid w:val="00F06A60"/>
    <w:rsid w:val="00F06B9B"/>
    <w:rsid w:val="00F07B3F"/>
    <w:rsid w:val="00F10B57"/>
    <w:rsid w:val="00F11159"/>
    <w:rsid w:val="00F118F9"/>
    <w:rsid w:val="00F11FDF"/>
    <w:rsid w:val="00F12F13"/>
    <w:rsid w:val="00F130BE"/>
    <w:rsid w:val="00F13688"/>
    <w:rsid w:val="00F1449A"/>
    <w:rsid w:val="00F14B66"/>
    <w:rsid w:val="00F16127"/>
    <w:rsid w:val="00F16DC4"/>
    <w:rsid w:val="00F2026A"/>
    <w:rsid w:val="00F20850"/>
    <w:rsid w:val="00F20CFF"/>
    <w:rsid w:val="00F21DF3"/>
    <w:rsid w:val="00F21DFA"/>
    <w:rsid w:val="00F224D0"/>
    <w:rsid w:val="00F22F4A"/>
    <w:rsid w:val="00F249E4"/>
    <w:rsid w:val="00F25091"/>
    <w:rsid w:val="00F254D2"/>
    <w:rsid w:val="00F254E2"/>
    <w:rsid w:val="00F2649F"/>
    <w:rsid w:val="00F274AF"/>
    <w:rsid w:val="00F3021B"/>
    <w:rsid w:val="00F3034B"/>
    <w:rsid w:val="00F3244B"/>
    <w:rsid w:val="00F3321D"/>
    <w:rsid w:val="00F35068"/>
    <w:rsid w:val="00F35716"/>
    <w:rsid w:val="00F35B3D"/>
    <w:rsid w:val="00F35D20"/>
    <w:rsid w:val="00F3630C"/>
    <w:rsid w:val="00F36B24"/>
    <w:rsid w:val="00F36E09"/>
    <w:rsid w:val="00F378BF"/>
    <w:rsid w:val="00F40645"/>
    <w:rsid w:val="00F40902"/>
    <w:rsid w:val="00F412A6"/>
    <w:rsid w:val="00F434F2"/>
    <w:rsid w:val="00F44246"/>
    <w:rsid w:val="00F44608"/>
    <w:rsid w:val="00F446FD"/>
    <w:rsid w:val="00F448BB"/>
    <w:rsid w:val="00F44E91"/>
    <w:rsid w:val="00F45206"/>
    <w:rsid w:val="00F45262"/>
    <w:rsid w:val="00F45C99"/>
    <w:rsid w:val="00F470C5"/>
    <w:rsid w:val="00F47840"/>
    <w:rsid w:val="00F47FCF"/>
    <w:rsid w:val="00F50A49"/>
    <w:rsid w:val="00F50D99"/>
    <w:rsid w:val="00F5101B"/>
    <w:rsid w:val="00F5187A"/>
    <w:rsid w:val="00F532D8"/>
    <w:rsid w:val="00F53D0C"/>
    <w:rsid w:val="00F55695"/>
    <w:rsid w:val="00F55A8D"/>
    <w:rsid w:val="00F564E9"/>
    <w:rsid w:val="00F60962"/>
    <w:rsid w:val="00F61A78"/>
    <w:rsid w:val="00F61D72"/>
    <w:rsid w:val="00F62245"/>
    <w:rsid w:val="00F624F3"/>
    <w:rsid w:val="00F62CF7"/>
    <w:rsid w:val="00F64DCD"/>
    <w:rsid w:val="00F659BF"/>
    <w:rsid w:val="00F65C5B"/>
    <w:rsid w:val="00F66337"/>
    <w:rsid w:val="00F6645F"/>
    <w:rsid w:val="00F6658E"/>
    <w:rsid w:val="00F66F3D"/>
    <w:rsid w:val="00F710D3"/>
    <w:rsid w:val="00F73315"/>
    <w:rsid w:val="00F76D77"/>
    <w:rsid w:val="00F805C6"/>
    <w:rsid w:val="00F82AFC"/>
    <w:rsid w:val="00F82B13"/>
    <w:rsid w:val="00F83844"/>
    <w:rsid w:val="00F84375"/>
    <w:rsid w:val="00F848FB"/>
    <w:rsid w:val="00F85F97"/>
    <w:rsid w:val="00F8623C"/>
    <w:rsid w:val="00F8670D"/>
    <w:rsid w:val="00F87BBD"/>
    <w:rsid w:val="00F90550"/>
    <w:rsid w:val="00F9064B"/>
    <w:rsid w:val="00F918A1"/>
    <w:rsid w:val="00F91A6F"/>
    <w:rsid w:val="00F91BA8"/>
    <w:rsid w:val="00F91D02"/>
    <w:rsid w:val="00F920FD"/>
    <w:rsid w:val="00F92575"/>
    <w:rsid w:val="00F92E1F"/>
    <w:rsid w:val="00F936E2"/>
    <w:rsid w:val="00F93DB3"/>
    <w:rsid w:val="00F9510A"/>
    <w:rsid w:val="00F97F6A"/>
    <w:rsid w:val="00FA0478"/>
    <w:rsid w:val="00FA1384"/>
    <w:rsid w:val="00FA4010"/>
    <w:rsid w:val="00FA4383"/>
    <w:rsid w:val="00FA568F"/>
    <w:rsid w:val="00FA5E33"/>
    <w:rsid w:val="00FA68D8"/>
    <w:rsid w:val="00FA697F"/>
    <w:rsid w:val="00FB01C7"/>
    <w:rsid w:val="00FB22DA"/>
    <w:rsid w:val="00FB255D"/>
    <w:rsid w:val="00FB2CE9"/>
    <w:rsid w:val="00FB48F5"/>
    <w:rsid w:val="00FB4F98"/>
    <w:rsid w:val="00FB6025"/>
    <w:rsid w:val="00FB6033"/>
    <w:rsid w:val="00FB6076"/>
    <w:rsid w:val="00FC0B73"/>
    <w:rsid w:val="00FC1F8D"/>
    <w:rsid w:val="00FC4C00"/>
    <w:rsid w:val="00FC4F60"/>
    <w:rsid w:val="00FC59E7"/>
    <w:rsid w:val="00FC6D3C"/>
    <w:rsid w:val="00FC7A95"/>
    <w:rsid w:val="00FD0A87"/>
    <w:rsid w:val="00FD17C3"/>
    <w:rsid w:val="00FD1A5F"/>
    <w:rsid w:val="00FD2461"/>
    <w:rsid w:val="00FD3A7D"/>
    <w:rsid w:val="00FD43C3"/>
    <w:rsid w:val="00FD6650"/>
    <w:rsid w:val="00FD6933"/>
    <w:rsid w:val="00FD6A19"/>
    <w:rsid w:val="00FD7378"/>
    <w:rsid w:val="00FD749F"/>
    <w:rsid w:val="00FD76C7"/>
    <w:rsid w:val="00FD787C"/>
    <w:rsid w:val="00FD7CBC"/>
    <w:rsid w:val="00FE0627"/>
    <w:rsid w:val="00FE07CB"/>
    <w:rsid w:val="00FE0E7D"/>
    <w:rsid w:val="00FE1115"/>
    <w:rsid w:val="00FE1345"/>
    <w:rsid w:val="00FE2EE6"/>
    <w:rsid w:val="00FE5BDF"/>
    <w:rsid w:val="00FE5E2D"/>
    <w:rsid w:val="00FE6520"/>
    <w:rsid w:val="00FF11E0"/>
    <w:rsid w:val="00FF2087"/>
    <w:rsid w:val="00FF246E"/>
    <w:rsid w:val="00FF287A"/>
    <w:rsid w:val="00FF2C05"/>
    <w:rsid w:val="00FF3B6B"/>
    <w:rsid w:val="00FF6698"/>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E941CD"/>
  <w14:defaultImageDpi w14:val="96"/>
  <w15:docId w15:val="{6C0BE827-082E-4913-995C-E5D2B517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qFormat="1"/>
    <w:lsdException w:name="page number" w:semiHidden="1" w:uiPriority="0" w:unhideWhenUsed="1" w:qFormat="1"/>
    <w:lsdException w:name="endnote reference" w:semiHidden="1" w:unhideWhenUsed="1" w:qFormat="1"/>
    <w:lsdException w:name="endnote text" w:semiHidden="1" w:unhideWhenUsed="1" w:qFormat="1"/>
    <w:lsdException w:name="table of authorities" w:uiPriority="0"/>
    <w:lsdException w:name="macro" w:semiHidden="1" w:uiPriority="0" w:unhideWhenUsed="1"/>
    <w:lsdException w:name="toa heading"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145C"/>
    <w:pPr>
      <w:suppressAutoHyphens/>
      <w:spacing w:line="240" w:lineRule="exact"/>
    </w:pPr>
    <w:rPr>
      <w:rFonts w:ascii="Times New Roman" w:hAnsi="Times New Roman" w:cs="Times New Roman"/>
      <w:spacing w:val="4"/>
      <w:w w:val="103"/>
      <w:szCs w:val="22"/>
      <w:lang w:eastAsia="en-US"/>
    </w:rPr>
  </w:style>
  <w:style w:type="paragraph" w:styleId="Heading1">
    <w:name w:val="heading 1"/>
    <w:aliases w:val="Table_G"/>
    <w:basedOn w:val="Normal"/>
    <w:next w:val="Normal"/>
    <w:link w:val="Heading1Char"/>
    <w:uiPriority w:val="9"/>
    <w:qFormat/>
    <w:rsid w:val="00BB0959"/>
    <w:pPr>
      <w:keepNext/>
      <w:numPr>
        <w:numId w:val="9"/>
      </w:numPr>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qFormat/>
    <w:rsid w:val="00F61A78"/>
    <w:pPr>
      <w:keepNext/>
      <w:numPr>
        <w:ilvl w:val="1"/>
        <w:numId w:val="9"/>
      </w:numPr>
      <w:spacing w:before="240" w:after="60"/>
      <w:outlineLvl w:val="1"/>
    </w:pPr>
    <w:rPr>
      <w:rFonts w:ascii="Arial" w:hAnsi="Arial"/>
      <w:b/>
      <w:bCs/>
      <w:i/>
      <w:kern w:val="14"/>
      <w:sz w:val="28"/>
      <w:szCs w:val="26"/>
    </w:rPr>
  </w:style>
  <w:style w:type="paragraph" w:styleId="Heading3">
    <w:name w:val="heading 3"/>
    <w:basedOn w:val="Normal"/>
    <w:next w:val="Normal"/>
    <w:link w:val="Heading3Char"/>
    <w:uiPriority w:val="9"/>
    <w:qFormat/>
    <w:rsid w:val="00F61A78"/>
    <w:pPr>
      <w:keepNext/>
      <w:numPr>
        <w:ilvl w:val="2"/>
        <w:numId w:val="9"/>
      </w:numPr>
      <w:spacing w:before="240" w:after="60"/>
      <w:outlineLvl w:val="2"/>
    </w:pPr>
    <w:rPr>
      <w:rFonts w:ascii="Arial" w:hAnsi="Arial"/>
      <w:b/>
      <w:bCs/>
      <w:kern w:val="14"/>
      <w:sz w:val="26"/>
    </w:rPr>
  </w:style>
  <w:style w:type="paragraph" w:styleId="Heading4">
    <w:name w:val="heading 4"/>
    <w:basedOn w:val="Normal"/>
    <w:next w:val="Normal"/>
    <w:link w:val="Heading4Char"/>
    <w:uiPriority w:val="9"/>
    <w:unhideWhenUsed/>
    <w:qFormat/>
    <w:rsid w:val="001C2E87"/>
    <w:pPr>
      <w:numPr>
        <w:ilvl w:val="3"/>
        <w:numId w:val="9"/>
      </w:numPr>
      <w:spacing w:before="200"/>
      <w:outlineLvl w:val="3"/>
    </w:pPr>
    <w:rPr>
      <w:rFonts w:ascii="Cambria" w:hAnsi="Cambria"/>
      <w:b/>
      <w:bCs/>
      <w:i/>
      <w:iCs/>
    </w:rPr>
  </w:style>
  <w:style w:type="paragraph" w:styleId="Heading5">
    <w:name w:val="heading 5"/>
    <w:basedOn w:val="Normal"/>
    <w:next w:val="Normal"/>
    <w:link w:val="Heading5Char"/>
    <w:uiPriority w:val="9"/>
    <w:unhideWhenUsed/>
    <w:qFormat/>
    <w:rsid w:val="001C2E87"/>
    <w:pPr>
      <w:numPr>
        <w:ilvl w:val="4"/>
        <w:numId w:val="9"/>
      </w:numPr>
      <w:spacing w:before="200"/>
      <w:outlineLvl w:val="4"/>
    </w:pPr>
    <w:rPr>
      <w:rFonts w:ascii="Cambria" w:hAnsi="Cambria"/>
      <w:b/>
      <w:bCs/>
      <w:color w:val="7F7F7F"/>
    </w:rPr>
  </w:style>
  <w:style w:type="paragraph" w:styleId="Heading6">
    <w:name w:val="heading 6"/>
    <w:basedOn w:val="Normal"/>
    <w:next w:val="Normal"/>
    <w:link w:val="Heading6Char"/>
    <w:uiPriority w:val="9"/>
    <w:unhideWhenUsed/>
    <w:qFormat/>
    <w:rsid w:val="001C2E87"/>
    <w:pPr>
      <w:numPr>
        <w:ilvl w:val="5"/>
        <w:numId w:val="9"/>
      </w:num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1C2E87"/>
    <w:pPr>
      <w:numPr>
        <w:ilvl w:val="6"/>
        <w:numId w:val="9"/>
      </w:numPr>
      <w:outlineLvl w:val="6"/>
    </w:pPr>
    <w:rPr>
      <w:rFonts w:ascii="Cambria" w:hAnsi="Cambria"/>
      <w:i/>
      <w:iCs/>
    </w:rPr>
  </w:style>
  <w:style w:type="paragraph" w:styleId="Heading8">
    <w:name w:val="heading 8"/>
    <w:basedOn w:val="Normal"/>
    <w:next w:val="Normal"/>
    <w:link w:val="Heading8Char"/>
    <w:uiPriority w:val="9"/>
    <w:unhideWhenUsed/>
    <w:qFormat/>
    <w:rsid w:val="001C2E87"/>
    <w:pPr>
      <w:numPr>
        <w:ilvl w:val="7"/>
        <w:numId w:val="9"/>
      </w:numPr>
      <w:outlineLvl w:val="7"/>
    </w:pPr>
    <w:rPr>
      <w:rFonts w:ascii="Cambria" w:hAnsi="Cambria"/>
      <w:szCs w:val="20"/>
    </w:rPr>
  </w:style>
  <w:style w:type="paragraph" w:styleId="Heading9">
    <w:name w:val="heading 9"/>
    <w:basedOn w:val="Normal"/>
    <w:next w:val="Normal"/>
    <w:link w:val="Heading9Char"/>
    <w:uiPriority w:val="9"/>
    <w:unhideWhenUsed/>
    <w:qFormat/>
    <w:rsid w:val="001C2E87"/>
    <w:pPr>
      <w:numPr>
        <w:ilvl w:val="8"/>
        <w:numId w:val="9"/>
      </w:numPr>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locked/>
    <w:rsid w:val="00BB0959"/>
    <w:rPr>
      <w:rFonts w:ascii="Arial" w:hAnsi="Arial" w:cs="Times New Roman"/>
      <w:b/>
      <w:bCs/>
      <w:spacing w:val="4"/>
      <w:w w:val="103"/>
      <w:kern w:val="32"/>
      <w:sz w:val="32"/>
      <w:szCs w:val="28"/>
      <w:lang w:eastAsia="en-US"/>
    </w:rPr>
  </w:style>
  <w:style w:type="character" w:customStyle="1" w:styleId="Heading2Char">
    <w:name w:val="Heading 2 Char"/>
    <w:basedOn w:val="DefaultParagraphFont"/>
    <w:link w:val="Heading2"/>
    <w:uiPriority w:val="9"/>
    <w:locked/>
    <w:rsid w:val="00F61A78"/>
    <w:rPr>
      <w:rFonts w:ascii="Arial" w:hAnsi="Arial" w:cs="Times New Roman"/>
      <w:b/>
      <w:bCs/>
      <w:i/>
      <w:spacing w:val="4"/>
      <w:w w:val="103"/>
      <w:kern w:val="14"/>
      <w:sz w:val="28"/>
      <w:szCs w:val="26"/>
      <w:lang w:eastAsia="en-US"/>
    </w:rPr>
  </w:style>
  <w:style w:type="character" w:customStyle="1" w:styleId="Heading3Char">
    <w:name w:val="Heading 3 Char"/>
    <w:basedOn w:val="DefaultParagraphFont"/>
    <w:link w:val="Heading3"/>
    <w:uiPriority w:val="9"/>
    <w:locked/>
    <w:rsid w:val="00F61A78"/>
    <w:rPr>
      <w:rFonts w:ascii="Arial" w:hAnsi="Arial" w:cs="Times New Roman"/>
      <w:b/>
      <w:bCs/>
      <w:spacing w:val="4"/>
      <w:w w:val="103"/>
      <w:kern w:val="14"/>
      <w:sz w:val="26"/>
      <w:szCs w:val="22"/>
      <w:lang w:eastAsia="en-US"/>
    </w:rPr>
  </w:style>
  <w:style w:type="character" w:customStyle="1" w:styleId="Heading4Char">
    <w:name w:val="Heading 4 Char"/>
    <w:basedOn w:val="DefaultParagraphFont"/>
    <w:link w:val="Heading4"/>
    <w:uiPriority w:val="9"/>
    <w:locked/>
    <w:rsid w:val="001C2E87"/>
    <w:rPr>
      <w:rFonts w:ascii="Cambria" w:hAnsi="Cambria" w:cs="Times New Roman"/>
      <w:b/>
      <w:bCs/>
      <w:i/>
      <w:iCs/>
      <w:spacing w:val="4"/>
      <w:w w:val="103"/>
      <w:szCs w:val="22"/>
      <w:lang w:eastAsia="en-US"/>
    </w:rPr>
  </w:style>
  <w:style w:type="character" w:customStyle="1" w:styleId="Heading5Char">
    <w:name w:val="Heading 5 Char"/>
    <w:basedOn w:val="DefaultParagraphFont"/>
    <w:link w:val="Heading5"/>
    <w:uiPriority w:val="9"/>
    <w:locked/>
    <w:rsid w:val="001C2E87"/>
    <w:rPr>
      <w:rFonts w:ascii="Cambria" w:hAnsi="Cambria" w:cs="Times New Roman"/>
      <w:b/>
      <w:bCs/>
      <w:color w:val="7F7F7F"/>
      <w:spacing w:val="4"/>
      <w:w w:val="103"/>
      <w:szCs w:val="22"/>
      <w:lang w:eastAsia="en-US"/>
    </w:rPr>
  </w:style>
  <w:style w:type="character" w:customStyle="1" w:styleId="Heading6Char">
    <w:name w:val="Heading 6 Char"/>
    <w:basedOn w:val="DefaultParagraphFont"/>
    <w:link w:val="Heading6"/>
    <w:uiPriority w:val="9"/>
    <w:locked/>
    <w:rsid w:val="001C2E87"/>
    <w:rPr>
      <w:rFonts w:ascii="Cambria" w:hAnsi="Cambria" w:cs="Times New Roman"/>
      <w:b/>
      <w:bCs/>
      <w:i/>
      <w:iCs/>
      <w:color w:val="7F7F7F"/>
      <w:spacing w:val="4"/>
      <w:w w:val="103"/>
      <w:szCs w:val="22"/>
      <w:lang w:eastAsia="en-US"/>
    </w:rPr>
  </w:style>
  <w:style w:type="character" w:customStyle="1" w:styleId="Heading7Char">
    <w:name w:val="Heading 7 Char"/>
    <w:basedOn w:val="DefaultParagraphFont"/>
    <w:link w:val="Heading7"/>
    <w:uiPriority w:val="9"/>
    <w:locked/>
    <w:rsid w:val="001C2E87"/>
    <w:rPr>
      <w:rFonts w:ascii="Cambria" w:hAnsi="Cambria" w:cs="Times New Roman"/>
      <w:i/>
      <w:iCs/>
      <w:spacing w:val="4"/>
      <w:w w:val="103"/>
      <w:szCs w:val="22"/>
      <w:lang w:eastAsia="en-US"/>
    </w:rPr>
  </w:style>
  <w:style w:type="character" w:customStyle="1" w:styleId="Heading8Char">
    <w:name w:val="Heading 8 Char"/>
    <w:basedOn w:val="DefaultParagraphFont"/>
    <w:link w:val="Heading8"/>
    <w:uiPriority w:val="9"/>
    <w:locked/>
    <w:rsid w:val="001C2E87"/>
    <w:rPr>
      <w:rFonts w:ascii="Cambria" w:hAnsi="Cambria" w:cs="Times New Roman"/>
      <w:spacing w:val="4"/>
      <w:w w:val="103"/>
      <w:lang w:eastAsia="en-US"/>
    </w:rPr>
  </w:style>
  <w:style w:type="character" w:customStyle="1" w:styleId="Heading9Char">
    <w:name w:val="Heading 9 Char"/>
    <w:basedOn w:val="DefaultParagraphFont"/>
    <w:link w:val="Heading9"/>
    <w:uiPriority w:val="9"/>
    <w:locked/>
    <w:rsid w:val="001C2E87"/>
    <w:rPr>
      <w:rFonts w:ascii="Cambria" w:hAnsi="Cambria" w:cs="Times New Roman"/>
      <w:i/>
      <w:iCs/>
      <w:spacing w:val="5"/>
      <w:w w:val="103"/>
      <w:lang w:eastAsia="en-US"/>
    </w:rPr>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AC3B31"/>
    <w:pPr>
      <w:tabs>
        <w:tab w:val="right" w:pos="1022"/>
        <w:tab w:val="left" w:pos="1260"/>
      </w:tabs>
      <w:spacing w:line="240" w:lineRule="exact"/>
      <w:ind w:left="1267" w:hanging="1267"/>
      <w:outlineLvl w:val="1"/>
    </w:pPr>
    <w:rPr>
      <w:bCs/>
      <w:spacing w:val="2"/>
      <w:sz w:val="20"/>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L">
    <w:name w:val="__S_L"/>
    <w:basedOn w:val="Normal"/>
    <w:next w:val="Normal"/>
    <w:qFormat/>
    <w:rsid w:val="00FD7378"/>
    <w:pPr>
      <w:keepNext/>
      <w:keepLines/>
      <w:tabs>
        <w:tab w:val="right" w:leader="dot" w:pos="360"/>
      </w:tabs>
      <w:spacing w:line="540" w:lineRule="exact"/>
      <w:ind w:left="1267" w:right="1267"/>
      <w:outlineLvl w:val="0"/>
    </w:pPr>
    <w:rPr>
      <w:b/>
      <w:spacing w:val="-8"/>
      <w:w w:val="96"/>
      <w:kern w:val="14"/>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semiHidden/>
    <w:rsid w:val="000A1971"/>
    <w:rPr>
      <w:rFonts w:eastAsia="SimSun" w:cs="Tahoma"/>
      <w:b/>
      <w:sz w:val="18"/>
      <w:szCs w:val="16"/>
    </w:rPr>
  </w:style>
  <w:style w:type="character" w:customStyle="1" w:styleId="BalloonTextChar">
    <w:name w:val="Balloon Text Char"/>
    <w:basedOn w:val="DefaultParagraphFont"/>
    <w:link w:val="BalloonText"/>
    <w:uiPriority w:val="99"/>
    <w:semiHidden/>
    <w:locked/>
    <w:rPr>
      <w:rFonts w:ascii="Times New Roman" w:eastAsia="SimSun" w:hAnsi="Times New Roman" w:cs="Tahoma"/>
      <w:b/>
      <w:spacing w:val="4"/>
      <w:w w:val="103"/>
      <w:sz w:val="18"/>
      <w:szCs w:val="16"/>
      <w:lang w:eastAsia="en-US"/>
    </w:rPr>
  </w:style>
  <w:style w:type="character" w:styleId="CommentReference">
    <w:name w:val="annotation reference"/>
    <w:basedOn w:val="DefaultParagraphFont"/>
    <w:uiPriority w:val="99"/>
    <w:semiHidden/>
    <w:rsid w:val="000A1971"/>
    <w:rPr>
      <w:rFonts w:cs="Times New Roman"/>
      <w:sz w:val="6"/>
    </w:rPr>
  </w:style>
  <w:style w:type="character" w:styleId="FootnoteReference">
    <w:name w:val="footnote reference"/>
    <w:aliases w:val="4_G,Footnote Refernece,Footnote Reference Superscript,Footnote symbol,Footnote,Footnote Reference/,BVI fnr,callout,Footnote Refernece + (Latein) Arial,10 pt,Blau,Footnote reference number,note TESI,Ref,de nota al pie,Rimando notaOres"/>
    <w:basedOn w:val="DefaultParagraphFont"/>
    <w:qFormat/>
    <w:rsid w:val="003B145C"/>
    <w:rPr>
      <w:rFonts w:cs="Times New Roman"/>
      <w:color w:val="auto"/>
      <w:spacing w:val="5"/>
      <w:w w:val="103"/>
      <w:kern w:val="14"/>
      <w:position w:val="0"/>
      <w:vertAlign w:val="superscript"/>
    </w:rPr>
  </w:style>
  <w:style w:type="character" w:styleId="EndnoteReference">
    <w:name w:val="endnote reference"/>
    <w:aliases w:val="1_G"/>
    <w:basedOn w:val="DefaultParagraphFont"/>
    <w:uiPriority w:val="99"/>
    <w:qFormat/>
    <w:rsid w:val="00276848"/>
    <w:rPr>
      <w:rFonts w:cs="Times New Roman"/>
      <w:color w:val="943634"/>
      <w:spacing w:val="5"/>
      <w:w w:val="103"/>
      <w:kern w:val="14"/>
      <w:position w:val="0"/>
      <w:vertAlign w:val="superscript"/>
    </w:rPr>
  </w:style>
  <w:style w:type="paragraph" w:styleId="FootnoteText">
    <w:name w:val="footnote text"/>
    <w:aliases w:val="Footnote Text Blue,EUMC_Lábjegyzetszöveg + 13 pt,Félkövér,Dolt,Középre zárt Char,Középre zárt Char Char,Középre zárt,Märk,Footnote Text Char1,Footnote Text Char1 Char Char Ch,5_G,Footnote Text Char2 Char1,fn Char Char2,fn,Fo,F,Char,ft,ft2"/>
    <w:basedOn w:val="Normal"/>
    <w:link w:val="FootnoteTextChar"/>
    <w:uiPriority w:val="99"/>
    <w:qFormat/>
    <w:rsid w:val="00333576"/>
    <w:pPr>
      <w:tabs>
        <w:tab w:val="right" w:pos="418"/>
      </w:tabs>
      <w:spacing w:line="210" w:lineRule="exact"/>
      <w:ind w:left="475" w:hanging="475"/>
    </w:pPr>
    <w:rPr>
      <w:spacing w:val="5"/>
      <w:w w:val="104"/>
      <w:sz w:val="17"/>
    </w:rPr>
  </w:style>
  <w:style w:type="paragraph" w:styleId="Footer">
    <w:name w:val="footer"/>
    <w:aliases w:val="3_G"/>
    <w:basedOn w:val="Normal"/>
    <w:link w:val="FooterChar"/>
    <w:uiPriority w:val="99"/>
    <w:qFormat/>
    <w:rsid w:val="000F7375"/>
    <w:pPr>
      <w:tabs>
        <w:tab w:val="center" w:pos="4320"/>
        <w:tab w:val="right" w:pos="8640"/>
      </w:tabs>
      <w:suppressAutoHyphens w:val="0"/>
      <w:spacing w:line="240" w:lineRule="auto"/>
    </w:pPr>
    <w:rPr>
      <w:b/>
      <w:noProof/>
      <w:spacing w:val="0"/>
      <w:w w:val="100"/>
      <w:sz w:val="17"/>
      <w:lang w:val="en-US"/>
    </w:rPr>
  </w:style>
  <w:style w:type="paragraph" w:styleId="EndnoteText">
    <w:name w:val="endnote text"/>
    <w:aliases w:val="2_G"/>
    <w:basedOn w:val="Normal"/>
    <w:link w:val="EndnoteTextChar"/>
    <w:uiPriority w:val="99"/>
    <w:qFormat/>
    <w:rsid w:val="00333576"/>
    <w:pPr>
      <w:tabs>
        <w:tab w:val="right" w:pos="418"/>
      </w:tabs>
      <w:spacing w:after="80" w:line="210" w:lineRule="exact"/>
      <w:ind w:left="475" w:hanging="475"/>
    </w:pPr>
    <w:rPr>
      <w:spacing w:val="5"/>
      <w:w w:val="104"/>
      <w:sz w:val="17"/>
    </w:rPr>
  </w:style>
  <w:style w:type="character" w:customStyle="1" w:styleId="EndnoteTextChar">
    <w:name w:val="Endnote Text Char"/>
    <w:aliases w:val="2_G Char"/>
    <w:basedOn w:val="DefaultParagraphFont"/>
    <w:link w:val="EndnoteText"/>
    <w:uiPriority w:val="99"/>
    <w:semiHidden/>
    <w:locked/>
    <w:rPr>
      <w:rFonts w:ascii="Times New Roman" w:hAnsi="Times New Roman" w:cs="Times New Roman"/>
      <w:spacing w:val="4"/>
      <w:w w:val="103"/>
      <w:lang w:val="es-ES" w:eastAsia="x-none"/>
    </w:rPr>
  </w:style>
  <w:style w:type="character" w:customStyle="1" w:styleId="FootnoteTextChar">
    <w:name w:val="Footnote Text Char"/>
    <w:aliases w:val="Footnote Text Blue Char,EUMC_Lábjegyzetszöveg + 13 pt Char,Félkövér Char,Dolt Char,Középre zárt Char Char1,Középre zárt Char Char Char,Középre zárt Char1,Märk Char,Footnote Text Char1 Char,Footnote Text Char1 Char Char Ch Char,fn Char"/>
    <w:basedOn w:val="DefaultParagraphFont"/>
    <w:link w:val="FootnoteText"/>
    <w:uiPriority w:val="99"/>
    <w:locked/>
    <w:rsid w:val="00333576"/>
    <w:rPr>
      <w:rFonts w:ascii="Times New Roman" w:hAnsi="Times New Roman" w:cs="Times New Roman"/>
      <w:spacing w:val="5"/>
      <w:w w:val="104"/>
      <w:sz w:val="22"/>
      <w:szCs w:val="22"/>
      <w:lang w:val="x-none" w:eastAsia="en-US"/>
    </w:rPr>
  </w:style>
  <w:style w:type="character" w:customStyle="1" w:styleId="FooterChar">
    <w:name w:val="Footer Char"/>
    <w:aliases w:val="3_G Char"/>
    <w:basedOn w:val="DefaultParagraphFont"/>
    <w:link w:val="Footer"/>
    <w:uiPriority w:val="99"/>
    <w:locked/>
    <w:rPr>
      <w:rFonts w:ascii="Times New Roman" w:hAnsi="Times New Roman" w:cs="Times New Roman"/>
      <w:spacing w:val="4"/>
      <w:w w:val="103"/>
      <w:sz w:val="22"/>
      <w:lang w:val="es-ES" w:eastAsia="x-none"/>
    </w:rPr>
  </w:style>
  <w:style w:type="paragraph" w:styleId="Header">
    <w:name w:val="header"/>
    <w:aliases w:val="6_G"/>
    <w:basedOn w:val="Normal"/>
    <w:link w:val="HeaderChar"/>
    <w:uiPriority w:val="99"/>
    <w:qFormat/>
    <w:rsid w:val="00BB0959"/>
    <w:pPr>
      <w:tabs>
        <w:tab w:val="center" w:pos="4320"/>
        <w:tab w:val="right" w:pos="8640"/>
      </w:tabs>
      <w:suppressAutoHyphens w:val="0"/>
      <w:spacing w:line="240" w:lineRule="auto"/>
    </w:pPr>
    <w:rPr>
      <w:noProof/>
      <w:spacing w:val="0"/>
      <w:w w:val="100"/>
      <w:sz w:val="17"/>
      <w:lang w:val="en-US"/>
    </w:rPr>
  </w:style>
  <w:style w:type="character" w:customStyle="1" w:styleId="HeaderChar">
    <w:name w:val="Header Char"/>
    <w:aliases w:val="6_G Char"/>
    <w:basedOn w:val="DefaultParagraphFont"/>
    <w:link w:val="Header"/>
    <w:uiPriority w:val="99"/>
    <w:locked/>
    <w:rPr>
      <w:rFonts w:ascii="Times New Roman" w:hAnsi="Times New Roman" w:cs="Times New Roman"/>
      <w:spacing w:val="4"/>
      <w:w w:val="103"/>
      <w:sz w:val="22"/>
      <w:lang w:val="es-ES" w:eastAsia="x-none"/>
    </w:rPr>
  </w:style>
  <w:style w:type="character" w:styleId="LineNumber">
    <w:name w:val="line number"/>
    <w:basedOn w:val="DefaultParagraphFont"/>
    <w:uiPriority w:val="99"/>
    <w:qFormat/>
    <w:rsid w:val="000A1971"/>
    <w:rPr>
      <w:rFonts w:cs="Times New Roman"/>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1"/>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styleId="NoSpacing">
    <w:name w:val="No Spacing"/>
    <w:basedOn w:val="Normal"/>
    <w:link w:val="NoSpacingChar"/>
    <w:uiPriority w:val="1"/>
    <w:qFormat/>
    <w:rsid w:val="001C2E87"/>
    <w:pPr>
      <w:spacing w:line="240" w:lineRule="auto"/>
    </w:pPr>
  </w:style>
  <w:style w:type="paragraph" w:styleId="TOCHeading">
    <w:name w:val="TOC Heading"/>
    <w:basedOn w:val="Heading1"/>
    <w:next w:val="Normal"/>
    <w:uiPriority w:val="39"/>
    <w:unhideWhenUsed/>
    <w:qFormat/>
    <w:rsid w:val="001C2E87"/>
    <w:pPr>
      <w:outlineLvl w:val="9"/>
    </w:pPr>
    <w:rPr>
      <w:rFonts w:eastAsia="SimSun"/>
    </w:rPr>
  </w:style>
  <w:style w:type="paragraph" w:styleId="Caption">
    <w:name w:val="caption"/>
    <w:basedOn w:val="Normal"/>
    <w:next w:val="Normal"/>
    <w:uiPriority w:val="35"/>
    <w:unhideWhenUsed/>
    <w:qFormat/>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cs="Times New Roman"/>
      <w:spacing w:val="4"/>
      <w:w w:val="103"/>
      <w:szCs w:val="22"/>
      <w:lang w:eastAsia="en-US"/>
    </w:rPr>
  </w:style>
  <w:style w:type="paragraph" w:customStyle="1" w:styleId="Publication">
    <w:name w:val="Publication"/>
    <w:next w:val="Normal"/>
    <w:autoRedefine/>
    <w:qFormat/>
    <w:rsid w:val="00871928"/>
    <w:rPr>
      <w:rFonts w:ascii="Times New Roman" w:hAnsi="Times New Roman" w:cs="Times New Roman"/>
      <w:spacing w:val="4"/>
      <w:w w:val="103"/>
      <w:szCs w:val="22"/>
      <w:lang w:eastAsia="en-US"/>
    </w:rPr>
  </w:style>
  <w:style w:type="paragraph" w:customStyle="1" w:styleId="Original">
    <w:name w:val="Original"/>
    <w:next w:val="Normal"/>
    <w:autoRedefine/>
    <w:qFormat/>
    <w:rsid w:val="00871928"/>
    <w:rPr>
      <w:rFonts w:ascii="Times New Roman" w:hAnsi="Times New Roman" w:cs="Times New Roman"/>
      <w:spacing w:val="4"/>
      <w:w w:val="103"/>
      <w:szCs w:val="22"/>
      <w:lang w:eastAsia="en-US"/>
    </w:rPr>
  </w:style>
  <w:style w:type="paragraph" w:customStyle="1" w:styleId="ReleaseDate">
    <w:name w:val="ReleaseDate"/>
    <w:next w:val="Footer"/>
    <w:autoRedefine/>
    <w:qFormat/>
    <w:rsid w:val="00871928"/>
    <w:rPr>
      <w:rFonts w:ascii="Times New Roman" w:hAnsi="Times New Roman" w:cs="Times New Roman"/>
      <w:spacing w:val="4"/>
      <w:w w:val="103"/>
      <w:szCs w:val="22"/>
      <w:lang w:eastAsia="en-U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clear" w:pos="1260"/>
        <w:tab w:val="left" w:pos="1267"/>
      </w:tabs>
      <w:ind w:right="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clear" w:pos="1260"/>
        <w:tab w:val="left" w:pos="1267"/>
      </w:tabs>
      <w:ind w:right="1267"/>
    </w:pPr>
  </w:style>
  <w:style w:type="paragraph" w:customStyle="1" w:styleId="Bullet1">
    <w:name w:val="Bullet 1"/>
    <w:basedOn w:val="Normal"/>
    <w:qFormat/>
    <w:rsid w:val="004B2460"/>
    <w:pPr>
      <w:numPr>
        <w:numId w:val="2"/>
      </w:numPr>
      <w:spacing w:after="120"/>
      <w:ind w:left="1746" w:right="1264" w:hanging="130"/>
      <w:jc w:val="both"/>
    </w:pPr>
  </w:style>
  <w:style w:type="paragraph" w:customStyle="1" w:styleId="Bullet2">
    <w:name w:val="Bullet 2"/>
    <w:basedOn w:val="Normal"/>
    <w:qFormat/>
    <w:rsid w:val="004B2460"/>
    <w:pPr>
      <w:numPr>
        <w:numId w:val="3"/>
      </w:numPr>
      <w:spacing w:after="120"/>
      <w:ind w:left="2217" w:right="1264" w:hanging="130"/>
      <w:jc w:val="both"/>
    </w:pPr>
  </w:style>
  <w:style w:type="paragraph" w:customStyle="1" w:styleId="Bullet3">
    <w:name w:val="Bullet 3"/>
    <w:basedOn w:val="SingleTxt"/>
    <w:qFormat/>
    <w:rsid w:val="00596BFD"/>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8D21BB"/>
    <w:pPr>
      <w:spacing w:line="240" w:lineRule="auto"/>
    </w:pPr>
    <w:rPr>
      <w:rFonts w:eastAsia="SimSun"/>
      <w:sz w:val="18"/>
      <w:szCs w:val="20"/>
    </w:rPr>
  </w:style>
  <w:style w:type="character" w:customStyle="1" w:styleId="CommentTextChar">
    <w:name w:val="Comment Text Char"/>
    <w:basedOn w:val="DefaultParagraphFont"/>
    <w:link w:val="CommentText"/>
    <w:uiPriority w:val="99"/>
    <w:locked/>
    <w:rsid w:val="008D21BB"/>
    <w:rPr>
      <w:rFonts w:ascii="Times New Roman" w:eastAsia="SimSun" w:hAnsi="Times New Roman" w:cs="Times New Roman"/>
      <w:spacing w:val="4"/>
      <w:w w:val="103"/>
      <w:sz w:val="18"/>
      <w:lang w:eastAsia="en-US"/>
    </w:rPr>
  </w:style>
  <w:style w:type="paragraph" w:styleId="CommentSubject">
    <w:name w:val="annotation subject"/>
    <w:basedOn w:val="CommentText"/>
    <w:next w:val="CommentText"/>
    <w:link w:val="CommentSubjectChar"/>
    <w:uiPriority w:val="99"/>
    <w:rsid w:val="008D21BB"/>
    <w:rPr>
      <w:b/>
      <w:bCs/>
    </w:rPr>
  </w:style>
  <w:style w:type="character" w:customStyle="1" w:styleId="CommentSubjectChar">
    <w:name w:val="Comment Subject Char"/>
    <w:basedOn w:val="CommentTextChar"/>
    <w:link w:val="CommentSubject"/>
    <w:uiPriority w:val="99"/>
    <w:locked/>
    <w:rsid w:val="008D21BB"/>
    <w:rPr>
      <w:rFonts w:ascii="Times New Roman" w:eastAsia="SimSun" w:hAnsi="Times New Roman" w:cs="Times New Roman"/>
      <w:b/>
      <w:spacing w:val="4"/>
      <w:w w:val="103"/>
      <w:sz w:val="18"/>
      <w:lang w:val="es-ES" w:eastAsia="x-none"/>
    </w:rPr>
  </w:style>
  <w:style w:type="character" w:styleId="Hyperlink">
    <w:name w:val="Hyperlink"/>
    <w:basedOn w:val="DefaultParagraphFont"/>
    <w:uiPriority w:val="99"/>
    <w:rsid w:val="00571F37"/>
    <w:rPr>
      <w:rFonts w:cs="Times New Roman"/>
      <w:color w:val="0000FF"/>
      <w:u w:val="none"/>
    </w:rPr>
  </w:style>
  <w:style w:type="character" w:styleId="FollowedHyperlink">
    <w:name w:val="FollowedHyperlink"/>
    <w:basedOn w:val="DefaultParagraphFont"/>
    <w:uiPriority w:val="99"/>
    <w:rsid w:val="004E20DD"/>
    <w:rPr>
      <w:rFonts w:cs="Times New Roman"/>
      <w:color w:val="0000FF"/>
      <w:u w:val="none"/>
    </w:rPr>
  </w:style>
  <w:style w:type="character" w:customStyle="1" w:styleId="tw4winError">
    <w:name w:val="tw4winError"/>
    <w:uiPriority w:val="99"/>
    <w:rsid w:val="002E7B8C"/>
    <w:rPr>
      <w:rFonts w:ascii="Courier New" w:hAnsi="Courier New"/>
      <w:color w:val="00FF00"/>
      <w:sz w:val="40"/>
    </w:rPr>
  </w:style>
  <w:style w:type="character" w:styleId="PageNumber">
    <w:name w:val="page number"/>
    <w:aliases w:val="7_G"/>
    <w:basedOn w:val="DefaultParagraphFont"/>
    <w:uiPriority w:val="99"/>
    <w:qFormat/>
    <w:rsid w:val="00371AE2"/>
    <w:rPr>
      <w:rFonts w:ascii="Times New Roman" w:hAnsi="Times New Roman" w:cs="Times New Roman"/>
      <w:b/>
      <w:sz w:val="18"/>
    </w:rPr>
  </w:style>
  <w:style w:type="paragraph" w:styleId="PlainText">
    <w:name w:val="Plain Text"/>
    <w:basedOn w:val="Normal"/>
    <w:link w:val="PlainTextChar"/>
    <w:uiPriority w:val="99"/>
    <w:rsid w:val="00371AE2"/>
    <w:pPr>
      <w:spacing w:line="240" w:lineRule="atLeast"/>
    </w:pPr>
    <w:rPr>
      <w:rFonts w:cs="Courier New"/>
      <w:spacing w:val="0"/>
      <w:w w:val="100"/>
      <w:szCs w:val="20"/>
      <w:lang w:val="en-GB" w:eastAsia="es-ES"/>
    </w:rPr>
  </w:style>
  <w:style w:type="character" w:customStyle="1" w:styleId="PlainTextChar">
    <w:name w:val="Plain Text Char"/>
    <w:basedOn w:val="DefaultParagraphFont"/>
    <w:link w:val="PlainText"/>
    <w:uiPriority w:val="99"/>
    <w:locked/>
    <w:rsid w:val="00371AE2"/>
    <w:rPr>
      <w:rFonts w:ascii="Times New Roman" w:hAnsi="Times New Roman" w:cs="Times New Roman"/>
      <w:lang w:val="en-GB" w:eastAsia="x-none"/>
    </w:rPr>
  </w:style>
  <w:style w:type="paragraph" w:styleId="BodyText">
    <w:name w:val="Body Text"/>
    <w:basedOn w:val="Normal"/>
    <w:next w:val="Normal"/>
    <w:link w:val="BodyTextChar"/>
    <w:rsid w:val="00371AE2"/>
    <w:pPr>
      <w:spacing w:line="240" w:lineRule="atLeast"/>
    </w:pPr>
    <w:rPr>
      <w:spacing w:val="0"/>
      <w:w w:val="100"/>
      <w:szCs w:val="20"/>
      <w:lang w:val="en-GB" w:eastAsia="es-ES"/>
    </w:rPr>
  </w:style>
  <w:style w:type="character" w:customStyle="1" w:styleId="BodyTextChar">
    <w:name w:val="Body Text Char"/>
    <w:basedOn w:val="DefaultParagraphFont"/>
    <w:link w:val="BodyText"/>
    <w:locked/>
    <w:rsid w:val="00371AE2"/>
    <w:rPr>
      <w:rFonts w:ascii="Times New Roman" w:hAnsi="Times New Roman" w:cs="Times New Roman"/>
      <w:lang w:val="en-GB" w:eastAsia="x-none"/>
    </w:rPr>
  </w:style>
  <w:style w:type="paragraph" w:styleId="BodyTextIndent">
    <w:name w:val="Body Text Indent"/>
    <w:basedOn w:val="Normal"/>
    <w:link w:val="BodyTextIndentChar"/>
    <w:uiPriority w:val="99"/>
    <w:rsid w:val="00371AE2"/>
    <w:pPr>
      <w:spacing w:after="120" w:line="240" w:lineRule="atLeast"/>
      <w:ind w:left="283"/>
    </w:pPr>
    <w:rPr>
      <w:spacing w:val="0"/>
      <w:w w:val="100"/>
      <w:szCs w:val="20"/>
      <w:lang w:val="en-GB" w:eastAsia="es-ES"/>
    </w:rPr>
  </w:style>
  <w:style w:type="character" w:customStyle="1" w:styleId="BodyTextIndentChar">
    <w:name w:val="Body Text Indent Char"/>
    <w:basedOn w:val="DefaultParagraphFont"/>
    <w:link w:val="BodyTextIndent"/>
    <w:uiPriority w:val="99"/>
    <w:locked/>
    <w:rsid w:val="00371AE2"/>
    <w:rPr>
      <w:rFonts w:ascii="Times New Roman" w:hAnsi="Times New Roman" w:cs="Times New Roman"/>
      <w:lang w:val="en-GB" w:eastAsia="x-none"/>
    </w:rPr>
  </w:style>
  <w:style w:type="paragraph" w:styleId="BlockText">
    <w:name w:val="Block Text"/>
    <w:basedOn w:val="Normal"/>
    <w:uiPriority w:val="99"/>
    <w:rsid w:val="00371AE2"/>
    <w:pPr>
      <w:spacing w:line="240" w:lineRule="atLeast"/>
      <w:ind w:left="1440" w:right="1440"/>
    </w:pPr>
    <w:rPr>
      <w:spacing w:val="0"/>
      <w:w w:val="100"/>
      <w:szCs w:val="20"/>
      <w:lang w:val="en-GB" w:eastAsia="es-ES"/>
    </w:rPr>
  </w:style>
  <w:style w:type="character" w:customStyle="1" w:styleId="TextocomentarioCar">
    <w:name w:val="Texto comentario Car"/>
    <w:uiPriority w:val="99"/>
    <w:semiHidden/>
    <w:locked/>
    <w:rsid w:val="00371AE2"/>
    <w:rPr>
      <w:lang w:val="en-GB" w:eastAsia="x-none"/>
    </w:rPr>
  </w:style>
  <w:style w:type="paragraph" w:styleId="BodyText2">
    <w:name w:val="Body Text 2"/>
    <w:basedOn w:val="Normal"/>
    <w:link w:val="BodyText2Char"/>
    <w:uiPriority w:val="99"/>
    <w:rsid w:val="00371AE2"/>
    <w:pPr>
      <w:spacing w:after="120" w:line="480" w:lineRule="auto"/>
    </w:pPr>
    <w:rPr>
      <w:spacing w:val="0"/>
      <w:w w:val="100"/>
      <w:szCs w:val="20"/>
      <w:lang w:val="en-GB" w:eastAsia="es-ES"/>
    </w:rPr>
  </w:style>
  <w:style w:type="character" w:customStyle="1" w:styleId="BodyText2Char">
    <w:name w:val="Body Text 2 Char"/>
    <w:basedOn w:val="DefaultParagraphFont"/>
    <w:link w:val="BodyText2"/>
    <w:uiPriority w:val="99"/>
    <w:locked/>
    <w:rsid w:val="00371AE2"/>
    <w:rPr>
      <w:rFonts w:ascii="Times New Roman" w:hAnsi="Times New Roman" w:cs="Times New Roman"/>
      <w:lang w:val="en-GB" w:eastAsia="x-none"/>
    </w:rPr>
  </w:style>
  <w:style w:type="paragraph" w:styleId="BodyText3">
    <w:name w:val="Body Text 3"/>
    <w:basedOn w:val="Normal"/>
    <w:link w:val="BodyText3Char"/>
    <w:uiPriority w:val="99"/>
    <w:rsid w:val="00371AE2"/>
    <w:pPr>
      <w:spacing w:after="120" w:line="240" w:lineRule="atLeast"/>
    </w:pPr>
    <w:rPr>
      <w:spacing w:val="0"/>
      <w:w w:val="100"/>
      <w:sz w:val="16"/>
      <w:szCs w:val="16"/>
      <w:lang w:val="en-GB" w:eastAsia="es-ES"/>
    </w:rPr>
  </w:style>
  <w:style w:type="character" w:customStyle="1" w:styleId="BodyText3Char">
    <w:name w:val="Body Text 3 Char"/>
    <w:basedOn w:val="DefaultParagraphFont"/>
    <w:link w:val="BodyText3"/>
    <w:uiPriority w:val="99"/>
    <w:locked/>
    <w:rsid w:val="00371AE2"/>
    <w:rPr>
      <w:rFonts w:ascii="Times New Roman" w:hAnsi="Times New Roman" w:cs="Times New Roman"/>
      <w:sz w:val="16"/>
      <w:lang w:val="en-GB" w:eastAsia="x-none"/>
    </w:rPr>
  </w:style>
  <w:style w:type="paragraph" w:styleId="BodyTextFirstIndent">
    <w:name w:val="Body Text First Indent"/>
    <w:basedOn w:val="BodyText"/>
    <w:link w:val="BodyTextFirstIndentChar"/>
    <w:uiPriority w:val="99"/>
    <w:rsid w:val="00371AE2"/>
    <w:pPr>
      <w:spacing w:after="120"/>
      <w:ind w:firstLine="210"/>
    </w:pPr>
  </w:style>
  <w:style w:type="character" w:customStyle="1" w:styleId="BodyTextFirstIndentChar">
    <w:name w:val="Body Text First Indent Char"/>
    <w:basedOn w:val="BodyTextChar"/>
    <w:link w:val="BodyTextFirstIndent"/>
    <w:uiPriority w:val="99"/>
    <w:locked/>
    <w:rsid w:val="00371AE2"/>
    <w:rPr>
      <w:rFonts w:ascii="Times New Roman" w:hAnsi="Times New Roman" w:cs="Times New Roman"/>
      <w:lang w:val="en-GB" w:eastAsia="x-none"/>
    </w:rPr>
  </w:style>
  <w:style w:type="paragraph" w:styleId="BodyTextFirstIndent2">
    <w:name w:val="Body Text First Indent 2"/>
    <w:basedOn w:val="BodyTextIndent"/>
    <w:link w:val="BodyTextFirstIndent2Char"/>
    <w:uiPriority w:val="99"/>
    <w:rsid w:val="00371AE2"/>
    <w:pPr>
      <w:ind w:firstLine="210"/>
    </w:pPr>
  </w:style>
  <w:style w:type="character" w:customStyle="1" w:styleId="BodyTextFirstIndent2Char">
    <w:name w:val="Body Text First Indent 2 Char"/>
    <w:basedOn w:val="BodyTextIndentChar"/>
    <w:link w:val="BodyTextFirstIndent2"/>
    <w:uiPriority w:val="99"/>
    <w:locked/>
    <w:rsid w:val="00371AE2"/>
    <w:rPr>
      <w:rFonts w:ascii="Times New Roman" w:hAnsi="Times New Roman" w:cs="Times New Roman"/>
      <w:lang w:val="en-GB" w:eastAsia="x-none"/>
    </w:rPr>
  </w:style>
  <w:style w:type="paragraph" w:styleId="BodyTextIndent2">
    <w:name w:val="Body Text Indent 2"/>
    <w:basedOn w:val="Normal"/>
    <w:link w:val="BodyTextIndent2Char"/>
    <w:uiPriority w:val="99"/>
    <w:rsid w:val="00371AE2"/>
    <w:pPr>
      <w:spacing w:after="120" w:line="480" w:lineRule="auto"/>
      <w:ind w:left="283"/>
    </w:pPr>
    <w:rPr>
      <w:spacing w:val="0"/>
      <w:w w:val="100"/>
      <w:szCs w:val="20"/>
      <w:lang w:val="en-GB" w:eastAsia="es-ES"/>
    </w:rPr>
  </w:style>
  <w:style w:type="character" w:customStyle="1" w:styleId="BodyTextIndent2Char">
    <w:name w:val="Body Text Indent 2 Char"/>
    <w:basedOn w:val="DefaultParagraphFont"/>
    <w:link w:val="BodyTextIndent2"/>
    <w:uiPriority w:val="99"/>
    <w:locked/>
    <w:rsid w:val="00371AE2"/>
    <w:rPr>
      <w:rFonts w:ascii="Times New Roman" w:hAnsi="Times New Roman" w:cs="Times New Roman"/>
      <w:lang w:val="en-GB" w:eastAsia="x-none"/>
    </w:rPr>
  </w:style>
  <w:style w:type="paragraph" w:styleId="BodyTextIndent3">
    <w:name w:val="Body Text Indent 3"/>
    <w:basedOn w:val="Normal"/>
    <w:link w:val="BodyTextIndent3Char"/>
    <w:uiPriority w:val="99"/>
    <w:rsid w:val="00371AE2"/>
    <w:pPr>
      <w:spacing w:after="120" w:line="240" w:lineRule="atLeast"/>
      <w:ind w:left="283"/>
    </w:pPr>
    <w:rPr>
      <w:spacing w:val="0"/>
      <w:w w:val="100"/>
      <w:sz w:val="16"/>
      <w:szCs w:val="16"/>
      <w:lang w:val="en-GB" w:eastAsia="es-ES"/>
    </w:rPr>
  </w:style>
  <w:style w:type="character" w:customStyle="1" w:styleId="BodyTextIndent3Char">
    <w:name w:val="Body Text Indent 3 Char"/>
    <w:basedOn w:val="DefaultParagraphFont"/>
    <w:link w:val="BodyTextIndent3"/>
    <w:uiPriority w:val="99"/>
    <w:locked/>
    <w:rsid w:val="00371AE2"/>
    <w:rPr>
      <w:rFonts w:ascii="Times New Roman" w:hAnsi="Times New Roman" w:cs="Times New Roman"/>
      <w:sz w:val="16"/>
      <w:lang w:val="en-GB" w:eastAsia="x-none"/>
    </w:rPr>
  </w:style>
  <w:style w:type="paragraph" w:styleId="Closing">
    <w:name w:val="Closing"/>
    <w:basedOn w:val="Normal"/>
    <w:link w:val="ClosingChar"/>
    <w:uiPriority w:val="99"/>
    <w:rsid w:val="00371AE2"/>
    <w:pPr>
      <w:spacing w:line="240" w:lineRule="atLeast"/>
      <w:ind w:left="4252"/>
    </w:pPr>
    <w:rPr>
      <w:spacing w:val="0"/>
      <w:w w:val="100"/>
      <w:szCs w:val="20"/>
      <w:lang w:val="en-GB" w:eastAsia="es-ES"/>
    </w:rPr>
  </w:style>
  <w:style w:type="character" w:customStyle="1" w:styleId="ClosingChar">
    <w:name w:val="Closing Char"/>
    <w:basedOn w:val="DefaultParagraphFont"/>
    <w:link w:val="Closing"/>
    <w:uiPriority w:val="99"/>
    <w:locked/>
    <w:rsid w:val="00371AE2"/>
    <w:rPr>
      <w:rFonts w:ascii="Times New Roman" w:hAnsi="Times New Roman" w:cs="Times New Roman"/>
      <w:lang w:val="en-GB" w:eastAsia="x-none"/>
    </w:rPr>
  </w:style>
  <w:style w:type="paragraph" w:styleId="Date">
    <w:name w:val="Date"/>
    <w:basedOn w:val="Normal"/>
    <w:next w:val="Normal"/>
    <w:link w:val="DateChar"/>
    <w:uiPriority w:val="99"/>
    <w:rsid w:val="00371AE2"/>
    <w:pPr>
      <w:spacing w:line="240" w:lineRule="atLeast"/>
    </w:pPr>
    <w:rPr>
      <w:spacing w:val="0"/>
      <w:w w:val="100"/>
      <w:szCs w:val="20"/>
      <w:lang w:val="en-GB" w:eastAsia="es-ES"/>
    </w:rPr>
  </w:style>
  <w:style w:type="character" w:customStyle="1" w:styleId="DateChar">
    <w:name w:val="Date Char"/>
    <w:basedOn w:val="DefaultParagraphFont"/>
    <w:link w:val="Date"/>
    <w:uiPriority w:val="99"/>
    <w:locked/>
    <w:rsid w:val="00371AE2"/>
    <w:rPr>
      <w:rFonts w:ascii="Times New Roman" w:hAnsi="Times New Roman" w:cs="Times New Roman"/>
      <w:lang w:val="en-GB" w:eastAsia="x-none"/>
    </w:rPr>
  </w:style>
  <w:style w:type="paragraph" w:styleId="E-mailSignature">
    <w:name w:val="E-mail Signature"/>
    <w:basedOn w:val="Normal"/>
    <w:link w:val="E-mailSignatureChar"/>
    <w:uiPriority w:val="99"/>
    <w:rsid w:val="00371AE2"/>
    <w:pPr>
      <w:spacing w:line="240" w:lineRule="atLeast"/>
    </w:pPr>
    <w:rPr>
      <w:spacing w:val="0"/>
      <w:w w:val="100"/>
      <w:szCs w:val="20"/>
      <w:lang w:val="en-GB" w:eastAsia="es-ES"/>
    </w:rPr>
  </w:style>
  <w:style w:type="character" w:customStyle="1" w:styleId="E-mailSignatureChar">
    <w:name w:val="E-mail Signature Char"/>
    <w:basedOn w:val="DefaultParagraphFont"/>
    <w:link w:val="E-mailSignature"/>
    <w:uiPriority w:val="99"/>
    <w:locked/>
    <w:rsid w:val="00371AE2"/>
    <w:rPr>
      <w:rFonts w:ascii="Times New Roman" w:hAnsi="Times New Roman" w:cs="Times New Roman"/>
      <w:lang w:val="en-GB" w:eastAsia="x-none"/>
    </w:rPr>
  </w:style>
  <w:style w:type="character" w:styleId="Emphasis">
    <w:name w:val="Emphasis"/>
    <w:basedOn w:val="DefaultParagraphFont"/>
    <w:uiPriority w:val="20"/>
    <w:qFormat/>
    <w:rsid w:val="00371AE2"/>
    <w:rPr>
      <w:rFonts w:cs="Times New Roman"/>
      <w:i/>
    </w:rPr>
  </w:style>
  <w:style w:type="paragraph" w:styleId="EnvelopeReturn">
    <w:name w:val="envelope return"/>
    <w:basedOn w:val="Normal"/>
    <w:uiPriority w:val="99"/>
    <w:rsid w:val="00371AE2"/>
    <w:pPr>
      <w:spacing w:line="240" w:lineRule="atLeast"/>
    </w:pPr>
    <w:rPr>
      <w:rFonts w:ascii="Arial" w:hAnsi="Arial" w:cs="Arial"/>
      <w:spacing w:val="0"/>
      <w:w w:val="100"/>
      <w:szCs w:val="20"/>
      <w:lang w:val="en-GB" w:eastAsia="es-ES"/>
    </w:rPr>
  </w:style>
  <w:style w:type="character" w:customStyle="1" w:styleId="ListParagraphChar">
    <w:name w:val="List Paragraph Char"/>
    <w:aliases w:val="Paragraphe de liste du rapport Char,List ParagraphCxSpLast Char,List ParagraphCxSpLastCxSpLast Char,List ParagraphCxSpLastCxSpLastCxSpLast Char,Numbered list Char,List Paragraph (numbered (a)) Char,Paragraphe de liste1 Char"/>
    <w:link w:val="ListParagraph"/>
    <w:uiPriority w:val="34"/>
    <w:rsid w:val="00EC3C86"/>
    <w:rPr>
      <w:rFonts w:cs="Times New Roman"/>
      <w:sz w:val="22"/>
      <w:szCs w:val="22"/>
      <w:lang w:val="en-GB" w:eastAsia="es-ES"/>
    </w:rPr>
  </w:style>
  <w:style w:type="character" w:customStyle="1" w:styleId="hps">
    <w:name w:val="hps"/>
    <w:basedOn w:val="DefaultParagraphFont"/>
    <w:rsid w:val="00EC3C86"/>
  </w:style>
  <w:style w:type="character" w:styleId="IntenseEmphasis">
    <w:name w:val="Intense Emphasis"/>
    <w:uiPriority w:val="21"/>
    <w:qFormat/>
    <w:rsid w:val="00EC3C86"/>
    <w:rPr>
      <w:b/>
      <w:bCs/>
      <w:i/>
      <w:iCs/>
      <w:color w:val="5B9BD5"/>
    </w:rPr>
  </w:style>
  <w:style w:type="paragraph" w:styleId="NormalWeb">
    <w:name w:val="Normal (Web)"/>
    <w:basedOn w:val="Normal"/>
    <w:uiPriority w:val="99"/>
    <w:rsid w:val="00371AE2"/>
    <w:pPr>
      <w:spacing w:line="240" w:lineRule="atLeast"/>
    </w:pPr>
    <w:rPr>
      <w:spacing w:val="0"/>
      <w:w w:val="100"/>
      <w:sz w:val="24"/>
      <w:szCs w:val="24"/>
      <w:lang w:val="en-GB" w:eastAsia="es-ES"/>
    </w:rPr>
  </w:style>
  <w:style w:type="paragraph" w:styleId="NormalIndent">
    <w:name w:val="Normal Indent"/>
    <w:basedOn w:val="Normal"/>
    <w:uiPriority w:val="99"/>
    <w:rsid w:val="00371AE2"/>
    <w:pPr>
      <w:spacing w:line="240" w:lineRule="atLeast"/>
      <w:ind w:left="567"/>
    </w:pPr>
    <w:rPr>
      <w:spacing w:val="0"/>
      <w:w w:val="100"/>
      <w:szCs w:val="20"/>
      <w:lang w:val="en-GB" w:eastAsia="es-ES"/>
    </w:rPr>
  </w:style>
  <w:style w:type="paragraph" w:styleId="NoteHeading">
    <w:name w:val="Note Heading"/>
    <w:basedOn w:val="Normal"/>
    <w:next w:val="Normal"/>
    <w:link w:val="NoteHeadingChar"/>
    <w:uiPriority w:val="99"/>
    <w:rsid w:val="00371AE2"/>
    <w:pPr>
      <w:spacing w:line="240" w:lineRule="atLeast"/>
    </w:pPr>
    <w:rPr>
      <w:spacing w:val="0"/>
      <w:w w:val="100"/>
      <w:szCs w:val="20"/>
      <w:lang w:val="en-GB" w:eastAsia="es-ES"/>
    </w:rPr>
  </w:style>
  <w:style w:type="character" w:customStyle="1" w:styleId="NoteHeadingChar">
    <w:name w:val="Note Heading Char"/>
    <w:basedOn w:val="DefaultParagraphFont"/>
    <w:link w:val="NoteHeading"/>
    <w:uiPriority w:val="99"/>
    <w:locked/>
    <w:rsid w:val="00371AE2"/>
    <w:rPr>
      <w:rFonts w:ascii="Times New Roman" w:hAnsi="Times New Roman" w:cs="Times New Roman"/>
      <w:lang w:val="en-GB" w:eastAsia="x-none"/>
    </w:rPr>
  </w:style>
  <w:style w:type="paragraph" w:styleId="Salutation">
    <w:name w:val="Salutation"/>
    <w:basedOn w:val="Normal"/>
    <w:next w:val="Normal"/>
    <w:link w:val="SalutationChar"/>
    <w:uiPriority w:val="99"/>
    <w:rsid w:val="00371AE2"/>
    <w:pPr>
      <w:spacing w:line="240" w:lineRule="atLeast"/>
    </w:pPr>
    <w:rPr>
      <w:spacing w:val="0"/>
      <w:w w:val="100"/>
      <w:szCs w:val="20"/>
      <w:lang w:val="en-GB" w:eastAsia="es-ES"/>
    </w:rPr>
  </w:style>
  <w:style w:type="character" w:customStyle="1" w:styleId="SalutationChar">
    <w:name w:val="Salutation Char"/>
    <w:basedOn w:val="DefaultParagraphFont"/>
    <w:link w:val="Salutation"/>
    <w:uiPriority w:val="99"/>
    <w:locked/>
    <w:rsid w:val="00371AE2"/>
    <w:rPr>
      <w:rFonts w:ascii="Times New Roman" w:hAnsi="Times New Roman" w:cs="Times New Roman"/>
      <w:lang w:val="en-GB" w:eastAsia="x-none"/>
    </w:rPr>
  </w:style>
  <w:style w:type="paragraph" w:styleId="Signature">
    <w:name w:val="Signature"/>
    <w:basedOn w:val="Normal"/>
    <w:link w:val="SignatureChar"/>
    <w:uiPriority w:val="99"/>
    <w:rsid w:val="00371AE2"/>
    <w:pPr>
      <w:spacing w:line="240" w:lineRule="atLeast"/>
      <w:ind w:left="4252"/>
    </w:pPr>
    <w:rPr>
      <w:spacing w:val="0"/>
      <w:w w:val="100"/>
      <w:szCs w:val="20"/>
      <w:lang w:val="en-GB" w:eastAsia="es-ES"/>
    </w:rPr>
  </w:style>
  <w:style w:type="character" w:customStyle="1" w:styleId="SignatureChar">
    <w:name w:val="Signature Char"/>
    <w:basedOn w:val="DefaultParagraphFont"/>
    <w:link w:val="Signature"/>
    <w:uiPriority w:val="99"/>
    <w:locked/>
    <w:rsid w:val="00371AE2"/>
    <w:rPr>
      <w:rFonts w:ascii="Times New Roman" w:hAnsi="Times New Roman" w:cs="Times New Roman"/>
      <w:lang w:val="en-GB" w:eastAsia="x-none"/>
    </w:rPr>
  </w:style>
  <w:style w:type="character" w:styleId="Strong">
    <w:name w:val="Strong"/>
    <w:basedOn w:val="DefaultParagraphFont"/>
    <w:uiPriority w:val="22"/>
    <w:qFormat/>
    <w:rsid w:val="00371AE2"/>
    <w:rPr>
      <w:rFonts w:cs="Times New Roman"/>
      <w:b/>
    </w:rPr>
  </w:style>
  <w:style w:type="paragraph" w:styleId="Subtitle">
    <w:name w:val="Subtitle"/>
    <w:basedOn w:val="Normal"/>
    <w:link w:val="SubtitleChar"/>
    <w:uiPriority w:val="11"/>
    <w:qFormat/>
    <w:rsid w:val="00371AE2"/>
    <w:pPr>
      <w:spacing w:after="60" w:line="240" w:lineRule="atLeast"/>
      <w:jc w:val="center"/>
      <w:outlineLvl w:val="1"/>
    </w:pPr>
    <w:rPr>
      <w:rFonts w:ascii="Arial" w:hAnsi="Arial" w:cs="Arial"/>
      <w:spacing w:val="0"/>
      <w:w w:val="100"/>
      <w:sz w:val="24"/>
      <w:szCs w:val="24"/>
      <w:lang w:val="en-GB" w:eastAsia="es-ES"/>
    </w:rPr>
  </w:style>
  <w:style w:type="character" w:customStyle="1" w:styleId="SubtitleChar">
    <w:name w:val="Subtitle Char"/>
    <w:basedOn w:val="DefaultParagraphFont"/>
    <w:link w:val="Subtitle"/>
    <w:uiPriority w:val="11"/>
    <w:locked/>
    <w:rsid w:val="00371AE2"/>
    <w:rPr>
      <w:rFonts w:ascii="Arial" w:hAnsi="Arial" w:cs="Times New Roman"/>
      <w:sz w:val="24"/>
      <w:lang w:val="en-GB" w:eastAsia="x-none"/>
    </w:rPr>
  </w:style>
  <w:style w:type="table" w:styleId="Table3Deffects1">
    <w:name w:val="Table 3D effects 1"/>
    <w:basedOn w:val="TableNormal"/>
    <w:uiPriority w:val="99"/>
    <w:rsid w:val="00371AE2"/>
    <w:pPr>
      <w:suppressAutoHyphens/>
      <w:spacing w:line="240" w:lineRule="atLeast"/>
    </w:pPr>
    <w:rPr>
      <w:rFonts w:ascii="Times New Roman" w:hAnsi="Times New Roman" w:cs="Times New Roman"/>
    </w:rPr>
    <w:tblPr/>
    <w:tcPr>
      <w:shd w:val="solid" w:color="C0C0C0" w:fill="FFFFFF"/>
    </w:tcPr>
  </w:style>
  <w:style w:type="table" w:styleId="Table3Deffects2">
    <w:name w:val="Table 3D effects 2"/>
    <w:basedOn w:val="TableNormal"/>
    <w:uiPriority w:val="99"/>
    <w:rsid w:val="00371AE2"/>
    <w:pPr>
      <w:suppressAutoHyphens/>
      <w:spacing w:line="240" w:lineRule="atLeast"/>
    </w:pPr>
    <w:rPr>
      <w:rFonts w:ascii="Times New Roman" w:hAnsi="Times New Roman" w:cs="Times New Roman"/>
    </w:rPr>
    <w:tblPr/>
    <w:tcPr>
      <w:shd w:val="solid" w:color="C0C0C0" w:fill="FFFFFF"/>
    </w:tcPr>
  </w:style>
  <w:style w:type="table" w:styleId="Table3Deffects3">
    <w:name w:val="Table 3D effects 3"/>
    <w:basedOn w:val="TableNormal"/>
    <w:uiPriority w:val="99"/>
    <w:rsid w:val="00371AE2"/>
    <w:pPr>
      <w:suppressAutoHyphens/>
      <w:spacing w:line="240" w:lineRule="atLeast"/>
    </w:pPr>
    <w:rPr>
      <w:rFonts w:ascii="Times New Roman" w:hAnsi="Times New Roman" w:cs="Times New Roman"/>
    </w:rPr>
    <w:tblPr/>
  </w:style>
  <w:style w:type="table" w:styleId="TableClassic1">
    <w:name w:val="Table Classic 1"/>
    <w:basedOn w:val="TableNormal"/>
    <w:uiPriority w:val="99"/>
    <w:rsid w:val="00371AE2"/>
    <w:pPr>
      <w:suppressAutoHyphens/>
      <w:spacing w:line="240" w:lineRule="atLeast"/>
    </w:pPr>
    <w:rPr>
      <w:rFonts w:ascii="Times New Roman" w:hAnsi="Times New Roman" w:cs="Times New Roman"/>
    </w:rPr>
    <w:tblPr>
      <w:tblBorders>
        <w:top w:val="single" w:sz="12" w:space="0" w:color="000000"/>
        <w:bottom w:val="single" w:sz="12" w:space="0" w:color="000000"/>
      </w:tblBorders>
    </w:tblPr>
  </w:style>
  <w:style w:type="table" w:styleId="TableClassic2">
    <w:name w:val="Table Classic 2"/>
    <w:basedOn w:val="TableNormal"/>
    <w:uiPriority w:val="99"/>
    <w:rsid w:val="00371AE2"/>
    <w:pPr>
      <w:suppressAutoHyphens/>
      <w:spacing w:line="240" w:lineRule="atLeast"/>
    </w:pPr>
    <w:rPr>
      <w:rFonts w:ascii="Times New Roman" w:hAnsi="Times New Roman" w:cs="Times New Roman"/>
    </w:rPr>
    <w:tblPr>
      <w:tblBorders>
        <w:top w:val="single" w:sz="12" w:space="0" w:color="000000"/>
        <w:bottom w:val="single" w:sz="12" w:space="0" w:color="000000"/>
      </w:tblBorders>
    </w:tblPr>
  </w:style>
  <w:style w:type="table" w:styleId="TableClassic3">
    <w:name w:val="Table Classic 3"/>
    <w:basedOn w:val="TableNormal"/>
    <w:uiPriority w:val="99"/>
    <w:rsid w:val="00371AE2"/>
    <w:pPr>
      <w:suppressAutoHyphens/>
      <w:spacing w:line="240" w:lineRule="atLeast"/>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uiPriority w:val="99"/>
    <w:rsid w:val="00371AE2"/>
    <w:pPr>
      <w:suppressAutoHyphens/>
      <w:spacing w:line="240" w:lineRule="atLeas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uiPriority w:val="99"/>
    <w:rsid w:val="00371AE2"/>
    <w:pPr>
      <w:suppressAutoHyphens/>
      <w:spacing w:line="240" w:lineRule="atLeast"/>
    </w:pPr>
    <w:rPr>
      <w:rFonts w:ascii="Times New Roman" w:hAnsi="Times New Roman" w:cs="Times New Roman"/>
    </w:rPr>
    <w:tblPr>
      <w:tblBorders>
        <w:bottom w:val="single" w:sz="12" w:space="0" w:color="000000"/>
      </w:tblBorders>
    </w:tblPr>
    <w:tcPr>
      <w:shd w:val="pct20" w:color="FFFF00" w:fill="FFFFFF"/>
    </w:tcPr>
  </w:style>
  <w:style w:type="table" w:styleId="TableColorful3">
    <w:name w:val="Table Colorful 3"/>
    <w:basedOn w:val="TableNormal"/>
    <w:uiPriority w:val="99"/>
    <w:rsid w:val="00371AE2"/>
    <w:pPr>
      <w:suppressAutoHyphens/>
      <w:spacing w:line="240" w:lineRule="atLeas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uiPriority w:val="99"/>
    <w:rsid w:val="00371AE2"/>
    <w:pPr>
      <w:suppressAutoHyphens/>
      <w:spacing w:line="240" w:lineRule="atLeast"/>
    </w:pPr>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uiPriority w:val="99"/>
    <w:rsid w:val="00371AE2"/>
    <w:pPr>
      <w:suppressAutoHyphens/>
      <w:spacing w:line="240" w:lineRule="atLeast"/>
    </w:pPr>
    <w:rPr>
      <w:rFonts w:ascii="Times New Roman" w:hAnsi="Times New Roman" w:cs="Times New Roman"/>
      <w:b/>
      <w:bCs/>
    </w:rPr>
    <w:tblPr/>
  </w:style>
  <w:style w:type="table" w:styleId="TableColumns3">
    <w:name w:val="Table Columns 3"/>
    <w:basedOn w:val="TableNormal"/>
    <w:uiPriority w:val="99"/>
    <w:rsid w:val="00371AE2"/>
    <w:pPr>
      <w:suppressAutoHyphens/>
      <w:spacing w:line="240" w:lineRule="atLeast"/>
    </w:pPr>
    <w:rPr>
      <w:rFonts w:ascii="Times New Roman"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uiPriority w:val="99"/>
    <w:rsid w:val="00371AE2"/>
    <w:pPr>
      <w:suppressAutoHyphens/>
      <w:spacing w:line="240" w:lineRule="atLeast"/>
    </w:pPr>
    <w:rPr>
      <w:rFonts w:ascii="Times New Roman" w:hAnsi="Times New Roman" w:cs="Times New Roman"/>
    </w:rPr>
    <w:tblPr/>
  </w:style>
  <w:style w:type="table" w:styleId="TableColumns5">
    <w:name w:val="Table Columns 5"/>
    <w:basedOn w:val="TableNormal"/>
    <w:uiPriority w:val="99"/>
    <w:rsid w:val="00371AE2"/>
    <w:pPr>
      <w:suppressAutoHyphens/>
      <w:spacing w:line="240" w:lineRule="atLeast"/>
    </w:pPr>
    <w:rPr>
      <w:rFonts w:ascii="Times New Roman"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uiPriority w:val="99"/>
    <w:rsid w:val="00371AE2"/>
    <w:pPr>
      <w:suppressAutoHyphens/>
      <w:spacing w:line="240" w:lineRule="atLeast"/>
    </w:pPr>
    <w:rPr>
      <w:rFonts w:ascii="Times New Roman" w:hAnsi="Times New Roman" w:cs="Times New Roman"/>
    </w:rPr>
    <w:tblPr>
      <w:tblBorders>
        <w:insideH w:val="single" w:sz="18" w:space="0" w:color="FFFFFF"/>
        <w:insideV w:val="single" w:sz="18" w:space="0" w:color="FFFFFF"/>
      </w:tblBorders>
    </w:tblPr>
  </w:style>
  <w:style w:type="table" w:styleId="TableElegant">
    <w:name w:val="Table Elegant"/>
    <w:basedOn w:val="TableNormal"/>
    <w:uiPriority w:val="99"/>
    <w:rsid w:val="00371AE2"/>
    <w:pPr>
      <w:suppressAutoHyphens/>
      <w:spacing w:line="240" w:lineRule="atLeast"/>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
    <w:name w:val="Table Grid"/>
    <w:basedOn w:val="TableNormal"/>
    <w:uiPriority w:val="39"/>
    <w:rsid w:val="00371AE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uiPriority w:val="99"/>
    <w:rsid w:val="00371AE2"/>
    <w:pPr>
      <w:suppressAutoHyphens/>
      <w:spacing w:line="240" w:lineRule="atLeast"/>
    </w:pPr>
    <w:rPr>
      <w:rFonts w:ascii="Times New Roman" w:hAnsi="Times New Roman" w:cs="Times New Roman"/>
    </w:rPr>
    <w:tblPr>
      <w:tblBorders>
        <w:insideH w:val="single" w:sz="6" w:space="0" w:color="000000"/>
        <w:insideV w:val="single" w:sz="6" w:space="0" w:color="000000"/>
      </w:tblBorders>
    </w:tblPr>
  </w:style>
  <w:style w:type="table" w:styleId="TableGrid3">
    <w:name w:val="Table Grid 3"/>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uiPriority w:val="99"/>
    <w:rsid w:val="00371AE2"/>
    <w:pPr>
      <w:suppressAutoHyphens/>
      <w:spacing w:line="240" w:lineRule="atLeast"/>
    </w:pPr>
    <w:rPr>
      <w:rFonts w:ascii="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uiPriority w:val="99"/>
    <w:rsid w:val="00371AE2"/>
    <w:pPr>
      <w:suppressAutoHyphens/>
      <w:spacing w:line="240" w:lineRule="atLeast"/>
    </w:pPr>
    <w:rPr>
      <w:rFonts w:ascii="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uiPriority w:val="99"/>
    <w:rsid w:val="00371AE2"/>
    <w:pPr>
      <w:suppressAutoHyphens/>
      <w:spacing w:line="240" w:lineRule="atLeast"/>
    </w:pPr>
    <w:rPr>
      <w:rFonts w:ascii="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uiPriority w:val="99"/>
    <w:rsid w:val="00371AE2"/>
    <w:pPr>
      <w:suppressAutoHyphens/>
      <w:spacing w:line="240" w:lineRule="atLeast"/>
    </w:pPr>
    <w:rPr>
      <w:rFonts w:ascii="Times New Roman" w:hAnsi="Times New Roman" w:cs="Times New Roman"/>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uiPriority w:val="99"/>
    <w:rsid w:val="00371AE2"/>
    <w:pPr>
      <w:suppressAutoHyphens/>
      <w:spacing w:line="240" w:lineRule="atLeast"/>
    </w:pPr>
    <w:rPr>
      <w:rFonts w:ascii="Times New Roman" w:hAnsi="Times New Roman" w:cs="Times New Roman"/>
    </w:rPr>
    <w:tblPr>
      <w:tblBorders>
        <w:bottom w:val="single" w:sz="12" w:space="0" w:color="808080"/>
      </w:tblBorders>
    </w:tblPr>
  </w:style>
  <w:style w:type="table" w:styleId="TableList3">
    <w:name w:val="Table List 3"/>
    <w:basedOn w:val="TableNormal"/>
    <w:uiPriority w:val="99"/>
    <w:rsid w:val="00371AE2"/>
    <w:pPr>
      <w:suppressAutoHyphens/>
      <w:spacing w:line="240" w:lineRule="atLeast"/>
    </w:pPr>
    <w:rPr>
      <w:rFonts w:ascii="Times New Roman" w:hAnsi="Times New Roman" w:cs="Times New Roman"/>
    </w:rPr>
    <w:tblPr>
      <w:tblBorders>
        <w:top w:val="single" w:sz="12" w:space="0" w:color="000000"/>
        <w:bottom w:val="single" w:sz="12" w:space="0" w:color="000000"/>
        <w:insideH w:val="single" w:sz="6" w:space="0" w:color="000000"/>
      </w:tblBorders>
    </w:tblPr>
  </w:style>
  <w:style w:type="table" w:styleId="TableList4">
    <w:name w:val="Table List 4"/>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uiPriority w:val="99"/>
    <w:rsid w:val="00371AE2"/>
    <w:pPr>
      <w:suppressAutoHyphens/>
      <w:spacing w:line="240" w:lineRule="atLeast"/>
    </w:pPr>
    <w:rPr>
      <w:rFonts w:ascii="Times New Roman"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uiPriority w:val="99"/>
    <w:rsid w:val="00371AE2"/>
    <w:pPr>
      <w:suppressAutoHyphens/>
      <w:spacing w:line="240" w:lineRule="atLeast"/>
    </w:pPr>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uiPriority w:val="99"/>
    <w:rsid w:val="00371AE2"/>
    <w:pPr>
      <w:suppressAutoHyphens/>
      <w:spacing w:line="240" w:lineRule="atLeast"/>
    </w:pPr>
    <w:rPr>
      <w:rFonts w:ascii="Times New Roman" w:hAnsi="Times New Roman" w:cs="Times New Roman"/>
    </w:rPr>
    <w:tblPr>
      <w:tblBorders>
        <w:top w:val="single" w:sz="12" w:space="0" w:color="008000"/>
        <w:bottom w:val="single" w:sz="12" w:space="0" w:color="008000"/>
      </w:tblBorders>
    </w:tblPr>
  </w:style>
  <w:style w:type="table" w:styleId="TableSimple2">
    <w:name w:val="Table Simple 2"/>
    <w:basedOn w:val="TableNormal"/>
    <w:uiPriority w:val="99"/>
    <w:rsid w:val="00371AE2"/>
    <w:pPr>
      <w:suppressAutoHyphens/>
      <w:spacing w:line="240" w:lineRule="atLeast"/>
    </w:pPr>
    <w:rPr>
      <w:rFonts w:ascii="Times New Roman" w:hAnsi="Times New Roman" w:cs="Times New Roman"/>
    </w:rPr>
    <w:tblPr/>
  </w:style>
  <w:style w:type="table" w:styleId="TableSimple3">
    <w:name w:val="Table Simple 3"/>
    <w:basedOn w:val="TableNormal"/>
    <w:uiPriority w:val="99"/>
    <w:rsid w:val="00371AE2"/>
    <w:pPr>
      <w:suppressAutoHyphens/>
      <w:spacing w:line="240" w:lineRule="atLeast"/>
    </w:pPr>
    <w:rPr>
      <w:rFonts w:ascii="Times New Roman" w:hAnsi="Times New Roman" w:cs="Times New Roman"/>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uiPriority w:val="99"/>
    <w:rsid w:val="00371AE2"/>
    <w:pPr>
      <w:suppressAutoHyphens/>
      <w:spacing w:line="240" w:lineRule="atLeast"/>
    </w:pPr>
    <w:rPr>
      <w:rFonts w:ascii="Times New Roman" w:hAnsi="Times New Roman" w:cs="Times New Roman"/>
    </w:rPr>
    <w:tblPr/>
  </w:style>
  <w:style w:type="table" w:styleId="TableSubtle2">
    <w:name w:val="Table Subtle 2"/>
    <w:basedOn w:val="TableNormal"/>
    <w:uiPriority w:val="99"/>
    <w:rsid w:val="00371AE2"/>
    <w:pPr>
      <w:suppressAutoHyphens/>
      <w:spacing w:line="240" w:lineRule="atLeast"/>
    </w:pPr>
    <w:rPr>
      <w:rFonts w:ascii="Times New Roman" w:hAnsi="Times New Roman" w:cs="Times New Roman"/>
    </w:rPr>
    <w:tblPr>
      <w:tblBorders>
        <w:left w:val="single" w:sz="6" w:space="0" w:color="000000"/>
        <w:right w:val="single" w:sz="6" w:space="0" w:color="000000"/>
      </w:tblBorders>
    </w:tblPr>
  </w:style>
  <w:style w:type="table" w:styleId="TableTheme">
    <w:name w:val="Table Theme"/>
    <w:basedOn w:val="TableNormal"/>
    <w:uiPriority w:val="99"/>
    <w:rsid w:val="00371AE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371AE2"/>
    <w:pPr>
      <w:suppressAutoHyphens/>
      <w:spacing w:line="240" w:lineRule="atLeast"/>
    </w:pPr>
    <w:rPr>
      <w:rFonts w:ascii="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uiPriority w:val="99"/>
    <w:rsid w:val="00371AE2"/>
    <w:pPr>
      <w:suppressAutoHyphens/>
      <w:spacing w:line="240" w:lineRule="atLeast"/>
    </w:pPr>
    <w:rPr>
      <w:rFonts w:ascii="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uiPriority w:val="99"/>
    <w:rsid w:val="00371AE2"/>
    <w:pPr>
      <w:suppressAutoHyphens/>
      <w:spacing w:line="240" w:lineRule="atLeast"/>
    </w:pPr>
    <w:rPr>
      <w:rFonts w:ascii="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link w:val="TitleChar"/>
    <w:uiPriority w:val="10"/>
    <w:qFormat/>
    <w:rsid w:val="00371AE2"/>
    <w:pPr>
      <w:spacing w:before="240" w:after="60" w:line="240" w:lineRule="atLeast"/>
      <w:jc w:val="center"/>
      <w:outlineLvl w:val="0"/>
    </w:pPr>
    <w:rPr>
      <w:rFonts w:ascii="Arial" w:hAnsi="Arial" w:cs="Arial"/>
      <w:b/>
      <w:bCs/>
      <w:spacing w:val="0"/>
      <w:w w:val="100"/>
      <w:kern w:val="28"/>
      <w:sz w:val="32"/>
      <w:szCs w:val="32"/>
      <w:lang w:val="en-GB" w:eastAsia="es-ES"/>
    </w:rPr>
  </w:style>
  <w:style w:type="character" w:customStyle="1" w:styleId="TitleChar">
    <w:name w:val="Title Char"/>
    <w:basedOn w:val="DefaultParagraphFont"/>
    <w:link w:val="Title"/>
    <w:uiPriority w:val="10"/>
    <w:locked/>
    <w:rsid w:val="00371AE2"/>
    <w:rPr>
      <w:rFonts w:ascii="Arial" w:hAnsi="Arial" w:cs="Times New Roman"/>
      <w:b/>
      <w:kern w:val="28"/>
      <w:sz w:val="32"/>
      <w:lang w:val="en-GB" w:eastAsia="x-none"/>
    </w:rPr>
  </w:style>
  <w:style w:type="paragraph" w:styleId="EnvelopeAddress">
    <w:name w:val="envelope address"/>
    <w:basedOn w:val="Normal"/>
    <w:uiPriority w:val="99"/>
    <w:rsid w:val="00371AE2"/>
    <w:pPr>
      <w:framePr w:w="7920" w:h="1980" w:hRule="exact" w:hSpace="180" w:wrap="auto" w:hAnchor="page" w:xAlign="center" w:yAlign="bottom"/>
      <w:spacing w:line="240" w:lineRule="atLeast"/>
      <w:ind w:left="2880"/>
    </w:pPr>
    <w:rPr>
      <w:rFonts w:ascii="Arial" w:hAnsi="Arial" w:cs="Arial"/>
      <w:spacing w:val="0"/>
      <w:w w:val="100"/>
      <w:sz w:val="24"/>
      <w:szCs w:val="24"/>
      <w:lang w:val="en-GB" w:eastAsia="es-ES"/>
    </w:rPr>
  </w:style>
  <w:style w:type="character" w:customStyle="1" w:styleId="tw4winTerm">
    <w:name w:val="tw4winTerm"/>
    <w:uiPriority w:val="99"/>
    <w:rsid w:val="00371AE2"/>
    <w:rPr>
      <w:color w:val="0000FF"/>
    </w:rPr>
  </w:style>
  <w:style w:type="character" w:customStyle="1" w:styleId="tw4winPopup">
    <w:name w:val="tw4winPopup"/>
    <w:uiPriority w:val="99"/>
    <w:rsid w:val="00371AE2"/>
    <w:rPr>
      <w:rFonts w:ascii="Courier New" w:hAnsi="Courier New"/>
      <w:noProof/>
      <w:color w:val="008000"/>
    </w:rPr>
  </w:style>
  <w:style w:type="character" w:customStyle="1" w:styleId="tw4winJump">
    <w:name w:val="tw4winJump"/>
    <w:uiPriority w:val="99"/>
    <w:rsid w:val="00371AE2"/>
    <w:rPr>
      <w:rFonts w:ascii="Courier New" w:hAnsi="Courier New"/>
      <w:noProof/>
      <w:color w:val="008080"/>
    </w:rPr>
  </w:style>
  <w:style w:type="character" w:customStyle="1" w:styleId="tw4winExternal">
    <w:name w:val="tw4winExternal"/>
    <w:uiPriority w:val="99"/>
    <w:rsid w:val="00371AE2"/>
    <w:rPr>
      <w:rFonts w:ascii="Courier New" w:hAnsi="Courier New"/>
      <w:noProof/>
      <w:color w:val="808080"/>
    </w:rPr>
  </w:style>
  <w:style w:type="character" w:customStyle="1" w:styleId="tw4winInternal">
    <w:name w:val="tw4winInternal"/>
    <w:uiPriority w:val="99"/>
    <w:rsid w:val="00371AE2"/>
    <w:rPr>
      <w:rFonts w:ascii="Courier New" w:hAnsi="Courier New"/>
      <w:noProof/>
      <w:color w:val="FF0000"/>
    </w:rPr>
  </w:style>
  <w:style w:type="character" w:customStyle="1" w:styleId="DONOTTRANSLATE">
    <w:name w:val="DO_NOT_TRANSLATE"/>
    <w:uiPriority w:val="99"/>
    <w:rsid w:val="00371AE2"/>
    <w:rPr>
      <w:rFonts w:ascii="Courier New" w:hAnsi="Courier New"/>
      <w:noProof/>
      <w:color w:val="800000"/>
    </w:rPr>
  </w:style>
  <w:style w:type="paragraph" w:customStyle="1" w:styleId="StyleH23Left0Hanging088Right088After">
    <w:name w:val="Style _ H_2/3 + Left:  0&quot; Hanging:  088&quot; Right:  088&quot; After:  ..."/>
    <w:basedOn w:val="H23"/>
    <w:rsid w:val="00A95B50"/>
    <w:pPr>
      <w:ind w:right="1267"/>
    </w:pPr>
    <w:rPr>
      <w:bCs w:val="0"/>
      <w:szCs w:val="20"/>
    </w:rPr>
  </w:style>
  <w:style w:type="character" w:customStyle="1" w:styleId="EncabezadoCar">
    <w:name w:val="Encabezado Car"/>
    <w:uiPriority w:val="99"/>
    <w:locked/>
    <w:rsid w:val="00617D15"/>
  </w:style>
  <w:style w:type="character" w:customStyle="1" w:styleId="PiedepginaCar">
    <w:name w:val="Pie de página Car"/>
    <w:uiPriority w:val="99"/>
    <w:locked/>
    <w:rsid w:val="00617D15"/>
  </w:style>
  <w:style w:type="paragraph" w:customStyle="1" w:styleId="Char2">
    <w:name w:val="Char2"/>
    <w:basedOn w:val="Normal"/>
    <w:rsid w:val="00617D15"/>
    <w:pPr>
      <w:suppressAutoHyphens w:val="0"/>
      <w:spacing w:after="160"/>
      <w:jc w:val="both"/>
    </w:pPr>
    <w:rPr>
      <w:spacing w:val="0"/>
      <w:w w:val="100"/>
      <w:sz w:val="18"/>
      <w:szCs w:val="20"/>
      <w:vertAlign w:val="superscript"/>
      <w:lang w:eastAsia="es-ES"/>
    </w:rPr>
  </w:style>
  <w:style w:type="paragraph" w:styleId="ListParagraph">
    <w:name w:val="List Paragraph"/>
    <w:aliases w:val="Paragraphe de liste du rapport,List ParagraphCxSpLast,List ParagraphCxSpLastCxSpLast,List ParagraphCxSpLastCxSpLastCxSpLast,Numbered list,List Paragraph (numbered (a)),Paragraphe de liste1,Bullets,WB Para,List Paragrap"/>
    <w:basedOn w:val="Normal"/>
    <w:link w:val="ListParagraphChar"/>
    <w:uiPriority w:val="34"/>
    <w:qFormat/>
    <w:rsid w:val="00617D15"/>
    <w:pPr>
      <w:suppressAutoHyphens w:val="0"/>
      <w:spacing w:after="160" w:line="259" w:lineRule="auto"/>
      <w:ind w:left="720"/>
    </w:pPr>
    <w:rPr>
      <w:rFonts w:ascii="Calibri" w:hAnsi="Calibri"/>
      <w:spacing w:val="0"/>
      <w:w w:val="100"/>
      <w:sz w:val="22"/>
      <w:lang w:val="en-GB" w:eastAsia="es-ES"/>
    </w:rPr>
  </w:style>
  <w:style w:type="character" w:customStyle="1" w:styleId="st1">
    <w:name w:val="st1"/>
    <w:rsid w:val="00617D15"/>
  </w:style>
  <w:style w:type="character" w:customStyle="1" w:styleId="TextonotapieCar11">
    <w:name w:val="Texto nota pie Car11"/>
    <w:aliases w:val="5_G Car11,Char Car11,Footnote Text Blue Car11,EUMC_Lábjegyzetszöveg + 13 pt Car11,Félkövér Car11,Dolt Car11,Középre zárt Char Car11,Középre zárt Char Char Car11,Középre zárt Car11,Märk Car11,Footnote Text Char1 Car11"/>
    <w:semiHidden/>
    <w:rsid w:val="00617D15"/>
    <w:rPr>
      <w:lang w:val="en-GB" w:eastAsia="x-none"/>
    </w:rPr>
  </w:style>
  <w:style w:type="character" w:customStyle="1" w:styleId="SingleTxtChar">
    <w:name w:val="__Single Txt Char"/>
    <w:link w:val="SingleTxt"/>
    <w:locked/>
    <w:rsid w:val="00FC59E7"/>
    <w:rPr>
      <w:rFonts w:ascii="Times New Roman" w:hAnsi="Times New Roman"/>
      <w:spacing w:val="4"/>
      <w:w w:val="103"/>
      <w:kern w:val="14"/>
      <w:sz w:val="22"/>
      <w:lang w:val="x-none" w:eastAsia="en-US"/>
    </w:rPr>
  </w:style>
  <w:style w:type="paragraph" w:customStyle="1" w:styleId="TitleHCH">
    <w:name w:val="Title_H_CH"/>
    <w:basedOn w:val="HCh"/>
    <w:next w:val="SingleTxt"/>
    <w:qFormat/>
    <w:rsid w:val="00CE16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lang w:val="en-GB"/>
    </w:rPr>
  </w:style>
  <w:style w:type="paragraph" w:customStyle="1" w:styleId="HCH0">
    <w:name w:val="_ H _CH"/>
    <w:basedOn w:val="H1"/>
    <w:next w:val="Normal"/>
    <w:qFormat/>
    <w:rsid w:val="0042107F"/>
    <w:pPr>
      <w:spacing w:line="300" w:lineRule="exact"/>
    </w:pPr>
    <w:rPr>
      <w:spacing w:val="-2"/>
      <w:sz w:val="28"/>
      <w:lang w:val="fr-FR"/>
    </w:rPr>
  </w:style>
  <w:style w:type="paragraph" w:customStyle="1" w:styleId="H56">
    <w:name w:val="_ H_5/6"/>
    <w:basedOn w:val="Normal"/>
    <w:next w:val="Normal"/>
    <w:qFormat/>
    <w:rsid w:val="0042107F"/>
    <w:pPr>
      <w:keepNext/>
      <w:keepLines/>
      <w:tabs>
        <w:tab w:val="right" w:pos="360"/>
      </w:tabs>
      <w:outlineLvl w:val="4"/>
    </w:pPr>
    <w:rPr>
      <w:rFonts w:ascii="marge tawagan" w:hAnsi="marge tawagan"/>
      <w:kern w:val="14"/>
      <w:lang w:val="fr-FR"/>
    </w:rPr>
  </w:style>
  <w:style w:type="paragraph" w:customStyle="1" w:styleId="SM">
    <w:name w:val="__S_M"/>
    <w:basedOn w:val="Normal"/>
    <w:next w:val="Normal"/>
    <w:qFormat/>
    <w:rsid w:val="0042107F"/>
    <w:pPr>
      <w:keepNext/>
      <w:keepLines/>
      <w:tabs>
        <w:tab w:val="right" w:pos="360"/>
      </w:tabs>
      <w:spacing w:line="390" w:lineRule="exact"/>
      <w:ind w:left="1267" w:right="1267"/>
      <w:outlineLvl w:val="0"/>
    </w:pPr>
    <w:rPr>
      <w:b/>
      <w:spacing w:val="-4"/>
      <w:w w:val="98"/>
      <w:kern w:val="14"/>
      <w:sz w:val="40"/>
      <w:lang w:val="fr-FR"/>
    </w:rPr>
  </w:style>
  <w:style w:type="paragraph" w:customStyle="1" w:styleId="AgendaItemNormal">
    <w:name w:val="Agenda_Item_Normal"/>
    <w:next w:val="Normal"/>
    <w:autoRedefine/>
    <w:qFormat/>
    <w:rsid w:val="0042107F"/>
    <w:pPr>
      <w:spacing w:line="240" w:lineRule="exact"/>
    </w:pPr>
    <w:rPr>
      <w:rFonts w:ascii="Times New Roman" w:hAnsi="Times New Roman" w:cs="Times New Roman"/>
      <w:spacing w:val="4"/>
      <w:w w:val="103"/>
      <w:kern w:val="14"/>
      <w:szCs w:val="22"/>
      <w:lang w:val="fr-CA" w:eastAsia="en-US"/>
    </w:rPr>
  </w:style>
  <w:style w:type="paragraph" w:customStyle="1" w:styleId="TitleH1">
    <w:name w:val="Title_H1"/>
    <w:basedOn w:val="Normal"/>
    <w:next w:val="Normal"/>
    <w:qFormat/>
    <w:rsid w:val="004210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kern w:val="14"/>
      <w:sz w:val="24"/>
      <w:lang w:val="fr-FR"/>
    </w:rPr>
  </w:style>
  <w:style w:type="paragraph" w:customStyle="1" w:styleId="AgendaTitleH2">
    <w:name w:val="Agenda_Title_H2"/>
    <w:basedOn w:val="TitleH1"/>
    <w:next w:val="Normal"/>
    <w:qFormat/>
    <w:rsid w:val="0042107F"/>
    <w:pPr>
      <w:spacing w:line="240" w:lineRule="exact"/>
      <w:ind w:left="0" w:right="5040" w:firstLine="0"/>
      <w:outlineLvl w:val="1"/>
    </w:pPr>
    <w:rPr>
      <w:sz w:val="20"/>
    </w:rPr>
  </w:style>
  <w:style w:type="paragraph" w:customStyle="1" w:styleId="ReleaseDate0">
    <w:name w:val="Release Date"/>
    <w:next w:val="Normal"/>
    <w:autoRedefine/>
    <w:qFormat/>
    <w:rsid w:val="0042107F"/>
    <w:rPr>
      <w:rFonts w:ascii="Times New Roman" w:hAnsi="Times New Roman" w:cs="Times New Roman"/>
      <w:spacing w:val="-3"/>
      <w:w w:val="99"/>
      <w:kern w:val="14"/>
      <w:szCs w:val="22"/>
      <w:lang w:val="en-US" w:eastAsia="en-US"/>
    </w:rPr>
  </w:style>
  <w:style w:type="paragraph" w:customStyle="1" w:styleId="Style1">
    <w:name w:val="Style1"/>
    <w:basedOn w:val="Normal"/>
    <w:qFormat/>
    <w:rsid w:val="0042107F"/>
    <w:pPr>
      <w:suppressAutoHyphens w:val="0"/>
    </w:pPr>
    <w:rPr>
      <w:kern w:val="14"/>
      <w:lang w:val="fr-FR"/>
    </w:rPr>
  </w:style>
  <w:style w:type="paragraph" w:customStyle="1" w:styleId="Style2">
    <w:name w:val="Style2"/>
    <w:basedOn w:val="Normal"/>
    <w:autoRedefine/>
    <w:qFormat/>
    <w:rsid w:val="0042107F"/>
    <w:pPr>
      <w:suppressAutoHyphens w:val="0"/>
    </w:pPr>
    <w:rPr>
      <w:kern w:val="14"/>
      <w:lang w:val="fr-FR"/>
    </w:rPr>
  </w:style>
  <w:style w:type="paragraph" w:customStyle="1" w:styleId="TitleH2">
    <w:name w:val="Title_H2"/>
    <w:basedOn w:val="H1"/>
    <w:next w:val="Normal"/>
    <w:qFormat/>
    <w:rsid w:val="0042107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lang w:val="fr-FR"/>
    </w:rPr>
  </w:style>
  <w:style w:type="numbering" w:customStyle="1" w:styleId="Aucuneliste1">
    <w:name w:val="Aucune liste1"/>
    <w:next w:val="NoList"/>
    <w:uiPriority w:val="99"/>
    <w:semiHidden/>
    <w:unhideWhenUsed/>
    <w:rsid w:val="00EC3C86"/>
  </w:style>
  <w:style w:type="paragraph" w:customStyle="1" w:styleId="Body">
    <w:name w:val="Body"/>
    <w:rsid w:val="0042107F"/>
    <w:pPr>
      <w:pBdr>
        <w:top w:val="none" w:sz="96" w:space="31" w:color="FFFFFF" w:frame="1"/>
        <w:left w:val="none" w:sz="96" w:space="31" w:color="FFFFFF" w:frame="1"/>
        <w:bottom w:val="none" w:sz="96" w:space="31" w:color="FFFFFF" w:frame="1"/>
        <w:right w:val="none" w:sz="96" w:space="31" w:color="FFFFFF" w:frame="1"/>
      </w:pBdr>
    </w:pPr>
    <w:rPr>
      <w:rFonts w:ascii="Helvetica Neue" w:eastAsia="Arial Unicode MS" w:hAnsi="Helvetica Neue" w:cs="Arial Unicode MS"/>
      <w:color w:val="000000"/>
      <w:sz w:val="22"/>
      <w:szCs w:val="22"/>
      <w:lang w:val="fr-FR" w:eastAsia="fr-FR"/>
    </w:rPr>
  </w:style>
  <w:style w:type="paragraph" w:customStyle="1" w:styleId="Default">
    <w:name w:val="Default"/>
    <w:link w:val="DefaultChar"/>
    <w:rsid w:val="0042107F"/>
    <w:pPr>
      <w:pBdr>
        <w:top w:val="none" w:sz="96" w:space="31" w:color="FFFFFF" w:frame="1"/>
        <w:left w:val="none" w:sz="96" w:space="31" w:color="FFFFFF" w:frame="1"/>
        <w:bottom w:val="none" w:sz="96" w:space="31" w:color="FFFFFF" w:frame="1"/>
        <w:right w:val="none" w:sz="96" w:space="31" w:color="FFFFFF" w:frame="1"/>
      </w:pBdr>
    </w:pPr>
    <w:rPr>
      <w:rFonts w:ascii="Helvetica Neue" w:eastAsia="Arial Unicode MS" w:hAnsi="Helvetica Neue" w:cs="Arial Unicode MS"/>
      <w:color w:val="000000"/>
      <w:sz w:val="22"/>
      <w:szCs w:val="22"/>
      <w:lang w:val="en-US" w:eastAsia="fr-FR"/>
    </w:rPr>
  </w:style>
  <w:style w:type="paragraph" w:customStyle="1" w:styleId="TableStyle2">
    <w:name w:val="Table Style 2"/>
    <w:rsid w:val="0042107F"/>
    <w:pPr>
      <w:pBdr>
        <w:top w:val="none" w:sz="96" w:space="31" w:color="FFFFFF" w:frame="1"/>
        <w:left w:val="none" w:sz="96" w:space="31" w:color="FFFFFF" w:frame="1"/>
        <w:bottom w:val="none" w:sz="96" w:space="31" w:color="FFFFFF" w:frame="1"/>
        <w:right w:val="none" w:sz="96" w:space="31" w:color="FFFFFF" w:frame="1"/>
      </w:pBdr>
    </w:pPr>
    <w:rPr>
      <w:rFonts w:ascii="Helvetica Neue" w:hAnsi="Helvetica Neue" w:cs="Helvetica Neue"/>
      <w:color w:val="000000"/>
      <w:lang w:val="fr-FR" w:eastAsia="fr-FR"/>
    </w:rPr>
  </w:style>
  <w:style w:type="character" w:customStyle="1" w:styleId="None">
    <w:name w:val="None"/>
    <w:rsid w:val="0042107F"/>
  </w:style>
  <w:style w:type="character" w:customStyle="1" w:styleId="Hyperlink0">
    <w:name w:val="Hyperlink.0"/>
    <w:basedOn w:val="None"/>
    <w:rsid w:val="0042107F"/>
    <w:rPr>
      <w:rFonts w:cs="Times New Roman"/>
      <w:color w:val="0432FF"/>
      <w:u w:val="single" w:color="000000"/>
    </w:rPr>
  </w:style>
  <w:style w:type="character" w:customStyle="1" w:styleId="Hyperlink1">
    <w:name w:val="Hyperlink.1"/>
    <w:basedOn w:val="None"/>
    <w:rsid w:val="0042107F"/>
    <w:rPr>
      <w:rFonts w:cs="Times New Roman"/>
      <w:b/>
      <w:bCs/>
      <w:color w:val="0432FF"/>
      <w:u w:val="single" w:color="000000"/>
    </w:rPr>
  </w:style>
  <w:style w:type="character" w:customStyle="1" w:styleId="Hyperlink2">
    <w:name w:val="Hyperlink.2"/>
    <w:basedOn w:val="Hyperlink"/>
    <w:rsid w:val="0042107F"/>
    <w:rPr>
      <w:rFonts w:cs="Times New Roman"/>
      <w:color w:val="auto"/>
      <w:u w:val="single"/>
    </w:rPr>
  </w:style>
  <w:style w:type="paragraph" w:customStyle="1" w:styleId="HeaderCalibri16">
    <w:name w:val="Header Calibri 16"/>
    <w:basedOn w:val="Default"/>
    <w:link w:val="HeaderCalibri16Char"/>
    <w:qFormat/>
    <w:rsid w:val="0042107F"/>
    <w:pPr>
      <w:tabs>
        <w:tab w:val="left" w:pos="1134"/>
        <w:tab w:val="left" w:pos="2268"/>
        <w:tab w:val="left" w:pos="3402"/>
        <w:tab w:val="left" w:pos="4536"/>
        <w:tab w:val="left" w:pos="5670"/>
        <w:tab w:val="left" w:pos="6804"/>
        <w:tab w:val="left" w:pos="7938"/>
        <w:tab w:val="left" w:pos="9072"/>
      </w:tabs>
      <w:spacing w:line="276" w:lineRule="auto"/>
      <w:jc w:val="both"/>
    </w:pPr>
    <w:rPr>
      <w:b/>
      <w:sz w:val="32"/>
      <w:u w:val="single"/>
    </w:rPr>
  </w:style>
  <w:style w:type="character" w:customStyle="1" w:styleId="DefaultChar">
    <w:name w:val="Default Char"/>
    <w:basedOn w:val="DefaultParagraphFont"/>
    <w:link w:val="Default"/>
    <w:locked/>
    <w:rsid w:val="0042107F"/>
    <w:rPr>
      <w:rFonts w:ascii="Helvetica Neue" w:eastAsia="Arial Unicode MS" w:hAnsi="Helvetica Neue" w:cs="Arial Unicode MS"/>
      <w:color w:val="000000"/>
      <w:sz w:val="22"/>
      <w:szCs w:val="22"/>
      <w:lang w:val="en-US" w:eastAsia="fr-FR"/>
    </w:rPr>
  </w:style>
  <w:style w:type="character" w:customStyle="1" w:styleId="HeaderCalibri16Char">
    <w:name w:val="Header Calibri 16 Char"/>
    <w:basedOn w:val="DefaultChar"/>
    <w:link w:val="HeaderCalibri16"/>
    <w:locked/>
    <w:rsid w:val="0042107F"/>
    <w:rPr>
      <w:rFonts w:ascii="Helvetica Neue" w:eastAsia="Arial Unicode MS" w:hAnsi="Helvetica Neue" w:cs="Arial Unicode MS"/>
      <w:b/>
      <w:color w:val="000000"/>
      <w:sz w:val="22"/>
      <w:szCs w:val="22"/>
      <w:u w:val="single"/>
      <w:lang w:val="en-US" w:eastAsia="fr-FR"/>
    </w:rPr>
  </w:style>
  <w:style w:type="paragraph" w:styleId="TOC1">
    <w:name w:val="toc 1"/>
    <w:basedOn w:val="Normal"/>
    <w:next w:val="Normal"/>
    <w:autoRedefine/>
    <w:uiPriority w:val="39"/>
    <w:unhideWhenUsed/>
    <w:rsid w:val="0042107F"/>
    <w:pPr>
      <w:pBdr>
        <w:top w:val="none" w:sz="96" w:space="31" w:color="FFFFFF" w:frame="1"/>
        <w:left w:val="none" w:sz="96" w:space="31" w:color="FFFFFF" w:frame="1"/>
        <w:bottom w:val="none" w:sz="96" w:space="31" w:color="FFFFFF" w:frame="1"/>
        <w:right w:val="none" w:sz="96" w:space="31" w:color="FFFFFF" w:frame="1"/>
      </w:pBdr>
      <w:suppressAutoHyphens w:val="0"/>
      <w:spacing w:after="100" w:line="240" w:lineRule="auto"/>
    </w:pPr>
    <w:rPr>
      <w:rFonts w:eastAsia="Arial Unicode MS"/>
      <w:spacing w:val="0"/>
      <w:w w:val="100"/>
      <w:sz w:val="24"/>
      <w:szCs w:val="24"/>
      <w:lang w:val="en-US"/>
    </w:rPr>
  </w:style>
  <w:style w:type="paragraph" w:customStyle="1" w:styleId="SubheaderCalibri12">
    <w:name w:val="Subheader Calibri 12"/>
    <w:basedOn w:val="Default"/>
    <w:qFormat/>
    <w:rsid w:val="0042107F"/>
    <w:pPr>
      <w:tabs>
        <w:tab w:val="left" w:pos="1134"/>
        <w:tab w:val="left" w:pos="2268"/>
        <w:tab w:val="left" w:pos="3402"/>
        <w:tab w:val="left" w:pos="4536"/>
        <w:tab w:val="left" w:pos="5670"/>
        <w:tab w:val="left" w:pos="6804"/>
        <w:tab w:val="left" w:pos="7938"/>
        <w:tab w:val="left" w:pos="9072"/>
      </w:tabs>
      <w:spacing w:line="276" w:lineRule="auto"/>
      <w:jc w:val="both"/>
    </w:pPr>
    <w:rPr>
      <w:rFonts w:ascii="Calibri" w:eastAsia="Times New Roman" w:hAnsi="Calibri" w:cs="Times New Roman"/>
      <w:b/>
      <w:sz w:val="24"/>
      <w:u w:val="single"/>
      <w:lang w:val="fr-FR"/>
    </w:rPr>
  </w:style>
  <w:style w:type="paragraph" w:styleId="TOC2">
    <w:name w:val="toc 2"/>
    <w:basedOn w:val="SubheaderCalibri12"/>
    <w:next w:val="Normal"/>
    <w:autoRedefine/>
    <w:uiPriority w:val="39"/>
    <w:unhideWhenUsed/>
    <w:rsid w:val="0042107F"/>
    <w:pPr>
      <w:pBdr>
        <w:top w:val="none" w:sz="0" w:space="0" w:color="auto"/>
        <w:left w:val="none" w:sz="0" w:space="0" w:color="auto"/>
        <w:bottom w:val="none" w:sz="0" w:space="0" w:color="auto"/>
        <w:right w:val="none" w:sz="0" w:space="0" w:color="auto"/>
      </w:pBdr>
      <w:spacing w:after="100" w:line="259" w:lineRule="auto"/>
      <w:ind w:left="220"/>
    </w:pPr>
    <w:rPr>
      <w:rFonts w:eastAsiaTheme="minorEastAsia"/>
      <w:b w:val="0"/>
      <w:noProof/>
      <w:sz w:val="22"/>
    </w:rPr>
  </w:style>
  <w:style w:type="paragraph" w:styleId="TOC3">
    <w:name w:val="toc 3"/>
    <w:basedOn w:val="Normal"/>
    <w:next w:val="Normal"/>
    <w:autoRedefine/>
    <w:uiPriority w:val="39"/>
    <w:unhideWhenUsed/>
    <w:rsid w:val="0042107F"/>
    <w:pPr>
      <w:suppressAutoHyphens w:val="0"/>
      <w:spacing w:after="100" w:line="259" w:lineRule="auto"/>
      <w:ind w:left="440"/>
    </w:pPr>
    <w:rPr>
      <w:rFonts w:asciiTheme="minorHAnsi" w:eastAsiaTheme="minorEastAsia" w:hAnsiTheme="minorHAnsi"/>
      <w:spacing w:val="0"/>
      <w:w w:val="100"/>
      <w:sz w:val="22"/>
      <w:lang w:val="en-US"/>
    </w:rPr>
  </w:style>
  <w:style w:type="numbering" w:styleId="ArticleSection">
    <w:name w:val="Outline List 3"/>
    <w:basedOn w:val="NoList"/>
    <w:uiPriority w:val="99"/>
    <w:semiHidden/>
    <w:unhideWhenUsed/>
    <w:pPr>
      <w:numPr>
        <w:numId w:val="7"/>
      </w:numPr>
    </w:pPr>
  </w:style>
  <w:style w:type="numbering" w:styleId="1ai">
    <w:name w:val="Outline List 1"/>
    <w:basedOn w:val="NoList"/>
    <w:uiPriority w:val="99"/>
    <w:semiHidden/>
    <w:unhideWhenUsed/>
    <w:pPr>
      <w:numPr>
        <w:numId w:val="6"/>
      </w:numPr>
    </w:pPr>
  </w:style>
  <w:style w:type="numbering" w:styleId="111111">
    <w:name w:val="Outline List 2"/>
    <w:basedOn w:val="NoList"/>
    <w:uiPriority w:val="99"/>
    <w:semiHidden/>
    <w:unhideWhenUsed/>
    <w:pPr>
      <w:numPr>
        <w:numId w:val="5"/>
      </w:numPr>
    </w:pPr>
  </w:style>
  <w:style w:type="numbering" w:customStyle="1" w:styleId="Aucuneliste2">
    <w:name w:val="Aucune liste2"/>
    <w:next w:val="NoList"/>
    <w:uiPriority w:val="99"/>
    <w:semiHidden/>
    <w:unhideWhenUsed/>
    <w:rsid w:val="00EC3C86"/>
  </w:style>
  <w:style w:type="table" w:customStyle="1" w:styleId="Grilledutableau1">
    <w:name w:val="Grille du tableau1"/>
    <w:basedOn w:val="TableNormal"/>
    <w:next w:val="TableGrid"/>
    <w:uiPriority w:val="59"/>
    <w:rsid w:val="00EC3C86"/>
    <w:rPr>
      <w:rFonts w:eastAsia="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C3C86"/>
    <w:rPr>
      <w:rFonts w:ascii="Times New Roman" w:hAnsi="Times New Roman" w:cs="Times New Roman"/>
      <w:spacing w:val="4"/>
      <w:w w:val="103"/>
      <w:szCs w:val="22"/>
      <w:lang w:eastAsia="en-US"/>
    </w:rPr>
  </w:style>
  <w:style w:type="table" w:customStyle="1" w:styleId="Grilledutableau2">
    <w:name w:val="Grille du tableau2"/>
    <w:basedOn w:val="TableNormal"/>
    <w:next w:val="TableGrid"/>
    <w:uiPriority w:val="59"/>
    <w:rsid w:val="00EC3C86"/>
    <w:rPr>
      <w:rFonts w:eastAsia="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NoList"/>
    <w:uiPriority w:val="99"/>
    <w:semiHidden/>
    <w:unhideWhenUsed/>
    <w:rsid w:val="00EC3C86"/>
  </w:style>
  <w:style w:type="table" w:customStyle="1" w:styleId="Grilledutableau3">
    <w:name w:val="Grille du tableau3"/>
    <w:basedOn w:val="TableNormal"/>
    <w:next w:val="TableGrid"/>
    <w:uiPriority w:val="59"/>
    <w:rsid w:val="00EC3C86"/>
    <w:rPr>
      <w:rFonts w:eastAsia="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3C86"/>
    <w:rPr>
      <w:rFonts w:eastAsia="Calibri" w:cs="Arial"/>
      <w:sz w:val="22"/>
      <w:szCs w:val="22"/>
      <w:lang w:val="fr-FR" w:eastAsia="en-US"/>
    </w:rPr>
  </w:style>
  <w:style w:type="table" w:customStyle="1" w:styleId="Grilledutableau4">
    <w:name w:val="Grille du tableau4"/>
    <w:basedOn w:val="TableNormal"/>
    <w:next w:val="TableGrid"/>
    <w:uiPriority w:val="39"/>
    <w:rsid w:val="00EC3C86"/>
    <w:rPr>
      <w:rFonts w:eastAsia="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bic">
    <w:name w:val="arabic"/>
    <w:basedOn w:val="Normal"/>
    <w:rsid w:val="00EC3C86"/>
    <w:pPr>
      <w:suppressAutoHyphens w:val="0"/>
      <w:bidi/>
      <w:spacing w:before="100" w:beforeAutospacing="1" w:after="100" w:afterAutospacing="1" w:line="240" w:lineRule="auto"/>
      <w:ind w:firstLine="360"/>
      <w:jc w:val="both"/>
    </w:pPr>
    <w:rPr>
      <w:rFonts w:ascii="Calibri" w:hAnsi="Calibri" w:cs="Arabic Transparent"/>
      <w:spacing w:val="0"/>
      <w:w w:val="100"/>
      <w:sz w:val="27"/>
      <w:szCs w:val="27"/>
      <w:lang w:eastAsia="fr-FR"/>
    </w:rPr>
  </w:style>
  <w:style w:type="table" w:customStyle="1" w:styleId="Grilledutableau5">
    <w:name w:val="Grille du tableau5"/>
    <w:basedOn w:val="TableNormal"/>
    <w:next w:val="TableGrid"/>
    <w:uiPriority w:val="39"/>
    <w:rsid w:val="00EC3C86"/>
    <w:rPr>
      <w:rFonts w:eastAsia="Calibri" w:cs="Times New Roman"/>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EC3C86"/>
    <w:rPr>
      <w:rFonts w:eastAsia="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
    <w:autoRedefine/>
    <w:qFormat/>
    <w:rsid w:val="00EC3C86"/>
    <w:pPr>
      <w:tabs>
        <w:tab w:val="right" w:pos="9778"/>
      </w:tabs>
      <w:suppressAutoHyphens w:val="0"/>
      <w:bidi/>
      <w:spacing w:before="120" w:after="120" w:line="240" w:lineRule="auto"/>
      <w:ind w:left="281" w:right="426"/>
      <w:jc w:val="lowKashida"/>
    </w:pPr>
    <w:rPr>
      <w:b/>
      <w:spacing w:val="0"/>
      <w:w w:val="100"/>
      <w:sz w:val="32"/>
      <w:szCs w:val="32"/>
      <w:lang w:val="en-US" w:eastAsia="ar-SA"/>
    </w:rPr>
  </w:style>
  <w:style w:type="table" w:customStyle="1" w:styleId="Grilledutableau7">
    <w:name w:val="Grille du tableau7"/>
    <w:basedOn w:val="TableNormal"/>
    <w:next w:val="TableGrid"/>
    <w:uiPriority w:val="59"/>
    <w:rsid w:val="00EC3C86"/>
    <w:rPr>
      <w:rFonts w:eastAsia="Calibri" w:cs="Arial"/>
      <w:sz w:val="22"/>
      <w:szCs w:val="22"/>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8">
    <w:name w:val="Grille du tableau8"/>
    <w:basedOn w:val="TableNormal"/>
    <w:next w:val="TableGrid"/>
    <w:uiPriority w:val="39"/>
    <w:rsid w:val="00EC3C86"/>
    <w:rPr>
      <w:rFonts w:eastAsia="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Normal"/>
    <w:next w:val="TableGrid"/>
    <w:uiPriority w:val="39"/>
    <w:rsid w:val="00EC3C86"/>
    <w:rPr>
      <w:rFonts w:eastAsia="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Normal"/>
    <w:next w:val="TableGrid"/>
    <w:uiPriority w:val="39"/>
    <w:rsid w:val="00EC3C86"/>
    <w:rPr>
      <w:rFonts w:ascii="Franklin Gothic Book" w:eastAsia="Franklin Gothic Book" w:hAnsi="Franklin Gothic Book" w:cs="Tahoma"/>
      <w:sz w:val="21"/>
      <w:szCs w:val="21"/>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61">
    <w:name w:val="Tableau Grille 1 Clair - Accentuation 61"/>
    <w:basedOn w:val="TableNormal"/>
    <w:next w:val="Tablaconcuadrcula1clara-nfasis61"/>
    <w:uiPriority w:val="46"/>
    <w:rsid w:val="00EC3C86"/>
    <w:rPr>
      <w:rFonts w:eastAsia="Calibri" w:cs="Arial"/>
      <w:sz w:val="22"/>
      <w:szCs w:val="22"/>
      <w:lang w:val="en-GB"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leauGrille4-Accentuation61">
    <w:name w:val="Tableau Grille 4 - Accentuation 61"/>
    <w:basedOn w:val="TableNormal"/>
    <w:next w:val="Tablaconcuadrcula4-nfasis61"/>
    <w:uiPriority w:val="49"/>
    <w:rsid w:val="00EC3C86"/>
    <w:rPr>
      <w:rFonts w:eastAsia="Calibri" w:cs="Arial"/>
      <w:sz w:val="22"/>
      <w:szCs w:val="22"/>
      <w:lang w:val="en-GB"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concuadrcula1clara-nfasis61">
    <w:name w:val="Tabla con cuadrícula 1 clara - Énfasis 61"/>
    <w:basedOn w:val="TableNormal"/>
    <w:uiPriority w:val="46"/>
    <w:rsid w:val="00EC3C86"/>
    <w:rPr>
      <w:rFonts w:eastAsia="Calibri" w:cs="Arial"/>
      <w:lang w:val="en-GB" w:eastAsia="en-GB"/>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laconcuadrcula4-nfasis61">
    <w:name w:val="Tabla con cuadrícula 4 - Énfasis 61"/>
    <w:basedOn w:val="TableNormal"/>
    <w:uiPriority w:val="49"/>
    <w:rsid w:val="00EC3C86"/>
    <w:rPr>
      <w:rFonts w:eastAsia="Calibri" w:cs="Arial"/>
      <w:lang w:val="en-GB"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lledutableau11">
    <w:name w:val="Grille du tableau11"/>
    <w:basedOn w:val="TableNormal"/>
    <w:next w:val="TableGrid"/>
    <w:uiPriority w:val="39"/>
    <w:rsid w:val="00EC3C86"/>
    <w:rPr>
      <w:rFonts w:eastAsia="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6Couleur-Accentuation21">
    <w:name w:val="Tableau Grille 6 Couleur - Accentuation 21"/>
    <w:basedOn w:val="TableNormal"/>
    <w:next w:val="Tablaconcuadrcula6concolores-nfasis21"/>
    <w:uiPriority w:val="51"/>
    <w:rsid w:val="00EC3C86"/>
    <w:rPr>
      <w:rFonts w:eastAsia="Calibri" w:cs="Arial"/>
      <w:color w:val="C45911"/>
      <w:sz w:val="22"/>
      <w:szCs w:val="22"/>
      <w:lang w:val="en-GB"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concuadrcula6concolores-nfasis21">
    <w:name w:val="Tabla con cuadrícula 6 con colores - Énfasis 21"/>
    <w:basedOn w:val="TableNormal"/>
    <w:uiPriority w:val="51"/>
    <w:rsid w:val="00EC3C86"/>
    <w:rPr>
      <w:rFonts w:eastAsia="Calibri" w:cs="Arial"/>
      <w:color w:val="C45911"/>
      <w:lang w:val="en-GB"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MediumGrid1-Accent2">
    <w:name w:val="Medium Grid 1 Accent 2"/>
    <w:basedOn w:val="TableNormal"/>
    <w:uiPriority w:val="67"/>
    <w:rsid w:val="00EC3C86"/>
    <w:rPr>
      <w:rFonts w:eastAsia="Calibri" w:cs="Arial"/>
      <w:sz w:val="22"/>
      <w:szCs w:val="22"/>
      <w:lang w:val="en-GB"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lledutableau12">
    <w:name w:val="Grille du tableau12"/>
    <w:basedOn w:val="TableNormal"/>
    <w:next w:val="TableGrid"/>
    <w:uiPriority w:val="39"/>
    <w:rsid w:val="00EC3C86"/>
    <w:rPr>
      <w:rFonts w:eastAsia="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EC3C86"/>
    <w:pPr>
      <w:suppressAutoHyphens/>
      <w:spacing w:line="240" w:lineRule="atLeast"/>
    </w:pPr>
    <w:rPr>
      <w:rFonts w:ascii="Times New Roman" w:eastAsia="Calibri" w:hAnsi="Times New Roman" w:cs="Times New Roman"/>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0">
    <w:name w:val="Table Grid2"/>
    <w:basedOn w:val="TableNormal"/>
    <w:next w:val="TableGrid"/>
    <w:rsid w:val="00EC3C86"/>
    <w:pPr>
      <w:suppressAutoHyphens/>
      <w:spacing w:line="240" w:lineRule="atLeast"/>
    </w:pPr>
    <w:rPr>
      <w:rFonts w:ascii="Times New Roman" w:eastAsia="Calibri" w:hAnsi="Times New Roman" w:cs="Times New Roman"/>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t">
    <w:name w:val="st"/>
    <w:basedOn w:val="DefaultParagraphFont"/>
    <w:rsid w:val="00EC3C86"/>
  </w:style>
  <w:style w:type="character" w:styleId="PlaceholderText">
    <w:name w:val="Placeholder Text"/>
    <w:basedOn w:val="DefaultParagraphFont"/>
    <w:uiPriority w:val="99"/>
    <w:semiHidden/>
    <w:rsid w:val="00D13BA7"/>
    <w:rPr>
      <w:color w:val="808080"/>
    </w:rPr>
  </w:style>
  <w:style w:type="character" w:styleId="UnresolvedMention">
    <w:name w:val="Unresolved Mention"/>
    <w:basedOn w:val="DefaultParagraphFont"/>
    <w:uiPriority w:val="99"/>
    <w:semiHidden/>
    <w:unhideWhenUsed/>
    <w:rsid w:val="00F35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A/HRC/20/26/Add.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149F4-E2CA-4D03-8C6D-BA91FB10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26339</Words>
  <Characters>150138</Characters>
  <Application>Microsoft Office Word</Application>
  <DocSecurity>0</DocSecurity>
  <Lines>1251</Lines>
  <Paragraphs>352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Spanish Text Processing Unit</vt:lpstr>
      <vt:lpstr>Spanish Text Processing Unit</vt:lpstr>
    </vt:vector>
  </TitlesOfParts>
  <Company>United Nations</Company>
  <LinksUpToDate>false</LinksUpToDate>
  <CharactersWithSpaces>176125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Patricia Lopez</dc:creator>
  <cp:lastModifiedBy>Maria Cristina Arias Bal</cp:lastModifiedBy>
  <cp:revision>3</cp:revision>
  <cp:lastPrinted>2020-07-29T18:07:00Z</cp:lastPrinted>
  <dcterms:created xsi:type="dcterms:W3CDTF">2020-07-29T18:07:00Z</dcterms:created>
  <dcterms:modified xsi:type="dcterms:W3CDTF">2020-07-29T18:08:00Z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2002608S</vt:lpwstr>
  </property>
  <property fmtid="{D5CDD505-2E9C-101B-9397-08002B2CF9AE}" pid="3" name="ODSRefJobNo">
    <vt:lpwstr>2004357S</vt:lpwstr>
  </property>
  <property fmtid="{D5CDD505-2E9C-101B-9397-08002B2CF9AE}" pid="4" name="Symbol1">
    <vt:lpwstr>CEDAW/C/MAR/5-6</vt:lpwstr>
  </property>
  <property fmtid="{D5CDD505-2E9C-101B-9397-08002B2CF9AE}" pid="5" name="Symbol2">
    <vt:lpwstr/>
  </property>
  <property fmtid="{D5CDD505-2E9C-101B-9397-08002B2CF9AE}" pid="6" name="Category">
    <vt:lpwstr>Document</vt:lpwstr>
  </property>
  <property fmtid="{D5CDD505-2E9C-101B-9397-08002B2CF9AE}" pid="7" name="Title1">
    <vt:lpwstr>		Informes periódicos quinto y sexto combinados que Marruecos debía presentar en 2014 en virtud del artículo 18 de la Convención*_x000d_</vt:lpwstr>
  </property>
</Properties>
</file>