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Тридцать четвертая сессия</w:t>
      </w:r>
    </w:p>
    <w:p w:rsidR="00000000" w:rsidRDefault="00000000">
      <w:r>
        <w:t>16 января — 3 февраля 2006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бывшая югославская Республика Македония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Комитет рассматривал объединенный первоначальный, второй и третий периодический доклад бывшей югославской Республики Македония (CEDAW/C/MKD/1–3) на своих 713</w:t>
      </w:r>
      <w:r>
        <w:noBreakHyphen/>
        <w:t>м и 714</w:t>
      </w:r>
      <w:r>
        <w:noBreakHyphen/>
        <w:t>м заседаниях 25 января 2006 года (см. CEDAW/C/SR.713 и 714). Перечень тем и вопросов Комитета содержится в документе CEDAW/C/MKD/Q/1–3, а ответы бывшей югославской Республики Македония приводятся в документе CEDAW/C/MKD/Q/1–3/Add.1.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2.</w:t>
      </w:r>
      <w:r>
        <w:tab/>
        <w:t>Комитет приветствует безоговорочную ратификацию Конвенции госуда</w:t>
      </w:r>
      <w:r>
        <w:t>р</w:t>
      </w:r>
      <w:r>
        <w:t>ством-участником и выражает свою признательность государству-участнику за представленный им объединенный первоначальный, второй и третий период</w:t>
      </w:r>
      <w:r>
        <w:t>и</w:t>
      </w:r>
      <w:r>
        <w:t>ческий доклад, который был составлен с учетом руководящих принципов К</w:t>
      </w:r>
      <w:r>
        <w:t>о</w:t>
      </w:r>
      <w:r>
        <w:t>митета для подготовки докладов, но при этом выражает сожаление в связи с тем, что он был представлен с опозданием. Он также выражает свою призн</w:t>
      </w:r>
      <w:r>
        <w:t>а</w:t>
      </w:r>
      <w:r>
        <w:t>тельность государству-участнику за ответы на перечень тем и вопросов, сфо</w:t>
      </w:r>
      <w:r>
        <w:t>р</w:t>
      </w:r>
      <w:r>
        <w:t>мулированных предсессионной рабочей группой Комитета, а также за устное сообщение и ответы на вопросы, заданные Комитетом в устной форме.</w:t>
      </w:r>
    </w:p>
    <w:p w:rsidR="00000000" w:rsidRDefault="00000000">
      <w:pPr>
        <w:pStyle w:val="SingleTxt"/>
      </w:pPr>
      <w:r>
        <w:t>3.</w:t>
      </w:r>
      <w:r>
        <w:tab/>
        <w:t>Комитет выражает удовлетворение тем, что государство-участник напр</w:t>
      </w:r>
      <w:r>
        <w:t>а</w:t>
      </w:r>
      <w:r>
        <w:t>вило делегацию высокого уровня во главе с министром труда и социальной п</w:t>
      </w:r>
      <w:r>
        <w:t>о</w:t>
      </w:r>
      <w:r>
        <w:t>литики, в состав которой входили представители других министерств, отв</w:t>
      </w:r>
      <w:r>
        <w:t>е</w:t>
      </w:r>
      <w:r>
        <w:t>чающих за осуществление мер в сферах, охватываемых Конвенцией, а также один член парламента. Комитет удовлетворен тем, что между делегацией и членами Комитета состоялся открытый и конструктивный диалог.</w:t>
      </w:r>
    </w:p>
    <w:p w:rsidR="00000000" w:rsidRDefault="00000000">
      <w:pPr>
        <w:pStyle w:val="SingleTxt"/>
      </w:pPr>
      <w:r>
        <w:t>4.</w:t>
      </w:r>
      <w:r>
        <w:tab/>
        <w:t>Комитет приветствует тот факт, что в октябре 2003 года государство-участник ратифицировало Факультативный протокол.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000000" w:rsidRDefault="00000000">
      <w:pPr>
        <w:pStyle w:val="SingleTxt"/>
        <w:keepNext/>
        <w:keepLines/>
        <w:spacing w:after="0" w:line="120" w:lineRule="exact"/>
        <w:rPr>
          <w:sz w:val="10"/>
        </w:rPr>
      </w:pPr>
    </w:p>
    <w:p w:rsidR="00000000" w:rsidRDefault="00000000">
      <w:pPr>
        <w:pStyle w:val="SingleTxt"/>
        <w:keepNext/>
        <w:keepLines/>
      </w:pPr>
      <w:r>
        <w:t>5.</w:t>
      </w:r>
      <w:r>
        <w:tab/>
        <w:t>Комитет с удовлетворением отмечает то обстоятельство, что в 2002 и 2004 годах, соответственно, государство-участник внесло изменения в Закон о выборах членов парламента и Закон о выборах в местные органы власти, чтобы обеспечить по крайней мере 30</w:t>
      </w:r>
      <w:r>
        <w:noBreakHyphen/>
        <w:t>процентную квоту для мужчин и женщин в списке кандидатур, выдвигаемых на выборы в парламент, муниципальные с</w:t>
      </w:r>
      <w:r>
        <w:t>о</w:t>
      </w:r>
      <w:r>
        <w:t>веты или Совет города Скопье.</w:t>
      </w:r>
    </w:p>
    <w:p w:rsidR="00000000" w:rsidRDefault="00000000">
      <w:pPr>
        <w:pStyle w:val="SingleTxt"/>
      </w:pPr>
      <w:r>
        <w:t>6.</w:t>
      </w:r>
      <w:r>
        <w:tab/>
        <w:t>Комитет с признательностью отмечает, что государство-участник прист</w:t>
      </w:r>
      <w:r>
        <w:t>у</w:t>
      </w:r>
      <w:r>
        <w:t>пило к процессу пересмотра национального законодательства, например Закона о труде, Уголовного кодекса и Кодекса законов о браке и семье.</w:t>
      </w:r>
    </w:p>
    <w:p w:rsidR="00000000" w:rsidRDefault="00000000">
      <w:pPr>
        <w:pStyle w:val="SingleTxt"/>
      </w:pPr>
      <w:r>
        <w:t>7.</w:t>
      </w:r>
      <w:r>
        <w:tab/>
        <w:t>Комитет приветствует создание на местном уровне ряда комитетов по в</w:t>
      </w:r>
      <w:r>
        <w:t>о</w:t>
      </w:r>
      <w:r>
        <w:t>просам равенства мужчин и женщин в целях обеспечения учета гендерных а</w:t>
      </w:r>
      <w:r>
        <w:t>с</w:t>
      </w:r>
      <w:r>
        <w:t>пектов в основных направлениях проводимой на местах политики.</w:t>
      </w:r>
    </w:p>
    <w:p w:rsidR="00000000" w:rsidRDefault="00000000">
      <w:pPr>
        <w:pStyle w:val="SingleTxt"/>
      </w:pPr>
      <w:r>
        <w:t>8.</w:t>
      </w:r>
      <w:r>
        <w:tab/>
        <w:t>Комитет также приветствует достигнутые успехи в борьбе с торговлей людьми, например создание в 2001 году Национальной комиссии по борьбе с торговлей людьми и незаконной миграцией; включение в 2002 году в Уголо</w:t>
      </w:r>
      <w:r>
        <w:t>в</w:t>
      </w:r>
      <w:r>
        <w:t>ный кодекс положений о торговле людьми, квалифицируемой как преступл</w:t>
      </w:r>
      <w:r>
        <w:t>е</w:t>
      </w:r>
      <w:r>
        <w:t>ние; принятие в 2005 году Закона о защите свидетелей, а также разработку Н</w:t>
      </w:r>
      <w:r>
        <w:t>а</w:t>
      </w:r>
      <w:r>
        <w:t>циональной программы по борьбе с торговлей людьми и незаконной миграцией на 2006–2008 годы.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9.</w:t>
      </w:r>
      <w:r>
        <w:tab/>
        <w:t>Комитет выражает обеспокоенность в связи с тем, что в законодательстве государства-участника не содержится определение дискриминации в отнош</w:t>
      </w:r>
      <w:r>
        <w:t>е</w:t>
      </w:r>
      <w:r>
        <w:t>нии женщин, как это предусмотрено статьей 1 Конвенции, и не предусматрив</w:t>
      </w:r>
      <w:r>
        <w:t>а</w:t>
      </w:r>
      <w:r>
        <w:t>ется принцип равенства мужчин и женщин в соответствии со статьей 2(a) Ко</w:t>
      </w:r>
      <w:r>
        <w:t>н</w:t>
      </w:r>
      <w:r>
        <w:t>венции.</w:t>
      </w:r>
    </w:p>
    <w:p w:rsidR="00000000" w:rsidRDefault="00000000">
      <w:pPr>
        <w:pStyle w:val="SingleTxt"/>
      </w:pPr>
      <w:r>
        <w:t>10.</w:t>
      </w:r>
      <w:r>
        <w:tab/>
      </w:r>
      <w:r>
        <w:rPr>
          <w:b/>
        </w:rPr>
        <w:t>Комитет призывает государство-участника включить в его Констит</w:t>
      </w:r>
      <w:r>
        <w:rPr>
          <w:b/>
        </w:rPr>
        <w:t>у</w:t>
      </w:r>
      <w:r>
        <w:rPr>
          <w:b/>
        </w:rPr>
        <w:t>цию и другие соответствующие национальные законы, такие, как Закон о равенстве возможностей мужчин и женщин, определение дискриминации, которое бы в соответствии со статьей 1 Конвенции включало прямую и косвенную дискриминацию, а также положения о равноправии женщин и мужчин в соответствии со статьей 2(a) Конвенции.</w:t>
      </w:r>
    </w:p>
    <w:p w:rsidR="00000000" w:rsidRDefault="00000000">
      <w:pPr>
        <w:pStyle w:val="SingleTxt"/>
      </w:pPr>
      <w:r>
        <w:t>11.</w:t>
      </w:r>
      <w:r>
        <w:tab/>
        <w:t>Отмечая с удовлетворением, что в судах бывшей югославской Республики Македония допускается ссылка на положения Конвенции, Комитет обеспокоен тем, что в судах не возбуждались иски, связанные с дискриминацией по пр</w:t>
      </w:r>
      <w:r>
        <w:t>и</w:t>
      </w:r>
      <w:r>
        <w:t>знаку пола, которые бы основывались на положениях Конвенции.</w:t>
      </w:r>
    </w:p>
    <w:p w:rsidR="00000000" w:rsidRDefault="00000000">
      <w:pPr>
        <w:pStyle w:val="SingleTxt"/>
      </w:pPr>
      <w:r>
        <w:t>12.</w:t>
      </w:r>
      <w:r>
        <w:tab/>
      </w:r>
      <w:r>
        <w:rPr>
          <w:b/>
        </w:rPr>
        <w:t>Комитет призывает государство-участника расширять масштабы деятельности по ознакомлению юристов и судей с целями и принципами Конвенции и процедурами представления и рассмотрения сообщений в с</w:t>
      </w:r>
      <w:r>
        <w:rPr>
          <w:b/>
        </w:rPr>
        <w:t>о</w:t>
      </w:r>
      <w:r>
        <w:rPr>
          <w:b/>
        </w:rPr>
        <w:t>ответствии с Факультативным протоколом к Конвенции. Он также просит государство-участник проводить информационно-разъяснительную работу среди женщин для их ознакомления с провозглашенными в Конвенции правами и содействия расширению возможностей женщин добиваться с</w:t>
      </w:r>
      <w:r>
        <w:rPr>
          <w:b/>
        </w:rPr>
        <w:t>о</w:t>
      </w:r>
      <w:r>
        <w:rPr>
          <w:b/>
        </w:rPr>
        <w:t>блюдения их прав в рамках сущес</w:t>
      </w:r>
      <w:r>
        <w:rPr>
          <w:b/>
        </w:rPr>
        <w:t>т</w:t>
      </w:r>
      <w:r>
        <w:rPr>
          <w:b/>
        </w:rPr>
        <w:t>вующей институциональной системы.</w:t>
      </w:r>
    </w:p>
    <w:p w:rsidR="00000000" w:rsidRDefault="00000000">
      <w:pPr>
        <w:pStyle w:val="SingleTxt"/>
      </w:pPr>
      <w:r>
        <w:t>13.</w:t>
      </w:r>
      <w:r>
        <w:tab/>
        <w:t>Комитет приветствует проведенную государством-участником работу по принятию Закона о равенстве возможностей мужчин и женщин, а также зая</w:t>
      </w:r>
      <w:r>
        <w:t>в</w:t>
      </w:r>
      <w:r>
        <w:t>ление делегации о том, что вопрос о дискриминации по признаку пола будет рассматриваться в комплексе, однако он по</w:t>
      </w:r>
      <w:r>
        <w:noBreakHyphen/>
        <w:t>прежнему обеспокоен тем, что в этом Законе, как представляется, основное внимание сосредоточено на вопр</w:t>
      </w:r>
      <w:r>
        <w:t>о</w:t>
      </w:r>
      <w:r>
        <w:t>сах, касающихся дискриминации по признаку пола в области обеспечения з</w:t>
      </w:r>
      <w:r>
        <w:t>а</w:t>
      </w:r>
      <w:r>
        <w:t>нятости и трудовой деятельности.</w:t>
      </w:r>
    </w:p>
    <w:p w:rsidR="00000000" w:rsidRDefault="00000000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обеспечить, чтобы в рамках Закона о равенстве возможностей мужчин и женщин вопрос о ди</w:t>
      </w:r>
      <w:r>
        <w:rPr>
          <w:b/>
        </w:rPr>
        <w:t>с</w:t>
      </w:r>
      <w:r>
        <w:rPr>
          <w:b/>
        </w:rPr>
        <w:t>криминации по признаку пола рассматривался комплексно в политич</w:t>
      </w:r>
      <w:r>
        <w:rPr>
          <w:b/>
        </w:rPr>
        <w:t>е</w:t>
      </w:r>
      <w:r>
        <w:rPr>
          <w:b/>
        </w:rPr>
        <w:t>ской, экономической, социальной, культурной, гражданской и других о</w:t>
      </w:r>
      <w:r>
        <w:rPr>
          <w:b/>
        </w:rPr>
        <w:t>б</w:t>
      </w:r>
      <w:r>
        <w:rPr>
          <w:b/>
        </w:rPr>
        <w:t>ластях, как это предусмотрено Конвенцией. Он настоятельно призывает государство-участника в кратчайшие сроки принять такой закон и обе</w:t>
      </w:r>
      <w:r>
        <w:rPr>
          <w:b/>
        </w:rPr>
        <w:t>с</w:t>
      </w:r>
      <w:r>
        <w:rPr>
          <w:b/>
        </w:rPr>
        <w:t>печить его э</w:t>
      </w:r>
      <w:r>
        <w:rPr>
          <w:b/>
        </w:rPr>
        <w:t>ф</w:t>
      </w:r>
      <w:r>
        <w:rPr>
          <w:b/>
        </w:rPr>
        <w:t>фективное осуществление.</w:t>
      </w:r>
    </w:p>
    <w:p w:rsidR="00000000" w:rsidRDefault="00000000">
      <w:pPr>
        <w:pStyle w:val="SingleTxt"/>
      </w:pPr>
      <w:r>
        <w:t>15.</w:t>
      </w:r>
      <w:r>
        <w:tab/>
        <w:t>Отмечая создание группы по поощрению равенства мужчин и женщин в министерстве труда и социальной политики, а также создание ряда местных комитетов по вопросам равенства мужчин и женщин, Комитет выражает обе</w:t>
      </w:r>
      <w:r>
        <w:t>с</w:t>
      </w:r>
      <w:r>
        <w:t>покоенность тем, что, как представляется, национальный механизм улучшения положения женщин не играет достаточно заметную роль, не обладает соотве</w:t>
      </w:r>
      <w:r>
        <w:t>т</w:t>
      </w:r>
      <w:r>
        <w:t>ствующими директивными полномочиями или финансовыми и кадровыми р</w:t>
      </w:r>
      <w:r>
        <w:t>е</w:t>
      </w:r>
      <w:r>
        <w:t>сурсами для эффективного содействия улучшению положения женщин и обе</w:t>
      </w:r>
      <w:r>
        <w:t>с</w:t>
      </w:r>
      <w:r>
        <w:t>печения равенства мужчин и женщин, а также тем, что комитеты по вопросам равенства мужчин и женщин созданы не во всех муниципалитетах.</w:t>
      </w:r>
    </w:p>
    <w:p w:rsidR="00000000" w:rsidRDefault="00000000">
      <w:pPr>
        <w:pStyle w:val="SingleTxt"/>
        <w:rPr>
          <w:b/>
        </w:rPr>
      </w:pPr>
      <w:r>
        <w:t>16.</w:t>
      </w:r>
      <w:r>
        <w:tab/>
      </w:r>
      <w:r>
        <w:rPr>
          <w:b/>
        </w:rPr>
        <w:t>Комитет предлагает государству-участнику обеспечить, чтобы наци</w:t>
      </w:r>
      <w:r>
        <w:rPr>
          <w:b/>
        </w:rPr>
        <w:t>о</w:t>
      </w:r>
      <w:r>
        <w:rPr>
          <w:b/>
        </w:rPr>
        <w:t>нальный механизм по улучшению положения женщин играл заметную роль и имел достаточные директивные полномочия, финансовые и кадр</w:t>
      </w:r>
      <w:r>
        <w:rPr>
          <w:b/>
        </w:rPr>
        <w:t>о</w:t>
      </w:r>
      <w:r>
        <w:rPr>
          <w:b/>
        </w:rPr>
        <w:t>вые ресурсы для обеспечения эффективного содействия улучшению пол</w:t>
      </w:r>
      <w:r>
        <w:rPr>
          <w:b/>
        </w:rPr>
        <w:t>о</w:t>
      </w:r>
      <w:r>
        <w:rPr>
          <w:b/>
        </w:rPr>
        <w:t>жения женщин и ускорения процесса создания местных комитетов по в</w:t>
      </w:r>
      <w:r>
        <w:rPr>
          <w:b/>
        </w:rPr>
        <w:t>о</w:t>
      </w:r>
      <w:r>
        <w:rPr>
          <w:b/>
        </w:rPr>
        <w:t>просам равенства мужчин и женщин.</w:t>
      </w:r>
    </w:p>
    <w:p w:rsidR="00000000" w:rsidRDefault="00000000">
      <w:pPr>
        <w:pStyle w:val="SingleTxt"/>
      </w:pPr>
      <w:r>
        <w:t>17.</w:t>
      </w:r>
      <w:r>
        <w:tab/>
        <w:t>Комитет выражает обеспокоенность тем, что временные специальные м</w:t>
      </w:r>
      <w:r>
        <w:t>е</w:t>
      </w:r>
      <w:r>
        <w:t>ры не предусмотрены в законодательстве и не реализуются государством-участником в рамках политики по ускорению достижения фактического раве</w:t>
      </w:r>
      <w:r>
        <w:t>н</w:t>
      </w:r>
      <w:r>
        <w:t>ства между мужчинами и женщинами во всех сферах Конвенции.</w:t>
      </w:r>
    </w:p>
    <w:p w:rsidR="00000000" w:rsidRDefault="00000000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призывает государство-участника эффективно осуществлять временные специальные меры в соответствии с пунктом 1 статьи 4 Ко</w:t>
      </w:r>
      <w:r>
        <w:rPr>
          <w:b/>
        </w:rPr>
        <w:t>н</w:t>
      </w:r>
      <w:r>
        <w:rPr>
          <w:b/>
        </w:rPr>
        <w:t>венции и общей рекомендацией Комитета № 25 в целях ускорения проце</w:t>
      </w:r>
      <w:r>
        <w:rPr>
          <w:b/>
        </w:rPr>
        <w:t>с</w:t>
      </w:r>
      <w:r>
        <w:rPr>
          <w:b/>
        </w:rPr>
        <w:t>са обеспечения фактического равенства мужчин и женщин во всех обла</w:t>
      </w:r>
      <w:r>
        <w:rPr>
          <w:b/>
        </w:rPr>
        <w:t>с</w:t>
      </w:r>
      <w:r>
        <w:rPr>
          <w:b/>
        </w:rPr>
        <w:t>тях. Он также рекомендует государству-участнику включить в Закон о р</w:t>
      </w:r>
      <w:r>
        <w:rPr>
          <w:b/>
        </w:rPr>
        <w:t>а</w:t>
      </w:r>
      <w:r>
        <w:rPr>
          <w:b/>
        </w:rPr>
        <w:t>венстве возможностей мужчин и женщин положение о временных спец</w:t>
      </w:r>
      <w:r>
        <w:rPr>
          <w:b/>
        </w:rPr>
        <w:t>и</w:t>
      </w:r>
      <w:r>
        <w:rPr>
          <w:b/>
        </w:rPr>
        <w:t>альных мерах, в частности в отношении участия женщин в процессе пр</w:t>
      </w:r>
      <w:r>
        <w:rPr>
          <w:b/>
        </w:rPr>
        <w:t>и</w:t>
      </w:r>
      <w:r>
        <w:rPr>
          <w:b/>
        </w:rPr>
        <w:t>нятия решений и доступа к экономическим возможностям.</w:t>
      </w:r>
    </w:p>
    <w:p w:rsidR="00000000" w:rsidRDefault="00000000">
      <w:pPr>
        <w:pStyle w:val="SingleTxt"/>
      </w:pPr>
      <w:r>
        <w:t>19.</w:t>
      </w:r>
      <w:r>
        <w:tab/>
        <w:t>Комитет обеспокоен сохранением патриархальных взглядов и глубоко укоренившихся стереотипов в отношении роли и функций женщин и мужчин в семье и обществе. Эти стереотипы представляют собой существенное препя</w:t>
      </w:r>
      <w:r>
        <w:t>т</w:t>
      </w:r>
      <w:r>
        <w:t>ствие на пути осуществления Конвенции и являются причиной неблагоприя</w:t>
      </w:r>
      <w:r>
        <w:t>т</w:t>
      </w:r>
      <w:r>
        <w:t>ного положения женщин в некоторых областях, в том числе на рынке труда, а также в политической и общественной жизни. Комитет также обеспокоен тем, что в средствах массовой информации по</w:t>
      </w:r>
      <w:r>
        <w:noBreakHyphen/>
        <w:t>прежнему бытуют традиционные стереотипные представления о роли женщин.</w:t>
      </w:r>
    </w:p>
    <w:p w:rsidR="00000000" w:rsidRDefault="00000000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призывает государство-участника осуществить, в частности в сельских районах, комплексные меры, направленные на то, чтобы изм</w:t>
      </w:r>
      <w:r>
        <w:rPr>
          <w:b/>
        </w:rPr>
        <w:t>е</w:t>
      </w:r>
      <w:r>
        <w:rPr>
          <w:b/>
        </w:rPr>
        <w:t>нить широко распространенные стереотипные представления о роли му</w:t>
      </w:r>
      <w:r>
        <w:rPr>
          <w:b/>
        </w:rPr>
        <w:t>ж</w:t>
      </w:r>
      <w:r>
        <w:rPr>
          <w:b/>
        </w:rPr>
        <w:t>чин и женщин. Такие меры должны включать информационные и просв</w:t>
      </w:r>
      <w:r>
        <w:rPr>
          <w:b/>
        </w:rPr>
        <w:t>е</w:t>
      </w:r>
      <w:r>
        <w:rPr>
          <w:b/>
        </w:rPr>
        <w:t>тительские кампании, ориентированные на женщин и мужчин, а также на мальчиков и девочек, и призваны содействовать устранению стереоти</w:t>
      </w:r>
      <w:r>
        <w:rPr>
          <w:b/>
        </w:rPr>
        <w:t>п</w:t>
      </w:r>
      <w:r>
        <w:rPr>
          <w:b/>
        </w:rPr>
        <w:t>ных представлений о традиционной роли женщины в семье и в обществе в соответствии с положениями статей 2(f) и 5(a) Конвенции. Комитет также рекомендует государству-участнику побуждать средства массовой инфо</w:t>
      </w:r>
      <w:r>
        <w:rPr>
          <w:b/>
        </w:rPr>
        <w:t>р</w:t>
      </w:r>
      <w:r>
        <w:rPr>
          <w:b/>
        </w:rPr>
        <w:t>мации к пропаганде нестереотипного и позитивного образа женщины и важного значения равенства между мужчинами и женщинами для общес</w:t>
      </w:r>
      <w:r>
        <w:rPr>
          <w:b/>
        </w:rPr>
        <w:t>т</w:t>
      </w:r>
      <w:r>
        <w:rPr>
          <w:b/>
        </w:rPr>
        <w:t>ва в целом, в том числе посредством принятия дополнительных мер, н</w:t>
      </w:r>
      <w:r>
        <w:rPr>
          <w:b/>
        </w:rPr>
        <w:t>а</w:t>
      </w:r>
      <w:r>
        <w:rPr>
          <w:b/>
        </w:rPr>
        <w:t>правленных на повышение степени информированности работников средств массовой информации в вопросах, касающихся равенства мужчин и женщин.</w:t>
      </w:r>
    </w:p>
    <w:p w:rsidR="00000000" w:rsidRDefault="00000000">
      <w:pPr>
        <w:pStyle w:val="SingleTxt"/>
      </w:pPr>
      <w:r>
        <w:t>21.</w:t>
      </w:r>
      <w:r>
        <w:tab/>
        <w:t>Приветствуя усилия, предпринимаемые государством-участником в целях борьбы с торговлей людьми, Комитет по</w:t>
      </w:r>
      <w:r>
        <w:noBreakHyphen/>
        <w:t>прежнему обеспокоен тем, что в стр</w:t>
      </w:r>
      <w:r>
        <w:t>а</w:t>
      </w:r>
      <w:r>
        <w:t>не продолжается торговля женщинами и девушками и эксплуатация простит</w:t>
      </w:r>
      <w:r>
        <w:t>у</w:t>
      </w:r>
      <w:r>
        <w:t>ции, а также отсутствием мер, направленных на реабилитацию женщин, кот</w:t>
      </w:r>
      <w:r>
        <w:t>о</w:t>
      </w:r>
      <w:r>
        <w:t>рые стали жертвами такой торговли.</w:t>
      </w:r>
    </w:p>
    <w:p w:rsidR="00000000" w:rsidRDefault="00000000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просит государство-участника принять меры для эффекти</w:t>
      </w:r>
      <w:r>
        <w:rPr>
          <w:b/>
        </w:rPr>
        <w:t>в</w:t>
      </w:r>
      <w:r>
        <w:rPr>
          <w:b/>
        </w:rPr>
        <w:t>ного осуществления Национальной программы по борьбе с торговлей людьми и незаконной миграцией на период 2006–2008 годов. Он призывает государство-участника обеспечить должное соблюдение законов, каса</w:t>
      </w:r>
      <w:r>
        <w:rPr>
          <w:b/>
        </w:rPr>
        <w:t>ю</w:t>
      </w:r>
      <w:r>
        <w:rPr>
          <w:b/>
        </w:rPr>
        <w:t>щихся торговли людьми, в частности посредством действенного привлеч</w:t>
      </w:r>
      <w:r>
        <w:rPr>
          <w:b/>
        </w:rPr>
        <w:t>е</w:t>
      </w:r>
      <w:r>
        <w:rPr>
          <w:b/>
        </w:rPr>
        <w:t>ния к ответственности и наказания виновных. Он также рекомендует г</w:t>
      </w:r>
      <w:r>
        <w:rPr>
          <w:b/>
        </w:rPr>
        <w:t>о</w:t>
      </w:r>
      <w:r>
        <w:rPr>
          <w:b/>
        </w:rPr>
        <w:t>сударству-участнику активизировать предпринимаемые им усилия по пресечению торговли людьми и оказывать помощь и поддержку женщ</w:t>
      </w:r>
      <w:r>
        <w:rPr>
          <w:b/>
        </w:rPr>
        <w:t>и</w:t>
      </w:r>
      <w:r>
        <w:rPr>
          <w:b/>
        </w:rPr>
        <w:t>нам, которые стали жертвами такой торговли. Комитет также призывает государство-участника принять все необходимые меры по борьбе с эк</w:t>
      </w:r>
      <w:r>
        <w:rPr>
          <w:b/>
        </w:rPr>
        <w:t>с</w:t>
      </w:r>
      <w:r>
        <w:rPr>
          <w:b/>
        </w:rPr>
        <w:t>плуатацией проституции в стране.</w:t>
      </w:r>
    </w:p>
    <w:p w:rsidR="00000000" w:rsidRDefault="00000000">
      <w:pPr>
        <w:pStyle w:val="SingleTxt"/>
      </w:pPr>
      <w:r>
        <w:t>23.</w:t>
      </w:r>
      <w:r>
        <w:tab/>
        <w:t>Приветствуя законодательные меры, принимаемые в стране в целях бор</w:t>
      </w:r>
      <w:r>
        <w:t>ь</w:t>
      </w:r>
      <w:r>
        <w:t>бы с насилием в отношении женщин, включая принятие в 2004 году поправки к Закону о семье, который квалифицирует насилие в семье в качестве отдельного преступления в соответствии с Уголовным кодексом, Комитет по</w:t>
      </w:r>
      <w:r>
        <w:noBreakHyphen/>
        <w:t>прежнему обеспокоен большим числом случаев проявления насилия в отношении же</w:t>
      </w:r>
      <w:r>
        <w:t>н</w:t>
      </w:r>
      <w:r>
        <w:t>щин, включая насилие в семье.</w:t>
      </w:r>
    </w:p>
    <w:p w:rsidR="00000000" w:rsidRDefault="00000000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В соответствии с его общей рекомендацией № 19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государство-участника в первоочередном порядке пр</w:t>
      </w:r>
      <w:r>
        <w:rPr>
          <w:b/>
        </w:rPr>
        <w:t>и</w:t>
      </w:r>
      <w:r>
        <w:rPr>
          <w:b/>
        </w:rPr>
        <w:t>нять комплексные меры по борьбе со всеми формами насилия в отнош</w:t>
      </w:r>
      <w:r>
        <w:rPr>
          <w:b/>
        </w:rPr>
        <w:t>е</w:t>
      </w:r>
      <w:r>
        <w:rPr>
          <w:b/>
        </w:rPr>
        <w:t>нии женщин, включая насилие в семье, признавая, что такое насилие я</w:t>
      </w:r>
      <w:r>
        <w:rPr>
          <w:b/>
        </w:rPr>
        <w:t>в</w:t>
      </w:r>
      <w:r>
        <w:rPr>
          <w:b/>
        </w:rPr>
        <w:t>ляется одной из форм дискриминации и, согласно Конвенции, представл</w:t>
      </w:r>
      <w:r>
        <w:rPr>
          <w:b/>
        </w:rPr>
        <w:t>я</w:t>
      </w:r>
      <w:r>
        <w:rPr>
          <w:b/>
        </w:rPr>
        <w:t>ет собой нарушение прав человека женщин. Комитет призывает госуда</w:t>
      </w:r>
      <w:r>
        <w:rPr>
          <w:b/>
        </w:rPr>
        <w:t>р</w:t>
      </w:r>
      <w:r>
        <w:rPr>
          <w:b/>
        </w:rPr>
        <w:t>ство-участника к дальнейшей разработке и эффективному осуществлению законодательства, касающегося насилия в отношении женщин, с тем чт</w:t>
      </w:r>
      <w:r>
        <w:rPr>
          <w:b/>
        </w:rPr>
        <w:t>о</w:t>
      </w:r>
      <w:r>
        <w:rPr>
          <w:b/>
        </w:rPr>
        <w:t>бы привлекать виновных к ответственности и наказывать их, а также для обеспечения защиты и оказания помощи пострадавшим от такого нас</w:t>
      </w:r>
      <w:r>
        <w:rPr>
          <w:b/>
        </w:rPr>
        <w:t>и</w:t>
      </w:r>
      <w:r>
        <w:rPr>
          <w:b/>
        </w:rPr>
        <w:t>лия. Комитет также призывает государство-участника предоставлять ж</w:t>
      </w:r>
      <w:r>
        <w:rPr>
          <w:b/>
        </w:rPr>
        <w:t>и</w:t>
      </w:r>
      <w:r>
        <w:rPr>
          <w:b/>
        </w:rPr>
        <w:t>лье для женщин, пострадавших от насилия. Комитет рекомендует госуда</w:t>
      </w:r>
      <w:r>
        <w:rPr>
          <w:b/>
        </w:rPr>
        <w:t>р</w:t>
      </w:r>
      <w:r>
        <w:rPr>
          <w:b/>
        </w:rPr>
        <w:t>ству-участнику принять меры по просвещению и повышению степени и</w:t>
      </w:r>
      <w:r>
        <w:rPr>
          <w:b/>
        </w:rPr>
        <w:t>н</w:t>
      </w:r>
      <w:r>
        <w:rPr>
          <w:b/>
        </w:rPr>
        <w:t>формированности общественности, в рамках которых подчеркивается н</w:t>
      </w:r>
      <w:r>
        <w:rPr>
          <w:b/>
        </w:rPr>
        <w:t>е</w:t>
      </w:r>
      <w:r>
        <w:rPr>
          <w:b/>
        </w:rPr>
        <w:t>допустимость всех форм насилия в отношении женщин и которые должны быть ориентированы на должностных лиц из правоохранительных орг</w:t>
      </w:r>
      <w:r>
        <w:rPr>
          <w:b/>
        </w:rPr>
        <w:t>а</w:t>
      </w:r>
      <w:r>
        <w:rPr>
          <w:b/>
        </w:rPr>
        <w:t>нов, сотрудников судебных органов, работников медицинских учреждений, социальных работников, руководителей общин и на общественность в ц</w:t>
      </w:r>
      <w:r>
        <w:rPr>
          <w:b/>
        </w:rPr>
        <w:t>е</w:t>
      </w:r>
      <w:r>
        <w:rPr>
          <w:b/>
        </w:rPr>
        <w:t>лом.</w:t>
      </w:r>
    </w:p>
    <w:p w:rsidR="00000000" w:rsidRDefault="00000000">
      <w:pPr>
        <w:pStyle w:val="SingleTxt"/>
      </w:pPr>
      <w:r>
        <w:t>25.</w:t>
      </w:r>
      <w:r>
        <w:tab/>
        <w:t>С удовлетворением отмечая внесение в Закон о выборах членов парл</w:t>
      </w:r>
      <w:r>
        <w:t>а</w:t>
      </w:r>
      <w:r>
        <w:t>мента и Закон о выборах в местные органы власти поправки о 30</w:t>
      </w:r>
      <w:r>
        <w:noBreakHyphen/>
        <w:t>процентной квоте для мужчин и женщин, Комитет с обеспокоенностью отмечает, что эта поправка не привела к желаемым результатам, поскольку женщины по</w:t>
      </w:r>
      <w:r>
        <w:noBreakHyphen/>
        <w:t>прежнему недопредставлены в выборных органах. Комитет обеспокоен и недостаточной представленностью женщин в назначаемых органах, а также на междунаро</w:t>
      </w:r>
      <w:r>
        <w:t>д</w:t>
      </w:r>
      <w:r>
        <w:t>ном уровне.</w:t>
      </w:r>
    </w:p>
    <w:p w:rsidR="00000000" w:rsidRDefault="00000000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рекомендует государству-участнику провести информацио</w:t>
      </w:r>
      <w:r>
        <w:rPr>
          <w:b/>
        </w:rPr>
        <w:t>н</w:t>
      </w:r>
      <w:r>
        <w:rPr>
          <w:b/>
        </w:rPr>
        <w:t>ные кампании, ориентированные на мужчин и женщин, в ходе которых следует подчеркивать важное значение участия женщин в политической и общественной жизни и в процессе принятия решений, при этом государс</w:t>
      </w:r>
      <w:r>
        <w:rPr>
          <w:b/>
        </w:rPr>
        <w:t>т</w:t>
      </w:r>
      <w:r>
        <w:rPr>
          <w:b/>
        </w:rPr>
        <w:t>ву-участнику рекомендуется также создавать условия, способствующие такому участию женщин. Комитет также рекомендует принять меры по заполнению 30</w:t>
      </w:r>
      <w:r>
        <w:rPr>
          <w:b/>
        </w:rPr>
        <w:noBreakHyphen/>
        <w:t>процентной квоты, установленной в соответствии с Зак</w:t>
      </w:r>
      <w:r>
        <w:rPr>
          <w:b/>
        </w:rPr>
        <w:t>о</w:t>
      </w:r>
      <w:r>
        <w:rPr>
          <w:b/>
        </w:rPr>
        <w:t>ном о выборах членов парламента и Законом о выборах в местные органы власти. Комитет призывает государство-участника активизировать пре</w:t>
      </w:r>
      <w:r>
        <w:rPr>
          <w:b/>
        </w:rPr>
        <w:t>д</w:t>
      </w:r>
      <w:r>
        <w:rPr>
          <w:b/>
        </w:rPr>
        <w:t>принимаемые им усилия по повышению степени представленности же</w:t>
      </w:r>
      <w:r>
        <w:rPr>
          <w:b/>
        </w:rPr>
        <w:t>н</w:t>
      </w:r>
      <w:r>
        <w:rPr>
          <w:b/>
        </w:rPr>
        <w:t>щин в выборных и назначаемых органах, а также на международном уровне.</w:t>
      </w:r>
    </w:p>
    <w:p w:rsidR="00000000" w:rsidRDefault="00000000">
      <w:pPr>
        <w:pStyle w:val="SingleTxt"/>
      </w:pPr>
      <w:r>
        <w:t>27.</w:t>
      </w:r>
      <w:r>
        <w:tab/>
        <w:t>Комитет обеспокоен тем, что женщины из сельских районов, а также женщины, принадлежащие к этническим меньшинствам, в частности цыганки и албанки, по</w:t>
      </w:r>
      <w:r>
        <w:noBreakHyphen/>
        <w:t>прежнему находятся в уязвимом положении и подвергаются ма</w:t>
      </w:r>
      <w:r>
        <w:t>р</w:t>
      </w:r>
      <w:r>
        <w:t>гинализации, в частности в том, что касается доступа к образованию и здрав</w:t>
      </w:r>
      <w:r>
        <w:t>о</w:t>
      </w:r>
      <w:r>
        <w:t>охранению, а также трудоустройства и участия в политической и обществе</w:t>
      </w:r>
      <w:r>
        <w:t>н</w:t>
      </w:r>
      <w:r>
        <w:t>ной жизни. Комитет особо обеспокоен тем, что многие девочки из числа цыган и девочек, проживающих в сельских районах, бросают школу.</w:t>
      </w:r>
    </w:p>
    <w:p w:rsidR="00000000" w:rsidRDefault="00000000">
      <w:pPr>
        <w:pStyle w:val="SingleTxt"/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государство-участника принять действенные меры по ликвидации дискриминации в отношении сельских женщин, а также женщин, принадлежащих к этническим меньшинствам, в частности цыганок и албанок, использовать все имеющиеся средства для расширения их возможностей в плане осуществления их прав челов</w:t>
      </w:r>
      <w:r>
        <w:rPr>
          <w:b/>
        </w:rPr>
        <w:t>е</w:t>
      </w:r>
      <w:r>
        <w:rPr>
          <w:b/>
        </w:rPr>
        <w:t>ка, в том числе посредством принятия временных специальных мер в с</w:t>
      </w:r>
      <w:r>
        <w:rPr>
          <w:b/>
        </w:rPr>
        <w:t>о</w:t>
      </w:r>
      <w:r>
        <w:rPr>
          <w:b/>
        </w:rPr>
        <w:t>ответствии с пунктом 1 статьи 4 Конвенции, а также в соответствии с о</w:t>
      </w:r>
      <w:r>
        <w:rPr>
          <w:b/>
        </w:rPr>
        <w:t>б</w:t>
      </w:r>
      <w:r>
        <w:rPr>
          <w:b/>
        </w:rPr>
        <w:t>щей рекоме</w:t>
      </w:r>
      <w:r>
        <w:rPr>
          <w:b/>
        </w:rPr>
        <w:t>н</w:t>
      </w:r>
      <w:r>
        <w:rPr>
          <w:b/>
        </w:rPr>
        <w:t>дацией № 25 Комитета. Комитет призывает государство-участника принять соответствующие меры в целях уменьшения числа д</w:t>
      </w:r>
      <w:r>
        <w:rPr>
          <w:b/>
        </w:rPr>
        <w:t>е</w:t>
      </w:r>
      <w:r>
        <w:rPr>
          <w:b/>
        </w:rPr>
        <w:t>вочек из семей цыган и девочек, проживающих в сельских районах, кот</w:t>
      </w:r>
      <w:r>
        <w:rPr>
          <w:b/>
        </w:rPr>
        <w:t>о</w:t>
      </w:r>
      <w:r>
        <w:rPr>
          <w:b/>
        </w:rPr>
        <w:t>рые бросают школу, и реинтегрировать их в систему образования. Комитет просит государство-участника представить в его следующем докладе по</w:t>
      </w:r>
      <w:r>
        <w:rPr>
          <w:b/>
        </w:rPr>
        <w:t>д</w:t>
      </w:r>
      <w:r>
        <w:rPr>
          <w:b/>
        </w:rPr>
        <w:t>робную информацию о фактическом положении женщин в сельских ра</w:t>
      </w:r>
      <w:r>
        <w:rPr>
          <w:b/>
        </w:rPr>
        <w:t>й</w:t>
      </w:r>
      <w:r>
        <w:rPr>
          <w:b/>
        </w:rPr>
        <w:t>онах, а также женщин, принадлежащих к этническим меньшинствам, в частности цыганок, в том что касается образования, здравоохранения, з</w:t>
      </w:r>
      <w:r>
        <w:rPr>
          <w:b/>
        </w:rPr>
        <w:t>а</w:t>
      </w:r>
      <w:r>
        <w:rPr>
          <w:b/>
        </w:rPr>
        <w:t>нятости и участия в политической и общественной жизни, а также инфо</w:t>
      </w:r>
      <w:r>
        <w:rPr>
          <w:b/>
        </w:rPr>
        <w:t>р</w:t>
      </w:r>
      <w:r>
        <w:rPr>
          <w:b/>
        </w:rPr>
        <w:t>мацию о предпринимаемых правительством усилиях, направленных на ликвидацию дискриминации в отношении этих женщин. Комитет приз</w:t>
      </w:r>
      <w:r>
        <w:rPr>
          <w:b/>
        </w:rPr>
        <w:t>ы</w:t>
      </w:r>
      <w:r>
        <w:rPr>
          <w:b/>
        </w:rPr>
        <w:t>вает государство-участника представить в его следующем докладе инфо</w:t>
      </w:r>
      <w:r>
        <w:rPr>
          <w:b/>
        </w:rPr>
        <w:t>р</w:t>
      </w:r>
      <w:r>
        <w:rPr>
          <w:b/>
        </w:rPr>
        <w:t>мацию о конкретных проектах, непосредственно касающихся женщин из числа цыган и осуществляемых в рамках Десятилетия интеграции народа рома — 2005–2015 годы.</w:t>
      </w:r>
    </w:p>
    <w:p w:rsidR="00000000" w:rsidRDefault="00000000">
      <w:pPr>
        <w:pStyle w:val="SingleTxt"/>
      </w:pPr>
      <w:r>
        <w:t>29.</w:t>
      </w:r>
      <w:r>
        <w:tab/>
        <w:t>Комитет отмечает, что женщины составляют 51 процент от числа беже</w:t>
      </w:r>
      <w:r>
        <w:t>н</w:t>
      </w:r>
      <w:r>
        <w:t>цев и лиц, ищущих убежища в бывшей югославской Республике Македония. Приветствуя принятие в 2003 году Закона об убежище и временной защите и тот факт, что женщины, ищущие убежище или пытающиеся получить статус беженцев, имеют возможность отдельно подавать соответствующие заявления, Комитет по</w:t>
      </w:r>
      <w:r>
        <w:noBreakHyphen/>
        <w:t>прежнему выражает озабоченность в связи с тем, что подход, пр</w:t>
      </w:r>
      <w:r>
        <w:t>е</w:t>
      </w:r>
      <w:r>
        <w:t>дусматривающий учет гендерных аспектов, не применялся целенаправленно в процессе предоставления убежища/статуса беженцев.</w:t>
      </w:r>
    </w:p>
    <w:p w:rsidR="00000000" w:rsidRDefault="00000000">
      <w:pPr>
        <w:pStyle w:val="SingleTxt"/>
      </w:pPr>
      <w:r>
        <w:t>30.</w:t>
      </w:r>
      <w:r>
        <w:tab/>
      </w:r>
      <w:r>
        <w:rPr>
          <w:b/>
        </w:rPr>
        <w:t>Комитет рекомендует государству-участнику в полной мере прим</w:t>
      </w:r>
      <w:r>
        <w:rPr>
          <w:b/>
        </w:rPr>
        <w:t>е</w:t>
      </w:r>
      <w:r>
        <w:rPr>
          <w:b/>
        </w:rPr>
        <w:t>нять подход, предусматривающий учет гендерных аспектов, в процессе предоставления убежища/статуса беженцев, а также на этапе подачи зая</w:t>
      </w:r>
      <w:r>
        <w:rPr>
          <w:b/>
        </w:rPr>
        <w:t>в</w:t>
      </w:r>
      <w:r>
        <w:rPr>
          <w:b/>
        </w:rPr>
        <w:t>лений.</w:t>
      </w:r>
    </w:p>
    <w:p w:rsidR="00000000" w:rsidRDefault="00000000">
      <w:pPr>
        <w:pStyle w:val="SingleTxt"/>
      </w:pPr>
      <w:r>
        <w:t>31.</w:t>
      </w:r>
      <w:r>
        <w:tab/>
        <w:t>Комитет с обеспокоенностью отмечает, что, несмотря на 20</w:t>
      </w:r>
      <w:r>
        <w:noBreakHyphen/>
        <w:t>процентное сокращение показателя числа абортов, произведенных в стране с 1994 года, аборты по</w:t>
      </w:r>
      <w:r>
        <w:noBreakHyphen/>
        <w:t>прежнему используются в качестве одного из методов регулиров</w:t>
      </w:r>
      <w:r>
        <w:t>а</w:t>
      </w:r>
      <w:r>
        <w:t>ния рождаемости. Комитет также обеспокоен ограниченным использованием противозачаточных средств.</w:t>
      </w:r>
    </w:p>
    <w:p w:rsidR="00000000" w:rsidRDefault="00000000">
      <w:pPr>
        <w:pStyle w:val="SingleTxt"/>
      </w:pPr>
      <w:r>
        <w:t>32.</w:t>
      </w:r>
      <w:r>
        <w:tab/>
      </w:r>
      <w:r>
        <w:rPr>
          <w:b/>
        </w:rPr>
        <w:t>Комитет рекомендует государству-участнику осуществлять програ</w:t>
      </w:r>
      <w:r>
        <w:rPr>
          <w:b/>
        </w:rPr>
        <w:t>м</w:t>
      </w:r>
      <w:r>
        <w:rPr>
          <w:b/>
        </w:rPr>
        <w:t>мы и стратегии, направленные на обеспечение реального доступа женщин к противозачаточным средствам, а также к информации и услугам в сфере здравоохранения, что позволит женщинам отказаться от использования аборта в качестве средства регулирования рождаемости.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государство-участника осуществлять программы сан</w:t>
      </w:r>
      <w:r>
        <w:rPr>
          <w:b/>
        </w:rPr>
        <w:t>и</w:t>
      </w:r>
      <w:r>
        <w:rPr>
          <w:b/>
        </w:rPr>
        <w:t>тарного просвещения по вопросам сексуального и репродуктивного здор</w:t>
      </w:r>
      <w:r>
        <w:rPr>
          <w:b/>
        </w:rPr>
        <w:t>о</w:t>
      </w:r>
      <w:r>
        <w:rPr>
          <w:b/>
        </w:rPr>
        <w:t>вья, ориентированные на женщин, мужчин и подростков, с тем чтобы формировать у них ответственное сексуальное поведение и побуждать их не прибегать к аборту в качестве метода регулирования рождаемости.</w:t>
      </w:r>
    </w:p>
    <w:p w:rsidR="00000000" w:rsidRDefault="00000000">
      <w:pPr>
        <w:pStyle w:val="SingleTxt"/>
      </w:pPr>
      <w:r>
        <w:t>33.</w:t>
      </w:r>
      <w:r>
        <w:tab/>
        <w:t>Комитет по</w:t>
      </w:r>
      <w:r>
        <w:noBreakHyphen/>
        <w:t>прежнему обеспокоен положением женщин в плане трудоус</w:t>
      </w:r>
      <w:r>
        <w:t>т</w:t>
      </w:r>
      <w:r>
        <w:t>ройства, высоким уровнем безработицы среди женщин и их незначительной долей в формальной структуре трудовых ресурсов, а также весьма большим числом женщин, занятых на низкооплачиваемых работах. Комитет также обе</w:t>
      </w:r>
      <w:r>
        <w:t>с</w:t>
      </w:r>
      <w:r>
        <w:t>покоен незначительным числом женщин, работающих не по найму и занима</w:t>
      </w:r>
      <w:r>
        <w:t>ю</w:t>
      </w:r>
      <w:r>
        <w:t>щихся предпринимательской де</w:t>
      </w:r>
      <w:r>
        <w:t>я</w:t>
      </w:r>
      <w:r>
        <w:t>тельностью.</w:t>
      </w:r>
    </w:p>
    <w:p w:rsidR="00000000" w:rsidRDefault="00000000">
      <w:pPr>
        <w:pStyle w:val="SingleTxt"/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государство-участника к полному осуществлению статьи 11 Конвенции. Он призывает государство-участника устранить те препятствия, с которыми сталкиваются женщины при трудоустройстве, и принять меры по оказанию содействия и поддер</w:t>
      </w:r>
      <w:r>
        <w:rPr>
          <w:b/>
        </w:rPr>
        <w:t>ж</w:t>
      </w:r>
      <w:r>
        <w:rPr>
          <w:b/>
        </w:rPr>
        <w:t>ки женщинам-предпринимателям, в том числе посредством предоставл</w:t>
      </w:r>
      <w:r>
        <w:rPr>
          <w:b/>
        </w:rPr>
        <w:t>е</w:t>
      </w:r>
      <w:r>
        <w:rPr>
          <w:b/>
        </w:rPr>
        <w:t>ния им возможностей для обучения и обеспечения им доступа к кредитам. Он также просит государство-участника представить в его следующем п</w:t>
      </w:r>
      <w:r>
        <w:rPr>
          <w:b/>
        </w:rPr>
        <w:t>е</w:t>
      </w:r>
      <w:r>
        <w:rPr>
          <w:b/>
        </w:rPr>
        <w:t>риодическом докладе информацию о результативности таких мер.</w:t>
      </w:r>
    </w:p>
    <w:p w:rsidR="00000000" w:rsidRDefault="00000000">
      <w:pPr>
        <w:pStyle w:val="SingleTxt"/>
      </w:pPr>
      <w:r>
        <w:t>35.</w:t>
      </w:r>
      <w:r>
        <w:tab/>
      </w:r>
      <w:r>
        <w:rPr>
          <w:b/>
        </w:rPr>
        <w:t>Комитет рекомендует государству-участнику принять как можно ск</w:t>
      </w:r>
      <w:r>
        <w:rPr>
          <w:b/>
        </w:rPr>
        <w:t>о</w:t>
      </w:r>
      <w:r>
        <w:rPr>
          <w:b/>
        </w:rPr>
        <w:t>рее поправку к пункту 1 статьи 20 Конвенции, касающемуся сроков пр</w:t>
      </w:r>
      <w:r>
        <w:rPr>
          <w:b/>
        </w:rPr>
        <w:t>о</w:t>
      </w:r>
      <w:r>
        <w:rPr>
          <w:b/>
        </w:rPr>
        <w:t>ведения з</w:t>
      </w:r>
      <w:r>
        <w:rPr>
          <w:b/>
        </w:rPr>
        <w:t>а</w:t>
      </w:r>
      <w:r>
        <w:rPr>
          <w:b/>
        </w:rPr>
        <w:t>седаний Комитета.</w:t>
      </w:r>
    </w:p>
    <w:p w:rsidR="00000000" w:rsidRDefault="00000000">
      <w:pPr>
        <w:pStyle w:val="SingleTxt"/>
      </w:pPr>
      <w:r>
        <w:t>36.</w:t>
      </w:r>
      <w:r>
        <w:tab/>
      </w:r>
      <w:r>
        <w:rPr>
          <w:b/>
        </w:rPr>
        <w:t>Комитет настоятельно призывает государство-участника при осущ</w:t>
      </w:r>
      <w:r>
        <w:rPr>
          <w:b/>
        </w:rPr>
        <w:t>е</w:t>
      </w:r>
      <w:r>
        <w:rPr>
          <w:b/>
        </w:rPr>
        <w:t>ствлении его обязательств, налагаемых Конвенцией, в полной мере и</w:t>
      </w:r>
      <w:r>
        <w:rPr>
          <w:b/>
        </w:rPr>
        <w:t>с</w:t>
      </w:r>
      <w:r>
        <w:rPr>
          <w:b/>
        </w:rPr>
        <w:t>пользовать Пекинскую декларацию и Платформу действий, которые по</w:t>
      </w:r>
      <w:r>
        <w:rPr>
          <w:b/>
        </w:rPr>
        <w:t>д</w:t>
      </w:r>
      <w:r>
        <w:rPr>
          <w:b/>
        </w:rPr>
        <w:t>крепляют положения Конвенции, и просит государство-участника вкл</w:t>
      </w:r>
      <w:r>
        <w:rPr>
          <w:b/>
        </w:rPr>
        <w:t>ю</w:t>
      </w:r>
      <w:r>
        <w:rPr>
          <w:b/>
        </w:rPr>
        <w:t>чить в его следующий периодический доклад информацию по этому в</w:t>
      </w:r>
      <w:r>
        <w:rPr>
          <w:b/>
        </w:rPr>
        <w:t>о</w:t>
      </w:r>
      <w:r>
        <w:rPr>
          <w:b/>
        </w:rPr>
        <w:t>просу.</w:t>
      </w:r>
    </w:p>
    <w:p w:rsidR="00000000" w:rsidRDefault="00000000">
      <w:pPr>
        <w:pStyle w:val="SingleTxt"/>
      </w:pPr>
      <w:r>
        <w:t>37.</w:t>
      </w:r>
      <w:r>
        <w:tab/>
      </w:r>
      <w:r>
        <w:rPr>
          <w:b/>
        </w:rPr>
        <w:t>Комитет также подчеркивает, что полное эффективное осуществление Конвенции является непреложным условием достижения целей в области развития, сформулированных в Декларации тысячелетия. Он призывает обеспечить учет гендерных факторов и положений Конвенции в рамках усилий, предпринимаемых для достижения упомянутых целей в области развития, сформулированных в Декларации тысячелетия, и просит гос</w:t>
      </w:r>
      <w:r>
        <w:rPr>
          <w:b/>
        </w:rPr>
        <w:t>у</w:t>
      </w:r>
      <w:r>
        <w:rPr>
          <w:b/>
        </w:rPr>
        <w:t>дарство-участника включить в его следующий периодический доклад и</w:t>
      </w:r>
      <w:r>
        <w:rPr>
          <w:b/>
        </w:rPr>
        <w:t>н</w:t>
      </w:r>
      <w:r>
        <w:rPr>
          <w:b/>
        </w:rPr>
        <w:t>формацию по этому вопросу.</w:t>
      </w:r>
    </w:p>
    <w:p w:rsidR="00000000" w:rsidRDefault="00000000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отмечает, что приверженность государств осуществлению положений семи основных международных документов по правам челов</w:t>
      </w:r>
      <w:r>
        <w:rPr>
          <w:b/>
        </w:rPr>
        <w:t>е</w:t>
      </w:r>
      <w:r>
        <w:rPr>
          <w:b/>
        </w:rPr>
        <w:t>ка</w:t>
      </w:r>
      <w:r>
        <w:rPr>
          <w:rStyle w:val="FootnoteReference"/>
        </w:rPr>
        <w:footnoteReference w:id="1"/>
      </w:r>
      <w:r>
        <w:rPr>
          <w:b/>
        </w:rPr>
        <w:t xml:space="preserve"> содействует расширению возможностей женщин в плане осуществл</w:t>
      </w:r>
      <w:r>
        <w:rPr>
          <w:b/>
        </w:rPr>
        <w:t>е</w:t>
      </w:r>
      <w:r>
        <w:rPr>
          <w:b/>
        </w:rPr>
        <w:t>ния их прав человека и основных свобод во всех аспектах жизни. В связи с этим Комитет призывает правительство бывшей югославской Республики Македония рассмотреть вопрос о ратификации договора, участником к</w:t>
      </w:r>
      <w:r>
        <w:rPr>
          <w:b/>
        </w:rPr>
        <w:t>о</w:t>
      </w:r>
      <w:r>
        <w:rPr>
          <w:b/>
        </w:rPr>
        <w:t>торого она еще не является, а именно Международной конвенции о защите прав всех трудящихся-мигрантов и членов их семей.</w:t>
      </w:r>
    </w:p>
    <w:p w:rsidR="00000000" w:rsidRDefault="00000000">
      <w:pPr>
        <w:pStyle w:val="SingleTxt"/>
      </w:pPr>
      <w:r>
        <w:t>39.</w:t>
      </w:r>
      <w:r>
        <w:rPr>
          <w:b/>
        </w:rPr>
        <w:tab/>
        <w:t>Комитет просит государство-участника широко распространить н</w:t>
      </w:r>
      <w:r>
        <w:rPr>
          <w:b/>
        </w:rPr>
        <w:t>а</w:t>
      </w:r>
      <w:r>
        <w:rPr>
          <w:b/>
        </w:rPr>
        <w:t>стоящие заключительные замечания, с тем чтобы проинформировать н</w:t>
      </w:r>
      <w:r>
        <w:rPr>
          <w:b/>
        </w:rPr>
        <w:t>а</w:t>
      </w:r>
      <w:r>
        <w:rPr>
          <w:b/>
        </w:rPr>
        <w:t>селение, включая должностных лиц из государственных учреждений, п</w:t>
      </w:r>
      <w:r>
        <w:rPr>
          <w:b/>
        </w:rPr>
        <w:t>о</w:t>
      </w:r>
      <w:r>
        <w:rPr>
          <w:b/>
        </w:rPr>
        <w:t>литических деятелей, парламентариев и женские правозащитные орган</w:t>
      </w:r>
      <w:r>
        <w:rPr>
          <w:b/>
        </w:rPr>
        <w:t>и</w:t>
      </w:r>
      <w:r>
        <w:rPr>
          <w:b/>
        </w:rPr>
        <w:t>зации, о тех мерах, которые принимаются в целях обеспечения юридич</w:t>
      </w:r>
      <w:r>
        <w:rPr>
          <w:b/>
        </w:rPr>
        <w:t>е</w:t>
      </w:r>
      <w:r>
        <w:rPr>
          <w:b/>
        </w:rPr>
        <w:t>ского и фактического равноправия женщин, а также о дальнейших шагах, которые необходимы в этом направлении. Комитет просит государство-участника продолжать его усилия по широкому распространению, в час</w:t>
      </w:r>
      <w:r>
        <w:rPr>
          <w:b/>
        </w:rPr>
        <w:t>т</w:t>
      </w:r>
      <w:r>
        <w:rPr>
          <w:b/>
        </w:rPr>
        <w:t>ности среди женских и правозащитных организаций, текстов Конвенции, Факультативного протокола к ней, общих рекомендаций Комитета, П</w:t>
      </w:r>
      <w:r>
        <w:rPr>
          <w:b/>
        </w:rPr>
        <w:t>е</w:t>
      </w:r>
      <w:r>
        <w:rPr>
          <w:b/>
        </w:rPr>
        <w:t>кинской декларации и Платформы действий и Итогового документа дв</w:t>
      </w:r>
      <w:r>
        <w:rPr>
          <w:b/>
        </w:rPr>
        <w:t>а</w:t>
      </w:r>
      <w:r>
        <w:rPr>
          <w:b/>
        </w:rPr>
        <w:t>дцать третьей специальной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 веке».</w:t>
      </w:r>
    </w:p>
    <w:p w:rsidR="00000000" w:rsidRDefault="00000000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просит государство-участника представить ответы на вопр</w:t>
      </w:r>
      <w:r>
        <w:rPr>
          <w:b/>
        </w:rPr>
        <w:t>о</w:t>
      </w:r>
      <w:r>
        <w:rPr>
          <w:b/>
        </w:rPr>
        <w:t>сы, содержащиеся в настоящих заключительных замечаниях, в своем сл</w:t>
      </w:r>
      <w:r>
        <w:rPr>
          <w:b/>
        </w:rPr>
        <w:t>е</w:t>
      </w:r>
      <w:r>
        <w:rPr>
          <w:b/>
        </w:rPr>
        <w:t>дующем периодическом докладе в соответствии со статьей 18 Конвенции. Комитет предлагает государству-участнику представить его четвертый периодический доклад (дата представления  — февраль 2007 года) и его пятый периодический доклад (дата представления — февраль 2011 года) в рамках сводного до</w:t>
      </w:r>
      <w:r>
        <w:rPr>
          <w:b/>
        </w:rPr>
        <w:t>к</w:t>
      </w:r>
      <w:r>
        <w:rPr>
          <w:b/>
        </w:rPr>
        <w:t>лада в 2011 году.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NO&gt;&gt;N0623826R&lt;&lt;ODS JOB NO&gt;&gt;</w:t>
      </w:r>
    </w:p>
    <w:p w:rsidR="00000000" w:rsidRDefault="00000000">
      <w:pPr>
        <w:pStyle w:val="CommentText"/>
      </w:pPr>
      <w:r>
        <w:t>&lt;&lt;ODS DOC SYMBOL1&gt;&gt;CEDAW/C/MKD/CO/3&lt;&lt;ODS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06-23826 (R)    210206    210206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*0623826*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 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наказания. Конвенция о правах ребенка и Международная конвенция о защите прав всех трудящихся-мигрантов и 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CEDAW/C/MKD/CO/3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CEDAW/C/MKD/CO/3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/C/MKD/CO/3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3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1/02/2006 11:07:20"/>
    <w:docVar w:name="DocCategory" w:val="Doc"/>
    <w:docVar w:name="DocType" w:val="Final"/>
    <w:docVar w:name="JobNo" w:val="0623826R"/>
    <w:docVar w:name="OandT" w:val=" "/>
    <w:docVar w:name="Symbol1" w:val="CEDAW/C/MKD/CO/3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2895</Words>
  <Characters>16505</Characters>
  <Application>Microsoft Office Word</Application>
  <DocSecurity>4</DocSecurity>
  <Lines>137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20269</CharactersWithSpaces>
  <SharedDoc>false</SharedDoc>
  <HLinks>
    <vt:vector size="6" baseType="variant">
      <vt:variant>
        <vt:i4>4522087</vt:i4>
      </vt:variant>
      <vt:variant>
        <vt:i4>42354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2006-02-21T14:00:00Z</cp:lastPrinted>
  <dcterms:created xsi:type="dcterms:W3CDTF">2006-02-21T14:20:00Z</dcterms:created>
  <dcterms:modified xsi:type="dcterms:W3CDTF">2006-02-21T14:30:00Z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0623826</vt:lpwstr>
  </property>
  <property fmtid="{D5CDD505-2E9C-101B-9397-08002B2CF9AE}" pid="3" name="Symbol1">
    <vt:lpwstr>CEDAW/C/MKD/CO/3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Khotuleva</vt:lpwstr>
  </property>
</Properties>
</file>