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6D1C" w14:textId="77777777" w:rsidR="0003420F" w:rsidRPr="00493D5C" w:rsidRDefault="0003420F" w:rsidP="0003420F">
      <w:pPr>
        <w:spacing w:line="60" w:lineRule="exact"/>
        <w:rPr>
          <w:color w:val="010000"/>
          <w:sz w:val="2"/>
          <w:lang w:val="en-US"/>
        </w:rPr>
        <w:sectPr w:rsidR="0003420F" w:rsidRPr="00493D5C" w:rsidSect="00E221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14:paraId="77B5142E" w14:textId="68AA1078" w:rsidR="00E22135" w:rsidRDefault="00E22135" w:rsidP="00E2213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22135">
        <w:t>Комитет по ликвидации дискриминации</w:t>
      </w:r>
      <w:r>
        <w:br/>
      </w:r>
      <w:r w:rsidRPr="00E22135">
        <w:t>в отношении женщин</w:t>
      </w:r>
    </w:p>
    <w:p w14:paraId="5F46B4F1" w14:textId="36986A3A" w:rsidR="00E22135" w:rsidRPr="00E22135" w:rsidRDefault="00E22135" w:rsidP="00E22135">
      <w:pPr>
        <w:spacing w:line="120" w:lineRule="exact"/>
        <w:rPr>
          <w:sz w:val="10"/>
        </w:rPr>
      </w:pPr>
    </w:p>
    <w:p w14:paraId="10300366" w14:textId="1CFF08BE" w:rsidR="00E22135" w:rsidRPr="00E22135" w:rsidRDefault="00E22135" w:rsidP="00E22135">
      <w:pPr>
        <w:spacing w:line="120" w:lineRule="exact"/>
        <w:rPr>
          <w:sz w:val="10"/>
        </w:rPr>
      </w:pPr>
    </w:p>
    <w:p w14:paraId="7EFF2CB3" w14:textId="1E62BA67" w:rsidR="00E22135" w:rsidRPr="00E22135" w:rsidRDefault="00E22135" w:rsidP="00E22135">
      <w:pPr>
        <w:spacing w:line="120" w:lineRule="exact"/>
        <w:rPr>
          <w:sz w:val="10"/>
        </w:rPr>
      </w:pPr>
    </w:p>
    <w:p w14:paraId="7AB752D8" w14:textId="71462DE5" w:rsidR="00E22135" w:rsidRDefault="00E22135" w:rsidP="005505FA">
      <w:pPr>
        <w:pStyle w:val="TitleHCH"/>
      </w:pPr>
      <w:r w:rsidRPr="00E22135">
        <w:tab/>
      </w:r>
      <w:r w:rsidRPr="00E22135">
        <w:tab/>
        <w:t>Заключительные замечания по шестому периодическому докладу Республики Молдова</w:t>
      </w:r>
      <w:r w:rsidRPr="00E22135">
        <w:rPr>
          <w:sz w:val="20"/>
        </w:rPr>
        <w:footnoteReference w:customMarkFollows="1" w:id="1"/>
        <w:t>*</w:t>
      </w:r>
    </w:p>
    <w:p w14:paraId="2C5B9F88" w14:textId="5203E944" w:rsidR="008F4A97" w:rsidRPr="008F4A97" w:rsidRDefault="008F4A97" w:rsidP="008F4A97">
      <w:pPr>
        <w:spacing w:line="120" w:lineRule="exact"/>
        <w:rPr>
          <w:sz w:val="10"/>
        </w:rPr>
      </w:pPr>
    </w:p>
    <w:p w14:paraId="7B18ACC4" w14:textId="7CA8DDF3" w:rsidR="008F4A97" w:rsidRPr="008F4A97" w:rsidRDefault="008F4A97" w:rsidP="008F4A97">
      <w:pPr>
        <w:spacing w:line="120" w:lineRule="exact"/>
        <w:rPr>
          <w:sz w:val="10"/>
        </w:rPr>
      </w:pPr>
    </w:p>
    <w:p w14:paraId="65F21470" w14:textId="26AD1280" w:rsidR="00E22135" w:rsidRDefault="00E22135" w:rsidP="00E22135">
      <w:pPr>
        <w:pStyle w:val="SingleTxt"/>
      </w:pPr>
      <w:r w:rsidRPr="00E22135">
        <w:t>1.</w:t>
      </w:r>
      <w:r w:rsidRPr="00E22135">
        <w:tab/>
        <w:t>Комитет рассмотрел шестой периодический доклад Республики Молдова (</w:t>
      </w:r>
      <w:hyperlink r:id="rId15" w:history="1">
        <w:r w:rsidRPr="008B1DDC">
          <w:rPr>
            <w:rStyle w:val="Hyperlink"/>
          </w:rPr>
          <w:t>CEDAW/C/MDA/6</w:t>
        </w:r>
      </w:hyperlink>
      <w:r w:rsidRPr="00E22135">
        <w:t>) на своих 1763-м и 1764-м заседаниях</w:t>
      </w:r>
      <w:r w:rsidR="008B3B03">
        <w:br/>
      </w:r>
      <w:r w:rsidRPr="00E22135">
        <w:t xml:space="preserve">(см. </w:t>
      </w:r>
      <w:hyperlink r:id="rId16" w:history="1">
        <w:r w:rsidRPr="008B1DDC">
          <w:rPr>
            <w:rStyle w:val="Hyperlink"/>
          </w:rPr>
          <w:t>CEDAW/C/SR.1763</w:t>
        </w:r>
      </w:hyperlink>
      <w:r w:rsidRPr="00E22135">
        <w:t xml:space="preserve"> и </w:t>
      </w:r>
      <w:hyperlink r:id="rId17" w:history="1">
        <w:r w:rsidR="002B2D4F" w:rsidRPr="003E635E">
          <w:rPr>
            <w:rStyle w:val="Hyperlink"/>
          </w:rPr>
          <w:t>1764</w:t>
        </w:r>
      </w:hyperlink>
      <w:r w:rsidRPr="00E22135">
        <w:t xml:space="preserve">), состоявшихся 20 февраля 2020 года. Перечень тем и вопросов, сформулированных предсессионной рабочей группой, содержится в документе </w:t>
      </w:r>
      <w:hyperlink r:id="rId18" w:history="1">
        <w:r w:rsidRPr="008B1DDC">
          <w:rPr>
            <w:rStyle w:val="Hyperlink"/>
          </w:rPr>
          <w:t>CEDAW/C/MDA/Q/6</w:t>
        </w:r>
      </w:hyperlink>
      <w:r w:rsidRPr="00E22135">
        <w:t xml:space="preserve">, а ответы государства-участника — в документе </w:t>
      </w:r>
      <w:hyperlink r:id="rId19" w:history="1">
        <w:r w:rsidRPr="008B1DDC">
          <w:rPr>
            <w:rStyle w:val="Hyperlink"/>
          </w:rPr>
          <w:t>CEDAW/C/MDA/RQ/6</w:t>
        </w:r>
      </w:hyperlink>
      <w:r w:rsidRPr="00E22135">
        <w:t xml:space="preserve">. </w:t>
      </w:r>
    </w:p>
    <w:p w14:paraId="0036AA7B" w14:textId="4C36CF41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6DB9CEA6" w14:textId="0C399CF6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13070327" w14:textId="02B20FA3" w:rsidR="00E22135" w:rsidRDefault="00E22135" w:rsidP="008B3B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  <w:t>A.</w:t>
      </w:r>
      <w:r w:rsidRPr="00E22135">
        <w:tab/>
        <w:t>Введение</w:t>
      </w:r>
    </w:p>
    <w:p w14:paraId="040E9604" w14:textId="3E9DDAF7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48E61973" w14:textId="3E6B38A1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0F10A951" w14:textId="58AB8321" w:rsidR="00E22135" w:rsidRPr="00E22135" w:rsidRDefault="00E22135" w:rsidP="00E22135">
      <w:pPr>
        <w:pStyle w:val="SingleTxt"/>
      </w:pPr>
      <w:r w:rsidRPr="00E22135">
        <w:t>2.</w:t>
      </w:r>
      <w:r w:rsidRPr="00E22135">
        <w:tab/>
        <w:t>Комитет признателен государству-участнику за представление им своего шестого периодического доклада. Он также признателен государству-участнику за представленный доклад о принятых мерах по выполнению предыдущих заключительных замечаний Комитета (</w:t>
      </w:r>
      <w:hyperlink r:id="rId20" w:history="1">
        <w:r w:rsidRPr="008B1DDC">
          <w:rPr>
            <w:rStyle w:val="Hyperlink"/>
          </w:rPr>
          <w:t>CEDAW/C/MDA/CO/4-5/Add.1</w:t>
        </w:r>
      </w:hyperlink>
      <w:r w:rsidRPr="00E22135">
        <w:t xml:space="preserve">) и письменные ответы на перечень тем и вопросов, сформулированных предсессионной рабочей группой. Он с удовлетворением отмечает сделанное делегацией устное сообщение и дополнительные разъяснения по вопросам, которые были заданы членами Комитета в устной форме в ходе диалога. </w:t>
      </w:r>
    </w:p>
    <w:p w14:paraId="0D3C3A1B" w14:textId="65C1027B" w:rsidR="00E22135" w:rsidRDefault="00E22135" w:rsidP="00E22135">
      <w:pPr>
        <w:pStyle w:val="SingleTxt"/>
      </w:pPr>
      <w:r w:rsidRPr="00E22135">
        <w:t>3.</w:t>
      </w:r>
      <w:r w:rsidRPr="00E22135">
        <w:tab/>
        <w:t xml:space="preserve">Комитет выражает признательность государству-участнику за направление авторитетной делегации во главе с государственным секретарем Министерства здравоохранения, труда и социальной защиты г-жой Джульеттой Попеску. В состав делегации также входили представители Министерства здравоохранения, труда и социальной защиты, Министерства сельского хозяйства, регионального развития и окружающей среды, Министерства просвещения, культуры и исследований, Министерства внутренних дел и Постоянного представительства Республики Молдова при Отделении Организации Объединенных Наций и других международных организациях в Женеве. </w:t>
      </w:r>
    </w:p>
    <w:p w14:paraId="3889169B" w14:textId="7E34FDB0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51F550C8" w14:textId="4B28EEA2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2188B969" w14:textId="77777777" w:rsidR="008B3B03" w:rsidRDefault="008B3B03">
      <w:pPr>
        <w:spacing w:after="200" w:line="276" w:lineRule="auto"/>
        <w:rPr>
          <w:b/>
          <w:sz w:val="24"/>
        </w:rPr>
      </w:pPr>
      <w:r>
        <w:br w:type="page"/>
      </w:r>
    </w:p>
    <w:p w14:paraId="5A8DE1B1" w14:textId="0B2EE80C" w:rsidR="00E22135" w:rsidRDefault="008B3B03" w:rsidP="008B3B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E22135" w:rsidRPr="00E22135">
        <w:t>B.</w:t>
      </w:r>
      <w:r w:rsidR="00E22135" w:rsidRPr="00E22135">
        <w:tab/>
        <w:t>Позитивные аспекты</w:t>
      </w:r>
    </w:p>
    <w:p w14:paraId="4A8C5B2D" w14:textId="0592A6D1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66164EC1" w14:textId="00D8301D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101832DF" w14:textId="46D25F88" w:rsidR="00E22135" w:rsidRPr="00E22135" w:rsidRDefault="00E22135" w:rsidP="00E22135">
      <w:pPr>
        <w:pStyle w:val="SingleTxt"/>
      </w:pPr>
      <w:r w:rsidRPr="00E22135">
        <w:t>4.</w:t>
      </w:r>
      <w:r w:rsidRPr="00E22135">
        <w:tab/>
        <w:t>Комитет приветствует прогресс в проведении законодательных реформ, достигнутый за период после рассмотрения им в 2013 году объединенных четвертого и пятого периодических докладов государства-участника (</w:t>
      </w:r>
      <w:hyperlink r:id="rId21" w:history="1">
        <w:r w:rsidRPr="008B1DDC">
          <w:rPr>
            <w:rStyle w:val="Hyperlink"/>
          </w:rPr>
          <w:t>CEDAW/C/MDA/4-5</w:t>
        </w:r>
      </w:hyperlink>
      <w:r w:rsidRPr="00E22135">
        <w:t>), в частности принятие следующих нормативно-правовых актов:</w:t>
      </w:r>
    </w:p>
    <w:p w14:paraId="0B645A40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Закона № 196/2016, которым вводятся чрезвычайные ограничительные меры путем внесения изменений в Закон № 45-XVI от 2007 года «О предупреждении и пресечении насилия в семье», в 2016 году;</w:t>
      </w:r>
    </w:p>
    <w:p w14:paraId="23E6F66F" w14:textId="74532D16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 xml:space="preserve">Закона № 71/2016, который: i) запрещает использование сексистских формулировок путем внесения изменений в Закон о печати, Закон о рекламе и </w:t>
      </w:r>
      <w:bookmarkStart w:id="2" w:name="_Hlk35339970"/>
      <w:r w:rsidRPr="00E22135">
        <w:t>Кодекс об аудиовизуальных медиауслугах</w:t>
      </w:r>
      <w:bookmarkEnd w:id="2"/>
      <w:r w:rsidRPr="00E22135">
        <w:t>; ii) устанавливает минимальную квоту в 40 процентов для представленности женщин-кандидатов в избирательных списках политических партий путем внесения поправок в Кодекс о выборах; и iii) вводит 14-дневный отпуск по уходу за ребенком, предоставляемый отцу, путем внесения поправок в Трудовой кодекс, в 2016 году.</w:t>
      </w:r>
    </w:p>
    <w:p w14:paraId="6E88C81A" w14:textId="77777777" w:rsidR="00E22135" w:rsidRPr="00E22135" w:rsidRDefault="00E22135" w:rsidP="00E22135">
      <w:pPr>
        <w:pStyle w:val="SingleTxt"/>
      </w:pPr>
      <w:r w:rsidRPr="00E22135">
        <w:t>5.</w:t>
      </w:r>
      <w:r w:rsidRPr="00E22135">
        <w:tab/>
        <w:t>Комитет приветствует усилия государства-участника по совершенствованию его институциональной и нормативной базы, направленные на ускорение процесса ликвидации дискриминации в отношении женщин и поощрение гендерного равенства, в частности, принятие следующих документов или учреждение следующих органов:</w:t>
      </w:r>
    </w:p>
    <w:p w14:paraId="10718E1A" w14:textId="51512A6B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Национальной стратегии по предупреждению и борьбе с насилием в отношении женщин и насилием в семье (2018</w:t>
      </w:r>
      <w:r w:rsidR="008B3B03" w:rsidRPr="008B3B03">
        <w:t>–</w:t>
      </w:r>
      <w:r w:rsidRPr="00E22135">
        <w:t>2023 годы) и плана действий по ее внедрению (2018</w:t>
      </w:r>
      <w:r w:rsidR="008B3B03" w:rsidRPr="008B3B03">
        <w:t>–</w:t>
      </w:r>
      <w:r w:rsidRPr="00E22135">
        <w:t xml:space="preserve">2020 годы); </w:t>
      </w:r>
    </w:p>
    <w:p w14:paraId="6F652A46" w14:textId="256B3422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>Национальной стратегии по предупреждению и пресечению торговли людьми (2018</w:t>
      </w:r>
      <w:r w:rsidR="008B3B03" w:rsidRPr="008B3B03">
        <w:t>–</w:t>
      </w:r>
      <w:r w:rsidRPr="00E22135">
        <w:t>2023 годы) и плана действий по ее внедрению (2018</w:t>
      </w:r>
      <w:r w:rsidR="008B3B03" w:rsidRPr="008B3B03">
        <w:t>–</w:t>
      </w:r>
      <w:r w:rsidRPr="00E22135">
        <w:t>2020 годы);</w:t>
      </w:r>
    </w:p>
    <w:p w14:paraId="1713AD6D" w14:textId="6B3A9CCF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Национальной программы в сфере сексуального и репродуктивного здоровья и прав (2018</w:t>
      </w:r>
      <w:r w:rsidR="008B3B03" w:rsidRPr="008B3B03">
        <w:t>–</w:t>
      </w:r>
      <w:r w:rsidRPr="00E22135">
        <w:t>2022 годы);</w:t>
      </w:r>
    </w:p>
    <w:p w14:paraId="68F0FAF3" w14:textId="5B620119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третьего национального плана действий в области прав человека (2018</w:t>
      </w:r>
      <w:r w:rsidR="008B3B03" w:rsidRPr="008B3B03">
        <w:t>–</w:t>
      </w:r>
      <w:r w:rsidRPr="00E22135">
        <w:t xml:space="preserve">2022 годы); </w:t>
      </w:r>
    </w:p>
    <w:p w14:paraId="7FD819A2" w14:textId="0FA7B662" w:rsidR="00E22135" w:rsidRPr="00E22135" w:rsidRDefault="00E22135" w:rsidP="00E22135">
      <w:pPr>
        <w:pStyle w:val="SingleTxt"/>
      </w:pPr>
      <w:r w:rsidRPr="00E22135">
        <w:tab/>
        <w:t>e)</w:t>
      </w:r>
      <w:r w:rsidRPr="00E22135">
        <w:tab/>
        <w:t xml:space="preserve">Национальной программы по имплементации резолюции </w:t>
      </w:r>
      <w:hyperlink r:id="rId22" w:history="1">
        <w:r w:rsidRPr="008B1DDC">
          <w:rPr>
            <w:rStyle w:val="Hyperlink"/>
          </w:rPr>
          <w:t>1325 (2000)</w:t>
        </w:r>
      </w:hyperlink>
      <w:r w:rsidRPr="00E22135">
        <w:t xml:space="preserve"> Совета Безопасности о женщинах и мире и безопасности (2018</w:t>
      </w:r>
      <w:r w:rsidR="008B3B03" w:rsidRPr="008B3B03">
        <w:t>–</w:t>
      </w:r>
      <w:r w:rsidRPr="00E22135">
        <w:t>2021 годы) и национального плана действий по ее выполнению;</w:t>
      </w:r>
    </w:p>
    <w:p w14:paraId="205C687F" w14:textId="0CFDC7E0" w:rsidR="00E22135" w:rsidRPr="00E22135" w:rsidRDefault="00E22135" w:rsidP="00E22135">
      <w:pPr>
        <w:pStyle w:val="SingleTxt"/>
      </w:pPr>
      <w:r w:rsidRPr="00E22135">
        <w:tab/>
        <w:t>f)</w:t>
      </w:r>
      <w:r w:rsidRPr="00E22135">
        <w:tab/>
        <w:t>Стратегии по обеспечению гендерного равенства (2017</w:t>
      </w:r>
      <w:r w:rsidR="008B3B03" w:rsidRPr="008B3B03">
        <w:t>–</w:t>
      </w:r>
      <w:r w:rsidRPr="00E22135">
        <w:t>2021 годы) и соответствующего плана действий;</w:t>
      </w:r>
    </w:p>
    <w:p w14:paraId="1421815E" w14:textId="445A7BB7" w:rsidR="00E22135" w:rsidRPr="00E22135" w:rsidRDefault="00E22135" w:rsidP="00E22135">
      <w:pPr>
        <w:pStyle w:val="SingleTxt"/>
      </w:pPr>
      <w:r w:rsidRPr="00E22135">
        <w:tab/>
        <w:t>g)</w:t>
      </w:r>
      <w:r w:rsidRPr="00E22135">
        <w:tab/>
        <w:t>Программы действий правительства Республики Молдова (2016</w:t>
      </w:r>
      <w:r w:rsidR="008B3B03" w:rsidRPr="008B3B03">
        <w:t>–</w:t>
      </w:r>
      <w:r w:rsidRPr="00E22135">
        <w:t>2018</w:t>
      </w:r>
      <w:r w:rsidR="008B3B03">
        <w:rPr>
          <w:lang w:val="en-US"/>
        </w:rPr>
        <w:t> </w:t>
      </w:r>
      <w:r w:rsidRPr="00E22135">
        <w:t>годы), которая направлена на преодоление гендерных стереотипов и поощрение участия женщин в политической жизни и на руководящих должностях;</w:t>
      </w:r>
    </w:p>
    <w:p w14:paraId="646CB396" w14:textId="5E48F70B" w:rsidR="00E22135" w:rsidRDefault="00E22135" w:rsidP="00E22135">
      <w:pPr>
        <w:pStyle w:val="SingleTxt"/>
      </w:pPr>
      <w:r w:rsidRPr="00E22135">
        <w:tab/>
        <w:t>h)</w:t>
      </w:r>
      <w:r w:rsidRPr="00E22135">
        <w:tab/>
        <w:t>Офиса народного адвоката (омбудсмена), в 2016 году.</w:t>
      </w:r>
    </w:p>
    <w:p w14:paraId="303A397D" w14:textId="44BC37BE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03B34ADF" w14:textId="104BEE22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3932636D" w14:textId="1D38B91B" w:rsidR="00E22135" w:rsidRDefault="008B3B03" w:rsidP="008B3B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22135" w:rsidRPr="00E22135">
        <w:t>C.</w:t>
      </w:r>
      <w:r w:rsidR="00E22135" w:rsidRPr="00E22135">
        <w:tab/>
        <w:t>Цели в области устойчивого развития</w:t>
      </w:r>
    </w:p>
    <w:p w14:paraId="242212B5" w14:textId="4A3471AF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58FA2ECC" w14:textId="10E23B5A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5D1D0F95" w14:textId="24FCD49B" w:rsidR="00E22135" w:rsidRDefault="00E22135" w:rsidP="00E22135">
      <w:pPr>
        <w:pStyle w:val="SingleTxt"/>
        <w:rPr>
          <w:b/>
          <w:bCs/>
        </w:rPr>
      </w:pPr>
      <w:r w:rsidRPr="00E22135">
        <w:t>6.</w:t>
      </w:r>
      <w:r w:rsidRPr="00E22135">
        <w:tab/>
      </w:r>
      <w:r w:rsidRPr="00E22135">
        <w:rPr>
          <w:b/>
          <w:bCs/>
        </w:rPr>
        <w:t xml:space="preserve">Комитет с удовлетворением отмечает поддержку международным сообществом целей в области устойчивого развития и призывает к обеспечению гендерного равенства де-юре (на законодательном уровне) и де-факто (на практике) в соответствии с положениями Конвенции на протяжении всего процесса осуществления Повестки дня в области устойчивого развития на </w:t>
      </w:r>
      <w:r w:rsidRPr="00E22135">
        <w:rPr>
          <w:b/>
          <w:bCs/>
        </w:rPr>
        <w:lastRenderedPageBreak/>
        <w:t>период до 2030 года.</w:t>
      </w:r>
      <w:r w:rsidRPr="00E22135">
        <w:t xml:space="preserve"> </w:t>
      </w:r>
      <w:r w:rsidRPr="00E22135">
        <w:rPr>
          <w:b/>
          <w:bCs/>
        </w:rPr>
        <w:t>Комитет напоминает о важности цели 5 и необходимости учета принципов равенства и недискриминации в процессе достижения всех 17 целей.</w:t>
      </w:r>
      <w:r w:rsidRPr="00E22135">
        <w:t xml:space="preserve"> </w:t>
      </w:r>
      <w:r w:rsidRPr="00E22135">
        <w:rPr>
          <w:b/>
          <w:bCs/>
        </w:rPr>
        <w:t>Он настоятельно призывает государство-участник признать, что женщины являются движущей силой его устойчивого развития, и исходя из этого принять соответствующие программные меры и стратегии.</w:t>
      </w:r>
    </w:p>
    <w:p w14:paraId="1274F216" w14:textId="2B77FD2D" w:rsidR="008B3B03" w:rsidRPr="008B3B03" w:rsidRDefault="008B3B03" w:rsidP="008B3B03">
      <w:pPr>
        <w:pStyle w:val="SingleTxt"/>
        <w:spacing w:after="0" w:line="120" w:lineRule="exact"/>
        <w:rPr>
          <w:b/>
          <w:bCs/>
          <w:sz w:val="10"/>
        </w:rPr>
      </w:pPr>
    </w:p>
    <w:p w14:paraId="35387041" w14:textId="51373D56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3EEBAFCE" w14:textId="5D609006" w:rsidR="00E22135" w:rsidRDefault="008B3B03" w:rsidP="008B3B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22135" w:rsidRPr="00E22135">
        <w:t>D.</w:t>
      </w:r>
      <w:r w:rsidR="00E22135" w:rsidRPr="00E22135">
        <w:tab/>
        <w:t>Парламент</w:t>
      </w:r>
    </w:p>
    <w:p w14:paraId="5C820C59" w14:textId="042087D4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6F078D28" w14:textId="0FBF19C4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72C44228" w14:textId="300C7624" w:rsidR="00E22135" w:rsidRDefault="00E22135" w:rsidP="00E22135">
      <w:pPr>
        <w:pStyle w:val="SingleTxt"/>
      </w:pPr>
      <w:r w:rsidRPr="00E22135">
        <w:t>7.</w:t>
      </w:r>
      <w:r w:rsidRPr="00E22135">
        <w:tab/>
      </w:r>
      <w:r w:rsidRPr="00E22135">
        <w:rPr>
          <w:b/>
          <w:bCs/>
        </w:rPr>
        <w:t xml:space="preserve">Комитет подчеркивает важнейшую роль законодательной власти в обеспечении полного осуществления Конвенции (см. </w:t>
      </w:r>
      <w:hyperlink r:id="rId23" w:history="1">
        <w:r w:rsidRPr="008B1DDC">
          <w:rPr>
            <w:rStyle w:val="Hyperlink"/>
            <w:b/>
            <w:bCs/>
          </w:rPr>
          <w:t>A/65/38</w:t>
        </w:r>
      </w:hyperlink>
      <w:r w:rsidRPr="00E22135">
        <w:rPr>
          <w:b/>
          <w:bCs/>
        </w:rPr>
        <w:t>, часть 2, приложение VI).</w:t>
      </w:r>
      <w:r w:rsidRPr="00E22135">
        <w:t xml:space="preserve"> </w:t>
      </w:r>
      <w:r w:rsidRPr="00E22135">
        <w:rPr>
          <w:b/>
          <w:bCs/>
        </w:rPr>
        <w:t>Он предлагает парламенту Республики Молдова, действуя в соответствии со своим мандатом, принять необходимые меры для выполнения настоящих заключительных замечаний в период до представления следующего периодического доклада в соответствии с Конвенцией.</w:t>
      </w:r>
      <w:r w:rsidRPr="00E22135">
        <w:t xml:space="preserve"> </w:t>
      </w:r>
    </w:p>
    <w:p w14:paraId="0F714B0F" w14:textId="08593FCA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62F0EAD8" w14:textId="4F6E3EBA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6E2AEDF1" w14:textId="0DA37F46" w:rsidR="00E22135" w:rsidRDefault="008B3B03" w:rsidP="008B3B0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22135" w:rsidRPr="00E22135">
        <w:t>E.</w:t>
      </w:r>
      <w:r w:rsidR="00E22135" w:rsidRPr="00E22135">
        <w:tab/>
        <w:t>Основные вопросы, вызывающие обеспокоенность, и рекомендации</w:t>
      </w:r>
    </w:p>
    <w:p w14:paraId="5456584A" w14:textId="0F85E564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1EBDE8AC" w14:textId="7693E2ED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7FF728AA" w14:textId="1B66E4D3" w:rsidR="00E22135" w:rsidRDefault="00E22135" w:rsidP="008B3B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Распространение информации о Конвенции, Факультативном протоколе и общих рекомендациях Комитета </w:t>
      </w:r>
    </w:p>
    <w:p w14:paraId="55652108" w14:textId="23B11A75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47DFF42C" w14:textId="7EE99A0A" w:rsidR="00E22135" w:rsidRPr="00E22135" w:rsidRDefault="00E22135" w:rsidP="00E22135">
      <w:pPr>
        <w:pStyle w:val="SingleTxt"/>
      </w:pPr>
      <w:r w:rsidRPr="00E22135">
        <w:t>8.</w:t>
      </w:r>
      <w:r w:rsidRPr="00E22135">
        <w:tab/>
        <w:t xml:space="preserve">Комитет принимает к сведению сделанное в ходе диалога заявление делегации о том, что для юристов была организована подготовка по вопросам Конвенции. Вместе с тем он по-прежнему обеспокоен отсутствием информации о судебных делах, при рассмотрении которых непосредственно применялась Конвенция. Комитет также принимает к сведению представленную делегацией информацию о недостаточной осведомленности широкой общественности в вопросах гендерного равенства. </w:t>
      </w:r>
    </w:p>
    <w:p w14:paraId="75A723E8" w14:textId="77777777" w:rsidR="00E22135" w:rsidRPr="00E22135" w:rsidRDefault="00E22135" w:rsidP="00E22135">
      <w:pPr>
        <w:pStyle w:val="SingleTxt"/>
      </w:pPr>
      <w:r w:rsidRPr="00E22135">
        <w:t>9.</w:t>
      </w:r>
      <w:r w:rsidRPr="00E22135">
        <w:tab/>
      </w:r>
      <w:r w:rsidRPr="00E22135">
        <w:rPr>
          <w:b/>
          <w:bCs/>
        </w:rPr>
        <w:t>Комитет рекомендует государству-участнику:</w:t>
      </w:r>
    </w:p>
    <w:p w14:paraId="28197903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усилить подготовку всех соответствующих должностных лиц по вопросам Конвенции, Факультативного протокола и в связи с общими рекомендациями Комитета;</w:t>
      </w:r>
    </w:p>
    <w:p w14:paraId="74443A22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обеспечивать систематическую подготовку судей, прокуроров, сотрудников правоохранительных органов, адвокатов и других юристов, что позволит им непосредственно применять положения Конвенции и/или толковать национальное законодательство в соответствии с Конвенцией;</w:t>
      </w:r>
      <w:r w:rsidRPr="00E22135">
        <w:t xml:space="preserve">  </w:t>
      </w:r>
    </w:p>
    <w:p w14:paraId="78772694" w14:textId="1FDE7475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принять меры для повышения уровня осведомленности общественности о правах женщин в соответствии с Конвенцией, процедурами в рамках Факультативного протокола и национальным законодательством, запрещающим дискриминацию в отношении женщин.</w:t>
      </w:r>
    </w:p>
    <w:p w14:paraId="3426818C" w14:textId="4444B7EB" w:rsidR="008B3B03" w:rsidRPr="008B3B03" w:rsidRDefault="008B3B03" w:rsidP="008B3B03">
      <w:pPr>
        <w:pStyle w:val="SingleTxt"/>
        <w:spacing w:after="0" w:line="120" w:lineRule="exact"/>
        <w:rPr>
          <w:b/>
          <w:bCs/>
          <w:sz w:val="10"/>
        </w:rPr>
      </w:pPr>
    </w:p>
    <w:p w14:paraId="0E100244" w14:textId="00644F98" w:rsidR="00E22135" w:rsidRDefault="00E22135" w:rsidP="008B3B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Определение дискриминации</w:t>
      </w:r>
    </w:p>
    <w:p w14:paraId="234E3471" w14:textId="0A3E8BB4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17339FFB" w14:textId="77777777" w:rsidR="00E22135" w:rsidRPr="00E22135" w:rsidRDefault="00E22135" w:rsidP="00E22135">
      <w:pPr>
        <w:pStyle w:val="SingleTxt"/>
      </w:pPr>
      <w:r w:rsidRPr="00E22135">
        <w:t>10.</w:t>
      </w:r>
      <w:r w:rsidRPr="00E22135">
        <w:tab/>
        <w:t>Комитет высоко оценивает принятие государством-участником различных стратегических планов и нормативно-правовой базы в целях расширения прав женщин. Вместе с тем он с озабоченностью отмечает, что Закон об обеспечении равных возможностей для женщин и мужчин и Закон об обеспечении равенства не обеспечивают непосредственной защиты женщин от перекрестных форм дискриминации, в том числе по признаку сексуальной ориентации, как это предусмотрено в некоторых национальных законодательствах.</w:t>
      </w:r>
    </w:p>
    <w:p w14:paraId="30255D3D" w14:textId="77777777" w:rsidR="008B3B03" w:rsidRDefault="008B3B03">
      <w:pPr>
        <w:spacing w:after="200" w:line="276" w:lineRule="auto"/>
      </w:pPr>
      <w:r>
        <w:br w:type="page"/>
      </w:r>
    </w:p>
    <w:p w14:paraId="328D1948" w14:textId="2476A74E" w:rsidR="00E22135" w:rsidRDefault="00E22135" w:rsidP="00E22135">
      <w:pPr>
        <w:pStyle w:val="SingleTxt"/>
      </w:pPr>
      <w:r w:rsidRPr="00E22135">
        <w:lastRenderedPageBreak/>
        <w:t>11.</w:t>
      </w:r>
      <w:r w:rsidRPr="00E22135">
        <w:tab/>
      </w:r>
      <w:r w:rsidRPr="00E22135">
        <w:rPr>
          <w:b/>
          <w:bCs/>
        </w:rPr>
        <w:t>Комитет рекомендует государству-участнику внести поправки в Закон об обеспечении равных возможностей для женщин и мужчин и/или Закон об обеспечении равенства, включив в него всеобъемлющее определение дискриминации в отношении женщин, которое охватывало бы, помимо прямой и косвенной дискриминации, дискриминацию в публичной и частной сферах и перекрестные формы дискриминации, в соответствии со статьей 1 Конвенции.</w:t>
      </w:r>
      <w:r w:rsidRPr="00E22135">
        <w:t xml:space="preserve"> </w:t>
      </w:r>
    </w:p>
    <w:p w14:paraId="76FD3360" w14:textId="6AA8D41F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6A0FA25D" w14:textId="459944BE" w:rsidR="00E22135" w:rsidRDefault="00E22135" w:rsidP="008B3B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Доступ к правосудию </w:t>
      </w:r>
    </w:p>
    <w:p w14:paraId="23EF0331" w14:textId="235A444C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74D4C75D" w14:textId="77777777" w:rsidR="00E22135" w:rsidRPr="00E22135" w:rsidRDefault="00E22135" w:rsidP="00E22135">
      <w:pPr>
        <w:pStyle w:val="SingleTxt"/>
      </w:pPr>
      <w:r w:rsidRPr="00E22135">
        <w:t>12.</w:t>
      </w:r>
      <w:r w:rsidRPr="00E22135">
        <w:tab/>
        <w:t>Комитет обеспокоен ограничениями доступа женщин к правосудию в государстве-участнике, в том числе:</w:t>
      </w:r>
    </w:p>
    <w:p w14:paraId="21F1251C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положениями Кодекса о правонарушениях, которые снижают уголовную ответственность лиц, совершающих насилие в семье, и ограничивают доступ женщин к уголовному правосудию;</w:t>
      </w:r>
    </w:p>
    <w:p w14:paraId="3B29736C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>препятствиями, с которыми сталкиваются жертвы ненавистнических высказываний и женщины, принадлежащие к обездоленным группам населения, при получении доступа к правовой помощи;</w:t>
      </w:r>
    </w:p>
    <w:p w14:paraId="403DBE51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неполным осуществлением положений Закона № 196/2016 о предоставлении бесплатной юридической помощи жертвам гендерного насилия;</w:t>
      </w:r>
    </w:p>
    <w:p w14:paraId="1BBAF93A" w14:textId="77777777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ограниченным доступом к правосудию для женщин-инвалидов.</w:t>
      </w:r>
    </w:p>
    <w:p w14:paraId="6EF7EAB4" w14:textId="6CE92E51" w:rsidR="00E22135" w:rsidRPr="00E22135" w:rsidRDefault="00E22135" w:rsidP="00E22135">
      <w:pPr>
        <w:pStyle w:val="SingleTxt"/>
      </w:pPr>
      <w:r w:rsidRPr="00E22135">
        <w:t>13.</w:t>
      </w:r>
      <w:r w:rsidRPr="00E22135">
        <w:tab/>
      </w:r>
      <w:r w:rsidRPr="00E22135">
        <w:rPr>
          <w:b/>
          <w:bCs/>
        </w:rPr>
        <w:t xml:space="preserve">Ссылаясь на свою общую рекомендацию № </w:t>
      </w:r>
      <w:r w:rsidRPr="00B7198D">
        <w:rPr>
          <w:b/>
          <w:bCs/>
        </w:rPr>
        <w:t>33 (2015)</w:t>
      </w:r>
      <w:r w:rsidRPr="00E22135">
        <w:rPr>
          <w:b/>
          <w:bCs/>
        </w:rPr>
        <w:t>, касающуюся доступа женщин к правосудию, Комитет рекомендует государству-участнику:</w:t>
      </w:r>
    </w:p>
    <w:p w14:paraId="37F3E3EB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внести поправки в статью 78 Кодекса о правонарушениях, с тем чтобы исключить положение, освобождающее от уголовной ответственности лиц, совершивших насилие в отношении женщин, и поощрять женщин к тому, чтобы они сообщали о случаях гендерного насилия в соответствующие органы власти, не опасаясь стигматизации, путем обеспечения им доступа к уголовному правосудию;</w:t>
      </w:r>
    </w:p>
    <w:p w14:paraId="227B70D6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повышать осведомленность женщин, в том числе женщин, принадлежащих к группам этнических меньшинств, женщин-инвалидов, женщин-мигрантов, пожилых женщин, а также лесбиянок, бисексуалок и трансгендеров, об их правах и имеющихся в их распоряжении средствах правовой защиты для отстаивания этих прав;</w:t>
      </w:r>
    </w:p>
    <w:p w14:paraId="74A479A3" w14:textId="3492C751" w:rsidR="00E22135" w:rsidRPr="00E22135" w:rsidRDefault="00E22135" w:rsidP="008B3B03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обеспечить надлежащие людские, технические и финансовые ресурсы для предоставления бесплатной юридической помощи в соответствии с Законом № 196/2016 о внесении изменений и дополнений в</w:t>
      </w:r>
      <w:r w:rsidR="008B3B03">
        <w:rPr>
          <w:b/>
          <w:bCs/>
        </w:rPr>
        <w:br/>
      </w:r>
      <w:r w:rsidRPr="00E22135">
        <w:rPr>
          <w:b/>
          <w:bCs/>
        </w:rPr>
        <w:t>Закон</w:t>
      </w:r>
      <w:r w:rsidR="008B3B03" w:rsidRPr="008B3B03">
        <w:rPr>
          <w:b/>
          <w:bCs/>
        </w:rPr>
        <w:t xml:space="preserve"> </w:t>
      </w:r>
      <w:r w:rsidRPr="00E22135">
        <w:rPr>
          <w:b/>
          <w:bCs/>
        </w:rPr>
        <w:t>№ 45-XVI о предупреждении и пресечении насилия в семье;</w:t>
      </w:r>
    </w:p>
    <w:p w14:paraId="64DB4F62" w14:textId="7DF52F9C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решать вопросы физической и коммуникационной доступности в судах, включая отсутствие процессуальных коррективов в ходе судебного процесса и лишение дееспособности по причине инвалидности.</w:t>
      </w:r>
    </w:p>
    <w:p w14:paraId="423074EC" w14:textId="5802684F" w:rsidR="008B3B03" w:rsidRPr="008B3B03" w:rsidRDefault="008B3B03" w:rsidP="008B3B03">
      <w:pPr>
        <w:pStyle w:val="SingleTxt"/>
        <w:spacing w:after="0" w:line="120" w:lineRule="exact"/>
        <w:rPr>
          <w:b/>
          <w:bCs/>
          <w:sz w:val="10"/>
        </w:rPr>
      </w:pPr>
    </w:p>
    <w:p w14:paraId="4C815577" w14:textId="3E818B2A" w:rsidR="00E22135" w:rsidRDefault="00E22135" w:rsidP="008B3B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Национальные механизмы по улучшению положения женщин</w:t>
      </w:r>
    </w:p>
    <w:p w14:paraId="0AC4B0EA" w14:textId="36C3AEA4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18B8A188" w14:textId="77777777" w:rsidR="00E22135" w:rsidRPr="00E22135" w:rsidRDefault="00E22135" w:rsidP="00E22135">
      <w:pPr>
        <w:pStyle w:val="SingleTxt"/>
      </w:pPr>
      <w:r w:rsidRPr="00E22135">
        <w:t>14.</w:t>
      </w:r>
      <w:r w:rsidRPr="00E22135">
        <w:tab/>
        <w:t>Комитет приветствует шаги, предпринятые Министерством здравоохранения, труда и социальной защиты в сотрудничестве с организациями гражданского общества по внесению изменений в постановления, касающиеся функционирования Правительственной комиссии по гендерному равенству, которая приостановила свою деятельность. Вместе с тем беспокойство Комитета вызывает:</w:t>
      </w:r>
    </w:p>
    <w:p w14:paraId="7E199613" w14:textId="77777777" w:rsidR="00E22135" w:rsidRPr="00E22135" w:rsidRDefault="00E22135" w:rsidP="00E22135">
      <w:pPr>
        <w:pStyle w:val="SingleTxt"/>
      </w:pPr>
      <w:r w:rsidRPr="00E22135">
        <w:lastRenderedPageBreak/>
        <w:tab/>
        <w:t>а)</w:t>
      </w:r>
      <w:r w:rsidRPr="00E22135">
        <w:tab/>
        <w:t xml:space="preserve">отсутствие действующего органа по вопросам гендерного равенства в составе кабинета министров после приостановки деятельности Правительственной комиссии по гендерному равенству;  </w:t>
      </w:r>
    </w:p>
    <w:p w14:paraId="369F5588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 xml:space="preserve">тот факт, что Совет </w:t>
      </w:r>
      <w:bookmarkStart w:id="3" w:name="_Hlk35338603"/>
      <w:r w:rsidRPr="00E22135">
        <w:t>по предупреждению и ликвидации дискриминации и обеспечению равенства</w:t>
      </w:r>
      <w:bookmarkEnd w:id="3"/>
      <w:r w:rsidRPr="00E22135">
        <w:t xml:space="preserve"> не уполномочен вводить санкции за дискриминацию по признаку пола и что законопроект, направленный на укрепление Совета, был снят с рассмотрения после принятия постановления № 635/2018;</w:t>
      </w:r>
    </w:p>
    <w:p w14:paraId="19A11B59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отсутствие информации о механизмах межотраслевого сотрудничества и порядке отчетности в рамках национального механизма, в том числе среди координаторов по гендерным вопросам на местном уровне и координационных групп по гендерным вопросам в министерствах;</w:t>
      </w:r>
    </w:p>
    <w:p w14:paraId="54A2F01C" w14:textId="77777777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низкий уровень образованности по гендерным вопросам среди сотрудников гражданской службы;</w:t>
      </w:r>
    </w:p>
    <w:p w14:paraId="09E246A8" w14:textId="77777777" w:rsidR="00E22135" w:rsidRPr="00E22135" w:rsidRDefault="00E22135" w:rsidP="00E22135">
      <w:pPr>
        <w:pStyle w:val="SingleTxt"/>
      </w:pPr>
      <w:r w:rsidRPr="00E22135">
        <w:tab/>
        <w:t>e)</w:t>
      </w:r>
      <w:r w:rsidRPr="00E22135">
        <w:tab/>
        <w:t>ограниченное применение практики формирования бюджета с учетом гендерных факторов в государстве-участнике;</w:t>
      </w:r>
    </w:p>
    <w:p w14:paraId="48BD3E66" w14:textId="6234B919" w:rsidR="00E22135" w:rsidRPr="00E22135" w:rsidRDefault="00E22135" w:rsidP="00E22135">
      <w:pPr>
        <w:pStyle w:val="SingleTxt"/>
      </w:pPr>
      <w:r w:rsidRPr="00E22135">
        <w:tab/>
        <w:t>f)</w:t>
      </w:r>
      <w:r w:rsidRPr="00E22135">
        <w:tab/>
        <w:t>вышеупомянутые пробелы в национальном механизме по улучшению положения женщин также отрицательно сказываются на эффективном осуществлении национального законодательства о гендерном равенстве и Стратегии по обеспечению равенства между женщинами и мужчинами (2017</w:t>
      </w:r>
      <w:r w:rsidR="008B3B03" w:rsidRPr="008B3B03">
        <w:t>–</w:t>
      </w:r>
      <w:r w:rsidRPr="00E22135">
        <w:t>2021</w:t>
      </w:r>
      <w:r w:rsidR="008B3B03">
        <w:rPr>
          <w:lang w:val="en-US"/>
        </w:rPr>
        <w:t> </w:t>
      </w:r>
      <w:r w:rsidRPr="00E22135">
        <w:t>годы).</w:t>
      </w:r>
    </w:p>
    <w:p w14:paraId="1F0F9EB5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>15.</w:t>
      </w:r>
      <w:r w:rsidRPr="00E22135">
        <w:tab/>
      </w:r>
      <w:r w:rsidRPr="00E22135">
        <w:rPr>
          <w:b/>
          <w:bCs/>
        </w:rPr>
        <w:t>Комитет рекомендует государству-участнику:</w:t>
      </w:r>
    </w:p>
    <w:p w14:paraId="35483C74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возобновить без промедления деятельность Правительственной комиссии по гендерному равенству или рассмотреть вопрос о создании в кабинете министров еще одного органа, ответственного за поощрение гендерного равенства;</w:t>
      </w:r>
      <w:r w:rsidRPr="00E22135">
        <w:t xml:space="preserve">  </w:t>
      </w:r>
    </w:p>
    <w:p w14:paraId="2F43F88C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возобновить без промедления законодательный процесс по внесению изменений в Закон 298/2012 о деятельности Совета по предупреждению и ликвидации дискриминации и обеспечению равенства, с тем чтобы наделить Совет широкими полномочиями в отношении защиты прав женщин и полномочиями принимать обязательные к исполнению решения и вводить санкции за дискриминацию по признаку пола, обеспечив при этом выделение адекватных ресурсов;</w:t>
      </w:r>
      <w:r w:rsidRPr="00E22135">
        <w:t xml:space="preserve"> </w:t>
      </w:r>
    </w:p>
    <w:p w14:paraId="5DA2D47F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обеспечить эффективную координацию между местными координаторами по гендерным вопросам, подразделениями по координации гендерных вопросов в различных министерствах, Департаментом политики по обеспечению гендерного равенства в Министерстве здравоохранения, труда и социальной защиты, Правительственным комитетом по вопросам равенства между женщинами и мужчинами или альтернативным органом, ответственным за обеспечение гендерного равенства в правительстве, путем четкого определения их мандатов и обязанностей по осуществлению национального законодательства и основ политики в области гендерного равенства;</w:t>
      </w:r>
    </w:p>
    <w:p w14:paraId="4ABEEA79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проводить систематическую подготовку по вопросам прав женщин и гендерного равенства для государственных служащих при их первоначальном назначении и организовывать курсы повышения квалификации на регулярной основе, а также отслеживать прогресс в целях обеспечения учета гендерной проблематики во всех секторах;</w:t>
      </w:r>
    </w:p>
    <w:p w14:paraId="77E98F93" w14:textId="77777777" w:rsidR="008B3B03" w:rsidRDefault="008B3B03">
      <w:pPr>
        <w:spacing w:after="200" w:line="276" w:lineRule="auto"/>
      </w:pPr>
      <w:r>
        <w:br w:type="page"/>
      </w:r>
    </w:p>
    <w:p w14:paraId="1935F1BC" w14:textId="1BADDC4F" w:rsidR="00E22135" w:rsidRPr="00E22135" w:rsidRDefault="00E22135" w:rsidP="00E22135">
      <w:pPr>
        <w:pStyle w:val="SingleTxt"/>
        <w:rPr>
          <w:b/>
        </w:rPr>
      </w:pPr>
      <w:r w:rsidRPr="00E22135">
        <w:lastRenderedPageBreak/>
        <w:tab/>
      </w:r>
      <w:r w:rsidRPr="00E22135">
        <w:rPr>
          <w:b/>
          <w:bCs/>
        </w:rPr>
        <w:t>e)</w:t>
      </w:r>
      <w:r w:rsidRPr="00E22135">
        <w:tab/>
      </w:r>
      <w:r w:rsidRPr="00E22135">
        <w:rPr>
          <w:b/>
          <w:bCs/>
        </w:rPr>
        <w:t>создать механизмы мониторинга практики формирования бюджета с учетом гендерных аспектов во всех секторах;</w:t>
      </w:r>
    </w:p>
    <w:p w14:paraId="4587819A" w14:textId="09AEB010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f)</w:t>
      </w:r>
      <w:r w:rsidRPr="00E22135">
        <w:tab/>
      </w:r>
      <w:r w:rsidRPr="00E22135">
        <w:rPr>
          <w:b/>
          <w:bCs/>
        </w:rPr>
        <w:t xml:space="preserve">укрепить потенциал Департамента политики обеспечения гендерного равенства в Министерстве здравоохранения, труда и социальной защиты для координации и мониторинга осуществления законодательных актов и </w:t>
      </w:r>
      <w:r w:rsidR="001D455B" w:rsidRPr="00E22135">
        <w:rPr>
          <w:b/>
          <w:bCs/>
        </w:rPr>
        <w:t>программных</w:t>
      </w:r>
      <w:r w:rsidRPr="00E22135">
        <w:rPr>
          <w:b/>
          <w:bCs/>
        </w:rPr>
        <w:t xml:space="preserve"> мер, касающихся гендерного равенства, включая Стратегию обеспечения равенства между женщинами и мужчинами (2017</w:t>
      </w:r>
      <w:r w:rsidR="008B3B03" w:rsidRPr="008B3B03">
        <w:rPr>
          <w:b/>
          <w:bCs/>
        </w:rPr>
        <w:t>–</w:t>
      </w:r>
      <w:r w:rsidRPr="00E22135">
        <w:rPr>
          <w:b/>
          <w:bCs/>
        </w:rPr>
        <w:t>2021 годы) и соответствующие планы действий.</w:t>
      </w:r>
    </w:p>
    <w:p w14:paraId="7A83D5A5" w14:textId="5635E22D" w:rsidR="00E22135" w:rsidRPr="008B3B03" w:rsidRDefault="00E22135" w:rsidP="008B3B03">
      <w:pPr>
        <w:pStyle w:val="SingleTxt"/>
        <w:spacing w:after="0" w:line="120" w:lineRule="exact"/>
        <w:rPr>
          <w:sz w:val="10"/>
        </w:rPr>
      </w:pPr>
    </w:p>
    <w:p w14:paraId="2EA81FF1" w14:textId="59E65B10" w:rsidR="00E22135" w:rsidRDefault="00E22135" w:rsidP="008B3B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Национальные органы по правам человека </w:t>
      </w:r>
    </w:p>
    <w:p w14:paraId="75406DAB" w14:textId="43BC38CD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02DE23EA" w14:textId="5B542680" w:rsidR="00E22135" w:rsidRPr="00E22135" w:rsidRDefault="00E22135" w:rsidP="00E22135">
      <w:pPr>
        <w:pStyle w:val="SingleTxt"/>
      </w:pPr>
      <w:r w:rsidRPr="00E22135">
        <w:t>16.</w:t>
      </w:r>
      <w:r w:rsidRPr="00E22135">
        <w:tab/>
        <w:t>Комитет с удовлетворением принимает к сведению тот факт, что в 2018</w:t>
      </w:r>
      <w:r w:rsidR="008B3B03">
        <w:rPr>
          <w:lang w:val="en-US"/>
        </w:rPr>
        <w:t> </w:t>
      </w:r>
      <w:r w:rsidRPr="00E22135">
        <w:t>году Офис народного адвоката получил аккредитацию со статусом А в Глобальном альянсе национальных правозащитных учреждений. Вместе с тем у Комитета вызывают беспокойство:</w:t>
      </w:r>
    </w:p>
    <w:p w14:paraId="1F1486CD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отсутствие достаточных людских и финансовых ресурсов, выделяемых Офису народного адвоката для эффективного выполнения его мандата;</w:t>
      </w:r>
    </w:p>
    <w:p w14:paraId="71842231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 xml:space="preserve">отсутствие процессуальных гарантий обеспечения независимости при назначении омбудсмена Офиса народного адвоката. </w:t>
      </w:r>
    </w:p>
    <w:p w14:paraId="752099B9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>17.</w:t>
      </w:r>
      <w:r w:rsidRPr="00E22135">
        <w:tab/>
      </w:r>
      <w:r w:rsidRPr="00E22135">
        <w:rPr>
          <w:b/>
          <w:bCs/>
        </w:rPr>
        <w:t>Комитет рекомендует государству-участнику:</w:t>
      </w:r>
    </w:p>
    <w:p w14:paraId="7EB64C02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предоставить Офису народного адвоката достаточные людские, технические и финансовые ресурсы, с тем чтобы он мог эффективно выполнять свой мандат по поощрению и защите прав женщин и гендерного равенства;</w:t>
      </w:r>
    </w:p>
    <w:p w14:paraId="328EE808" w14:textId="4655D045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обеспечить независимость омбудсмена Офиса народного адвоката и в полной мере выполнить рекомендации, вынесенные Подкомитетом по аккредитации Глобального альянса национальных правозащитных учреждений в 2018 году.</w:t>
      </w:r>
    </w:p>
    <w:p w14:paraId="6523C3C0" w14:textId="2819910A" w:rsidR="008B3B03" w:rsidRPr="008B3B03" w:rsidRDefault="008B3B03" w:rsidP="008B3B03">
      <w:pPr>
        <w:pStyle w:val="SingleTxt"/>
        <w:spacing w:after="0" w:line="120" w:lineRule="exact"/>
        <w:rPr>
          <w:b/>
          <w:bCs/>
          <w:sz w:val="10"/>
        </w:rPr>
      </w:pPr>
    </w:p>
    <w:p w14:paraId="2F6845C3" w14:textId="71F53867" w:rsidR="00E22135" w:rsidRDefault="00E22135" w:rsidP="008B3B0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Временные специальные меры </w:t>
      </w:r>
    </w:p>
    <w:p w14:paraId="6781C2AC" w14:textId="7816390A" w:rsidR="008B3B03" w:rsidRPr="008B3B03" w:rsidRDefault="008B3B03" w:rsidP="008B3B03">
      <w:pPr>
        <w:pStyle w:val="SingleTxt"/>
        <w:spacing w:after="0" w:line="120" w:lineRule="exact"/>
        <w:rPr>
          <w:sz w:val="10"/>
        </w:rPr>
      </w:pPr>
    </w:p>
    <w:p w14:paraId="4E490EEC" w14:textId="77777777" w:rsidR="00E22135" w:rsidRPr="00E22135" w:rsidRDefault="00E22135" w:rsidP="00E22135">
      <w:pPr>
        <w:pStyle w:val="SingleTxt"/>
      </w:pPr>
      <w:r w:rsidRPr="00E22135">
        <w:t>18.</w:t>
      </w:r>
      <w:r w:rsidRPr="00E22135">
        <w:tab/>
        <w:t>Комитет приветствует введение минимальной квоты в 40 процентов для представленности женщин и мужчин в качестве кандидатов в избирательных списках политических партий на парламентских и местных выборах, а также санкций за ее несоблюдение. Он также с удовлетворением отмечает, что на парламентских выборах 2019 года женщины составляли 41,8 процента кандидатов в избирательных списках политических партий. Вместе с тем Комитет с обеспокоенностью отмечает:</w:t>
      </w:r>
    </w:p>
    <w:p w14:paraId="63CE5FB4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что несмотря на принятие Закона № 71/2016, в Законе о правительстве не предусмотрена минимальная квота в 40 процентов для представленности женщин в правительстве;</w:t>
      </w:r>
    </w:p>
    <w:p w14:paraId="7F3A72C6" w14:textId="3BF03F52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>отсутствие информации о последствиях введения минимальной</w:t>
      </w:r>
      <w:r w:rsidR="008B1DDC">
        <w:br/>
      </w:r>
      <w:r w:rsidRPr="00E22135">
        <w:t>20-процентной квоты для представленности женщин в полицейских силах в соответствии со стратегией развития полиции (2016</w:t>
      </w:r>
      <w:r w:rsidR="008B1DDC" w:rsidRPr="008B1DDC">
        <w:t>–</w:t>
      </w:r>
      <w:r w:rsidRPr="00E22135">
        <w:t>2020 годы);</w:t>
      </w:r>
    </w:p>
    <w:p w14:paraId="005215D6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недостаточное понимание в государстве-участнике временных специальных мер и того, как они используются для достижения фактического равенства между женщинами и мужчинами во всех областях, где женщины недопредставлены или находятся в неблагоприятном положении.</w:t>
      </w:r>
    </w:p>
    <w:p w14:paraId="681C689D" w14:textId="798A66BC" w:rsidR="00E22135" w:rsidRPr="00E22135" w:rsidRDefault="00E22135" w:rsidP="00E22135">
      <w:pPr>
        <w:pStyle w:val="SingleTxt"/>
        <w:rPr>
          <w:b/>
          <w:bCs/>
        </w:rPr>
      </w:pPr>
      <w:r w:rsidRPr="00E22135">
        <w:lastRenderedPageBreak/>
        <w:t>19.</w:t>
      </w:r>
      <w:r w:rsidRPr="00E22135">
        <w:tab/>
      </w:r>
      <w:r w:rsidRPr="00E22135">
        <w:rPr>
          <w:b/>
          <w:bCs/>
        </w:rPr>
        <w:t xml:space="preserve">В соответствии с пунктом 1 статьи 4 Конвенции и своей общей рекомендацией № </w:t>
      </w:r>
      <w:r w:rsidRPr="00C37EC7">
        <w:rPr>
          <w:b/>
          <w:bCs/>
        </w:rPr>
        <w:t>25 (2004)</w:t>
      </w:r>
      <w:r w:rsidRPr="00E22135">
        <w:rPr>
          <w:b/>
          <w:bCs/>
        </w:rPr>
        <w:t xml:space="preserve"> о временных специальных мерах Комитет рекомендует государству-участнику:</w:t>
      </w:r>
    </w:p>
    <w:p w14:paraId="24E63FE1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ввести минимальную 40-процентную квоту представленности женщин и мужчин в составе правительства;</w:t>
      </w:r>
      <w:r w:rsidRPr="00E22135">
        <w:t xml:space="preserve"> </w:t>
      </w:r>
    </w:p>
    <w:p w14:paraId="302D71BB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представить в своем следующем периодическом докладе информацию о соблюдении минимальной 20-процентной квоты представленности женщин в полиции;</w:t>
      </w:r>
    </w:p>
    <w:p w14:paraId="5A70E85A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повышать осведомленность законодателей, политиков, других государственных должностных лиц и работодателей в государственном и частном секторах о характере и важности временных специальных мер по достижению фактического равенства между женщинами и мужчинами во всех областях, охватываемых Конвенцией, в которых женщины недопредставлены или находятся в неблагоприятном положении;</w:t>
      </w:r>
    </w:p>
    <w:p w14:paraId="388EA13C" w14:textId="0ABA0762" w:rsidR="00E22135" w:rsidRDefault="00E22135" w:rsidP="00E22135">
      <w:pPr>
        <w:pStyle w:val="SingleTxt"/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принять временные специальные меры с целью ускорить получение равного доступа к государственным должностям, образованию и занятости для женщин, принадлежащих к таким находящимся в неблагоприятном положении группам, как женщины рома, женщины, принадлежащие к другим национальным меньшинствам, сельские женщины, престарелые женщины и женщины-инвалиды.</w:t>
      </w:r>
      <w:r w:rsidRPr="00E22135">
        <w:t xml:space="preserve">  </w:t>
      </w:r>
    </w:p>
    <w:p w14:paraId="1DB9DEDF" w14:textId="7EA7C130" w:rsidR="008B1DDC" w:rsidRPr="008B1DDC" w:rsidRDefault="008B1DDC" w:rsidP="008B1DDC">
      <w:pPr>
        <w:pStyle w:val="SingleTxt"/>
        <w:spacing w:after="0" w:line="120" w:lineRule="exact"/>
        <w:rPr>
          <w:sz w:val="10"/>
        </w:rPr>
      </w:pPr>
    </w:p>
    <w:p w14:paraId="52CC3AC9" w14:textId="33307275" w:rsidR="00E22135" w:rsidRDefault="00E22135" w:rsidP="008B1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Стереотипы</w:t>
      </w:r>
    </w:p>
    <w:p w14:paraId="64A3BC15" w14:textId="787359B4" w:rsidR="008B1DDC" w:rsidRPr="008B1DDC" w:rsidRDefault="008B1DDC" w:rsidP="008B1DDC">
      <w:pPr>
        <w:pStyle w:val="SingleTxt"/>
        <w:spacing w:after="0" w:line="120" w:lineRule="exact"/>
        <w:rPr>
          <w:sz w:val="10"/>
        </w:rPr>
      </w:pPr>
    </w:p>
    <w:p w14:paraId="7FF80F80" w14:textId="691D00D1" w:rsidR="00E22135" w:rsidRPr="00E22135" w:rsidRDefault="00E22135" w:rsidP="00E22135">
      <w:pPr>
        <w:pStyle w:val="SingleTxt"/>
      </w:pPr>
      <w:r w:rsidRPr="00E22135">
        <w:t>20.</w:t>
      </w:r>
      <w:r w:rsidRPr="00E22135">
        <w:tab/>
        <w:t>Комитет приветствует внесение в 2016 году изменений в Закон о печати, Закон о рекламе и Кодекс об аудиовизуальных медиауслугах, запрещающих использование сексистских формулировок в средствах массовой информации. В то же время он по-прежнему обеспокоен сохранением патриархальных взглядов и дискриминационных стереотипов в отношении функций и обязанностей, выполняемых женщинами и мужчинами в семье и обществе (</w:t>
      </w:r>
      <w:hyperlink r:id="rId24" w:history="1">
        <w:r w:rsidRPr="008B1DDC">
          <w:rPr>
            <w:rStyle w:val="Hyperlink"/>
          </w:rPr>
          <w:t>CEDAW/C/MDA/</w:t>
        </w:r>
        <w:r w:rsidR="008B1DDC">
          <w:rPr>
            <w:rStyle w:val="Hyperlink"/>
          </w:rPr>
          <w:br/>
        </w:r>
        <w:r w:rsidRPr="008B1DDC">
          <w:rPr>
            <w:rStyle w:val="Hyperlink"/>
          </w:rPr>
          <w:t>CO/4-5</w:t>
        </w:r>
      </w:hyperlink>
      <w:r w:rsidRPr="00E22135">
        <w:t>, п. 17). Особую обеспокоенность Комитета вызывают:</w:t>
      </w:r>
    </w:p>
    <w:p w14:paraId="6A77A393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 xml:space="preserve">отсутствие у работников средств массовой информации и государственных должностных лиц возможностей шире использовать гендерно-чувствительные формулировки; </w:t>
      </w:r>
    </w:p>
    <w:p w14:paraId="0ACB24D5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>задержка с принятием национального плана осуществления межсекторальной стратегии развития способностей и навыков выполнять родительские обязанности;</w:t>
      </w:r>
    </w:p>
    <w:p w14:paraId="2E50BE78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 xml:space="preserve">наличие дискриминационных гендерных стереотипов в школьных программах и учебниках. </w:t>
      </w:r>
    </w:p>
    <w:p w14:paraId="6AA7D92F" w14:textId="18B5458B" w:rsidR="00E22135" w:rsidRPr="00E22135" w:rsidRDefault="00E22135" w:rsidP="00E22135">
      <w:pPr>
        <w:pStyle w:val="SingleTxt"/>
        <w:rPr>
          <w:b/>
          <w:bCs/>
        </w:rPr>
      </w:pPr>
      <w:r w:rsidRPr="00E22135">
        <w:t>21.</w:t>
      </w:r>
      <w:r w:rsidRPr="00E22135">
        <w:tab/>
      </w:r>
      <w:r w:rsidRPr="00E22135">
        <w:rPr>
          <w:b/>
          <w:bCs/>
        </w:rPr>
        <w:t>Комитет подтверждает свою предыдущую рекомендацию (</w:t>
      </w:r>
      <w:hyperlink r:id="rId25" w:history="1">
        <w:r w:rsidRPr="008B1DDC">
          <w:rPr>
            <w:rStyle w:val="Hyperlink"/>
            <w:b/>
            <w:bCs/>
          </w:rPr>
          <w:t>CEDAW/C/MDA/CO/4-5</w:t>
        </w:r>
      </w:hyperlink>
      <w:r w:rsidRPr="00E22135">
        <w:rPr>
          <w:b/>
          <w:bCs/>
        </w:rPr>
        <w:t>, п. 18) и рекомендует государству-участнику:</w:t>
      </w:r>
    </w:p>
    <w:p w14:paraId="4443C6E0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обеспечить для средств массовой информации и соответствующих государственных должностных лиц возможности по укреплению потенциала в области использования гендерно чувствительных формулировок и обеспечить соблюдение запрета на использование сексистских формулировок, содержащегося в Законе о печати, Законе о рекламе и Кодексе об аудиовизуальных медиауслугах;</w:t>
      </w:r>
    </w:p>
    <w:p w14:paraId="7731614E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повышать информирование общественности в целях ликвидации дискриминационных гендерных стереотипов в отношении роли и обязанностей женщин и мужчин в семье и обществе;</w:t>
      </w:r>
      <w:r w:rsidRPr="00E22135">
        <w:t xml:space="preserve"> </w:t>
      </w:r>
    </w:p>
    <w:p w14:paraId="3C6ED6B0" w14:textId="77777777" w:rsidR="00E22135" w:rsidRPr="00E22135" w:rsidRDefault="00E22135" w:rsidP="00E22135">
      <w:pPr>
        <w:pStyle w:val="SingleTxt"/>
        <w:rPr>
          <w:b/>
        </w:rPr>
      </w:pPr>
      <w:r w:rsidRPr="00E22135">
        <w:lastRenderedPageBreak/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ускорить принятие национального плана действий по осуществлению межсекторальной стратегии развития способностей и навыков выполнять родительские обязанности и обеспечить выделение надлежащих людских, технических и финансовых ресурсов для ее осуществления;</w:t>
      </w:r>
    </w:p>
    <w:p w14:paraId="032EE067" w14:textId="09EEFB8C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продолжать усилия по пересмотру школьных программ и учебников в целях ликвидации всех дискриминационных гендерных стереотипов и осуществлять программы повышения квалификации учителей, с тем чтобы они не допускали закрепления таких стереотипов и не проявляли к ним терпимого отношения.</w:t>
      </w:r>
    </w:p>
    <w:p w14:paraId="3034EBA6" w14:textId="79410536" w:rsidR="008B1DDC" w:rsidRPr="008B1DDC" w:rsidRDefault="008B1DDC" w:rsidP="008B1DDC">
      <w:pPr>
        <w:pStyle w:val="SingleTxt"/>
        <w:spacing w:after="0" w:line="120" w:lineRule="exact"/>
        <w:rPr>
          <w:b/>
          <w:bCs/>
          <w:sz w:val="10"/>
        </w:rPr>
      </w:pPr>
    </w:p>
    <w:p w14:paraId="38638751" w14:textId="0596A32D" w:rsidR="00E22135" w:rsidRDefault="00E22135" w:rsidP="008B1D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Гендерное насилие в отношении женщин</w:t>
      </w:r>
    </w:p>
    <w:p w14:paraId="7EFE9E8E" w14:textId="0915AA0C" w:rsidR="008B1DDC" w:rsidRPr="008B1DDC" w:rsidRDefault="008B1DDC" w:rsidP="008B1DDC">
      <w:pPr>
        <w:pStyle w:val="SingleTxt"/>
        <w:spacing w:after="0" w:line="120" w:lineRule="exact"/>
        <w:rPr>
          <w:sz w:val="10"/>
        </w:rPr>
      </w:pPr>
    </w:p>
    <w:p w14:paraId="5D4AF53C" w14:textId="77777777" w:rsidR="00E22135" w:rsidRPr="00E22135" w:rsidRDefault="00E22135" w:rsidP="00E22135">
      <w:pPr>
        <w:pStyle w:val="SingleTxt"/>
      </w:pPr>
      <w:r w:rsidRPr="00E22135">
        <w:t>22.</w:t>
      </w:r>
      <w:r w:rsidRPr="00E22135">
        <w:tab/>
        <w:t xml:space="preserve">Комитет принимает к сведению прогресс, достигнутый в деле ратификации Конвенции Совета Европы о предотвращении и борьбе с насилием в отношении женщин и домашним насилием (Стамбульская конвенция). Вместе с тем Комитет выражает обеспокоенность в связи с широко распространенным в государстве-участнике гендерным насилием в отношении женщин, включая семейно-бытовое насилие и экономическое и психологическое насилие. В частности, Комитет с обеспокоенностью отмечает: </w:t>
      </w:r>
    </w:p>
    <w:p w14:paraId="1FAEE23B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занижение числа сообщений о гендерном насилии в отношении женщин, в том числе о бытовом насилии, из-за страха стигматизации и повторной виктимизации;</w:t>
      </w:r>
    </w:p>
    <w:p w14:paraId="1329A656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>что финансовая компенсация, предусмотренная Законом № 196/2016 о внесении изменений и дополнений в Закон № 45-XVI о предупреждении и пресечении насилия в семье и Законом № 137/2016 о реабилитации жертв преступлений, зачастую не предоставляется в случаях гендерного насилия в отношении женщин;</w:t>
      </w:r>
    </w:p>
    <w:p w14:paraId="3FDEEDDC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неполную реализацию правовых норм для борьбы с гендерным насилием из-за недостаточного выделения ресурсов;</w:t>
      </w:r>
    </w:p>
    <w:p w14:paraId="6657E8BC" w14:textId="77777777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отсутствие приютов и служб поддержки для жертв гендерного насилия, включая психосоциальное консультирование, правовую помощь и программы реабилитации, особенно в сельской местности и в Приднестровье;</w:t>
      </w:r>
    </w:p>
    <w:p w14:paraId="55887001" w14:textId="77777777" w:rsidR="00E22135" w:rsidRPr="00E22135" w:rsidRDefault="00E22135" w:rsidP="00E22135">
      <w:pPr>
        <w:pStyle w:val="SingleTxt"/>
      </w:pPr>
      <w:r w:rsidRPr="00E22135">
        <w:tab/>
        <w:t>e)</w:t>
      </w:r>
      <w:r w:rsidRPr="00E22135">
        <w:tab/>
        <w:t>тот факт, что данные, представленные государством-участником о случаях гендерного насилия, охватывают лишь некоторые формы гендерного насилия и не дезагрегированы по полу, возрасту, этнической принадлежности, географическому местоположению, инвалидности или отношениям между правонарушителем и жертвой;</w:t>
      </w:r>
    </w:p>
    <w:p w14:paraId="6E3DABEE" w14:textId="77777777" w:rsidR="00E22135" w:rsidRPr="00E22135" w:rsidRDefault="00E22135" w:rsidP="00E22135">
      <w:pPr>
        <w:pStyle w:val="SingleTxt"/>
      </w:pPr>
      <w:r w:rsidRPr="00E22135">
        <w:tab/>
        <w:t>f)</w:t>
      </w:r>
      <w:r w:rsidRPr="00E22135">
        <w:tab/>
        <w:t xml:space="preserve">что государство-участник до сих пор не ратифицировало Стамбульскую конвенцию, которую оно подписало в 2017 году. </w:t>
      </w:r>
    </w:p>
    <w:p w14:paraId="4EF9B3EF" w14:textId="7D39A362" w:rsidR="00E22135" w:rsidRPr="00E22135" w:rsidRDefault="00E22135" w:rsidP="00E22135">
      <w:pPr>
        <w:pStyle w:val="SingleTxt"/>
        <w:rPr>
          <w:b/>
          <w:bCs/>
        </w:rPr>
      </w:pPr>
      <w:r w:rsidRPr="00E22135">
        <w:t>23.</w:t>
      </w:r>
      <w:r w:rsidRPr="00E22135">
        <w:tab/>
      </w:r>
      <w:r w:rsidRPr="00E22135">
        <w:rPr>
          <w:b/>
        </w:rPr>
        <w:t>Ссылаясь на свои предыдущие заключительные замечания (</w:t>
      </w:r>
      <w:hyperlink r:id="rId26" w:history="1">
        <w:r w:rsidRPr="008B1DDC">
          <w:rPr>
            <w:rStyle w:val="Hyperlink"/>
            <w:b/>
          </w:rPr>
          <w:t>CEDAW/C/MDA/CO/4-5</w:t>
        </w:r>
      </w:hyperlink>
      <w:r w:rsidRPr="00E22135">
        <w:rPr>
          <w:b/>
        </w:rPr>
        <w:t xml:space="preserve">, п. 20) и свою общую рекомендацию № </w:t>
      </w:r>
      <w:r w:rsidRPr="008B1DDC">
        <w:rPr>
          <w:b/>
        </w:rPr>
        <w:t>35 (2017)</w:t>
      </w:r>
      <w:r w:rsidRPr="00E22135">
        <w:rPr>
          <w:b/>
        </w:rPr>
        <w:t xml:space="preserve"> о гендерном насилии в отношении женщин, обновляющую общую рекомендацию № 19, Комитет рекомендует государству-участнику:</w:t>
      </w:r>
    </w:p>
    <w:p w14:paraId="5C78B602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ликвидировать барьеры и покончить со стигматизацией, которые препятствуют сообщению женщинами о случаях гендерного насилия в компетентные органы, в том числе путем повышения осведомленности и подготовки сотрудников судебных органов и полиции;</w:t>
      </w:r>
    </w:p>
    <w:p w14:paraId="1DEB50EE" w14:textId="24AD9D32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выделять достаточные ресурсы для предоставления финансовой компенсации жертвам бытового насилия в соответствии с Законом</w:t>
      </w:r>
      <w:r w:rsidR="006038B1">
        <w:rPr>
          <w:b/>
          <w:bCs/>
        </w:rPr>
        <w:br/>
      </w:r>
      <w:r w:rsidRPr="00E22135">
        <w:rPr>
          <w:b/>
          <w:bCs/>
        </w:rPr>
        <w:t xml:space="preserve">№ 196/2016 и жертвам других преступлений, связанных с гендерным </w:t>
      </w:r>
      <w:r w:rsidRPr="00E22135">
        <w:rPr>
          <w:b/>
          <w:bCs/>
        </w:rPr>
        <w:lastRenderedPageBreak/>
        <w:t>насилием, в соответствии с Законом № 137/2016 о реабилитации жертв преступлений;</w:t>
      </w:r>
    </w:p>
    <w:p w14:paraId="678C8B02" w14:textId="0F72DACD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выделять надлежащие людские, технические и финансовые ресурсы для эффективного осуществления Национальной стратегии по предупреждению и борьбе с насилием в отношении женщин и насилием в семье (2018</w:t>
      </w:r>
      <w:r w:rsidR="006038B1" w:rsidRPr="006038B1">
        <w:rPr>
          <w:b/>
          <w:bCs/>
        </w:rPr>
        <w:t>–</w:t>
      </w:r>
      <w:r w:rsidRPr="00E22135">
        <w:rPr>
          <w:b/>
          <w:bCs/>
        </w:rPr>
        <w:t>2023 годы) и соответствующего плана действий, с тем чтобы обеспечить жертвам такого насилия адекватный доступ к доступным приютам и службам поддержки, включая медицинское лечение, психосоциальные консультации и юридическую помощь во всех частях государства-участника;</w:t>
      </w:r>
      <w:r w:rsidRPr="00E22135">
        <w:t xml:space="preserve"> </w:t>
      </w:r>
    </w:p>
    <w:p w14:paraId="15BDAFAF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обеспечить надлежащее финансирование организациям гражданского общества в Приднестровье, которые предоставляют доступную и всестороннюю поддержку и помощь женщинам, ставшим жертвами гендерного насилия, и продолжать усилия, направленные на то, чтобы фактические власти в Приднестровье осознали необходимость обеспечивать наличие таких услуг;</w:t>
      </w:r>
    </w:p>
    <w:p w14:paraId="29098BE4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e)</w:t>
      </w:r>
      <w:r w:rsidRPr="00E22135">
        <w:tab/>
      </w:r>
      <w:r w:rsidRPr="00E22135">
        <w:rPr>
          <w:b/>
          <w:bCs/>
        </w:rPr>
        <w:t>совершенствовать сбор данных обо всех формах гендерного насилия, включая экономическое и психологическое насилие, в разбивке по полу, возрасту, этнической принадлежности, географическому местоположению, инвалидности и характеру отношений между жертвой и совершившим насилие лицом, с тем чтобы соответствующие государственные должностные лица могли следить за эффективностью соответствующего законодательства, политики и практики в деле предупреждения и сокращения масштабов гендерного насилия;</w:t>
      </w:r>
    </w:p>
    <w:p w14:paraId="6E486FF5" w14:textId="4440AB96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f)</w:t>
      </w:r>
      <w:r w:rsidRPr="00E22135">
        <w:tab/>
      </w:r>
      <w:r w:rsidRPr="00E22135">
        <w:rPr>
          <w:b/>
          <w:bCs/>
        </w:rPr>
        <w:t>ускорить ратификацию Стамбульской конвенции.</w:t>
      </w:r>
    </w:p>
    <w:p w14:paraId="00036D6B" w14:textId="1E893FC5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6BFC0ACE" w14:textId="6ACFBB94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Торговля людьми и эксплуатация проституции</w:t>
      </w:r>
    </w:p>
    <w:p w14:paraId="3E5C1B2C" w14:textId="6E8B2AF1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3F3763F7" w14:textId="77777777" w:rsidR="00E22135" w:rsidRPr="00E22135" w:rsidRDefault="00E22135" w:rsidP="00E22135">
      <w:pPr>
        <w:pStyle w:val="SingleTxt"/>
      </w:pPr>
      <w:r w:rsidRPr="00E22135">
        <w:t>24.</w:t>
      </w:r>
      <w:r w:rsidRPr="00E22135">
        <w:tab/>
        <w:t>Комитет с обеспокоенностью отмечает:</w:t>
      </w:r>
    </w:p>
    <w:p w14:paraId="4B02E08F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ab/>
        <w:t>а)</w:t>
      </w:r>
      <w:r w:rsidRPr="00E22135">
        <w:tab/>
        <w:t>что появляются такие новые формы торговли людьми в государстве-участнике и из него, как торговля женщинами и девочками с использованием статуса просителей убежища;</w:t>
      </w:r>
    </w:p>
    <w:p w14:paraId="486DA205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 xml:space="preserve">что перед торговлей людьми в целях сексуальной эксплуатации и принудительного труда особенно уязвимы женщины в Приднестровье и Гагаузии, женщины без документов и гражданства, а также женщины рома; </w:t>
      </w:r>
    </w:p>
    <w:p w14:paraId="30ED6C04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отсутствие информации об услугах по реабилитации в государстве-участнике, направленных на удовлетворение особых потребностей женщин и девочек, ставших жертвами торговли людьми в целях сексуальной эксплуатации;</w:t>
      </w:r>
    </w:p>
    <w:p w14:paraId="1F5592E6" w14:textId="77777777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что жертвы торговли людьми имеют ограниченный доступ к бесплатной медицинской помощи в соответствии с Законом № 241-XVI/2005 о предупреждении и пресечении торговли людьми, а также к реабилитационным услугам и государственной компенсации в соответствии с Законом № 137/2016 о реабилитации жертв преступлений;</w:t>
      </w:r>
    </w:p>
    <w:p w14:paraId="30F132EF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  <w:t>e)</w:t>
      </w:r>
      <w:r w:rsidRPr="00E22135">
        <w:tab/>
        <w:t xml:space="preserve">отсутствие практики раннего выявления и направления жертв торговли людьми в соответствующие службы в государстве-участнике; </w:t>
      </w:r>
    </w:p>
    <w:p w14:paraId="303BC933" w14:textId="3509D075" w:rsidR="00E22135" w:rsidRPr="00E22135" w:rsidRDefault="00E22135" w:rsidP="00E22135">
      <w:pPr>
        <w:pStyle w:val="SingleTxt"/>
      </w:pPr>
      <w:r w:rsidRPr="00E22135">
        <w:tab/>
        <w:t>f)</w:t>
      </w:r>
      <w:r w:rsidRPr="00E22135">
        <w:tab/>
        <w:t>отсутствие защиты жертв торговли людьми на стадии расследования, а также требование к жертвам торговли людьми предстать перед торговцами людьми в полицейском участке для возбуждения уголовного дела;</w:t>
      </w:r>
    </w:p>
    <w:p w14:paraId="00A28338" w14:textId="77777777" w:rsidR="00E22135" w:rsidRPr="00E22135" w:rsidRDefault="00E22135" w:rsidP="00E22135">
      <w:pPr>
        <w:pStyle w:val="SingleTxt"/>
      </w:pPr>
      <w:r w:rsidRPr="00E22135">
        <w:lastRenderedPageBreak/>
        <w:tab/>
        <w:t>g)</w:t>
      </w:r>
      <w:r w:rsidRPr="00E22135">
        <w:tab/>
        <w:t>криминализацию женщин, занимающихся проституцией, и отсутствие в государстве-участнике программ помощи женщинам, желающим оставить занятие проституцией.</w:t>
      </w:r>
    </w:p>
    <w:p w14:paraId="7590BF13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>25.</w:t>
      </w:r>
      <w:r w:rsidRPr="00E22135">
        <w:tab/>
      </w:r>
      <w:r w:rsidRPr="00E22135">
        <w:rPr>
          <w:b/>
          <w:bCs/>
        </w:rPr>
        <w:t>Комитет рекомендует государству-участнику:</w:t>
      </w:r>
    </w:p>
    <w:p w14:paraId="4CFF43E6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активизировать сотрудничество между правоохранительными органами и социальными службами по выявлению жертв различных форм торговли людьми и направлению их в соответствующие службы;</w:t>
      </w:r>
      <w:r w:rsidRPr="00E22135">
        <w:t xml:space="preserve"> </w:t>
      </w:r>
    </w:p>
    <w:p w14:paraId="77DCA7A4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укрепить способность женщин в Приднестровье и Гагаузии, женщин без документов и гражданства, а также женщин рома противостоять торговле людьми путем содействия созданию возможностей для получения образования и доходов для женщин и девочек и их семей;</w:t>
      </w:r>
    </w:p>
    <w:p w14:paraId="67183DA8" w14:textId="586D9C54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принять проект концепции национального механизма перенаправления жертв преступлений для защиты и оказания им помощи (2020</w:t>
      </w:r>
      <w:r w:rsidR="006038B1" w:rsidRPr="006038B1">
        <w:rPr>
          <w:b/>
          <w:bCs/>
        </w:rPr>
        <w:t>–</w:t>
      </w:r>
      <w:r w:rsidRPr="00E22135">
        <w:rPr>
          <w:b/>
          <w:bCs/>
        </w:rPr>
        <w:t>2030 годы) и расширить предоставление доступных услуг по защите и поддержке жертв, включая бесплатные медицинские услуги, психосоциальное консультирование и юридическую помощь, приюты, программы реабилитации и реинтеграции, путем выделения достаточных бюджетных ресурсов и в сотрудничестве с медицинскими работниками и другими поставщиками услуг;</w:t>
      </w:r>
    </w:p>
    <w:p w14:paraId="28023245" w14:textId="7A86A5F5" w:rsidR="00E22135" w:rsidRPr="00E22135" w:rsidRDefault="006038B1" w:rsidP="00E22135">
      <w:pPr>
        <w:pStyle w:val="SingleTxt"/>
        <w:rPr>
          <w:b/>
        </w:rPr>
      </w:pPr>
      <w:r>
        <w:rPr>
          <w:b/>
          <w:bCs/>
        </w:rPr>
        <w:tab/>
      </w:r>
      <w:r w:rsidR="00E22135" w:rsidRPr="00E22135">
        <w:rPr>
          <w:b/>
          <w:bCs/>
        </w:rPr>
        <w:t>d)</w:t>
      </w:r>
      <w:r w:rsidR="00E22135" w:rsidRPr="00E22135">
        <w:tab/>
      </w:r>
      <w:r w:rsidR="00E22135" w:rsidRPr="00E22135">
        <w:rPr>
          <w:b/>
          <w:bCs/>
        </w:rPr>
        <w:t>укреплять потенциал полиции и других правоохранительных органов в том, что касается методов расследования случаев торговли людьми, учитывающих гендерные аспекты;</w:t>
      </w:r>
      <w:r w:rsidR="00E22135" w:rsidRPr="00E22135">
        <w:t xml:space="preserve"> </w:t>
      </w:r>
    </w:p>
    <w:p w14:paraId="774F4B8B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e)</w:t>
      </w:r>
      <w:r w:rsidRPr="00E22135">
        <w:tab/>
      </w:r>
      <w:r w:rsidRPr="00E22135">
        <w:rPr>
          <w:b/>
          <w:bCs/>
        </w:rPr>
        <w:t>отменить статью 89 (1) Кодекса о правонарушениях с целью декриминализации женщин, занимающихся проституцией, и обеспечения альтернативных возможностей получения дохода, предоставления образовательных программ и программ помощи женщинам, желающим оставить занятие проституцией;</w:t>
      </w:r>
    </w:p>
    <w:p w14:paraId="38120277" w14:textId="1A999EB2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f)</w:t>
      </w:r>
      <w:r w:rsidRPr="00E22135">
        <w:tab/>
      </w:r>
      <w:r w:rsidRPr="00E22135">
        <w:rPr>
          <w:b/>
          <w:bCs/>
        </w:rPr>
        <w:t>покончить со стигматизацией и дискриминацией в отношении женщин и девочек, занимающихся проституцией, с тем чтобы обеспечить им адекватный доступ к медицинскому обслуживанию, юридическим услугам и приютам.</w:t>
      </w:r>
    </w:p>
    <w:p w14:paraId="1269C924" w14:textId="7F561F93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25F56985" w14:textId="24302824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Равное участие в политической и общественной жизни </w:t>
      </w:r>
    </w:p>
    <w:p w14:paraId="6680BFF2" w14:textId="7450A311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52DDE86F" w14:textId="77777777" w:rsidR="00E22135" w:rsidRPr="00E22135" w:rsidRDefault="00E22135" w:rsidP="00E22135">
      <w:pPr>
        <w:pStyle w:val="SingleTxt"/>
      </w:pPr>
      <w:r w:rsidRPr="00E22135">
        <w:t>26.</w:t>
      </w:r>
      <w:r w:rsidRPr="00E22135">
        <w:tab/>
        <w:t xml:space="preserve">Комитет принимает к сведению поправки к Кодексу о выборах и Закону о политических партиях и вновь высоко оценивает 40-процентную квоту для женщин-кандидатов в избирательных списках политических партий. Однако он обеспокоен тем, что на парламентских выборах в 2019 году было избрано только 26 женщин-кандидатов, что составляет 25,7 процента от общего числа парламентариев. Комитет с особой обеспокоенностью отмечает: </w:t>
      </w:r>
    </w:p>
    <w:p w14:paraId="262AD15A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ненавистнические высказывания в адрес женщин и дискриминационные гендерные стереотипы в политических дискуссиях, которые препятствуют участию женщин в политической и общественной жизни;</w:t>
      </w:r>
    </w:p>
    <w:p w14:paraId="53AE3A2B" w14:textId="77777777" w:rsidR="00E22135" w:rsidRPr="00E22135" w:rsidRDefault="00E22135" w:rsidP="00E22135">
      <w:pPr>
        <w:pStyle w:val="SingleTxt"/>
        <w:rPr>
          <w:bCs/>
        </w:rPr>
      </w:pPr>
      <w:r w:rsidRPr="00E22135">
        <w:tab/>
        <w:t>b)</w:t>
      </w:r>
      <w:r w:rsidRPr="00E22135">
        <w:tab/>
        <w:t>низкую представленность женщин на руководящих должностях, в том числе на гражданской и дипломатической службе, а также в силах безопасности и обороны;</w:t>
      </w:r>
    </w:p>
    <w:p w14:paraId="5DFA609B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крайне низкий уровень участия в политической и общественной жизни женщин, принадлежащих к группам населения, находящимся в неблагоприятном положении.</w:t>
      </w:r>
    </w:p>
    <w:p w14:paraId="6959041B" w14:textId="11F1043D" w:rsidR="00E22135" w:rsidRPr="00E22135" w:rsidRDefault="00E22135" w:rsidP="00E22135">
      <w:pPr>
        <w:pStyle w:val="SingleTxt"/>
        <w:rPr>
          <w:b/>
          <w:bCs/>
        </w:rPr>
      </w:pPr>
      <w:r w:rsidRPr="00E22135">
        <w:lastRenderedPageBreak/>
        <w:t>27.</w:t>
      </w:r>
      <w:r w:rsidRPr="00E22135">
        <w:tab/>
      </w:r>
      <w:r w:rsidRPr="00E22135">
        <w:rPr>
          <w:b/>
          <w:bCs/>
        </w:rPr>
        <w:t xml:space="preserve">Ссылаясь на свою общую рекомендацию № </w:t>
      </w:r>
      <w:r w:rsidRPr="006038B1">
        <w:rPr>
          <w:b/>
          <w:bCs/>
        </w:rPr>
        <w:t>23 (1997)</w:t>
      </w:r>
      <w:r w:rsidRPr="00E22135">
        <w:rPr>
          <w:b/>
          <w:bCs/>
        </w:rPr>
        <w:t xml:space="preserve"> об участии женщин в политической и общественной жизни и задачу 5.5 в области устойчивого развития, Комитет рекомендует государству-участнику:</w:t>
      </w:r>
    </w:p>
    <w:p w14:paraId="16FF6BEF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принять закон о борьбе с разжиганием ненависти и усилить защиту женщин от ненавистнической реторики, в том числе путем проведения информационно-просветительских кампаний среди политиков, мониторинга использования дискриминационных стереотипов и сексистских высказываний в политических дискуссиях и обеспечения эффективных средств правовой защиты для жертв;</w:t>
      </w:r>
    </w:p>
    <w:p w14:paraId="5FDC676B" w14:textId="076D5441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принять временные специальные меры в соответствии с пунктом</w:t>
      </w:r>
      <w:r w:rsidR="00E76FA5">
        <w:rPr>
          <w:b/>
          <w:bCs/>
          <w:lang w:val="en-US"/>
        </w:rPr>
        <w:t> </w:t>
      </w:r>
      <w:r w:rsidRPr="00E22135">
        <w:rPr>
          <w:b/>
          <w:bCs/>
        </w:rPr>
        <w:t xml:space="preserve">1 статьи 4 Конвенции и общей рекомендацией № </w:t>
      </w:r>
      <w:r w:rsidRPr="006038B1">
        <w:rPr>
          <w:b/>
          <w:bCs/>
        </w:rPr>
        <w:t>25 (2004)</w:t>
      </w:r>
      <w:r w:rsidRPr="00E22135">
        <w:rPr>
          <w:b/>
          <w:bCs/>
        </w:rPr>
        <w:t xml:space="preserve"> Комитета о временных специальных мерах, включая установленные законом квоты для представленности женщин на руководящих должностях на гражданской и дипломатической службе и в силах безопасности и обороны;</w:t>
      </w:r>
      <w:r w:rsidRPr="00E22135">
        <w:t xml:space="preserve"> </w:t>
      </w:r>
    </w:p>
    <w:p w14:paraId="25786B89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предоставить политическим партиям стимулы для выдвижения равного числа кандидатов-женщин и кандидатов-мужчин на выборах, усилить санкции за несоблюдение минимальной квоты в 40 процентов и предусмотреть специальные программы набора женщин, включая, при необходимости, преференциальный набор женщин на гражданскую службу, уделяя особое внимание женщинам, принадлежащим к группам населения, находящимся в неблагоприятном положении;</w:t>
      </w:r>
    </w:p>
    <w:p w14:paraId="17C21D52" w14:textId="53B131D5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обеспечить наращивание потенциала в области проведения политических кампаний и развития лидерских навыков, а также обеспечить доступ женщин-кандидатов к адекватному финансированию кампаний.</w:t>
      </w:r>
    </w:p>
    <w:p w14:paraId="4FD1AB05" w14:textId="399AB536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0CEB8F42" w14:textId="0B1C40FF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Гражданство </w:t>
      </w:r>
    </w:p>
    <w:p w14:paraId="55F62E62" w14:textId="605E44D5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43E3A0DB" w14:textId="77777777" w:rsidR="00E22135" w:rsidRPr="00E22135" w:rsidRDefault="00E22135" w:rsidP="00E22135">
      <w:pPr>
        <w:pStyle w:val="SingleTxt"/>
      </w:pPr>
      <w:r w:rsidRPr="00E22135">
        <w:t>28.</w:t>
      </w:r>
      <w:r w:rsidRPr="00E22135">
        <w:tab/>
        <w:t xml:space="preserve">Комитет приветствует внесение в 2017 году поправки в Закон о гражданстве, позволяющей лицам, нуждающимся в международной защите, и детям, рожденным на территории государства-участника, приобретать молдавское гражданство. Вместе с тем он обеспокоен положением с гражданством женщин и детей в Приднестровье и Гагаузии, а также положением женщин и детей рома в государстве-участнике.  </w:t>
      </w:r>
    </w:p>
    <w:p w14:paraId="0E9ECF26" w14:textId="22C791BA" w:rsidR="00E22135" w:rsidRDefault="00E22135" w:rsidP="00E22135">
      <w:pPr>
        <w:pStyle w:val="SingleTxt"/>
        <w:rPr>
          <w:b/>
          <w:bCs/>
        </w:rPr>
      </w:pPr>
      <w:r w:rsidRPr="00E22135">
        <w:t>29.</w:t>
      </w:r>
      <w:r w:rsidRPr="00E22135">
        <w:tab/>
      </w:r>
      <w:r w:rsidRPr="00E22135">
        <w:rPr>
          <w:b/>
          <w:bCs/>
        </w:rPr>
        <w:t>Комитет рекомендует государству-участнику облегчить регистрацию рождения детей в Приднестровье и Гагаузии, а также детей рома, рожденных в государстве-участнике, и приобретение ими гражданства.</w:t>
      </w:r>
      <w:r w:rsidRPr="00E22135">
        <w:t xml:space="preserve"> </w:t>
      </w:r>
      <w:r w:rsidRPr="00E22135">
        <w:rPr>
          <w:b/>
          <w:bCs/>
        </w:rPr>
        <w:t>Он также рекомендует государству-участнику повысить информированность женщин, проживающих в этих регионах, а также женщин рома о важности регистрации рождений и процедурных требованиях для получения гражданства.</w:t>
      </w:r>
    </w:p>
    <w:p w14:paraId="5D2E4F68" w14:textId="54A92385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7D7D9342" w14:textId="75B9FA2B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Образование</w:t>
      </w:r>
    </w:p>
    <w:p w14:paraId="7ABF440C" w14:textId="16A26717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55873C7E" w14:textId="50EF08F4" w:rsidR="00E22135" w:rsidRPr="00E22135" w:rsidRDefault="00E22135" w:rsidP="00E22135">
      <w:pPr>
        <w:pStyle w:val="SingleTxt"/>
      </w:pPr>
      <w:r w:rsidRPr="00E22135">
        <w:t>30.</w:t>
      </w:r>
      <w:r w:rsidRPr="00E22135">
        <w:tab/>
        <w:t>Комитет приветствует усилия государства-участника по поощрению равного доступа девочек и мальчиков к образованию, в том числе принятие в 2014</w:t>
      </w:r>
      <w:r w:rsidR="006038B1">
        <w:rPr>
          <w:lang w:val="en-US"/>
        </w:rPr>
        <w:t> </w:t>
      </w:r>
      <w:r w:rsidRPr="00E22135">
        <w:t xml:space="preserve">году Закона об образовании и осуществляемую с 2015 года инициативу </w:t>
      </w:r>
      <w:r w:rsidR="006038B1" w:rsidRPr="006038B1">
        <w:t>“</w:t>
      </w:r>
      <w:r w:rsidRPr="00E22135">
        <w:t>GirlsGoIT</w:t>
      </w:r>
      <w:r w:rsidR="006038B1" w:rsidRPr="006038B1">
        <w:t>”</w:t>
      </w:r>
      <w:r w:rsidRPr="00E22135">
        <w:t>. Вместе с тем Комитет по-прежнему обеспокоен:</w:t>
      </w:r>
    </w:p>
    <w:p w14:paraId="40288ECE" w14:textId="7D376BF4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отсутствием у женщин и девочек широких возможностей в плане выбора учебных предметов и низкими показателями их набора для обучения по таким специальностям, как наука и техника, инженерное дело и математика, информационные технологии, а также строительство и право;</w:t>
      </w:r>
    </w:p>
    <w:p w14:paraId="6EFB574A" w14:textId="77777777" w:rsidR="00E22135" w:rsidRPr="00E22135" w:rsidRDefault="00E22135" w:rsidP="00E22135">
      <w:pPr>
        <w:pStyle w:val="SingleTxt"/>
      </w:pPr>
      <w:r w:rsidRPr="00E22135">
        <w:lastRenderedPageBreak/>
        <w:tab/>
        <w:t>b)</w:t>
      </w:r>
      <w:r w:rsidRPr="00E22135">
        <w:tab/>
        <w:t xml:space="preserve">высоким уровнем отсева среди школьниц в сельских районах и среди групп этнических меньшинств, в частности девочек рома; </w:t>
      </w:r>
    </w:p>
    <w:p w14:paraId="3B50A5A6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 xml:space="preserve">незначительным числом женщин и девочек с ограниченными возможностями, обучающимися в системе общего и инклюзивного образования, в связи с отсутствием доступных школьных зданий и помещений, а также недостаточной подготовкой учителей и персонала школ по вопросам инклюзивного образования; </w:t>
      </w:r>
    </w:p>
    <w:p w14:paraId="1FEF9D36" w14:textId="3D9F7722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препятствиями, с которыми женщины и девочки в сельских районах сталкиваются при получении доступа к профессиональной подготовке, что</w:t>
      </w:r>
      <w:r w:rsidR="006023BC">
        <w:br/>
      </w:r>
      <w:r w:rsidRPr="00E22135">
        <w:t>по-прежнему вынуждает многих женщин заниматься неоплачиваемой работой по дому и уходу.</w:t>
      </w:r>
    </w:p>
    <w:p w14:paraId="466ED42B" w14:textId="6472C16C" w:rsidR="00E22135" w:rsidRPr="00E22135" w:rsidRDefault="00E22135" w:rsidP="00E22135">
      <w:pPr>
        <w:pStyle w:val="SingleTxt"/>
        <w:rPr>
          <w:b/>
          <w:bCs/>
        </w:rPr>
      </w:pPr>
      <w:r w:rsidRPr="00E22135">
        <w:t>31.</w:t>
      </w:r>
      <w:r w:rsidRPr="00E22135">
        <w:tab/>
      </w:r>
      <w:r w:rsidRPr="00E22135">
        <w:rPr>
          <w:b/>
          <w:bCs/>
        </w:rPr>
        <w:t xml:space="preserve">Ссылаясь на свою общую рекомендацию № </w:t>
      </w:r>
      <w:r w:rsidRPr="006038B1">
        <w:rPr>
          <w:b/>
          <w:bCs/>
        </w:rPr>
        <w:t>36 (2017)</w:t>
      </w:r>
      <w:r w:rsidRPr="00E22135">
        <w:rPr>
          <w:b/>
          <w:bCs/>
        </w:rPr>
        <w:t xml:space="preserve"> о праве девочек и женщин на образование, а также на задачу 4.5 целей в области устойчивого развития, Комитет рекомендует государству-участнику:</w:t>
      </w:r>
    </w:p>
    <w:p w14:paraId="24CE4E43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продолжать поощрять женщин и девочек к выбору нетрадиционных областей обучения и профессий, включая науку, технику, инженерное дело, математику, информационные технологии и право, и ликвидировать устоявшиеся среди женщин и девочек и их семей стереотипы, которые могут удерживать их от поступления на такие специальности;</w:t>
      </w:r>
      <w:r w:rsidRPr="00E22135">
        <w:t xml:space="preserve"> </w:t>
      </w:r>
    </w:p>
    <w:p w14:paraId="199D359C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активизировать усилия по снижению уровня отсева девочек из школ, в том числе путем повышения осведомленности родителей, местных общественных деятелей и женщин и девочек о важности образования для личного развития и перспектив карьерного роста;</w:t>
      </w:r>
    </w:p>
    <w:p w14:paraId="3F1E7046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обеспечить инклюзивные программы повторного зачисления для женщин и девочек, бросивших школу, в том числе в сельских районах и в общинах рома;</w:t>
      </w:r>
    </w:p>
    <w:p w14:paraId="0DC5F5AA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сделать школьную инфраструктуру доступной для женщин и девочек с ограниченными возможностями и обеспечить систематическую подготовку учителей и другого персонала в школах по вопросам инклюзивного образования;</w:t>
      </w:r>
      <w:r w:rsidRPr="00E22135">
        <w:t xml:space="preserve">  </w:t>
      </w:r>
    </w:p>
    <w:p w14:paraId="7E6E3220" w14:textId="217334B0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e)</w:t>
      </w:r>
      <w:r w:rsidRPr="00E22135">
        <w:tab/>
      </w:r>
      <w:r w:rsidRPr="00E22135">
        <w:rPr>
          <w:b/>
          <w:bCs/>
        </w:rPr>
        <w:t>выделять сектору образования в сельских районах достаточные людские, технические и финансовые ресурсы для обеспечения инклюзивного, качественного образования и возможностей профессионального обучения для женщин и девочек.</w:t>
      </w:r>
    </w:p>
    <w:p w14:paraId="5BB8FF5B" w14:textId="63292178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6485FEBE" w14:textId="768D3DF6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Занятость </w:t>
      </w:r>
    </w:p>
    <w:p w14:paraId="238EFF61" w14:textId="3FE7ED34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038AA874" w14:textId="77777777" w:rsidR="00E22135" w:rsidRPr="00E22135" w:rsidRDefault="00E22135" w:rsidP="00E22135">
      <w:pPr>
        <w:pStyle w:val="SingleTxt"/>
      </w:pPr>
      <w:r w:rsidRPr="00E22135">
        <w:t>32.</w:t>
      </w:r>
      <w:r w:rsidRPr="00E22135">
        <w:tab/>
        <w:t xml:space="preserve">Комитет с удовлетворением отмечает сокращение разницы в возрасте выхода на пенсию для женщин и мужчин и план государства-участника завершить к 2028 году процесс унификации пенсионного возраста. Он также приветствует введение государством-участником оплачиваемого отпуска по уходу за ребенком. Однако у Комитета по-прежнему вызывает обеспокоенность: </w:t>
      </w:r>
    </w:p>
    <w:p w14:paraId="796D0D0E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вертикальная и горизонтальная профессиональная сегрегация и сохраняющийся гендерный разрыв в оплате труда, несмотря на принцип равной оплаты за труд равной ценности, закрепленный в национальном законодательстве;</w:t>
      </w:r>
    </w:p>
    <w:p w14:paraId="679AC4A6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 xml:space="preserve">статья 248 Трудового кодекса, которая по-прежнему запрещает определенным категориям женщин работать в горнодобывающей и других отраслях промышленности, где существует риск для их безопасности и здоровья;  </w:t>
      </w:r>
    </w:p>
    <w:p w14:paraId="37770A2B" w14:textId="77777777" w:rsidR="00E22135" w:rsidRPr="00E22135" w:rsidRDefault="00E22135" w:rsidP="00E22135">
      <w:pPr>
        <w:pStyle w:val="SingleTxt"/>
      </w:pPr>
      <w:r w:rsidRPr="00E22135">
        <w:lastRenderedPageBreak/>
        <w:tab/>
        <w:t>c)</w:t>
      </w:r>
      <w:r w:rsidRPr="00E22135">
        <w:tab/>
        <w:t>узость определения сексуального домогательства в законопроекте о внесении изменений в ряд законодательных актов, что не соответствует международным стандартам;</w:t>
      </w:r>
    </w:p>
    <w:p w14:paraId="6CCDE2BE" w14:textId="77777777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недостаточное расследование случаев сексуальных домогательств и дискриминации по признаку пола на рабочем месте и преследование виновных;</w:t>
      </w:r>
    </w:p>
    <w:p w14:paraId="31808C09" w14:textId="77777777" w:rsidR="00E22135" w:rsidRPr="00E22135" w:rsidRDefault="00E22135" w:rsidP="00E22135">
      <w:pPr>
        <w:pStyle w:val="SingleTxt"/>
      </w:pPr>
      <w:r w:rsidRPr="00E22135">
        <w:tab/>
        <w:t>e)</w:t>
      </w:r>
      <w:r w:rsidRPr="00E22135">
        <w:tab/>
        <w:t>нехватка доступных по цене учреждений по уходу за детьми, которые бы лучше позволяли родителям совмещать семейную и профессиональную жизнь;</w:t>
      </w:r>
    </w:p>
    <w:p w14:paraId="2B88F63C" w14:textId="77777777" w:rsidR="00E22135" w:rsidRPr="00E22135" w:rsidRDefault="00E22135" w:rsidP="00E22135">
      <w:pPr>
        <w:pStyle w:val="SingleTxt"/>
      </w:pPr>
      <w:r w:rsidRPr="00E22135">
        <w:tab/>
        <w:t>f)</w:t>
      </w:r>
      <w:r w:rsidRPr="00E22135">
        <w:tab/>
        <w:t>отсутствие достаточных социальных гарантий для самозанятых женщин, не имеющих права на пособия по беременности и родам;</w:t>
      </w:r>
    </w:p>
    <w:p w14:paraId="405B21C8" w14:textId="77777777" w:rsidR="00E22135" w:rsidRPr="00E22135" w:rsidRDefault="00E22135" w:rsidP="00E22135">
      <w:pPr>
        <w:pStyle w:val="SingleTxt"/>
      </w:pPr>
      <w:r w:rsidRPr="00E22135">
        <w:tab/>
        <w:t>g)</w:t>
      </w:r>
      <w:r w:rsidRPr="00E22135">
        <w:tab/>
        <w:t xml:space="preserve">жалобы пожилых женщин на несправедливые увольнения, основанные на неправильном толковании статьи 86 Трудового кодекса.  </w:t>
      </w:r>
    </w:p>
    <w:p w14:paraId="032BC229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>33.</w:t>
      </w:r>
      <w:r w:rsidRPr="00E22135">
        <w:tab/>
      </w:r>
      <w:r w:rsidRPr="00E22135">
        <w:rPr>
          <w:b/>
          <w:bCs/>
        </w:rPr>
        <w:t>Комитет обращает внимание на задачу 8.5 целей в области устойчивого развития и рекомендует государству-участнику:</w:t>
      </w:r>
      <w:r w:rsidRPr="00E22135">
        <w:t xml:space="preserve"> </w:t>
      </w:r>
    </w:p>
    <w:p w14:paraId="40C463D4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обеспечить эффективную реализацию принципа равной оплаты за труд равной ценности в целях сокращения и устранения гендерного разрыва в оплате труда путем постоянного анализа данных о размерах заработной платы во всех секторах, применения гендерно нейтральных аналитических методов классификации и оценки ставок заработной платы, проведения регулярных проверок условий труда, а также регулярных обследований оплаты труда;</w:t>
      </w:r>
      <w:r w:rsidRPr="00E22135">
        <w:t xml:space="preserve">   </w:t>
      </w:r>
    </w:p>
    <w:p w14:paraId="49369A0E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отменить статью 248 Трудового кодекса с целью устранения ограничений на использование труда отдельных категорий женщин по указанным профессиям, перехода на индивидуальную аттестацию и улучшения условий труда во всех отраслях промышленности;</w:t>
      </w:r>
    </w:p>
    <w:p w14:paraId="4EC0D3FE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привести определение сексуального домогательства в национальном законодательстве в соответствие с применимыми международными стандартами в области прав человека, включая Стамбульскую конвенцию и Конвенцию Международной организации труда 2019 года о насилии и домогательствах (№ 190);</w:t>
      </w:r>
    </w:p>
    <w:p w14:paraId="569186FF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организовать систематическую подготовку судей, прокуроров, сотрудников полиции и других правоохранительных органов по вопросам строгого применения положений уголовного права, касающихся сексуальных домогательств на рабочем месте, и повысить осведомленность работодателей и широкой общественности об уголовном характере сексуальных домогательств;</w:t>
      </w:r>
      <w:r w:rsidRPr="00E22135">
        <w:t xml:space="preserve"> </w:t>
      </w:r>
    </w:p>
    <w:p w14:paraId="27F4C8AB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e)</w:t>
      </w:r>
      <w:r w:rsidRPr="00E22135">
        <w:tab/>
      </w:r>
      <w:r w:rsidRPr="00E22135">
        <w:rPr>
          <w:b/>
          <w:bCs/>
        </w:rPr>
        <w:t>поощрять равное распределение семейных и домашних обязанностей между женщинами и мужчинами, в том числе путем поощрения мужчин к тому, чтобы они брали отпуск по уходу за ребенком, и расширять доступ к недорогим, инклюзивным и доступным учреждениям по уходу за детьми;</w:t>
      </w:r>
    </w:p>
    <w:p w14:paraId="74C30E67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f)</w:t>
      </w:r>
      <w:r w:rsidRPr="00E22135">
        <w:tab/>
      </w:r>
      <w:r w:rsidRPr="00E22135">
        <w:rPr>
          <w:b/>
          <w:bCs/>
        </w:rPr>
        <w:t>усилить социальную защиту самозанятых женщин и обеспечить им равный с работающими женщинами доступ к пособиям по беременности и родам;</w:t>
      </w:r>
    </w:p>
    <w:p w14:paraId="7A0C6DCA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g)</w:t>
      </w:r>
      <w:r w:rsidRPr="00E22135">
        <w:tab/>
      </w:r>
      <w:r w:rsidRPr="00E22135">
        <w:rPr>
          <w:b/>
          <w:bCs/>
        </w:rPr>
        <w:t>следить за применением работодателями статьи 86 Трудового кодекса во избежание дискриминационного увольнения пожилых женщин;</w:t>
      </w:r>
      <w:r w:rsidRPr="00E22135">
        <w:t xml:space="preserve">  </w:t>
      </w:r>
    </w:p>
    <w:p w14:paraId="49DCDFA2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h)</w:t>
      </w:r>
      <w:r w:rsidRPr="00E22135">
        <w:tab/>
      </w:r>
      <w:r w:rsidRPr="00E22135">
        <w:rPr>
          <w:b/>
          <w:bCs/>
        </w:rPr>
        <w:t>ратифицировать Конвенцию Международной организации труда 2019 года о насилии и домогательствах (№ 190).</w:t>
      </w:r>
      <w:r w:rsidRPr="00E22135">
        <w:t xml:space="preserve"> </w:t>
      </w:r>
    </w:p>
    <w:p w14:paraId="397C306E" w14:textId="6AD3FE9A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lastRenderedPageBreak/>
        <w:tab/>
      </w:r>
      <w:r w:rsidRPr="00E22135">
        <w:tab/>
        <w:t>Здоровье</w:t>
      </w:r>
    </w:p>
    <w:p w14:paraId="61DB5700" w14:textId="36A57AFC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6C5AB8FC" w14:textId="77777777" w:rsidR="00E22135" w:rsidRPr="00E22135" w:rsidRDefault="00E22135" w:rsidP="00E22135">
      <w:pPr>
        <w:pStyle w:val="SingleTxt"/>
      </w:pPr>
      <w:r w:rsidRPr="00E22135">
        <w:t>34.</w:t>
      </w:r>
      <w:r w:rsidRPr="00E22135">
        <w:tab/>
        <w:t>Комитет с удовлетворением отмечает принятые государством-участником национальную политику и программы в области здравоохранения, а также сокращение за отчетный период коэффициентов материнской и младенческой смертности. Вместе с тем он с обеспокоенностью отмечает:</w:t>
      </w:r>
    </w:p>
    <w:p w14:paraId="6F779142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широко распространенную коррупцию среди медицинского персонала и работников системы здравоохранения в государстве-участнике наряду с «утечкой умов» в третьи страны из-за плохих условий труда и низкой заработной платы;</w:t>
      </w:r>
    </w:p>
    <w:p w14:paraId="590C789A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 xml:space="preserve">что женщины, принадлежащие к группам населения, находящимся в неблагоприятном положении, в том числе сельские женщины, женщины-инвалиды и женщины рома, имеют лишь ограниченный доступ к качественному медицинскому обслуживанию и медицинскому страхованию; </w:t>
      </w:r>
    </w:p>
    <w:p w14:paraId="4E7B8DE0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ограниченный доступ женщин к программам раннего выявления и лечения рака молочной железы и рака шейки матки и непропорционально высокий риск заражения женщин такими инфекционными заболеваниями, как туберкулез, и заболеваемости неинфекционными болезнями;</w:t>
      </w:r>
    </w:p>
    <w:p w14:paraId="74FEB3B9" w14:textId="77777777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ограниченное использование современных противозачаточных средств женщинами и мужчинами в государстве-участнике;</w:t>
      </w:r>
    </w:p>
    <w:p w14:paraId="6A41A8E1" w14:textId="77777777" w:rsidR="00E22135" w:rsidRPr="00E22135" w:rsidRDefault="00E22135" w:rsidP="00E22135">
      <w:pPr>
        <w:pStyle w:val="SingleTxt"/>
      </w:pPr>
      <w:r w:rsidRPr="00E22135">
        <w:tab/>
        <w:t>e)</w:t>
      </w:r>
      <w:r w:rsidRPr="00E22135">
        <w:tab/>
        <w:t>отсутствие в школьных программах всестороннего обучения по вопросам сексуального и репродуктивного здоровья и прав, включая ответственное сексуальное поведение, с учетом возрастных особенностей;</w:t>
      </w:r>
    </w:p>
    <w:p w14:paraId="73F8B67F" w14:textId="77777777" w:rsidR="00E22135" w:rsidRPr="00E22135" w:rsidRDefault="00E22135" w:rsidP="00E22135">
      <w:pPr>
        <w:pStyle w:val="SingleTxt"/>
        <w:rPr>
          <w:u w:val="single"/>
        </w:rPr>
      </w:pPr>
      <w:r w:rsidRPr="00E22135">
        <w:tab/>
        <w:t>f)</w:t>
      </w:r>
      <w:r w:rsidRPr="00E22135">
        <w:tab/>
        <w:t xml:space="preserve">стигматизацию и дискриминацию в отношении женщин, живущих с ВИЧ/СПИДом в государстве-участнике. </w:t>
      </w:r>
    </w:p>
    <w:p w14:paraId="277E2285" w14:textId="273DE828" w:rsidR="00E22135" w:rsidRPr="00E22135" w:rsidRDefault="00E22135" w:rsidP="00E22135">
      <w:pPr>
        <w:pStyle w:val="SingleTxt"/>
        <w:rPr>
          <w:b/>
          <w:bCs/>
        </w:rPr>
      </w:pPr>
      <w:r w:rsidRPr="00E22135">
        <w:t>35.</w:t>
      </w:r>
      <w:r w:rsidRPr="00E22135">
        <w:tab/>
      </w:r>
      <w:r w:rsidRPr="00E22135">
        <w:rPr>
          <w:b/>
          <w:bCs/>
        </w:rPr>
        <w:t>Комитет напоминает о своих предыдущих рекомендациях (</w:t>
      </w:r>
      <w:hyperlink r:id="rId27" w:history="1">
        <w:r w:rsidRPr="008B1DDC">
          <w:rPr>
            <w:rStyle w:val="Hyperlink"/>
            <w:b/>
            <w:bCs/>
          </w:rPr>
          <w:t>CEDAW/C/MDA/CO/4-5</w:t>
        </w:r>
      </w:hyperlink>
      <w:r w:rsidRPr="00E22135">
        <w:rPr>
          <w:b/>
          <w:bCs/>
        </w:rPr>
        <w:t>, п. 32) и рекомендует государству-участнику:</w:t>
      </w:r>
    </w:p>
    <w:p w14:paraId="2CFF0FE0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увеличить заработную плату и ввести стимулы для удержания квалифицированных медицинских работников и работников системы здравоохранения в государстве-участнике, особенно в сельских районах, и активизировать усилия по борьбе с коррупцией в медицинских службах и службах здравоохранения:</w:t>
      </w:r>
    </w:p>
    <w:p w14:paraId="5010C9C2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обеспечить, чтобы женщины и девочки, принадлежащие к группам населения, находящимся в неблагоприятном положении, имели доступ к адекватным и доступным медицинским услугам, включая услуги в области сексуального и репродуктивного здоровья, а также к медицинскому страхованию, особенно в сельских районах;</w:t>
      </w:r>
    </w:p>
    <w:p w14:paraId="2F18F8F6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выделять достаточные людские, технические и финансовые ресурсы для борьбы с инфекционными заболеваниями, в частности туберкулезом, а также неинфекционными заболеваниями и совершенствовать профилактику, раннее выявление и лечение рака молочной железы и рака шейки матки путем обеспечения доступа к медицинскому оборудованию;</w:t>
      </w:r>
    </w:p>
    <w:p w14:paraId="6C13B4E7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повышать осведомленность женщин, мужчин, девочек и мальчиков о современных контрацептивах в целях сокращения числа случаев нежелательной беременности и небезопасных абортов;</w:t>
      </w:r>
    </w:p>
    <w:p w14:paraId="4B100352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e)</w:t>
      </w:r>
      <w:r w:rsidRPr="00E22135">
        <w:tab/>
      </w:r>
      <w:r w:rsidRPr="00E22135">
        <w:rPr>
          <w:b/>
          <w:bCs/>
        </w:rPr>
        <w:t>ввести в школьные программы на всех уровнях всеобъемлющее обучение по вопросам сексуального и репродуктивного здоровья и прав девочек и мальчиков с учетом их возраста, в том числе по вопросам ответственного сексуального поведения и планирования семьи;</w:t>
      </w:r>
      <w:r w:rsidRPr="00E22135">
        <w:t xml:space="preserve"> </w:t>
      </w:r>
    </w:p>
    <w:p w14:paraId="405C2EF1" w14:textId="77777777" w:rsidR="00E22135" w:rsidRPr="00E22135" w:rsidRDefault="00E22135" w:rsidP="00E22135">
      <w:pPr>
        <w:pStyle w:val="SingleTxt"/>
        <w:rPr>
          <w:b/>
        </w:rPr>
      </w:pPr>
      <w:r w:rsidRPr="00E22135">
        <w:lastRenderedPageBreak/>
        <w:tab/>
      </w:r>
      <w:r w:rsidRPr="00E22135">
        <w:rPr>
          <w:b/>
          <w:bCs/>
        </w:rPr>
        <w:t>f)</w:t>
      </w:r>
      <w:r w:rsidRPr="00E22135">
        <w:tab/>
      </w:r>
      <w:r w:rsidRPr="00E22135">
        <w:rPr>
          <w:b/>
          <w:bCs/>
        </w:rPr>
        <w:t>покончить с дискриминацией и стигматизацией в отношении женщин, живущих с ВИЧ/СПИДом, путем повышения информированности и распространения программы по профилактике ВИЧ/СПИДа и борьбе с ним на женщин, принадлежащих к группам, находящимся в неблагоприятном положении, особенно на трансгендерных женщин.</w:t>
      </w:r>
      <w:r w:rsidRPr="00E22135">
        <w:t xml:space="preserve"> </w:t>
      </w:r>
    </w:p>
    <w:p w14:paraId="2B819856" w14:textId="16F6EFB8" w:rsidR="00E22135" w:rsidRPr="006038B1" w:rsidRDefault="00E22135" w:rsidP="006038B1">
      <w:pPr>
        <w:pStyle w:val="SingleTxt"/>
        <w:spacing w:after="0" w:line="120" w:lineRule="exact"/>
        <w:rPr>
          <w:sz w:val="10"/>
        </w:rPr>
      </w:pPr>
    </w:p>
    <w:p w14:paraId="25BDEB58" w14:textId="7C39C770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Экономические и социальные льготы </w:t>
      </w:r>
    </w:p>
    <w:p w14:paraId="4FA50F18" w14:textId="0A40EBDB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01FA491E" w14:textId="77777777" w:rsidR="00E22135" w:rsidRPr="00E22135" w:rsidRDefault="00E22135" w:rsidP="00E22135">
      <w:pPr>
        <w:pStyle w:val="SingleTxt"/>
      </w:pPr>
      <w:r w:rsidRPr="00E22135">
        <w:t>36.</w:t>
      </w:r>
      <w:r w:rsidRPr="00E22135">
        <w:tab/>
        <w:t>Комитет отмечает прогресс, достигнутый государством-участником в его усилиях по сокращению масштабов нищеты. Вместе с тем Комитет с обеспокоенностью отмечает:</w:t>
      </w:r>
    </w:p>
    <w:p w14:paraId="79D3B593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что непропорционально низкие пенсионные пособия женщин повышают риск их нищеты;</w:t>
      </w:r>
    </w:p>
    <w:p w14:paraId="49E9B2A7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>ограниченный доступ к социальной защите для женщин, принадлежащих к таким находящимся в неблагоприятном положении группам, как женщины рома и сельские женщины;</w:t>
      </w:r>
    </w:p>
    <w:p w14:paraId="257790F4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отсутствие информации о доступе женщин к займам и финансовым кредитам и о влиянии коррупции в финансовых учреждениях на женское предпринимательство, особенно в том, что касается создания и функционирования малых и средних предприятий.</w:t>
      </w:r>
    </w:p>
    <w:p w14:paraId="7700A3C6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>37.</w:t>
      </w:r>
      <w:r w:rsidRPr="00E22135">
        <w:tab/>
      </w:r>
      <w:r w:rsidRPr="00E22135">
        <w:rPr>
          <w:b/>
          <w:bCs/>
        </w:rPr>
        <w:t>Что касается задачи 5.а целей в области устойчивого развития, то Комитет рекомендует государству-участнику:</w:t>
      </w:r>
      <w:r w:rsidRPr="00E22135">
        <w:t xml:space="preserve"> </w:t>
      </w:r>
    </w:p>
    <w:p w14:paraId="6E97D98A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распространить существующие механизмы социальной защиты на женщин, принадлежащих к группам населения, находящимся в неблагоприятном положении, включая женщин рома и сельских женщин, а также на вышедших на пенсию женщин, находящихся в трудном экономическом положении, увеличить финансирование таких механизмов и обеспечить, чтобы при разработке механизмов социальной защиты учитывались гендерные аспекты;</w:t>
      </w:r>
      <w:r w:rsidRPr="00E22135">
        <w:t xml:space="preserve"> </w:t>
      </w:r>
    </w:p>
    <w:p w14:paraId="528171A7" w14:textId="09768898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 xml:space="preserve">обеспечить доступ женщин к займам и другим формам финансового кредитования и расширить рамки программ развития предпринимательства для женщин, включая женщин, принадлежащих к группам населения, находящимся в </w:t>
      </w:r>
      <w:r w:rsidR="001D455B" w:rsidRPr="00E22135">
        <w:rPr>
          <w:b/>
          <w:bCs/>
        </w:rPr>
        <w:t>неблагоприятном</w:t>
      </w:r>
      <w:r w:rsidRPr="00E22135">
        <w:rPr>
          <w:b/>
          <w:bCs/>
        </w:rPr>
        <w:t xml:space="preserve"> положении, в частности женщин-инвалидов;</w:t>
      </w:r>
      <w:r w:rsidRPr="00E22135">
        <w:t xml:space="preserve">   </w:t>
      </w:r>
    </w:p>
    <w:p w14:paraId="4AF1EA82" w14:textId="0C0F1BF8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рассмотреть вопрос о ратификации Конвенции Международной организации труда 1952 года о минимальных нормах социального обеспечения (№ 102).</w:t>
      </w:r>
    </w:p>
    <w:p w14:paraId="3AB0C080" w14:textId="29D5CC50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3DBE6B12" w14:textId="32F3245B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Сельские женщины </w:t>
      </w:r>
    </w:p>
    <w:p w14:paraId="34C678D9" w14:textId="3D16E2BE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4D1E7651" w14:textId="77777777" w:rsidR="00E22135" w:rsidRPr="00E22135" w:rsidRDefault="00E22135" w:rsidP="00E22135">
      <w:pPr>
        <w:pStyle w:val="SingleTxt"/>
      </w:pPr>
      <w:r w:rsidRPr="00E22135">
        <w:t>38.</w:t>
      </w:r>
      <w:r w:rsidRPr="00E22135">
        <w:tab/>
        <w:t>Обеспокоенность Комитета вызывают следующие моменты:</w:t>
      </w:r>
    </w:p>
    <w:p w14:paraId="24ADE708" w14:textId="77777777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ограниченный доступ сельских женщин к образованию, здравоохранению, землепользованию, сельскохозяйственным технологиям, кредитам, достаточному водоснабжению и защите от гендерного насилия;</w:t>
      </w:r>
    </w:p>
    <w:p w14:paraId="3E84DD12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 xml:space="preserve">тот факт, что женщины в сельских районах в несоразмерно большей степени страдают от экономической эмиграции, что сужает их возможности для предпринимательской деятельности и трудоустройства; </w:t>
      </w:r>
    </w:p>
    <w:p w14:paraId="0A21DA1A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большое число женщин и девочек в сельских районах, прибегающих к абортам.</w:t>
      </w:r>
    </w:p>
    <w:p w14:paraId="4FB8D3C3" w14:textId="6ACF1705" w:rsidR="00E22135" w:rsidRPr="00E22135" w:rsidRDefault="00E22135" w:rsidP="00E22135">
      <w:pPr>
        <w:pStyle w:val="SingleTxt"/>
        <w:rPr>
          <w:b/>
          <w:bCs/>
        </w:rPr>
      </w:pPr>
      <w:r w:rsidRPr="00E22135">
        <w:lastRenderedPageBreak/>
        <w:t>39.</w:t>
      </w:r>
      <w:r w:rsidRPr="00E22135">
        <w:tab/>
      </w:r>
      <w:r w:rsidRPr="00E22135">
        <w:rPr>
          <w:b/>
          <w:bCs/>
        </w:rPr>
        <w:t xml:space="preserve">Ссылаясь на свою общую рекомендацию № </w:t>
      </w:r>
      <w:r w:rsidRPr="006038B1">
        <w:rPr>
          <w:b/>
          <w:bCs/>
        </w:rPr>
        <w:t>34 (2016)</w:t>
      </w:r>
      <w:r w:rsidRPr="00E22135">
        <w:rPr>
          <w:b/>
          <w:bCs/>
        </w:rPr>
        <w:t xml:space="preserve"> о правах сельских женщин, Комитет рекомендует государству-участнику:</w:t>
      </w:r>
    </w:p>
    <w:p w14:paraId="00A0C226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активизировать усилия по обеспечению сельским женщинам эффективного доступа к правосудию, образованию, здравоохранению, достаточным источникам водоснабжения, землепользованию, сельскохозяйственным технологиям и финансовым кредитам;</w:t>
      </w:r>
    </w:p>
    <w:p w14:paraId="3244EB45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ликвидировать барьеры и препятствия, с которыми сталкиваются сельские женщины при открытии собственного бизнеса, и создать для них адекватные возможности трудоустройства с достойной оплатой труда;</w:t>
      </w:r>
    </w:p>
    <w:p w14:paraId="19028A24" w14:textId="25B31CF8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обеспечить, чтобы женщины и девочки в сельских районах имели доступ к безопасным услугам прерывания беременности и услугам после аборта наравне с женщинами в городских районах и чтобы все расходы, связанные с этими услугами, покрывались медицинским страхованием.</w:t>
      </w:r>
    </w:p>
    <w:p w14:paraId="636B1D33" w14:textId="1F4C15D4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117A3E6A" w14:textId="5BBF2BAF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Группы женщин, находящиеся в неблагоприятном положении</w:t>
      </w:r>
    </w:p>
    <w:p w14:paraId="4FFBC0B9" w14:textId="081D657B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19B9349A" w14:textId="77777777" w:rsidR="00E22135" w:rsidRPr="00E22135" w:rsidRDefault="00E22135" w:rsidP="00E22135">
      <w:pPr>
        <w:pStyle w:val="SingleTxt"/>
      </w:pPr>
      <w:r w:rsidRPr="00E22135">
        <w:t>40.</w:t>
      </w:r>
      <w:r w:rsidRPr="00E22135">
        <w:tab/>
        <w:t>Комитет отмечает различные меры, принятые государством-участником для социальной интеграции женщин рома и женщин-инвалидов. Вместе с тем Комитет с обеспокоенностью отмечает:</w:t>
      </w:r>
    </w:p>
    <w:p w14:paraId="7123A9BC" w14:textId="68315BFD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отсутствие информации о воздействии на социальную интеграцию женщин рома и женщин-инвалидов плана действий по поддержке населения рома в Республике Молдова (2016</w:t>
      </w:r>
      <w:r w:rsidR="006038B1" w:rsidRPr="006038B1">
        <w:t>–</w:t>
      </w:r>
      <w:r w:rsidRPr="00E22135">
        <w:t>2020 годы) и национальной программы социальной интеграции инвалидов (2017</w:t>
      </w:r>
      <w:r w:rsidR="006038B1" w:rsidRPr="006038B1">
        <w:t>–</w:t>
      </w:r>
      <w:r w:rsidRPr="00E22135">
        <w:t>2022 годы);</w:t>
      </w:r>
    </w:p>
    <w:p w14:paraId="003372D2" w14:textId="7777777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>что в государстве-участнике оказание услуг по поддержке женщин, употребляющих наркотики, в значительной степени делегировано организациям гражданского общества;</w:t>
      </w:r>
    </w:p>
    <w:p w14:paraId="50C8922B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 xml:space="preserve">сообщения о гендерном насилии в отношении женщин-инвалидов со стороны лиц, осуществляющих уход за ними, персонала интернатных учреждений и психиатрических больниц и другого медицинского персонала, включая изнасилования, принудительную стерилизацию, аборты, отсутствие ухода, ограничение свободы и изоляцию;  </w:t>
      </w:r>
    </w:p>
    <w:p w14:paraId="399C5816" w14:textId="77777777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неудовлетворительные санитарно-гигиенические условия содержания женщин в пенитенциарных учреждениях.</w:t>
      </w:r>
    </w:p>
    <w:p w14:paraId="3DEC0B66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>41.</w:t>
      </w:r>
      <w:r w:rsidRPr="00E22135">
        <w:tab/>
      </w:r>
      <w:r w:rsidRPr="00E22135">
        <w:rPr>
          <w:b/>
          <w:bCs/>
        </w:rPr>
        <w:t>Комитет рекомендует государству-участнику:</w:t>
      </w:r>
      <w:r w:rsidRPr="00E22135">
        <w:t xml:space="preserve"> </w:t>
      </w:r>
    </w:p>
    <w:p w14:paraId="237E25DE" w14:textId="7D3A57A6" w:rsidR="00E22135" w:rsidRPr="00E22135" w:rsidRDefault="00E76FA5" w:rsidP="00E22135">
      <w:pPr>
        <w:pStyle w:val="SingleTxt"/>
        <w:rPr>
          <w:b/>
        </w:rPr>
      </w:pPr>
      <w:r>
        <w:rPr>
          <w:b/>
          <w:bCs/>
        </w:rPr>
        <w:tab/>
      </w:r>
      <w:r w:rsidR="00E22135" w:rsidRPr="00E22135">
        <w:rPr>
          <w:b/>
          <w:bCs/>
        </w:rPr>
        <w:t>а)</w:t>
      </w:r>
      <w:r w:rsidR="00E22135" w:rsidRPr="00E22135">
        <w:tab/>
      </w:r>
      <w:r w:rsidR="00E22135" w:rsidRPr="00E22135">
        <w:rPr>
          <w:b/>
          <w:bCs/>
        </w:rPr>
        <w:t>укрепить оценку и мониторинг осуществления плана действий по поддержке населения рома в Республике Молдова (2016</w:t>
      </w:r>
      <w:r w:rsidR="006038B1" w:rsidRPr="006038B1">
        <w:rPr>
          <w:b/>
          <w:bCs/>
        </w:rPr>
        <w:t>–</w:t>
      </w:r>
      <w:r w:rsidR="00E22135" w:rsidRPr="00E22135">
        <w:rPr>
          <w:b/>
          <w:bCs/>
        </w:rPr>
        <w:t>2020 годы) и национальной программы социальной интеграции инвалидов (2017</w:t>
      </w:r>
      <w:r w:rsidR="006038B1" w:rsidRPr="006038B1">
        <w:rPr>
          <w:b/>
          <w:bCs/>
        </w:rPr>
        <w:t>–</w:t>
      </w:r>
      <w:r w:rsidR="00E22135" w:rsidRPr="00E22135">
        <w:rPr>
          <w:b/>
          <w:bCs/>
        </w:rPr>
        <w:t>2022 годы) в целях содействия социальной интеграции женщин рома и женщин-инвалидов;</w:t>
      </w:r>
    </w:p>
    <w:p w14:paraId="397F7902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обеспечить надлежащее финансирование организаций гражданского общества, которые предлагают вспомогательные и реабилитационные услуги для женщин, употребляющих наркотики;</w:t>
      </w:r>
    </w:p>
    <w:p w14:paraId="6A5226E1" w14:textId="27B5C4D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защищать женщин и девочек-инвалидов от злоупотреблений и насилия путем регулярного мониторинга и создания независимых конфиденциальных механизмов подачи жалоб во всех интернатных учреждениях и психиатрических больницах, а также обеспечивать, чтобы никакие медицинские процедуры в отношении них не проводились без их свободного, предварительного и осознанного согласия;</w:t>
      </w:r>
    </w:p>
    <w:p w14:paraId="6CAA67D1" w14:textId="0CFFFC42" w:rsidR="00E22135" w:rsidRDefault="00E22135" w:rsidP="00E22135">
      <w:pPr>
        <w:pStyle w:val="SingleTxt"/>
        <w:rPr>
          <w:b/>
          <w:bCs/>
        </w:rPr>
      </w:pPr>
      <w:r w:rsidRPr="00E22135">
        <w:lastRenderedPageBreak/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улучшить условия содержания женщин в местах лишения свободы и обеспечить предоставление надлежащего доступа к медицинскому обслуживанию и средствам личной гигиены женщинам, находящимся в заключении, в соответствии с Правилами Организации Объединенных Наций, касающимися обращения с женщинами-заключенными и мер наказания для женщин-правонарушителей, не связанных с лишением свободы (Бангкокские правила;</w:t>
      </w:r>
      <w:r w:rsidRPr="00E22135">
        <w:t xml:space="preserve"> </w:t>
      </w:r>
      <w:r w:rsidRPr="00E22135">
        <w:rPr>
          <w:b/>
          <w:bCs/>
        </w:rPr>
        <w:t xml:space="preserve">резолюция </w:t>
      </w:r>
      <w:hyperlink r:id="rId28" w:history="1">
        <w:r w:rsidRPr="008B1DDC">
          <w:rPr>
            <w:rStyle w:val="Hyperlink"/>
            <w:b/>
            <w:bCs/>
          </w:rPr>
          <w:t>65/229</w:t>
        </w:r>
      </w:hyperlink>
      <w:r w:rsidRPr="00E22135">
        <w:rPr>
          <w:b/>
          <w:bCs/>
        </w:rPr>
        <w:t xml:space="preserve"> Генеральной Ассамблеи).</w:t>
      </w:r>
    </w:p>
    <w:p w14:paraId="42D25101" w14:textId="197A75C0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605DB436" w14:textId="07D0DCDA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Брак и семейные отношения</w:t>
      </w:r>
    </w:p>
    <w:p w14:paraId="72B5541C" w14:textId="3168A9DD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05D75C0E" w14:textId="77777777" w:rsidR="00E22135" w:rsidRPr="00E22135" w:rsidRDefault="00E22135" w:rsidP="00E22135">
      <w:pPr>
        <w:pStyle w:val="SingleTxt"/>
      </w:pPr>
      <w:r w:rsidRPr="00E22135">
        <w:t>42.</w:t>
      </w:r>
      <w:r w:rsidRPr="00E22135">
        <w:tab/>
        <w:t>Комитет с обеспокоенностью отмечает:</w:t>
      </w:r>
    </w:p>
    <w:p w14:paraId="31F32FCC" w14:textId="460B799D" w:rsidR="00E22135" w:rsidRPr="00E22135" w:rsidRDefault="00E22135" w:rsidP="00E22135">
      <w:pPr>
        <w:pStyle w:val="SingleTxt"/>
      </w:pPr>
      <w:r w:rsidRPr="00E22135">
        <w:tab/>
        <w:t>а)</w:t>
      </w:r>
      <w:r w:rsidRPr="00E22135">
        <w:tab/>
        <w:t>сообщения о детских браках в общинах рома, а также о том, что статья</w:t>
      </w:r>
      <w:r w:rsidR="006038B1">
        <w:rPr>
          <w:lang w:val="en-US"/>
        </w:rPr>
        <w:t> </w:t>
      </w:r>
      <w:r w:rsidRPr="00E22135">
        <w:t>14 Семейного кодекса допускает исключения для минимального установленного законом брачного возраста, в соответствии с которыми в некоторых случаях он может быть снижен с 18 до 16 лет;</w:t>
      </w:r>
    </w:p>
    <w:p w14:paraId="597D6D1D" w14:textId="41455487" w:rsidR="00E22135" w:rsidRPr="00E22135" w:rsidRDefault="00E22135" w:rsidP="00E22135">
      <w:pPr>
        <w:pStyle w:val="SingleTxt"/>
      </w:pPr>
      <w:r w:rsidRPr="00E22135">
        <w:tab/>
        <w:t>b)</w:t>
      </w:r>
      <w:r w:rsidRPr="00E22135">
        <w:tab/>
        <w:t>отказ женщинам с психосоциальной и/или интеллектуальной инвалидностью в праве на вступление в брак и выполнение родительских обязанностей;</w:t>
      </w:r>
    </w:p>
    <w:p w14:paraId="3BCFE0BB" w14:textId="77777777" w:rsidR="00E22135" w:rsidRPr="00E22135" w:rsidRDefault="00E22135" w:rsidP="00E22135">
      <w:pPr>
        <w:pStyle w:val="SingleTxt"/>
      </w:pPr>
      <w:r w:rsidRPr="00E22135">
        <w:tab/>
        <w:t>c)</w:t>
      </w:r>
      <w:r w:rsidRPr="00E22135">
        <w:tab/>
        <w:t>обязательные требования к посредничеству в бракоразводном процессе, в том числе в случаях, связанных с насилием в семье;</w:t>
      </w:r>
    </w:p>
    <w:p w14:paraId="30ED2EB1" w14:textId="77777777" w:rsidR="00E22135" w:rsidRPr="00E22135" w:rsidRDefault="00E22135" w:rsidP="00E22135">
      <w:pPr>
        <w:pStyle w:val="SingleTxt"/>
      </w:pPr>
      <w:r w:rsidRPr="00E22135">
        <w:tab/>
        <w:t>d)</w:t>
      </w:r>
      <w:r w:rsidRPr="00E22135">
        <w:tab/>
        <w:t>отсутствие информации о мерах, принимаемых государством-участником для обеспечения равного права женщин на наследование после смерти супруга.</w:t>
      </w:r>
    </w:p>
    <w:p w14:paraId="1624FE17" w14:textId="537D2C85" w:rsidR="00E22135" w:rsidRPr="00E22135" w:rsidRDefault="00E22135" w:rsidP="00E22135">
      <w:pPr>
        <w:pStyle w:val="SingleTxt"/>
        <w:rPr>
          <w:b/>
          <w:bCs/>
        </w:rPr>
      </w:pPr>
      <w:r w:rsidRPr="00E22135">
        <w:t>43.</w:t>
      </w:r>
      <w:r w:rsidRPr="00E22135">
        <w:tab/>
      </w:r>
      <w:r w:rsidRPr="00E22135">
        <w:rPr>
          <w:b/>
          <w:bCs/>
        </w:rPr>
        <w:t>Ссылаясь на пункт 40 своих предыдущих заключительных замечаний (</w:t>
      </w:r>
      <w:hyperlink r:id="rId29" w:history="1">
        <w:r w:rsidRPr="008B1DDC">
          <w:rPr>
            <w:rStyle w:val="Hyperlink"/>
            <w:b/>
            <w:bCs/>
          </w:rPr>
          <w:t>CEDAW/C/MDA/CO/4-5</w:t>
        </w:r>
      </w:hyperlink>
      <w:r w:rsidRPr="00E22135">
        <w:rPr>
          <w:b/>
          <w:bCs/>
        </w:rPr>
        <w:t xml:space="preserve">) и свои общие рекомендации № </w:t>
      </w:r>
      <w:r w:rsidRPr="006038B1">
        <w:rPr>
          <w:b/>
          <w:bCs/>
        </w:rPr>
        <w:t>21 (1994)</w:t>
      </w:r>
      <w:r w:rsidRPr="00E22135">
        <w:rPr>
          <w:b/>
          <w:bCs/>
        </w:rPr>
        <w:t xml:space="preserve"> о </w:t>
      </w:r>
      <w:r w:rsidR="001D455B" w:rsidRPr="00E22135">
        <w:rPr>
          <w:b/>
          <w:bCs/>
        </w:rPr>
        <w:t>равноправии</w:t>
      </w:r>
      <w:r w:rsidRPr="00E22135">
        <w:rPr>
          <w:b/>
          <w:bCs/>
        </w:rPr>
        <w:t xml:space="preserve"> в браке и семейных отношениях и № </w:t>
      </w:r>
      <w:r w:rsidRPr="006038B1">
        <w:rPr>
          <w:b/>
          <w:bCs/>
        </w:rPr>
        <w:t>29 (2013)</w:t>
      </w:r>
      <w:r w:rsidRPr="00E22135">
        <w:rPr>
          <w:b/>
          <w:bCs/>
        </w:rPr>
        <w:t xml:space="preserve"> об экономических последствиях вступления в брак, семейных отношений и их расторжения, Комитет рекомендует государству-участнику:</w:t>
      </w:r>
    </w:p>
    <w:p w14:paraId="24347E44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а)</w:t>
      </w:r>
      <w:r w:rsidRPr="00E22135">
        <w:tab/>
      </w:r>
      <w:r w:rsidRPr="00E22135">
        <w:rPr>
          <w:b/>
          <w:bCs/>
        </w:rPr>
        <w:t>рассмотреть вопрос о внесении изменений в статью 14 Семейного кодекса с целью отмены всех исключений из установленного законом минимального возраста вступления в брак в 18 лет и продолжать усилия по повышению осведомленности общин рома о негативных последствиях детских браков для здоровья и благополучия женщин и девочек и их доступа к образованию и трудоустройству;</w:t>
      </w:r>
    </w:p>
    <w:p w14:paraId="0CDCBC3D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b)</w:t>
      </w:r>
      <w:r w:rsidRPr="00E22135">
        <w:tab/>
      </w:r>
      <w:r w:rsidRPr="00E22135">
        <w:rPr>
          <w:b/>
          <w:bCs/>
        </w:rPr>
        <w:t>внести изменения в статью 24 Гражданского кодекса и Семейного кодекса с целью обеспечения прав женщин с психосоциальной и/или интеллектуальной инвалидностью на вступление в брак и исполнение родительских обязанностей;</w:t>
      </w:r>
    </w:p>
    <w:p w14:paraId="0B2E3938" w14:textId="77777777" w:rsidR="00E22135" w:rsidRPr="00E22135" w:rsidRDefault="00E22135" w:rsidP="00E22135">
      <w:pPr>
        <w:pStyle w:val="SingleTxt"/>
        <w:rPr>
          <w:b/>
        </w:rPr>
      </w:pPr>
      <w:r w:rsidRPr="00E22135">
        <w:tab/>
      </w:r>
      <w:r w:rsidRPr="00E22135">
        <w:rPr>
          <w:b/>
          <w:bCs/>
        </w:rPr>
        <w:t>c)</w:t>
      </w:r>
      <w:r w:rsidRPr="00E22135">
        <w:tab/>
      </w:r>
      <w:r w:rsidRPr="00E22135">
        <w:rPr>
          <w:b/>
          <w:bCs/>
        </w:rPr>
        <w:t>отменить обязательные требования о посредничестве в бракоразводном процессе по делам, связанным с насилием в семье, и внести соответствующие поправки в Гражданский процессуальный кодекс;</w:t>
      </w:r>
    </w:p>
    <w:p w14:paraId="0755D0A5" w14:textId="5CB200CE" w:rsidR="00E22135" w:rsidRDefault="00E22135" w:rsidP="00E22135">
      <w:pPr>
        <w:pStyle w:val="SingleTxt"/>
        <w:rPr>
          <w:b/>
          <w:bCs/>
        </w:rPr>
      </w:pPr>
      <w:r w:rsidRPr="00E22135">
        <w:tab/>
      </w:r>
      <w:r w:rsidRPr="00E22135">
        <w:rPr>
          <w:b/>
          <w:bCs/>
        </w:rPr>
        <w:t>d)</w:t>
      </w:r>
      <w:r w:rsidRPr="00E22135">
        <w:tab/>
      </w:r>
      <w:r w:rsidRPr="00E22135">
        <w:rPr>
          <w:b/>
          <w:bCs/>
        </w:rPr>
        <w:t>устранить барьеры и препятствия, с которыми сталкиваются вдовы при осуществлении своих прав наследования.</w:t>
      </w:r>
    </w:p>
    <w:p w14:paraId="33D5BC1F" w14:textId="299ED092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0231FF5F" w14:textId="5A8A3F13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Сбор и анализ данных</w:t>
      </w:r>
    </w:p>
    <w:p w14:paraId="04A2A7F4" w14:textId="6F11EC44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531E802E" w14:textId="6760B995" w:rsidR="00E22135" w:rsidRDefault="00E22135" w:rsidP="00E22135">
      <w:pPr>
        <w:pStyle w:val="SingleTxt"/>
      </w:pPr>
      <w:r w:rsidRPr="00E22135">
        <w:t>44.</w:t>
      </w:r>
      <w:r w:rsidRPr="00E22135">
        <w:tab/>
      </w:r>
      <w:r w:rsidRPr="00E22135">
        <w:rPr>
          <w:b/>
          <w:bCs/>
        </w:rPr>
        <w:t>Комитет высоко оценивает статистические данные, представленные государством-участником в шестом периодическом докладе и в его письменных ответах на перечень тем и вопросов, поднятых предсессионной рабочей группой.</w:t>
      </w:r>
      <w:r w:rsidRPr="00E22135">
        <w:t xml:space="preserve"> </w:t>
      </w:r>
      <w:r w:rsidRPr="00E22135">
        <w:rPr>
          <w:b/>
          <w:bCs/>
        </w:rPr>
        <w:t xml:space="preserve">Вместе с тем он рекомендует государству-участнику усовершенствовать свою систему сбора данных для получения данных в разбивке </w:t>
      </w:r>
      <w:r w:rsidRPr="00E22135">
        <w:rPr>
          <w:b/>
          <w:bCs/>
        </w:rPr>
        <w:lastRenderedPageBreak/>
        <w:t>по полу, возрасту, инвалидности, этнической принадлежности, географическому положению и другим соответствующим факторам и включить такие статистические данные и анализ в свой следующий периодический доклад.</w:t>
      </w:r>
      <w:r w:rsidRPr="00E22135">
        <w:t xml:space="preserve"> </w:t>
      </w:r>
    </w:p>
    <w:p w14:paraId="04BC6F7C" w14:textId="4C0DA02B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5428460B" w14:textId="4E64E065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Пекинская декларация и Платформа действий </w:t>
      </w:r>
    </w:p>
    <w:p w14:paraId="0F0155A4" w14:textId="413F2AFA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281402F7" w14:textId="2629779B" w:rsidR="00E22135" w:rsidRDefault="00E22135" w:rsidP="00E22135">
      <w:pPr>
        <w:pStyle w:val="SingleTxt"/>
      </w:pPr>
      <w:r w:rsidRPr="00E22135">
        <w:t>45.</w:t>
      </w:r>
      <w:r w:rsidRPr="00E22135">
        <w:tab/>
      </w:r>
      <w:r w:rsidRPr="00E22135">
        <w:rPr>
          <w:b/>
          <w:bCs/>
        </w:rPr>
        <w:t>Комитет призывает государство-участник опираться на Пекинскую декларацию и Платформу действий и провести дальнейшую оценку осуществления прав, закрепленных в Конвенции, в контексте 25-летнего обзора хода осуществления Пекинской декларации и Платформы действий в целях достижения реального равенства женщин и мужчин.</w:t>
      </w:r>
      <w:r w:rsidRPr="00E22135">
        <w:t xml:space="preserve"> </w:t>
      </w:r>
    </w:p>
    <w:p w14:paraId="1FDE2BC9" w14:textId="29427385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22C297F2" w14:textId="55D6B886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Распространение </w:t>
      </w:r>
    </w:p>
    <w:p w14:paraId="2971C818" w14:textId="0D160B47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1E4BED11" w14:textId="295F9875" w:rsidR="00E22135" w:rsidRDefault="00E22135" w:rsidP="00E22135">
      <w:pPr>
        <w:pStyle w:val="SingleTxt"/>
        <w:rPr>
          <w:b/>
          <w:bCs/>
        </w:rPr>
      </w:pPr>
      <w:r w:rsidRPr="00E22135">
        <w:t>46.</w:t>
      </w:r>
      <w:r w:rsidRPr="00E22135">
        <w:tab/>
      </w:r>
      <w:r w:rsidRPr="00E22135">
        <w:rPr>
          <w:b/>
          <w:bCs/>
        </w:rPr>
        <w:t>Комитет обращается к государству-участнику с просьбой обеспечить своевременное распространение настоящих заключительных замечаний на официальном языке государства-участника среди соответствующих государственных учреждений на всех уровнях (национальном, региональном и местном), в частности в правительстве, парламенте и судебных органах, для обеспечения их полного осуществления.</w:t>
      </w:r>
    </w:p>
    <w:p w14:paraId="53688F07" w14:textId="6D43E72B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61D269F5" w14:textId="6021FAD9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Техническая помощь </w:t>
      </w:r>
    </w:p>
    <w:p w14:paraId="12A13EC3" w14:textId="4EF16FD8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6037D277" w14:textId="3B287515" w:rsidR="00E22135" w:rsidRDefault="00E22135" w:rsidP="00E22135">
      <w:pPr>
        <w:pStyle w:val="SingleTxt"/>
      </w:pPr>
      <w:r w:rsidRPr="00E22135">
        <w:t>47.</w:t>
      </w:r>
      <w:r w:rsidRPr="00E22135">
        <w:tab/>
      </w:r>
      <w:r w:rsidRPr="00E22135">
        <w:rPr>
          <w:b/>
          <w:bCs/>
        </w:rPr>
        <w:t>Комитет рекомендует государству-участнику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помощью.</w:t>
      </w:r>
      <w:r w:rsidRPr="00E22135">
        <w:t xml:space="preserve"> </w:t>
      </w:r>
    </w:p>
    <w:p w14:paraId="1A20687E" w14:textId="685576A6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5891FFBD" w14:textId="7CFAA216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>Ратификация других договоров</w:t>
      </w:r>
    </w:p>
    <w:p w14:paraId="3629272C" w14:textId="63D087B1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740CCDB3" w14:textId="5F43D060" w:rsidR="00E22135" w:rsidRDefault="00E22135" w:rsidP="00E22135">
      <w:pPr>
        <w:pStyle w:val="SingleTxt"/>
        <w:rPr>
          <w:b/>
          <w:bCs/>
        </w:rPr>
      </w:pPr>
      <w:r w:rsidRPr="00E22135">
        <w:t>48.</w:t>
      </w:r>
      <w:r w:rsidRPr="00E22135">
        <w:tab/>
      </w:r>
      <w:r w:rsidRPr="00E22135">
        <w:rPr>
          <w:b/>
          <w:bCs/>
        </w:rPr>
        <w:t>Комитет отмечает, что соблюдение государством-участником девяти основных международных документов по правам человека</w:t>
      </w:r>
      <w:r w:rsidRPr="00E22135">
        <w:rPr>
          <w:vertAlign w:val="superscript"/>
        </w:rPr>
        <w:footnoteReference w:id="2"/>
      </w:r>
      <w:r w:rsidRPr="00E22135">
        <w:rPr>
          <w:b/>
          <w:bCs/>
        </w:rPr>
        <w:t xml:space="preserve"> будет способствовать более полному осуществлению женщинами их прав человека и основных свобод во всех сферах жизни.</w:t>
      </w:r>
      <w:r w:rsidRPr="00E22135">
        <w:t xml:space="preserve"> </w:t>
      </w:r>
      <w:r w:rsidRPr="00E22135">
        <w:rPr>
          <w:b/>
          <w:bCs/>
        </w:rPr>
        <w:t>В связи с этим Комитет рекомендует государству-участнику ратифицировать Международную конвенцию для защиты всех лиц от насильственных исчезновений и Международную конвенцию о защите прав всех трудящихся-мигрантов и членов их семей, участником которых оно пока не является.</w:t>
      </w:r>
    </w:p>
    <w:p w14:paraId="479DCA8A" w14:textId="0B6FFDE8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2A3C3647" w14:textId="0D444ED9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tab/>
      </w:r>
      <w:r w:rsidRPr="00E22135">
        <w:tab/>
        <w:t xml:space="preserve">Последующая деятельность по выполнению заключительных замечаний </w:t>
      </w:r>
    </w:p>
    <w:p w14:paraId="109186F8" w14:textId="39F38B0C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62FB0B25" w14:textId="1C190746" w:rsidR="00E22135" w:rsidRDefault="00E22135" w:rsidP="00E22135">
      <w:pPr>
        <w:pStyle w:val="SingleTxt"/>
        <w:rPr>
          <w:b/>
          <w:bCs/>
        </w:rPr>
      </w:pPr>
      <w:r w:rsidRPr="00E22135">
        <w:t>49.</w:t>
      </w:r>
      <w:r w:rsidRPr="00E22135">
        <w:tab/>
      </w:r>
      <w:r w:rsidRPr="00E22135">
        <w:rPr>
          <w:b/>
          <w:bCs/>
        </w:rPr>
        <w:t>Комитет просит государство-участник представить в течение двух лет письменную информацию о мерах, принятых для выполнения рекомендаций, изложенных в пунктах 15 a), 23 f), 27 a) и 41 c) выше.</w:t>
      </w:r>
    </w:p>
    <w:p w14:paraId="0738D409" w14:textId="2A2B1B50" w:rsidR="006038B1" w:rsidRPr="006038B1" w:rsidRDefault="006038B1" w:rsidP="006038B1">
      <w:pPr>
        <w:pStyle w:val="SingleTxt"/>
        <w:spacing w:after="0" w:line="120" w:lineRule="exact"/>
        <w:rPr>
          <w:b/>
          <w:bCs/>
          <w:sz w:val="10"/>
        </w:rPr>
      </w:pPr>
    </w:p>
    <w:p w14:paraId="5D95681C" w14:textId="77777777" w:rsidR="0090736F" w:rsidRDefault="0090736F">
      <w:pPr>
        <w:spacing w:after="200" w:line="276" w:lineRule="auto"/>
        <w:rPr>
          <w:b/>
          <w:spacing w:val="2"/>
        </w:rPr>
      </w:pPr>
      <w:r>
        <w:br w:type="page"/>
      </w:r>
    </w:p>
    <w:p w14:paraId="53E783F9" w14:textId="24A15DBA" w:rsidR="00E22135" w:rsidRDefault="00E22135" w:rsidP="006038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22135">
        <w:lastRenderedPageBreak/>
        <w:tab/>
      </w:r>
      <w:r w:rsidRPr="00E22135">
        <w:tab/>
        <w:t xml:space="preserve">Подготовка следующего периодического доклада </w:t>
      </w:r>
    </w:p>
    <w:p w14:paraId="0928E5F0" w14:textId="0109D5E6" w:rsidR="006038B1" w:rsidRPr="006038B1" w:rsidRDefault="006038B1" w:rsidP="006038B1">
      <w:pPr>
        <w:pStyle w:val="SingleTxt"/>
        <w:spacing w:after="0" w:line="120" w:lineRule="exact"/>
        <w:rPr>
          <w:sz w:val="10"/>
        </w:rPr>
      </w:pPr>
    </w:p>
    <w:p w14:paraId="73BED91F" w14:textId="77777777" w:rsidR="00E22135" w:rsidRPr="00E22135" w:rsidRDefault="00E22135" w:rsidP="00E22135">
      <w:pPr>
        <w:pStyle w:val="SingleTxt"/>
        <w:rPr>
          <w:b/>
          <w:bCs/>
        </w:rPr>
      </w:pPr>
      <w:r w:rsidRPr="00E22135">
        <w:t>50.</w:t>
      </w:r>
      <w:r w:rsidRPr="00E22135">
        <w:tab/>
      </w:r>
      <w:r w:rsidRPr="00E22135">
        <w:rPr>
          <w:b/>
          <w:bCs/>
        </w:rPr>
        <w:t>Комитет предлагает государству-участнику представить свой седьмой периодический доклад в феврале 2024 года.</w:t>
      </w:r>
      <w:r w:rsidRPr="00E22135">
        <w:t xml:space="preserve"> </w:t>
      </w:r>
      <w:r w:rsidRPr="00E22135">
        <w:rPr>
          <w:b/>
          <w:bCs/>
        </w:rPr>
        <w:t>Доклад должен быть представлен в срок и охватывать весь период до момента его представления.</w:t>
      </w:r>
    </w:p>
    <w:p w14:paraId="7B9C6927" w14:textId="0421BB2B" w:rsidR="00E22135" w:rsidRPr="00E22135" w:rsidRDefault="00E22135" w:rsidP="00E22135">
      <w:pPr>
        <w:pStyle w:val="SingleTxt"/>
      </w:pPr>
      <w:r w:rsidRPr="00E22135">
        <w:t>51.</w:t>
      </w:r>
      <w:r w:rsidRPr="00E22135">
        <w:tab/>
      </w:r>
      <w:r w:rsidRPr="00E22135">
        <w:rPr>
          <w:b/>
          <w:bCs/>
        </w:rPr>
        <w:t>Комитет просит государство-участник следовать согласованным руководящим принципам представления докладов согласно международным договорам по правам человека, включая руководящие принципы подготовки общего базового документа и документов по конкретным договорам</w:t>
      </w:r>
      <w:r w:rsidR="006038B1">
        <w:rPr>
          <w:b/>
          <w:bCs/>
        </w:rPr>
        <w:br/>
      </w:r>
      <w:r w:rsidRPr="00E22135">
        <w:rPr>
          <w:b/>
          <w:bCs/>
        </w:rPr>
        <w:t xml:space="preserve">(см. </w:t>
      </w:r>
      <w:hyperlink r:id="rId30" w:history="1">
        <w:r w:rsidRPr="008B1DDC">
          <w:rPr>
            <w:rStyle w:val="Hyperlink"/>
            <w:b/>
            <w:bCs/>
          </w:rPr>
          <w:t>HRI/GEN/2/Rev.6</w:t>
        </w:r>
      </w:hyperlink>
      <w:r w:rsidRPr="00E22135">
        <w:rPr>
          <w:b/>
          <w:bCs/>
        </w:rPr>
        <w:t>, гл. I).</w:t>
      </w:r>
    </w:p>
    <w:p w14:paraId="410DBA26" w14:textId="162541D9" w:rsidR="00E22135" w:rsidRPr="006038B1" w:rsidRDefault="006038B1" w:rsidP="006038B1">
      <w:pPr>
        <w:pStyle w:val="SingleTxt"/>
        <w:spacing w:after="0" w:line="240" w:lineRule="auto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EF3C" wp14:editId="2E422F2C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CDC3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E22135" w:rsidRPr="006038B1" w:rsidSect="00E22135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20-03-25T15:15:00Z" w:initials="Start">
    <w:p w14:paraId="30725F02" w14:textId="77777777" w:rsidR="00EF7D3B" w:rsidRPr="00E22135" w:rsidRDefault="00EF7D3B">
      <w:pPr>
        <w:pStyle w:val="CommentText"/>
        <w:rPr>
          <w:lang w:val="en-US"/>
        </w:rPr>
      </w:pPr>
      <w:r>
        <w:fldChar w:fldCharType="begin"/>
      </w:r>
      <w:r w:rsidRPr="00E22135">
        <w:rPr>
          <w:rStyle w:val="CommentReference"/>
          <w:lang w:val="en-US"/>
        </w:rPr>
        <w:instrText xml:space="preserve"> </w:instrText>
      </w:r>
      <w:r w:rsidRPr="00E22135">
        <w:rPr>
          <w:lang w:val="en-US"/>
        </w:rPr>
        <w:instrText>PAGE \# "'Page: '#'</w:instrText>
      </w:r>
      <w:r w:rsidRPr="00E22135">
        <w:rPr>
          <w:lang w:val="en-US"/>
        </w:rPr>
        <w:br/>
        <w:instrText>'"</w:instrText>
      </w:r>
      <w:r w:rsidRPr="00E2213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22135">
        <w:rPr>
          <w:lang w:val="en-US"/>
        </w:rPr>
        <w:t>&lt;&lt;ODS JOB NO&gt;&gt;N2006265R&lt;&lt;ODS JOB NO&gt;&gt;</w:t>
      </w:r>
    </w:p>
    <w:p w14:paraId="2EB3A3DF" w14:textId="77777777" w:rsidR="00EF7D3B" w:rsidRPr="00E22135" w:rsidRDefault="00EF7D3B">
      <w:pPr>
        <w:pStyle w:val="CommentText"/>
        <w:rPr>
          <w:lang w:val="en-US"/>
        </w:rPr>
      </w:pPr>
      <w:r w:rsidRPr="00E22135">
        <w:rPr>
          <w:lang w:val="en-US"/>
        </w:rPr>
        <w:t>&lt;&lt;ODS DOC SYMBOL1&gt;&gt;CEDAW/C/MDA/CO/6&lt;&lt;ODS DOC SYMBOL1&gt;&gt;</w:t>
      </w:r>
    </w:p>
    <w:p w14:paraId="3CA27B2D" w14:textId="77777777" w:rsidR="00EF7D3B" w:rsidRDefault="00EF7D3B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27B2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870F" w14:textId="77777777" w:rsidR="00EC198D" w:rsidRDefault="00EC198D" w:rsidP="001824A1">
      <w:pPr>
        <w:spacing w:line="240" w:lineRule="auto"/>
      </w:pPr>
      <w:r>
        <w:separator/>
      </w:r>
    </w:p>
  </w:endnote>
  <w:endnote w:type="continuationSeparator" w:id="0">
    <w:p w14:paraId="4384696A" w14:textId="77777777" w:rsidR="00EC198D" w:rsidRDefault="00EC198D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F7D3B" w14:paraId="133D0E06" w14:textId="77777777" w:rsidTr="0003420F">
      <w:tc>
        <w:tcPr>
          <w:tcW w:w="4920" w:type="dxa"/>
          <w:shd w:val="clear" w:color="auto" w:fill="auto"/>
          <w:vAlign w:val="bottom"/>
        </w:tcPr>
        <w:p w14:paraId="346D22E5" w14:textId="77777777" w:rsidR="00EF7D3B" w:rsidRPr="0003420F" w:rsidRDefault="00EF7D3B" w:rsidP="0003420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59E076DE" w14:textId="64DEB949" w:rsidR="00EF7D3B" w:rsidRPr="0003420F" w:rsidRDefault="00EF7D3B" w:rsidP="0003420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31FDC">
            <w:rPr>
              <w:b w:val="0"/>
              <w:color w:val="000000"/>
              <w:sz w:val="14"/>
            </w:rPr>
            <w:t>20-03762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284FBAD2" w14:textId="77777777" w:rsidR="00EF7D3B" w:rsidRPr="0003420F" w:rsidRDefault="00EF7D3B" w:rsidP="00034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F7D3B" w14:paraId="7DACA8D5" w14:textId="77777777" w:rsidTr="0003420F">
      <w:tc>
        <w:tcPr>
          <w:tcW w:w="4920" w:type="dxa"/>
          <w:shd w:val="clear" w:color="auto" w:fill="auto"/>
          <w:vAlign w:val="bottom"/>
        </w:tcPr>
        <w:p w14:paraId="5668217D" w14:textId="23A7F8AA" w:rsidR="00EF7D3B" w:rsidRPr="0003420F" w:rsidRDefault="00EF7D3B" w:rsidP="0003420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31FDC">
            <w:rPr>
              <w:b w:val="0"/>
              <w:color w:val="000000"/>
              <w:sz w:val="14"/>
            </w:rPr>
            <w:t>20-03762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3D99817" w14:textId="77777777" w:rsidR="00EF7D3B" w:rsidRPr="0003420F" w:rsidRDefault="00EF7D3B" w:rsidP="0003420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4</w:t>
            </w:r>
          </w:fldSimple>
        </w:p>
      </w:tc>
    </w:tr>
  </w:tbl>
  <w:p w14:paraId="63D5E498" w14:textId="77777777" w:rsidR="00EF7D3B" w:rsidRPr="0003420F" w:rsidRDefault="00EF7D3B" w:rsidP="00034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EF7D3B" w14:paraId="5B0A1BD7" w14:textId="77777777" w:rsidTr="0003420F">
      <w:tc>
        <w:tcPr>
          <w:tcW w:w="3830" w:type="dxa"/>
        </w:tcPr>
        <w:p w14:paraId="6B55D929" w14:textId="2EA6C488" w:rsidR="00EF7D3B" w:rsidRDefault="00EF7D3B" w:rsidP="0003420F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66BE0A" wp14:editId="3B957EF1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MDA/CO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MDA/CO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20-03762 (R)</w:t>
          </w:r>
          <w:r>
            <w:rPr>
              <w:color w:val="010000"/>
            </w:rPr>
            <w:t xml:space="preserve">    250320    </w:t>
          </w:r>
          <w:r w:rsidR="003C0B07">
            <w:rPr>
              <w:color w:val="010000"/>
              <w:lang w:val="en-US"/>
            </w:rPr>
            <w:t>0204</w:t>
          </w:r>
          <w:r>
            <w:rPr>
              <w:color w:val="010000"/>
            </w:rPr>
            <w:t>20</w:t>
          </w:r>
        </w:p>
        <w:p w14:paraId="5778DFA5" w14:textId="77777777" w:rsidR="00EF7D3B" w:rsidRPr="0003420F" w:rsidRDefault="00EF7D3B" w:rsidP="0003420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b/>
              <w:w w:val="100"/>
              <w:sz w:val="24"/>
            </w:rPr>
            <w:t>*2003762*</w:t>
          </w:r>
        </w:p>
      </w:tc>
      <w:tc>
        <w:tcPr>
          <w:tcW w:w="4920" w:type="dxa"/>
        </w:tcPr>
        <w:p w14:paraId="5328B08E" w14:textId="77777777" w:rsidR="00EF7D3B" w:rsidRDefault="00EF7D3B" w:rsidP="0003420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133C062" wp14:editId="696871D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DAE24B" w14:textId="77777777" w:rsidR="00EF7D3B" w:rsidRPr="0003420F" w:rsidRDefault="00EF7D3B" w:rsidP="0003420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8DEA" w14:textId="77777777" w:rsidR="00EC198D" w:rsidRPr="008F4A97" w:rsidRDefault="00EC198D" w:rsidP="008F4A97">
      <w:pPr>
        <w:pStyle w:val="Footer"/>
        <w:spacing w:after="80"/>
        <w:ind w:left="792"/>
      </w:pPr>
      <w:r w:rsidRPr="008F4A97">
        <w:t>__________________</w:t>
      </w:r>
    </w:p>
  </w:footnote>
  <w:footnote w:type="continuationSeparator" w:id="0">
    <w:p w14:paraId="63C30328" w14:textId="77777777" w:rsidR="00EC198D" w:rsidRPr="008F4A97" w:rsidRDefault="00EC198D" w:rsidP="008F4A97">
      <w:pPr>
        <w:pStyle w:val="Footer"/>
        <w:spacing w:after="80"/>
        <w:ind w:left="792"/>
      </w:pPr>
      <w:r w:rsidRPr="008F4A97">
        <w:t>__________________</w:t>
      </w:r>
    </w:p>
  </w:footnote>
  <w:footnote w:id="1">
    <w:p w14:paraId="0A2418F6" w14:textId="58384659" w:rsidR="00EF7D3B" w:rsidRPr="001D5C27" w:rsidRDefault="00EF7D3B" w:rsidP="008F4A9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Приняты Комитетом на его семьдесят пятой сессии (10</w:t>
      </w:r>
      <w:r w:rsidRPr="008B3B03">
        <w:t>–</w:t>
      </w:r>
      <w:r>
        <w:t>28 февраля 2020 года).</w:t>
      </w:r>
    </w:p>
  </w:footnote>
  <w:footnote w:id="2">
    <w:p w14:paraId="25DE3E81" w14:textId="323D6D47" w:rsidR="00EF7D3B" w:rsidRPr="001D5C27" w:rsidRDefault="00EF7D3B" w:rsidP="008F4A97">
      <w:pPr>
        <w:pStyle w:val="End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</w:t>
      </w:r>
      <w:r w:rsidR="00E34CC9" w:rsidRPr="00950A90">
        <w:t>;</w:t>
      </w:r>
      <w:r>
        <w:t xml:space="preserve"> Конвенция против пыток и других жестоких, бесчеловечных или унижающих достоинство видов обращения и наказания; Конвенци</w:t>
      </w:r>
      <w:r w:rsidR="00E34CC9">
        <w:t>я</w:t>
      </w:r>
      <w:r>
        <w:t xml:space="preserve">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F7D3B" w14:paraId="4C88F41C" w14:textId="77777777" w:rsidTr="0003420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7579E431" w14:textId="02FEB6BD" w:rsidR="00EF7D3B" w:rsidRPr="0003420F" w:rsidRDefault="00EF7D3B" w:rsidP="0003420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31FDC">
            <w:rPr>
              <w:b/>
            </w:rPr>
            <w:t>CEDAW/C/MDA/CO/6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60342C00" w14:textId="77777777" w:rsidR="00EF7D3B" w:rsidRDefault="00EF7D3B" w:rsidP="0003420F">
          <w:pPr>
            <w:pStyle w:val="Header"/>
          </w:pPr>
        </w:p>
      </w:tc>
    </w:tr>
  </w:tbl>
  <w:p w14:paraId="3D09B688" w14:textId="77777777" w:rsidR="00EF7D3B" w:rsidRPr="0003420F" w:rsidRDefault="00EF7D3B" w:rsidP="00034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EF7D3B" w14:paraId="6597673F" w14:textId="77777777" w:rsidTr="0003420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48CF2B8" w14:textId="77777777" w:rsidR="00EF7D3B" w:rsidRDefault="00EF7D3B" w:rsidP="0003420F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E48454C" w14:textId="3DAE819E" w:rsidR="00EF7D3B" w:rsidRPr="0003420F" w:rsidRDefault="00EF7D3B" w:rsidP="0003420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31FDC">
            <w:rPr>
              <w:b/>
            </w:rPr>
            <w:t>CEDAW/C/MDA/CO/6</w:t>
          </w:r>
          <w:r>
            <w:rPr>
              <w:b/>
            </w:rPr>
            <w:fldChar w:fldCharType="end"/>
          </w:r>
        </w:p>
      </w:tc>
    </w:tr>
  </w:tbl>
  <w:p w14:paraId="7C60D8CA" w14:textId="77777777" w:rsidR="00EF7D3B" w:rsidRPr="0003420F" w:rsidRDefault="00EF7D3B" w:rsidP="0003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EF7D3B" w14:paraId="44527407" w14:textId="77777777" w:rsidTr="0003420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2BD0F39A" w14:textId="77777777" w:rsidR="00EF7D3B" w:rsidRPr="0003420F" w:rsidRDefault="00EF7D3B" w:rsidP="0003420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A1E26DA" w14:textId="77777777" w:rsidR="00EF7D3B" w:rsidRDefault="00EF7D3B" w:rsidP="0003420F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1C52CBF" w14:textId="77777777" w:rsidR="00EF7D3B" w:rsidRPr="0003420F" w:rsidRDefault="00EF7D3B" w:rsidP="0003420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/C/MDA/CO/6</w:t>
          </w:r>
        </w:p>
      </w:tc>
    </w:tr>
    <w:tr w:rsidR="00EF7D3B" w:rsidRPr="00E4109C" w14:paraId="213D3A64" w14:textId="77777777" w:rsidTr="0003420F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A3A05D0" w14:textId="77777777" w:rsidR="00EF7D3B" w:rsidRPr="0003420F" w:rsidRDefault="00EF7D3B" w:rsidP="0003420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5E83967F" wp14:editId="793167C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EFDCB2A" w14:textId="77777777" w:rsidR="00EF7D3B" w:rsidRPr="0003420F" w:rsidRDefault="00EF7D3B" w:rsidP="0003420F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967D27D" w14:textId="77777777" w:rsidR="00EF7D3B" w:rsidRPr="0003420F" w:rsidRDefault="00EF7D3B" w:rsidP="0003420F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F02E325" w14:textId="77777777" w:rsidR="00EF7D3B" w:rsidRPr="00E22135" w:rsidRDefault="00EF7D3B" w:rsidP="0003420F">
          <w:pPr>
            <w:pStyle w:val="Distribution"/>
            <w:rPr>
              <w:color w:val="000000"/>
              <w:lang w:val="en-US"/>
            </w:rPr>
          </w:pPr>
          <w:r w:rsidRPr="00E22135">
            <w:rPr>
              <w:color w:val="000000"/>
              <w:lang w:val="en-US"/>
            </w:rPr>
            <w:t>Distr.: General</w:t>
          </w:r>
        </w:p>
        <w:p w14:paraId="0CD0E533" w14:textId="1C5E953D" w:rsidR="00EF7D3B" w:rsidRPr="00E22135" w:rsidRDefault="00EF7D3B" w:rsidP="0003420F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10</w:t>
          </w:r>
          <w:r w:rsidRPr="00E22135">
            <w:rPr>
              <w:color w:val="000000"/>
              <w:lang w:val="en-US"/>
            </w:rPr>
            <w:t xml:space="preserve"> March 2020</w:t>
          </w:r>
        </w:p>
        <w:p w14:paraId="44F59870" w14:textId="77777777" w:rsidR="00EF7D3B" w:rsidRPr="00E22135" w:rsidRDefault="00EF7D3B" w:rsidP="0003420F">
          <w:pPr>
            <w:rPr>
              <w:color w:val="000000"/>
              <w:lang w:val="en-US"/>
            </w:rPr>
          </w:pPr>
          <w:r w:rsidRPr="00E22135">
            <w:rPr>
              <w:color w:val="000000"/>
              <w:lang w:val="en-US"/>
            </w:rPr>
            <w:t>Russian</w:t>
          </w:r>
        </w:p>
        <w:p w14:paraId="1CE5E265" w14:textId="77777777" w:rsidR="00EF7D3B" w:rsidRPr="00E22135" w:rsidRDefault="00EF7D3B" w:rsidP="0003420F">
          <w:pPr>
            <w:pStyle w:val="Original"/>
            <w:rPr>
              <w:color w:val="000000"/>
              <w:lang w:val="en-US"/>
            </w:rPr>
          </w:pPr>
          <w:r w:rsidRPr="00E22135">
            <w:rPr>
              <w:color w:val="000000"/>
              <w:lang w:val="en-US"/>
            </w:rPr>
            <w:t>Original: English</w:t>
          </w:r>
        </w:p>
        <w:p w14:paraId="3A2B1123" w14:textId="77777777" w:rsidR="00EF7D3B" w:rsidRPr="00E22135" w:rsidRDefault="00EF7D3B" w:rsidP="0003420F">
          <w:pPr>
            <w:rPr>
              <w:lang w:val="en-US"/>
            </w:rPr>
          </w:pPr>
        </w:p>
      </w:tc>
    </w:tr>
  </w:tbl>
  <w:p w14:paraId="44F5DD87" w14:textId="77777777" w:rsidR="00EF7D3B" w:rsidRPr="00E22135" w:rsidRDefault="00EF7D3B" w:rsidP="0003420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C3867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F15012B6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8668BC6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F14337C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550C116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03762*"/>
    <w:docVar w:name="CreationDt" w:val="25/03/2020 3:15: PM"/>
    <w:docVar w:name="DocCategory" w:val="Doc"/>
    <w:docVar w:name="DocType" w:val="Final"/>
    <w:docVar w:name="DutyStation" w:val="New York"/>
    <w:docVar w:name="FooterJN" w:val="20-03762"/>
    <w:docVar w:name="jobn" w:val="20-03762 (R)"/>
    <w:docVar w:name="jobnDT" w:val="20-03762 (R)   250320"/>
    <w:docVar w:name="jobnDTDT" w:val="20-03762 (R)   250320   250320"/>
    <w:docVar w:name="JobNo" w:val="2003762R"/>
    <w:docVar w:name="JobNo2" w:val="2006265R"/>
    <w:docVar w:name="LocalDrive" w:val="-1"/>
    <w:docVar w:name="OandT" w:val=" "/>
    <w:docVar w:name="sss1" w:val="CEDAW/C/MDA/CO/6"/>
    <w:docVar w:name="sss2" w:val="-"/>
    <w:docVar w:name="Symbol1" w:val="CEDAW/C/MDA/CO/6"/>
    <w:docVar w:name="Symbol2" w:val="-"/>
  </w:docVars>
  <w:rsids>
    <w:rsidRoot w:val="007C739B"/>
    <w:rsid w:val="00003F8C"/>
    <w:rsid w:val="0001308A"/>
    <w:rsid w:val="0003420F"/>
    <w:rsid w:val="00057473"/>
    <w:rsid w:val="00060A8D"/>
    <w:rsid w:val="000A1A1B"/>
    <w:rsid w:val="00131FDC"/>
    <w:rsid w:val="001824A1"/>
    <w:rsid w:val="001A1D37"/>
    <w:rsid w:val="001B0786"/>
    <w:rsid w:val="001C27DB"/>
    <w:rsid w:val="001D455B"/>
    <w:rsid w:val="001D509D"/>
    <w:rsid w:val="001F427A"/>
    <w:rsid w:val="001F5163"/>
    <w:rsid w:val="001F7371"/>
    <w:rsid w:val="00204EF2"/>
    <w:rsid w:val="00210AF4"/>
    <w:rsid w:val="00210EC3"/>
    <w:rsid w:val="00215A7D"/>
    <w:rsid w:val="002B2D4F"/>
    <w:rsid w:val="002C4267"/>
    <w:rsid w:val="002D2C61"/>
    <w:rsid w:val="002F4047"/>
    <w:rsid w:val="0030011E"/>
    <w:rsid w:val="003218EF"/>
    <w:rsid w:val="00323373"/>
    <w:rsid w:val="0035462C"/>
    <w:rsid w:val="003807EF"/>
    <w:rsid w:val="0038495D"/>
    <w:rsid w:val="003C0B07"/>
    <w:rsid w:val="003E67B6"/>
    <w:rsid w:val="003F7347"/>
    <w:rsid w:val="004240B1"/>
    <w:rsid w:val="00425FDE"/>
    <w:rsid w:val="004275D7"/>
    <w:rsid w:val="004279A5"/>
    <w:rsid w:val="00431502"/>
    <w:rsid w:val="00432AC6"/>
    <w:rsid w:val="00447937"/>
    <w:rsid w:val="0047236A"/>
    <w:rsid w:val="004731F9"/>
    <w:rsid w:val="00493D5C"/>
    <w:rsid w:val="004B69EA"/>
    <w:rsid w:val="00522C20"/>
    <w:rsid w:val="00525FFC"/>
    <w:rsid w:val="00542D6F"/>
    <w:rsid w:val="005505FA"/>
    <w:rsid w:val="005644C2"/>
    <w:rsid w:val="00564951"/>
    <w:rsid w:val="00571999"/>
    <w:rsid w:val="005813F6"/>
    <w:rsid w:val="005A2266"/>
    <w:rsid w:val="005B509D"/>
    <w:rsid w:val="005B58D8"/>
    <w:rsid w:val="005E02CA"/>
    <w:rsid w:val="006023BC"/>
    <w:rsid w:val="006038B1"/>
    <w:rsid w:val="00635C39"/>
    <w:rsid w:val="00643F79"/>
    <w:rsid w:val="00676C4D"/>
    <w:rsid w:val="006A28C3"/>
    <w:rsid w:val="006B0972"/>
    <w:rsid w:val="006D4969"/>
    <w:rsid w:val="006E5CA5"/>
    <w:rsid w:val="00705A84"/>
    <w:rsid w:val="00716CD6"/>
    <w:rsid w:val="00726630"/>
    <w:rsid w:val="00742C54"/>
    <w:rsid w:val="007443B1"/>
    <w:rsid w:val="007859B7"/>
    <w:rsid w:val="007C739B"/>
    <w:rsid w:val="007D2E54"/>
    <w:rsid w:val="0080025F"/>
    <w:rsid w:val="0083640B"/>
    <w:rsid w:val="00840363"/>
    <w:rsid w:val="00843551"/>
    <w:rsid w:val="008546A7"/>
    <w:rsid w:val="00860842"/>
    <w:rsid w:val="00870913"/>
    <w:rsid w:val="0089631C"/>
    <w:rsid w:val="008B1DDC"/>
    <w:rsid w:val="008B3B03"/>
    <w:rsid w:val="008B4A4B"/>
    <w:rsid w:val="008D7164"/>
    <w:rsid w:val="008E0493"/>
    <w:rsid w:val="008E3D70"/>
    <w:rsid w:val="008F4A97"/>
    <w:rsid w:val="0090736F"/>
    <w:rsid w:val="00950A90"/>
    <w:rsid w:val="0096420F"/>
    <w:rsid w:val="009707EE"/>
    <w:rsid w:val="00972652"/>
    <w:rsid w:val="009A1A35"/>
    <w:rsid w:val="009D5859"/>
    <w:rsid w:val="009F077A"/>
    <w:rsid w:val="00A57ABA"/>
    <w:rsid w:val="00A62968"/>
    <w:rsid w:val="00A72FF5"/>
    <w:rsid w:val="00A9688A"/>
    <w:rsid w:val="00AA0CE4"/>
    <w:rsid w:val="00AB1E36"/>
    <w:rsid w:val="00AC03CB"/>
    <w:rsid w:val="00B2581A"/>
    <w:rsid w:val="00B306AF"/>
    <w:rsid w:val="00B535EE"/>
    <w:rsid w:val="00B7198D"/>
    <w:rsid w:val="00B745E4"/>
    <w:rsid w:val="00B95A96"/>
    <w:rsid w:val="00B97177"/>
    <w:rsid w:val="00C06BC2"/>
    <w:rsid w:val="00C20541"/>
    <w:rsid w:val="00C26FCC"/>
    <w:rsid w:val="00C34B00"/>
    <w:rsid w:val="00C37EC7"/>
    <w:rsid w:val="00C41769"/>
    <w:rsid w:val="00C45C26"/>
    <w:rsid w:val="00C46FE2"/>
    <w:rsid w:val="00C54064"/>
    <w:rsid w:val="00C71CD0"/>
    <w:rsid w:val="00C961B9"/>
    <w:rsid w:val="00CA4BB0"/>
    <w:rsid w:val="00D11AF9"/>
    <w:rsid w:val="00D24892"/>
    <w:rsid w:val="00D57D39"/>
    <w:rsid w:val="00D760D3"/>
    <w:rsid w:val="00D82575"/>
    <w:rsid w:val="00D82BC5"/>
    <w:rsid w:val="00D96F14"/>
    <w:rsid w:val="00DB3564"/>
    <w:rsid w:val="00DC0604"/>
    <w:rsid w:val="00DC0754"/>
    <w:rsid w:val="00DF78D1"/>
    <w:rsid w:val="00E03929"/>
    <w:rsid w:val="00E10D88"/>
    <w:rsid w:val="00E144A8"/>
    <w:rsid w:val="00E22135"/>
    <w:rsid w:val="00E25037"/>
    <w:rsid w:val="00E30177"/>
    <w:rsid w:val="00E34CC9"/>
    <w:rsid w:val="00E4109C"/>
    <w:rsid w:val="00E720E8"/>
    <w:rsid w:val="00E7414B"/>
    <w:rsid w:val="00E76FA5"/>
    <w:rsid w:val="00EC198D"/>
    <w:rsid w:val="00EC2A36"/>
    <w:rsid w:val="00ED2205"/>
    <w:rsid w:val="00ED31CE"/>
    <w:rsid w:val="00EF1631"/>
    <w:rsid w:val="00EF7D3B"/>
    <w:rsid w:val="00F2422B"/>
    <w:rsid w:val="00F63321"/>
    <w:rsid w:val="00F81CC1"/>
    <w:rsid w:val="00F97094"/>
    <w:rsid w:val="00FB1E56"/>
    <w:rsid w:val="00FB731E"/>
    <w:rsid w:val="00FC2FD3"/>
    <w:rsid w:val="00FF5BE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6E3A02A"/>
  <w15:chartTrackingRefBased/>
  <w15:docId w15:val="{7F275460-EAEF-4168-B542-3E607209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ED220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D220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D220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2205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ED2205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D2205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D2205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ED2205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D220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D2205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ED220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D2205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D220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ED2205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ED220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D2205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ED220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ED2205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ED2205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D2205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ED2205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ED2205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ED220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ED2205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ED220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ED2205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ED2205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ED220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ED2205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ED220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ED2205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ED2205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2205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2205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2205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ED2205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ED2205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ED2205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ED2205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ED2205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ED2205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ED2205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ED2205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ED2205"/>
    <w:rPr>
      <w:szCs w:val="20"/>
    </w:rPr>
  </w:style>
  <w:style w:type="paragraph" w:customStyle="1" w:styleId="Publication">
    <w:name w:val="Publication"/>
    <w:basedOn w:val="Normal"/>
    <w:next w:val="Normal"/>
    <w:qFormat/>
    <w:rsid w:val="00ED2205"/>
  </w:style>
  <w:style w:type="paragraph" w:customStyle="1" w:styleId="ReleaseDate">
    <w:name w:val="ReleaseDate"/>
    <w:basedOn w:val="Normal"/>
    <w:next w:val="Normal"/>
    <w:qFormat/>
    <w:rsid w:val="00ED2205"/>
    <w:rPr>
      <w:szCs w:val="20"/>
    </w:rPr>
  </w:style>
  <w:style w:type="paragraph" w:customStyle="1" w:styleId="Small">
    <w:name w:val="Small"/>
    <w:basedOn w:val="Normal"/>
    <w:next w:val="Normal"/>
    <w:qFormat/>
    <w:rsid w:val="00ED220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D220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ED22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ED220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ED220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9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Session">
    <w:name w:val="Session"/>
    <w:basedOn w:val="H23"/>
    <w:qFormat/>
    <w:rsid w:val="00ED2205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11AF9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D11AF9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D11AF9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D11AF9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D11AF9"/>
    <w:rPr>
      <w:lang w:val="en-US"/>
    </w:rPr>
  </w:style>
  <w:style w:type="paragraph" w:customStyle="1" w:styleId="SRMeetingInfo">
    <w:name w:val="SR_Meeting_Info"/>
    <w:next w:val="Normal"/>
    <w:qFormat/>
    <w:rsid w:val="00D11AF9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SRContents">
    <w:name w:val="SR_Contents"/>
    <w:basedOn w:val="Normal"/>
    <w:qFormat/>
    <w:rsid w:val="00C961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umber">
    <w:name w:val="Agenda_Item_Number"/>
    <w:next w:val="Normal"/>
    <w:qFormat/>
    <w:rsid w:val="00D11AF9"/>
    <w:pPr>
      <w:tabs>
        <w:tab w:val="left" w:pos="2880"/>
      </w:tabs>
      <w:spacing w:after="120" w:line="240" w:lineRule="exact"/>
    </w:pPr>
    <w:rPr>
      <w:rFonts w:ascii="Times New Roman" w:eastAsiaTheme="minorHAnsi" w:hAnsi="Times New Roman"/>
      <w:b/>
      <w:spacing w:val="4"/>
      <w:w w:val="103"/>
      <w:kern w:val="14"/>
      <w:sz w:val="20"/>
      <w:lang w:val="en-US" w:eastAsia="en-US"/>
    </w:rPr>
  </w:style>
  <w:style w:type="paragraph" w:customStyle="1" w:styleId="AgendaItemTitle">
    <w:name w:val="Agenda_Item_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Number">
    <w:name w:val="Decision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AF9"/>
    <w:rPr>
      <w:color w:val="0000FF"/>
      <w:u w:val="none"/>
    </w:rPr>
  </w:style>
  <w:style w:type="character" w:styleId="Hyperlink">
    <w:name w:val="Hyperlink"/>
    <w:basedOn w:val="DefaultParagraphFont"/>
    <w:rsid w:val="00D11AF9"/>
    <w:rPr>
      <w:color w:val="0000FF"/>
      <w:u w:val="none"/>
    </w:rPr>
  </w:style>
  <w:style w:type="paragraph" w:customStyle="1" w:styleId="MeetingNumber">
    <w:name w:val="MeetingNumber"/>
    <w:basedOn w:val="H1"/>
    <w:next w:val="Normal"/>
    <w:qFormat/>
    <w:rsid w:val="00D11AF9"/>
    <w:pPr>
      <w:keepNext/>
      <w:keepLines/>
      <w:tabs>
        <w:tab w:val="left" w:pos="2880"/>
      </w:tabs>
      <w:spacing w:after="120" w:line="240" w:lineRule="exact"/>
      <w:ind w:left="2880" w:hanging="2880"/>
      <w:outlineLvl w:val="1"/>
    </w:pPr>
    <w:rPr>
      <w:spacing w:val="0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1A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2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20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20F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MDA/Q/6" TargetMode="External"/><Relationship Id="rId26" Type="http://schemas.openxmlformats.org/officeDocument/2006/relationships/hyperlink" Target="https://undocs.org/ru/CEDAW/C/MDA/CO/4-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MDA/4-5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en/CEDAW/C/SR.1764" TargetMode="External"/><Relationship Id="rId25" Type="http://schemas.openxmlformats.org/officeDocument/2006/relationships/hyperlink" Target="https://undocs.org/ru/CEDAW/C/MDA/CO/4-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SR.1763" TargetMode="External"/><Relationship Id="rId20" Type="http://schemas.openxmlformats.org/officeDocument/2006/relationships/hyperlink" Target="https://undocs.org/ru/CEDAW/C/MDA/CO/4-5/Add.1" TargetMode="External"/><Relationship Id="rId29" Type="http://schemas.openxmlformats.org/officeDocument/2006/relationships/hyperlink" Target="https://undocs.org/ru/CEDAW/C/MDA/CO/4-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ru/CEDAW/C/MDA/CO/4-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MDA/6" TargetMode="External"/><Relationship Id="rId23" Type="http://schemas.openxmlformats.org/officeDocument/2006/relationships/hyperlink" Target="https://undocs.org/ru/A/65/38" TargetMode="External"/><Relationship Id="rId28" Type="http://schemas.openxmlformats.org/officeDocument/2006/relationships/hyperlink" Target="https://undocs.org/ru/A/RES/65/229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MDA/RQ/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s://undocs.org/ru/S/RES/1325(2000)" TargetMode="External"/><Relationship Id="rId27" Type="http://schemas.openxmlformats.org/officeDocument/2006/relationships/hyperlink" Target="https://undocs.org/ru/CEDAW/C/MDA/CO/4-5" TargetMode="External"/><Relationship Id="rId30" Type="http://schemas.openxmlformats.org/officeDocument/2006/relationships/hyperlink" Target="https://undocs.org/ru/HRI/GEN/2/Rev.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7347</Words>
  <Characters>41881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Korshunova</dc:creator>
  <cp:keywords/>
  <dc:description/>
  <cp:lastModifiedBy>Natalia Korshunova</cp:lastModifiedBy>
  <cp:revision>3</cp:revision>
  <cp:lastPrinted>2020-04-02T13:04:00Z</cp:lastPrinted>
  <dcterms:created xsi:type="dcterms:W3CDTF">2020-04-02T13:04:00Z</dcterms:created>
  <dcterms:modified xsi:type="dcterms:W3CDTF">2020-04-02T13:05:00Z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2003762R</vt:lpwstr>
  </property>
  <property fmtid="{D5CDD505-2E9C-101B-9397-08002B2CF9AE}" pid="3" name="ODSRefJobNo">
    <vt:lpwstr>2006265R</vt:lpwstr>
  </property>
  <property fmtid="{D5CDD505-2E9C-101B-9397-08002B2CF9AE}" pid="4" name="Symbol1">
    <vt:lpwstr>CEDAW/C/MDA/CO/6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Russian</vt:lpwstr>
  </property>
  <property fmtid="{D5CDD505-2E9C-101B-9397-08002B2CF9AE}" pid="12" name="Distribution">
    <vt:lpwstr>General</vt:lpwstr>
  </property>
  <property fmtid="{D5CDD505-2E9C-101B-9397-08002B2CF9AE}" pid="13" name="Publication Date">
    <vt:lpwstr>10 March 2020</vt:lpwstr>
  </property>
  <property fmtid="{D5CDD505-2E9C-101B-9397-08002B2CF9AE}" pid="14" name="Original">
    <vt:lpwstr>English</vt:lpwstr>
  </property>
  <property fmtid="{D5CDD505-2E9C-101B-9397-08002B2CF9AE}" pid="15" name="Release Date">
    <vt:lpwstr/>
  </property>
  <property fmtid="{D5CDD505-2E9C-101B-9397-08002B2CF9AE}" pid="16" name="Title1">
    <vt:lpwstr>		Заключительные замечания по шестому периодическому докладу Республики Молдова*_x000d_</vt:lpwstr>
  </property>
</Properties>
</file>