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ED81" w14:textId="77777777" w:rsidR="004A035B" w:rsidRPr="00AF6339" w:rsidRDefault="004A035B" w:rsidP="004A035B">
      <w:pPr>
        <w:spacing w:line="240" w:lineRule="auto"/>
        <w:rPr>
          <w:sz w:val="2"/>
        </w:rPr>
        <w:sectPr w:rsidR="004A035B" w:rsidRPr="00AF6339" w:rsidSect="00AF633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AF6339">
        <w:rPr>
          <w:rStyle w:val="CommentReference"/>
        </w:rPr>
        <w:commentReference w:id="0"/>
      </w:r>
    </w:p>
    <w:p w14:paraId="692A64A4" w14:textId="7492E804" w:rsidR="00AF6339" w:rsidRPr="00AF6339" w:rsidRDefault="00AF6339" w:rsidP="00AF63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AF6339">
        <w:rPr>
          <w:lang w:val="fr-FR"/>
        </w:rPr>
        <w:t>Comité pour l</w:t>
      </w:r>
      <w:r w:rsidR="00740140">
        <w:rPr>
          <w:lang w:val="fr-FR"/>
        </w:rPr>
        <w:t>’</w:t>
      </w:r>
      <w:r w:rsidRPr="00AF6339">
        <w:rPr>
          <w:lang w:val="fr-FR"/>
        </w:rPr>
        <w:t xml:space="preserve">élimination de la discrimination </w:t>
      </w:r>
      <w:r w:rsidRPr="00AF6339">
        <w:rPr>
          <w:lang w:val="fr-FR"/>
        </w:rPr>
        <w:br/>
      </w:r>
      <w:r w:rsidRPr="00AF6339">
        <w:rPr>
          <w:lang w:val="fr-FR"/>
        </w:rPr>
        <w:t>à l</w:t>
      </w:r>
      <w:r w:rsidR="00740140">
        <w:rPr>
          <w:lang w:val="fr-FR"/>
        </w:rPr>
        <w:t>’</w:t>
      </w:r>
      <w:r w:rsidRPr="00AF6339">
        <w:rPr>
          <w:lang w:val="fr-FR"/>
        </w:rPr>
        <w:t>égard des femmes</w:t>
      </w:r>
    </w:p>
    <w:p w14:paraId="2D50CE95" w14:textId="1011E301" w:rsidR="00AF6339" w:rsidRPr="00AF6339" w:rsidRDefault="00AF6339" w:rsidP="00AF6339">
      <w:pPr>
        <w:pStyle w:val="SingleTxt"/>
        <w:spacing w:after="0" w:line="120" w:lineRule="exact"/>
        <w:rPr>
          <w:sz w:val="10"/>
          <w:lang w:val="fr-FR"/>
        </w:rPr>
      </w:pPr>
    </w:p>
    <w:p w14:paraId="193E4BAC" w14:textId="05E9C2B4" w:rsidR="00AF6339" w:rsidRPr="00AF6339" w:rsidRDefault="00AF6339" w:rsidP="00AF6339">
      <w:pPr>
        <w:pStyle w:val="SingleTxt"/>
        <w:spacing w:after="0" w:line="120" w:lineRule="exact"/>
        <w:rPr>
          <w:sz w:val="10"/>
          <w:lang w:val="fr-FR"/>
        </w:rPr>
      </w:pPr>
    </w:p>
    <w:p w14:paraId="73DF3639" w14:textId="553029CF" w:rsidR="00AF6339" w:rsidRPr="00AF6339" w:rsidRDefault="00AF6339" w:rsidP="00AF6339">
      <w:pPr>
        <w:pStyle w:val="SingleTxt"/>
        <w:spacing w:after="0" w:line="120" w:lineRule="exact"/>
        <w:rPr>
          <w:sz w:val="10"/>
          <w:lang w:val="fr-FR"/>
        </w:rPr>
      </w:pPr>
    </w:p>
    <w:p w14:paraId="1A63E4A3" w14:textId="7A8DB48A" w:rsidR="00AF6339" w:rsidRPr="00AF6339" w:rsidRDefault="00AF6339" w:rsidP="00AF63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Observations finales concernant le dixième rapport périodique de la Mongolie</w:t>
      </w:r>
      <w:r w:rsidRPr="00AF6339">
        <w:rPr>
          <w:b w:val="0"/>
          <w:bCs/>
          <w:sz w:val="20"/>
          <w:szCs w:val="20"/>
          <w:lang w:val="fr-FR"/>
        </w:rPr>
        <w:t>*</w:t>
      </w:r>
    </w:p>
    <w:p w14:paraId="59F93C79" w14:textId="4991DC8D" w:rsidR="00AF6339" w:rsidRPr="00AF6339" w:rsidRDefault="00AF6339" w:rsidP="00AF6339">
      <w:pPr>
        <w:pStyle w:val="SingleTxt"/>
        <w:spacing w:after="0" w:line="120" w:lineRule="exact"/>
        <w:rPr>
          <w:sz w:val="10"/>
          <w:lang w:val="fr-FR"/>
        </w:rPr>
      </w:pPr>
    </w:p>
    <w:p w14:paraId="7BC6EAF4" w14:textId="19309BC3" w:rsidR="00AF6339" w:rsidRPr="00AF6339" w:rsidRDefault="00AF6339" w:rsidP="00AF6339">
      <w:pPr>
        <w:pStyle w:val="SingleTxt"/>
        <w:spacing w:after="0" w:line="120" w:lineRule="exact"/>
        <w:rPr>
          <w:sz w:val="10"/>
          <w:lang w:val="fr-FR"/>
        </w:rPr>
      </w:pPr>
    </w:p>
    <w:p w14:paraId="0546FAC4" w14:textId="1F5EA79B" w:rsidR="00AF6339" w:rsidRDefault="00AF6339" w:rsidP="00740140">
      <w:pPr>
        <w:pStyle w:val="SingleTxt"/>
        <w:numPr>
          <w:ilvl w:val="0"/>
          <w:numId w:val="5"/>
        </w:numPr>
        <w:spacing w:line="240" w:lineRule="exact"/>
        <w:ind w:left="1267"/>
        <w:rPr>
          <w:lang w:val="fr-FR"/>
        </w:rPr>
      </w:pPr>
      <w:r w:rsidRPr="00AF6339">
        <w:rPr>
          <w:lang w:val="fr-FR"/>
        </w:rPr>
        <w:t>Le Comité a examiné le dixième rapport périodique de la Mongolie (</w:t>
      </w:r>
      <w:hyperlink r:id="rId17" w:history="1">
        <w:r w:rsidRPr="00AF6339">
          <w:rPr>
            <w:rStyle w:val="Hyperlink"/>
            <w:lang w:val="fr-FR"/>
          </w:rPr>
          <w:t>CEDAW/C/M</w:t>
        </w:r>
        <w:r w:rsidRPr="00AF6339">
          <w:rPr>
            <w:rStyle w:val="Hyperlink"/>
            <w:lang w:val="fr-FR"/>
          </w:rPr>
          <w:t>N</w:t>
        </w:r>
        <w:r w:rsidRPr="00AF6339">
          <w:rPr>
            <w:rStyle w:val="Hyperlink"/>
            <w:lang w:val="fr-FR"/>
          </w:rPr>
          <w:t>G/10</w:t>
        </w:r>
      </w:hyperlink>
      <w:r w:rsidRPr="00AF6339">
        <w:rPr>
          <w:lang w:val="fr-FR"/>
        </w:rPr>
        <w:t>), soumis selon la procédure simplifiée, à ses 1895</w:t>
      </w:r>
      <w:r w:rsidRPr="00AF6339">
        <w:rPr>
          <w:vertAlign w:val="superscript"/>
          <w:lang w:val="fr-FR"/>
        </w:rPr>
        <w:t>e</w:t>
      </w:r>
      <w:r w:rsidRPr="00AF6339">
        <w:rPr>
          <w:lang w:val="fr-FR"/>
        </w:rPr>
        <w:t xml:space="preserve"> et 1897</w:t>
      </w:r>
      <w:r w:rsidRPr="00AF6339">
        <w:rPr>
          <w:vertAlign w:val="superscript"/>
          <w:lang w:val="fr-FR"/>
        </w:rPr>
        <w:t>e</w:t>
      </w:r>
      <w:r w:rsidRPr="00AF6339">
        <w:rPr>
          <w:lang w:val="fr-FR"/>
        </w:rPr>
        <w:t xml:space="preserve"> séances (</w:t>
      </w:r>
      <w:hyperlink r:id="rId18" w:history="1">
        <w:r w:rsidRPr="00AF6339">
          <w:rPr>
            <w:rStyle w:val="Hyperlink"/>
            <w:lang w:val="fr-FR"/>
          </w:rPr>
          <w:t>CEDAW/C/SR.1895</w:t>
        </w:r>
      </w:hyperlink>
      <w:r w:rsidRPr="00AF6339">
        <w:rPr>
          <w:lang w:val="fr-FR"/>
        </w:rPr>
        <w:t xml:space="preserve"> et </w:t>
      </w:r>
      <w:hyperlink r:id="rId19" w:history="1">
        <w:r w:rsidRPr="00AF6339">
          <w:rPr>
            <w:rStyle w:val="Hyperlink"/>
            <w:lang w:val="fr-FR"/>
          </w:rPr>
          <w:t>CEDAW/C/SR.1897</w:t>
        </w:r>
      </w:hyperlink>
      <w:r w:rsidRPr="00AF6339">
        <w:rPr>
          <w:lang w:val="fr-FR"/>
        </w:rPr>
        <w:t>) qui se sont tenues les 23 et 24 juin 2022.</w:t>
      </w:r>
    </w:p>
    <w:p w14:paraId="0D50A1B4" w14:textId="6958394D" w:rsidR="00AF6339" w:rsidRPr="00AF6339" w:rsidRDefault="00AF6339" w:rsidP="00AF6339">
      <w:pPr>
        <w:pStyle w:val="SingleTxt"/>
        <w:spacing w:after="0" w:line="120" w:lineRule="exact"/>
        <w:rPr>
          <w:sz w:val="10"/>
          <w:lang w:val="fr-FR"/>
        </w:rPr>
      </w:pPr>
    </w:p>
    <w:p w14:paraId="789B20AD" w14:textId="724187A7" w:rsidR="00AF6339" w:rsidRPr="00AF6339" w:rsidRDefault="00AF6339" w:rsidP="00AF6339">
      <w:pPr>
        <w:pStyle w:val="SingleTxt"/>
        <w:spacing w:after="0" w:line="120" w:lineRule="exact"/>
        <w:rPr>
          <w:sz w:val="10"/>
          <w:lang w:val="fr-FR"/>
        </w:rPr>
      </w:pPr>
    </w:p>
    <w:p w14:paraId="0F0ED180" w14:textId="6A56FCE5" w:rsidR="00AF6339" w:rsidRDefault="00AF6339" w:rsidP="00AF63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t>A.</w:t>
      </w:r>
      <w:r w:rsidRPr="00AF6339">
        <w:rPr>
          <w:lang w:val="fr-FR"/>
        </w:rPr>
        <w:tab/>
        <w:t>Introduction</w:t>
      </w:r>
    </w:p>
    <w:p w14:paraId="2630E005" w14:textId="3C0ED8D6" w:rsidR="00AF6339" w:rsidRPr="00AF6339" w:rsidRDefault="00AF6339" w:rsidP="00AF6339">
      <w:pPr>
        <w:pStyle w:val="SingleTxt"/>
        <w:spacing w:after="0" w:line="120" w:lineRule="exact"/>
        <w:rPr>
          <w:sz w:val="10"/>
          <w:lang w:val="fr-FR"/>
        </w:rPr>
      </w:pPr>
    </w:p>
    <w:p w14:paraId="20A16C5A" w14:textId="6BC66DAB" w:rsidR="00AF6339" w:rsidRPr="00AF6339" w:rsidRDefault="00AF6339" w:rsidP="00AF6339">
      <w:pPr>
        <w:pStyle w:val="SingleTxt"/>
        <w:spacing w:after="0" w:line="120" w:lineRule="exact"/>
        <w:rPr>
          <w:sz w:val="10"/>
          <w:lang w:val="fr-FR"/>
        </w:rPr>
      </w:pPr>
    </w:p>
    <w:p w14:paraId="4687D9FD" w14:textId="027CDAB7" w:rsidR="00AF6339" w:rsidRPr="00AF6339" w:rsidRDefault="00AF6339" w:rsidP="00760397">
      <w:pPr>
        <w:pStyle w:val="SingleTxt"/>
        <w:numPr>
          <w:ilvl w:val="0"/>
          <w:numId w:val="5"/>
        </w:numPr>
        <w:spacing w:line="240" w:lineRule="exact"/>
        <w:ind w:left="1267"/>
        <w:rPr>
          <w:lang w:val="fr-FR"/>
        </w:rPr>
      </w:pPr>
      <w:r w:rsidRPr="00AF6339">
        <w:rPr>
          <w:lang w:val="fr-FR"/>
        </w:rPr>
        <w:t>Le Comité remercie l</w:t>
      </w:r>
      <w:r w:rsidR="00740140">
        <w:rPr>
          <w:lang w:val="fr-FR"/>
        </w:rPr>
        <w:t>’</w:t>
      </w:r>
      <w:r w:rsidRPr="00AF6339">
        <w:rPr>
          <w:lang w:val="fr-FR"/>
        </w:rPr>
        <w:t>État partie d</w:t>
      </w:r>
      <w:r w:rsidR="00740140">
        <w:rPr>
          <w:lang w:val="fr-FR"/>
        </w:rPr>
        <w:t>’</w:t>
      </w:r>
      <w:r w:rsidRPr="00AF6339">
        <w:rPr>
          <w:lang w:val="fr-FR"/>
        </w:rPr>
        <w:t>avoir soumis son dixième rapport périodique, élaboré en réponse à la liste des points établie avant la soumission du rapport (</w:t>
      </w:r>
      <w:hyperlink r:id="rId20" w:history="1">
        <w:r w:rsidRPr="00AF6339">
          <w:rPr>
            <w:rStyle w:val="Hyperlink"/>
            <w:lang w:val="fr-FR"/>
          </w:rPr>
          <w:t>CEDAW/C/MNG/QPR/10</w:t>
        </w:r>
      </w:hyperlink>
      <w:r w:rsidRPr="00AF6339">
        <w:rPr>
          <w:lang w:val="fr-FR"/>
        </w:rPr>
        <w:t>). Il le remercie également de son rapport sur la suite donnée à ses précédentes observations finales (</w:t>
      </w:r>
      <w:hyperlink r:id="rId21" w:history="1">
        <w:r w:rsidRPr="00AF6339">
          <w:rPr>
            <w:rStyle w:val="Hyperlink"/>
            <w:lang w:val="fr-FR"/>
          </w:rPr>
          <w:t>CEDAW/C/MN</w:t>
        </w:r>
        <w:r w:rsidRPr="00AF6339">
          <w:rPr>
            <w:rStyle w:val="Hyperlink"/>
            <w:lang w:val="fr-FR"/>
          </w:rPr>
          <w:t>G</w:t>
        </w:r>
        <w:r w:rsidRPr="00AF6339">
          <w:rPr>
            <w:rStyle w:val="Hyperlink"/>
            <w:lang w:val="fr-FR"/>
          </w:rPr>
          <w:t>/CO/8-9/Add.1</w:t>
        </w:r>
      </w:hyperlink>
      <w:r w:rsidRPr="00AF6339">
        <w:rPr>
          <w:lang w:val="fr-FR"/>
        </w:rPr>
        <w:t>). Il remercie par ailleurs la délégation pour sa présentation orale et pour les clarifications apportées par écrit en réponse aux questions posées oralement par le Comité dans le cadre du dialogue.</w:t>
      </w:r>
    </w:p>
    <w:p w14:paraId="64C2AB7B" w14:textId="01CC44DD" w:rsidR="00AF6339" w:rsidRDefault="00AF6339" w:rsidP="00740140">
      <w:pPr>
        <w:pStyle w:val="SingleTxt"/>
        <w:numPr>
          <w:ilvl w:val="0"/>
          <w:numId w:val="5"/>
        </w:numPr>
        <w:spacing w:line="240" w:lineRule="exact"/>
        <w:ind w:left="1267"/>
        <w:rPr>
          <w:lang w:val="fr-FR"/>
        </w:rPr>
      </w:pPr>
      <w:r w:rsidRPr="00AF6339">
        <w:rPr>
          <w:lang w:val="fr-FR"/>
        </w:rPr>
        <w:t>Le Comité remercie l</w:t>
      </w:r>
      <w:r w:rsidR="00740140">
        <w:rPr>
          <w:lang w:val="fr-FR"/>
        </w:rPr>
        <w:t>’</w:t>
      </w:r>
      <w:r w:rsidRPr="00AF6339">
        <w:rPr>
          <w:lang w:val="fr-FR"/>
        </w:rPr>
        <w:t>État partie d</w:t>
      </w:r>
      <w:r w:rsidR="00740140">
        <w:rPr>
          <w:lang w:val="fr-FR"/>
        </w:rPr>
        <w:t>’</w:t>
      </w:r>
      <w:r w:rsidRPr="00AF6339">
        <w:rPr>
          <w:lang w:val="fr-FR"/>
        </w:rPr>
        <w:t>avoir envoyé une délégation multisectorielle, conduite par le Vice-Ministre du travail et de la protection sociale, Sarkhad Zulpkhar, et composée également de représentants du Ministère de la santé, du Ministère de l</w:t>
      </w:r>
      <w:r w:rsidR="00740140">
        <w:rPr>
          <w:lang w:val="fr-FR"/>
        </w:rPr>
        <w:t>’</w:t>
      </w:r>
      <w:r w:rsidRPr="00AF6339">
        <w:rPr>
          <w:lang w:val="fr-FR"/>
        </w:rPr>
        <w:t>environnement et du tourisme, du Ministère de la défense, du Ministère des affaires étrangères, du Ministère des finances, du Ministère du travail et de la protection sociale, du Ministère de l</w:t>
      </w:r>
      <w:r w:rsidR="00740140">
        <w:rPr>
          <w:lang w:val="fr-FR"/>
        </w:rPr>
        <w:t>’</w:t>
      </w:r>
      <w:r w:rsidRPr="00AF6339">
        <w:rPr>
          <w:lang w:val="fr-FR"/>
        </w:rPr>
        <w:t>économie et du développement, du Ministère de la construction et de l</w:t>
      </w:r>
      <w:r w:rsidR="00740140">
        <w:rPr>
          <w:lang w:val="fr-FR"/>
        </w:rPr>
        <w:t>’</w:t>
      </w:r>
      <w:r w:rsidRPr="00AF6339">
        <w:rPr>
          <w:lang w:val="fr-FR"/>
        </w:rPr>
        <w:t>urbanisme, du Ministère de l</w:t>
      </w:r>
      <w:r w:rsidR="00740140">
        <w:rPr>
          <w:lang w:val="fr-FR"/>
        </w:rPr>
        <w:t>’</w:t>
      </w:r>
      <w:r w:rsidRPr="00AF6339">
        <w:rPr>
          <w:lang w:val="fr-FR"/>
        </w:rPr>
        <w:t>éducation et des sciences, du Ministère de la culture, du Ministère du développement numérique, du Ministère de l</w:t>
      </w:r>
      <w:r w:rsidR="00740140">
        <w:rPr>
          <w:lang w:val="fr-FR"/>
        </w:rPr>
        <w:t>’</w:t>
      </w:r>
      <w:r w:rsidRPr="00AF6339">
        <w:rPr>
          <w:lang w:val="fr-FR"/>
        </w:rPr>
        <w:t>énergie, du Ministère de l</w:t>
      </w:r>
      <w:r w:rsidR="00740140">
        <w:rPr>
          <w:lang w:val="fr-FR"/>
        </w:rPr>
        <w:t>’</w:t>
      </w:r>
      <w:r w:rsidRPr="00AF6339">
        <w:rPr>
          <w:lang w:val="fr-FR"/>
        </w:rPr>
        <w:t>alimentation, de l</w:t>
      </w:r>
      <w:r w:rsidR="00740140">
        <w:rPr>
          <w:lang w:val="fr-FR"/>
        </w:rPr>
        <w:t>’</w:t>
      </w:r>
      <w:r w:rsidRPr="00AF6339">
        <w:rPr>
          <w:lang w:val="fr-FR"/>
        </w:rPr>
        <w:t>agriculture et de l</w:t>
      </w:r>
      <w:r w:rsidR="00740140">
        <w:rPr>
          <w:lang w:val="fr-FR"/>
        </w:rPr>
        <w:t>’</w:t>
      </w:r>
      <w:r w:rsidRPr="00AF6339">
        <w:rPr>
          <w:lang w:val="fr-FR"/>
        </w:rPr>
        <w:t>industrie légère, du Ministère des mines et de l</w:t>
      </w:r>
      <w:r w:rsidR="00740140">
        <w:rPr>
          <w:lang w:val="fr-FR"/>
        </w:rPr>
        <w:t>’</w:t>
      </w:r>
      <w:r w:rsidRPr="00AF6339">
        <w:rPr>
          <w:lang w:val="fr-FR"/>
        </w:rPr>
        <w:t>industrie lourde, du Ministère du développement des routes et des transports, du Ministère de la justice et des affaires intérieures et du Comité national sur l</w:t>
      </w:r>
      <w:r w:rsidR="00740140">
        <w:rPr>
          <w:lang w:val="fr-FR"/>
        </w:rPr>
        <w:t>’</w:t>
      </w:r>
      <w:r w:rsidRPr="00AF6339">
        <w:rPr>
          <w:lang w:val="fr-FR"/>
        </w:rPr>
        <w:t>égalité des genres, ainsi que du Représentant permanent de la Mongolie auprès de l</w:t>
      </w:r>
      <w:r w:rsidR="00740140">
        <w:rPr>
          <w:lang w:val="fr-FR"/>
        </w:rPr>
        <w:t>’</w:t>
      </w:r>
      <w:r w:rsidRPr="00AF6339">
        <w:rPr>
          <w:lang w:val="fr-FR"/>
        </w:rPr>
        <w:t>Office des Nations Unies et des autres organisations internationales à Genève.</w:t>
      </w:r>
    </w:p>
    <w:p w14:paraId="3BFC4459" w14:textId="57D6EA3D" w:rsidR="00AF6339" w:rsidRPr="00AF6339" w:rsidRDefault="00AF6339" w:rsidP="00AF6339">
      <w:pPr>
        <w:pStyle w:val="SingleTxt"/>
        <w:spacing w:after="0" w:line="120" w:lineRule="exact"/>
        <w:rPr>
          <w:sz w:val="10"/>
          <w:lang w:val="fr-FR"/>
        </w:rPr>
      </w:pPr>
    </w:p>
    <w:p w14:paraId="61835BC4" w14:textId="10FAF017" w:rsidR="00AF6339" w:rsidRPr="00AF6339" w:rsidRDefault="00AF6339" w:rsidP="00AF6339">
      <w:pPr>
        <w:keepNext/>
        <w:keepLines/>
        <w:framePr w:w="9792" w:h="432" w:hSpace="180" w:wrap="around" w:vAnchor="page" w:hAnchor="page" w:x="1213" w:y="1388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0" w:hanging="576"/>
        <w:rPr>
          <w:spacing w:val="5"/>
          <w:w w:val="104"/>
          <w:sz w:val="17"/>
          <w:szCs w:val="20"/>
        </w:rPr>
      </w:pPr>
      <w:r w:rsidRPr="00AF6339">
        <w:rPr>
          <w:noProof/>
          <w:w w:val="100"/>
        </w:rPr>
        <mc:AlternateContent>
          <mc:Choice Requires="wps">
            <w:drawing>
              <wp:anchor distT="0" distB="0" distL="114300" distR="114300" simplePos="0" relativeHeight="251659264" behindDoc="0" locked="0" layoutInCell="1" allowOverlap="1" wp14:anchorId="36511721" wp14:editId="3D6932DB">
                <wp:simplePos x="0" y="0"/>
                <wp:positionH relativeFrom="column">
                  <wp:posOffset>548640</wp:posOffset>
                </wp:positionH>
                <wp:positionV relativeFrom="paragraph">
                  <wp:posOffset>-12700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25AA9"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AF6339">
        <w:rPr>
          <w:spacing w:val="5"/>
          <w:w w:val="104"/>
          <w:sz w:val="17"/>
          <w:szCs w:val="20"/>
        </w:rPr>
        <w:tab/>
        <w:t>*</w:t>
      </w:r>
      <w:r w:rsidRPr="00AF6339">
        <w:rPr>
          <w:spacing w:val="5"/>
          <w:w w:val="104"/>
          <w:sz w:val="17"/>
          <w:szCs w:val="20"/>
        </w:rPr>
        <w:tab/>
      </w:r>
      <w:r w:rsidRPr="00AF6339">
        <w:rPr>
          <w:spacing w:val="5"/>
          <w:w w:val="104"/>
          <w:sz w:val="17"/>
          <w:szCs w:val="20"/>
          <w:lang w:val="fr-FR"/>
        </w:rPr>
        <w:t>Adoptée par le Comité à sa quatre-vingt-deuxième session (13 juin</w:t>
      </w:r>
      <w:r>
        <w:rPr>
          <w:spacing w:val="5"/>
          <w:w w:val="104"/>
          <w:sz w:val="17"/>
          <w:szCs w:val="20"/>
          <w:lang w:val="fr-FR"/>
        </w:rPr>
        <w:t>-</w:t>
      </w:r>
      <w:r w:rsidRPr="00AF6339">
        <w:rPr>
          <w:spacing w:val="5"/>
          <w:w w:val="104"/>
          <w:sz w:val="17"/>
          <w:szCs w:val="20"/>
          <w:lang w:val="fr-FR"/>
        </w:rPr>
        <w:t>1</w:t>
      </w:r>
      <w:r w:rsidRPr="00AF6339">
        <w:rPr>
          <w:spacing w:val="5"/>
          <w:w w:val="104"/>
          <w:sz w:val="17"/>
          <w:szCs w:val="20"/>
          <w:vertAlign w:val="superscript"/>
          <w:lang w:val="fr-FR"/>
        </w:rPr>
        <w:t>er</w:t>
      </w:r>
      <w:r w:rsidRPr="00AF6339">
        <w:rPr>
          <w:spacing w:val="5"/>
          <w:w w:val="104"/>
          <w:sz w:val="17"/>
          <w:szCs w:val="20"/>
          <w:lang w:val="fr-FR"/>
        </w:rPr>
        <w:t xml:space="preserve"> juillet 2022).</w:t>
      </w:r>
    </w:p>
    <w:p w14:paraId="6AE5132E" w14:textId="711DB090" w:rsidR="00AF6339" w:rsidRPr="00AF6339" w:rsidRDefault="00AF6339" w:rsidP="00AF6339">
      <w:pPr>
        <w:pStyle w:val="SingleTxt"/>
        <w:spacing w:after="0" w:line="120" w:lineRule="exact"/>
        <w:rPr>
          <w:sz w:val="10"/>
        </w:rPr>
      </w:pPr>
    </w:p>
    <w:p w14:paraId="1B396F18" w14:textId="20FC2F54" w:rsidR="00AF6339" w:rsidRDefault="00AF6339" w:rsidP="00AF63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lastRenderedPageBreak/>
        <w:tab/>
        <w:t>B.</w:t>
      </w:r>
      <w:r w:rsidRPr="00AF6339">
        <w:rPr>
          <w:lang w:val="fr-FR"/>
        </w:rPr>
        <w:tab/>
        <w:t>Aspects positifs</w:t>
      </w:r>
    </w:p>
    <w:p w14:paraId="05B060D1" w14:textId="5A7EE759" w:rsidR="00AF6339" w:rsidRPr="00AF6339" w:rsidRDefault="00AF6339" w:rsidP="00AF6339">
      <w:pPr>
        <w:pStyle w:val="SingleTxt"/>
        <w:keepNext/>
        <w:keepLines/>
        <w:spacing w:after="0" w:line="120" w:lineRule="exact"/>
        <w:rPr>
          <w:sz w:val="10"/>
          <w:lang w:val="fr-FR"/>
        </w:rPr>
      </w:pPr>
    </w:p>
    <w:p w14:paraId="517E2EBA" w14:textId="70D376E6" w:rsidR="00AF6339" w:rsidRPr="00AF6339" w:rsidRDefault="00AF6339" w:rsidP="00AF6339">
      <w:pPr>
        <w:pStyle w:val="SingleTxt"/>
        <w:keepNext/>
        <w:keepLines/>
        <w:spacing w:after="0" w:line="120" w:lineRule="exact"/>
        <w:rPr>
          <w:sz w:val="10"/>
          <w:lang w:val="fr-FR"/>
        </w:rPr>
      </w:pPr>
    </w:p>
    <w:p w14:paraId="0567A44B" w14:textId="7F763193" w:rsidR="00AF6339" w:rsidRPr="00AF6339" w:rsidRDefault="00AF6339" w:rsidP="00760397">
      <w:pPr>
        <w:pStyle w:val="SingleTxt"/>
        <w:numPr>
          <w:ilvl w:val="0"/>
          <w:numId w:val="5"/>
        </w:numPr>
        <w:spacing w:line="240" w:lineRule="exact"/>
        <w:ind w:left="1267"/>
        <w:rPr>
          <w:lang w:val="fr-FR"/>
        </w:rPr>
      </w:pPr>
      <w:r w:rsidRPr="00AF6339">
        <w:rPr>
          <w:lang w:val="fr-FR"/>
        </w:rPr>
        <w:t>Le Comité se félicite des progrès accomplis sur le front des réformes législatives depuis l</w:t>
      </w:r>
      <w:r w:rsidR="00740140">
        <w:rPr>
          <w:lang w:val="fr-FR"/>
        </w:rPr>
        <w:t>’</w:t>
      </w:r>
      <w:r w:rsidRPr="00AF6339">
        <w:rPr>
          <w:lang w:val="fr-FR"/>
        </w:rPr>
        <w:t>examen, en 2016, des huitième et neuvième rapports périodiques soumis en un seul document par l</w:t>
      </w:r>
      <w:r w:rsidR="00740140">
        <w:rPr>
          <w:lang w:val="fr-FR"/>
        </w:rPr>
        <w:t>’</w:t>
      </w:r>
      <w:r w:rsidRPr="00AF6339">
        <w:rPr>
          <w:lang w:val="fr-FR"/>
        </w:rPr>
        <w:t>État partie (CEDAW/C/MNG/8-9), et notamment des mesures suivantes</w:t>
      </w:r>
      <w:r w:rsidR="00740140">
        <w:rPr>
          <w:lang w:val="fr-FR"/>
        </w:rPr>
        <w:t> :</w:t>
      </w:r>
    </w:p>
    <w:p w14:paraId="74168A0A" w14:textId="639EEC78" w:rsidR="00AF6339" w:rsidRPr="00AF6339" w:rsidRDefault="00AF6339" w:rsidP="00AF6339">
      <w:pPr>
        <w:pStyle w:val="SingleTxt"/>
        <w:keepNext/>
        <w:keepLines/>
        <w:spacing w:line="240" w:lineRule="auto"/>
        <w:rPr>
          <w:lang w:val="fr-FR"/>
        </w:rPr>
      </w:pPr>
      <w:r w:rsidRPr="00AF6339">
        <w:rPr>
          <w:lang w:val="fr-FR"/>
        </w:rPr>
        <w:tab/>
        <w:t>a)</w:t>
      </w:r>
      <w:r w:rsidRPr="00AF6339">
        <w:rPr>
          <w:lang w:val="fr-FR"/>
        </w:rPr>
        <w:tab/>
        <w:t>révision de la loi sur la Commission mongole des droits humains, qui alloue un budget à l</w:t>
      </w:r>
      <w:r w:rsidR="00740140">
        <w:rPr>
          <w:lang w:val="fr-FR"/>
        </w:rPr>
        <w:t>’</w:t>
      </w:r>
      <w:r w:rsidRPr="00AF6339">
        <w:rPr>
          <w:lang w:val="fr-FR"/>
        </w:rPr>
        <w:t>exécution de ses activités, adoptée en janvier 2020</w:t>
      </w:r>
      <w:r w:rsidR="00740140">
        <w:rPr>
          <w:lang w:val="fr-FR"/>
        </w:rPr>
        <w:t> ;</w:t>
      </w:r>
    </w:p>
    <w:p w14:paraId="1FBA95B3" w14:textId="77777777" w:rsidR="00AF6339" w:rsidRPr="00AF6339" w:rsidRDefault="00AF6339" w:rsidP="00AF6339">
      <w:pPr>
        <w:pStyle w:val="SingleTxt"/>
        <w:keepNext/>
        <w:keepLines/>
        <w:rPr>
          <w:lang w:val="fr-FR"/>
        </w:rPr>
      </w:pPr>
      <w:r w:rsidRPr="00AF6339">
        <w:rPr>
          <w:lang w:val="fr-FR"/>
        </w:rPr>
        <w:tab/>
        <w:t>b)</w:t>
      </w:r>
      <w:r w:rsidRPr="00AF6339">
        <w:rPr>
          <w:lang w:val="fr-FR"/>
        </w:rPr>
        <w:tab/>
        <w:t>révision de la loi sur la lutte contre la violence domestique, qui criminalise la violence domestique, adoptée en 2016.</w:t>
      </w:r>
    </w:p>
    <w:p w14:paraId="540DB570" w14:textId="1067FE78" w:rsidR="00AF6339" w:rsidRPr="00AF6339" w:rsidRDefault="00AF6339" w:rsidP="00760397">
      <w:pPr>
        <w:pStyle w:val="SingleTxt"/>
        <w:numPr>
          <w:ilvl w:val="0"/>
          <w:numId w:val="5"/>
        </w:numPr>
        <w:spacing w:line="240" w:lineRule="exact"/>
        <w:ind w:left="1267"/>
        <w:rPr>
          <w:lang w:val="fr-FR"/>
        </w:rPr>
      </w:pPr>
      <w:r w:rsidRPr="00AF6339">
        <w:rPr>
          <w:lang w:val="fr-FR"/>
        </w:rPr>
        <w:t>Le Comité salue les efforts déployés par l</w:t>
      </w:r>
      <w:r w:rsidR="00740140">
        <w:rPr>
          <w:lang w:val="fr-FR"/>
        </w:rPr>
        <w:t>’</w:t>
      </w:r>
      <w:r w:rsidRPr="00AF6339">
        <w:rPr>
          <w:lang w:val="fr-FR"/>
        </w:rPr>
        <w:t>État partie pour améliorer son cadre institutionnel et politique en vue d</w:t>
      </w:r>
      <w:r w:rsidR="00740140">
        <w:rPr>
          <w:lang w:val="fr-FR"/>
        </w:rPr>
        <w:t>’</w:t>
      </w:r>
      <w:r w:rsidRPr="00AF6339">
        <w:rPr>
          <w:lang w:val="fr-FR"/>
        </w:rPr>
        <w:t>accélérer l</w:t>
      </w:r>
      <w:r w:rsidR="00740140">
        <w:rPr>
          <w:lang w:val="fr-FR"/>
        </w:rPr>
        <w:t>’</w:t>
      </w:r>
      <w:r w:rsidRPr="00AF6339">
        <w:rPr>
          <w:lang w:val="fr-FR"/>
        </w:rPr>
        <w:t>élimination de la discrimination à l</w:t>
      </w:r>
      <w:r w:rsidR="00740140">
        <w:rPr>
          <w:lang w:val="fr-FR"/>
        </w:rPr>
        <w:t>’</w:t>
      </w:r>
      <w:r w:rsidRPr="00AF6339">
        <w:rPr>
          <w:lang w:val="fr-FR"/>
        </w:rPr>
        <w:t>égard des femmes et de promouvoir l</w:t>
      </w:r>
      <w:r w:rsidR="00740140">
        <w:rPr>
          <w:lang w:val="fr-FR"/>
        </w:rPr>
        <w:t>’</w:t>
      </w:r>
      <w:r w:rsidRPr="00AF6339">
        <w:rPr>
          <w:lang w:val="fr-FR"/>
        </w:rPr>
        <w:t>égalité entre les genres. À cet égard, il se félicite</w:t>
      </w:r>
      <w:r w:rsidR="00740140">
        <w:rPr>
          <w:lang w:val="fr-FR"/>
        </w:rPr>
        <w:t> :</w:t>
      </w:r>
    </w:p>
    <w:p w14:paraId="2CF6797B" w14:textId="2AC98BCA" w:rsidR="00AF6339" w:rsidRPr="00AF6339" w:rsidRDefault="00AF6339" w:rsidP="00AF6339">
      <w:pPr>
        <w:pStyle w:val="SingleTxt"/>
        <w:rPr>
          <w:lang w:val="fr-FR"/>
        </w:rPr>
      </w:pPr>
      <w:r w:rsidRPr="00AF6339">
        <w:rPr>
          <w:lang w:val="fr-FR"/>
        </w:rPr>
        <w:tab/>
        <w:t>a)</w:t>
      </w:r>
      <w:r w:rsidRPr="00AF6339">
        <w:rPr>
          <w:lang w:val="fr-FR"/>
        </w:rPr>
        <w:tab/>
        <w:t>de l</w:t>
      </w:r>
      <w:r w:rsidR="00740140">
        <w:rPr>
          <w:lang w:val="fr-FR"/>
        </w:rPr>
        <w:t>’</w:t>
      </w:r>
      <w:r w:rsidRPr="00AF6339">
        <w:rPr>
          <w:lang w:val="fr-FR"/>
        </w:rPr>
        <w:t>adoption, entérinée en 2019, de la politique salariale nationale pour 2019-2024 et du plan d</w:t>
      </w:r>
      <w:r w:rsidR="00740140">
        <w:rPr>
          <w:lang w:val="fr-FR"/>
        </w:rPr>
        <w:t>’</w:t>
      </w:r>
      <w:r w:rsidRPr="00AF6339">
        <w:rPr>
          <w:lang w:val="fr-FR"/>
        </w:rPr>
        <w:t>action correspondant, qui visent à promouvoir l</w:t>
      </w:r>
      <w:r w:rsidR="00740140">
        <w:rPr>
          <w:lang w:val="fr-FR"/>
        </w:rPr>
        <w:t>’</w:t>
      </w:r>
      <w:r w:rsidRPr="00AF6339">
        <w:rPr>
          <w:lang w:val="fr-FR"/>
        </w:rPr>
        <w:t>égalité de rémunération pour un travail de valeur égale</w:t>
      </w:r>
      <w:r w:rsidR="00740140">
        <w:rPr>
          <w:lang w:val="fr-FR"/>
        </w:rPr>
        <w:t> ;</w:t>
      </w:r>
    </w:p>
    <w:p w14:paraId="069F3DD3" w14:textId="75992C05" w:rsidR="00AF6339" w:rsidRPr="00AF6339" w:rsidRDefault="00AF6339" w:rsidP="00AF6339">
      <w:pPr>
        <w:pStyle w:val="SingleTxt"/>
        <w:rPr>
          <w:lang w:val="fr-FR"/>
        </w:rPr>
      </w:pPr>
      <w:r w:rsidRPr="00AF6339">
        <w:rPr>
          <w:lang w:val="fr-FR"/>
        </w:rPr>
        <w:tab/>
        <w:t>b)</w:t>
      </w:r>
      <w:r w:rsidRPr="00AF6339">
        <w:rPr>
          <w:lang w:val="fr-FR"/>
        </w:rPr>
        <w:tab/>
        <w:t>de l</w:t>
      </w:r>
      <w:r w:rsidR="00740140">
        <w:rPr>
          <w:lang w:val="fr-FR"/>
        </w:rPr>
        <w:t>’</w:t>
      </w:r>
      <w:r w:rsidRPr="00AF6339">
        <w:rPr>
          <w:lang w:val="fr-FR"/>
        </w:rPr>
        <w:t>adoption, entérinée en 2017, du programme national relatif à l</w:t>
      </w:r>
      <w:r w:rsidR="00740140">
        <w:rPr>
          <w:lang w:val="fr-FR"/>
        </w:rPr>
        <w:t>’</w:t>
      </w:r>
      <w:r w:rsidRPr="00AF6339">
        <w:rPr>
          <w:lang w:val="fr-FR"/>
        </w:rPr>
        <w:t>égalité entre les genres (2017-2021)</w:t>
      </w:r>
      <w:r w:rsidR="00740140">
        <w:rPr>
          <w:lang w:val="fr-FR"/>
        </w:rPr>
        <w:t> ;</w:t>
      </w:r>
    </w:p>
    <w:p w14:paraId="26138ED6" w14:textId="073B4AF1" w:rsidR="00AF6339" w:rsidRDefault="00AF6339" w:rsidP="00AF6339">
      <w:pPr>
        <w:pStyle w:val="SingleTxt"/>
        <w:rPr>
          <w:lang w:val="fr-FR"/>
        </w:rPr>
      </w:pPr>
      <w:r w:rsidRPr="00AF6339">
        <w:rPr>
          <w:lang w:val="fr-FR"/>
        </w:rPr>
        <w:tab/>
        <w:t>c)</w:t>
      </w:r>
      <w:r w:rsidRPr="00AF6339">
        <w:rPr>
          <w:lang w:val="fr-FR"/>
        </w:rPr>
        <w:tab/>
        <w:t>de l</w:t>
      </w:r>
      <w:r w:rsidR="00740140">
        <w:rPr>
          <w:lang w:val="fr-FR"/>
        </w:rPr>
        <w:t>’</w:t>
      </w:r>
      <w:r w:rsidRPr="00AF6339">
        <w:rPr>
          <w:lang w:val="fr-FR"/>
        </w:rPr>
        <w:t>adoption, entérinée en 2018, des résolutions n</w:t>
      </w:r>
      <w:r w:rsidRPr="00AF6339">
        <w:rPr>
          <w:vertAlign w:val="superscript"/>
          <w:lang w:val="fr-FR"/>
        </w:rPr>
        <w:t>o</w:t>
      </w:r>
      <w:r w:rsidRPr="00AF6339">
        <w:rPr>
          <w:lang w:val="fr-FR"/>
        </w:rPr>
        <w:t> 111 et n</w:t>
      </w:r>
      <w:r w:rsidRPr="00AF6339">
        <w:rPr>
          <w:vertAlign w:val="superscript"/>
          <w:lang w:val="fr-FR"/>
        </w:rPr>
        <w:t>o</w:t>
      </w:r>
      <w:r w:rsidRPr="00AF6339">
        <w:rPr>
          <w:lang w:val="fr-FR"/>
        </w:rPr>
        <w:t> 285, qui instituent le secrétariat de la Commission nationale sur l</w:t>
      </w:r>
      <w:r w:rsidR="00740140">
        <w:rPr>
          <w:lang w:val="fr-FR"/>
        </w:rPr>
        <w:t>’</w:t>
      </w:r>
      <w:r w:rsidRPr="00AF6339">
        <w:rPr>
          <w:lang w:val="fr-FR"/>
        </w:rPr>
        <w:t>égalité des genres en tant qu</w:t>
      </w:r>
      <w:r w:rsidR="00740140">
        <w:rPr>
          <w:lang w:val="fr-FR"/>
        </w:rPr>
        <w:t>’</w:t>
      </w:r>
      <w:r w:rsidRPr="00AF6339">
        <w:rPr>
          <w:lang w:val="fr-FR"/>
        </w:rPr>
        <w:t>organe indépendant sous l</w:t>
      </w:r>
      <w:r w:rsidR="00740140">
        <w:rPr>
          <w:lang w:val="fr-FR"/>
        </w:rPr>
        <w:t>’</w:t>
      </w:r>
      <w:r w:rsidRPr="00AF6339">
        <w:rPr>
          <w:lang w:val="fr-FR"/>
        </w:rPr>
        <w:t>égide du Premier Ministre.</w:t>
      </w:r>
    </w:p>
    <w:p w14:paraId="15D25EAB" w14:textId="42868A62" w:rsidR="00AF6339" w:rsidRPr="00AF6339" w:rsidRDefault="00AF6339" w:rsidP="00AF6339">
      <w:pPr>
        <w:pStyle w:val="SingleTxt"/>
        <w:spacing w:after="0" w:line="120" w:lineRule="exact"/>
        <w:rPr>
          <w:sz w:val="10"/>
          <w:lang w:val="fr-FR"/>
        </w:rPr>
      </w:pPr>
    </w:p>
    <w:p w14:paraId="3E779749" w14:textId="0CF3A284" w:rsidR="00AF6339" w:rsidRPr="00AF6339" w:rsidRDefault="00AF6339" w:rsidP="00AF6339">
      <w:pPr>
        <w:pStyle w:val="SingleTxt"/>
        <w:spacing w:after="0" w:line="120" w:lineRule="exact"/>
        <w:rPr>
          <w:sz w:val="10"/>
          <w:lang w:val="fr-FR"/>
        </w:rPr>
      </w:pPr>
    </w:p>
    <w:p w14:paraId="575B70A5" w14:textId="2F669644" w:rsidR="00AF6339" w:rsidRDefault="00AF6339" w:rsidP="00AF63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t>C.</w:t>
      </w:r>
      <w:r w:rsidRPr="00AF6339">
        <w:rPr>
          <w:lang w:val="fr-FR"/>
        </w:rPr>
        <w:tab/>
        <w:t>Objectifs de développement durable</w:t>
      </w:r>
    </w:p>
    <w:p w14:paraId="0D9F6EC5" w14:textId="38693AA8" w:rsidR="00AF6339" w:rsidRPr="00AF6339" w:rsidRDefault="00AF6339" w:rsidP="00AF6339">
      <w:pPr>
        <w:pStyle w:val="SingleTxt"/>
        <w:spacing w:after="0" w:line="120" w:lineRule="exact"/>
        <w:rPr>
          <w:sz w:val="10"/>
          <w:lang w:val="fr-FR"/>
        </w:rPr>
      </w:pPr>
    </w:p>
    <w:p w14:paraId="37FC16A0" w14:textId="5CFCB890" w:rsidR="00AF6339" w:rsidRPr="00AF6339" w:rsidRDefault="00AF6339" w:rsidP="00AF6339">
      <w:pPr>
        <w:pStyle w:val="SingleTxt"/>
        <w:spacing w:after="0" w:line="120" w:lineRule="exact"/>
        <w:rPr>
          <w:sz w:val="10"/>
          <w:lang w:val="fr-FR"/>
        </w:rPr>
      </w:pPr>
    </w:p>
    <w:p w14:paraId="69FD6007" w14:textId="074B8024" w:rsidR="00AF6339" w:rsidRDefault="00AF6339" w:rsidP="00E327B5">
      <w:pPr>
        <w:pStyle w:val="SingleTxt"/>
        <w:numPr>
          <w:ilvl w:val="0"/>
          <w:numId w:val="47"/>
        </w:numPr>
        <w:tabs>
          <w:tab w:val="num" w:pos="2804"/>
        </w:tabs>
        <w:spacing w:line="240" w:lineRule="exact"/>
        <w:rPr>
          <w:b/>
          <w:bCs/>
          <w:lang w:val="fr-FR"/>
        </w:rPr>
      </w:pPr>
      <w:r w:rsidRPr="00AF6339">
        <w:rPr>
          <w:b/>
          <w:bCs/>
          <w:lang w:val="fr-FR"/>
        </w:rPr>
        <w:t>Le Comité se félicite du soutien apporté par la communauté internationale aux objectifs de développement durable et préconise le respect de l</w:t>
      </w:r>
      <w:r w:rsidR="00740140">
        <w:rPr>
          <w:b/>
          <w:bCs/>
          <w:lang w:val="fr-FR"/>
        </w:rPr>
        <w:t>’</w:t>
      </w:r>
      <w:r w:rsidRPr="00AF6339">
        <w:rPr>
          <w:b/>
          <w:bCs/>
          <w:lang w:val="fr-FR"/>
        </w:rPr>
        <w:t>égalité des genres en droit (</w:t>
      </w:r>
      <w:r w:rsidRPr="00AF6339">
        <w:rPr>
          <w:b/>
          <w:bCs/>
          <w:i/>
          <w:iCs/>
          <w:lang w:val="fr-FR"/>
        </w:rPr>
        <w:t>de jure</w:t>
      </w:r>
      <w:r w:rsidRPr="00AF6339">
        <w:rPr>
          <w:b/>
          <w:bCs/>
          <w:lang w:val="fr-FR"/>
        </w:rPr>
        <w:t>) et dans les faits (</w:t>
      </w:r>
      <w:r w:rsidRPr="00AF6339">
        <w:rPr>
          <w:b/>
          <w:bCs/>
          <w:i/>
          <w:iCs/>
          <w:lang w:val="fr-FR"/>
        </w:rPr>
        <w:t>de facto</w:t>
      </w:r>
      <w:r w:rsidRPr="00AF6339">
        <w:rPr>
          <w:b/>
          <w:bCs/>
          <w:lang w:val="fr-FR"/>
        </w:rPr>
        <w:t>), conformément aux dispositions de la Convention, dans tous les aspects de la mise en œuvre du Programme de développement durable à l</w:t>
      </w:r>
      <w:r w:rsidR="00740140">
        <w:rPr>
          <w:b/>
          <w:bCs/>
          <w:lang w:val="fr-FR"/>
        </w:rPr>
        <w:t>’</w:t>
      </w:r>
      <w:r w:rsidRPr="00AF6339">
        <w:rPr>
          <w:b/>
          <w:bCs/>
          <w:lang w:val="fr-FR"/>
        </w:rPr>
        <w:t>horizon 2030. Il souligne l</w:t>
      </w:r>
      <w:r w:rsidR="00740140">
        <w:rPr>
          <w:b/>
          <w:bCs/>
          <w:lang w:val="fr-FR"/>
        </w:rPr>
        <w:t>’</w:t>
      </w:r>
      <w:r w:rsidRPr="00AF6339">
        <w:rPr>
          <w:b/>
          <w:bCs/>
          <w:lang w:val="fr-FR"/>
        </w:rPr>
        <w:t>importance de l</w:t>
      </w:r>
      <w:r w:rsidR="00740140">
        <w:rPr>
          <w:b/>
          <w:bCs/>
          <w:lang w:val="fr-FR"/>
        </w:rPr>
        <w:t>’</w:t>
      </w:r>
      <w:r w:rsidRPr="00AF6339">
        <w:rPr>
          <w:b/>
          <w:bCs/>
          <w:lang w:val="fr-FR"/>
        </w:rPr>
        <w:t>objectif 5 et de la prise en compte systématique des principes d</w:t>
      </w:r>
      <w:r w:rsidR="00740140">
        <w:rPr>
          <w:b/>
          <w:bCs/>
          <w:lang w:val="fr-FR"/>
        </w:rPr>
        <w:t>’</w:t>
      </w:r>
      <w:r w:rsidRPr="00AF6339">
        <w:rPr>
          <w:b/>
          <w:bCs/>
          <w:lang w:val="fr-FR"/>
        </w:rPr>
        <w:t>égalité et de non-discrimination dans la réalisation des 17 objectifs. Il encourage vivement l</w:t>
      </w:r>
      <w:r w:rsidR="00740140">
        <w:rPr>
          <w:b/>
          <w:bCs/>
          <w:lang w:val="fr-FR"/>
        </w:rPr>
        <w:t>’</w:t>
      </w:r>
      <w:r w:rsidRPr="00AF6339">
        <w:rPr>
          <w:b/>
          <w:bCs/>
          <w:lang w:val="fr-FR"/>
        </w:rPr>
        <w:t>État partie à reconnaître le rôle moteur des femmes dans le développement durable et à adopter des politiques et des stratégies dans ce sens.</w:t>
      </w:r>
    </w:p>
    <w:p w14:paraId="19ABB8D6" w14:textId="17ED5524" w:rsidR="00AF6339" w:rsidRPr="00AF6339" w:rsidRDefault="00AF6339" w:rsidP="00AF6339">
      <w:pPr>
        <w:pStyle w:val="SingleTxt"/>
        <w:spacing w:after="0" w:line="120" w:lineRule="exact"/>
        <w:rPr>
          <w:b/>
          <w:bCs/>
          <w:sz w:val="10"/>
          <w:lang w:val="fr-FR"/>
        </w:rPr>
      </w:pPr>
    </w:p>
    <w:p w14:paraId="06E7F37D" w14:textId="0B74B8BD" w:rsidR="00AF6339" w:rsidRPr="00AF6339" w:rsidRDefault="00AF6339" w:rsidP="00AF6339">
      <w:pPr>
        <w:pStyle w:val="SingleTxt"/>
        <w:spacing w:after="0" w:line="120" w:lineRule="exact"/>
        <w:rPr>
          <w:b/>
          <w:bCs/>
          <w:sz w:val="10"/>
          <w:lang w:val="fr-FR"/>
        </w:rPr>
      </w:pPr>
    </w:p>
    <w:p w14:paraId="3859D093" w14:textId="289C3F79" w:rsidR="00AF6339" w:rsidRDefault="00AF6339" w:rsidP="00AF63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t>D.</w:t>
      </w:r>
      <w:r w:rsidRPr="00AF6339">
        <w:rPr>
          <w:lang w:val="fr-FR"/>
        </w:rPr>
        <w:tab/>
        <w:t>Parlement</w:t>
      </w:r>
    </w:p>
    <w:p w14:paraId="0D3BD4C2" w14:textId="4B5DDB1C" w:rsidR="00AF6339" w:rsidRPr="00AF6339" w:rsidRDefault="00AF6339" w:rsidP="00AF6339">
      <w:pPr>
        <w:pStyle w:val="SingleTxt"/>
        <w:spacing w:after="0" w:line="120" w:lineRule="exact"/>
        <w:rPr>
          <w:sz w:val="10"/>
          <w:lang w:val="fr-FR"/>
        </w:rPr>
      </w:pPr>
    </w:p>
    <w:p w14:paraId="6AABA9B2" w14:textId="5699FA6A" w:rsidR="00AF6339" w:rsidRPr="00AF6339" w:rsidRDefault="00AF6339" w:rsidP="00AF6339">
      <w:pPr>
        <w:pStyle w:val="SingleTxt"/>
        <w:spacing w:after="0" w:line="120" w:lineRule="exact"/>
        <w:rPr>
          <w:sz w:val="10"/>
          <w:lang w:val="fr-FR"/>
        </w:rPr>
      </w:pPr>
    </w:p>
    <w:p w14:paraId="68A35DAF" w14:textId="397E3DA3" w:rsidR="00AF6339" w:rsidRDefault="00AF6339" w:rsidP="00E327B5">
      <w:pPr>
        <w:pStyle w:val="SingleTxt"/>
        <w:numPr>
          <w:ilvl w:val="0"/>
          <w:numId w:val="47"/>
        </w:numPr>
        <w:tabs>
          <w:tab w:val="num" w:pos="2804"/>
        </w:tabs>
        <w:spacing w:line="240" w:lineRule="exact"/>
        <w:rPr>
          <w:b/>
          <w:bCs/>
          <w:lang w:val="fr-FR"/>
        </w:rPr>
      </w:pPr>
      <w:r w:rsidRPr="00AF6339">
        <w:rPr>
          <w:b/>
          <w:bCs/>
          <w:lang w:val="fr-FR"/>
        </w:rPr>
        <w:t>Le Comité souligne le rôle essentiel du pouvoir législatif s</w:t>
      </w:r>
      <w:r w:rsidR="00740140">
        <w:rPr>
          <w:b/>
          <w:bCs/>
          <w:lang w:val="fr-FR"/>
        </w:rPr>
        <w:t>’</w:t>
      </w:r>
      <w:r w:rsidRPr="00AF6339">
        <w:rPr>
          <w:b/>
          <w:bCs/>
          <w:lang w:val="fr-FR"/>
        </w:rPr>
        <w:t xml:space="preserve">agissant de garantir la pleine mise en œuvre de la Convention (voir </w:t>
      </w:r>
      <w:hyperlink r:id="rId22" w:history="1">
        <w:r w:rsidRPr="00AF6339">
          <w:rPr>
            <w:rStyle w:val="Hyperlink"/>
            <w:b/>
            <w:bCs/>
            <w:lang w:val="fr-FR"/>
          </w:rPr>
          <w:t>A/65/38</w:t>
        </w:r>
      </w:hyperlink>
      <w:r w:rsidRPr="00AF6339">
        <w:rPr>
          <w:b/>
          <w:bCs/>
          <w:lang w:val="fr-FR"/>
        </w:rPr>
        <w:t>, deuxième partie, annexe VI). Il invite le Grand Khoural d</w:t>
      </w:r>
      <w:r w:rsidR="00740140">
        <w:rPr>
          <w:b/>
          <w:bCs/>
          <w:lang w:val="fr-FR"/>
        </w:rPr>
        <w:t>’</w:t>
      </w:r>
      <w:r w:rsidRPr="00AF6339">
        <w:rPr>
          <w:b/>
          <w:bCs/>
          <w:lang w:val="fr-FR"/>
        </w:rPr>
        <w:t>État (le Parlement de la Mongolie) à prendre, dans le cadre de son mandat, les mesures nécessaires pour mettre en œuvre les présentes observations finales avant la soumission du prochain rapport périodique, en application de la Convention.</w:t>
      </w:r>
    </w:p>
    <w:p w14:paraId="059FD78E" w14:textId="601D02F4" w:rsidR="00AF6339" w:rsidRPr="00AF6339" w:rsidRDefault="00AF6339" w:rsidP="00AF6339">
      <w:pPr>
        <w:pStyle w:val="SingleTxt"/>
        <w:spacing w:after="0" w:line="120" w:lineRule="exact"/>
        <w:rPr>
          <w:b/>
          <w:bCs/>
          <w:sz w:val="10"/>
          <w:lang w:val="fr-FR"/>
        </w:rPr>
      </w:pPr>
    </w:p>
    <w:p w14:paraId="54073676" w14:textId="33C13551" w:rsidR="00AF6339" w:rsidRPr="00AF6339" w:rsidRDefault="00AF6339" w:rsidP="00AF6339">
      <w:pPr>
        <w:pStyle w:val="SingleTxt"/>
        <w:spacing w:after="0" w:line="120" w:lineRule="exact"/>
        <w:rPr>
          <w:b/>
          <w:bCs/>
          <w:sz w:val="10"/>
          <w:lang w:val="fr-FR"/>
        </w:rPr>
      </w:pPr>
    </w:p>
    <w:p w14:paraId="5E4DEAF3" w14:textId="7BBD3AAA" w:rsidR="00AF6339" w:rsidRDefault="00AF6339" w:rsidP="00AF63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lastRenderedPageBreak/>
        <w:tab/>
        <w:t>E.</w:t>
      </w:r>
      <w:r w:rsidRPr="00AF6339">
        <w:rPr>
          <w:lang w:val="fr-FR"/>
        </w:rPr>
        <w:tab/>
        <w:t>Principaux sujets de préoccupation et recommandations</w:t>
      </w:r>
    </w:p>
    <w:p w14:paraId="25807CAD" w14:textId="4D3BC87F" w:rsidR="00AF6339" w:rsidRPr="00AF6339" w:rsidRDefault="00AF6339" w:rsidP="00AF6339">
      <w:pPr>
        <w:pStyle w:val="SingleTxt"/>
        <w:keepNext/>
        <w:keepLines/>
        <w:spacing w:after="0" w:line="120" w:lineRule="exact"/>
        <w:rPr>
          <w:sz w:val="10"/>
          <w:lang w:val="fr-FR"/>
        </w:rPr>
      </w:pPr>
    </w:p>
    <w:p w14:paraId="09878D34" w14:textId="3040A7EF" w:rsidR="00AF6339" w:rsidRPr="00AF6339" w:rsidRDefault="00AF6339" w:rsidP="00AF6339">
      <w:pPr>
        <w:pStyle w:val="SingleTxt"/>
        <w:keepNext/>
        <w:keepLines/>
        <w:spacing w:after="0" w:line="120" w:lineRule="exact"/>
        <w:rPr>
          <w:sz w:val="10"/>
          <w:lang w:val="fr-FR"/>
        </w:rPr>
      </w:pPr>
    </w:p>
    <w:p w14:paraId="6E3B4717" w14:textId="1D06EFE3" w:rsidR="00AF6339" w:rsidRDefault="00AF6339" w:rsidP="00AF6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 xml:space="preserve">Droits des femmes et égalité des genres dans le contexte de la pandémie </w:t>
      </w:r>
      <w:r>
        <w:rPr>
          <w:lang w:val="fr-FR"/>
        </w:rPr>
        <w:br/>
      </w:r>
      <w:r w:rsidRPr="00AF6339">
        <w:rPr>
          <w:lang w:val="fr-FR"/>
        </w:rPr>
        <w:t>de maladie à coronavirus (COVID-19) et des efforts de relèvement</w:t>
      </w:r>
    </w:p>
    <w:p w14:paraId="39C3B6AB" w14:textId="2443866E" w:rsidR="00AF6339" w:rsidRPr="00AF6339" w:rsidRDefault="00AF6339" w:rsidP="00AF6339">
      <w:pPr>
        <w:pStyle w:val="SingleTxt"/>
        <w:keepNext/>
        <w:keepLines/>
        <w:spacing w:after="0" w:line="120" w:lineRule="exact"/>
        <w:rPr>
          <w:sz w:val="10"/>
          <w:lang w:val="fr-FR"/>
        </w:rPr>
      </w:pPr>
    </w:p>
    <w:p w14:paraId="73231CE3" w14:textId="5D7B280F" w:rsidR="00AF6339" w:rsidRPr="00AF6339" w:rsidRDefault="00AF6339" w:rsidP="00760397">
      <w:pPr>
        <w:pStyle w:val="SingleTxt"/>
        <w:numPr>
          <w:ilvl w:val="0"/>
          <w:numId w:val="7"/>
        </w:numPr>
        <w:spacing w:line="240" w:lineRule="exact"/>
        <w:rPr>
          <w:lang w:val="fr-FR"/>
        </w:rPr>
      </w:pPr>
      <w:r w:rsidRPr="00AF6339">
        <w:rPr>
          <w:lang w:val="fr-FR"/>
        </w:rPr>
        <w:t>Le comité salue l</w:t>
      </w:r>
      <w:r w:rsidR="00740140">
        <w:rPr>
          <w:lang w:val="fr-FR"/>
        </w:rPr>
        <w:t>’</w:t>
      </w:r>
      <w:r w:rsidRPr="00AF6339">
        <w:rPr>
          <w:lang w:val="fr-FR"/>
        </w:rPr>
        <w:t>adoption de la résolution relative au second paquet de mesures consacré au relèvement de l</w:t>
      </w:r>
      <w:r w:rsidR="00740140">
        <w:rPr>
          <w:lang w:val="fr-FR"/>
        </w:rPr>
        <w:t>’</w:t>
      </w:r>
      <w:r w:rsidRPr="00AF6339">
        <w:rPr>
          <w:lang w:val="fr-FR"/>
        </w:rPr>
        <w:t>économie et à l</w:t>
      </w:r>
      <w:r w:rsidR="00740140">
        <w:rPr>
          <w:lang w:val="fr-FR"/>
        </w:rPr>
        <w:t>’</w:t>
      </w:r>
      <w:r w:rsidRPr="00AF6339">
        <w:rPr>
          <w:lang w:val="fr-FR"/>
        </w:rPr>
        <w:t>amélioration de la protection sociale des groupes vulnérables de la société, qui a entraîné une hausse des allocations familiales, des allocations destinées aux personnes nécessitant un soutien financier, des aides à la vaccination, des allocations mensuelles destinées à ceux qui s</w:t>
      </w:r>
      <w:r w:rsidR="00740140">
        <w:rPr>
          <w:lang w:val="fr-FR"/>
        </w:rPr>
        <w:t>’</w:t>
      </w:r>
      <w:r w:rsidRPr="00AF6339">
        <w:rPr>
          <w:lang w:val="fr-FR"/>
        </w:rPr>
        <w:t>occupent des personnes âgées ou handicapées, et des allocations destinées aux personnes accompagnant les enfants handicapés. Cependant, il prend également note du fait qu</w:t>
      </w:r>
      <w:r w:rsidR="00740140">
        <w:rPr>
          <w:lang w:val="fr-FR"/>
        </w:rPr>
        <w:t>’</w:t>
      </w:r>
      <w:r w:rsidRPr="00AF6339">
        <w:rPr>
          <w:lang w:val="fr-FR"/>
        </w:rPr>
        <w:t>aucune mesure particulière n</w:t>
      </w:r>
      <w:r w:rsidR="00740140">
        <w:rPr>
          <w:lang w:val="fr-FR"/>
        </w:rPr>
        <w:t>’</w:t>
      </w:r>
      <w:r w:rsidRPr="00AF6339">
        <w:rPr>
          <w:lang w:val="fr-FR"/>
        </w:rPr>
        <w:t>a été adoptée pour atténuer les effets de la pandémie sur l</w:t>
      </w:r>
      <w:r w:rsidR="00740140">
        <w:rPr>
          <w:lang w:val="fr-FR"/>
        </w:rPr>
        <w:t>’</w:t>
      </w:r>
      <w:r w:rsidRPr="00AF6339">
        <w:rPr>
          <w:lang w:val="fr-FR"/>
        </w:rPr>
        <w:t>exercice par les femmes de leurs droits.</w:t>
      </w:r>
    </w:p>
    <w:p w14:paraId="25182116" w14:textId="30975FF7" w:rsidR="00AF6339" w:rsidRPr="00AF6339" w:rsidRDefault="00AF6339" w:rsidP="00760397">
      <w:pPr>
        <w:pStyle w:val="SingleTxt"/>
        <w:numPr>
          <w:ilvl w:val="0"/>
          <w:numId w:val="7"/>
        </w:numPr>
        <w:spacing w:line="240" w:lineRule="exact"/>
        <w:rPr>
          <w:b/>
          <w:bCs/>
          <w:lang w:val="fr-FR"/>
        </w:rPr>
      </w:pPr>
      <w:r w:rsidRPr="00AF6339">
        <w:rPr>
          <w:b/>
          <w:bCs/>
          <w:lang w:val="fr-FR"/>
        </w:rPr>
        <w:t>Conformément à sa note d</w:t>
      </w:r>
      <w:r w:rsidR="00740140">
        <w:rPr>
          <w:b/>
          <w:bCs/>
          <w:lang w:val="fr-FR"/>
        </w:rPr>
        <w:t>’</w:t>
      </w:r>
      <w:r w:rsidRPr="00AF6339">
        <w:rPr>
          <w:b/>
          <w:bCs/>
          <w:lang w:val="fr-FR"/>
        </w:rPr>
        <w:t>orientation sur les obligations des États parties à la Convention dans le contexte de la pandémie de COVID-19, publiée le 22 avril 2020, le Comité recommande à l</w:t>
      </w:r>
      <w:r w:rsidR="00740140">
        <w:rPr>
          <w:b/>
          <w:bCs/>
          <w:lang w:val="fr-FR"/>
        </w:rPr>
        <w:t>’</w:t>
      </w:r>
      <w:r w:rsidRPr="00AF6339">
        <w:rPr>
          <w:b/>
          <w:bCs/>
          <w:lang w:val="fr-FR"/>
        </w:rPr>
        <w:t>État partie</w:t>
      </w:r>
      <w:r w:rsidR="00740140">
        <w:rPr>
          <w:b/>
          <w:bCs/>
          <w:lang w:val="fr-FR"/>
        </w:rPr>
        <w:t> :</w:t>
      </w:r>
    </w:p>
    <w:p w14:paraId="29B9FCC5" w14:textId="35DEF980" w:rsidR="00AF6339" w:rsidRPr="00AF6339" w:rsidRDefault="00AF6339" w:rsidP="00AF6339">
      <w:pPr>
        <w:pStyle w:val="SingleTxt"/>
        <w:rPr>
          <w:lang w:val="fr-FR"/>
        </w:rPr>
      </w:pPr>
      <w:r w:rsidRPr="00AF6339">
        <w:rPr>
          <w:lang w:val="fr-FR"/>
        </w:rPr>
        <w:tab/>
        <w:t>a)</w:t>
      </w:r>
      <w:r w:rsidRPr="00AF6339">
        <w:rPr>
          <w:lang w:val="fr-FR"/>
        </w:rPr>
        <w:tab/>
      </w:r>
      <w:r w:rsidRPr="00AF6339">
        <w:rPr>
          <w:b/>
          <w:bCs/>
          <w:lang w:val="fr-FR"/>
        </w:rPr>
        <w:t>de mettre en œuvre des mesures institutionnelles, législatives et politiques pour combler les inégalités de longue date subsistant entre les femmes et les hommes et pour donner un nouvel élan à la réalisation de l</w:t>
      </w:r>
      <w:r w:rsidR="00740140">
        <w:rPr>
          <w:b/>
          <w:bCs/>
          <w:lang w:val="fr-FR"/>
        </w:rPr>
        <w:t>’</w:t>
      </w:r>
      <w:r w:rsidRPr="00AF6339">
        <w:rPr>
          <w:b/>
          <w:bCs/>
          <w:lang w:val="fr-FR"/>
        </w:rPr>
        <w:t>égalité des genres en plaçant les femmes au centre des stratégies de relèvement de la COVID-19, ce qui constitue une priorité stratégique pour un changement durable, conformément aux objectifs de développement durable</w:t>
      </w:r>
      <w:r w:rsidR="00740140">
        <w:rPr>
          <w:b/>
          <w:bCs/>
          <w:lang w:val="fr-FR"/>
        </w:rPr>
        <w:t> ;</w:t>
      </w:r>
    </w:p>
    <w:p w14:paraId="5F22D8BF" w14:textId="64388DCA" w:rsidR="00AF6339" w:rsidRPr="00AF6339" w:rsidRDefault="00AF6339" w:rsidP="00AF6339">
      <w:pPr>
        <w:pStyle w:val="SingleTxt"/>
        <w:rPr>
          <w:lang w:val="fr-FR"/>
        </w:rPr>
      </w:pPr>
      <w:r w:rsidRPr="00AF6339">
        <w:rPr>
          <w:lang w:val="fr-FR"/>
        </w:rPr>
        <w:tab/>
        <w:t>b)</w:t>
      </w:r>
      <w:r w:rsidRPr="00AF6339">
        <w:rPr>
          <w:lang w:val="fr-FR"/>
        </w:rPr>
        <w:tab/>
      </w:r>
      <w:r w:rsidRPr="00AF6339">
        <w:rPr>
          <w:b/>
          <w:bCs/>
          <w:lang w:val="fr-FR"/>
        </w:rPr>
        <w:t>de veiller à ce que, dans le cadre des plans de relèvement après la crise, les femmes et les filles ne soient pas reléguées à des rôles stéréotypés liés au genre</w:t>
      </w:r>
      <w:r w:rsidR="00740140">
        <w:rPr>
          <w:b/>
          <w:bCs/>
          <w:lang w:val="fr-FR"/>
        </w:rPr>
        <w:t> ;</w:t>
      </w:r>
    </w:p>
    <w:p w14:paraId="56E206A7" w14:textId="068E1537" w:rsidR="00AF6339" w:rsidRPr="00AF6339" w:rsidRDefault="00AF6339" w:rsidP="00AF6339">
      <w:pPr>
        <w:pStyle w:val="SingleTxt"/>
        <w:rPr>
          <w:lang w:val="fr-FR"/>
        </w:rPr>
      </w:pPr>
      <w:r w:rsidRPr="00AF6339">
        <w:rPr>
          <w:lang w:val="fr-FR"/>
        </w:rPr>
        <w:tab/>
        <w:t>c)</w:t>
      </w:r>
      <w:r w:rsidRPr="00AF6339">
        <w:rPr>
          <w:lang w:val="fr-FR"/>
        </w:rPr>
        <w:tab/>
      </w:r>
      <w:r w:rsidRPr="00AF6339">
        <w:rPr>
          <w:b/>
          <w:bCs/>
          <w:lang w:val="fr-FR"/>
        </w:rPr>
        <w:t>de garantir l</w:t>
      </w:r>
      <w:r w:rsidR="00740140">
        <w:rPr>
          <w:b/>
          <w:bCs/>
          <w:lang w:val="fr-FR"/>
        </w:rPr>
        <w:t>’</w:t>
      </w:r>
      <w:r w:rsidRPr="00AF6339">
        <w:rPr>
          <w:b/>
          <w:bCs/>
          <w:lang w:val="fr-FR"/>
        </w:rPr>
        <w:t>égalité de participation des femmes et des filles, notamment des groupes de femmes défavorisés et marginalisés, à l</w:t>
      </w:r>
      <w:r w:rsidR="00740140">
        <w:rPr>
          <w:b/>
          <w:bCs/>
          <w:lang w:val="fr-FR"/>
        </w:rPr>
        <w:t>’</w:t>
      </w:r>
      <w:r w:rsidRPr="00AF6339">
        <w:rPr>
          <w:b/>
          <w:bCs/>
          <w:lang w:val="fr-FR"/>
        </w:rPr>
        <w:t>élaboration et à l</w:t>
      </w:r>
      <w:r w:rsidR="00740140">
        <w:rPr>
          <w:b/>
          <w:bCs/>
          <w:lang w:val="fr-FR"/>
        </w:rPr>
        <w:t>’</w:t>
      </w:r>
      <w:r w:rsidRPr="00AF6339">
        <w:rPr>
          <w:b/>
          <w:bCs/>
          <w:lang w:val="fr-FR"/>
        </w:rPr>
        <w:t>exécution des programmes de relèvement dans le contexte de la COVID-19</w:t>
      </w:r>
      <w:r w:rsidR="00740140">
        <w:rPr>
          <w:b/>
          <w:bCs/>
          <w:lang w:val="fr-FR"/>
        </w:rPr>
        <w:t> ;</w:t>
      </w:r>
    </w:p>
    <w:p w14:paraId="38262AC1" w14:textId="637D3EAD" w:rsidR="00AF6339" w:rsidRDefault="00AF6339" w:rsidP="00AF6339">
      <w:pPr>
        <w:pStyle w:val="SingleTxt"/>
        <w:rPr>
          <w:b/>
          <w:bCs/>
          <w:lang w:val="fr-FR"/>
        </w:rPr>
      </w:pPr>
      <w:r w:rsidRPr="00AF6339">
        <w:rPr>
          <w:lang w:val="fr-FR"/>
        </w:rPr>
        <w:tab/>
        <w:t>d)</w:t>
      </w:r>
      <w:r w:rsidRPr="00AF6339">
        <w:rPr>
          <w:lang w:val="fr-FR"/>
        </w:rPr>
        <w:tab/>
      </w:r>
      <w:r w:rsidRPr="00AF6339">
        <w:rPr>
          <w:b/>
          <w:bCs/>
          <w:lang w:val="fr-FR"/>
        </w:rPr>
        <w:t>de faire en sorte que les femmes et les filles bénéficient de manière équitable des mesures de relance destinées à atténuer les conséquences socioéconomiques de la pandémie, en particulier des aides financières pour les tâches domestiques non rémunérées.</w:t>
      </w:r>
    </w:p>
    <w:p w14:paraId="56DA6BDB" w14:textId="146897D0" w:rsidR="00AF6339" w:rsidRPr="00AF6339" w:rsidRDefault="00AF6339" w:rsidP="00AF6339">
      <w:pPr>
        <w:pStyle w:val="SingleTxt"/>
        <w:spacing w:after="0" w:line="120" w:lineRule="exact"/>
        <w:rPr>
          <w:b/>
          <w:bCs/>
          <w:sz w:val="10"/>
          <w:lang w:val="fr-FR"/>
        </w:rPr>
      </w:pPr>
    </w:p>
    <w:p w14:paraId="2B431225" w14:textId="656C8F63" w:rsidR="00AF6339" w:rsidRDefault="00AF6339" w:rsidP="00AF6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Application et diffusion de la Convention</w:t>
      </w:r>
    </w:p>
    <w:p w14:paraId="10C5B3E4" w14:textId="0B92ED06" w:rsidR="00AF6339" w:rsidRPr="00AF6339" w:rsidRDefault="00AF6339" w:rsidP="00AF6339">
      <w:pPr>
        <w:pStyle w:val="SingleTxt"/>
        <w:spacing w:after="0" w:line="120" w:lineRule="exact"/>
        <w:rPr>
          <w:sz w:val="10"/>
          <w:lang w:val="fr-FR"/>
        </w:rPr>
      </w:pPr>
    </w:p>
    <w:p w14:paraId="471BDBB9" w14:textId="4923A958" w:rsidR="00AF6339" w:rsidRPr="00AF6339" w:rsidRDefault="00AF6339" w:rsidP="00760397">
      <w:pPr>
        <w:pStyle w:val="SingleTxt"/>
        <w:numPr>
          <w:ilvl w:val="0"/>
          <w:numId w:val="8"/>
        </w:numPr>
        <w:spacing w:line="240" w:lineRule="exact"/>
        <w:rPr>
          <w:lang w:val="fr-FR"/>
        </w:rPr>
      </w:pPr>
      <w:r w:rsidRPr="00AF6339">
        <w:rPr>
          <w:lang w:val="fr-FR"/>
        </w:rPr>
        <w:t>Le comité note que la Constitution de l</w:t>
      </w:r>
      <w:r w:rsidR="00740140">
        <w:rPr>
          <w:lang w:val="fr-FR"/>
        </w:rPr>
        <w:t>’</w:t>
      </w:r>
      <w:r w:rsidRPr="00AF6339">
        <w:rPr>
          <w:lang w:val="fr-FR"/>
        </w:rPr>
        <w:t>État partie affirme qu</w:t>
      </w:r>
      <w:r w:rsidR="00740140">
        <w:rPr>
          <w:lang w:val="fr-FR"/>
        </w:rPr>
        <w:t>’</w:t>
      </w:r>
      <w:r w:rsidRPr="00AF6339">
        <w:rPr>
          <w:lang w:val="fr-FR"/>
        </w:rPr>
        <w:t>après ratification, les conventions et les traités internationaux devraient acquérir la même force que le droit national. Toutefois, il relève qu</w:t>
      </w:r>
      <w:r w:rsidR="00740140">
        <w:rPr>
          <w:lang w:val="fr-FR"/>
        </w:rPr>
        <w:t>’</w:t>
      </w:r>
      <w:r w:rsidRPr="00AF6339">
        <w:rPr>
          <w:lang w:val="fr-FR"/>
        </w:rPr>
        <w:t>aucune affaire portée devant les tribunaux ne réfère aux dispositions de la Convention. Il constate aussi avec préoccupation que les femmes, en particulier les femmes rurales et les gardiennes de troupeaux, les femmes lesbiennes, bisexuelles, transgenres et intersexes et les femmes handicapées, n</w:t>
      </w:r>
      <w:r w:rsidR="00740140">
        <w:rPr>
          <w:lang w:val="fr-FR"/>
        </w:rPr>
        <w:t>’</w:t>
      </w:r>
      <w:r w:rsidRPr="00AF6339">
        <w:rPr>
          <w:lang w:val="fr-FR"/>
        </w:rPr>
        <w:t>ont souvent aucune connaissance des droits que leur confère la Convention et des recours dont elles disposent.</w:t>
      </w:r>
    </w:p>
    <w:p w14:paraId="12C93096" w14:textId="2C555ADA" w:rsidR="00AF6339" w:rsidRPr="00AF6339" w:rsidRDefault="00AF6339" w:rsidP="00760397">
      <w:pPr>
        <w:pStyle w:val="SingleTxt"/>
        <w:numPr>
          <w:ilvl w:val="0"/>
          <w:numId w:val="8"/>
        </w:numPr>
        <w:spacing w:line="240" w:lineRule="exact"/>
        <w:rPr>
          <w:b/>
          <w:bCs/>
          <w:lang w:val="fr-FR"/>
        </w:rPr>
      </w:pPr>
      <w:r w:rsidRPr="00AF6339">
        <w:rPr>
          <w:b/>
          <w:bCs/>
          <w:lang w:val="fr-FR"/>
        </w:rPr>
        <w:t>Rappelant sa recommandation précédente (</w:t>
      </w:r>
      <w:hyperlink r:id="rId23" w:history="1">
        <w:r w:rsidRPr="00AF6339">
          <w:rPr>
            <w:rStyle w:val="Hyperlink"/>
            <w:b/>
            <w:bCs/>
            <w:lang w:val="fr-FR"/>
          </w:rPr>
          <w:t>CEDAW</w:t>
        </w:r>
        <w:r w:rsidRPr="00AF6339">
          <w:rPr>
            <w:rStyle w:val="Hyperlink"/>
            <w:b/>
            <w:bCs/>
            <w:lang w:val="fr-FR"/>
          </w:rPr>
          <w:t>/</w:t>
        </w:r>
        <w:r w:rsidRPr="00AF6339">
          <w:rPr>
            <w:rStyle w:val="Hyperlink"/>
            <w:b/>
            <w:bCs/>
            <w:lang w:val="fr-FR"/>
          </w:rPr>
          <w:t>C/MNG/CO/8-9</w:t>
        </w:r>
      </w:hyperlink>
      <w:r w:rsidRPr="00AF6339">
        <w:rPr>
          <w:b/>
          <w:bCs/>
          <w:lang w:val="fr-FR"/>
        </w:rPr>
        <w:t>, par. 9), le Comité recommande à l</w:t>
      </w:r>
      <w:r w:rsidR="00740140">
        <w:rPr>
          <w:b/>
          <w:bCs/>
          <w:lang w:val="fr-FR"/>
        </w:rPr>
        <w:t>’</w:t>
      </w:r>
      <w:r w:rsidRPr="00AF6339">
        <w:rPr>
          <w:b/>
          <w:bCs/>
          <w:lang w:val="fr-FR"/>
        </w:rPr>
        <w:t>État partie</w:t>
      </w:r>
      <w:r w:rsidR="00740140">
        <w:rPr>
          <w:b/>
          <w:bCs/>
          <w:lang w:val="fr-FR"/>
        </w:rPr>
        <w:t> :</w:t>
      </w:r>
    </w:p>
    <w:p w14:paraId="4B599EF1" w14:textId="4421FD95" w:rsidR="00AF6339" w:rsidRPr="00AF6339" w:rsidRDefault="00AF6339" w:rsidP="00AF6339">
      <w:pPr>
        <w:pStyle w:val="SingleTxt"/>
        <w:rPr>
          <w:lang w:val="fr-FR"/>
        </w:rPr>
      </w:pPr>
      <w:r w:rsidRPr="00AF6339">
        <w:rPr>
          <w:lang w:val="fr-FR"/>
        </w:rPr>
        <w:tab/>
        <w:t>a)</w:t>
      </w:r>
      <w:r w:rsidRPr="00AF6339">
        <w:rPr>
          <w:lang w:val="fr-FR"/>
        </w:rPr>
        <w:tab/>
      </w:r>
      <w:r w:rsidRPr="00AF6339">
        <w:rPr>
          <w:b/>
          <w:bCs/>
          <w:lang w:val="fr-FR"/>
        </w:rPr>
        <w:t>de renforcer systématiquement les compétences des fonctionnaires, des juges, des procureurs, des policiers et des autres agents responsables de l</w:t>
      </w:r>
      <w:r w:rsidR="00740140">
        <w:rPr>
          <w:b/>
          <w:bCs/>
          <w:lang w:val="fr-FR"/>
        </w:rPr>
        <w:t>’</w:t>
      </w:r>
      <w:r w:rsidRPr="00AF6339">
        <w:rPr>
          <w:b/>
          <w:bCs/>
          <w:lang w:val="fr-FR"/>
        </w:rPr>
        <w:t>application des lois, ainsi que des avocats, et de leur dispenser une formation sur la Convention</w:t>
      </w:r>
      <w:r w:rsidR="00740140">
        <w:rPr>
          <w:b/>
          <w:bCs/>
          <w:lang w:val="fr-FR"/>
        </w:rPr>
        <w:t> ;</w:t>
      </w:r>
    </w:p>
    <w:p w14:paraId="48336316" w14:textId="154CCB03" w:rsidR="00AF6339" w:rsidRDefault="00AF6339" w:rsidP="00AF6339">
      <w:pPr>
        <w:pStyle w:val="SingleTxt"/>
        <w:rPr>
          <w:b/>
          <w:bCs/>
          <w:lang w:val="fr-FR"/>
        </w:rPr>
      </w:pPr>
      <w:r w:rsidRPr="00AF6339">
        <w:rPr>
          <w:lang w:val="fr-FR"/>
        </w:rPr>
        <w:lastRenderedPageBreak/>
        <w:tab/>
        <w:t>b)</w:t>
      </w:r>
      <w:r w:rsidRPr="00AF6339">
        <w:rPr>
          <w:lang w:val="fr-FR"/>
        </w:rPr>
        <w:tab/>
      </w:r>
      <w:r w:rsidRPr="00AF6339">
        <w:rPr>
          <w:b/>
          <w:bCs/>
          <w:lang w:val="fr-FR"/>
        </w:rPr>
        <w:t>de sensibiliser les femmes aux droits que leur confère la Convention et aux recours judiciaires dont elles disposent pour dénoncer la violation de ces droits, et de veiller à ce que des informations sur la Convention et sur les recommandations générales du Comité soient accessibles à toutes les femmes, y compris à celles  appartenant à des groupes défavorisés et marginalisés, telles les femmes rurales et les gardiennes de troupeaux, les femmes lesbiennes, bisexuelles, transgenres et intersexes et les femmes handicapées.</w:t>
      </w:r>
    </w:p>
    <w:p w14:paraId="3E14F573" w14:textId="451921EE" w:rsidR="00AF6339" w:rsidRPr="00AF6339" w:rsidRDefault="00AF6339" w:rsidP="00AF6339">
      <w:pPr>
        <w:pStyle w:val="SingleTxt"/>
        <w:spacing w:after="0" w:line="120" w:lineRule="exact"/>
        <w:rPr>
          <w:b/>
          <w:bCs/>
          <w:sz w:val="10"/>
          <w:lang w:val="fr-FR"/>
        </w:rPr>
      </w:pPr>
    </w:p>
    <w:p w14:paraId="766D0D2B" w14:textId="62079562" w:rsidR="00AF6339" w:rsidRDefault="00AF6339" w:rsidP="00AF63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Cadre juridique de l</w:t>
      </w:r>
      <w:r w:rsidR="00740140">
        <w:rPr>
          <w:lang w:val="fr-FR"/>
        </w:rPr>
        <w:t>’</w:t>
      </w:r>
      <w:r w:rsidRPr="00AF6339">
        <w:rPr>
          <w:lang w:val="fr-FR"/>
        </w:rPr>
        <w:t>interdiction de la discrimination à l</w:t>
      </w:r>
      <w:r w:rsidR="00740140">
        <w:rPr>
          <w:lang w:val="fr-FR"/>
        </w:rPr>
        <w:t>’</w:t>
      </w:r>
      <w:r w:rsidRPr="00AF6339">
        <w:rPr>
          <w:lang w:val="fr-FR"/>
        </w:rPr>
        <w:t>égard des femmes</w:t>
      </w:r>
    </w:p>
    <w:p w14:paraId="47936B4E" w14:textId="7D886068" w:rsidR="00AF6339" w:rsidRPr="00AF6339" w:rsidRDefault="00AF6339" w:rsidP="00AF6339">
      <w:pPr>
        <w:pStyle w:val="SingleTxt"/>
        <w:spacing w:after="0" w:line="120" w:lineRule="exact"/>
        <w:rPr>
          <w:sz w:val="10"/>
          <w:lang w:val="fr-FR"/>
        </w:rPr>
      </w:pPr>
    </w:p>
    <w:p w14:paraId="509F2414" w14:textId="448571A6" w:rsidR="00AF6339" w:rsidRPr="00AF6339" w:rsidRDefault="00AF6339" w:rsidP="00760397">
      <w:pPr>
        <w:pStyle w:val="SingleTxt"/>
        <w:numPr>
          <w:ilvl w:val="0"/>
          <w:numId w:val="9"/>
        </w:numPr>
        <w:spacing w:line="240" w:lineRule="exact"/>
        <w:rPr>
          <w:lang w:val="fr-FR"/>
        </w:rPr>
      </w:pPr>
      <w:r w:rsidRPr="00AF6339">
        <w:rPr>
          <w:lang w:val="fr-FR"/>
        </w:rPr>
        <w:t>Le Comité note que les articles 14 et 16 de la Constitution de l</w:t>
      </w:r>
      <w:r w:rsidR="00740140">
        <w:rPr>
          <w:lang w:val="fr-FR"/>
        </w:rPr>
        <w:t>’</w:t>
      </w:r>
      <w:r w:rsidRPr="00AF6339">
        <w:rPr>
          <w:lang w:val="fr-FR"/>
        </w:rPr>
        <w:t>État partie interdisent la discrimination à l</w:t>
      </w:r>
      <w:r w:rsidR="00740140">
        <w:rPr>
          <w:lang w:val="fr-FR"/>
        </w:rPr>
        <w:t>’</w:t>
      </w:r>
      <w:r w:rsidRPr="00AF6339">
        <w:rPr>
          <w:lang w:val="fr-FR"/>
        </w:rPr>
        <w:t>égard des femmes, et que le chapitre 14 du Code pénal (révisé en 2015), portant sur les crimes contre les droits et les libertés personnels et politiques, qualifie la discrimination de crime (article 14.1). Toutefois, il constate qu</w:t>
      </w:r>
      <w:r w:rsidR="00740140">
        <w:rPr>
          <w:lang w:val="fr-FR"/>
        </w:rPr>
        <w:t>’</w:t>
      </w:r>
      <w:r w:rsidRPr="00AF6339">
        <w:rPr>
          <w:lang w:val="fr-FR"/>
        </w:rPr>
        <w:t>aucune affaire de discrimination à l</w:t>
      </w:r>
      <w:r w:rsidR="00740140">
        <w:rPr>
          <w:lang w:val="fr-FR"/>
        </w:rPr>
        <w:t>’</w:t>
      </w:r>
      <w:r w:rsidRPr="00AF6339">
        <w:rPr>
          <w:lang w:val="fr-FR"/>
        </w:rPr>
        <w:t>égard des femmes et des filles n</w:t>
      </w:r>
      <w:r w:rsidR="00740140">
        <w:rPr>
          <w:lang w:val="fr-FR"/>
        </w:rPr>
        <w:t>’</w:t>
      </w:r>
      <w:r w:rsidRPr="00AF6339">
        <w:rPr>
          <w:lang w:val="fr-FR"/>
        </w:rPr>
        <w:t>a été jugée pénalement au cours des cinq dernières années, ce qui peut s</w:t>
      </w:r>
      <w:r w:rsidR="00740140">
        <w:rPr>
          <w:lang w:val="fr-FR"/>
        </w:rPr>
        <w:t>’</w:t>
      </w:r>
      <w:r w:rsidRPr="00AF6339">
        <w:rPr>
          <w:lang w:val="fr-FR"/>
        </w:rPr>
        <w:t>expliquer par l</w:t>
      </w:r>
      <w:r w:rsidR="00740140">
        <w:rPr>
          <w:lang w:val="fr-FR"/>
        </w:rPr>
        <w:t>’</w:t>
      </w:r>
      <w:r w:rsidRPr="00AF6339">
        <w:rPr>
          <w:lang w:val="fr-FR"/>
        </w:rPr>
        <w:t>étroitesse excessive de la définition de la discrimination à l</w:t>
      </w:r>
      <w:r w:rsidR="00740140">
        <w:rPr>
          <w:lang w:val="fr-FR"/>
        </w:rPr>
        <w:t>’</w:t>
      </w:r>
      <w:r w:rsidRPr="00AF6339">
        <w:rPr>
          <w:lang w:val="fr-FR"/>
        </w:rPr>
        <w:t>égard des femmes aussi bien que par la lourde charge de la preuve incombant aux plaignantes.</w:t>
      </w:r>
    </w:p>
    <w:p w14:paraId="0437FE0B" w14:textId="325B6202" w:rsidR="00AF6339" w:rsidRPr="00AF6339" w:rsidRDefault="00AF6339" w:rsidP="00760397">
      <w:pPr>
        <w:pStyle w:val="SingleTxt"/>
        <w:numPr>
          <w:ilvl w:val="0"/>
          <w:numId w:val="9"/>
        </w:numPr>
        <w:spacing w:line="240" w:lineRule="exact"/>
        <w:rPr>
          <w:b/>
          <w:bCs/>
          <w:lang w:val="fr-FR"/>
        </w:rPr>
      </w:pPr>
      <w:r w:rsidRPr="00AF6339">
        <w:rPr>
          <w:b/>
          <w:bCs/>
          <w:lang w:val="fr-FR"/>
        </w:rPr>
        <w:t>Rappelant les correspondances entre les articles premier et 2 de la Convention et la cible 5.1 associée aux objectifs de développement durable visant à mettre fin, partout dans le monde, à toutes les formes de discrimination à l</w:t>
      </w:r>
      <w:r w:rsidR="00740140">
        <w:rPr>
          <w:b/>
          <w:bCs/>
          <w:lang w:val="fr-FR"/>
        </w:rPr>
        <w:t>’</w:t>
      </w:r>
      <w:r w:rsidRPr="00AF6339">
        <w:rPr>
          <w:b/>
          <w:bCs/>
          <w:lang w:val="fr-FR"/>
        </w:rPr>
        <w:t>égard des femmes et des filles, le Comité appelle l</w:t>
      </w:r>
      <w:r w:rsidR="00740140">
        <w:rPr>
          <w:b/>
          <w:bCs/>
          <w:lang w:val="fr-FR"/>
        </w:rPr>
        <w:t>’</w:t>
      </w:r>
      <w:r w:rsidRPr="00AF6339">
        <w:rPr>
          <w:b/>
          <w:bCs/>
          <w:lang w:val="fr-FR"/>
        </w:rPr>
        <w:t>État partie</w:t>
      </w:r>
      <w:r w:rsidR="00740140">
        <w:rPr>
          <w:b/>
          <w:bCs/>
          <w:lang w:val="fr-FR"/>
        </w:rPr>
        <w:t> :</w:t>
      </w:r>
    </w:p>
    <w:p w14:paraId="73199940" w14:textId="064E7A3B" w:rsidR="00AF6339" w:rsidRPr="00AF6339" w:rsidRDefault="00AF6339" w:rsidP="00AF6339">
      <w:pPr>
        <w:pStyle w:val="SingleTxt"/>
        <w:rPr>
          <w:lang w:val="fr-FR"/>
        </w:rPr>
      </w:pPr>
      <w:r w:rsidRPr="00AF6339">
        <w:rPr>
          <w:lang w:val="fr-FR"/>
        </w:rPr>
        <w:tab/>
        <w:t>a)</w:t>
      </w:r>
      <w:r w:rsidRPr="00AF6339">
        <w:rPr>
          <w:lang w:val="fr-FR"/>
        </w:rPr>
        <w:tab/>
      </w:r>
      <w:r w:rsidRPr="00AF6339">
        <w:rPr>
          <w:b/>
          <w:bCs/>
          <w:lang w:val="fr-FR"/>
        </w:rPr>
        <w:t>à adopter sans délai une législation complète contre la discrimination, qui interdise la discrimination à l</w:t>
      </w:r>
      <w:r w:rsidR="00740140">
        <w:rPr>
          <w:b/>
          <w:bCs/>
          <w:lang w:val="fr-FR"/>
        </w:rPr>
        <w:t>’</w:t>
      </w:r>
      <w:r w:rsidRPr="00AF6339">
        <w:rPr>
          <w:b/>
          <w:bCs/>
          <w:lang w:val="fr-FR"/>
        </w:rPr>
        <w:t>égard des femmes et notamment la discrimination directe et indirecte dans les sphères publique et privée, ainsi que les formes de discrimination croisées telles que celles fondées sur l</w:t>
      </w:r>
      <w:r w:rsidR="00740140">
        <w:rPr>
          <w:b/>
          <w:bCs/>
          <w:lang w:val="fr-FR"/>
        </w:rPr>
        <w:t>’</w:t>
      </w:r>
      <w:r w:rsidRPr="00AF6339">
        <w:rPr>
          <w:b/>
          <w:bCs/>
          <w:lang w:val="fr-FR"/>
        </w:rPr>
        <w:t>orientation sexuelle et sur l</w:t>
      </w:r>
      <w:r w:rsidR="00740140">
        <w:rPr>
          <w:b/>
          <w:bCs/>
          <w:lang w:val="fr-FR"/>
        </w:rPr>
        <w:t>’</w:t>
      </w:r>
      <w:r w:rsidRPr="00AF6339">
        <w:rPr>
          <w:b/>
          <w:bCs/>
          <w:lang w:val="fr-FR"/>
        </w:rPr>
        <w:t>identité de genre</w:t>
      </w:r>
      <w:r w:rsidR="00740140">
        <w:rPr>
          <w:b/>
          <w:bCs/>
          <w:lang w:val="fr-FR"/>
        </w:rPr>
        <w:t> ;</w:t>
      </w:r>
    </w:p>
    <w:p w14:paraId="3819215D" w14:textId="0DE6CB8E" w:rsidR="00AF6339" w:rsidRPr="00AF6339" w:rsidRDefault="00AF6339" w:rsidP="00AF6339">
      <w:pPr>
        <w:pStyle w:val="SingleTxt"/>
        <w:rPr>
          <w:lang w:val="fr-FR"/>
        </w:rPr>
      </w:pPr>
      <w:r w:rsidRPr="00AF6339">
        <w:rPr>
          <w:lang w:val="fr-FR"/>
        </w:rPr>
        <w:tab/>
        <w:t>b)</w:t>
      </w:r>
      <w:r w:rsidRPr="00AF6339">
        <w:rPr>
          <w:lang w:val="fr-FR"/>
        </w:rPr>
        <w:tab/>
      </w:r>
      <w:r w:rsidRPr="00AF6339">
        <w:rPr>
          <w:b/>
          <w:bCs/>
          <w:lang w:val="fr-FR"/>
        </w:rPr>
        <w:t>à garantir l</w:t>
      </w:r>
      <w:r w:rsidR="00740140">
        <w:rPr>
          <w:b/>
          <w:bCs/>
          <w:lang w:val="fr-FR"/>
        </w:rPr>
        <w:t>’</w:t>
      </w:r>
      <w:r w:rsidRPr="00AF6339">
        <w:rPr>
          <w:b/>
          <w:bCs/>
          <w:lang w:val="fr-FR"/>
        </w:rPr>
        <w:t>octroi de crédits budgétaires suffisants à la mise en œuvre, au suivi régulier et à l</w:t>
      </w:r>
      <w:r w:rsidR="00740140">
        <w:rPr>
          <w:b/>
          <w:bCs/>
          <w:lang w:val="fr-FR"/>
        </w:rPr>
        <w:t>’</w:t>
      </w:r>
      <w:r w:rsidRPr="00AF6339">
        <w:rPr>
          <w:b/>
          <w:bCs/>
          <w:lang w:val="fr-FR"/>
        </w:rPr>
        <w:t>évaluation de l</w:t>
      </w:r>
      <w:r w:rsidR="00740140">
        <w:rPr>
          <w:b/>
          <w:bCs/>
          <w:lang w:val="fr-FR"/>
        </w:rPr>
        <w:t>’</w:t>
      </w:r>
      <w:r w:rsidRPr="00AF6339">
        <w:rPr>
          <w:b/>
          <w:bCs/>
          <w:lang w:val="fr-FR"/>
        </w:rPr>
        <w:t>impact de cette législation</w:t>
      </w:r>
      <w:r w:rsidR="00740140">
        <w:rPr>
          <w:b/>
          <w:bCs/>
          <w:lang w:val="fr-FR"/>
        </w:rPr>
        <w:t> ;</w:t>
      </w:r>
    </w:p>
    <w:p w14:paraId="3721C307" w14:textId="42DDBF15" w:rsidR="00AF6339" w:rsidRPr="00AF6339" w:rsidRDefault="00AF6339" w:rsidP="00AF6339">
      <w:pPr>
        <w:pStyle w:val="SingleTxt"/>
        <w:rPr>
          <w:lang w:val="fr-FR"/>
        </w:rPr>
      </w:pPr>
      <w:r w:rsidRPr="00AF6339">
        <w:rPr>
          <w:lang w:val="fr-FR"/>
        </w:rPr>
        <w:tab/>
        <w:t>c)</w:t>
      </w:r>
      <w:r w:rsidRPr="00AF6339">
        <w:rPr>
          <w:lang w:val="fr-FR"/>
        </w:rPr>
        <w:tab/>
      </w:r>
      <w:r w:rsidRPr="00AF6339">
        <w:rPr>
          <w:b/>
          <w:bCs/>
          <w:lang w:val="fr-FR"/>
        </w:rPr>
        <w:t>à renforcer les compétences des juges, des procureurs et des policiers pour tout ce qui concerne les questions liées aux droits des femmes et à l</w:t>
      </w:r>
      <w:r w:rsidR="00740140">
        <w:rPr>
          <w:b/>
          <w:bCs/>
          <w:lang w:val="fr-FR"/>
        </w:rPr>
        <w:t>’</w:t>
      </w:r>
      <w:r w:rsidRPr="00AF6339">
        <w:rPr>
          <w:b/>
          <w:bCs/>
          <w:lang w:val="fr-FR"/>
        </w:rPr>
        <w:t>égalité des genres, en particulier la définition et la criminalisation de la discrimination à l</w:t>
      </w:r>
      <w:r w:rsidR="00740140">
        <w:rPr>
          <w:b/>
          <w:bCs/>
          <w:lang w:val="fr-FR"/>
        </w:rPr>
        <w:t>’</w:t>
      </w:r>
      <w:r w:rsidRPr="00AF6339">
        <w:rPr>
          <w:b/>
          <w:bCs/>
          <w:lang w:val="fr-FR"/>
        </w:rPr>
        <w:t>égard des femmes</w:t>
      </w:r>
      <w:r w:rsidR="00740140">
        <w:rPr>
          <w:b/>
          <w:bCs/>
          <w:lang w:val="fr-FR"/>
        </w:rPr>
        <w:t> ;</w:t>
      </w:r>
    </w:p>
    <w:p w14:paraId="42AA9814" w14:textId="0E4B0F2E" w:rsidR="00AF6339" w:rsidRDefault="00AF6339" w:rsidP="00AF6339">
      <w:pPr>
        <w:pStyle w:val="SingleTxt"/>
        <w:rPr>
          <w:b/>
          <w:bCs/>
          <w:lang w:val="fr-FR"/>
        </w:rPr>
      </w:pPr>
      <w:r w:rsidRPr="00AF6339">
        <w:rPr>
          <w:lang w:val="fr-FR"/>
        </w:rPr>
        <w:tab/>
        <w:t>d)</w:t>
      </w:r>
      <w:r w:rsidRPr="00AF6339">
        <w:rPr>
          <w:lang w:val="fr-FR"/>
        </w:rPr>
        <w:tab/>
      </w:r>
      <w:r w:rsidRPr="00AF6339">
        <w:rPr>
          <w:b/>
          <w:bCs/>
          <w:lang w:val="fr-FR"/>
        </w:rPr>
        <w:t>à soutenir une campagne complète d</w:t>
      </w:r>
      <w:r w:rsidR="00740140">
        <w:rPr>
          <w:b/>
          <w:bCs/>
          <w:lang w:val="fr-FR"/>
        </w:rPr>
        <w:t>’</w:t>
      </w:r>
      <w:r w:rsidRPr="00AF6339">
        <w:rPr>
          <w:b/>
          <w:bCs/>
          <w:lang w:val="fr-FR"/>
        </w:rPr>
        <w:t>éducation et de sensibilisation impliquant les organisations de la société civile et consacrée aux droits des femmes, à l</w:t>
      </w:r>
      <w:r w:rsidR="00740140">
        <w:rPr>
          <w:b/>
          <w:bCs/>
          <w:lang w:val="fr-FR"/>
        </w:rPr>
        <w:t>’</w:t>
      </w:r>
      <w:r w:rsidRPr="00AF6339">
        <w:rPr>
          <w:b/>
          <w:bCs/>
          <w:lang w:val="fr-FR"/>
        </w:rPr>
        <w:t>égalité des genres, à la définition et à la criminalisation de la discrimination à l</w:t>
      </w:r>
      <w:r w:rsidR="00740140">
        <w:rPr>
          <w:b/>
          <w:bCs/>
          <w:lang w:val="fr-FR"/>
        </w:rPr>
        <w:t>’</w:t>
      </w:r>
      <w:r w:rsidRPr="00AF6339">
        <w:rPr>
          <w:b/>
          <w:bCs/>
          <w:lang w:val="fr-FR"/>
        </w:rPr>
        <w:t>égard des femmes.</w:t>
      </w:r>
    </w:p>
    <w:p w14:paraId="6C1CB12D" w14:textId="23C5F539" w:rsidR="00073BE0" w:rsidRPr="00073BE0" w:rsidRDefault="00073BE0" w:rsidP="00073BE0">
      <w:pPr>
        <w:pStyle w:val="SingleTxt"/>
        <w:spacing w:after="0" w:line="120" w:lineRule="exact"/>
        <w:rPr>
          <w:b/>
          <w:bCs/>
          <w:sz w:val="10"/>
          <w:lang w:val="fr-FR"/>
        </w:rPr>
      </w:pPr>
    </w:p>
    <w:p w14:paraId="2598FF20" w14:textId="24195409" w:rsidR="00AF6339" w:rsidRDefault="00AF6339" w:rsidP="00073B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Mécanisme national de promotion des femmes</w:t>
      </w:r>
    </w:p>
    <w:p w14:paraId="7AB9AAD1" w14:textId="3FDB140E" w:rsidR="00073BE0" w:rsidRPr="00073BE0" w:rsidRDefault="00073BE0" w:rsidP="00073BE0">
      <w:pPr>
        <w:pStyle w:val="SingleTxt"/>
        <w:spacing w:after="0" w:line="120" w:lineRule="exact"/>
        <w:rPr>
          <w:sz w:val="10"/>
          <w:lang w:val="fr-FR"/>
        </w:rPr>
      </w:pPr>
    </w:p>
    <w:p w14:paraId="79802984" w14:textId="03F23A6A" w:rsidR="00AF6339" w:rsidRPr="00AF6339" w:rsidRDefault="00AF6339" w:rsidP="00760397">
      <w:pPr>
        <w:pStyle w:val="SingleTxt"/>
        <w:numPr>
          <w:ilvl w:val="0"/>
          <w:numId w:val="11"/>
        </w:numPr>
        <w:spacing w:line="240" w:lineRule="exact"/>
        <w:rPr>
          <w:lang w:val="fr-FR"/>
        </w:rPr>
      </w:pPr>
      <w:r w:rsidRPr="00AF6339">
        <w:rPr>
          <w:lang w:val="fr-FR"/>
        </w:rPr>
        <w:t>Le Comité se félicite que des mesures aient été prises afin de mettre en œuvre le programme national relatif à l</w:t>
      </w:r>
      <w:r w:rsidR="00740140">
        <w:rPr>
          <w:lang w:val="fr-FR"/>
        </w:rPr>
        <w:t>’</w:t>
      </w:r>
      <w:r w:rsidRPr="00AF6339">
        <w:rPr>
          <w:lang w:val="fr-FR"/>
        </w:rPr>
        <w:t>égalité entre les genres (2017-2021), que le secrétariat de la Commission nationale sur l</w:t>
      </w:r>
      <w:r w:rsidR="00740140">
        <w:rPr>
          <w:lang w:val="fr-FR"/>
        </w:rPr>
        <w:t>’</w:t>
      </w:r>
      <w:r w:rsidRPr="00AF6339">
        <w:rPr>
          <w:lang w:val="fr-FR"/>
        </w:rPr>
        <w:t>égalité des genres ait été placé en tant qu</w:t>
      </w:r>
      <w:r w:rsidR="00740140">
        <w:rPr>
          <w:lang w:val="fr-FR"/>
        </w:rPr>
        <w:t>’</w:t>
      </w:r>
      <w:r w:rsidRPr="00AF6339">
        <w:rPr>
          <w:lang w:val="fr-FR"/>
        </w:rPr>
        <w:t>organe indépendant sous l</w:t>
      </w:r>
      <w:r w:rsidR="00740140">
        <w:rPr>
          <w:lang w:val="fr-FR"/>
        </w:rPr>
        <w:t>’</w:t>
      </w:r>
      <w:r w:rsidRPr="00AF6339">
        <w:rPr>
          <w:lang w:val="fr-FR"/>
        </w:rPr>
        <w:t>égide du Premier Ministre en janvier 2019, et que les dépenses de fonctionnement et coûts salariaux de cet organe soient pris en charge par le budget de l</w:t>
      </w:r>
      <w:r w:rsidR="00740140">
        <w:rPr>
          <w:lang w:val="fr-FR"/>
        </w:rPr>
        <w:t>’</w:t>
      </w:r>
      <w:r w:rsidRPr="00AF6339">
        <w:rPr>
          <w:lang w:val="fr-FR"/>
        </w:rPr>
        <w:t>État. Il note aussi que le budget de l</w:t>
      </w:r>
      <w:r w:rsidR="00740140">
        <w:rPr>
          <w:lang w:val="fr-FR"/>
        </w:rPr>
        <w:t>’</w:t>
      </w:r>
      <w:r w:rsidRPr="00AF6339">
        <w:rPr>
          <w:lang w:val="fr-FR"/>
        </w:rPr>
        <w:t>État prévoit l</w:t>
      </w:r>
      <w:r w:rsidR="00740140">
        <w:rPr>
          <w:lang w:val="fr-FR"/>
        </w:rPr>
        <w:t>’</w:t>
      </w:r>
      <w:r w:rsidRPr="00AF6339">
        <w:rPr>
          <w:lang w:val="fr-FR"/>
        </w:rPr>
        <w:t>allocation de fonds à l</w:t>
      </w:r>
      <w:r w:rsidR="00740140">
        <w:rPr>
          <w:lang w:val="fr-FR"/>
        </w:rPr>
        <w:t>’</w:t>
      </w:r>
      <w:r w:rsidRPr="00AF6339">
        <w:rPr>
          <w:lang w:val="fr-FR"/>
        </w:rPr>
        <w:t>exécution du programme national relatif à l</w:t>
      </w:r>
      <w:r w:rsidR="00740140">
        <w:rPr>
          <w:lang w:val="fr-FR"/>
        </w:rPr>
        <w:t>’</w:t>
      </w:r>
      <w:r w:rsidRPr="00AF6339">
        <w:rPr>
          <w:lang w:val="fr-FR"/>
        </w:rPr>
        <w:t>égalité entre les genres (2017-2021). Toutefois, il constate avec préoccupation l</w:t>
      </w:r>
      <w:r w:rsidR="00740140">
        <w:rPr>
          <w:lang w:val="fr-FR"/>
        </w:rPr>
        <w:t>’</w:t>
      </w:r>
      <w:r w:rsidRPr="00AF6339">
        <w:rPr>
          <w:lang w:val="fr-FR"/>
        </w:rPr>
        <w:t>insuffisance de la somme allouée, qui s</w:t>
      </w:r>
      <w:r w:rsidR="00740140">
        <w:rPr>
          <w:lang w:val="fr-FR"/>
        </w:rPr>
        <w:t>’</w:t>
      </w:r>
      <w:r w:rsidRPr="00AF6339">
        <w:rPr>
          <w:lang w:val="fr-FR"/>
        </w:rPr>
        <w:t xml:space="preserve">élève à 1 milliard de togrogs mongols sur cinq ans. </w:t>
      </w:r>
    </w:p>
    <w:p w14:paraId="44C5A450" w14:textId="7D9F5AC6" w:rsidR="00AF6339" w:rsidRPr="00073BE0" w:rsidRDefault="00AF6339" w:rsidP="00760397">
      <w:pPr>
        <w:pStyle w:val="SingleTxt"/>
        <w:numPr>
          <w:ilvl w:val="0"/>
          <w:numId w:val="10"/>
        </w:numPr>
        <w:spacing w:line="240" w:lineRule="exact"/>
        <w:rPr>
          <w:b/>
          <w:bCs/>
          <w:lang w:val="fr-FR"/>
        </w:rPr>
      </w:pPr>
      <w:r w:rsidRPr="00073BE0">
        <w:rPr>
          <w:b/>
          <w:bCs/>
          <w:lang w:val="fr-FR"/>
        </w:rPr>
        <w:t>Le Comité recommande à l</w:t>
      </w:r>
      <w:r w:rsidR="00740140">
        <w:rPr>
          <w:b/>
          <w:bCs/>
          <w:lang w:val="fr-FR"/>
        </w:rPr>
        <w:t>’</w:t>
      </w:r>
      <w:r w:rsidRPr="00073BE0">
        <w:rPr>
          <w:b/>
          <w:bCs/>
          <w:lang w:val="fr-FR"/>
        </w:rPr>
        <w:t>État partie</w:t>
      </w:r>
      <w:r w:rsidR="00740140">
        <w:rPr>
          <w:b/>
          <w:bCs/>
          <w:lang w:val="fr-FR"/>
        </w:rPr>
        <w:t> :</w:t>
      </w:r>
      <w:r w:rsidRPr="00073BE0">
        <w:rPr>
          <w:b/>
          <w:bCs/>
          <w:lang w:val="fr-FR"/>
        </w:rPr>
        <w:t xml:space="preserve"> </w:t>
      </w:r>
    </w:p>
    <w:p w14:paraId="6D3D7889" w14:textId="067C0C0E" w:rsidR="00AF6339" w:rsidRPr="00AF6339" w:rsidRDefault="00AF6339" w:rsidP="00AF6339">
      <w:pPr>
        <w:pStyle w:val="SingleTxt"/>
        <w:rPr>
          <w:b/>
          <w:bCs/>
          <w:lang w:val="fr-FR"/>
        </w:rPr>
      </w:pPr>
      <w:r w:rsidRPr="00AF6339">
        <w:rPr>
          <w:b/>
          <w:bCs/>
          <w:lang w:val="fr-FR"/>
        </w:rPr>
        <w:tab/>
      </w:r>
      <w:r w:rsidRPr="00AF6339">
        <w:rPr>
          <w:lang w:val="fr-FR"/>
        </w:rPr>
        <w:t>a)</w:t>
      </w:r>
      <w:r w:rsidRPr="00AF6339">
        <w:rPr>
          <w:b/>
          <w:bCs/>
          <w:lang w:val="fr-FR"/>
        </w:rPr>
        <w:tab/>
        <w:t>de mobiliser des fonds et de veiller à ce que les ressources financières suffisantes soient allouées, à tous les niveaux, à l</w:t>
      </w:r>
      <w:r w:rsidR="00740140">
        <w:rPr>
          <w:b/>
          <w:bCs/>
          <w:lang w:val="fr-FR"/>
        </w:rPr>
        <w:t>’</w:t>
      </w:r>
      <w:r w:rsidRPr="00AF6339">
        <w:rPr>
          <w:b/>
          <w:bCs/>
          <w:lang w:val="fr-FR"/>
        </w:rPr>
        <w:t xml:space="preserve">application de la loi sur la </w:t>
      </w:r>
      <w:r w:rsidRPr="00AF6339">
        <w:rPr>
          <w:b/>
          <w:bCs/>
          <w:lang w:val="fr-FR"/>
        </w:rPr>
        <w:lastRenderedPageBreak/>
        <w:t>promotion de l</w:t>
      </w:r>
      <w:r w:rsidR="00740140">
        <w:rPr>
          <w:b/>
          <w:bCs/>
          <w:lang w:val="fr-FR"/>
        </w:rPr>
        <w:t>’</w:t>
      </w:r>
      <w:r w:rsidRPr="00AF6339">
        <w:rPr>
          <w:b/>
          <w:bCs/>
          <w:lang w:val="fr-FR"/>
        </w:rPr>
        <w:t>égalité des genres, au programme national relatif à l</w:t>
      </w:r>
      <w:r w:rsidR="00740140">
        <w:rPr>
          <w:b/>
          <w:bCs/>
          <w:lang w:val="fr-FR"/>
        </w:rPr>
        <w:t>’</w:t>
      </w:r>
      <w:r w:rsidRPr="00AF6339">
        <w:rPr>
          <w:b/>
          <w:bCs/>
          <w:lang w:val="fr-FR"/>
        </w:rPr>
        <w:t>égalité entre les genres et au plan d</w:t>
      </w:r>
      <w:r w:rsidR="00740140">
        <w:rPr>
          <w:b/>
          <w:bCs/>
          <w:lang w:val="fr-FR"/>
        </w:rPr>
        <w:t>’</w:t>
      </w:r>
      <w:r w:rsidRPr="00AF6339">
        <w:rPr>
          <w:b/>
          <w:bCs/>
          <w:lang w:val="fr-FR"/>
        </w:rPr>
        <w:t>action correspondant</w:t>
      </w:r>
      <w:r w:rsidR="00740140">
        <w:rPr>
          <w:b/>
          <w:bCs/>
          <w:lang w:val="fr-FR"/>
        </w:rPr>
        <w:t> ;</w:t>
      </w:r>
    </w:p>
    <w:p w14:paraId="6A461A0D" w14:textId="594800F5" w:rsidR="00AF6339" w:rsidRDefault="00AF6339" w:rsidP="00AF6339">
      <w:pPr>
        <w:pStyle w:val="SingleTxt"/>
        <w:rPr>
          <w:b/>
          <w:bCs/>
          <w:lang w:val="fr-FR"/>
        </w:rPr>
      </w:pPr>
      <w:r w:rsidRPr="00AF6339">
        <w:rPr>
          <w:b/>
          <w:bCs/>
          <w:lang w:val="fr-FR"/>
        </w:rPr>
        <w:tab/>
      </w:r>
      <w:r w:rsidRPr="00AF6339">
        <w:rPr>
          <w:lang w:val="fr-FR"/>
        </w:rPr>
        <w:t>b)</w:t>
      </w:r>
      <w:r w:rsidRPr="00AF6339">
        <w:rPr>
          <w:b/>
          <w:bCs/>
          <w:lang w:val="fr-FR"/>
        </w:rPr>
        <w:tab/>
        <w:t>d</w:t>
      </w:r>
      <w:r w:rsidR="00740140">
        <w:rPr>
          <w:b/>
          <w:bCs/>
          <w:lang w:val="fr-FR"/>
        </w:rPr>
        <w:t>’</w:t>
      </w:r>
      <w:r w:rsidRPr="00AF6339">
        <w:rPr>
          <w:b/>
          <w:bCs/>
          <w:lang w:val="fr-FR"/>
        </w:rPr>
        <w:t>adopter sans délai une nouvelle stratégie nationale relative à l</w:t>
      </w:r>
      <w:r w:rsidR="00740140">
        <w:rPr>
          <w:b/>
          <w:bCs/>
          <w:lang w:val="fr-FR"/>
        </w:rPr>
        <w:t>’</w:t>
      </w:r>
      <w:r w:rsidRPr="00AF6339">
        <w:rPr>
          <w:b/>
          <w:bCs/>
          <w:lang w:val="fr-FR"/>
        </w:rPr>
        <w:t>égalité des genres et à l</w:t>
      </w:r>
      <w:r w:rsidR="00740140">
        <w:rPr>
          <w:b/>
          <w:bCs/>
          <w:lang w:val="fr-FR"/>
        </w:rPr>
        <w:t>’</w:t>
      </w:r>
      <w:r w:rsidRPr="00AF6339">
        <w:rPr>
          <w:b/>
          <w:bCs/>
          <w:lang w:val="fr-FR"/>
        </w:rPr>
        <w:t>autonomisation des femmes, d</w:t>
      </w:r>
      <w:r w:rsidR="00740140">
        <w:rPr>
          <w:b/>
          <w:bCs/>
          <w:lang w:val="fr-FR"/>
        </w:rPr>
        <w:t>’</w:t>
      </w:r>
      <w:r w:rsidRPr="00AF6339">
        <w:rPr>
          <w:b/>
          <w:bCs/>
          <w:lang w:val="fr-FR"/>
        </w:rPr>
        <w:t>emprunter une approche pragmatique tenant compte d</w:t>
      </w:r>
      <w:r w:rsidR="00740140">
        <w:rPr>
          <w:b/>
          <w:bCs/>
          <w:lang w:val="fr-FR"/>
        </w:rPr>
        <w:t>’</w:t>
      </w:r>
      <w:r w:rsidRPr="00AF6339">
        <w:rPr>
          <w:b/>
          <w:bCs/>
          <w:lang w:val="fr-FR"/>
        </w:rPr>
        <w:t>indicateurs et de cibles spécifiques, de mettre en place un mécanisme de suivi et des études d</w:t>
      </w:r>
      <w:r w:rsidR="00740140">
        <w:rPr>
          <w:b/>
          <w:bCs/>
          <w:lang w:val="fr-FR"/>
        </w:rPr>
        <w:t>’</w:t>
      </w:r>
      <w:r w:rsidRPr="00AF6339">
        <w:rPr>
          <w:b/>
          <w:bCs/>
          <w:lang w:val="fr-FR"/>
        </w:rPr>
        <w:t>impact régulières permettant d</w:t>
      </w:r>
      <w:r w:rsidR="00740140">
        <w:rPr>
          <w:b/>
          <w:bCs/>
          <w:lang w:val="fr-FR"/>
        </w:rPr>
        <w:t>’</w:t>
      </w:r>
      <w:r w:rsidRPr="00AF6339">
        <w:rPr>
          <w:b/>
          <w:bCs/>
          <w:lang w:val="fr-FR"/>
        </w:rPr>
        <w:t>évaluer l</w:t>
      </w:r>
      <w:r w:rsidR="00740140">
        <w:rPr>
          <w:b/>
          <w:bCs/>
          <w:lang w:val="fr-FR"/>
        </w:rPr>
        <w:t>’</w:t>
      </w:r>
      <w:r w:rsidRPr="00AF6339">
        <w:rPr>
          <w:b/>
          <w:bCs/>
          <w:lang w:val="fr-FR"/>
        </w:rPr>
        <w:t>efficacité de la stratégie avec le concours actif des organisations de la société civile, et d</w:t>
      </w:r>
      <w:r w:rsidR="00740140">
        <w:rPr>
          <w:b/>
          <w:bCs/>
          <w:lang w:val="fr-FR"/>
        </w:rPr>
        <w:t>’</w:t>
      </w:r>
      <w:r w:rsidRPr="00AF6339">
        <w:rPr>
          <w:b/>
          <w:bCs/>
          <w:lang w:val="fr-FR"/>
        </w:rPr>
        <w:t>allouer les ressources humaines, techniques et financières suffisantes à l</w:t>
      </w:r>
      <w:r w:rsidR="00740140">
        <w:rPr>
          <w:b/>
          <w:bCs/>
          <w:lang w:val="fr-FR"/>
        </w:rPr>
        <w:t>’</w:t>
      </w:r>
      <w:r w:rsidRPr="00AF6339">
        <w:rPr>
          <w:b/>
          <w:bCs/>
          <w:lang w:val="fr-FR"/>
        </w:rPr>
        <w:t>application de ces mesures.</w:t>
      </w:r>
    </w:p>
    <w:p w14:paraId="0213A608" w14:textId="46D53D60" w:rsidR="00073BE0" w:rsidRPr="00073BE0" w:rsidRDefault="00073BE0" w:rsidP="00073BE0">
      <w:pPr>
        <w:pStyle w:val="SingleTxt"/>
        <w:spacing w:after="0" w:line="120" w:lineRule="exact"/>
        <w:rPr>
          <w:b/>
          <w:bCs/>
          <w:sz w:val="10"/>
          <w:lang w:val="fr-FR"/>
        </w:rPr>
      </w:pPr>
    </w:p>
    <w:p w14:paraId="1E624F59" w14:textId="0B06C1B5" w:rsidR="00AF6339" w:rsidRDefault="00AF6339" w:rsidP="00073B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Institution nationale pour la promotion et la protection des droits humains</w:t>
      </w:r>
    </w:p>
    <w:p w14:paraId="1D41E225" w14:textId="038D716C" w:rsidR="00073BE0" w:rsidRPr="00073BE0" w:rsidRDefault="00073BE0" w:rsidP="00073BE0">
      <w:pPr>
        <w:pStyle w:val="SingleTxt"/>
        <w:spacing w:after="0" w:line="120" w:lineRule="exact"/>
        <w:rPr>
          <w:sz w:val="10"/>
          <w:lang w:val="fr-FR"/>
        </w:rPr>
      </w:pPr>
    </w:p>
    <w:p w14:paraId="3C8ACF04" w14:textId="1AFF2A28" w:rsidR="00AF6339" w:rsidRPr="00AF6339" w:rsidRDefault="00AF6339" w:rsidP="00760397">
      <w:pPr>
        <w:pStyle w:val="SingleTxt"/>
        <w:numPr>
          <w:ilvl w:val="0"/>
          <w:numId w:val="12"/>
        </w:numPr>
        <w:spacing w:line="240" w:lineRule="exact"/>
        <w:rPr>
          <w:lang w:val="fr-FR"/>
        </w:rPr>
      </w:pPr>
      <w:r w:rsidRPr="00AF6339">
        <w:rPr>
          <w:lang w:val="fr-FR"/>
        </w:rPr>
        <w:t>Le Comité salue la révision de la loi sur la Commission mongole des droits humains, adoptée en janvier 2020, qui déclare que, afin de garantir son indépendance, celle-ci sera financée par le budget de l</w:t>
      </w:r>
      <w:r w:rsidR="00740140">
        <w:rPr>
          <w:lang w:val="fr-FR"/>
        </w:rPr>
        <w:t>’</w:t>
      </w:r>
      <w:r w:rsidRPr="00AF6339">
        <w:rPr>
          <w:lang w:val="fr-FR"/>
        </w:rPr>
        <w:t>État (articles 6.1 et 6.2). Toutefois, il constate avec préoccupation que, au cours de la période considérée, la Commission a reçu très peu de plaintes de femmes concernant la violation de leurs droits.</w:t>
      </w:r>
    </w:p>
    <w:p w14:paraId="3434A372" w14:textId="3A1AAD96" w:rsidR="00AF6339" w:rsidRPr="00073BE0" w:rsidRDefault="00AF6339" w:rsidP="00760397">
      <w:pPr>
        <w:pStyle w:val="SingleTxt"/>
        <w:numPr>
          <w:ilvl w:val="0"/>
          <w:numId w:val="12"/>
        </w:numPr>
        <w:spacing w:line="240" w:lineRule="exact"/>
        <w:rPr>
          <w:b/>
          <w:bCs/>
          <w:lang w:val="fr-FR"/>
        </w:rPr>
      </w:pPr>
      <w:r w:rsidRPr="00073BE0">
        <w:rPr>
          <w:b/>
          <w:bCs/>
          <w:lang w:val="fr-FR"/>
        </w:rPr>
        <w:t>Le Comité recommande à l</w:t>
      </w:r>
      <w:r w:rsidR="00740140">
        <w:rPr>
          <w:b/>
          <w:bCs/>
          <w:lang w:val="fr-FR"/>
        </w:rPr>
        <w:t>’</w:t>
      </w:r>
      <w:r w:rsidRPr="00073BE0">
        <w:rPr>
          <w:b/>
          <w:bCs/>
          <w:lang w:val="fr-FR"/>
        </w:rPr>
        <w:t>État partie</w:t>
      </w:r>
      <w:r w:rsidR="00740140">
        <w:rPr>
          <w:b/>
          <w:bCs/>
          <w:lang w:val="fr-FR"/>
        </w:rPr>
        <w:t> :</w:t>
      </w:r>
    </w:p>
    <w:p w14:paraId="626F21D5" w14:textId="41D55071" w:rsidR="00AF6339" w:rsidRPr="00AF6339" w:rsidRDefault="00AF6339" w:rsidP="00AF6339">
      <w:pPr>
        <w:pStyle w:val="SingleTxt"/>
        <w:rPr>
          <w:lang w:val="fr-FR"/>
        </w:rPr>
      </w:pPr>
      <w:r w:rsidRPr="00AF6339">
        <w:rPr>
          <w:lang w:val="fr-FR"/>
        </w:rPr>
        <w:tab/>
        <w:t>a)</w:t>
      </w:r>
      <w:r w:rsidRPr="00AF6339">
        <w:rPr>
          <w:lang w:val="fr-FR"/>
        </w:rPr>
        <w:tab/>
      </w:r>
      <w:r w:rsidRPr="00AF6339">
        <w:rPr>
          <w:b/>
          <w:bCs/>
          <w:lang w:val="fr-FR"/>
        </w:rPr>
        <w:t>de renforcer la visibilité de la Commission mongole des droits humains hors de la capitale, en particulier dans les zones rurales</w:t>
      </w:r>
      <w:r w:rsidR="00740140">
        <w:rPr>
          <w:b/>
          <w:bCs/>
          <w:lang w:val="fr-FR"/>
        </w:rPr>
        <w:t> ;</w:t>
      </w:r>
    </w:p>
    <w:p w14:paraId="5C71C4EA" w14:textId="3D679290" w:rsidR="00AF6339" w:rsidRPr="00AF6339" w:rsidRDefault="00AF6339" w:rsidP="00AF6339">
      <w:pPr>
        <w:pStyle w:val="SingleTxt"/>
        <w:rPr>
          <w:lang w:val="fr-FR"/>
        </w:rPr>
      </w:pPr>
      <w:r w:rsidRPr="00AF6339">
        <w:rPr>
          <w:lang w:val="fr-FR"/>
        </w:rPr>
        <w:tab/>
        <w:t>b)</w:t>
      </w:r>
      <w:r w:rsidRPr="00AF6339">
        <w:rPr>
          <w:lang w:val="fr-FR"/>
        </w:rPr>
        <w:tab/>
      </w:r>
      <w:r w:rsidRPr="00AF6339">
        <w:rPr>
          <w:b/>
          <w:bCs/>
          <w:lang w:val="fr-FR"/>
        </w:rPr>
        <w:t>d</w:t>
      </w:r>
      <w:r w:rsidR="00740140">
        <w:rPr>
          <w:b/>
          <w:bCs/>
          <w:lang w:val="fr-FR"/>
        </w:rPr>
        <w:t>’</w:t>
      </w:r>
      <w:r w:rsidRPr="00AF6339">
        <w:rPr>
          <w:b/>
          <w:bCs/>
          <w:lang w:val="fr-FR"/>
        </w:rPr>
        <w:t>étendre ses efforts visant à sensibiliser les femmes à l</w:t>
      </w:r>
      <w:r w:rsidR="00740140">
        <w:rPr>
          <w:b/>
          <w:bCs/>
          <w:lang w:val="fr-FR"/>
        </w:rPr>
        <w:t>’</w:t>
      </w:r>
      <w:r w:rsidRPr="00AF6339">
        <w:rPr>
          <w:b/>
          <w:bCs/>
          <w:lang w:val="fr-FR"/>
        </w:rPr>
        <w:t>action de la Commission en faveur de l</w:t>
      </w:r>
      <w:r w:rsidR="00740140">
        <w:rPr>
          <w:b/>
          <w:bCs/>
          <w:lang w:val="fr-FR"/>
        </w:rPr>
        <w:t>’</w:t>
      </w:r>
      <w:r w:rsidRPr="00AF6339">
        <w:rPr>
          <w:b/>
          <w:bCs/>
          <w:lang w:val="fr-FR"/>
        </w:rPr>
        <w:t>égalité des genres, de mieux faire connaître les mécanismes de plainte, et d</w:t>
      </w:r>
      <w:r w:rsidR="00740140">
        <w:rPr>
          <w:b/>
          <w:bCs/>
          <w:lang w:val="fr-FR"/>
        </w:rPr>
        <w:t>’</w:t>
      </w:r>
      <w:r w:rsidRPr="00AF6339">
        <w:rPr>
          <w:b/>
          <w:bCs/>
          <w:lang w:val="fr-FR"/>
        </w:rPr>
        <w:t>encourager les femmes victimes de violations des droits humains à porter plainte</w:t>
      </w:r>
      <w:r w:rsidR="00740140">
        <w:rPr>
          <w:b/>
          <w:bCs/>
          <w:lang w:val="fr-FR"/>
        </w:rPr>
        <w:t> ;</w:t>
      </w:r>
    </w:p>
    <w:p w14:paraId="139C2B5D" w14:textId="0E0D45C1" w:rsidR="00AF6339" w:rsidRDefault="00AF6339" w:rsidP="00AF6339">
      <w:pPr>
        <w:pStyle w:val="SingleTxt"/>
        <w:rPr>
          <w:b/>
          <w:bCs/>
          <w:lang w:val="fr-FR"/>
        </w:rPr>
      </w:pPr>
      <w:r w:rsidRPr="00AF6339">
        <w:rPr>
          <w:lang w:val="fr-FR"/>
        </w:rPr>
        <w:tab/>
        <w:t>c)</w:t>
      </w:r>
      <w:r w:rsidRPr="00AF6339">
        <w:rPr>
          <w:lang w:val="fr-FR"/>
        </w:rPr>
        <w:tab/>
      </w:r>
      <w:r w:rsidRPr="00AF6339">
        <w:rPr>
          <w:b/>
          <w:bCs/>
          <w:lang w:val="fr-FR"/>
        </w:rPr>
        <w:t>de veiller à ce que la Commission dispose de ressources humaines, techniques et financières suffisantes pour garantir son indépendance.</w:t>
      </w:r>
    </w:p>
    <w:p w14:paraId="2E39C2DF" w14:textId="78F5C2F8" w:rsidR="00073BE0" w:rsidRPr="00073BE0" w:rsidRDefault="00073BE0" w:rsidP="00073BE0">
      <w:pPr>
        <w:pStyle w:val="SingleTxt"/>
        <w:spacing w:after="0" w:line="120" w:lineRule="exact"/>
        <w:rPr>
          <w:b/>
          <w:bCs/>
          <w:sz w:val="10"/>
          <w:lang w:val="fr-FR"/>
        </w:rPr>
      </w:pPr>
    </w:p>
    <w:p w14:paraId="693846E7" w14:textId="53D383DC" w:rsidR="00AF6339" w:rsidRDefault="00073BE0" w:rsidP="00073B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F6339" w:rsidRPr="00AF6339">
        <w:rPr>
          <w:lang w:val="fr-FR"/>
        </w:rPr>
        <w:tab/>
        <w:t>Mesures temporaires spéciales</w:t>
      </w:r>
    </w:p>
    <w:p w14:paraId="74766CF4" w14:textId="0C6DBB0D" w:rsidR="00073BE0" w:rsidRPr="00073BE0" w:rsidRDefault="00073BE0" w:rsidP="00073BE0">
      <w:pPr>
        <w:pStyle w:val="SingleTxt"/>
        <w:spacing w:after="0" w:line="120" w:lineRule="exact"/>
        <w:rPr>
          <w:sz w:val="10"/>
          <w:lang w:val="fr-FR"/>
        </w:rPr>
      </w:pPr>
    </w:p>
    <w:p w14:paraId="2F050DFF" w14:textId="5243FC21" w:rsidR="00AF6339" w:rsidRPr="00AF6339" w:rsidRDefault="00AF6339" w:rsidP="00760397">
      <w:pPr>
        <w:pStyle w:val="SingleTxt"/>
        <w:numPr>
          <w:ilvl w:val="0"/>
          <w:numId w:val="13"/>
        </w:numPr>
        <w:spacing w:line="240" w:lineRule="exact"/>
        <w:rPr>
          <w:lang w:val="fr-FR"/>
        </w:rPr>
      </w:pPr>
      <w:r w:rsidRPr="00AF6339">
        <w:rPr>
          <w:lang w:val="fr-FR"/>
        </w:rPr>
        <w:t>Le Comité remarque que la Commission nationale sur l</w:t>
      </w:r>
      <w:r w:rsidR="00740140">
        <w:rPr>
          <w:lang w:val="fr-FR"/>
        </w:rPr>
        <w:t>’</w:t>
      </w:r>
      <w:r w:rsidRPr="00AF6339">
        <w:rPr>
          <w:lang w:val="fr-FR"/>
        </w:rPr>
        <w:t>égalité des genres avait proposé qu</w:t>
      </w:r>
      <w:r w:rsidR="00740140">
        <w:rPr>
          <w:lang w:val="fr-FR"/>
        </w:rPr>
        <w:t>’</w:t>
      </w:r>
      <w:r w:rsidRPr="00AF6339">
        <w:rPr>
          <w:lang w:val="fr-FR"/>
        </w:rPr>
        <w:t>un projet de loi électorale porte à 30 % le quota de candidatures féminines, mais que le texte finalement voté n</w:t>
      </w:r>
      <w:r w:rsidR="00740140">
        <w:rPr>
          <w:lang w:val="fr-FR"/>
        </w:rPr>
        <w:t>’</w:t>
      </w:r>
      <w:r w:rsidRPr="00AF6339">
        <w:rPr>
          <w:lang w:val="fr-FR"/>
        </w:rPr>
        <w:t>intègre pas cette modification. En outre, il constate avec préoccupation que l</w:t>
      </w:r>
      <w:r w:rsidR="00740140">
        <w:rPr>
          <w:lang w:val="fr-FR"/>
        </w:rPr>
        <w:t>’</w:t>
      </w:r>
      <w:r w:rsidRPr="00AF6339">
        <w:rPr>
          <w:lang w:val="fr-FR"/>
        </w:rPr>
        <w:t>État partie n</w:t>
      </w:r>
      <w:r w:rsidR="00740140">
        <w:rPr>
          <w:lang w:val="fr-FR"/>
        </w:rPr>
        <w:t>’</w:t>
      </w:r>
      <w:r w:rsidRPr="00AF6339">
        <w:rPr>
          <w:lang w:val="fr-FR"/>
        </w:rPr>
        <w:t>a adopté aucune mesure temporaire spéciale visant à atteindre l</w:t>
      </w:r>
      <w:r w:rsidR="00740140">
        <w:rPr>
          <w:lang w:val="fr-FR"/>
        </w:rPr>
        <w:t>’</w:t>
      </w:r>
      <w:r w:rsidRPr="00AF6339">
        <w:rPr>
          <w:lang w:val="fr-FR"/>
        </w:rPr>
        <w:t>égalité réelle entre les femmes et les hommes dans les domaines où les femmes sont sous-représentées, telles que la vie politique et l</w:t>
      </w:r>
      <w:r w:rsidR="00740140">
        <w:rPr>
          <w:lang w:val="fr-FR"/>
        </w:rPr>
        <w:t>’</w:t>
      </w:r>
      <w:r w:rsidRPr="00AF6339">
        <w:rPr>
          <w:lang w:val="fr-FR"/>
        </w:rPr>
        <w:t>emploi, notamment aux postes décisionnels et de direction.</w:t>
      </w:r>
    </w:p>
    <w:p w14:paraId="6FF6AFB3" w14:textId="17209DED" w:rsidR="00AF6339" w:rsidRPr="00760397" w:rsidRDefault="00AF6339" w:rsidP="00760397">
      <w:pPr>
        <w:pStyle w:val="SingleTxt"/>
        <w:numPr>
          <w:ilvl w:val="0"/>
          <w:numId w:val="13"/>
        </w:numPr>
        <w:spacing w:line="240" w:lineRule="exact"/>
        <w:rPr>
          <w:b/>
          <w:bCs/>
          <w:lang w:val="fr-FR"/>
        </w:rPr>
      </w:pPr>
      <w:r w:rsidRPr="00760397">
        <w:rPr>
          <w:b/>
          <w:bCs/>
          <w:lang w:val="fr-FR"/>
        </w:rPr>
        <w:t>Conformément au paragraphe 1 de l</w:t>
      </w:r>
      <w:r w:rsidR="00740140">
        <w:rPr>
          <w:b/>
          <w:bCs/>
          <w:lang w:val="fr-FR"/>
        </w:rPr>
        <w:t>’</w:t>
      </w:r>
      <w:r w:rsidRPr="00760397">
        <w:rPr>
          <w:b/>
          <w:bCs/>
          <w:lang w:val="fr-FR"/>
        </w:rPr>
        <w:t>article 4 de la Convention et à sa recommandation générale n</w:t>
      </w:r>
      <w:r w:rsidRPr="00760397">
        <w:rPr>
          <w:b/>
          <w:bCs/>
          <w:vertAlign w:val="superscript"/>
          <w:lang w:val="fr-FR"/>
        </w:rPr>
        <w:t>o </w:t>
      </w:r>
      <w:r w:rsidRPr="00760397">
        <w:rPr>
          <w:b/>
          <w:bCs/>
          <w:lang w:val="fr-FR"/>
        </w:rPr>
        <w:t>25 (2004)</w:t>
      </w:r>
      <w:r w:rsidRPr="00760397">
        <w:rPr>
          <w:b/>
          <w:bCs/>
          <w:lang w:val="fr-FR"/>
        </w:rPr>
        <w:t xml:space="preserve"> sur les mesures temporaires spéciales, le Comité recommande à l</w:t>
      </w:r>
      <w:r w:rsidR="00740140">
        <w:rPr>
          <w:b/>
          <w:bCs/>
          <w:lang w:val="fr-FR"/>
        </w:rPr>
        <w:t>’</w:t>
      </w:r>
      <w:r w:rsidRPr="00760397">
        <w:rPr>
          <w:b/>
          <w:bCs/>
          <w:lang w:val="fr-FR"/>
        </w:rPr>
        <w:t>État partie</w:t>
      </w:r>
      <w:r w:rsidR="00740140">
        <w:rPr>
          <w:b/>
          <w:bCs/>
          <w:lang w:val="fr-FR"/>
        </w:rPr>
        <w:t> :</w:t>
      </w:r>
    </w:p>
    <w:p w14:paraId="65BF4B7A" w14:textId="2A6F4B19" w:rsidR="00AF6339" w:rsidRPr="00AF6339" w:rsidRDefault="00AF6339" w:rsidP="00AF6339">
      <w:pPr>
        <w:pStyle w:val="SingleTxt"/>
        <w:rPr>
          <w:lang w:val="fr-FR"/>
        </w:rPr>
      </w:pPr>
      <w:r w:rsidRPr="00AF6339">
        <w:rPr>
          <w:lang w:val="fr-FR"/>
        </w:rPr>
        <w:tab/>
        <w:t>a)</w:t>
      </w:r>
      <w:r w:rsidRPr="00AF6339">
        <w:rPr>
          <w:lang w:val="fr-FR"/>
        </w:rPr>
        <w:tab/>
      </w:r>
      <w:r w:rsidRPr="00AF6339">
        <w:rPr>
          <w:b/>
          <w:bCs/>
          <w:lang w:val="fr-FR"/>
        </w:rPr>
        <w:t>d</w:t>
      </w:r>
      <w:r w:rsidR="00740140">
        <w:rPr>
          <w:b/>
          <w:bCs/>
          <w:lang w:val="fr-FR"/>
        </w:rPr>
        <w:t>’</w:t>
      </w:r>
      <w:r w:rsidRPr="00AF6339">
        <w:rPr>
          <w:b/>
          <w:bCs/>
          <w:lang w:val="fr-FR"/>
        </w:rPr>
        <w:t>introduire en urgence un quota minimum de 30 % de candidatures féminines sur les listes partisanes présentées aux élections parlementaires et municipales, et de prévoir des sanctions pour les cas d</w:t>
      </w:r>
      <w:r w:rsidR="00740140">
        <w:rPr>
          <w:b/>
          <w:bCs/>
          <w:lang w:val="fr-FR"/>
        </w:rPr>
        <w:t>’</w:t>
      </w:r>
      <w:r w:rsidRPr="00AF6339">
        <w:rPr>
          <w:b/>
          <w:bCs/>
          <w:lang w:val="fr-FR"/>
        </w:rPr>
        <w:t>infraction</w:t>
      </w:r>
      <w:r w:rsidR="00740140">
        <w:rPr>
          <w:b/>
          <w:bCs/>
          <w:lang w:val="fr-FR"/>
        </w:rPr>
        <w:t> ;</w:t>
      </w:r>
    </w:p>
    <w:p w14:paraId="76BF856C" w14:textId="53411BAE" w:rsidR="00AF6339" w:rsidRDefault="00AF6339" w:rsidP="00AF6339">
      <w:pPr>
        <w:pStyle w:val="SingleTxt"/>
        <w:rPr>
          <w:b/>
          <w:bCs/>
          <w:lang w:val="fr-FR"/>
        </w:rPr>
      </w:pPr>
      <w:r w:rsidRPr="00AF6339">
        <w:rPr>
          <w:lang w:val="fr-FR"/>
        </w:rPr>
        <w:tab/>
        <w:t>b)</w:t>
      </w:r>
      <w:r w:rsidRPr="00AF6339">
        <w:rPr>
          <w:lang w:val="fr-FR"/>
        </w:rPr>
        <w:tab/>
      </w:r>
      <w:r w:rsidRPr="00AF6339">
        <w:rPr>
          <w:b/>
          <w:bCs/>
          <w:lang w:val="fr-FR"/>
        </w:rPr>
        <w:t>d</w:t>
      </w:r>
      <w:r w:rsidR="00740140">
        <w:rPr>
          <w:b/>
          <w:bCs/>
          <w:lang w:val="fr-FR"/>
        </w:rPr>
        <w:t>’</w:t>
      </w:r>
      <w:r w:rsidRPr="00AF6339">
        <w:rPr>
          <w:b/>
          <w:bCs/>
          <w:lang w:val="fr-FR"/>
        </w:rPr>
        <w:t>adopter des mesures temporaires spéciales promouvant la participation des femmes dans tous les domaines visés par la Convention dans lesquels elles sont sous-représentées ou désavantagées, comme la vie politique et l</w:t>
      </w:r>
      <w:r w:rsidR="00740140">
        <w:rPr>
          <w:b/>
          <w:bCs/>
          <w:lang w:val="fr-FR"/>
        </w:rPr>
        <w:t>’</w:t>
      </w:r>
      <w:r w:rsidRPr="00AF6339">
        <w:rPr>
          <w:b/>
          <w:bCs/>
          <w:lang w:val="fr-FR"/>
        </w:rPr>
        <w:t>emploi, notamment aux niveaux décisionnels</w:t>
      </w:r>
      <w:r w:rsidR="00740140">
        <w:rPr>
          <w:b/>
          <w:bCs/>
          <w:lang w:val="fr-FR"/>
        </w:rPr>
        <w:t> ;</w:t>
      </w:r>
      <w:r w:rsidRPr="00AF6339">
        <w:rPr>
          <w:b/>
          <w:bCs/>
          <w:lang w:val="fr-FR"/>
        </w:rPr>
        <w:t xml:space="preserve"> afin d</w:t>
      </w:r>
      <w:r w:rsidR="00740140">
        <w:rPr>
          <w:b/>
          <w:bCs/>
          <w:lang w:val="fr-FR"/>
        </w:rPr>
        <w:t>’</w:t>
      </w:r>
      <w:r w:rsidRPr="00AF6339">
        <w:rPr>
          <w:b/>
          <w:bCs/>
          <w:lang w:val="fr-FR"/>
        </w:rPr>
        <w:t>accélérer la réalisation de l</w:t>
      </w:r>
      <w:r w:rsidR="00740140">
        <w:rPr>
          <w:b/>
          <w:bCs/>
          <w:lang w:val="fr-FR"/>
        </w:rPr>
        <w:t>’</w:t>
      </w:r>
      <w:r w:rsidRPr="00AF6339">
        <w:rPr>
          <w:b/>
          <w:bCs/>
          <w:lang w:val="fr-FR"/>
        </w:rPr>
        <w:t>égalité réelle entre les femmes et les hommes, ces mesures devraient fixer des cibles et des repères soumis à un calendrier, ainsi que des sanctions pour les cas d</w:t>
      </w:r>
      <w:r w:rsidR="00740140">
        <w:rPr>
          <w:b/>
          <w:bCs/>
          <w:lang w:val="fr-FR"/>
        </w:rPr>
        <w:t>’</w:t>
      </w:r>
      <w:r w:rsidRPr="00AF6339">
        <w:rPr>
          <w:b/>
          <w:bCs/>
          <w:lang w:val="fr-FR"/>
        </w:rPr>
        <w:t>infraction.</w:t>
      </w:r>
    </w:p>
    <w:p w14:paraId="0CF4B50D" w14:textId="22D264CE" w:rsidR="00760397" w:rsidRPr="00760397" w:rsidRDefault="00760397" w:rsidP="00760397">
      <w:pPr>
        <w:pStyle w:val="SingleTxt"/>
        <w:spacing w:after="0" w:line="120" w:lineRule="exact"/>
        <w:rPr>
          <w:b/>
          <w:bCs/>
          <w:sz w:val="10"/>
          <w:lang w:val="fr-FR"/>
        </w:rPr>
      </w:pPr>
    </w:p>
    <w:p w14:paraId="2C6E74F9" w14:textId="3877FE6B" w:rsidR="00AF6339" w:rsidRDefault="00AF6339" w:rsidP="007603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lastRenderedPageBreak/>
        <w:tab/>
      </w:r>
      <w:r w:rsidRPr="00AF6339">
        <w:rPr>
          <w:lang w:val="fr-FR"/>
        </w:rPr>
        <w:tab/>
        <w:t xml:space="preserve">Stéréotypes </w:t>
      </w:r>
    </w:p>
    <w:p w14:paraId="6E68112E" w14:textId="29680866" w:rsidR="00760397" w:rsidRPr="00760397" w:rsidRDefault="00760397" w:rsidP="00760397">
      <w:pPr>
        <w:pStyle w:val="SingleTxt"/>
        <w:keepNext/>
        <w:keepLines/>
        <w:spacing w:after="0" w:line="120" w:lineRule="exact"/>
        <w:rPr>
          <w:sz w:val="10"/>
          <w:lang w:val="fr-FR"/>
        </w:rPr>
      </w:pPr>
    </w:p>
    <w:p w14:paraId="248A4E4C" w14:textId="38B485AB" w:rsidR="00AF6339" w:rsidRPr="00AF6339" w:rsidRDefault="00AF6339" w:rsidP="00760397">
      <w:pPr>
        <w:pStyle w:val="SingleTxt"/>
        <w:numPr>
          <w:ilvl w:val="0"/>
          <w:numId w:val="14"/>
        </w:numPr>
        <w:spacing w:line="240" w:lineRule="exact"/>
        <w:rPr>
          <w:lang w:val="fr-FR"/>
        </w:rPr>
      </w:pPr>
      <w:r w:rsidRPr="00AF6339">
        <w:rPr>
          <w:lang w:val="fr-FR"/>
        </w:rPr>
        <w:t>Le Comité note que les activités organisées pour lutter contre les stéréotypes discriminatoires, qui ressortissaient notamment à l</w:t>
      </w:r>
      <w:r w:rsidR="00740140">
        <w:rPr>
          <w:lang w:val="fr-FR"/>
        </w:rPr>
        <w:t>’</w:t>
      </w:r>
      <w:r w:rsidRPr="00AF6339">
        <w:rPr>
          <w:lang w:val="fr-FR"/>
        </w:rPr>
        <w:t>éducation et à la formation, à la promotion et à la défense de l</w:t>
      </w:r>
      <w:r w:rsidR="00740140">
        <w:rPr>
          <w:lang w:val="fr-FR"/>
        </w:rPr>
        <w:t>’</w:t>
      </w:r>
      <w:r w:rsidRPr="00AF6339">
        <w:rPr>
          <w:lang w:val="fr-FR"/>
        </w:rPr>
        <w:t>égalité des genres auprès de la population, visaient à éliminer les préjugés relatifs aux rôles des femmes et des hommes dans la famille et dans la société. Toutefois, il constate avec préoccupation que l</w:t>
      </w:r>
      <w:r w:rsidR="00740140">
        <w:rPr>
          <w:lang w:val="fr-FR"/>
        </w:rPr>
        <w:t>’</w:t>
      </w:r>
      <w:r w:rsidRPr="00AF6339">
        <w:rPr>
          <w:lang w:val="fr-FR"/>
        </w:rPr>
        <w:t>État partie n</w:t>
      </w:r>
      <w:r w:rsidR="00740140">
        <w:rPr>
          <w:lang w:val="fr-FR"/>
        </w:rPr>
        <w:t>’</w:t>
      </w:r>
      <w:r w:rsidRPr="00AF6339">
        <w:rPr>
          <w:lang w:val="fr-FR"/>
        </w:rPr>
        <w:t>a pas encore adopté de stratégie globale d</w:t>
      </w:r>
      <w:r w:rsidR="00740140">
        <w:rPr>
          <w:lang w:val="fr-FR"/>
        </w:rPr>
        <w:t>’</w:t>
      </w:r>
      <w:r w:rsidRPr="00AF6339">
        <w:rPr>
          <w:lang w:val="fr-FR"/>
        </w:rPr>
        <w:t>élimination des stéréotypes discriminatoires à l</w:t>
      </w:r>
      <w:r w:rsidR="00740140">
        <w:rPr>
          <w:lang w:val="fr-FR"/>
        </w:rPr>
        <w:t>’</w:t>
      </w:r>
      <w:r w:rsidRPr="00AF6339">
        <w:rPr>
          <w:lang w:val="fr-FR"/>
        </w:rPr>
        <w:t>égard des femmes.</w:t>
      </w:r>
    </w:p>
    <w:p w14:paraId="68EA8B47" w14:textId="069F532F" w:rsidR="00AF6339" w:rsidRPr="00760397" w:rsidRDefault="00AF6339" w:rsidP="00760397">
      <w:pPr>
        <w:pStyle w:val="SingleTxt"/>
        <w:numPr>
          <w:ilvl w:val="0"/>
          <w:numId w:val="14"/>
        </w:numPr>
        <w:spacing w:line="240" w:lineRule="exact"/>
        <w:rPr>
          <w:b/>
          <w:bCs/>
          <w:lang w:val="fr-FR"/>
        </w:rPr>
      </w:pPr>
      <w:r w:rsidRPr="00760397">
        <w:rPr>
          <w:b/>
          <w:bCs/>
          <w:lang w:val="fr-FR"/>
        </w:rPr>
        <w:t>Le Comité recommande à l</w:t>
      </w:r>
      <w:r w:rsidR="00740140">
        <w:rPr>
          <w:b/>
          <w:bCs/>
          <w:lang w:val="fr-FR"/>
        </w:rPr>
        <w:t>’</w:t>
      </w:r>
      <w:r w:rsidRPr="00760397">
        <w:rPr>
          <w:b/>
          <w:bCs/>
          <w:lang w:val="fr-FR"/>
        </w:rPr>
        <w:t>État partie</w:t>
      </w:r>
      <w:r w:rsidR="00740140">
        <w:rPr>
          <w:b/>
          <w:bCs/>
          <w:lang w:val="fr-FR"/>
        </w:rPr>
        <w:t> :</w:t>
      </w:r>
    </w:p>
    <w:p w14:paraId="08EE228D" w14:textId="52F275F4" w:rsidR="00AF6339" w:rsidRPr="00AF6339" w:rsidRDefault="00AF6339" w:rsidP="00AF6339">
      <w:pPr>
        <w:pStyle w:val="SingleTxt"/>
        <w:rPr>
          <w:lang w:val="fr-FR"/>
        </w:rPr>
      </w:pPr>
      <w:r w:rsidRPr="00AF6339">
        <w:rPr>
          <w:lang w:val="fr-FR"/>
        </w:rPr>
        <w:tab/>
        <w:t>a)</w:t>
      </w:r>
      <w:r w:rsidRPr="00AF6339">
        <w:rPr>
          <w:lang w:val="fr-FR"/>
        </w:rPr>
        <w:tab/>
      </w:r>
      <w:r w:rsidRPr="00AF6339">
        <w:rPr>
          <w:b/>
          <w:bCs/>
          <w:lang w:val="fr-FR"/>
        </w:rPr>
        <w:t>d</w:t>
      </w:r>
      <w:r w:rsidR="00740140">
        <w:rPr>
          <w:b/>
          <w:bCs/>
          <w:lang w:val="fr-FR"/>
        </w:rPr>
        <w:t>’</w:t>
      </w:r>
      <w:r w:rsidRPr="00AF6339">
        <w:rPr>
          <w:b/>
          <w:bCs/>
          <w:lang w:val="fr-FR"/>
        </w:rPr>
        <w:t>accélérer l</w:t>
      </w:r>
      <w:r w:rsidR="00740140">
        <w:rPr>
          <w:b/>
          <w:bCs/>
          <w:lang w:val="fr-FR"/>
        </w:rPr>
        <w:t>’</w:t>
      </w:r>
      <w:r w:rsidRPr="00AF6339">
        <w:rPr>
          <w:b/>
          <w:bCs/>
          <w:lang w:val="fr-FR"/>
        </w:rPr>
        <w:t>adoption d</w:t>
      </w:r>
      <w:r w:rsidR="00740140">
        <w:rPr>
          <w:b/>
          <w:bCs/>
          <w:lang w:val="fr-FR"/>
        </w:rPr>
        <w:t>’</w:t>
      </w:r>
      <w:r w:rsidRPr="00AF6339">
        <w:rPr>
          <w:b/>
          <w:bCs/>
          <w:lang w:val="fr-FR"/>
        </w:rPr>
        <w:t>une stratégie globale, dotée d</w:t>
      </w:r>
      <w:r w:rsidR="00740140">
        <w:rPr>
          <w:b/>
          <w:bCs/>
          <w:lang w:val="fr-FR"/>
        </w:rPr>
        <w:t>’</w:t>
      </w:r>
      <w:r w:rsidRPr="00AF6339">
        <w:rPr>
          <w:b/>
          <w:bCs/>
          <w:lang w:val="fr-FR"/>
        </w:rPr>
        <w:t>un budget propre et d</w:t>
      </w:r>
      <w:r w:rsidR="00740140">
        <w:rPr>
          <w:b/>
          <w:bCs/>
          <w:lang w:val="fr-FR"/>
        </w:rPr>
        <w:t>’</w:t>
      </w:r>
      <w:r w:rsidRPr="00AF6339">
        <w:rPr>
          <w:b/>
          <w:bCs/>
          <w:lang w:val="fr-FR"/>
        </w:rPr>
        <w:t>objectifs de résultats, axée sur l</w:t>
      </w:r>
      <w:r w:rsidR="00740140">
        <w:rPr>
          <w:b/>
          <w:bCs/>
          <w:lang w:val="fr-FR"/>
        </w:rPr>
        <w:t>’</w:t>
      </w:r>
      <w:r w:rsidRPr="00AF6339">
        <w:rPr>
          <w:b/>
          <w:bCs/>
          <w:lang w:val="fr-FR"/>
        </w:rPr>
        <w:t>élimination des stéréotypes discriminatoires concernant les rôles et les responsabilités des femmes et des hommes dans la famille et dans la société</w:t>
      </w:r>
      <w:r w:rsidR="00740140">
        <w:rPr>
          <w:b/>
          <w:bCs/>
          <w:lang w:val="fr-FR"/>
        </w:rPr>
        <w:t> ;</w:t>
      </w:r>
    </w:p>
    <w:p w14:paraId="32B02316" w14:textId="410B9723" w:rsidR="00AF6339" w:rsidRPr="00AF6339" w:rsidRDefault="00AF6339" w:rsidP="00AF6339">
      <w:pPr>
        <w:pStyle w:val="SingleTxt"/>
        <w:rPr>
          <w:lang w:val="fr-FR"/>
        </w:rPr>
      </w:pPr>
      <w:r w:rsidRPr="00AF6339">
        <w:rPr>
          <w:lang w:val="fr-FR"/>
        </w:rPr>
        <w:tab/>
        <w:t>b)</w:t>
      </w:r>
      <w:r w:rsidRPr="00AF6339">
        <w:rPr>
          <w:lang w:val="fr-FR"/>
        </w:rPr>
        <w:tab/>
      </w:r>
      <w:r w:rsidRPr="00AF6339">
        <w:rPr>
          <w:b/>
          <w:bCs/>
          <w:lang w:val="fr-FR"/>
        </w:rPr>
        <w:t>de désigner et d</w:t>
      </w:r>
      <w:r w:rsidR="00740140">
        <w:rPr>
          <w:b/>
          <w:bCs/>
          <w:lang w:val="fr-FR"/>
        </w:rPr>
        <w:t>’</w:t>
      </w:r>
      <w:r w:rsidRPr="00AF6339">
        <w:rPr>
          <w:b/>
          <w:bCs/>
          <w:lang w:val="fr-FR"/>
        </w:rPr>
        <w:t>établir les agences gouvernementales responsables de l</w:t>
      </w:r>
      <w:r w:rsidR="00740140">
        <w:rPr>
          <w:b/>
          <w:bCs/>
          <w:lang w:val="fr-FR"/>
        </w:rPr>
        <w:t>’</w:t>
      </w:r>
      <w:r w:rsidRPr="00AF6339">
        <w:rPr>
          <w:b/>
          <w:bCs/>
          <w:lang w:val="fr-FR"/>
        </w:rPr>
        <w:t>exécution et du suivi de cette stratégie, et d</w:t>
      </w:r>
      <w:r w:rsidR="00740140">
        <w:rPr>
          <w:b/>
          <w:bCs/>
          <w:lang w:val="fr-FR"/>
        </w:rPr>
        <w:t>’</w:t>
      </w:r>
      <w:r w:rsidRPr="00AF6339">
        <w:rPr>
          <w:b/>
          <w:bCs/>
          <w:lang w:val="fr-FR"/>
        </w:rPr>
        <w:t>en assurer la coordination intersectorielle</w:t>
      </w:r>
      <w:r w:rsidR="00740140">
        <w:rPr>
          <w:b/>
          <w:bCs/>
          <w:lang w:val="fr-FR"/>
        </w:rPr>
        <w:t> ;</w:t>
      </w:r>
    </w:p>
    <w:p w14:paraId="2A3ECEBF" w14:textId="7BFCAA6B" w:rsidR="00AF6339" w:rsidRDefault="00AF6339" w:rsidP="00AF6339">
      <w:pPr>
        <w:pStyle w:val="SingleTxt"/>
        <w:rPr>
          <w:b/>
          <w:bCs/>
          <w:lang w:val="fr-FR"/>
        </w:rPr>
      </w:pPr>
      <w:r w:rsidRPr="00AF6339">
        <w:rPr>
          <w:lang w:val="fr-FR"/>
        </w:rPr>
        <w:tab/>
        <w:t>c)</w:t>
      </w:r>
      <w:r w:rsidRPr="00AF6339">
        <w:rPr>
          <w:lang w:val="fr-FR"/>
        </w:rPr>
        <w:tab/>
      </w:r>
      <w:r w:rsidRPr="00AF6339">
        <w:rPr>
          <w:b/>
          <w:bCs/>
          <w:lang w:val="fr-FR"/>
        </w:rPr>
        <w:t>de continuer de sensibiliser les journalistes et autres professionnels des médias aux droits des femmes et à l</w:t>
      </w:r>
      <w:r w:rsidR="00740140">
        <w:rPr>
          <w:b/>
          <w:bCs/>
          <w:lang w:val="fr-FR"/>
        </w:rPr>
        <w:t>’</w:t>
      </w:r>
      <w:r w:rsidRPr="00AF6339">
        <w:rPr>
          <w:b/>
          <w:bCs/>
          <w:lang w:val="fr-FR"/>
        </w:rPr>
        <w:t>égalité des genres, et d</w:t>
      </w:r>
      <w:r w:rsidR="00740140">
        <w:rPr>
          <w:b/>
          <w:bCs/>
          <w:lang w:val="fr-FR"/>
        </w:rPr>
        <w:t>’</w:t>
      </w:r>
      <w:r w:rsidRPr="00AF6339">
        <w:rPr>
          <w:b/>
          <w:bCs/>
          <w:lang w:val="fr-FR"/>
        </w:rPr>
        <w:t>intégrer ces thématiques à leur formation, dans le but de déconstruire les stéréotypes discriminatoires liés aux genres.</w:t>
      </w:r>
    </w:p>
    <w:p w14:paraId="113E0B25" w14:textId="143E4A5C" w:rsidR="00760397" w:rsidRPr="00760397" w:rsidRDefault="00760397" w:rsidP="00760397">
      <w:pPr>
        <w:pStyle w:val="SingleTxt"/>
        <w:spacing w:after="0" w:line="120" w:lineRule="exact"/>
        <w:rPr>
          <w:b/>
          <w:bCs/>
          <w:sz w:val="10"/>
          <w:lang w:val="fr-FR"/>
        </w:rPr>
      </w:pPr>
    </w:p>
    <w:p w14:paraId="468E415D" w14:textId="7D42A4BB" w:rsidR="00AF6339" w:rsidRDefault="00AF6339" w:rsidP="007603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Violence à l</w:t>
      </w:r>
      <w:r w:rsidR="00740140">
        <w:rPr>
          <w:lang w:val="fr-FR"/>
        </w:rPr>
        <w:t>’</w:t>
      </w:r>
      <w:r w:rsidRPr="00AF6339">
        <w:rPr>
          <w:lang w:val="fr-FR"/>
        </w:rPr>
        <w:t>égard des femmes fondée sur le genre</w:t>
      </w:r>
    </w:p>
    <w:p w14:paraId="0BF10ADA" w14:textId="393A0FF5" w:rsidR="00760397" w:rsidRPr="00760397" w:rsidRDefault="00760397" w:rsidP="00760397">
      <w:pPr>
        <w:pStyle w:val="SingleTxt"/>
        <w:spacing w:after="0" w:line="120" w:lineRule="exact"/>
        <w:rPr>
          <w:sz w:val="10"/>
          <w:lang w:val="fr-FR"/>
        </w:rPr>
      </w:pPr>
    </w:p>
    <w:p w14:paraId="5A6E6DAB" w14:textId="22D521E2" w:rsidR="00AF6339" w:rsidRPr="00AF6339" w:rsidRDefault="00AF6339" w:rsidP="00760397">
      <w:pPr>
        <w:pStyle w:val="SingleTxt"/>
        <w:numPr>
          <w:ilvl w:val="0"/>
          <w:numId w:val="15"/>
        </w:numPr>
        <w:spacing w:line="240" w:lineRule="exact"/>
        <w:rPr>
          <w:lang w:val="fr-FR"/>
        </w:rPr>
      </w:pPr>
      <w:r w:rsidRPr="00AF6339">
        <w:rPr>
          <w:lang w:val="fr-FR"/>
        </w:rPr>
        <w:t>Le Comité se félicite que la loi relative à la lutte contre la violence domestique ait été modifiée, le 22 décembre 2016, dans le sens d</w:t>
      </w:r>
      <w:r w:rsidR="00740140">
        <w:rPr>
          <w:lang w:val="fr-FR"/>
        </w:rPr>
        <w:t>’</w:t>
      </w:r>
      <w:r w:rsidRPr="00AF6339">
        <w:rPr>
          <w:lang w:val="fr-FR"/>
        </w:rPr>
        <w:t>une criminalisation de la violence domestique, et qu</w:t>
      </w:r>
      <w:r w:rsidR="00740140">
        <w:rPr>
          <w:lang w:val="fr-FR"/>
        </w:rPr>
        <w:t>’</w:t>
      </w:r>
      <w:r w:rsidRPr="00AF6339">
        <w:rPr>
          <w:lang w:val="fr-FR"/>
        </w:rPr>
        <w:t>elle prévoie des mesures de protection des victimes et des témoins, qu</w:t>
      </w:r>
      <w:r w:rsidR="00740140">
        <w:rPr>
          <w:lang w:val="fr-FR"/>
        </w:rPr>
        <w:t>’</w:t>
      </w:r>
      <w:r w:rsidRPr="00AF6339">
        <w:rPr>
          <w:lang w:val="fr-FR"/>
        </w:rPr>
        <w:t>elle définisse des rôles intersectoriels et qu</w:t>
      </w:r>
      <w:r w:rsidR="00740140">
        <w:rPr>
          <w:lang w:val="fr-FR"/>
        </w:rPr>
        <w:t>’</w:t>
      </w:r>
      <w:r w:rsidRPr="00AF6339">
        <w:rPr>
          <w:lang w:val="fr-FR"/>
        </w:rPr>
        <w:t>elle accrédite des organisations non-gouvernementales en tant que prestataires de services en matière de renforcement des capacités et pour la gestion des refuges. Il salue la création d</w:t>
      </w:r>
      <w:r w:rsidR="00740140">
        <w:rPr>
          <w:lang w:val="fr-FR"/>
        </w:rPr>
        <w:t>’</w:t>
      </w:r>
      <w:r w:rsidRPr="00AF6339">
        <w:rPr>
          <w:lang w:val="fr-FR"/>
        </w:rPr>
        <w:t>une unité consacrée à la violence domestique au sein de la Direction générale de la police, ainsi que la nomination, dans chaque poste de police, d</w:t>
      </w:r>
      <w:r w:rsidR="00740140">
        <w:rPr>
          <w:lang w:val="fr-FR"/>
        </w:rPr>
        <w:t>’</w:t>
      </w:r>
      <w:r w:rsidRPr="00AF6339">
        <w:rPr>
          <w:lang w:val="fr-FR"/>
        </w:rPr>
        <w:t>un agent en charge de la prévention de la violence domestique et des crimes contre les enfants. En outre, il prend note des mesures adoptées afin de prévenir la violence contre les femmes et les filles fondée sur le genre, telles que la conférence nationale sur la coopération multilatérale en matière de lutte contre la violence domestique, qui a lieu annuellement depuis 2017, les campagnes organisées dans tout le pays, chaque année, à l</w:t>
      </w:r>
      <w:r w:rsidR="00740140">
        <w:rPr>
          <w:lang w:val="fr-FR"/>
        </w:rPr>
        <w:t>’</w:t>
      </w:r>
      <w:r w:rsidRPr="00AF6339">
        <w:rPr>
          <w:lang w:val="fr-FR"/>
        </w:rPr>
        <w:t>occasion de la Journée internationale pour l</w:t>
      </w:r>
      <w:r w:rsidR="00740140">
        <w:rPr>
          <w:lang w:val="fr-FR"/>
        </w:rPr>
        <w:t>’</w:t>
      </w:r>
      <w:r w:rsidRPr="00AF6339">
        <w:rPr>
          <w:lang w:val="fr-FR"/>
        </w:rPr>
        <w:t>élimination de la violence à l</w:t>
      </w:r>
      <w:r w:rsidR="00740140">
        <w:rPr>
          <w:lang w:val="fr-FR"/>
        </w:rPr>
        <w:t>’</w:t>
      </w:r>
      <w:r w:rsidRPr="00AF6339">
        <w:rPr>
          <w:lang w:val="fr-FR"/>
        </w:rPr>
        <w:t>égard des femmes (25 novembre), et l</w:t>
      </w:r>
      <w:r w:rsidR="00740140">
        <w:rPr>
          <w:lang w:val="fr-FR"/>
        </w:rPr>
        <w:t>’</w:t>
      </w:r>
      <w:r w:rsidRPr="00AF6339">
        <w:rPr>
          <w:lang w:val="fr-FR"/>
        </w:rPr>
        <w:t>ouverture de 14 nouveaux refuges temporaires et de 15 centres de services intégrés pour les victimes de violence domestique à travers l</w:t>
      </w:r>
      <w:r w:rsidR="00740140">
        <w:rPr>
          <w:lang w:val="fr-FR"/>
        </w:rPr>
        <w:t>’</w:t>
      </w:r>
      <w:r w:rsidRPr="00AF6339">
        <w:rPr>
          <w:lang w:val="fr-FR"/>
        </w:rPr>
        <w:t>État partie. Il constate néanmoins avec préoccupation</w:t>
      </w:r>
      <w:r w:rsidR="00740140">
        <w:rPr>
          <w:lang w:val="fr-FR"/>
        </w:rPr>
        <w:t> :</w:t>
      </w:r>
    </w:p>
    <w:p w14:paraId="59720DA4" w14:textId="676F5C10" w:rsidR="00AF6339" w:rsidRPr="00AF6339" w:rsidRDefault="00AF6339" w:rsidP="00AF6339">
      <w:pPr>
        <w:pStyle w:val="SingleTxt"/>
        <w:rPr>
          <w:lang w:val="fr-FR"/>
        </w:rPr>
      </w:pPr>
      <w:r w:rsidRPr="00AF6339">
        <w:rPr>
          <w:lang w:val="fr-FR"/>
        </w:rPr>
        <w:tab/>
        <w:t>a)</w:t>
      </w:r>
      <w:r w:rsidRPr="00AF6339">
        <w:rPr>
          <w:lang w:val="fr-FR"/>
        </w:rPr>
        <w:tab/>
        <w:t>qu</w:t>
      </w:r>
      <w:r w:rsidR="00740140">
        <w:rPr>
          <w:lang w:val="fr-FR"/>
        </w:rPr>
        <w:t>’</w:t>
      </w:r>
      <w:r w:rsidRPr="00AF6339">
        <w:rPr>
          <w:lang w:val="fr-FR"/>
        </w:rPr>
        <w:t>un faible nombre de poursuites sont intentées en vertu de la nouvelle version de la loi relative à la violence domestique</w:t>
      </w:r>
      <w:r w:rsidR="00740140">
        <w:rPr>
          <w:lang w:val="fr-FR"/>
        </w:rPr>
        <w:t> ;</w:t>
      </w:r>
    </w:p>
    <w:p w14:paraId="0782223A" w14:textId="44E371A6" w:rsidR="00AF6339" w:rsidRPr="00AF6339" w:rsidRDefault="00AF6339" w:rsidP="00AF6339">
      <w:pPr>
        <w:pStyle w:val="SingleTxt"/>
        <w:rPr>
          <w:lang w:val="fr-FR"/>
        </w:rPr>
      </w:pPr>
      <w:r w:rsidRPr="00AF6339">
        <w:rPr>
          <w:lang w:val="fr-FR"/>
        </w:rPr>
        <w:tab/>
        <w:t>b)</w:t>
      </w:r>
      <w:r w:rsidRPr="00AF6339">
        <w:rPr>
          <w:lang w:val="fr-FR"/>
        </w:rPr>
        <w:tab/>
        <w:t>que juges, procureurs, policiers, travailleurs sociaux, psychologues, personnels médicaux et dirigeants n</w:t>
      </w:r>
      <w:r w:rsidR="00740140">
        <w:rPr>
          <w:lang w:val="fr-FR"/>
        </w:rPr>
        <w:t>’</w:t>
      </w:r>
      <w:r w:rsidRPr="00AF6339">
        <w:rPr>
          <w:lang w:val="fr-FR"/>
        </w:rPr>
        <w:t>ont qu</w:t>
      </w:r>
      <w:r w:rsidR="00740140">
        <w:rPr>
          <w:lang w:val="fr-FR"/>
        </w:rPr>
        <w:t>’</w:t>
      </w:r>
      <w:r w:rsidRPr="00AF6339">
        <w:rPr>
          <w:lang w:val="fr-FR"/>
        </w:rPr>
        <w:t>une compréhension restreinte des mécanismes à l</w:t>
      </w:r>
      <w:r w:rsidR="00740140">
        <w:rPr>
          <w:lang w:val="fr-FR"/>
        </w:rPr>
        <w:t>’</w:t>
      </w:r>
      <w:r w:rsidRPr="00AF6339">
        <w:rPr>
          <w:lang w:val="fr-FR"/>
        </w:rPr>
        <w:t>œuvre dans la violence domestique et de leurs responsabilités en matière de lutte contre ce phénomène</w:t>
      </w:r>
      <w:r w:rsidR="00740140">
        <w:rPr>
          <w:lang w:val="fr-FR"/>
        </w:rPr>
        <w:t> ;</w:t>
      </w:r>
    </w:p>
    <w:p w14:paraId="2667AFC9" w14:textId="62E4D6C8" w:rsidR="00AF6339" w:rsidRPr="00AF6339" w:rsidRDefault="00AF6339" w:rsidP="00AF6339">
      <w:pPr>
        <w:pStyle w:val="SingleTxt"/>
        <w:rPr>
          <w:lang w:val="fr-FR"/>
        </w:rPr>
      </w:pPr>
      <w:r w:rsidRPr="00AF6339">
        <w:rPr>
          <w:lang w:val="fr-FR"/>
        </w:rPr>
        <w:tab/>
        <w:t>c)</w:t>
      </w:r>
      <w:r w:rsidRPr="00AF6339">
        <w:rPr>
          <w:lang w:val="fr-FR"/>
        </w:rPr>
        <w:tab/>
        <w:t>que la fourniture des services pluridisciplinaires prévus par la loi relative à la violence domestique demeure incohérente et limitée en raison du manque de financements, ce qui a pour conséquence l</w:t>
      </w:r>
      <w:r w:rsidR="00740140">
        <w:rPr>
          <w:lang w:val="fr-FR"/>
        </w:rPr>
        <w:t>’</w:t>
      </w:r>
      <w:r w:rsidRPr="00AF6339">
        <w:rPr>
          <w:lang w:val="fr-FR"/>
        </w:rPr>
        <w:t>inadaptation de la prévention et de la riposte</w:t>
      </w:r>
      <w:r w:rsidR="00740140">
        <w:rPr>
          <w:lang w:val="fr-FR"/>
        </w:rPr>
        <w:t> ;</w:t>
      </w:r>
    </w:p>
    <w:p w14:paraId="72CF8C01" w14:textId="77777777" w:rsidR="00AF6339" w:rsidRPr="00AF6339" w:rsidRDefault="00AF6339" w:rsidP="00AF6339">
      <w:pPr>
        <w:pStyle w:val="SingleTxt"/>
        <w:rPr>
          <w:lang w:val="fr-FR"/>
        </w:rPr>
      </w:pPr>
      <w:r w:rsidRPr="00AF6339">
        <w:rPr>
          <w:lang w:val="fr-FR"/>
        </w:rPr>
        <w:lastRenderedPageBreak/>
        <w:tab/>
        <w:t>d)</w:t>
      </w:r>
      <w:r w:rsidRPr="00AF6339">
        <w:rPr>
          <w:lang w:val="fr-FR"/>
        </w:rPr>
        <w:tab/>
        <w:t>que les tribunaux spécialisés dans les affaires de violence fondée sur le genre manquent.</w:t>
      </w:r>
    </w:p>
    <w:p w14:paraId="1F3B0856" w14:textId="3A8344AF" w:rsidR="00AF6339" w:rsidRPr="00760397" w:rsidRDefault="00AF6339" w:rsidP="00760397">
      <w:pPr>
        <w:pStyle w:val="SingleTxt"/>
        <w:numPr>
          <w:ilvl w:val="0"/>
          <w:numId w:val="15"/>
        </w:numPr>
        <w:spacing w:line="240" w:lineRule="exact"/>
        <w:rPr>
          <w:b/>
          <w:bCs/>
          <w:lang w:val="fr-FR"/>
        </w:rPr>
      </w:pPr>
      <w:r w:rsidRPr="00760397">
        <w:rPr>
          <w:b/>
          <w:bCs/>
          <w:lang w:val="fr-FR"/>
        </w:rPr>
        <w:t>Rappelant sa recommandation générale n</w:t>
      </w:r>
      <w:r w:rsidRPr="00760397">
        <w:rPr>
          <w:b/>
          <w:bCs/>
          <w:vertAlign w:val="superscript"/>
          <w:lang w:val="fr-FR"/>
        </w:rPr>
        <w:t>o </w:t>
      </w:r>
      <w:r w:rsidRPr="00760397">
        <w:rPr>
          <w:b/>
          <w:bCs/>
          <w:lang w:val="fr-FR"/>
        </w:rPr>
        <w:t>35 (2017)</w:t>
      </w:r>
      <w:r w:rsidRPr="00760397">
        <w:rPr>
          <w:b/>
          <w:bCs/>
          <w:lang w:val="fr-FR"/>
        </w:rPr>
        <w:t xml:space="preserve"> sur la violence à l</w:t>
      </w:r>
      <w:r w:rsidR="00740140">
        <w:rPr>
          <w:b/>
          <w:bCs/>
          <w:lang w:val="fr-FR"/>
        </w:rPr>
        <w:t>’</w:t>
      </w:r>
      <w:r w:rsidRPr="00760397">
        <w:rPr>
          <w:b/>
          <w:bCs/>
          <w:lang w:val="fr-FR"/>
        </w:rPr>
        <w:t>égard des femmes fondée sur le genre, portant actualisation de sa recommandation générale n</w:t>
      </w:r>
      <w:r w:rsidRPr="00760397">
        <w:rPr>
          <w:b/>
          <w:bCs/>
          <w:vertAlign w:val="superscript"/>
          <w:lang w:val="fr-FR"/>
        </w:rPr>
        <w:t>o </w:t>
      </w:r>
      <w:r w:rsidRPr="00760397">
        <w:rPr>
          <w:b/>
          <w:bCs/>
          <w:lang w:val="fr-FR"/>
        </w:rPr>
        <w:t>19, et conformément à la cible 5.2 des objectifs de développement durable visant à éliminer de la vie publique et de la vie privée toutes les formes de violence faite aux femmes et aux filles, le Comité prie instamment l</w:t>
      </w:r>
      <w:r w:rsidR="00740140">
        <w:rPr>
          <w:b/>
          <w:bCs/>
          <w:lang w:val="fr-FR"/>
        </w:rPr>
        <w:t>’</w:t>
      </w:r>
      <w:r w:rsidRPr="00760397">
        <w:rPr>
          <w:b/>
          <w:bCs/>
          <w:lang w:val="fr-FR"/>
        </w:rPr>
        <w:t>État partie</w:t>
      </w:r>
      <w:r w:rsidR="00740140">
        <w:rPr>
          <w:b/>
          <w:bCs/>
          <w:lang w:val="fr-FR"/>
        </w:rPr>
        <w:t> :</w:t>
      </w:r>
    </w:p>
    <w:p w14:paraId="36BB9C64" w14:textId="19EE027F" w:rsidR="00AF6339" w:rsidRPr="00AF6339" w:rsidRDefault="00AF6339" w:rsidP="00AF6339">
      <w:pPr>
        <w:pStyle w:val="SingleTxt"/>
        <w:rPr>
          <w:lang w:val="fr-FR"/>
        </w:rPr>
      </w:pPr>
      <w:r w:rsidRPr="00AF6339">
        <w:rPr>
          <w:lang w:val="fr-FR"/>
        </w:rPr>
        <w:tab/>
        <w:t>a)</w:t>
      </w:r>
      <w:r w:rsidRPr="00AF6339">
        <w:rPr>
          <w:lang w:val="fr-FR"/>
        </w:rPr>
        <w:tab/>
      </w:r>
      <w:r w:rsidRPr="00AF6339">
        <w:rPr>
          <w:b/>
          <w:bCs/>
          <w:lang w:val="fr-FR"/>
        </w:rPr>
        <w:t>de veiller à ce que les auteurs de violence domestique soient poursuivis et sanctionnés de manière adéquate, et que les sanctions prévues par la loi relative à la violence domestique soient strictement appliquées</w:t>
      </w:r>
      <w:r w:rsidR="00740140">
        <w:rPr>
          <w:b/>
          <w:bCs/>
          <w:lang w:val="fr-FR"/>
        </w:rPr>
        <w:t> ;</w:t>
      </w:r>
    </w:p>
    <w:p w14:paraId="566B774D" w14:textId="3EAF9161" w:rsidR="00AF6339" w:rsidRPr="00AF6339" w:rsidRDefault="00AF6339" w:rsidP="00AF6339">
      <w:pPr>
        <w:pStyle w:val="SingleTxt"/>
        <w:rPr>
          <w:lang w:val="fr-FR"/>
        </w:rPr>
      </w:pPr>
      <w:r w:rsidRPr="00AF6339">
        <w:rPr>
          <w:lang w:val="fr-FR"/>
        </w:rPr>
        <w:tab/>
        <w:t>b)</w:t>
      </w:r>
      <w:r w:rsidRPr="00AF6339">
        <w:rPr>
          <w:lang w:val="fr-FR"/>
        </w:rPr>
        <w:tab/>
      </w:r>
      <w:r w:rsidRPr="00AF6339">
        <w:rPr>
          <w:b/>
          <w:bCs/>
          <w:lang w:val="fr-FR"/>
        </w:rPr>
        <w:t>d</w:t>
      </w:r>
      <w:r w:rsidR="00740140">
        <w:rPr>
          <w:b/>
          <w:bCs/>
          <w:lang w:val="fr-FR"/>
        </w:rPr>
        <w:t>’</w:t>
      </w:r>
      <w:r w:rsidRPr="00AF6339">
        <w:rPr>
          <w:b/>
          <w:bCs/>
          <w:lang w:val="fr-FR"/>
        </w:rPr>
        <w:t>améliorer les programmes obligatoires de renforcement des compétences pour les juges, les procureurs, les policiers, les travailleurs sociaux, les psychologues, les personnels médicaux et les gouvernants, afin que ceux-ci tiennent compte des questions de genre au cours des procédures d</w:t>
      </w:r>
      <w:r w:rsidR="00740140">
        <w:rPr>
          <w:b/>
          <w:bCs/>
          <w:lang w:val="fr-FR"/>
        </w:rPr>
        <w:t>’</w:t>
      </w:r>
      <w:r w:rsidRPr="00AF6339">
        <w:rPr>
          <w:b/>
          <w:bCs/>
          <w:lang w:val="fr-FR"/>
        </w:rPr>
        <w:t>enquête et des interrogatoires en lien avec des affaires de violence à l</w:t>
      </w:r>
      <w:r w:rsidR="00740140">
        <w:rPr>
          <w:b/>
          <w:bCs/>
          <w:lang w:val="fr-FR"/>
        </w:rPr>
        <w:t>’</w:t>
      </w:r>
      <w:r w:rsidRPr="00AF6339">
        <w:rPr>
          <w:b/>
          <w:bCs/>
          <w:lang w:val="fr-FR"/>
        </w:rPr>
        <w:t>égard des femmes fondée sur le genre, en particulier lorsqu</w:t>
      </w:r>
      <w:r w:rsidR="00740140">
        <w:rPr>
          <w:b/>
          <w:bCs/>
          <w:lang w:val="fr-FR"/>
        </w:rPr>
        <w:t>’</w:t>
      </w:r>
      <w:r w:rsidRPr="00AF6339">
        <w:rPr>
          <w:b/>
          <w:bCs/>
          <w:lang w:val="fr-FR"/>
        </w:rPr>
        <w:t>il s</w:t>
      </w:r>
      <w:r w:rsidR="00740140">
        <w:rPr>
          <w:b/>
          <w:bCs/>
          <w:lang w:val="fr-FR"/>
        </w:rPr>
        <w:t>’</w:t>
      </w:r>
      <w:r w:rsidRPr="00AF6339">
        <w:rPr>
          <w:b/>
          <w:bCs/>
          <w:lang w:val="fr-FR"/>
        </w:rPr>
        <w:t>agit de femmes lesbiennes, bisexuelles, transgenres ou intersexes ou de femmes handicapées, et afin qu</w:t>
      </w:r>
      <w:r w:rsidR="00740140">
        <w:rPr>
          <w:b/>
          <w:bCs/>
          <w:lang w:val="fr-FR"/>
        </w:rPr>
        <w:t>’</w:t>
      </w:r>
      <w:r w:rsidRPr="00AF6339">
        <w:rPr>
          <w:b/>
          <w:bCs/>
          <w:lang w:val="fr-FR"/>
        </w:rPr>
        <w:t>ils appliquent strictement la législation en matière de criminalisation de ce type de violence</w:t>
      </w:r>
      <w:r w:rsidR="00740140">
        <w:rPr>
          <w:b/>
          <w:bCs/>
          <w:lang w:val="fr-FR"/>
        </w:rPr>
        <w:t> ;</w:t>
      </w:r>
    </w:p>
    <w:p w14:paraId="73CCB00B" w14:textId="07309CBF" w:rsidR="00AF6339" w:rsidRPr="00AF6339" w:rsidRDefault="00AF6339" w:rsidP="00AF6339">
      <w:pPr>
        <w:pStyle w:val="SingleTxt"/>
        <w:rPr>
          <w:lang w:val="fr-FR"/>
        </w:rPr>
      </w:pPr>
      <w:r w:rsidRPr="00AF6339">
        <w:rPr>
          <w:lang w:val="fr-FR"/>
        </w:rPr>
        <w:tab/>
        <w:t>c)</w:t>
      </w:r>
      <w:r w:rsidRPr="00AF6339">
        <w:rPr>
          <w:lang w:val="fr-FR"/>
        </w:rPr>
        <w:tab/>
      </w:r>
      <w:r w:rsidRPr="00AF6339">
        <w:rPr>
          <w:b/>
          <w:bCs/>
          <w:lang w:val="fr-FR"/>
        </w:rPr>
        <w:t>de renforcer les services d</w:t>
      </w:r>
      <w:r w:rsidR="00740140">
        <w:rPr>
          <w:b/>
          <w:bCs/>
          <w:lang w:val="fr-FR"/>
        </w:rPr>
        <w:t>’</w:t>
      </w:r>
      <w:r w:rsidRPr="00AF6339">
        <w:rPr>
          <w:b/>
          <w:bCs/>
          <w:lang w:val="fr-FR"/>
        </w:rPr>
        <w:t>aide aux femmes rescapées de violence fondée sur le genre afin qu</w:t>
      </w:r>
      <w:r w:rsidR="00740140">
        <w:rPr>
          <w:b/>
          <w:bCs/>
          <w:lang w:val="fr-FR"/>
        </w:rPr>
        <w:t>’</w:t>
      </w:r>
      <w:r w:rsidRPr="00AF6339">
        <w:rPr>
          <w:b/>
          <w:bCs/>
          <w:lang w:val="fr-FR"/>
        </w:rPr>
        <w:t>ils répondent aux besoins, en particulier en ce qui concerne l</w:t>
      </w:r>
      <w:r w:rsidR="00740140">
        <w:rPr>
          <w:b/>
          <w:bCs/>
          <w:lang w:val="fr-FR"/>
        </w:rPr>
        <w:t>’</w:t>
      </w:r>
      <w:r w:rsidRPr="00AF6339">
        <w:rPr>
          <w:b/>
          <w:bCs/>
          <w:lang w:val="fr-FR"/>
        </w:rPr>
        <w:t>accompagnement psychologique et les programmes de réhabilitation à long terme, et de leur allouer les fonds garantissant leur pérennité</w:t>
      </w:r>
      <w:r w:rsidR="00740140">
        <w:rPr>
          <w:b/>
          <w:bCs/>
          <w:lang w:val="fr-FR"/>
        </w:rPr>
        <w:t> ;</w:t>
      </w:r>
    </w:p>
    <w:p w14:paraId="0E8A857E" w14:textId="14C3D9F1" w:rsidR="00AF6339" w:rsidRDefault="00AF6339" w:rsidP="00AF6339">
      <w:pPr>
        <w:pStyle w:val="SingleTxt"/>
        <w:rPr>
          <w:b/>
          <w:bCs/>
          <w:lang w:val="fr-FR"/>
        </w:rPr>
      </w:pPr>
      <w:r w:rsidRPr="00AF6339">
        <w:rPr>
          <w:lang w:val="fr-FR"/>
        </w:rPr>
        <w:tab/>
        <w:t>d)</w:t>
      </w:r>
      <w:r w:rsidRPr="00AF6339">
        <w:rPr>
          <w:lang w:val="fr-FR"/>
        </w:rPr>
        <w:tab/>
      </w:r>
      <w:r w:rsidRPr="00AF6339">
        <w:rPr>
          <w:b/>
          <w:bCs/>
          <w:lang w:val="fr-FR"/>
        </w:rPr>
        <w:t>d</w:t>
      </w:r>
      <w:r w:rsidR="00740140">
        <w:rPr>
          <w:b/>
          <w:bCs/>
          <w:lang w:val="fr-FR"/>
        </w:rPr>
        <w:t>’</w:t>
      </w:r>
      <w:r w:rsidRPr="00AF6339">
        <w:rPr>
          <w:b/>
          <w:bCs/>
          <w:lang w:val="fr-FR"/>
        </w:rPr>
        <w:t>établir des tribunaux spéciaux où juger les affaires de violence à l</w:t>
      </w:r>
      <w:r w:rsidR="00740140">
        <w:rPr>
          <w:b/>
          <w:bCs/>
          <w:lang w:val="fr-FR"/>
        </w:rPr>
        <w:t>’</w:t>
      </w:r>
      <w:r w:rsidRPr="00AF6339">
        <w:rPr>
          <w:b/>
          <w:bCs/>
          <w:lang w:val="fr-FR"/>
        </w:rPr>
        <w:t>égard des femmes fondée sur le genre.</w:t>
      </w:r>
    </w:p>
    <w:p w14:paraId="4A276653" w14:textId="648D5032" w:rsidR="00760397" w:rsidRPr="00760397" w:rsidRDefault="00760397" w:rsidP="00760397">
      <w:pPr>
        <w:pStyle w:val="SingleTxt"/>
        <w:spacing w:after="0" w:line="120" w:lineRule="exact"/>
        <w:rPr>
          <w:b/>
          <w:bCs/>
          <w:sz w:val="10"/>
          <w:lang w:val="fr-FR"/>
        </w:rPr>
      </w:pPr>
    </w:p>
    <w:p w14:paraId="732FF109" w14:textId="72AC24AC" w:rsidR="00AF6339" w:rsidRDefault="00AF6339" w:rsidP="007603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Traite et exploitation de la prostitution</w:t>
      </w:r>
    </w:p>
    <w:p w14:paraId="5107CE79" w14:textId="3388D8B1" w:rsidR="00760397" w:rsidRPr="00760397" w:rsidRDefault="00760397" w:rsidP="00760397">
      <w:pPr>
        <w:pStyle w:val="SingleTxt"/>
        <w:spacing w:after="0" w:line="120" w:lineRule="exact"/>
        <w:rPr>
          <w:sz w:val="10"/>
          <w:lang w:val="fr-FR"/>
        </w:rPr>
      </w:pPr>
    </w:p>
    <w:p w14:paraId="113EE44D" w14:textId="5876C0EF" w:rsidR="00AF6339" w:rsidRPr="00AF6339" w:rsidRDefault="00AF6339" w:rsidP="00760397">
      <w:pPr>
        <w:pStyle w:val="SingleTxt"/>
        <w:numPr>
          <w:ilvl w:val="0"/>
          <w:numId w:val="16"/>
        </w:numPr>
        <w:spacing w:line="240" w:lineRule="exact"/>
        <w:rPr>
          <w:lang w:val="fr-FR"/>
        </w:rPr>
      </w:pPr>
      <w:r w:rsidRPr="00AF6339">
        <w:rPr>
          <w:lang w:val="fr-FR"/>
        </w:rPr>
        <w:t>Le Comité prend note de l</w:t>
      </w:r>
      <w:r w:rsidR="00740140">
        <w:rPr>
          <w:lang w:val="fr-FR"/>
        </w:rPr>
        <w:t>’</w:t>
      </w:r>
      <w:r w:rsidRPr="00AF6339">
        <w:rPr>
          <w:lang w:val="fr-FR"/>
        </w:rPr>
        <w:t>adoption d</w:t>
      </w:r>
      <w:r w:rsidR="00740140">
        <w:rPr>
          <w:lang w:val="fr-FR"/>
        </w:rPr>
        <w:t>’</w:t>
      </w:r>
      <w:r w:rsidRPr="00AF6339">
        <w:rPr>
          <w:lang w:val="fr-FR"/>
        </w:rPr>
        <w:t>un plan national de lutte contre la traite des personnes, approuvé en 2017, et de la création d</w:t>
      </w:r>
      <w:r w:rsidR="00740140">
        <w:rPr>
          <w:lang w:val="fr-FR"/>
        </w:rPr>
        <w:t>’</w:t>
      </w:r>
      <w:r w:rsidRPr="00AF6339">
        <w:rPr>
          <w:lang w:val="fr-FR"/>
        </w:rPr>
        <w:t>un sous-comité de coordination et de prévention, chargé de superviser la mise en application de la loi relative à la lutte contre la traite. Cependant, le Comité est préoccupé par</w:t>
      </w:r>
      <w:r w:rsidR="00740140">
        <w:rPr>
          <w:lang w:val="fr-FR"/>
        </w:rPr>
        <w:t> :</w:t>
      </w:r>
    </w:p>
    <w:p w14:paraId="34C92588" w14:textId="0831B045" w:rsidR="00AF6339" w:rsidRPr="00AF6339" w:rsidRDefault="00AF6339" w:rsidP="00AF6339">
      <w:pPr>
        <w:pStyle w:val="SingleTxt"/>
        <w:rPr>
          <w:lang w:val="fr-FR"/>
        </w:rPr>
      </w:pPr>
      <w:r w:rsidRPr="00AF6339">
        <w:rPr>
          <w:lang w:val="fr-FR"/>
        </w:rPr>
        <w:tab/>
        <w:t>a)</w:t>
      </w:r>
      <w:r w:rsidRPr="00AF6339">
        <w:rPr>
          <w:lang w:val="fr-FR"/>
        </w:rPr>
        <w:tab/>
        <w:t>le caractère limité des ressources financières allouées à la mise en application de la loi relative à la lutte contre la traite, en particulier aux programmes de prévention destinés à combattre les causes profondes de la traite des filles issues de familles pauvres, et la dotation insuffisante des programmes de protection et de réhabilitation pour les femmes et les filles victimes de la traite</w:t>
      </w:r>
      <w:r w:rsidR="00740140">
        <w:rPr>
          <w:lang w:val="fr-FR"/>
        </w:rPr>
        <w:t> ;</w:t>
      </w:r>
    </w:p>
    <w:p w14:paraId="23B197CB" w14:textId="4D766694" w:rsidR="00AF6339" w:rsidRPr="00AF6339" w:rsidRDefault="00AF6339" w:rsidP="00AF6339">
      <w:pPr>
        <w:pStyle w:val="SingleTxt"/>
        <w:rPr>
          <w:lang w:val="fr-FR"/>
        </w:rPr>
      </w:pPr>
      <w:r w:rsidRPr="00AF6339">
        <w:rPr>
          <w:lang w:val="fr-FR"/>
        </w:rPr>
        <w:tab/>
        <w:t>b)</w:t>
      </w:r>
      <w:r w:rsidRPr="00AF6339">
        <w:rPr>
          <w:lang w:val="fr-FR"/>
        </w:rPr>
        <w:tab/>
        <w:t>le faible nombre de plaintes, d</w:t>
      </w:r>
      <w:r w:rsidR="00740140">
        <w:rPr>
          <w:lang w:val="fr-FR"/>
        </w:rPr>
        <w:t>’</w:t>
      </w:r>
      <w:r w:rsidRPr="00AF6339">
        <w:rPr>
          <w:lang w:val="fr-FR"/>
        </w:rPr>
        <w:t>enquêtes, de poursuites et de condamnations concernant des affaires de traite des femmes et des filles</w:t>
      </w:r>
      <w:r w:rsidR="00740140">
        <w:rPr>
          <w:lang w:val="fr-FR"/>
        </w:rPr>
        <w:t> ;</w:t>
      </w:r>
    </w:p>
    <w:p w14:paraId="6F1901DD" w14:textId="015F13A3" w:rsidR="00AF6339" w:rsidRPr="00AF6339" w:rsidRDefault="00AF6339" w:rsidP="00AF6339">
      <w:pPr>
        <w:pStyle w:val="SingleTxt"/>
        <w:rPr>
          <w:lang w:val="fr-FR"/>
        </w:rPr>
      </w:pPr>
      <w:r w:rsidRPr="00AF6339">
        <w:rPr>
          <w:lang w:val="fr-FR"/>
        </w:rPr>
        <w:tab/>
        <w:t>c)</w:t>
      </w:r>
      <w:r w:rsidRPr="00AF6339">
        <w:rPr>
          <w:lang w:val="fr-FR"/>
        </w:rPr>
        <w:tab/>
        <w:t>le caractère limité du renforcement des compétences du personnel judiciaire et des agents chargés de l</w:t>
      </w:r>
      <w:r w:rsidR="00740140">
        <w:rPr>
          <w:lang w:val="fr-FR"/>
        </w:rPr>
        <w:t>’</w:t>
      </w:r>
      <w:r w:rsidRPr="00AF6339">
        <w:rPr>
          <w:lang w:val="fr-FR"/>
        </w:rPr>
        <w:t>application des lois en ce qui concerne la prise en compte du genre dans les enquêtes et les interrogatoires liés à des affaires de traite des femmes et des filles</w:t>
      </w:r>
      <w:r w:rsidR="00740140">
        <w:rPr>
          <w:lang w:val="fr-FR"/>
        </w:rPr>
        <w:t> ;</w:t>
      </w:r>
    </w:p>
    <w:p w14:paraId="2D696130" w14:textId="7A17FF55" w:rsidR="00AF6339" w:rsidRPr="00AF6339" w:rsidRDefault="00AF6339" w:rsidP="00AF6339">
      <w:pPr>
        <w:pStyle w:val="SingleTxt"/>
        <w:rPr>
          <w:lang w:val="fr-FR"/>
        </w:rPr>
      </w:pPr>
      <w:r w:rsidRPr="00AF6339">
        <w:rPr>
          <w:lang w:val="fr-FR"/>
        </w:rPr>
        <w:tab/>
        <w:t>d)</w:t>
      </w:r>
      <w:r w:rsidRPr="00AF6339">
        <w:rPr>
          <w:lang w:val="fr-FR"/>
        </w:rPr>
        <w:tab/>
        <w:t>le manque d</w:t>
      </w:r>
      <w:r w:rsidR="00740140">
        <w:rPr>
          <w:lang w:val="fr-FR"/>
        </w:rPr>
        <w:t>’</w:t>
      </w:r>
      <w:r w:rsidRPr="00AF6339">
        <w:rPr>
          <w:lang w:val="fr-FR"/>
        </w:rPr>
        <w:t>information sur l</w:t>
      </w:r>
      <w:r w:rsidR="00740140">
        <w:rPr>
          <w:lang w:val="fr-FR"/>
        </w:rPr>
        <w:t>’</w:t>
      </w:r>
      <w:r w:rsidRPr="00AF6339">
        <w:rPr>
          <w:lang w:val="fr-FR"/>
        </w:rPr>
        <w:t>aide aux victimes et sur les programmes de réhabilitation.</w:t>
      </w:r>
    </w:p>
    <w:p w14:paraId="3EC2497A" w14:textId="16322BC0" w:rsidR="00AF6339" w:rsidRPr="0059558B" w:rsidRDefault="00AF6339" w:rsidP="0059558B">
      <w:pPr>
        <w:pStyle w:val="SingleTxt"/>
        <w:numPr>
          <w:ilvl w:val="0"/>
          <w:numId w:val="16"/>
        </w:numPr>
        <w:spacing w:line="240" w:lineRule="exact"/>
        <w:rPr>
          <w:b/>
          <w:bCs/>
          <w:lang w:val="fr-FR"/>
        </w:rPr>
      </w:pPr>
      <w:r w:rsidRPr="0059558B">
        <w:rPr>
          <w:b/>
          <w:bCs/>
          <w:lang w:val="fr-FR"/>
        </w:rPr>
        <w:t>Conformément à sa recommandation générale n</w:t>
      </w:r>
      <w:r w:rsidRPr="0059558B">
        <w:rPr>
          <w:b/>
          <w:bCs/>
          <w:vertAlign w:val="superscript"/>
          <w:lang w:val="fr-FR"/>
        </w:rPr>
        <w:t>o </w:t>
      </w:r>
      <w:r w:rsidRPr="0059558B">
        <w:rPr>
          <w:b/>
          <w:bCs/>
          <w:lang w:val="fr-FR"/>
        </w:rPr>
        <w:t>38 (2020) sur la traite des femmes et des filles dans le contexte des migrations internationales, le Comité recommande à l</w:t>
      </w:r>
      <w:r w:rsidR="00740140">
        <w:rPr>
          <w:b/>
          <w:bCs/>
          <w:lang w:val="fr-FR"/>
        </w:rPr>
        <w:t>’</w:t>
      </w:r>
      <w:r w:rsidRPr="0059558B">
        <w:rPr>
          <w:b/>
          <w:bCs/>
          <w:lang w:val="fr-FR"/>
        </w:rPr>
        <w:t>État partie</w:t>
      </w:r>
      <w:r w:rsidR="00740140">
        <w:rPr>
          <w:b/>
          <w:bCs/>
          <w:lang w:val="fr-FR"/>
        </w:rPr>
        <w:t> :</w:t>
      </w:r>
    </w:p>
    <w:p w14:paraId="3E899B65" w14:textId="6BAF275E" w:rsidR="00AF6339" w:rsidRPr="00AF6339" w:rsidRDefault="00AF6339" w:rsidP="00AF6339">
      <w:pPr>
        <w:pStyle w:val="SingleTxt"/>
        <w:rPr>
          <w:lang w:val="fr-FR"/>
        </w:rPr>
      </w:pPr>
      <w:r w:rsidRPr="00AF6339">
        <w:rPr>
          <w:lang w:val="fr-FR"/>
        </w:rPr>
        <w:lastRenderedPageBreak/>
        <w:tab/>
        <w:t>a)</w:t>
      </w:r>
      <w:r w:rsidRPr="00AF6339">
        <w:rPr>
          <w:lang w:val="fr-FR"/>
        </w:rPr>
        <w:tab/>
      </w:r>
      <w:r w:rsidRPr="00AF6339">
        <w:rPr>
          <w:b/>
          <w:bCs/>
          <w:lang w:val="fr-FR"/>
        </w:rPr>
        <w:t>de mettre en œuvre l</w:t>
      </w:r>
      <w:r w:rsidR="00740140">
        <w:rPr>
          <w:b/>
          <w:bCs/>
          <w:lang w:val="fr-FR"/>
        </w:rPr>
        <w:t>’</w:t>
      </w:r>
      <w:r w:rsidRPr="00AF6339">
        <w:rPr>
          <w:b/>
          <w:bCs/>
          <w:lang w:val="fr-FR"/>
        </w:rPr>
        <w:t>intégralité du plan national de lutte contre la traite des personnes et de la loi relative à la lutte contre la traite, et d</w:t>
      </w:r>
      <w:r w:rsidR="00740140">
        <w:rPr>
          <w:b/>
          <w:bCs/>
          <w:lang w:val="fr-FR"/>
        </w:rPr>
        <w:t>’</w:t>
      </w:r>
      <w:r w:rsidRPr="00AF6339">
        <w:rPr>
          <w:b/>
          <w:bCs/>
          <w:lang w:val="fr-FR"/>
        </w:rPr>
        <w:t>augmenter les ressources financières allouées aux programmes de lutte contre la traite</w:t>
      </w:r>
      <w:r w:rsidR="00740140">
        <w:rPr>
          <w:b/>
          <w:bCs/>
          <w:lang w:val="fr-FR"/>
        </w:rPr>
        <w:t> ;</w:t>
      </w:r>
    </w:p>
    <w:p w14:paraId="401B55DF" w14:textId="6E2CCF60" w:rsidR="00AF6339" w:rsidRPr="00AF6339" w:rsidRDefault="00AF6339" w:rsidP="00AF6339">
      <w:pPr>
        <w:pStyle w:val="SingleTxt"/>
        <w:rPr>
          <w:lang w:val="fr-FR"/>
        </w:rPr>
      </w:pPr>
      <w:r w:rsidRPr="00AF6339">
        <w:rPr>
          <w:lang w:val="fr-FR"/>
        </w:rPr>
        <w:tab/>
        <w:t>b)</w:t>
      </w:r>
      <w:r w:rsidRPr="00AF6339">
        <w:rPr>
          <w:lang w:val="fr-FR"/>
        </w:rPr>
        <w:tab/>
      </w:r>
      <w:r w:rsidRPr="00AF6339">
        <w:rPr>
          <w:b/>
          <w:bCs/>
          <w:lang w:val="fr-FR"/>
        </w:rPr>
        <w:t>de s</w:t>
      </w:r>
      <w:r w:rsidR="00740140">
        <w:rPr>
          <w:b/>
          <w:bCs/>
          <w:lang w:val="fr-FR"/>
        </w:rPr>
        <w:t>’</w:t>
      </w:r>
      <w:r w:rsidRPr="00AF6339">
        <w:rPr>
          <w:b/>
          <w:bCs/>
          <w:lang w:val="fr-FR"/>
        </w:rPr>
        <w:t>attaquer aux causes profondes de la traite en offrant davantage de perspectives éducatives et économiques aux femmes, aux filles et à leurs familles, ainsi rendues moins vulnérables à l</w:t>
      </w:r>
      <w:r w:rsidR="00740140">
        <w:rPr>
          <w:b/>
          <w:bCs/>
          <w:lang w:val="fr-FR"/>
        </w:rPr>
        <w:t>’</w:t>
      </w:r>
      <w:r w:rsidRPr="00AF6339">
        <w:rPr>
          <w:b/>
          <w:bCs/>
          <w:lang w:val="fr-FR"/>
        </w:rPr>
        <w:t>exploitation par les trafiquants</w:t>
      </w:r>
      <w:r w:rsidR="00740140">
        <w:rPr>
          <w:b/>
          <w:bCs/>
          <w:lang w:val="fr-FR"/>
        </w:rPr>
        <w:t> ;</w:t>
      </w:r>
    </w:p>
    <w:p w14:paraId="73BA203A" w14:textId="07CB1C3A" w:rsidR="00AF6339" w:rsidRPr="00AF6339" w:rsidRDefault="00AF6339" w:rsidP="00AF6339">
      <w:pPr>
        <w:pStyle w:val="SingleTxt"/>
        <w:rPr>
          <w:lang w:val="fr-FR"/>
        </w:rPr>
      </w:pPr>
      <w:r w:rsidRPr="00AF6339">
        <w:rPr>
          <w:lang w:val="fr-FR"/>
        </w:rPr>
        <w:tab/>
        <w:t>c)</w:t>
      </w:r>
      <w:r w:rsidRPr="00AF6339">
        <w:rPr>
          <w:lang w:val="fr-FR"/>
        </w:rPr>
        <w:tab/>
      </w:r>
      <w:r w:rsidRPr="00AF6339">
        <w:rPr>
          <w:b/>
          <w:bCs/>
          <w:lang w:val="fr-FR"/>
        </w:rPr>
        <w:t>de veiller à ce que toutes les affaires de traite fassent l</w:t>
      </w:r>
      <w:r w:rsidR="00740140">
        <w:rPr>
          <w:b/>
          <w:bCs/>
          <w:lang w:val="fr-FR"/>
        </w:rPr>
        <w:t>’</w:t>
      </w:r>
      <w:r w:rsidRPr="00AF6339">
        <w:rPr>
          <w:b/>
          <w:bCs/>
          <w:lang w:val="fr-FR"/>
        </w:rPr>
        <w:t>objet d</w:t>
      </w:r>
      <w:r w:rsidR="00740140">
        <w:rPr>
          <w:b/>
          <w:bCs/>
          <w:lang w:val="fr-FR"/>
        </w:rPr>
        <w:t>’</w:t>
      </w:r>
      <w:r w:rsidRPr="00AF6339">
        <w:rPr>
          <w:b/>
          <w:bCs/>
          <w:lang w:val="fr-FR"/>
        </w:rPr>
        <w:t>une enquête, et que les auteurs des faits soient poursuivis et condamnés même lorsqu</w:t>
      </w:r>
      <w:r w:rsidR="00740140">
        <w:rPr>
          <w:b/>
          <w:bCs/>
          <w:lang w:val="fr-FR"/>
        </w:rPr>
        <w:t>’</w:t>
      </w:r>
      <w:r w:rsidRPr="00AF6339">
        <w:rPr>
          <w:b/>
          <w:bCs/>
          <w:lang w:val="fr-FR"/>
        </w:rPr>
        <w:t>il s</w:t>
      </w:r>
      <w:r w:rsidR="00740140">
        <w:rPr>
          <w:b/>
          <w:bCs/>
          <w:lang w:val="fr-FR"/>
        </w:rPr>
        <w:t>’</w:t>
      </w:r>
      <w:r w:rsidRPr="00AF6339">
        <w:rPr>
          <w:b/>
          <w:bCs/>
          <w:lang w:val="fr-FR"/>
        </w:rPr>
        <w:t>agit d</w:t>
      </w:r>
      <w:r w:rsidR="00740140">
        <w:rPr>
          <w:b/>
          <w:bCs/>
          <w:lang w:val="fr-FR"/>
        </w:rPr>
        <w:t>’</w:t>
      </w:r>
      <w:r w:rsidRPr="00AF6339">
        <w:rPr>
          <w:b/>
          <w:bCs/>
          <w:lang w:val="fr-FR"/>
        </w:rPr>
        <w:t>agents publics</w:t>
      </w:r>
      <w:r w:rsidR="00740140">
        <w:rPr>
          <w:b/>
          <w:bCs/>
          <w:lang w:val="fr-FR"/>
        </w:rPr>
        <w:t> ;</w:t>
      </w:r>
    </w:p>
    <w:p w14:paraId="46735791" w14:textId="13FB4702" w:rsidR="00AF6339" w:rsidRPr="00AF6339" w:rsidRDefault="00AF6339" w:rsidP="00AF6339">
      <w:pPr>
        <w:pStyle w:val="SingleTxt"/>
        <w:rPr>
          <w:lang w:val="fr-FR"/>
        </w:rPr>
      </w:pPr>
      <w:r w:rsidRPr="00AF6339">
        <w:rPr>
          <w:lang w:val="fr-FR"/>
        </w:rPr>
        <w:tab/>
        <w:t>d)</w:t>
      </w:r>
      <w:r w:rsidRPr="00AF6339">
        <w:rPr>
          <w:lang w:val="fr-FR"/>
        </w:rPr>
        <w:tab/>
      </w:r>
      <w:r w:rsidRPr="00AF6339">
        <w:rPr>
          <w:b/>
          <w:bCs/>
          <w:lang w:val="fr-FR"/>
        </w:rPr>
        <w:t>de renforcer les compétences du personnel judiciaire, des agents chargés de l</w:t>
      </w:r>
      <w:r w:rsidR="00740140">
        <w:rPr>
          <w:b/>
          <w:bCs/>
          <w:lang w:val="fr-FR"/>
        </w:rPr>
        <w:t>’</w:t>
      </w:r>
      <w:r w:rsidRPr="00AF6339">
        <w:rPr>
          <w:b/>
          <w:bCs/>
          <w:lang w:val="fr-FR"/>
        </w:rPr>
        <w:t>application des lois, des agents de la police aux frontières, des travailleurs sociaux et des personnels médicaux, afin qu</w:t>
      </w:r>
      <w:r w:rsidR="00740140">
        <w:rPr>
          <w:b/>
          <w:bCs/>
          <w:lang w:val="fr-FR"/>
        </w:rPr>
        <w:t>’</w:t>
      </w:r>
      <w:r w:rsidRPr="00AF6339">
        <w:rPr>
          <w:b/>
          <w:bCs/>
          <w:lang w:val="fr-FR"/>
        </w:rPr>
        <w:t>ils soient capables d</w:t>
      </w:r>
      <w:r w:rsidR="00740140">
        <w:rPr>
          <w:b/>
          <w:bCs/>
          <w:lang w:val="fr-FR"/>
        </w:rPr>
        <w:t>’</w:t>
      </w:r>
      <w:r w:rsidRPr="00AF6339">
        <w:rPr>
          <w:b/>
          <w:bCs/>
          <w:lang w:val="fr-FR"/>
        </w:rPr>
        <w:t>identifier les femmes et les filles victimes de la traite, qu</w:t>
      </w:r>
      <w:r w:rsidR="00740140">
        <w:rPr>
          <w:b/>
          <w:bCs/>
          <w:lang w:val="fr-FR"/>
        </w:rPr>
        <w:t>’</w:t>
      </w:r>
      <w:r w:rsidRPr="00AF6339">
        <w:rPr>
          <w:b/>
          <w:bCs/>
          <w:lang w:val="fr-FR"/>
        </w:rPr>
        <w:t>ils les protègent et qu</w:t>
      </w:r>
      <w:r w:rsidR="00740140">
        <w:rPr>
          <w:b/>
          <w:bCs/>
          <w:lang w:val="fr-FR"/>
        </w:rPr>
        <w:t>’</w:t>
      </w:r>
      <w:r w:rsidRPr="00AF6339">
        <w:rPr>
          <w:b/>
          <w:bCs/>
          <w:lang w:val="fr-FR"/>
        </w:rPr>
        <w:t>ils les signalent aux services compétents</w:t>
      </w:r>
      <w:r w:rsidR="00740140">
        <w:rPr>
          <w:b/>
          <w:bCs/>
          <w:lang w:val="fr-FR"/>
        </w:rPr>
        <w:t> ;</w:t>
      </w:r>
    </w:p>
    <w:p w14:paraId="51F33150" w14:textId="0D7A0DEA" w:rsidR="00AF6339" w:rsidRPr="00AF6339" w:rsidRDefault="00AF6339" w:rsidP="00AF6339">
      <w:pPr>
        <w:pStyle w:val="SingleTxt"/>
        <w:rPr>
          <w:lang w:val="fr-FR"/>
        </w:rPr>
      </w:pPr>
      <w:r w:rsidRPr="00AF6339">
        <w:rPr>
          <w:lang w:val="fr-FR"/>
        </w:rPr>
        <w:tab/>
        <w:t>e)</w:t>
      </w:r>
      <w:r w:rsidRPr="00AF6339">
        <w:rPr>
          <w:lang w:val="fr-FR"/>
        </w:rPr>
        <w:tab/>
      </w:r>
      <w:r w:rsidRPr="00AF6339">
        <w:rPr>
          <w:b/>
          <w:bCs/>
          <w:lang w:val="fr-FR"/>
        </w:rPr>
        <w:t>de s</w:t>
      </w:r>
      <w:r w:rsidR="00740140">
        <w:rPr>
          <w:b/>
          <w:bCs/>
          <w:lang w:val="fr-FR"/>
        </w:rPr>
        <w:t>’</w:t>
      </w:r>
      <w:r w:rsidRPr="00AF6339">
        <w:rPr>
          <w:b/>
          <w:bCs/>
          <w:lang w:val="fr-FR"/>
        </w:rPr>
        <w:t>assurer que les victimes de la traite bénéficient de l</w:t>
      </w:r>
      <w:r w:rsidR="00740140">
        <w:rPr>
          <w:b/>
          <w:bCs/>
          <w:lang w:val="fr-FR"/>
        </w:rPr>
        <w:t>’</w:t>
      </w:r>
      <w:r w:rsidRPr="00AF6339">
        <w:rPr>
          <w:b/>
          <w:bCs/>
          <w:lang w:val="fr-FR"/>
        </w:rPr>
        <w:t>accès nécessaire à des soins médicaux, à un accompagnement psychologique et à une assistance juridique</w:t>
      </w:r>
      <w:r w:rsidR="00740140">
        <w:rPr>
          <w:b/>
          <w:bCs/>
          <w:lang w:val="fr-FR"/>
        </w:rPr>
        <w:t> ;</w:t>
      </w:r>
    </w:p>
    <w:p w14:paraId="79B7A985" w14:textId="3BB9896C" w:rsidR="00AF6339" w:rsidRDefault="00AF6339" w:rsidP="00AF6339">
      <w:pPr>
        <w:pStyle w:val="SingleTxt"/>
        <w:rPr>
          <w:b/>
          <w:bCs/>
          <w:lang w:val="fr-FR"/>
        </w:rPr>
      </w:pPr>
      <w:r w:rsidRPr="00AF6339">
        <w:rPr>
          <w:lang w:val="fr-FR"/>
        </w:rPr>
        <w:tab/>
        <w:t>f)</w:t>
      </w:r>
      <w:r w:rsidRPr="00AF6339">
        <w:rPr>
          <w:lang w:val="fr-FR"/>
        </w:rPr>
        <w:tab/>
      </w:r>
      <w:r w:rsidRPr="00AF6339">
        <w:rPr>
          <w:b/>
          <w:bCs/>
          <w:lang w:val="fr-FR"/>
        </w:rPr>
        <w:t>de collecter des données ventilées sur l</w:t>
      </w:r>
      <w:r w:rsidR="00740140">
        <w:rPr>
          <w:b/>
          <w:bCs/>
          <w:lang w:val="fr-FR"/>
        </w:rPr>
        <w:t>’</w:t>
      </w:r>
      <w:r w:rsidRPr="00AF6339">
        <w:rPr>
          <w:b/>
          <w:bCs/>
          <w:lang w:val="fr-FR"/>
        </w:rPr>
        <w:t>étendue de la traite des femmes et des filles dans l</w:t>
      </w:r>
      <w:r w:rsidR="00740140">
        <w:rPr>
          <w:b/>
          <w:bCs/>
          <w:lang w:val="fr-FR"/>
        </w:rPr>
        <w:t>’</w:t>
      </w:r>
      <w:r w:rsidRPr="00AF6339">
        <w:rPr>
          <w:b/>
          <w:bCs/>
          <w:lang w:val="fr-FR"/>
        </w:rPr>
        <w:t>État partie, et de renforcer la coopération avec les autres pays de la région afin de faciliter l</w:t>
      </w:r>
      <w:r w:rsidR="00740140">
        <w:rPr>
          <w:b/>
          <w:bCs/>
          <w:lang w:val="fr-FR"/>
        </w:rPr>
        <w:t>’</w:t>
      </w:r>
      <w:r w:rsidRPr="00AF6339">
        <w:rPr>
          <w:b/>
          <w:bCs/>
          <w:lang w:val="fr-FR"/>
        </w:rPr>
        <w:t>échange d</w:t>
      </w:r>
      <w:r w:rsidR="00740140">
        <w:rPr>
          <w:b/>
          <w:bCs/>
          <w:lang w:val="fr-FR"/>
        </w:rPr>
        <w:t>’</w:t>
      </w:r>
      <w:r w:rsidRPr="00AF6339">
        <w:rPr>
          <w:b/>
          <w:bCs/>
          <w:lang w:val="fr-FR"/>
        </w:rPr>
        <w:t>information et les poursuites contre les trafiquants.</w:t>
      </w:r>
    </w:p>
    <w:p w14:paraId="3062584F" w14:textId="47E297E7" w:rsidR="0059558B" w:rsidRPr="0059558B" w:rsidRDefault="0059558B" w:rsidP="0059558B">
      <w:pPr>
        <w:pStyle w:val="SingleTxt"/>
        <w:spacing w:after="0" w:line="120" w:lineRule="exact"/>
        <w:rPr>
          <w:b/>
          <w:bCs/>
          <w:sz w:val="10"/>
          <w:lang w:val="fr-FR"/>
        </w:rPr>
      </w:pPr>
    </w:p>
    <w:p w14:paraId="15EF3CE5" w14:textId="6D1EEF7F" w:rsidR="00AF6339" w:rsidRDefault="00AF6339" w:rsidP="005955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Participation égale à la vie politique et publique</w:t>
      </w:r>
    </w:p>
    <w:p w14:paraId="56D6C948" w14:textId="08F4A999" w:rsidR="0059558B" w:rsidRPr="0059558B" w:rsidRDefault="0059558B" w:rsidP="0059558B">
      <w:pPr>
        <w:pStyle w:val="SingleTxt"/>
        <w:spacing w:after="0" w:line="120" w:lineRule="exact"/>
        <w:rPr>
          <w:sz w:val="10"/>
          <w:lang w:val="fr-FR"/>
        </w:rPr>
      </w:pPr>
    </w:p>
    <w:p w14:paraId="15FFCE1F" w14:textId="65F70888" w:rsidR="00AF6339" w:rsidRPr="00AF6339" w:rsidRDefault="00AF6339" w:rsidP="0059558B">
      <w:pPr>
        <w:pStyle w:val="SingleTxt"/>
        <w:numPr>
          <w:ilvl w:val="0"/>
          <w:numId w:val="18"/>
        </w:numPr>
        <w:spacing w:line="240" w:lineRule="exact"/>
        <w:rPr>
          <w:lang w:val="fr-FR"/>
        </w:rPr>
      </w:pPr>
      <w:r w:rsidRPr="00AF6339">
        <w:rPr>
          <w:lang w:val="fr-FR"/>
        </w:rPr>
        <w:t xml:space="preserve">Le Comité constate avec préoccupation que, selon les données du </w:t>
      </w:r>
      <w:r w:rsidRPr="00AF6339">
        <w:rPr>
          <w:i/>
          <w:iCs/>
          <w:lang w:val="fr-FR"/>
        </w:rPr>
        <w:t>Global Gender Gap Report 2021</w:t>
      </w:r>
      <w:r w:rsidRPr="00AF6339">
        <w:rPr>
          <w:lang w:val="fr-FR"/>
        </w:rPr>
        <w:t xml:space="preserve"> (rapport 2021 sur l</w:t>
      </w:r>
      <w:r w:rsidR="00740140">
        <w:rPr>
          <w:lang w:val="fr-FR"/>
        </w:rPr>
        <w:t>’</w:t>
      </w:r>
      <w:r w:rsidRPr="00AF6339">
        <w:rPr>
          <w:lang w:val="fr-FR"/>
        </w:rPr>
        <w:t>écart entre les sexes dans le monde), publié par le Forum économique mondial, l</w:t>
      </w:r>
      <w:r w:rsidR="00740140">
        <w:rPr>
          <w:lang w:val="fr-FR"/>
        </w:rPr>
        <w:t>’</w:t>
      </w:r>
      <w:r w:rsidRPr="00AF6339">
        <w:rPr>
          <w:lang w:val="fr-FR"/>
        </w:rPr>
        <w:t>État partie est 116</w:t>
      </w:r>
      <w:r w:rsidRPr="00AF6339">
        <w:rPr>
          <w:vertAlign w:val="superscript"/>
          <w:lang w:val="fr-FR"/>
        </w:rPr>
        <w:t>e</w:t>
      </w:r>
      <w:r w:rsidRPr="00AF6339">
        <w:rPr>
          <w:lang w:val="fr-FR"/>
        </w:rPr>
        <w:t xml:space="preserve"> sur 156 pays au classement de l</w:t>
      </w:r>
      <w:r w:rsidR="00740140">
        <w:rPr>
          <w:lang w:val="fr-FR"/>
        </w:rPr>
        <w:t>’</w:t>
      </w:r>
      <w:r w:rsidRPr="00AF6339">
        <w:rPr>
          <w:lang w:val="fr-FR"/>
        </w:rPr>
        <w:t>« autonomisation politique », que seulement 17,3 % des parlementaires et 18,8 % des ministres sont des femmes, et que celles-ci sont sous-représentées dans les conseils municipaux, aux postes de direction des partis politiques et au niveau décisionnaire dans la fonction publique. En outre, il note avec préoccupation que la loi électorale a été modifiée dans le sens d</w:t>
      </w:r>
      <w:r w:rsidR="00740140">
        <w:rPr>
          <w:lang w:val="fr-FR"/>
        </w:rPr>
        <w:t>’</w:t>
      </w:r>
      <w:r w:rsidRPr="00AF6339">
        <w:rPr>
          <w:lang w:val="fr-FR"/>
        </w:rPr>
        <w:t>une baisse à 20 % du quota minimum de candidats de chaque sexe aux élections parlementaires, qu</w:t>
      </w:r>
      <w:r w:rsidR="00740140">
        <w:rPr>
          <w:lang w:val="fr-FR"/>
        </w:rPr>
        <w:t>’</w:t>
      </w:r>
      <w:r w:rsidRPr="00AF6339">
        <w:rPr>
          <w:lang w:val="fr-FR"/>
        </w:rPr>
        <w:t>aucune femme n</w:t>
      </w:r>
      <w:r w:rsidR="00740140">
        <w:rPr>
          <w:lang w:val="fr-FR"/>
        </w:rPr>
        <w:t>’</w:t>
      </w:r>
      <w:r w:rsidRPr="00AF6339">
        <w:rPr>
          <w:lang w:val="fr-FR"/>
        </w:rPr>
        <w:t>a été nommée gouverneure ou maire, et que la loi électorale restreint toujours le droit des personnes handicapées, en particulier des femmes, à voter et à se présenter aux élections.</w:t>
      </w:r>
    </w:p>
    <w:p w14:paraId="11934631" w14:textId="30A6338F" w:rsidR="00AF6339" w:rsidRPr="0059558B" w:rsidRDefault="00AF6339" w:rsidP="0059558B">
      <w:pPr>
        <w:pStyle w:val="SingleTxt"/>
        <w:numPr>
          <w:ilvl w:val="0"/>
          <w:numId w:val="18"/>
        </w:numPr>
        <w:spacing w:line="240" w:lineRule="exact"/>
        <w:rPr>
          <w:b/>
          <w:bCs/>
          <w:lang w:val="fr-FR"/>
        </w:rPr>
      </w:pPr>
      <w:r w:rsidRPr="0059558B">
        <w:rPr>
          <w:b/>
          <w:bCs/>
          <w:lang w:val="fr-FR"/>
        </w:rPr>
        <w:t>Conformément à sa recommandation générale n</w:t>
      </w:r>
      <w:r w:rsidRPr="0059558B">
        <w:rPr>
          <w:b/>
          <w:bCs/>
          <w:vertAlign w:val="superscript"/>
          <w:lang w:val="fr-FR"/>
        </w:rPr>
        <w:t>o </w:t>
      </w:r>
      <w:r w:rsidRPr="0059558B">
        <w:rPr>
          <w:b/>
          <w:bCs/>
          <w:lang w:val="fr-FR"/>
        </w:rPr>
        <w:t>23 (1997)</w:t>
      </w:r>
      <w:r w:rsidRPr="0059558B">
        <w:rPr>
          <w:b/>
          <w:bCs/>
          <w:lang w:val="fr-FR"/>
        </w:rPr>
        <w:t xml:space="preserve"> sur la participation des femmes à la vie politique et publique et à la cible 5.5 des objectifs de développement durable visant à garantir la participation entière et effective des femmes et leur accès en toute égalité aux fonctions de direction à tous les niveaux de décision, dans la vie politique, économique et publique, le Comité prie instamment l</w:t>
      </w:r>
      <w:r w:rsidR="00740140">
        <w:rPr>
          <w:b/>
          <w:bCs/>
          <w:lang w:val="fr-FR"/>
        </w:rPr>
        <w:t>’</w:t>
      </w:r>
      <w:r w:rsidRPr="0059558B">
        <w:rPr>
          <w:b/>
          <w:bCs/>
          <w:lang w:val="fr-FR"/>
        </w:rPr>
        <w:t>État partie</w:t>
      </w:r>
      <w:r w:rsidR="00740140">
        <w:rPr>
          <w:b/>
          <w:bCs/>
          <w:lang w:val="fr-FR"/>
        </w:rPr>
        <w:t> :</w:t>
      </w:r>
    </w:p>
    <w:p w14:paraId="59F891DA" w14:textId="76636B30" w:rsidR="00AF6339" w:rsidRPr="00AF6339" w:rsidRDefault="00AF6339" w:rsidP="00AF6339">
      <w:pPr>
        <w:pStyle w:val="SingleTxt"/>
        <w:rPr>
          <w:lang w:val="fr-FR"/>
        </w:rPr>
      </w:pPr>
      <w:r w:rsidRPr="00AF6339">
        <w:rPr>
          <w:lang w:val="fr-FR"/>
        </w:rPr>
        <w:tab/>
        <w:t>a)</w:t>
      </w:r>
      <w:r w:rsidRPr="00AF6339">
        <w:rPr>
          <w:lang w:val="fr-FR"/>
        </w:rPr>
        <w:tab/>
      </w:r>
      <w:r w:rsidRPr="00AF6339">
        <w:rPr>
          <w:b/>
          <w:bCs/>
          <w:lang w:val="fr-FR"/>
        </w:rPr>
        <w:t>de mener des campagnes de sensibilisation à l</w:t>
      </w:r>
      <w:r w:rsidR="00740140">
        <w:rPr>
          <w:b/>
          <w:bCs/>
          <w:lang w:val="fr-FR"/>
        </w:rPr>
        <w:t>’</w:t>
      </w:r>
      <w:r w:rsidRPr="00AF6339">
        <w:rPr>
          <w:b/>
          <w:bCs/>
          <w:lang w:val="fr-FR"/>
        </w:rPr>
        <w:t>intention des politiques, des membres de la commission électorale centrale, des juges, des professionnels des médias et du grand public, afin que tous prennent conscience que la participation pleine, égalitaire, libre et démocratique des femmes à la vie politique et publique, sur un pied d</w:t>
      </w:r>
      <w:r w:rsidR="00740140">
        <w:rPr>
          <w:b/>
          <w:bCs/>
          <w:lang w:val="fr-FR"/>
        </w:rPr>
        <w:t>’</w:t>
      </w:r>
      <w:r w:rsidRPr="00AF6339">
        <w:rPr>
          <w:b/>
          <w:bCs/>
          <w:lang w:val="fr-FR"/>
        </w:rPr>
        <w:t>égalité avec les hommes, est une condition préalable à la complète application de la Convention et à la réalisation du développement durable dans l</w:t>
      </w:r>
      <w:r w:rsidR="00740140">
        <w:rPr>
          <w:b/>
          <w:bCs/>
          <w:lang w:val="fr-FR"/>
        </w:rPr>
        <w:t>’</w:t>
      </w:r>
      <w:r w:rsidRPr="00AF6339">
        <w:rPr>
          <w:b/>
          <w:bCs/>
          <w:lang w:val="fr-FR"/>
        </w:rPr>
        <w:t>État partie</w:t>
      </w:r>
      <w:r w:rsidR="00740140">
        <w:rPr>
          <w:b/>
          <w:bCs/>
          <w:lang w:val="fr-FR"/>
        </w:rPr>
        <w:t> ;</w:t>
      </w:r>
      <w:r w:rsidRPr="00AF6339">
        <w:rPr>
          <w:b/>
          <w:bCs/>
          <w:lang w:val="fr-FR"/>
        </w:rPr>
        <w:t xml:space="preserve"> </w:t>
      </w:r>
    </w:p>
    <w:p w14:paraId="3000400C" w14:textId="211F861F" w:rsidR="00AF6339" w:rsidRPr="00AF6339" w:rsidRDefault="00AF6339" w:rsidP="00AF6339">
      <w:pPr>
        <w:pStyle w:val="SingleTxt"/>
        <w:rPr>
          <w:lang w:val="fr-FR"/>
        </w:rPr>
      </w:pPr>
      <w:r w:rsidRPr="00AF6339">
        <w:rPr>
          <w:lang w:val="fr-FR"/>
        </w:rPr>
        <w:tab/>
        <w:t>b)</w:t>
      </w:r>
      <w:r w:rsidRPr="00AF6339">
        <w:rPr>
          <w:lang w:val="fr-FR"/>
        </w:rPr>
        <w:tab/>
      </w:r>
      <w:r w:rsidRPr="00AF6339">
        <w:rPr>
          <w:b/>
          <w:bCs/>
          <w:lang w:val="fr-FR"/>
        </w:rPr>
        <w:t>de modifier la loi électorale afin de fixer un quota minimum de 30 % de candidatures féminines sur les listes partisanes, d</w:t>
      </w:r>
      <w:r w:rsidR="00740140">
        <w:rPr>
          <w:b/>
          <w:bCs/>
          <w:lang w:val="fr-FR"/>
        </w:rPr>
        <w:t>’</w:t>
      </w:r>
      <w:r w:rsidRPr="00AF6339">
        <w:rPr>
          <w:b/>
          <w:bCs/>
          <w:lang w:val="fr-FR"/>
        </w:rPr>
        <w:t xml:space="preserve">inciter financièrement les </w:t>
      </w:r>
      <w:r w:rsidRPr="00AF6339">
        <w:rPr>
          <w:b/>
          <w:bCs/>
          <w:lang w:val="fr-FR"/>
        </w:rPr>
        <w:lastRenderedPageBreak/>
        <w:t>partis politiques à entraîner les femmes candidates et à assurer le financement de leur campagne, et de supprimer ce qu</w:t>
      </w:r>
      <w:r w:rsidR="00740140">
        <w:rPr>
          <w:b/>
          <w:bCs/>
          <w:lang w:val="fr-FR"/>
        </w:rPr>
        <w:t>’</w:t>
      </w:r>
      <w:r w:rsidRPr="00AF6339">
        <w:rPr>
          <w:b/>
          <w:bCs/>
          <w:lang w:val="fr-FR"/>
        </w:rPr>
        <w:t>on appelle la « taxe candidature », qui constitue un obstacle majeur pour les candidates</w:t>
      </w:r>
      <w:r w:rsidR="00740140">
        <w:rPr>
          <w:b/>
          <w:bCs/>
          <w:lang w:val="fr-FR"/>
        </w:rPr>
        <w:t> ;</w:t>
      </w:r>
    </w:p>
    <w:p w14:paraId="14A5DCC3" w14:textId="479E5687" w:rsidR="00AF6339" w:rsidRPr="00AF6339" w:rsidRDefault="00AF6339" w:rsidP="00AF6339">
      <w:pPr>
        <w:pStyle w:val="SingleTxt"/>
        <w:rPr>
          <w:lang w:val="fr-FR"/>
        </w:rPr>
      </w:pPr>
      <w:r w:rsidRPr="00AF6339">
        <w:rPr>
          <w:lang w:val="fr-FR"/>
        </w:rPr>
        <w:tab/>
        <w:t>c)</w:t>
      </w:r>
      <w:r w:rsidRPr="00AF6339">
        <w:rPr>
          <w:lang w:val="fr-FR"/>
        </w:rPr>
        <w:tab/>
      </w:r>
      <w:r w:rsidRPr="00AF6339">
        <w:rPr>
          <w:b/>
          <w:bCs/>
          <w:lang w:val="fr-FR"/>
        </w:rPr>
        <w:t>d</w:t>
      </w:r>
      <w:r w:rsidR="00740140">
        <w:rPr>
          <w:b/>
          <w:bCs/>
          <w:lang w:val="fr-FR"/>
        </w:rPr>
        <w:t>’</w:t>
      </w:r>
      <w:r w:rsidRPr="00AF6339">
        <w:rPr>
          <w:b/>
          <w:bCs/>
          <w:lang w:val="fr-FR"/>
        </w:rPr>
        <w:t>adopter des mécanismes efficaces pour contrôler le respect des quotas électoraux et sanctionner les partis politiques en cas d</w:t>
      </w:r>
      <w:r w:rsidR="00740140">
        <w:rPr>
          <w:b/>
          <w:bCs/>
          <w:lang w:val="fr-FR"/>
        </w:rPr>
        <w:t>’</w:t>
      </w:r>
      <w:r w:rsidRPr="00AF6339">
        <w:rPr>
          <w:b/>
          <w:bCs/>
          <w:lang w:val="fr-FR"/>
        </w:rPr>
        <w:t>infraction</w:t>
      </w:r>
      <w:r w:rsidR="00740140">
        <w:rPr>
          <w:b/>
          <w:bCs/>
          <w:lang w:val="fr-FR"/>
        </w:rPr>
        <w:t> ;</w:t>
      </w:r>
    </w:p>
    <w:p w14:paraId="3A12D47F" w14:textId="295C60E3" w:rsidR="00AF6339" w:rsidRPr="00AF6339" w:rsidRDefault="00AF6339" w:rsidP="00AF6339">
      <w:pPr>
        <w:pStyle w:val="SingleTxt"/>
        <w:rPr>
          <w:lang w:val="fr-FR"/>
        </w:rPr>
      </w:pPr>
      <w:r w:rsidRPr="00AF6339">
        <w:rPr>
          <w:lang w:val="fr-FR"/>
        </w:rPr>
        <w:tab/>
        <w:t>d)</w:t>
      </w:r>
      <w:r w:rsidRPr="00AF6339">
        <w:rPr>
          <w:lang w:val="fr-FR"/>
        </w:rPr>
        <w:tab/>
      </w:r>
      <w:r w:rsidRPr="00AF6339">
        <w:rPr>
          <w:b/>
          <w:bCs/>
          <w:lang w:val="fr-FR"/>
        </w:rPr>
        <w:t>de veiller à ce que la parité soit respectée s</w:t>
      </w:r>
      <w:r w:rsidR="00740140">
        <w:rPr>
          <w:b/>
          <w:bCs/>
          <w:lang w:val="fr-FR"/>
        </w:rPr>
        <w:t>’</w:t>
      </w:r>
      <w:r w:rsidRPr="00AF6339">
        <w:rPr>
          <w:b/>
          <w:bCs/>
          <w:lang w:val="fr-FR"/>
        </w:rPr>
        <w:t>agissant des nominations dans la fonction publique, y compris au sein du gouvernement, aux postes de gouverneurs et dans les juridictions supérieures, et de favoriser le recrutement de femmes dans l</w:t>
      </w:r>
      <w:r w:rsidR="00740140">
        <w:rPr>
          <w:b/>
          <w:bCs/>
          <w:lang w:val="fr-FR"/>
        </w:rPr>
        <w:t>’</w:t>
      </w:r>
      <w:r w:rsidRPr="00AF6339">
        <w:rPr>
          <w:b/>
          <w:bCs/>
          <w:lang w:val="fr-FR"/>
        </w:rPr>
        <w:t>administration</w:t>
      </w:r>
      <w:r w:rsidR="00740140">
        <w:rPr>
          <w:b/>
          <w:bCs/>
          <w:lang w:val="fr-FR"/>
        </w:rPr>
        <w:t> ;</w:t>
      </w:r>
    </w:p>
    <w:p w14:paraId="7F6ED3B1" w14:textId="61020B5A" w:rsidR="00AF6339" w:rsidRDefault="00AF6339" w:rsidP="00AF6339">
      <w:pPr>
        <w:pStyle w:val="SingleTxt"/>
        <w:rPr>
          <w:b/>
          <w:bCs/>
          <w:lang w:val="fr-FR"/>
        </w:rPr>
      </w:pPr>
      <w:r w:rsidRPr="00AF6339">
        <w:rPr>
          <w:lang w:val="fr-FR"/>
        </w:rPr>
        <w:tab/>
        <w:t>e)</w:t>
      </w:r>
      <w:r w:rsidRPr="00AF6339">
        <w:rPr>
          <w:lang w:val="fr-FR"/>
        </w:rPr>
        <w:tab/>
      </w:r>
      <w:r w:rsidRPr="00AF6339">
        <w:rPr>
          <w:b/>
          <w:bCs/>
          <w:lang w:val="fr-FR"/>
        </w:rPr>
        <w:t>d</w:t>
      </w:r>
      <w:r w:rsidR="00740140">
        <w:rPr>
          <w:b/>
          <w:bCs/>
          <w:lang w:val="fr-FR"/>
        </w:rPr>
        <w:t>’</w:t>
      </w:r>
      <w:r w:rsidRPr="00AF6339">
        <w:rPr>
          <w:b/>
          <w:bCs/>
          <w:lang w:val="fr-FR"/>
        </w:rPr>
        <w:t>abroger sans délai les dispositions de la loi électorale restreignant le droit de vote des personnes handicapées, en particulier des femmes en situation de handicap, de veiller à ce que la loi interdise la discrimination fondée sur le handicap et de réaliser des aménagements raisonnables garantissant l</w:t>
      </w:r>
      <w:r w:rsidR="00740140">
        <w:rPr>
          <w:b/>
          <w:bCs/>
          <w:lang w:val="fr-FR"/>
        </w:rPr>
        <w:t>’</w:t>
      </w:r>
      <w:r w:rsidRPr="00AF6339">
        <w:rPr>
          <w:b/>
          <w:bCs/>
          <w:lang w:val="fr-FR"/>
        </w:rPr>
        <w:t>égalité d</w:t>
      </w:r>
      <w:r w:rsidR="00740140">
        <w:rPr>
          <w:b/>
          <w:bCs/>
          <w:lang w:val="fr-FR"/>
        </w:rPr>
        <w:t>’</w:t>
      </w:r>
      <w:r w:rsidRPr="00AF6339">
        <w:rPr>
          <w:b/>
          <w:bCs/>
          <w:lang w:val="fr-FR"/>
        </w:rPr>
        <w:t>accès.</w:t>
      </w:r>
    </w:p>
    <w:p w14:paraId="38D148A8" w14:textId="4FDD1DF0" w:rsidR="0059558B" w:rsidRPr="0059558B" w:rsidRDefault="0059558B" w:rsidP="0059558B">
      <w:pPr>
        <w:pStyle w:val="SingleTxt"/>
        <w:spacing w:after="0" w:line="120" w:lineRule="exact"/>
        <w:rPr>
          <w:b/>
          <w:bCs/>
          <w:sz w:val="10"/>
          <w:lang w:val="fr-FR"/>
        </w:rPr>
      </w:pPr>
    </w:p>
    <w:p w14:paraId="59BC190C" w14:textId="4F5081AC" w:rsidR="00AF6339" w:rsidRDefault="00AF6339" w:rsidP="005955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Éducation</w:t>
      </w:r>
    </w:p>
    <w:p w14:paraId="5E8B9034" w14:textId="2B280A3C" w:rsidR="0059558B" w:rsidRPr="0059558B" w:rsidRDefault="0059558B" w:rsidP="0059558B">
      <w:pPr>
        <w:pStyle w:val="SingleTxt"/>
        <w:spacing w:after="0" w:line="120" w:lineRule="exact"/>
        <w:rPr>
          <w:sz w:val="10"/>
          <w:lang w:val="fr-FR"/>
        </w:rPr>
      </w:pPr>
    </w:p>
    <w:p w14:paraId="2019C2FE" w14:textId="7D14F22B" w:rsidR="00AF6339" w:rsidRPr="00AF6339" w:rsidRDefault="00AF6339" w:rsidP="0059558B">
      <w:pPr>
        <w:pStyle w:val="SingleTxt"/>
        <w:numPr>
          <w:ilvl w:val="0"/>
          <w:numId w:val="20"/>
        </w:numPr>
        <w:spacing w:line="240" w:lineRule="exact"/>
        <w:rPr>
          <w:lang w:val="fr-FR"/>
        </w:rPr>
      </w:pPr>
      <w:r w:rsidRPr="00AF6339">
        <w:rPr>
          <w:lang w:val="fr-FR"/>
        </w:rPr>
        <w:t>Le Comité se félicite du taux élevé d</w:t>
      </w:r>
      <w:r w:rsidR="00740140">
        <w:rPr>
          <w:lang w:val="fr-FR"/>
        </w:rPr>
        <w:t>’</w:t>
      </w:r>
      <w:r w:rsidRPr="00AF6339">
        <w:rPr>
          <w:lang w:val="fr-FR"/>
        </w:rPr>
        <w:t>alphabétisme et de la forte part de filles et de femmes inscrites dans l</w:t>
      </w:r>
      <w:r w:rsidR="00740140">
        <w:rPr>
          <w:lang w:val="fr-FR"/>
        </w:rPr>
        <w:t>’</w:t>
      </w:r>
      <w:r w:rsidRPr="00AF6339">
        <w:rPr>
          <w:lang w:val="fr-FR"/>
        </w:rPr>
        <w:t>enseignement primaire, secondaire et supérieur. Néanmoins, il note avec préoccupation</w:t>
      </w:r>
      <w:r w:rsidR="00740140">
        <w:rPr>
          <w:lang w:val="fr-FR"/>
        </w:rPr>
        <w:t> :</w:t>
      </w:r>
    </w:p>
    <w:p w14:paraId="175A57C1" w14:textId="3BE22EDD" w:rsidR="00AF6339" w:rsidRPr="00AF6339" w:rsidRDefault="00AF6339" w:rsidP="00AF6339">
      <w:pPr>
        <w:pStyle w:val="SingleTxt"/>
        <w:rPr>
          <w:lang w:val="fr-FR"/>
        </w:rPr>
      </w:pPr>
      <w:r w:rsidRPr="00AF6339">
        <w:rPr>
          <w:lang w:val="fr-FR"/>
        </w:rPr>
        <w:tab/>
        <w:t>a)</w:t>
      </w:r>
      <w:r w:rsidRPr="00AF6339">
        <w:rPr>
          <w:lang w:val="fr-FR"/>
        </w:rPr>
        <w:tab/>
        <w:t>le manque de données concernant le taux d</w:t>
      </w:r>
      <w:r w:rsidR="00740140">
        <w:rPr>
          <w:lang w:val="fr-FR"/>
        </w:rPr>
        <w:t>’</w:t>
      </w:r>
      <w:r w:rsidRPr="00AF6339">
        <w:rPr>
          <w:lang w:val="fr-FR"/>
        </w:rPr>
        <w:t>abandon des filles au primaire et au secondaire, en particulier s</w:t>
      </w:r>
      <w:r w:rsidR="00740140">
        <w:rPr>
          <w:lang w:val="fr-FR"/>
        </w:rPr>
        <w:t>’</w:t>
      </w:r>
      <w:r w:rsidRPr="00AF6339">
        <w:rPr>
          <w:lang w:val="fr-FR"/>
        </w:rPr>
        <w:t>agissant des abandons dus à une grossesse précoce ou au harcèlement sexuel à l</w:t>
      </w:r>
      <w:r w:rsidR="00740140">
        <w:rPr>
          <w:lang w:val="fr-FR"/>
        </w:rPr>
        <w:t>’</w:t>
      </w:r>
      <w:r w:rsidRPr="00AF6339">
        <w:rPr>
          <w:lang w:val="fr-FR"/>
        </w:rPr>
        <w:t>école, et le manque de mesures de réintégration qui permettraient aux femmes et aux filles enceintes, ainsi qu</w:t>
      </w:r>
      <w:r w:rsidR="00740140">
        <w:rPr>
          <w:lang w:val="fr-FR"/>
        </w:rPr>
        <w:t>’</w:t>
      </w:r>
      <w:r w:rsidRPr="00AF6339">
        <w:rPr>
          <w:lang w:val="fr-FR"/>
        </w:rPr>
        <w:t>aux jeunes mères, de reprendre leur scolarité</w:t>
      </w:r>
      <w:r w:rsidR="00740140">
        <w:rPr>
          <w:lang w:val="fr-FR"/>
        </w:rPr>
        <w:t> ;</w:t>
      </w:r>
    </w:p>
    <w:p w14:paraId="7FE5338B" w14:textId="1E4C4861" w:rsidR="00AF6339" w:rsidRPr="00AF6339" w:rsidRDefault="00AF6339" w:rsidP="00AF6339">
      <w:pPr>
        <w:pStyle w:val="SingleTxt"/>
        <w:rPr>
          <w:lang w:val="fr-FR"/>
        </w:rPr>
      </w:pPr>
      <w:r w:rsidRPr="00AF6339">
        <w:rPr>
          <w:lang w:val="fr-FR"/>
        </w:rPr>
        <w:tab/>
        <w:t>b)</w:t>
      </w:r>
      <w:r w:rsidRPr="00AF6339">
        <w:rPr>
          <w:lang w:val="fr-FR"/>
        </w:rPr>
        <w:tab/>
        <w:t>le manque d</w:t>
      </w:r>
      <w:r w:rsidR="00740140">
        <w:rPr>
          <w:lang w:val="fr-FR"/>
        </w:rPr>
        <w:t>’</w:t>
      </w:r>
      <w:r w:rsidRPr="00AF6339">
        <w:rPr>
          <w:lang w:val="fr-FR"/>
        </w:rPr>
        <w:t>information concernant l</w:t>
      </w:r>
      <w:r w:rsidR="00740140">
        <w:rPr>
          <w:lang w:val="fr-FR"/>
        </w:rPr>
        <w:t>’</w:t>
      </w:r>
      <w:r w:rsidRPr="00AF6339">
        <w:rPr>
          <w:lang w:val="fr-FR"/>
        </w:rPr>
        <w:t>ampleur des phénomènes de harcèlement sexuel et de maltraitance dont sont victimes femmes et filles dans les établissements éducatifs</w:t>
      </w:r>
      <w:r w:rsidR="00740140">
        <w:rPr>
          <w:lang w:val="fr-FR"/>
        </w:rPr>
        <w:t> ;</w:t>
      </w:r>
    </w:p>
    <w:p w14:paraId="16F750B0" w14:textId="4F9C0E9C" w:rsidR="00AF6339" w:rsidRPr="00AF6339" w:rsidRDefault="00AF6339" w:rsidP="00AF6339">
      <w:pPr>
        <w:pStyle w:val="SingleTxt"/>
        <w:rPr>
          <w:lang w:val="fr-FR"/>
        </w:rPr>
      </w:pPr>
      <w:r w:rsidRPr="00AF6339">
        <w:rPr>
          <w:lang w:val="fr-FR"/>
        </w:rPr>
        <w:tab/>
        <w:t>c)</w:t>
      </w:r>
      <w:r w:rsidRPr="00AF6339">
        <w:rPr>
          <w:lang w:val="fr-FR"/>
        </w:rPr>
        <w:tab/>
        <w:t>la sous-représentation des femmes et des filles dans les champs d</w:t>
      </w:r>
      <w:r w:rsidR="00740140">
        <w:rPr>
          <w:lang w:val="fr-FR"/>
        </w:rPr>
        <w:t>’</w:t>
      </w:r>
      <w:r w:rsidRPr="00AF6339">
        <w:rPr>
          <w:lang w:val="fr-FR"/>
        </w:rPr>
        <w:t>études et les carrières professionnelles non traditionnels, tels que les sciences, la technologie, l</w:t>
      </w:r>
      <w:r w:rsidR="00740140">
        <w:rPr>
          <w:lang w:val="fr-FR"/>
        </w:rPr>
        <w:t>’</w:t>
      </w:r>
      <w:r w:rsidRPr="00AF6339">
        <w:rPr>
          <w:lang w:val="fr-FR"/>
        </w:rPr>
        <w:t>ingénierie et les mathématiques.</w:t>
      </w:r>
    </w:p>
    <w:p w14:paraId="28DF26B6" w14:textId="0D160B4D" w:rsidR="00AF6339" w:rsidRPr="0059558B" w:rsidRDefault="00AF6339" w:rsidP="0059558B">
      <w:pPr>
        <w:pStyle w:val="SingleTxt"/>
        <w:numPr>
          <w:ilvl w:val="0"/>
          <w:numId w:val="20"/>
        </w:numPr>
        <w:spacing w:line="240" w:lineRule="exact"/>
        <w:rPr>
          <w:b/>
          <w:bCs/>
          <w:lang w:val="fr-FR"/>
        </w:rPr>
      </w:pPr>
      <w:r w:rsidRPr="0059558B">
        <w:rPr>
          <w:b/>
          <w:bCs/>
          <w:lang w:val="fr-FR"/>
        </w:rPr>
        <w:t>Conformément à sa recommandation générale n</w:t>
      </w:r>
      <w:r w:rsidRPr="0059558B">
        <w:rPr>
          <w:b/>
          <w:bCs/>
          <w:vertAlign w:val="superscript"/>
          <w:lang w:val="fr-FR"/>
        </w:rPr>
        <w:t>o</w:t>
      </w:r>
      <w:r w:rsidRPr="0059558B">
        <w:rPr>
          <w:b/>
          <w:bCs/>
          <w:lang w:val="fr-FR"/>
        </w:rPr>
        <w:t> 36 (2017) sur le droit des filles et des femmes à l</w:t>
      </w:r>
      <w:r w:rsidR="00740140">
        <w:rPr>
          <w:b/>
          <w:bCs/>
          <w:lang w:val="fr-FR"/>
        </w:rPr>
        <w:t>’</w:t>
      </w:r>
      <w:r w:rsidRPr="0059558B">
        <w:rPr>
          <w:b/>
          <w:bCs/>
          <w:lang w:val="fr-FR"/>
        </w:rPr>
        <w:t>éducation, le Comité recommande à l</w:t>
      </w:r>
      <w:r w:rsidR="00740140">
        <w:rPr>
          <w:b/>
          <w:bCs/>
          <w:lang w:val="fr-FR"/>
        </w:rPr>
        <w:t>’</w:t>
      </w:r>
      <w:r w:rsidRPr="0059558B">
        <w:rPr>
          <w:b/>
          <w:bCs/>
          <w:lang w:val="fr-FR"/>
        </w:rPr>
        <w:t>État partie</w:t>
      </w:r>
      <w:r w:rsidR="00740140">
        <w:rPr>
          <w:b/>
          <w:bCs/>
          <w:lang w:val="fr-FR"/>
        </w:rPr>
        <w:t> :</w:t>
      </w:r>
    </w:p>
    <w:p w14:paraId="13DCE57E" w14:textId="54E1710B" w:rsidR="00AF6339" w:rsidRPr="00AF6339" w:rsidRDefault="00AF6339" w:rsidP="00AF6339">
      <w:pPr>
        <w:pStyle w:val="SingleTxt"/>
        <w:rPr>
          <w:lang w:val="fr-FR"/>
        </w:rPr>
      </w:pPr>
      <w:r w:rsidRPr="00AF6339">
        <w:rPr>
          <w:lang w:val="fr-FR"/>
        </w:rPr>
        <w:tab/>
        <w:t>a)</w:t>
      </w:r>
      <w:r w:rsidRPr="00AF6339">
        <w:rPr>
          <w:lang w:val="fr-FR"/>
        </w:rPr>
        <w:tab/>
      </w:r>
      <w:r w:rsidRPr="00AF6339">
        <w:rPr>
          <w:b/>
          <w:bCs/>
          <w:lang w:val="fr-FR"/>
        </w:rPr>
        <w:t>de collecter des données ventilées par genre sur le taux d</w:t>
      </w:r>
      <w:r w:rsidR="00740140">
        <w:rPr>
          <w:b/>
          <w:bCs/>
          <w:lang w:val="fr-FR"/>
        </w:rPr>
        <w:t>’</w:t>
      </w:r>
      <w:r w:rsidRPr="00AF6339">
        <w:rPr>
          <w:b/>
          <w:bCs/>
          <w:lang w:val="fr-FR"/>
        </w:rPr>
        <w:t>abandon scolaire, de prendre des mesures visant à maintenir les filles dans le système scolaire, et de mettre en place une politique de réintégration pour celles ayant interrompu leur scolarité, en particulier pour les femmes et les filles enceintes, les jeunes mères après la naissance d</w:t>
      </w:r>
      <w:r w:rsidR="00740140">
        <w:rPr>
          <w:b/>
          <w:bCs/>
          <w:lang w:val="fr-FR"/>
        </w:rPr>
        <w:t>’</w:t>
      </w:r>
      <w:r w:rsidRPr="00AF6339">
        <w:rPr>
          <w:b/>
          <w:bCs/>
          <w:lang w:val="fr-FR"/>
        </w:rPr>
        <w:t>un enfant, ainsi que les victimes de harcèlement sexuel</w:t>
      </w:r>
      <w:r w:rsidR="00740140">
        <w:rPr>
          <w:b/>
          <w:bCs/>
          <w:lang w:val="fr-FR"/>
        </w:rPr>
        <w:t> ;</w:t>
      </w:r>
    </w:p>
    <w:p w14:paraId="1C5CD04B" w14:textId="7D8E1ED2" w:rsidR="00AF6339" w:rsidRPr="00AF6339" w:rsidRDefault="00AF6339" w:rsidP="00AF6339">
      <w:pPr>
        <w:pStyle w:val="SingleTxt"/>
        <w:rPr>
          <w:lang w:val="fr-FR"/>
        </w:rPr>
      </w:pPr>
      <w:r w:rsidRPr="00AF6339">
        <w:rPr>
          <w:lang w:val="fr-FR"/>
        </w:rPr>
        <w:tab/>
        <w:t>b)</w:t>
      </w:r>
      <w:r w:rsidRPr="00AF6339">
        <w:rPr>
          <w:lang w:val="fr-FR"/>
        </w:rPr>
        <w:tab/>
      </w:r>
      <w:r w:rsidRPr="00AF6339">
        <w:rPr>
          <w:b/>
          <w:bCs/>
          <w:lang w:val="fr-FR"/>
        </w:rPr>
        <w:t>d</w:t>
      </w:r>
      <w:r w:rsidR="00740140">
        <w:rPr>
          <w:b/>
          <w:bCs/>
          <w:lang w:val="fr-FR"/>
        </w:rPr>
        <w:t>’</w:t>
      </w:r>
      <w:r w:rsidRPr="00AF6339">
        <w:rPr>
          <w:b/>
          <w:bCs/>
          <w:lang w:val="fr-FR"/>
        </w:rPr>
        <w:t>enquêter sur les affaires de harcèlement sexuel et de violence dans les écoles et les internats, de veiller à ce que les auteurs soient dûment sanctionnés et à ce que les victimes aient accès aux dispositifs de réadaptation et de réparations, et de collecter des données ventilées sur le nombre de filles victimes de violence fondée sur le genre, y compris de violence sexuelle, et sur le taux de poursuites et de condamnations</w:t>
      </w:r>
      <w:r w:rsidR="00740140">
        <w:rPr>
          <w:b/>
          <w:bCs/>
          <w:lang w:val="fr-FR"/>
        </w:rPr>
        <w:t> ;</w:t>
      </w:r>
    </w:p>
    <w:p w14:paraId="2FAF8598" w14:textId="7B8F0C44" w:rsidR="00AF6339" w:rsidRDefault="00AF6339" w:rsidP="00AF6339">
      <w:pPr>
        <w:pStyle w:val="SingleTxt"/>
        <w:rPr>
          <w:b/>
          <w:bCs/>
          <w:lang w:val="fr-FR"/>
        </w:rPr>
      </w:pPr>
      <w:r w:rsidRPr="00AF6339">
        <w:rPr>
          <w:lang w:val="fr-FR"/>
        </w:rPr>
        <w:tab/>
        <w:t>c)</w:t>
      </w:r>
      <w:r w:rsidRPr="00AF6339">
        <w:rPr>
          <w:lang w:val="fr-FR"/>
        </w:rPr>
        <w:tab/>
      </w:r>
      <w:r w:rsidRPr="00AF6339">
        <w:rPr>
          <w:b/>
          <w:bCs/>
          <w:lang w:val="fr-FR"/>
        </w:rPr>
        <w:t>de garantir l</w:t>
      </w:r>
      <w:r w:rsidR="00740140">
        <w:rPr>
          <w:b/>
          <w:bCs/>
          <w:lang w:val="fr-FR"/>
        </w:rPr>
        <w:t>’</w:t>
      </w:r>
      <w:r w:rsidRPr="00AF6339">
        <w:rPr>
          <w:b/>
          <w:bCs/>
          <w:lang w:val="fr-FR"/>
        </w:rPr>
        <w:t>égalité d</w:t>
      </w:r>
      <w:r w:rsidR="00740140">
        <w:rPr>
          <w:b/>
          <w:bCs/>
          <w:lang w:val="fr-FR"/>
        </w:rPr>
        <w:t>’</w:t>
      </w:r>
      <w:r w:rsidRPr="00AF6339">
        <w:rPr>
          <w:b/>
          <w:bCs/>
          <w:lang w:val="fr-FR"/>
        </w:rPr>
        <w:t>accès, pour les femmes et les filles, aux études dans les domaines non traditionnels, en recrutant des femmes dans le corps enseignant, en fournissant bourses d</w:t>
      </w:r>
      <w:r w:rsidR="00740140">
        <w:rPr>
          <w:b/>
          <w:bCs/>
          <w:lang w:val="fr-FR"/>
        </w:rPr>
        <w:t>’</w:t>
      </w:r>
      <w:r w:rsidRPr="00AF6339">
        <w:rPr>
          <w:b/>
          <w:bCs/>
          <w:lang w:val="fr-FR"/>
        </w:rPr>
        <w:t xml:space="preserve">études et conseil en orientation, en créant des dispositifs incitatifs qui attirent les jeunes filles vers ces filières et les y maintiennent et en sensibilisant les parents, le corps enseignant, les filles et les </w:t>
      </w:r>
      <w:r w:rsidRPr="00AF6339">
        <w:rPr>
          <w:b/>
          <w:bCs/>
          <w:lang w:val="fr-FR"/>
        </w:rPr>
        <w:lastRenderedPageBreak/>
        <w:t>femmes à l</w:t>
      </w:r>
      <w:r w:rsidR="00740140">
        <w:rPr>
          <w:b/>
          <w:bCs/>
          <w:lang w:val="fr-FR"/>
        </w:rPr>
        <w:t>’</w:t>
      </w:r>
      <w:r w:rsidRPr="00AF6339">
        <w:rPr>
          <w:b/>
          <w:bCs/>
          <w:lang w:val="fr-FR"/>
        </w:rPr>
        <w:t>importance qu</w:t>
      </w:r>
      <w:r w:rsidR="00740140">
        <w:rPr>
          <w:b/>
          <w:bCs/>
          <w:lang w:val="fr-FR"/>
        </w:rPr>
        <w:t>’</w:t>
      </w:r>
      <w:r w:rsidRPr="00AF6339">
        <w:rPr>
          <w:b/>
          <w:bCs/>
          <w:lang w:val="fr-FR"/>
        </w:rPr>
        <w:t>il y a à ce que les filles choisissent des études et des carrières dans des domaines non traditionnels, tels que les sciences, la technologie, l</w:t>
      </w:r>
      <w:r w:rsidR="00740140">
        <w:rPr>
          <w:b/>
          <w:bCs/>
          <w:lang w:val="fr-FR"/>
        </w:rPr>
        <w:t>’</w:t>
      </w:r>
      <w:r w:rsidRPr="00AF6339">
        <w:rPr>
          <w:b/>
          <w:bCs/>
          <w:lang w:val="fr-FR"/>
        </w:rPr>
        <w:t>ingénierie et les mathématiques.</w:t>
      </w:r>
    </w:p>
    <w:p w14:paraId="34092349" w14:textId="5D9B651C" w:rsidR="0059558B" w:rsidRPr="0059558B" w:rsidRDefault="0059558B" w:rsidP="0059558B">
      <w:pPr>
        <w:pStyle w:val="SingleTxt"/>
        <w:spacing w:after="0" w:line="120" w:lineRule="exact"/>
        <w:rPr>
          <w:b/>
          <w:bCs/>
          <w:sz w:val="10"/>
          <w:lang w:val="fr-FR"/>
        </w:rPr>
      </w:pPr>
    </w:p>
    <w:p w14:paraId="7BA4E278" w14:textId="0D601955" w:rsidR="00AF6339" w:rsidRDefault="00AF6339" w:rsidP="005955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Emploi</w:t>
      </w:r>
    </w:p>
    <w:p w14:paraId="3AB885F4" w14:textId="53F7C4B2" w:rsidR="0059558B" w:rsidRPr="0059558B" w:rsidRDefault="0059558B" w:rsidP="0059558B">
      <w:pPr>
        <w:pStyle w:val="SingleTxt"/>
        <w:spacing w:after="0" w:line="120" w:lineRule="exact"/>
        <w:rPr>
          <w:sz w:val="10"/>
          <w:lang w:val="fr-FR"/>
        </w:rPr>
      </w:pPr>
    </w:p>
    <w:p w14:paraId="7F911604" w14:textId="4DB575F5" w:rsidR="00AF6339" w:rsidRPr="00AF6339" w:rsidRDefault="00AF6339" w:rsidP="0059558B">
      <w:pPr>
        <w:pStyle w:val="SingleTxt"/>
        <w:numPr>
          <w:ilvl w:val="0"/>
          <w:numId w:val="22"/>
        </w:numPr>
        <w:spacing w:line="240" w:lineRule="exact"/>
        <w:rPr>
          <w:lang w:val="fr-FR"/>
        </w:rPr>
      </w:pPr>
      <w:r w:rsidRPr="00AF6339">
        <w:rPr>
          <w:lang w:val="fr-FR"/>
        </w:rPr>
        <w:t>Le Comité salue l</w:t>
      </w:r>
      <w:r w:rsidR="00740140">
        <w:rPr>
          <w:lang w:val="fr-FR"/>
        </w:rPr>
        <w:t>’</w:t>
      </w:r>
      <w:r w:rsidRPr="00AF6339">
        <w:rPr>
          <w:lang w:val="fr-FR"/>
        </w:rPr>
        <w:t>adoption, entérinée en 2019, d</w:t>
      </w:r>
      <w:r w:rsidR="00740140">
        <w:rPr>
          <w:lang w:val="fr-FR"/>
        </w:rPr>
        <w:t>’</w:t>
      </w:r>
      <w:r w:rsidRPr="00AF6339">
        <w:rPr>
          <w:lang w:val="fr-FR"/>
        </w:rPr>
        <w:t>une politique salariale nationale pour la période 2019-2024 et d</w:t>
      </w:r>
      <w:r w:rsidR="00740140">
        <w:rPr>
          <w:lang w:val="fr-FR"/>
        </w:rPr>
        <w:t>’</w:t>
      </w:r>
      <w:r w:rsidRPr="00AF6339">
        <w:rPr>
          <w:lang w:val="fr-FR"/>
        </w:rPr>
        <w:t>un plan d</w:t>
      </w:r>
      <w:r w:rsidR="00740140">
        <w:rPr>
          <w:lang w:val="fr-FR"/>
        </w:rPr>
        <w:t>’</w:t>
      </w:r>
      <w:r w:rsidRPr="00AF6339">
        <w:rPr>
          <w:lang w:val="fr-FR"/>
        </w:rPr>
        <w:t>action connexe, qui visent à promouvoir l</w:t>
      </w:r>
      <w:r w:rsidR="00740140">
        <w:rPr>
          <w:lang w:val="fr-FR"/>
        </w:rPr>
        <w:t>’</w:t>
      </w:r>
      <w:r w:rsidRPr="00AF6339">
        <w:rPr>
          <w:lang w:val="fr-FR"/>
        </w:rPr>
        <w:t>égalité de rémunération pour un travail de valeur égale. Toutefois, il demeure préoccupé par</w:t>
      </w:r>
      <w:r w:rsidR="00740140">
        <w:rPr>
          <w:lang w:val="fr-FR"/>
        </w:rPr>
        <w:t> :</w:t>
      </w:r>
    </w:p>
    <w:p w14:paraId="7C06A48A" w14:textId="765A1EF3" w:rsidR="00AF6339" w:rsidRPr="00AF6339" w:rsidRDefault="00AF6339" w:rsidP="00AF6339">
      <w:pPr>
        <w:pStyle w:val="SingleTxt"/>
        <w:rPr>
          <w:lang w:val="fr-FR"/>
        </w:rPr>
      </w:pPr>
      <w:r w:rsidRPr="00AF6339">
        <w:rPr>
          <w:lang w:val="fr-FR"/>
        </w:rPr>
        <w:tab/>
        <w:t>a)</w:t>
      </w:r>
      <w:r w:rsidRPr="00AF6339">
        <w:rPr>
          <w:lang w:val="fr-FR"/>
        </w:rPr>
        <w:tab/>
        <w:t>l</w:t>
      </w:r>
      <w:r w:rsidR="00740140">
        <w:rPr>
          <w:lang w:val="fr-FR"/>
        </w:rPr>
        <w:t>’</w:t>
      </w:r>
      <w:r w:rsidRPr="00AF6339">
        <w:rPr>
          <w:lang w:val="fr-FR"/>
        </w:rPr>
        <w:t>écart salarial persistant entre les femmes et les hommes dans tous les secteurs, la ségrégation horizontale et verticale sur le marché du travail, la concentration des femmes dans les emplois faiblement rémunérés des secteurs formel et informel, le manque de services de garde d</w:t>
      </w:r>
      <w:r w:rsidR="00740140">
        <w:rPr>
          <w:lang w:val="fr-FR"/>
        </w:rPr>
        <w:t>’</w:t>
      </w:r>
      <w:r w:rsidRPr="00AF6339">
        <w:rPr>
          <w:lang w:val="fr-FR"/>
        </w:rPr>
        <w:t>enfants financièrement abordables dans l</w:t>
      </w:r>
      <w:r w:rsidR="00740140">
        <w:rPr>
          <w:lang w:val="fr-FR"/>
        </w:rPr>
        <w:t>’</w:t>
      </w:r>
      <w:r w:rsidRPr="00AF6339">
        <w:rPr>
          <w:lang w:val="fr-FR"/>
        </w:rPr>
        <w:t>État partie</w:t>
      </w:r>
      <w:r w:rsidR="00740140">
        <w:rPr>
          <w:lang w:val="fr-FR"/>
        </w:rPr>
        <w:t> ;</w:t>
      </w:r>
    </w:p>
    <w:p w14:paraId="25E34389" w14:textId="26E1C570" w:rsidR="00AF6339" w:rsidRPr="00AF6339" w:rsidRDefault="00AF6339" w:rsidP="00AF6339">
      <w:pPr>
        <w:pStyle w:val="SingleTxt"/>
        <w:rPr>
          <w:lang w:val="fr-FR"/>
        </w:rPr>
      </w:pPr>
      <w:r w:rsidRPr="00AF6339">
        <w:rPr>
          <w:lang w:val="fr-FR"/>
        </w:rPr>
        <w:tab/>
        <w:t>b)</w:t>
      </w:r>
      <w:r w:rsidRPr="00AF6339">
        <w:rPr>
          <w:lang w:val="fr-FR"/>
        </w:rPr>
        <w:tab/>
        <w:t>la liste des professions interdites aux femmes, excessivement protectrice, qui exclut les femmes d</w:t>
      </w:r>
      <w:r w:rsidR="00740140">
        <w:rPr>
          <w:lang w:val="fr-FR"/>
        </w:rPr>
        <w:t>’</w:t>
      </w:r>
      <w:r w:rsidRPr="00AF6339">
        <w:rPr>
          <w:lang w:val="fr-FR"/>
        </w:rPr>
        <w:t>un certain nombre d</w:t>
      </w:r>
      <w:r w:rsidR="00740140">
        <w:rPr>
          <w:lang w:val="fr-FR"/>
        </w:rPr>
        <w:t>’</w:t>
      </w:r>
      <w:r w:rsidRPr="00AF6339">
        <w:rPr>
          <w:lang w:val="fr-FR"/>
        </w:rPr>
        <w:t>emplois et d</w:t>
      </w:r>
      <w:r w:rsidR="00740140">
        <w:rPr>
          <w:lang w:val="fr-FR"/>
        </w:rPr>
        <w:t>’</w:t>
      </w:r>
      <w:r w:rsidRPr="00AF6339">
        <w:rPr>
          <w:lang w:val="fr-FR"/>
        </w:rPr>
        <w:t>activités sans raison objective et restreint ainsi leurs perspectives économiques dans des secteurs tels que l</w:t>
      </w:r>
      <w:r w:rsidR="00740140">
        <w:rPr>
          <w:lang w:val="fr-FR"/>
        </w:rPr>
        <w:t>’</w:t>
      </w:r>
      <w:r w:rsidRPr="00AF6339">
        <w:rPr>
          <w:lang w:val="fr-FR"/>
        </w:rPr>
        <w:t>industrie extractive</w:t>
      </w:r>
      <w:r w:rsidR="00740140">
        <w:rPr>
          <w:lang w:val="fr-FR"/>
        </w:rPr>
        <w:t> ;</w:t>
      </w:r>
    </w:p>
    <w:p w14:paraId="1AA2ACEC" w14:textId="08C5B4D3" w:rsidR="00AF6339" w:rsidRPr="00AF6339" w:rsidRDefault="00AF6339" w:rsidP="00AF6339">
      <w:pPr>
        <w:pStyle w:val="SingleTxt"/>
        <w:rPr>
          <w:lang w:val="fr-FR"/>
        </w:rPr>
      </w:pPr>
      <w:r w:rsidRPr="00AF6339">
        <w:rPr>
          <w:lang w:val="fr-FR"/>
        </w:rPr>
        <w:tab/>
        <w:t>c)</w:t>
      </w:r>
      <w:r w:rsidRPr="00AF6339">
        <w:rPr>
          <w:lang w:val="fr-FR"/>
        </w:rPr>
        <w:tab/>
        <w:t>l</w:t>
      </w:r>
      <w:r w:rsidR="00740140">
        <w:rPr>
          <w:lang w:val="fr-FR"/>
        </w:rPr>
        <w:t>’</w:t>
      </w:r>
      <w:r w:rsidRPr="00AF6339">
        <w:rPr>
          <w:lang w:val="fr-FR"/>
        </w:rPr>
        <w:t>âge précoce de la retraite des femmes, qui limite leurs perspectives d</w:t>
      </w:r>
      <w:r w:rsidR="00740140">
        <w:rPr>
          <w:lang w:val="fr-FR"/>
        </w:rPr>
        <w:t>’</w:t>
      </w:r>
      <w:r w:rsidRPr="00AF6339">
        <w:rPr>
          <w:lang w:val="fr-FR"/>
        </w:rPr>
        <w:t>emploi et réduit le niveau de leur pension</w:t>
      </w:r>
      <w:r w:rsidR="00740140">
        <w:rPr>
          <w:lang w:val="fr-FR"/>
        </w:rPr>
        <w:t> ;</w:t>
      </w:r>
    </w:p>
    <w:p w14:paraId="6DD09E84" w14:textId="36448154" w:rsidR="00AF6339" w:rsidRPr="00AF6339" w:rsidRDefault="00AF6339" w:rsidP="00AF6339">
      <w:pPr>
        <w:pStyle w:val="SingleTxt"/>
        <w:rPr>
          <w:lang w:val="fr-FR"/>
        </w:rPr>
      </w:pPr>
      <w:r w:rsidRPr="00AF6339">
        <w:rPr>
          <w:lang w:val="fr-FR"/>
        </w:rPr>
        <w:tab/>
        <w:t>d)</w:t>
      </w:r>
      <w:r w:rsidRPr="00AF6339">
        <w:rPr>
          <w:lang w:val="fr-FR"/>
        </w:rPr>
        <w:tab/>
        <w:t>le classement du harcèlement sexuel en infraction mineure et la clémence des sanctions qui en résulte, ainsi que le manque de données concernant le nombre de poursuites, de condamnations et de peines prononcées à l</w:t>
      </w:r>
      <w:r w:rsidR="00740140">
        <w:rPr>
          <w:lang w:val="fr-FR"/>
        </w:rPr>
        <w:t>’</w:t>
      </w:r>
      <w:r w:rsidRPr="00AF6339">
        <w:rPr>
          <w:lang w:val="fr-FR"/>
        </w:rPr>
        <w:t>encontre des auteurs</w:t>
      </w:r>
      <w:r w:rsidR="00740140">
        <w:rPr>
          <w:lang w:val="fr-FR"/>
        </w:rPr>
        <w:t> ;</w:t>
      </w:r>
    </w:p>
    <w:p w14:paraId="775E2469" w14:textId="1EF35F53" w:rsidR="00AF6339" w:rsidRPr="00AF6339" w:rsidRDefault="00AF6339" w:rsidP="00AF6339">
      <w:pPr>
        <w:pStyle w:val="SingleTxt"/>
        <w:rPr>
          <w:lang w:val="fr-FR"/>
        </w:rPr>
      </w:pPr>
      <w:r w:rsidRPr="00AF6339">
        <w:rPr>
          <w:lang w:val="fr-FR"/>
        </w:rPr>
        <w:tab/>
        <w:t>e)</w:t>
      </w:r>
      <w:r w:rsidRPr="00AF6339">
        <w:rPr>
          <w:lang w:val="fr-FR"/>
        </w:rPr>
        <w:tab/>
        <w:t>le manque d</w:t>
      </w:r>
      <w:r w:rsidR="00740140">
        <w:rPr>
          <w:lang w:val="fr-FR"/>
        </w:rPr>
        <w:t>’</w:t>
      </w:r>
      <w:r w:rsidRPr="00AF6339">
        <w:rPr>
          <w:lang w:val="fr-FR"/>
        </w:rPr>
        <w:t>information portant sur le système national de l</w:t>
      </w:r>
      <w:r w:rsidR="00740140">
        <w:rPr>
          <w:lang w:val="fr-FR"/>
        </w:rPr>
        <w:t>’</w:t>
      </w:r>
      <w:r w:rsidRPr="00AF6339">
        <w:rPr>
          <w:lang w:val="fr-FR"/>
        </w:rPr>
        <w:t>inspection du travail, les limites constatées de son mandat, de ses moyens et de son efficacité.</w:t>
      </w:r>
    </w:p>
    <w:p w14:paraId="71A7D716" w14:textId="1DE9B753" w:rsidR="00AF6339" w:rsidRPr="0059558B" w:rsidRDefault="00AF6339" w:rsidP="0059558B">
      <w:pPr>
        <w:pStyle w:val="SingleTxt"/>
        <w:numPr>
          <w:ilvl w:val="0"/>
          <w:numId w:val="22"/>
        </w:numPr>
        <w:spacing w:line="240" w:lineRule="exact"/>
        <w:rPr>
          <w:b/>
          <w:bCs/>
          <w:lang w:val="fr-FR"/>
        </w:rPr>
      </w:pPr>
      <w:r w:rsidRPr="0059558B">
        <w:rPr>
          <w:b/>
          <w:bCs/>
          <w:lang w:val="fr-FR"/>
        </w:rPr>
        <w:t>Le Comité attire l</w:t>
      </w:r>
      <w:r w:rsidR="00740140">
        <w:rPr>
          <w:b/>
          <w:bCs/>
          <w:lang w:val="fr-FR"/>
        </w:rPr>
        <w:t>’</w:t>
      </w:r>
      <w:r w:rsidRPr="0059558B">
        <w:rPr>
          <w:b/>
          <w:bCs/>
          <w:lang w:val="fr-FR"/>
        </w:rPr>
        <w:t>attention sur sa recommandation générale n</w:t>
      </w:r>
      <w:r w:rsidRPr="0059558B">
        <w:rPr>
          <w:b/>
          <w:bCs/>
          <w:vertAlign w:val="superscript"/>
          <w:lang w:val="fr-FR"/>
        </w:rPr>
        <w:t>o </w:t>
      </w:r>
      <w:r w:rsidRPr="0059558B">
        <w:rPr>
          <w:b/>
          <w:bCs/>
          <w:lang w:val="fr-FR"/>
        </w:rPr>
        <w:t>13 (1989) relative à l</w:t>
      </w:r>
      <w:r w:rsidR="00740140">
        <w:rPr>
          <w:b/>
          <w:bCs/>
          <w:lang w:val="fr-FR"/>
        </w:rPr>
        <w:t>’</w:t>
      </w:r>
      <w:r w:rsidRPr="0059558B">
        <w:rPr>
          <w:b/>
          <w:bCs/>
          <w:lang w:val="fr-FR"/>
        </w:rPr>
        <w:t xml:space="preserve">égalité de rémunération pour un travail de valeur égale et sur la </w:t>
      </w:r>
      <w:bookmarkStart w:id="1" w:name="__DdeLink__1811_543144077"/>
      <w:r w:rsidRPr="0059558B">
        <w:rPr>
          <w:b/>
          <w:bCs/>
          <w:lang w:val="fr-FR"/>
        </w:rPr>
        <w:t>cible 8.5 des objectifs de développement durable</w:t>
      </w:r>
      <w:bookmarkEnd w:id="1"/>
      <w:r w:rsidRPr="0059558B">
        <w:rPr>
          <w:b/>
          <w:bCs/>
          <w:lang w:val="fr-FR"/>
        </w:rPr>
        <w:t xml:space="preserve"> visant, d</w:t>
      </w:r>
      <w:r w:rsidR="00740140">
        <w:rPr>
          <w:b/>
          <w:bCs/>
          <w:lang w:val="fr-FR"/>
        </w:rPr>
        <w:t>’</w:t>
      </w:r>
      <w:r w:rsidRPr="0059558B">
        <w:rPr>
          <w:b/>
          <w:bCs/>
          <w:lang w:val="fr-FR"/>
        </w:rPr>
        <w:t>ici à 2030, à parvenir au plein emploi productif et à garantir à toutes les femmes et à tous les hommes, y compris aux jeunes et aux personnes handicapées, un travail décent et un salaire égal pour un travail de valeur égale, et recommande à l</w:t>
      </w:r>
      <w:r w:rsidR="00740140">
        <w:rPr>
          <w:b/>
          <w:bCs/>
          <w:lang w:val="fr-FR"/>
        </w:rPr>
        <w:t>’</w:t>
      </w:r>
      <w:r w:rsidRPr="0059558B">
        <w:rPr>
          <w:b/>
          <w:bCs/>
          <w:lang w:val="fr-FR"/>
        </w:rPr>
        <w:t>État partie</w:t>
      </w:r>
      <w:r w:rsidR="00740140">
        <w:rPr>
          <w:b/>
          <w:bCs/>
          <w:lang w:val="fr-FR"/>
        </w:rPr>
        <w:t> :</w:t>
      </w:r>
    </w:p>
    <w:p w14:paraId="4EF36C70" w14:textId="28C1E4F0" w:rsidR="00AF6339" w:rsidRPr="00AF6339" w:rsidRDefault="00AF6339" w:rsidP="00AF6339">
      <w:pPr>
        <w:pStyle w:val="SingleTxt"/>
        <w:rPr>
          <w:lang w:val="fr-FR"/>
        </w:rPr>
      </w:pPr>
      <w:r w:rsidRPr="00AF6339">
        <w:rPr>
          <w:lang w:val="fr-FR"/>
        </w:rPr>
        <w:tab/>
        <w:t>a)</w:t>
      </w:r>
      <w:r w:rsidRPr="00AF6339">
        <w:rPr>
          <w:lang w:val="fr-FR"/>
        </w:rPr>
        <w:tab/>
      </w:r>
      <w:r w:rsidRPr="00AF6339">
        <w:rPr>
          <w:b/>
          <w:bCs/>
          <w:lang w:val="fr-FR"/>
        </w:rPr>
        <w:t>de réévaluer les rémunérations dans tous les secteurs d</w:t>
      </w:r>
      <w:r w:rsidR="00740140">
        <w:rPr>
          <w:b/>
          <w:bCs/>
          <w:lang w:val="fr-FR"/>
        </w:rPr>
        <w:t>’</w:t>
      </w:r>
      <w:r w:rsidRPr="00AF6339">
        <w:rPr>
          <w:b/>
          <w:bCs/>
          <w:lang w:val="fr-FR"/>
        </w:rPr>
        <w:t>activité, en recourant à des méthodes analytiques de classification des emplois et d</w:t>
      </w:r>
      <w:r w:rsidR="00740140">
        <w:rPr>
          <w:b/>
          <w:bCs/>
          <w:lang w:val="fr-FR"/>
        </w:rPr>
        <w:t>’</w:t>
      </w:r>
      <w:r w:rsidRPr="00AF6339">
        <w:rPr>
          <w:b/>
          <w:bCs/>
          <w:lang w:val="fr-FR"/>
        </w:rPr>
        <w:t>évaluation tenant compte des questions de genre, en menant régulièrement des enquêtes sur les salaires, et en incitant les employeurs à publier des notes explicatives incluant des données sur l</w:t>
      </w:r>
      <w:r w:rsidR="00740140">
        <w:rPr>
          <w:b/>
          <w:bCs/>
          <w:lang w:val="fr-FR"/>
        </w:rPr>
        <w:t>’</w:t>
      </w:r>
      <w:r w:rsidRPr="00AF6339">
        <w:rPr>
          <w:b/>
          <w:bCs/>
          <w:lang w:val="fr-FR"/>
        </w:rPr>
        <w:t>écart salarial femmes-hommes afin d</w:t>
      </w:r>
      <w:r w:rsidR="00740140">
        <w:rPr>
          <w:b/>
          <w:bCs/>
          <w:lang w:val="fr-FR"/>
        </w:rPr>
        <w:t>’</w:t>
      </w:r>
      <w:r w:rsidRPr="00AF6339">
        <w:rPr>
          <w:b/>
          <w:bCs/>
          <w:lang w:val="fr-FR"/>
        </w:rPr>
        <w:t>améliorer la compréhension des causes de ce phénomène, et de renforcer le principe de l</w:t>
      </w:r>
      <w:r w:rsidR="00740140">
        <w:rPr>
          <w:b/>
          <w:bCs/>
          <w:lang w:val="fr-FR"/>
        </w:rPr>
        <w:t>’</w:t>
      </w:r>
      <w:r w:rsidRPr="00AF6339">
        <w:rPr>
          <w:b/>
          <w:bCs/>
          <w:lang w:val="fr-FR"/>
        </w:rPr>
        <w:t>égalité de rémunération pour un travail de valeur égale dans le but de réduire et, à terme, de combler l</w:t>
      </w:r>
      <w:r w:rsidR="00740140">
        <w:rPr>
          <w:b/>
          <w:bCs/>
          <w:lang w:val="fr-FR"/>
        </w:rPr>
        <w:t>’</w:t>
      </w:r>
      <w:r w:rsidRPr="00AF6339">
        <w:rPr>
          <w:b/>
          <w:bCs/>
          <w:lang w:val="fr-FR"/>
        </w:rPr>
        <w:t>écart de rémunération entre les femmes et les hommes</w:t>
      </w:r>
      <w:r w:rsidR="00740140">
        <w:rPr>
          <w:b/>
          <w:bCs/>
          <w:lang w:val="fr-FR"/>
        </w:rPr>
        <w:t> ;</w:t>
      </w:r>
    </w:p>
    <w:p w14:paraId="6B93F1DB" w14:textId="7A93E3E7" w:rsidR="00AF6339" w:rsidRPr="00AF6339" w:rsidRDefault="00AF6339" w:rsidP="00AF6339">
      <w:pPr>
        <w:pStyle w:val="SingleTxt"/>
        <w:rPr>
          <w:lang w:val="fr-FR"/>
        </w:rPr>
      </w:pPr>
      <w:r w:rsidRPr="00AF6339">
        <w:rPr>
          <w:lang w:val="fr-FR"/>
        </w:rPr>
        <w:tab/>
        <w:t>b)</w:t>
      </w:r>
      <w:r w:rsidRPr="00AF6339">
        <w:rPr>
          <w:lang w:val="fr-FR"/>
        </w:rPr>
        <w:tab/>
      </w:r>
      <w:r w:rsidRPr="00AF6339">
        <w:rPr>
          <w:b/>
          <w:bCs/>
          <w:lang w:val="fr-FR"/>
        </w:rPr>
        <w:t>d</w:t>
      </w:r>
      <w:r w:rsidR="00740140">
        <w:rPr>
          <w:b/>
          <w:bCs/>
          <w:lang w:val="fr-FR"/>
        </w:rPr>
        <w:t>’</w:t>
      </w:r>
      <w:r w:rsidRPr="00AF6339">
        <w:rPr>
          <w:b/>
          <w:bCs/>
          <w:lang w:val="fr-FR"/>
        </w:rPr>
        <w:t>éliminer la ségrégation professionnelle horizontale et verticale, notamment en permettant l</w:t>
      </w:r>
      <w:r w:rsidR="00740140">
        <w:rPr>
          <w:b/>
          <w:bCs/>
          <w:lang w:val="fr-FR"/>
        </w:rPr>
        <w:t>’</w:t>
      </w:r>
      <w:r w:rsidRPr="00AF6339">
        <w:rPr>
          <w:b/>
          <w:bCs/>
          <w:lang w:val="fr-FR"/>
        </w:rPr>
        <w:t>aménagement des modalités de travail et en augmentant le nombre de services de garde d</w:t>
      </w:r>
      <w:r w:rsidR="00740140">
        <w:rPr>
          <w:b/>
          <w:bCs/>
          <w:lang w:val="fr-FR"/>
        </w:rPr>
        <w:t>’</w:t>
      </w:r>
      <w:r w:rsidRPr="00AF6339">
        <w:rPr>
          <w:b/>
          <w:bCs/>
          <w:lang w:val="fr-FR"/>
        </w:rPr>
        <w:t>enfants financièrement abordables, et d</w:t>
      </w:r>
      <w:r w:rsidR="00740140">
        <w:rPr>
          <w:b/>
          <w:bCs/>
          <w:lang w:val="fr-FR"/>
        </w:rPr>
        <w:t>’</w:t>
      </w:r>
      <w:r w:rsidRPr="00AF6339">
        <w:rPr>
          <w:b/>
          <w:bCs/>
          <w:lang w:val="fr-FR"/>
        </w:rPr>
        <w:t>envisager la ratification de la Convention de 1981 sur les travailleurs ayant des responsabilités familiales (n</w:t>
      </w:r>
      <w:r w:rsidRPr="00AF6339">
        <w:rPr>
          <w:b/>
          <w:bCs/>
          <w:vertAlign w:val="superscript"/>
          <w:lang w:val="fr-FR"/>
        </w:rPr>
        <w:t>o</w:t>
      </w:r>
      <w:r w:rsidRPr="00AF6339">
        <w:rPr>
          <w:b/>
          <w:bCs/>
          <w:lang w:val="fr-FR"/>
        </w:rPr>
        <w:t> 156) de l</w:t>
      </w:r>
      <w:r w:rsidR="00740140">
        <w:rPr>
          <w:b/>
          <w:bCs/>
          <w:lang w:val="fr-FR"/>
        </w:rPr>
        <w:t>’</w:t>
      </w:r>
      <w:r w:rsidRPr="00AF6339">
        <w:rPr>
          <w:b/>
          <w:bCs/>
          <w:lang w:val="fr-FR"/>
        </w:rPr>
        <w:t>Organisation internationale du Travail</w:t>
      </w:r>
      <w:r w:rsidR="00740140">
        <w:rPr>
          <w:b/>
          <w:bCs/>
          <w:lang w:val="fr-FR"/>
        </w:rPr>
        <w:t> ;</w:t>
      </w:r>
    </w:p>
    <w:p w14:paraId="25B2515A" w14:textId="5788CC5E" w:rsidR="00AF6339" w:rsidRPr="00AF6339" w:rsidRDefault="00AF6339" w:rsidP="00AF6339">
      <w:pPr>
        <w:pStyle w:val="SingleTxt"/>
        <w:rPr>
          <w:lang w:val="fr-FR"/>
        </w:rPr>
      </w:pPr>
      <w:r w:rsidRPr="00AF6339">
        <w:rPr>
          <w:lang w:val="fr-FR"/>
        </w:rPr>
        <w:tab/>
        <w:t>c)</w:t>
      </w:r>
      <w:r w:rsidRPr="00AF6339">
        <w:rPr>
          <w:lang w:val="fr-FR"/>
        </w:rPr>
        <w:tab/>
      </w:r>
      <w:r w:rsidRPr="00AF6339">
        <w:rPr>
          <w:b/>
          <w:bCs/>
          <w:lang w:val="fr-FR"/>
        </w:rPr>
        <w:t>d</w:t>
      </w:r>
      <w:r w:rsidR="00740140">
        <w:rPr>
          <w:b/>
          <w:bCs/>
          <w:lang w:val="fr-FR"/>
        </w:rPr>
        <w:t>’</w:t>
      </w:r>
      <w:r w:rsidRPr="00AF6339">
        <w:rPr>
          <w:b/>
          <w:bCs/>
          <w:lang w:val="fr-FR"/>
        </w:rPr>
        <w:t>abolir la liste des professions et secteurs interdits, de promouvoir et de faciliter l</w:t>
      </w:r>
      <w:r w:rsidR="00740140">
        <w:rPr>
          <w:b/>
          <w:bCs/>
          <w:lang w:val="fr-FR"/>
        </w:rPr>
        <w:t>’</w:t>
      </w:r>
      <w:r w:rsidRPr="00AF6339">
        <w:rPr>
          <w:b/>
          <w:bCs/>
          <w:lang w:val="fr-FR"/>
        </w:rPr>
        <w:t>accès des femmes à ces professions en améliorant les conditions de travail, en particulier en matière de santé et de sécurité</w:t>
      </w:r>
      <w:r w:rsidR="00740140">
        <w:rPr>
          <w:b/>
          <w:bCs/>
          <w:lang w:val="fr-FR"/>
        </w:rPr>
        <w:t> ;</w:t>
      </w:r>
    </w:p>
    <w:p w14:paraId="44E7A7A9" w14:textId="635C7958" w:rsidR="00AF6339" w:rsidRPr="00AF6339" w:rsidRDefault="00AF6339" w:rsidP="00AF6339">
      <w:pPr>
        <w:pStyle w:val="SingleTxt"/>
        <w:rPr>
          <w:lang w:val="fr-FR"/>
        </w:rPr>
      </w:pPr>
      <w:r w:rsidRPr="00AF6339">
        <w:rPr>
          <w:lang w:val="fr-FR"/>
        </w:rPr>
        <w:lastRenderedPageBreak/>
        <w:tab/>
        <w:t>d)</w:t>
      </w:r>
      <w:r w:rsidRPr="00AF6339">
        <w:rPr>
          <w:lang w:val="fr-FR"/>
        </w:rPr>
        <w:tab/>
      </w:r>
      <w:r w:rsidRPr="00AF6339">
        <w:rPr>
          <w:b/>
          <w:bCs/>
          <w:lang w:val="fr-FR"/>
        </w:rPr>
        <w:t>d</w:t>
      </w:r>
      <w:r w:rsidR="00740140">
        <w:rPr>
          <w:b/>
          <w:bCs/>
          <w:lang w:val="fr-FR"/>
        </w:rPr>
        <w:t>’</w:t>
      </w:r>
      <w:r w:rsidRPr="00AF6339">
        <w:rPr>
          <w:b/>
          <w:bCs/>
          <w:lang w:val="fr-FR"/>
        </w:rPr>
        <w:t>élever progressivement l</w:t>
      </w:r>
      <w:r w:rsidR="00740140">
        <w:rPr>
          <w:b/>
          <w:bCs/>
          <w:lang w:val="fr-FR"/>
        </w:rPr>
        <w:t>’</w:t>
      </w:r>
      <w:r w:rsidRPr="00AF6339">
        <w:rPr>
          <w:b/>
          <w:bCs/>
          <w:lang w:val="fr-FR"/>
        </w:rPr>
        <w:t>âge de la retraite des femmes pour l</w:t>
      </w:r>
      <w:r w:rsidR="00740140">
        <w:rPr>
          <w:b/>
          <w:bCs/>
          <w:lang w:val="fr-FR"/>
        </w:rPr>
        <w:t>’</w:t>
      </w:r>
      <w:r w:rsidRPr="00AF6339">
        <w:rPr>
          <w:b/>
          <w:bCs/>
          <w:lang w:val="fr-FR"/>
        </w:rPr>
        <w:t>harmoniser avec celui des hommes, tout en veillant à ce que les femmes soient informées comme il se doit de cette mesure</w:t>
      </w:r>
      <w:r w:rsidR="00740140">
        <w:rPr>
          <w:b/>
          <w:bCs/>
          <w:lang w:val="fr-FR"/>
        </w:rPr>
        <w:t> ;</w:t>
      </w:r>
    </w:p>
    <w:p w14:paraId="0617E08E" w14:textId="6317A3A7" w:rsidR="00AF6339" w:rsidRPr="00AF6339" w:rsidRDefault="00AF6339" w:rsidP="00AF6339">
      <w:pPr>
        <w:pStyle w:val="SingleTxt"/>
        <w:rPr>
          <w:lang w:val="fr-FR"/>
        </w:rPr>
      </w:pPr>
      <w:r w:rsidRPr="00AF6339">
        <w:rPr>
          <w:lang w:val="fr-FR"/>
        </w:rPr>
        <w:tab/>
        <w:t>e)</w:t>
      </w:r>
      <w:r w:rsidRPr="00AF6339">
        <w:rPr>
          <w:lang w:val="fr-FR"/>
        </w:rPr>
        <w:tab/>
      </w:r>
      <w:r w:rsidRPr="00AF6339">
        <w:rPr>
          <w:b/>
          <w:bCs/>
          <w:lang w:val="fr-FR"/>
        </w:rPr>
        <w:t>de modifier le Code pénal dans le sens d</w:t>
      </w:r>
      <w:r w:rsidR="00740140">
        <w:rPr>
          <w:b/>
          <w:bCs/>
          <w:lang w:val="fr-FR"/>
        </w:rPr>
        <w:t>’</w:t>
      </w:r>
      <w:r w:rsidRPr="00AF6339">
        <w:rPr>
          <w:b/>
          <w:bCs/>
          <w:lang w:val="fr-FR"/>
        </w:rPr>
        <w:t>une criminalisation du harcèlement sexuel au travail, de sensibiliser employeurs et employés à la question du harcèlement sexuel et aux dispositions de la loi sur la promotion de l</w:t>
      </w:r>
      <w:r w:rsidR="00740140">
        <w:rPr>
          <w:b/>
          <w:bCs/>
          <w:lang w:val="fr-FR"/>
        </w:rPr>
        <w:t>’</w:t>
      </w:r>
      <w:r w:rsidRPr="00AF6339">
        <w:rPr>
          <w:b/>
          <w:bCs/>
          <w:lang w:val="fr-FR"/>
        </w:rPr>
        <w:t>égalité des genres, de veiller à ce que tout fait signalé de harcèlement sexuel fasse l</w:t>
      </w:r>
      <w:r w:rsidR="00740140">
        <w:rPr>
          <w:b/>
          <w:bCs/>
          <w:lang w:val="fr-FR"/>
        </w:rPr>
        <w:t>’</w:t>
      </w:r>
      <w:r w:rsidRPr="00AF6339">
        <w:rPr>
          <w:b/>
          <w:bCs/>
          <w:lang w:val="fr-FR"/>
        </w:rPr>
        <w:t>objet d</w:t>
      </w:r>
      <w:r w:rsidR="00740140">
        <w:rPr>
          <w:b/>
          <w:bCs/>
          <w:lang w:val="fr-FR"/>
        </w:rPr>
        <w:t>’</w:t>
      </w:r>
      <w:r w:rsidRPr="00AF6339">
        <w:rPr>
          <w:b/>
          <w:bCs/>
          <w:lang w:val="fr-FR"/>
        </w:rPr>
        <w:t>une enquête et que ses auteurs soient dûment sanctionnés, et d</w:t>
      </w:r>
      <w:r w:rsidR="00740140">
        <w:rPr>
          <w:b/>
          <w:bCs/>
          <w:lang w:val="fr-FR"/>
        </w:rPr>
        <w:t>’</w:t>
      </w:r>
      <w:r w:rsidRPr="00AF6339">
        <w:rPr>
          <w:b/>
          <w:bCs/>
          <w:lang w:val="fr-FR"/>
        </w:rPr>
        <w:t>envisager la ratification de la Convention de 2019 sur la violence et le harcèlement (n</w:t>
      </w:r>
      <w:r w:rsidRPr="00AF6339">
        <w:rPr>
          <w:b/>
          <w:bCs/>
          <w:vertAlign w:val="superscript"/>
          <w:lang w:val="fr-FR"/>
        </w:rPr>
        <w:t>o</w:t>
      </w:r>
      <w:r w:rsidRPr="00AF6339">
        <w:rPr>
          <w:b/>
          <w:bCs/>
          <w:lang w:val="fr-FR"/>
        </w:rPr>
        <w:t> 190) de l</w:t>
      </w:r>
      <w:r w:rsidR="00740140">
        <w:rPr>
          <w:b/>
          <w:bCs/>
          <w:lang w:val="fr-FR"/>
        </w:rPr>
        <w:t>’</w:t>
      </w:r>
      <w:r w:rsidRPr="00AF6339">
        <w:rPr>
          <w:b/>
          <w:bCs/>
          <w:lang w:val="fr-FR"/>
        </w:rPr>
        <w:t>Organisation internationale du Travail</w:t>
      </w:r>
      <w:r w:rsidR="00740140">
        <w:rPr>
          <w:b/>
          <w:bCs/>
          <w:lang w:val="fr-FR"/>
        </w:rPr>
        <w:t> ;</w:t>
      </w:r>
    </w:p>
    <w:p w14:paraId="5D0E591D" w14:textId="26A9A0A6" w:rsidR="00AF6339" w:rsidRDefault="00AF6339" w:rsidP="00AF6339">
      <w:pPr>
        <w:pStyle w:val="SingleTxt"/>
        <w:rPr>
          <w:b/>
          <w:bCs/>
          <w:lang w:val="fr-FR"/>
        </w:rPr>
      </w:pPr>
      <w:r w:rsidRPr="00AF6339">
        <w:rPr>
          <w:lang w:val="fr-FR"/>
        </w:rPr>
        <w:tab/>
        <w:t>f)</w:t>
      </w:r>
      <w:r w:rsidRPr="00AF6339">
        <w:rPr>
          <w:lang w:val="fr-FR"/>
        </w:rPr>
        <w:tab/>
      </w:r>
      <w:r w:rsidRPr="00AF6339">
        <w:rPr>
          <w:b/>
          <w:bCs/>
          <w:lang w:val="fr-FR"/>
        </w:rPr>
        <w:t>d</w:t>
      </w:r>
      <w:r w:rsidR="00740140">
        <w:rPr>
          <w:b/>
          <w:bCs/>
          <w:lang w:val="fr-FR"/>
        </w:rPr>
        <w:t>’</w:t>
      </w:r>
      <w:r w:rsidRPr="00AF6339">
        <w:rPr>
          <w:b/>
          <w:bCs/>
          <w:lang w:val="fr-FR"/>
        </w:rPr>
        <w:t>améliorer le système national de l</w:t>
      </w:r>
      <w:r w:rsidR="00740140">
        <w:rPr>
          <w:b/>
          <w:bCs/>
          <w:lang w:val="fr-FR"/>
        </w:rPr>
        <w:t>’</w:t>
      </w:r>
      <w:r w:rsidRPr="00AF6339">
        <w:rPr>
          <w:b/>
          <w:bCs/>
          <w:lang w:val="fr-FR"/>
        </w:rPr>
        <w:t>inspection du travail et d</w:t>
      </w:r>
      <w:r w:rsidR="00740140">
        <w:rPr>
          <w:b/>
          <w:bCs/>
          <w:lang w:val="fr-FR"/>
        </w:rPr>
        <w:t>’</w:t>
      </w:r>
      <w:r w:rsidRPr="00AF6339">
        <w:rPr>
          <w:b/>
          <w:bCs/>
          <w:lang w:val="fr-FR"/>
        </w:rPr>
        <w:t>en renforcer les capacités, afin que les conditions de travail des femmes fassent l</w:t>
      </w:r>
      <w:r w:rsidR="00740140">
        <w:rPr>
          <w:b/>
          <w:bCs/>
          <w:lang w:val="fr-FR"/>
        </w:rPr>
        <w:t>’</w:t>
      </w:r>
      <w:r w:rsidRPr="00AF6339">
        <w:rPr>
          <w:b/>
          <w:bCs/>
          <w:lang w:val="fr-FR"/>
        </w:rPr>
        <w:t>objet d</w:t>
      </w:r>
      <w:r w:rsidR="00740140">
        <w:rPr>
          <w:b/>
          <w:bCs/>
          <w:lang w:val="fr-FR"/>
        </w:rPr>
        <w:t>’</w:t>
      </w:r>
      <w:r w:rsidRPr="00AF6339">
        <w:rPr>
          <w:b/>
          <w:bCs/>
          <w:lang w:val="fr-FR"/>
        </w:rPr>
        <w:t>un contrôle efficace, que les employeurs recourant à des pratiques discriminatoires à l</w:t>
      </w:r>
      <w:r w:rsidR="00740140">
        <w:rPr>
          <w:b/>
          <w:bCs/>
          <w:lang w:val="fr-FR"/>
        </w:rPr>
        <w:t>’</w:t>
      </w:r>
      <w:r w:rsidRPr="00AF6339">
        <w:rPr>
          <w:b/>
          <w:bCs/>
          <w:lang w:val="fr-FR"/>
        </w:rPr>
        <w:t>égard des femmes soient dûment sanctionnés, et que les travailleuses bénéficient d</w:t>
      </w:r>
      <w:r w:rsidR="00740140">
        <w:rPr>
          <w:b/>
          <w:bCs/>
          <w:lang w:val="fr-FR"/>
        </w:rPr>
        <w:t>’</w:t>
      </w:r>
      <w:r w:rsidRPr="00AF6339">
        <w:rPr>
          <w:b/>
          <w:bCs/>
          <w:lang w:val="fr-FR"/>
        </w:rPr>
        <w:t>un meilleur accès à la justice.</w:t>
      </w:r>
    </w:p>
    <w:p w14:paraId="121DDA50" w14:textId="1E4CD7D3" w:rsidR="0059558B" w:rsidRPr="0059558B" w:rsidRDefault="0059558B" w:rsidP="0059558B">
      <w:pPr>
        <w:pStyle w:val="SingleTxt"/>
        <w:spacing w:after="0" w:line="120" w:lineRule="exact"/>
        <w:rPr>
          <w:b/>
          <w:bCs/>
          <w:sz w:val="10"/>
          <w:lang w:val="fr-FR"/>
        </w:rPr>
      </w:pPr>
    </w:p>
    <w:p w14:paraId="0A7D89DA" w14:textId="011326DD" w:rsidR="00AF6339" w:rsidRDefault="00AF6339" w:rsidP="005955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Santé</w:t>
      </w:r>
    </w:p>
    <w:p w14:paraId="56C6AB4C" w14:textId="1EA67999" w:rsidR="0059558B" w:rsidRPr="0059558B" w:rsidRDefault="0059558B" w:rsidP="0059558B">
      <w:pPr>
        <w:pStyle w:val="SingleTxt"/>
        <w:spacing w:after="0" w:line="120" w:lineRule="exact"/>
        <w:rPr>
          <w:sz w:val="10"/>
          <w:lang w:val="fr-FR"/>
        </w:rPr>
      </w:pPr>
    </w:p>
    <w:p w14:paraId="0D1E1B48" w14:textId="40F76DF2" w:rsidR="00AF6339" w:rsidRPr="00AF6339" w:rsidRDefault="00AF6339" w:rsidP="0059558B">
      <w:pPr>
        <w:pStyle w:val="SingleTxt"/>
        <w:numPr>
          <w:ilvl w:val="0"/>
          <w:numId w:val="24"/>
        </w:numPr>
        <w:spacing w:line="240" w:lineRule="exact"/>
        <w:rPr>
          <w:lang w:val="fr-FR"/>
        </w:rPr>
      </w:pPr>
      <w:r w:rsidRPr="00AF6339">
        <w:rPr>
          <w:lang w:val="fr-FR"/>
        </w:rPr>
        <w:t>Le Comité constate avec préoccupation</w:t>
      </w:r>
      <w:r w:rsidR="00740140">
        <w:rPr>
          <w:lang w:val="fr-FR"/>
        </w:rPr>
        <w:t> :</w:t>
      </w:r>
    </w:p>
    <w:p w14:paraId="57095DA4" w14:textId="7547E50D" w:rsidR="00AF6339" w:rsidRPr="00AF6339" w:rsidRDefault="00AF6339" w:rsidP="00AF6339">
      <w:pPr>
        <w:pStyle w:val="SingleTxt"/>
        <w:rPr>
          <w:lang w:val="fr-FR"/>
        </w:rPr>
      </w:pPr>
      <w:r w:rsidRPr="00AF6339">
        <w:rPr>
          <w:lang w:val="fr-FR"/>
        </w:rPr>
        <w:tab/>
        <w:t>a)</w:t>
      </w:r>
      <w:r w:rsidRPr="00AF6339">
        <w:rPr>
          <w:lang w:val="fr-FR"/>
        </w:rPr>
        <w:tab/>
        <w:t>les taux élevés – quoique en légère baisse – de mortalité maternelle et de mortalité néonatale, respectivement de 27,1 décès pour 100 000 naissances vivantes et de 8,7 décès pour 1 000 naissances vivantes en 2018</w:t>
      </w:r>
      <w:r w:rsidR="00740140">
        <w:rPr>
          <w:lang w:val="fr-FR"/>
        </w:rPr>
        <w:t> ;</w:t>
      </w:r>
    </w:p>
    <w:p w14:paraId="1D5A372B" w14:textId="29E625AD" w:rsidR="00AF6339" w:rsidRPr="00AF6339" w:rsidRDefault="00AF6339" w:rsidP="00AF6339">
      <w:pPr>
        <w:pStyle w:val="SingleTxt"/>
        <w:rPr>
          <w:lang w:val="fr-FR"/>
        </w:rPr>
      </w:pPr>
      <w:r w:rsidRPr="00AF6339">
        <w:rPr>
          <w:lang w:val="fr-FR"/>
        </w:rPr>
        <w:tab/>
        <w:t>b)</w:t>
      </w:r>
      <w:r w:rsidRPr="00AF6339">
        <w:rPr>
          <w:lang w:val="fr-FR"/>
        </w:rPr>
        <w:tab/>
        <w:t>l</w:t>
      </w:r>
      <w:r w:rsidR="00740140">
        <w:rPr>
          <w:lang w:val="fr-FR"/>
        </w:rPr>
        <w:t>’</w:t>
      </w:r>
      <w:r w:rsidRPr="00AF6339">
        <w:rPr>
          <w:lang w:val="fr-FR"/>
        </w:rPr>
        <w:t>accès limité des femmes et des filles à des contraceptifs bon marché, en particulier dans les zones rurales</w:t>
      </w:r>
      <w:r w:rsidR="00740140">
        <w:rPr>
          <w:lang w:val="fr-FR"/>
        </w:rPr>
        <w:t> ;</w:t>
      </w:r>
    </w:p>
    <w:p w14:paraId="4D42CA59" w14:textId="22775A31" w:rsidR="004A035B" w:rsidRPr="00AF6339" w:rsidRDefault="00AF6339" w:rsidP="00AF6339">
      <w:pPr>
        <w:pStyle w:val="SingleTxt"/>
        <w:rPr>
          <w:lang w:val="fr-FR"/>
        </w:rPr>
      </w:pPr>
      <w:r w:rsidRPr="00AF6339">
        <w:rPr>
          <w:lang w:val="fr-FR"/>
        </w:rPr>
        <w:tab/>
        <w:t>c)</w:t>
      </w:r>
      <w:r w:rsidRPr="00AF6339">
        <w:rPr>
          <w:lang w:val="fr-FR"/>
        </w:rPr>
        <w:tab/>
        <w:t>l</w:t>
      </w:r>
      <w:r w:rsidR="00740140">
        <w:rPr>
          <w:lang w:val="fr-FR"/>
        </w:rPr>
        <w:t>’</w:t>
      </w:r>
      <w:r w:rsidRPr="00AF6339">
        <w:rPr>
          <w:lang w:val="fr-FR"/>
        </w:rPr>
        <w:t>existence d</w:t>
      </w:r>
      <w:r w:rsidR="00740140">
        <w:rPr>
          <w:lang w:val="fr-FR"/>
        </w:rPr>
        <w:t>’</w:t>
      </w:r>
      <w:r w:rsidRPr="00AF6339">
        <w:rPr>
          <w:lang w:val="fr-FR"/>
        </w:rPr>
        <w:t>obstacles à l</w:t>
      </w:r>
      <w:r w:rsidR="00740140">
        <w:rPr>
          <w:lang w:val="fr-FR"/>
        </w:rPr>
        <w:t>’</w:t>
      </w:r>
      <w:r w:rsidRPr="00AF6339">
        <w:rPr>
          <w:lang w:val="fr-FR"/>
        </w:rPr>
        <w:t>accès des adolescentes aux services et à l</w:t>
      </w:r>
      <w:r w:rsidR="00740140">
        <w:rPr>
          <w:lang w:val="fr-FR"/>
        </w:rPr>
        <w:t>’</w:t>
      </w:r>
      <w:r w:rsidRPr="00AF6339">
        <w:rPr>
          <w:lang w:val="fr-FR"/>
        </w:rPr>
        <w:t>information en matière de santé sexuelle et reproductive</w:t>
      </w:r>
      <w:r w:rsidR="00740140">
        <w:rPr>
          <w:lang w:val="fr-FR"/>
        </w:rPr>
        <w:t> ;</w:t>
      </w:r>
    </w:p>
    <w:p w14:paraId="50AF4FB4" w14:textId="3FB5CC9E" w:rsidR="00AF6339" w:rsidRPr="00AF6339" w:rsidRDefault="00AF6339" w:rsidP="00AF6339">
      <w:pPr>
        <w:pStyle w:val="SingleTxt"/>
        <w:rPr>
          <w:lang w:val="fr-FR"/>
        </w:rPr>
      </w:pPr>
      <w:r w:rsidRPr="00AF6339">
        <w:rPr>
          <w:lang w:val="fr-FR"/>
        </w:rPr>
        <w:tab/>
        <w:t>d)</w:t>
      </w:r>
      <w:r w:rsidRPr="00AF6339">
        <w:rPr>
          <w:lang w:val="fr-FR"/>
        </w:rPr>
        <w:tab/>
        <w:t>le taux élevé de suicide parmi les adolescents, filles et garçons, en dépit d</w:t>
      </w:r>
      <w:r w:rsidR="00740140">
        <w:rPr>
          <w:lang w:val="fr-FR"/>
        </w:rPr>
        <w:t>’</w:t>
      </w:r>
      <w:r w:rsidRPr="00AF6339">
        <w:rPr>
          <w:lang w:val="fr-FR"/>
        </w:rPr>
        <w:t>une baisse récente</w:t>
      </w:r>
      <w:r w:rsidR="00740140">
        <w:rPr>
          <w:lang w:val="fr-FR"/>
        </w:rPr>
        <w:t> ;</w:t>
      </w:r>
    </w:p>
    <w:p w14:paraId="709182B5" w14:textId="55AFA1F8" w:rsidR="00AF6339" w:rsidRPr="00AF6339" w:rsidRDefault="00AF6339" w:rsidP="00AF6339">
      <w:pPr>
        <w:pStyle w:val="SingleTxt"/>
        <w:rPr>
          <w:lang w:val="fr-FR"/>
        </w:rPr>
      </w:pPr>
      <w:r w:rsidRPr="00AF6339">
        <w:rPr>
          <w:lang w:val="fr-FR"/>
        </w:rPr>
        <w:tab/>
        <w:t>e)</w:t>
      </w:r>
      <w:r w:rsidRPr="00AF6339">
        <w:rPr>
          <w:lang w:val="fr-FR"/>
        </w:rPr>
        <w:tab/>
        <w:t>la faible part des femmes ayant subi un dépistage du cancer du col de l</w:t>
      </w:r>
      <w:r w:rsidR="00740140">
        <w:rPr>
          <w:lang w:val="fr-FR"/>
        </w:rPr>
        <w:t>’</w:t>
      </w:r>
      <w:r w:rsidRPr="00AF6339">
        <w:rPr>
          <w:lang w:val="fr-FR"/>
        </w:rPr>
        <w:t>utérus et l</w:t>
      </w:r>
      <w:r w:rsidR="00740140">
        <w:rPr>
          <w:lang w:val="fr-FR"/>
        </w:rPr>
        <w:t>’</w:t>
      </w:r>
      <w:r w:rsidRPr="00AF6339">
        <w:rPr>
          <w:lang w:val="fr-FR"/>
        </w:rPr>
        <w:t>absence d</w:t>
      </w:r>
      <w:r w:rsidR="00740140">
        <w:rPr>
          <w:lang w:val="fr-FR"/>
        </w:rPr>
        <w:t>’</w:t>
      </w:r>
      <w:r w:rsidRPr="00AF6339">
        <w:rPr>
          <w:lang w:val="fr-FR"/>
        </w:rPr>
        <w:t>information sur la prévalence du cancer du sein dans l</w:t>
      </w:r>
      <w:r w:rsidR="00740140">
        <w:rPr>
          <w:lang w:val="fr-FR"/>
        </w:rPr>
        <w:t>’</w:t>
      </w:r>
      <w:r w:rsidRPr="00AF6339">
        <w:rPr>
          <w:lang w:val="fr-FR"/>
        </w:rPr>
        <w:t>État partie, ainsi que sur les traitements accessibles aux femmes et aux filles</w:t>
      </w:r>
      <w:r w:rsidR="00740140">
        <w:rPr>
          <w:lang w:val="fr-FR"/>
        </w:rPr>
        <w:t> ;</w:t>
      </w:r>
    </w:p>
    <w:p w14:paraId="19503D30" w14:textId="785C64D2" w:rsidR="00AF6339" w:rsidRPr="00AF6339" w:rsidRDefault="00AF6339" w:rsidP="00AF6339">
      <w:pPr>
        <w:pStyle w:val="SingleTxt"/>
        <w:rPr>
          <w:lang w:val="fr-FR"/>
        </w:rPr>
      </w:pPr>
      <w:r w:rsidRPr="00AF6339">
        <w:rPr>
          <w:lang w:val="fr-FR"/>
        </w:rPr>
        <w:tab/>
        <w:t>f)</w:t>
      </w:r>
      <w:r w:rsidRPr="00AF6339">
        <w:rPr>
          <w:lang w:val="fr-FR"/>
        </w:rPr>
        <w:tab/>
        <w:t>le fait que la pollution de l</w:t>
      </w:r>
      <w:r w:rsidR="00740140">
        <w:rPr>
          <w:lang w:val="fr-FR"/>
        </w:rPr>
        <w:t>’</w:t>
      </w:r>
      <w:r w:rsidRPr="00AF6339">
        <w:rPr>
          <w:lang w:val="fr-FR"/>
        </w:rPr>
        <w:t>air soit la principale cause de décès lié à deux des cinq pathologies les plus répandues, les pathologies respiratoires et cardiovasculaires, et qu</w:t>
      </w:r>
      <w:r w:rsidR="00740140">
        <w:rPr>
          <w:lang w:val="fr-FR"/>
        </w:rPr>
        <w:t>’</w:t>
      </w:r>
      <w:r w:rsidRPr="00AF6339">
        <w:rPr>
          <w:lang w:val="fr-FR"/>
        </w:rPr>
        <w:t>elle soit une cause de mortinatalité et de naissances prématurées</w:t>
      </w:r>
      <w:r w:rsidR="00740140">
        <w:rPr>
          <w:lang w:val="fr-FR"/>
        </w:rPr>
        <w:t> ;</w:t>
      </w:r>
    </w:p>
    <w:p w14:paraId="36480F6A" w14:textId="77777777" w:rsidR="00AF6339" w:rsidRPr="00AF6339" w:rsidRDefault="00AF6339" w:rsidP="00AF6339">
      <w:pPr>
        <w:pStyle w:val="SingleTxt"/>
        <w:rPr>
          <w:lang w:val="fr-FR"/>
        </w:rPr>
      </w:pPr>
      <w:r w:rsidRPr="00AF6339">
        <w:rPr>
          <w:lang w:val="fr-FR"/>
        </w:rPr>
        <w:tab/>
        <w:t>g)</w:t>
      </w:r>
      <w:r w:rsidRPr="00AF6339">
        <w:rPr>
          <w:lang w:val="fr-FR"/>
        </w:rPr>
        <w:tab/>
        <w:t>le manque croissant de sensibilisation des personnels médicaux à la question de la discrimination à laquelle sont confrontées les femmes lesbiennes, bisexuelles, transgenres et intersexes au sein du système de santé.</w:t>
      </w:r>
    </w:p>
    <w:p w14:paraId="05841919" w14:textId="442FDCC3" w:rsidR="00AF6339" w:rsidRPr="0059558B" w:rsidRDefault="00AF6339" w:rsidP="0059558B">
      <w:pPr>
        <w:pStyle w:val="SingleTxt"/>
        <w:numPr>
          <w:ilvl w:val="0"/>
          <w:numId w:val="24"/>
        </w:numPr>
        <w:spacing w:line="240" w:lineRule="exact"/>
        <w:rPr>
          <w:b/>
          <w:bCs/>
          <w:lang w:val="fr-FR"/>
        </w:rPr>
      </w:pPr>
      <w:r w:rsidRPr="0059558B">
        <w:rPr>
          <w:b/>
          <w:bCs/>
          <w:lang w:val="fr-FR"/>
        </w:rPr>
        <w:t>Le Comité rappelle sa recommandation générale n</w:t>
      </w:r>
      <w:r w:rsidRPr="0059558B">
        <w:rPr>
          <w:b/>
          <w:bCs/>
          <w:vertAlign w:val="superscript"/>
          <w:lang w:val="fr-FR"/>
        </w:rPr>
        <w:t>o </w:t>
      </w:r>
      <w:r w:rsidRPr="0059558B">
        <w:rPr>
          <w:b/>
          <w:bCs/>
          <w:lang w:val="fr-FR"/>
        </w:rPr>
        <w:t>24 (1999)</w:t>
      </w:r>
      <w:r w:rsidRPr="0059558B">
        <w:rPr>
          <w:b/>
          <w:bCs/>
          <w:lang w:val="fr-FR"/>
        </w:rPr>
        <w:t xml:space="preserve"> sur les femmes et la santé, et recommande à l</w:t>
      </w:r>
      <w:r w:rsidR="00740140">
        <w:rPr>
          <w:b/>
          <w:bCs/>
          <w:lang w:val="fr-FR"/>
        </w:rPr>
        <w:t>’</w:t>
      </w:r>
      <w:r w:rsidRPr="0059558B">
        <w:rPr>
          <w:b/>
          <w:bCs/>
          <w:lang w:val="fr-FR"/>
        </w:rPr>
        <w:t>État partie</w:t>
      </w:r>
      <w:r w:rsidR="00740140">
        <w:rPr>
          <w:b/>
          <w:bCs/>
          <w:lang w:val="fr-FR"/>
        </w:rPr>
        <w:t> :</w:t>
      </w:r>
    </w:p>
    <w:p w14:paraId="37C3816A" w14:textId="6602D4B1" w:rsidR="00AF6339" w:rsidRPr="00AF6339" w:rsidRDefault="00AF6339" w:rsidP="00AF6339">
      <w:pPr>
        <w:pStyle w:val="SingleTxt"/>
        <w:rPr>
          <w:lang w:val="fr-FR"/>
        </w:rPr>
      </w:pPr>
      <w:r w:rsidRPr="00AF6339">
        <w:rPr>
          <w:lang w:val="fr-FR"/>
        </w:rPr>
        <w:tab/>
        <w:t>a)</w:t>
      </w:r>
      <w:r w:rsidRPr="00AF6339">
        <w:rPr>
          <w:lang w:val="fr-FR"/>
        </w:rPr>
        <w:tab/>
      </w:r>
      <w:r w:rsidRPr="00AF6339">
        <w:rPr>
          <w:b/>
          <w:bCs/>
          <w:lang w:val="fr-FR"/>
        </w:rPr>
        <w:t>de poursuivre ses efforts dans la lutte contre les causes de mortalité maternelle et de mortalité infantile en garantissant l</w:t>
      </w:r>
      <w:r w:rsidR="00740140">
        <w:rPr>
          <w:b/>
          <w:bCs/>
          <w:lang w:val="fr-FR"/>
        </w:rPr>
        <w:t>’</w:t>
      </w:r>
      <w:r w:rsidRPr="00AF6339">
        <w:rPr>
          <w:b/>
          <w:bCs/>
          <w:lang w:val="fr-FR"/>
        </w:rPr>
        <w:t>accès aux soins obstétricaux et en augmentant les effectifs du personnel d</w:t>
      </w:r>
      <w:r w:rsidR="00740140">
        <w:rPr>
          <w:b/>
          <w:bCs/>
          <w:lang w:val="fr-FR"/>
        </w:rPr>
        <w:t>’</w:t>
      </w:r>
      <w:r w:rsidRPr="00AF6339">
        <w:rPr>
          <w:b/>
          <w:bCs/>
          <w:lang w:val="fr-FR"/>
        </w:rPr>
        <w:t>accouchement qualifié, en particulier dans les zones rurales et isolées</w:t>
      </w:r>
      <w:r w:rsidR="00740140">
        <w:rPr>
          <w:b/>
          <w:bCs/>
          <w:lang w:val="fr-FR"/>
        </w:rPr>
        <w:t> ;</w:t>
      </w:r>
    </w:p>
    <w:p w14:paraId="62489539" w14:textId="2E0B8BD8" w:rsidR="00AF6339" w:rsidRPr="00AF6339" w:rsidRDefault="00AF6339" w:rsidP="00AF6339">
      <w:pPr>
        <w:pStyle w:val="SingleTxt"/>
        <w:rPr>
          <w:lang w:val="fr-FR"/>
        </w:rPr>
      </w:pPr>
      <w:r w:rsidRPr="00AF6339">
        <w:rPr>
          <w:lang w:val="fr-FR"/>
        </w:rPr>
        <w:tab/>
        <w:t>b)</w:t>
      </w:r>
      <w:r w:rsidRPr="00AF6339">
        <w:rPr>
          <w:lang w:val="fr-FR"/>
        </w:rPr>
        <w:tab/>
      </w:r>
      <w:r w:rsidRPr="00AF6339">
        <w:rPr>
          <w:b/>
          <w:bCs/>
          <w:lang w:val="fr-FR"/>
        </w:rPr>
        <w:t>de renforcer l</w:t>
      </w:r>
      <w:r w:rsidR="00740140">
        <w:rPr>
          <w:b/>
          <w:bCs/>
          <w:lang w:val="fr-FR"/>
        </w:rPr>
        <w:t>’</w:t>
      </w:r>
      <w:r w:rsidRPr="00AF6339">
        <w:rPr>
          <w:b/>
          <w:bCs/>
          <w:lang w:val="fr-FR"/>
        </w:rPr>
        <w:t>accès des femmes et des filles à des soins médicaux de qualité et bon marché en garantissant la présence d</w:t>
      </w:r>
      <w:r w:rsidR="00740140">
        <w:rPr>
          <w:b/>
          <w:bCs/>
          <w:lang w:val="fr-FR"/>
        </w:rPr>
        <w:t>’</w:t>
      </w:r>
      <w:r w:rsidRPr="00AF6339">
        <w:rPr>
          <w:b/>
          <w:bCs/>
          <w:lang w:val="fr-FR"/>
        </w:rPr>
        <w:t>un personnel convenablement formé dans un nombre suffisant d</w:t>
      </w:r>
      <w:r w:rsidR="00740140">
        <w:rPr>
          <w:b/>
          <w:bCs/>
          <w:lang w:val="fr-FR"/>
        </w:rPr>
        <w:t>’</w:t>
      </w:r>
      <w:r w:rsidRPr="00AF6339">
        <w:rPr>
          <w:b/>
          <w:bCs/>
          <w:lang w:val="fr-FR"/>
        </w:rPr>
        <w:t xml:space="preserve">établissements médicaux, en particulier dans les zones rurales et isolées, et de veiller à ce que toutes les </w:t>
      </w:r>
      <w:r w:rsidRPr="00AF6339">
        <w:rPr>
          <w:b/>
          <w:bCs/>
          <w:lang w:val="fr-FR"/>
        </w:rPr>
        <w:lastRenderedPageBreak/>
        <w:t>femmes et toutes les filles aient accès à des contraceptifs modernes, y compris en milieu rural</w:t>
      </w:r>
      <w:r w:rsidR="00740140">
        <w:rPr>
          <w:b/>
          <w:bCs/>
          <w:lang w:val="fr-FR"/>
        </w:rPr>
        <w:t> ;</w:t>
      </w:r>
    </w:p>
    <w:p w14:paraId="1591A41F" w14:textId="0E9430C5" w:rsidR="00AF6339" w:rsidRPr="00AF6339" w:rsidRDefault="00AF6339" w:rsidP="00AF6339">
      <w:pPr>
        <w:pStyle w:val="SingleTxt"/>
        <w:rPr>
          <w:lang w:val="fr-FR"/>
        </w:rPr>
      </w:pPr>
      <w:r w:rsidRPr="00AF6339">
        <w:rPr>
          <w:lang w:val="fr-FR"/>
        </w:rPr>
        <w:tab/>
        <w:t>c)</w:t>
      </w:r>
      <w:r w:rsidRPr="00AF6339">
        <w:rPr>
          <w:lang w:val="fr-FR"/>
        </w:rPr>
        <w:tab/>
      </w:r>
      <w:r w:rsidRPr="00AF6339">
        <w:rPr>
          <w:b/>
          <w:bCs/>
          <w:lang w:val="fr-FR"/>
        </w:rPr>
        <w:t>de mener des études visant à cerner les causes profondes du suicide, de renforcer les mesures d</w:t>
      </w:r>
      <w:r w:rsidR="00740140">
        <w:rPr>
          <w:b/>
          <w:bCs/>
          <w:lang w:val="fr-FR"/>
        </w:rPr>
        <w:t>’</w:t>
      </w:r>
      <w:r w:rsidRPr="00AF6339">
        <w:rPr>
          <w:b/>
          <w:bCs/>
          <w:lang w:val="fr-FR"/>
        </w:rPr>
        <w:t>aide aux femmes et aux filles souffrant de maladies mentales et d</w:t>
      </w:r>
      <w:r w:rsidR="00740140">
        <w:rPr>
          <w:b/>
          <w:bCs/>
          <w:lang w:val="fr-FR"/>
        </w:rPr>
        <w:t>’</w:t>
      </w:r>
      <w:r w:rsidRPr="00AF6339">
        <w:rPr>
          <w:b/>
          <w:bCs/>
          <w:lang w:val="fr-FR"/>
        </w:rPr>
        <w:t>allouer les ressources nécessaires à leur mise en œuvre</w:t>
      </w:r>
      <w:r w:rsidR="00740140">
        <w:rPr>
          <w:b/>
          <w:bCs/>
          <w:lang w:val="fr-FR"/>
        </w:rPr>
        <w:t> ;</w:t>
      </w:r>
    </w:p>
    <w:p w14:paraId="0F51E8C5" w14:textId="65E190F8" w:rsidR="00AF6339" w:rsidRPr="00AF6339" w:rsidRDefault="00AF6339" w:rsidP="00AF6339">
      <w:pPr>
        <w:pStyle w:val="SingleTxt"/>
        <w:rPr>
          <w:lang w:val="fr-FR"/>
        </w:rPr>
      </w:pPr>
      <w:r w:rsidRPr="00AF6339">
        <w:rPr>
          <w:lang w:val="fr-FR"/>
        </w:rPr>
        <w:tab/>
        <w:t>d)</w:t>
      </w:r>
      <w:r w:rsidRPr="00AF6339">
        <w:rPr>
          <w:lang w:val="fr-FR"/>
        </w:rPr>
        <w:tab/>
      </w:r>
      <w:r w:rsidRPr="00AF6339">
        <w:rPr>
          <w:b/>
          <w:bCs/>
          <w:lang w:val="fr-FR"/>
        </w:rPr>
        <w:t>d</w:t>
      </w:r>
      <w:r w:rsidR="00740140">
        <w:rPr>
          <w:b/>
          <w:bCs/>
          <w:lang w:val="fr-FR"/>
        </w:rPr>
        <w:t>’</w:t>
      </w:r>
      <w:r w:rsidRPr="00AF6339">
        <w:rPr>
          <w:b/>
          <w:bCs/>
          <w:lang w:val="fr-FR"/>
        </w:rPr>
        <w:t>adopter un plan d</w:t>
      </w:r>
      <w:r w:rsidR="00740140">
        <w:rPr>
          <w:b/>
          <w:bCs/>
          <w:lang w:val="fr-FR"/>
        </w:rPr>
        <w:t>’</w:t>
      </w:r>
      <w:r w:rsidRPr="00AF6339">
        <w:rPr>
          <w:b/>
          <w:bCs/>
          <w:lang w:val="fr-FR"/>
        </w:rPr>
        <w:t>action national de lutte contre le cancer du col de l</w:t>
      </w:r>
      <w:r w:rsidR="00740140">
        <w:rPr>
          <w:b/>
          <w:bCs/>
          <w:lang w:val="fr-FR"/>
        </w:rPr>
        <w:t>’</w:t>
      </w:r>
      <w:r w:rsidRPr="00AF6339">
        <w:rPr>
          <w:b/>
          <w:bCs/>
          <w:lang w:val="fr-FR"/>
        </w:rPr>
        <w:t>utérus prenant en charge toutes les femmes éligibles, de collecter des données ventilées sur la prévalence du cancer du sein, et de former médecins et professionnels de santé au dépistage précoce de ces pathologies, y compris dans les zones rurales</w:t>
      </w:r>
      <w:r w:rsidR="00740140">
        <w:rPr>
          <w:b/>
          <w:bCs/>
          <w:lang w:val="fr-FR"/>
        </w:rPr>
        <w:t> ;</w:t>
      </w:r>
    </w:p>
    <w:p w14:paraId="545B872F" w14:textId="631FF0FB" w:rsidR="00AF6339" w:rsidRPr="00AF6339" w:rsidRDefault="00AF6339" w:rsidP="00AF6339">
      <w:pPr>
        <w:pStyle w:val="SingleTxt"/>
        <w:rPr>
          <w:lang w:val="fr-FR"/>
        </w:rPr>
      </w:pPr>
      <w:r w:rsidRPr="00AF6339">
        <w:rPr>
          <w:lang w:val="fr-FR"/>
        </w:rPr>
        <w:tab/>
        <w:t>e)</w:t>
      </w:r>
      <w:r w:rsidRPr="00AF6339">
        <w:rPr>
          <w:lang w:val="fr-FR"/>
        </w:rPr>
        <w:tab/>
      </w:r>
      <w:r w:rsidRPr="00AF6339">
        <w:rPr>
          <w:b/>
          <w:bCs/>
          <w:lang w:val="fr-FR"/>
        </w:rPr>
        <w:t>de veiller à l</w:t>
      </w:r>
      <w:r w:rsidR="00740140">
        <w:rPr>
          <w:b/>
          <w:bCs/>
          <w:lang w:val="fr-FR"/>
        </w:rPr>
        <w:t>’</w:t>
      </w:r>
      <w:r w:rsidRPr="00AF6339">
        <w:rPr>
          <w:b/>
          <w:bCs/>
          <w:lang w:val="fr-FR"/>
        </w:rPr>
        <w:t>exécution du programme national de réduction de la pollution atmosphérique et environnementale (2017-2025) afin de réduire la pollution environnementale, et de redoubler d</w:t>
      </w:r>
      <w:r w:rsidR="00740140">
        <w:rPr>
          <w:b/>
          <w:bCs/>
          <w:lang w:val="fr-FR"/>
        </w:rPr>
        <w:t>’</w:t>
      </w:r>
      <w:r w:rsidRPr="00AF6339">
        <w:rPr>
          <w:b/>
          <w:bCs/>
          <w:lang w:val="fr-FR"/>
        </w:rPr>
        <w:t>efforts pour conserver l</w:t>
      </w:r>
      <w:r w:rsidR="00740140">
        <w:rPr>
          <w:b/>
          <w:bCs/>
          <w:lang w:val="fr-FR"/>
        </w:rPr>
        <w:t>’</w:t>
      </w:r>
      <w:r w:rsidRPr="00AF6339">
        <w:rPr>
          <w:b/>
          <w:bCs/>
          <w:lang w:val="fr-FR"/>
        </w:rPr>
        <w:t>environnement en bon état et ainsi permettre aux femmes et aux filles de jouir pleinement de leur droit à la santé</w:t>
      </w:r>
      <w:r w:rsidR="00740140">
        <w:rPr>
          <w:b/>
          <w:bCs/>
          <w:lang w:val="fr-FR"/>
        </w:rPr>
        <w:t> ;</w:t>
      </w:r>
    </w:p>
    <w:p w14:paraId="565E0A10" w14:textId="5E3BDE2A" w:rsidR="00AF6339" w:rsidRDefault="00AF6339" w:rsidP="00AF6339">
      <w:pPr>
        <w:pStyle w:val="SingleTxt"/>
        <w:rPr>
          <w:b/>
          <w:bCs/>
          <w:lang w:val="fr-FR"/>
        </w:rPr>
      </w:pPr>
      <w:r w:rsidRPr="00AF6339">
        <w:rPr>
          <w:b/>
          <w:bCs/>
          <w:lang w:val="fr-FR"/>
        </w:rPr>
        <w:tab/>
      </w:r>
      <w:r w:rsidRPr="00AF6339">
        <w:rPr>
          <w:lang w:val="fr-FR"/>
        </w:rPr>
        <w:t>f)</w:t>
      </w:r>
      <w:r w:rsidRPr="00AF6339">
        <w:rPr>
          <w:lang w:val="fr-FR"/>
        </w:rPr>
        <w:tab/>
      </w:r>
      <w:r w:rsidRPr="00AF6339">
        <w:rPr>
          <w:b/>
          <w:bCs/>
          <w:lang w:val="fr-FR"/>
        </w:rPr>
        <w:t>de sensibiliser les professionnels médicaux aux problèmes physiques et psychologiques que peuvent rencontrer les femmes lesbiennes, bisexuelles, transgenres et intersexes, à la discrimination et à la stigmatisation auxquelles elles sont confrontées, et à la nécessité de respecter les principes d</w:t>
      </w:r>
      <w:r w:rsidR="00740140">
        <w:rPr>
          <w:b/>
          <w:bCs/>
          <w:lang w:val="fr-FR"/>
        </w:rPr>
        <w:t>’</w:t>
      </w:r>
      <w:r w:rsidRPr="00AF6339">
        <w:rPr>
          <w:b/>
          <w:bCs/>
          <w:lang w:val="fr-FR"/>
        </w:rPr>
        <w:t>égalité et de non-discrimination dans l</w:t>
      </w:r>
      <w:r w:rsidR="00740140">
        <w:rPr>
          <w:b/>
          <w:bCs/>
          <w:lang w:val="fr-FR"/>
        </w:rPr>
        <w:t>’</w:t>
      </w:r>
      <w:r w:rsidRPr="00AF6339">
        <w:rPr>
          <w:b/>
          <w:bCs/>
          <w:lang w:val="fr-FR"/>
        </w:rPr>
        <w:t>administration de soins médicaux.</w:t>
      </w:r>
    </w:p>
    <w:p w14:paraId="092D2A58" w14:textId="24BE21A1" w:rsidR="0059558B" w:rsidRPr="0059558B" w:rsidRDefault="0059558B" w:rsidP="0059558B">
      <w:pPr>
        <w:pStyle w:val="SingleTxt"/>
        <w:spacing w:after="0" w:line="120" w:lineRule="exact"/>
        <w:rPr>
          <w:b/>
          <w:bCs/>
          <w:sz w:val="10"/>
          <w:lang w:val="fr-FR"/>
        </w:rPr>
      </w:pPr>
    </w:p>
    <w:p w14:paraId="70B4E88B" w14:textId="17BA4873" w:rsidR="00AF6339" w:rsidRDefault="0059558B" w:rsidP="005955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F6339" w:rsidRPr="00AF6339">
        <w:rPr>
          <w:lang w:val="fr-FR"/>
        </w:rPr>
        <w:tab/>
        <w:t>Autonomisation économique</w:t>
      </w:r>
    </w:p>
    <w:p w14:paraId="607A28A3" w14:textId="4975CC48" w:rsidR="0059558B" w:rsidRPr="0059558B" w:rsidRDefault="0059558B" w:rsidP="0059558B">
      <w:pPr>
        <w:pStyle w:val="SingleTxt"/>
        <w:spacing w:after="0" w:line="120" w:lineRule="exact"/>
        <w:rPr>
          <w:sz w:val="10"/>
          <w:lang w:val="fr-FR"/>
        </w:rPr>
      </w:pPr>
    </w:p>
    <w:p w14:paraId="674A0971" w14:textId="2CB882E2" w:rsidR="00AF6339" w:rsidRPr="00AF6339" w:rsidRDefault="00AF6339" w:rsidP="00E91B1C">
      <w:pPr>
        <w:pStyle w:val="SingleTxt"/>
        <w:numPr>
          <w:ilvl w:val="0"/>
          <w:numId w:val="26"/>
        </w:numPr>
        <w:spacing w:line="240" w:lineRule="exact"/>
        <w:rPr>
          <w:lang w:val="fr-FR"/>
        </w:rPr>
      </w:pPr>
      <w:r w:rsidRPr="00AF6339">
        <w:rPr>
          <w:lang w:val="fr-FR"/>
        </w:rPr>
        <w:t>Le Comité constate la baisse globale de 1,2 point de pourcentage du taux de pauvreté dans l</w:t>
      </w:r>
      <w:r w:rsidR="00740140">
        <w:rPr>
          <w:lang w:val="fr-FR"/>
        </w:rPr>
        <w:t>’</w:t>
      </w:r>
      <w:r w:rsidRPr="00AF6339">
        <w:rPr>
          <w:lang w:val="fr-FR"/>
        </w:rPr>
        <w:t>État partie, passé de 29,6 % en 2016 à 28,4 % en 2018, ainsi que l</w:t>
      </w:r>
      <w:r w:rsidR="00740140">
        <w:rPr>
          <w:lang w:val="fr-FR"/>
        </w:rPr>
        <w:t>’</w:t>
      </w:r>
      <w:r w:rsidRPr="00AF6339">
        <w:rPr>
          <w:lang w:val="fr-FR"/>
        </w:rPr>
        <w:t>existence de programmes de prestations financières pour les mères qui ne sont pas couvertes par le régime d</w:t>
      </w:r>
      <w:r w:rsidR="00740140">
        <w:rPr>
          <w:lang w:val="fr-FR"/>
        </w:rPr>
        <w:t>’</w:t>
      </w:r>
      <w:r w:rsidRPr="00AF6339">
        <w:rPr>
          <w:lang w:val="fr-FR"/>
        </w:rPr>
        <w:t>assurance sociale, de promotion de l</w:t>
      </w:r>
      <w:r w:rsidR="00740140">
        <w:rPr>
          <w:lang w:val="fr-FR"/>
        </w:rPr>
        <w:t>’</w:t>
      </w:r>
      <w:r w:rsidRPr="00AF6339">
        <w:rPr>
          <w:lang w:val="fr-FR"/>
        </w:rPr>
        <w:t>emploi féminin, et d</w:t>
      </w:r>
      <w:r w:rsidR="00740140">
        <w:rPr>
          <w:lang w:val="fr-FR"/>
        </w:rPr>
        <w:t>’</w:t>
      </w:r>
      <w:r w:rsidRPr="00AF6339">
        <w:rPr>
          <w:lang w:val="fr-FR"/>
        </w:rPr>
        <w:t>amélioration de la protection sociale et de renforcement de la résilience des gardiens de troupeaux. Toutefois, il note avec préoccupation la pauvreté persistante des femmes et le manque de mesures ciblées favorisant leur autonomisation économique.</w:t>
      </w:r>
    </w:p>
    <w:p w14:paraId="1E591217" w14:textId="3D4E9189" w:rsidR="00AF6339" w:rsidRPr="00E91B1C" w:rsidRDefault="00AF6339" w:rsidP="00E91B1C">
      <w:pPr>
        <w:pStyle w:val="SingleTxt"/>
        <w:numPr>
          <w:ilvl w:val="0"/>
          <w:numId w:val="26"/>
        </w:numPr>
        <w:spacing w:line="240" w:lineRule="exact"/>
        <w:rPr>
          <w:b/>
          <w:bCs/>
          <w:lang w:val="fr-FR"/>
        </w:rPr>
      </w:pPr>
      <w:r w:rsidRPr="00E91B1C">
        <w:rPr>
          <w:b/>
          <w:bCs/>
          <w:lang w:val="fr-FR"/>
        </w:rPr>
        <w:t>Le Comité recommande à l</w:t>
      </w:r>
      <w:r w:rsidR="00740140">
        <w:rPr>
          <w:b/>
          <w:bCs/>
          <w:lang w:val="fr-FR"/>
        </w:rPr>
        <w:t>’</w:t>
      </w:r>
      <w:r w:rsidRPr="00E91B1C">
        <w:rPr>
          <w:b/>
          <w:bCs/>
          <w:lang w:val="fr-FR"/>
        </w:rPr>
        <w:t>État partie d</w:t>
      </w:r>
      <w:r w:rsidR="00740140">
        <w:rPr>
          <w:b/>
          <w:bCs/>
          <w:lang w:val="fr-FR"/>
        </w:rPr>
        <w:t>’</w:t>
      </w:r>
      <w:r w:rsidRPr="00E91B1C">
        <w:rPr>
          <w:b/>
          <w:bCs/>
          <w:lang w:val="fr-FR"/>
        </w:rPr>
        <w:t>adopter des mesures ciblées d</w:t>
      </w:r>
      <w:r w:rsidR="00740140">
        <w:rPr>
          <w:b/>
          <w:bCs/>
          <w:lang w:val="fr-FR"/>
        </w:rPr>
        <w:t>’</w:t>
      </w:r>
      <w:r w:rsidRPr="00E91B1C">
        <w:rPr>
          <w:b/>
          <w:bCs/>
          <w:lang w:val="fr-FR"/>
        </w:rPr>
        <w:t>autonomisation économique des femmes et</w:t>
      </w:r>
      <w:r w:rsidR="00740140">
        <w:rPr>
          <w:b/>
          <w:bCs/>
          <w:lang w:val="fr-FR"/>
        </w:rPr>
        <w:t> :</w:t>
      </w:r>
    </w:p>
    <w:p w14:paraId="5A17AE42" w14:textId="72927FE0" w:rsidR="00AF6339" w:rsidRPr="00AF6339" w:rsidRDefault="00AF6339" w:rsidP="00AF6339">
      <w:pPr>
        <w:pStyle w:val="SingleTxt"/>
        <w:rPr>
          <w:lang w:val="fr-FR"/>
        </w:rPr>
      </w:pPr>
      <w:r w:rsidRPr="00AF6339">
        <w:rPr>
          <w:lang w:val="fr-FR"/>
        </w:rPr>
        <w:tab/>
        <w:t>a)</w:t>
      </w:r>
      <w:r w:rsidRPr="00AF6339">
        <w:rPr>
          <w:lang w:val="fr-FR"/>
        </w:rPr>
        <w:tab/>
      </w:r>
      <w:r w:rsidRPr="00AF6339">
        <w:rPr>
          <w:b/>
          <w:bCs/>
          <w:lang w:val="fr-FR"/>
        </w:rPr>
        <w:t>d</w:t>
      </w:r>
      <w:r w:rsidR="00740140">
        <w:rPr>
          <w:b/>
          <w:bCs/>
          <w:lang w:val="fr-FR"/>
        </w:rPr>
        <w:t>’</w:t>
      </w:r>
      <w:r w:rsidRPr="00AF6339">
        <w:rPr>
          <w:b/>
          <w:bCs/>
          <w:lang w:val="fr-FR"/>
        </w:rPr>
        <w:t>adopter un plan national d</w:t>
      </w:r>
      <w:r w:rsidR="00740140">
        <w:rPr>
          <w:b/>
          <w:bCs/>
          <w:lang w:val="fr-FR"/>
        </w:rPr>
        <w:t>’</w:t>
      </w:r>
      <w:r w:rsidRPr="00AF6339">
        <w:rPr>
          <w:b/>
          <w:bCs/>
          <w:lang w:val="fr-FR"/>
        </w:rPr>
        <w:t>autonomisation économique des femmes, tout en veillant à ce que chaque niveau de son adoption et de sa mise en œuvre implique les femmes, leurs organisations et leurs réseaux</w:t>
      </w:r>
      <w:r w:rsidR="00740140">
        <w:rPr>
          <w:b/>
          <w:bCs/>
          <w:lang w:val="fr-FR"/>
        </w:rPr>
        <w:t> ;</w:t>
      </w:r>
    </w:p>
    <w:p w14:paraId="5984F2C4" w14:textId="3F966362" w:rsidR="00AF6339" w:rsidRPr="00AF6339" w:rsidRDefault="00AF6339" w:rsidP="00AF6339">
      <w:pPr>
        <w:pStyle w:val="SingleTxt"/>
        <w:rPr>
          <w:lang w:val="fr-FR"/>
        </w:rPr>
      </w:pPr>
      <w:r w:rsidRPr="00AF6339">
        <w:rPr>
          <w:lang w:val="fr-FR"/>
        </w:rPr>
        <w:tab/>
        <w:t>b)</w:t>
      </w:r>
      <w:r w:rsidRPr="00AF6339">
        <w:rPr>
          <w:lang w:val="fr-FR"/>
        </w:rPr>
        <w:tab/>
      </w:r>
      <w:r w:rsidRPr="00AF6339">
        <w:rPr>
          <w:b/>
          <w:bCs/>
          <w:lang w:val="fr-FR"/>
        </w:rPr>
        <w:t>de fournir un appui adapté à l</w:t>
      </w:r>
      <w:r w:rsidR="00740140">
        <w:rPr>
          <w:b/>
          <w:bCs/>
          <w:lang w:val="fr-FR"/>
        </w:rPr>
        <w:t>’</w:t>
      </w:r>
      <w:r w:rsidRPr="00AF6339">
        <w:rPr>
          <w:b/>
          <w:bCs/>
          <w:lang w:val="fr-FR"/>
        </w:rPr>
        <w:t>entrepreneuriat des femmes en facilitant leur accès à des débouchés générateurs de revenus et au crédit financier, notamment aux prêts à faible taux d</w:t>
      </w:r>
      <w:r w:rsidR="00740140">
        <w:rPr>
          <w:b/>
          <w:bCs/>
          <w:lang w:val="fr-FR"/>
        </w:rPr>
        <w:t>’</w:t>
      </w:r>
      <w:r w:rsidRPr="00AF6339">
        <w:rPr>
          <w:b/>
          <w:bCs/>
          <w:lang w:val="fr-FR"/>
        </w:rPr>
        <w:t>intérêt et sans garantie</w:t>
      </w:r>
      <w:r w:rsidR="00740140">
        <w:rPr>
          <w:b/>
          <w:bCs/>
          <w:lang w:val="fr-FR"/>
        </w:rPr>
        <w:t> ;</w:t>
      </w:r>
    </w:p>
    <w:p w14:paraId="5C622C68" w14:textId="58E1E047" w:rsidR="00AF6339" w:rsidRPr="00AF6339" w:rsidRDefault="00AF6339" w:rsidP="00AF6339">
      <w:pPr>
        <w:pStyle w:val="SingleTxt"/>
        <w:rPr>
          <w:lang w:val="fr-FR"/>
        </w:rPr>
      </w:pPr>
      <w:r w:rsidRPr="00AF6339">
        <w:rPr>
          <w:lang w:val="fr-FR"/>
        </w:rPr>
        <w:tab/>
        <w:t>c)</w:t>
      </w:r>
      <w:r w:rsidRPr="00AF6339">
        <w:rPr>
          <w:lang w:val="fr-FR"/>
        </w:rPr>
        <w:tab/>
      </w:r>
      <w:r w:rsidRPr="00AF6339">
        <w:rPr>
          <w:b/>
          <w:bCs/>
          <w:lang w:val="fr-FR"/>
        </w:rPr>
        <w:t>de veiller à ce que le travail non rémunéré des femmes soit reconnu, réduit et redistribué, notamment par des investissements dans l</w:t>
      </w:r>
      <w:r w:rsidR="00740140">
        <w:rPr>
          <w:b/>
          <w:bCs/>
          <w:lang w:val="fr-FR"/>
        </w:rPr>
        <w:t>’</w:t>
      </w:r>
      <w:r w:rsidRPr="00AF6339">
        <w:rPr>
          <w:b/>
          <w:bCs/>
          <w:lang w:val="fr-FR"/>
        </w:rPr>
        <w:t>infrastructure et les services sociaux tels que la garde d</w:t>
      </w:r>
      <w:r w:rsidR="00740140">
        <w:rPr>
          <w:b/>
          <w:bCs/>
          <w:lang w:val="fr-FR"/>
        </w:rPr>
        <w:t>’</w:t>
      </w:r>
      <w:r w:rsidRPr="00AF6339">
        <w:rPr>
          <w:b/>
          <w:bCs/>
          <w:lang w:val="fr-FR"/>
        </w:rPr>
        <w:t>enfants</w:t>
      </w:r>
      <w:r w:rsidR="00740140">
        <w:rPr>
          <w:b/>
          <w:bCs/>
          <w:lang w:val="fr-FR"/>
        </w:rPr>
        <w:t> ;</w:t>
      </w:r>
    </w:p>
    <w:p w14:paraId="3D4E7E81" w14:textId="464FAC4F" w:rsidR="00AF6339" w:rsidRDefault="00AF6339" w:rsidP="00AF6339">
      <w:pPr>
        <w:pStyle w:val="SingleTxt"/>
        <w:rPr>
          <w:b/>
          <w:bCs/>
          <w:lang w:val="fr-FR"/>
        </w:rPr>
      </w:pPr>
      <w:r w:rsidRPr="00AF6339">
        <w:rPr>
          <w:lang w:val="fr-FR"/>
        </w:rPr>
        <w:tab/>
        <w:t>d)</w:t>
      </w:r>
      <w:r w:rsidRPr="00AF6339">
        <w:rPr>
          <w:lang w:val="fr-FR"/>
        </w:rPr>
        <w:tab/>
      </w:r>
      <w:r w:rsidRPr="00AF6339">
        <w:rPr>
          <w:b/>
          <w:bCs/>
          <w:lang w:val="fr-FR"/>
        </w:rPr>
        <w:t>d</w:t>
      </w:r>
      <w:r w:rsidR="00740140">
        <w:rPr>
          <w:b/>
          <w:bCs/>
          <w:lang w:val="fr-FR"/>
        </w:rPr>
        <w:t>’</w:t>
      </w:r>
      <w:r w:rsidRPr="00AF6339">
        <w:rPr>
          <w:b/>
          <w:bCs/>
          <w:lang w:val="fr-FR"/>
        </w:rPr>
        <w:t>étendre le droit du travail et les acquis sociaux, tels que le salaire minimum, les congés payés et les congés de maternité, aux femmes travaillant dans l</w:t>
      </w:r>
      <w:r w:rsidR="00740140">
        <w:rPr>
          <w:b/>
          <w:bCs/>
          <w:lang w:val="fr-FR"/>
        </w:rPr>
        <w:t>’</w:t>
      </w:r>
      <w:r w:rsidRPr="00AF6339">
        <w:rPr>
          <w:b/>
          <w:bCs/>
          <w:lang w:val="fr-FR"/>
        </w:rPr>
        <w:t>économie informelle ou comme indépendantes.</w:t>
      </w:r>
    </w:p>
    <w:p w14:paraId="3F884157" w14:textId="693F8AB5" w:rsidR="00E91B1C" w:rsidRPr="00E91B1C" w:rsidRDefault="00E91B1C" w:rsidP="00E91B1C">
      <w:pPr>
        <w:pStyle w:val="SingleTxt"/>
        <w:spacing w:after="0" w:line="120" w:lineRule="exact"/>
        <w:rPr>
          <w:b/>
          <w:bCs/>
          <w:sz w:val="10"/>
          <w:lang w:val="fr-FR"/>
        </w:rPr>
      </w:pPr>
    </w:p>
    <w:p w14:paraId="0757E3D9" w14:textId="1D2D4B66" w:rsidR="00AF6339" w:rsidRDefault="00E91B1C" w:rsidP="00E91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F6339" w:rsidRPr="00AF6339">
        <w:rPr>
          <w:lang w:val="fr-FR"/>
        </w:rPr>
        <w:tab/>
        <w:t>Femmes rurales</w:t>
      </w:r>
    </w:p>
    <w:p w14:paraId="6DB244AB" w14:textId="6B01524C" w:rsidR="00E91B1C" w:rsidRPr="00E91B1C" w:rsidRDefault="00E91B1C" w:rsidP="00E91B1C">
      <w:pPr>
        <w:pStyle w:val="SingleTxt"/>
        <w:spacing w:after="0" w:line="120" w:lineRule="exact"/>
        <w:rPr>
          <w:sz w:val="10"/>
          <w:lang w:val="fr-FR"/>
        </w:rPr>
      </w:pPr>
    </w:p>
    <w:p w14:paraId="51CCAC29" w14:textId="3D0B4C7C" w:rsidR="00AF6339" w:rsidRPr="00AF6339" w:rsidRDefault="00AF6339" w:rsidP="00E91B1C">
      <w:pPr>
        <w:pStyle w:val="SingleTxt"/>
        <w:numPr>
          <w:ilvl w:val="0"/>
          <w:numId w:val="28"/>
        </w:numPr>
        <w:spacing w:line="240" w:lineRule="exact"/>
        <w:rPr>
          <w:lang w:val="fr-FR"/>
        </w:rPr>
      </w:pPr>
      <w:r w:rsidRPr="00AF6339">
        <w:rPr>
          <w:lang w:val="fr-FR"/>
        </w:rPr>
        <w:t>Le Comité salue la tenue de formations (avec 40 % de participantes) visant à autonomiser les gardiens de troupeaux membres du projet Green Gold pour la santé animale, et la mise en œuvre d</w:t>
      </w:r>
      <w:r w:rsidR="00740140">
        <w:rPr>
          <w:lang w:val="fr-FR"/>
        </w:rPr>
        <w:t>’</w:t>
      </w:r>
      <w:r w:rsidRPr="00AF6339">
        <w:rPr>
          <w:lang w:val="fr-FR"/>
        </w:rPr>
        <w:t xml:space="preserve">une politique axée sur le genre dans les secteurs de </w:t>
      </w:r>
      <w:r w:rsidRPr="00AF6339">
        <w:rPr>
          <w:lang w:val="fr-FR"/>
        </w:rPr>
        <w:lastRenderedPageBreak/>
        <w:t>l</w:t>
      </w:r>
      <w:r w:rsidR="00740140">
        <w:rPr>
          <w:lang w:val="fr-FR"/>
        </w:rPr>
        <w:t>’</w:t>
      </w:r>
      <w:r w:rsidRPr="00AF6339">
        <w:rPr>
          <w:lang w:val="fr-FR"/>
        </w:rPr>
        <w:t>alimentaire, de l</w:t>
      </w:r>
      <w:r w:rsidR="00740140">
        <w:rPr>
          <w:lang w:val="fr-FR"/>
        </w:rPr>
        <w:t>’</w:t>
      </w:r>
      <w:r w:rsidRPr="00AF6339">
        <w:rPr>
          <w:lang w:val="fr-FR"/>
        </w:rPr>
        <w:t>agriculture et de l</w:t>
      </w:r>
      <w:r w:rsidR="00740140">
        <w:rPr>
          <w:lang w:val="fr-FR"/>
        </w:rPr>
        <w:t>’</w:t>
      </w:r>
      <w:r w:rsidRPr="00AF6339">
        <w:rPr>
          <w:lang w:val="fr-FR"/>
        </w:rPr>
        <w:t>industrie légère, en application de l</w:t>
      </w:r>
      <w:r w:rsidR="00740140">
        <w:rPr>
          <w:lang w:val="fr-FR"/>
        </w:rPr>
        <w:t>’</w:t>
      </w:r>
      <w:r w:rsidRPr="00AF6339">
        <w:rPr>
          <w:lang w:val="fr-FR"/>
        </w:rPr>
        <w:t>arrêté n</w:t>
      </w:r>
      <w:r w:rsidRPr="00AF6339">
        <w:rPr>
          <w:vertAlign w:val="superscript"/>
          <w:lang w:val="fr-FR"/>
        </w:rPr>
        <w:t>o</w:t>
      </w:r>
      <w:r w:rsidRPr="00AF6339">
        <w:rPr>
          <w:lang w:val="fr-FR"/>
        </w:rPr>
        <w:t> </w:t>
      </w:r>
      <w:r w:rsidRPr="00E91B1C">
        <w:rPr>
          <w:lang w:val="fr-FR"/>
        </w:rPr>
        <w:t>A/77</w:t>
      </w:r>
      <w:r w:rsidRPr="00AF6339">
        <w:rPr>
          <w:lang w:val="fr-FR"/>
        </w:rPr>
        <w:t xml:space="preserve"> de 2018 du Ministère de l</w:t>
      </w:r>
      <w:r w:rsidR="00740140">
        <w:rPr>
          <w:lang w:val="fr-FR"/>
        </w:rPr>
        <w:t>’</w:t>
      </w:r>
      <w:r w:rsidRPr="00AF6339">
        <w:rPr>
          <w:lang w:val="fr-FR"/>
        </w:rPr>
        <w:t>alimentation, de l</w:t>
      </w:r>
      <w:r w:rsidR="00740140">
        <w:rPr>
          <w:lang w:val="fr-FR"/>
        </w:rPr>
        <w:t>’</w:t>
      </w:r>
      <w:r w:rsidRPr="00AF6339">
        <w:rPr>
          <w:lang w:val="fr-FR"/>
        </w:rPr>
        <w:t>agriculture et de l</w:t>
      </w:r>
      <w:r w:rsidR="00740140">
        <w:rPr>
          <w:lang w:val="fr-FR"/>
        </w:rPr>
        <w:t>’</w:t>
      </w:r>
      <w:r w:rsidRPr="00AF6339">
        <w:rPr>
          <w:lang w:val="fr-FR"/>
        </w:rPr>
        <w:t>industrie légère, qui cerne les besoins et les difficultés des femmes et impose de les prendre en considération lors de la planification des politiques sectorielles. Cependant, il constate avec préoccupation</w:t>
      </w:r>
      <w:r w:rsidR="00740140">
        <w:rPr>
          <w:lang w:val="fr-FR"/>
        </w:rPr>
        <w:t> :</w:t>
      </w:r>
    </w:p>
    <w:p w14:paraId="33F580CE" w14:textId="1C199456" w:rsidR="00AF6339" w:rsidRPr="00AF6339" w:rsidRDefault="00AF6339" w:rsidP="00AF6339">
      <w:pPr>
        <w:pStyle w:val="SingleTxt"/>
        <w:rPr>
          <w:lang w:val="fr-FR"/>
        </w:rPr>
      </w:pPr>
      <w:r w:rsidRPr="00AF6339">
        <w:rPr>
          <w:lang w:val="fr-FR"/>
        </w:rPr>
        <w:tab/>
        <w:t>a)</w:t>
      </w:r>
      <w:r w:rsidRPr="00AF6339">
        <w:rPr>
          <w:lang w:val="fr-FR"/>
        </w:rPr>
        <w:tab/>
        <w:t>l</w:t>
      </w:r>
      <w:r w:rsidR="00740140">
        <w:rPr>
          <w:lang w:val="fr-FR"/>
        </w:rPr>
        <w:t>’</w:t>
      </w:r>
      <w:r w:rsidRPr="00AF6339">
        <w:rPr>
          <w:lang w:val="fr-FR"/>
        </w:rPr>
        <w:t>accès limité des femmes rurales à la possession et à l</w:t>
      </w:r>
      <w:r w:rsidR="00740140">
        <w:rPr>
          <w:lang w:val="fr-FR"/>
        </w:rPr>
        <w:t>’</w:t>
      </w:r>
      <w:r w:rsidRPr="00AF6339">
        <w:rPr>
          <w:lang w:val="fr-FR"/>
        </w:rPr>
        <w:t>utilisation de la terre, au droit de propriété, à la justice, à l</w:t>
      </w:r>
      <w:r w:rsidR="00740140">
        <w:rPr>
          <w:lang w:val="fr-FR"/>
        </w:rPr>
        <w:t>’</w:t>
      </w:r>
      <w:r w:rsidRPr="00AF6339">
        <w:rPr>
          <w:lang w:val="fr-FR"/>
        </w:rPr>
        <w:t>éducation, aux soins de santé, au logement, à l</w:t>
      </w:r>
      <w:r w:rsidR="00740140">
        <w:rPr>
          <w:lang w:val="fr-FR"/>
        </w:rPr>
        <w:t>’</w:t>
      </w:r>
      <w:r w:rsidRPr="00AF6339">
        <w:rPr>
          <w:lang w:val="fr-FR"/>
        </w:rPr>
        <w:t>eau potable et saine, à l</w:t>
      </w:r>
      <w:r w:rsidR="00740140">
        <w:rPr>
          <w:lang w:val="fr-FR"/>
        </w:rPr>
        <w:t>’</w:t>
      </w:r>
      <w:r w:rsidRPr="00AF6339">
        <w:rPr>
          <w:lang w:val="fr-FR"/>
        </w:rPr>
        <w:t>hygiène, à l</w:t>
      </w:r>
      <w:r w:rsidR="00740140">
        <w:rPr>
          <w:lang w:val="fr-FR"/>
        </w:rPr>
        <w:t>’</w:t>
      </w:r>
      <w:r w:rsidRPr="00AF6339">
        <w:rPr>
          <w:lang w:val="fr-FR"/>
        </w:rPr>
        <w:t>emploi formel, au développement des compétences et aux offres de formation, aux perspectives génératrices de revenus et au microcrédit</w:t>
      </w:r>
      <w:r w:rsidR="00740140">
        <w:rPr>
          <w:lang w:val="fr-FR"/>
        </w:rPr>
        <w:t> ;</w:t>
      </w:r>
    </w:p>
    <w:p w14:paraId="6C5B257E" w14:textId="1E3F1473" w:rsidR="00AF6339" w:rsidRPr="00AF6339" w:rsidRDefault="00AF6339" w:rsidP="00AF6339">
      <w:pPr>
        <w:pStyle w:val="SingleTxt"/>
        <w:rPr>
          <w:lang w:val="fr-FR"/>
        </w:rPr>
      </w:pPr>
      <w:r w:rsidRPr="00AF6339">
        <w:rPr>
          <w:lang w:val="fr-FR"/>
        </w:rPr>
        <w:tab/>
        <w:t>b)</w:t>
      </w:r>
      <w:r w:rsidRPr="00AF6339">
        <w:rPr>
          <w:lang w:val="fr-FR"/>
        </w:rPr>
        <w:tab/>
        <w:t>la faible participation des femmes rurales aux processus décisionnels au niveau communautaire</w:t>
      </w:r>
      <w:r w:rsidR="00740140">
        <w:rPr>
          <w:lang w:val="fr-FR"/>
        </w:rPr>
        <w:t> ;</w:t>
      </w:r>
    </w:p>
    <w:p w14:paraId="7FBA37A0" w14:textId="0EBAD356" w:rsidR="00AF6339" w:rsidRPr="00AF6339" w:rsidRDefault="00AF6339" w:rsidP="00AF6339">
      <w:pPr>
        <w:pStyle w:val="SingleTxt"/>
        <w:rPr>
          <w:lang w:val="fr-FR"/>
        </w:rPr>
      </w:pPr>
      <w:r w:rsidRPr="00AF6339">
        <w:rPr>
          <w:lang w:val="fr-FR"/>
        </w:rPr>
        <w:tab/>
        <w:t>c)</w:t>
      </w:r>
      <w:r w:rsidRPr="00AF6339">
        <w:rPr>
          <w:lang w:val="fr-FR"/>
        </w:rPr>
        <w:tab/>
        <w:t>le manque d</w:t>
      </w:r>
      <w:r w:rsidR="00740140">
        <w:rPr>
          <w:lang w:val="fr-FR"/>
        </w:rPr>
        <w:t>’</w:t>
      </w:r>
      <w:r w:rsidRPr="00AF6339">
        <w:rPr>
          <w:lang w:val="fr-FR"/>
        </w:rPr>
        <w:t>analyses par genre des conséquences de l</w:t>
      </w:r>
      <w:r w:rsidR="00740140">
        <w:rPr>
          <w:lang w:val="fr-FR"/>
        </w:rPr>
        <w:t>’</w:t>
      </w:r>
      <w:r w:rsidRPr="00AF6339">
        <w:rPr>
          <w:lang w:val="fr-FR"/>
        </w:rPr>
        <w:t>utilisation de l</w:t>
      </w:r>
      <w:r w:rsidR="00740140">
        <w:rPr>
          <w:lang w:val="fr-FR"/>
        </w:rPr>
        <w:t>’</w:t>
      </w:r>
      <w:r w:rsidRPr="00AF6339">
        <w:rPr>
          <w:lang w:val="fr-FR"/>
        </w:rPr>
        <w:t>eau des rivières et des puits pollués par l</w:t>
      </w:r>
      <w:r w:rsidR="00740140">
        <w:rPr>
          <w:lang w:val="fr-FR"/>
        </w:rPr>
        <w:t>’</w:t>
      </w:r>
      <w:r w:rsidRPr="00AF6339">
        <w:rPr>
          <w:lang w:val="fr-FR"/>
        </w:rPr>
        <w:t>industrie extractive, qui permettraient d</w:t>
      </w:r>
      <w:r w:rsidR="00740140">
        <w:rPr>
          <w:lang w:val="fr-FR"/>
        </w:rPr>
        <w:t>’</w:t>
      </w:r>
      <w:r w:rsidRPr="00AF6339">
        <w:rPr>
          <w:lang w:val="fr-FR"/>
        </w:rPr>
        <w:t>en déterminer les effets sur les femmes, les hommes, les filles et les garçons.</w:t>
      </w:r>
    </w:p>
    <w:p w14:paraId="25F4E1D9" w14:textId="159B5E29" w:rsidR="00AF6339" w:rsidRPr="00E91B1C" w:rsidRDefault="00AF6339" w:rsidP="00E91B1C">
      <w:pPr>
        <w:pStyle w:val="SingleTxt"/>
        <w:numPr>
          <w:ilvl w:val="0"/>
          <w:numId w:val="28"/>
        </w:numPr>
        <w:spacing w:line="240" w:lineRule="exact"/>
        <w:rPr>
          <w:b/>
          <w:bCs/>
          <w:lang w:val="fr-FR"/>
        </w:rPr>
      </w:pPr>
      <w:r w:rsidRPr="00E91B1C">
        <w:rPr>
          <w:b/>
          <w:bCs/>
          <w:lang w:val="fr-FR"/>
        </w:rPr>
        <w:t>Conformément à sa recommandation générale n</w:t>
      </w:r>
      <w:r w:rsidRPr="00E91B1C">
        <w:rPr>
          <w:b/>
          <w:bCs/>
          <w:vertAlign w:val="superscript"/>
          <w:lang w:val="fr-FR"/>
        </w:rPr>
        <w:t>o </w:t>
      </w:r>
      <w:r w:rsidRPr="00E91B1C">
        <w:rPr>
          <w:b/>
          <w:bCs/>
          <w:lang w:val="fr-FR"/>
        </w:rPr>
        <w:t>34 (2016)</w:t>
      </w:r>
      <w:r w:rsidRPr="00E91B1C">
        <w:rPr>
          <w:b/>
          <w:bCs/>
          <w:lang w:val="fr-FR"/>
        </w:rPr>
        <w:t xml:space="preserve"> sur les droits des femmes rurales et à la cible 5.a des objectifs de développement durable, qui consiste à entreprendre des réformes donnant aux femmes les mêmes droits aux ressources économiques, ainsi que l</w:t>
      </w:r>
      <w:r w:rsidR="00740140">
        <w:rPr>
          <w:b/>
          <w:bCs/>
          <w:lang w:val="fr-FR"/>
        </w:rPr>
        <w:t>’</w:t>
      </w:r>
      <w:r w:rsidRPr="00E91B1C">
        <w:rPr>
          <w:b/>
          <w:bCs/>
          <w:lang w:val="fr-FR"/>
        </w:rPr>
        <w:t>accès à la propriété et au contrôle des terres et d</w:t>
      </w:r>
      <w:r w:rsidR="00740140">
        <w:rPr>
          <w:b/>
          <w:bCs/>
          <w:lang w:val="fr-FR"/>
        </w:rPr>
        <w:t>’</w:t>
      </w:r>
      <w:r w:rsidRPr="00E91B1C">
        <w:rPr>
          <w:b/>
          <w:bCs/>
          <w:lang w:val="fr-FR"/>
        </w:rPr>
        <w:t>autres formes de propriété, aux services financiers, à l</w:t>
      </w:r>
      <w:r w:rsidR="00740140">
        <w:rPr>
          <w:b/>
          <w:bCs/>
          <w:lang w:val="fr-FR"/>
        </w:rPr>
        <w:t>’</w:t>
      </w:r>
      <w:r w:rsidRPr="00E91B1C">
        <w:rPr>
          <w:b/>
          <w:bCs/>
          <w:lang w:val="fr-FR"/>
        </w:rPr>
        <w:t>héritage et aux ressources naturelles, dans le respect du droit interne, le Comité recommande à l</w:t>
      </w:r>
      <w:r w:rsidR="00740140">
        <w:rPr>
          <w:b/>
          <w:bCs/>
          <w:lang w:val="fr-FR"/>
        </w:rPr>
        <w:t>’</w:t>
      </w:r>
      <w:r w:rsidRPr="00E91B1C">
        <w:rPr>
          <w:b/>
          <w:bCs/>
          <w:lang w:val="fr-FR"/>
        </w:rPr>
        <w:t>État partie</w:t>
      </w:r>
      <w:r w:rsidR="00740140">
        <w:rPr>
          <w:b/>
          <w:bCs/>
          <w:lang w:val="fr-FR"/>
        </w:rPr>
        <w:t> :</w:t>
      </w:r>
    </w:p>
    <w:p w14:paraId="3E890AE3" w14:textId="2547C471" w:rsidR="00AF6339" w:rsidRPr="00AF6339" w:rsidRDefault="00AF6339" w:rsidP="00AF6339">
      <w:pPr>
        <w:pStyle w:val="SingleTxt"/>
        <w:rPr>
          <w:lang w:val="fr-FR"/>
        </w:rPr>
      </w:pPr>
      <w:r w:rsidRPr="00AF6339">
        <w:rPr>
          <w:lang w:val="fr-FR"/>
        </w:rPr>
        <w:tab/>
        <w:t>a)</w:t>
      </w:r>
      <w:r w:rsidRPr="00AF6339">
        <w:rPr>
          <w:lang w:val="fr-FR"/>
        </w:rPr>
        <w:tab/>
      </w:r>
      <w:r w:rsidRPr="00AF6339">
        <w:rPr>
          <w:b/>
          <w:bCs/>
          <w:lang w:val="fr-FR"/>
        </w:rPr>
        <w:t>de sensibiliser les femmes rurales à l</w:t>
      </w:r>
      <w:r w:rsidR="00740140">
        <w:rPr>
          <w:b/>
          <w:bCs/>
          <w:lang w:val="fr-FR"/>
        </w:rPr>
        <w:t>’</w:t>
      </w:r>
      <w:r w:rsidRPr="00AF6339">
        <w:rPr>
          <w:b/>
          <w:bCs/>
          <w:lang w:val="fr-FR"/>
        </w:rPr>
        <w:t>importance de la possession de la terre et du droit de propriété, et de bouleverser les coutumes concernant le genre et la propriété</w:t>
      </w:r>
      <w:r w:rsidR="00740140">
        <w:rPr>
          <w:b/>
          <w:bCs/>
          <w:lang w:val="fr-FR"/>
        </w:rPr>
        <w:t> ;</w:t>
      </w:r>
    </w:p>
    <w:p w14:paraId="2A738420" w14:textId="58EF3FDA" w:rsidR="00AF6339" w:rsidRPr="00AF6339" w:rsidRDefault="00AF6339" w:rsidP="00AF6339">
      <w:pPr>
        <w:pStyle w:val="SingleTxt"/>
        <w:rPr>
          <w:lang w:val="fr-FR"/>
        </w:rPr>
      </w:pPr>
      <w:r w:rsidRPr="00AF6339">
        <w:rPr>
          <w:lang w:val="fr-FR"/>
        </w:rPr>
        <w:tab/>
        <w:t>b)</w:t>
      </w:r>
      <w:r w:rsidRPr="00AF6339">
        <w:rPr>
          <w:lang w:val="fr-FR"/>
        </w:rPr>
        <w:tab/>
      </w:r>
      <w:r w:rsidRPr="00AF6339">
        <w:rPr>
          <w:b/>
          <w:bCs/>
          <w:lang w:val="fr-FR"/>
        </w:rPr>
        <w:t>de faciliter l</w:t>
      </w:r>
      <w:r w:rsidR="00740140">
        <w:rPr>
          <w:b/>
          <w:bCs/>
          <w:lang w:val="fr-FR"/>
        </w:rPr>
        <w:t>’</w:t>
      </w:r>
      <w:r w:rsidRPr="00AF6339">
        <w:rPr>
          <w:b/>
          <w:bCs/>
          <w:lang w:val="fr-FR"/>
        </w:rPr>
        <w:t>accès des femmes rurales à l</w:t>
      </w:r>
      <w:r w:rsidR="00740140">
        <w:rPr>
          <w:b/>
          <w:bCs/>
          <w:lang w:val="fr-FR"/>
        </w:rPr>
        <w:t>’</w:t>
      </w:r>
      <w:r w:rsidRPr="00AF6339">
        <w:rPr>
          <w:b/>
          <w:bCs/>
          <w:lang w:val="fr-FR"/>
        </w:rPr>
        <w:t>aide et aux formations techniques en gestion des pâturages, aux actifs pastoraux tels que l</w:t>
      </w:r>
      <w:r w:rsidR="00740140">
        <w:rPr>
          <w:b/>
          <w:bCs/>
          <w:lang w:val="fr-FR"/>
        </w:rPr>
        <w:t>’</w:t>
      </w:r>
      <w:r w:rsidRPr="00AF6339">
        <w:rPr>
          <w:b/>
          <w:bCs/>
          <w:lang w:val="fr-FR"/>
        </w:rPr>
        <w:t>équipement, l</w:t>
      </w:r>
      <w:r w:rsidR="00740140">
        <w:rPr>
          <w:b/>
          <w:bCs/>
          <w:lang w:val="fr-FR"/>
        </w:rPr>
        <w:t>’</w:t>
      </w:r>
      <w:r w:rsidRPr="00AF6339">
        <w:rPr>
          <w:b/>
          <w:bCs/>
          <w:lang w:val="fr-FR"/>
        </w:rPr>
        <w:t>alimentation animale et l</w:t>
      </w:r>
      <w:r w:rsidR="00740140">
        <w:rPr>
          <w:b/>
          <w:bCs/>
          <w:lang w:val="fr-FR"/>
        </w:rPr>
        <w:t>’</w:t>
      </w:r>
      <w:r w:rsidRPr="00AF6339">
        <w:rPr>
          <w:b/>
          <w:bCs/>
          <w:lang w:val="fr-FR"/>
        </w:rPr>
        <w:t>énergie, aux marchés et aux services de commercialisation, ainsi qu</w:t>
      </w:r>
      <w:r w:rsidR="00740140">
        <w:rPr>
          <w:b/>
          <w:bCs/>
          <w:lang w:val="fr-FR"/>
        </w:rPr>
        <w:t>’</w:t>
      </w:r>
      <w:r w:rsidRPr="00AF6339">
        <w:rPr>
          <w:b/>
          <w:bCs/>
          <w:lang w:val="fr-FR"/>
        </w:rPr>
        <w:t>aux technologies et aux services de vulgarisation appropriés</w:t>
      </w:r>
      <w:r w:rsidR="00740140">
        <w:rPr>
          <w:b/>
          <w:bCs/>
          <w:lang w:val="fr-FR"/>
        </w:rPr>
        <w:t> ;</w:t>
      </w:r>
    </w:p>
    <w:p w14:paraId="2CA09B6A" w14:textId="327D3545" w:rsidR="00AF6339" w:rsidRPr="00AF6339" w:rsidRDefault="00AF6339" w:rsidP="00AF6339">
      <w:pPr>
        <w:pStyle w:val="SingleTxt"/>
        <w:rPr>
          <w:lang w:val="fr-FR"/>
        </w:rPr>
      </w:pPr>
      <w:r w:rsidRPr="00AF6339">
        <w:rPr>
          <w:lang w:val="fr-FR"/>
        </w:rPr>
        <w:tab/>
        <w:t>c)</w:t>
      </w:r>
      <w:r w:rsidRPr="00AF6339">
        <w:rPr>
          <w:lang w:val="fr-FR"/>
        </w:rPr>
        <w:tab/>
      </w:r>
      <w:r w:rsidRPr="00AF6339">
        <w:rPr>
          <w:b/>
          <w:bCs/>
          <w:lang w:val="fr-FR"/>
        </w:rPr>
        <w:t>de développer l</w:t>
      </w:r>
      <w:r w:rsidR="00740140">
        <w:rPr>
          <w:b/>
          <w:bCs/>
          <w:lang w:val="fr-FR"/>
        </w:rPr>
        <w:t>’</w:t>
      </w:r>
      <w:r w:rsidRPr="00AF6339">
        <w:rPr>
          <w:b/>
          <w:bCs/>
          <w:lang w:val="fr-FR"/>
        </w:rPr>
        <w:t>accès des femmes rurales aux prêts à faible taux d</w:t>
      </w:r>
      <w:r w:rsidR="00740140">
        <w:rPr>
          <w:b/>
          <w:bCs/>
          <w:lang w:val="fr-FR"/>
        </w:rPr>
        <w:t>’</w:t>
      </w:r>
      <w:r w:rsidRPr="00AF6339">
        <w:rPr>
          <w:b/>
          <w:bCs/>
          <w:lang w:val="fr-FR"/>
        </w:rPr>
        <w:t>intérêt et aux autres formes de crédit financier</w:t>
      </w:r>
      <w:r w:rsidR="00740140">
        <w:rPr>
          <w:b/>
          <w:bCs/>
          <w:lang w:val="fr-FR"/>
        </w:rPr>
        <w:t> ;</w:t>
      </w:r>
    </w:p>
    <w:p w14:paraId="2876F88B" w14:textId="02B8A821" w:rsidR="00AF6339" w:rsidRPr="00AF6339" w:rsidRDefault="00AF6339" w:rsidP="00AF6339">
      <w:pPr>
        <w:pStyle w:val="SingleTxt"/>
        <w:rPr>
          <w:lang w:val="fr-FR"/>
        </w:rPr>
      </w:pPr>
      <w:r w:rsidRPr="00AF6339">
        <w:rPr>
          <w:lang w:val="fr-FR"/>
        </w:rPr>
        <w:tab/>
        <w:t>d)</w:t>
      </w:r>
      <w:r w:rsidRPr="00AF6339">
        <w:rPr>
          <w:lang w:val="fr-FR"/>
        </w:rPr>
        <w:tab/>
      </w:r>
      <w:r w:rsidRPr="00AF6339">
        <w:rPr>
          <w:b/>
          <w:bCs/>
          <w:lang w:val="fr-FR"/>
        </w:rPr>
        <w:t>d</w:t>
      </w:r>
      <w:r w:rsidR="00740140">
        <w:rPr>
          <w:b/>
          <w:bCs/>
          <w:lang w:val="fr-FR"/>
        </w:rPr>
        <w:t>’</w:t>
      </w:r>
      <w:r w:rsidRPr="00AF6339">
        <w:rPr>
          <w:b/>
          <w:bCs/>
          <w:lang w:val="fr-FR"/>
        </w:rPr>
        <w:t>assurer la participation réelle des femmes rurales aux processus de planification et de décision concernant la gestion des ressources naturelles</w:t>
      </w:r>
      <w:r w:rsidR="00740140">
        <w:rPr>
          <w:b/>
          <w:bCs/>
          <w:lang w:val="fr-FR"/>
        </w:rPr>
        <w:t> ;</w:t>
      </w:r>
    </w:p>
    <w:p w14:paraId="7729A776" w14:textId="5FAD2D05" w:rsidR="00AF6339" w:rsidRPr="00AF6339" w:rsidRDefault="00AF6339" w:rsidP="00AF6339">
      <w:pPr>
        <w:pStyle w:val="SingleTxt"/>
        <w:rPr>
          <w:lang w:val="fr-FR"/>
        </w:rPr>
      </w:pPr>
      <w:r w:rsidRPr="00AF6339">
        <w:rPr>
          <w:lang w:val="fr-FR"/>
        </w:rPr>
        <w:tab/>
        <w:t>e)</w:t>
      </w:r>
      <w:r w:rsidRPr="00AF6339">
        <w:rPr>
          <w:lang w:val="fr-FR"/>
        </w:rPr>
        <w:tab/>
      </w:r>
      <w:r w:rsidRPr="00AF6339">
        <w:rPr>
          <w:b/>
          <w:bCs/>
          <w:lang w:val="fr-FR"/>
        </w:rPr>
        <w:t>de veiller à ce que des organismes indépendants mènent des études fondées sur des données ventilées par genre sur les répercussions sanitaires et sociales des activités d</w:t>
      </w:r>
      <w:r w:rsidR="00740140">
        <w:rPr>
          <w:b/>
          <w:bCs/>
          <w:lang w:val="fr-FR"/>
        </w:rPr>
        <w:t>’</w:t>
      </w:r>
      <w:r w:rsidRPr="00AF6339">
        <w:rPr>
          <w:b/>
          <w:bCs/>
          <w:lang w:val="fr-FR"/>
        </w:rPr>
        <w:t>extraction, et à ce que leurs résultats soient publiés</w:t>
      </w:r>
      <w:r w:rsidR="00740140">
        <w:rPr>
          <w:b/>
          <w:bCs/>
          <w:lang w:val="fr-FR"/>
        </w:rPr>
        <w:t> ;</w:t>
      </w:r>
    </w:p>
    <w:p w14:paraId="140A5833" w14:textId="0530935C" w:rsidR="00AF6339" w:rsidRPr="00AF6339" w:rsidRDefault="00AF6339" w:rsidP="00AF6339">
      <w:pPr>
        <w:pStyle w:val="SingleTxt"/>
        <w:rPr>
          <w:lang w:val="fr-FR"/>
        </w:rPr>
      </w:pPr>
      <w:r w:rsidRPr="00AF6339">
        <w:rPr>
          <w:lang w:val="fr-FR"/>
        </w:rPr>
        <w:tab/>
        <w:t>f)</w:t>
      </w:r>
      <w:r w:rsidRPr="00AF6339">
        <w:rPr>
          <w:lang w:val="fr-FR"/>
        </w:rPr>
        <w:tab/>
      </w:r>
      <w:r w:rsidRPr="00AF6339">
        <w:rPr>
          <w:b/>
          <w:bCs/>
          <w:lang w:val="fr-FR"/>
        </w:rPr>
        <w:t>de fixer et d</w:t>
      </w:r>
      <w:r w:rsidR="00740140">
        <w:rPr>
          <w:b/>
          <w:bCs/>
          <w:lang w:val="fr-FR"/>
        </w:rPr>
        <w:t>’</w:t>
      </w:r>
      <w:r w:rsidRPr="00AF6339">
        <w:rPr>
          <w:b/>
          <w:bCs/>
          <w:lang w:val="fr-FR"/>
        </w:rPr>
        <w:t>appliquer des règles concernant l</w:t>
      </w:r>
      <w:r w:rsidR="00740140">
        <w:rPr>
          <w:b/>
          <w:bCs/>
          <w:lang w:val="fr-FR"/>
        </w:rPr>
        <w:t>’</w:t>
      </w:r>
      <w:r w:rsidRPr="00AF6339">
        <w:rPr>
          <w:b/>
          <w:bCs/>
          <w:lang w:val="fr-FR"/>
        </w:rPr>
        <w:t>indemnisation des dommages causés par les sociétés extractives et connexes à la santé et aux moyens d</w:t>
      </w:r>
      <w:r w:rsidR="00740140">
        <w:rPr>
          <w:b/>
          <w:bCs/>
          <w:lang w:val="fr-FR"/>
        </w:rPr>
        <w:t>’</w:t>
      </w:r>
      <w:r w:rsidRPr="00AF6339">
        <w:rPr>
          <w:b/>
          <w:bCs/>
          <w:lang w:val="fr-FR"/>
        </w:rPr>
        <w:t>existence des membres des communautés locales, en particulier des femmes rurales</w:t>
      </w:r>
      <w:r w:rsidR="00740140">
        <w:rPr>
          <w:b/>
          <w:bCs/>
          <w:lang w:val="fr-FR"/>
        </w:rPr>
        <w:t> ;</w:t>
      </w:r>
    </w:p>
    <w:p w14:paraId="6BE65997" w14:textId="20FE922A" w:rsidR="00AF6339" w:rsidRDefault="00AF6339" w:rsidP="00AF6339">
      <w:pPr>
        <w:pStyle w:val="SingleTxt"/>
        <w:rPr>
          <w:b/>
          <w:bCs/>
          <w:lang w:val="fr-FR"/>
        </w:rPr>
      </w:pPr>
      <w:r w:rsidRPr="00AF6339">
        <w:rPr>
          <w:b/>
          <w:bCs/>
          <w:lang w:val="fr-FR"/>
        </w:rPr>
        <w:tab/>
      </w:r>
      <w:r w:rsidRPr="00AF6339">
        <w:rPr>
          <w:lang w:val="fr-FR"/>
        </w:rPr>
        <w:t>g)</w:t>
      </w:r>
      <w:r w:rsidRPr="00AF6339">
        <w:rPr>
          <w:lang w:val="fr-FR"/>
        </w:rPr>
        <w:tab/>
      </w:r>
      <w:r w:rsidRPr="00AF6339">
        <w:rPr>
          <w:b/>
          <w:bCs/>
          <w:lang w:val="fr-FR"/>
        </w:rPr>
        <w:t>de mettre en place un service public d</w:t>
      </w:r>
      <w:r w:rsidR="00740140">
        <w:rPr>
          <w:b/>
          <w:bCs/>
          <w:lang w:val="fr-FR"/>
        </w:rPr>
        <w:t>’</w:t>
      </w:r>
      <w:r w:rsidRPr="00AF6339">
        <w:rPr>
          <w:b/>
          <w:bCs/>
          <w:lang w:val="fr-FR"/>
        </w:rPr>
        <w:t>alerte et d</w:t>
      </w:r>
      <w:r w:rsidR="00740140">
        <w:rPr>
          <w:b/>
          <w:bCs/>
          <w:lang w:val="fr-FR"/>
        </w:rPr>
        <w:t>’</w:t>
      </w:r>
      <w:r w:rsidRPr="00AF6339">
        <w:rPr>
          <w:b/>
          <w:bCs/>
          <w:lang w:val="fr-FR"/>
        </w:rPr>
        <w:t>information sanitaire sur la toxicité des produits chimiques et autres matériaux dangereux et des conséquences potentielles de leur utilisation pour la santé humaine et animale, et de le faire connaître aux femmes rurales et aux gardiennes de troupeaux.</w:t>
      </w:r>
    </w:p>
    <w:p w14:paraId="139B6872" w14:textId="4C029E14" w:rsidR="00E91B1C" w:rsidRPr="00E91B1C" w:rsidRDefault="00E91B1C" w:rsidP="00E91B1C">
      <w:pPr>
        <w:pStyle w:val="SingleTxt"/>
        <w:spacing w:after="0" w:line="120" w:lineRule="exact"/>
        <w:rPr>
          <w:b/>
          <w:bCs/>
          <w:sz w:val="10"/>
          <w:lang w:val="fr-FR"/>
        </w:rPr>
      </w:pPr>
    </w:p>
    <w:p w14:paraId="7F07F77A" w14:textId="475570A5" w:rsidR="00AF6339" w:rsidRDefault="00AF6339" w:rsidP="00E91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lastRenderedPageBreak/>
        <w:tab/>
      </w:r>
      <w:r w:rsidRPr="00AF6339">
        <w:rPr>
          <w:lang w:val="fr-FR"/>
        </w:rPr>
        <w:tab/>
        <w:t>Changements climatiques et réduction des risques de catastrophe</w:t>
      </w:r>
    </w:p>
    <w:p w14:paraId="33CF53BE" w14:textId="33CC65C8" w:rsidR="00E91B1C" w:rsidRPr="00E91B1C" w:rsidRDefault="00E91B1C" w:rsidP="00E91B1C">
      <w:pPr>
        <w:pStyle w:val="SingleTxt"/>
        <w:keepNext/>
        <w:keepLines/>
        <w:spacing w:after="0" w:line="120" w:lineRule="exact"/>
        <w:rPr>
          <w:sz w:val="10"/>
          <w:lang w:val="fr-FR"/>
        </w:rPr>
      </w:pPr>
    </w:p>
    <w:p w14:paraId="6FAE0CD0" w14:textId="4DD12964" w:rsidR="00AF6339" w:rsidRPr="00AF6339" w:rsidRDefault="00AF6339" w:rsidP="00E91B1C">
      <w:pPr>
        <w:pStyle w:val="SingleTxt"/>
        <w:numPr>
          <w:ilvl w:val="0"/>
          <w:numId w:val="30"/>
        </w:numPr>
        <w:spacing w:line="240" w:lineRule="exact"/>
        <w:rPr>
          <w:lang w:val="fr-FR"/>
        </w:rPr>
      </w:pPr>
      <w:r w:rsidRPr="00AF6339">
        <w:rPr>
          <w:lang w:val="fr-FR"/>
        </w:rPr>
        <w:t>Le Comité se félicite qu</w:t>
      </w:r>
      <w:r w:rsidR="00740140">
        <w:rPr>
          <w:lang w:val="fr-FR"/>
        </w:rPr>
        <w:t>’</w:t>
      </w:r>
      <w:r w:rsidRPr="00AF6339">
        <w:rPr>
          <w:lang w:val="fr-FR"/>
        </w:rPr>
        <w:t>ait été lancé, en collaboration avec la Banque asiatique de développement, un projet pour le renforcement des capacités des femmes à faire face aux changements climatiques et aux risques de catastrophes, qui analyse les politiques et la législation en matière de gestion des risques de catastrophes et en particulier de réduction des risques, de préparation, de riposte et de relèvement. Toutefois, il constate avec préoccupation l</w:t>
      </w:r>
      <w:r w:rsidR="00740140">
        <w:rPr>
          <w:lang w:val="fr-FR"/>
        </w:rPr>
        <w:t>’</w:t>
      </w:r>
      <w:r w:rsidRPr="00AF6339">
        <w:rPr>
          <w:lang w:val="fr-FR"/>
        </w:rPr>
        <w:t>absence de stratégie nationale incluant les questions de genre axée sur les risques et défis environnementaux, les changements climatiques et la réduction des risques de catastrophes.</w:t>
      </w:r>
    </w:p>
    <w:p w14:paraId="032E6D65" w14:textId="56E3DCD0" w:rsidR="00AF6339" w:rsidRDefault="00AF6339" w:rsidP="00E91B1C">
      <w:pPr>
        <w:pStyle w:val="SingleTxt"/>
        <w:numPr>
          <w:ilvl w:val="0"/>
          <w:numId w:val="30"/>
        </w:numPr>
        <w:spacing w:line="240" w:lineRule="exact"/>
        <w:rPr>
          <w:b/>
          <w:bCs/>
          <w:lang w:val="fr-FR"/>
        </w:rPr>
      </w:pPr>
      <w:r w:rsidRPr="00E91B1C">
        <w:rPr>
          <w:b/>
          <w:bCs/>
          <w:lang w:val="fr-FR"/>
        </w:rPr>
        <w:t>Conformément à sa recommandation générale n</w:t>
      </w:r>
      <w:r w:rsidRPr="00E91B1C">
        <w:rPr>
          <w:b/>
          <w:bCs/>
          <w:vertAlign w:val="superscript"/>
          <w:lang w:val="fr-FR"/>
        </w:rPr>
        <w:t>o </w:t>
      </w:r>
      <w:r w:rsidRPr="00E91B1C">
        <w:rPr>
          <w:b/>
          <w:bCs/>
          <w:lang w:val="fr-FR"/>
        </w:rPr>
        <w:t>37 (2018)</w:t>
      </w:r>
      <w:r w:rsidRPr="00E91B1C">
        <w:rPr>
          <w:b/>
          <w:bCs/>
          <w:lang w:val="fr-FR"/>
        </w:rPr>
        <w:t xml:space="preserve"> relative aux aspects liés au genre de la réduction des risques de catastrophe dans le contexte des changements climatiques, le Comité recommande à l</w:t>
      </w:r>
      <w:r w:rsidR="00740140">
        <w:rPr>
          <w:b/>
          <w:bCs/>
          <w:lang w:val="fr-FR"/>
        </w:rPr>
        <w:t>’</w:t>
      </w:r>
      <w:r w:rsidRPr="00E91B1C">
        <w:rPr>
          <w:b/>
          <w:bCs/>
          <w:lang w:val="fr-FR"/>
        </w:rPr>
        <w:t>État partie de veiller à la représentation et à la participation des femmes dans l</w:t>
      </w:r>
      <w:r w:rsidR="00740140">
        <w:rPr>
          <w:b/>
          <w:bCs/>
          <w:lang w:val="fr-FR"/>
        </w:rPr>
        <w:t>’</w:t>
      </w:r>
      <w:r w:rsidRPr="00E91B1C">
        <w:rPr>
          <w:b/>
          <w:bCs/>
          <w:lang w:val="fr-FR"/>
        </w:rPr>
        <w:t>élaboration des lois, des politiques et des programmes liés aux changements climatiques, à la riposte face aux catastrophes et à la réduction des risques de catastrophes. Il lui recommande aussi d</w:t>
      </w:r>
      <w:r w:rsidR="00740140">
        <w:rPr>
          <w:b/>
          <w:bCs/>
          <w:lang w:val="fr-FR"/>
        </w:rPr>
        <w:t>’</w:t>
      </w:r>
      <w:r w:rsidRPr="00E91B1C">
        <w:rPr>
          <w:b/>
          <w:bCs/>
          <w:lang w:val="fr-FR"/>
        </w:rPr>
        <w:t>intégrer la question du genre dans ces plans et ces mesures et de veiller à ce que les femmes, en particulier les femmes rurales, soient consultées sur leur élaboration. Enfin, il lui recommande de prendre des mesures de lutte contre les effets des changements climatiques et notamment de ses effets sur l</w:t>
      </w:r>
      <w:r w:rsidR="00740140">
        <w:rPr>
          <w:b/>
          <w:bCs/>
          <w:lang w:val="fr-FR"/>
        </w:rPr>
        <w:t>’</w:t>
      </w:r>
      <w:r w:rsidRPr="00E91B1C">
        <w:rPr>
          <w:b/>
          <w:bCs/>
          <w:lang w:val="fr-FR"/>
        </w:rPr>
        <w:t>accès des femmes aux ressources et aux moyens de subsistance, afin que les femmes ne soient pas affectées de manière disproportionnée.</w:t>
      </w:r>
    </w:p>
    <w:p w14:paraId="431406A9" w14:textId="72504F9E" w:rsidR="00E91B1C" w:rsidRPr="00E91B1C" w:rsidRDefault="00E91B1C" w:rsidP="00E91B1C">
      <w:pPr>
        <w:pStyle w:val="SingleTxt"/>
        <w:tabs>
          <w:tab w:val="clear" w:pos="1742"/>
        </w:tabs>
        <w:spacing w:after="0" w:line="120" w:lineRule="exact"/>
        <w:rPr>
          <w:b/>
          <w:bCs/>
          <w:sz w:val="10"/>
          <w:lang w:val="fr-FR"/>
        </w:rPr>
      </w:pPr>
    </w:p>
    <w:p w14:paraId="27276979" w14:textId="63695E01" w:rsidR="00AF6339" w:rsidRDefault="00AF6339" w:rsidP="00E91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Groupes de femmes défavorisées et marginalisées</w:t>
      </w:r>
    </w:p>
    <w:p w14:paraId="5C483436" w14:textId="5907F261" w:rsidR="00E91B1C" w:rsidRPr="00E91B1C" w:rsidRDefault="00E91B1C" w:rsidP="00E91B1C">
      <w:pPr>
        <w:pStyle w:val="SingleTxt"/>
        <w:spacing w:after="0" w:line="120" w:lineRule="exact"/>
        <w:rPr>
          <w:sz w:val="10"/>
          <w:lang w:val="fr-FR"/>
        </w:rPr>
      </w:pPr>
    </w:p>
    <w:p w14:paraId="2E062020" w14:textId="42DBF539" w:rsidR="00AF6339" w:rsidRPr="00AF6339" w:rsidRDefault="00AF6339" w:rsidP="00E91B1C">
      <w:pPr>
        <w:pStyle w:val="SingleTxt"/>
        <w:numPr>
          <w:ilvl w:val="0"/>
          <w:numId w:val="32"/>
        </w:numPr>
        <w:spacing w:line="240" w:lineRule="exact"/>
        <w:rPr>
          <w:lang w:val="fr-FR"/>
        </w:rPr>
      </w:pPr>
      <w:r w:rsidRPr="00AF6339">
        <w:rPr>
          <w:lang w:val="fr-FR"/>
        </w:rPr>
        <w:t>Le Comité salue l</w:t>
      </w:r>
      <w:r w:rsidR="00740140">
        <w:rPr>
          <w:lang w:val="fr-FR"/>
        </w:rPr>
        <w:t>’</w:t>
      </w:r>
      <w:r w:rsidRPr="00AF6339">
        <w:rPr>
          <w:lang w:val="fr-FR"/>
        </w:rPr>
        <w:t>adoption de la loi sur les droits des personnes handicapées (2016) et du programme national relatif à la promotion des droits humains, à la participation et au développement des personnes handicapées (2017), ainsi que la création de l</w:t>
      </w:r>
      <w:r w:rsidR="00740140">
        <w:rPr>
          <w:lang w:val="fr-FR"/>
        </w:rPr>
        <w:t>’</w:t>
      </w:r>
      <w:r w:rsidRPr="00AF6339">
        <w:rPr>
          <w:lang w:val="fr-FR"/>
        </w:rPr>
        <w:t>agence générale de développement des personnes handicapées. Toutefois, il est préoccupé par le manque d</w:t>
      </w:r>
      <w:r w:rsidR="00740140">
        <w:rPr>
          <w:lang w:val="fr-FR"/>
        </w:rPr>
        <w:t>’</w:t>
      </w:r>
      <w:r w:rsidRPr="00AF6339">
        <w:rPr>
          <w:lang w:val="fr-FR"/>
        </w:rPr>
        <w:t>information sur la situation des femmes et des filles handicapées, notamment sur leur accès à l</w:t>
      </w:r>
      <w:r w:rsidR="00740140">
        <w:rPr>
          <w:lang w:val="fr-FR"/>
        </w:rPr>
        <w:t>’</w:t>
      </w:r>
      <w:r w:rsidRPr="00AF6339">
        <w:rPr>
          <w:lang w:val="fr-FR"/>
        </w:rPr>
        <w:t>éducation inclusive, aux soins médicaux et à l</w:t>
      </w:r>
      <w:r w:rsidR="00740140">
        <w:rPr>
          <w:lang w:val="fr-FR"/>
        </w:rPr>
        <w:t>’</w:t>
      </w:r>
      <w:r w:rsidRPr="00AF6339">
        <w:rPr>
          <w:lang w:val="fr-FR"/>
        </w:rPr>
        <w:t>emploi, sur leur participation à la vie politique et publique, ainsi que sur les formes croisées de discrimination et sur la violence fondée sur le genre auxquelles elles sont confrontées. En outre, le Comité regrette le manque d</w:t>
      </w:r>
      <w:r w:rsidR="00740140">
        <w:rPr>
          <w:lang w:val="fr-FR"/>
        </w:rPr>
        <w:t>’</w:t>
      </w:r>
      <w:r w:rsidRPr="00AF6339">
        <w:rPr>
          <w:lang w:val="fr-FR"/>
        </w:rPr>
        <w:t>information sur la situation d</w:t>
      </w:r>
      <w:r w:rsidR="00740140">
        <w:rPr>
          <w:lang w:val="fr-FR"/>
        </w:rPr>
        <w:t>’</w:t>
      </w:r>
      <w:r w:rsidRPr="00AF6339">
        <w:rPr>
          <w:lang w:val="fr-FR"/>
        </w:rPr>
        <w:t>autres groupes défavorisés de femmes dans l</w:t>
      </w:r>
      <w:r w:rsidR="00740140">
        <w:rPr>
          <w:lang w:val="fr-FR"/>
        </w:rPr>
        <w:t>’</w:t>
      </w:r>
      <w:r w:rsidRPr="00AF6339">
        <w:rPr>
          <w:lang w:val="fr-FR"/>
        </w:rPr>
        <w:t xml:space="preserve">État partie, comme les femmes lesbiennes, bisexuelles, transgenres et intersexes, les femmes pauvres, les mères célibataires et les femmes âgées. </w:t>
      </w:r>
    </w:p>
    <w:p w14:paraId="3C0B3BF3" w14:textId="4EB1B336" w:rsidR="00AF6339" w:rsidRDefault="00AF6339" w:rsidP="00E91B1C">
      <w:pPr>
        <w:pStyle w:val="SingleTxt"/>
        <w:numPr>
          <w:ilvl w:val="0"/>
          <w:numId w:val="32"/>
        </w:numPr>
        <w:spacing w:line="240" w:lineRule="exact"/>
        <w:rPr>
          <w:b/>
          <w:bCs/>
          <w:lang w:val="fr-FR"/>
        </w:rPr>
      </w:pPr>
      <w:r w:rsidRPr="00E91B1C">
        <w:rPr>
          <w:b/>
          <w:bCs/>
          <w:lang w:val="fr-FR"/>
        </w:rPr>
        <w:t>Le Comité recommande à l</w:t>
      </w:r>
      <w:r w:rsidR="00740140">
        <w:rPr>
          <w:b/>
          <w:bCs/>
          <w:lang w:val="fr-FR"/>
        </w:rPr>
        <w:t>’</w:t>
      </w:r>
      <w:r w:rsidRPr="00E91B1C">
        <w:rPr>
          <w:b/>
          <w:bCs/>
          <w:lang w:val="fr-FR"/>
        </w:rPr>
        <w:t>État partie de collecter des données sur les groupes défavorisés de femmes, notamment sur les femmes et les filles handicapées, les femmes lesbiennes, bisexuelles, transgenres et intersexes, les femmes pauvres, les mères célibataires et les femmes âgées, et en particulier sur leur accès à la vie politique et publique, à l</w:t>
      </w:r>
      <w:r w:rsidR="00740140">
        <w:rPr>
          <w:b/>
          <w:bCs/>
          <w:lang w:val="fr-FR"/>
        </w:rPr>
        <w:t>’</w:t>
      </w:r>
      <w:r w:rsidRPr="00E91B1C">
        <w:rPr>
          <w:b/>
          <w:bCs/>
          <w:lang w:val="fr-FR"/>
        </w:rPr>
        <w:t>éducation, à l</w:t>
      </w:r>
      <w:r w:rsidR="00740140">
        <w:rPr>
          <w:b/>
          <w:bCs/>
          <w:lang w:val="fr-FR"/>
        </w:rPr>
        <w:t>’</w:t>
      </w:r>
      <w:r w:rsidRPr="00E91B1C">
        <w:rPr>
          <w:b/>
          <w:bCs/>
          <w:lang w:val="fr-FR"/>
        </w:rPr>
        <w:t>emploi, aux soins médicaux (y compris aux services de santé sexuelle et reproductive), ainsi que sur les formes croisées de discrimination et sur la violence fondée sur le genre auxquelles elles sont confrontées.</w:t>
      </w:r>
    </w:p>
    <w:p w14:paraId="66A51060" w14:textId="6572230B" w:rsidR="00E91B1C" w:rsidRPr="00E91B1C" w:rsidRDefault="00E91B1C" w:rsidP="00E91B1C">
      <w:pPr>
        <w:pStyle w:val="SingleTxt"/>
        <w:spacing w:after="0" w:line="120" w:lineRule="exact"/>
        <w:rPr>
          <w:b/>
          <w:bCs/>
          <w:sz w:val="10"/>
          <w:lang w:val="fr-FR"/>
        </w:rPr>
      </w:pPr>
    </w:p>
    <w:p w14:paraId="1607A854" w14:textId="1EFBB331" w:rsidR="00AF6339" w:rsidRDefault="00AF6339" w:rsidP="00E91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Mariage et rapports familiaux</w:t>
      </w:r>
    </w:p>
    <w:p w14:paraId="391618DF" w14:textId="1FC4F416" w:rsidR="00E91B1C" w:rsidRPr="00E91B1C" w:rsidRDefault="00E91B1C" w:rsidP="00E91B1C">
      <w:pPr>
        <w:pStyle w:val="SingleTxt"/>
        <w:spacing w:after="0" w:line="120" w:lineRule="exact"/>
        <w:rPr>
          <w:sz w:val="10"/>
          <w:lang w:val="fr-FR"/>
        </w:rPr>
      </w:pPr>
    </w:p>
    <w:p w14:paraId="3ED16A32" w14:textId="49EF052B" w:rsidR="00AF6339" w:rsidRPr="00AF6339" w:rsidRDefault="00AF6339" w:rsidP="00E91B1C">
      <w:pPr>
        <w:pStyle w:val="SingleTxt"/>
        <w:numPr>
          <w:ilvl w:val="0"/>
          <w:numId w:val="34"/>
        </w:numPr>
        <w:spacing w:line="240" w:lineRule="exact"/>
        <w:rPr>
          <w:lang w:val="fr-FR"/>
        </w:rPr>
      </w:pPr>
      <w:r w:rsidRPr="00AF6339">
        <w:rPr>
          <w:lang w:val="fr-FR"/>
        </w:rPr>
        <w:t>Le Comité constate avec préoccupation que les biens du ménage et les entreprises familiales sont généralement enregistrés au nom du chef de ménage, habituellement le mari, ce qui laisse ce dernier en possession des biens en cas de divorce, et il note que les maris divorcés refusent souvent de payer une pension alimentaire. En outre, il regrette le manque d</w:t>
      </w:r>
      <w:r w:rsidR="00740140">
        <w:rPr>
          <w:lang w:val="fr-FR"/>
        </w:rPr>
        <w:t>’</w:t>
      </w:r>
      <w:r w:rsidRPr="00AF6339">
        <w:rPr>
          <w:lang w:val="fr-FR"/>
        </w:rPr>
        <w:t>information sur la question de savoir si l</w:t>
      </w:r>
      <w:r w:rsidR="00740140">
        <w:rPr>
          <w:lang w:val="fr-FR"/>
        </w:rPr>
        <w:t>’</w:t>
      </w:r>
      <w:r w:rsidRPr="00AF6339">
        <w:rPr>
          <w:lang w:val="fr-FR"/>
        </w:rPr>
        <w:t>État partie garantit un égal partage des biens à la dissolution du mariage.</w:t>
      </w:r>
    </w:p>
    <w:p w14:paraId="02E3C52D" w14:textId="0DADAE6C" w:rsidR="00AF6339" w:rsidRPr="00E91B1C" w:rsidRDefault="00AF6339" w:rsidP="00E91B1C">
      <w:pPr>
        <w:pStyle w:val="SingleTxt"/>
        <w:numPr>
          <w:ilvl w:val="0"/>
          <w:numId w:val="34"/>
        </w:numPr>
        <w:spacing w:line="240" w:lineRule="exact"/>
        <w:rPr>
          <w:b/>
          <w:bCs/>
          <w:lang w:val="fr-FR"/>
        </w:rPr>
      </w:pPr>
      <w:r w:rsidRPr="00E91B1C">
        <w:rPr>
          <w:b/>
          <w:bCs/>
          <w:lang w:val="fr-FR"/>
        </w:rPr>
        <w:lastRenderedPageBreak/>
        <w:t>Le Comité recommande à l</w:t>
      </w:r>
      <w:r w:rsidR="00740140">
        <w:rPr>
          <w:b/>
          <w:bCs/>
          <w:lang w:val="fr-FR"/>
        </w:rPr>
        <w:t>’</w:t>
      </w:r>
      <w:r w:rsidRPr="00E91B1C">
        <w:rPr>
          <w:b/>
          <w:bCs/>
          <w:lang w:val="fr-FR"/>
        </w:rPr>
        <w:t>État partie</w:t>
      </w:r>
      <w:r w:rsidR="00740140">
        <w:rPr>
          <w:b/>
          <w:bCs/>
          <w:lang w:val="fr-FR"/>
        </w:rPr>
        <w:t> :</w:t>
      </w:r>
    </w:p>
    <w:p w14:paraId="77100DFC" w14:textId="7E7F049F" w:rsidR="00AF6339" w:rsidRPr="00AF6339" w:rsidRDefault="00AF6339" w:rsidP="00AF6339">
      <w:pPr>
        <w:pStyle w:val="SingleTxt"/>
        <w:rPr>
          <w:lang w:val="fr-FR"/>
        </w:rPr>
      </w:pPr>
      <w:r w:rsidRPr="00AF6339">
        <w:rPr>
          <w:lang w:val="fr-FR"/>
        </w:rPr>
        <w:tab/>
        <w:t>a)</w:t>
      </w:r>
      <w:r w:rsidRPr="00AF6339">
        <w:rPr>
          <w:lang w:val="fr-FR"/>
        </w:rPr>
        <w:tab/>
      </w:r>
      <w:r w:rsidRPr="00AF6339">
        <w:rPr>
          <w:b/>
          <w:bCs/>
          <w:lang w:val="fr-FR"/>
        </w:rPr>
        <w:t>de veiller à l</w:t>
      </w:r>
      <w:r w:rsidR="00740140">
        <w:rPr>
          <w:b/>
          <w:bCs/>
          <w:lang w:val="fr-FR"/>
        </w:rPr>
        <w:t>’</w:t>
      </w:r>
      <w:r w:rsidRPr="00AF6339">
        <w:rPr>
          <w:b/>
          <w:bCs/>
          <w:lang w:val="fr-FR"/>
        </w:rPr>
        <w:t>égalité des droits entre les femmes et les hommes en matière de divorce, notamment au partage égal des biens du ménage, conformément à la recommandation générale n</w:t>
      </w:r>
      <w:r w:rsidRPr="00AF6339">
        <w:rPr>
          <w:b/>
          <w:bCs/>
          <w:vertAlign w:val="superscript"/>
          <w:lang w:val="fr-FR"/>
        </w:rPr>
        <w:t>o</w:t>
      </w:r>
      <w:r w:rsidRPr="00AF6339">
        <w:rPr>
          <w:b/>
          <w:bCs/>
          <w:lang w:val="fr-FR"/>
        </w:rPr>
        <w:t> 29 (2013) du Comité sur les conséquences économiques du mariage, des liens familiaux et de leur dissolution</w:t>
      </w:r>
      <w:r w:rsidR="00740140">
        <w:rPr>
          <w:b/>
          <w:bCs/>
          <w:lang w:val="fr-FR"/>
        </w:rPr>
        <w:t> ;</w:t>
      </w:r>
    </w:p>
    <w:p w14:paraId="3DF5770F" w14:textId="0E607502" w:rsidR="00AF6339" w:rsidRDefault="00AF6339" w:rsidP="00AF6339">
      <w:pPr>
        <w:pStyle w:val="SingleTxt"/>
        <w:rPr>
          <w:b/>
          <w:bCs/>
          <w:lang w:val="fr-FR"/>
        </w:rPr>
      </w:pPr>
      <w:r w:rsidRPr="00AF6339">
        <w:rPr>
          <w:lang w:val="fr-FR"/>
        </w:rPr>
        <w:tab/>
        <w:t>b)</w:t>
      </w:r>
      <w:r w:rsidRPr="00AF6339">
        <w:rPr>
          <w:lang w:val="fr-FR"/>
        </w:rPr>
        <w:tab/>
      </w:r>
      <w:r w:rsidRPr="00AF6339">
        <w:rPr>
          <w:b/>
          <w:bCs/>
          <w:lang w:val="fr-FR"/>
        </w:rPr>
        <w:t>de collecter des informations sur la législation et sur la jurisprudence en matière de partage des biens du ménage et des entreprises familiales entre les époux en cas de divorce, ainsi que sur le respect du paiement des diverses pensions alimentaires.</w:t>
      </w:r>
    </w:p>
    <w:p w14:paraId="25759835" w14:textId="2B5CF1DC" w:rsidR="00E91B1C" w:rsidRPr="00E91B1C" w:rsidRDefault="00E91B1C" w:rsidP="00E91B1C">
      <w:pPr>
        <w:pStyle w:val="SingleTxt"/>
        <w:spacing w:after="0" w:line="120" w:lineRule="exact"/>
        <w:rPr>
          <w:b/>
          <w:bCs/>
          <w:sz w:val="10"/>
          <w:lang w:val="fr-FR"/>
        </w:rPr>
      </w:pPr>
    </w:p>
    <w:p w14:paraId="0CE54442" w14:textId="40C98FDE" w:rsidR="00AF6339" w:rsidRDefault="00AF6339" w:rsidP="00E91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Collecte des données</w:t>
      </w:r>
    </w:p>
    <w:p w14:paraId="0FA0FC70" w14:textId="24107273" w:rsidR="00E91B1C" w:rsidRPr="00E91B1C" w:rsidRDefault="00E91B1C" w:rsidP="00E91B1C">
      <w:pPr>
        <w:pStyle w:val="SingleTxt"/>
        <w:spacing w:after="0" w:line="120" w:lineRule="exact"/>
        <w:rPr>
          <w:sz w:val="10"/>
          <w:lang w:val="fr-FR"/>
        </w:rPr>
      </w:pPr>
    </w:p>
    <w:p w14:paraId="5278483B" w14:textId="4E94F586" w:rsidR="00AF6339" w:rsidRPr="00AF6339" w:rsidRDefault="00AF6339" w:rsidP="00E91B1C">
      <w:pPr>
        <w:pStyle w:val="SingleTxt"/>
        <w:numPr>
          <w:ilvl w:val="0"/>
          <w:numId w:val="36"/>
        </w:numPr>
        <w:spacing w:line="240" w:lineRule="exact"/>
        <w:rPr>
          <w:lang w:val="fr-FR"/>
        </w:rPr>
      </w:pPr>
      <w:r w:rsidRPr="00AF6339">
        <w:rPr>
          <w:lang w:val="fr-FR"/>
        </w:rPr>
        <w:t>Le Comité constate avec préoccupation le manque général de statistiques mises à jour, ventilées par sexe, âge, appartenance ethnique, handicap, situation géographique et socioéconomique, qui sont nécessaires pour évaluer précisément la condition des femmes, déterminer si elles sont victimes de discrimination, adopter des mesures éclairées et ciblées, et systématiser le suivi et l</w:t>
      </w:r>
      <w:r w:rsidR="00740140">
        <w:rPr>
          <w:lang w:val="fr-FR"/>
        </w:rPr>
        <w:t>’</w:t>
      </w:r>
      <w:r w:rsidRPr="00AF6339">
        <w:rPr>
          <w:lang w:val="fr-FR"/>
        </w:rPr>
        <w:t>évaluation des progrès accomplis dans la réalisation de l</w:t>
      </w:r>
      <w:r w:rsidR="00740140">
        <w:rPr>
          <w:lang w:val="fr-FR"/>
        </w:rPr>
        <w:t>’</w:t>
      </w:r>
      <w:r w:rsidRPr="00AF6339">
        <w:rPr>
          <w:lang w:val="fr-FR"/>
        </w:rPr>
        <w:t>égalité entre les femmes et les hommes dans tous les domaines visés par la Convention.</w:t>
      </w:r>
    </w:p>
    <w:p w14:paraId="6B77D85F" w14:textId="509B85EA" w:rsidR="00AF6339" w:rsidRDefault="00AF6339" w:rsidP="00E91B1C">
      <w:pPr>
        <w:pStyle w:val="SingleTxt"/>
        <w:numPr>
          <w:ilvl w:val="0"/>
          <w:numId w:val="36"/>
        </w:numPr>
        <w:spacing w:line="240" w:lineRule="exact"/>
        <w:rPr>
          <w:b/>
          <w:bCs/>
          <w:lang w:val="fr-FR"/>
        </w:rPr>
      </w:pPr>
      <w:r w:rsidRPr="00E91B1C">
        <w:rPr>
          <w:b/>
          <w:bCs/>
          <w:lang w:val="fr-FR"/>
        </w:rPr>
        <w:t>Le Comité invite l</w:t>
      </w:r>
      <w:r w:rsidR="00740140">
        <w:rPr>
          <w:b/>
          <w:bCs/>
          <w:lang w:val="fr-FR"/>
        </w:rPr>
        <w:t>’</w:t>
      </w:r>
      <w:r w:rsidRPr="00E91B1C">
        <w:rPr>
          <w:b/>
          <w:bCs/>
          <w:lang w:val="fr-FR"/>
        </w:rPr>
        <w:t>État partie à concevoir un système d</w:t>
      </w:r>
      <w:r w:rsidR="00740140">
        <w:rPr>
          <w:b/>
          <w:bCs/>
          <w:lang w:val="fr-FR"/>
        </w:rPr>
        <w:t>’</w:t>
      </w:r>
      <w:r w:rsidRPr="00E91B1C">
        <w:rPr>
          <w:b/>
          <w:bCs/>
          <w:lang w:val="fr-FR"/>
        </w:rPr>
        <w:t>indicateurs relatifs au genre, permettant d</w:t>
      </w:r>
      <w:r w:rsidR="00740140">
        <w:rPr>
          <w:b/>
          <w:bCs/>
          <w:lang w:val="fr-FR"/>
        </w:rPr>
        <w:t>’</w:t>
      </w:r>
      <w:r w:rsidRPr="00E91B1C">
        <w:rPr>
          <w:b/>
          <w:bCs/>
          <w:lang w:val="fr-FR"/>
        </w:rPr>
        <w:t>améliorer la collecte de données ventilées selon divers facteurs pertinents comme le sexe, afin d</w:t>
      </w:r>
      <w:r w:rsidR="00740140">
        <w:rPr>
          <w:b/>
          <w:bCs/>
          <w:lang w:val="fr-FR"/>
        </w:rPr>
        <w:t>’</w:t>
      </w:r>
      <w:r w:rsidRPr="00E91B1C">
        <w:rPr>
          <w:b/>
          <w:bCs/>
          <w:lang w:val="fr-FR"/>
        </w:rPr>
        <w:t>être en mesure d</w:t>
      </w:r>
      <w:r w:rsidR="00740140">
        <w:rPr>
          <w:b/>
          <w:bCs/>
          <w:lang w:val="fr-FR"/>
        </w:rPr>
        <w:t>’</w:t>
      </w:r>
      <w:r w:rsidRPr="00E91B1C">
        <w:rPr>
          <w:b/>
          <w:bCs/>
          <w:lang w:val="fr-FR"/>
        </w:rPr>
        <w:t>évaluer les conséquences et l</w:t>
      </w:r>
      <w:r w:rsidR="00740140">
        <w:rPr>
          <w:b/>
          <w:bCs/>
          <w:lang w:val="fr-FR"/>
        </w:rPr>
        <w:t>’</w:t>
      </w:r>
      <w:r w:rsidRPr="00E91B1C">
        <w:rPr>
          <w:b/>
          <w:bCs/>
          <w:lang w:val="fr-FR"/>
        </w:rPr>
        <w:t>efficacité des politiques et des programmes de diffusion de l</w:t>
      </w:r>
      <w:r w:rsidR="00740140">
        <w:rPr>
          <w:b/>
          <w:bCs/>
          <w:lang w:val="fr-FR"/>
        </w:rPr>
        <w:t>’</w:t>
      </w:r>
      <w:r w:rsidRPr="00E91B1C">
        <w:rPr>
          <w:b/>
          <w:bCs/>
          <w:lang w:val="fr-FR"/>
        </w:rPr>
        <w:t>égalité entre les genres et de renforcement de l</w:t>
      </w:r>
      <w:r w:rsidR="00740140">
        <w:rPr>
          <w:b/>
          <w:bCs/>
          <w:lang w:val="fr-FR"/>
        </w:rPr>
        <w:t>’</w:t>
      </w:r>
      <w:r w:rsidRPr="00E91B1C">
        <w:rPr>
          <w:b/>
          <w:bCs/>
          <w:lang w:val="fr-FR"/>
        </w:rPr>
        <w:t>exercice par les femmes de leurs droits humains. À cet égard, le Comité attire l</w:t>
      </w:r>
      <w:r w:rsidR="00740140">
        <w:rPr>
          <w:b/>
          <w:bCs/>
          <w:lang w:val="fr-FR"/>
        </w:rPr>
        <w:t>’</w:t>
      </w:r>
      <w:r w:rsidRPr="00E91B1C">
        <w:rPr>
          <w:b/>
          <w:bCs/>
          <w:lang w:val="fr-FR"/>
        </w:rPr>
        <w:t>attention de l</w:t>
      </w:r>
      <w:r w:rsidR="00740140">
        <w:rPr>
          <w:b/>
          <w:bCs/>
          <w:lang w:val="fr-FR"/>
        </w:rPr>
        <w:t>’</w:t>
      </w:r>
      <w:r w:rsidRPr="00E91B1C">
        <w:rPr>
          <w:b/>
          <w:bCs/>
          <w:lang w:val="fr-FR"/>
        </w:rPr>
        <w:t>État partie sur sa recommandation générale n</w:t>
      </w:r>
      <w:r w:rsidRPr="00E91B1C">
        <w:rPr>
          <w:b/>
          <w:bCs/>
          <w:vertAlign w:val="superscript"/>
          <w:lang w:val="fr-FR"/>
        </w:rPr>
        <w:t>o </w:t>
      </w:r>
      <w:r w:rsidRPr="00E91B1C">
        <w:rPr>
          <w:b/>
          <w:bCs/>
          <w:lang w:val="fr-FR"/>
        </w:rPr>
        <w:t>9 (1989)</w:t>
      </w:r>
      <w:r w:rsidRPr="00E91B1C">
        <w:rPr>
          <w:b/>
          <w:bCs/>
          <w:lang w:val="fr-FR"/>
        </w:rPr>
        <w:t xml:space="preserve"> relative aux données statistiques concernant la situation des femmes et l</w:t>
      </w:r>
      <w:r w:rsidR="00740140">
        <w:rPr>
          <w:b/>
          <w:bCs/>
          <w:lang w:val="fr-FR"/>
        </w:rPr>
        <w:t>’</w:t>
      </w:r>
      <w:r w:rsidRPr="00E91B1C">
        <w:rPr>
          <w:b/>
          <w:bCs/>
          <w:lang w:val="fr-FR"/>
        </w:rPr>
        <w:t>encourage à solliciter l</w:t>
      </w:r>
      <w:r w:rsidR="00740140">
        <w:rPr>
          <w:b/>
          <w:bCs/>
          <w:lang w:val="fr-FR"/>
        </w:rPr>
        <w:t>’</w:t>
      </w:r>
      <w:r w:rsidRPr="00E91B1C">
        <w:rPr>
          <w:b/>
          <w:bCs/>
          <w:lang w:val="fr-FR"/>
        </w:rPr>
        <w:t>assistance technique des organismes compétents des Nations Unies et d</w:t>
      </w:r>
      <w:r w:rsidR="00740140">
        <w:rPr>
          <w:b/>
          <w:bCs/>
          <w:lang w:val="fr-FR"/>
        </w:rPr>
        <w:t>’</w:t>
      </w:r>
      <w:r w:rsidRPr="00E91B1C">
        <w:rPr>
          <w:b/>
          <w:bCs/>
          <w:lang w:val="fr-FR"/>
        </w:rPr>
        <w:t>améliorer sa collaboration avec les associations de femmes susceptibles de l</w:t>
      </w:r>
      <w:r w:rsidR="00740140">
        <w:rPr>
          <w:b/>
          <w:bCs/>
          <w:lang w:val="fr-FR"/>
        </w:rPr>
        <w:t>’</w:t>
      </w:r>
      <w:r w:rsidRPr="00E91B1C">
        <w:rPr>
          <w:b/>
          <w:bCs/>
          <w:lang w:val="fr-FR"/>
        </w:rPr>
        <w:t>aider à collecter des données précises.</w:t>
      </w:r>
    </w:p>
    <w:p w14:paraId="30A3B3A1" w14:textId="132EF2CB" w:rsidR="00E91B1C" w:rsidRPr="00E91B1C" w:rsidRDefault="00E91B1C" w:rsidP="00E91B1C">
      <w:pPr>
        <w:pStyle w:val="SingleTxt"/>
        <w:spacing w:after="0" w:line="120" w:lineRule="exact"/>
        <w:rPr>
          <w:b/>
          <w:bCs/>
          <w:sz w:val="10"/>
          <w:lang w:val="fr-FR"/>
        </w:rPr>
      </w:pPr>
    </w:p>
    <w:p w14:paraId="6FB4A5A7" w14:textId="704FD1F9" w:rsidR="00AF6339" w:rsidRDefault="00AF6339" w:rsidP="00E91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Déclaration et Programme d</w:t>
      </w:r>
      <w:r w:rsidR="00740140">
        <w:rPr>
          <w:lang w:val="fr-FR"/>
        </w:rPr>
        <w:t>’</w:t>
      </w:r>
      <w:r w:rsidRPr="00AF6339">
        <w:rPr>
          <w:lang w:val="fr-FR"/>
        </w:rPr>
        <w:t>action de Beijing</w:t>
      </w:r>
    </w:p>
    <w:p w14:paraId="77891AE7" w14:textId="61D9FAB0" w:rsidR="00E91B1C" w:rsidRPr="00E91B1C" w:rsidRDefault="00E91B1C" w:rsidP="00E91B1C">
      <w:pPr>
        <w:pStyle w:val="SingleTxt"/>
        <w:spacing w:after="0" w:line="120" w:lineRule="exact"/>
        <w:rPr>
          <w:sz w:val="10"/>
          <w:lang w:val="fr-FR"/>
        </w:rPr>
      </w:pPr>
    </w:p>
    <w:p w14:paraId="0043DC4D" w14:textId="7A516CD5" w:rsidR="00AF6339" w:rsidRDefault="00AF6339" w:rsidP="00E91B1C">
      <w:pPr>
        <w:pStyle w:val="SingleTxt"/>
        <w:numPr>
          <w:ilvl w:val="0"/>
          <w:numId w:val="38"/>
        </w:numPr>
        <w:spacing w:line="240" w:lineRule="exact"/>
        <w:rPr>
          <w:b/>
          <w:bCs/>
          <w:lang w:val="fr-FR"/>
        </w:rPr>
      </w:pPr>
      <w:r w:rsidRPr="00E91B1C">
        <w:rPr>
          <w:b/>
          <w:bCs/>
          <w:lang w:val="fr-FR"/>
        </w:rPr>
        <w:t>Le Comité invite l</w:t>
      </w:r>
      <w:r w:rsidR="00740140">
        <w:rPr>
          <w:b/>
          <w:bCs/>
          <w:lang w:val="fr-FR"/>
        </w:rPr>
        <w:t>’</w:t>
      </w:r>
      <w:r w:rsidRPr="00E91B1C">
        <w:rPr>
          <w:b/>
          <w:bCs/>
          <w:lang w:val="fr-FR"/>
        </w:rPr>
        <w:t>État partie à s</w:t>
      </w:r>
      <w:r w:rsidR="00740140">
        <w:rPr>
          <w:b/>
          <w:bCs/>
          <w:lang w:val="fr-FR"/>
        </w:rPr>
        <w:t>’</w:t>
      </w:r>
      <w:r w:rsidRPr="00E91B1C">
        <w:rPr>
          <w:b/>
          <w:bCs/>
          <w:lang w:val="fr-FR"/>
        </w:rPr>
        <w:t>appuyer sur la Déclaration et le Programme d</w:t>
      </w:r>
      <w:r w:rsidR="00740140">
        <w:rPr>
          <w:b/>
          <w:bCs/>
          <w:lang w:val="fr-FR"/>
        </w:rPr>
        <w:t>’</w:t>
      </w:r>
      <w:r w:rsidRPr="00E91B1C">
        <w:rPr>
          <w:b/>
          <w:bCs/>
          <w:lang w:val="fr-FR"/>
        </w:rPr>
        <w:t>action de Beijing et, dans le contexte de l</w:t>
      </w:r>
      <w:r w:rsidR="00740140">
        <w:rPr>
          <w:b/>
          <w:bCs/>
          <w:lang w:val="fr-FR"/>
        </w:rPr>
        <w:t>’</w:t>
      </w:r>
      <w:r w:rsidRPr="00E91B1C">
        <w:rPr>
          <w:b/>
          <w:bCs/>
          <w:lang w:val="fr-FR"/>
        </w:rPr>
        <w:t>examen de la mise en œuvre de ces instruments mené 25 ans après leur adoption, à continuer d</w:t>
      </w:r>
      <w:r w:rsidR="00740140">
        <w:rPr>
          <w:b/>
          <w:bCs/>
          <w:lang w:val="fr-FR"/>
        </w:rPr>
        <w:t>’</w:t>
      </w:r>
      <w:r w:rsidRPr="00E91B1C">
        <w:rPr>
          <w:b/>
          <w:bCs/>
          <w:lang w:val="fr-FR"/>
        </w:rPr>
        <w:t>évaluer la réalisation des droits consacrés par la Convention, afin de parvenir à une égalité réelle entre les femmes et les hommes.</w:t>
      </w:r>
    </w:p>
    <w:p w14:paraId="30DBBBBD" w14:textId="27D47334" w:rsidR="00E91B1C" w:rsidRPr="00E91B1C" w:rsidRDefault="00E91B1C" w:rsidP="00E91B1C">
      <w:pPr>
        <w:pStyle w:val="SingleTxt"/>
        <w:spacing w:after="0" w:line="120" w:lineRule="exact"/>
        <w:rPr>
          <w:b/>
          <w:bCs/>
          <w:sz w:val="10"/>
          <w:lang w:val="fr-FR"/>
        </w:rPr>
      </w:pPr>
    </w:p>
    <w:p w14:paraId="4667275A" w14:textId="6B5CF1A2" w:rsidR="00AF6339" w:rsidRDefault="00AF6339" w:rsidP="00E91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Diffusion</w:t>
      </w:r>
    </w:p>
    <w:p w14:paraId="67AEBE8C" w14:textId="35D0F3E0" w:rsidR="00E91B1C" w:rsidRPr="00E91B1C" w:rsidRDefault="00E91B1C" w:rsidP="00E91B1C">
      <w:pPr>
        <w:pStyle w:val="SingleTxt"/>
        <w:spacing w:after="0" w:line="120" w:lineRule="exact"/>
        <w:rPr>
          <w:sz w:val="10"/>
          <w:lang w:val="fr-FR"/>
        </w:rPr>
      </w:pPr>
    </w:p>
    <w:p w14:paraId="7E5D7611" w14:textId="653A073C" w:rsidR="00AF6339" w:rsidRDefault="00AF6339" w:rsidP="00E91B1C">
      <w:pPr>
        <w:pStyle w:val="SingleTxt"/>
        <w:numPr>
          <w:ilvl w:val="0"/>
          <w:numId w:val="40"/>
        </w:numPr>
        <w:spacing w:line="240" w:lineRule="exact"/>
        <w:rPr>
          <w:b/>
          <w:bCs/>
          <w:lang w:val="fr-FR"/>
        </w:rPr>
      </w:pPr>
      <w:r w:rsidRPr="00E91B1C">
        <w:rPr>
          <w:b/>
          <w:bCs/>
          <w:lang w:val="fr-FR"/>
        </w:rPr>
        <w:t>Le Comité prie l</w:t>
      </w:r>
      <w:r w:rsidR="00740140">
        <w:rPr>
          <w:b/>
          <w:bCs/>
          <w:lang w:val="fr-FR"/>
        </w:rPr>
        <w:t>’</w:t>
      </w:r>
      <w:r w:rsidRPr="00E91B1C">
        <w:rPr>
          <w:b/>
          <w:bCs/>
          <w:lang w:val="fr-FR"/>
        </w:rPr>
        <w:t>État partie de veiller à la diffusion rapide des présentes observations finales, dans les langues officielles de fait de l</w:t>
      </w:r>
      <w:r w:rsidR="00740140">
        <w:rPr>
          <w:b/>
          <w:bCs/>
          <w:lang w:val="fr-FR"/>
        </w:rPr>
        <w:t>’</w:t>
      </w:r>
      <w:r w:rsidRPr="00E91B1C">
        <w:rPr>
          <w:b/>
          <w:bCs/>
          <w:lang w:val="fr-FR"/>
        </w:rPr>
        <w:t>État partie, à tous les niveaux des institutions étatiques concernées (national, régional et local), en particulier auprès du Gouvernement, des ministères, du Parlement et du système judiciaire, afin de permettre leur pleine mise en œuvre.</w:t>
      </w:r>
    </w:p>
    <w:p w14:paraId="73336FCB" w14:textId="1754A22E" w:rsidR="00E91B1C" w:rsidRPr="00E91B1C" w:rsidRDefault="00E91B1C" w:rsidP="00E91B1C">
      <w:pPr>
        <w:pStyle w:val="SingleTxt"/>
        <w:spacing w:after="0" w:line="120" w:lineRule="exact"/>
        <w:rPr>
          <w:b/>
          <w:bCs/>
          <w:sz w:val="10"/>
          <w:lang w:val="fr-FR"/>
        </w:rPr>
      </w:pPr>
    </w:p>
    <w:p w14:paraId="6287789D" w14:textId="0508EA87" w:rsidR="00AF6339" w:rsidRDefault="00AF6339" w:rsidP="00E91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Assistance technique</w:t>
      </w:r>
    </w:p>
    <w:p w14:paraId="4219EA60" w14:textId="77413A97" w:rsidR="00E91B1C" w:rsidRPr="00E91B1C" w:rsidRDefault="00E91B1C" w:rsidP="00E91B1C">
      <w:pPr>
        <w:pStyle w:val="SingleTxt"/>
        <w:spacing w:after="0" w:line="120" w:lineRule="exact"/>
        <w:rPr>
          <w:sz w:val="10"/>
          <w:lang w:val="fr-FR"/>
        </w:rPr>
      </w:pPr>
    </w:p>
    <w:p w14:paraId="022B046B" w14:textId="7EB073CB" w:rsidR="00AF6339" w:rsidRDefault="00AF6339" w:rsidP="00E91B1C">
      <w:pPr>
        <w:pStyle w:val="SingleTxt"/>
        <w:numPr>
          <w:ilvl w:val="0"/>
          <w:numId w:val="40"/>
        </w:numPr>
        <w:spacing w:line="240" w:lineRule="exact"/>
        <w:rPr>
          <w:b/>
          <w:bCs/>
          <w:lang w:val="fr-FR"/>
        </w:rPr>
      </w:pPr>
      <w:r w:rsidRPr="00E91B1C">
        <w:rPr>
          <w:b/>
          <w:bCs/>
          <w:lang w:val="fr-FR"/>
        </w:rPr>
        <w:t>Le Comité recommande à l</w:t>
      </w:r>
      <w:r w:rsidR="00740140">
        <w:rPr>
          <w:b/>
          <w:bCs/>
          <w:lang w:val="fr-FR"/>
        </w:rPr>
        <w:t>’</w:t>
      </w:r>
      <w:r w:rsidRPr="00E91B1C">
        <w:rPr>
          <w:b/>
          <w:bCs/>
          <w:lang w:val="fr-FR"/>
        </w:rPr>
        <w:t>État partie de lier l</w:t>
      </w:r>
      <w:r w:rsidR="00740140">
        <w:rPr>
          <w:b/>
          <w:bCs/>
          <w:lang w:val="fr-FR"/>
        </w:rPr>
        <w:t>’</w:t>
      </w:r>
      <w:r w:rsidRPr="00E91B1C">
        <w:rPr>
          <w:b/>
          <w:bCs/>
          <w:lang w:val="fr-FR"/>
        </w:rPr>
        <w:t>application de la Convention à l</w:t>
      </w:r>
      <w:r w:rsidR="00740140">
        <w:rPr>
          <w:b/>
          <w:bCs/>
          <w:lang w:val="fr-FR"/>
        </w:rPr>
        <w:t>’</w:t>
      </w:r>
      <w:r w:rsidRPr="00E91B1C">
        <w:rPr>
          <w:b/>
          <w:bCs/>
          <w:lang w:val="fr-FR"/>
        </w:rPr>
        <w:t>action qu</w:t>
      </w:r>
      <w:r w:rsidR="00740140">
        <w:rPr>
          <w:b/>
          <w:bCs/>
          <w:lang w:val="fr-FR"/>
        </w:rPr>
        <w:t>’</w:t>
      </w:r>
      <w:r w:rsidRPr="00E91B1C">
        <w:rPr>
          <w:b/>
          <w:bCs/>
          <w:lang w:val="fr-FR"/>
        </w:rPr>
        <w:t>il mène en faveur du développement, et, dans ce but, de faire appel à l</w:t>
      </w:r>
      <w:r w:rsidR="00740140">
        <w:rPr>
          <w:b/>
          <w:bCs/>
          <w:lang w:val="fr-FR"/>
        </w:rPr>
        <w:t>’</w:t>
      </w:r>
      <w:r w:rsidRPr="00E91B1C">
        <w:rPr>
          <w:b/>
          <w:bCs/>
          <w:lang w:val="fr-FR"/>
        </w:rPr>
        <w:t>assistance technique régionale ou internationale.</w:t>
      </w:r>
    </w:p>
    <w:p w14:paraId="30BBFECA" w14:textId="372A5ACF" w:rsidR="00E91B1C" w:rsidRPr="00E91B1C" w:rsidRDefault="00E91B1C" w:rsidP="00E91B1C">
      <w:pPr>
        <w:pStyle w:val="SingleTxt"/>
        <w:spacing w:after="0" w:line="120" w:lineRule="exact"/>
        <w:rPr>
          <w:b/>
          <w:bCs/>
          <w:sz w:val="10"/>
          <w:lang w:val="fr-FR"/>
        </w:rPr>
      </w:pPr>
    </w:p>
    <w:p w14:paraId="47552721" w14:textId="740B7FE3" w:rsidR="00AF6339" w:rsidRDefault="00AF6339" w:rsidP="00E91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lastRenderedPageBreak/>
        <w:tab/>
      </w:r>
      <w:r w:rsidRPr="00AF6339">
        <w:rPr>
          <w:lang w:val="fr-FR"/>
        </w:rPr>
        <w:tab/>
        <w:t>Ratification d</w:t>
      </w:r>
      <w:r w:rsidR="00740140">
        <w:rPr>
          <w:lang w:val="fr-FR"/>
        </w:rPr>
        <w:t>’</w:t>
      </w:r>
      <w:r w:rsidRPr="00AF6339">
        <w:rPr>
          <w:lang w:val="fr-FR"/>
        </w:rPr>
        <w:t xml:space="preserve">autres traités </w:t>
      </w:r>
    </w:p>
    <w:p w14:paraId="58A131AD" w14:textId="3AFBB0AF" w:rsidR="00E91B1C" w:rsidRPr="00E91B1C" w:rsidRDefault="00E91B1C" w:rsidP="00E91B1C">
      <w:pPr>
        <w:pStyle w:val="SingleTxt"/>
        <w:spacing w:after="0" w:line="120" w:lineRule="exact"/>
        <w:rPr>
          <w:sz w:val="10"/>
          <w:lang w:val="fr-FR"/>
        </w:rPr>
      </w:pPr>
    </w:p>
    <w:p w14:paraId="28CB07EA" w14:textId="4087539E" w:rsidR="00AF6339" w:rsidRDefault="00AF6339" w:rsidP="00E91B1C">
      <w:pPr>
        <w:pStyle w:val="SingleTxt"/>
        <w:numPr>
          <w:ilvl w:val="0"/>
          <w:numId w:val="42"/>
        </w:numPr>
        <w:spacing w:line="240" w:lineRule="exact"/>
        <w:rPr>
          <w:b/>
          <w:bCs/>
          <w:lang w:val="fr-FR"/>
        </w:rPr>
      </w:pPr>
      <w:r w:rsidRPr="00E91B1C">
        <w:rPr>
          <w:b/>
          <w:bCs/>
          <w:lang w:val="fr-FR"/>
        </w:rPr>
        <w:t>Le Comité souligne que l</w:t>
      </w:r>
      <w:r w:rsidR="00740140">
        <w:rPr>
          <w:b/>
          <w:bCs/>
          <w:lang w:val="fr-FR"/>
        </w:rPr>
        <w:t>’</w:t>
      </w:r>
      <w:r w:rsidRPr="00E91B1C">
        <w:rPr>
          <w:b/>
          <w:bCs/>
          <w:lang w:val="fr-FR"/>
        </w:rPr>
        <w:t>adhésion de l</w:t>
      </w:r>
      <w:r w:rsidR="00740140">
        <w:rPr>
          <w:b/>
          <w:bCs/>
          <w:lang w:val="fr-FR"/>
        </w:rPr>
        <w:t>’</w:t>
      </w:r>
      <w:r w:rsidRPr="00E91B1C">
        <w:rPr>
          <w:b/>
          <w:bCs/>
          <w:lang w:val="fr-FR"/>
        </w:rPr>
        <w:t>État partie aux neuf principaux instruments internationaux relatifs aux droits humains</w:t>
      </w:r>
      <w:r w:rsidRPr="00E91B1C">
        <w:rPr>
          <w:b/>
          <w:bCs/>
          <w:vertAlign w:val="superscript"/>
          <w:lang w:val="en-GB"/>
        </w:rPr>
        <w:footnoteReference w:id="1"/>
      </w:r>
      <w:r w:rsidRPr="00E91B1C">
        <w:rPr>
          <w:b/>
          <w:bCs/>
          <w:lang w:val="fr-FR"/>
        </w:rPr>
        <w:t xml:space="preserve"> contribuerait à favoriser l</w:t>
      </w:r>
      <w:r w:rsidR="00740140">
        <w:rPr>
          <w:b/>
          <w:bCs/>
          <w:lang w:val="fr-FR"/>
        </w:rPr>
        <w:t>’</w:t>
      </w:r>
      <w:r w:rsidRPr="00E91B1C">
        <w:rPr>
          <w:b/>
          <w:bCs/>
          <w:lang w:val="fr-FR"/>
        </w:rPr>
        <w:t>exercice effectif par les femmes de leurs droits individuels et de leurs libertés fondamentales dans tous les aspects de la vie. Par conséquent, le Comité engage l</w:t>
      </w:r>
      <w:r w:rsidR="00740140">
        <w:rPr>
          <w:b/>
          <w:bCs/>
          <w:lang w:val="fr-FR"/>
        </w:rPr>
        <w:t>’</w:t>
      </w:r>
      <w:r w:rsidRPr="00E91B1C">
        <w:rPr>
          <w:b/>
          <w:bCs/>
          <w:lang w:val="fr-FR"/>
        </w:rPr>
        <w:t>État partie à ratifier la Convention internationale sur la protection des droits de tous les travailleurs migrants et des membres de leur famille, à laquelle il n</w:t>
      </w:r>
      <w:r w:rsidR="00740140">
        <w:rPr>
          <w:b/>
          <w:bCs/>
          <w:lang w:val="fr-FR"/>
        </w:rPr>
        <w:t>’</w:t>
      </w:r>
      <w:r w:rsidRPr="00E91B1C">
        <w:rPr>
          <w:b/>
          <w:bCs/>
          <w:lang w:val="fr-FR"/>
        </w:rPr>
        <w:t xml:space="preserve">est pas encore partie. </w:t>
      </w:r>
    </w:p>
    <w:p w14:paraId="70F22B13" w14:textId="4F816CF9" w:rsidR="00E91B1C" w:rsidRPr="00E91B1C" w:rsidRDefault="00E91B1C" w:rsidP="00E91B1C">
      <w:pPr>
        <w:pStyle w:val="SingleTxt"/>
        <w:spacing w:after="0" w:line="120" w:lineRule="exact"/>
        <w:rPr>
          <w:b/>
          <w:bCs/>
          <w:sz w:val="10"/>
          <w:lang w:val="fr-FR"/>
        </w:rPr>
      </w:pPr>
    </w:p>
    <w:p w14:paraId="0FFB6E35" w14:textId="7DCA2D8D" w:rsidR="00AF6339" w:rsidRDefault="00AF6339" w:rsidP="00E91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 xml:space="preserve">Suite donnée aux observations finales </w:t>
      </w:r>
    </w:p>
    <w:p w14:paraId="5042782D" w14:textId="21093D3A" w:rsidR="00E91B1C" w:rsidRPr="00E91B1C" w:rsidRDefault="00E91B1C" w:rsidP="00E91B1C">
      <w:pPr>
        <w:pStyle w:val="SingleTxt"/>
        <w:spacing w:after="0" w:line="120" w:lineRule="exact"/>
        <w:rPr>
          <w:sz w:val="10"/>
          <w:lang w:val="fr-FR"/>
        </w:rPr>
      </w:pPr>
    </w:p>
    <w:p w14:paraId="3BBFA4B2" w14:textId="7EE8FEA9" w:rsidR="00AF6339" w:rsidRDefault="00AF6339" w:rsidP="00E91B1C">
      <w:pPr>
        <w:pStyle w:val="SingleTxt"/>
        <w:numPr>
          <w:ilvl w:val="0"/>
          <w:numId w:val="44"/>
        </w:numPr>
        <w:spacing w:line="240" w:lineRule="exact"/>
        <w:rPr>
          <w:b/>
          <w:bCs/>
          <w:lang w:val="fr-FR"/>
        </w:rPr>
      </w:pPr>
      <w:r w:rsidRPr="00E91B1C">
        <w:rPr>
          <w:b/>
          <w:bCs/>
          <w:lang w:val="fr-FR"/>
        </w:rPr>
        <w:t>Le Comité prie l</w:t>
      </w:r>
      <w:r w:rsidR="00740140">
        <w:rPr>
          <w:b/>
          <w:bCs/>
          <w:lang w:val="fr-FR"/>
        </w:rPr>
        <w:t>’</w:t>
      </w:r>
      <w:r w:rsidRPr="00E91B1C">
        <w:rPr>
          <w:b/>
          <w:bCs/>
          <w:lang w:val="fr-FR"/>
        </w:rPr>
        <w:t>État par</w:t>
      </w:r>
      <w:bookmarkStart w:id="2" w:name="TmpSave"/>
      <w:bookmarkEnd w:id="2"/>
      <w:r w:rsidRPr="00E91B1C">
        <w:rPr>
          <w:b/>
          <w:bCs/>
          <w:lang w:val="fr-FR"/>
        </w:rPr>
        <w:t>tie de lui communiquer par écrit, dans un délai de deux ans, des informations sur les mesures qu</w:t>
      </w:r>
      <w:r w:rsidR="00740140">
        <w:rPr>
          <w:b/>
          <w:bCs/>
          <w:lang w:val="fr-FR"/>
        </w:rPr>
        <w:t>’</w:t>
      </w:r>
      <w:r w:rsidRPr="00E91B1C">
        <w:rPr>
          <w:b/>
          <w:bCs/>
          <w:lang w:val="fr-FR"/>
        </w:rPr>
        <w:t>il aura prises pour appliquer les recommandations énoncées aux paragraphes 23 a) et d), 27 a) et 29 c).</w:t>
      </w:r>
    </w:p>
    <w:p w14:paraId="62DE7137" w14:textId="0AAA3D7A" w:rsidR="00E91B1C" w:rsidRPr="00E91B1C" w:rsidRDefault="00E91B1C" w:rsidP="00E91B1C">
      <w:pPr>
        <w:pStyle w:val="SingleTxt"/>
        <w:spacing w:after="0" w:line="120" w:lineRule="exact"/>
        <w:rPr>
          <w:b/>
          <w:bCs/>
          <w:sz w:val="10"/>
          <w:lang w:val="fr-FR"/>
        </w:rPr>
      </w:pPr>
    </w:p>
    <w:p w14:paraId="421E1868" w14:textId="1FEE7CF5" w:rsidR="00AF6339" w:rsidRDefault="00AF6339" w:rsidP="00E91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F6339">
        <w:rPr>
          <w:lang w:val="fr-FR"/>
        </w:rPr>
        <w:tab/>
      </w:r>
      <w:r w:rsidRPr="00AF6339">
        <w:rPr>
          <w:lang w:val="fr-FR"/>
        </w:rPr>
        <w:tab/>
        <w:t xml:space="preserve">Établissement du prochain rapport </w:t>
      </w:r>
    </w:p>
    <w:p w14:paraId="1B3C816C" w14:textId="7B3DCB78" w:rsidR="00E91B1C" w:rsidRPr="00E91B1C" w:rsidRDefault="00E91B1C" w:rsidP="00E91B1C">
      <w:pPr>
        <w:pStyle w:val="SingleTxt"/>
        <w:spacing w:after="0" w:line="120" w:lineRule="exact"/>
        <w:rPr>
          <w:sz w:val="10"/>
          <w:lang w:val="fr-FR"/>
        </w:rPr>
      </w:pPr>
    </w:p>
    <w:p w14:paraId="179B1C29" w14:textId="65AEBE6B" w:rsidR="00AF6339" w:rsidRPr="00E91B1C" w:rsidRDefault="00AF6339" w:rsidP="00E91B1C">
      <w:pPr>
        <w:pStyle w:val="SingleTxt"/>
        <w:numPr>
          <w:ilvl w:val="0"/>
          <w:numId w:val="46"/>
        </w:numPr>
        <w:spacing w:line="240" w:lineRule="exact"/>
        <w:rPr>
          <w:b/>
          <w:bCs/>
          <w:lang w:val="fr-FR"/>
        </w:rPr>
      </w:pPr>
      <w:r w:rsidRPr="00E91B1C">
        <w:rPr>
          <w:b/>
          <w:bCs/>
          <w:lang w:val="fr-FR"/>
        </w:rPr>
        <w:t>Le Comité invite l</w:t>
      </w:r>
      <w:r w:rsidR="00740140">
        <w:rPr>
          <w:b/>
          <w:bCs/>
          <w:lang w:val="fr-FR"/>
        </w:rPr>
        <w:t>’</w:t>
      </w:r>
      <w:r w:rsidRPr="00E91B1C">
        <w:rPr>
          <w:b/>
          <w:bCs/>
          <w:lang w:val="fr-FR"/>
        </w:rPr>
        <w:t>État partie à soumettre son onzième rapport périodique d</w:t>
      </w:r>
      <w:r w:rsidR="00740140">
        <w:rPr>
          <w:b/>
          <w:bCs/>
          <w:lang w:val="fr-FR"/>
        </w:rPr>
        <w:t>’</w:t>
      </w:r>
      <w:r w:rsidRPr="00E91B1C">
        <w:rPr>
          <w:b/>
          <w:bCs/>
          <w:lang w:val="fr-FR"/>
        </w:rPr>
        <w:t>ici à juillet 2026. Le rapport devra être présenté dans les délais et couvrir toute la période écoulée, jusqu</w:t>
      </w:r>
      <w:r w:rsidR="00740140">
        <w:rPr>
          <w:b/>
          <w:bCs/>
          <w:lang w:val="fr-FR"/>
        </w:rPr>
        <w:t>’</w:t>
      </w:r>
      <w:r w:rsidRPr="00E91B1C">
        <w:rPr>
          <w:b/>
          <w:bCs/>
          <w:lang w:val="fr-FR"/>
        </w:rPr>
        <w:t>à la date à laquelle il sera soumis.</w:t>
      </w:r>
    </w:p>
    <w:p w14:paraId="1A786838" w14:textId="1E2261A1" w:rsidR="00AF6339" w:rsidRDefault="00AF6339" w:rsidP="00E91B1C">
      <w:pPr>
        <w:pStyle w:val="SingleTxt"/>
        <w:numPr>
          <w:ilvl w:val="0"/>
          <w:numId w:val="46"/>
        </w:numPr>
        <w:spacing w:line="240" w:lineRule="exact"/>
        <w:rPr>
          <w:b/>
          <w:bCs/>
          <w:lang w:val="fr-FR"/>
        </w:rPr>
      </w:pPr>
      <w:r w:rsidRPr="00E91B1C">
        <w:rPr>
          <w:b/>
          <w:bCs/>
          <w:lang w:val="fr-FR"/>
        </w:rPr>
        <w:t>Le Comité invite l</w:t>
      </w:r>
      <w:r w:rsidR="00740140">
        <w:rPr>
          <w:b/>
          <w:bCs/>
          <w:lang w:val="fr-FR"/>
        </w:rPr>
        <w:t>’</w:t>
      </w:r>
      <w:r w:rsidRPr="00E91B1C">
        <w:rPr>
          <w:b/>
          <w:bCs/>
          <w:lang w:val="fr-FR"/>
        </w:rPr>
        <w:t>État partie à se conformer aux directives harmonisées pour l</w:t>
      </w:r>
      <w:r w:rsidR="00740140">
        <w:rPr>
          <w:b/>
          <w:bCs/>
          <w:lang w:val="fr-FR"/>
        </w:rPr>
        <w:t>’</w:t>
      </w:r>
      <w:r w:rsidRPr="00E91B1C">
        <w:rPr>
          <w:b/>
          <w:bCs/>
          <w:lang w:val="fr-FR"/>
        </w:rPr>
        <w:t>établissement de rapports au titre des instruments internationaux relatifs aux droits humains, englobant le document de base commun et les rapports pour chaque instrument (</w:t>
      </w:r>
      <w:hyperlink r:id="rId24" w:history="1">
        <w:r w:rsidRPr="00E91B1C">
          <w:rPr>
            <w:rStyle w:val="Hyperlink"/>
            <w:b/>
            <w:bCs/>
            <w:szCs w:val="20"/>
            <w:lang w:val="fr-FR"/>
          </w:rPr>
          <w:t>HRI/GEN/2/Rev.6</w:t>
        </w:r>
      </w:hyperlink>
      <w:r w:rsidRPr="00E91B1C">
        <w:rPr>
          <w:b/>
          <w:bCs/>
          <w:lang w:val="fr-FR"/>
        </w:rPr>
        <w:t>, chap. I).</w:t>
      </w:r>
    </w:p>
    <w:p w14:paraId="23E310C7" w14:textId="0E715EB1" w:rsidR="00E91B1C" w:rsidRPr="00E91B1C" w:rsidRDefault="00E91B1C" w:rsidP="00E91B1C">
      <w:pPr>
        <w:pStyle w:val="SingleTxt"/>
        <w:spacing w:after="0" w:line="240" w:lineRule="auto"/>
        <w:rPr>
          <w:b/>
          <w:bCs/>
          <w:lang w:val="fr-FR"/>
        </w:rPr>
      </w:pPr>
      <w:r>
        <w:rPr>
          <w:b/>
          <w:bCs/>
          <w:noProof/>
          <w:w w:val="100"/>
          <w:lang w:val="fr-FR"/>
        </w:rPr>
        <mc:AlternateContent>
          <mc:Choice Requires="wps">
            <w:drawing>
              <wp:anchor distT="0" distB="0" distL="114300" distR="114300" simplePos="0" relativeHeight="251660288" behindDoc="0" locked="0" layoutInCell="1" allowOverlap="1" wp14:anchorId="2E4A66E5" wp14:editId="3B492F5F">
                <wp:simplePos x="0" y="0"/>
                <wp:positionH relativeFrom="page">
                  <wp:posOffset>3429000</wp:posOffset>
                </wp:positionH>
                <wp:positionV relativeFrom="paragraph">
                  <wp:posOffset>304800</wp:posOffset>
                </wp:positionV>
                <wp:extent cx="914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F53684" id="Straight Connector 10"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" strokecolor="#010000" strokeweight=".25pt">
                <w10:wrap anchorx="page"/>
              </v:line>
            </w:pict>
          </mc:Fallback>
        </mc:AlternateContent>
      </w:r>
    </w:p>
    <w:sectPr w:rsidR="00E91B1C" w:rsidRPr="00E91B1C" w:rsidSect="00AF6339">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13T15:01:00Z" w:initials="Start">
    <w:p w14:paraId="18C9FD95" w14:textId="77777777" w:rsidR="004A035B" w:rsidRPr="00AF6339" w:rsidRDefault="004A035B">
      <w:pPr>
        <w:pStyle w:val="CommentText"/>
        <w:rPr>
          <w:lang w:val="en-US"/>
        </w:rPr>
      </w:pPr>
      <w:r>
        <w:rPr>
          <w:rStyle w:val="CommentReference"/>
        </w:rPr>
        <w:annotationRef/>
      </w:r>
      <w:r w:rsidRPr="00AF6339">
        <w:rPr>
          <w:lang w:val="en-US"/>
        </w:rPr>
        <w:t>&lt;&lt;ODS JOB NO&gt;&gt;N2242106F&lt;&lt;ODS JOB NO&gt;&gt;</w:t>
      </w:r>
    </w:p>
    <w:p w14:paraId="02C6E1CE" w14:textId="77777777" w:rsidR="004A035B" w:rsidRPr="00AF6339" w:rsidRDefault="004A035B">
      <w:pPr>
        <w:pStyle w:val="CommentText"/>
        <w:rPr>
          <w:lang w:val="en-US"/>
        </w:rPr>
      </w:pPr>
      <w:r w:rsidRPr="00AF6339">
        <w:rPr>
          <w:lang w:val="en-US"/>
        </w:rPr>
        <w:t>&lt;&lt;ODS DOC SYMBOL1&gt;&gt;CEDAW/C/MNG/CO/10&lt;&lt;ODS DOC SYMBOL1&gt;&gt;</w:t>
      </w:r>
    </w:p>
    <w:p w14:paraId="1BC200BD" w14:textId="22D1487F" w:rsidR="004A035B" w:rsidRDefault="004A035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C200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19D2" w16cex:dateUtc="2022-09-13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C200BD" w16cid:durableId="26CB19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F390" w14:textId="77777777" w:rsidR="00825C2A" w:rsidRDefault="00825C2A" w:rsidP="00101B18">
      <w:pPr>
        <w:spacing w:line="240" w:lineRule="auto"/>
      </w:pPr>
      <w:r>
        <w:separator/>
      </w:r>
    </w:p>
  </w:endnote>
  <w:endnote w:type="continuationSeparator" w:id="0">
    <w:p w14:paraId="0C5EC60F" w14:textId="77777777" w:rsidR="00825C2A" w:rsidRDefault="00825C2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A035B" w14:paraId="169ACFA3" w14:textId="77777777" w:rsidTr="004A035B">
      <w:tblPrEx>
        <w:tblCellMar>
          <w:top w:w="0" w:type="dxa"/>
          <w:bottom w:w="0" w:type="dxa"/>
        </w:tblCellMar>
      </w:tblPrEx>
      <w:tc>
        <w:tcPr>
          <w:tcW w:w="4920" w:type="dxa"/>
          <w:shd w:val="clear" w:color="auto" w:fill="auto"/>
        </w:tcPr>
        <w:p w14:paraId="36D79A32" w14:textId="4957778D" w:rsidR="004A035B" w:rsidRPr="004A035B" w:rsidRDefault="004A035B" w:rsidP="004A035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C6081">
            <w:rPr>
              <w:b w:val="0"/>
              <w:w w:val="103"/>
              <w:sz w:val="14"/>
            </w:rPr>
            <w:t>22-10925</w:t>
          </w:r>
          <w:r>
            <w:rPr>
              <w:b w:val="0"/>
              <w:w w:val="103"/>
              <w:sz w:val="14"/>
            </w:rPr>
            <w:fldChar w:fldCharType="end"/>
          </w:r>
        </w:p>
      </w:tc>
      <w:tc>
        <w:tcPr>
          <w:tcW w:w="4920" w:type="dxa"/>
          <w:shd w:val="clear" w:color="auto" w:fill="auto"/>
        </w:tcPr>
        <w:p w14:paraId="08433D7E" w14:textId="4F065CBD" w:rsidR="004A035B" w:rsidRPr="004A035B" w:rsidRDefault="004A035B" w:rsidP="004A035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D574F99" w14:textId="77777777" w:rsidR="004A035B" w:rsidRPr="004A035B" w:rsidRDefault="004A035B" w:rsidP="004A0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A035B" w14:paraId="18D15E0E" w14:textId="77777777" w:rsidTr="004A035B">
      <w:tblPrEx>
        <w:tblCellMar>
          <w:top w:w="0" w:type="dxa"/>
          <w:bottom w:w="0" w:type="dxa"/>
        </w:tblCellMar>
      </w:tblPrEx>
      <w:tc>
        <w:tcPr>
          <w:tcW w:w="4920" w:type="dxa"/>
          <w:shd w:val="clear" w:color="auto" w:fill="auto"/>
        </w:tcPr>
        <w:p w14:paraId="5010BE39" w14:textId="26CB7AC1" w:rsidR="004A035B" w:rsidRPr="004A035B" w:rsidRDefault="004A035B" w:rsidP="004A035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D5E618E" w14:textId="721FC1C4" w:rsidR="004A035B" w:rsidRPr="004A035B" w:rsidRDefault="004A035B" w:rsidP="004A035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C6081">
            <w:rPr>
              <w:b w:val="0"/>
              <w:w w:val="103"/>
              <w:sz w:val="14"/>
            </w:rPr>
            <w:t>22-10925</w:t>
          </w:r>
          <w:r>
            <w:rPr>
              <w:b w:val="0"/>
              <w:w w:val="103"/>
              <w:sz w:val="14"/>
            </w:rPr>
            <w:fldChar w:fldCharType="end"/>
          </w:r>
        </w:p>
      </w:tc>
    </w:tr>
  </w:tbl>
  <w:p w14:paraId="60FA14B7" w14:textId="77777777" w:rsidR="004A035B" w:rsidRPr="004A035B" w:rsidRDefault="004A035B" w:rsidP="004A0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E31F" w14:textId="14476838" w:rsidR="004A035B" w:rsidRDefault="004A035B">
    <w:pPr>
      <w:pStyle w:val="Footer"/>
    </w:pPr>
    <w:r>
      <w:rPr>
        <w:noProof/>
      </w:rPr>
      <w:drawing>
        <wp:anchor distT="0" distB="0" distL="114300" distR="114300" simplePos="0" relativeHeight="251658240" behindDoc="0" locked="0" layoutInCell="1" allowOverlap="1" wp14:anchorId="6F474EC2" wp14:editId="737F251B">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A035B" w14:paraId="26AE8EDA" w14:textId="77777777" w:rsidTr="004A035B">
      <w:tblPrEx>
        <w:tblCellMar>
          <w:top w:w="0" w:type="dxa"/>
          <w:bottom w:w="0" w:type="dxa"/>
        </w:tblCellMar>
      </w:tblPrEx>
      <w:tc>
        <w:tcPr>
          <w:tcW w:w="3758" w:type="dxa"/>
        </w:tcPr>
        <w:p w14:paraId="329A215D" w14:textId="502306CD" w:rsidR="004A035B" w:rsidRDefault="004A035B" w:rsidP="004A035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C6081">
            <w:rPr>
              <w:b w:val="0"/>
              <w:sz w:val="20"/>
            </w:rPr>
            <w:t>22-10925 (F)</w:t>
          </w:r>
          <w:r>
            <w:rPr>
              <w:b w:val="0"/>
              <w:sz w:val="20"/>
            </w:rPr>
            <w:fldChar w:fldCharType="end"/>
          </w:r>
          <w:r>
            <w:rPr>
              <w:b w:val="0"/>
              <w:sz w:val="20"/>
            </w:rPr>
            <w:t xml:space="preserve">    1</w:t>
          </w:r>
          <w:r w:rsidR="00AF6339">
            <w:rPr>
              <w:b w:val="0"/>
              <w:sz w:val="20"/>
            </w:rPr>
            <w:t>2</w:t>
          </w:r>
          <w:r>
            <w:rPr>
              <w:b w:val="0"/>
              <w:sz w:val="20"/>
            </w:rPr>
            <w:t>0922    130922</w:t>
          </w:r>
        </w:p>
        <w:p w14:paraId="3DA5F8AB" w14:textId="30E5C17D" w:rsidR="004A035B" w:rsidRPr="004A035B" w:rsidRDefault="004A035B" w:rsidP="004A035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C6081">
            <w:rPr>
              <w:rFonts w:ascii="Barcode 3 of 9 by request" w:hAnsi="Barcode 3 of 9 by request"/>
              <w:spacing w:val="0"/>
              <w:w w:val="100"/>
              <w:sz w:val="24"/>
            </w:rPr>
            <w:t>*2210925*</w:t>
          </w:r>
          <w:r>
            <w:rPr>
              <w:rFonts w:ascii="Barcode 3 of 9 by request" w:hAnsi="Barcode 3 of 9 by request"/>
              <w:spacing w:val="0"/>
              <w:w w:val="100"/>
              <w:sz w:val="24"/>
            </w:rPr>
            <w:fldChar w:fldCharType="end"/>
          </w:r>
        </w:p>
      </w:tc>
      <w:tc>
        <w:tcPr>
          <w:tcW w:w="4920" w:type="dxa"/>
        </w:tcPr>
        <w:p w14:paraId="2341999B" w14:textId="49215A5F" w:rsidR="004A035B" w:rsidRDefault="004A035B" w:rsidP="004A035B">
          <w:pPr>
            <w:pStyle w:val="Footer"/>
            <w:spacing w:line="240" w:lineRule="atLeast"/>
            <w:jc w:val="right"/>
            <w:rPr>
              <w:b w:val="0"/>
              <w:sz w:val="20"/>
            </w:rPr>
          </w:pPr>
          <w:r>
            <w:rPr>
              <w:b w:val="0"/>
              <w:noProof/>
              <w:sz w:val="20"/>
            </w:rPr>
            <w:drawing>
              <wp:inline distT="0" distB="0" distL="0" distR="0" wp14:anchorId="1F94C295" wp14:editId="0B8873F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3948A33" w14:textId="77777777" w:rsidR="004A035B" w:rsidRPr="004A035B" w:rsidRDefault="004A035B" w:rsidP="004A035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CA9E" w14:textId="71A4E7D9" w:rsidR="00825C2A" w:rsidRPr="00AF6339" w:rsidRDefault="00AF6339" w:rsidP="00AF6339">
      <w:pPr>
        <w:pStyle w:val="Footer"/>
        <w:spacing w:after="80"/>
        <w:ind w:left="792"/>
        <w:rPr>
          <w:sz w:val="16"/>
        </w:rPr>
      </w:pPr>
      <w:r w:rsidRPr="00AF6339">
        <w:rPr>
          <w:sz w:val="16"/>
        </w:rPr>
        <w:t>__________________</w:t>
      </w:r>
    </w:p>
  </w:footnote>
  <w:footnote w:type="continuationSeparator" w:id="0">
    <w:p w14:paraId="7C0CF0ED" w14:textId="09F02DEB" w:rsidR="00825C2A" w:rsidRPr="00AF6339" w:rsidRDefault="00AF6339" w:rsidP="00AF6339">
      <w:pPr>
        <w:pStyle w:val="Footer"/>
        <w:spacing w:after="80"/>
        <w:ind w:left="792"/>
        <w:rPr>
          <w:sz w:val="16"/>
        </w:rPr>
      </w:pPr>
      <w:r w:rsidRPr="00AF6339">
        <w:rPr>
          <w:sz w:val="16"/>
        </w:rPr>
        <w:t>__________________</w:t>
      </w:r>
    </w:p>
  </w:footnote>
  <w:footnote w:id="1">
    <w:p w14:paraId="2D72C272" w14:textId="2029B607" w:rsidR="00AF6339" w:rsidRPr="00912A0A" w:rsidRDefault="00E327B5" w:rsidP="00AF6339">
      <w:pPr>
        <w:pStyle w:val="FootnoteText"/>
        <w:tabs>
          <w:tab w:val="right" w:pos="1195"/>
          <w:tab w:val="left" w:pos="1267"/>
          <w:tab w:val="left" w:pos="1742"/>
          <w:tab w:val="left" w:pos="2218"/>
          <w:tab w:val="left" w:pos="2693"/>
        </w:tabs>
        <w:ind w:left="1267" w:right="1260" w:hanging="576"/>
        <w:rPr>
          <w:lang w:val="fr-FR"/>
        </w:rPr>
      </w:pPr>
      <w:r>
        <w:rPr>
          <w:lang w:val="fr-FR"/>
        </w:rPr>
        <w:tab/>
      </w:r>
      <w:r w:rsidR="00AF6339">
        <w:rPr>
          <w:rStyle w:val="FootnoteReference"/>
        </w:rPr>
        <w:footnoteRef/>
      </w:r>
      <w:r w:rsidR="00AF6339" w:rsidRPr="00912A0A">
        <w:rPr>
          <w:lang w:val="fr-FR"/>
        </w:rPr>
        <w:t xml:space="preserve"> </w:t>
      </w:r>
      <w:r>
        <w:rPr>
          <w:lang w:val="fr-FR"/>
        </w:rPr>
        <w:tab/>
      </w:r>
      <w:r w:rsidR="00AF6339" w:rsidRPr="00AF6339">
        <w:rPr>
          <w:lang w:val="fr-FR"/>
        </w:rPr>
        <w:t>Pacte international relatif aux droits économiques, sociaux et culturels</w:t>
      </w:r>
      <w:r w:rsidR="00740140">
        <w:rPr>
          <w:lang w:val="fr-FR"/>
        </w:rPr>
        <w:t> ;</w:t>
      </w:r>
      <w:r w:rsidR="00AF6339" w:rsidRPr="00AF6339">
        <w:rPr>
          <w:lang w:val="fr-FR"/>
        </w:rPr>
        <w:t xml:space="preserve"> Pacte international relatif aux droits civils et politiques</w:t>
      </w:r>
      <w:r w:rsidR="00740140">
        <w:rPr>
          <w:lang w:val="fr-FR"/>
        </w:rPr>
        <w:t> ;</w:t>
      </w:r>
      <w:r w:rsidR="00AF6339" w:rsidRPr="00AF6339">
        <w:rPr>
          <w:lang w:val="fr-FR"/>
        </w:rPr>
        <w:t xml:space="preserve"> Convention internationale sur l</w:t>
      </w:r>
      <w:r w:rsidR="00740140">
        <w:rPr>
          <w:lang w:val="fr-FR"/>
        </w:rPr>
        <w:t>’</w:t>
      </w:r>
      <w:r w:rsidR="00AF6339" w:rsidRPr="00AF6339">
        <w:rPr>
          <w:lang w:val="fr-FR"/>
        </w:rPr>
        <w:t>élimination de toutes les formes de discrimination raciale</w:t>
      </w:r>
      <w:r w:rsidR="00740140">
        <w:rPr>
          <w:lang w:val="fr-FR"/>
        </w:rPr>
        <w:t> ;</w:t>
      </w:r>
      <w:r w:rsidR="00AF6339" w:rsidRPr="00AF6339">
        <w:rPr>
          <w:lang w:val="fr-FR"/>
        </w:rPr>
        <w:t xml:space="preserve"> Convention sur l</w:t>
      </w:r>
      <w:r w:rsidR="00740140">
        <w:rPr>
          <w:lang w:val="fr-FR"/>
        </w:rPr>
        <w:t>’</w:t>
      </w:r>
      <w:r w:rsidR="00AF6339" w:rsidRPr="00AF6339">
        <w:rPr>
          <w:lang w:val="fr-FR"/>
        </w:rPr>
        <w:t>élimination de toutes les formes de discrimination à l</w:t>
      </w:r>
      <w:r w:rsidR="00740140">
        <w:rPr>
          <w:lang w:val="fr-FR"/>
        </w:rPr>
        <w:t>’</w:t>
      </w:r>
      <w:r w:rsidR="00AF6339" w:rsidRPr="00AF6339">
        <w:rPr>
          <w:lang w:val="fr-FR"/>
        </w:rPr>
        <w:t>égard des femmes</w:t>
      </w:r>
      <w:r w:rsidR="00740140">
        <w:rPr>
          <w:lang w:val="fr-FR"/>
        </w:rPr>
        <w:t> ;</w:t>
      </w:r>
      <w:r w:rsidR="00AF6339" w:rsidRPr="00AF6339">
        <w:rPr>
          <w:lang w:val="fr-FR"/>
        </w:rPr>
        <w:t xml:space="preserve"> Convention contre la torture et autres peines ou traitements cruels, inhumains ou dégradants</w:t>
      </w:r>
      <w:r w:rsidR="00740140">
        <w:rPr>
          <w:lang w:val="fr-FR"/>
        </w:rPr>
        <w:t> ;</w:t>
      </w:r>
      <w:r w:rsidR="00AF6339" w:rsidRPr="00AF6339">
        <w:rPr>
          <w:lang w:val="fr-FR"/>
        </w:rPr>
        <w:t xml:space="preserve"> Convention relative aux droits de l</w:t>
      </w:r>
      <w:r w:rsidR="00740140">
        <w:rPr>
          <w:lang w:val="fr-FR"/>
        </w:rPr>
        <w:t>’</w:t>
      </w:r>
      <w:r w:rsidR="00AF6339" w:rsidRPr="00AF6339">
        <w:rPr>
          <w:lang w:val="fr-FR"/>
        </w:rPr>
        <w:t>enfant</w:t>
      </w:r>
      <w:r w:rsidR="00740140">
        <w:rPr>
          <w:lang w:val="fr-FR"/>
        </w:rPr>
        <w:t> ;</w:t>
      </w:r>
      <w:r w:rsidR="00AF6339" w:rsidRPr="00AF6339">
        <w:rPr>
          <w:lang w:val="fr-FR"/>
        </w:rPr>
        <w:t xml:space="preserve"> Convention internationale sur la protection des droits de tous les travailleurs migrants et des membres de leur famille</w:t>
      </w:r>
      <w:r w:rsidR="00740140">
        <w:rPr>
          <w:lang w:val="fr-FR"/>
        </w:rPr>
        <w:t> ;</w:t>
      </w:r>
      <w:r w:rsidR="00AF6339" w:rsidRPr="00AF6339">
        <w:rPr>
          <w:lang w:val="fr-FR"/>
        </w:rPr>
        <w:t xml:space="preserve"> Convention internationale pour la protection de toutes les personnes contre les disparitions forcées</w:t>
      </w:r>
      <w:r w:rsidR="00740140">
        <w:rPr>
          <w:lang w:val="fr-FR"/>
        </w:rPr>
        <w:t> ;</w:t>
      </w:r>
      <w:r w:rsidR="00AF6339" w:rsidRPr="00AF6339">
        <w:rPr>
          <w:lang w:val="fr-FR"/>
        </w:rPr>
        <w:t xml:space="preserve">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A035B" w14:paraId="6953B4B9" w14:textId="77777777" w:rsidTr="004A035B">
      <w:tblPrEx>
        <w:tblCellMar>
          <w:top w:w="0" w:type="dxa"/>
          <w:bottom w:w="0" w:type="dxa"/>
        </w:tblCellMar>
      </w:tblPrEx>
      <w:trPr>
        <w:trHeight w:hRule="exact" w:val="864"/>
      </w:trPr>
      <w:tc>
        <w:tcPr>
          <w:tcW w:w="4920" w:type="dxa"/>
          <w:shd w:val="clear" w:color="auto" w:fill="auto"/>
          <w:vAlign w:val="bottom"/>
        </w:tcPr>
        <w:p w14:paraId="3AD04107" w14:textId="27F77269" w:rsidR="004A035B" w:rsidRPr="004A035B" w:rsidRDefault="004A035B" w:rsidP="004A035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C6081">
            <w:rPr>
              <w:b/>
              <w:color w:val="000000"/>
            </w:rPr>
            <w:t>CEDAW/C/MNG/CO/10</w:t>
          </w:r>
          <w:r>
            <w:rPr>
              <w:b/>
              <w:color w:val="000000"/>
            </w:rPr>
            <w:fldChar w:fldCharType="end"/>
          </w:r>
        </w:p>
      </w:tc>
      <w:tc>
        <w:tcPr>
          <w:tcW w:w="4920" w:type="dxa"/>
          <w:shd w:val="clear" w:color="auto" w:fill="auto"/>
          <w:vAlign w:val="bottom"/>
        </w:tcPr>
        <w:p w14:paraId="625B72E5" w14:textId="77777777" w:rsidR="004A035B" w:rsidRDefault="004A035B" w:rsidP="004A035B">
          <w:pPr>
            <w:pStyle w:val="Header"/>
          </w:pPr>
        </w:p>
      </w:tc>
    </w:tr>
  </w:tbl>
  <w:p w14:paraId="1619BE33" w14:textId="77777777" w:rsidR="004A035B" w:rsidRPr="004A035B" w:rsidRDefault="004A035B" w:rsidP="004A035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A035B" w14:paraId="20DA3E75" w14:textId="77777777" w:rsidTr="004A035B">
      <w:tblPrEx>
        <w:tblCellMar>
          <w:top w:w="0" w:type="dxa"/>
          <w:bottom w:w="0" w:type="dxa"/>
        </w:tblCellMar>
      </w:tblPrEx>
      <w:trPr>
        <w:trHeight w:hRule="exact" w:val="864"/>
      </w:trPr>
      <w:tc>
        <w:tcPr>
          <w:tcW w:w="4920" w:type="dxa"/>
          <w:shd w:val="clear" w:color="auto" w:fill="auto"/>
          <w:vAlign w:val="bottom"/>
        </w:tcPr>
        <w:p w14:paraId="09D003BF" w14:textId="77777777" w:rsidR="004A035B" w:rsidRDefault="004A035B" w:rsidP="004A035B">
          <w:pPr>
            <w:pStyle w:val="Header"/>
          </w:pPr>
        </w:p>
      </w:tc>
      <w:tc>
        <w:tcPr>
          <w:tcW w:w="4920" w:type="dxa"/>
          <w:shd w:val="clear" w:color="auto" w:fill="auto"/>
          <w:vAlign w:val="bottom"/>
        </w:tcPr>
        <w:p w14:paraId="0C2C76E7" w14:textId="511F8F7B" w:rsidR="004A035B" w:rsidRPr="004A035B" w:rsidRDefault="004A035B" w:rsidP="004A035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C6081">
            <w:rPr>
              <w:b/>
              <w:color w:val="000000"/>
            </w:rPr>
            <w:t>CEDAW/C/MNG/CO/10</w:t>
          </w:r>
          <w:r>
            <w:rPr>
              <w:b/>
              <w:color w:val="000000"/>
            </w:rPr>
            <w:fldChar w:fldCharType="end"/>
          </w:r>
        </w:p>
      </w:tc>
    </w:tr>
  </w:tbl>
  <w:p w14:paraId="1AA83712" w14:textId="77777777" w:rsidR="004A035B" w:rsidRPr="004A035B" w:rsidRDefault="004A035B" w:rsidP="004A035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A035B" w14:paraId="1CBE0C57" w14:textId="77777777" w:rsidTr="004A035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2175023E" w14:textId="77777777" w:rsidR="004A035B" w:rsidRDefault="004A035B" w:rsidP="004A035B">
          <w:pPr>
            <w:pStyle w:val="Header"/>
            <w:spacing w:after="120"/>
          </w:pPr>
        </w:p>
      </w:tc>
      <w:tc>
        <w:tcPr>
          <w:tcW w:w="2059" w:type="dxa"/>
          <w:tcBorders>
            <w:bottom w:val="single" w:sz="4" w:space="0" w:color="auto"/>
          </w:tcBorders>
          <w:shd w:val="clear" w:color="auto" w:fill="auto"/>
          <w:vAlign w:val="bottom"/>
        </w:tcPr>
        <w:p w14:paraId="20E3C125" w14:textId="714E9EAC" w:rsidR="004A035B" w:rsidRPr="004A035B" w:rsidRDefault="004A035B" w:rsidP="004A035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C7559E5" w14:textId="77777777" w:rsidR="004A035B" w:rsidRDefault="004A035B" w:rsidP="004A035B">
          <w:pPr>
            <w:pStyle w:val="Header"/>
            <w:spacing w:after="120"/>
          </w:pPr>
        </w:p>
      </w:tc>
      <w:tc>
        <w:tcPr>
          <w:tcW w:w="6466" w:type="dxa"/>
          <w:gridSpan w:val="3"/>
          <w:tcBorders>
            <w:bottom w:val="single" w:sz="4" w:space="0" w:color="auto"/>
          </w:tcBorders>
          <w:shd w:val="clear" w:color="auto" w:fill="auto"/>
          <w:vAlign w:val="bottom"/>
        </w:tcPr>
        <w:p w14:paraId="1D067B8A" w14:textId="1D23AC23" w:rsidR="004A035B" w:rsidRPr="004A035B" w:rsidRDefault="004A035B" w:rsidP="004A035B">
          <w:pPr>
            <w:spacing w:after="80" w:line="240" w:lineRule="auto"/>
            <w:jc w:val="right"/>
            <w:rPr>
              <w:position w:val="-4"/>
            </w:rPr>
          </w:pPr>
          <w:r>
            <w:rPr>
              <w:position w:val="-4"/>
              <w:sz w:val="40"/>
            </w:rPr>
            <w:t>CEDAW</w:t>
          </w:r>
          <w:r>
            <w:rPr>
              <w:position w:val="-4"/>
            </w:rPr>
            <w:t>/C/MNG/CO/10</w:t>
          </w:r>
        </w:p>
      </w:tc>
    </w:tr>
    <w:tr w:rsidR="004A035B" w:rsidRPr="004A035B" w14:paraId="54C6FFC2" w14:textId="77777777" w:rsidTr="004A035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41EC29B7" w14:textId="2B969E22" w:rsidR="004A035B" w:rsidRPr="004A035B" w:rsidRDefault="004A035B" w:rsidP="004A035B">
          <w:pPr>
            <w:pStyle w:val="Header"/>
            <w:spacing w:before="120" w:line="240" w:lineRule="auto"/>
            <w:ind w:left="-72"/>
            <w:jc w:val="center"/>
          </w:pPr>
          <w:r>
            <w:t xml:space="preserve">  </w:t>
          </w:r>
          <w:r>
            <w:rPr>
              <w:noProof/>
            </w:rPr>
            <w:drawing>
              <wp:inline distT="0" distB="0" distL="0" distR="0" wp14:anchorId="4C3D5558" wp14:editId="59AA228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C092F98" w14:textId="5FEFF87C" w:rsidR="004A035B" w:rsidRPr="004A035B" w:rsidRDefault="004A035B" w:rsidP="004A035B">
          <w:pPr>
            <w:pStyle w:val="XLarge"/>
            <w:spacing w:before="120" w:line="360" w:lineRule="exact"/>
            <w:rPr>
              <w:sz w:val="36"/>
            </w:rPr>
          </w:pPr>
          <w:r>
            <w:rPr>
              <w:sz w:val="36"/>
            </w:rPr>
            <w:t>Convention sur l</w:t>
          </w:r>
          <w:r w:rsidR="00740140">
            <w:rPr>
              <w:sz w:val="36"/>
            </w:rPr>
            <w:t>’</w:t>
          </w:r>
          <w:r>
            <w:rPr>
              <w:sz w:val="36"/>
            </w:rPr>
            <w:t>élimination</w:t>
          </w:r>
          <w:r>
            <w:rPr>
              <w:sz w:val="36"/>
            </w:rPr>
            <w:br/>
            <w:t>de toutes les formes</w:t>
          </w:r>
          <w:r>
            <w:rPr>
              <w:sz w:val="36"/>
            </w:rPr>
            <w:br/>
            <w:t>de discrimination à l</w:t>
          </w:r>
          <w:r w:rsidR="00740140">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27739317" w14:textId="77777777" w:rsidR="004A035B" w:rsidRPr="00AF6339" w:rsidRDefault="004A035B" w:rsidP="004A035B">
          <w:pPr>
            <w:pStyle w:val="Header"/>
            <w:spacing w:before="109"/>
            <w:rPr>
              <w:lang w:val="fr-FR"/>
            </w:rPr>
          </w:pPr>
        </w:p>
      </w:tc>
      <w:tc>
        <w:tcPr>
          <w:tcW w:w="3110" w:type="dxa"/>
          <w:tcBorders>
            <w:top w:val="single" w:sz="4" w:space="0" w:color="auto"/>
            <w:bottom w:val="single" w:sz="12" w:space="0" w:color="auto"/>
          </w:tcBorders>
          <w:shd w:val="clear" w:color="auto" w:fill="auto"/>
        </w:tcPr>
        <w:p w14:paraId="0E3BECB2" w14:textId="77777777" w:rsidR="004A035B" w:rsidRPr="00AF6339" w:rsidRDefault="004A035B" w:rsidP="004A035B">
          <w:pPr>
            <w:pStyle w:val="Distribution"/>
            <w:rPr>
              <w:color w:val="000000"/>
              <w:lang w:val="fr-FR"/>
            </w:rPr>
          </w:pPr>
          <w:r w:rsidRPr="00AF6339">
            <w:rPr>
              <w:color w:val="000000"/>
              <w:lang w:val="fr-FR"/>
            </w:rPr>
            <w:t>Distr. générale</w:t>
          </w:r>
        </w:p>
        <w:p w14:paraId="2A9E6ADC" w14:textId="77777777" w:rsidR="004A035B" w:rsidRPr="00AF6339" w:rsidRDefault="004A035B" w:rsidP="004A035B">
          <w:pPr>
            <w:pStyle w:val="Publication"/>
            <w:rPr>
              <w:color w:val="000000"/>
              <w:lang w:val="fr-FR"/>
            </w:rPr>
          </w:pPr>
          <w:r w:rsidRPr="00AF6339">
            <w:rPr>
              <w:color w:val="000000"/>
              <w:lang w:val="fr-FR"/>
            </w:rPr>
            <w:t>12 juillet 2022</w:t>
          </w:r>
        </w:p>
        <w:p w14:paraId="3A499847" w14:textId="77777777" w:rsidR="004A035B" w:rsidRPr="00AF6339" w:rsidRDefault="004A035B" w:rsidP="004A035B">
          <w:pPr>
            <w:rPr>
              <w:lang w:val="fr-FR"/>
            </w:rPr>
          </w:pPr>
          <w:r w:rsidRPr="00AF6339">
            <w:rPr>
              <w:lang w:val="fr-FR"/>
            </w:rPr>
            <w:t>Français</w:t>
          </w:r>
        </w:p>
        <w:p w14:paraId="17DEAE07" w14:textId="0A97E6AB" w:rsidR="004A035B" w:rsidRPr="00AF6339" w:rsidRDefault="004A035B" w:rsidP="004A035B">
          <w:pPr>
            <w:pStyle w:val="Original"/>
            <w:rPr>
              <w:color w:val="000000"/>
              <w:lang w:val="fr-FR"/>
            </w:rPr>
          </w:pPr>
          <w:r w:rsidRPr="00AF6339">
            <w:rPr>
              <w:color w:val="000000"/>
              <w:lang w:val="fr-FR"/>
            </w:rPr>
            <w:t>Original</w:t>
          </w:r>
          <w:r w:rsidR="00740140">
            <w:rPr>
              <w:color w:val="000000"/>
              <w:lang w:val="fr-FR"/>
            </w:rPr>
            <w:t> :</w:t>
          </w:r>
          <w:r w:rsidRPr="00AF6339">
            <w:rPr>
              <w:color w:val="000000"/>
              <w:lang w:val="fr-FR"/>
            </w:rPr>
            <w:t xml:space="preserve"> anglais</w:t>
          </w:r>
        </w:p>
      </w:tc>
    </w:tr>
  </w:tbl>
  <w:p w14:paraId="77001E3F" w14:textId="77777777" w:rsidR="004A035B" w:rsidRPr="00AF6339" w:rsidRDefault="004A035B" w:rsidP="004A035B">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F8A"/>
    <w:multiLevelType w:val="singleLevel"/>
    <w:tmpl w:val="B1105AD6"/>
    <w:lvl w:ilvl="0">
      <w:start w:val="24"/>
      <w:numFmt w:val="decimal"/>
      <w:lvlRestart w:val="0"/>
      <w:lvlText w:val="%1."/>
      <w:lvlJc w:val="left"/>
      <w:pPr>
        <w:tabs>
          <w:tab w:val="num" w:pos="1742"/>
        </w:tabs>
        <w:ind w:left="1267" w:firstLine="0"/>
      </w:pPr>
      <w:rPr>
        <w:w w:val="100"/>
      </w:rPr>
    </w:lvl>
  </w:abstractNum>
  <w:abstractNum w:abstractNumId="1" w15:restartNumberingAfterBreak="0">
    <w:nsid w:val="04015290"/>
    <w:multiLevelType w:val="hybridMultilevel"/>
    <w:tmpl w:val="0B74B89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437697A"/>
    <w:multiLevelType w:val="singleLevel"/>
    <w:tmpl w:val="68E22220"/>
    <w:lvl w:ilvl="0">
      <w:start w:val="30"/>
      <w:numFmt w:val="decimal"/>
      <w:lvlRestart w:val="0"/>
      <w:lvlText w:val="%1."/>
      <w:lvlJc w:val="left"/>
      <w:pPr>
        <w:tabs>
          <w:tab w:val="num" w:pos="1742"/>
        </w:tabs>
        <w:ind w:left="1267" w:firstLine="0"/>
      </w:pPr>
      <w:rPr>
        <w:w w:val="100"/>
      </w:rPr>
    </w:lvl>
  </w:abstractNum>
  <w:abstractNum w:abstractNumId="3" w15:restartNumberingAfterBreak="0">
    <w:nsid w:val="04C17E9A"/>
    <w:multiLevelType w:val="singleLevel"/>
    <w:tmpl w:val="63726C74"/>
    <w:lvl w:ilvl="0">
      <w:start w:val="50"/>
      <w:numFmt w:val="decimal"/>
      <w:lvlRestart w:val="0"/>
      <w:lvlText w:val="%1."/>
      <w:lvlJc w:val="left"/>
      <w:pPr>
        <w:tabs>
          <w:tab w:val="num" w:pos="1742"/>
        </w:tabs>
        <w:ind w:left="1267" w:firstLine="0"/>
      </w:pPr>
      <w:rPr>
        <w:b w:val="0"/>
        <w:bCs w:val="0"/>
        <w:w w:val="100"/>
      </w:rPr>
    </w:lvl>
  </w:abstractNum>
  <w:abstractNum w:abstractNumId="4" w15:restartNumberingAfterBreak="0">
    <w:nsid w:val="07C4113F"/>
    <w:multiLevelType w:val="singleLevel"/>
    <w:tmpl w:val="FAA8BD84"/>
    <w:lvl w:ilvl="0">
      <w:start w:val="14"/>
      <w:numFmt w:val="decimal"/>
      <w:lvlRestart w:val="0"/>
      <w:lvlText w:val="%1."/>
      <w:lvlJc w:val="left"/>
      <w:pPr>
        <w:tabs>
          <w:tab w:val="num" w:pos="1742"/>
        </w:tabs>
        <w:ind w:left="1267" w:firstLine="0"/>
      </w:pPr>
      <w:rPr>
        <w:w w:val="100"/>
      </w:rPr>
    </w:lvl>
  </w:abstractNum>
  <w:abstractNum w:abstractNumId="5" w15:restartNumberingAfterBreak="0">
    <w:nsid w:val="080C5255"/>
    <w:multiLevelType w:val="singleLevel"/>
    <w:tmpl w:val="EE643862"/>
    <w:lvl w:ilvl="0">
      <w:start w:val="36"/>
      <w:numFmt w:val="decimal"/>
      <w:lvlRestart w:val="0"/>
      <w:lvlText w:val="%1."/>
      <w:lvlJc w:val="left"/>
      <w:pPr>
        <w:tabs>
          <w:tab w:val="num" w:pos="1742"/>
        </w:tabs>
        <w:ind w:left="1267" w:firstLine="0"/>
      </w:pPr>
      <w:rPr>
        <w:b w:val="0"/>
        <w:bCs w:val="0"/>
        <w:w w:val="100"/>
      </w:rPr>
    </w:lvl>
  </w:abstractNum>
  <w:abstractNum w:abstractNumId="6" w15:restartNumberingAfterBreak="0">
    <w:nsid w:val="0D246297"/>
    <w:multiLevelType w:val="singleLevel"/>
    <w:tmpl w:val="8A544DD2"/>
    <w:lvl w:ilvl="0">
      <w:start w:val="15"/>
      <w:numFmt w:val="decimal"/>
      <w:lvlRestart w:val="0"/>
      <w:lvlText w:val="%1."/>
      <w:lvlJc w:val="left"/>
      <w:pPr>
        <w:tabs>
          <w:tab w:val="num" w:pos="1742"/>
        </w:tabs>
        <w:ind w:left="1267" w:firstLine="0"/>
      </w:pPr>
      <w:rPr>
        <w:b w:val="0"/>
        <w:bCs w:val="0"/>
        <w:w w:val="100"/>
      </w:rPr>
    </w:lvl>
  </w:abstractNum>
  <w:abstractNum w:abstractNumId="7"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16DA70EF"/>
    <w:multiLevelType w:val="singleLevel"/>
    <w:tmpl w:val="87983E46"/>
    <w:lvl w:ilvl="0">
      <w:start w:val="51"/>
      <w:numFmt w:val="decimal"/>
      <w:lvlRestart w:val="0"/>
      <w:lvlText w:val="%1."/>
      <w:lvlJc w:val="left"/>
      <w:pPr>
        <w:tabs>
          <w:tab w:val="num" w:pos="1742"/>
        </w:tabs>
        <w:ind w:left="1267" w:firstLine="0"/>
      </w:pPr>
      <w:rPr>
        <w:b w:val="0"/>
        <w:bCs w:val="0"/>
        <w:w w:val="100"/>
      </w:rPr>
    </w:lvl>
  </w:abstractNum>
  <w:abstractNum w:abstractNumId="9"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711D5"/>
    <w:multiLevelType w:val="singleLevel"/>
    <w:tmpl w:val="072EAF22"/>
    <w:lvl w:ilvl="0">
      <w:start w:val="26"/>
      <w:numFmt w:val="decimal"/>
      <w:lvlRestart w:val="0"/>
      <w:lvlText w:val="%1."/>
      <w:lvlJc w:val="left"/>
      <w:pPr>
        <w:tabs>
          <w:tab w:val="num" w:pos="1742"/>
        </w:tabs>
        <w:ind w:left="1267" w:firstLine="0"/>
      </w:pPr>
      <w:rPr>
        <w:w w:val="100"/>
      </w:rPr>
    </w:lvl>
  </w:abstractNum>
  <w:abstractNum w:abstractNumId="11" w15:restartNumberingAfterBreak="0">
    <w:nsid w:val="176B1899"/>
    <w:multiLevelType w:val="singleLevel"/>
    <w:tmpl w:val="8CC4AF70"/>
    <w:lvl w:ilvl="0">
      <w:start w:val="44"/>
      <w:numFmt w:val="decimal"/>
      <w:lvlRestart w:val="0"/>
      <w:lvlText w:val="%1."/>
      <w:lvlJc w:val="left"/>
      <w:pPr>
        <w:tabs>
          <w:tab w:val="num" w:pos="1742"/>
        </w:tabs>
        <w:ind w:left="1267" w:firstLine="0"/>
      </w:pPr>
      <w:rPr>
        <w:b w:val="0"/>
        <w:bCs w:val="0"/>
        <w:w w:val="100"/>
      </w:rPr>
    </w:lvl>
  </w:abstractNum>
  <w:abstractNum w:abstractNumId="12" w15:restartNumberingAfterBreak="0">
    <w:nsid w:val="1E293DEE"/>
    <w:multiLevelType w:val="singleLevel"/>
    <w:tmpl w:val="5E6A5DE2"/>
    <w:lvl w:ilvl="0">
      <w:start w:val="40"/>
      <w:numFmt w:val="decimal"/>
      <w:lvlRestart w:val="0"/>
      <w:lvlText w:val="%1."/>
      <w:lvlJc w:val="left"/>
      <w:pPr>
        <w:tabs>
          <w:tab w:val="num" w:pos="1742"/>
        </w:tabs>
        <w:ind w:left="1267" w:firstLine="0"/>
      </w:pPr>
      <w:rPr>
        <w:b w:val="0"/>
        <w:bCs w:val="0"/>
        <w:w w:val="100"/>
      </w:rPr>
    </w:lvl>
  </w:abstractNum>
  <w:abstractNum w:abstractNumId="13" w15:restartNumberingAfterBreak="0">
    <w:nsid w:val="26D27F66"/>
    <w:multiLevelType w:val="singleLevel"/>
    <w:tmpl w:val="7250DCD6"/>
    <w:lvl w:ilvl="0">
      <w:start w:val="1"/>
      <w:numFmt w:val="decimal"/>
      <w:lvlRestart w:val="0"/>
      <w:lvlText w:val="%1."/>
      <w:lvlJc w:val="left"/>
      <w:pPr>
        <w:tabs>
          <w:tab w:val="num" w:pos="475"/>
        </w:tabs>
        <w:ind w:left="0" w:firstLine="0"/>
      </w:pPr>
      <w:rPr>
        <w:b w:val="0"/>
        <w:bCs w:val="0"/>
        <w:w w:val="100"/>
      </w:rPr>
    </w:lvl>
  </w:abstractNum>
  <w:abstractNum w:abstractNumId="14" w15:restartNumberingAfterBreak="0">
    <w:nsid w:val="2CE1720A"/>
    <w:multiLevelType w:val="singleLevel"/>
    <w:tmpl w:val="F3A8190A"/>
    <w:lvl w:ilvl="0">
      <w:start w:val="26"/>
      <w:numFmt w:val="decimal"/>
      <w:lvlRestart w:val="0"/>
      <w:lvlText w:val="%1."/>
      <w:lvlJc w:val="left"/>
      <w:pPr>
        <w:tabs>
          <w:tab w:val="num" w:pos="1742"/>
        </w:tabs>
        <w:ind w:left="1267" w:firstLine="0"/>
      </w:pPr>
      <w:rPr>
        <w:b w:val="0"/>
        <w:bCs w:val="0"/>
        <w:w w:val="100"/>
      </w:rPr>
    </w:lvl>
  </w:abstractNum>
  <w:abstractNum w:abstractNumId="15" w15:restartNumberingAfterBreak="0">
    <w:nsid w:val="2E855DC5"/>
    <w:multiLevelType w:val="singleLevel"/>
    <w:tmpl w:val="7F0A028E"/>
    <w:lvl w:ilvl="0">
      <w:start w:val="24"/>
      <w:numFmt w:val="decimal"/>
      <w:lvlRestart w:val="0"/>
      <w:lvlText w:val="%1."/>
      <w:lvlJc w:val="left"/>
      <w:pPr>
        <w:tabs>
          <w:tab w:val="num" w:pos="1742"/>
        </w:tabs>
        <w:ind w:left="1267" w:firstLine="0"/>
      </w:pPr>
      <w:rPr>
        <w:b w:val="0"/>
        <w:bCs w:val="0"/>
        <w:w w:val="100"/>
      </w:rPr>
    </w:lvl>
  </w:abstractNum>
  <w:abstractNum w:abstractNumId="16" w15:restartNumberingAfterBreak="0">
    <w:nsid w:val="2F3E07CF"/>
    <w:multiLevelType w:val="singleLevel"/>
    <w:tmpl w:val="2A94B392"/>
    <w:lvl w:ilvl="0">
      <w:start w:val="46"/>
      <w:numFmt w:val="decimal"/>
      <w:lvlRestart w:val="0"/>
      <w:lvlText w:val="%1."/>
      <w:lvlJc w:val="left"/>
      <w:pPr>
        <w:tabs>
          <w:tab w:val="num" w:pos="1742"/>
        </w:tabs>
        <w:ind w:left="1267" w:firstLine="0"/>
      </w:pPr>
      <w:rPr>
        <w:w w:val="100"/>
      </w:rPr>
    </w:lvl>
  </w:abstractNum>
  <w:abstractNum w:abstractNumId="17" w15:restartNumberingAfterBreak="0">
    <w:nsid w:val="30934028"/>
    <w:multiLevelType w:val="singleLevel"/>
    <w:tmpl w:val="1A90638A"/>
    <w:lvl w:ilvl="0">
      <w:start w:val="10"/>
      <w:numFmt w:val="decimal"/>
      <w:lvlRestart w:val="0"/>
      <w:lvlText w:val="%1."/>
      <w:lvlJc w:val="left"/>
      <w:pPr>
        <w:tabs>
          <w:tab w:val="num" w:pos="1742"/>
        </w:tabs>
        <w:ind w:left="1267" w:firstLine="0"/>
      </w:pPr>
      <w:rPr>
        <w:b w:val="0"/>
        <w:bCs w:val="0"/>
        <w:w w:val="100"/>
      </w:rPr>
    </w:lvl>
  </w:abstractNum>
  <w:abstractNum w:abstractNumId="18" w15:restartNumberingAfterBreak="0">
    <w:nsid w:val="324547B8"/>
    <w:multiLevelType w:val="singleLevel"/>
    <w:tmpl w:val="5DBA14CC"/>
    <w:lvl w:ilvl="0">
      <w:start w:val="44"/>
      <w:numFmt w:val="decimal"/>
      <w:lvlRestart w:val="0"/>
      <w:lvlText w:val="%1."/>
      <w:lvlJc w:val="left"/>
      <w:pPr>
        <w:tabs>
          <w:tab w:val="num" w:pos="1742"/>
        </w:tabs>
        <w:ind w:left="1267" w:firstLine="0"/>
      </w:pPr>
      <w:rPr>
        <w:b w:val="0"/>
        <w:bCs w:val="0"/>
        <w:w w:val="100"/>
      </w:rPr>
    </w:lvl>
  </w:abstractNum>
  <w:abstractNum w:abstractNumId="19" w15:restartNumberingAfterBreak="0">
    <w:nsid w:val="333E0265"/>
    <w:multiLevelType w:val="singleLevel"/>
    <w:tmpl w:val="C0528DE0"/>
    <w:lvl w:ilvl="0">
      <w:start w:val="34"/>
      <w:numFmt w:val="decimal"/>
      <w:lvlRestart w:val="0"/>
      <w:lvlText w:val="%1."/>
      <w:lvlJc w:val="left"/>
      <w:pPr>
        <w:tabs>
          <w:tab w:val="num" w:pos="1742"/>
        </w:tabs>
        <w:ind w:left="1267" w:firstLine="0"/>
      </w:pPr>
      <w:rPr>
        <w:b w:val="0"/>
        <w:bCs w:val="0"/>
        <w:w w:val="100"/>
      </w:rPr>
    </w:lvl>
  </w:abstractNum>
  <w:abstractNum w:abstractNumId="20" w15:restartNumberingAfterBreak="0">
    <w:nsid w:val="35D26F9F"/>
    <w:multiLevelType w:val="singleLevel"/>
    <w:tmpl w:val="BEB00ED4"/>
    <w:lvl w:ilvl="0">
      <w:start w:val="22"/>
      <w:numFmt w:val="decimal"/>
      <w:lvlRestart w:val="0"/>
      <w:lvlText w:val="%1."/>
      <w:lvlJc w:val="left"/>
      <w:pPr>
        <w:tabs>
          <w:tab w:val="num" w:pos="1742"/>
        </w:tabs>
        <w:ind w:left="1267" w:firstLine="0"/>
      </w:pPr>
      <w:rPr>
        <w:b w:val="0"/>
        <w:bCs w:val="0"/>
        <w:w w:val="100"/>
      </w:rPr>
    </w:lvl>
  </w:abstractNum>
  <w:abstractNum w:abstractNumId="21" w15:restartNumberingAfterBreak="0">
    <w:nsid w:val="36267EE4"/>
    <w:multiLevelType w:val="singleLevel"/>
    <w:tmpl w:val="81425C26"/>
    <w:lvl w:ilvl="0">
      <w:start w:val="47"/>
      <w:numFmt w:val="decimal"/>
      <w:lvlRestart w:val="0"/>
      <w:lvlText w:val="%1."/>
      <w:lvlJc w:val="left"/>
      <w:pPr>
        <w:tabs>
          <w:tab w:val="num" w:pos="1742"/>
        </w:tabs>
        <w:ind w:left="1267" w:firstLine="0"/>
      </w:pPr>
      <w:rPr>
        <w:w w:val="100"/>
      </w:rPr>
    </w:lvl>
  </w:abstractNum>
  <w:abstractNum w:abstractNumId="22" w15:restartNumberingAfterBreak="0">
    <w:nsid w:val="385433FA"/>
    <w:multiLevelType w:val="singleLevel"/>
    <w:tmpl w:val="9104F36A"/>
    <w:lvl w:ilvl="0">
      <w:start w:val="8"/>
      <w:numFmt w:val="decimal"/>
      <w:lvlRestart w:val="0"/>
      <w:lvlText w:val="%1."/>
      <w:lvlJc w:val="left"/>
      <w:pPr>
        <w:tabs>
          <w:tab w:val="num" w:pos="1742"/>
        </w:tabs>
        <w:ind w:left="1267" w:firstLine="0"/>
      </w:pPr>
      <w:rPr>
        <w:b w:val="0"/>
        <w:bCs w:val="0"/>
        <w:w w:val="100"/>
      </w:rPr>
    </w:lvl>
  </w:abstractNum>
  <w:abstractNum w:abstractNumId="23" w15:restartNumberingAfterBreak="0">
    <w:nsid w:val="38A3785C"/>
    <w:multiLevelType w:val="singleLevel"/>
    <w:tmpl w:val="6F2C49A8"/>
    <w:lvl w:ilvl="0">
      <w:start w:val="40"/>
      <w:numFmt w:val="decimal"/>
      <w:lvlRestart w:val="0"/>
      <w:lvlText w:val="%1."/>
      <w:lvlJc w:val="left"/>
      <w:pPr>
        <w:tabs>
          <w:tab w:val="num" w:pos="1742"/>
        </w:tabs>
        <w:ind w:left="1267" w:firstLine="0"/>
      </w:pPr>
      <w:rPr>
        <w:w w:val="100"/>
      </w:rPr>
    </w:lvl>
  </w:abstractNum>
  <w:abstractNum w:abstractNumId="24" w15:restartNumberingAfterBreak="0">
    <w:nsid w:val="3CA00274"/>
    <w:multiLevelType w:val="singleLevel"/>
    <w:tmpl w:val="3BA4868E"/>
    <w:lvl w:ilvl="0">
      <w:start w:val="34"/>
      <w:numFmt w:val="decimal"/>
      <w:lvlRestart w:val="0"/>
      <w:lvlText w:val="%1."/>
      <w:lvlJc w:val="left"/>
      <w:pPr>
        <w:tabs>
          <w:tab w:val="num" w:pos="1742"/>
        </w:tabs>
        <w:ind w:left="1267" w:firstLine="0"/>
      </w:pPr>
      <w:rPr>
        <w:w w:val="100"/>
      </w:rPr>
    </w:lvl>
  </w:abstractNum>
  <w:abstractNum w:abstractNumId="25" w15:restartNumberingAfterBreak="0">
    <w:nsid w:val="3F8F14A1"/>
    <w:multiLevelType w:val="singleLevel"/>
    <w:tmpl w:val="EB0831FE"/>
    <w:lvl w:ilvl="0">
      <w:start w:val="20"/>
      <w:numFmt w:val="decimal"/>
      <w:lvlRestart w:val="0"/>
      <w:lvlText w:val="%1."/>
      <w:lvlJc w:val="left"/>
      <w:pPr>
        <w:tabs>
          <w:tab w:val="num" w:pos="1742"/>
        </w:tabs>
        <w:ind w:left="1267" w:firstLine="0"/>
      </w:pPr>
      <w:rPr>
        <w:b w:val="0"/>
        <w:bCs w:val="0"/>
        <w:w w:val="100"/>
      </w:rPr>
    </w:lvl>
  </w:abstractNum>
  <w:abstractNum w:abstractNumId="26" w15:restartNumberingAfterBreak="0">
    <w:nsid w:val="44360649"/>
    <w:multiLevelType w:val="singleLevel"/>
    <w:tmpl w:val="6804B9EE"/>
    <w:lvl w:ilvl="0">
      <w:start w:val="30"/>
      <w:numFmt w:val="decimal"/>
      <w:lvlRestart w:val="0"/>
      <w:lvlText w:val="%1."/>
      <w:lvlJc w:val="left"/>
      <w:pPr>
        <w:tabs>
          <w:tab w:val="num" w:pos="1742"/>
        </w:tabs>
        <w:ind w:left="1267" w:firstLine="0"/>
      </w:pPr>
      <w:rPr>
        <w:b w:val="0"/>
        <w:bCs w:val="0"/>
        <w:w w:val="100"/>
      </w:rPr>
    </w:lvl>
  </w:abstractNum>
  <w:abstractNum w:abstractNumId="27" w15:restartNumberingAfterBreak="0">
    <w:nsid w:val="468A6C18"/>
    <w:multiLevelType w:val="singleLevel"/>
    <w:tmpl w:val="733C64BE"/>
    <w:lvl w:ilvl="0">
      <w:start w:val="12"/>
      <w:numFmt w:val="decimal"/>
      <w:lvlRestart w:val="0"/>
      <w:lvlText w:val="%1."/>
      <w:lvlJc w:val="left"/>
      <w:pPr>
        <w:tabs>
          <w:tab w:val="num" w:pos="1742"/>
        </w:tabs>
        <w:ind w:left="1267" w:firstLine="0"/>
      </w:pPr>
      <w:rPr>
        <w:b w:val="0"/>
        <w:bCs w:val="0"/>
        <w:w w:val="100"/>
      </w:rPr>
    </w:lvl>
  </w:abstractNum>
  <w:abstractNum w:abstractNumId="28" w15:restartNumberingAfterBreak="0">
    <w:nsid w:val="4709721B"/>
    <w:multiLevelType w:val="singleLevel"/>
    <w:tmpl w:val="1EE0D6BC"/>
    <w:lvl w:ilvl="0">
      <w:start w:val="46"/>
      <w:numFmt w:val="decimal"/>
      <w:lvlRestart w:val="0"/>
      <w:lvlText w:val="%1."/>
      <w:lvlJc w:val="left"/>
      <w:pPr>
        <w:tabs>
          <w:tab w:val="num" w:pos="1742"/>
        </w:tabs>
        <w:ind w:left="1267" w:firstLine="0"/>
      </w:pPr>
      <w:rPr>
        <w:b w:val="0"/>
        <w:bCs w:val="0"/>
        <w:w w:val="100"/>
      </w:rPr>
    </w:lvl>
  </w:abstractNum>
  <w:abstractNum w:abstractNumId="29"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50C4A"/>
    <w:multiLevelType w:val="singleLevel"/>
    <w:tmpl w:val="8E4C985A"/>
    <w:lvl w:ilvl="0">
      <w:start w:val="16"/>
      <w:numFmt w:val="decimal"/>
      <w:lvlRestart w:val="0"/>
      <w:lvlText w:val="%1."/>
      <w:lvlJc w:val="left"/>
      <w:pPr>
        <w:tabs>
          <w:tab w:val="num" w:pos="1742"/>
        </w:tabs>
        <w:ind w:left="1267" w:firstLine="0"/>
      </w:pPr>
      <w:rPr>
        <w:b w:val="0"/>
        <w:bCs w:val="0"/>
        <w:w w:val="100"/>
      </w:rPr>
    </w:lvl>
  </w:abstractNum>
  <w:abstractNum w:abstractNumId="31" w15:restartNumberingAfterBreak="0">
    <w:nsid w:val="48CC04C1"/>
    <w:multiLevelType w:val="singleLevel"/>
    <w:tmpl w:val="381849AE"/>
    <w:lvl w:ilvl="0">
      <w:start w:val="38"/>
      <w:numFmt w:val="decimal"/>
      <w:lvlRestart w:val="0"/>
      <w:lvlText w:val="%1."/>
      <w:lvlJc w:val="left"/>
      <w:pPr>
        <w:tabs>
          <w:tab w:val="num" w:pos="1742"/>
        </w:tabs>
        <w:ind w:left="1267" w:firstLine="0"/>
      </w:pPr>
      <w:rPr>
        <w:b w:val="0"/>
        <w:bCs w:val="0"/>
        <w:w w:val="100"/>
      </w:rPr>
    </w:lvl>
  </w:abstractNum>
  <w:abstractNum w:abstractNumId="32" w15:restartNumberingAfterBreak="0">
    <w:nsid w:val="4C5D5509"/>
    <w:multiLevelType w:val="singleLevel"/>
    <w:tmpl w:val="6B181338"/>
    <w:lvl w:ilvl="0">
      <w:start w:val="7"/>
      <w:numFmt w:val="decimal"/>
      <w:lvlRestart w:val="0"/>
      <w:lvlText w:val="%1."/>
      <w:lvlJc w:val="left"/>
      <w:pPr>
        <w:tabs>
          <w:tab w:val="num" w:pos="1742"/>
        </w:tabs>
        <w:ind w:left="1267" w:firstLine="0"/>
      </w:pPr>
      <w:rPr>
        <w:b w:val="0"/>
        <w:bCs w:val="0"/>
        <w:w w:val="100"/>
      </w:rPr>
    </w:lvl>
  </w:abstractNum>
  <w:abstractNum w:abstractNumId="33" w15:restartNumberingAfterBreak="0">
    <w:nsid w:val="4E607190"/>
    <w:multiLevelType w:val="singleLevel"/>
    <w:tmpl w:val="770CA4C8"/>
    <w:lvl w:ilvl="0">
      <w:start w:val="47"/>
      <w:numFmt w:val="decimal"/>
      <w:lvlRestart w:val="0"/>
      <w:lvlText w:val="%1."/>
      <w:lvlJc w:val="left"/>
      <w:pPr>
        <w:tabs>
          <w:tab w:val="num" w:pos="1742"/>
        </w:tabs>
        <w:ind w:left="1267" w:firstLine="0"/>
      </w:pPr>
      <w:rPr>
        <w:b w:val="0"/>
        <w:bCs w:val="0"/>
        <w:w w:val="100"/>
      </w:rPr>
    </w:lvl>
  </w:abstractNum>
  <w:abstractNum w:abstractNumId="34" w15:restartNumberingAfterBreak="0">
    <w:nsid w:val="4E7525BF"/>
    <w:multiLevelType w:val="singleLevel"/>
    <w:tmpl w:val="FAEA9B28"/>
    <w:lvl w:ilvl="0">
      <w:start w:val="32"/>
      <w:numFmt w:val="decimal"/>
      <w:lvlRestart w:val="0"/>
      <w:lvlText w:val="%1."/>
      <w:lvlJc w:val="left"/>
      <w:pPr>
        <w:tabs>
          <w:tab w:val="num" w:pos="1742"/>
        </w:tabs>
        <w:ind w:left="1267" w:firstLine="0"/>
      </w:pPr>
      <w:rPr>
        <w:w w:val="100"/>
      </w:rPr>
    </w:lvl>
  </w:abstractNum>
  <w:abstractNum w:abstractNumId="35" w15:restartNumberingAfterBreak="0">
    <w:nsid w:val="57081697"/>
    <w:multiLevelType w:val="singleLevel"/>
    <w:tmpl w:val="53264F6E"/>
    <w:lvl w:ilvl="0">
      <w:start w:val="38"/>
      <w:numFmt w:val="decimal"/>
      <w:lvlRestart w:val="0"/>
      <w:lvlText w:val="%1."/>
      <w:lvlJc w:val="left"/>
      <w:pPr>
        <w:tabs>
          <w:tab w:val="num" w:pos="1742"/>
        </w:tabs>
        <w:ind w:left="1267" w:firstLine="0"/>
      </w:pPr>
      <w:rPr>
        <w:w w:val="100"/>
      </w:rPr>
    </w:lvl>
  </w:abstractNum>
  <w:abstractNum w:abstractNumId="36" w15:restartNumberingAfterBreak="0">
    <w:nsid w:val="5AE07A54"/>
    <w:multiLevelType w:val="singleLevel"/>
    <w:tmpl w:val="BF84BD34"/>
    <w:lvl w:ilvl="0">
      <w:start w:val="36"/>
      <w:numFmt w:val="decimal"/>
      <w:lvlRestart w:val="0"/>
      <w:lvlText w:val="%1."/>
      <w:lvlJc w:val="left"/>
      <w:pPr>
        <w:tabs>
          <w:tab w:val="num" w:pos="1742"/>
        </w:tabs>
        <w:ind w:left="1267" w:firstLine="0"/>
      </w:pPr>
      <w:rPr>
        <w:w w:val="100"/>
      </w:rPr>
    </w:lvl>
  </w:abstractNum>
  <w:abstractNum w:abstractNumId="37" w15:restartNumberingAfterBreak="0">
    <w:nsid w:val="5C197E35"/>
    <w:multiLevelType w:val="singleLevel"/>
    <w:tmpl w:val="60A89F1E"/>
    <w:lvl w:ilvl="0">
      <w:start w:val="42"/>
      <w:numFmt w:val="decimal"/>
      <w:lvlRestart w:val="0"/>
      <w:lvlText w:val="%1."/>
      <w:lvlJc w:val="left"/>
      <w:pPr>
        <w:tabs>
          <w:tab w:val="num" w:pos="1742"/>
        </w:tabs>
        <w:ind w:left="1267" w:firstLine="0"/>
      </w:pPr>
      <w:rPr>
        <w:b w:val="0"/>
        <w:bCs w:val="0"/>
        <w:w w:val="100"/>
      </w:rPr>
    </w:lvl>
  </w:abstractNum>
  <w:abstractNum w:abstractNumId="38" w15:restartNumberingAfterBreak="0">
    <w:nsid w:val="5E053C60"/>
    <w:multiLevelType w:val="singleLevel"/>
    <w:tmpl w:val="704EBB24"/>
    <w:lvl w:ilvl="0">
      <w:start w:val="32"/>
      <w:numFmt w:val="decimal"/>
      <w:lvlRestart w:val="0"/>
      <w:lvlText w:val="%1."/>
      <w:lvlJc w:val="left"/>
      <w:pPr>
        <w:tabs>
          <w:tab w:val="num" w:pos="1742"/>
        </w:tabs>
        <w:ind w:left="1267" w:firstLine="0"/>
      </w:pPr>
      <w:rPr>
        <w:b w:val="0"/>
        <w:bCs w:val="0"/>
        <w:w w:val="100"/>
      </w:rPr>
    </w:lvl>
  </w:abstractNum>
  <w:abstractNum w:abstractNumId="39" w15:restartNumberingAfterBreak="0">
    <w:nsid w:val="60A55A32"/>
    <w:multiLevelType w:val="singleLevel"/>
    <w:tmpl w:val="79B0C13A"/>
    <w:lvl w:ilvl="0">
      <w:start w:val="28"/>
      <w:numFmt w:val="decimal"/>
      <w:lvlRestart w:val="0"/>
      <w:lvlText w:val="%1."/>
      <w:lvlJc w:val="left"/>
      <w:pPr>
        <w:tabs>
          <w:tab w:val="num" w:pos="1742"/>
        </w:tabs>
        <w:ind w:left="1267" w:firstLine="0"/>
      </w:pPr>
      <w:rPr>
        <w:b w:val="0"/>
        <w:bCs w:val="0"/>
        <w:w w:val="100"/>
      </w:rPr>
    </w:lvl>
  </w:abstractNum>
  <w:abstractNum w:abstractNumId="40" w15:restartNumberingAfterBreak="0">
    <w:nsid w:val="66495E6E"/>
    <w:multiLevelType w:val="singleLevel"/>
    <w:tmpl w:val="60CA9C2C"/>
    <w:lvl w:ilvl="0">
      <w:start w:val="49"/>
      <w:numFmt w:val="decimal"/>
      <w:lvlRestart w:val="0"/>
      <w:lvlText w:val="%1."/>
      <w:lvlJc w:val="left"/>
      <w:pPr>
        <w:tabs>
          <w:tab w:val="num" w:pos="1742"/>
        </w:tabs>
        <w:ind w:left="1267" w:firstLine="0"/>
      </w:pPr>
      <w:rPr>
        <w:w w:val="100"/>
      </w:rPr>
    </w:lvl>
  </w:abstractNum>
  <w:abstractNum w:abstractNumId="41" w15:restartNumberingAfterBreak="0">
    <w:nsid w:val="66732169"/>
    <w:multiLevelType w:val="singleLevel"/>
    <w:tmpl w:val="56CC39DA"/>
    <w:lvl w:ilvl="0">
      <w:start w:val="6"/>
      <w:numFmt w:val="decimal"/>
      <w:lvlRestart w:val="0"/>
      <w:lvlText w:val="%1."/>
      <w:lvlJc w:val="left"/>
      <w:pPr>
        <w:tabs>
          <w:tab w:val="num" w:pos="1742"/>
        </w:tabs>
        <w:ind w:left="1267" w:firstLine="0"/>
      </w:pPr>
      <w:rPr>
        <w:b w:val="0"/>
        <w:bCs w:val="0"/>
        <w:w w:val="100"/>
      </w:rPr>
    </w:lvl>
  </w:abstractNum>
  <w:abstractNum w:abstractNumId="42" w15:restartNumberingAfterBreak="0">
    <w:nsid w:val="67D10CFA"/>
    <w:multiLevelType w:val="singleLevel"/>
    <w:tmpl w:val="71AEBB68"/>
    <w:lvl w:ilvl="0">
      <w:start w:val="50"/>
      <w:numFmt w:val="decimal"/>
      <w:lvlRestart w:val="0"/>
      <w:lvlText w:val="%1."/>
      <w:lvlJc w:val="left"/>
      <w:pPr>
        <w:tabs>
          <w:tab w:val="num" w:pos="1742"/>
        </w:tabs>
        <w:ind w:left="1267" w:firstLine="0"/>
      </w:pPr>
      <w:rPr>
        <w:w w:val="100"/>
      </w:rPr>
    </w:lvl>
  </w:abstractNum>
  <w:abstractNum w:abstractNumId="43" w15:restartNumberingAfterBreak="0">
    <w:nsid w:val="69BC2EEE"/>
    <w:multiLevelType w:val="singleLevel"/>
    <w:tmpl w:val="3BE41692"/>
    <w:lvl w:ilvl="0">
      <w:start w:val="49"/>
      <w:numFmt w:val="decimal"/>
      <w:lvlRestart w:val="0"/>
      <w:lvlText w:val="%1."/>
      <w:lvlJc w:val="left"/>
      <w:pPr>
        <w:tabs>
          <w:tab w:val="num" w:pos="1742"/>
        </w:tabs>
        <w:ind w:left="1267" w:firstLine="0"/>
      </w:pPr>
      <w:rPr>
        <w:b w:val="0"/>
        <w:bCs w:val="0"/>
        <w:w w:val="100"/>
      </w:rPr>
    </w:lvl>
  </w:abstractNum>
  <w:abstractNum w:abstractNumId="44" w15:restartNumberingAfterBreak="0">
    <w:nsid w:val="6ADB34DA"/>
    <w:multiLevelType w:val="singleLevel"/>
    <w:tmpl w:val="4904A064"/>
    <w:lvl w:ilvl="0">
      <w:start w:val="42"/>
      <w:numFmt w:val="decimal"/>
      <w:lvlRestart w:val="0"/>
      <w:lvlText w:val="%1."/>
      <w:lvlJc w:val="left"/>
      <w:pPr>
        <w:tabs>
          <w:tab w:val="num" w:pos="1742"/>
        </w:tabs>
        <w:ind w:left="1267" w:firstLine="0"/>
      </w:pPr>
      <w:rPr>
        <w:w w:val="100"/>
      </w:rPr>
    </w:lvl>
  </w:abstractNum>
  <w:abstractNum w:abstractNumId="45" w15:restartNumberingAfterBreak="0">
    <w:nsid w:val="6C596486"/>
    <w:multiLevelType w:val="singleLevel"/>
    <w:tmpl w:val="5F9EA5A2"/>
    <w:lvl w:ilvl="0">
      <w:start w:val="28"/>
      <w:numFmt w:val="decimal"/>
      <w:lvlRestart w:val="0"/>
      <w:lvlText w:val="%1."/>
      <w:lvlJc w:val="left"/>
      <w:pPr>
        <w:tabs>
          <w:tab w:val="num" w:pos="1742"/>
        </w:tabs>
        <w:ind w:left="1267" w:firstLine="0"/>
      </w:pPr>
      <w:rPr>
        <w:w w:val="100"/>
      </w:rPr>
    </w:lvl>
  </w:abstractNum>
  <w:abstractNum w:abstractNumId="46" w15:restartNumberingAfterBreak="0">
    <w:nsid w:val="77CD35BF"/>
    <w:multiLevelType w:val="singleLevel"/>
    <w:tmpl w:val="0D7E06DA"/>
    <w:lvl w:ilvl="0">
      <w:start w:val="18"/>
      <w:numFmt w:val="decimal"/>
      <w:lvlRestart w:val="0"/>
      <w:lvlText w:val="%1."/>
      <w:lvlJc w:val="left"/>
      <w:pPr>
        <w:tabs>
          <w:tab w:val="num" w:pos="1742"/>
        </w:tabs>
        <w:ind w:left="1267" w:firstLine="0"/>
      </w:pPr>
      <w:rPr>
        <w:b w:val="0"/>
        <w:bCs w:val="0"/>
        <w:w w:val="100"/>
      </w:rPr>
    </w:lvl>
  </w:abstractNum>
  <w:num w:numId="1">
    <w:abstractNumId w:val="9"/>
  </w:num>
  <w:num w:numId="2">
    <w:abstractNumId w:val="29"/>
  </w:num>
  <w:num w:numId="3">
    <w:abstractNumId w:val="1"/>
  </w:num>
  <w:num w:numId="4">
    <w:abstractNumId w:val="7"/>
  </w:num>
  <w:num w:numId="5">
    <w:abstractNumId w:val="13"/>
  </w:num>
  <w:num w:numId="6">
    <w:abstractNumId w:val="32"/>
  </w:num>
  <w:num w:numId="7">
    <w:abstractNumId w:val="22"/>
  </w:num>
  <w:num w:numId="8">
    <w:abstractNumId w:val="17"/>
  </w:num>
  <w:num w:numId="9">
    <w:abstractNumId w:val="27"/>
  </w:num>
  <w:num w:numId="10">
    <w:abstractNumId w:val="6"/>
  </w:num>
  <w:num w:numId="11">
    <w:abstractNumId w:val="4"/>
  </w:num>
  <w:num w:numId="12">
    <w:abstractNumId w:val="30"/>
  </w:num>
  <w:num w:numId="13">
    <w:abstractNumId w:val="46"/>
  </w:num>
  <w:num w:numId="14">
    <w:abstractNumId w:val="25"/>
  </w:num>
  <w:num w:numId="15">
    <w:abstractNumId w:val="20"/>
  </w:num>
  <w:num w:numId="16">
    <w:abstractNumId w:val="15"/>
  </w:num>
  <w:num w:numId="17">
    <w:abstractNumId w:val="0"/>
  </w:num>
  <w:num w:numId="18">
    <w:abstractNumId w:val="14"/>
  </w:num>
  <w:num w:numId="19">
    <w:abstractNumId w:val="10"/>
  </w:num>
  <w:num w:numId="20">
    <w:abstractNumId w:val="39"/>
  </w:num>
  <w:num w:numId="21">
    <w:abstractNumId w:val="45"/>
  </w:num>
  <w:num w:numId="22">
    <w:abstractNumId w:val="26"/>
  </w:num>
  <w:num w:numId="23">
    <w:abstractNumId w:val="2"/>
  </w:num>
  <w:num w:numId="24">
    <w:abstractNumId w:val="38"/>
  </w:num>
  <w:num w:numId="25">
    <w:abstractNumId w:val="34"/>
  </w:num>
  <w:num w:numId="26">
    <w:abstractNumId w:val="19"/>
  </w:num>
  <w:num w:numId="27">
    <w:abstractNumId w:val="24"/>
  </w:num>
  <w:num w:numId="28">
    <w:abstractNumId w:val="5"/>
  </w:num>
  <w:num w:numId="29">
    <w:abstractNumId w:val="36"/>
  </w:num>
  <w:num w:numId="30">
    <w:abstractNumId w:val="31"/>
  </w:num>
  <w:num w:numId="31">
    <w:abstractNumId w:val="35"/>
  </w:num>
  <w:num w:numId="32">
    <w:abstractNumId w:val="12"/>
  </w:num>
  <w:num w:numId="33">
    <w:abstractNumId w:val="23"/>
  </w:num>
  <w:num w:numId="34">
    <w:abstractNumId w:val="37"/>
  </w:num>
  <w:num w:numId="35">
    <w:abstractNumId w:val="44"/>
  </w:num>
  <w:num w:numId="36">
    <w:abstractNumId w:val="18"/>
  </w:num>
  <w:num w:numId="37">
    <w:abstractNumId w:val="11"/>
  </w:num>
  <w:num w:numId="38">
    <w:abstractNumId w:val="28"/>
  </w:num>
  <w:num w:numId="39">
    <w:abstractNumId w:val="16"/>
  </w:num>
  <w:num w:numId="40">
    <w:abstractNumId w:val="33"/>
  </w:num>
  <w:num w:numId="41">
    <w:abstractNumId w:val="21"/>
  </w:num>
  <w:num w:numId="42">
    <w:abstractNumId w:val="43"/>
  </w:num>
  <w:num w:numId="43">
    <w:abstractNumId w:val="40"/>
  </w:num>
  <w:num w:numId="44">
    <w:abstractNumId w:val="3"/>
  </w:num>
  <w:num w:numId="45">
    <w:abstractNumId w:val="42"/>
  </w:num>
  <w:num w:numId="46">
    <w:abstractNumId w:val="8"/>
  </w:num>
  <w:num w:numId="47">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embedSystemFonts/>
  <w:hideSpellingErrors/>
  <w:revisionView w:markup="0" w:comments="0" w:formatting="0"/>
  <w:defaultTabStop w:val="475"/>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25*"/>
    <w:docVar w:name="CreationDt" w:val="13/09/2022 15:01:35"/>
    <w:docVar w:name="DocCategory" w:val="Doc"/>
    <w:docVar w:name="DocType" w:val="Final"/>
    <w:docVar w:name="DutyStation" w:val="New York"/>
    <w:docVar w:name="FooterJN" w:val="22-10925"/>
    <w:docVar w:name="jobn" w:val="22-10925 (F)"/>
    <w:docVar w:name="jobnDT" w:val="22-10925 (F)   130922"/>
    <w:docVar w:name="jobnDTDT" w:val="22-10925 (F)   130922   130922"/>
    <w:docVar w:name="JobNo" w:val="2210925F"/>
    <w:docVar w:name="JobNo2" w:val="2242106F"/>
    <w:docVar w:name="LocalDrive" w:val="-1"/>
    <w:docVar w:name="OandT" w:val="JMS"/>
    <w:docVar w:name="sss1" w:val="CEDAW/C/MNG/CO/10"/>
    <w:docVar w:name="sss2" w:val="-"/>
    <w:docVar w:name="Symbol1" w:val="CEDAW/C/MNG/CO/10"/>
    <w:docVar w:name="Symbol2" w:val="-"/>
  </w:docVars>
  <w:rsids>
    <w:rsidRoot w:val="00825C2A"/>
    <w:rsid w:val="00000865"/>
    <w:rsid w:val="00002584"/>
    <w:rsid w:val="00002923"/>
    <w:rsid w:val="00002FD6"/>
    <w:rsid w:val="00015EAF"/>
    <w:rsid w:val="00043333"/>
    <w:rsid w:val="000442CA"/>
    <w:rsid w:val="000530E3"/>
    <w:rsid w:val="00063FAA"/>
    <w:rsid w:val="0006491F"/>
    <w:rsid w:val="00066B74"/>
    <w:rsid w:val="00071D43"/>
    <w:rsid w:val="0007273B"/>
    <w:rsid w:val="000729A9"/>
    <w:rsid w:val="00073BE0"/>
    <w:rsid w:val="00082144"/>
    <w:rsid w:val="00085F32"/>
    <w:rsid w:val="00090DE7"/>
    <w:rsid w:val="000A0379"/>
    <w:rsid w:val="000A45BB"/>
    <w:rsid w:val="000A5352"/>
    <w:rsid w:val="000B6C86"/>
    <w:rsid w:val="000C1221"/>
    <w:rsid w:val="000E4349"/>
    <w:rsid w:val="000E7762"/>
    <w:rsid w:val="000F4100"/>
    <w:rsid w:val="000F7DD2"/>
    <w:rsid w:val="00101B18"/>
    <w:rsid w:val="001066DE"/>
    <w:rsid w:val="00122A56"/>
    <w:rsid w:val="00126025"/>
    <w:rsid w:val="00130F75"/>
    <w:rsid w:val="00131217"/>
    <w:rsid w:val="001347B3"/>
    <w:rsid w:val="00134FEE"/>
    <w:rsid w:val="00146C6A"/>
    <w:rsid w:val="00161842"/>
    <w:rsid w:val="001667B7"/>
    <w:rsid w:val="00166A0D"/>
    <w:rsid w:val="00166A3B"/>
    <w:rsid w:val="00173353"/>
    <w:rsid w:val="00175C07"/>
    <w:rsid w:val="00177CD0"/>
    <w:rsid w:val="001953CF"/>
    <w:rsid w:val="001A0146"/>
    <w:rsid w:val="001A5F52"/>
    <w:rsid w:val="001B1175"/>
    <w:rsid w:val="001B43B7"/>
    <w:rsid w:val="001B5AF4"/>
    <w:rsid w:val="001B6651"/>
    <w:rsid w:val="001B7739"/>
    <w:rsid w:val="001C14EB"/>
    <w:rsid w:val="001C159C"/>
    <w:rsid w:val="001C6116"/>
    <w:rsid w:val="001D11F0"/>
    <w:rsid w:val="001D55E8"/>
    <w:rsid w:val="001E2379"/>
    <w:rsid w:val="001E4B50"/>
    <w:rsid w:val="001E75B1"/>
    <w:rsid w:val="002041F7"/>
    <w:rsid w:val="002122D7"/>
    <w:rsid w:val="00212A57"/>
    <w:rsid w:val="00215120"/>
    <w:rsid w:val="00224879"/>
    <w:rsid w:val="00230586"/>
    <w:rsid w:val="00245107"/>
    <w:rsid w:val="00245FDC"/>
    <w:rsid w:val="002478A0"/>
    <w:rsid w:val="00254E0C"/>
    <w:rsid w:val="00266FD9"/>
    <w:rsid w:val="002766D0"/>
    <w:rsid w:val="002A5E20"/>
    <w:rsid w:val="002B2395"/>
    <w:rsid w:val="002B2F88"/>
    <w:rsid w:val="002B6C24"/>
    <w:rsid w:val="002C1FC2"/>
    <w:rsid w:val="002E1C7F"/>
    <w:rsid w:val="002E5432"/>
    <w:rsid w:val="002E721E"/>
    <w:rsid w:val="002F36B2"/>
    <w:rsid w:val="002F60C8"/>
    <w:rsid w:val="003059C8"/>
    <w:rsid w:val="0030765E"/>
    <w:rsid w:val="003120BA"/>
    <w:rsid w:val="00324E9A"/>
    <w:rsid w:val="00330EC7"/>
    <w:rsid w:val="00353879"/>
    <w:rsid w:val="00362220"/>
    <w:rsid w:val="003653C1"/>
    <w:rsid w:val="00366D21"/>
    <w:rsid w:val="00385C30"/>
    <w:rsid w:val="003905FA"/>
    <w:rsid w:val="003A675A"/>
    <w:rsid w:val="003C6325"/>
    <w:rsid w:val="003D0180"/>
    <w:rsid w:val="003D0212"/>
    <w:rsid w:val="003D2B69"/>
    <w:rsid w:val="003E5BB0"/>
    <w:rsid w:val="003F5EA6"/>
    <w:rsid w:val="003F61E1"/>
    <w:rsid w:val="00410BE8"/>
    <w:rsid w:val="00433DB8"/>
    <w:rsid w:val="00440C93"/>
    <w:rsid w:val="0045224E"/>
    <w:rsid w:val="00456CF0"/>
    <w:rsid w:val="00470181"/>
    <w:rsid w:val="00470650"/>
    <w:rsid w:val="00472B7F"/>
    <w:rsid w:val="004766FD"/>
    <w:rsid w:val="00480B84"/>
    <w:rsid w:val="00486664"/>
    <w:rsid w:val="00487ADC"/>
    <w:rsid w:val="004A035B"/>
    <w:rsid w:val="004A7BA0"/>
    <w:rsid w:val="004B64F9"/>
    <w:rsid w:val="004C1A25"/>
    <w:rsid w:val="004C6081"/>
    <w:rsid w:val="0050410C"/>
    <w:rsid w:val="005064A2"/>
    <w:rsid w:val="00515991"/>
    <w:rsid w:val="005225EC"/>
    <w:rsid w:val="00525097"/>
    <w:rsid w:val="005309C2"/>
    <w:rsid w:val="005509B6"/>
    <w:rsid w:val="00551139"/>
    <w:rsid w:val="00571235"/>
    <w:rsid w:val="005777B4"/>
    <w:rsid w:val="00577A36"/>
    <w:rsid w:val="00580CF2"/>
    <w:rsid w:val="00593BCC"/>
    <w:rsid w:val="0059558B"/>
    <w:rsid w:val="00597AAD"/>
    <w:rsid w:val="00597B8B"/>
    <w:rsid w:val="005B398E"/>
    <w:rsid w:val="005C03A7"/>
    <w:rsid w:val="005C0EBD"/>
    <w:rsid w:val="005C329E"/>
    <w:rsid w:val="005C5330"/>
    <w:rsid w:val="005C544C"/>
    <w:rsid w:val="005F1F5F"/>
    <w:rsid w:val="005F2284"/>
    <w:rsid w:val="005F3721"/>
    <w:rsid w:val="005F4C0E"/>
    <w:rsid w:val="005F6036"/>
    <w:rsid w:val="00601EF6"/>
    <w:rsid w:val="006267C4"/>
    <w:rsid w:val="006317F2"/>
    <w:rsid w:val="00632C10"/>
    <w:rsid w:val="006565DB"/>
    <w:rsid w:val="006623A1"/>
    <w:rsid w:val="006706F2"/>
    <w:rsid w:val="006822DC"/>
    <w:rsid w:val="006875FA"/>
    <w:rsid w:val="00690698"/>
    <w:rsid w:val="00694063"/>
    <w:rsid w:val="006955D6"/>
    <w:rsid w:val="00695C43"/>
    <w:rsid w:val="00697B5E"/>
    <w:rsid w:val="006A72AB"/>
    <w:rsid w:val="006C5883"/>
    <w:rsid w:val="006D0B3E"/>
    <w:rsid w:val="006D61CA"/>
    <w:rsid w:val="006D6493"/>
    <w:rsid w:val="006D7B5B"/>
    <w:rsid w:val="006E0690"/>
    <w:rsid w:val="006E290B"/>
    <w:rsid w:val="006E4A4B"/>
    <w:rsid w:val="006E5107"/>
    <w:rsid w:val="006F0527"/>
    <w:rsid w:val="006F5E32"/>
    <w:rsid w:val="00703106"/>
    <w:rsid w:val="0070663F"/>
    <w:rsid w:val="00740140"/>
    <w:rsid w:val="007459AE"/>
    <w:rsid w:val="007531A5"/>
    <w:rsid w:val="00760397"/>
    <w:rsid w:val="00770880"/>
    <w:rsid w:val="00771C9E"/>
    <w:rsid w:val="0077372E"/>
    <w:rsid w:val="00782641"/>
    <w:rsid w:val="00790B9D"/>
    <w:rsid w:val="0079232A"/>
    <w:rsid w:val="00792848"/>
    <w:rsid w:val="00793D98"/>
    <w:rsid w:val="007C007E"/>
    <w:rsid w:val="007C7824"/>
    <w:rsid w:val="007D4FB1"/>
    <w:rsid w:val="007E1619"/>
    <w:rsid w:val="007E502E"/>
    <w:rsid w:val="00813336"/>
    <w:rsid w:val="00816539"/>
    <w:rsid w:val="0082045E"/>
    <w:rsid w:val="008222A3"/>
    <w:rsid w:val="00825C2A"/>
    <w:rsid w:val="008300F3"/>
    <w:rsid w:val="0083052D"/>
    <w:rsid w:val="0083510D"/>
    <w:rsid w:val="00857C25"/>
    <w:rsid w:val="0086094B"/>
    <w:rsid w:val="00864E95"/>
    <w:rsid w:val="0088002B"/>
    <w:rsid w:val="00883D3C"/>
    <w:rsid w:val="00886CF2"/>
    <w:rsid w:val="00886E28"/>
    <w:rsid w:val="00895DD1"/>
    <w:rsid w:val="008A3F9C"/>
    <w:rsid w:val="008A4AB4"/>
    <w:rsid w:val="008A6E0A"/>
    <w:rsid w:val="008B2D03"/>
    <w:rsid w:val="008C3B7B"/>
    <w:rsid w:val="008C4090"/>
    <w:rsid w:val="008D6C0A"/>
    <w:rsid w:val="008F3462"/>
    <w:rsid w:val="0090104D"/>
    <w:rsid w:val="009237A6"/>
    <w:rsid w:val="00935932"/>
    <w:rsid w:val="009547DC"/>
    <w:rsid w:val="00954FA6"/>
    <w:rsid w:val="0096330C"/>
    <w:rsid w:val="009700FE"/>
    <w:rsid w:val="00972835"/>
    <w:rsid w:val="00985212"/>
    <w:rsid w:val="00993CB7"/>
    <w:rsid w:val="00994877"/>
    <w:rsid w:val="009B37C9"/>
    <w:rsid w:val="009C351D"/>
    <w:rsid w:val="009C3BFE"/>
    <w:rsid w:val="009D0EE3"/>
    <w:rsid w:val="009D652B"/>
    <w:rsid w:val="009E3220"/>
    <w:rsid w:val="009F40B9"/>
    <w:rsid w:val="009F57B4"/>
    <w:rsid w:val="009F630A"/>
    <w:rsid w:val="00A07216"/>
    <w:rsid w:val="00A220ED"/>
    <w:rsid w:val="00A2494D"/>
    <w:rsid w:val="00A40D0F"/>
    <w:rsid w:val="00A413B2"/>
    <w:rsid w:val="00A419FE"/>
    <w:rsid w:val="00A536A1"/>
    <w:rsid w:val="00A558A0"/>
    <w:rsid w:val="00A7104E"/>
    <w:rsid w:val="00A76C1D"/>
    <w:rsid w:val="00A90BA8"/>
    <w:rsid w:val="00A94311"/>
    <w:rsid w:val="00A967B5"/>
    <w:rsid w:val="00AA63DB"/>
    <w:rsid w:val="00AB0B7D"/>
    <w:rsid w:val="00AC15BA"/>
    <w:rsid w:val="00AC2228"/>
    <w:rsid w:val="00AD5F2F"/>
    <w:rsid w:val="00AE1797"/>
    <w:rsid w:val="00AE5D05"/>
    <w:rsid w:val="00AF6339"/>
    <w:rsid w:val="00B34C34"/>
    <w:rsid w:val="00B4689A"/>
    <w:rsid w:val="00B71BBA"/>
    <w:rsid w:val="00B72729"/>
    <w:rsid w:val="00B83DB5"/>
    <w:rsid w:val="00B858D5"/>
    <w:rsid w:val="00B93FC1"/>
    <w:rsid w:val="00BB0190"/>
    <w:rsid w:val="00BB281F"/>
    <w:rsid w:val="00BB6C50"/>
    <w:rsid w:val="00BC74DC"/>
    <w:rsid w:val="00BD3229"/>
    <w:rsid w:val="00BE3A11"/>
    <w:rsid w:val="00BF5EA6"/>
    <w:rsid w:val="00C0129D"/>
    <w:rsid w:val="00C11FF6"/>
    <w:rsid w:val="00C138C6"/>
    <w:rsid w:val="00C173B3"/>
    <w:rsid w:val="00C239C3"/>
    <w:rsid w:val="00C247C7"/>
    <w:rsid w:val="00C248DE"/>
    <w:rsid w:val="00C42AF8"/>
    <w:rsid w:val="00C42DE4"/>
    <w:rsid w:val="00C52D7C"/>
    <w:rsid w:val="00C56FB2"/>
    <w:rsid w:val="00C80AFE"/>
    <w:rsid w:val="00C82229"/>
    <w:rsid w:val="00C90F2A"/>
    <w:rsid w:val="00CB06FB"/>
    <w:rsid w:val="00CB0D06"/>
    <w:rsid w:val="00CB63C5"/>
    <w:rsid w:val="00CD41B3"/>
    <w:rsid w:val="00CF2988"/>
    <w:rsid w:val="00D06A73"/>
    <w:rsid w:val="00D1588C"/>
    <w:rsid w:val="00D230AE"/>
    <w:rsid w:val="00D2668E"/>
    <w:rsid w:val="00D30EED"/>
    <w:rsid w:val="00D310CB"/>
    <w:rsid w:val="00D32BFB"/>
    <w:rsid w:val="00D43153"/>
    <w:rsid w:val="00D50FB3"/>
    <w:rsid w:val="00D5663A"/>
    <w:rsid w:val="00D62817"/>
    <w:rsid w:val="00D6735A"/>
    <w:rsid w:val="00D77421"/>
    <w:rsid w:val="00D80E41"/>
    <w:rsid w:val="00D90AAC"/>
    <w:rsid w:val="00DA084D"/>
    <w:rsid w:val="00DB55C1"/>
    <w:rsid w:val="00DB6786"/>
    <w:rsid w:val="00DC7881"/>
    <w:rsid w:val="00DD1F59"/>
    <w:rsid w:val="00DF0C23"/>
    <w:rsid w:val="00DF43F6"/>
    <w:rsid w:val="00E126C3"/>
    <w:rsid w:val="00E147C4"/>
    <w:rsid w:val="00E20984"/>
    <w:rsid w:val="00E327B5"/>
    <w:rsid w:val="00E343A6"/>
    <w:rsid w:val="00E372D8"/>
    <w:rsid w:val="00E40A91"/>
    <w:rsid w:val="00E443AC"/>
    <w:rsid w:val="00E47A1E"/>
    <w:rsid w:val="00E5196F"/>
    <w:rsid w:val="00E60743"/>
    <w:rsid w:val="00E7105F"/>
    <w:rsid w:val="00E7792F"/>
    <w:rsid w:val="00E91B1C"/>
    <w:rsid w:val="00EC1429"/>
    <w:rsid w:val="00EC5E6A"/>
    <w:rsid w:val="00EE37EC"/>
    <w:rsid w:val="00EE4711"/>
    <w:rsid w:val="00EF2DFA"/>
    <w:rsid w:val="00EF49F9"/>
    <w:rsid w:val="00F0163E"/>
    <w:rsid w:val="00F051C7"/>
    <w:rsid w:val="00F1054B"/>
    <w:rsid w:val="00F11D66"/>
    <w:rsid w:val="00F135A7"/>
    <w:rsid w:val="00F313F6"/>
    <w:rsid w:val="00F37808"/>
    <w:rsid w:val="00F45E5A"/>
    <w:rsid w:val="00F5012D"/>
    <w:rsid w:val="00F73093"/>
    <w:rsid w:val="00F75F67"/>
    <w:rsid w:val="00F80073"/>
    <w:rsid w:val="00F819FB"/>
    <w:rsid w:val="00F81BFD"/>
    <w:rsid w:val="00FA23D3"/>
    <w:rsid w:val="00FA23EC"/>
    <w:rsid w:val="00FA3D05"/>
    <w:rsid w:val="00FA5CC9"/>
    <w:rsid w:val="00FB0A2C"/>
    <w:rsid w:val="00FC1262"/>
    <w:rsid w:val="00FC59F1"/>
    <w:rsid w:val="00FD192B"/>
    <w:rsid w:val="00FD44F5"/>
    <w:rsid w:val="00FD5ADF"/>
    <w:rsid w:val="00FE41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B7F9A5"/>
  <w15:chartTrackingRefBased/>
  <w15:docId w15:val="{F58D1B02-F7B1-491A-B138-1509DCCD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CD0"/>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77CD0"/>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77CD0"/>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77CD0"/>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77CD0"/>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77CD0"/>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77CD0"/>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77CD0"/>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77CD0"/>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77CD0"/>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77CD0"/>
    <w:pPr>
      <w:keepNext/>
      <w:keepLines/>
      <w:suppressAutoHyphens/>
      <w:spacing w:line="270" w:lineRule="exact"/>
      <w:outlineLvl w:val="0"/>
    </w:pPr>
    <w:rPr>
      <w:b/>
      <w:sz w:val="24"/>
    </w:rPr>
  </w:style>
  <w:style w:type="paragraph" w:customStyle="1" w:styleId="HCH">
    <w:name w:val="_ H _CH"/>
    <w:basedOn w:val="H1"/>
    <w:next w:val="SingleTxt"/>
    <w:qFormat/>
    <w:rsid w:val="00177CD0"/>
    <w:pPr>
      <w:spacing w:line="300" w:lineRule="exact"/>
    </w:pPr>
    <w:rPr>
      <w:spacing w:val="-2"/>
      <w:sz w:val="28"/>
    </w:rPr>
  </w:style>
  <w:style w:type="paragraph" w:customStyle="1" w:styleId="HM">
    <w:name w:val="_ H __M"/>
    <w:basedOn w:val="HCH"/>
    <w:next w:val="Normal"/>
    <w:qFormat/>
    <w:rsid w:val="00177CD0"/>
    <w:pPr>
      <w:spacing w:line="360" w:lineRule="exact"/>
    </w:pPr>
    <w:rPr>
      <w:spacing w:val="-3"/>
      <w:w w:val="99"/>
      <w:sz w:val="34"/>
    </w:rPr>
  </w:style>
  <w:style w:type="paragraph" w:customStyle="1" w:styleId="H23">
    <w:name w:val="_ H_2/3"/>
    <w:basedOn w:val="H1"/>
    <w:next w:val="SingleTxt"/>
    <w:qFormat/>
    <w:rsid w:val="00177CD0"/>
    <w:pPr>
      <w:spacing w:line="240" w:lineRule="exact"/>
      <w:outlineLvl w:val="1"/>
    </w:pPr>
    <w:rPr>
      <w:spacing w:val="2"/>
      <w:sz w:val="20"/>
    </w:rPr>
  </w:style>
  <w:style w:type="paragraph" w:customStyle="1" w:styleId="H4">
    <w:name w:val="_ H_4"/>
    <w:basedOn w:val="Normal"/>
    <w:next w:val="Normal"/>
    <w:qFormat/>
    <w:rsid w:val="00177CD0"/>
    <w:pPr>
      <w:keepNext/>
      <w:keepLines/>
      <w:tabs>
        <w:tab w:val="right" w:pos="360"/>
      </w:tabs>
      <w:suppressAutoHyphens/>
      <w:outlineLvl w:val="3"/>
    </w:pPr>
    <w:rPr>
      <w:i/>
      <w:spacing w:val="3"/>
    </w:rPr>
  </w:style>
  <w:style w:type="paragraph" w:customStyle="1" w:styleId="H56">
    <w:name w:val="_ H_5/6"/>
    <w:basedOn w:val="Normal"/>
    <w:next w:val="Normal"/>
    <w:qFormat/>
    <w:rsid w:val="00177CD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77CD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77CD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77CD0"/>
    <w:pPr>
      <w:spacing w:line="540" w:lineRule="exact"/>
    </w:pPr>
    <w:rPr>
      <w:spacing w:val="-8"/>
      <w:w w:val="96"/>
      <w:sz w:val="57"/>
    </w:rPr>
  </w:style>
  <w:style w:type="paragraph" w:customStyle="1" w:styleId="SS">
    <w:name w:val="__S_S"/>
    <w:basedOn w:val="HCH"/>
    <w:next w:val="Normal"/>
    <w:qFormat/>
    <w:rsid w:val="00177CD0"/>
    <w:pPr>
      <w:ind w:left="1267" w:right="1267"/>
    </w:pPr>
  </w:style>
  <w:style w:type="paragraph" w:customStyle="1" w:styleId="SingleTxt">
    <w:name w:val="__Single Txt"/>
    <w:basedOn w:val="Normal"/>
    <w:qFormat/>
    <w:rsid w:val="00177CD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77CD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77C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77CD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77CD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7CD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77CD0"/>
    <w:pPr>
      <w:numPr>
        <w:numId w:val="1"/>
      </w:numPr>
      <w:spacing w:after="120"/>
      <w:ind w:right="1267"/>
      <w:jc w:val="both"/>
    </w:pPr>
  </w:style>
  <w:style w:type="paragraph" w:customStyle="1" w:styleId="Bullet2">
    <w:name w:val="Bullet 2"/>
    <w:basedOn w:val="Normal"/>
    <w:qFormat/>
    <w:rsid w:val="00177CD0"/>
    <w:pPr>
      <w:numPr>
        <w:numId w:val="2"/>
      </w:numPr>
      <w:spacing w:after="120"/>
      <w:ind w:right="1264"/>
      <w:jc w:val="both"/>
    </w:pPr>
  </w:style>
  <w:style w:type="paragraph" w:customStyle="1" w:styleId="Bullet3">
    <w:name w:val="Bullet 3"/>
    <w:basedOn w:val="SingleTxt"/>
    <w:qFormat/>
    <w:rsid w:val="00177CD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77CD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77CD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77CD0"/>
    <w:pPr>
      <w:spacing w:line="210" w:lineRule="exact"/>
    </w:pPr>
    <w:rPr>
      <w:sz w:val="17"/>
      <w:szCs w:val="20"/>
    </w:rPr>
  </w:style>
  <w:style w:type="character" w:customStyle="1" w:styleId="EndnoteTextChar">
    <w:name w:val="Endnote Text Char"/>
    <w:link w:val="EndnoteText"/>
    <w:uiPriority w:val="99"/>
    <w:semiHidden/>
    <w:rsid w:val="00177CD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77CD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77CD0"/>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177CD0"/>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77CD0"/>
    <w:pPr>
      <w:spacing w:line="210" w:lineRule="exact"/>
    </w:pPr>
    <w:rPr>
      <w:sz w:val="17"/>
      <w:szCs w:val="20"/>
    </w:rPr>
  </w:style>
  <w:style w:type="character" w:customStyle="1" w:styleId="FootnoteTextChar">
    <w:name w:val="Footnote Text Char"/>
    <w:link w:val="FootnoteText"/>
    <w:uiPriority w:val="99"/>
    <w:rsid w:val="00177CD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77CD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77CD0"/>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77CD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77CD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77CD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77CD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77CD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77CD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77CD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77CD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77CD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77CD0"/>
    <w:rPr>
      <w:sz w:val="14"/>
    </w:rPr>
  </w:style>
  <w:style w:type="paragraph" w:styleId="ListParagraph">
    <w:name w:val="List Paragraph"/>
    <w:basedOn w:val="Normal"/>
    <w:uiPriority w:val="34"/>
    <w:rsid w:val="00177CD0"/>
    <w:pPr>
      <w:ind w:left="720"/>
      <w:contextualSpacing/>
    </w:pPr>
  </w:style>
  <w:style w:type="paragraph" w:styleId="NoSpacing">
    <w:name w:val="No Spacing"/>
    <w:uiPriority w:val="1"/>
    <w:rsid w:val="00177CD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77CD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77CD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77CD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77CD0"/>
    <w:pPr>
      <w:tabs>
        <w:tab w:val="right" w:pos="9965"/>
      </w:tabs>
      <w:spacing w:line="210" w:lineRule="exact"/>
    </w:pPr>
    <w:rPr>
      <w:spacing w:val="5"/>
      <w:w w:val="104"/>
      <w:sz w:val="17"/>
    </w:rPr>
  </w:style>
  <w:style w:type="paragraph" w:customStyle="1" w:styleId="SmallX">
    <w:name w:val="SmallX"/>
    <w:basedOn w:val="Small"/>
    <w:next w:val="Normal"/>
    <w:qFormat/>
    <w:rsid w:val="00177CD0"/>
    <w:pPr>
      <w:spacing w:line="180" w:lineRule="exact"/>
      <w:jc w:val="right"/>
    </w:pPr>
    <w:rPr>
      <w:spacing w:val="6"/>
      <w:w w:val="106"/>
      <w:sz w:val="14"/>
    </w:rPr>
  </w:style>
  <w:style w:type="character" w:styleId="Strong">
    <w:name w:val="Strong"/>
    <w:uiPriority w:val="22"/>
    <w:rsid w:val="00177CD0"/>
    <w:rPr>
      <w:b/>
      <w:bCs/>
    </w:rPr>
  </w:style>
  <w:style w:type="paragraph" w:customStyle="1" w:styleId="Style1">
    <w:name w:val="Style1"/>
    <w:basedOn w:val="Normal"/>
    <w:qFormat/>
    <w:rsid w:val="00177CD0"/>
  </w:style>
  <w:style w:type="paragraph" w:customStyle="1" w:styleId="Style2">
    <w:name w:val="Style2"/>
    <w:basedOn w:val="Normal"/>
    <w:autoRedefine/>
    <w:qFormat/>
    <w:rsid w:val="00177CD0"/>
  </w:style>
  <w:style w:type="paragraph" w:customStyle="1" w:styleId="TitleHCH">
    <w:name w:val="Title_H_CH"/>
    <w:basedOn w:val="H1"/>
    <w:next w:val="Normal"/>
    <w:qFormat/>
    <w:rsid w:val="00177C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77C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77CD0"/>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4A035B"/>
    <w:rPr>
      <w:sz w:val="16"/>
      <w:szCs w:val="16"/>
    </w:rPr>
  </w:style>
  <w:style w:type="paragraph" w:styleId="CommentText">
    <w:name w:val="annotation text"/>
    <w:basedOn w:val="Normal"/>
    <w:link w:val="CommentTextChar"/>
    <w:uiPriority w:val="99"/>
    <w:semiHidden/>
    <w:unhideWhenUsed/>
    <w:rsid w:val="004A035B"/>
    <w:pPr>
      <w:spacing w:line="240" w:lineRule="auto"/>
    </w:pPr>
    <w:rPr>
      <w:szCs w:val="20"/>
    </w:rPr>
  </w:style>
  <w:style w:type="character" w:customStyle="1" w:styleId="CommentTextChar">
    <w:name w:val="Comment Text Char"/>
    <w:basedOn w:val="DefaultParagraphFont"/>
    <w:link w:val="CommentText"/>
    <w:uiPriority w:val="99"/>
    <w:semiHidden/>
    <w:rsid w:val="004A035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A035B"/>
    <w:rPr>
      <w:b/>
      <w:bCs/>
    </w:rPr>
  </w:style>
  <w:style w:type="character" w:customStyle="1" w:styleId="CommentSubjectChar">
    <w:name w:val="Comment Subject Char"/>
    <w:basedOn w:val="CommentTextChar"/>
    <w:link w:val="CommentSubject"/>
    <w:uiPriority w:val="99"/>
    <w:semiHidden/>
    <w:rsid w:val="004A035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F6339"/>
    <w:rPr>
      <w:color w:val="0000FF"/>
      <w:u w:val="none"/>
    </w:rPr>
  </w:style>
  <w:style w:type="character" w:styleId="FollowedHyperlink">
    <w:name w:val="FollowedHyperlink"/>
    <w:basedOn w:val="DefaultParagraphFont"/>
    <w:uiPriority w:val="99"/>
    <w:semiHidden/>
    <w:unhideWhenUsed/>
    <w:rsid w:val="00AF6339"/>
    <w:rPr>
      <w:color w:val="0000FF"/>
      <w:u w:val="none"/>
    </w:rPr>
  </w:style>
  <w:style w:type="character" w:styleId="UnresolvedMention">
    <w:name w:val="Unresolved Mention"/>
    <w:basedOn w:val="DefaultParagraphFont"/>
    <w:uiPriority w:val="99"/>
    <w:semiHidden/>
    <w:unhideWhenUsed/>
    <w:rsid w:val="00AF6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SR.189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fr/CEDAW/C/MNG/CO/8-9/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MNG/10"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MNG/QPR/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HRI/GEN/2/Rev.6"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MNG/CO/8-9" TargetMode="External"/><Relationship Id="rId10" Type="http://schemas.openxmlformats.org/officeDocument/2006/relationships/footer" Target="footer2.xml"/><Relationship Id="rId19" Type="http://schemas.openxmlformats.org/officeDocument/2006/relationships/hyperlink" Target="https://undocs.org/fr/CEDAW/C/SR.189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65/3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7330</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Text Processing</dc:creator>
  <cp:keywords/>
  <dc:description/>
  <cp:lastModifiedBy>French Text Processing</cp:lastModifiedBy>
  <cp:revision>3</cp:revision>
  <cp:lastPrinted>2022-09-13T19:45:00Z</cp:lastPrinted>
  <dcterms:created xsi:type="dcterms:W3CDTF">2022-09-13T19:45:00Z</dcterms:created>
  <dcterms:modified xsi:type="dcterms:W3CDTF">2022-09-13T19:45:00Z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2210925F</vt:lpwstr>
  </property>
  <property fmtid="{D5CDD505-2E9C-101B-9397-08002B2CF9AE}" pid="3" name="ODSRefJobNo">
    <vt:lpwstr>2242106F</vt:lpwstr>
  </property>
  <property fmtid="{D5CDD505-2E9C-101B-9397-08002B2CF9AE}" pid="4" name="Symbol1">
    <vt:lpwstr>CEDAW/C/MNG/CO/10</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12 juillet 2022</vt:lpwstr>
  </property>
  <property fmtid="{D5CDD505-2E9C-101B-9397-08002B2CF9AE}" pid="14" name="Release Date">
    <vt:lpwstr/>
  </property>
</Properties>
</file>