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01" w:rsidRDefault="000A7A01" w:rsidP="000A7A01">
      <w:pPr>
        <w:spacing w:line="60" w:lineRule="exact"/>
        <w:sectPr w:rsidR="000A7A01" w:rsidSect="000A7A0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7-8Size =1Lang = C"/>
            <w10:wrap anchorx="page" anchory="page"/>
          </v:shape>
        </w:pict>
      </w:r>
      <w:commentRangeEnd w:id="0"/>
      <w:r>
        <w:rPr>
          <w:rStyle w:val="CommentReference"/>
        </w:rPr>
        <w:commentReference w:id="0"/>
      </w:r>
    </w:p>
    <w:p w:rsidR="000A7A01" w:rsidRDefault="000A7A01" w:rsidP="000A7A01">
      <w:pPr>
        <w:spacing w:line="60" w:lineRule="exact"/>
      </w:pPr>
    </w:p>
    <w:p w:rsidR="008D1C31" w:rsidRDefault="008D1C31" w:rsidP="008D1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8D1C31" w:rsidRPr="00034C9E" w:rsidRDefault="008D1C31" w:rsidP="00DE21DF">
      <w:pPr>
        <w:pStyle w:val="SingleTxt"/>
        <w:spacing w:after="60"/>
        <w:ind w:left="0" w:right="0"/>
        <w:rPr>
          <w:rFonts w:ascii="SimHei" w:eastAsia="SimHei" w:hint="eastAsia"/>
        </w:rPr>
      </w:pPr>
      <w:r w:rsidRPr="00034C9E">
        <w:rPr>
          <w:rFonts w:ascii="SimHei" w:eastAsia="SimHei" w:hint="eastAsia"/>
        </w:rPr>
        <w:t>第五十二届会议</w:t>
      </w:r>
    </w:p>
    <w:p w:rsidR="008D1C31" w:rsidRDefault="008D1C31" w:rsidP="00DE21DF">
      <w:pPr>
        <w:pStyle w:val="SingleTxt"/>
        <w:spacing w:after="60"/>
        <w:ind w:left="0" w:right="0"/>
        <w:rPr>
          <w:rFonts w:hint="eastAsia"/>
        </w:rPr>
      </w:pPr>
      <w:r>
        <w:rPr>
          <w:rFonts w:hint="eastAsia"/>
        </w:rPr>
        <w:t>2012年7月9日至27日</w:t>
      </w:r>
    </w:p>
    <w:p w:rsidR="008D1C31" w:rsidRPr="008D1C31" w:rsidRDefault="008D1C31" w:rsidP="008D1C31">
      <w:pPr>
        <w:pStyle w:val="SingleTxt"/>
        <w:spacing w:after="0" w:line="120" w:lineRule="exact"/>
        <w:ind w:right="0"/>
        <w:rPr>
          <w:rFonts w:hint="eastAsia"/>
          <w:sz w:val="10"/>
        </w:rPr>
      </w:pPr>
    </w:p>
    <w:p w:rsidR="008D1C31" w:rsidRPr="008D1C31" w:rsidRDefault="008D1C31" w:rsidP="008D1C31">
      <w:pPr>
        <w:pStyle w:val="SingleTxt"/>
        <w:spacing w:after="0" w:line="120" w:lineRule="exact"/>
        <w:ind w:right="0"/>
        <w:rPr>
          <w:rFonts w:hint="eastAsia"/>
          <w:sz w:val="10"/>
        </w:rPr>
      </w:pPr>
    </w:p>
    <w:p w:rsidR="008D1C31" w:rsidRDefault="008D1C31" w:rsidP="008D1C3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8D1C31" w:rsidRPr="008D1C31" w:rsidRDefault="008D1C31" w:rsidP="008D1C31">
      <w:pPr>
        <w:pStyle w:val="SingleTxt"/>
        <w:spacing w:after="0" w:line="120" w:lineRule="exact"/>
        <w:ind w:right="0"/>
        <w:rPr>
          <w:sz w:val="10"/>
        </w:rPr>
      </w:pPr>
    </w:p>
    <w:p w:rsidR="008D1C31" w:rsidRPr="008D1C31" w:rsidRDefault="008D1C31" w:rsidP="008D1C31">
      <w:pPr>
        <w:pStyle w:val="SingleTxt"/>
        <w:spacing w:after="0" w:line="120" w:lineRule="exact"/>
        <w:ind w:right="0"/>
        <w:rPr>
          <w:sz w:val="10"/>
        </w:rPr>
      </w:pPr>
    </w:p>
    <w:p w:rsidR="008D1C31" w:rsidRPr="00034C9E" w:rsidRDefault="008D1C31" w:rsidP="00DE21DF">
      <w:pPr>
        <w:pStyle w:val="SingleTxt"/>
        <w:rPr>
          <w:rFonts w:ascii="SimHei" w:eastAsia="SimHei" w:hint="eastAsia"/>
        </w:rPr>
      </w:pPr>
      <w:r w:rsidRPr="00034C9E">
        <w:rPr>
          <w:rFonts w:ascii="SimHei" w:eastAsia="SimHei" w:hint="eastAsia"/>
        </w:rPr>
        <w:t>墨西哥</w:t>
      </w:r>
    </w:p>
    <w:p w:rsidR="008D1C31" w:rsidRDefault="008D1C31" w:rsidP="00DE21DF">
      <w:pPr>
        <w:pStyle w:val="SingleTxt"/>
        <w:rPr>
          <w:rFonts w:hint="eastAsia"/>
        </w:rPr>
      </w:pPr>
      <w:r>
        <w:rPr>
          <w:rFonts w:hint="eastAsia"/>
        </w:rPr>
        <w:t>1.</w:t>
      </w:r>
      <w:r>
        <w:rPr>
          <w:rFonts w:hint="eastAsia"/>
        </w:rPr>
        <w:tab/>
        <w:t>2012年7月17日，委员会第1051次和第1052次会议审议了墨西哥第七次和第八次合并定期报告(CEDAW/C/MEX/7-8)(见CEDAW/C/SR.1051和1052)。委员会的议题和问题清单载于CEDAW/C/MEX/Q/7-8，墨西哥的答复载于CEDAW/C/MEX/</w:t>
      </w:r>
      <w:r>
        <w:br/>
      </w:r>
      <w:r>
        <w:rPr>
          <w:rFonts w:hint="eastAsia"/>
        </w:rPr>
        <w:t>Q/7-8/Add.1。</w:t>
      </w:r>
    </w:p>
    <w:p w:rsidR="008D1C31" w:rsidRDefault="008D1C31" w:rsidP="008D1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8D1C31" w:rsidRPr="008D1C31" w:rsidRDefault="008D1C31" w:rsidP="008D1C31">
      <w:pPr>
        <w:pStyle w:val="SingleTxt"/>
        <w:spacing w:after="0" w:line="120" w:lineRule="exact"/>
        <w:ind w:right="0"/>
        <w:rPr>
          <w:sz w:val="10"/>
        </w:rPr>
      </w:pPr>
    </w:p>
    <w:p w:rsidR="008D1C31" w:rsidRDefault="008D1C31" w:rsidP="00DE21DF">
      <w:pPr>
        <w:pStyle w:val="SingleTxt"/>
        <w:rPr>
          <w:rFonts w:hint="eastAsia"/>
        </w:rPr>
      </w:pPr>
      <w:r>
        <w:rPr>
          <w:rFonts w:hint="eastAsia"/>
        </w:rPr>
        <w:t>2.</w:t>
      </w:r>
      <w:r>
        <w:rPr>
          <w:rFonts w:hint="eastAsia"/>
        </w:rPr>
        <w:tab/>
        <w:t>委员会感谢缔约国提交第七次和第八次合并定期报告。委员会赞赏缔约国对会前工作组提出的议题和问题清单的书面答复。委员会欢迎代表团所做的口头发言以及对委员会口头提出问题所做的进一步澄清。</w:t>
      </w:r>
    </w:p>
    <w:p w:rsidR="008D1C31" w:rsidRDefault="008D1C31" w:rsidP="00DE21DF">
      <w:pPr>
        <w:pStyle w:val="SingleTxt"/>
        <w:rPr>
          <w:rFonts w:hint="eastAsia"/>
        </w:rPr>
      </w:pPr>
      <w:r>
        <w:rPr>
          <w:rFonts w:hint="eastAsia"/>
        </w:rPr>
        <w:t>3.</w:t>
      </w:r>
      <w:r>
        <w:rPr>
          <w:rFonts w:hint="eastAsia"/>
        </w:rPr>
        <w:tab/>
        <w:t>委员会赞赏缔约国派遣由全国妇女协会主席María del Rocío García Gaytán率领的大型代表团出席会议，成员包括各部委、国家最高法院、联邦总检察长办公室、联邦司法选举法庭、联邦选举协会、全国防止歧视委员会、国家土著人民发展委员会的代表和女议员。委员会赞赏代表团和委员会成员之间进行了建设性对话。</w:t>
      </w:r>
    </w:p>
    <w:p w:rsidR="008D1C31" w:rsidRDefault="008D1C31" w:rsidP="008D1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8D1C31" w:rsidRPr="008D1C31" w:rsidRDefault="008D1C31" w:rsidP="008D1C31">
      <w:pPr>
        <w:pStyle w:val="SingleTxt"/>
        <w:spacing w:after="0" w:line="120" w:lineRule="exact"/>
        <w:ind w:right="0"/>
        <w:rPr>
          <w:rFonts w:hint="eastAsia"/>
          <w:sz w:val="10"/>
        </w:rPr>
      </w:pPr>
    </w:p>
    <w:p w:rsidR="008D1C31" w:rsidRDefault="008D1C31" w:rsidP="00DE21DF">
      <w:pPr>
        <w:pStyle w:val="SingleTxt"/>
        <w:rPr>
          <w:rFonts w:hint="eastAsia"/>
        </w:rPr>
      </w:pPr>
      <w:r>
        <w:rPr>
          <w:rFonts w:hint="eastAsia"/>
        </w:rPr>
        <w:t>4.</w:t>
      </w:r>
      <w:r>
        <w:rPr>
          <w:rFonts w:hint="eastAsia"/>
        </w:rPr>
        <w:tab/>
        <w:t>委员会赞扬人权问题宪法改革(2011年)给予了缔约国批准的各国际人权条约(包括《公约》)宪法地位，体现了利人原则。</w:t>
      </w:r>
    </w:p>
    <w:p w:rsidR="008D1C31" w:rsidRDefault="008D1C31" w:rsidP="00DE21DF">
      <w:pPr>
        <w:pStyle w:val="SingleTxt"/>
        <w:rPr>
          <w:rFonts w:hint="eastAsia"/>
        </w:rPr>
      </w:pPr>
      <w:r>
        <w:rPr>
          <w:rFonts w:hint="eastAsia"/>
        </w:rPr>
        <w:t>5.</w:t>
      </w:r>
      <w:r>
        <w:rPr>
          <w:rFonts w:hint="eastAsia"/>
        </w:rPr>
        <w:tab/>
        <w:t>委员会赞赏地注意到2008年《联邦选举体制和选举程序法》修订案，引入了性别配额制度，确定登记候选人的比例为40:60。委员会对联邦选举(2012年)国会36.46%的席位由妇女担任这一初步结果表示欢迎。</w:t>
      </w:r>
    </w:p>
    <w:p w:rsidR="008D1C31" w:rsidRDefault="008D1C31" w:rsidP="00DE21DF">
      <w:pPr>
        <w:pStyle w:val="SingleTxt"/>
        <w:rPr>
          <w:rFonts w:hint="eastAsia"/>
        </w:rPr>
      </w:pPr>
      <w:r>
        <w:rPr>
          <w:rFonts w:hint="eastAsia"/>
        </w:rPr>
        <w:t>6.</w:t>
      </w:r>
      <w:r>
        <w:rPr>
          <w:rFonts w:hint="eastAsia"/>
        </w:rPr>
        <w:tab/>
        <w:t>委员会赞赏地注意到缔约国为解决暴力侵害妇女行为在联邦一级立法和体制框架方面取得的进展：</w:t>
      </w:r>
    </w:p>
    <w:p w:rsidR="008D1C31" w:rsidRDefault="008D1C31" w:rsidP="00DE21DF">
      <w:pPr>
        <w:pStyle w:val="SingleTxt"/>
        <w:rPr>
          <w:rFonts w:hint="eastAsia"/>
        </w:rPr>
      </w:pPr>
      <w:r>
        <w:rPr>
          <w:rFonts w:hint="eastAsia"/>
        </w:rPr>
        <w:tab/>
        <w:t>(a)</w:t>
      </w:r>
      <w:r>
        <w:rPr>
          <w:rFonts w:hint="eastAsia"/>
        </w:rPr>
        <w:tab/>
        <w:t>2007年通过了《妇女享有无暴力生活总议定书》，2008年通过了相关法规；</w:t>
      </w:r>
    </w:p>
    <w:p w:rsidR="008D1C31" w:rsidRDefault="008D1C31" w:rsidP="00DE21DF">
      <w:pPr>
        <w:pStyle w:val="SingleTxt"/>
        <w:rPr>
          <w:rFonts w:hint="eastAsia"/>
        </w:rPr>
      </w:pPr>
      <w:r>
        <w:rPr>
          <w:rFonts w:hint="eastAsia"/>
        </w:rPr>
        <w:tab/>
        <w:t>(b)</w:t>
      </w:r>
      <w:r>
        <w:rPr>
          <w:rFonts w:hint="eastAsia"/>
        </w:rPr>
        <w:tab/>
        <w:t>颁布了2012年《防止、惩罚和根除贩运人口罪行及保护和援助此类罪行受害者总法》和《保护人权维护者和记者法》；</w:t>
      </w:r>
    </w:p>
    <w:p w:rsidR="008D1C31" w:rsidRDefault="008D1C31" w:rsidP="00DE21DF">
      <w:pPr>
        <w:pStyle w:val="SingleTxt"/>
        <w:rPr>
          <w:rFonts w:hint="eastAsia"/>
        </w:rPr>
      </w:pPr>
      <w:r>
        <w:rPr>
          <w:rFonts w:hint="eastAsia"/>
        </w:rPr>
        <w:tab/>
        <w:t>(c)</w:t>
      </w:r>
      <w:r>
        <w:rPr>
          <w:rFonts w:hint="eastAsia"/>
        </w:rPr>
        <w:tab/>
        <w:t xml:space="preserve">建立了预防、处理、惩治和根除暴力侵害妇女行为国家体系，促进在暴力侵害妇女行为问题上开展机构间协调行动。 </w:t>
      </w:r>
    </w:p>
    <w:p w:rsidR="008D1C31" w:rsidRDefault="008D1C31" w:rsidP="00DE21DF">
      <w:pPr>
        <w:pStyle w:val="SingleTxt"/>
        <w:rPr>
          <w:rFonts w:hint="eastAsia"/>
        </w:rPr>
      </w:pPr>
      <w:r>
        <w:rPr>
          <w:rFonts w:hint="eastAsia"/>
        </w:rPr>
        <w:t>7.</w:t>
      </w:r>
      <w:r>
        <w:rPr>
          <w:rFonts w:hint="eastAsia"/>
        </w:rPr>
        <w:tab/>
        <w:t>委员会赞赏地注意到，2009年通过了墨西哥男女劳动标准，这项不具约束力的文书证明公共、社会和私人组织在就业实践中考虑了性别平等观点。</w:t>
      </w:r>
    </w:p>
    <w:p w:rsidR="008D1C31" w:rsidRDefault="008D1C31" w:rsidP="00DE21DF">
      <w:pPr>
        <w:pStyle w:val="SingleTxt"/>
        <w:rPr>
          <w:rFonts w:hint="eastAsia"/>
        </w:rPr>
      </w:pPr>
      <w:r>
        <w:rPr>
          <w:rFonts w:hint="eastAsia"/>
        </w:rPr>
        <w:t>8.</w:t>
      </w:r>
      <w:r>
        <w:rPr>
          <w:rFonts w:hint="eastAsia"/>
        </w:rPr>
        <w:tab/>
        <w:t>委员会还欢迎缔约国自2006年8月审议缔约国第六次报告以来批准了下列国际人权条约：</w:t>
      </w:r>
    </w:p>
    <w:p w:rsidR="008D1C31" w:rsidRDefault="008D1C31" w:rsidP="00DE21DF">
      <w:pPr>
        <w:pStyle w:val="SingleTxt"/>
        <w:rPr>
          <w:rFonts w:hint="eastAsia"/>
        </w:rPr>
      </w:pPr>
      <w:r>
        <w:rPr>
          <w:rFonts w:hint="eastAsia"/>
        </w:rPr>
        <w:tab/>
        <w:t>(a)</w:t>
      </w:r>
      <w:r>
        <w:rPr>
          <w:rFonts w:hint="eastAsia"/>
        </w:rPr>
        <w:tab/>
        <w:t>2007年，《残疾人权利公约》及其《任择议定书》；</w:t>
      </w:r>
    </w:p>
    <w:p w:rsidR="008D1C31" w:rsidRDefault="008D1C31" w:rsidP="00DE21DF">
      <w:pPr>
        <w:pStyle w:val="SingleTxt"/>
        <w:rPr>
          <w:rFonts w:hint="eastAsia"/>
        </w:rPr>
      </w:pPr>
      <w:r>
        <w:rPr>
          <w:rFonts w:hint="eastAsia"/>
        </w:rPr>
        <w:tab/>
        <w:t>(b)</w:t>
      </w:r>
      <w:r>
        <w:rPr>
          <w:rFonts w:hint="eastAsia"/>
        </w:rPr>
        <w:tab/>
        <w:t>2007年，《公民权利和政治权利国际公约第二项任择议定书》；</w:t>
      </w:r>
    </w:p>
    <w:p w:rsidR="008D1C31" w:rsidRDefault="008D1C31" w:rsidP="00DE21DF">
      <w:pPr>
        <w:pStyle w:val="SingleTxt"/>
        <w:rPr>
          <w:rFonts w:hint="eastAsia"/>
        </w:rPr>
      </w:pPr>
      <w:r>
        <w:rPr>
          <w:rFonts w:hint="eastAsia"/>
        </w:rPr>
        <w:tab/>
        <w:t>(c)</w:t>
      </w:r>
      <w:r>
        <w:tab/>
      </w:r>
      <w:r>
        <w:rPr>
          <w:rFonts w:hint="eastAsia"/>
        </w:rPr>
        <w:t>2008年，《保护所有人免遭强迫失踪国际公约》。</w:t>
      </w:r>
    </w:p>
    <w:p w:rsidR="008D1C31" w:rsidRDefault="008D1C31" w:rsidP="008D1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8D1C31" w:rsidRPr="008D1C31" w:rsidRDefault="008D1C31" w:rsidP="008D1C31">
      <w:pPr>
        <w:pStyle w:val="SingleTxt"/>
        <w:spacing w:after="0" w:line="120" w:lineRule="exact"/>
        <w:ind w:right="0"/>
        <w:rPr>
          <w:rFonts w:hint="eastAsia"/>
          <w:sz w:val="10"/>
        </w:rPr>
      </w:pPr>
    </w:p>
    <w:p w:rsidR="008D1C31" w:rsidRPr="00034C9E" w:rsidRDefault="008D1C31" w:rsidP="00DE21DF">
      <w:pPr>
        <w:pStyle w:val="SingleTxt"/>
        <w:rPr>
          <w:rFonts w:ascii="SimHei" w:eastAsia="SimHei" w:hint="eastAsia"/>
        </w:rPr>
      </w:pPr>
      <w:r w:rsidRPr="00034C9E">
        <w:rPr>
          <w:rFonts w:ascii="SimHei" w:eastAsia="SimHei" w:hint="eastAsia"/>
        </w:rPr>
        <w:t>9.</w:t>
      </w:r>
      <w:r w:rsidRPr="00034C9E">
        <w:rPr>
          <w:rFonts w:ascii="SimHei" w:eastAsia="SimHei" w:hint="eastAsia"/>
        </w:rPr>
        <w:tab/>
        <w:t>委员会提请注意，缔约国有义务系统地、持续地执行《消除对妇女一切形式歧视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国会及司法机构，以确保这些意见得到充分执行。</w:t>
      </w:r>
    </w:p>
    <w:p w:rsidR="008D1C31" w:rsidRPr="00034C9E" w:rsidRDefault="008D1C31" w:rsidP="00DE21DF">
      <w:pPr>
        <w:pStyle w:val="SingleTxt"/>
        <w:rPr>
          <w:rFonts w:ascii="SimHei" w:eastAsia="SimHei" w:hint="eastAsia"/>
        </w:rPr>
      </w:pPr>
      <w:r w:rsidRPr="00034C9E">
        <w:rPr>
          <w:rFonts w:ascii="SimHei" w:eastAsia="SimHei" w:hint="eastAsia"/>
        </w:rPr>
        <w:t>国家议会和地方议会</w:t>
      </w:r>
    </w:p>
    <w:p w:rsidR="008D1C31" w:rsidRPr="00034C9E" w:rsidRDefault="008D1C31" w:rsidP="00DE21DF">
      <w:pPr>
        <w:pStyle w:val="SingleTxt"/>
        <w:rPr>
          <w:rFonts w:ascii="SimHei" w:eastAsia="SimHei" w:hint="eastAsia"/>
        </w:rPr>
      </w:pPr>
      <w:r w:rsidRPr="00034C9E">
        <w:rPr>
          <w:rFonts w:ascii="SimHei" w:eastAsia="SimHei" w:hint="eastAsia"/>
        </w:rPr>
        <w:t>10.</w:t>
      </w:r>
      <w:r w:rsidRPr="00034C9E">
        <w:rPr>
          <w:rFonts w:ascii="SimHei" w:eastAsia="SimHei" w:hint="eastAsia"/>
        </w:rPr>
        <w:tab/>
        <w:t>委员会重申，缔约国政府的首要职责主要是确保缔约国充分履行根据《公约》所应承担的义务。委员会强调《公约》对政府各部门均具有约束力，并请缔约国鼓励其国家议会及各州议会从现在到《公约》下一个报告程序期间酌情根据其程序采取必要举措，促进执行本结论意见。</w:t>
      </w:r>
    </w:p>
    <w:p w:rsidR="008D1C31" w:rsidRPr="00034C9E" w:rsidRDefault="008D1C31" w:rsidP="00DE21DF">
      <w:pPr>
        <w:pStyle w:val="SingleTxt"/>
        <w:rPr>
          <w:rFonts w:ascii="SimHei" w:eastAsia="SimHei" w:hint="eastAsia"/>
        </w:rPr>
      </w:pPr>
      <w:r w:rsidRPr="00034C9E">
        <w:rPr>
          <w:rFonts w:ascii="SimHei" w:eastAsia="SimHei" w:hint="eastAsia"/>
        </w:rPr>
        <w:t>总体情况和性别暴力</w:t>
      </w:r>
    </w:p>
    <w:p w:rsidR="008D1C31" w:rsidRDefault="008D1C31" w:rsidP="00DE21DF">
      <w:pPr>
        <w:pStyle w:val="SingleTxt"/>
        <w:rPr>
          <w:rFonts w:hint="eastAsia"/>
        </w:rPr>
      </w:pPr>
      <w:r>
        <w:rPr>
          <w:rFonts w:hint="eastAsia"/>
        </w:rPr>
        <w:t>11.</w:t>
      </w:r>
      <w:r>
        <w:rPr>
          <w:rFonts w:hint="eastAsia"/>
        </w:rPr>
        <w:tab/>
        <w:t>委员会关切的是，缔约国极其不安全和暴力事件频发的情况不仅限于打击有组织犯罪，因此对人们，特别是妇女和女孩享受人权产生了负面影响。委员会深为关切的是，打击有组织犯罪的公共安全战略，加上长期的有罪不罚和腐败现象，加剧了缔约国已经存在的、重男轻女观念导致的普遍歧视和暴力侵害妇女行为模式，导致这一现象被最小化，被视而不见。委员会关切的是，妇女和女童受到了日益严重的不同类型性别暴力的侵害，这些暴力行为包括执法官员和安全部队等国家行为方和有组织犯罪集团等非国家行为方施行的家庭暴力、强迫失踪、酷刑和谋杀，尤其是杀害妇女行为。</w:t>
      </w:r>
    </w:p>
    <w:p w:rsidR="008D1C31" w:rsidRPr="00034C9E" w:rsidRDefault="008D1C31" w:rsidP="00DE21DF">
      <w:pPr>
        <w:pStyle w:val="SingleTxt"/>
        <w:rPr>
          <w:rFonts w:ascii="SimHei" w:eastAsia="SimHei" w:hint="eastAsia"/>
        </w:rPr>
      </w:pPr>
      <w:r w:rsidRPr="00034C9E">
        <w:rPr>
          <w:rFonts w:ascii="SimHei" w:eastAsia="SimHei" w:hint="eastAsia"/>
        </w:rPr>
        <w:t>12.</w:t>
      </w:r>
      <w:r w:rsidRPr="00034C9E">
        <w:rPr>
          <w:rFonts w:ascii="SimHei" w:eastAsia="SimHei" w:hint="eastAsia"/>
        </w:rPr>
        <w:tab/>
        <w:t>委员会促请缔约国：</w:t>
      </w:r>
    </w:p>
    <w:p w:rsidR="008D1C31" w:rsidRPr="00034C9E" w:rsidRDefault="008D1C31" w:rsidP="00DE21DF">
      <w:pPr>
        <w:pStyle w:val="SingleTxt"/>
        <w:rPr>
          <w:rFonts w:ascii="SimHei" w:eastAsia="SimHei" w:hint="eastAsia"/>
        </w:rPr>
      </w:pPr>
      <w:r w:rsidRPr="00034C9E">
        <w:rPr>
          <w:rFonts w:ascii="SimHei" w:eastAsia="SimHei" w:hint="eastAsia"/>
        </w:rPr>
        <w:tab/>
        <w:t>(a)</w:t>
      </w:r>
      <w:r w:rsidRPr="00034C9E">
        <w:rPr>
          <w:rFonts w:ascii="SimHei" w:eastAsia="SimHei" w:hint="eastAsia"/>
        </w:rPr>
        <w:tab/>
        <w:t>订正其打击有组织犯罪的公共安全战略，使其符合国际人权义务，包括《公约》义务，结束该国严重影响妇女和女孩的极其不安全和暴力事件频发情况；</w:t>
      </w:r>
    </w:p>
    <w:p w:rsidR="008D1C31" w:rsidRPr="00034C9E" w:rsidRDefault="008D1C31" w:rsidP="00DE21DF">
      <w:pPr>
        <w:pStyle w:val="SingleTxt"/>
        <w:rPr>
          <w:rFonts w:ascii="SimHei" w:eastAsia="SimHei" w:hint="eastAsia"/>
        </w:rPr>
      </w:pPr>
      <w:r w:rsidRPr="00034C9E">
        <w:rPr>
          <w:rFonts w:ascii="SimHei" w:eastAsia="SimHei" w:hint="eastAsia"/>
        </w:rPr>
        <w:tab/>
        <w:t>(b)</w:t>
      </w:r>
      <w:r w:rsidRPr="00034C9E">
        <w:rPr>
          <w:rFonts w:ascii="SimHei" w:eastAsia="SimHei" w:hint="eastAsia"/>
        </w:rPr>
        <w:tab/>
        <w:t xml:space="preserve">为扭转该战略对妇女和女孩的负面影响，并遵守其尽职调查义务，防止暴力侵害妇女行为，其中包括家庭暴力、强迫失踪、酷刑和谋杀，特别是杀害妇女行为；调查、起诉和惩罚国家和非国家犯罪人，无论发生暴力行为的背景如何，无论谁是被指称的犯罪人，都要向暴力行为的妇女受害者提供补救措施； </w:t>
      </w:r>
    </w:p>
    <w:p w:rsidR="008D1C31" w:rsidRPr="00034C9E" w:rsidRDefault="008D1C31" w:rsidP="00DE21DF">
      <w:pPr>
        <w:pStyle w:val="SingleTxt"/>
        <w:rPr>
          <w:rFonts w:ascii="SimHei" w:eastAsia="SimHei" w:hint="eastAsia"/>
        </w:rPr>
      </w:pPr>
      <w:r w:rsidRPr="00034C9E">
        <w:rPr>
          <w:rFonts w:ascii="SimHei" w:eastAsia="SimHei" w:hint="eastAsia"/>
        </w:rPr>
        <w:tab/>
        <w:t>(c)</w:t>
      </w:r>
      <w:r w:rsidRPr="00034C9E">
        <w:rPr>
          <w:rFonts w:ascii="SimHei" w:eastAsia="SimHei" w:hint="eastAsia"/>
        </w:rPr>
        <w:tab/>
        <w:t xml:space="preserve">向所有参与公共安全战略执行的执法人员、军事人员和海军部队提供系统的人权，特别是妇女权利培训，建立和执行严格的行为守则，从而有效地保证尊重人权； </w:t>
      </w:r>
    </w:p>
    <w:p w:rsidR="008D1C31" w:rsidRPr="00034C9E" w:rsidRDefault="008D1C31" w:rsidP="00DE21DF">
      <w:pPr>
        <w:pStyle w:val="SingleTxt"/>
        <w:rPr>
          <w:rFonts w:ascii="SimHei" w:eastAsia="SimHei" w:hint="eastAsia"/>
        </w:rPr>
      </w:pPr>
      <w:r w:rsidRPr="00034C9E">
        <w:rPr>
          <w:rFonts w:ascii="SimHei" w:eastAsia="SimHei" w:hint="eastAsia"/>
        </w:rPr>
        <w:tab/>
        <w:t>(d)</w:t>
      </w:r>
      <w:r w:rsidRPr="00034C9E">
        <w:rPr>
          <w:rFonts w:ascii="SimHei" w:eastAsia="SimHei" w:hint="eastAsia"/>
        </w:rPr>
        <w:tab/>
        <w:t xml:space="preserve">采取一切必要措施，建立一个定期收集暴力侵害妇女行为统计数据的标准制度，按暴力行为类型和施暴环境进行分列，同时列出犯罪人和受害者及他们之间关系的信息。 </w:t>
      </w:r>
    </w:p>
    <w:p w:rsidR="008D1C31" w:rsidRPr="00034C9E" w:rsidRDefault="008D1C31" w:rsidP="00DE21DF">
      <w:pPr>
        <w:pStyle w:val="SingleTxt"/>
        <w:rPr>
          <w:rFonts w:ascii="SimHei" w:eastAsia="SimHei" w:hint="eastAsia"/>
        </w:rPr>
      </w:pPr>
      <w:r w:rsidRPr="00034C9E">
        <w:rPr>
          <w:rFonts w:ascii="SimHei" w:eastAsia="SimHei" w:hint="eastAsia"/>
        </w:rPr>
        <w:t>统一法律，废除歧视性法律</w:t>
      </w:r>
    </w:p>
    <w:p w:rsidR="008D1C31" w:rsidRDefault="008D1C31" w:rsidP="00DE21DF">
      <w:pPr>
        <w:pStyle w:val="SingleTxt"/>
        <w:rPr>
          <w:rFonts w:hint="eastAsia"/>
        </w:rPr>
      </w:pPr>
      <w:r>
        <w:rPr>
          <w:rFonts w:hint="eastAsia"/>
        </w:rPr>
        <w:t>13.</w:t>
      </w:r>
      <w:r>
        <w:rPr>
          <w:rFonts w:hint="eastAsia"/>
        </w:rPr>
        <w:tab/>
        <w:t>委员会注意到了缔约国在联邦法律方面取得的进展，如人权问题宪法改革(2011年)。然而，委员会关切的是，缔约国联邦政府内各级职权部门依据是否在州一级对相关法律进行了适当统一对法律进行了区别适用，例如在尊重不歧视和男女平等的原则方面。委员会关切地注意到，这种情况导致缔约国32个州制订了对妇女的歧视性规定，或对强奸、堕胎、强迫失踪、贩卖人口、因所谓荣誉原因伤害和杀人以及通奸等行为制定了不同的定义和制裁措施。委员会进一步关切的是，缔约国的法律没有经常协调，例如，联邦和州一级的民法、刑法和程序法与《妇女享有无暴力生活总议定书》和/或有关的地方法律以及与《公约》之间缺乏协调。委员会关切的是，缺乏有效机制执行和监督妇女享有无暴力生活方面的相关法律和妇女获得保健服务和受教育权利的相关法律法规。委员会还关切的是，司法当局实行刑事司法系统改革(2008年)及其逐步实施对妇女境况的影响，而且对缺乏起诉、定罪和判刑暴力侵害妇女行为犯罪人人数方面官方数据表示关切。</w:t>
      </w:r>
    </w:p>
    <w:p w:rsidR="008D1C31" w:rsidRPr="00034C9E" w:rsidRDefault="008D1C31" w:rsidP="00DE21DF">
      <w:pPr>
        <w:pStyle w:val="SingleTxt"/>
        <w:rPr>
          <w:rFonts w:ascii="SimHei" w:eastAsia="SimHei" w:hint="eastAsia"/>
        </w:rPr>
      </w:pPr>
      <w:r w:rsidRPr="00034C9E">
        <w:rPr>
          <w:rFonts w:ascii="SimHei" w:eastAsia="SimHei" w:hint="eastAsia"/>
        </w:rPr>
        <w:t>14.</w:t>
      </w:r>
      <w:r w:rsidRPr="00034C9E">
        <w:rPr>
          <w:rFonts w:ascii="SimHei" w:eastAsia="SimHei" w:hint="eastAsia"/>
        </w:rPr>
        <w:tab/>
        <w:t>委员会促请缔约国联邦当局：</w:t>
      </w:r>
    </w:p>
    <w:p w:rsidR="008D1C31" w:rsidRPr="00034C9E" w:rsidRDefault="008D1C31" w:rsidP="00DE21DF">
      <w:pPr>
        <w:pStyle w:val="SingleTxt"/>
        <w:rPr>
          <w:rFonts w:ascii="SimHei" w:eastAsia="SimHei" w:hint="eastAsia"/>
        </w:rPr>
      </w:pPr>
      <w:r w:rsidRPr="00034C9E">
        <w:rPr>
          <w:rFonts w:ascii="SimHei" w:eastAsia="SimHei" w:hint="eastAsia"/>
        </w:rPr>
        <w:tab/>
        <w:t>(a)</w:t>
      </w:r>
      <w:r w:rsidRPr="00034C9E">
        <w:rPr>
          <w:rFonts w:ascii="SimHei" w:eastAsia="SimHei" w:hint="eastAsia"/>
        </w:rPr>
        <w:tab/>
        <w:t>通过有效协调等必要措施，确保各级相关法律持续、连贯与人权问题宪法改革</w:t>
      </w:r>
      <w:r>
        <w:rPr>
          <w:rFonts w:ascii="SimHei" w:eastAsia="SimHei" w:hint="eastAsia"/>
        </w:rPr>
        <w:t>(</w:t>
      </w:r>
      <w:r w:rsidRPr="00034C9E">
        <w:rPr>
          <w:rFonts w:ascii="SimHei" w:eastAsia="SimHei" w:hint="eastAsia"/>
        </w:rPr>
        <w:t>2011年</w:t>
      </w:r>
      <w:r>
        <w:rPr>
          <w:rFonts w:ascii="SimHei" w:eastAsia="SimHei" w:hint="eastAsia"/>
        </w:rPr>
        <w:t>)</w:t>
      </w:r>
      <w:r w:rsidRPr="00034C9E">
        <w:rPr>
          <w:rFonts w:ascii="SimHei" w:eastAsia="SimHei" w:hint="eastAsia"/>
        </w:rPr>
        <w:t>相统一，并持续、连贯地统一刑事司法体系</w:t>
      </w:r>
      <w:r>
        <w:rPr>
          <w:rFonts w:ascii="SimHei" w:eastAsia="SimHei" w:hint="eastAsia"/>
        </w:rPr>
        <w:t>(</w:t>
      </w:r>
      <w:r w:rsidRPr="00034C9E">
        <w:rPr>
          <w:rFonts w:ascii="SimHei" w:eastAsia="SimHei" w:hint="eastAsia"/>
        </w:rPr>
        <w:t>2008年</w:t>
      </w:r>
      <w:r>
        <w:rPr>
          <w:rFonts w:ascii="SimHei" w:eastAsia="SimHei" w:hint="eastAsia"/>
        </w:rPr>
        <w:t>)；</w:t>
      </w:r>
      <w:r w:rsidRPr="00034C9E">
        <w:rPr>
          <w:rFonts w:ascii="SimHei" w:eastAsia="SimHei" w:hint="eastAsia"/>
        </w:rPr>
        <w:t xml:space="preserve"> </w:t>
      </w:r>
    </w:p>
    <w:p w:rsidR="008D1C31" w:rsidRPr="00034C9E" w:rsidRDefault="008D1C31" w:rsidP="00DE21DF">
      <w:pPr>
        <w:pStyle w:val="SingleTxt"/>
        <w:rPr>
          <w:rFonts w:ascii="SimHei" w:eastAsia="SimHei" w:hint="eastAsia"/>
        </w:rPr>
      </w:pPr>
      <w:r w:rsidRPr="00034C9E">
        <w:rPr>
          <w:rFonts w:ascii="SimHei" w:eastAsia="SimHei" w:hint="eastAsia"/>
        </w:rPr>
        <w:tab/>
        <w:t>(b)</w:t>
      </w:r>
      <w:r w:rsidRPr="00034C9E">
        <w:rPr>
          <w:rFonts w:ascii="SimHei" w:eastAsia="SimHei" w:hint="eastAsia"/>
        </w:rPr>
        <w:tab/>
        <w:t>采取必要行动，消除联邦、州和市一级法律框架中的不一致情况，包括根据《公约》第二条</w:t>
      </w:r>
      <w:r>
        <w:rPr>
          <w:rFonts w:ascii="SimHei" w:eastAsia="SimHei" w:hint="eastAsia"/>
        </w:rPr>
        <w:t>(</w:t>
      </w:r>
      <w:r w:rsidRPr="00034C9E">
        <w:rPr>
          <w:rFonts w:ascii="SimHei" w:eastAsia="SimHei" w:hint="eastAsia"/>
        </w:rPr>
        <w:t>g</w:t>
      </w:r>
      <w:r>
        <w:rPr>
          <w:rFonts w:ascii="SimHei" w:eastAsia="SimHei" w:hint="eastAsia"/>
        </w:rPr>
        <w:t>)</w:t>
      </w:r>
      <w:r w:rsidRPr="00034C9E">
        <w:rPr>
          <w:rFonts w:ascii="SimHei" w:eastAsia="SimHei" w:hint="eastAsia"/>
        </w:rPr>
        <w:t xml:space="preserve">款的规定，在州和市一级有关立法中增加不歧视和男女平等原则，废除对妇女的歧视性规定；为涉及强奸、堕胎、强迫失踪、贩卖人口、因所谓荣誉原因伤害和杀人，以及通奸等行为制定前后一致的定义和制裁措施； </w:t>
      </w:r>
    </w:p>
    <w:p w:rsidR="008D1C31" w:rsidRPr="00034C9E" w:rsidRDefault="008D1C31" w:rsidP="00DE21DF">
      <w:pPr>
        <w:pStyle w:val="SingleTxt"/>
        <w:rPr>
          <w:rFonts w:ascii="SimHei" w:eastAsia="SimHei" w:hint="eastAsia"/>
        </w:rPr>
      </w:pPr>
      <w:r w:rsidRPr="00034C9E">
        <w:rPr>
          <w:rFonts w:ascii="SimHei" w:eastAsia="SimHei" w:hint="eastAsia"/>
        </w:rPr>
        <w:tab/>
        <w:t>(c)</w:t>
      </w:r>
      <w:r w:rsidRPr="00034C9E">
        <w:rPr>
          <w:rFonts w:ascii="SimHei" w:eastAsia="SimHei" w:hint="eastAsia"/>
        </w:rPr>
        <w:tab/>
        <w:t xml:space="preserve">加大努力，根据《妇女享有无暴力生活总议定书》和/或有关地方法律以及《公约》不断统一民法、刑法和程序法； </w:t>
      </w:r>
    </w:p>
    <w:p w:rsidR="008D1C31" w:rsidRPr="00034C9E" w:rsidRDefault="008D1C31" w:rsidP="00DE21DF">
      <w:pPr>
        <w:pStyle w:val="SingleTxt"/>
        <w:rPr>
          <w:rFonts w:ascii="SimHei" w:eastAsia="SimHei" w:hint="eastAsia"/>
        </w:rPr>
      </w:pPr>
      <w:r w:rsidRPr="00034C9E">
        <w:rPr>
          <w:rFonts w:ascii="SimHei" w:eastAsia="SimHei" w:hint="eastAsia"/>
        </w:rPr>
        <w:tab/>
        <w:t>(d)</w:t>
      </w:r>
      <w:r w:rsidRPr="00034C9E">
        <w:rPr>
          <w:rFonts w:ascii="SimHei" w:eastAsia="SimHei" w:hint="eastAsia"/>
        </w:rPr>
        <w:tab/>
        <w:t>在联邦和州一级建立有效机制，监督妇女享有无暴力生活方面相关法律和妇女获得保健服务和受教育权利相关法律的执行情况；</w:t>
      </w:r>
    </w:p>
    <w:p w:rsidR="008D1C31" w:rsidRDefault="008D1C31" w:rsidP="00DE21DF">
      <w:pPr>
        <w:pStyle w:val="SingleTxt"/>
        <w:rPr>
          <w:rFonts w:hint="eastAsia"/>
        </w:rPr>
      </w:pPr>
      <w:r w:rsidRPr="00034C9E">
        <w:rPr>
          <w:rFonts w:ascii="SimHei" w:eastAsia="SimHei" w:hint="eastAsia"/>
        </w:rPr>
        <w:tab/>
        <w:t>(e)</w:t>
      </w:r>
      <w:r w:rsidRPr="00034C9E">
        <w:rPr>
          <w:rFonts w:ascii="SimHei" w:eastAsia="SimHei" w:hint="eastAsia"/>
        </w:rPr>
        <w:tab/>
        <w:t>制定各项机制，监督和制裁歧视妇女，拒绝依法保护妇女权利的执法人员，包括司法机构。</w:t>
      </w:r>
    </w:p>
    <w:p w:rsidR="008D1C31" w:rsidRPr="00034C9E" w:rsidRDefault="008D1C31" w:rsidP="00DE21DF">
      <w:pPr>
        <w:pStyle w:val="SingleTxt"/>
        <w:rPr>
          <w:rFonts w:ascii="SimHei" w:eastAsia="SimHei" w:hint="eastAsia"/>
        </w:rPr>
      </w:pPr>
      <w:r w:rsidRPr="00034C9E">
        <w:rPr>
          <w:rFonts w:ascii="SimHei" w:eastAsia="SimHei" w:hint="eastAsia"/>
        </w:rPr>
        <w:t>暴力侵害妇女行为和杀害妇女行为</w:t>
      </w:r>
    </w:p>
    <w:p w:rsidR="008D1C31" w:rsidRDefault="008D1C31" w:rsidP="00DE21DF">
      <w:pPr>
        <w:pStyle w:val="SingleTxt"/>
        <w:rPr>
          <w:rFonts w:hint="eastAsia"/>
        </w:rPr>
      </w:pPr>
      <w:r>
        <w:rPr>
          <w:rFonts w:hint="eastAsia"/>
        </w:rPr>
        <w:t>15.</w:t>
      </w:r>
      <w:r>
        <w:rPr>
          <w:rFonts w:hint="eastAsia"/>
        </w:rPr>
        <w:tab/>
        <w:t xml:space="preserve">委员会关切的注意到，2007年通过的《妇女享有无暴力生活总议定书》的主要规定还未落实。委员会注意到，缔约国制订了解决暴力侵害妇女行为的国家机制，但委员会关切的是，为该国家机制下拨的能力和资源还未得到适当加强，无法确保有效协调组成该机制的不同机构，例如预防、处理、惩治和根除暴力侵害妇女行为国家体系和国家预防和消除对妇女暴力侵害委员会之间的协调。委员会还关切地注意到，《妇女享有无暴力生活总议定书》规定的保护机制推迟落实，尤其是州一级在将保护令纳入州的法律并加以执行方面进展缓慢。委员会还关切地注意到,程序性低效导致性别报警机制无法启动。 </w:t>
      </w:r>
    </w:p>
    <w:p w:rsidR="008D1C31" w:rsidRPr="00034C9E" w:rsidRDefault="008D1C31" w:rsidP="00DE21DF">
      <w:pPr>
        <w:pStyle w:val="SingleTxt"/>
        <w:rPr>
          <w:rFonts w:ascii="SimHei" w:eastAsia="SimHei" w:hint="eastAsia"/>
        </w:rPr>
      </w:pPr>
      <w:r w:rsidRPr="00034C9E">
        <w:rPr>
          <w:rFonts w:ascii="SimHei" w:eastAsia="SimHei" w:hint="eastAsia"/>
        </w:rPr>
        <w:t>16.</w:t>
      </w:r>
      <w:r w:rsidRPr="00034C9E">
        <w:rPr>
          <w:rFonts w:ascii="SimHei" w:eastAsia="SimHei" w:hint="eastAsia"/>
        </w:rPr>
        <w:tab/>
        <w:t>委员会呼吁缔约国：</w:t>
      </w:r>
    </w:p>
    <w:p w:rsidR="008D1C31" w:rsidRPr="00034C9E" w:rsidRDefault="008D1C31" w:rsidP="00DE21DF">
      <w:pPr>
        <w:pStyle w:val="SingleTxt"/>
        <w:rPr>
          <w:rFonts w:ascii="SimHei" w:eastAsia="SimHei" w:hint="eastAsia"/>
        </w:rPr>
      </w:pPr>
      <w:r w:rsidRPr="00034C9E">
        <w:rPr>
          <w:rFonts w:ascii="SimHei" w:eastAsia="SimHei" w:hint="eastAsia"/>
        </w:rPr>
        <w:tab/>
        <w:t>(a)</w:t>
      </w:r>
      <w:r w:rsidRPr="00034C9E">
        <w:rPr>
          <w:rFonts w:ascii="SimHei" w:eastAsia="SimHei" w:hint="eastAsia"/>
        </w:rPr>
        <w:tab/>
        <w:t>在所有32个联邦州的参与下，通过完全执行预防、处理、惩治和根除暴力侵害妇女行为国家方案，激活暴力侵害妇女案件国家数据和信息库等措施，将完全落实《妇女享有无暴力生活总议定书》作为一个优先事项；</w:t>
      </w:r>
    </w:p>
    <w:p w:rsidR="008D1C31" w:rsidRPr="00034C9E" w:rsidRDefault="008D1C31" w:rsidP="00DE21DF">
      <w:pPr>
        <w:pStyle w:val="SingleTxt"/>
        <w:rPr>
          <w:rFonts w:ascii="SimHei" w:eastAsia="SimHei" w:hint="eastAsia"/>
        </w:rPr>
      </w:pPr>
      <w:r w:rsidRPr="00034C9E">
        <w:rPr>
          <w:rFonts w:ascii="SimHei" w:eastAsia="SimHei" w:hint="eastAsia"/>
        </w:rPr>
        <w:tab/>
        <w:t>(b)</w:t>
      </w:r>
      <w:r w:rsidRPr="00034C9E">
        <w:rPr>
          <w:rFonts w:ascii="SimHei" w:eastAsia="SimHei" w:hint="eastAsia"/>
        </w:rPr>
        <w:tab/>
        <w:t xml:space="preserve">订正解决暴力侵害妇女行为方面的现行国家机制，以简化流程，加强各成员间的协调，加强联邦、州和市三级的能力，提供足够的人力、技术和财政资源，提高预防、处理、惩治和根除暴力侵害妇女行为总任务规定的执行效力； </w:t>
      </w:r>
    </w:p>
    <w:p w:rsidR="008D1C31" w:rsidRPr="00034C9E" w:rsidRDefault="008D1C31" w:rsidP="00DE21DF">
      <w:pPr>
        <w:pStyle w:val="SingleTxt"/>
        <w:rPr>
          <w:rFonts w:ascii="SimHei" w:eastAsia="SimHei" w:hint="eastAsia"/>
        </w:rPr>
      </w:pPr>
      <w:r w:rsidRPr="00034C9E">
        <w:rPr>
          <w:rFonts w:ascii="SimHei" w:eastAsia="SimHei" w:hint="eastAsia"/>
        </w:rPr>
        <w:tab/>
        <w:t>(c)</w:t>
      </w:r>
      <w:r w:rsidRPr="00034C9E">
        <w:rPr>
          <w:rFonts w:ascii="SimHei" w:eastAsia="SimHei" w:hint="eastAsia"/>
        </w:rPr>
        <w:tab/>
        <w:t xml:space="preserve">加快执行州一级的保护令，确保有关当局认识到有必要向有风险的妇女发放保护令，并采取必要措施，将保护令的持续时间维持到暴力行为的受害者没有风险为止； </w:t>
      </w:r>
    </w:p>
    <w:p w:rsidR="008D1C31" w:rsidRDefault="008D1C31" w:rsidP="00DE21DF">
      <w:pPr>
        <w:pStyle w:val="SingleTxt"/>
        <w:rPr>
          <w:rFonts w:hint="eastAsia"/>
        </w:rPr>
      </w:pPr>
      <w:r w:rsidRPr="00034C9E">
        <w:rPr>
          <w:rFonts w:ascii="SimHei" w:eastAsia="SimHei" w:hint="eastAsia"/>
        </w:rPr>
        <w:tab/>
        <w:t>(d)</w:t>
      </w:r>
      <w:r w:rsidRPr="00034C9E">
        <w:rPr>
          <w:rFonts w:ascii="SimHei" w:eastAsia="SimHei" w:hint="eastAsia"/>
        </w:rPr>
        <w:tab/>
        <w:t>紧急清除限制性别报警机制启动的障碍。</w:t>
      </w:r>
    </w:p>
    <w:p w:rsidR="008D1C31" w:rsidRDefault="008D1C31" w:rsidP="00DE21DF">
      <w:pPr>
        <w:pStyle w:val="SingleTxt"/>
        <w:rPr>
          <w:rFonts w:hint="eastAsia"/>
        </w:rPr>
      </w:pPr>
      <w:r>
        <w:rPr>
          <w:rFonts w:hint="eastAsia"/>
        </w:rPr>
        <w:t>17.</w:t>
      </w:r>
      <w:r>
        <w:rPr>
          <w:rFonts w:hint="eastAsia"/>
        </w:rPr>
        <w:tab/>
        <w:t>委员会注意到，《妇女享有无暴力生活总议定书》第二十一条将杀害妇女行为定义为侵害妇女的性别暴力的极端形式，是侵害妇女人权的产物，由公共和私营领域内所有厌恶妇女的行为构成，可能逃脱出社会和国家的惩处，可能导致妇女被杀害或因其他暴力形式致死。但委员会关切的是，地方刑法对杀害妇女罪行的定义不同，且存在缺陷。委员会对若干州杀害妇女行为很多，而且有增长趋势表示严重关切，这些州包括恰帕斯、瓜纳华托、哈利斯科、新莱昂、瓦哈卡、普埃布拉、墨西哥州、韦拉克鲁斯和金塔纳罗奥以及墨西哥城和华雷斯市。委员会还对登记和记录杀害妇女行为的程序不准确表示关切，这导致无法对案件进行适当调查，无法及时通知受害者家人，而且也无法对杀害妇女行为进行更全面、更可靠的评估。</w:t>
      </w:r>
    </w:p>
    <w:p w:rsidR="008D1C31" w:rsidRDefault="008D1C31" w:rsidP="00DE21DF">
      <w:pPr>
        <w:pStyle w:val="SingleTxt"/>
        <w:rPr>
          <w:rFonts w:hint="eastAsia"/>
        </w:rPr>
      </w:pPr>
      <w:r>
        <w:rPr>
          <w:rFonts w:hint="eastAsia"/>
        </w:rPr>
        <w:t>18.</w:t>
      </w:r>
      <w:r>
        <w:rPr>
          <w:rFonts w:hint="eastAsia"/>
        </w:rPr>
        <w:tab/>
        <w:t>委员会进一步关切的是:</w:t>
      </w:r>
    </w:p>
    <w:p w:rsidR="008D1C31" w:rsidRDefault="008D1C31" w:rsidP="00DE21DF">
      <w:pPr>
        <w:pStyle w:val="SingleTxt"/>
        <w:rPr>
          <w:rFonts w:hint="eastAsia"/>
        </w:rPr>
      </w:pPr>
      <w:r>
        <w:rPr>
          <w:rFonts w:hint="eastAsia"/>
        </w:rPr>
        <w:tab/>
        <w:t>(a)</w:t>
      </w:r>
      <w:r>
        <w:rPr>
          <w:rFonts w:hint="eastAsia"/>
        </w:rPr>
        <w:tab/>
        <w:t>齐瓦瓦、新莱昂和韦拉克鲁斯等州妇女和女孩被迫失踪的人数增加，若干地方刑法并未将被迫失踪列为犯罪行为，当局缺乏连贯的失踪正式记录，而且现有搜索程序，例如《阿尔巴议定书》和黄色警报启动慢或根本启动不了；</w:t>
      </w:r>
    </w:p>
    <w:p w:rsidR="008D1C31" w:rsidRDefault="008D1C31" w:rsidP="00DE21DF">
      <w:pPr>
        <w:pStyle w:val="SingleTxt"/>
        <w:rPr>
          <w:rFonts w:hint="eastAsia"/>
        </w:rPr>
      </w:pPr>
      <w:r>
        <w:rPr>
          <w:rFonts w:hint="eastAsia"/>
        </w:rPr>
        <w:tab/>
        <w:t>(b)</w:t>
      </w:r>
      <w:r>
        <w:rPr>
          <w:rFonts w:hint="eastAsia"/>
        </w:rPr>
        <w:tab/>
        <w:t>在军队和/或执法官员正在对有组织犯罪开展行动地区，包括强奸在内的性暴力行为普遍，妇女和女孩普遍易受攻击，容易遇到各种风险；</w:t>
      </w:r>
    </w:p>
    <w:p w:rsidR="008D1C31" w:rsidRDefault="008D1C31" w:rsidP="00DE21DF">
      <w:pPr>
        <w:pStyle w:val="SingleTxt"/>
        <w:rPr>
          <w:rFonts w:hint="eastAsia"/>
        </w:rPr>
      </w:pPr>
      <w:r>
        <w:rPr>
          <w:rFonts w:hint="eastAsia"/>
        </w:rPr>
        <w:tab/>
        <w:t>(c)</w:t>
      </w:r>
      <w:r>
        <w:rPr>
          <w:rFonts w:hint="eastAsia"/>
        </w:rPr>
        <w:tab/>
        <w:t xml:space="preserve">向当局报告的暴力侵害妇女行为案件数少，因为妇女担心报复，而且不信任当局；以及缺乏调查和起诉暴力侵害妇女行为的标准化程序，正如美洲人权法院在Campo Algodonero案中所指出的一样，这阻碍了受害者求助法律的权利，致使逍遥法外的案件比例很高； </w:t>
      </w:r>
    </w:p>
    <w:p w:rsidR="008D1C31" w:rsidRDefault="008D1C31" w:rsidP="00DE21DF">
      <w:pPr>
        <w:pStyle w:val="SingleTxt"/>
      </w:pPr>
      <w:r>
        <w:rPr>
          <w:rFonts w:hint="eastAsia"/>
        </w:rPr>
        <w:tab/>
        <w:t>(d)</w:t>
      </w:r>
      <w:r>
        <w:rPr>
          <w:rFonts w:hint="eastAsia"/>
        </w:rPr>
        <w:tab/>
        <w:t>在调查、起诉和惩罚暴力侵害妇女行为犯罪人方面，全国各地长期存在有罪不罚现象，例如公共当局2006年在圣萨瓦多阿丹哥所犯下的罪行。</w:t>
      </w:r>
    </w:p>
    <w:p w:rsidR="008D1C31" w:rsidRPr="00034C9E" w:rsidRDefault="008D1C31" w:rsidP="00DE21DF">
      <w:pPr>
        <w:pStyle w:val="SingleTxt"/>
        <w:rPr>
          <w:rFonts w:ascii="SimHei" w:eastAsia="SimHei" w:hint="eastAsia"/>
        </w:rPr>
      </w:pPr>
      <w:r w:rsidRPr="00034C9E">
        <w:rPr>
          <w:rFonts w:ascii="SimHei" w:eastAsia="SimHei" w:hint="eastAsia"/>
        </w:rPr>
        <w:t>19.</w:t>
      </w:r>
      <w:r w:rsidRPr="00034C9E">
        <w:rPr>
          <w:rFonts w:ascii="SimHei" w:eastAsia="SimHei" w:hint="eastAsia"/>
        </w:rPr>
        <w:tab/>
        <w:t>委员会建议缔约国：</w:t>
      </w:r>
    </w:p>
    <w:p w:rsidR="008D1C31" w:rsidRPr="00034C9E" w:rsidRDefault="008D1C31" w:rsidP="00DE21DF">
      <w:pPr>
        <w:pStyle w:val="SingleTxt"/>
        <w:rPr>
          <w:rFonts w:ascii="SimHei" w:eastAsia="SimHei" w:hint="eastAsia"/>
        </w:rPr>
      </w:pPr>
      <w:r w:rsidRPr="00034C9E">
        <w:rPr>
          <w:rFonts w:ascii="SimHei" w:eastAsia="SimHei" w:hint="eastAsia"/>
        </w:rPr>
        <w:tab/>
        <w:t>(a)</w:t>
      </w:r>
      <w:r w:rsidRPr="00034C9E">
        <w:rPr>
          <w:rFonts w:ascii="SimHei" w:eastAsia="SimHei" w:hint="eastAsia"/>
        </w:rPr>
        <w:tab/>
        <w:t>采取必要步骤，确保根据客观要素编纂杀害妇女行为情况，以便使这一问题具有编入地方刑法的适当资格；加快编纂那些有待编入地方刑法内容；规范全国各地杀害妇女行为的警方调查程序；以及毫不拖延地告知受害者家人；</w:t>
      </w:r>
    </w:p>
    <w:p w:rsidR="008D1C31" w:rsidRPr="00034C9E" w:rsidRDefault="008D1C31" w:rsidP="00DE21DF">
      <w:pPr>
        <w:pStyle w:val="SingleTxt"/>
        <w:rPr>
          <w:rFonts w:ascii="SimHei" w:eastAsia="SimHei" w:hint="eastAsia"/>
        </w:rPr>
      </w:pPr>
      <w:r w:rsidRPr="00034C9E">
        <w:rPr>
          <w:rFonts w:ascii="SimHei" w:eastAsia="SimHei" w:hint="eastAsia"/>
        </w:rPr>
        <w:tab/>
        <w:t>(b)</w:t>
      </w:r>
      <w:r w:rsidRPr="00034C9E">
        <w:rPr>
          <w:rFonts w:ascii="SimHei" w:eastAsia="SimHei" w:hint="eastAsia"/>
        </w:rPr>
        <w:tab/>
        <w:t>制定一个被迫失踪问题的连贯正式登记，以便能够评估这一现象的严重程度，并采取适当政策；审查地方刑法，将被迫失踪定为犯罪行为；简化《阿尔巴议定书》和黄色警报当前启动程序，以便毫不拖延地启动失踪妇女和女孩的搜索工作；以及规范警察搜索程序；</w:t>
      </w:r>
    </w:p>
    <w:p w:rsidR="008D1C31" w:rsidRPr="00034C9E" w:rsidRDefault="008D1C31" w:rsidP="00DE21DF">
      <w:pPr>
        <w:pStyle w:val="SingleTxt"/>
        <w:rPr>
          <w:rFonts w:ascii="SimHei" w:eastAsia="SimHei" w:hint="eastAsia"/>
        </w:rPr>
      </w:pPr>
      <w:r w:rsidRPr="00034C9E">
        <w:rPr>
          <w:rFonts w:ascii="SimHei" w:eastAsia="SimHei" w:hint="eastAsia"/>
        </w:rPr>
        <w:tab/>
        <w:t>(c)</w:t>
      </w:r>
      <w:r w:rsidRPr="00034C9E">
        <w:rPr>
          <w:rFonts w:ascii="SimHei" w:eastAsia="SimHei" w:hint="eastAsia"/>
        </w:rPr>
        <w:tab/>
        <w:t>采取行动鼓励报告强奸等暴力侵害妇女行为案件，确保制定调查、起诉和惩罚侵害妇女暴力行为犯罪人的适当、统一程序；</w:t>
      </w:r>
    </w:p>
    <w:p w:rsidR="008D1C31" w:rsidRPr="00034C9E" w:rsidRDefault="008D1C31" w:rsidP="00DE21DF">
      <w:pPr>
        <w:pStyle w:val="SingleTxt"/>
        <w:rPr>
          <w:rFonts w:ascii="SimHei" w:eastAsia="SimHei" w:hint="eastAsia"/>
        </w:rPr>
      </w:pPr>
      <w:r w:rsidRPr="00034C9E">
        <w:rPr>
          <w:rFonts w:ascii="SimHei" w:eastAsia="SimHei" w:hint="eastAsia"/>
        </w:rPr>
        <w:tab/>
        <w:t>(d)</w:t>
      </w:r>
      <w:r w:rsidRPr="00034C9E">
        <w:rPr>
          <w:rFonts w:ascii="SimHei" w:eastAsia="SimHei" w:hint="eastAsia"/>
        </w:rPr>
        <w:tab/>
        <w:t>通过提高妇女司法中心的能力，使暴力行为的妇女和女孩受害者能求助于这些中心等途径，确保妇女能求助于法律；</w:t>
      </w:r>
    </w:p>
    <w:p w:rsidR="008D1C31" w:rsidRPr="00034C9E" w:rsidRDefault="008D1C31" w:rsidP="00DE21DF">
      <w:pPr>
        <w:pStyle w:val="SingleTxt"/>
        <w:rPr>
          <w:rFonts w:ascii="SimHei" w:eastAsia="SimHei" w:hint="eastAsia"/>
        </w:rPr>
      </w:pPr>
      <w:r w:rsidRPr="00034C9E">
        <w:rPr>
          <w:rFonts w:ascii="SimHei" w:eastAsia="SimHei" w:hint="eastAsia"/>
        </w:rPr>
        <w:tab/>
        <w:t>(e)</w:t>
      </w:r>
      <w:r w:rsidRPr="00034C9E">
        <w:rPr>
          <w:rFonts w:ascii="SimHei" w:eastAsia="SimHei" w:hint="eastAsia"/>
        </w:rPr>
        <w:tab/>
        <w:t>采取各项措施，改善对暴力行为的妇女和女孩受害者的支持服务，可采取的措施包括确保她们可以到设立的护理中心和庇护所求助；确保教育专业人员、医疗保健人员和社会工作者完全熟悉防止暴力侵害妇女行为和受害者治疗的墨西哥官方标准NOM-046-SSA2-2005，了解暴力侵害妇女行为的各种形式，而且完全有能力协助和支持暴力行为受害者；</w:t>
      </w:r>
    </w:p>
    <w:p w:rsidR="008D1C31" w:rsidRPr="00034C9E" w:rsidRDefault="008D1C31" w:rsidP="008D1C31">
      <w:pPr>
        <w:pStyle w:val="SingleTxt"/>
        <w:spacing w:line="330" w:lineRule="exact"/>
        <w:rPr>
          <w:rFonts w:ascii="SimHei" w:eastAsia="SimHei" w:hint="eastAsia"/>
        </w:rPr>
      </w:pPr>
      <w:r w:rsidRPr="00034C9E">
        <w:rPr>
          <w:rFonts w:ascii="SimHei" w:eastAsia="SimHei" w:hint="eastAsia"/>
        </w:rPr>
        <w:tab/>
        <w:t>(f)</w:t>
      </w:r>
      <w:r w:rsidRPr="00034C9E">
        <w:rPr>
          <w:rFonts w:ascii="SimHei" w:eastAsia="SimHei" w:hint="eastAsia"/>
        </w:rPr>
        <w:tab/>
        <w:t>继续落实各国际和区域人权机制在暴力侵害妇女行为方面提出的各项建议和决定，其中包括美洲人权法院对Campo Algodonero案做出的裁决；</w:t>
      </w:r>
    </w:p>
    <w:p w:rsidR="008D1C31" w:rsidRDefault="008D1C31" w:rsidP="008D1C31">
      <w:pPr>
        <w:pStyle w:val="SingleTxt"/>
        <w:spacing w:line="330" w:lineRule="exact"/>
        <w:rPr>
          <w:rFonts w:hint="eastAsia"/>
        </w:rPr>
      </w:pPr>
      <w:r w:rsidRPr="00034C9E">
        <w:rPr>
          <w:rFonts w:ascii="SimHei" w:eastAsia="SimHei" w:hint="eastAsia"/>
        </w:rPr>
        <w:tab/>
        <w:t>(g)</w:t>
      </w:r>
      <w:r w:rsidRPr="00034C9E">
        <w:rPr>
          <w:rFonts w:ascii="SimHei" w:eastAsia="SimHei" w:hint="eastAsia"/>
        </w:rPr>
        <w:tab/>
        <w:t>加快逮捕暴力侵害妇女罪行相关指称犯罪人嫌犯，并在下一次定期报告中提供起诉和惩罚犯罪人的资料，包括与阿丹哥案相关资料。</w:t>
      </w:r>
    </w:p>
    <w:p w:rsidR="008D1C31" w:rsidRPr="00034C9E" w:rsidRDefault="008D1C31" w:rsidP="00DE21DF">
      <w:pPr>
        <w:pStyle w:val="SingleTxt"/>
        <w:rPr>
          <w:rFonts w:ascii="SimHei" w:eastAsia="SimHei" w:hint="eastAsia"/>
        </w:rPr>
      </w:pPr>
      <w:r w:rsidRPr="00034C9E">
        <w:rPr>
          <w:rFonts w:ascii="SimHei" w:eastAsia="SimHei" w:hint="eastAsia"/>
        </w:rPr>
        <w:t>贩卖人口</w:t>
      </w:r>
    </w:p>
    <w:p w:rsidR="008D1C31" w:rsidRDefault="008D1C31" w:rsidP="008D1C31">
      <w:pPr>
        <w:pStyle w:val="SingleTxt"/>
        <w:spacing w:line="330" w:lineRule="exact"/>
        <w:rPr>
          <w:rFonts w:hint="eastAsia"/>
        </w:rPr>
      </w:pPr>
      <w:r>
        <w:rPr>
          <w:rFonts w:hint="eastAsia"/>
        </w:rPr>
        <w:t>20.</w:t>
      </w:r>
      <w:r>
        <w:rPr>
          <w:rFonts w:hint="eastAsia"/>
        </w:rPr>
        <w:tab/>
        <w:t>委员会收到信息称，全国妇女，特别是女孩失踪人数增加与贩卖人口现象有关，委员会对此表示关切。委员会感到关切的是，被贩卖的受害者不仅遭到性剥削和劳动剥削，而且还要被迫充当骡子和性奴隶。委员会对州一级在将贩卖人口定为刑事犯罪方面缺乏统一性再次表示关切。委员会关切地注意到，当有组织犯罪团伙实施犯罪时，暴力侵害妇女行为罪和贩运人口罪特别检察官办公室未获得对贩运人口投诉采取后续行动的授权。委员会还表示关切的是，缔约国未建立记录贩运人口活动的分列数据，也未能完全解决国内贩运人口问题。</w:t>
      </w:r>
    </w:p>
    <w:p w:rsidR="008D1C31" w:rsidRPr="00034C9E" w:rsidRDefault="008D1C31" w:rsidP="00DE21DF">
      <w:pPr>
        <w:pStyle w:val="SingleTxt"/>
        <w:rPr>
          <w:rFonts w:ascii="SimHei" w:eastAsia="SimHei" w:hint="eastAsia"/>
        </w:rPr>
      </w:pPr>
      <w:r w:rsidRPr="00034C9E">
        <w:rPr>
          <w:rFonts w:ascii="SimHei" w:eastAsia="SimHei" w:hint="eastAsia"/>
        </w:rPr>
        <w:t>21.</w:t>
      </w:r>
      <w:r w:rsidRPr="00034C9E">
        <w:rPr>
          <w:rFonts w:ascii="SimHei" w:eastAsia="SimHei" w:hint="eastAsia"/>
        </w:rPr>
        <w:tab/>
        <w:t>委员会建议缔约国：</w:t>
      </w:r>
    </w:p>
    <w:p w:rsidR="008D1C31" w:rsidRPr="00034C9E" w:rsidRDefault="008D1C31" w:rsidP="008D1C31">
      <w:pPr>
        <w:pStyle w:val="SingleTxt"/>
        <w:spacing w:line="330" w:lineRule="exact"/>
        <w:rPr>
          <w:rFonts w:ascii="SimHei" w:eastAsia="SimHei" w:hint="eastAsia"/>
        </w:rPr>
      </w:pPr>
      <w:r w:rsidRPr="00034C9E">
        <w:rPr>
          <w:rFonts w:ascii="SimHei" w:eastAsia="SimHei" w:hint="eastAsia"/>
        </w:rPr>
        <w:tab/>
        <w:t>(a)</w:t>
      </w:r>
      <w:r w:rsidRPr="00034C9E">
        <w:rPr>
          <w:rFonts w:ascii="SimHei" w:eastAsia="SimHei" w:hint="eastAsia"/>
        </w:rPr>
        <w:tab/>
        <w:t>确保有效落实新的《防止、惩罚和消除贩运人口罪行及保护和援助此类罪行受害者总法》，规范联邦和州一级贩卖人口的刑事定罪，并确保为落实法律分配适当资源；</w:t>
      </w:r>
    </w:p>
    <w:p w:rsidR="008D1C31" w:rsidRPr="00034C9E" w:rsidRDefault="008D1C31" w:rsidP="008D1C31">
      <w:pPr>
        <w:pStyle w:val="SingleTxt"/>
        <w:spacing w:line="330" w:lineRule="exact"/>
        <w:rPr>
          <w:rFonts w:ascii="SimHei" w:eastAsia="SimHei" w:hint="eastAsia"/>
        </w:rPr>
      </w:pPr>
      <w:r w:rsidRPr="00034C9E">
        <w:rPr>
          <w:rFonts w:ascii="SimHei" w:eastAsia="SimHei" w:hint="eastAsia"/>
        </w:rPr>
        <w:tab/>
        <w:t>(b)</w:t>
      </w:r>
      <w:r w:rsidRPr="00034C9E">
        <w:rPr>
          <w:rFonts w:ascii="SimHei" w:eastAsia="SimHei" w:hint="eastAsia"/>
        </w:rPr>
        <w:tab/>
        <w:t>详细分析贩运妇女和女孩现象，包括贩运的范围、原因、后果和目的，以及贩运与妇女和女孩失踪及新出现的剥削形式之间的可能联系；</w:t>
      </w:r>
    </w:p>
    <w:p w:rsidR="008D1C31" w:rsidRPr="00034C9E" w:rsidRDefault="008D1C31" w:rsidP="008D1C31">
      <w:pPr>
        <w:pStyle w:val="SingleTxt"/>
        <w:spacing w:line="330" w:lineRule="exact"/>
        <w:rPr>
          <w:rFonts w:ascii="SimHei" w:eastAsia="SimHei" w:hint="eastAsia"/>
        </w:rPr>
      </w:pPr>
      <w:r w:rsidRPr="00034C9E">
        <w:rPr>
          <w:rFonts w:ascii="SimHei" w:eastAsia="SimHei" w:hint="eastAsia"/>
        </w:rPr>
        <w:tab/>
        <w:t>(c)</w:t>
      </w:r>
      <w:r w:rsidRPr="00034C9E">
        <w:rPr>
          <w:rFonts w:ascii="SimHei" w:eastAsia="SimHei" w:hint="eastAsia"/>
        </w:rPr>
        <w:tab/>
        <w:t>系统汇编贩卖妇女的分类数据，并进行分析，制定一项综合战略，其中列入预防、起诉和惩罚犯罪人的各项措施以及帮助受害者恢复的改进措施；</w:t>
      </w:r>
    </w:p>
    <w:p w:rsidR="008D1C31" w:rsidRPr="00034C9E" w:rsidRDefault="008D1C31" w:rsidP="008D1C31">
      <w:pPr>
        <w:pStyle w:val="SingleTxt"/>
        <w:spacing w:line="330" w:lineRule="exact"/>
        <w:rPr>
          <w:rFonts w:ascii="SimHei" w:eastAsia="SimHei" w:hint="eastAsia"/>
        </w:rPr>
      </w:pPr>
      <w:r w:rsidRPr="00034C9E">
        <w:rPr>
          <w:rFonts w:ascii="SimHei" w:eastAsia="SimHei" w:hint="eastAsia"/>
        </w:rPr>
        <w:tab/>
        <w:t>(d)</w:t>
      </w:r>
      <w:r w:rsidRPr="00034C9E">
        <w:rPr>
          <w:rFonts w:ascii="SimHei" w:eastAsia="SimHei" w:hint="eastAsia"/>
        </w:rPr>
        <w:tab/>
      </w:r>
      <w:r w:rsidRPr="008D1C31">
        <w:rPr>
          <w:rFonts w:ascii="SimHei" w:eastAsia="SimHei" w:hint="eastAsia"/>
          <w:spacing w:val="4"/>
        </w:rPr>
        <w:t>就贩运妇女和女孩的风险和后果开展全国性的宣传活动，向执法、移民和边境警察官员培训贩运妇女和女孩的原因、后果和贩运情况及各种剥削形式</w:t>
      </w:r>
      <w:r w:rsidRPr="00034C9E">
        <w:rPr>
          <w:rFonts w:ascii="SimHei" w:eastAsia="SimHei" w:hint="eastAsia"/>
        </w:rPr>
        <w:t>。</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参与政治和公共生活</w:t>
      </w:r>
    </w:p>
    <w:p w:rsidR="008D1C31" w:rsidRPr="008D1C31" w:rsidRDefault="008D1C31" w:rsidP="008D1C31">
      <w:pPr>
        <w:pStyle w:val="SingleTxt"/>
        <w:spacing w:after="0" w:line="120" w:lineRule="exact"/>
        <w:ind w:right="0"/>
        <w:rPr>
          <w:rFonts w:hint="eastAsia"/>
          <w:sz w:val="10"/>
        </w:rPr>
      </w:pPr>
    </w:p>
    <w:p w:rsidR="008D1C31" w:rsidRDefault="008D1C31" w:rsidP="008D1C31">
      <w:pPr>
        <w:pStyle w:val="SingleTxt"/>
        <w:spacing w:line="330" w:lineRule="exact"/>
        <w:rPr>
          <w:rFonts w:hint="eastAsia"/>
        </w:rPr>
      </w:pPr>
      <w:r>
        <w:rPr>
          <w:rFonts w:hint="eastAsia"/>
        </w:rPr>
        <w:t>22.</w:t>
      </w:r>
      <w:r>
        <w:rPr>
          <w:rFonts w:hint="eastAsia"/>
        </w:rPr>
        <w:tab/>
        <w:t>委员会注意到，缔约国在确保妇女男子平等参与联邦政治生活方面取得了重大进展。但是，委员会关切地注意到联邦和州的选举法律框架存在差距，可能导致违反按四六比例登记候选人的配额制度，并且配额制度尚未纳入各州的选举法律。委员会还感到关切的是，参与州级政治生活的土著妇女人数较少。</w:t>
      </w:r>
    </w:p>
    <w:p w:rsidR="008D1C31" w:rsidRPr="00141F08" w:rsidRDefault="008D1C31" w:rsidP="00DE21DF">
      <w:pPr>
        <w:pStyle w:val="SingleTxt"/>
        <w:rPr>
          <w:rFonts w:ascii="SimHei" w:eastAsia="SimHei" w:hint="eastAsia"/>
        </w:rPr>
      </w:pPr>
      <w:r>
        <w:rPr>
          <w:rFonts w:ascii="SimHei" w:eastAsia="SimHei"/>
        </w:rPr>
        <w:br w:type="page"/>
      </w:r>
      <w:r w:rsidRPr="00141F08">
        <w:rPr>
          <w:rFonts w:ascii="SimHei" w:eastAsia="SimHei" w:hint="eastAsia"/>
        </w:rPr>
        <w:t>23.</w:t>
      </w:r>
      <w:r w:rsidRPr="00141F08">
        <w:rPr>
          <w:rFonts w:ascii="SimHei" w:eastAsia="SimHei" w:hint="eastAsia"/>
        </w:rPr>
        <w:tab/>
        <w:t>委员会建议缔约国：</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确保各个政党遵守联邦和各州的选举法律框架，包括修改或废止歧视妇女的规定，比如《联邦选举机构和程序法》第219条第2款，并对违反配额制度的行为进行制裁；</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采取多种措施消除妇女，特别是土著妇女参与社区政治生活的障碍，包括开展提高认识活动，提高妇女参与州市两级政治生活的水平；</w:t>
      </w:r>
    </w:p>
    <w:p w:rsidR="008D1C31" w:rsidRDefault="008D1C31" w:rsidP="008D1C31">
      <w:pPr>
        <w:pStyle w:val="SingleTxt"/>
        <w:spacing w:line="330" w:lineRule="exact"/>
        <w:rPr>
          <w:rFonts w:hint="eastAsia"/>
        </w:rPr>
      </w:pPr>
      <w:r w:rsidRPr="00141F08">
        <w:rPr>
          <w:rFonts w:ascii="SimHei" w:eastAsia="SimHei"/>
        </w:rPr>
        <w:tab/>
      </w:r>
      <w:r w:rsidRPr="00141F08">
        <w:rPr>
          <w:rFonts w:ascii="SimHei" w:eastAsia="SimHei" w:hint="eastAsia"/>
        </w:rPr>
        <w:t>(c)</w:t>
      </w:r>
      <w:r w:rsidRPr="00141F08">
        <w:rPr>
          <w:rFonts w:ascii="SimHei" w:eastAsia="SimHei" w:hint="eastAsia"/>
        </w:rPr>
        <w:tab/>
        <w:t>确保各个政党履行义务，把所得公共资金的2%用于加强妇女，特别是土著妇女在市一级的政治领导</w:t>
      </w:r>
      <w:r>
        <w:rPr>
          <w:rFonts w:hint="eastAsia"/>
        </w:rPr>
        <w:t>。</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人权维护者和记者</w:t>
      </w:r>
    </w:p>
    <w:p w:rsidR="008D1C31" w:rsidRPr="008D1C31" w:rsidRDefault="008D1C31" w:rsidP="008D1C31">
      <w:pPr>
        <w:pStyle w:val="SingleTxt"/>
        <w:spacing w:after="0" w:line="120" w:lineRule="exact"/>
        <w:ind w:right="0"/>
        <w:rPr>
          <w:rFonts w:hint="eastAsia"/>
          <w:sz w:val="10"/>
        </w:rPr>
      </w:pPr>
    </w:p>
    <w:p w:rsidR="008D1C31" w:rsidRDefault="008D1C31" w:rsidP="008D1C31">
      <w:pPr>
        <w:pStyle w:val="SingleTxt"/>
        <w:spacing w:line="330" w:lineRule="exact"/>
        <w:rPr>
          <w:rFonts w:hint="eastAsia"/>
        </w:rPr>
      </w:pPr>
      <w:r>
        <w:rPr>
          <w:rFonts w:hint="eastAsia"/>
        </w:rPr>
        <w:t>24.</w:t>
      </w:r>
      <w:r>
        <w:tab/>
      </w:r>
      <w:r>
        <w:rPr>
          <w:rFonts w:hint="eastAsia"/>
        </w:rPr>
        <w:t>委员会深为关切地注意到，缔约国妇女人权捍卫者和记者在职业活动中遭受风险，部分人员为躲避生活和安全威胁被迫离开居所而藏身他处。委员会关切地注意到，资料显示他们遭受威胁和诽谤活动、性虐待、骚扰等多种暴力，一些妇女遭到杀害。委员会关切的是，有关当局没有及时采取应对措施保证妇女权利捍卫者和记者的人权，特别是言论自由、生命、自由、完整和诉诸司法权。委员会还关切的是，有资料称暴力侵害妇女人权捍卫者和记者案例多是国家人员所为，并且没有对肇事者采取预防、调查、起诉和惩罚措施。</w:t>
      </w:r>
    </w:p>
    <w:p w:rsidR="008D1C31" w:rsidRPr="00141F08" w:rsidRDefault="008D1C31" w:rsidP="00DE21DF">
      <w:pPr>
        <w:pStyle w:val="SingleTxt"/>
        <w:rPr>
          <w:rFonts w:ascii="SimHei" w:eastAsia="SimHei" w:hint="eastAsia"/>
        </w:rPr>
      </w:pPr>
      <w:r w:rsidRPr="00141F08">
        <w:rPr>
          <w:rFonts w:ascii="SimHei" w:eastAsia="SimHei" w:hint="eastAsia"/>
        </w:rPr>
        <w:t>25.</w:t>
      </w:r>
      <w:r w:rsidRPr="00141F08">
        <w:rPr>
          <w:rFonts w:ascii="SimHei" w:eastAsia="SimHei"/>
        </w:rPr>
        <w:tab/>
      </w:r>
      <w:r w:rsidRPr="00141F08">
        <w:rPr>
          <w:rFonts w:ascii="SimHei" w:eastAsia="SimHei" w:hint="eastAsia"/>
        </w:rPr>
        <w:t>委员会敦促缔约国：</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确保在联邦和各州迅速执行</w:t>
      </w:r>
      <w:r>
        <w:rPr>
          <w:rFonts w:ascii="Times New Roman" w:eastAsia="SimHei" w:hint="eastAsia"/>
        </w:rPr>
        <w:t>2012</w:t>
      </w:r>
      <w:r>
        <w:rPr>
          <w:rFonts w:ascii="Times New Roman" w:eastAsia="SimHei" w:hint="eastAsia"/>
        </w:rPr>
        <w:t>年</w:t>
      </w:r>
      <w:r w:rsidRPr="00141F08">
        <w:rPr>
          <w:rFonts w:ascii="SimHei" w:eastAsia="SimHei" w:hint="eastAsia"/>
        </w:rPr>
        <w:t>《人权捍卫者和记者保护法》，以保证妇女人权捍卫者和记者的生命、自由和完整，并确保其不遭受任何形式的暴力；</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优先按照《人权捍卫者和记者保护法》规定建立人权捍卫者和记者保护机制，并确保机制采用性别平等办法；</w:t>
      </w:r>
    </w:p>
    <w:p w:rsidR="008D1C31" w:rsidRDefault="008D1C31" w:rsidP="00DE21DF">
      <w:pPr>
        <w:pStyle w:val="SingleTxt"/>
        <w:rPr>
          <w:rFonts w:hint="eastAsia"/>
        </w:rPr>
      </w:pPr>
      <w:r w:rsidRPr="00141F08">
        <w:rPr>
          <w:rFonts w:ascii="SimHei" w:eastAsia="SimHei"/>
        </w:rPr>
        <w:tab/>
      </w:r>
      <w:r w:rsidRPr="00141F08">
        <w:rPr>
          <w:rFonts w:ascii="SimHei" w:eastAsia="SimHei" w:hint="eastAsia"/>
        </w:rPr>
        <w:t>(c)</w:t>
      </w:r>
      <w:r w:rsidRPr="00141F08">
        <w:rPr>
          <w:rFonts w:ascii="SimHei" w:eastAsia="SimHei" w:hint="eastAsia"/>
        </w:rPr>
        <w:tab/>
        <w:t>采取具体、充分和有效的措施预防、调查、起诉和惩罚针对妇女人权捍卫者和记者的攻击和其他暴力行为，并采取有效措施打击有罪不罚现象</w:t>
      </w:r>
      <w:r>
        <w:rPr>
          <w:rFonts w:hint="eastAsia"/>
        </w:rPr>
        <w:t>。</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教育</w:t>
      </w:r>
    </w:p>
    <w:p w:rsidR="008D1C31" w:rsidRPr="008D1C31" w:rsidRDefault="008D1C31" w:rsidP="008D1C31">
      <w:pPr>
        <w:pStyle w:val="SingleTxt"/>
        <w:spacing w:after="0" w:line="120" w:lineRule="exact"/>
        <w:ind w:right="0"/>
        <w:rPr>
          <w:rFonts w:hint="eastAsia"/>
          <w:sz w:val="10"/>
        </w:rPr>
      </w:pPr>
    </w:p>
    <w:p w:rsidR="008D1C31" w:rsidRDefault="008D1C31" w:rsidP="008D1C31">
      <w:pPr>
        <w:pStyle w:val="SingleTxt"/>
        <w:spacing w:line="330" w:lineRule="exact"/>
        <w:rPr>
          <w:rFonts w:hint="eastAsia"/>
        </w:rPr>
      </w:pPr>
      <w:r>
        <w:rPr>
          <w:rFonts w:hint="eastAsia"/>
        </w:rPr>
        <w:t>26.</w:t>
      </w:r>
      <w:r>
        <w:tab/>
      </w:r>
      <w:r>
        <w:rPr>
          <w:rFonts w:hint="eastAsia"/>
        </w:rPr>
        <w:t>委员会注意到向怀孕少年和年轻母亲提供基本教育奖学金的《年轻母亲和怀孕少女奖学金方案》，但是关切地注意到怀孕少女因遭受侮辱而被迫辍学。委员会遗憾地注意到，性健康和生殖健康及权利的教学内容有所减少。委员会并对城市地区妇女(5.3%)和农村地区妇女(18.2%)的文盲率差异感到关切。委员会关切地注意到教育领域中的教师职业已经女性化，参加技术职业教育的女生人数较少，以至于就业市场出现了性别隔离和妇女从事低收入工作的情况。委员会还感到关切，校内暴力侵害妇女和女生问题继续存在，没有为预防、惩罚或消除校内性虐待、骚扰和其他暴力形式建立明确的机制。</w:t>
      </w:r>
    </w:p>
    <w:p w:rsidR="008D1C31" w:rsidRPr="00141F08" w:rsidRDefault="008D1C31" w:rsidP="00DE21DF">
      <w:pPr>
        <w:pStyle w:val="SingleTxt"/>
        <w:rPr>
          <w:rFonts w:ascii="SimHei" w:eastAsia="SimHei" w:hint="eastAsia"/>
        </w:rPr>
      </w:pPr>
      <w:r w:rsidRPr="00141F08">
        <w:rPr>
          <w:rFonts w:ascii="SimHei" w:eastAsia="SimHei" w:hint="eastAsia"/>
        </w:rPr>
        <w:t>27.</w:t>
      </w:r>
      <w:r w:rsidRPr="00141F08">
        <w:rPr>
          <w:rFonts w:ascii="SimHei" w:eastAsia="SimHei"/>
        </w:rPr>
        <w:tab/>
      </w:r>
      <w:r w:rsidRPr="00141F08">
        <w:rPr>
          <w:rFonts w:ascii="SimHei" w:eastAsia="SimHei" w:hint="eastAsia"/>
        </w:rPr>
        <w:t>委员会建议缔约国：</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开展《年轻母亲和怀孕少女奖学金方案》宣传活动，确保按照国际标准更新以科学证据为依据的性健康和生殖健康及权利教学内容，出台适合不同年龄男女学生的性健康和生殖健康及权利综合方案，并纳入基础和中等学校的教学内容；</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采取各项适当措施缩小城市和农村妇女的文盲率差距；</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继续鼓励年轻妇女选择非传统的学习和就业领域；</w:t>
      </w:r>
    </w:p>
    <w:p w:rsidR="008D1C31" w:rsidRDefault="008D1C31" w:rsidP="00DE21DF">
      <w:pPr>
        <w:pStyle w:val="SingleTxt"/>
        <w:rPr>
          <w:rFonts w:hint="eastAsia"/>
        </w:rPr>
      </w:pPr>
      <w:r w:rsidRPr="00141F08">
        <w:rPr>
          <w:rFonts w:ascii="SimHei" w:eastAsia="SimHei"/>
        </w:rPr>
        <w:tab/>
      </w:r>
      <w:r w:rsidRPr="00141F08">
        <w:rPr>
          <w:rFonts w:ascii="SimHei" w:eastAsia="SimHei" w:hint="eastAsia"/>
        </w:rPr>
        <w:t>(d)</w:t>
      </w:r>
      <w:r w:rsidRPr="00141F08">
        <w:rPr>
          <w:rFonts w:ascii="SimHei" w:eastAsia="SimHei" w:hint="eastAsia"/>
        </w:rPr>
        <w:tab/>
        <w:t>采取措施预防、惩罚和消除公共教育机构内存在的各种暴力侵害妇女和女童形式</w:t>
      </w:r>
      <w:r>
        <w:rPr>
          <w:rFonts w:hint="eastAsia"/>
        </w:rPr>
        <w:t>。</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就业</w:t>
      </w:r>
    </w:p>
    <w:p w:rsidR="008D1C31" w:rsidRPr="008D1C31" w:rsidRDefault="008D1C31" w:rsidP="008D1C31">
      <w:pPr>
        <w:pStyle w:val="SingleTxt"/>
        <w:spacing w:after="0" w:line="120" w:lineRule="exact"/>
        <w:ind w:right="0"/>
        <w:rPr>
          <w:rFonts w:hint="eastAsia"/>
          <w:sz w:val="10"/>
        </w:rPr>
      </w:pPr>
    </w:p>
    <w:p w:rsidR="008D1C31" w:rsidRDefault="008D1C31" w:rsidP="008D1C31">
      <w:pPr>
        <w:pStyle w:val="SingleTxt"/>
        <w:spacing w:line="330" w:lineRule="exact"/>
        <w:rPr>
          <w:rFonts w:hint="eastAsia"/>
        </w:rPr>
      </w:pPr>
      <w:r>
        <w:rPr>
          <w:rFonts w:hint="eastAsia"/>
        </w:rPr>
        <w:t>28.</w:t>
      </w:r>
      <w:r>
        <w:tab/>
      </w:r>
      <w:r>
        <w:rPr>
          <w:rFonts w:hint="eastAsia"/>
        </w:rPr>
        <w:t>委员会关切地注意到就业领域中歧视妇女的现象继续存在，比如就业和续延就业合同时要求验孕以及让孕妇从事困难或危险工作迫使其辞职，并关切地注意到多年来《联邦劳工法》改革工作停滞不前。委员会关切地注意到，报告显示三成妇女在工作场所遭受性骚扰和虐待等暴力行为。委员会还关切地注意到男女薪酬差距巨大，56.6%的妇女就业人员在非正规部门工作，没有社保福利。委员会还关切地注意到妇女占家政工人的99%，工作条件不平等，并在薪酬、工作时间和福利方面遭受歧视。</w:t>
      </w:r>
    </w:p>
    <w:p w:rsidR="008D1C31" w:rsidRPr="00141F08" w:rsidRDefault="008D1C31" w:rsidP="008D1C31">
      <w:pPr>
        <w:pStyle w:val="SingleTxt"/>
        <w:spacing w:line="330" w:lineRule="exact"/>
        <w:rPr>
          <w:rFonts w:ascii="SimHei" w:eastAsia="SimHei" w:hint="eastAsia"/>
        </w:rPr>
      </w:pPr>
      <w:r w:rsidRPr="00141F08">
        <w:rPr>
          <w:rFonts w:ascii="SimHei" w:eastAsia="SimHei" w:hint="eastAsia"/>
        </w:rPr>
        <w:t>29.</w:t>
      </w:r>
      <w:r w:rsidRPr="00141F08">
        <w:rPr>
          <w:rFonts w:ascii="SimHei" w:eastAsia="SimHei"/>
        </w:rPr>
        <w:tab/>
      </w:r>
      <w:r w:rsidRPr="00141F08">
        <w:rPr>
          <w:rFonts w:ascii="SimHei" w:eastAsia="SimHei" w:hint="eastAsia"/>
        </w:rPr>
        <w:t>委员会重申以前向缔约国提出的建议，即对照《公约》第11条规定全面修改劳工立法，并加快通过搁置多年的《联邦劳工法》。委员会呼吁缔约国：</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采取措施确保就业市场妇女男子机会平等，包括按照《公约》第4条</w:t>
      </w:r>
      <w:r w:rsidR="004E0A83">
        <w:rPr>
          <w:rFonts w:hint="eastAsia"/>
        </w:rPr>
        <w:t>第1款</w:t>
      </w:r>
      <w:r w:rsidRPr="00141F08">
        <w:rPr>
          <w:rFonts w:ascii="SimHei" w:eastAsia="SimHei" w:hint="eastAsia"/>
        </w:rPr>
        <w:t>以及委员会第25号一般性建议(2004)采取有时限目标的暂行特别措施，并向劳工监察总局提供必要、充足的人力和财政资源，以对自由贸易区加工行业等就业领域的歧视妇女行为进行监督和制裁：</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确保有效执行公共部门性骚扰案件干预议定书，并计划对私营部门采取类似的防止性骚扰措施；</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采取措施改善非正规部门妇女的处境，监测这种措施的影响，确保继续执行为其提供医疗保健的《大众保健方案》；</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(d)</w:t>
      </w:r>
      <w:r w:rsidRPr="00141F08">
        <w:rPr>
          <w:rFonts w:ascii="SimHei" w:eastAsia="SimHei" w:hint="eastAsia"/>
        </w:rPr>
        <w:tab/>
        <w:t>修订社会保护法律框架以制订综合政策，确保家政工人同值工作同等薪酬、待遇和福利，平等享有社会保障和安全工作条件；</w:t>
      </w:r>
    </w:p>
    <w:p w:rsidR="008D1C31" w:rsidRPr="00141F08" w:rsidRDefault="008D1C31" w:rsidP="008D1C31">
      <w:pPr>
        <w:pStyle w:val="SingleTxt"/>
        <w:spacing w:line="330" w:lineRule="exact"/>
        <w:rPr>
          <w:rFonts w:ascii="SimHei" w:eastAsia="SimHei" w:hint="eastAsia"/>
        </w:rPr>
      </w:pPr>
      <w:r w:rsidRPr="00141F08">
        <w:rPr>
          <w:rFonts w:ascii="SimHei" w:eastAsia="SimHei"/>
        </w:rPr>
        <w:tab/>
      </w:r>
      <w:r w:rsidRPr="00141F08">
        <w:rPr>
          <w:rFonts w:ascii="SimHei" w:eastAsia="SimHei" w:hint="eastAsia"/>
        </w:rPr>
        <w:t>(e)</w:t>
      </w:r>
      <w:r w:rsidRPr="00141F08">
        <w:rPr>
          <w:rFonts w:ascii="SimHei" w:eastAsia="SimHei" w:hint="eastAsia"/>
        </w:rPr>
        <w:tab/>
        <w:t>批准国际劳工组织关于有家庭责任的工人的第156号公约和关于家政工人体面工作的第189号公约。</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医疗保健</w:t>
      </w:r>
    </w:p>
    <w:p w:rsidR="008D1C31" w:rsidRPr="008D1C31" w:rsidRDefault="008D1C31" w:rsidP="008D1C31">
      <w:pPr>
        <w:pStyle w:val="SingleTxt"/>
        <w:spacing w:after="0" w:line="120" w:lineRule="exact"/>
        <w:ind w:right="0"/>
        <w:rPr>
          <w:rFonts w:hint="eastAsia"/>
          <w:sz w:val="10"/>
        </w:rPr>
      </w:pPr>
    </w:p>
    <w:p w:rsidR="008D1C31" w:rsidRDefault="008D1C31" w:rsidP="00DE21DF">
      <w:pPr>
        <w:pStyle w:val="SingleTxt"/>
        <w:rPr>
          <w:rFonts w:hint="eastAsia"/>
        </w:rPr>
      </w:pPr>
      <w:r>
        <w:rPr>
          <w:rFonts w:hint="eastAsia"/>
        </w:rPr>
        <w:t>30.</w:t>
      </w:r>
      <w:r>
        <w:tab/>
      </w:r>
      <w:r>
        <w:rPr>
          <w:rFonts w:hint="eastAsia"/>
        </w:rPr>
        <w:t>委员会注意到缔约国开展活动推广使用避孕套，预防少女怀孕和性病传播。但是委员会关切地注意到，有报告显示青少年在获得优质性健康和生殖健康和教育资料方面受到限制，少女怀孕人数有增无减。委员会注意到成立了产妇死亡率观察机构，但关切地注意到目前的产妇死亡率为53.5/100 000(2010年)，远未实现千年发展目标制定的2012年达到22.2/100 000的具体目标，缔约国承认无法实现这一目标。</w:t>
      </w:r>
    </w:p>
    <w:p w:rsidR="008D1C31" w:rsidRPr="00141F08" w:rsidRDefault="008D1C31" w:rsidP="00DE21DF">
      <w:pPr>
        <w:pStyle w:val="SingleTxt"/>
        <w:rPr>
          <w:rFonts w:ascii="SimHei" w:eastAsia="SimHei" w:hint="eastAsia"/>
        </w:rPr>
      </w:pPr>
      <w:r w:rsidRPr="00141F08">
        <w:rPr>
          <w:rFonts w:ascii="SimHei" w:eastAsia="SimHei" w:hint="eastAsia"/>
        </w:rPr>
        <w:t>31.</w:t>
      </w:r>
      <w:r w:rsidRPr="00141F08">
        <w:rPr>
          <w:rFonts w:ascii="SimHei" w:eastAsia="SimHei"/>
        </w:rPr>
        <w:tab/>
      </w:r>
      <w:r w:rsidRPr="00141F08">
        <w:rPr>
          <w:rFonts w:ascii="SimHei" w:eastAsia="SimHei" w:hint="eastAsia"/>
        </w:rPr>
        <w:t>委员会建议缔约国：</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确保实现全民医保，确保全民，特别是少女得到性和生殖健康及权利的信息和教育，以防止意外怀孕和少女怀孕；</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加强并继续开展“避孕套比命运更加可靠”的宣传运动；</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在产妇死亡率观察员的指导下，大力降低产妇死亡率，包括采取以优质产前、产后和妇科保健为重点的安全孕产综合战略，并建立起监测和问责机制。</w:t>
      </w:r>
    </w:p>
    <w:p w:rsidR="008D1C31" w:rsidRDefault="008D1C31" w:rsidP="00DE21DF">
      <w:pPr>
        <w:pStyle w:val="SingleTxt"/>
        <w:rPr>
          <w:rFonts w:hint="eastAsia"/>
        </w:rPr>
      </w:pPr>
      <w:r>
        <w:rPr>
          <w:rFonts w:hint="eastAsia"/>
        </w:rPr>
        <w:t>32.</w:t>
      </w:r>
      <w:r>
        <w:tab/>
      </w:r>
      <w:r>
        <w:rPr>
          <w:rFonts w:hint="eastAsia"/>
        </w:rPr>
        <w:t>委员会注意到，在墨西哥城和其他地区强奸致孕堕胎已经合法化。委员会还注意到，32个州法律框架中的合法堕胎规定并不统一。委员会关切地注意到，由于各州对从怀孕开始保护生命的本州宪法进行修订，妇女享受性和生殖健康及权利，包括合法堕胎的权利受到威胁，但是这种修订并没有改变已经确立的合法堕胎规定。委员会还关切地注意到一些案例显示，符合限制性法律规定的孕妇无法合法堕胎，并在医疗部门和社会工作者报告司法当局后因杀婴罪或杀人罪被判处长期监禁。</w:t>
      </w:r>
    </w:p>
    <w:p w:rsidR="008D1C31" w:rsidRPr="00141F08" w:rsidRDefault="008D1C31" w:rsidP="00DE21DF">
      <w:pPr>
        <w:pStyle w:val="SingleTxt"/>
        <w:rPr>
          <w:rFonts w:ascii="SimHei" w:eastAsia="SimHei" w:hint="eastAsia"/>
        </w:rPr>
      </w:pPr>
      <w:r w:rsidRPr="00141F08">
        <w:rPr>
          <w:rFonts w:ascii="SimHei" w:eastAsia="SimHei" w:hint="eastAsia"/>
        </w:rPr>
        <w:t>33.</w:t>
      </w:r>
      <w:r w:rsidRPr="00141F08">
        <w:rPr>
          <w:rFonts w:ascii="SimHei" w:eastAsia="SimHei"/>
        </w:rPr>
        <w:tab/>
      </w:r>
      <w:r w:rsidRPr="00141F08">
        <w:rPr>
          <w:rFonts w:ascii="SimHei" w:eastAsia="SimHei" w:hint="eastAsia"/>
        </w:rPr>
        <w:t>委员会敦促缔约国：</w:t>
      </w:r>
    </w:p>
    <w:p w:rsidR="008D1C31" w:rsidRPr="00141F08" w:rsidRDefault="008D1C31" w:rsidP="008D1C31">
      <w:pPr>
        <w:pStyle w:val="SingleTxt"/>
        <w:spacing w:after="120"/>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统一联邦和各州法律的堕胎规定，消除妇女合法堕胎的障碍，并结合宪法人权改革和委员会第24号一般性建议(1999)扩大合法堕胎范围；</w:t>
      </w:r>
    </w:p>
    <w:p w:rsidR="008D1C31" w:rsidRPr="00141F08" w:rsidRDefault="008D1C31" w:rsidP="008D1C31">
      <w:pPr>
        <w:pStyle w:val="SingleTxt"/>
        <w:spacing w:after="120"/>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向医疗机构和社会工作者说明各州宪法修改并没有废除合法堕胎的法律规定，并向他们说明其承担的责任；</w:t>
      </w:r>
    </w:p>
    <w:p w:rsidR="008D1C31" w:rsidRPr="00141F08" w:rsidRDefault="008D1C31" w:rsidP="008D1C31">
      <w:pPr>
        <w:pStyle w:val="SingleTxt"/>
        <w:spacing w:after="120"/>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确保各州可合法堕胎的妇女得到安全的保健服务，确保适当执行墨西哥NOM-046-SSA2-2005号国家标准，特别是应对强奸受害妇女采取紧急避孕和堕胎措施，对性病和艾滋病毒/艾滋病进行治疗。</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土著农村妇女</w:t>
      </w:r>
    </w:p>
    <w:p w:rsidR="008D1C31" w:rsidRPr="008D1C31" w:rsidRDefault="008D1C31" w:rsidP="008D1C31">
      <w:pPr>
        <w:pStyle w:val="SingleTxt"/>
        <w:spacing w:after="0" w:line="120" w:lineRule="exact"/>
        <w:ind w:right="0"/>
        <w:rPr>
          <w:rFonts w:hint="eastAsia"/>
          <w:sz w:val="10"/>
        </w:rPr>
      </w:pPr>
    </w:p>
    <w:p w:rsidR="008D1C31" w:rsidRDefault="008D1C31" w:rsidP="00DE21DF">
      <w:pPr>
        <w:pStyle w:val="SingleTxt"/>
        <w:rPr>
          <w:rFonts w:hint="eastAsia"/>
        </w:rPr>
      </w:pPr>
      <w:r>
        <w:rPr>
          <w:rFonts w:hint="eastAsia"/>
        </w:rPr>
        <w:t>34.</w:t>
      </w:r>
      <w:r>
        <w:tab/>
      </w:r>
      <w:r>
        <w:rPr>
          <w:rFonts w:hint="eastAsia"/>
        </w:rPr>
        <w:t>委员会注意到《公约》已翻译成10种土著文字。委员会注意到成立了以预防和处理暴力、促进土著妇女性和生殖健康及权利为宗旨的土著妇女中心。但是，委员会依然表示关切，农村土著妇女十分贫困，文盲率高，遭受各种歧视，恰帕斯、格雷罗和瓦哈卡三州的情况尤为严重。委员会还关切地注意到，土著法律体系中一些有害的文化做法强调“彩礼”等陈旧的男女观念，并使歧视土著妇女女童的做法永久化。委员会感到关切，农村土著妇女无法得到土地和财产，也无权诉诸司法。委员会还关切地注意到，资料显示缔约国对有组织犯罪采取的公共安全政策对</w:t>
      </w:r>
      <w:r w:rsidR="00DE21DF">
        <w:rPr>
          <w:rFonts w:hint="eastAsia"/>
        </w:rPr>
        <w:t>农村土著妇女产生了不利影响，她们遭受安全部队暴力以及被其杀害的</w:t>
      </w:r>
      <w:r>
        <w:rPr>
          <w:rFonts w:hint="eastAsia"/>
        </w:rPr>
        <w:t>情况有所增加。</w:t>
      </w:r>
    </w:p>
    <w:p w:rsidR="008D1C31" w:rsidRPr="00141F08" w:rsidRDefault="008D1C31" w:rsidP="00DE21DF">
      <w:pPr>
        <w:pStyle w:val="SingleTxt"/>
        <w:rPr>
          <w:rFonts w:ascii="SimHei" w:eastAsia="SimHei" w:hint="eastAsia"/>
        </w:rPr>
      </w:pPr>
      <w:r w:rsidRPr="00141F08">
        <w:rPr>
          <w:rFonts w:ascii="SimHei" w:eastAsia="SimHei" w:hint="eastAsia"/>
        </w:rPr>
        <w:t>35.</w:t>
      </w:r>
      <w:r w:rsidRPr="00141F08">
        <w:rPr>
          <w:rFonts w:ascii="SimHei" w:eastAsia="SimHei"/>
        </w:rPr>
        <w:tab/>
      </w:r>
      <w:r w:rsidRPr="00141F08">
        <w:rPr>
          <w:rFonts w:ascii="SimHei" w:eastAsia="SimHei" w:hint="eastAsia"/>
        </w:rPr>
        <w:t>委员会重申以前提出的建议，并呼吁缔约国：</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确保旨在消除贫穷的各项政策和方案纳入性别观念和考虑不同文化的做法，以消除针对土著农村妇女的歧视；</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采取暂行特别措施，消除土著农村妇女在获得土地和财产以及教育和卫生等基本社会服务方面的差异，促进其参与决策过程；</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制订综合战略消除歧视土著农村妇女的有害做法，包括与民间社会和妇女组织合作开展以土著社区为对象的提高认识活动，提升积极和新型的妇女形象；</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(d)</w:t>
      </w:r>
      <w:r w:rsidRPr="00141F08">
        <w:rPr>
          <w:rFonts w:ascii="SimHei" w:eastAsia="SimHei" w:hint="eastAsia"/>
        </w:rPr>
        <w:tab/>
        <w:t>采取一切必要措施，确保有效执行相关法律，预防暴力侵害土著妇女行为，调查、起诉和惩罚暴力侵害者，并确保受害人迅速有效地诉诸司法和矫正机制；</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(e)</w:t>
      </w:r>
      <w:r w:rsidRPr="00141F08">
        <w:rPr>
          <w:rFonts w:ascii="SimHei" w:eastAsia="SimHei" w:hint="eastAsia"/>
        </w:rPr>
        <w:tab/>
        <w:t>采取适当措施，确保土著社区内部或附近的军队和执法官员尊重土著妇女的人权。</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家庭和婚姻关系</w:t>
      </w:r>
    </w:p>
    <w:p w:rsidR="008D1C31" w:rsidRPr="008D1C31" w:rsidRDefault="008D1C31" w:rsidP="008D1C31">
      <w:pPr>
        <w:pStyle w:val="SingleTxt"/>
        <w:spacing w:after="0" w:line="120" w:lineRule="exact"/>
        <w:ind w:right="0"/>
        <w:rPr>
          <w:rFonts w:hint="eastAsia"/>
          <w:sz w:val="10"/>
        </w:rPr>
      </w:pPr>
    </w:p>
    <w:p w:rsidR="008D1C31" w:rsidRDefault="008D1C31" w:rsidP="00DE21DF">
      <w:pPr>
        <w:pStyle w:val="SingleTxt"/>
        <w:rPr>
          <w:rFonts w:hint="eastAsia"/>
        </w:rPr>
      </w:pPr>
      <w:r>
        <w:rPr>
          <w:rFonts w:hint="eastAsia"/>
        </w:rPr>
        <w:t>36.</w:t>
      </w:r>
      <w:r>
        <w:tab/>
      </w:r>
      <w:r>
        <w:rPr>
          <w:rFonts w:hint="eastAsia"/>
        </w:rPr>
        <w:t>委员会关切地注意到，虽然《民法》根据任择共有财产制度规定婚姻期间所得财产为共有财产，离婚时应平均分配，但是这种财产仅指有形财产(动产和不动产)，不包含无形资产，包括工作福利(如养老金和保险)，并如2009年国民时间用途调查所示，也没有充分考虑到目前就业市场性别隔离、更多妇女从事无偿工作所造成的配偶不同的经济条件。委员会还关切地注意到，《负责任陪产假一般法》和建立赡养费拖欠人国家公共登记册的工作仍未进行。</w:t>
      </w:r>
    </w:p>
    <w:p w:rsidR="008D1C31" w:rsidRPr="00141F08" w:rsidRDefault="008D1C31" w:rsidP="00DE21DF">
      <w:pPr>
        <w:pStyle w:val="SingleTxt"/>
        <w:rPr>
          <w:rFonts w:ascii="SimHei" w:eastAsia="SimHei" w:hint="eastAsia"/>
        </w:rPr>
      </w:pPr>
      <w:r w:rsidRPr="00141F08">
        <w:rPr>
          <w:rFonts w:ascii="SimHei" w:eastAsia="SimHei" w:hint="eastAsia"/>
        </w:rPr>
        <w:t>37.</w:t>
      </w:r>
      <w:r w:rsidRPr="00141F08">
        <w:rPr>
          <w:rFonts w:ascii="SimHei" w:eastAsia="SimHei"/>
        </w:rPr>
        <w:tab/>
      </w:r>
      <w:r w:rsidRPr="00141F08">
        <w:rPr>
          <w:rFonts w:ascii="SimHei" w:eastAsia="SimHei" w:hint="eastAsia"/>
        </w:rPr>
        <w:t>委员会建议缔约国：</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(a)</w:t>
      </w:r>
      <w:r w:rsidRPr="00141F08">
        <w:rPr>
          <w:rFonts w:ascii="SimHei" w:eastAsia="SimHei" w:hint="eastAsia"/>
        </w:rPr>
        <w:tab/>
        <w:t>采取必要立法措施承认有形财产以及养老金和保险等无形财产为离婚时分配的共同财产的一部分；</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(b)</w:t>
      </w:r>
      <w:r w:rsidRPr="00141F08">
        <w:rPr>
          <w:rFonts w:ascii="SimHei" w:eastAsia="SimHei" w:hint="eastAsia"/>
        </w:rPr>
        <w:tab/>
        <w:t>建立充分的矫正机制，解决因就业市场性别隔离和更多妇女从事无偿工作而造成的配偶经济条件不同问题；</w:t>
      </w:r>
    </w:p>
    <w:p w:rsidR="008D1C31" w:rsidRPr="00141F08" w:rsidRDefault="008D1C31" w:rsidP="00DE21DF">
      <w:pPr>
        <w:pStyle w:val="SingleTxt"/>
        <w:rPr>
          <w:rFonts w:ascii="SimHei" w:eastAsia="SimHei" w:hint="eastAsia"/>
        </w:rPr>
      </w:pPr>
      <w:r w:rsidRPr="00141F08">
        <w:rPr>
          <w:rFonts w:ascii="SimHei" w:eastAsia="SimHei"/>
        </w:rPr>
        <w:tab/>
      </w:r>
      <w:r w:rsidRPr="00141F08">
        <w:rPr>
          <w:rFonts w:ascii="SimHei" w:eastAsia="SimHei" w:hint="eastAsia"/>
        </w:rPr>
        <w:t>(c)</w:t>
      </w:r>
      <w:r w:rsidRPr="00141F08">
        <w:rPr>
          <w:rFonts w:ascii="SimHei" w:eastAsia="SimHei" w:hint="eastAsia"/>
        </w:rPr>
        <w:tab/>
        <w:t>加快通过《负责任陪产假一般法》，加快建立赡养费拖欠人国家公共登记册。</w:t>
      </w:r>
    </w:p>
    <w:p w:rsidR="008D1C31" w:rsidRPr="00141F08"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Pr="00141F08">
        <w:rPr>
          <w:rFonts w:hint="eastAsia"/>
        </w:rPr>
        <w:t>《北京行动宣言和纲要》</w:t>
      </w:r>
    </w:p>
    <w:p w:rsidR="008D1C31" w:rsidRPr="008D1C31" w:rsidRDefault="008D1C31" w:rsidP="008D1C31">
      <w:pPr>
        <w:pStyle w:val="SingleTxt"/>
        <w:spacing w:after="0" w:line="120" w:lineRule="exact"/>
        <w:ind w:right="0"/>
        <w:rPr>
          <w:rFonts w:hint="eastAsia"/>
          <w:sz w:val="10"/>
        </w:rPr>
      </w:pPr>
    </w:p>
    <w:p w:rsidR="008D1C31" w:rsidRPr="00141F08" w:rsidRDefault="008D1C31" w:rsidP="00DE21DF">
      <w:pPr>
        <w:pStyle w:val="SingleTxt"/>
        <w:rPr>
          <w:rFonts w:ascii="SimHei" w:eastAsia="SimHei" w:hint="eastAsia"/>
        </w:rPr>
      </w:pPr>
      <w:r w:rsidRPr="00141F08">
        <w:rPr>
          <w:rFonts w:ascii="SimHei" w:eastAsia="SimHei" w:hint="eastAsia"/>
        </w:rPr>
        <w:t>38.</w:t>
      </w:r>
      <w:r w:rsidRPr="00141F08">
        <w:rPr>
          <w:rFonts w:ascii="SimHei" w:eastAsia="SimHei"/>
        </w:rPr>
        <w:tab/>
      </w:r>
      <w:r w:rsidRPr="00141F08">
        <w:rPr>
          <w:rFonts w:ascii="SimHei" w:eastAsia="SimHei" w:hint="eastAsia"/>
        </w:rPr>
        <w:t>委员会敦促缔约国在履行根据《公约》承担的义务时充分利用对《公约》规定加以补充的《北京宣言和行动纲要》，并请缔约国在下次定期报告中列入有关资料。</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千年发展目标</w:t>
      </w:r>
    </w:p>
    <w:p w:rsidR="008D1C31" w:rsidRPr="008D1C31" w:rsidRDefault="008D1C31" w:rsidP="008D1C31">
      <w:pPr>
        <w:pStyle w:val="SingleTxt"/>
        <w:spacing w:after="0" w:line="120" w:lineRule="exact"/>
        <w:ind w:right="0"/>
        <w:rPr>
          <w:rFonts w:hint="eastAsia"/>
          <w:sz w:val="10"/>
        </w:rPr>
      </w:pPr>
    </w:p>
    <w:p w:rsidR="008D1C31" w:rsidRPr="00141F08" w:rsidRDefault="008D1C31" w:rsidP="00DE21DF">
      <w:pPr>
        <w:pStyle w:val="SingleTxt"/>
        <w:rPr>
          <w:rFonts w:ascii="SimHei" w:eastAsia="SimHei" w:hint="eastAsia"/>
        </w:rPr>
      </w:pPr>
      <w:r w:rsidRPr="00141F08">
        <w:rPr>
          <w:rFonts w:ascii="SimHei" w:eastAsia="SimHei" w:hint="eastAsia"/>
        </w:rPr>
        <w:t>39.</w:t>
      </w:r>
      <w:r w:rsidRPr="00141F08">
        <w:rPr>
          <w:rFonts w:ascii="SimHei" w:eastAsia="SimHei"/>
        </w:rPr>
        <w:tab/>
      </w:r>
      <w:r w:rsidRPr="00141F08">
        <w:rPr>
          <w:rFonts w:ascii="SimHei" w:eastAsia="SimHei" w:hint="eastAsia"/>
        </w:rPr>
        <w:t>委员会强调，全面、有效地执行《公约》是实现千年发展目标的关键所在。委员会呼吁在实现千年发展目标的各种努力中纳入性别观念，明确体现《公约》的各项规定，并请缔约国在下次定期报告中列入这方面的资料。</w:t>
      </w:r>
    </w:p>
    <w:p w:rsidR="008D1C31"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传播</w:t>
      </w:r>
    </w:p>
    <w:p w:rsidR="008D1C31" w:rsidRPr="008D1C31" w:rsidRDefault="008D1C31" w:rsidP="008D1C31">
      <w:pPr>
        <w:pStyle w:val="SingleTxt"/>
        <w:spacing w:after="0" w:line="120" w:lineRule="exact"/>
        <w:ind w:right="0"/>
        <w:rPr>
          <w:rFonts w:hint="eastAsia"/>
          <w:sz w:val="10"/>
        </w:rPr>
      </w:pPr>
    </w:p>
    <w:p w:rsidR="008D1C31" w:rsidRPr="00141F08" w:rsidRDefault="008D1C31" w:rsidP="00DE21DF">
      <w:pPr>
        <w:pStyle w:val="SingleTxt"/>
        <w:rPr>
          <w:rFonts w:ascii="SimHei" w:eastAsia="SimHei" w:hint="eastAsia"/>
        </w:rPr>
      </w:pPr>
      <w:r w:rsidRPr="00141F08">
        <w:rPr>
          <w:rFonts w:ascii="SimHei" w:eastAsia="SimHei" w:hint="eastAsia"/>
        </w:rPr>
        <w:t>40.</w:t>
      </w:r>
      <w:r w:rsidRPr="00141F08">
        <w:rPr>
          <w:rFonts w:ascii="SimHei" w:eastAsia="SimHei"/>
        </w:rPr>
        <w:tab/>
      </w:r>
      <w:r w:rsidRPr="00141F08">
        <w:rPr>
          <w:rFonts w:ascii="SimHei" w:eastAsia="SimHei" w:hint="eastAsia"/>
        </w:rPr>
        <w:t>委员会要求墨西哥广泛传播本结论意见，以使人民、政府官员、政治家、议员、妇女和人权组织以及性别平等学者了解为确保实现妇女正式和实质平等已经采取以及要求进一步采取的步骤。委员会建议向地方社区传播本结论意见。委员会鼓励缔约国召开一系列会议，讨论这些意见的执行进展。委员会请缔约国继续广泛传播，特别向妇女和人权组织传播委员会的一般性建议、《北京宣言和行动纲要》以及大会关于“2000年妇女：21世纪性别平等、发展与和平”的第二十三届特别会议的成果。</w:t>
      </w:r>
    </w:p>
    <w:p w:rsidR="008D1C31" w:rsidRPr="00141F08"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41F08">
        <w:tab/>
      </w:r>
      <w:r w:rsidRPr="00141F08">
        <w:tab/>
      </w:r>
      <w:r w:rsidRPr="00141F08">
        <w:rPr>
          <w:rFonts w:hint="eastAsia"/>
        </w:rPr>
        <w:t>结论意见后续行动</w:t>
      </w:r>
    </w:p>
    <w:p w:rsidR="008D1C31" w:rsidRPr="008D1C31" w:rsidRDefault="008D1C31" w:rsidP="008D1C31">
      <w:pPr>
        <w:pStyle w:val="SingleTxt"/>
        <w:spacing w:after="0" w:line="120" w:lineRule="exact"/>
        <w:ind w:right="0"/>
        <w:rPr>
          <w:rFonts w:hint="eastAsia"/>
          <w:sz w:val="10"/>
        </w:rPr>
      </w:pPr>
    </w:p>
    <w:p w:rsidR="008D1C31" w:rsidRPr="00141F08" w:rsidRDefault="008D1C31" w:rsidP="00DE21DF">
      <w:pPr>
        <w:pStyle w:val="SingleTxt"/>
        <w:rPr>
          <w:rFonts w:ascii="SimHei" w:eastAsia="SimHei" w:hint="eastAsia"/>
        </w:rPr>
      </w:pPr>
      <w:r w:rsidRPr="00141F08">
        <w:rPr>
          <w:rFonts w:ascii="SimHei" w:eastAsia="SimHei" w:hint="eastAsia"/>
        </w:rPr>
        <w:t>41.</w:t>
      </w:r>
      <w:r w:rsidRPr="00141F08">
        <w:rPr>
          <w:rFonts w:ascii="SimHei" w:eastAsia="SimHei"/>
        </w:rPr>
        <w:tab/>
      </w:r>
      <w:r w:rsidRPr="00141F08">
        <w:rPr>
          <w:rFonts w:ascii="SimHei" w:eastAsia="SimHei" w:hint="eastAsia"/>
        </w:rPr>
        <w:t>委员会请缔约国在两年内提供书面资料，说明为执行上文第19(b)</w:t>
      </w:r>
      <w:r w:rsidR="004E0A83">
        <w:rPr>
          <w:rFonts w:ascii="SimHei" w:eastAsia="SimHei" w:hint="eastAsia"/>
        </w:rPr>
        <w:t>以及</w:t>
      </w:r>
      <w:r w:rsidRPr="00141F08">
        <w:rPr>
          <w:rFonts w:ascii="SimHei" w:eastAsia="SimHei" w:hint="eastAsia"/>
        </w:rPr>
        <w:t>33</w:t>
      </w:r>
      <w:r w:rsidR="00DE21DF">
        <w:rPr>
          <w:rFonts w:ascii="Times New Roman" w:eastAsia="SimHei"/>
        </w:rPr>
        <w:t>(a)</w:t>
      </w:r>
      <w:r w:rsidR="00DE21DF">
        <w:rPr>
          <w:rFonts w:ascii="Times New Roman" w:eastAsia="SimHei" w:hint="eastAsia"/>
        </w:rPr>
        <w:t>和</w:t>
      </w:r>
      <w:r w:rsidRPr="00141F08">
        <w:rPr>
          <w:rFonts w:ascii="SimHei" w:eastAsia="SimHei" w:hint="eastAsia"/>
        </w:rPr>
        <w:t>(b)段所载各项建议而采取的步骤。</w:t>
      </w:r>
    </w:p>
    <w:p w:rsidR="008D1C31" w:rsidRPr="00141F08" w:rsidRDefault="008D1C31" w:rsidP="008D1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141F08">
        <w:tab/>
      </w:r>
      <w:r w:rsidRPr="00141F08">
        <w:tab/>
      </w:r>
      <w:r w:rsidRPr="00141F08">
        <w:rPr>
          <w:rFonts w:hint="eastAsia"/>
        </w:rPr>
        <w:t>下次报告的准备</w:t>
      </w:r>
    </w:p>
    <w:p w:rsidR="008D1C31" w:rsidRPr="008D1C31" w:rsidRDefault="008D1C31" w:rsidP="008D1C31">
      <w:pPr>
        <w:pStyle w:val="SingleTxt"/>
        <w:spacing w:after="0" w:line="120" w:lineRule="exact"/>
        <w:ind w:right="0"/>
        <w:rPr>
          <w:rFonts w:hint="eastAsia"/>
          <w:sz w:val="10"/>
        </w:rPr>
      </w:pPr>
    </w:p>
    <w:p w:rsidR="008D1C31" w:rsidRPr="00141F08" w:rsidRDefault="008D1C31" w:rsidP="00DE21DF">
      <w:pPr>
        <w:pStyle w:val="SingleTxt"/>
        <w:rPr>
          <w:rFonts w:ascii="SimHei" w:eastAsia="SimHei" w:hint="eastAsia"/>
        </w:rPr>
      </w:pPr>
      <w:r w:rsidRPr="00141F08">
        <w:rPr>
          <w:rFonts w:ascii="SimHei" w:eastAsia="SimHei" w:hint="eastAsia"/>
        </w:rPr>
        <w:t>42.</w:t>
      </w:r>
      <w:r w:rsidRPr="00141F08">
        <w:rPr>
          <w:rFonts w:ascii="SimHei" w:eastAsia="SimHei"/>
        </w:rPr>
        <w:tab/>
      </w:r>
      <w:r w:rsidRPr="00141F08">
        <w:rPr>
          <w:rFonts w:ascii="SimHei" w:eastAsia="SimHei" w:hint="eastAsia"/>
        </w:rPr>
        <w:t>委员会请缔约国确保各个部委和公共机构广泛参与下次定期报告的编写工作，并广泛征求妇女和人权组织的意见。</w:t>
      </w:r>
    </w:p>
    <w:p w:rsidR="008D1C31" w:rsidRPr="00141F08" w:rsidRDefault="008D1C31" w:rsidP="00DE21DF">
      <w:pPr>
        <w:pStyle w:val="SingleTxt"/>
        <w:rPr>
          <w:rFonts w:ascii="SimHei" w:eastAsia="SimHei" w:hint="eastAsia"/>
        </w:rPr>
      </w:pPr>
      <w:r w:rsidRPr="00141F08">
        <w:rPr>
          <w:rFonts w:ascii="SimHei" w:eastAsia="SimHei" w:hint="eastAsia"/>
        </w:rPr>
        <w:t>43.</w:t>
      </w:r>
      <w:r w:rsidRPr="00141F08">
        <w:rPr>
          <w:rFonts w:ascii="SimHei" w:eastAsia="SimHei"/>
        </w:rPr>
        <w:tab/>
      </w:r>
      <w:r w:rsidRPr="00141F08">
        <w:rPr>
          <w:rFonts w:ascii="SimHei" w:eastAsia="SimHei" w:hint="eastAsia"/>
        </w:rPr>
        <w:t>委员会请缔约国根据《公约》第18条的规定在下次定期报告中就本结论意见表达的关切作出答复。委员会邀请缔约国于2016年7月提交第八次定期报告。</w:t>
      </w:r>
    </w:p>
    <w:p w:rsidR="008D1C31" w:rsidRPr="00141F08" w:rsidRDefault="008D1C31" w:rsidP="00DE21DF">
      <w:pPr>
        <w:pStyle w:val="SingleTxt"/>
        <w:rPr>
          <w:rFonts w:ascii="SimHei" w:eastAsia="SimHei" w:hint="eastAsia"/>
        </w:rPr>
      </w:pPr>
      <w:r w:rsidRPr="00141F08">
        <w:rPr>
          <w:rFonts w:ascii="SimHei" w:eastAsia="SimHei" w:hint="eastAsia"/>
        </w:rPr>
        <w:t>44.</w:t>
      </w:r>
      <w:r w:rsidRPr="00141F08">
        <w:rPr>
          <w:rFonts w:ascii="SimHei" w:eastAsia="SimHei"/>
        </w:rPr>
        <w:tab/>
      </w:r>
      <w:r w:rsidRPr="00141F08">
        <w:rPr>
          <w:rFonts w:ascii="SimHei" w:eastAsia="SimHei" w:hint="eastAsia"/>
        </w:rPr>
        <w:t>委员会邀请缔约国遵循200</w:t>
      </w:r>
      <w:r w:rsidR="00DE21DF">
        <w:rPr>
          <w:rFonts w:ascii="SimHei" w:eastAsia="SimHei" w:hint="eastAsia"/>
        </w:rPr>
        <w:t>6</w:t>
      </w:r>
      <w:r w:rsidRPr="00141F08">
        <w:rPr>
          <w:rFonts w:ascii="SimHei" w:eastAsia="SimHei" w:hint="eastAsia"/>
        </w:rPr>
        <w:t>年6月人权条约机构第五次委员会间会议批准的“根据国际人权条约提交报告的统一准则，包括编写核心文件、提交具体条约报告的准则”(HRI/MC/2006/3</w:t>
      </w:r>
      <w:r w:rsidR="00DE21DF">
        <w:rPr>
          <w:rFonts w:ascii="SimHei" w:eastAsia="SimHei" w:hint="eastAsia"/>
        </w:rPr>
        <w:t>和Corr.1</w:t>
      </w:r>
      <w:r w:rsidRPr="00141F08">
        <w:rPr>
          <w:rFonts w:ascii="SimHei" w:eastAsia="SimHei" w:hint="eastAsia"/>
        </w:rPr>
        <w:t>)。编写核心文件统一准则时，必须采用2008年1月委员会第四十届会议通过的提交具体条约报告准则。这些准则共同组成了根据《消除对妇女一切形式歧视公约》规定提交报告的统一准则。具体条约报告的篇幅以</w:t>
      </w:r>
      <w:r w:rsidR="00DE21DF">
        <w:rPr>
          <w:rFonts w:ascii="SimHei" w:eastAsia="SimHei"/>
        </w:rPr>
        <w:t>40</w:t>
      </w:r>
      <w:r w:rsidRPr="00141F08">
        <w:rPr>
          <w:rFonts w:ascii="SimHei" w:eastAsia="SimHei" w:hint="eastAsia"/>
        </w:rPr>
        <w:t>页为限，提供最新资料的共同核心文件的不应超过80页。</w:t>
      </w:r>
    </w:p>
    <w:p w:rsidR="00EA31C3" w:rsidRPr="008D1C31" w:rsidRDefault="008D1C31" w:rsidP="008D1C31">
      <w:pPr>
        <w:pStyle w:val="SingleTxt"/>
        <w:spacing w:after="0" w:line="240" w:lineRule="auto"/>
        <w:rPr>
          <w:sz w:val="20"/>
        </w:rPr>
      </w:pPr>
      <w:r>
        <w:rPr>
          <w:noProof/>
          <w:sz w:val="20"/>
        </w:rPr>
        <w:pict>
          <v:line id="_x0000_s1027" style="position:absolute;left:0;text-align:left;z-index:2;mso-position-horizontal:center" from="0,30pt" to="1in,30pt" strokeweight=".25pt"/>
        </w:pict>
      </w:r>
    </w:p>
    <w:sectPr w:rsidR="00EA31C3" w:rsidRPr="008D1C31" w:rsidSect="000A7A0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10-15T13:57:00Z" w:initials="Start">
    <w:p w:rsidR="006F6828" w:rsidRDefault="006F6828">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NO&gt;&gt;N1245535C&lt;&lt;ODS JOB NO&gt;&gt;</w:t>
      </w:r>
    </w:p>
    <w:p w:rsidR="006F6828" w:rsidRDefault="006F6828">
      <w:pPr>
        <w:pStyle w:val="CommentText"/>
      </w:pPr>
      <w:r>
        <w:t>&lt;&lt;ODS DOC SYMBOL1&gt;&gt;CEDAW/C/MEX/CO/7-8&lt;&lt;ODS DOC SYMBOL1&gt;&gt;</w:t>
      </w:r>
    </w:p>
    <w:p w:rsidR="006F6828" w:rsidRDefault="006F68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64" w:rsidRDefault="00263B64">
      <w:r>
        <w:separator/>
      </w:r>
    </w:p>
  </w:endnote>
  <w:endnote w:type="continuationSeparator" w:id="0">
    <w:p w:rsidR="00263B64" w:rsidRDefault="002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6828" w:rsidTr="000A7A01">
      <w:tblPrEx>
        <w:tblCellMar>
          <w:top w:w="0" w:type="dxa"/>
          <w:bottom w:w="0" w:type="dxa"/>
        </w:tblCellMar>
      </w:tblPrEx>
      <w:tc>
        <w:tcPr>
          <w:tcW w:w="5033" w:type="dxa"/>
          <w:shd w:val="clear" w:color="auto" w:fill="auto"/>
        </w:tcPr>
        <w:p w:rsidR="006F6828" w:rsidRPr="000A7A01" w:rsidRDefault="006F6828" w:rsidP="000A7A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12-45535 (C)</w:t>
          </w:r>
          <w:r>
            <w:rPr>
              <w:b w:val="0"/>
              <w:w w:val="103"/>
              <w:sz w:val="14"/>
            </w:rPr>
            <w:fldChar w:fldCharType="end"/>
          </w:r>
        </w:p>
      </w:tc>
      <w:tc>
        <w:tcPr>
          <w:tcW w:w="5033" w:type="dxa"/>
          <w:shd w:val="clear" w:color="auto" w:fill="auto"/>
        </w:tcPr>
        <w:p w:rsidR="006F6828" w:rsidRPr="000A7A01" w:rsidRDefault="006F6828" w:rsidP="000A7A01">
          <w:pPr>
            <w:pStyle w:val="Footer"/>
            <w:jc w:val="left"/>
            <w:rPr>
              <w:w w:val="103"/>
            </w:rPr>
          </w:pPr>
          <w:r>
            <w:rPr>
              <w:w w:val="103"/>
            </w:rPr>
            <w:fldChar w:fldCharType="begin"/>
          </w:r>
          <w:r>
            <w:rPr>
              <w:w w:val="103"/>
            </w:rPr>
            <w:instrText xml:space="preserve"> PAGE  \* MERGEFORMAT </w:instrText>
          </w:r>
          <w:r>
            <w:rPr>
              <w:w w:val="103"/>
            </w:rPr>
            <w:fldChar w:fldCharType="separate"/>
          </w:r>
          <w:r w:rsidR="00412791">
            <w:rPr>
              <w:w w:val="103"/>
            </w:rPr>
            <w:t>10</w:t>
          </w:r>
          <w:r>
            <w:rPr>
              <w:w w:val="103"/>
            </w:rPr>
            <w:fldChar w:fldCharType="end"/>
          </w:r>
        </w:p>
      </w:tc>
    </w:tr>
  </w:tbl>
  <w:p w:rsidR="006F6828" w:rsidRPr="000A7A01" w:rsidRDefault="006F6828" w:rsidP="000A7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6828" w:rsidTr="000A7A01">
      <w:tblPrEx>
        <w:tblCellMar>
          <w:top w:w="0" w:type="dxa"/>
          <w:bottom w:w="0" w:type="dxa"/>
        </w:tblCellMar>
      </w:tblPrEx>
      <w:tc>
        <w:tcPr>
          <w:tcW w:w="5033" w:type="dxa"/>
          <w:shd w:val="clear" w:color="auto" w:fill="auto"/>
        </w:tcPr>
        <w:p w:rsidR="006F6828" w:rsidRPr="000A7A01" w:rsidRDefault="006F6828" w:rsidP="000A7A01">
          <w:pPr>
            <w:pStyle w:val="Footer"/>
            <w:jc w:val="right"/>
          </w:pPr>
          <w:r>
            <w:fldChar w:fldCharType="begin"/>
          </w:r>
          <w:r>
            <w:instrText xml:space="preserve"> PAGE  \* MERGEFORMAT </w:instrText>
          </w:r>
          <w:r>
            <w:fldChar w:fldCharType="separate"/>
          </w:r>
          <w:r w:rsidR="00412791">
            <w:t>11</w:t>
          </w:r>
          <w:r>
            <w:fldChar w:fldCharType="end"/>
          </w:r>
        </w:p>
      </w:tc>
      <w:tc>
        <w:tcPr>
          <w:tcW w:w="5033" w:type="dxa"/>
          <w:shd w:val="clear" w:color="auto" w:fill="auto"/>
        </w:tcPr>
        <w:p w:rsidR="006F6828" w:rsidRPr="000A7A01" w:rsidRDefault="006F6828" w:rsidP="000A7A0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12-45535 (C)</w:t>
          </w:r>
          <w:r>
            <w:rPr>
              <w:b w:val="0"/>
              <w:w w:val="103"/>
              <w:sz w:val="14"/>
            </w:rPr>
            <w:fldChar w:fldCharType="end"/>
          </w:r>
        </w:p>
      </w:tc>
    </w:tr>
  </w:tbl>
  <w:p w:rsidR="006F6828" w:rsidRPr="000A7A01" w:rsidRDefault="006F6828" w:rsidP="000A7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6F6828" w:rsidTr="000A7A01">
      <w:tblPrEx>
        <w:tblCellMar>
          <w:top w:w="0" w:type="dxa"/>
          <w:bottom w:w="0" w:type="dxa"/>
        </w:tblCellMar>
      </w:tblPrEx>
      <w:tc>
        <w:tcPr>
          <w:tcW w:w="5033" w:type="dxa"/>
        </w:tcPr>
        <w:p w:rsidR="006F6828" w:rsidRDefault="006F6828" w:rsidP="000A7A01">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12-45535 (C)</w:t>
          </w:r>
          <w:r>
            <w:rPr>
              <w:b w:val="0"/>
              <w:sz w:val="21"/>
            </w:rPr>
            <w:fldChar w:fldCharType="end"/>
          </w:r>
          <w:r>
            <w:rPr>
              <w:b w:val="0"/>
              <w:sz w:val="21"/>
            </w:rPr>
            <w:t xml:space="preserve">    151012    151012</w:t>
          </w:r>
        </w:p>
        <w:p w:rsidR="006F6828" w:rsidRPr="000A7A01" w:rsidRDefault="006F6828" w:rsidP="000A7A01">
          <w:pPr>
            <w:spacing w:before="80" w:line="210" w:lineRule="exact"/>
            <w:rPr>
              <w:rFonts w:ascii="Barcode 3 of 9 by request" w:hAnsi="Barcode 3 of 9 by request"/>
              <w:sz w:val="24"/>
            </w:rPr>
          </w:pPr>
          <w:r>
            <w:rPr>
              <w:rFonts w:ascii="Barcode 3 of 9 by request" w:hAnsi="Barcode 3 of 9 by request" w:hint="eastAsia"/>
              <w:sz w:val="24"/>
            </w:rPr>
            <w:t>*1245535C*</w:t>
          </w:r>
        </w:p>
      </w:tc>
      <w:tc>
        <w:tcPr>
          <w:tcW w:w="3686" w:type="dxa"/>
        </w:tcPr>
        <w:p w:rsidR="006F6828" w:rsidRDefault="006F6828" w:rsidP="000A7A01">
          <w:pPr>
            <w:pStyle w:val="Footer"/>
            <w:jc w:val="right"/>
            <w:rPr>
              <w:b w:val="0"/>
              <w:sz w:val="21"/>
            </w:rPr>
          </w:pPr>
          <w:r w:rsidRPr="000A7A0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6F6828" w:rsidRPr="000A7A01" w:rsidRDefault="006F6828" w:rsidP="000A7A01">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64" w:rsidRDefault="00263B64">
      <w:r>
        <w:separator/>
      </w:r>
    </w:p>
  </w:footnote>
  <w:footnote w:type="continuationSeparator" w:id="0">
    <w:p w:rsidR="00263B64" w:rsidRDefault="0026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6828" w:rsidTr="000A7A01">
      <w:tblPrEx>
        <w:tblCellMar>
          <w:top w:w="0" w:type="dxa"/>
          <w:bottom w:w="0" w:type="dxa"/>
        </w:tblCellMar>
      </w:tblPrEx>
      <w:trPr>
        <w:trHeight w:hRule="exact" w:val="864"/>
      </w:trPr>
      <w:tc>
        <w:tcPr>
          <w:tcW w:w="4838" w:type="dxa"/>
          <w:shd w:val="clear" w:color="auto" w:fill="auto"/>
          <w:vAlign w:val="bottom"/>
        </w:tcPr>
        <w:p w:rsidR="006F6828" w:rsidRPr="000A7A01" w:rsidRDefault="006F6828" w:rsidP="000A7A0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CEDAW/C/MEX/CO/7-8</w:t>
          </w:r>
          <w:r>
            <w:rPr>
              <w:b/>
              <w:sz w:val="17"/>
            </w:rPr>
            <w:fldChar w:fldCharType="end"/>
          </w:r>
        </w:p>
      </w:tc>
      <w:tc>
        <w:tcPr>
          <w:tcW w:w="5033" w:type="dxa"/>
          <w:shd w:val="clear" w:color="auto" w:fill="auto"/>
          <w:vAlign w:val="bottom"/>
        </w:tcPr>
        <w:p w:rsidR="006F6828" w:rsidRDefault="006F6828" w:rsidP="000A7A01">
          <w:pPr>
            <w:pStyle w:val="Header"/>
          </w:pPr>
        </w:p>
      </w:tc>
    </w:tr>
  </w:tbl>
  <w:p w:rsidR="006F6828" w:rsidRPr="000A7A01" w:rsidRDefault="006F6828" w:rsidP="000A7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F6828" w:rsidTr="000A7A01">
      <w:tblPrEx>
        <w:tblCellMar>
          <w:top w:w="0" w:type="dxa"/>
          <w:bottom w:w="0" w:type="dxa"/>
        </w:tblCellMar>
      </w:tblPrEx>
      <w:trPr>
        <w:trHeight w:hRule="exact" w:val="864"/>
      </w:trPr>
      <w:tc>
        <w:tcPr>
          <w:tcW w:w="4838" w:type="dxa"/>
          <w:shd w:val="clear" w:color="auto" w:fill="auto"/>
          <w:vAlign w:val="bottom"/>
        </w:tcPr>
        <w:p w:rsidR="006F6828" w:rsidRDefault="006F6828" w:rsidP="000A7A01">
          <w:pPr>
            <w:pStyle w:val="Header"/>
          </w:pPr>
        </w:p>
      </w:tc>
      <w:tc>
        <w:tcPr>
          <w:tcW w:w="5033" w:type="dxa"/>
          <w:shd w:val="clear" w:color="auto" w:fill="auto"/>
          <w:vAlign w:val="bottom"/>
        </w:tcPr>
        <w:p w:rsidR="006F6828" w:rsidRPr="000A7A01" w:rsidRDefault="006F6828" w:rsidP="000A7A0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CEDAW/C/MEX/CO/7-8</w:t>
          </w:r>
          <w:r>
            <w:rPr>
              <w:b/>
              <w:sz w:val="17"/>
            </w:rPr>
            <w:fldChar w:fldCharType="end"/>
          </w:r>
        </w:p>
      </w:tc>
    </w:tr>
  </w:tbl>
  <w:p w:rsidR="006F6828" w:rsidRPr="000A7A01" w:rsidRDefault="006F6828" w:rsidP="000A7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F6828" w:rsidTr="000A7A0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6828" w:rsidRDefault="006F6828" w:rsidP="000A7A01">
          <w:pPr>
            <w:pStyle w:val="Header"/>
            <w:spacing w:after="120"/>
          </w:pPr>
        </w:p>
      </w:tc>
      <w:tc>
        <w:tcPr>
          <w:tcW w:w="1872" w:type="dxa"/>
          <w:tcBorders>
            <w:bottom w:val="single" w:sz="4" w:space="0" w:color="auto"/>
          </w:tcBorders>
          <w:shd w:val="clear" w:color="auto" w:fill="auto"/>
          <w:vAlign w:val="bottom"/>
        </w:tcPr>
        <w:p w:rsidR="006F6828" w:rsidRPr="000A7A01" w:rsidRDefault="006F6828" w:rsidP="000A7A0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F6828" w:rsidRDefault="006F6828" w:rsidP="000A7A01">
          <w:pPr>
            <w:pStyle w:val="Header"/>
            <w:spacing w:after="120"/>
          </w:pPr>
        </w:p>
      </w:tc>
      <w:tc>
        <w:tcPr>
          <w:tcW w:w="6523" w:type="dxa"/>
          <w:gridSpan w:val="3"/>
          <w:tcBorders>
            <w:bottom w:val="single" w:sz="4" w:space="0" w:color="auto"/>
          </w:tcBorders>
          <w:shd w:val="clear" w:color="auto" w:fill="auto"/>
          <w:vAlign w:val="bottom"/>
        </w:tcPr>
        <w:p w:rsidR="006F6828" w:rsidRPr="000A7A01" w:rsidRDefault="006F6828" w:rsidP="000A7A01">
          <w:pPr>
            <w:spacing w:after="80" w:line="240" w:lineRule="auto"/>
            <w:jc w:val="right"/>
            <w:rPr>
              <w:rFonts w:ascii="Times New Roman"/>
              <w:position w:val="-4"/>
            </w:rPr>
          </w:pPr>
          <w:r>
            <w:rPr>
              <w:rFonts w:ascii="Times New Roman"/>
              <w:position w:val="-4"/>
              <w:sz w:val="40"/>
            </w:rPr>
            <w:t>CEDAW</w:t>
          </w:r>
          <w:r>
            <w:rPr>
              <w:rFonts w:ascii="Times New Roman"/>
              <w:position w:val="-4"/>
            </w:rPr>
            <w:t>/C/MEX/CO/7-8</w:t>
          </w:r>
        </w:p>
      </w:tc>
    </w:tr>
    <w:tr w:rsidR="006F6828" w:rsidRPr="000A7A01" w:rsidTr="000A7A0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6828" w:rsidRDefault="006F6828" w:rsidP="000A7A0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F6828" w:rsidRPr="000A7A01" w:rsidRDefault="006F6828" w:rsidP="000A7A01">
          <w:pPr>
            <w:pStyle w:val="Header"/>
            <w:spacing w:before="109"/>
            <w:ind w:left="-72"/>
          </w:pPr>
        </w:p>
      </w:tc>
      <w:tc>
        <w:tcPr>
          <w:tcW w:w="5227" w:type="dxa"/>
          <w:gridSpan w:val="3"/>
          <w:tcBorders>
            <w:top w:val="single" w:sz="4" w:space="0" w:color="auto"/>
            <w:bottom w:val="single" w:sz="12" w:space="0" w:color="auto"/>
          </w:tcBorders>
          <w:shd w:val="clear" w:color="auto" w:fill="auto"/>
        </w:tcPr>
        <w:p w:rsidR="006F6828" w:rsidRPr="000A7A01" w:rsidRDefault="006F6828" w:rsidP="000A7A0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F6828" w:rsidRPr="000A7A01" w:rsidRDefault="006F6828" w:rsidP="000A7A01">
          <w:pPr>
            <w:pStyle w:val="Header"/>
            <w:spacing w:before="109"/>
          </w:pPr>
        </w:p>
      </w:tc>
      <w:tc>
        <w:tcPr>
          <w:tcW w:w="3180" w:type="dxa"/>
          <w:gridSpan w:val="2"/>
          <w:tcBorders>
            <w:top w:val="single" w:sz="4" w:space="0" w:color="auto"/>
            <w:bottom w:val="single" w:sz="12" w:space="0" w:color="auto"/>
          </w:tcBorders>
          <w:shd w:val="clear" w:color="auto" w:fill="auto"/>
        </w:tcPr>
        <w:p w:rsidR="006F6828" w:rsidRDefault="006F6828" w:rsidP="000A7A01">
          <w:pPr>
            <w:spacing w:before="240" w:line="240" w:lineRule="exact"/>
            <w:rPr>
              <w:rFonts w:ascii="Times New Roman"/>
            </w:rPr>
          </w:pPr>
          <w:r>
            <w:rPr>
              <w:rFonts w:ascii="Times New Roman"/>
            </w:rPr>
            <w:t>Distr.: General</w:t>
          </w:r>
        </w:p>
        <w:p w:rsidR="006F6828" w:rsidRDefault="006F6828" w:rsidP="000A7A01">
          <w:pPr>
            <w:spacing w:line="240" w:lineRule="exact"/>
            <w:rPr>
              <w:rFonts w:ascii="Times New Roman"/>
            </w:rPr>
          </w:pPr>
          <w:r>
            <w:rPr>
              <w:rFonts w:ascii="Times New Roman"/>
            </w:rPr>
            <w:t>7 August 2012</w:t>
          </w:r>
        </w:p>
        <w:p w:rsidR="006F6828" w:rsidRDefault="006F6828" w:rsidP="000A7A01">
          <w:pPr>
            <w:spacing w:line="240" w:lineRule="exact"/>
            <w:rPr>
              <w:rFonts w:ascii="Times New Roman"/>
            </w:rPr>
          </w:pPr>
          <w:r>
            <w:rPr>
              <w:rFonts w:ascii="Times New Roman"/>
            </w:rPr>
            <w:t>Chinese</w:t>
          </w:r>
        </w:p>
        <w:p w:rsidR="006F6828" w:rsidRPr="000A7A01" w:rsidRDefault="006F6828" w:rsidP="000A7A01">
          <w:pPr>
            <w:spacing w:line="240" w:lineRule="exact"/>
            <w:rPr>
              <w:rFonts w:ascii="Times New Roman"/>
            </w:rPr>
          </w:pPr>
          <w:r>
            <w:rPr>
              <w:rFonts w:ascii="Times New Roman"/>
            </w:rPr>
            <w:t>Original: English</w:t>
          </w:r>
        </w:p>
      </w:tc>
    </w:tr>
  </w:tbl>
  <w:p w:rsidR="006F6828" w:rsidRPr="000A7A01" w:rsidRDefault="006F6828" w:rsidP="000A7A0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35*"/>
    <w:docVar w:name="CreationDt" w:val="15/10/2012 13:34:42"/>
    <w:docVar w:name="DocCategory" w:val="Doc"/>
    <w:docVar w:name="DocType" w:val="Final"/>
    <w:docVar w:name="FooterJN" w:val="12-45535 (C)"/>
    <w:docVar w:name="jobn" w:val="12-45535 (C)"/>
    <w:docVar w:name="jobnDT" w:val="12-45535 (C)   151012"/>
    <w:docVar w:name="jobnDTDT" w:val="12-45535 (C)   151012   151012"/>
    <w:docVar w:name="JobNo" w:val="1245535C"/>
    <w:docVar w:name="OandT" w:val="LIU"/>
    <w:docVar w:name="sss1" w:val="CEDAW/C/MEX/CO/7-8"/>
    <w:docVar w:name="sss2" w:val="-"/>
    <w:docVar w:name="Symbol1" w:val="CEDAW/C/MEX/CO/7-8"/>
    <w:docVar w:name="Symbol2" w:val="-"/>
  </w:docVars>
  <w:rsids>
    <w:rsidRoot w:val="000D4350"/>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A7A01"/>
    <w:rsid w:val="000C1786"/>
    <w:rsid w:val="000C4DDE"/>
    <w:rsid w:val="000D4350"/>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64"/>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20C99"/>
    <w:rsid w:val="003274A9"/>
    <w:rsid w:val="00331221"/>
    <w:rsid w:val="00346223"/>
    <w:rsid w:val="00363610"/>
    <w:rsid w:val="003649EE"/>
    <w:rsid w:val="00371BC6"/>
    <w:rsid w:val="00373A15"/>
    <w:rsid w:val="00383ACA"/>
    <w:rsid w:val="00384CB1"/>
    <w:rsid w:val="00394A02"/>
    <w:rsid w:val="003C7B20"/>
    <w:rsid w:val="003D075F"/>
    <w:rsid w:val="003E4565"/>
    <w:rsid w:val="003E748F"/>
    <w:rsid w:val="003E7612"/>
    <w:rsid w:val="00412791"/>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0A83"/>
    <w:rsid w:val="004E739A"/>
    <w:rsid w:val="004F29B8"/>
    <w:rsid w:val="004F586F"/>
    <w:rsid w:val="004F5E26"/>
    <w:rsid w:val="0050413E"/>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C4BB3"/>
    <w:rsid w:val="006D0A8E"/>
    <w:rsid w:val="006E2924"/>
    <w:rsid w:val="006E7A26"/>
    <w:rsid w:val="006F04EF"/>
    <w:rsid w:val="006F2B3D"/>
    <w:rsid w:val="006F6828"/>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3DB0"/>
    <w:rsid w:val="00884C8F"/>
    <w:rsid w:val="00896D38"/>
    <w:rsid w:val="008A0216"/>
    <w:rsid w:val="008C3296"/>
    <w:rsid w:val="008C3413"/>
    <w:rsid w:val="008D0ABA"/>
    <w:rsid w:val="008D1C31"/>
    <w:rsid w:val="008E2D03"/>
    <w:rsid w:val="008F2BB5"/>
    <w:rsid w:val="008F425D"/>
    <w:rsid w:val="008F5472"/>
    <w:rsid w:val="008F5D0F"/>
    <w:rsid w:val="009122E0"/>
    <w:rsid w:val="00913351"/>
    <w:rsid w:val="0096193C"/>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EA9"/>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725D"/>
    <w:rsid w:val="00C31E79"/>
    <w:rsid w:val="00C403C9"/>
    <w:rsid w:val="00C42033"/>
    <w:rsid w:val="00C464DD"/>
    <w:rsid w:val="00C52423"/>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E21DF"/>
    <w:rsid w:val="00DF742A"/>
    <w:rsid w:val="00E041F4"/>
    <w:rsid w:val="00E050BA"/>
    <w:rsid w:val="00E25442"/>
    <w:rsid w:val="00E25A1F"/>
    <w:rsid w:val="00E37EEB"/>
    <w:rsid w:val="00E710FB"/>
    <w:rsid w:val="00E806D9"/>
    <w:rsid w:val="00E82CA2"/>
    <w:rsid w:val="00E94E5A"/>
    <w:rsid w:val="00E95594"/>
    <w:rsid w:val="00EA31C3"/>
    <w:rsid w:val="00EB33AC"/>
    <w:rsid w:val="00EC669D"/>
    <w:rsid w:val="00EC6F21"/>
    <w:rsid w:val="00EE0913"/>
    <w:rsid w:val="00F01440"/>
    <w:rsid w:val="00F04C64"/>
    <w:rsid w:val="00F13305"/>
    <w:rsid w:val="00F40463"/>
    <w:rsid w:val="00F50336"/>
    <w:rsid w:val="00F55E5B"/>
    <w:rsid w:val="00F569BC"/>
    <w:rsid w:val="00F62E3F"/>
    <w:rsid w:val="00F67F90"/>
    <w:rsid w:val="00F77B3E"/>
    <w:rsid w:val="00F833CB"/>
    <w:rsid w:val="00F85D47"/>
    <w:rsid w:val="00F87754"/>
    <w:rsid w:val="00F90A4B"/>
    <w:rsid w:val="00F90C56"/>
    <w:rsid w:val="00FC1CE4"/>
    <w:rsid w:val="00FD594E"/>
    <w:rsid w:val="00FD75B9"/>
    <w:rsid w:val="00FE5FE8"/>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4957</Words>
  <Characters>5205</Characters>
  <Application>Microsoft Office Word</Application>
  <DocSecurity>4</DocSecurity>
  <Lines>200</Lines>
  <Paragraphs>135</Paragraphs>
  <ScaleCrop>false</ScaleCrop>
  <Company>United Nations</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LXD</dc:creator>
  <cp:keywords/>
  <dc:description/>
  <cp:lastModifiedBy>CTPU LXD</cp:lastModifiedBy>
  <cp:revision>14</cp:revision>
  <cp:lastPrinted>2012-10-15T12:57:00Z</cp:lastPrinted>
  <dcterms:created xsi:type="dcterms:W3CDTF">2012-10-15T12:33:00Z</dcterms:created>
  <dcterms:modified xsi:type="dcterms:W3CDTF">2012-10-15T13:00:00Z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1245535</vt:lpwstr>
  </property>
  <property fmtid="{D5CDD505-2E9C-101B-9397-08002B2CF9AE}" pid="3" name="Symbol1">
    <vt:lpwstr>CEDAW/C/MEX/CO/7-8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LIU</vt:lpwstr>
  </property>
</Properties>
</file>