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64" w:rsidRDefault="00396364" w:rsidP="00396364">
      <w:pPr>
        <w:spacing w:line="240" w:lineRule="auto"/>
        <w:rPr>
          <w:sz w:val="2"/>
        </w:rPr>
        <w:sectPr w:rsidR="00396364" w:rsidSect="00E54193">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rsidR="00E54193" w:rsidRDefault="00E54193" w:rsidP="00E54193">
      <w:pPr>
        <w:pStyle w:val="TitleH1"/>
        <w:ind w:left="0" w:firstLine="0"/>
        <w:rPr>
          <w:lang w:val="fr-FR"/>
        </w:rPr>
      </w:pPr>
      <w:r w:rsidRPr="00E54193">
        <w:rPr>
          <w:lang w:val="fr-FR"/>
        </w:rPr>
        <w:lastRenderedPageBreak/>
        <w:t>Comité pour l’élimination de la discrimination</w:t>
      </w:r>
      <w:r>
        <w:rPr>
          <w:lang w:val="fr-FR"/>
        </w:rPr>
        <w:br/>
      </w:r>
      <w:r w:rsidRPr="00E54193">
        <w:rPr>
          <w:lang w:val="fr-FR"/>
        </w:rPr>
        <w:t xml:space="preserve">à l’égard des femmes </w:t>
      </w:r>
    </w:p>
    <w:p w:rsidR="00E54193" w:rsidRPr="00E54193" w:rsidRDefault="00E54193" w:rsidP="00E54193">
      <w:pPr>
        <w:spacing w:line="120" w:lineRule="exact"/>
        <w:rPr>
          <w:sz w:val="10"/>
          <w:lang w:val="fr-FR"/>
        </w:rPr>
      </w:pPr>
    </w:p>
    <w:p w:rsidR="00E54193" w:rsidRPr="00E54193" w:rsidRDefault="00E54193" w:rsidP="00E54193">
      <w:pPr>
        <w:spacing w:line="120" w:lineRule="exact"/>
        <w:rPr>
          <w:sz w:val="10"/>
          <w:lang w:val="fr-FR"/>
        </w:rPr>
      </w:pPr>
    </w:p>
    <w:p w:rsidR="00E54193" w:rsidRPr="00E54193" w:rsidRDefault="00E54193" w:rsidP="00E54193">
      <w:pPr>
        <w:spacing w:line="120" w:lineRule="exact"/>
        <w:rPr>
          <w:sz w:val="10"/>
          <w:lang w:val="fr-FR"/>
        </w:rPr>
      </w:pPr>
    </w:p>
    <w:p w:rsidR="00E54193" w:rsidRDefault="00E54193" w:rsidP="00E54193">
      <w:pPr>
        <w:pStyle w:val="TitleHCH"/>
        <w:rPr>
          <w:lang w:val="fr-CH"/>
        </w:rPr>
      </w:pPr>
      <w:r w:rsidRPr="00E54193">
        <w:rPr>
          <w:lang w:val="fr-FR"/>
        </w:rPr>
        <w:tab/>
      </w:r>
      <w:r w:rsidRPr="00E54193">
        <w:rPr>
          <w:lang w:val="fr-FR"/>
        </w:rPr>
        <w:tab/>
        <w:t xml:space="preserve">Observations finales concernant </w:t>
      </w:r>
      <w:r w:rsidRPr="00E54193">
        <w:rPr>
          <w:lang w:val="fr-CH"/>
        </w:rPr>
        <w:t xml:space="preserve">le rapport unique </w:t>
      </w:r>
      <w:r>
        <w:rPr>
          <w:lang w:val="fr-CH"/>
        </w:rPr>
        <w:br/>
      </w:r>
      <w:r w:rsidRPr="00E54193">
        <w:rPr>
          <w:lang w:val="fr-CH"/>
        </w:rPr>
        <w:t xml:space="preserve">valant deuxième et troisième rapports périodiques </w:t>
      </w:r>
      <w:r>
        <w:rPr>
          <w:lang w:val="fr-CH"/>
        </w:rPr>
        <w:br/>
      </w:r>
      <w:r w:rsidRPr="00E54193">
        <w:rPr>
          <w:lang w:val="fr-CH"/>
        </w:rPr>
        <w:t>de la Mauritanie</w:t>
      </w:r>
    </w:p>
    <w:p w:rsidR="00E54193" w:rsidRPr="00E54193" w:rsidRDefault="00E54193" w:rsidP="00E54193">
      <w:pPr>
        <w:pStyle w:val="SingleTxt"/>
        <w:spacing w:after="0" w:line="120" w:lineRule="exact"/>
        <w:rPr>
          <w:sz w:val="10"/>
          <w:lang w:val="fr-CH"/>
        </w:rPr>
      </w:pPr>
    </w:p>
    <w:p w:rsidR="00E54193" w:rsidRPr="00E54193" w:rsidRDefault="00E54193" w:rsidP="00E54193">
      <w:pPr>
        <w:pStyle w:val="SingleTxt"/>
        <w:spacing w:after="0" w:line="120" w:lineRule="exact"/>
        <w:rPr>
          <w:sz w:val="10"/>
          <w:lang w:val="fr-CH"/>
        </w:rPr>
      </w:pPr>
    </w:p>
    <w:p w:rsidR="00E54193" w:rsidRDefault="00E54193" w:rsidP="00E54193">
      <w:pPr>
        <w:pStyle w:val="TitleH2"/>
        <w:rPr>
          <w:lang w:val="fr-FR"/>
        </w:rPr>
      </w:pPr>
      <w:r w:rsidRPr="00E54193">
        <w:rPr>
          <w:lang w:val="fr-FR"/>
        </w:rPr>
        <w:tab/>
      </w:r>
      <w:r w:rsidRPr="00E54193">
        <w:rPr>
          <w:lang w:val="fr-FR"/>
        </w:rPr>
        <w:tab/>
        <w:t>Additif</w:t>
      </w:r>
    </w:p>
    <w:p w:rsidR="00E54193" w:rsidRPr="00E54193" w:rsidRDefault="00E54193" w:rsidP="00E54193">
      <w:pPr>
        <w:spacing w:line="120" w:lineRule="exact"/>
        <w:rPr>
          <w:sz w:val="10"/>
          <w:lang w:val="fr-FR"/>
        </w:rPr>
      </w:pPr>
    </w:p>
    <w:p w:rsidR="00E54193" w:rsidRDefault="00E54193" w:rsidP="00E54193">
      <w:pPr>
        <w:pStyle w:val="TitleHCH"/>
        <w:rPr>
          <w:lang w:val="fr-CH"/>
        </w:rPr>
      </w:pPr>
      <w:r w:rsidRPr="00E54193">
        <w:rPr>
          <w:lang w:val="fr-FR"/>
        </w:rPr>
        <w:tab/>
      </w:r>
      <w:r w:rsidRPr="00E54193">
        <w:rPr>
          <w:lang w:val="fr-FR"/>
        </w:rPr>
        <w:tab/>
      </w:r>
      <w:r w:rsidRPr="00E54193">
        <w:rPr>
          <w:lang w:val="fr-CH"/>
        </w:rPr>
        <w:t xml:space="preserve">Renseignements reçus de la Mauritanie au sujet </w:t>
      </w:r>
      <w:r w:rsidR="00876080">
        <w:rPr>
          <w:lang w:val="fr-CH"/>
        </w:rPr>
        <w:br/>
      </w:r>
      <w:r w:rsidRPr="00E54193">
        <w:rPr>
          <w:lang w:val="fr-CH"/>
        </w:rPr>
        <w:t>de la suite donnée aux observations finales</w:t>
      </w:r>
      <w:r w:rsidRPr="00E54193">
        <w:rPr>
          <w:b w:val="0"/>
          <w:lang w:val="fr-CH"/>
        </w:rPr>
        <w:footnoteReference w:customMarkFollows="1" w:id="1"/>
        <w:t>*</w:t>
      </w:r>
    </w:p>
    <w:p w:rsidR="00E54193" w:rsidRPr="00E54193" w:rsidRDefault="00E54193" w:rsidP="00E54193">
      <w:pPr>
        <w:pStyle w:val="SingleTxt"/>
        <w:spacing w:after="0" w:line="120" w:lineRule="exact"/>
        <w:rPr>
          <w:sz w:val="10"/>
          <w:lang w:val="fr-CH"/>
        </w:rPr>
      </w:pPr>
    </w:p>
    <w:p w:rsidR="00E54193" w:rsidRPr="00E54193" w:rsidRDefault="00E54193" w:rsidP="00E54193">
      <w:pPr>
        <w:pStyle w:val="SingleTxt"/>
        <w:spacing w:after="0" w:line="120" w:lineRule="exact"/>
        <w:rPr>
          <w:sz w:val="10"/>
          <w:lang w:val="fr-CH"/>
        </w:rPr>
      </w:pPr>
    </w:p>
    <w:p w:rsidR="00E54193" w:rsidRPr="00E54193" w:rsidRDefault="00E54193" w:rsidP="00E54193">
      <w:pPr>
        <w:pStyle w:val="SingleTxt"/>
        <w:jc w:val="right"/>
        <w:rPr>
          <w:lang w:val="fr-CH"/>
        </w:rPr>
      </w:pPr>
      <w:r w:rsidRPr="00E54193">
        <w:rPr>
          <w:lang w:val="fr-CH"/>
        </w:rPr>
        <w:t>[Date de réception : 30 octobre 2017]</w:t>
      </w:r>
    </w:p>
    <w:p w:rsidR="00E54193" w:rsidRPr="00E54193" w:rsidRDefault="00E54193" w:rsidP="00E54193">
      <w:pPr>
        <w:pStyle w:val="SingleTxt"/>
        <w:rPr>
          <w:lang w:val="fr-CH"/>
        </w:rPr>
      </w:pPr>
      <w:r w:rsidRPr="00E54193">
        <w:rPr>
          <w:lang w:val="fr-CH"/>
        </w:rPr>
        <w:br w:type="page"/>
      </w:r>
    </w:p>
    <w:p w:rsidR="00E54193" w:rsidRDefault="00E54193" w:rsidP="00E541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193">
        <w:rPr>
          <w:lang w:val="fr-FR"/>
        </w:rPr>
        <w:lastRenderedPageBreak/>
        <w:tab/>
      </w:r>
      <w:r w:rsidRPr="00E54193">
        <w:rPr>
          <w:lang w:val="fr-FR"/>
        </w:rPr>
        <w:tab/>
        <w:t>Introduction</w:t>
      </w:r>
    </w:p>
    <w:p w:rsidR="00E54193" w:rsidRPr="00E54193" w:rsidRDefault="00E54193" w:rsidP="00E54193">
      <w:pPr>
        <w:pStyle w:val="SingleTxt"/>
        <w:spacing w:after="0" w:line="120" w:lineRule="exact"/>
        <w:rPr>
          <w:sz w:val="10"/>
          <w:lang w:val="fr-FR"/>
        </w:rPr>
      </w:pPr>
    </w:p>
    <w:p w:rsidR="00E54193" w:rsidRPr="00E54193" w:rsidRDefault="00E54193" w:rsidP="00E54193">
      <w:pPr>
        <w:pStyle w:val="SingleTxt"/>
        <w:spacing w:after="0" w:line="120" w:lineRule="exact"/>
        <w:rPr>
          <w:sz w:val="10"/>
          <w:lang w:val="fr-FR"/>
        </w:rPr>
      </w:pPr>
    </w:p>
    <w:p w:rsidR="00E54193" w:rsidRPr="00E54193" w:rsidRDefault="00E54193" w:rsidP="00F32017">
      <w:pPr>
        <w:pStyle w:val="SingleTxt"/>
        <w:numPr>
          <w:ilvl w:val="0"/>
          <w:numId w:val="9"/>
        </w:numPr>
        <w:tabs>
          <w:tab w:val="clear" w:pos="475"/>
          <w:tab w:val="num" w:pos="1742"/>
        </w:tabs>
        <w:spacing w:line="240" w:lineRule="exact"/>
        <w:ind w:left="1267"/>
        <w:rPr>
          <w:bCs/>
          <w:lang w:val="fr-FR"/>
        </w:rPr>
      </w:pPr>
      <w:r w:rsidRPr="00E54193">
        <w:rPr>
          <w:lang w:val="fr-FR"/>
        </w:rPr>
        <w:t>La République Islamique de Mauritanie a présenté le 3 juillet 2014, lors de la 58</w:t>
      </w:r>
      <w:r w:rsidRPr="00E54193">
        <w:rPr>
          <w:vertAlign w:val="superscript"/>
          <w:lang w:val="fr-FR"/>
        </w:rPr>
        <w:t>ème</w:t>
      </w:r>
      <w:r w:rsidR="00F32017">
        <w:rPr>
          <w:lang w:val="fr-FR"/>
        </w:rPr>
        <w:t> </w:t>
      </w:r>
      <w:r w:rsidRPr="00E54193">
        <w:rPr>
          <w:lang w:val="fr-FR"/>
        </w:rPr>
        <w:t>session du Comité pour l’élimination de toutes les formes de discrimination à l’égard des femmes, ses deuxième et troisième rapports périodiques relatifs à l’application de la Convention sur l’</w:t>
      </w:r>
      <w:r w:rsidR="00BF335B" w:rsidRPr="00E54193">
        <w:rPr>
          <w:lang w:val="fr-FR"/>
        </w:rPr>
        <w:t>Élimination</w:t>
      </w:r>
      <w:r w:rsidRPr="00E54193">
        <w:rPr>
          <w:lang w:val="fr-FR"/>
        </w:rPr>
        <w:t xml:space="preserve"> de toutes les Formes de Discrimination à l’</w:t>
      </w:r>
      <w:r w:rsidR="00BF335B" w:rsidRPr="00E54193">
        <w:rPr>
          <w:lang w:val="fr-FR"/>
        </w:rPr>
        <w:t>Égard</w:t>
      </w:r>
      <w:r w:rsidRPr="00E54193">
        <w:rPr>
          <w:lang w:val="fr-FR"/>
        </w:rPr>
        <w:t xml:space="preserve"> des Femmes (CEDEF). Lors de cette session, des recommandations ont été faites par le Comité pour améliorer davantage la situation de la femme en Mauritanie. Aussi, a-t-il été demandé à l’État mauritanien, d’accorder une attention prioritaire à l’application des présentes observations finales et recommandations d’ici à la présentation de son prochain rapport périodique en juillet 2018.</w:t>
      </w:r>
    </w:p>
    <w:p w:rsidR="00E54193" w:rsidRPr="00E54193" w:rsidRDefault="00E54193" w:rsidP="00E54193">
      <w:pPr>
        <w:pStyle w:val="SingleTxt"/>
        <w:numPr>
          <w:ilvl w:val="0"/>
          <w:numId w:val="9"/>
        </w:numPr>
        <w:tabs>
          <w:tab w:val="clear" w:pos="475"/>
          <w:tab w:val="num" w:pos="1742"/>
        </w:tabs>
        <w:spacing w:line="240" w:lineRule="exact"/>
        <w:ind w:left="1267"/>
        <w:rPr>
          <w:lang w:val="fr-FR"/>
        </w:rPr>
      </w:pPr>
      <w:r w:rsidRPr="00E54193">
        <w:rPr>
          <w:lang w:val="fr-FR"/>
        </w:rPr>
        <w:t xml:space="preserve">Toutefois, le Comité a invité la Mauritanie, à fournir dans deux (2) ans c’est-à-dire en 2016, des informations écrites sur les mesures qu’il aurait prises pour appliquer les recommandations, contenues dans les paragraphes 25 et 45, relatives aux mutilations génitales féminines et à la situation des femmes </w:t>
      </w:r>
      <w:r w:rsidR="00117399">
        <w:rPr>
          <w:lang w:val="fr-FR"/>
        </w:rPr>
        <w:t>ha</w:t>
      </w:r>
      <w:r w:rsidR="00BF335B" w:rsidRPr="00E54193">
        <w:rPr>
          <w:lang w:val="fr-FR"/>
        </w:rPr>
        <w:t>ratines</w:t>
      </w:r>
      <w:r w:rsidRPr="00E54193">
        <w:rPr>
          <w:lang w:val="fr-FR"/>
        </w:rPr>
        <w:t>, afro-mauritaniennes et réfugiées.</w:t>
      </w:r>
    </w:p>
    <w:p w:rsidR="00E54193" w:rsidRPr="00E54193" w:rsidRDefault="00E54193" w:rsidP="00E54193">
      <w:pPr>
        <w:pStyle w:val="SingleTxt"/>
        <w:numPr>
          <w:ilvl w:val="0"/>
          <w:numId w:val="10"/>
        </w:numPr>
        <w:tabs>
          <w:tab w:val="clear" w:pos="475"/>
          <w:tab w:val="num" w:pos="1742"/>
        </w:tabs>
        <w:spacing w:line="240" w:lineRule="exact"/>
        <w:ind w:left="1267"/>
        <w:rPr>
          <w:lang w:val="fr-FR"/>
        </w:rPr>
      </w:pPr>
      <w:r w:rsidRPr="00E54193">
        <w:rPr>
          <w:lang w:val="fr-FR"/>
        </w:rPr>
        <w:t>Le présent rapport de suivi, élaboré conformément aux directives de rédaction des rapports de suivi des États parties sur la mise en œuvre de la Convention sur l’</w:t>
      </w:r>
      <w:r w:rsidR="00BF335B" w:rsidRPr="00E54193">
        <w:rPr>
          <w:lang w:val="fr-FR"/>
        </w:rPr>
        <w:t>Élimination</w:t>
      </w:r>
      <w:r w:rsidRPr="00E54193">
        <w:rPr>
          <w:lang w:val="fr-FR"/>
        </w:rPr>
        <w:t xml:space="preserve"> de toutes les Formes de Discrimination à l’</w:t>
      </w:r>
      <w:r w:rsidR="00BF335B" w:rsidRPr="00E54193">
        <w:rPr>
          <w:lang w:val="fr-FR"/>
        </w:rPr>
        <w:t>Égard</w:t>
      </w:r>
      <w:r w:rsidRPr="00E54193">
        <w:rPr>
          <w:lang w:val="fr-FR"/>
        </w:rPr>
        <w:t xml:space="preserve"> des Femmes fait l’état des lieux des mesures prises par le Gouvernement Mauritanien pour donner suite aux recommandations figurant aux paragraphes 25 et 45.</w:t>
      </w:r>
    </w:p>
    <w:p w:rsidR="00E54193" w:rsidRPr="00E54193" w:rsidRDefault="00E54193" w:rsidP="00E54193">
      <w:pPr>
        <w:pStyle w:val="SingleTxt"/>
        <w:spacing w:after="0" w:line="120" w:lineRule="exact"/>
        <w:rPr>
          <w:b/>
          <w:sz w:val="10"/>
          <w:lang w:val="fr-FR"/>
        </w:rPr>
      </w:pPr>
    </w:p>
    <w:p w:rsidR="00E54193" w:rsidRPr="00E54193" w:rsidRDefault="00E54193" w:rsidP="00E54193">
      <w:pPr>
        <w:pStyle w:val="SingleTxt"/>
        <w:spacing w:after="0" w:line="120" w:lineRule="exact"/>
        <w:rPr>
          <w:b/>
          <w:sz w:val="10"/>
          <w:lang w:val="fr-FR"/>
        </w:rPr>
      </w:pPr>
    </w:p>
    <w:p w:rsidR="00E54193" w:rsidRDefault="00E54193" w:rsidP="00E541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193">
        <w:rPr>
          <w:lang w:val="fr-FR"/>
        </w:rPr>
        <w:tab/>
        <w:t>I.</w:t>
      </w:r>
      <w:r w:rsidRPr="00E54193">
        <w:rPr>
          <w:lang w:val="fr-FR"/>
        </w:rPr>
        <w:tab/>
        <w:t>Les Mutilations génitales féminines (MGF)</w:t>
      </w:r>
    </w:p>
    <w:p w:rsidR="00E54193" w:rsidRPr="00E54193" w:rsidRDefault="00E54193" w:rsidP="00E54193">
      <w:pPr>
        <w:pStyle w:val="SingleTxt"/>
        <w:spacing w:after="0" w:line="120" w:lineRule="exact"/>
        <w:rPr>
          <w:sz w:val="10"/>
          <w:lang w:val="fr-FR"/>
        </w:rPr>
      </w:pPr>
    </w:p>
    <w:p w:rsidR="00E54193" w:rsidRPr="00E54193" w:rsidRDefault="00E54193" w:rsidP="00E54193">
      <w:pPr>
        <w:pStyle w:val="SingleTxt"/>
        <w:spacing w:after="0" w:line="120" w:lineRule="exact"/>
        <w:rPr>
          <w:sz w:val="10"/>
          <w:lang w:val="fr-FR"/>
        </w:rPr>
      </w:pPr>
    </w:p>
    <w:p w:rsidR="00E54193" w:rsidRDefault="00E54193" w:rsidP="00E541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54193">
        <w:rPr>
          <w:lang w:val="fr-FR"/>
        </w:rPr>
        <w:tab/>
        <w:t>a)</w:t>
      </w:r>
    </w:p>
    <w:p w:rsidR="00E54193" w:rsidRPr="00E54193" w:rsidRDefault="00E54193" w:rsidP="00E54193">
      <w:pPr>
        <w:pStyle w:val="SingleTxt"/>
        <w:spacing w:after="0" w:line="120" w:lineRule="exact"/>
        <w:rPr>
          <w:sz w:val="10"/>
          <w:lang w:val="fr-FR"/>
        </w:rPr>
      </w:pPr>
    </w:p>
    <w:p w:rsidR="00E54193" w:rsidRPr="00E54193" w:rsidRDefault="00E54193" w:rsidP="00E54193">
      <w:pPr>
        <w:pStyle w:val="SingleTxt"/>
        <w:numPr>
          <w:ilvl w:val="0"/>
          <w:numId w:val="11"/>
        </w:numPr>
        <w:tabs>
          <w:tab w:val="clear" w:pos="475"/>
          <w:tab w:val="num" w:pos="1742"/>
        </w:tabs>
        <w:spacing w:line="240" w:lineRule="exact"/>
        <w:ind w:left="1267"/>
        <w:rPr>
          <w:lang w:val="fr-FR"/>
        </w:rPr>
      </w:pPr>
      <w:r w:rsidRPr="00E54193">
        <w:rPr>
          <w:lang w:val="fr-FR"/>
        </w:rPr>
        <w:t>Par rapport à ce premier point, le gouvernement a adopté en mai 2017 un code général de l’enfance qui réprime en son article 79 les MGF et les considère comme traitements, cruels, inhumains et dégradants. « Sont assimilées aux traitements, cruels, inhumains ou dégradants : l’excision préjudiciable et toute autre pratique assimilée faite sur des enfants de sexe féminin, pratiques coutumières, culturelles et sociales négatives portant atteinte à l’intégrité physique, à la santé ou à la dignité de l’enfant; ».</w:t>
      </w:r>
    </w:p>
    <w:p w:rsidR="00E54193" w:rsidRPr="00E54193" w:rsidRDefault="00E54193" w:rsidP="00E54193">
      <w:pPr>
        <w:pStyle w:val="SingleTxt"/>
        <w:numPr>
          <w:ilvl w:val="0"/>
          <w:numId w:val="11"/>
        </w:numPr>
        <w:tabs>
          <w:tab w:val="clear" w:pos="475"/>
          <w:tab w:val="num" w:pos="1742"/>
        </w:tabs>
        <w:spacing w:line="240" w:lineRule="exact"/>
        <w:ind w:left="1267"/>
        <w:rPr>
          <w:lang w:val="fr-FR"/>
        </w:rPr>
      </w:pPr>
      <w:r w:rsidRPr="00E54193">
        <w:rPr>
          <w:lang w:val="fr-FR"/>
        </w:rPr>
        <w:t>Le programme national de la santé de la reproduction a inséré un volet important relatif aux réparations des fistules et l’intégration des fistuleuses dans la société à travers des activités génératrices de revenus et l’octroi d’une aide matérielle.</w:t>
      </w:r>
    </w:p>
    <w:p w:rsidR="00E54193" w:rsidRPr="00E54193" w:rsidRDefault="00E54193" w:rsidP="00E54193">
      <w:pPr>
        <w:pStyle w:val="SingleTxt"/>
        <w:numPr>
          <w:ilvl w:val="0"/>
          <w:numId w:val="12"/>
        </w:numPr>
        <w:tabs>
          <w:tab w:val="clear" w:pos="475"/>
          <w:tab w:val="num" w:pos="1742"/>
        </w:tabs>
        <w:spacing w:line="240" w:lineRule="exact"/>
        <w:ind w:left="1267"/>
        <w:rPr>
          <w:lang w:val="fr-FR"/>
        </w:rPr>
      </w:pPr>
      <w:r w:rsidRPr="00E54193">
        <w:rPr>
          <w:lang w:val="fr-FR"/>
        </w:rPr>
        <w:t>Le Système National d’Informations Sanitaires prend désormais en charge les cas de fistule dans le recueil des données de routine.</w:t>
      </w:r>
    </w:p>
    <w:p w:rsidR="00876080" w:rsidRPr="00876080" w:rsidRDefault="00876080" w:rsidP="008760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E54193" w:rsidRDefault="00E54193" w:rsidP="00E541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54193">
        <w:rPr>
          <w:lang w:val="fr-FR"/>
        </w:rPr>
        <w:tab/>
        <w:t>b)</w:t>
      </w:r>
    </w:p>
    <w:p w:rsidR="00E54193" w:rsidRPr="00E54193" w:rsidRDefault="00E54193" w:rsidP="00E54193">
      <w:pPr>
        <w:pStyle w:val="SingleTxt"/>
        <w:spacing w:after="0" w:line="120" w:lineRule="exact"/>
        <w:ind w:left="1134"/>
        <w:rPr>
          <w:sz w:val="10"/>
          <w:lang w:val="fr-FR"/>
        </w:rPr>
      </w:pPr>
    </w:p>
    <w:p w:rsidR="00E54193" w:rsidRPr="00E54193" w:rsidRDefault="00E54193" w:rsidP="00E54193">
      <w:pPr>
        <w:pStyle w:val="SingleTxt"/>
        <w:numPr>
          <w:ilvl w:val="0"/>
          <w:numId w:val="13"/>
        </w:numPr>
        <w:tabs>
          <w:tab w:val="clear" w:pos="475"/>
          <w:tab w:val="num" w:pos="1742"/>
        </w:tabs>
        <w:spacing w:line="240" w:lineRule="exact"/>
        <w:ind w:left="1267"/>
        <w:rPr>
          <w:lang w:val="fr-FR"/>
        </w:rPr>
      </w:pPr>
      <w:r w:rsidRPr="00E54193">
        <w:rPr>
          <w:lang w:val="fr-FR"/>
        </w:rPr>
        <w:t xml:space="preserve">Les professionnels de santé ont été les pionniers dans la lutte contre les MGF en Mauritanie et sur la base de leur déclaration formelle sur les conséquences néfastes des MGF sur la santé des femmes et des filles que les leaders religieux se sont fondés pour promulguer deux fatwas (avis de Jurisconsultes musulmans) interdisant les MGF une nationale et une sous régionale. Ils ont subi plusieurs séminaires de formation et ont animé avec les oulémas plusieurs séances de sensibilisation contre les MGF. </w:t>
      </w:r>
    </w:p>
    <w:p w:rsidR="00876080" w:rsidRPr="00876080" w:rsidRDefault="00876080" w:rsidP="008760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E54193" w:rsidRDefault="00E54193" w:rsidP="008760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54193">
        <w:rPr>
          <w:lang w:val="fr-FR"/>
        </w:rPr>
        <w:t>c)</w:t>
      </w:r>
    </w:p>
    <w:p w:rsidR="00E54193" w:rsidRPr="00E54193" w:rsidRDefault="00E54193" w:rsidP="00876080">
      <w:pPr>
        <w:pStyle w:val="SingleTxt"/>
        <w:keepNext/>
        <w:keepLines/>
        <w:spacing w:after="0" w:line="120" w:lineRule="exact"/>
        <w:rPr>
          <w:sz w:val="10"/>
          <w:lang w:val="fr-FR"/>
        </w:rPr>
      </w:pPr>
    </w:p>
    <w:p w:rsidR="00E54193" w:rsidRPr="00E54193" w:rsidRDefault="00E54193" w:rsidP="00876080">
      <w:pPr>
        <w:pStyle w:val="SingleTxt"/>
        <w:keepNext/>
        <w:keepLines/>
        <w:numPr>
          <w:ilvl w:val="0"/>
          <w:numId w:val="14"/>
        </w:numPr>
        <w:tabs>
          <w:tab w:val="clear" w:pos="475"/>
          <w:tab w:val="num" w:pos="1742"/>
        </w:tabs>
        <w:spacing w:line="240" w:lineRule="exact"/>
        <w:ind w:left="1267"/>
        <w:rPr>
          <w:lang w:val="fr-FR"/>
        </w:rPr>
      </w:pPr>
      <w:r w:rsidRPr="00E54193">
        <w:rPr>
          <w:lang w:val="fr-FR"/>
        </w:rPr>
        <w:t>Les MGF sont assimilés selon le nouveau code de protection de l’enfance aux traitements cruels, inhumains et dégradants et leurs auteurs sont poursuivis pénalement.</w:t>
      </w:r>
    </w:p>
    <w:p w:rsidR="00E54193" w:rsidRPr="00E54193" w:rsidRDefault="00E54193" w:rsidP="00E541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E54193" w:rsidRDefault="00E54193" w:rsidP="00E541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193">
        <w:rPr>
          <w:lang w:val="fr-FR"/>
        </w:rPr>
        <w:tab/>
      </w:r>
      <w:r w:rsidRPr="00E54193">
        <w:rPr>
          <w:lang w:val="fr-FR"/>
        </w:rPr>
        <w:tab/>
        <w:t>d)</w:t>
      </w:r>
    </w:p>
    <w:p w:rsidR="00E54193" w:rsidRPr="00E54193" w:rsidRDefault="00E54193" w:rsidP="00E54193">
      <w:pPr>
        <w:pStyle w:val="SingleTxt"/>
        <w:spacing w:after="0" w:line="120" w:lineRule="exact"/>
        <w:rPr>
          <w:sz w:val="10"/>
          <w:lang w:val="fr-FR"/>
        </w:rPr>
      </w:pPr>
    </w:p>
    <w:p w:rsidR="00E54193" w:rsidRPr="00E54193" w:rsidRDefault="00E54193" w:rsidP="00E54193">
      <w:pPr>
        <w:pStyle w:val="SingleTxt"/>
        <w:numPr>
          <w:ilvl w:val="0"/>
          <w:numId w:val="15"/>
        </w:numPr>
        <w:tabs>
          <w:tab w:val="clear" w:pos="475"/>
          <w:tab w:val="num" w:pos="1742"/>
        </w:tabs>
        <w:spacing w:line="240" w:lineRule="exact"/>
        <w:ind w:left="1267"/>
        <w:rPr>
          <w:lang w:val="fr-FR"/>
        </w:rPr>
      </w:pPr>
      <w:r w:rsidRPr="00E54193">
        <w:rPr>
          <w:lang w:val="fr-FR"/>
        </w:rPr>
        <w:t>La Mauritanie a renforcé son engagement, ces dernières années en faveur de la promotion et la protection des droits de la femme, dans le cadre de la lutte contre les violences à l’égard des Femmes notamment les MGF, et ce, en adhérant aux conventions internationales qui protègent ses droits, et en mettant en place un important dispositif institutionnel, comprenant :</w:t>
      </w:r>
    </w:p>
    <w:p w:rsidR="00E54193" w:rsidRDefault="00E54193" w:rsidP="00E54193">
      <w:pPr>
        <w:pStyle w:val="SingleTxt"/>
        <w:tabs>
          <w:tab w:val="right" w:pos="1685"/>
        </w:tabs>
        <w:ind w:left="1742" w:hanging="475"/>
        <w:rPr>
          <w:lang w:val="fr-FR"/>
        </w:rPr>
      </w:pPr>
      <w:r>
        <w:rPr>
          <w:lang w:val="fr-FR"/>
        </w:rPr>
        <w:tab/>
        <w:t>•</w:t>
      </w:r>
      <w:r>
        <w:rPr>
          <w:lang w:val="fr-FR"/>
        </w:rPr>
        <w:tab/>
      </w:r>
      <w:r w:rsidR="00F32017">
        <w:rPr>
          <w:lang w:val="fr-FR"/>
        </w:rPr>
        <w:t>L</w:t>
      </w:r>
      <w:r w:rsidRPr="00E54193">
        <w:rPr>
          <w:lang w:val="fr-FR"/>
        </w:rPr>
        <w:t>e comité national de lutte contre les violences basées sur le genre y compris les Mutila</w:t>
      </w:r>
      <w:r>
        <w:rPr>
          <w:lang w:val="fr-FR"/>
        </w:rPr>
        <w:t>tions Génitales Féminines (MGF)</w:t>
      </w:r>
      <w:r w:rsidRPr="00E54193">
        <w:rPr>
          <w:lang w:val="fr-FR"/>
        </w:rPr>
        <w:t>;</w:t>
      </w:r>
    </w:p>
    <w:p w:rsid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Les comités régionaux de lutte contre les VBG y compris les MGF</w:t>
      </w:r>
      <w:r>
        <w:rPr>
          <w:lang w:val="fr-FR"/>
        </w:rPr>
        <w:t>;</w:t>
      </w:r>
      <w:r w:rsidRPr="00E54193">
        <w:rPr>
          <w:lang w:val="fr-FR"/>
        </w:rPr>
        <w:t xml:space="preserve"> </w:t>
      </w:r>
    </w:p>
    <w:p w:rsid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La mise en place d’un réseau d’ONGs spécialisées dans les MGF;</w:t>
      </w:r>
    </w:p>
    <w:p w:rsid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La mise en œuvre des procédures opérationnelles et standards pour la lutte contre les violences à l’égard des femmes (SOPS) pour une meilleure réponse et une prise en charge holistique des survivantes des VBG</w:t>
      </w:r>
      <w:r>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L’élaboration et l’adoption de la Stratégie de Croissance Accélérée et de Prospérité Partagée (SCAPP) 2016-2030, sensible au genre et aux droits humains</w:t>
      </w:r>
      <w:r>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La mise en œuvre de la Stratégie Nationale d’Institutionnalisation du Genre (SNIG) et la mise en place de ses mécanismes institutionnels de coordination, de pilotage et de suivi (Comité national présidé par le Premier Ministre, le Groupe de suivi Genre et les cellules sectorielles);</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L’élaboration et l’approbation du projet de loi-cadre sur les violences à l’égard des femmes et des filles, en cours d’adoption par le parlement</w:t>
      </w:r>
      <w:r>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La formation de 180 Imams de Mosquée des régions à haute prévalence sur la prévention des MGF;</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 xml:space="preserve">La mise en œuvre d’un plan d’action d’abandon volontaire des mutilations génitales féminines dans les Wilayas à </w:t>
      </w:r>
      <w:r>
        <w:rPr>
          <w:lang w:val="fr-FR"/>
        </w:rPr>
        <w:t>haute prévalence</w:t>
      </w:r>
      <w:r w:rsidRPr="00E54193">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 xml:space="preserve">La diffusion dans les médias publics et privés </w:t>
      </w:r>
      <w:r>
        <w:rPr>
          <w:lang w:val="fr-FR"/>
        </w:rPr>
        <w:t>d’une fatwa interdisant les MGF</w:t>
      </w:r>
      <w:r w:rsidRPr="00E54193">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 xml:space="preserve">L’élaboration d’un plan d’action national sur les VBG en Mauritanie </w:t>
      </w:r>
      <w:r w:rsidR="00876080">
        <w:rPr>
          <w:lang w:val="fr-FR"/>
        </w:rPr>
        <w:br/>
      </w:r>
      <w:r w:rsidRPr="00E54193">
        <w:rPr>
          <w:lang w:val="fr-FR"/>
        </w:rPr>
        <w:t>(2014-2018) qui permettra une compréhension globale de la problématique et une gestion plus efficace des Violences Basées sur le Genre;</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La généralisation des cellules et des comités régionaux pour le traitement et la résolution des litiges familiaux</w:t>
      </w:r>
      <w:r>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La commémoration d</w:t>
      </w:r>
      <w:r>
        <w:rPr>
          <w:lang w:val="fr-FR"/>
        </w:rPr>
        <w:t>e la journée Tolérance Zéro MGF</w:t>
      </w:r>
      <w:r w:rsidRPr="00E54193">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L’Élaboration de supports (livrets, brochures, films, module sur les MGF;</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L’Élaboration d’une stratégie d’abandon des MGF, assortie d’un plan d’action quinquennal</w:t>
      </w:r>
      <w:r>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L’Organisation de campagnes de sensibilisation contre les pratiques néfastes y compris les MGF et les Mariage des enfants</w:t>
      </w:r>
      <w:r>
        <w:rPr>
          <w:lang w:val="fr-FR"/>
        </w:rPr>
        <w:t>;</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L’élaboration de modules harmonisés de formation sur les MGF in</w:t>
      </w:r>
      <w:r>
        <w:rPr>
          <w:lang w:val="fr-FR"/>
        </w:rPr>
        <w:t>cluant un argumentaire culturel</w:t>
      </w:r>
      <w:r w:rsidRPr="00E54193">
        <w:rPr>
          <w:lang w:val="fr-FR"/>
        </w:rPr>
        <w:t xml:space="preserve">; </w:t>
      </w:r>
    </w:p>
    <w:p w:rsidR="00E54193" w:rsidRPr="00E54193" w:rsidRDefault="00E54193" w:rsidP="00E54193">
      <w:pPr>
        <w:pStyle w:val="SingleTxt"/>
        <w:tabs>
          <w:tab w:val="right" w:pos="1685"/>
        </w:tabs>
        <w:ind w:left="1742" w:hanging="475"/>
        <w:rPr>
          <w:lang w:val="fr-FR"/>
        </w:rPr>
      </w:pPr>
      <w:r>
        <w:rPr>
          <w:lang w:val="fr-FR"/>
        </w:rPr>
        <w:tab/>
        <w:t>•</w:t>
      </w:r>
      <w:r>
        <w:rPr>
          <w:lang w:val="fr-FR"/>
        </w:rPr>
        <w:tab/>
      </w:r>
      <w:r w:rsidRPr="00E54193">
        <w:rPr>
          <w:lang w:val="fr-FR"/>
        </w:rPr>
        <w:t>La prévalence des MGF chez les filles est en baisse continue si l’on sait qu’en 2007 (MICS 2007) ce taux de 65,8% est passé à 54,8 en 2011 (MICS 2011) puis à 53,2% en 2015.</w:t>
      </w:r>
    </w:p>
    <w:p w:rsidR="00E54193" w:rsidRPr="00E54193" w:rsidRDefault="00E54193" w:rsidP="00E541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E54193" w:rsidRDefault="00E54193" w:rsidP="00E541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193">
        <w:rPr>
          <w:lang w:val="fr-FR"/>
        </w:rPr>
        <w:tab/>
      </w:r>
      <w:r w:rsidRPr="00E54193">
        <w:rPr>
          <w:lang w:val="fr-FR"/>
        </w:rPr>
        <w:tab/>
        <w:t>e)</w:t>
      </w:r>
    </w:p>
    <w:p w:rsidR="00E54193" w:rsidRPr="00E54193" w:rsidRDefault="00E54193" w:rsidP="00E54193">
      <w:pPr>
        <w:pStyle w:val="SingleTxt"/>
        <w:spacing w:after="0" w:line="120" w:lineRule="exact"/>
        <w:rPr>
          <w:sz w:val="10"/>
          <w:lang w:val="fr-FR"/>
        </w:rPr>
      </w:pPr>
    </w:p>
    <w:p w:rsidR="00E54193" w:rsidRPr="00E54193" w:rsidRDefault="00E54193" w:rsidP="00F32017">
      <w:pPr>
        <w:pStyle w:val="SingleTxt"/>
        <w:numPr>
          <w:ilvl w:val="0"/>
          <w:numId w:val="16"/>
        </w:numPr>
        <w:tabs>
          <w:tab w:val="clear" w:pos="475"/>
          <w:tab w:val="num" w:pos="1742"/>
        </w:tabs>
        <w:spacing w:line="240" w:lineRule="exact"/>
        <w:ind w:left="1267"/>
        <w:rPr>
          <w:lang w:val="fr-FR"/>
        </w:rPr>
      </w:pPr>
      <w:r w:rsidRPr="00E54193">
        <w:rPr>
          <w:lang w:val="fr-FR"/>
        </w:rPr>
        <w:t>Dans le cadre du volet autonomisation des femmes, en plus des importants efforts déployés pour le renforcement de leur capacité par des formations, un fonds de financement d’AGR a été créé en 2015. Ce fonds a déjà attribué des financements à plus de 1</w:t>
      </w:r>
      <w:r w:rsidR="00F32017">
        <w:rPr>
          <w:lang w:val="fr-FR"/>
        </w:rPr>
        <w:t> </w:t>
      </w:r>
      <w:r w:rsidRPr="00E54193">
        <w:rPr>
          <w:lang w:val="fr-FR"/>
        </w:rPr>
        <w:t>600 coopératives féminines établies dans 202 communes des régions à haute prévalence du pays pour une enveloppe globale de 226 millions d’UM. Une</w:t>
      </w:r>
      <w:r w:rsidR="00F32017">
        <w:rPr>
          <w:lang w:val="fr-FR"/>
        </w:rPr>
        <w:t xml:space="preserve"> enveloppe supplémentaire de 60 </w:t>
      </w:r>
      <w:r w:rsidRPr="00E54193">
        <w:rPr>
          <w:lang w:val="fr-FR"/>
        </w:rPr>
        <w:t>millions d’UM est proposée cette année sur ce fonds pour financer des AGR au profit des filles sortantes des centres de formation pour la promotion féminine et pour la petite enfance en vue d’assurer leur insertion dans le marché du travail.</w:t>
      </w:r>
    </w:p>
    <w:p w:rsidR="00E54193" w:rsidRPr="00E54193" w:rsidRDefault="00E54193" w:rsidP="00E54193">
      <w:pPr>
        <w:pStyle w:val="SingleTxt"/>
        <w:spacing w:after="0" w:line="120" w:lineRule="exact"/>
        <w:rPr>
          <w:b/>
          <w:sz w:val="10"/>
          <w:lang w:val="fr-FR"/>
        </w:rPr>
      </w:pPr>
    </w:p>
    <w:p w:rsidR="00E54193" w:rsidRPr="00E54193" w:rsidRDefault="00E54193" w:rsidP="00E54193">
      <w:pPr>
        <w:pStyle w:val="SingleTxt"/>
        <w:spacing w:after="0" w:line="120" w:lineRule="exact"/>
        <w:rPr>
          <w:b/>
          <w:sz w:val="10"/>
          <w:lang w:val="fr-FR"/>
        </w:rPr>
      </w:pPr>
    </w:p>
    <w:p w:rsidR="00E54193" w:rsidRDefault="00E54193" w:rsidP="00E541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193">
        <w:rPr>
          <w:lang w:val="fr-FR"/>
        </w:rPr>
        <w:tab/>
        <w:t>II.</w:t>
      </w:r>
      <w:r w:rsidRPr="00E54193">
        <w:rPr>
          <w:lang w:val="fr-FR"/>
        </w:rPr>
        <w:tab/>
        <w:t xml:space="preserve">Situation des femmes </w:t>
      </w:r>
      <w:r w:rsidR="00117399">
        <w:rPr>
          <w:lang w:val="fr-FR"/>
        </w:rPr>
        <w:t>har</w:t>
      </w:r>
      <w:r w:rsidR="00BF335B" w:rsidRPr="00E54193">
        <w:rPr>
          <w:lang w:val="fr-FR"/>
        </w:rPr>
        <w:t>atines</w:t>
      </w:r>
      <w:r w:rsidRPr="00E54193">
        <w:rPr>
          <w:lang w:val="fr-FR"/>
        </w:rPr>
        <w:t xml:space="preserve">, des femmes </w:t>
      </w:r>
      <w:r>
        <w:rPr>
          <w:lang w:val="fr-FR"/>
        </w:rPr>
        <w:br/>
      </w:r>
      <w:r w:rsidRPr="00E54193">
        <w:rPr>
          <w:lang w:val="fr-FR"/>
        </w:rPr>
        <w:t>afro-mauritaniennes et des femmes réfugiées</w:t>
      </w:r>
    </w:p>
    <w:p w:rsidR="00E54193" w:rsidRPr="00E54193" w:rsidRDefault="00E54193" w:rsidP="00E54193">
      <w:pPr>
        <w:pStyle w:val="SingleTxt"/>
        <w:spacing w:after="0" w:line="120" w:lineRule="exact"/>
        <w:rPr>
          <w:sz w:val="10"/>
          <w:lang w:val="fr-FR"/>
        </w:rPr>
      </w:pPr>
    </w:p>
    <w:p w:rsidR="00E54193" w:rsidRPr="00E54193" w:rsidRDefault="00E54193" w:rsidP="00E54193">
      <w:pPr>
        <w:pStyle w:val="SingleTxt"/>
        <w:spacing w:after="0" w:line="120" w:lineRule="exact"/>
        <w:rPr>
          <w:sz w:val="10"/>
          <w:lang w:val="fr-FR"/>
        </w:rPr>
      </w:pPr>
    </w:p>
    <w:p w:rsidR="00E54193" w:rsidRDefault="00E54193" w:rsidP="00E541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193">
        <w:rPr>
          <w:lang w:val="fr-FR"/>
        </w:rPr>
        <w:tab/>
      </w:r>
      <w:r w:rsidRPr="00E54193">
        <w:rPr>
          <w:lang w:val="fr-FR"/>
        </w:rPr>
        <w:tab/>
        <w:t>a, b)</w:t>
      </w:r>
    </w:p>
    <w:p w:rsidR="00E54193" w:rsidRPr="00E54193" w:rsidRDefault="00E54193" w:rsidP="00E54193">
      <w:pPr>
        <w:pStyle w:val="SingleTxt"/>
        <w:spacing w:after="0" w:line="120" w:lineRule="exact"/>
        <w:rPr>
          <w:sz w:val="10"/>
          <w:lang w:val="fr-FR"/>
        </w:rPr>
      </w:pPr>
    </w:p>
    <w:p w:rsidR="00E54193" w:rsidRPr="00E54193" w:rsidRDefault="00E54193" w:rsidP="00876080">
      <w:pPr>
        <w:pStyle w:val="SingleTxt"/>
        <w:numPr>
          <w:ilvl w:val="0"/>
          <w:numId w:val="16"/>
        </w:numPr>
        <w:tabs>
          <w:tab w:val="clear" w:pos="475"/>
          <w:tab w:val="num" w:pos="1742"/>
        </w:tabs>
        <w:spacing w:line="240" w:lineRule="exact"/>
        <w:ind w:left="1267"/>
        <w:rPr>
          <w:lang w:val="fr-FR"/>
        </w:rPr>
      </w:pPr>
      <w:r w:rsidRPr="00E54193">
        <w:rPr>
          <w:lang w:val="fr-FR"/>
        </w:rPr>
        <w:t>La Mauritanie ne fait aucune distinction entre ces citoyens qui sont égaux en droit conformément à la Constitution du 20 juillet 1991, révisée en 2006, 2012 et 2017, qui dispose dans son article 1</w:t>
      </w:r>
      <w:r w:rsidRPr="00A8283E">
        <w:rPr>
          <w:vertAlign w:val="superscript"/>
          <w:lang w:val="fr-FR"/>
        </w:rPr>
        <w:t>er</w:t>
      </w:r>
      <w:r w:rsidR="00876080">
        <w:rPr>
          <w:vertAlign w:val="superscript"/>
          <w:lang w:val="fr-FR"/>
        </w:rPr>
        <w:t> </w:t>
      </w:r>
      <w:r w:rsidRPr="00E54193">
        <w:rPr>
          <w:lang w:val="fr-FR"/>
        </w:rPr>
        <w:t>:</w:t>
      </w:r>
      <w:r w:rsidR="00876080">
        <w:rPr>
          <w:lang w:val="fr-FR"/>
        </w:rPr>
        <w:t xml:space="preserve"> </w:t>
      </w:r>
      <w:r w:rsidRPr="00E54193">
        <w:rPr>
          <w:lang w:val="fr-FR"/>
        </w:rPr>
        <w:t xml:space="preserve">« La Mauritanie est une République islamique, indivisible, démocratique et sociale. La République assure à tous les citoyens sans distinction d’origine, de race, de sexe ou de condition sociale l’égalité devant la loi ». </w:t>
      </w:r>
    </w:p>
    <w:p w:rsidR="00E54193" w:rsidRPr="00E54193" w:rsidRDefault="00E54193" w:rsidP="00A8283E">
      <w:pPr>
        <w:pStyle w:val="SingleTxt"/>
        <w:numPr>
          <w:ilvl w:val="0"/>
          <w:numId w:val="18"/>
        </w:numPr>
        <w:tabs>
          <w:tab w:val="clear" w:pos="475"/>
          <w:tab w:val="num" w:pos="1742"/>
        </w:tabs>
        <w:spacing w:line="240" w:lineRule="exact"/>
        <w:ind w:left="1267"/>
        <w:rPr>
          <w:lang w:val="fr-FR"/>
        </w:rPr>
      </w:pPr>
      <w:r w:rsidRPr="00E54193">
        <w:rPr>
          <w:lang w:val="fr-FR"/>
        </w:rPr>
        <w:t>Le principe constitutionnel d’égalité des citoyens devant la loi est repris par l’ensemble des textes législatifs (travail; commerce, investissement, propriété foncière, élection, etc.).</w:t>
      </w:r>
    </w:p>
    <w:p w:rsidR="00E54193" w:rsidRPr="00E54193" w:rsidRDefault="00E54193" w:rsidP="00E54193">
      <w:pPr>
        <w:pStyle w:val="SingleTxt"/>
        <w:numPr>
          <w:ilvl w:val="0"/>
          <w:numId w:val="18"/>
        </w:numPr>
        <w:tabs>
          <w:tab w:val="clear" w:pos="475"/>
          <w:tab w:val="num" w:pos="1742"/>
        </w:tabs>
        <w:spacing w:line="240" w:lineRule="exact"/>
        <w:ind w:left="1267"/>
        <w:rPr>
          <w:lang w:val="fr-FR"/>
        </w:rPr>
      </w:pPr>
      <w:r w:rsidRPr="00E54193">
        <w:rPr>
          <w:lang w:val="fr-FR"/>
        </w:rPr>
        <w:t xml:space="preserve">L’éradication des séquelles et des formes contemporaines de l’esclavage constitue un axe prioritaire de l’action du Gouvernement. </w:t>
      </w:r>
      <w:r w:rsidR="00BF335B" w:rsidRPr="00E54193">
        <w:rPr>
          <w:lang w:val="fr-FR"/>
        </w:rPr>
        <w:t>À</w:t>
      </w:r>
      <w:r w:rsidRPr="00E54193">
        <w:rPr>
          <w:lang w:val="fr-FR"/>
        </w:rPr>
        <w:t xml:space="preserve"> cet effet, il a adopté le 06 mars 2014, une feuille de route pour l’éradication des formes contemporaines de l’esclavage et a mis en place un comité interministériel présidé par le Premier Ministre chargé de la mise œuvre des recommandations de ladite feuille de route ainsi qu’une commission technique de suivi. </w:t>
      </w:r>
    </w:p>
    <w:p w:rsidR="00E54193" w:rsidRPr="00E54193" w:rsidRDefault="00E54193" w:rsidP="00E54193">
      <w:pPr>
        <w:pStyle w:val="SingleTxt"/>
        <w:numPr>
          <w:ilvl w:val="0"/>
          <w:numId w:val="18"/>
        </w:numPr>
        <w:tabs>
          <w:tab w:val="clear" w:pos="475"/>
          <w:tab w:val="num" w:pos="1742"/>
        </w:tabs>
        <w:spacing w:line="240" w:lineRule="exact"/>
        <w:ind w:left="1267"/>
        <w:rPr>
          <w:lang w:val="fr-FR"/>
        </w:rPr>
      </w:pPr>
      <w:r w:rsidRPr="00E54193">
        <w:rPr>
          <w:lang w:val="fr-FR"/>
        </w:rPr>
        <w:t>Cette commission, est composée des représentants des Ministères, de la Commission Nationale des Droits de l’Homme, des Organisations de la Société Civile et du Bureau du Haut-Commissariat des Nations Unies aux Droits de l’Homme en Mauritanie en qualité d’observateur.</w:t>
      </w:r>
    </w:p>
    <w:p w:rsidR="00E54193" w:rsidRPr="00E54193" w:rsidRDefault="00E54193" w:rsidP="00A8283E">
      <w:pPr>
        <w:pStyle w:val="SingleTxt"/>
        <w:numPr>
          <w:ilvl w:val="0"/>
          <w:numId w:val="18"/>
        </w:numPr>
        <w:tabs>
          <w:tab w:val="clear" w:pos="475"/>
          <w:tab w:val="num" w:pos="1742"/>
        </w:tabs>
        <w:spacing w:line="240" w:lineRule="exact"/>
        <w:ind w:left="1267"/>
        <w:rPr>
          <w:lang w:val="fr-FR"/>
        </w:rPr>
      </w:pPr>
      <w:r w:rsidRPr="00E54193">
        <w:rPr>
          <w:lang w:val="fr-FR"/>
        </w:rPr>
        <w:t>Un plan d’actions de mise en œuvre de la feuille de route a été adopté, le 30</w:t>
      </w:r>
      <w:r w:rsidR="00A8283E">
        <w:rPr>
          <w:lang w:val="fr-FR"/>
        </w:rPr>
        <w:t> </w:t>
      </w:r>
      <w:r w:rsidRPr="00E54193">
        <w:rPr>
          <w:lang w:val="fr-FR"/>
        </w:rPr>
        <w:t xml:space="preserve">septembre 2014 et les actions ci–après ont été menées : </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L’adoption de la loi 2015-031 du 10 septembre 2015 abrogeant et remplaçant la loi n</w:t>
      </w:r>
      <w:r w:rsidRPr="00A8283E">
        <w:rPr>
          <w:vertAlign w:val="superscript"/>
          <w:lang w:val="fr-FR"/>
        </w:rPr>
        <w:t>o</w:t>
      </w:r>
      <w:r>
        <w:rPr>
          <w:lang w:val="fr-FR"/>
        </w:rPr>
        <w:t> </w:t>
      </w:r>
      <w:r w:rsidR="00876080">
        <w:rPr>
          <w:lang w:val="fr-FR"/>
        </w:rPr>
        <w:t>048/</w:t>
      </w:r>
      <w:r w:rsidR="00F32017">
        <w:rPr>
          <w:lang w:val="fr-FR"/>
        </w:rPr>
        <w:t xml:space="preserve"> </w:t>
      </w:r>
      <w:r w:rsidR="00E54193" w:rsidRPr="00E54193">
        <w:rPr>
          <w:lang w:val="fr-FR"/>
        </w:rPr>
        <w:t>2007 incriminant l’esclavage et réprimant les pratiques esclavagistes, reconnait aux ONG le droit</w:t>
      </w:r>
      <w:r>
        <w:rPr>
          <w:lang w:val="fr-FR"/>
        </w:rPr>
        <w:t xml:space="preserve"> de se constituer partie civile</w:t>
      </w:r>
      <w:r w:rsidR="00E54193" w:rsidRPr="00E54193">
        <w:rPr>
          <w:lang w:val="fr-FR"/>
        </w:rPr>
        <w:t xml:space="preserve">; </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L’institutionnalisation du 06 mars de chaque année, journée nationale de lutte cont</w:t>
      </w:r>
      <w:r>
        <w:rPr>
          <w:lang w:val="fr-FR"/>
        </w:rPr>
        <w:t>re les séquelles de l’esclavage</w:t>
      </w:r>
      <w:r w:rsidR="00E54193" w:rsidRPr="00E54193">
        <w:rPr>
          <w:lang w:val="fr-FR"/>
        </w:rPr>
        <w:t>;</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L’institution du Cash transfert destiné à la scolarisation des enfants en âge de scolarisation au</w:t>
      </w:r>
      <w:r>
        <w:rPr>
          <w:lang w:val="fr-FR"/>
        </w:rPr>
        <w:t xml:space="preserve"> profit des familles pauvres et</w:t>
      </w:r>
      <w:r w:rsidR="00E54193" w:rsidRPr="00E54193">
        <w:rPr>
          <w:lang w:val="fr-FR"/>
        </w:rPr>
        <w:t>/ou affectées par les séquelles de l’esclavage</w:t>
      </w:r>
      <w:r w:rsidR="00E54193">
        <w:rPr>
          <w:lang w:val="fr-FR"/>
        </w:rPr>
        <w:t>;</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La mise en œuvre d’un plan d’actions contre le travail des enfants</w:t>
      </w:r>
      <w:r w:rsidR="00E54193">
        <w:rPr>
          <w:lang w:val="fr-FR"/>
        </w:rPr>
        <w:t>;</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Le développement des infrastructures scolaires (écoles, cantines scolaires, etc.) dans les zones d’éducation prioritaires</w:t>
      </w:r>
      <w:r w:rsidR="00E54193">
        <w:rPr>
          <w:lang w:val="fr-FR"/>
        </w:rPr>
        <w:t>;</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L’organisation de campagnes de sensibilisation sur la « délégitimation » de l’esclavage;</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 xml:space="preserve">La tenue d’ateliers au profit des organisations de la société civile (OSC) et des médias sur la législation anti-esclavagiste; </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La promulgation d’une fatwa, le 27 mars 2015, par l’Association des Oulémas (leaders religieux) sur l’illégitimité de la pratique de l’esclavage;</w:t>
      </w:r>
    </w:p>
    <w:p w:rsidR="00E54193" w:rsidRPr="00E54193" w:rsidRDefault="00A8283E" w:rsidP="00A8283E">
      <w:pPr>
        <w:pStyle w:val="SingleTxt"/>
        <w:tabs>
          <w:tab w:val="right" w:pos="1685"/>
        </w:tabs>
        <w:ind w:left="1742" w:hanging="475"/>
        <w:rPr>
          <w:lang w:val="fr-FR"/>
        </w:rPr>
      </w:pPr>
      <w:r>
        <w:rPr>
          <w:lang w:val="fr-FR"/>
        </w:rPr>
        <w:tab/>
        <w:t>•</w:t>
      </w:r>
      <w:r>
        <w:rPr>
          <w:lang w:val="fr-FR"/>
        </w:rPr>
        <w:tab/>
      </w:r>
      <w:r w:rsidR="00E54193" w:rsidRPr="00E54193">
        <w:rPr>
          <w:lang w:val="fr-FR"/>
        </w:rPr>
        <w:t>La mise en place de projets générateurs de revenus au profit des populations affectées par les séquelles de l’esclavage et par la pauvreté.</w:t>
      </w:r>
    </w:p>
    <w:p w:rsidR="00E54193" w:rsidRPr="00E54193" w:rsidRDefault="00E54193" w:rsidP="00A8283E">
      <w:pPr>
        <w:pStyle w:val="SingleTxt"/>
        <w:numPr>
          <w:ilvl w:val="0"/>
          <w:numId w:val="19"/>
        </w:numPr>
        <w:tabs>
          <w:tab w:val="clear" w:pos="475"/>
          <w:tab w:val="num" w:pos="1742"/>
        </w:tabs>
        <w:spacing w:line="240" w:lineRule="exact"/>
        <w:ind w:left="1267"/>
        <w:rPr>
          <w:lang w:val="fr-FR"/>
        </w:rPr>
      </w:pPr>
      <w:r w:rsidRPr="00E54193">
        <w:rPr>
          <w:lang w:val="fr-FR"/>
        </w:rPr>
        <w:t xml:space="preserve">L’Agence « TADAMOUN » a réalisé en 2016, dans le cadre de l’éradication des séquelles de l’esclavage, les actions suivantes : </w:t>
      </w:r>
    </w:p>
    <w:p w:rsidR="00876080" w:rsidRPr="00876080" w:rsidRDefault="00876080" w:rsidP="00876080">
      <w:pPr>
        <w:pStyle w:val="SingleTxt"/>
        <w:spacing w:after="0" w:line="120" w:lineRule="exact"/>
        <w:rPr>
          <w:sz w:val="10"/>
          <w:lang w:val="fr-FR"/>
        </w:rPr>
      </w:pPr>
    </w:p>
    <w:p w:rsidR="00E54193" w:rsidRDefault="00A8283E" w:rsidP="00A828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54193" w:rsidRPr="00E54193">
        <w:rPr>
          <w:lang w:val="fr-FR"/>
        </w:rPr>
        <w:tab/>
        <w:t xml:space="preserve">Construction des </w:t>
      </w:r>
      <w:r w:rsidR="00BF335B" w:rsidRPr="00E54193">
        <w:rPr>
          <w:lang w:val="fr-FR"/>
        </w:rPr>
        <w:t>Écoles</w:t>
      </w:r>
      <w:r w:rsidR="00E54193" w:rsidRPr="00E54193">
        <w:rPr>
          <w:lang w:val="fr-FR"/>
        </w:rPr>
        <w:t> : 22 école</w:t>
      </w:r>
      <w:r w:rsidR="00F32017">
        <w:rPr>
          <w:lang w:val="fr-FR"/>
        </w:rPr>
        <w:t>s</w:t>
      </w:r>
    </w:p>
    <w:p w:rsidR="00E54193" w:rsidRPr="00A8283E" w:rsidRDefault="00E54193" w:rsidP="00A8283E">
      <w:pPr>
        <w:pStyle w:val="SingleTxt"/>
        <w:spacing w:after="0" w:line="120" w:lineRule="exact"/>
        <w:rPr>
          <w:b/>
          <w:sz w:val="10"/>
          <w:lang w:val="fr-FR"/>
        </w:rPr>
      </w:pPr>
    </w:p>
    <w:p w:rsidR="00A8283E" w:rsidRPr="00A8283E" w:rsidRDefault="00A8283E" w:rsidP="00A8283E">
      <w:pPr>
        <w:pStyle w:val="SingleTxt"/>
        <w:spacing w:after="0" w:line="120" w:lineRule="exact"/>
        <w:rPr>
          <w:b/>
          <w:sz w:val="10"/>
          <w:lang w:val="fr-FR"/>
        </w:rPr>
      </w:pPr>
    </w:p>
    <w:tbl>
      <w:tblPr>
        <w:tblW w:w="8570" w:type="dxa"/>
        <w:tblInd w:w="1267" w:type="dxa"/>
        <w:tblCellMar>
          <w:left w:w="0" w:type="dxa"/>
          <w:right w:w="0" w:type="dxa"/>
        </w:tblCellMar>
        <w:tblLook w:val="04A0" w:firstRow="1" w:lastRow="0" w:firstColumn="1" w:lastColumn="0" w:noHBand="0" w:noVBand="1"/>
      </w:tblPr>
      <w:tblGrid>
        <w:gridCol w:w="6473"/>
        <w:gridCol w:w="2097"/>
      </w:tblGrid>
      <w:tr w:rsidR="00A8283E" w:rsidRPr="00A8283E" w:rsidTr="00876080">
        <w:trPr>
          <w:tblHeader/>
        </w:trPr>
        <w:tc>
          <w:tcPr>
            <w:tcW w:w="6473" w:type="dxa"/>
            <w:tcBorders>
              <w:top w:val="single" w:sz="4" w:space="0" w:color="auto"/>
              <w:bottom w:val="single" w:sz="12" w:space="0" w:color="auto"/>
            </w:tcBorders>
            <w:shd w:val="clear" w:color="auto" w:fill="auto"/>
            <w:vAlign w:val="bottom"/>
          </w:tcPr>
          <w:p w:rsidR="00E54193" w:rsidRPr="00A8283E" w:rsidRDefault="00E54193" w:rsidP="00A8283E">
            <w:pPr>
              <w:suppressAutoHyphens/>
              <w:spacing w:before="81" w:after="81" w:line="160" w:lineRule="exact"/>
              <w:ind w:right="40"/>
              <w:rPr>
                <w:i/>
                <w:sz w:val="14"/>
              </w:rPr>
            </w:pPr>
            <w:r w:rsidRPr="00A8283E">
              <w:rPr>
                <w:i/>
                <w:sz w:val="14"/>
              </w:rPr>
              <w:t>Objet</w:t>
            </w:r>
          </w:p>
        </w:tc>
        <w:tc>
          <w:tcPr>
            <w:tcW w:w="2097" w:type="dxa"/>
            <w:tcBorders>
              <w:top w:val="single" w:sz="4" w:space="0" w:color="auto"/>
              <w:bottom w:val="single" w:sz="12" w:space="0" w:color="auto"/>
            </w:tcBorders>
            <w:shd w:val="clear" w:color="auto" w:fill="auto"/>
            <w:vAlign w:val="bottom"/>
          </w:tcPr>
          <w:p w:rsidR="00E54193" w:rsidRPr="00A8283E" w:rsidRDefault="00E54193" w:rsidP="00A8283E">
            <w:pPr>
              <w:suppressAutoHyphens/>
              <w:spacing w:before="81" w:after="81" w:line="160" w:lineRule="exact"/>
              <w:ind w:left="144" w:right="43"/>
              <w:rPr>
                <w:i/>
                <w:sz w:val="14"/>
              </w:rPr>
            </w:pPr>
            <w:r w:rsidRPr="00A8283E">
              <w:rPr>
                <w:i/>
                <w:sz w:val="14"/>
              </w:rPr>
              <w:t>Lieu</w:t>
            </w:r>
          </w:p>
        </w:tc>
      </w:tr>
      <w:tr w:rsidR="00A8283E" w:rsidRPr="00A8283E" w:rsidTr="00876080">
        <w:trPr>
          <w:trHeight w:hRule="exact" w:val="115"/>
          <w:tblHeader/>
        </w:trPr>
        <w:tc>
          <w:tcPr>
            <w:tcW w:w="6473" w:type="dxa"/>
            <w:tcBorders>
              <w:top w:val="single" w:sz="12" w:space="0" w:color="auto"/>
            </w:tcBorders>
            <w:shd w:val="clear" w:color="auto" w:fill="auto"/>
            <w:vAlign w:val="bottom"/>
          </w:tcPr>
          <w:p w:rsidR="00A8283E" w:rsidRPr="00A8283E" w:rsidRDefault="00A8283E" w:rsidP="00A8283E">
            <w:pPr>
              <w:suppressAutoHyphens/>
              <w:spacing w:before="40" w:after="40" w:line="210" w:lineRule="exact"/>
              <w:ind w:right="40"/>
              <w:rPr>
                <w:sz w:val="17"/>
              </w:rPr>
            </w:pPr>
          </w:p>
        </w:tc>
        <w:tc>
          <w:tcPr>
            <w:tcW w:w="2097" w:type="dxa"/>
            <w:tcBorders>
              <w:top w:val="single" w:sz="12" w:space="0" w:color="auto"/>
            </w:tcBorders>
            <w:shd w:val="clear" w:color="auto" w:fill="auto"/>
            <w:vAlign w:val="bottom"/>
          </w:tcPr>
          <w:p w:rsidR="00A8283E" w:rsidRPr="00A8283E" w:rsidRDefault="00A8283E" w:rsidP="00A8283E">
            <w:pPr>
              <w:suppressAutoHyphens/>
              <w:spacing w:before="40" w:after="40" w:line="210" w:lineRule="exact"/>
              <w:ind w:left="144" w:right="43"/>
              <w:rPr>
                <w:sz w:val="17"/>
              </w:rPr>
            </w:pPr>
          </w:p>
        </w:tc>
      </w:tr>
      <w:tr w:rsidR="00E54193" w:rsidRPr="00A8283E" w:rsidTr="00876080">
        <w:tc>
          <w:tcPr>
            <w:tcW w:w="6473"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right="40"/>
              <w:rPr>
                <w:sz w:val="17"/>
              </w:rPr>
            </w:pPr>
            <w:r w:rsidRPr="00A8283E">
              <w:rPr>
                <w:sz w:val="17"/>
              </w:rPr>
              <w:t>Une école complète du fondamental</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Laoussi, Commune Barkéoul</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Complete Fondamentale à Jrana</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Commune d’Adelbagrou</w:t>
            </w:r>
          </w:p>
        </w:tc>
      </w:tr>
      <w:tr w:rsidR="00E54193" w:rsidRPr="00A8283E" w:rsidTr="00876080">
        <w:tc>
          <w:tcPr>
            <w:tcW w:w="6473"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right="40"/>
              <w:rPr>
                <w:sz w:val="17"/>
              </w:rPr>
            </w:pPr>
            <w:r w:rsidRPr="00A8283E">
              <w:rPr>
                <w:sz w:val="17"/>
              </w:rPr>
              <w:t>Complexe scolaire à Touymiret Lemarid</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Commune de Bougadoum</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Complète fondamentale à Yengui leksar</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Commune de Koumbisaleh</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fondamentale à la Localité de Afodiar Nouazir commune de Bokol</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Monguel</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fondamentale complète à la Localité de Elmachra (Lot1)</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Commune de Tamouret Enaj, Moudjeria</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complète à Akneikir commune de Tamouret Enaj (Lot2)</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Moudjeria</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w:t>
            </w:r>
            <w:r w:rsidRPr="00A8283E">
              <w:rPr>
                <w:sz w:val="17"/>
              </w:rPr>
              <w:t>Complète</w:t>
            </w:r>
            <w:r w:rsidR="00E54193" w:rsidRPr="00A8283E">
              <w:rPr>
                <w:sz w:val="17"/>
              </w:rPr>
              <w:t xml:space="preserve"> à Medina, Commune de Touil (Lot 1)</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Tintane</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w:t>
            </w:r>
            <w:r w:rsidRPr="00A8283E">
              <w:rPr>
                <w:sz w:val="17"/>
              </w:rPr>
              <w:t>complète</w:t>
            </w:r>
            <w:r w:rsidR="00E54193" w:rsidRPr="00A8283E">
              <w:rPr>
                <w:sz w:val="17"/>
              </w:rPr>
              <w:t xml:space="preserve"> à SET, Commune de Touil (Lot 1)</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Tintane</w:t>
            </w:r>
          </w:p>
        </w:tc>
      </w:tr>
      <w:tr w:rsidR="00E54193" w:rsidRPr="00A8283E" w:rsidTr="00876080">
        <w:tc>
          <w:tcPr>
            <w:tcW w:w="6473" w:type="dxa"/>
            <w:shd w:val="clear" w:color="auto" w:fill="auto"/>
          </w:tcPr>
          <w:p w:rsidR="00E54193" w:rsidRPr="00A8283E" w:rsidRDefault="00BF335B" w:rsidP="00BF335B">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w:t>
            </w:r>
            <w:r>
              <w:rPr>
                <w:sz w:val="17"/>
              </w:rPr>
              <w:t>è</w:t>
            </w:r>
            <w:r w:rsidR="00E54193" w:rsidRPr="00A8283E">
              <w:rPr>
                <w:sz w:val="17"/>
              </w:rPr>
              <w:t>te à Breima, Commuune de Touil (Lot 2)</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Tintane</w:t>
            </w:r>
          </w:p>
        </w:tc>
      </w:tr>
      <w:tr w:rsidR="00E54193" w:rsidRPr="00A8283E" w:rsidTr="00876080">
        <w:tc>
          <w:tcPr>
            <w:tcW w:w="6473" w:type="dxa"/>
            <w:shd w:val="clear" w:color="auto" w:fill="auto"/>
          </w:tcPr>
          <w:p w:rsidR="00E54193" w:rsidRPr="00A8283E" w:rsidRDefault="00BF335B" w:rsidP="00BF335B">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w:t>
            </w:r>
            <w:r>
              <w:rPr>
                <w:sz w:val="17"/>
              </w:rPr>
              <w:t>è</w:t>
            </w:r>
            <w:r w:rsidR="00E54193" w:rsidRPr="00A8283E">
              <w:rPr>
                <w:sz w:val="17"/>
              </w:rPr>
              <w:t>te à Kerkerate, commune de Voulaniya (Lot 4)</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Koubeni</w:t>
            </w:r>
          </w:p>
        </w:tc>
      </w:tr>
      <w:tr w:rsidR="00E54193" w:rsidRPr="00A8283E" w:rsidTr="00876080">
        <w:tc>
          <w:tcPr>
            <w:tcW w:w="6473" w:type="dxa"/>
            <w:shd w:val="clear" w:color="auto" w:fill="auto"/>
          </w:tcPr>
          <w:p w:rsidR="00E54193" w:rsidRPr="00A8283E" w:rsidRDefault="00BF335B" w:rsidP="00BF335B">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w:t>
            </w:r>
            <w:r>
              <w:rPr>
                <w:sz w:val="17"/>
              </w:rPr>
              <w:t>è</w:t>
            </w:r>
            <w:r w:rsidR="00E54193" w:rsidRPr="00A8283E">
              <w:rPr>
                <w:sz w:val="17"/>
              </w:rPr>
              <w:t>te à Gogui Zemal, Commune de Koubeni (Lot 4)</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Koubeni</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complète à Koussane, commune de Vassala</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Bassiknou</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complète à Terwen, commune d’Atar</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Atar</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complète à Kindierle, commune de Vassala</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Bassiknou</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complète à Likhdeima, commune de Tamourt Naaj</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Moudjéria</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complète à Ouad Naga, commune de Ouad Naga</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Ouad Naga</w:t>
            </w:r>
          </w:p>
        </w:tc>
      </w:tr>
      <w:tr w:rsidR="00E54193" w:rsidRPr="00A8283E" w:rsidTr="00876080">
        <w:tc>
          <w:tcPr>
            <w:tcW w:w="6473" w:type="dxa"/>
            <w:shd w:val="clear" w:color="auto" w:fill="auto"/>
          </w:tcPr>
          <w:p w:rsidR="00E54193" w:rsidRPr="00A8283E" w:rsidRDefault="00BF335B" w:rsidP="001F51C3">
            <w:pPr>
              <w:tabs>
                <w:tab w:val="left" w:pos="288"/>
                <w:tab w:val="left" w:pos="576"/>
                <w:tab w:val="left" w:pos="864"/>
                <w:tab w:val="left" w:pos="1152"/>
              </w:tabs>
              <w:suppressAutoHyphens/>
              <w:spacing w:before="40" w:after="40" w:line="210" w:lineRule="exact"/>
              <w:ind w:right="40"/>
              <w:rPr>
                <w:sz w:val="17"/>
              </w:rPr>
            </w:pPr>
            <w:r w:rsidRPr="00A8283E">
              <w:rPr>
                <w:sz w:val="17"/>
              </w:rPr>
              <w:t>École</w:t>
            </w:r>
            <w:r w:rsidR="00E54193" w:rsidRPr="00A8283E">
              <w:rPr>
                <w:sz w:val="17"/>
              </w:rPr>
              <w:t xml:space="preserve"> complète à Ouad Naga, commune de Ouad Naga</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p>
        </w:tc>
      </w:tr>
      <w:tr w:rsidR="00E54193" w:rsidRPr="00A8283E" w:rsidTr="00876080">
        <w:tc>
          <w:tcPr>
            <w:tcW w:w="6473"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right="40"/>
              <w:rPr>
                <w:sz w:val="17"/>
              </w:rPr>
            </w:pPr>
            <w:r w:rsidRPr="00A8283E">
              <w:rPr>
                <w:sz w:val="17"/>
              </w:rPr>
              <w:t>2 écoles complètes à Bouratt</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Bouratt</w:t>
            </w:r>
          </w:p>
        </w:tc>
      </w:tr>
      <w:tr w:rsidR="00E54193" w:rsidRPr="00A8283E" w:rsidTr="00876080">
        <w:tc>
          <w:tcPr>
            <w:tcW w:w="6473" w:type="dxa"/>
            <w:shd w:val="clear" w:color="auto" w:fill="auto"/>
          </w:tcPr>
          <w:p w:rsidR="00E54193" w:rsidRPr="00A8283E" w:rsidRDefault="00876080" w:rsidP="001F51C3">
            <w:pPr>
              <w:tabs>
                <w:tab w:val="left" w:pos="288"/>
                <w:tab w:val="left" w:pos="576"/>
                <w:tab w:val="left" w:pos="864"/>
                <w:tab w:val="left" w:pos="1152"/>
              </w:tabs>
              <w:suppressAutoHyphens/>
              <w:spacing w:before="40" w:after="40" w:line="210" w:lineRule="exact"/>
              <w:ind w:right="40"/>
              <w:rPr>
                <w:sz w:val="17"/>
              </w:rPr>
            </w:pPr>
            <w:r>
              <w:rPr>
                <w:sz w:val="17"/>
              </w:rPr>
              <w:t>4 classes+Bureau Dir+3 latrines+</w:t>
            </w:r>
            <w:r w:rsidR="00E54193" w:rsidRPr="00A8283E">
              <w:rPr>
                <w:sz w:val="17"/>
              </w:rPr>
              <w:t xml:space="preserve">1 mur de </w:t>
            </w:r>
            <w:r w:rsidR="00BF335B" w:rsidRPr="00A8283E">
              <w:rPr>
                <w:sz w:val="17"/>
              </w:rPr>
              <w:t>clôture</w:t>
            </w:r>
            <w:r w:rsidR="00E54193" w:rsidRPr="00A8283E">
              <w:rPr>
                <w:sz w:val="17"/>
              </w:rPr>
              <w:t xml:space="preserve"> à Niaylia</w:t>
            </w:r>
          </w:p>
        </w:tc>
        <w:tc>
          <w:tcPr>
            <w:tcW w:w="2097" w:type="dxa"/>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Touil</w:t>
            </w:r>
          </w:p>
        </w:tc>
      </w:tr>
      <w:tr w:rsidR="00E54193" w:rsidRPr="00A8283E" w:rsidTr="00876080">
        <w:tc>
          <w:tcPr>
            <w:tcW w:w="6473" w:type="dxa"/>
            <w:tcBorders>
              <w:bottom w:val="single" w:sz="12" w:space="0" w:color="auto"/>
            </w:tcBorders>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right="40"/>
              <w:rPr>
                <w:sz w:val="17"/>
              </w:rPr>
            </w:pPr>
            <w:r w:rsidRPr="00A8283E">
              <w:rPr>
                <w:sz w:val="17"/>
              </w:rPr>
              <w:t xml:space="preserve">4 </w:t>
            </w:r>
            <w:r w:rsidR="00876080">
              <w:rPr>
                <w:sz w:val="17"/>
              </w:rPr>
              <w:t>classes+Bur Dir+3</w:t>
            </w:r>
            <w:r w:rsidR="00BF335B">
              <w:rPr>
                <w:sz w:val="17"/>
              </w:rPr>
              <w:t xml:space="preserve"> </w:t>
            </w:r>
            <w:r w:rsidR="00876080">
              <w:rPr>
                <w:sz w:val="17"/>
              </w:rPr>
              <w:t>latrines+</w:t>
            </w:r>
            <w:r w:rsidRPr="00A8283E">
              <w:rPr>
                <w:sz w:val="17"/>
              </w:rPr>
              <w:t xml:space="preserve">1 mur de </w:t>
            </w:r>
            <w:r w:rsidR="00BF335B" w:rsidRPr="00A8283E">
              <w:rPr>
                <w:sz w:val="17"/>
              </w:rPr>
              <w:t>clôture</w:t>
            </w:r>
            <w:r w:rsidRPr="00A8283E">
              <w:rPr>
                <w:sz w:val="17"/>
              </w:rPr>
              <w:t xml:space="preserve"> à Hreijat ehel Cheikh Ahmed</w:t>
            </w:r>
          </w:p>
        </w:tc>
        <w:tc>
          <w:tcPr>
            <w:tcW w:w="2097" w:type="dxa"/>
            <w:tcBorders>
              <w:bottom w:val="single" w:sz="12" w:space="0" w:color="auto"/>
            </w:tcBorders>
            <w:shd w:val="clear" w:color="auto" w:fill="auto"/>
          </w:tcPr>
          <w:p w:rsidR="00E54193" w:rsidRPr="00A8283E" w:rsidRDefault="00E54193" w:rsidP="001F51C3">
            <w:pPr>
              <w:tabs>
                <w:tab w:val="left" w:pos="288"/>
                <w:tab w:val="left" w:pos="576"/>
                <w:tab w:val="left" w:pos="864"/>
                <w:tab w:val="left" w:pos="1152"/>
              </w:tabs>
              <w:suppressAutoHyphens/>
              <w:spacing w:before="40" w:after="40" w:line="210" w:lineRule="exact"/>
              <w:ind w:left="144" w:right="43"/>
              <w:rPr>
                <w:sz w:val="17"/>
              </w:rPr>
            </w:pPr>
            <w:r w:rsidRPr="00A8283E">
              <w:rPr>
                <w:sz w:val="17"/>
              </w:rPr>
              <w:t xml:space="preserve">Touil </w:t>
            </w:r>
          </w:p>
        </w:tc>
      </w:tr>
    </w:tbl>
    <w:p w:rsidR="00E54193" w:rsidRPr="00A8283E" w:rsidRDefault="00E54193" w:rsidP="00A8283E">
      <w:pPr>
        <w:pStyle w:val="SingleTxt"/>
        <w:spacing w:after="0" w:line="120" w:lineRule="exact"/>
        <w:rPr>
          <w:b/>
          <w:sz w:val="10"/>
          <w:lang w:val="fr-FR"/>
        </w:rPr>
      </w:pPr>
    </w:p>
    <w:p w:rsidR="00A8283E" w:rsidRPr="00A8283E" w:rsidRDefault="00A8283E" w:rsidP="00A8283E">
      <w:pPr>
        <w:pStyle w:val="SingleTxt"/>
        <w:spacing w:after="0" w:line="120" w:lineRule="exact"/>
        <w:rPr>
          <w:b/>
          <w:sz w:val="10"/>
          <w:lang w:val="fr-FR"/>
        </w:rPr>
      </w:pPr>
    </w:p>
    <w:p w:rsidR="00A8283E" w:rsidRPr="00A8283E" w:rsidRDefault="00A8283E" w:rsidP="00A8283E">
      <w:pPr>
        <w:pStyle w:val="SingleTxt"/>
        <w:spacing w:after="0" w:line="120" w:lineRule="exact"/>
        <w:rPr>
          <w:b/>
          <w:sz w:val="10"/>
          <w:lang w:val="fr-FR"/>
        </w:rPr>
      </w:pPr>
    </w:p>
    <w:p w:rsidR="00E54193" w:rsidRDefault="00E54193" w:rsidP="008760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193">
        <w:rPr>
          <w:lang w:val="fr-FR"/>
        </w:rPr>
        <w:tab/>
      </w:r>
      <w:r w:rsidRPr="00E54193">
        <w:rPr>
          <w:lang w:val="fr-FR"/>
        </w:rPr>
        <w:tab/>
        <w:t>Construction de salles de classe en complément des écoles existantes 48 salles</w:t>
      </w:r>
      <w:r w:rsidR="00A8283E">
        <w:rPr>
          <w:lang w:val="fr-FR"/>
        </w:rPr>
        <w:br/>
      </w:r>
      <w:r w:rsidRPr="00E54193">
        <w:rPr>
          <w:lang w:val="fr-FR"/>
        </w:rPr>
        <w:t>de classe complétant 15 écoles</w:t>
      </w:r>
    </w:p>
    <w:p w:rsidR="00E54193" w:rsidRPr="00A8283E" w:rsidRDefault="00E54193" w:rsidP="00876080">
      <w:pPr>
        <w:pStyle w:val="SingleTxt"/>
        <w:keepNext/>
        <w:keepLines/>
        <w:spacing w:after="0" w:line="120" w:lineRule="exact"/>
        <w:rPr>
          <w:sz w:val="10"/>
          <w:lang w:val="fr-FR"/>
        </w:rPr>
      </w:pPr>
    </w:p>
    <w:p w:rsidR="00A8283E" w:rsidRDefault="00A8283E" w:rsidP="00876080">
      <w:pPr>
        <w:pStyle w:val="SingleTxt"/>
        <w:keepNext/>
        <w:keepLines/>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6480"/>
        <w:gridCol w:w="2102"/>
      </w:tblGrid>
      <w:tr w:rsidR="001F51C3" w:rsidRPr="00490859" w:rsidTr="00876080">
        <w:trPr>
          <w:tblHeader/>
        </w:trPr>
        <w:tc>
          <w:tcPr>
            <w:tcW w:w="6480" w:type="dxa"/>
            <w:tcBorders>
              <w:top w:val="single" w:sz="4" w:space="0" w:color="auto"/>
              <w:bottom w:val="single" w:sz="12" w:space="0" w:color="auto"/>
            </w:tcBorders>
            <w:shd w:val="clear" w:color="auto" w:fill="auto"/>
            <w:vAlign w:val="bottom"/>
          </w:tcPr>
          <w:p w:rsidR="001F51C3" w:rsidRPr="00490859" w:rsidRDefault="001F51C3" w:rsidP="00876080">
            <w:pPr>
              <w:keepNext/>
              <w:keepLines/>
              <w:tabs>
                <w:tab w:val="left" w:pos="288"/>
                <w:tab w:val="left" w:pos="576"/>
                <w:tab w:val="left" w:pos="864"/>
                <w:tab w:val="left" w:pos="1152"/>
              </w:tabs>
              <w:suppressAutoHyphens/>
              <w:spacing w:before="81" w:after="81" w:line="160" w:lineRule="exact"/>
              <w:ind w:right="40"/>
              <w:rPr>
                <w:i/>
                <w:sz w:val="14"/>
              </w:rPr>
            </w:pPr>
            <w:r>
              <w:rPr>
                <w:i/>
                <w:sz w:val="14"/>
              </w:rPr>
              <w:t>Intitulé</w:t>
            </w:r>
          </w:p>
        </w:tc>
        <w:tc>
          <w:tcPr>
            <w:tcW w:w="2102" w:type="dxa"/>
            <w:tcBorders>
              <w:top w:val="single" w:sz="4" w:space="0" w:color="auto"/>
              <w:bottom w:val="single" w:sz="12" w:space="0" w:color="auto"/>
            </w:tcBorders>
            <w:shd w:val="clear" w:color="auto" w:fill="auto"/>
            <w:vAlign w:val="bottom"/>
          </w:tcPr>
          <w:p w:rsidR="001F51C3" w:rsidRPr="00490859" w:rsidRDefault="001F51C3" w:rsidP="00876080">
            <w:pPr>
              <w:keepNext/>
              <w:keepLines/>
              <w:tabs>
                <w:tab w:val="left" w:pos="288"/>
                <w:tab w:val="left" w:pos="576"/>
                <w:tab w:val="left" w:pos="864"/>
                <w:tab w:val="left" w:pos="1152"/>
              </w:tabs>
              <w:suppressAutoHyphens/>
              <w:spacing w:before="81" w:after="81" w:line="160" w:lineRule="exact"/>
              <w:ind w:left="144" w:right="43"/>
              <w:rPr>
                <w:i/>
                <w:sz w:val="14"/>
              </w:rPr>
            </w:pPr>
            <w:r>
              <w:rPr>
                <w:i/>
                <w:sz w:val="14"/>
              </w:rPr>
              <w:t>Lieu</w:t>
            </w:r>
          </w:p>
        </w:tc>
      </w:tr>
      <w:tr w:rsidR="001F51C3" w:rsidRPr="00490859" w:rsidTr="00876080">
        <w:trPr>
          <w:trHeight w:hRule="exact" w:val="115"/>
          <w:tblHeader/>
        </w:trPr>
        <w:tc>
          <w:tcPr>
            <w:tcW w:w="6480" w:type="dxa"/>
            <w:tcBorders>
              <w:top w:val="single" w:sz="12" w:space="0" w:color="auto"/>
            </w:tcBorders>
            <w:shd w:val="clear" w:color="auto" w:fill="auto"/>
            <w:vAlign w:val="bottom"/>
          </w:tcPr>
          <w:p w:rsidR="001F51C3" w:rsidRPr="00490859" w:rsidRDefault="001F51C3" w:rsidP="00876080">
            <w:pPr>
              <w:keepNext/>
              <w:keepLines/>
              <w:tabs>
                <w:tab w:val="left" w:pos="288"/>
                <w:tab w:val="left" w:pos="576"/>
                <w:tab w:val="left" w:pos="864"/>
                <w:tab w:val="left" w:pos="1152"/>
              </w:tabs>
              <w:suppressAutoHyphens/>
              <w:spacing w:before="40" w:after="40" w:line="210" w:lineRule="exact"/>
              <w:ind w:right="40"/>
              <w:rPr>
                <w:sz w:val="17"/>
              </w:rPr>
            </w:pPr>
          </w:p>
        </w:tc>
        <w:tc>
          <w:tcPr>
            <w:tcW w:w="2102" w:type="dxa"/>
            <w:tcBorders>
              <w:top w:val="single" w:sz="12" w:space="0" w:color="auto"/>
            </w:tcBorders>
            <w:shd w:val="clear" w:color="auto" w:fill="auto"/>
            <w:vAlign w:val="bottom"/>
          </w:tcPr>
          <w:p w:rsidR="001F51C3" w:rsidRPr="00490859" w:rsidRDefault="001F51C3" w:rsidP="00876080">
            <w:pPr>
              <w:keepNext/>
              <w:keepLines/>
              <w:tabs>
                <w:tab w:val="left" w:pos="288"/>
                <w:tab w:val="left" w:pos="576"/>
                <w:tab w:val="left" w:pos="864"/>
                <w:tab w:val="left" w:pos="1152"/>
              </w:tabs>
              <w:suppressAutoHyphens/>
              <w:spacing w:before="40" w:after="40" w:line="210" w:lineRule="exact"/>
              <w:ind w:left="144" w:right="43"/>
              <w:jc w:val="right"/>
              <w:rPr>
                <w:sz w:val="17"/>
              </w:rPr>
            </w:pPr>
          </w:p>
        </w:tc>
      </w:tr>
      <w:tr w:rsidR="001F51C3" w:rsidRPr="00490859" w:rsidTr="00876080">
        <w:tc>
          <w:tcPr>
            <w:tcW w:w="6480" w:type="dxa"/>
            <w:shd w:val="clear" w:color="auto" w:fill="auto"/>
          </w:tcPr>
          <w:p w:rsidR="001F51C3" w:rsidRPr="001F51C3" w:rsidRDefault="001F51C3" w:rsidP="00BF335B">
            <w:pPr>
              <w:keepNext/>
              <w:keepLines/>
              <w:tabs>
                <w:tab w:val="left" w:pos="288"/>
                <w:tab w:val="left" w:pos="576"/>
                <w:tab w:val="left" w:pos="864"/>
                <w:tab w:val="left" w:pos="1152"/>
              </w:tabs>
              <w:suppressAutoHyphens/>
              <w:spacing w:before="40" w:after="40" w:line="210" w:lineRule="exact"/>
              <w:ind w:right="40"/>
              <w:rPr>
                <w:sz w:val="17"/>
              </w:rPr>
            </w:pPr>
            <w:r w:rsidRPr="001F51C3">
              <w:rPr>
                <w:sz w:val="17"/>
              </w:rPr>
              <w:t>3 classes+Clôture+Latrine à Daghveg, commune de Daghveg</w:t>
            </w:r>
          </w:p>
        </w:tc>
        <w:tc>
          <w:tcPr>
            <w:tcW w:w="2102" w:type="dxa"/>
            <w:shd w:val="clear" w:color="auto" w:fill="auto"/>
          </w:tcPr>
          <w:p w:rsidR="001F51C3" w:rsidRPr="001F51C3" w:rsidRDefault="001F51C3" w:rsidP="00876080">
            <w:pPr>
              <w:keepNext/>
              <w:keepLines/>
              <w:tabs>
                <w:tab w:val="left" w:pos="288"/>
                <w:tab w:val="left" w:pos="576"/>
                <w:tab w:val="left" w:pos="864"/>
                <w:tab w:val="left" w:pos="1152"/>
              </w:tabs>
              <w:suppressAutoHyphens/>
              <w:spacing w:before="40" w:after="40" w:line="210" w:lineRule="exact"/>
              <w:ind w:left="144" w:right="43"/>
              <w:rPr>
                <w:sz w:val="17"/>
              </w:rPr>
            </w:pPr>
            <w:r w:rsidRPr="001F51C3">
              <w:rPr>
                <w:sz w:val="17"/>
              </w:rPr>
              <w:t>Barkéol</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3 classes à Daghveg, commune de Boghé</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Boghé</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2 classes à Bassinguidi, Commune de Male</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Magtaa Lahjar</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3 classes à Tendel, commune de Dionaba,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Magtaa Lahjar</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3 salles de classe à El Wassaa, commune de Dionaba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Magtaa Lahjar</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3 classes à Mohamed Zein, commune de Dionaba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Magtaa Lahjar</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2 classes à Zreigatt commune de Hassi chegar</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Sélibaby</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2 blocs de 2 salles de classes à Hassi sidi commune de Tachot</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Sélibaby</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2 blocs de 3 salles de classe du Lycée de Monguel commune de Monguel</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Mongueul</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2 salles de classe pour regroupement autour de Toungad dans la Commune d’Aoujeft</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Aoujeft</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3 salles de classe pour la Localité de Tirebane dans la Commune d’Aoujeft</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Aoujeft</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3 salles de classes à Legned, commune Soudoud</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Moudjeria</w:t>
            </w:r>
          </w:p>
        </w:tc>
      </w:tr>
      <w:tr w:rsidR="00876080"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3 salles de classe à Kehmeit, commune de Soudoud</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Moudjeria</w:t>
            </w:r>
          </w:p>
        </w:tc>
      </w:tr>
      <w:tr w:rsidR="00876080" w:rsidRPr="00490859" w:rsidTr="00876080">
        <w:tc>
          <w:tcPr>
            <w:tcW w:w="6480" w:type="dxa"/>
            <w:tcBorders>
              <w:bottom w:val="single" w:sz="12" w:space="0" w:color="auto"/>
            </w:tcBorders>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3 salles de classe) Dakhlet Init</w:t>
            </w:r>
          </w:p>
        </w:tc>
        <w:tc>
          <w:tcPr>
            <w:tcW w:w="2102" w:type="dxa"/>
            <w:tcBorders>
              <w:bottom w:val="single" w:sz="12" w:space="0" w:color="auto"/>
            </w:tcBorders>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Moudjeria</w:t>
            </w:r>
          </w:p>
        </w:tc>
      </w:tr>
    </w:tbl>
    <w:p w:rsidR="001F51C3" w:rsidRPr="001F51C3" w:rsidRDefault="001F51C3" w:rsidP="001F51C3">
      <w:pPr>
        <w:pStyle w:val="SingleTxt"/>
        <w:spacing w:after="0" w:line="120" w:lineRule="exact"/>
        <w:rPr>
          <w:sz w:val="10"/>
          <w:lang w:val="fr-FR"/>
        </w:rPr>
      </w:pPr>
    </w:p>
    <w:p w:rsidR="001F51C3" w:rsidRPr="001F51C3" w:rsidRDefault="001F51C3" w:rsidP="001F51C3">
      <w:pPr>
        <w:pStyle w:val="SingleTxt"/>
        <w:spacing w:after="0" w:line="120" w:lineRule="exact"/>
        <w:rPr>
          <w:sz w:val="10"/>
          <w:lang w:val="fr-FR"/>
        </w:rPr>
      </w:pPr>
    </w:p>
    <w:p w:rsidR="001F51C3" w:rsidRPr="001F51C3" w:rsidRDefault="001F51C3" w:rsidP="001F51C3">
      <w:pPr>
        <w:pStyle w:val="SingleTxt"/>
        <w:spacing w:after="0" w:line="120" w:lineRule="exact"/>
        <w:rPr>
          <w:sz w:val="10"/>
          <w:lang w:val="fr-FR"/>
        </w:rPr>
      </w:pPr>
    </w:p>
    <w:p w:rsidR="00E54193" w:rsidRDefault="00E54193" w:rsidP="001F51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Volet santé </w:t>
      </w:r>
      <w:r w:rsidR="001F51C3">
        <w:rPr>
          <w:lang w:val="fr-FR"/>
        </w:rPr>
        <w:t>–</w:t>
      </w:r>
      <w:r>
        <w:rPr>
          <w:lang w:val="fr-FR"/>
        </w:rPr>
        <w:t xml:space="preserve"> </w:t>
      </w:r>
      <w:r w:rsidRPr="002A2C04">
        <w:rPr>
          <w:lang w:val="fr-FR"/>
        </w:rPr>
        <w:t>Postes</w:t>
      </w:r>
      <w:r>
        <w:rPr>
          <w:lang w:val="fr-FR"/>
        </w:rPr>
        <w:t xml:space="preserve"> de santé</w:t>
      </w:r>
      <w:r w:rsidRPr="002A2C04">
        <w:rPr>
          <w:lang w:val="fr-FR"/>
        </w:rPr>
        <w:t xml:space="preserve"> réalises</w:t>
      </w:r>
      <w:r>
        <w:rPr>
          <w:lang w:val="fr-FR"/>
        </w:rPr>
        <w:t xml:space="preserve"> : </w:t>
      </w:r>
      <w:r w:rsidRPr="002A2C04">
        <w:rPr>
          <w:lang w:val="fr-FR"/>
        </w:rPr>
        <w:t>2</w:t>
      </w:r>
    </w:p>
    <w:p w:rsidR="00E54193" w:rsidRPr="001F51C3" w:rsidRDefault="00E54193" w:rsidP="001F51C3">
      <w:pPr>
        <w:pStyle w:val="SingleTxt"/>
        <w:spacing w:after="0" w:line="120" w:lineRule="exact"/>
        <w:rPr>
          <w:sz w:val="10"/>
          <w:lang w:val="fr-FR"/>
        </w:rPr>
      </w:pPr>
    </w:p>
    <w:p w:rsidR="001F51C3" w:rsidRPr="001F51C3" w:rsidRDefault="001F51C3" w:rsidP="001F51C3">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6480"/>
        <w:gridCol w:w="2102"/>
      </w:tblGrid>
      <w:tr w:rsidR="001F51C3" w:rsidRPr="00490859" w:rsidTr="00876080">
        <w:trPr>
          <w:tblHeader/>
        </w:trPr>
        <w:tc>
          <w:tcPr>
            <w:tcW w:w="6480" w:type="dxa"/>
            <w:tcBorders>
              <w:top w:val="single" w:sz="4" w:space="0" w:color="auto"/>
              <w:bottom w:val="single" w:sz="12" w:space="0" w:color="auto"/>
            </w:tcBorders>
            <w:shd w:val="clear" w:color="auto" w:fill="auto"/>
            <w:vAlign w:val="bottom"/>
          </w:tcPr>
          <w:p w:rsidR="001F51C3" w:rsidRPr="00490859" w:rsidRDefault="001F51C3" w:rsidP="00BF335B">
            <w:pPr>
              <w:tabs>
                <w:tab w:val="left" w:pos="288"/>
                <w:tab w:val="left" w:pos="576"/>
                <w:tab w:val="left" w:pos="864"/>
                <w:tab w:val="left" w:pos="1152"/>
              </w:tabs>
              <w:suppressAutoHyphens/>
              <w:spacing w:before="81" w:after="81" w:line="160" w:lineRule="exact"/>
              <w:ind w:right="40"/>
              <w:rPr>
                <w:i/>
                <w:sz w:val="14"/>
              </w:rPr>
            </w:pPr>
            <w:r>
              <w:rPr>
                <w:i/>
                <w:sz w:val="14"/>
              </w:rPr>
              <w:t>Objet du Marché</w:t>
            </w:r>
          </w:p>
        </w:tc>
        <w:tc>
          <w:tcPr>
            <w:tcW w:w="2102" w:type="dxa"/>
            <w:tcBorders>
              <w:top w:val="single" w:sz="4" w:space="0" w:color="auto"/>
              <w:bottom w:val="single" w:sz="12" w:space="0" w:color="auto"/>
            </w:tcBorders>
            <w:shd w:val="clear" w:color="auto" w:fill="auto"/>
            <w:vAlign w:val="bottom"/>
          </w:tcPr>
          <w:p w:rsidR="001F51C3" w:rsidRPr="00490859" w:rsidRDefault="001F51C3" w:rsidP="00BF335B">
            <w:pPr>
              <w:tabs>
                <w:tab w:val="left" w:pos="288"/>
                <w:tab w:val="left" w:pos="576"/>
                <w:tab w:val="left" w:pos="864"/>
                <w:tab w:val="left" w:pos="1152"/>
              </w:tabs>
              <w:suppressAutoHyphens/>
              <w:spacing w:before="81" w:after="81" w:line="160" w:lineRule="exact"/>
              <w:ind w:left="144" w:right="43"/>
              <w:rPr>
                <w:i/>
                <w:sz w:val="14"/>
              </w:rPr>
            </w:pPr>
            <w:r>
              <w:rPr>
                <w:i/>
                <w:sz w:val="14"/>
              </w:rPr>
              <w:t>Lieu</w:t>
            </w:r>
          </w:p>
        </w:tc>
      </w:tr>
      <w:tr w:rsidR="001F51C3" w:rsidRPr="00490859" w:rsidTr="00876080">
        <w:trPr>
          <w:trHeight w:hRule="exact" w:val="115"/>
          <w:tblHeader/>
        </w:trPr>
        <w:tc>
          <w:tcPr>
            <w:tcW w:w="6480" w:type="dxa"/>
            <w:tcBorders>
              <w:top w:val="single" w:sz="12" w:space="0" w:color="auto"/>
            </w:tcBorders>
            <w:shd w:val="clear" w:color="auto" w:fill="auto"/>
            <w:vAlign w:val="bottom"/>
          </w:tcPr>
          <w:p w:rsidR="001F51C3" w:rsidRPr="00490859" w:rsidRDefault="001F51C3" w:rsidP="00BF335B">
            <w:pPr>
              <w:tabs>
                <w:tab w:val="left" w:pos="288"/>
                <w:tab w:val="left" w:pos="576"/>
                <w:tab w:val="left" w:pos="864"/>
                <w:tab w:val="left" w:pos="1152"/>
              </w:tabs>
              <w:suppressAutoHyphens/>
              <w:spacing w:before="40" w:after="40" w:line="210" w:lineRule="exact"/>
              <w:ind w:right="40"/>
              <w:rPr>
                <w:sz w:val="17"/>
              </w:rPr>
            </w:pPr>
          </w:p>
        </w:tc>
        <w:tc>
          <w:tcPr>
            <w:tcW w:w="2102" w:type="dxa"/>
            <w:tcBorders>
              <w:top w:val="single" w:sz="12" w:space="0" w:color="auto"/>
            </w:tcBorders>
            <w:shd w:val="clear" w:color="auto" w:fill="auto"/>
            <w:vAlign w:val="bottom"/>
          </w:tcPr>
          <w:p w:rsidR="001F51C3" w:rsidRPr="00490859" w:rsidRDefault="001F51C3" w:rsidP="00BF335B">
            <w:pPr>
              <w:tabs>
                <w:tab w:val="left" w:pos="288"/>
                <w:tab w:val="left" w:pos="576"/>
                <w:tab w:val="left" w:pos="864"/>
                <w:tab w:val="left" w:pos="1152"/>
              </w:tabs>
              <w:suppressAutoHyphens/>
              <w:spacing w:before="40" w:after="40" w:line="210" w:lineRule="exact"/>
              <w:ind w:left="144" w:right="43"/>
              <w:jc w:val="right"/>
              <w:rPr>
                <w:sz w:val="17"/>
              </w:rPr>
            </w:pP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à Ajar El Bouhli dans la commune de Barkéol</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Barkéol</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à Touymiret Lemarid, commune de Bougadoum</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Amourj</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à Nbeya Savra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Timbedra</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à Elmahrad commune de Ksar Barka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Djiguenni</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Sante à Koussana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 xml:space="preserve">Bassiknou </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Constr Poste de Sante à Voulaniya Hodh Gharby</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Touil</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dans la localité de Teichet dans la commune de Touil</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Tintane</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pour le regroupement Breima, de Bghawa et de N’Baizir,</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Touil</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Un Poste de santé pour la localité de Niayliya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Tintane</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Un Poste de santé pour le regroupement de localités de Galb El Kheir</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Tintane</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Un Poste de santé pour le regroupement de Hassi Lekwar</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 xml:space="preserve">Tintane </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à la Localité de Afodiar Nouazir</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Mounguel</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dans la Commune de Zguelim</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Mounguel</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à Daghveg</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Boghé</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dans la localité de Bassinguidi, commune de male</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Mahta lahjar</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dans la localité de Tendel</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Mahta lahjar</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Constr Poste de Sante à Nteichit au Trarza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Boutilimit</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Constr Poste de Sante à Jidr Mohguen au Trarza</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Rosso</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à ZIRA dans la commune d’Atar</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Atar</w:t>
            </w:r>
          </w:p>
        </w:tc>
      </w:tr>
      <w:tr w:rsidR="001F51C3" w:rsidRPr="00490859" w:rsidTr="00876080">
        <w:tc>
          <w:tcPr>
            <w:tcW w:w="6480"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dans la localité de Daber</w:t>
            </w:r>
          </w:p>
        </w:tc>
        <w:tc>
          <w:tcPr>
            <w:tcW w:w="2102" w:type="dxa"/>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Moudjeria</w:t>
            </w:r>
          </w:p>
        </w:tc>
      </w:tr>
      <w:tr w:rsidR="001F51C3" w:rsidRPr="00490859" w:rsidTr="00876080">
        <w:tc>
          <w:tcPr>
            <w:tcW w:w="6480" w:type="dxa"/>
            <w:tcBorders>
              <w:bottom w:val="single" w:sz="12" w:space="0" w:color="auto"/>
            </w:tcBorders>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right="40"/>
              <w:rPr>
                <w:sz w:val="17"/>
              </w:rPr>
            </w:pPr>
            <w:r w:rsidRPr="001F51C3">
              <w:rPr>
                <w:sz w:val="17"/>
              </w:rPr>
              <w:t>Poste de santé dans la localité de Timbreihim</w:t>
            </w:r>
          </w:p>
        </w:tc>
        <w:tc>
          <w:tcPr>
            <w:tcW w:w="2102" w:type="dxa"/>
            <w:tcBorders>
              <w:bottom w:val="single" w:sz="12" w:space="0" w:color="auto"/>
            </w:tcBorders>
            <w:shd w:val="clear" w:color="auto" w:fill="auto"/>
          </w:tcPr>
          <w:p w:rsidR="001F51C3" w:rsidRPr="001F51C3" w:rsidRDefault="001F51C3" w:rsidP="001F51C3">
            <w:pPr>
              <w:tabs>
                <w:tab w:val="left" w:pos="288"/>
                <w:tab w:val="left" w:pos="576"/>
                <w:tab w:val="left" w:pos="864"/>
                <w:tab w:val="left" w:pos="1152"/>
              </w:tabs>
              <w:suppressAutoHyphens/>
              <w:spacing w:before="40" w:after="40" w:line="210" w:lineRule="exact"/>
              <w:ind w:left="144" w:right="43"/>
              <w:rPr>
                <w:sz w:val="17"/>
              </w:rPr>
            </w:pPr>
            <w:r w:rsidRPr="001F51C3">
              <w:rPr>
                <w:sz w:val="17"/>
              </w:rPr>
              <w:t>Moudjeria</w:t>
            </w:r>
          </w:p>
        </w:tc>
      </w:tr>
    </w:tbl>
    <w:p w:rsidR="001F51C3" w:rsidRPr="001F51C3" w:rsidRDefault="001F51C3" w:rsidP="001F51C3">
      <w:pPr>
        <w:pStyle w:val="SingleTxt"/>
        <w:spacing w:after="0" w:line="120" w:lineRule="exact"/>
        <w:rPr>
          <w:sz w:val="10"/>
          <w:lang w:val="fr-FR"/>
        </w:rPr>
      </w:pPr>
    </w:p>
    <w:p w:rsidR="001F51C3" w:rsidRPr="001F51C3" w:rsidRDefault="001F51C3" w:rsidP="001F51C3">
      <w:pPr>
        <w:pStyle w:val="SingleTxt"/>
        <w:spacing w:after="0" w:line="120" w:lineRule="exact"/>
        <w:rPr>
          <w:sz w:val="10"/>
          <w:lang w:val="fr-FR"/>
        </w:rPr>
      </w:pPr>
    </w:p>
    <w:p w:rsidR="001F51C3" w:rsidRPr="001F51C3" w:rsidRDefault="001F51C3" w:rsidP="001F51C3">
      <w:pPr>
        <w:pStyle w:val="SingleTxt"/>
        <w:spacing w:after="0" w:line="120" w:lineRule="exact"/>
        <w:rPr>
          <w:sz w:val="10"/>
          <w:lang w:val="fr-FR"/>
        </w:rPr>
      </w:pPr>
    </w:p>
    <w:p w:rsidR="00E54193" w:rsidRDefault="001F51C3" w:rsidP="001F51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54193" w:rsidRPr="00E54193">
        <w:rPr>
          <w:lang w:val="fr-FR"/>
        </w:rPr>
        <w:t>Nombre forages d’exploitation réalisés : 39</w:t>
      </w:r>
    </w:p>
    <w:p w:rsidR="001F51C3" w:rsidRPr="001F51C3" w:rsidRDefault="001F51C3" w:rsidP="001F51C3">
      <w:pPr>
        <w:pStyle w:val="SingleTxt"/>
        <w:spacing w:after="0" w:line="120" w:lineRule="exact"/>
        <w:rPr>
          <w:sz w:val="10"/>
          <w:lang w:val="fr-FR"/>
        </w:rPr>
      </w:pPr>
    </w:p>
    <w:p w:rsidR="00E54193" w:rsidRDefault="001F51C3" w:rsidP="001F51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54193" w:rsidRPr="00E54193">
        <w:rPr>
          <w:lang w:val="fr-FR"/>
        </w:rPr>
        <w:t>Nombre AEP réalisées : 18</w:t>
      </w:r>
    </w:p>
    <w:p w:rsidR="001F51C3" w:rsidRPr="001F51C3" w:rsidRDefault="001F51C3" w:rsidP="001F51C3">
      <w:pPr>
        <w:pStyle w:val="SingleTxt"/>
        <w:spacing w:after="0" w:line="120" w:lineRule="exact"/>
        <w:rPr>
          <w:sz w:val="10"/>
          <w:lang w:val="fr-FR"/>
        </w:rPr>
      </w:pPr>
    </w:p>
    <w:p w:rsidR="00E54193" w:rsidRDefault="001F51C3" w:rsidP="001F51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54193" w:rsidRPr="00E54193">
        <w:rPr>
          <w:lang w:val="fr-FR"/>
        </w:rPr>
        <w:tab/>
        <w:t>Volet forages : 39 forages d’exploitation réalisés</w:t>
      </w:r>
    </w:p>
    <w:p w:rsidR="001F51C3" w:rsidRPr="001F51C3" w:rsidRDefault="001F51C3" w:rsidP="001F51C3">
      <w:pPr>
        <w:pStyle w:val="SingleTxt"/>
        <w:spacing w:after="0" w:line="120" w:lineRule="exact"/>
        <w:rPr>
          <w:sz w:val="10"/>
          <w:lang w:val="fr-FR"/>
        </w:rPr>
      </w:pPr>
    </w:p>
    <w:p w:rsidR="00E54193" w:rsidRDefault="001F51C3" w:rsidP="001F51C3">
      <w:pPr>
        <w:pStyle w:val="SingleTxt"/>
        <w:tabs>
          <w:tab w:val="right" w:pos="1685"/>
        </w:tabs>
        <w:spacing w:line="240" w:lineRule="exact"/>
        <w:ind w:left="1742" w:hanging="475"/>
        <w:rPr>
          <w:lang w:val="fr-CH"/>
        </w:rPr>
      </w:pPr>
      <w:r>
        <w:rPr>
          <w:lang w:val="fr-FR"/>
        </w:rPr>
        <w:tab/>
        <w:t>•</w:t>
      </w:r>
      <w:r>
        <w:rPr>
          <w:lang w:val="fr-FR"/>
        </w:rPr>
        <w:tab/>
      </w:r>
      <w:r w:rsidR="00E54193" w:rsidRPr="00E54193">
        <w:rPr>
          <w:lang w:val="fr-CH"/>
        </w:rPr>
        <w:t>3 au Brakna y compris AEP (à TENDEL 3,5 m3/h, SED GADEL 4 m3/h, AGMEIMINE 4 m3/h)</w:t>
      </w:r>
    </w:p>
    <w:p w:rsidR="00E54193" w:rsidRDefault="001F51C3" w:rsidP="00F32017">
      <w:pPr>
        <w:pStyle w:val="SingleTxt"/>
        <w:tabs>
          <w:tab w:val="right" w:pos="1685"/>
        </w:tabs>
        <w:spacing w:line="240" w:lineRule="exact"/>
        <w:ind w:left="1742" w:hanging="475"/>
        <w:rPr>
          <w:lang w:val="fr-CH"/>
        </w:rPr>
      </w:pPr>
      <w:r>
        <w:rPr>
          <w:lang w:val="fr-CH"/>
        </w:rPr>
        <w:tab/>
        <w:t>•</w:t>
      </w:r>
      <w:r>
        <w:rPr>
          <w:lang w:val="fr-CH"/>
        </w:rPr>
        <w:tab/>
      </w:r>
      <w:r w:rsidR="00E54193" w:rsidRPr="00E54193">
        <w:rPr>
          <w:lang w:val="fr-CH"/>
        </w:rPr>
        <w:t>2 Hodh El Gharbi (à Bounya (10 m3/h) et Hassi Lekwar (14 m3/h).</w:t>
      </w:r>
    </w:p>
    <w:p w:rsidR="00E54193" w:rsidRDefault="001F51C3" w:rsidP="001F51C3">
      <w:pPr>
        <w:pStyle w:val="SingleTxt"/>
        <w:tabs>
          <w:tab w:val="right" w:pos="1685"/>
        </w:tabs>
        <w:spacing w:line="240" w:lineRule="exact"/>
        <w:ind w:left="1742" w:hanging="475"/>
        <w:rPr>
          <w:lang w:val="fr-CH"/>
        </w:rPr>
      </w:pPr>
      <w:r>
        <w:rPr>
          <w:lang w:val="fr-CH"/>
        </w:rPr>
        <w:tab/>
        <w:t>•</w:t>
      </w:r>
      <w:r>
        <w:rPr>
          <w:lang w:val="fr-CH"/>
        </w:rPr>
        <w:tab/>
      </w:r>
      <w:r w:rsidR="00E54193" w:rsidRPr="00E54193">
        <w:rPr>
          <w:lang w:val="fr-CH"/>
        </w:rPr>
        <w:t>2 au Gorgol y compris Adduction sommaire (</w:t>
      </w:r>
      <w:r>
        <w:rPr>
          <w:lang w:val="fr-CH"/>
        </w:rPr>
        <w:t>Regroupement Afodiar, Mounguel)</w:t>
      </w:r>
      <w:r w:rsidR="00E54193" w:rsidRPr="00E54193">
        <w:rPr>
          <w:lang w:val="fr-CH"/>
        </w:rPr>
        <w:t>; avec des débits d’exploitation respectifs de 3 m3/h et de 7,5 m3/h puis 2 autres forages dans la même localité d’Afodiar respectivement de 7</w:t>
      </w:r>
      <w:r>
        <w:rPr>
          <w:lang w:val="fr-CH"/>
        </w:rPr>
        <w:t> </w:t>
      </w:r>
      <w:r w:rsidR="00E54193" w:rsidRPr="00E54193">
        <w:rPr>
          <w:lang w:val="fr-CH"/>
        </w:rPr>
        <w:t>m3/h et de 2,8m3/h.</w:t>
      </w:r>
    </w:p>
    <w:p w:rsidR="00E54193" w:rsidRDefault="001F51C3" w:rsidP="001F51C3">
      <w:pPr>
        <w:pStyle w:val="SingleTxt"/>
        <w:tabs>
          <w:tab w:val="right" w:pos="1685"/>
        </w:tabs>
        <w:spacing w:line="240" w:lineRule="exact"/>
        <w:ind w:left="1742" w:hanging="475"/>
        <w:rPr>
          <w:lang w:val="fr-CH"/>
        </w:rPr>
      </w:pPr>
      <w:r>
        <w:rPr>
          <w:lang w:val="fr-CH"/>
        </w:rPr>
        <w:tab/>
        <w:t>•</w:t>
      </w:r>
      <w:r>
        <w:rPr>
          <w:lang w:val="fr-CH"/>
        </w:rPr>
        <w:tab/>
      </w:r>
      <w:r w:rsidR="00E54193" w:rsidRPr="00E54193">
        <w:rPr>
          <w:lang w:val="fr-CH"/>
        </w:rPr>
        <w:t xml:space="preserve">6 forages au Hodh El Gharbi dans les localités de Tegowdit débit 5m3/h (Touil), Lighatha débit 5m3/h (Touil), Messiel Gourvave débit 10 m3/h (Touil), Lehreija débit 6 m3/h (Touil), Lembeidie débit 10 m3/h (Touil), Baghdad Négatif (Touil). </w:t>
      </w:r>
    </w:p>
    <w:p w:rsidR="00E54193" w:rsidRDefault="001F51C3" w:rsidP="001F51C3">
      <w:pPr>
        <w:pStyle w:val="SingleTxt"/>
        <w:tabs>
          <w:tab w:val="right" w:pos="1685"/>
        </w:tabs>
        <w:spacing w:line="240" w:lineRule="exact"/>
        <w:ind w:left="1742" w:hanging="475"/>
        <w:rPr>
          <w:lang w:val="fr-CH"/>
        </w:rPr>
      </w:pPr>
      <w:r>
        <w:rPr>
          <w:lang w:val="fr-CH"/>
        </w:rPr>
        <w:tab/>
        <w:t>•</w:t>
      </w:r>
      <w:r>
        <w:rPr>
          <w:lang w:val="fr-CH"/>
        </w:rPr>
        <w:tab/>
      </w:r>
      <w:r w:rsidR="00E54193" w:rsidRPr="00E54193">
        <w:rPr>
          <w:lang w:val="fr-CH"/>
        </w:rPr>
        <w:t>1 forage en Assaba (Gdemballa) avec un débit d’exploitation de 5 m3/h</w:t>
      </w:r>
      <w:r>
        <w:rPr>
          <w:lang w:val="fr-CH"/>
        </w:rPr>
        <w:t>.</w:t>
      </w:r>
    </w:p>
    <w:p w:rsidR="00E54193" w:rsidRDefault="001F51C3" w:rsidP="001F51C3">
      <w:pPr>
        <w:pStyle w:val="SingleTxt"/>
        <w:tabs>
          <w:tab w:val="right" w:pos="1685"/>
        </w:tabs>
        <w:spacing w:line="240" w:lineRule="exact"/>
        <w:ind w:left="1742" w:hanging="475"/>
        <w:rPr>
          <w:lang w:val="fr-CH"/>
        </w:rPr>
      </w:pPr>
      <w:r>
        <w:rPr>
          <w:lang w:val="fr-CH"/>
        </w:rPr>
        <w:tab/>
        <w:t>•</w:t>
      </w:r>
      <w:r>
        <w:rPr>
          <w:lang w:val="fr-CH"/>
        </w:rPr>
        <w:tab/>
      </w:r>
      <w:r w:rsidR="00E54193" w:rsidRPr="00E54193">
        <w:rPr>
          <w:lang w:val="fr-CH"/>
        </w:rPr>
        <w:t>2 forages au profit du regroupement de Tenkarra, commune de Radhi, Tamchekett, H. El Gharbi dans les localités de Reyoug et de Nichane. Le forage de reyoug faisait du double avec APAUS. Débits d’explotation Reyoug (7 m3/h), Nichane (5 m3/h).</w:t>
      </w:r>
    </w:p>
    <w:p w:rsidR="00E54193" w:rsidRDefault="001F51C3" w:rsidP="00876080">
      <w:pPr>
        <w:pStyle w:val="SingleTxt"/>
        <w:tabs>
          <w:tab w:val="right" w:pos="1685"/>
        </w:tabs>
        <w:spacing w:line="240" w:lineRule="exact"/>
        <w:ind w:left="1742" w:hanging="475"/>
        <w:jc w:val="left"/>
        <w:rPr>
          <w:lang w:val="fr-CH"/>
        </w:rPr>
      </w:pPr>
      <w:r>
        <w:rPr>
          <w:lang w:val="fr-CH"/>
        </w:rPr>
        <w:tab/>
        <w:t>•</w:t>
      </w:r>
      <w:r>
        <w:rPr>
          <w:lang w:val="fr-CH"/>
        </w:rPr>
        <w:tab/>
      </w:r>
      <w:r w:rsidR="00E54193" w:rsidRPr="00E54193">
        <w:rPr>
          <w:lang w:val="fr-CH"/>
        </w:rPr>
        <w:t>2 forages d’exploitation dans les localités de Tendewali 1 (18 m3/h) et Tendewali 2 (7 m3/h) dans la ville de Chinguitty.</w:t>
      </w:r>
    </w:p>
    <w:p w:rsidR="00E54193" w:rsidRDefault="001F51C3" w:rsidP="00876080">
      <w:pPr>
        <w:pStyle w:val="SingleTxt"/>
        <w:tabs>
          <w:tab w:val="right" w:pos="1685"/>
        </w:tabs>
        <w:spacing w:line="240" w:lineRule="exact"/>
        <w:ind w:left="1742" w:hanging="475"/>
        <w:jc w:val="left"/>
        <w:rPr>
          <w:lang w:val="fr-CH"/>
        </w:rPr>
      </w:pPr>
      <w:r>
        <w:rPr>
          <w:lang w:val="fr-CH"/>
        </w:rPr>
        <w:tab/>
        <w:t>•</w:t>
      </w:r>
      <w:r>
        <w:rPr>
          <w:lang w:val="fr-CH"/>
        </w:rPr>
        <w:tab/>
      </w:r>
      <w:r w:rsidR="00E54193" w:rsidRPr="00E54193">
        <w:rPr>
          <w:lang w:val="fr-CH"/>
        </w:rPr>
        <w:t>4 forages pastoraux dans les localités de au Tagant,</w:t>
      </w:r>
    </w:p>
    <w:p w:rsidR="00E54193" w:rsidRDefault="001F51C3" w:rsidP="00876080">
      <w:pPr>
        <w:pStyle w:val="SingleTxt"/>
        <w:tabs>
          <w:tab w:val="right" w:pos="1685"/>
        </w:tabs>
        <w:spacing w:line="240" w:lineRule="exact"/>
        <w:ind w:left="1742" w:hanging="475"/>
        <w:jc w:val="left"/>
        <w:rPr>
          <w:lang w:val="fr-CH"/>
        </w:rPr>
      </w:pPr>
      <w:r>
        <w:rPr>
          <w:lang w:val="fr-CH"/>
        </w:rPr>
        <w:tab/>
        <w:t>•</w:t>
      </w:r>
      <w:r>
        <w:rPr>
          <w:lang w:val="fr-CH"/>
        </w:rPr>
        <w:tab/>
      </w:r>
      <w:r w:rsidR="00E54193" w:rsidRPr="00E54193">
        <w:rPr>
          <w:lang w:val="fr-CH"/>
        </w:rPr>
        <w:t>2 forages d’exploitation en renforcement du champ captant de la ville de Tidjikja pour le compte de la SNDE,</w:t>
      </w:r>
    </w:p>
    <w:p w:rsidR="00E54193" w:rsidRDefault="001F51C3" w:rsidP="00876080">
      <w:pPr>
        <w:pStyle w:val="SingleTxt"/>
        <w:tabs>
          <w:tab w:val="right" w:pos="1685"/>
        </w:tabs>
        <w:spacing w:line="240" w:lineRule="exact"/>
        <w:ind w:left="1742" w:hanging="475"/>
        <w:jc w:val="left"/>
        <w:rPr>
          <w:lang w:val="fr-CH"/>
        </w:rPr>
      </w:pPr>
      <w:r>
        <w:rPr>
          <w:lang w:val="fr-CH"/>
        </w:rPr>
        <w:tab/>
        <w:t>•</w:t>
      </w:r>
      <w:r>
        <w:rPr>
          <w:lang w:val="fr-CH"/>
        </w:rPr>
        <w:tab/>
      </w:r>
      <w:r w:rsidR="00E54193" w:rsidRPr="00E54193">
        <w:rPr>
          <w:lang w:val="fr-CH"/>
        </w:rPr>
        <w:t>2 forages d’exploitation dans les localités de Binihmik (Ghoudiya) et de Guelaga, commune de Soudoud, Moudjéria au Tagant,</w:t>
      </w:r>
    </w:p>
    <w:p w:rsidR="00E54193" w:rsidRDefault="001F51C3" w:rsidP="00876080">
      <w:pPr>
        <w:pStyle w:val="SingleTxt"/>
        <w:tabs>
          <w:tab w:val="right" w:pos="1685"/>
        </w:tabs>
        <w:spacing w:line="240" w:lineRule="exact"/>
        <w:ind w:left="1742" w:hanging="475"/>
        <w:jc w:val="left"/>
        <w:rPr>
          <w:lang w:val="fr-CH"/>
        </w:rPr>
      </w:pPr>
      <w:r>
        <w:rPr>
          <w:lang w:val="fr-CH"/>
        </w:rPr>
        <w:tab/>
        <w:t>•</w:t>
      </w:r>
      <w:r>
        <w:rPr>
          <w:lang w:val="fr-CH"/>
        </w:rPr>
        <w:tab/>
      </w:r>
      <w:r w:rsidR="00E54193" w:rsidRPr="00E54193">
        <w:rPr>
          <w:lang w:val="fr-CH"/>
        </w:rPr>
        <w:t>10 forages d’exploitation dans les wilayas des deux hodhs, Tagant, Brakna et Guidimagha répartis comme suit :</w:t>
      </w:r>
    </w:p>
    <w:p w:rsidR="00E54193" w:rsidRPr="00E54193" w:rsidRDefault="001F51C3" w:rsidP="00876080">
      <w:pPr>
        <w:pStyle w:val="SingleTxt"/>
        <w:tabs>
          <w:tab w:val="right" w:pos="1685"/>
        </w:tabs>
        <w:spacing w:line="240" w:lineRule="exact"/>
        <w:ind w:left="1742" w:hanging="475"/>
        <w:jc w:val="left"/>
        <w:rPr>
          <w:lang w:val="fr-FR"/>
        </w:rPr>
      </w:pPr>
      <w:r>
        <w:rPr>
          <w:lang w:val="fr-CH"/>
        </w:rPr>
        <w:tab/>
        <w:t>•</w:t>
      </w:r>
      <w:r>
        <w:rPr>
          <w:lang w:val="fr-CH"/>
        </w:rPr>
        <w:tab/>
      </w:r>
      <w:r w:rsidR="00E54193" w:rsidRPr="00E54193">
        <w:rPr>
          <w:lang w:val="fr-CH"/>
        </w:rPr>
        <w:t>1 forage d’exploitation dans la localité d’Ajouer</w:t>
      </w:r>
      <w:r w:rsidR="00E54193" w:rsidRPr="00E54193">
        <w:rPr>
          <w:lang w:val="fr-FR"/>
        </w:rPr>
        <w:t xml:space="preserve"> (8 m3/h), Boutilimit, Trarza </w:t>
      </w:r>
    </w:p>
    <w:p w:rsidR="001F51C3" w:rsidRPr="001F51C3" w:rsidRDefault="001F51C3" w:rsidP="001F51C3">
      <w:pPr>
        <w:pStyle w:val="SingleTxt"/>
        <w:spacing w:after="0" w:line="120" w:lineRule="exact"/>
        <w:rPr>
          <w:b/>
          <w:sz w:val="10"/>
          <w:lang w:val="fr-FR"/>
        </w:rPr>
      </w:pPr>
    </w:p>
    <w:p w:rsidR="00E54193" w:rsidRDefault="001F51C3" w:rsidP="001F51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54193" w:rsidRPr="00E54193">
        <w:rPr>
          <w:lang w:val="fr-CH"/>
        </w:rPr>
        <w:t>Volet AEP : AEP réalisées 18</w:t>
      </w:r>
    </w:p>
    <w:p w:rsidR="001F51C3" w:rsidRPr="001F51C3" w:rsidRDefault="001F51C3" w:rsidP="001F51C3">
      <w:pPr>
        <w:pStyle w:val="SingleTxt"/>
        <w:spacing w:after="0" w:line="120" w:lineRule="exact"/>
        <w:rPr>
          <w:sz w:val="10"/>
          <w:lang w:val="fr-CH"/>
        </w:rPr>
      </w:pPr>
    </w:p>
    <w:p w:rsidR="00E54193" w:rsidRDefault="001F51C3" w:rsidP="001F51C3">
      <w:pPr>
        <w:pStyle w:val="SingleTxt"/>
        <w:tabs>
          <w:tab w:val="right" w:pos="1685"/>
        </w:tabs>
        <w:ind w:left="1742" w:hanging="475"/>
        <w:rPr>
          <w:lang w:val="fr-FR"/>
        </w:rPr>
      </w:pPr>
      <w:r>
        <w:rPr>
          <w:lang w:val="fr-FR"/>
        </w:rPr>
        <w:tab/>
        <w:t>•</w:t>
      </w:r>
      <w:r>
        <w:rPr>
          <w:lang w:val="fr-FR"/>
        </w:rPr>
        <w:tab/>
      </w:r>
      <w:r w:rsidR="00E54193" w:rsidRPr="00E54193">
        <w:rPr>
          <w:lang w:val="fr-FR"/>
        </w:rPr>
        <w:t>Réseau AEP dans la localité d’Afodiar, Mounguel, Gorgol,</w:t>
      </w:r>
    </w:p>
    <w:p w:rsidR="00E54193" w:rsidRDefault="001F51C3" w:rsidP="001F51C3">
      <w:pPr>
        <w:pStyle w:val="SingleTxt"/>
        <w:tabs>
          <w:tab w:val="right" w:pos="1685"/>
        </w:tabs>
        <w:ind w:left="1742" w:hanging="475"/>
        <w:rPr>
          <w:lang w:val="fr-FR"/>
        </w:rPr>
      </w:pPr>
      <w:r>
        <w:rPr>
          <w:lang w:val="fr-FR"/>
        </w:rPr>
        <w:tab/>
        <w:t>•</w:t>
      </w:r>
      <w:r>
        <w:rPr>
          <w:lang w:val="fr-FR"/>
        </w:rPr>
        <w:tab/>
      </w:r>
      <w:r w:rsidR="00E54193" w:rsidRPr="00E54193">
        <w:rPr>
          <w:lang w:val="fr-FR"/>
        </w:rPr>
        <w:t>Réseaux AEP des localités d’AGMAMINE, SAD GADEL et TENDEL, Maghta Lahjar au Brakna.</w:t>
      </w:r>
    </w:p>
    <w:p w:rsidR="00E54193" w:rsidRDefault="001F51C3" w:rsidP="001F51C3">
      <w:pPr>
        <w:pStyle w:val="SingleTxt"/>
        <w:tabs>
          <w:tab w:val="right" w:pos="1685"/>
        </w:tabs>
        <w:ind w:left="1742" w:hanging="475"/>
        <w:rPr>
          <w:lang w:val="fr-FR"/>
        </w:rPr>
      </w:pPr>
      <w:r>
        <w:rPr>
          <w:lang w:val="fr-FR"/>
        </w:rPr>
        <w:tab/>
        <w:t>•</w:t>
      </w:r>
      <w:r>
        <w:rPr>
          <w:lang w:val="fr-FR"/>
        </w:rPr>
        <w:tab/>
      </w:r>
      <w:r w:rsidR="00E54193" w:rsidRPr="00E54193">
        <w:rPr>
          <w:lang w:val="fr-FR"/>
        </w:rPr>
        <w:t>Rétrocession à l’ONSER de 3 AEP réalisées dans le cadre du Programme de Lehdada dans les localités de Blajmil (Guidimagha), Lemen (H El Gharbi) et Samassak (H Echarghi).</w:t>
      </w:r>
    </w:p>
    <w:p w:rsidR="00E54193" w:rsidRDefault="001F51C3" w:rsidP="001F51C3">
      <w:pPr>
        <w:pStyle w:val="SingleTxt"/>
        <w:tabs>
          <w:tab w:val="right" w:pos="1685"/>
        </w:tabs>
        <w:ind w:left="1742" w:hanging="475"/>
        <w:rPr>
          <w:lang w:val="fr-FR"/>
        </w:rPr>
      </w:pPr>
      <w:r>
        <w:rPr>
          <w:lang w:val="fr-FR"/>
        </w:rPr>
        <w:tab/>
        <w:t>•</w:t>
      </w:r>
      <w:r>
        <w:rPr>
          <w:lang w:val="fr-FR"/>
        </w:rPr>
        <w:tab/>
      </w:r>
      <w:r w:rsidR="00E54193" w:rsidRPr="00E54193">
        <w:rPr>
          <w:lang w:val="fr-FR"/>
        </w:rPr>
        <w:t>Construction d’un château d’eau d’une capacité de 150 m3 à Moudjéria,</w:t>
      </w:r>
    </w:p>
    <w:p w:rsidR="00E54193" w:rsidRDefault="001F51C3" w:rsidP="00876080">
      <w:pPr>
        <w:pStyle w:val="SingleTxt"/>
        <w:tabs>
          <w:tab w:val="right" w:pos="1685"/>
        </w:tabs>
        <w:ind w:left="1742" w:hanging="475"/>
        <w:jc w:val="left"/>
        <w:rPr>
          <w:lang w:val="fr-FR"/>
        </w:rPr>
      </w:pPr>
      <w:r>
        <w:rPr>
          <w:lang w:val="fr-FR"/>
        </w:rPr>
        <w:tab/>
        <w:t>•</w:t>
      </w:r>
      <w:r>
        <w:rPr>
          <w:lang w:val="fr-FR"/>
        </w:rPr>
        <w:tab/>
      </w:r>
      <w:r w:rsidR="00E54193" w:rsidRPr="00E54193">
        <w:rPr>
          <w:lang w:val="fr-FR"/>
        </w:rPr>
        <w:t xml:space="preserve"> AEP Guedmballa 2, commune de Leweissi, AEP Tegowdit, Touil, H</w:t>
      </w:r>
      <w:r w:rsidR="00876080">
        <w:rPr>
          <w:lang w:val="fr-FR"/>
        </w:rPr>
        <w:t> </w:t>
      </w:r>
      <w:r w:rsidR="00E54193" w:rsidRPr="00E54193">
        <w:rPr>
          <w:lang w:val="fr-FR"/>
        </w:rPr>
        <w:t>El</w:t>
      </w:r>
      <w:r w:rsidR="00876080">
        <w:rPr>
          <w:lang w:val="fr-FR"/>
        </w:rPr>
        <w:t> </w:t>
      </w:r>
      <w:r w:rsidR="00E54193" w:rsidRPr="00E54193">
        <w:rPr>
          <w:lang w:val="fr-FR"/>
        </w:rPr>
        <w:t>Gharbi,</w:t>
      </w:r>
    </w:p>
    <w:p w:rsidR="00E54193" w:rsidRDefault="001F51C3" w:rsidP="001F51C3">
      <w:pPr>
        <w:pStyle w:val="SingleTxt"/>
        <w:tabs>
          <w:tab w:val="right" w:pos="1685"/>
        </w:tabs>
        <w:ind w:left="1742" w:hanging="475"/>
        <w:rPr>
          <w:lang w:val="fr-FR"/>
        </w:rPr>
      </w:pPr>
      <w:r>
        <w:rPr>
          <w:lang w:val="fr-FR"/>
        </w:rPr>
        <w:tab/>
        <w:t>•</w:t>
      </w:r>
      <w:r>
        <w:rPr>
          <w:lang w:val="fr-FR"/>
        </w:rPr>
        <w:tab/>
      </w:r>
      <w:r w:rsidR="00E54193" w:rsidRPr="00E54193">
        <w:rPr>
          <w:lang w:val="fr-FR"/>
        </w:rPr>
        <w:t>AEP Lihreija, Touil, H El Gharbi,</w:t>
      </w:r>
    </w:p>
    <w:p w:rsidR="00E54193" w:rsidRDefault="001F51C3" w:rsidP="001F51C3">
      <w:pPr>
        <w:pStyle w:val="SingleTxt"/>
        <w:tabs>
          <w:tab w:val="right" w:pos="1685"/>
        </w:tabs>
        <w:ind w:left="1742" w:hanging="475"/>
        <w:rPr>
          <w:lang w:val="es-ES"/>
        </w:rPr>
      </w:pPr>
      <w:r>
        <w:rPr>
          <w:lang w:val="fr-FR"/>
        </w:rPr>
        <w:tab/>
      </w:r>
      <w:r w:rsidRPr="001F51C3">
        <w:rPr>
          <w:lang w:val="es-ES"/>
        </w:rPr>
        <w:t>•</w:t>
      </w:r>
      <w:r w:rsidRPr="001F51C3">
        <w:rPr>
          <w:lang w:val="es-ES"/>
        </w:rPr>
        <w:tab/>
      </w:r>
      <w:r w:rsidR="00E54193" w:rsidRPr="00E54193">
        <w:rPr>
          <w:lang w:val="es-ES"/>
        </w:rPr>
        <w:t>AEP El Bounya, Ain Varba, H El Gharbi,</w:t>
      </w:r>
    </w:p>
    <w:p w:rsidR="00E54193" w:rsidRDefault="001F51C3" w:rsidP="001F51C3">
      <w:pPr>
        <w:pStyle w:val="SingleTxt"/>
        <w:tabs>
          <w:tab w:val="right" w:pos="1685"/>
        </w:tabs>
        <w:ind w:left="1742" w:hanging="475"/>
        <w:rPr>
          <w:lang w:val="es-ES"/>
        </w:rPr>
      </w:pPr>
      <w:r>
        <w:rPr>
          <w:lang w:val="es-ES"/>
        </w:rPr>
        <w:tab/>
        <w:t>•</w:t>
      </w:r>
      <w:r>
        <w:rPr>
          <w:lang w:val="es-ES"/>
        </w:rPr>
        <w:tab/>
      </w:r>
      <w:r w:rsidR="00E54193" w:rsidRPr="00E54193">
        <w:rPr>
          <w:lang w:val="es-ES"/>
        </w:rPr>
        <w:t>AEP REYOUG 2, Commune de Radhi, Tamchekett, Hodh El Gharbi,</w:t>
      </w:r>
    </w:p>
    <w:p w:rsidR="00E54193" w:rsidRDefault="001F51C3" w:rsidP="001F51C3">
      <w:pPr>
        <w:pStyle w:val="SingleTxt"/>
        <w:tabs>
          <w:tab w:val="right" w:pos="1685"/>
        </w:tabs>
        <w:ind w:left="1742" w:hanging="475"/>
        <w:rPr>
          <w:lang w:val="fr-FR"/>
        </w:rPr>
      </w:pPr>
      <w:r>
        <w:rPr>
          <w:lang w:val="es-ES"/>
        </w:rPr>
        <w:tab/>
      </w:r>
      <w:r w:rsidRPr="001F51C3">
        <w:rPr>
          <w:lang w:val="fr-FR"/>
        </w:rPr>
        <w:t>•</w:t>
      </w:r>
      <w:r w:rsidRPr="001F51C3">
        <w:rPr>
          <w:lang w:val="fr-FR"/>
        </w:rPr>
        <w:tab/>
      </w:r>
      <w:r w:rsidR="00E54193" w:rsidRPr="00E54193">
        <w:rPr>
          <w:lang w:val="fr-FR"/>
        </w:rPr>
        <w:t>AEP NICHANE, Commune de Radhi, Tamchekett, Hodh El Gharbi,</w:t>
      </w:r>
    </w:p>
    <w:p w:rsidR="00E54193" w:rsidRDefault="001F51C3" w:rsidP="001F51C3">
      <w:pPr>
        <w:pStyle w:val="SingleTxt"/>
        <w:tabs>
          <w:tab w:val="right" w:pos="1685"/>
        </w:tabs>
        <w:ind w:left="1742" w:hanging="475"/>
        <w:rPr>
          <w:lang w:val="en-US"/>
        </w:rPr>
      </w:pPr>
      <w:r>
        <w:rPr>
          <w:lang w:val="fr-FR"/>
        </w:rPr>
        <w:tab/>
        <w:t>•</w:t>
      </w:r>
      <w:r>
        <w:rPr>
          <w:lang w:val="fr-FR"/>
        </w:rPr>
        <w:tab/>
      </w:r>
      <w:r w:rsidR="00E54193" w:rsidRPr="00E54193">
        <w:rPr>
          <w:lang w:val="en-US"/>
        </w:rPr>
        <w:t>AEP LIGHATHA, Touil, H El Gharbi,</w:t>
      </w:r>
    </w:p>
    <w:p w:rsidR="00E54193" w:rsidRDefault="001F51C3" w:rsidP="001F51C3">
      <w:pPr>
        <w:pStyle w:val="SingleTxt"/>
        <w:tabs>
          <w:tab w:val="right" w:pos="1685"/>
        </w:tabs>
        <w:ind w:left="1742" w:hanging="475"/>
        <w:rPr>
          <w:lang w:val="fr-FR"/>
        </w:rPr>
      </w:pPr>
      <w:r>
        <w:rPr>
          <w:lang w:val="en-US"/>
        </w:rPr>
        <w:tab/>
        <w:t>•</w:t>
      </w:r>
      <w:r>
        <w:rPr>
          <w:lang w:val="en-US"/>
        </w:rPr>
        <w:tab/>
      </w:r>
      <w:r w:rsidR="00E54193" w:rsidRPr="00E54193">
        <w:rPr>
          <w:lang w:val="fr-FR"/>
        </w:rPr>
        <w:t>AEP Messiel Guervave, Touil, H El Gharbi,</w:t>
      </w:r>
    </w:p>
    <w:p w:rsidR="00E54193" w:rsidRDefault="001F51C3" w:rsidP="001F51C3">
      <w:pPr>
        <w:pStyle w:val="SingleTxt"/>
        <w:tabs>
          <w:tab w:val="right" w:pos="1685"/>
        </w:tabs>
        <w:ind w:left="1742" w:hanging="475"/>
        <w:rPr>
          <w:lang w:val="fr-FR"/>
        </w:rPr>
      </w:pPr>
      <w:r>
        <w:rPr>
          <w:lang w:val="fr-FR"/>
        </w:rPr>
        <w:tab/>
        <w:t>•</w:t>
      </w:r>
      <w:r>
        <w:rPr>
          <w:lang w:val="fr-FR"/>
        </w:rPr>
        <w:tab/>
      </w:r>
      <w:r w:rsidR="00E54193" w:rsidRPr="00E54193">
        <w:rPr>
          <w:lang w:val="fr-FR"/>
        </w:rPr>
        <w:t>AEP Hassi Lekwar, Ain Varba, H El Gharbi,</w:t>
      </w:r>
    </w:p>
    <w:p w:rsidR="00E54193" w:rsidRPr="00E54193" w:rsidRDefault="001F51C3" w:rsidP="001F51C3">
      <w:pPr>
        <w:pStyle w:val="SingleTxt"/>
        <w:tabs>
          <w:tab w:val="right" w:pos="1685"/>
        </w:tabs>
        <w:ind w:left="1742" w:hanging="475"/>
        <w:rPr>
          <w:lang w:val="es-ES"/>
        </w:rPr>
      </w:pPr>
      <w:r>
        <w:rPr>
          <w:lang w:val="fr-FR"/>
        </w:rPr>
        <w:tab/>
      </w:r>
      <w:r w:rsidRPr="001F51C3">
        <w:rPr>
          <w:lang w:val="es-ES"/>
        </w:rPr>
        <w:t>•</w:t>
      </w:r>
      <w:r w:rsidRPr="001F51C3">
        <w:rPr>
          <w:lang w:val="es-ES"/>
        </w:rPr>
        <w:tab/>
      </w:r>
      <w:r w:rsidR="00E54193" w:rsidRPr="00E54193">
        <w:rPr>
          <w:lang w:val="es-ES"/>
        </w:rPr>
        <w:t>AEP LEMBEDIE, Touil, H El Gharbi,</w:t>
      </w:r>
    </w:p>
    <w:p w:rsidR="001F51C3" w:rsidRPr="001F51C3" w:rsidRDefault="001F51C3" w:rsidP="001F51C3">
      <w:pPr>
        <w:pStyle w:val="SingleTxt"/>
        <w:spacing w:after="0" w:line="120" w:lineRule="exact"/>
        <w:rPr>
          <w:b/>
          <w:sz w:val="10"/>
          <w:lang w:val="es-ES"/>
        </w:rPr>
      </w:pPr>
    </w:p>
    <w:p w:rsidR="00E54193" w:rsidRDefault="001F51C3" w:rsidP="001F51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54193" w:rsidRPr="00E54193">
        <w:rPr>
          <w:lang w:val="fr-FR"/>
        </w:rPr>
        <w:t>Barrages réalisés : 6</w:t>
      </w:r>
    </w:p>
    <w:p w:rsidR="001F51C3" w:rsidRPr="001F51C3" w:rsidRDefault="001F51C3" w:rsidP="001F51C3">
      <w:pPr>
        <w:pStyle w:val="SingleTxt"/>
        <w:spacing w:after="0" w:line="120" w:lineRule="exact"/>
        <w:rPr>
          <w:sz w:val="10"/>
          <w:lang w:val="fr-FR"/>
        </w:rPr>
      </w:pP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Barrage de LEGNED, commune de Male, Maghta Lahjar, Brakna</w:t>
      </w:r>
    </w:p>
    <w:p w:rsidR="00E54193" w:rsidRPr="009B6A87"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 xml:space="preserve">JIKH, </w:t>
      </w:r>
      <w:r w:rsidR="00E54193" w:rsidRPr="009B6A87">
        <w:rPr>
          <w:lang w:val="fr-FR"/>
        </w:rPr>
        <w:t xml:space="preserve">MOUNGUEL au GORGOL </w:t>
      </w:r>
    </w:p>
    <w:p w:rsidR="00E54193" w:rsidRPr="009B6A87" w:rsidRDefault="009B6A87" w:rsidP="009B6A87">
      <w:pPr>
        <w:pStyle w:val="SingleTxt"/>
        <w:tabs>
          <w:tab w:val="right" w:pos="1685"/>
        </w:tabs>
        <w:ind w:left="1742" w:hanging="475"/>
        <w:rPr>
          <w:lang w:val="fr-FR"/>
        </w:rPr>
      </w:pPr>
      <w:r>
        <w:rPr>
          <w:lang w:val="fr-FR"/>
        </w:rPr>
        <w:tab/>
        <w:t>•</w:t>
      </w:r>
      <w:r>
        <w:rPr>
          <w:lang w:val="fr-FR"/>
        </w:rPr>
        <w:tab/>
      </w:r>
      <w:r w:rsidR="00E54193" w:rsidRPr="009B6A87">
        <w:rPr>
          <w:lang w:val="fr-FR"/>
        </w:rPr>
        <w:t>DABER; commune de Soudoud, moughataa de Moudjéria, Tagant,</w:t>
      </w:r>
    </w:p>
    <w:p w:rsidR="00E54193" w:rsidRPr="009B6A87" w:rsidRDefault="009B6A87" w:rsidP="00876080">
      <w:pPr>
        <w:pStyle w:val="SingleTxt"/>
        <w:tabs>
          <w:tab w:val="right" w:pos="1685"/>
        </w:tabs>
        <w:ind w:left="1742" w:hanging="475"/>
        <w:jc w:val="left"/>
        <w:rPr>
          <w:lang w:val="fr-FR"/>
        </w:rPr>
      </w:pPr>
      <w:r>
        <w:rPr>
          <w:lang w:val="fr-FR"/>
        </w:rPr>
        <w:tab/>
        <w:t>•</w:t>
      </w:r>
      <w:r>
        <w:rPr>
          <w:lang w:val="fr-FR"/>
        </w:rPr>
        <w:tab/>
      </w:r>
      <w:r w:rsidR="00E54193" w:rsidRPr="009B6A87">
        <w:rPr>
          <w:lang w:val="fr-FR"/>
        </w:rPr>
        <w:t xml:space="preserve">AKNEIKIR, commune de Tamourt Naaj, moughataa de Moudjéria au TAGANT </w:t>
      </w:r>
    </w:p>
    <w:p w:rsidR="00E54193" w:rsidRPr="009B6A87" w:rsidRDefault="009B6A87" w:rsidP="009B6A87">
      <w:pPr>
        <w:pStyle w:val="SingleTxt"/>
        <w:tabs>
          <w:tab w:val="right" w:pos="1685"/>
        </w:tabs>
        <w:ind w:left="1742" w:hanging="475"/>
        <w:rPr>
          <w:lang w:val="fr-FR"/>
        </w:rPr>
      </w:pPr>
      <w:r>
        <w:rPr>
          <w:lang w:val="fr-FR"/>
        </w:rPr>
        <w:tab/>
        <w:t>•</w:t>
      </w:r>
      <w:r>
        <w:rPr>
          <w:lang w:val="fr-FR"/>
        </w:rPr>
        <w:tab/>
      </w:r>
      <w:r w:rsidR="00E54193" w:rsidRPr="009B6A87">
        <w:rPr>
          <w:lang w:val="fr-FR"/>
        </w:rPr>
        <w:t>Chlakh Lihmir, moughataa de Maghtaa Lahjar, au Brakna</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9B6A87">
        <w:rPr>
          <w:lang w:val="fr-FR"/>
        </w:rPr>
        <w:t>LOUEBDA, AKJOUJT</w:t>
      </w:r>
      <w:r w:rsidR="00E54193" w:rsidRPr="00E54193">
        <w:rPr>
          <w:lang w:val="fr-FR"/>
        </w:rPr>
        <w:t xml:space="preserve">, </w:t>
      </w:r>
    </w:p>
    <w:p w:rsidR="009B6A87" w:rsidRPr="009B6A87" w:rsidRDefault="009B6A87" w:rsidP="009B6A87">
      <w:pPr>
        <w:pStyle w:val="SingleTxt"/>
        <w:spacing w:after="0" w:line="120" w:lineRule="exact"/>
        <w:rPr>
          <w:b/>
          <w:sz w:val="10"/>
          <w:lang w:val="fr-FR"/>
        </w:rPr>
      </w:pPr>
    </w:p>
    <w:p w:rsidR="00E54193" w:rsidRDefault="009B6A87" w:rsidP="009B6A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54193" w:rsidRPr="00E54193">
        <w:rPr>
          <w:lang w:val="fr-FR"/>
        </w:rPr>
        <w:t>Aménagements agricoles réalisés</w:t>
      </w:r>
      <w:r w:rsidR="00F32017">
        <w:rPr>
          <w:lang w:val="fr-FR"/>
        </w:rPr>
        <w:t> </w:t>
      </w:r>
      <w:r w:rsidR="00E54193" w:rsidRPr="00E54193">
        <w:rPr>
          <w:lang w:val="fr-FR"/>
        </w:rPr>
        <w:t>: 6</w:t>
      </w:r>
    </w:p>
    <w:p w:rsidR="009B6A87" w:rsidRPr="009B6A87" w:rsidRDefault="009B6A87" w:rsidP="009B6A87">
      <w:pPr>
        <w:pStyle w:val="SingleTxt"/>
        <w:spacing w:after="0" w:line="120" w:lineRule="exact"/>
        <w:rPr>
          <w:sz w:val="10"/>
          <w:lang w:val="fr-FR"/>
        </w:rPr>
      </w:pP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Aménagement de Debaye Mbeynik, 80 ha, commune de Ntekane, Rkiz, Trarza</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 xml:space="preserve">Aménagement agricole de Mbotto, 81 ha, commune de Mbagne moughataa de Mbagne, Brakna, </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Aménagement agricole de Ngourdiane, 70 ha, commune de Dar El Barka</w:t>
      </w:r>
      <w:r w:rsidR="00E54193">
        <w:rPr>
          <w:lang w:val="fr-FR"/>
        </w:rPr>
        <w:t>;</w:t>
      </w:r>
      <w:r w:rsidR="00E54193" w:rsidRPr="00E54193">
        <w:rPr>
          <w:lang w:val="fr-FR"/>
        </w:rPr>
        <w:t xml:space="preserve"> moughataa de Boghé au Brakna,</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 xml:space="preserve">Aménagement agricole de Thinguelèl, 40 ha, commune de Mbagne; moughataa de </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 xml:space="preserve">Mbagne au Brakna </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Aménagement agricole de Sénékouna/Medina, 40 ha, commune de Aéré Mbar</w:t>
      </w:r>
      <w:r w:rsidR="00E54193">
        <w:rPr>
          <w:lang w:val="fr-FR"/>
        </w:rPr>
        <w:t>;</w:t>
      </w:r>
      <w:r w:rsidR="00E54193" w:rsidRPr="00E54193">
        <w:rPr>
          <w:lang w:val="fr-FR"/>
        </w:rPr>
        <w:t xml:space="preserve"> moughataa de Bababé au Brakna </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Aménagement agricole de Ndiorol, 60 ha, commune de Dar El Avia; moughataa de Boghé au Brakna.</w:t>
      </w:r>
    </w:p>
    <w:p w:rsidR="00E54193" w:rsidRPr="00E54193" w:rsidRDefault="00E54193" w:rsidP="009B6A87">
      <w:pPr>
        <w:pStyle w:val="SingleTxt"/>
        <w:numPr>
          <w:ilvl w:val="0"/>
          <w:numId w:val="25"/>
        </w:numPr>
        <w:spacing w:line="240" w:lineRule="exact"/>
        <w:rPr>
          <w:lang w:val="fr-FR"/>
        </w:rPr>
      </w:pPr>
      <w:r w:rsidRPr="00E54193">
        <w:rPr>
          <w:lang w:val="fr-FR"/>
        </w:rPr>
        <w:t>La protection sociale a connu, au cours des cinq dernières années une évolution institutionnelle favorable à travers l’adoption en 2014 de la Stratégie Nationale de Protection Sociale (SNPS). Celle-ci propose une vision à long terme et une feuille de route pour la création d</w:t>
      </w:r>
      <w:r>
        <w:rPr>
          <w:lang w:val="fr-FR"/>
        </w:rPr>
        <w:t>’</w:t>
      </w:r>
      <w:r w:rsidRPr="00E54193">
        <w:rPr>
          <w:lang w:val="fr-FR"/>
        </w:rPr>
        <w:t>un système de protection sociale intégrée, dont le projet d</w:t>
      </w:r>
      <w:r>
        <w:rPr>
          <w:lang w:val="fr-FR"/>
        </w:rPr>
        <w:t>’</w:t>
      </w:r>
      <w:r w:rsidRPr="00E54193">
        <w:rPr>
          <w:lang w:val="fr-FR"/>
        </w:rPr>
        <w:t>appui aux filets sociaux, notamment son programme national des transferts sociaux, constitue un des éléments d</w:t>
      </w:r>
      <w:r>
        <w:rPr>
          <w:lang w:val="fr-FR"/>
        </w:rPr>
        <w:t>’</w:t>
      </w:r>
      <w:r w:rsidRPr="00E54193">
        <w:rPr>
          <w:lang w:val="fr-FR"/>
        </w:rPr>
        <w:t>opérationnalisation. Aussi, et dans la perspective d’un meilleur ciblage des bénéficiaires potentiels des services de la protection sociale, un registre national d’indigence est en cours d’élaboration. Il s’agit d’un enjeu important pour le pays. Son ancrage institutionnel et l’approche de ciblage seront déterminants. Il s’agit d’un important outil de gestion et de coordination qui aura un impact marqué sur l’efficience et l’efficacité de l’action.</w:t>
      </w:r>
    </w:p>
    <w:p w:rsidR="00E54193" w:rsidRPr="00E54193" w:rsidRDefault="00E54193" w:rsidP="009B6A87">
      <w:pPr>
        <w:pStyle w:val="SingleTxt"/>
        <w:numPr>
          <w:ilvl w:val="0"/>
          <w:numId w:val="25"/>
        </w:numPr>
        <w:spacing w:line="240" w:lineRule="exact"/>
        <w:rPr>
          <w:lang w:val="fr-FR"/>
        </w:rPr>
      </w:pPr>
      <w:r w:rsidRPr="00E54193">
        <w:rPr>
          <w:lang w:val="fr-FR"/>
        </w:rPr>
        <w:t>D’autres actions peuvent également être notées : (i) la mise en œuvre de plusieurs projets et initiatives portant sur des programmes de filets sociaux en faveur des groupes sociaux les plus vulnérables (programme EMEL, Cant</w:t>
      </w:r>
      <w:r w:rsidR="00876080">
        <w:rPr>
          <w:lang w:val="fr-FR"/>
        </w:rPr>
        <w:t>ines scolaires, Cash transfert)</w:t>
      </w:r>
      <w:r w:rsidRPr="00E54193">
        <w:rPr>
          <w:lang w:val="fr-FR"/>
        </w:rPr>
        <w:t>; (ii) la mise en place de fonds ( cash transfert) pour la prise en charge et l’appui aux malades indigents vivant avec des maladies chroniques</w:t>
      </w:r>
      <w:r w:rsidR="00876080">
        <w:rPr>
          <w:lang w:val="fr-FR"/>
        </w:rPr>
        <w:t>;</w:t>
      </w:r>
      <w:r w:rsidRPr="00E54193">
        <w:rPr>
          <w:lang w:val="fr-FR"/>
        </w:rPr>
        <w:t xml:space="preserve"> (iii) la promotion et la protection des droits de l’enfant et des personnes handicapées</w:t>
      </w:r>
      <w:r w:rsidR="00876080">
        <w:rPr>
          <w:lang w:val="fr-FR"/>
        </w:rPr>
        <w:t>;</w:t>
      </w:r>
      <w:r w:rsidRPr="00E54193">
        <w:rPr>
          <w:lang w:val="fr-FR"/>
        </w:rPr>
        <w:t xml:space="preserve"> (iv) l’extension des services de cash transfert au profit des enfants polyhandicapées, et le financement d’AGR au profit de centaines personnes handicapées</w:t>
      </w:r>
      <w:r>
        <w:rPr>
          <w:lang w:val="fr-FR"/>
        </w:rPr>
        <w:t>;</w:t>
      </w:r>
      <w:r w:rsidRPr="00E54193">
        <w:rPr>
          <w:lang w:val="fr-FR"/>
        </w:rPr>
        <w:t xml:space="preserve"> (v) l’amélioration de l’autonomie fonctionnelle des personnes handicapées à travers la distribution gratuite des aides techniques</w:t>
      </w:r>
      <w:r w:rsidR="00876080">
        <w:rPr>
          <w:lang w:val="fr-FR"/>
        </w:rPr>
        <w:t>;</w:t>
      </w:r>
      <w:r w:rsidRPr="00E54193">
        <w:rPr>
          <w:lang w:val="fr-FR"/>
        </w:rPr>
        <w:t xml:space="preserve"> (vi) la prise en charge médicale gratuite des malades indigents (y compris les dialysés) dans les structures hospitalières nationales et à l’étranger (avec appui financier pour ces derniers)</w:t>
      </w:r>
      <w:r w:rsidR="00876080">
        <w:rPr>
          <w:lang w:val="fr-FR"/>
        </w:rPr>
        <w:t>;</w:t>
      </w:r>
      <w:r w:rsidRPr="00E54193">
        <w:rPr>
          <w:lang w:val="fr-FR"/>
        </w:rPr>
        <w:t xml:space="preserve"> (vii) la mise en place d’une base de données des bénéficiaires de l’action sociale et (viii) la promotion du statut social et économique de la femme : adoption en 2015 et mise en œuvre de la stratégie nationale d’institutionnalisation du genre (SNIG).</w:t>
      </w:r>
    </w:p>
    <w:p w:rsidR="009B6A87" w:rsidRPr="009B6A87" w:rsidRDefault="009B6A87" w:rsidP="009B6A87">
      <w:pPr>
        <w:pStyle w:val="SingleTxt"/>
        <w:spacing w:after="0" w:line="120" w:lineRule="exact"/>
        <w:ind w:left="1209"/>
        <w:rPr>
          <w:i/>
          <w:sz w:val="10"/>
          <w:lang w:val="fr-FR"/>
        </w:rPr>
      </w:pPr>
    </w:p>
    <w:p w:rsidR="00E54193" w:rsidRDefault="009B6A87" w:rsidP="009B6A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54193" w:rsidRPr="00E54193">
        <w:rPr>
          <w:lang w:val="fr-FR"/>
        </w:rPr>
        <w:tab/>
        <w:t>c)</w:t>
      </w:r>
    </w:p>
    <w:p w:rsidR="009B6A87" w:rsidRPr="009B6A87" w:rsidRDefault="009B6A87" w:rsidP="009B6A87">
      <w:pPr>
        <w:pStyle w:val="SingleTxt"/>
        <w:spacing w:after="0" w:line="120" w:lineRule="exact"/>
        <w:rPr>
          <w:sz w:val="10"/>
          <w:lang w:val="fr-FR"/>
        </w:rPr>
      </w:pPr>
    </w:p>
    <w:p w:rsidR="00E54193" w:rsidRPr="00E54193" w:rsidRDefault="00E54193" w:rsidP="009B6A87">
      <w:pPr>
        <w:pStyle w:val="SingleTxt"/>
        <w:numPr>
          <w:ilvl w:val="0"/>
          <w:numId w:val="27"/>
        </w:numPr>
        <w:spacing w:line="240" w:lineRule="exact"/>
        <w:rPr>
          <w:lang w:val="fr-FR"/>
        </w:rPr>
      </w:pPr>
      <w:r w:rsidRPr="00E54193">
        <w:rPr>
          <w:lang w:val="fr-FR"/>
        </w:rPr>
        <w:t>Le corpus juridique national consacre la prohibition de toutes formes de discrimination. La mise en place d’une institution indépendante des Droits de l’Homme conforme aux principes de Paris, l’adoption de la loi incriminant l’esclavage et les pratiques esclavagistes, la loi portant répression de la traite des personnes, la loi incriminant la torture et celle mettant en place un mécanisme national de prévention de la torture, condamnent fermement toute ségrégation.</w:t>
      </w:r>
    </w:p>
    <w:p w:rsidR="00E54193" w:rsidRPr="00E54193" w:rsidRDefault="00E54193" w:rsidP="009B6A87">
      <w:pPr>
        <w:pStyle w:val="SingleTxt"/>
        <w:numPr>
          <w:ilvl w:val="0"/>
          <w:numId w:val="27"/>
        </w:numPr>
        <w:spacing w:line="240" w:lineRule="exact"/>
        <w:rPr>
          <w:lang w:val="fr-FR"/>
        </w:rPr>
      </w:pPr>
      <w:r w:rsidRPr="00E54193">
        <w:rPr>
          <w:lang w:val="fr-FR"/>
        </w:rPr>
        <w:t>La Constitution interdit toute discrimination raciale ou ethnique et reconnaît aux citoyens les droits civiques et politiques ainsi que les droits économiques et sociaux.</w:t>
      </w:r>
    </w:p>
    <w:p w:rsidR="00E54193" w:rsidRPr="00E54193" w:rsidRDefault="00E54193" w:rsidP="009B6A87">
      <w:pPr>
        <w:pStyle w:val="SingleTxt"/>
        <w:numPr>
          <w:ilvl w:val="0"/>
          <w:numId w:val="27"/>
        </w:numPr>
        <w:spacing w:line="240" w:lineRule="exact"/>
        <w:rPr>
          <w:lang w:val="fr-FR"/>
        </w:rPr>
      </w:pPr>
      <w:r w:rsidRPr="00E54193">
        <w:rPr>
          <w:lang w:val="fr-FR"/>
        </w:rPr>
        <w:t>Un projet de loi soumis à l’approbation du gouvernement incrimine ce phénomène et dispose dans son article 1</w:t>
      </w:r>
      <w:r w:rsidRPr="00F32017">
        <w:rPr>
          <w:vertAlign w:val="superscript"/>
          <w:lang w:val="fr-FR"/>
        </w:rPr>
        <w:t>er</w:t>
      </w:r>
      <w:r w:rsidRPr="00E54193">
        <w:rPr>
          <w:lang w:val="fr-FR"/>
        </w:rPr>
        <w:t xml:space="preserve"> que « la discrimination signifie toute distinction, exclusion, restriction ou préférence ayant ou pouvant avoir pour but ou pour effet de détruire, de compromettre ou de limiter la reconnaissance, la jouissance ou l</w:t>
      </w:r>
      <w:r>
        <w:rPr>
          <w:lang w:val="fr-FR"/>
        </w:rPr>
        <w:t>’</w:t>
      </w:r>
      <w:r w:rsidRPr="00E54193">
        <w:rPr>
          <w:lang w:val="fr-FR"/>
        </w:rPr>
        <w:t>exercice, dans des conditions d</w:t>
      </w:r>
      <w:r>
        <w:rPr>
          <w:lang w:val="fr-FR"/>
        </w:rPr>
        <w:t>’</w:t>
      </w:r>
      <w:r w:rsidRPr="00E54193">
        <w:rPr>
          <w:lang w:val="fr-FR"/>
        </w:rPr>
        <w:t>égalité, des droits de l</w:t>
      </w:r>
      <w:r>
        <w:rPr>
          <w:lang w:val="fr-FR"/>
        </w:rPr>
        <w:t>’</w:t>
      </w:r>
      <w:r w:rsidRPr="00E54193">
        <w:rPr>
          <w:lang w:val="fr-FR"/>
        </w:rPr>
        <w:t>homme et des libertés fondamentales dans les domaines politique, économique social ou culturel ou dans tout autre domaine de la vie sociale ».</w:t>
      </w:r>
    </w:p>
    <w:p w:rsidR="00E54193" w:rsidRPr="00E54193" w:rsidRDefault="00E54193" w:rsidP="009B6A87">
      <w:pPr>
        <w:pStyle w:val="SingleTxt"/>
        <w:numPr>
          <w:ilvl w:val="0"/>
          <w:numId w:val="29"/>
        </w:numPr>
        <w:spacing w:line="240" w:lineRule="exact"/>
        <w:rPr>
          <w:lang w:val="fr-FR"/>
        </w:rPr>
      </w:pPr>
      <w:r w:rsidRPr="00E54193">
        <w:rPr>
          <w:lang w:val="fr-FR"/>
        </w:rPr>
        <w:t>La Mauritanie demeure attachée aux principes et valeurs guidant le combat mené par la communauté internationale contre le racisme, la discrimination raciale, la xénophobie et l’intolérance qui y est associée.</w:t>
      </w:r>
    </w:p>
    <w:p w:rsidR="00E54193" w:rsidRPr="00E54193" w:rsidRDefault="00E54193" w:rsidP="009B6A87">
      <w:pPr>
        <w:pStyle w:val="SingleTxt"/>
        <w:numPr>
          <w:ilvl w:val="0"/>
          <w:numId w:val="29"/>
        </w:numPr>
        <w:spacing w:line="240" w:lineRule="exact"/>
        <w:rPr>
          <w:lang w:val="fr-FR"/>
        </w:rPr>
      </w:pPr>
      <w:r w:rsidRPr="00E54193">
        <w:rPr>
          <w:lang w:val="fr-FR"/>
        </w:rPr>
        <w:t>Le droit Mauritanien interdit toute incitation aux actes de discrimination raciale. Il contient un ensemble de dispositions déclarant délits punissables toute diffusion d’idées fondées sur la supériorité ou la haine raciale, toute incitation à la discrimination raciale ainsi que tous actes de violence ou provocation dirigés contre toute race ou tout groupe de personnes d’une autre couleur ou d’une autre origine ethnique, de même que toute assistance apportée à des activités racistes :</w:t>
      </w:r>
    </w:p>
    <w:p w:rsidR="00E54193" w:rsidRPr="00E54193" w:rsidRDefault="00E54193" w:rsidP="009B6A87">
      <w:pPr>
        <w:pStyle w:val="SingleTxt"/>
        <w:numPr>
          <w:ilvl w:val="0"/>
          <w:numId w:val="29"/>
        </w:numPr>
        <w:spacing w:line="240" w:lineRule="exact"/>
        <w:rPr>
          <w:lang w:val="fr-FR"/>
        </w:rPr>
      </w:pPr>
      <w:r w:rsidRPr="00E54193">
        <w:rPr>
          <w:lang w:val="fr-FR"/>
        </w:rPr>
        <w:t>Le dispositif relatif à la liberté de presse interdit aux média toute publication ou discours incitant à la haine, les préjugés ethniques, régionalistes.</w:t>
      </w:r>
    </w:p>
    <w:p w:rsidR="00E54193" w:rsidRPr="00E54193" w:rsidRDefault="00E54193" w:rsidP="009B6A87">
      <w:pPr>
        <w:pStyle w:val="SingleTxt"/>
        <w:numPr>
          <w:ilvl w:val="0"/>
          <w:numId w:val="29"/>
        </w:numPr>
        <w:spacing w:line="240" w:lineRule="exact"/>
        <w:rPr>
          <w:lang w:val="fr-FR"/>
        </w:rPr>
      </w:pPr>
      <w:r w:rsidRPr="00E54193">
        <w:rPr>
          <w:lang w:val="fr-FR"/>
        </w:rPr>
        <w:t>La loi relative aux partis politiques fait injonction à ceux –</w:t>
      </w:r>
      <w:r w:rsidR="00876080">
        <w:rPr>
          <w:lang w:val="fr-FR"/>
        </w:rPr>
        <w:t xml:space="preserve"> </w:t>
      </w:r>
      <w:r w:rsidRPr="00E54193">
        <w:rPr>
          <w:lang w:val="fr-FR"/>
        </w:rPr>
        <w:t xml:space="preserve">ci de s’interdire toute incitation à l’intolérance et à la violence, toute propagande qui aurait pour but de porter atteinte à l’intégrité du territoire ou à l’unité de la nation. </w:t>
      </w:r>
    </w:p>
    <w:p w:rsidR="00E54193" w:rsidRPr="00E54193" w:rsidRDefault="00E54193" w:rsidP="00BF335B">
      <w:pPr>
        <w:pStyle w:val="SingleTxt"/>
        <w:numPr>
          <w:ilvl w:val="0"/>
          <w:numId w:val="29"/>
        </w:numPr>
        <w:spacing w:line="240" w:lineRule="exact"/>
        <w:rPr>
          <w:lang w:val="fr-FR"/>
        </w:rPr>
      </w:pPr>
      <w:r w:rsidRPr="00E54193">
        <w:rPr>
          <w:lang w:val="fr-FR"/>
        </w:rPr>
        <w:t>L’</w:t>
      </w:r>
      <w:r w:rsidR="00BF335B" w:rsidRPr="00E54193">
        <w:rPr>
          <w:lang w:val="fr-FR"/>
        </w:rPr>
        <w:t>É</w:t>
      </w:r>
      <w:r w:rsidRPr="00E54193">
        <w:rPr>
          <w:lang w:val="fr-FR"/>
        </w:rPr>
        <w:t>tat a pris des dispositions législatives et réglementaires de lutte contre la discrimination à travers</w:t>
      </w:r>
      <w:r>
        <w:rPr>
          <w:lang w:val="fr-FR"/>
        </w:rPr>
        <w:t> :</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L’adoption de la loi portant incrimination de l’esclavage et réprimant les pratiques esclavagistes</w:t>
      </w:r>
      <w:r w:rsidR="00876080">
        <w:rPr>
          <w:lang w:val="fr-FR"/>
        </w:rPr>
        <w:t>;</w:t>
      </w:r>
    </w:p>
    <w:p w:rsidR="00E54193" w:rsidRPr="00E54193" w:rsidRDefault="009B6A87" w:rsidP="009B6A87">
      <w:pPr>
        <w:pStyle w:val="SingleTxt"/>
        <w:tabs>
          <w:tab w:val="right" w:pos="1685"/>
        </w:tabs>
        <w:ind w:left="1742" w:hanging="475"/>
        <w:rPr>
          <w:lang w:val="fr-FR"/>
        </w:rPr>
      </w:pPr>
      <w:r>
        <w:rPr>
          <w:lang w:val="fr-FR"/>
        </w:rPr>
        <w:tab/>
        <w:t>•</w:t>
      </w:r>
      <w:r>
        <w:rPr>
          <w:lang w:val="fr-FR"/>
        </w:rPr>
        <w:tab/>
      </w:r>
      <w:r w:rsidR="00E54193" w:rsidRPr="00E54193">
        <w:rPr>
          <w:lang w:val="fr-FR"/>
        </w:rPr>
        <w:t>L’adoption de la feuille de route et son plan d’action pour l’éradication des formes contemporaines de l’esclavage</w:t>
      </w:r>
      <w:r w:rsidR="00876080">
        <w:rPr>
          <w:lang w:val="fr-FR"/>
        </w:rPr>
        <w:t>;</w:t>
      </w:r>
    </w:p>
    <w:p w:rsidR="00E54193" w:rsidRPr="00E54193" w:rsidRDefault="00CF0EC2" w:rsidP="009B6A87">
      <w:pPr>
        <w:pStyle w:val="SingleTxt"/>
        <w:tabs>
          <w:tab w:val="right" w:pos="1685"/>
        </w:tabs>
        <w:ind w:left="1742" w:hanging="475"/>
        <w:rPr>
          <w:lang w:val="fr-FR"/>
        </w:rPr>
      </w:pPr>
      <w:r>
        <w:rPr>
          <w:lang w:val="fr-FR"/>
        </w:rPr>
        <w:tab/>
        <w:t>•</w:t>
      </w:r>
      <w:r>
        <w:rPr>
          <w:lang w:val="fr-FR"/>
        </w:rPr>
        <w:tab/>
      </w:r>
      <w:r w:rsidR="00E54193" w:rsidRPr="00E54193">
        <w:rPr>
          <w:lang w:val="fr-FR"/>
        </w:rPr>
        <w:t>L’adoption de la loi relative à l’aide judiciaire et l’élaboration d’une stratégie nationale d’accès à la justice pour faciliter son application</w:t>
      </w:r>
      <w:r w:rsidR="00876080">
        <w:rPr>
          <w:lang w:val="fr-FR"/>
        </w:rPr>
        <w:t>;</w:t>
      </w:r>
    </w:p>
    <w:p w:rsidR="00E54193" w:rsidRPr="00E54193" w:rsidRDefault="00CF0EC2" w:rsidP="009B6A87">
      <w:pPr>
        <w:pStyle w:val="SingleTxt"/>
        <w:tabs>
          <w:tab w:val="right" w:pos="1685"/>
        </w:tabs>
        <w:ind w:left="1742" w:hanging="475"/>
        <w:rPr>
          <w:lang w:val="fr-FR"/>
        </w:rPr>
      </w:pPr>
      <w:r>
        <w:rPr>
          <w:lang w:val="fr-FR"/>
        </w:rPr>
        <w:tab/>
        <w:t>•</w:t>
      </w:r>
      <w:r>
        <w:rPr>
          <w:lang w:val="fr-FR"/>
        </w:rPr>
        <w:tab/>
      </w:r>
      <w:r w:rsidR="00E54193" w:rsidRPr="00E54193">
        <w:rPr>
          <w:lang w:val="fr-FR"/>
        </w:rPr>
        <w:t>L’incrimination de la torture et la mise en place de mécanisme national pour sa prévention</w:t>
      </w:r>
      <w:r w:rsidR="00876080">
        <w:rPr>
          <w:lang w:val="fr-FR"/>
        </w:rPr>
        <w:t>;</w:t>
      </w:r>
    </w:p>
    <w:p w:rsidR="00E54193" w:rsidRPr="00E54193" w:rsidRDefault="00CF0EC2" w:rsidP="009B6A87">
      <w:pPr>
        <w:pStyle w:val="SingleTxt"/>
        <w:tabs>
          <w:tab w:val="right" w:pos="1685"/>
        </w:tabs>
        <w:ind w:left="1742" w:hanging="475"/>
        <w:rPr>
          <w:lang w:val="fr-FR"/>
        </w:rPr>
      </w:pPr>
      <w:r>
        <w:rPr>
          <w:lang w:val="fr-FR"/>
        </w:rPr>
        <w:tab/>
        <w:t>•</w:t>
      </w:r>
      <w:r>
        <w:rPr>
          <w:lang w:val="fr-FR"/>
        </w:rPr>
        <w:tab/>
      </w:r>
      <w:r w:rsidR="00E54193" w:rsidRPr="00E54193">
        <w:rPr>
          <w:lang w:val="fr-FR"/>
        </w:rPr>
        <w:t>L’opérationnalisation de la Commission Nationale des Droits de l’Homme conforme aux Principes de Paris</w:t>
      </w:r>
      <w:r w:rsidR="00876080">
        <w:rPr>
          <w:lang w:val="fr-FR"/>
        </w:rPr>
        <w:t>;</w:t>
      </w:r>
    </w:p>
    <w:p w:rsidR="00E54193" w:rsidRPr="00E54193" w:rsidRDefault="00CF0EC2" w:rsidP="009B6A87">
      <w:pPr>
        <w:pStyle w:val="SingleTxt"/>
        <w:tabs>
          <w:tab w:val="right" w:pos="1685"/>
        </w:tabs>
        <w:ind w:left="1742" w:hanging="475"/>
        <w:rPr>
          <w:lang w:val="fr-FR"/>
        </w:rPr>
      </w:pPr>
      <w:r>
        <w:rPr>
          <w:lang w:val="fr-FR"/>
        </w:rPr>
        <w:tab/>
        <w:t>•</w:t>
      </w:r>
      <w:r>
        <w:rPr>
          <w:lang w:val="fr-FR"/>
        </w:rPr>
        <w:tab/>
      </w:r>
      <w:r w:rsidR="00E54193" w:rsidRPr="00E54193">
        <w:rPr>
          <w:lang w:val="fr-FR"/>
        </w:rPr>
        <w:t>La mise en œuvre de la convention contre la torture ainsi que son protocole facultatif</w:t>
      </w:r>
      <w:r w:rsidR="00876080">
        <w:rPr>
          <w:lang w:val="fr-FR"/>
        </w:rPr>
        <w:t>;</w:t>
      </w:r>
    </w:p>
    <w:p w:rsidR="00E54193" w:rsidRPr="00E54193" w:rsidRDefault="00CF0EC2" w:rsidP="009B6A87">
      <w:pPr>
        <w:pStyle w:val="SingleTxt"/>
        <w:tabs>
          <w:tab w:val="right" w:pos="1685"/>
        </w:tabs>
        <w:ind w:left="1742" w:hanging="475"/>
        <w:rPr>
          <w:lang w:val="fr-FR"/>
        </w:rPr>
      </w:pPr>
      <w:r>
        <w:rPr>
          <w:lang w:val="fr-FR"/>
        </w:rPr>
        <w:tab/>
        <w:t>•</w:t>
      </w:r>
      <w:r>
        <w:rPr>
          <w:lang w:val="fr-FR"/>
        </w:rPr>
        <w:tab/>
      </w:r>
      <w:r w:rsidR="00E54193" w:rsidRPr="00E54193">
        <w:rPr>
          <w:lang w:val="fr-FR"/>
        </w:rPr>
        <w:t>La levée de toutes entraves à la liberté d’association, notamment la reconnaissance des organisations membres du Forum National des Droits Humains (FONADH)</w:t>
      </w:r>
      <w:r w:rsidR="00876080">
        <w:rPr>
          <w:lang w:val="fr-FR"/>
        </w:rPr>
        <w:t>;</w:t>
      </w:r>
    </w:p>
    <w:p w:rsidR="00E54193" w:rsidRPr="00E54193" w:rsidRDefault="00CF0EC2" w:rsidP="009B6A87">
      <w:pPr>
        <w:pStyle w:val="SingleTxt"/>
        <w:tabs>
          <w:tab w:val="right" w:pos="1685"/>
        </w:tabs>
        <w:ind w:left="1742" w:hanging="475"/>
        <w:rPr>
          <w:lang w:val="fr-FR"/>
        </w:rPr>
      </w:pPr>
      <w:r>
        <w:rPr>
          <w:lang w:val="fr-FR"/>
        </w:rPr>
        <w:tab/>
        <w:t>•</w:t>
      </w:r>
      <w:r>
        <w:rPr>
          <w:lang w:val="fr-FR"/>
        </w:rPr>
        <w:tab/>
      </w:r>
      <w:r w:rsidR="00E54193" w:rsidRPr="00E54193">
        <w:rPr>
          <w:lang w:val="fr-FR"/>
        </w:rPr>
        <w:t>La dépénalisation des délits de Presse</w:t>
      </w:r>
      <w:r w:rsidR="00876080">
        <w:rPr>
          <w:lang w:val="fr-FR"/>
        </w:rPr>
        <w:t>;</w:t>
      </w:r>
    </w:p>
    <w:p w:rsidR="00E54193" w:rsidRPr="00E54193" w:rsidRDefault="00CF0EC2" w:rsidP="009B6A87">
      <w:pPr>
        <w:pStyle w:val="SingleTxt"/>
        <w:tabs>
          <w:tab w:val="right" w:pos="1685"/>
        </w:tabs>
        <w:ind w:left="1742" w:hanging="475"/>
        <w:rPr>
          <w:lang w:val="fr-FR"/>
        </w:rPr>
      </w:pPr>
      <w:r>
        <w:rPr>
          <w:lang w:val="fr-FR"/>
        </w:rPr>
        <w:tab/>
        <w:t>•</w:t>
      </w:r>
      <w:r>
        <w:rPr>
          <w:lang w:val="fr-FR"/>
        </w:rPr>
        <w:tab/>
      </w:r>
      <w:r w:rsidR="00E54193" w:rsidRPr="00E54193">
        <w:rPr>
          <w:lang w:val="fr-FR"/>
        </w:rPr>
        <w:t>L’uniformisation des dispositions relatives à la nationalité</w:t>
      </w:r>
      <w:r w:rsidR="00876080">
        <w:rPr>
          <w:lang w:val="fr-FR"/>
        </w:rPr>
        <w:t>;</w:t>
      </w:r>
    </w:p>
    <w:p w:rsidR="00E54193" w:rsidRPr="00E54193" w:rsidRDefault="00CF0EC2" w:rsidP="009B6A87">
      <w:pPr>
        <w:pStyle w:val="SingleTxt"/>
        <w:tabs>
          <w:tab w:val="right" w:pos="1685"/>
        </w:tabs>
        <w:ind w:left="1742" w:hanging="475"/>
        <w:rPr>
          <w:lang w:val="fr-FR"/>
        </w:rPr>
      </w:pPr>
      <w:r>
        <w:rPr>
          <w:lang w:val="fr-FR"/>
        </w:rPr>
        <w:tab/>
        <w:t>•</w:t>
      </w:r>
      <w:r>
        <w:rPr>
          <w:lang w:val="fr-FR"/>
        </w:rPr>
        <w:tab/>
      </w:r>
      <w:r w:rsidR="00E54193" w:rsidRPr="00E54193">
        <w:rPr>
          <w:lang w:val="fr-FR"/>
        </w:rPr>
        <w:t>L’interdiction de la discrimination dans l’accès à la fonction publique et à l’emploi.</w:t>
      </w:r>
    </w:p>
    <w:p w:rsidR="00E54193" w:rsidRPr="00E54193" w:rsidRDefault="00E54193" w:rsidP="009B6A87">
      <w:pPr>
        <w:pStyle w:val="SingleTxt"/>
        <w:numPr>
          <w:ilvl w:val="0"/>
          <w:numId w:val="29"/>
        </w:numPr>
        <w:spacing w:line="240" w:lineRule="exact"/>
        <w:rPr>
          <w:lang w:val="fr-FR"/>
        </w:rPr>
      </w:pPr>
      <w:r w:rsidRPr="00E54193">
        <w:rPr>
          <w:lang w:val="fr-FR"/>
        </w:rPr>
        <w:t>La Mauritanie a intégré dans sa stratégie de lutte contre la discrimination les recommandations du Comité pour l’</w:t>
      </w:r>
      <w:r w:rsidR="00BF335B" w:rsidRPr="00E54193">
        <w:rPr>
          <w:lang w:val="fr-FR"/>
        </w:rPr>
        <w:t>Élimination</w:t>
      </w:r>
      <w:r w:rsidRPr="00E54193">
        <w:rPr>
          <w:lang w:val="fr-FR"/>
        </w:rPr>
        <w:t xml:space="preserve"> de toutes les formes de Discrimination Raciale ainsi que celles du rapporteur spécial des Nations Unies sur la discrimination. </w:t>
      </w:r>
    </w:p>
    <w:p w:rsidR="00E54193" w:rsidRPr="00E54193" w:rsidRDefault="00E54193" w:rsidP="00CF0EC2">
      <w:pPr>
        <w:pStyle w:val="SingleTxt"/>
        <w:numPr>
          <w:ilvl w:val="0"/>
          <w:numId w:val="29"/>
        </w:numPr>
        <w:spacing w:line="240" w:lineRule="exact"/>
        <w:rPr>
          <w:lang w:val="fr-FR"/>
        </w:rPr>
      </w:pPr>
      <w:r w:rsidRPr="00E54193">
        <w:rPr>
          <w:lang w:val="fr-FR"/>
        </w:rPr>
        <w:t>Le code du travail consacre la non-discrimination, et établit expressément l’égalité d’accès à l’emploi. Il interdit toute discrimination, distinction, exclusion ou préférence fondée sur la race, l’ascendance nationale, la couleur, le sexe, la religion, les opinions politiques ou l’origine sociale.</w:t>
      </w:r>
    </w:p>
    <w:p w:rsidR="00E54193" w:rsidRPr="00E54193" w:rsidRDefault="00E54193" w:rsidP="00CF0EC2">
      <w:pPr>
        <w:pStyle w:val="SingleTxt"/>
        <w:numPr>
          <w:ilvl w:val="0"/>
          <w:numId w:val="31"/>
        </w:numPr>
        <w:spacing w:line="240" w:lineRule="exact"/>
        <w:rPr>
          <w:lang w:val="fr-FR"/>
        </w:rPr>
      </w:pPr>
      <w:r w:rsidRPr="00E54193">
        <w:rPr>
          <w:lang w:val="fr-FR"/>
        </w:rPr>
        <w:t>Les pouvoirs publics ne soutiennent et ne tolèrent aucun acte de discrimination raciale. Le fonctionnement de l’État et des institutions publiques est régi par la Constitution qui interdit la discrimination raciale qu’elle érige en infraction. Cette interdiction est consacrée par la loi portant statut général de la fonction publique, principal texte régissant le fonctionnement de l’administration publique en Mauritanie.</w:t>
      </w:r>
    </w:p>
    <w:p w:rsidR="00E54193" w:rsidRPr="00E54193" w:rsidRDefault="00E54193" w:rsidP="00CF0EC2">
      <w:pPr>
        <w:pStyle w:val="SingleTxt"/>
        <w:numPr>
          <w:ilvl w:val="0"/>
          <w:numId w:val="31"/>
        </w:numPr>
        <w:spacing w:line="240" w:lineRule="exact"/>
        <w:rPr>
          <w:lang w:val="fr-FR"/>
        </w:rPr>
      </w:pPr>
      <w:r w:rsidRPr="00E54193">
        <w:rPr>
          <w:lang w:val="fr-FR"/>
        </w:rPr>
        <w:t>Les Conventions internationales relatives aux droits de l’homme ratifiées par la Mauritanie obligent les institutions publiques à interdire et à combattre la discrimination.</w:t>
      </w:r>
    </w:p>
    <w:p w:rsidR="00CF0EC2" w:rsidRDefault="00E54193" w:rsidP="00CF0EC2">
      <w:pPr>
        <w:pStyle w:val="SingleTxt"/>
        <w:numPr>
          <w:ilvl w:val="0"/>
          <w:numId w:val="31"/>
        </w:numPr>
        <w:spacing w:line="240" w:lineRule="exact"/>
        <w:rPr>
          <w:lang w:val="fr-FR"/>
        </w:rPr>
      </w:pPr>
      <w:r w:rsidRPr="00E54193">
        <w:rPr>
          <w:lang w:val="fr-FR"/>
        </w:rPr>
        <w:t>Le Code pénal traite de la discrimination dans son titre II relatif aux crimes et délits contre les particuliers. Le chapitre premier du code «</w:t>
      </w:r>
      <w:r w:rsidR="00CF0EC2">
        <w:rPr>
          <w:lang w:val="fr-FR"/>
        </w:rPr>
        <w:t> </w:t>
      </w:r>
      <w:r w:rsidRPr="00E54193">
        <w:rPr>
          <w:lang w:val="fr-FR"/>
        </w:rPr>
        <w:t>Des crimes et délits contre les personnes</w:t>
      </w:r>
      <w:r w:rsidR="00CF0EC2">
        <w:rPr>
          <w:lang w:val="fr-FR"/>
        </w:rPr>
        <w:t> </w:t>
      </w:r>
      <w:r w:rsidRPr="00E54193">
        <w:rPr>
          <w:lang w:val="fr-FR"/>
        </w:rPr>
        <w:t>» permet au juge de puiser dans une large gamme de sanctions pénales qui lui permettent de sanctionner toute pratique raciste selon sa gravité.</w:t>
      </w:r>
    </w:p>
    <w:p w:rsidR="00CF0EC2" w:rsidRPr="00CF0EC2" w:rsidRDefault="00CF0EC2" w:rsidP="00CF0EC2">
      <w:pPr>
        <w:pStyle w:val="SingleTxt"/>
        <w:spacing w:after="0" w:line="120" w:lineRule="exact"/>
        <w:rPr>
          <w:sz w:val="10"/>
          <w:lang w:val="fr-FR"/>
        </w:rPr>
      </w:pPr>
    </w:p>
    <w:p w:rsidR="00E54193" w:rsidRDefault="00E54193" w:rsidP="00CF0E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F0EC2">
        <w:rPr>
          <w:lang w:val="fr-FR"/>
        </w:rPr>
        <w:tab/>
      </w:r>
      <w:r w:rsidRPr="00CF0EC2">
        <w:rPr>
          <w:lang w:val="fr-FR"/>
        </w:rPr>
        <w:tab/>
        <w:t>d)</w:t>
      </w:r>
    </w:p>
    <w:p w:rsidR="00CF0EC2" w:rsidRPr="00CF0EC2" w:rsidRDefault="00CF0EC2" w:rsidP="00CF0EC2">
      <w:pPr>
        <w:pStyle w:val="SingleTxt"/>
        <w:spacing w:after="0" w:line="120" w:lineRule="exact"/>
        <w:rPr>
          <w:sz w:val="10"/>
          <w:lang w:val="fr-FR"/>
        </w:rPr>
      </w:pPr>
    </w:p>
    <w:p w:rsidR="00E54193" w:rsidRPr="00E54193" w:rsidRDefault="00E54193" w:rsidP="00CF0EC2">
      <w:pPr>
        <w:pStyle w:val="SingleTxt"/>
        <w:numPr>
          <w:ilvl w:val="0"/>
          <w:numId w:val="32"/>
        </w:numPr>
        <w:spacing w:line="240" w:lineRule="exact"/>
        <w:rPr>
          <w:lang w:val="fr-FR"/>
        </w:rPr>
      </w:pPr>
      <w:r w:rsidRPr="00E54193">
        <w:rPr>
          <w:lang w:val="fr-FR"/>
        </w:rPr>
        <w:t>Les populations réfugiées Maliennes sont cantonnées dans le camp de M’berra Moughataa de Bassiknou, à la frontière mauritano-malienne. Ce camp est géré conjointement par le Gouvernement Mauritanien et le HCR. Les populations y bénéficient d’assistance dans tous les domaines (santé, éducation, eau assainissement, vivres, sécurité</w:t>
      </w:r>
      <w:r w:rsidR="00876080">
        <w:rPr>
          <w:lang w:val="fr-FR"/>
        </w:rPr>
        <w:t xml:space="preserve"> </w:t>
      </w:r>
      <w:r w:rsidRPr="00E54193">
        <w:rPr>
          <w:lang w:val="fr-FR"/>
        </w:rPr>
        <w:t>…). Le gouvernement et ses partenaires veuillent à satisfaire les besoins en matière de protection des femmes et qu’elles jouissent de leurs droits.</w:t>
      </w:r>
    </w:p>
    <w:p w:rsidR="00E54193" w:rsidRDefault="00E54193" w:rsidP="00CF0EC2">
      <w:pPr>
        <w:pStyle w:val="SingleTxt"/>
        <w:numPr>
          <w:ilvl w:val="0"/>
          <w:numId w:val="32"/>
        </w:numPr>
        <w:spacing w:line="240" w:lineRule="exact"/>
        <w:rPr>
          <w:lang w:val="fr-FR"/>
        </w:rPr>
      </w:pPr>
      <w:r w:rsidRPr="00E54193">
        <w:rPr>
          <w:lang w:val="fr-FR"/>
        </w:rPr>
        <w:t>En conclusion, le Gouvernement de la République Islamique de Mauritanie souhaite la prise en compte des informations fournies et reste engagé à poursuivre un dialogue constructif avec le Comité pour l’élimination de toutes les formes de discrimination à l’égard des femmes au sujet des observations et recommandations qui lui ont été adressées à la suite de la présentation de son rapport lors de la 58</w:t>
      </w:r>
      <w:r w:rsidRPr="00CF0EC2">
        <w:rPr>
          <w:vertAlign w:val="superscript"/>
          <w:lang w:val="fr-FR"/>
        </w:rPr>
        <w:t>ème</w:t>
      </w:r>
      <w:r w:rsidR="00CF0EC2">
        <w:rPr>
          <w:lang w:val="fr-FR"/>
        </w:rPr>
        <w:t> </w:t>
      </w:r>
      <w:r w:rsidRPr="00E54193">
        <w:rPr>
          <w:lang w:val="fr-FR"/>
        </w:rPr>
        <w:t>session du Comité tenue à Genève en 2014.</w:t>
      </w:r>
    </w:p>
    <w:p w:rsidR="00E54193" w:rsidRPr="00E54193" w:rsidRDefault="00E54193" w:rsidP="00E54193">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54193" w:rsidRPr="00E54193" w:rsidSect="00E54193">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13T13:58:00Z" w:initials="Start">
    <w:p w:rsidR="00BF335B" w:rsidRPr="00E54193" w:rsidRDefault="00BF335B">
      <w:pPr>
        <w:pStyle w:val="CommentText"/>
        <w:rPr>
          <w:lang w:val="en-US"/>
        </w:rPr>
      </w:pPr>
      <w:r>
        <w:fldChar w:fldCharType="begin"/>
      </w:r>
      <w:r w:rsidRPr="00E54193">
        <w:rPr>
          <w:rStyle w:val="CommentReference"/>
          <w:lang w:val="en-US"/>
        </w:rPr>
        <w:instrText xml:space="preserve"> </w:instrText>
      </w:r>
      <w:r w:rsidRPr="00E54193">
        <w:rPr>
          <w:lang w:val="en-US"/>
        </w:rPr>
        <w:instrText>PAGE \# "'Page: '#'</w:instrText>
      </w:r>
      <w:r w:rsidRPr="00E54193">
        <w:rPr>
          <w:lang w:val="en-US"/>
        </w:rPr>
        <w:br/>
        <w:instrText>'"</w:instrText>
      </w:r>
      <w:r w:rsidRPr="00E54193">
        <w:rPr>
          <w:rStyle w:val="CommentReference"/>
          <w:lang w:val="en-US"/>
        </w:rPr>
        <w:instrText xml:space="preserve"> </w:instrText>
      </w:r>
      <w:r>
        <w:fldChar w:fldCharType="end"/>
      </w:r>
      <w:r>
        <w:rPr>
          <w:rStyle w:val="CommentReference"/>
        </w:rPr>
        <w:annotationRef/>
      </w:r>
      <w:r w:rsidRPr="00E54193">
        <w:rPr>
          <w:lang w:val="en-US"/>
        </w:rPr>
        <w:t>&lt;&lt;ODS JOB NO&gt;&gt;N1737250F&lt;&lt;ODS JOB NO&gt;&gt;</w:t>
      </w:r>
    </w:p>
    <w:p w:rsidR="00BF335B" w:rsidRPr="00E54193" w:rsidRDefault="00BF335B">
      <w:pPr>
        <w:pStyle w:val="CommentText"/>
        <w:rPr>
          <w:lang w:val="en-US"/>
        </w:rPr>
      </w:pPr>
      <w:r w:rsidRPr="00E54193">
        <w:rPr>
          <w:lang w:val="en-US"/>
        </w:rPr>
        <w:t>&lt;&lt;ODS DOC SYMBOL1&gt;&gt;CEDAW/C/MRT/CO/2-3/Add.1&lt;&lt;ODS DOC SYMBOL1&gt;&gt;</w:t>
      </w:r>
    </w:p>
    <w:p w:rsidR="00BF335B" w:rsidRDefault="00BF335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5B" w:rsidRDefault="00BF335B" w:rsidP="00101B18">
      <w:pPr>
        <w:spacing w:line="240" w:lineRule="auto"/>
      </w:pPr>
      <w:r>
        <w:separator/>
      </w:r>
    </w:p>
  </w:endnote>
  <w:endnote w:type="continuationSeparator" w:id="0">
    <w:p w:rsidR="00BF335B" w:rsidRDefault="00BF335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F335B" w:rsidTr="00396364">
      <w:tc>
        <w:tcPr>
          <w:tcW w:w="5028" w:type="dxa"/>
          <w:shd w:val="clear" w:color="auto" w:fill="auto"/>
        </w:tcPr>
        <w:p w:rsidR="00BF335B" w:rsidRPr="00396364" w:rsidRDefault="00BF335B" w:rsidP="0039636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5079">
            <w:rPr>
              <w:b w:val="0"/>
              <w:w w:val="103"/>
              <w:sz w:val="14"/>
            </w:rPr>
            <w:t>17-19771</w:t>
          </w:r>
          <w:r>
            <w:rPr>
              <w:b w:val="0"/>
              <w:w w:val="103"/>
              <w:sz w:val="14"/>
            </w:rPr>
            <w:fldChar w:fldCharType="end"/>
          </w:r>
        </w:p>
      </w:tc>
      <w:tc>
        <w:tcPr>
          <w:tcW w:w="5028" w:type="dxa"/>
          <w:shd w:val="clear" w:color="auto" w:fill="auto"/>
        </w:tcPr>
        <w:p w:rsidR="00BF335B" w:rsidRPr="00396364" w:rsidRDefault="00BF335B" w:rsidP="00396364">
          <w:pPr>
            <w:pStyle w:val="Footer"/>
            <w:rPr>
              <w:w w:val="103"/>
            </w:rPr>
          </w:pPr>
          <w:r>
            <w:rPr>
              <w:w w:val="103"/>
            </w:rPr>
            <w:fldChar w:fldCharType="begin"/>
          </w:r>
          <w:r>
            <w:rPr>
              <w:w w:val="103"/>
            </w:rPr>
            <w:instrText xml:space="preserve"> PAGE  \* Arabic  \* MERGEFORMAT </w:instrText>
          </w:r>
          <w:r>
            <w:rPr>
              <w:w w:val="103"/>
            </w:rPr>
            <w:fldChar w:fldCharType="separate"/>
          </w:r>
          <w:r w:rsidR="00045079">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45079">
            <w:rPr>
              <w:noProof/>
              <w:w w:val="103"/>
            </w:rPr>
            <w:t>11</w:t>
          </w:r>
          <w:r>
            <w:rPr>
              <w:w w:val="103"/>
            </w:rPr>
            <w:fldChar w:fldCharType="end"/>
          </w:r>
        </w:p>
      </w:tc>
    </w:tr>
  </w:tbl>
  <w:p w:rsidR="00BF335B" w:rsidRPr="00396364" w:rsidRDefault="00BF335B" w:rsidP="00396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F335B" w:rsidTr="00396364">
      <w:tc>
        <w:tcPr>
          <w:tcW w:w="5028" w:type="dxa"/>
          <w:shd w:val="clear" w:color="auto" w:fill="auto"/>
        </w:tcPr>
        <w:p w:rsidR="00BF335B" w:rsidRPr="00396364" w:rsidRDefault="00BF335B" w:rsidP="0039636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45079">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45079">
            <w:rPr>
              <w:noProof/>
              <w:w w:val="103"/>
            </w:rPr>
            <w:t>11</w:t>
          </w:r>
          <w:r>
            <w:rPr>
              <w:w w:val="103"/>
            </w:rPr>
            <w:fldChar w:fldCharType="end"/>
          </w:r>
        </w:p>
      </w:tc>
      <w:tc>
        <w:tcPr>
          <w:tcW w:w="5028" w:type="dxa"/>
          <w:shd w:val="clear" w:color="auto" w:fill="auto"/>
        </w:tcPr>
        <w:p w:rsidR="00BF335B" w:rsidRPr="00396364" w:rsidRDefault="00BF335B" w:rsidP="0039636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5079">
            <w:rPr>
              <w:b w:val="0"/>
              <w:w w:val="103"/>
              <w:sz w:val="14"/>
            </w:rPr>
            <w:t>17-19771</w:t>
          </w:r>
          <w:r>
            <w:rPr>
              <w:b w:val="0"/>
              <w:w w:val="103"/>
              <w:sz w:val="14"/>
            </w:rPr>
            <w:fldChar w:fldCharType="end"/>
          </w:r>
        </w:p>
      </w:tc>
    </w:tr>
  </w:tbl>
  <w:p w:rsidR="00BF335B" w:rsidRPr="00396364" w:rsidRDefault="00BF335B" w:rsidP="00396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5B" w:rsidRDefault="00BF335B">
    <w:pPr>
      <w:pStyle w:val="Footer"/>
    </w:pPr>
    <w:r>
      <w:rPr>
        <w:noProof/>
        <w:lang w:val="en-GB" w:eastAsia="en-GB"/>
      </w:rPr>
      <w:drawing>
        <wp:anchor distT="0" distB="0" distL="114300" distR="114300" simplePos="0" relativeHeight="251658240" behindDoc="0" locked="0" layoutInCell="1" allowOverlap="1" wp14:anchorId="187A43BF" wp14:editId="2585BA9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RT/CO/2-3/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RT/CO/2-3/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BF335B" w:rsidTr="00396364">
      <w:tc>
        <w:tcPr>
          <w:tcW w:w="3758" w:type="dxa"/>
        </w:tcPr>
        <w:p w:rsidR="00BF335B" w:rsidRDefault="00BF335B" w:rsidP="00E5419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45079">
            <w:rPr>
              <w:b w:val="0"/>
              <w:sz w:val="20"/>
            </w:rPr>
            <w:t>17-19771 (F)</w:t>
          </w:r>
          <w:r>
            <w:rPr>
              <w:b w:val="0"/>
              <w:sz w:val="20"/>
            </w:rPr>
            <w:fldChar w:fldCharType="end"/>
          </w:r>
          <w:r>
            <w:rPr>
              <w:b w:val="0"/>
              <w:sz w:val="20"/>
            </w:rPr>
            <w:t xml:space="preserve">    101117    221117</w:t>
          </w:r>
        </w:p>
        <w:p w:rsidR="00BF335B" w:rsidRPr="00396364" w:rsidRDefault="00BF335B" w:rsidP="0039636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45079">
            <w:rPr>
              <w:rFonts w:ascii="Barcode 3 of 9 by request" w:hAnsi="Barcode 3 of 9 by request"/>
              <w:b w:val="0"/>
              <w:spacing w:val="0"/>
              <w:w w:val="100"/>
              <w:sz w:val="24"/>
            </w:rPr>
            <w:t>*1719771*</w:t>
          </w:r>
          <w:r>
            <w:rPr>
              <w:rFonts w:ascii="Barcode 3 of 9 by request" w:hAnsi="Barcode 3 of 9 by request"/>
              <w:b w:val="0"/>
              <w:spacing w:val="0"/>
              <w:w w:val="100"/>
              <w:sz w:val="24"/>
            </w:rPr>
            <w:fldChar w:fldCharType="end"/>
          </w:r>
        </w:p>
      </w:tc>
      <w:tc>
        <w:tcPr>
          <w:tcW w:w="5028" w:type="dxa"/>
        </w:tcPr>
        <w:p w:rsidR="00BF335B" w:rsidRDefault="00BF335B" w:rsidP="00396364">
          <w:pPr>
            <w:pStyle w:val="Footer"/>
            <w:spacing w:line="240" w:lineRule="atLeast"/>
            <w:jc w:val="right"/>
            <w:rPr>
              <w:b w:val="0"/>
              <w:sz w:val="20"/>
            </w:rPr>
          </w:pPr>
          <w:r>
            <w:rPr>
              <w:b w:val="0"/>
              <w:noProof/>
              <w:sz w:val="20"/>
              <w:lang w:val="en-GB" w:eastAsia="en-GB"/>
            </w:rPr>
            <w:drawing>
              <wp:inline distT="0" distB="0" distL="0" distR="0" wp14:anchorId="1653581F" wp14:editId="1668520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F335B" w:rsidRPr="00396364" w:rsidRDefault="00BF335B" w:rsidP="0039636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5B" w:rsidRPr="00E54193" w:rsidRDefault="00BF335B" w:rsidP="00E54193">
      <w:pPr>
        <w:pStyle w:val="Footer"/>
        <w:spacing w:after="80"/>
        <w:ind w:left="792"/>
        <w:rPr>
          <w:sz w:val="16"/>
        </w:rPr>
      </w:pPr>
      <w:r w:rsidRPr="00E54193">
        <w:rPr>
          <w:sz w:val="16"/>
        </w:rPr>
        <w:t>__________________</w:t>
      </w:r>
    </w:p>
  </w:footnote>
  <w:footnote w:type="continuationSeparator" w:id="0">
    <w:p w:rsidR="00BF335B" w:rsidRPr="00E54193" w:rsidRDefault="00BF335B" w:rsidP="00E54193">
      <w:pPr>
        <w:pStyle w:val="Footer"/>
        <w:spacing w:after="80"/>
        <w:ind w:left="792"/>
        <w:rPr>
          <w:sz w:val="16"/>
        </w:rPr>
      </w:pPr>
      <w:r w:rsidRPr="00E54193">
        <w:rPr>
          <w:sz w:val="16"/>
        </w:rPr>
        <w:t>__________________</w:t>
      </w:r>
    </w:p>
  </w:footnote>
  <w:footnote w:id="1">
    <w:p w:rsidR="00BF335B" w:rsidRDefault="00BF335B" w:rsidP="00F32017">
      <w:pPr>
        <w:pStyle w:val="FootnoteText"/>
        <w:tabs>
          <w:tab w:val="right" w:pos="1195"/>
          <w:tab w:val="left" w:pos="1267"/>
          <w:tab w:val="left" w:pos="1742"/>
          <w:tab w:val="left" w:pos="2218"/>
          <w:tab w:val="left" w:pos="2693"/>
        </w:tabs>
        <w:ind w:left="1267" w:right="1267" w:hanging="432"/>
        <w:rPr>
          <w:i/>
          <w:szCs w:val="18"/>
          <w:lang w:val="fr-FR"/>
        </w:rPr>
      </w:pPr>
      <w:r>
        <w:rPr>
          <w:i/>
          <w:szCs w:val="18"/>
          <w:lang w:val="fr-FR"/>
        </w:rPr>
        <w:tab/>
        <w:t>*</w:t>
      </w:r>
      <w:r>
        <w:rPr>
          <w:i/>
          <w:szCs w:val="18"/>
          <w:lang w:val="fr-FR"/>
        </w:rPr>
        <w:tab/>
      </w:r>
      <w:r w:rsidRPr="00456AF7">
        <w:rPr>
          <w:szCs w:val="18"/>
          <w:lang w:val="fr-FR"/>
        </w:rPr>
        <w:t>Le présent document n’a pas fait l’objet d’une relecture sur le fond par les services d’édition.</w:t>
      </w:r>
    </w:p>
    <w:p w:rsidR="00BF335B" w:rsidRPr="00C03425" w:rsidRDefault="00BF335B" w:rsidP="00F32017">
      <w:pPr>
        <w:pStyle w:val="FootnoteText"/>
        <w:tabs>
          <w:tab w:val="right" w:pos="1195"/>
          <w:tab w:val="left" w:pos="1267"/>
          <w:tab w:val="left" w:pos="1742"/>
          <w:tab w:val="left" w:pos="2218"/>
          <w:tab w:val="left" w:pos="2693"/>
        </w:tabs>
        <w:ind w:left="1267" w:right="1267" w:hanging="432"/>
      </w:pPr>
      <w:r w:rsidRPr="00456AF7">
        <w:rPr>
          <w:i/>
          <w:szCs w:val="18"/>
          <w:lang w:val="fr-FR"/>
        </w:rPr>
        <w:tab/>
      </w:r>
      <w:r w:rsidRPr="00456AF7">
        <w:rPr>
          <w:i/>
          <w:szCs w:val="18"/>
          <w:lang w:val="fr-FR"/>
        </w:rPr>
        <w:tab/>
        <w:t>Note</w:t>
      </w:r>
      <w:r>
        <w:rPr>
          <w:szCs w:val="18"/>
          <w:lang w:val="fr-FR"/>
        </w:rPr>
        <w:t> :</w:t>
      </w:r>
      <w:r w:rsidRPr="00456AF7">
        <w:rPr>
          <w:szCs w:val="18"/>
          <w:lang w:val="fr-FR"/>
        </w:rPr>
        <w:t xml:space="preserve"> Le présent document est distribué en anglais, espagnol et français seulement.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F335B" w:rsidRPr="001F51C3" w:rsidTr="00396364">
      <w:trPr>
        <w:trHeight w:hRule="exact" w:val="864"/>
      </w:trPr>
      <w:tc>
        <w:tcPr>
          <w:tcW w:w="4838" w:type="dxa"/>
          <w:shd w:val="clear" w:color="auto" w:fill="auto"/>
          <w:vAlign w:val="bottom"/>
        </w:tcPr>
        <w:p w:rsidR="00BF335B" w:rsidRPr="00396364" w:rsidRDefault="00BF335B" w:rsidP="0039636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45079">
            <w:rPr>
              <w:b/>
              <w:color w:val="000000"/>
            </w:rPr>
            <w:t>CEDAW/C/MRT/CO/2-3/Add.1</w:t>
          </w:r>
          <w:r>
            <w:rPr>
              <w:b/>
              <w:color w:val="000000"/>
            </w:rPr>
            <w:fldChar w:fldCharType="end"/>
          </w:r>
        </w:p>
      </w:tc>
      <w:tc>
        <w:tcPr>
          <w:tcW w:w="5028" w:type="dxa"/>
          <w:shd w:val="clear" w:color="auto" w:fill="auto"/>
          <w:vAlign w:val="bottom"/>
        </w:tcPr>
        <w:p w:rsidR="00BF335B" w:rsidRDefault="00BF335B" w:rsidP="00396364">
          <w:pPr>
            <w:pStyle w:val="Header"/>
          </w:pPr>
        </w:p>
      </w:tc>
    </w:tr>
  </w:tbl>
  <w:p w:rsidR="00BF335B" w:rsidRPr="00396364" w:rsidRDefault="00BF335B" w:rsidP="0039636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F335B" w:rsidRPr="001F51C3" w:rsidTr="00396364">
      <w:trPr>
        <w:trHeight w:hRule="exact" w:val="864"/>
      </w:trPr>
      <w:tc>
        <w:tcPr>
          <w:tcW w:w="4838" w:type="dxa"/>
          <w:shd w:val="clear" w:color="auto" w:fill="auto"/>
          <w:vAlign w:val="bottom"/>
        </w:tcPr>
        <w:p w:rsidR="00BF335B" w:rsidRDefault="00BF335B" w:rsidP="00396364">
          <w:pPr>
            <w:pStyle w:val="Header"/>
          </w:pPr>
        </w:p>
      </w:tc>
      <w:tc>
        <w:tcPr>
          <w:tcW w:w="5028" w:type="dxa"/>
          <w:shd w:val="clear" w:color="auto" w:fill="auto"/>
          <w:vAlign w:val="bottom"/>
        </w:tcPr>
        <w:p w:rsidR="00BF335B" w:rsidRPr="00396364" w:rsidRDefault="00BF335B" w:rsidP="0039636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45079">
            <w:rPr>
              <w:b/>
              <w:color w:val="000000"/>
            </w:rPr>
            <w:t>CEDAW/C/MRT/CO/2-3/Add.1</w:t>
          </w:r>
          <w:r>
            <w:rPr>
              <w:b/>
              <w:color w:val="000000"/>
            </w:rPr>
            <w:fldChar w:fldCharType="end"/>
          </w:r>
        </w:p>
      </w:tc>
    </w:tr>
  </w:tbl>
  <w:p w:rsidR="00BF335B" w:rsidRPr="00396364" w:rsidRDefault="00BF335B" w:rsidP="0039636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F335B" w:rsidRPr="001F51C3" w:rsidTr="00396364">
      <w:trPr>
        <w:gridAfter w:val="1"/>
        <w:wAfter w:w="12" w:type="dxa"/>
        <w:trHeight w:hRule="exact" w:val="864"/>
      </w:trPr>
      <w:tc>
        <w:tcPr>
          <w:tcW w:w="1267" w:type="dxa"/>
          <w:tcBorders>
            <w:bottom w:val="single" w:sz="4" w:space="0" w:color="auto"/>
          </w:tcBorders>
          <w:shd w:val="clear" w:color="auto" w:fill="auto"/>
          <w:vAlign w:val="bottom"/>
        </w:tcPr>
        <w:p w:rsidR="00BF335B" w:rsidRDefault="00BF335B" w:rsidP="00396364">
          <w:pPr>
            <w:pStyle w:val="Header"/>
            <w:spacing w:after="120"/>
          </w:pPr>
        </w:p>
      </w:tc>
      <w:tc>
        <w:tcPr>
          <w:tcW w:w="2059" w:type="dxa"/>
          <w:tcBorders>
            <w:bottom w:val="single" w:sz="4" w:space="0" w:color="auto"/>
          </w:tcBorders>
          <w:shd w:val="clear" w:color="auto" w:fill="auto"/>
          <w:vAlign w:val="bottom"/>
        </w:tcPr>
        <w:p w:rsidR="00BF335B" w:rsidRPr="00396364" w:rsidRDefault="00BF335B" w:rsidP="0039636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F335B" w:rsidRDefault="00BF335B" w:rsidP="00396364">
          <w:pPr>
            <w:pStyle w:val="Header"/>
            <w:spacing w:after="120"/>
          </w:pPr>
        </w:p>
      </w:tc>
      <w:tc>
        <w:tcPr>
          <w:tcW w:w="6523" w:type="dxa"/>
          <w:gridSpan w:val="3"/>
          <w:tcBorders>
            <w:bottom w:val="single" w:sz="4" w:space="0" w:color="auto"/>
          </w:tcBorders>
          <w:shd w:val="clear" w:color="auto" w:fill="auto"/>
          <w:vAlign w:val="bottom"/>
        </w:tcPr>
        <w:p w:rsidR="00BF335B" w:rsidRPr="00E54193" w:rsidRDefault="00BF335B" w:rsidP="00396364">
          <w:pPr>
            <w:spacing w:after="80" w:line="240" w:lineRule="auto"/>
            <w:jc w:val="right"/>
            <w:rPr>
              <w:position w:val="-4"/>
              <w:lang w:val="en-US"/>
            </w:rPr>
          </w:pPr>
          <w:r w:rsidRPr="00E54193">
            <w:rPr>
              <w:position w:val="-4"/>
              <w:sz w:val="40"/>
              <w:lang w:val="en-US"/>
            </w:rPr>
            <w:t>CEDAW</w:t>
          </w:r>
          <w:r w:rsidRPr="00E54193">
            <w:rPr>
              <w:position w:val="-4"/>
              <w:lang w:val="en-US"/>
            </w:rPr>
            <w:t>/C/MRT/CO/2-3/Add.1</w:t>
          </w:r>
        </w:p>
      </w:tc>
    </w:tr>
    <w:tr w:rsidR="00BF335B" w:rsidRPr="00396364" w:rsidTr="00396364">
      <w:trPr>
        <w:trHeight w:hRule="exact" w:val="2880"/>
      </w:trPr>
      <w:tc>
        <w:tcPr>
          <w:tcW w:w="1267" w:type="dxa"/>
          <w:tcBorders>
            <w:top w:val="single" w:sz="4" w:space="0" w:color="auto"/>
            <w:bottom w:val="single" w:sz="12" w:space="0" w:color="auto"/>
          </w:tcBorders>
          <w:shd w:val="clear" w:color="auto" w:fill="auto"/>
        </w:tcPr>
        <w:p w:rsidR="00BF335B" w:rsidRPr="00396364" w:rsidRDefault="00BF335B" w:rsidP="00396364">
          <w:pPr>
            <w:pStyle w:val="Header"/>
            <w:spacing w:before="120" w:line="240" w:lineRule="auto"/>
            <w:ind w:left="-72"/>
            <w:jc w:val="center"/>
          </w:pPr>
          <w:r>
            <w:t xml:space="preserve"> </w:t>
          </w:r>
          <w:r>
            <w:rPr>
              <w:noProof/>
              <w:lang w:val="en-GB" w:eastAsia="en-GB"/>
            </w:rPr>
            <w:drawing>
              <wp:inline distT="0" distB="0" distL="0" distR="0" wp14:anchorId="6C72F783" wp14:editId="118E3B0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F335B" w:rsidRPr="00396364" w:rsidRDefault="00BF335B" w:rsidP="0039636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BF335B" w:rsidRPr="00E54193" w:rsidRDefault="00BF335B" w:rsidP="0039636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F335B" w:rsidRPr="00E54193" w:rsidRDefault="00BF335B" w:rsidP="00396364">
          <w:pPr>
            <w:pStyle w:val="Distribution"/>
            <w:rPr>
              <w:color w:val="000000"/>
              <w:lang w:val="fr-FR"/>
            </w:rPr>
          </w:pPr>
          <w:r w:rsidRPr="00E54193">
            <w:rPr>
              <w:color w:val="000000"/>
              <w:lang w:val="fr-FR"/>
            </w:rPr>
            <w:t>Distr. générale</w:t>
          </w:r>
        </w:p>
        <w:p w:rsidR="00BF335B" w:rsidRPr="00E54193" w:rsidRDefault="00BF335B" w:rsidP="00396364">
          <w:pPr>
            <w:pStyle w:val="Publication"/>
            <w:rPr>
              <w:color w:val="000000"/>
              <w:lang w:val="fr-FR"/>
            </w:rPr>
          </w:pPr>
          <w:r w:rsidRPr="00E54193">
            <w:rPr>
              <w:color w:val="000000"/>
              <w:lang w:val="fr-FR"/>
            </w:rPr>
            <w:t>9 novembre 2017</w:t>
          </w:r>
        </w:p>
        <w:p w:rsidR="00BF335B" w:rsidRPr="00E54193" w:rsidRDefault="00BF335B" w:rsidP="00396364">
          <w:pPr>
            <w:rPr>
              <w:lang w:val="fr-FR"/>
            </w:rPr>
          </w:pPr>
          <w:r w:rsidRPr="00E54193">
            <w:rPr>
              <w:lang w:val="fr-FR"/>
            </w:rPr>
            <w:t>Français</w:t>
          </w:r>
        </w:p>
        <w:p w:rsidR="00BF335B" w:rsidRPr="00E54193" w:rsidRDefault="00BF335B" w:rsidP="00396364">
          <w:pPr>
            <w:pStyle w:val="Original"/>
            <w:rPr>
              <w:color w:val="000000"/>
              <w:lang w:val="fr-FR"/>
            </w:rPr>
          </w:pPr>
          <w:r w:rsidRPr="00E54193">
            <w:rPr>
              <w:color w:val="000000"/>
              <w:lang w:val="fr-FR"/>
            </w:rPr>
            <w:t>Original</w:t>
          </w:r>
          <w:r>
            <w:rPr>
              <w:color w:val="000000"/>
              <w:lang w:val="fr-FR"/>
            </w:rPr>
            <w:t> :</w:t>
          </w:r>
          <w:r w:rsidRPr="00E54193">
            <w:rPr>
              <w:color w:val="000000"/>
              <w:lang w:val="fr-FR"/>
            </w:rPr>
            <w:t xml:space="preserve"> anglais/espagnol/français</w:t>
          </w:r>
        </w:p>
      </w:tc>
    </w:tr>
  </w:tbl>
  <w:p w:rsidR="00BF335B" w:rsidRPr="00E54193" w:rsidRDefault="00BF335B" w:rsidP="0039636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E36E5"/>
    <w:multiLevelType w:val="singleLevel"/>
    <w:tmpl w:val="0409000F"/>
    <w:lvl w:ilvl="0">
      <w:start w:val="1"/>
      <w:numFmt w:val="decimal"/>
      <w:lvlText w:val="%1."/>
      <w:lvlJc w:val="left"/>
      <w:pPr>
        <w:ind w:left="720" w:hanging="360"/>
      </w:pPr>
    </w:lvl>
  </w:abstractNum>
  <w:abstractNum w:abstractNumId="6">
    <w:nsid w:val="35693B81"/>
    <w:multiLevelType w:val="singleLevel"/>
    <w:tmpl w:val="492686CA"/>
    <w:lvl w:ilvl="0">
      <w:start w:val="17"/>
      <w:numFmt w:val="decimal"/>
      <w:lvlRestart w:val="0"/>
      <w:lvlText w:val="%1."/>
      <w:lvlJc w:val="left"/>
      <w:pPr>
        <w:tabs>
          <w:tab w:val="num" w:pos="1742"/>
        </w:tabs>
        <w:ind w:left="1267" w:firstLine="0"/>
      </w:pPr>
      <w:rPr>
        <w:w w:val="100"/>
      </w:rPr>
    </w:lvl>
  </w:abstractNum>
  <w:abstractNum w:abstractNumId="7">
    <w:nsid w:val="3ECC4CA7"/>
    <w:multiLevelType w:val="singleLevel"/>
    <w:tmpl w:val="0409000F"/>
    <w:lvl w:ilvl="0">
      <w:start w:val="1"/>
      <w:numFmt w:val="decimal"/>
      <w:lvlText w:val="%1."/>
      <w:lvlJc w:val="left"/>
      <w:pPr>
        <w:ind w:left="720" w:hanging="360"/>
      </w:p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9360E"/>
    <w:multiLevelType w:val="singleLevel"/>
    <w:tmpl w:val="0409000F"/>
    <w:lvl w:ilvl="0">
      <w:start w:val="1"/>
      <w:numFmt w:val="decimal"/>
      <w:lvlText w:val="%1."/>
      <w:lvlJc w:val="left"/>
      <w:pPr>
        <w:ind w:left="720" w:hanging="360"/>
      </w:pPr>
    </w:lvl>
  </w:abstractNum>
  <w:abstractNum w:abstractNumId="10">
    <w:nsid w:val="7A433E1A"/>
    <w:multiLevelType w:val="singleLevel"/>
    <w:tmpl w:val="C464B904"/>
    <w:lvl w:ilvl="0">
      <w:start w:val="1"/>
      <w:numFmt w:val="decimal"/>
      <w:lvlRestart w:val="0"/>
      <w:lvlText w:val="%1."/>
      <w:lvlJc w:val="left"/>
      <w:pPr>
        <w:tabs>
          <w:tab w:val="num" w:pos="1701"/>
        </w:tabs>
        <w:ind w:left="1134" w:firstLine="0"/>
      </w:pPr>
      <w:rPr>
        <w:rFonts w:hint="default"/>
        <w:w w:val="100"/>
      </w:rPr>
    </w:lvl>
  </w:abstractNum>
  <w:abstractNum w:abstractNumId="11">
    <w:nsid w:val="7FD85148"/>
    <w:multiLevelType w:val="singleLevel"/>
    <w:tmpl w:val="FC5E5056"/>
    <w:lvl w:ilvl="0">
      <w:start w:val="1"/>
      <w:numFmt w:val="decimal"/>
      <w:lvlRestart w:val="0"/>
      <w:lvlText w:val="%1."/>
      <w:lvlJc w:val="left"/>
      <w:pPr>
        <w:tabs>
          <w:tab w:val="num" w:pos="475"/>
        </w:tabs>
        <w:ind w:left="0" w:firstLine="0"/>
      </w:pPr>
      <w:rPr>
        <w:w w:val="100"/>
      </w:rPr>
    </w:lvl>
  </w:abstractNum>
  <w:num w:numId="1">
    <w:abstractNumId w:val="4"/>
  </w:num>
  <w:num w:numId="2">
    <w:abstractNumId w:val="8"/>
  </w:num>
  <w:num w:numId="3">
    <w:abstractNumId w:val="2"/>
  </w:num>
  <w:num w:numId="4">
    <w:abstractNumId w:val="3"/>
  </w:num>
  <w:num w:numId="5">
    <w:abstractNumId w:val="1"/>
  </w:num>
  <w:num w:numId="6">
    <w:abstractNumId w:val="0"/>
  </w:num>
  <w:num w:numId="7">
    <w:abstractNumId w:val="10"/>
  </w:num>
  <w:num w:numId="8">
    <w:abstractNumId w:val="11"/>
  </w:num>
  <w:num w:numId="9">
    <w:abstractNumId w:val="11"/>
    <w:lvlOverride w:ilvl="0">
      <w:lvl w:ilvl="0">
        <w:start w:val="1"/>
        <w:numFmt w:val="decimal"/>
        <w:lvlRestart w:val="0"/>
        <w:lvlText w:val="%1."/>
        <w:lvlJc w:val="left"/>
        <w:pPr>
          <w:tabs>
            <w:tab w:val="num" w:pos="475"/>
          </w:tabs>
          <w:ind w:left="0" w:firstLine="0"/>
        </w:pPr>
        <w:rPr>
          <w:w w:val="100"/>
        </w:rPr>
      </w:lvl>
    </w:lvlOverride>
  </w:num>
  <w:num w:numId="10">
    <w:abstractNumId w:val="11"/>
    <w:lvlOverride w:ilvl="0">
      <w:lvl w:ilvl="0">
        <w:start w:val="1"/>
        <w:numFmt w:val="decimal"/>
        <w:lvlRestart w:val="0"/>
        <w:lvlText w:val="%1."/>
        <w:lvlJc w:val="left"/>
        <w:pPr>
          <w:tabs>
            <w:tab w:val="num" w:pos="475"/>
          </w:tabs>
          <w:ind w:left="0" w:firstLine="0"/>
        </w:pPr>
        <w:rPr>
          <w:w w:val="100"/>
        </w:rPr>
      </w:lvl>
    </w:lvlOverride>
  </w:num>
  <w:num w:numId="11">
    <w:abstractNumId w:val="11"/>
    <w:lvlOverride w:ilvl="0">
      <w:lvl w:ilvl="0">
        <w:start w:val="1"/>
        <w:numFmt w:val="decimal"/>
        <w:lvlRestart w:val="0"/>
        <w:lvlText w:val="%1."/>
        <w:lvlJc w:val="left"/>
        <w:pPr>
          <w:tabs>
            <w:tab w:val="num" w:pos="475"/>
          </w:tabs>
          <w:ind w:left="0" w:firstLine="0"/>
        </w:pPr>
        <w:rPr>
          <w:w w:val="100"/>
        </w:rPr>
      </w:lvl>
    </w:lvlOverride>
  </w:num>
  <w:num w:numId="12">
    <w:abstractNumId w:val="11"/>
    <w:lvlOverride w:ilvl="0">
      <w:lvl w:ilvl="0">
        <w:start w:val="1"/>
        <w:numFmt w:val="decimal"/>
        <w:lvlRestart w:val="0"/>
        <w:lvlText w:val="%1."/>
        <w:lvlJc w:val="left"/>
        <w:pPr>
          <w:tabs>
            <w:tab w:val="num" w:pos="475"/>
          </w:tabs>
          <w:ind w:left="0" w:firstLine="0"/>
        </w:pPr>
        <w:rPr>
          <w:w w:val="100"/>
        </w:rPr>
      </w:lvl>
    </w:lvlOverride>
  </w:num>
  <w:num w:numId="13">
    <w:abstractNumId w:val="11"/>
    <w:lvlOverride w:ilvl="0">
      <w:lvl w:ilvl="0">
        <w:start w:val="1"/>
        <w:numFmt w:val="decimal"/>
        <w:lvlRestart w:val="0"/>
        <w:lvlText w:val="%1."/>
        <w:lvlJc w:val="left"/>
        <w:pPr>
          <w:tabs>
            <w:tab w:val="num" w:pos="475"/>
          </w:tabs>
          <w:ind w:left="0" w:firstLine="0"/>
        </w:pPr>
        <w:rPr>
          <w:w w:val="100"/>
        </w:rPr>
      </w:lvl>
    </w:lvlOverride>
  </w:num>
  <w:num w:numId="14">
    <w:abstractNumId w:val="11"/>
    <w:lvlOverride w:ilvl="0">
      <w:lvl w:ilvl="0">
        <w:start w:val="1"/>
        <w:numFmt w:val="decimal"/>
        <w:lvlRestart w:val="0"/>
        <w:lvlText w:val="%1."/>
        <w:lvlJc w:val="left"/>
        <w:pPr>
          <w:tabs>
            <w:tab w:val="num" w:pos="475"/>
          </w:tabs>
          <w:ind w:left="0" w:firstLine="0"/>
        </w:pPr>
        <w:rPr>
          <w:w w:val="100"/>
        </w:rPr>
      </w:lvl>
    </w:lvlOverride>
  </w:num>
  <w:num w:numId="15">
    <w:abstractNumId w:val="11"/>
    <w:lvlOverride w:ilvl="0">
      <w:lvl w:ilvl="0">
        <w:start w:val="1"/>
        <w:numFmt w:val="decimal"/>
        <w:lvlRestart w:val="0"/>
        <w:lvlText w:val="%1."/>
        <w:lvlJc w:val="left"/>
        <w:pPr>
          <w:tabs>
            <w:tab w:val="num" w:pos="475"/>
          </w:tabs>
          <w:ind w:left="0" w:firstLine="0"/>
        </w:pPr>
        <w:rPr>
          <w:w w:val="100"/>
        </w:rPr>
      </w:lvl>
    </w:lvlOverride>
  </w:num>
  <w:num w:numId="16">
    <w:abstractNumId w:val="11"/>
    <w:lvlOverride w:ilvl="0">
      <w:lvl w:ilvl="0">
        <w:start w:val="1"/>
        <w:numFmt w:val="decimal"/>
        <w:lvlRestart w:val="0"/>
        <w:lvlText w:val="%1."/>
        <w:lvlJc w:val="left"/>
        <w:pPr>
          <w:tabs>
            <w:tab w:val="num" w:pos="475"/>
          </w:tabs>
          <w:ind w:left="0" w:firstLine="0"/>
        </w:pPr>
        <w:rPr>
          <w:w w:val="100"/>
        </w:rPr>
      </w:lvl>
    </w:lvlOverride>
  </w:num>
  <w:num w:numId="17">
    <w:abstractNumId w:val="11"/>
    <w:lvlOverride w:ilvl="0">
      <w:lvl w:ilvl="0">
        <w:start w:val="1"/>
        <w:numFmt w:val="decimal"/>
        <w:lvlRestart w:val="0"/>
        <w:lvlText w:val="%1."/>
        <w:lvlJc w:val="left"/>
        <w:pPr>
          <w:tabs>
            <w:tab w:val="num" w:pos="475"/>
          </w:tabs>
          <w:ind w:left="0" w:firstLine="0"/>
        </w:pPr>
        <w:rPr>
          <w:w w:val="100"/>
        </w:rPr>
      </w:lvl>
    </w:lvlOverride>
  </w:num>
  <w:num w:numId="18">
    <w:abstractNumId w:val="11"/>
    <w:lvlOverride w:ilvl="0">
      <w:lvl w:ilvl="0">
        <w:start w:val="1"/>
        <w:numFmt w:val="decimal"/>
        <w:lvlRestart w:val="0"/>
        <w:lvlText w:val="%1."/>
        <w:lvlJc w:val="left"/>
        <w:pPr>
          <w:tabs>
            <w:tab w:val="num" w:pos="475"/>
          </w:tabs>
          <w:ind w:left="0" w:firstLine="0"/>
        </w:pPr>
        <w:rPr>
          <w:w w:val="100"/>
        </w:rPr>
      </w:lvl>
    </w:lvlOverride>
  </w:num>
  <w:num w:numId="19">
    <w:abstractNumId w:val="11"/>
    <w:lvlOverride w:ilvl="0">
      <w:lvl w:ilvl="0">
        <w:start w:val="1"/>
        <w:numFmt w:val="decimal"/>
        <w:lvlRestart w:val="0"/>
        <w:lvlText w:val="%1."/>
        <w:lvlJc w:val="left"/>
        <w:pPr>
          <w:tabs>
            <w:tab w:val="num" w:pos="475"/>
          </w:tabs>
          <w:ind w:left="0" w:firstLine="0"/>
        </w:pPr>
        <w:rPr>
          <w:w w:val="100"/>
        </w:rPr>
      </w:lvl>
    </w:lvlOverride>
  </w:num>
  <w:num w:numId="20">
    <w:abstractNumId w:val="7"/>
  </w:num>
  <w:num w:numId="21">
    <w:abstractNumId w:val="5"/>
  </w:num>
  <w:num w:numId="22">
    <w:abstractNumId w:val="5"/>
    <w:lvlOverride w:ilvl="0">
      <w:lvl w:ilvl="0">
        <w:start w:val="1"/>
        <w:numFmt w:val="decimal"/>
        <w:lvlText w:val="%1."/>
        <w:lvlJc w:val="left"/>
        <w:pPr>
          <w:ind w:left="720" w:hanging="360"/>
        </w:pPr>
      </w:lvl>
    </w:lvlOverride>
  </w:num>
  <w:num w:numId="23">
    <w:abstractNumId w:val="9"/>
  </w:num>
  <w:num w:numId="24">
    <w:abstractNumId w:val="9"/>
    <w:lvlOverride w:ilvl="0">
      <w:lvl w:ilvl="0">
        <w:start w:val="1"/>
        <w:numFmt w:val="decimal"/>
        <w:lvlText w:val="%1."/>
        <w:lvlJc w:val="left"/>
        <w:pPr>
          <w:ind w:left="720" w:hanging="360"/>
        </w:pPr>
      </w:lvl>
    </w:lvlOverride>
  </w:num>
  <w:num w:numId="25">
    <w:abstractNumId w:val="6"/>
  </w:num>
  <w:num w:numId="26">
    <w:abstractNumId w:val="6"/>
    <w:lvlOverride w:ilvl="0">
      <w:lvl w:ilvl="0">
        <w:start w:val="17"/>
        <w:numFmt w:val="decimal"/>
        <w:lvlRestart w:val="0"/>
        <w:lvlText w:val="%1."/>
        <w:lvlJc w:val="left"/>
        <w:pPr>
          <w:tabs>
            <w:tab w:val="num" w:pos="1742"/>
          </w:tabs>
          <w:ind w:left="1267" w:firstLine="0"/>
        </w:pPr>
        <w:rPr>
          <w:w w:val="100"/>
        </w:rPr>
      </w:lvl>
    </w:lvlOverride>
  </w:num>
  <w:num w:numId="27">
    <w:abstractNumId w:val="6"/>
    <w:lvlOverride w:ilvl="0">
      <w:lvl w:ilvl="0">
        <w:start w:val="17"/>
        <w:numFmt w:val="decimal"/>
        <w:lvlRestart w:val="0"/>
        <w:lvlText w:val="%1."/>
        <w:lvlJc w:val="left"/>
        <w:pPr>
          <w:tabs>
            <w:tab w:val="num" w:pos="1742"/>
          </w:tabs>
          <w:ind w:left="1267" w:firstLine="0"/>
        </w:pPr>
        <w:rPr>
          <w:w w:val="100"/>
        </w:rPr>
      </w:lvl>
    </w:lvlOverride>
  </w:num>
  <w:num w:numId="28">
    <w:abstractNumId w:val="6"/>
    <w:lvlOverride w:ilvl="0">
      <w:lvl w:ilvl="0">
        <w:start w:val="17"/>
        <w:numFmt w:val="decimal"/>
        <w:lvlRestart w:val="0"/>
        <w:lvlText w:val="%1."/>
        <w:lvlJc w:val="left"/>
        <w:pPr>
          <w:tabs>
            <w:tab w:val="num" w:pos="1742"/>
          </w:tabs>
          <w:ind w:left="1267" w:firstLine="0"/>
        </w:pPr>
        <w:rPr>
          <w:w w:val="100"/>
        </w:rPr>
      </w:lvl>
    </w:lvlOverride>
  </w:num>
  <w:num w:numId="29">
    <w:abstractNumId w:val="6"/>
    <w:lvlOverride w:ilvl="0">
      <w:lvl w:ilvl="0">
        <w:start w:val="17"/>
        <w:numFmt w:val="decimal"/>
        <w:lvlRestart w:val="0"/>
        <w:lvlText w:val="%1."/>
        <w:lvlJc w:val="left"/>
        <w:pPr>
          <w:tabs>
            <w:tab w:val="num" w:pos="1742"/>
          </w:tabs>
          <w:ind w:left="1267" w:firstLine="0"/>
        </w:pPr>
        <w:rPr>
          <w:w w:val="100"/>
        </w:rPr>
      </w:lvl>
    </w:lvlOverride>
  </w:num>
  <w:num w:numId="30">
    <w:abstractNumId w:val="6"/>
    <w:lvlOverride w:ilvl="0">
      <w:lvl w:ilvl="0">
        <w:start w:val="17"/>
        <w:numFmt w:val="decimal"/>
        <w:lvlRestart w:val="0"/>
        <w:lvlText w:val="%1."/>
        <w:lvlJc w:val="left"/>
        <w:pPr>
          <w:tabs>
            <w:tab w:val="num" w:pos="1742"/>
          </w:tabs>
          <w:ind w:left="1267" w:firstLine="0"/>
        </w:pPr>
        <w:rPr>
          <w:w w:val="100"/>
        </w:rPr>
      </w:lvl>
    </w:lvlOverride>
  </w:num>
  <w:num w:numId="31">
    <w:abstractNumId w:val="6"/>
    <w:lvlOverride w:ilvl="0">
      <w:lvl w:ilvl="0">
        <w:start w:val="17"/>
        <w:numFmt w:val="decimal"/>
        <w:lvlRestart w:val="0"/>
        <w:lvlText w:val="%1."/>
        <w:lvlJc w:val="left"/>
        <w:pPr>
          <w:tabs>
            <w:tab w:val="num" w:pos="1742"/>
          </w:tabs>
          <w:ind w:left="1267" w:firstLine="0"/>
        </w:pPr>
        <w:rPr>
          <w:w w:val="100"/>
        </w:rPr>
      </w:lvl>
    </w:lvlOverride>
  </w:num>
  <w:num w:numId="32">
    <w:abstractNumId w:val="6"/>
    <w:lvlOverride w:ilvl="0">
      <w:lvl w:ilvl="0">
        <w:start w:val="17"/>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9771*"/>
    <w:docVar w:name="CreationDt" w:val="13/11/2017 1:58: PM"/>
    <w:docVar w:name="DocCategory" w:val="Doc"/>
    <w:docVar w:name="DocType" w:val="Final"/>
    <w:docVar w:name="DutyStation" w:val="New York"/>
    <w:docVar w:name="FooterJN" w:val="17-19771"/>
    <w:docVar w:name="jobn" w:val="17-19771 (F)"/>
    <w:docVar w:name="jobnDT" w:val="17-19771 (F)   131117"/>
    <w:docVar w:name="jobnDTDT" w:val="17-19771 (F)   131117   131117"/>
    <w:docVar w:name="JobNo" w:val="1719771F"/>
    <w:docVar w:name="JobNo2" w:val="1737250F"/>
    <w:docVar w:name="LocalDrive" w:val="0"/>
    <w:docVar w:name="OandT" w:val=" "/>
    <w:docVar w:name="sss1" w:val="CEDAW/C/MRT/CO/2-3/Add.1"/>
    <w:docVar w:name="sss2" w:val="-"/>
    <w:docVar w:name="Symbol1" w:val="CEDAW/C/MRT/CO/2-3/Add.1"/>
    <w:docVar w:name="Symbol2" w:val="-"/>
  </w:docVars>
  <w:rsids>
    <w:rsidRoot w:val="001051D8"/>
    <w:rsid w:val="00011E99"/>
    <w:rsid w:val="00045079"/>
    <w:rsid w:val="000B3D83"/>
    <w:rsid w:val="00101B18"/>
    <w:rsid w:val="001051D8"/>
    <w:rsid w:val="00117399"/>
    <w:rsid w:val="001572D0"/>
    <w:rsid w:val="00166A0D"/>
    <w:rsid w:val="001E4B50"/>
    <w:rsid w:val="001F51C3"/>
    <w:rsid w:val="002478A0"/>
    <w:rsid w:val="00272B42"/>
    <w:rsid w:val="00274981"/>
    <w:rsid w:val="002D2E52"/>
    <w:rsid w:val="00315221"/>
    <w:rsid w:val="00396364"/>
    <w:rsid w:val="00440C93"/>
    <w:rsid w:val="00480B84"/>
    <w:rsid w:val="004C1A25"/>
    <w:rsid w:val="004D4D35"/>
    <w:rsid w:val="005D5B55"/>
    <w:rsid w:val="007531A5"/>
    <w:rsid w:val="00771C9E"/>
    <w:rsid w:val="007C79A3"/>
    <w:rsid w:val="0082045E"/>
    <w:rsid w:val="0084076B"/>
    <w:rsid w:val="00876080"/>
    <w:rsid w:val="00993CB7"/>
    <w:rsid w:val="009B6A87"/>
    <w:rsid w:val="00A8283E"/>
    <w:rsid w:val="00AD5F2F"/>
    <w:rsid w:val="00B858D5"/>
    <w:rsid w:val="00B978BC"/>
    <w:rsid w:val="00BF335B"/>
    <w:rsid w:val="00CB06FB"/>
    <w:rsid w:val="00CB63C5"/>
    <w:rsid w:val="00CF0EC2"/>
    <w:rsid w:val="00D4341F"/>
    <w:rsid w:val="00E14600"/>
    <w:rsid w:val="00E343A6"/>
    <w:rsid w:val="00E54193"/>
    <w:rsid w:val="00E64640"/>
    <w:rsid w:val="00E7105F"/>
    <w:rsid w:val="00EF2DFA"/>
    <w:rsid w:val="00F32017"/>
    <w:rsid w:val="00F5012D"/>
    <w:rsid w:val="00F73093"/>
    <w:rsid w:val="00FA3D05"/>
    <w:rsid w:val="00FA5CC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52"/>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D2E5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2E5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2E5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2E5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2E5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2E5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2E5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2E5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2E5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2E52"/>
    <w:pPr>
      <w:keepNext/>
      <w:keepLines/>
      <w:suppressAutoHyphens/>
      <w:spacing w:line="270" w:lineRule="exact"/>
      <w:outlineLvl w:val="0"/>
    </w:pPr>
    <w:rPr>
      <w:b/>
      <w:sz w:val="24"/>
    </w:rPr>
  </w:style>
  <w:style w:type="paragraph" w:customStyle="1" w:styleId="HCH">
    <w:name w:val="_ H _CH"/>
    <w:basedOn w:val="H1"/>
    <w:next w:val="Normal"/>
    <w:qFormat/>
    <w:rsid w:val="002D2E52"/>
    <w:pPr>
      <w:spacing w:line="300" w:lineRule="exact"/>
    </w:pPr>
    <w:rPr>
      <w:spacing w:val="-2"/>
      <w:sz w:val="28"/>
    </w:rPr>
  </w:style>
  <w:style w:type="paragraph" w:customStyle="1" w:styleId="HM">
    <w:name w:val="_ H __M"/>
    <w:basedOn w:val="HCH"/>
    <w:next w:val="Normal"/>
    <w:qFormat/>
    <w:rsid w:val="002D2E52"/>
    <w:pPr>
      <w:spacing w:line="360" w:lineRule="exact"/>
    </w:pPr>
    <w:rPr>
      <w:spacing w:val="-3"/>
      <w:w w:val="99"/>
      <w:sz w:val="34"/>
    </w:rPr>
  </w:style>
  <w:style w:type="paragraph" w:customStyle="1" w:styleId="H23">
    <w:name w:val="_ H_2/3"/>
    <w:basedOn w:val="H1"/>
    <w:next w:val="SingleTxt"/>
    <w:qFormat/>
    <w:rsid w:val="002D2E52"/>
    <w:pPr>
      <w:spacing w:line="240" w:lineRule="exact"/>
      <w:outlineLvl w:val="1"/>
    </w:pPr>
    <w:rPr>
      <w:spacing w:val="2"/>
      <w:sz w:val="20"/>
    </w:rPr>
  </w:style>
  <w:style w:type="paragraph" w:customStyle="1" w:styleId="H4">
    <w:name w:val="_ H_4"/>
    <w:basedOn w:val="Normal"/>
    <w:next w:val="SingleTxt"/>
    <w:qFormat/>
    <w:rsid w:val="002D2E52"/>
    <w:pPr>
      <w:keepNext/>
      <w:keepLines/>
      <w:tabs>
        <w:tab w:val="right" w:pos="360"/>
      </w:tabs>
      <w:suppressAutoHyphens/>
      <w:outlineLvl w:val="3"/>
    </w:pPr>
    <w:rPr>
      <w:i/>
      <w:spacing w:val="3"/>
    </w:rPr>
  </w:style>
  <w:style w:type="paragraph" w:customStyle="1" w:styleId="H56">
    <w:name w:val="_ H_5/6"/>
    <w:basedOn w:val="Normal"/>
    <w:next w:val="Normal"/>
    <w:qFormat/>
    <w:rsid w:val="002D2E5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2E5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2E5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2E52"/>
    <w:pPr>
      <w:spacing w:line="540" w:lineRule="exact"/>
    </w:pPr>
    <w:rPr>
      <w:spacing w:val="-8"/>
      <w:w w:val="96"/>
      <w:sz w:val="57"/>
    </w:rPr>
  </w:style>
  <w:style w:type="paragraph" w:customStyle="1" w:styleId="SS">
    <w:name w:val="__S_S"/>
    <w:basedOn w:val="HCH"/>
    <w:next w:val="Normal"/>
    <w:qFormat/>
    <w:rsid w:val="002D2E52"/>
    <w:pPr>
      <w:ind w:left="1267" w:right="1267"/>
    </w:pPr>
  </w:style>
  <w:style w:type="paragraph" w:customStyle="1" w:styleId="SingleTxt">
    <w:name w:val="__Single Txt"/>
    <w:basedOn w:val="Normal"/>
    <w:qFormat/>
    <w:rsid w:val="002D2E5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2E5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2D2E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2D2E52"/>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2D2E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2E52"/>
    <w:rPr>
      <w:rFonts w:ascii="Tahoma" w:hAnsi="Tahoma" w:cs="Tahoma"/>
      <w:spacing w:val="4"/>
      <w:w w:val="103"/>
      <w:kern w:val="14"/>
      <w:sz w:val="16"/>
      <w:szCs w:val="16"/>
      <w:lang w:val="fr-CA" w:eastAsia="en-US"/>
    </w:rPr>
  </w:style>
  <w:style w:type="paragraph" w:customStyle="1" w:styleId="Bullet1">
    <w:name w:val="Bullet 1"/>
    <w:basedOn w:val="Normal"/>
    <w:qFormat/>
    <w:rsid w:val="002D2E52"/>
    <w:pPr>
      <w:numPr>
        <w:numId w:val="1"/>
      </w:numPr>
      <w:spacing w:after="120"/>
      <w:ind w:right="1267"/>
      <w:jc w:val="both"/>
    </w:pPr>
  </w:style>
  <w:style w:type="paragraph" w:customStyle="1" w:styleId="Bullet2">
    <w:name w:val="Bullet 2"/>
    <w:basedOn w:val="Normal"/>
    <w:qFormat/>
    <w:rsid w:val="002D2E52"/>
    <w:pPr>
      <w:numPr>
        <w:numId w:val="2"/>
      </w:numPr>
      <w:spacing w:after="120"/>
      <w:ind w:right="1264"/>
      <w:jc w:val="both"/>
    </w:pPr>
  </w:style>
  <w:style w:type="paragraph" w:customStyle="1" w:styleId="Bullet3">
    <w:name w:val="Bullet 3"/>
    <w:basedOn w:val="SingleTxt"/>
    <w:qFormat/>
    <w:rsid w:val="002D2E5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2E5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D2E5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D2E52"/>
    <w:pPr>
      <w:spacing w:line="210" w:lineRule="exact"/>
    </w:pPr>
    <w:rPr>
      <w:sz w:val="17"/>
      <w:szCs w:val="20"/>
    </w:rPr>
  </w:style>
  <w:style w:type="character" w:customStyle="1" w:styleId="EndnoteTextChar">
    <w:name w:val="Endnote Text Char"/>
    <w:link w:val="EndnoteText"/>
    <w:uiPriority w:val="99"/>
    <w:semiHidden/>
    <w:rsid w:val="002D2E52"/>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2D2E5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2D2E52"/>
    <w:rPr>
      <w:rFonts w:ascii="Times New Roman" w:hAnsi="Times New Roman" w:cs="Times New Roman"/>
      <w:b/>
      <w:spacing w:val="3"/>
      <w:w w:val="105"/>
      <w:sz w:val="17"/>
      <w:lang w:val="en-US" w:eastAsia="en-US"/>
    </w:rPr>
  </w:style>
  <w:style w:type="character" w:styleId="FootnoteReference">
    <w:name w:val="footnote reference"/>
    <w:uiPriority w:val="99"/>
    <w:semiHidden/>
    <w:rsid w:val="002D2E5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D2E52"/>
    <w:pPr>
      <w:spacing w:line="210" w:lineRule="exact"/>
    </w:pPr>
    <w:rPr>
      <w:sz w:val="17"/>
      <w:szCs w:val="20"/>
    </w:rPr>
  </w:style>
  <w:style w:type="character" w:customStyle="1" w:styleId="FootnoteTextChar">
    <w:name w:val="Footnote Text Char"/>
    <w:link w:val="FootnoteText"/>
    <w:uiPriority w:val="99"/>
    <w:rsid w:val="002D2E52"/>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2D2E5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2D2E52"/>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2D2E5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2E5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2E5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2E5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2E5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2E5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2E5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2E5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2E5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D2E52"/>
    <w:rPr>
      <w:sz w:val="14"/>
    </w:rPr>
  </w:style>
  <w:style w:type="paragraph" w:styleId="ListParagraph">
    <w:name w:val="List Paragraph"/>
    <w:basedOn w:val="Normal"/>
    <w:uiPriority w:val="34"/>
    <w:rsid w:val="002D2E52"/>
    <w:pPr>
      <w:ind w:left="720"/>
      <w:contextualSpacing/>
    </w:pPr>
  </w:style>
  <w:style w:type="paragraph" w:styleId="NoSpacing">
    <w:name w:val="No Spacing"/>
    <w:uiPriority w:val="1"/>
    <w:rsid w:val="002D2E52"/>
    <w:pPr>
      <w:spacing w:after="0" w:line="240" w:lineRule="auto"/>
    </w:pPr>
    <w:rPr>
      <w:rFonts w:ascii="Calibri" w:hAnsi="Calibri" w:cs="Times New Roman"/>
      <w:lang w:val="en-US" w:eastAsia="en-US"/>
    </w:rPr>
  </w:style>
  <w:style w:type="paragraph" w:customStyle="1" w:styleId="Original">
    <w:name w:val="Original"/>
    <w:next w:val="Normal"/>
    <w:autoRedefine/>
    <w:qFormat/>
    <w:rsid w:val="002D2E5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2D2E5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2D2E5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2D2E52"/>
    <w:pPr>
      <w:tabs>
        <w:tab w:val="right" w:pos="9965"/>
      </w:tabs>
      <w:spacing w:line="210" w:lineRule="exact"/>
    </w:pPr>
    <w:rPr>
      <w:spacing w:val="5"/>
      <w:w w:val="104"/>
      <w:sz w:val="17"/>
    </w:rPr>
  </w:style>
  <w:style w:type="paragraph" w:customStyle="1" w:styleId="SmallX">
    <w:name w:val="SmallX"/>
    <w:basedOn w:val="Small"/>
    <w:next w:val="Normal"/>
    <w:qFormat/>
    <w:rsid w:val="002D2E52"/>
    <w:pPr>
      <w:spacing w:line="180" w:lineRule="exact"/>
      <w:jc w:val="right"/>
    </w:pPr>
    <w:rPr>
      <w:spacing w:val="6"/>
      <w:w w:val="106"/>
      <w:sz w:val="14"/>
    </w:rPr>
  </w:style>
  <w:style w:type="character" w:styleId="Strong">
    <w:name w:val="Strong"/>
    <w:uiPriority w:val="22"/>
    <w:rsid w:val="002D2E52"/>
    <w:rPr>
      <w:b/>
      <w:bCs/>
    </w:rPr>
  </w:style>
  <w:style w:type="paragraph" w:customStyle="1" w:styleId="Style1">
    <w:name w:val="Style1"/>
    <w:basedOn w:val="Normal"/>
    <w:qFormat/>
    <w:rsid w:val="002D2E52"/>
  </w:style>
  <w:style w:type="paragraph" w:customStyle="1" w:styleId="Style2">
    <w:name w:val="Style2"/>
    <w:basedOn w:val="Normal"/>
    <w:autoRedefine/>
    <w:qFormat/>
    <w:rsid w:val="002D2E52"/>
  </w:style>
  <w:style w:type="paragraph" w:customStyle="1" w:styleId="TitleHCH">
    <w:name w:val="Title_H_CH"/>
    <w:basedOn w:val="HCH"/>
    <w:next w:val="SingleTxt"/>
    <w:qFormat/>
    <w:rsid w:val="002D2E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2D2E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2D2E52"/>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396364"/>
    <w:rPr>
      <w:sz w:val="16"/>
      <w:szCs w:val="16"/>
    </w:rPr>
  </w:style>
  <w:style w:type="paragraph" w:styleId="CommentText">
    <w:name w:val="annotation text"/>
    <w:basedOn w:val="Normal"/>
    <w:link w:val="CommentTextChar"/>
    <w:uiPriority w:val="99"/>
    <w:semiHidden/>
    <w:unhideWhenUsed/>
    <w:rsid w:val="00396364"/>
    <w:pPr>
      <w:spacing w:line="240" w:lineRule="auto"/>
    </w:pPr>
    <w:rPr>
      <w:szCs w:val="20"/>
    </w:rPr>
  </w:style>
  <w:style w:type="character" w:customStyle="1" w:styleId="CommentTextChar">
    <w:name w:val="Comment Text Char"/>
    <w:basedOn w:val="DefaultParagraphFont"/>
    <w:link w:val="CommentText"/>
    <w:uiPriority w:val="99"/>
    <w:semiHidden/>
    <w:rsid w:val="00396364"/>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96364"/>
    <w:rPr>
      <w:b/>
      <w:bCs/>
    </w:rPr>
  </w:style>
  <w:style w:type="character" w:customStyle="1" w:styleId="CommentSubjectChar">
    <w:name w:val="Comment Subject Char"/>
    <w:basedOn w:val="CommentTextChar"/>
    <w:link w:val="CommentSubject"/>
    <w:uiPriority w:val="99"/>
    <w:semiHidden/>
    <w:rsid w:val="00396364"/>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876080"/>
    <w:rPr>
      <w:color w:val="0000FF" w:themeColor="hyperlink"/>
      <w:u w:val="none"/>
    </w:rPr>
  </w:style>
  <w:style w:type="character" w:styleId="FollowedHyperlink">
    <w:name w:val="FollowedHyperlink"/>
    <w:basedOn w:val="DefaultParagraphFont"/>
    <w:uiPriority w:val="99"/>
    <w:semiHidden/>
    <w:unhideWhenUsed/>
    <w:rsid w:val="0087608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52"/>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D2E5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2E5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2E5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2E5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2E5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2E5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2E5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2E5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2E5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2E52"/>
    <w:pPr>
      <w:keepNext/>
      <w:keepLines/>
      <w:suppressAutoHyphens/>
      <w:spacing w:line="270" w:lineRule="exact"/>
      <w:outlineLvl w:val="0"/>
    </w:pPr>
    <w:rPr>
      <w:b/>
      <w:sz w:val="24"/>
    </w:rPr>
  </w:style>
  <w:style w:type="paragraph" w:customStyle="1" w:styleId="HCH">
    <w:name w:val="_ H _CH"/>
    <w:basedOn w:val="H1"/>
    <w:next w:val="Normal"/>
    <w:qFormat/>
    <w:rsid w:val="002D2E52"/>
    <w:pPr>
      <w:spacing w:line="300" w:lineRule="exact"/>
    </w:pPr>
    <w:rPr>
      <w:spacing w:val="-2"/>
      <w:sz w:val="28"/>
    </w:rPr>
  </w:style>
  <w:style w:type="paragraph" w:customStyle="1" w:styleId="HM">
    <w:name w:val="_ H __M"/>
    <w:basedOn w:val="HCH"/>
    <w:next w:val="Normal"/>
    <w:qFormat/>
    <w:rsid w:val="002D2E52"/>
    <w:pPr>
      <w:spacing w:line="360" w:lineRule="exact"/>
    </w:pPr>
    <w:rPr>
      <w:spacing w:val="-3"/>
      <w:w w:val="99"/>
      <w:sz w:val="34"/>
    </w:rPr>
  </w:style>
  <w:style w:type="paragraph" w:customStyle="1" w:styleId="H23">
    <w:name w:val="_ H_2/3"/>
    <w:basedOn w:val="H1"/>
    <w:next w:val="SingleTxt"/>
    <w:qFormat/>
    <w:rsid w:val="002D2E52"/>
    <w:pPr>
      <w:spacing w:line="240" w:lineRule="exact"/>
      <w:outlineLvl w:val="1"/>
    </w:pPr>
    <w:rPr>
      <w:spacing w:val="2"/>
      <w:sz w:val="20"/>
    </w:rPr>
  </w:style>
  <w:style w:type="paragraph" w:customStyle="1" w:styleId="H4">
    <w:name w:val="_ H_4"/>
    <w:basedOn w:val="Normal"/>
    <w:next w:val="SingleTxt"/>
    <w:qFormat/>
    <w:rsid w:val="002D2E52"/>
    <w:pPr>
      <w:keepNext/>
      <w:keepLines/>
      <w:tabs>
        <w:tab w:val="right" w:pos="360"/>
      </w:tabs>
      <w:suppressAutoHyphens/>
      <w:outlineLvl w:val="3"/>
    </w:pPr>
    <w:rPr>
      <w:i/>
      <w:spacing w:val="3"/>
    </w:rPr>
  </w:style>
  <w:style w:type="paragraph" w:customStyle="1" w:styleId="H56">
    <w:name w:val="_ H_5/6"/>
    <w:basedOn w:val="Normal"/>
    <w:next w:val="Normal"/>
    <w:qFormat/>
    <w:rsid w:val="002D2E5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2E5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2E5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2E52"/>
    <w:pPr>
      <w:spacing w:line="540" w:lineRule="exact"/>
    </w:pPr>
    <w:rPr>
      <w:spacing w:val="-8"/>
      <w:w w:val="96"/>
      <w:sz w:val="57"/>
    </w:rPr>
  </w:style>
  <w:style w:type="paragraph" w:customStyle="1" w:styleId="SS">
    <w:name w:val="__S_S"/>
    <w:basedOn w:val="HCH"/>
    <w:next w:val="Normal"/>
    <w:qFormat/>
    <w:rsid w:val="002D2E52"/>
    <w:pPr>
      <w:ind w:left="1267" w:right="1267"/>
    </w:pPr>
  </w:style>
  <w:style w:type="paragraph" w:customStyle="1" w:styleId="SingleTxt">
    <w:name w:val="__Single Txt"/>
    <w:basedOn w:val="Normal"/>
    <w:qFormat/>
    <w:rsid w:val="002D2E5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2E5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2D2E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2D2E52"/>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2D2E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2E52"/>
    <w:rPr>
      <w:rFonts w:ascii="Tahoma" w:hAnsi="Tahoma" w:cs="Tahoma"/>
      <w:spacing w:val="4"/>
      <w:w w:val="103"/>
      <w:kern w:val="14"/>
      <w:sz w:val="16"/>
      <w:szCs w:val="16"/>
      <w:lang w:val="fr-CA" w:eastAsia="en-US"/>
    </w:rPr>
  </w:style>
  <w:style w:type="paragraph" w:customStyle="1" w:styleId="Bullet1">
    <w:name w:val="Bullet 1"/>
    <w:basedOn w:val="Normal"/>
    <w:qFormat/>
    <w:rsid w:val="002D2E52"/>
    <w:pPr>
      <w:numPr>
        <w:numId w:val="1"/>
      </w:numPr>
      <w:spacing w:after="120"/>
      <w:ind w:right="1267"/>
      <w:jc w:val="both"/>
    </w:pPr>
  </w:style>
  <w:style w:type="paragraph" w:customStyle="1" w:styleId="Bullet2">
    <w:name w:val="Bullet 2"/>
    <w:basedOn w:val="Normal"/>
    <w:qFormat/>
    <w:rsid w:val="002D2E52"/>
    <w:pPr>
      <w:numPr>
        <w:numId w:val="2"/>
      </w:numPr>
      <w:spacing w:after="120"/>
      <w:ind w:right="1264"/>
      <w:jc w:val="both"/>
    </w:pPr>
  </w:style>
  <w:style w:type="paragraph" w:customStyle="1" w:styleId="Bullet3">
    <w:name w:val="Bullet 3"/>
    <w:basedOn w:val="SingleTxt"/>
    <w:qFormat/>
    <w:rsid w:val="002D2E5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2E5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D2E5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D2E52"/>
    <w:pPr>
      <w:spacing w:line="210" w:lineRule="exact"/>
    </w:pPr>
    <w:rPr>
      <w:sz w:val="17"/>
      <w:szCs w:val="20"/>
    </w:rPr>
  </w:style>
  <w:style w:type="character" w:customStyle="1" w:styleId="EndnoteTextChar">
    <w:name w:val="Endnote Text Char"/>
    <w:link w:val="EndnoteText"/>
    <w:uiPriority w:val="99"/>
    <w:semiHidden/>
    <w:rsid w:val="002D2E52"/>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2D2E5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2D2E52"/>
    <w:rPr>
      <w:rFonts w:ascii="Times New Roman" w:hAnsi="Times New Roman" w:cs="Times New Roman"/>
      <w:b/>
      <w:spacing w:val="3"/>
      <w:w w:val="105"/>
      <w:sz w:val="17"/>
      <w:lang w:val="en-US" w:eastAsia="en-US"/>
    </w:rPr>
  </w:style>
  <w:style w:type="character" w:styleId="FootnoteReference">
    <w:name w:val="footnote reference"/>
    <w:uiPriority w:val="99"/>
    <w:semiHidden/>
    <w:rsid w:val="002D2E5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D2E52"/>
    <w:pPr>
      <w:spacing w:line="210" w:lineRule="exact"/>
    </w:pPr>
    <w:rPr>
      <w:sz w:val="17"/>
      <w:szCs w:val="20"/>
    </w:rPr>
  </w:style>
  <w:style w:type="character" w:customStyle="1" w:styleId="FootnoteTextChar">
    <w:name w:val="Footnote Text Char"/>
    <w:link w:val="FootnoteText"/>
    <w:uiPriority w:val="99"/>
    <w:rsid w:val="002D2E52"/>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2D2E5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2D2E52"/>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2D2E5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2E5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2E5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2E5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2E5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2E5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2E5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2E5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2E5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D2E52"/>
    <w:rPr>
      <w:sz w:val="14"/>
    </w:rPr>
  </w:style>
  <w:style w:type="paragraph" w:styleId="ListParagraph">
    <w:name w:val="List Paragraph"/>
    <w:basedOn w:val="Normal"/>
    <w:uiPriority w:val="34"/>
    <w:rsid w:val="002D2E52"/>
    <w:pPr>
      <w:ind w:left="720"/>
      <w:contextualSpacing/>
    </w:pPr>
  </w:style>
  <w:style w:type="paragraph" w:styleId="NoSpacing">
    <w:name w:val="No Spacing"/>
    <w:uiPriority w:val="1"/>
    <w:rsid w:val="002D2E52"/>
    <w:pPr>
      <w:spacing w:after="0" w:line="240" w:lineRule="auto"/>
    </w:pPr>
    <w:rPr>
      <w:rFonts w:ascii="Calibri" w:hAnsi="Calibri" w:cs="Times New Roman"/>
      <w:lang w:val="en-US" w:eastAsia="en-US"/>
    </w:rPr>
  </w:style>
  <w:style w:type="paragraph" w:customStyle="1" w:styleId="Original">
    <w:name w:val="Original"/>
    <w:next w:val="Normal"/>
    <w:autoRedefine/>
    <w:qFormat/>
    <w:rsid w:val="002D2E5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2D2E5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2D2E5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2D2E52"/>
    <w:pPr>
      <w:tabs>
        <w:tab w:val="right" w:pos="9965"/>
      </w:tabs>
      <w:spacing w:line="210" w:lineRule="exact"/>
    </w:pPr>
    <w:rPr>
      <w:spacing w:val="5"/>
      <w:w w:val="104"/>
      <w:sz w:val="17"/>
    </w:rPr>
  </w:style>
  <w:style w:type="paragraph" w:customStyle="1" w:styleId="SmallX">
    <w:name w:val="SmallX"/>
    <w:basedOn w:val="Small"/>
    <w:next w:val="Normal"/>
    <w:qFormat/>
    <w:rsid w:val="002D2E52"/>
    <w:pPr>
      <w:spacing w:line="180" w:lineRule="exact"/>
      <w:jc w:val="right"/>
    </w:pPr>
    <w:rPr>
      <w:spacing w:val="6"/>
      <w:w w:val="106"/>
      <w:sz w:val="14"/>
    </w:rPr>
  </w:style>
  <w:style w:type="character" w:styleId="Strong">
    <w:name w:val="Strong"/>
    <w:uiPriority w:val="22"/>
    <w:rsid w:val="002D2E52"/>
    <w:rPr>
      <w:b/>
      <w:bCs/>
    </w:rPr>
  </w:style>
  <w:style w:type="paragraph" w:customStyle="1" w:styleId="Style1">
    <w:name w:val="Style1"/>
    <w:basedOn w:val="Normal"/>
    <w:qFormat/>
    <w:rsid w:val="002D2E52"/>
  </w:style>
  <w:style w:type="paragraph" w:customStyle="1" w:styleId="Style2">
    <w:name w:val="Style2"/>
    <w:basedOn w:val="Normal"/>
    <w:autoRedefine/>
    <w:qFormat/>
    <w:rsid w:val="002D2E52"/>
  </w:style>
  <w:style w:type="paragraph" w:customStyle="1" w:styleId="TitleHCH">
    <w:name w:val="Title_H_CH"/>
    <w:basedOn w:val="HCH"/>
    <w:next w:val="SingleTxt"/>
    <w:qFormat/>
    <w:rsid w:val="002D2E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2D2E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2D2E52"/>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396364"/>
    <w:rPr>
      <w:sz w:val="16"/>
      <w:szCs w:val="16"/>
    </w:rPr>
  </w:style>
  <w:style w:type="paragraph" w:styleId="CommentText">
    <w:name w:val="annotation text"/>
    <w:basedOn w:val="Normal"/>
    <w:link w:val="CommentTextChar"/>
    <w:uiPriority w:val="99"/>
    <w:semiHidden/>
    <w:unhideWhenUsed/>
    <w:rsid w:val="00396364"/>
    <w:pPr>
      <w:spacing w:line="240" w:lineRule="auto"/>
    </w:pPr>
    <w:rPr>
      <w:szCs w:val="20"/>
    </w:rPr>
  </w:style>
  <w:style w:type="character" w:customStyle="1" w:styleId="CommentTextChar">
    <w:name w:val="Comment Text Char"/>
    <w:basedOn w:val="DefaultParagraphFont"/>
    <w:link w:val="CommentText"/>
    <w:uiPriority w:val="99"/>
    <w:semiHidden/>
    <w:rsid w:val="00396364"/>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96364"/>
    <w:rPr>
      <w:b/>
      <w:bCs/>
    </w:rPr>
  </w:style>
  <w:style w:type="character" w:customStyle="1" w:styleId="CommentSubjectChar">
    <w:name w:val="Comment Subject Char"/>
    <w:basedOn w:val="CommentTextChar"/>
    <w:link w:val="CommentSubject"/>
    <w:uiPriority w:val="99"/>
    <w:semiHidden/>
    <w:rsid w:val="00396364"/>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876080"/>
    <w:rPr>
      <w:color w:val="0000FF" w:themeColor="hyperlink"/>
      <w:u w:val="none"/>
    </w:rPr>
  </w:style>
  <w:style w:type="character" w:styleId="FollowedHyperlink">
    <w:name w:val="FollowedHyperlink"/>
    <w:basedOn w:val="DefaultParagraphFont"/>
    <w:uiPriority w:val="99"/>
    <w:semiHidden/>
    <w:unhideWhenUsed/>
    <w:rsid w:val="0087608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9D20-6B09-4D89-A5C7-855518A2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3717</Words>
  <Characters>21193</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Comité pour l’élimination de la discrimination à l’égard des femmes </vt:lpstr>
      <vt:lpstr>Observations finales concernant le rapport unique  valant deuxième et troisièm</vt:lpstr>
      <vt:lpstr>    Additif</vt:lpstr>
      <vt:lpstr>Renseignements reçus de la Mauritanie au sujet  de la suite donnée aux observa</vt:lpstr>
      <vt:lpstr>Introduction</vt:lpstr>
      <vt:lpstr>I.	Les Mutilations génitales féminines (MGF)</vt:lpstr>
      <vt:lpstr>II.	Situation des femmes haratines, des femmes  afro-mauritaniennes et des femm</vt:lpstr>
      <vt:lpstr>    Construction des Écoles : 22 écoles</vt:lpstr>
      <vt:lpstr>    Construction de salles de classe en complément des écoles existantes 48 salles</vt:lpstr>
      <vt:lpstr>    Volet santé – Postes de santé réalises : 2</vt:lpstr>
      <vt:lpstr>    Nombre forages d’exploitation réalisés : 39</vt:lpstr>
      <vt:lpstr>    Nombre AEP réalisées : 18</vt:lpstr>
      <vt:lpstr>    Volet forages : 39 forages d’exploitation réalisés</vt:lpstr>
      <vt:lpstr>    Volet AEP : AEP réalisées 18</vt:lpstr>
      <vt:lpstr>    Barrages réalisés : 6</vt:lpstr>
      <vt:lpstr>    Aménagements agricoles réalisés : 6</vt:lpstr>
    </vt:vector>
  </TitlesOfParts>
  <Company>United Nations</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3</cp:revision>
  <cp:lastPrinted>2017-11-22T15:25:00Z</cp:lastPrinted>
  <dcterms:created xsi:type="dcterms:W3CDTF">2017-11-22T15:25:00Z</dcterms:created>
  <dcterms:modified xsi:type="dcterms:W3CDTF">2017-11-22T15:25:00Z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1719771F</vt:lpwstr>
  </property>
  <property fmtid="{D5CDD505-2E9C-101B-9397-08002B2CF9AE}" pid="3" name="ODSRefJobNo">
    <vt:lpwstr>1737250F</vt:lpwstr>
  </property>
  <property fmtid="{D5CDD505-2E9C-101B-9397-08002B2CF9AE}" pid="4" name="Symbol1">
    <vt:lpwstr>CEDAW/C/MRT/CO/2-3/Add.1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9 novembre 2017</vt:lpwstr>
  </property>
  <property fmtid="{D5CDD505-2E9C-101B-9397-08002B2CF9AE}" pid="11" name="Release Date">
    <vt:lpwstr/>
  </property>
  <property fmtid="{D5CDD505-2E9C-101B-9397-08002B2CF9AE}" pid="12" name="Title1">
    <vt:lpwstr>Comité pour l’élimination de la discrimination_x000b_à l’égard des femmes </vt:lpwstr>
  </property>
  <property fmtid="{D5CDD505-2E9C-101B-9397-08002B2CF9AE}" pid="13" name="Title2">
    <vt:lpwstr>		Observations finales concernant le rapport unique _x000b_valant deuxième et troisième rapports périodiques _x000b_de la Mauritanie</vt:lpwstr>
  </property>
  <property fmtid="{D5CDD505-2E9C-101B-9397-08002B2CF9AE}" pid="14" name="Title3">
    <vt:lpwstr>		Additif</vt:lpwstr>
  </property>
  <property fmtid="{D5CDD505-2E9C-101B-9397-08002B2CF9AE}" pid="15" name="Title4">
    <vt:lpwstr>		Renseignements reçus de la Mauritanie au sujet _x000b_de la suite donnée aux observations finales*</vt:lpwstr>
  </property>
  <property fmtid="{D5CDD505-2E9C-101B-9397-08002B2CF9AE}" pid="16" name="Comment">
    <vt:lpwstr/>
  </property>
  <property fmtid="{D5CDD505-2E9C-101B-9397-08002B2CF9AE}" pid="17" name="DraftPages">
    <vt:lpwstr> </vt:lpwstr>
  </property>
  <property fmtid="{D5CDD505-2E9C-101B-9397-08002B2CF9AE}" pid="18" name="Operator">
    <vt:lpwstr>ESS</vt:lpwstr>
  </property>
</Properties>
</file>