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4C" w:rsidRDefault="001D5A4C" w:rsidP="001D5A4C">
      <w:pPr>
        <w:spacing w:line="240" w:lineRule="auto"/>
        <w:rPr>
          <w:sz w:val="2"/>
        </w:rPr>
        <w:sectPr w:rsidR="001D5A4C" w:rsidSect="001D5A4C">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C06068" w:rsidRPr="00521891" w:rsidRDefault="00C06068" w:rsidP="00C06068">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21891">
        <w:rPr>
          <w:lang w:val="fr-FR"/>
        </w:rPr>
        <w:t>Comité pour l</w:t>
      </w:r>
      <w:r>
        <w:rPr>
          <w:lang w:val="fr-FR"/>
        </w:rPr>
        <w:t>’</w:t>
      </w:r>
      <w:r w:rsidRPr="00521891">
        <w:rPr>
          <w:lang w:val="fr-FR"/>
        </w:rPr>
        <w:t>élimination de la discrimination</w:t>
      </w:r>
      <w:r w:rsidRPr="00521891">
        <w:rPr>
          <w:lang w:val="fr-FR"/>
        </w:rPr>
        <w:br/>
        <w:t>à l</w:t>
      </w:r>
      <w:r>
        <w:rPr>
          <w:lang w:val="fr-FR"/>
        </w:rPr>
        <w:t>’</w:t>
      </w:r>
      <w:r w:rsidRPr="00521891">
        <w:rPr>
          <w:lang w:val="fr-FR"/>
        </w:rPr>
        <w:t>égard des femmes</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Examen des rapports soumis par les États parties</w:t>
      </w:r>
      <w:r w:rsidRPr="00521891">
        <w:rPr>
          <w:lang w:val="fr-FR"/>
        </w:rPr>
        <w:br/>
        <w:t>en application de l</w:t>
      </w:r>
      <w:r>
        <w:rPr>
          <w:lang w:val="fr-FR"/>
        </w:rPr>
        <w:t>’</w:t>
      </w:r>
      <w:r w:rsidRPr="00521891">
        <w:rPr>
          <w:lang w:val="fr-FR"/>
        </w:rPr>
        <w:t>article 18 de la Convention</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Sixième et septième rapports périodiques des États parties attendus en 2014</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Madagascar</w:t>
      </w:r>
      <w:r w:rsidRPr="00313148">
        <w:rPr>
          <w:b w:val="0"/>
          <w:sz w:val="20"/>
          <w:szCs w:val="20"/>
          <w:lang w:val="fr-FR"/>
        </w:rPr>
        <w:footnoteReference w:customMarkFollows="1" w:id="1"/>
        <w:t>*</w:t>
      </w:r>
    </w:p>
    <w:p w:rsidR="00C06068" w:rsidRPr="00521891" w:rsidRDefault="00C06068" w:rsidP="00C06068">
      <w:pPr>
        <w:pStyle w:val="SingleTxt"/>
        <w:spacing w:after="0" w:line="120" w:lineRule="exact"/>
        <w:rPr>
          <w:sz w:val="10"/>
          <w:lang w:val="fr-FR"/>
        </w:rPr>
      </w:pPr>
    </w:p>
    <w:p w:rsidR="00C06068" w:rsidRDefault="00C06068" w:rsidP="00C06068">
      <w:pPr>
        <w:pStyle w:val="SingleTxt"/>
        <w:jc w:val="right"/>
        <w:rPr>
          <w:lang w:val="fr-FR"/>
        </w:rPr>
      </w:pPr>
      <w:r w:rsidRPr="00521891">
        <w:rPr>
          <w:lang w:val="fr-FR"/>
        </w:rPr>
        <w:t>[Date de réception : 24 janvier 2014]</w:t>
      </w:r>
    </w:p>
    <w:p w:rsidR="00C06068" w:rsidRPr="00521891" w:rsidRDefault="00C06068" w:rsidP="00C06068">
      <w:pPr>
        <w:pStyle w:val="HCH"/>
        <w:spacing w:after="120"/>
        <w:rPr>
          <w:lang w:val="fr-FR"/>
        </w:rPr>
      </w:pPr>
      <w:r w:rsidRPr="00521891">
        <w:rPr>
          <w:lang w:val="fr-FR"/>
        </w:rPr>
        <w:br w:type="page"/>
        <w:t>Table des matières</w:t>
      </w:r>
    </w:p>
    <w:tbl>
      <w:tblPr>
        <w:tblW w:w="9902" w:type="dxa"/>
        <w:tblLayout w:type="fixed"/>
        <w:tblCellMar>
          <w:left w:w="0" w:type="dxa"/>
          <w:right w:w="0" w:type="dxa"/>
        </w:tblCellMar>
        <w:tblLook w:val="0000"/>
      </w:tblPr>
      <w:tblGrid>
        <w:gridCol w:w="1060"/>
        <w:gridCol w:w="7315"/>
        <w:gridCol w:w="994"/>
        <w:gridCol w:w="533"/>
      </w:tblGrid>
      <w:tr w:rsidR="00C06068" w:rsidRPr="00521891" w:rsidTr="007F3574">
        <w:tblPrEx>
          <w:tblCellMar>
            <w:top w:w="0" w:type="dxa"/>
            <w:bottom w:w="0" w:type="dxa"/>
          </w:tblCellMar>
        </w:tblPrEx>
        <w:tc>
          <w:tcPr>
            <w:tcW w:w="1060" w:type="dxa"/>
            <w:shd w:val="clear" w:color="auto" w:fill="auto"/>
          </w:tcPr>
          <w:p w:rsidR="00C06068" w:rsidRPr="00521891" w:rsidRDefault="00C06068" w:rsidP="007F3574">
            <w:pPr>
              <w:spacing w:after="120" w:line="240" w:lineRule="auto"/>
              <w:jc w:val="right"/>
              <w:rPr>
                <w:i/>
                <w:sz w:val="14"/>
                <w:lang w:val="fr-FR"/>
              </w:rPr>
            </w:pPr>
          </w:p>
        </w:tc>
        <w:tc>
          <w:tcPr>
            <w:tcW w:w="7315" w:type="dxa"/>
            <w:shd w:val="clear" w:color="auto" w:fill="auto"/>
          </w:tcPr>
          <w:p w:rsidR="00C06068" w:rsidRPr="00521891" w:rsidRDefault="00C06068" w:rsidP="007F3574">
            <w:pPr>
              <w:spacing w:after="120" w:line="240" w:lineRule="auto"/>
              <w:rPr>
                <w:i/>
                <w:sz w:val="14"/>
                <w:lang w:val="fr-FR"/>
              </w:rPr>
            </w:pPr>
          </w:p>
        </w:tc>
        <w:tc>
          <w:tcPr>
            <w:tcW w:w="994" w:type="dxa"/>
            <w:shd w:val="clear" w:color="auto" w:fill="auto"/>
          </w:tcPr>
          <w:p w:rsidR="00C06068" w:rsidRPr="00521891" w:rsidRDefault="00C06068" w:rsidP="007F3574">
            <w:pPr>
              <w:spacing w:after="120" w:line="240" w:lineRule="auto"/>
              <w:jc w:val="right"/>
              <w:rPr>
                <w:i/>
                <w:sz w:val="14"/>
                <w:lang w:val="fr-FR"/>
              </w:rPr>
            </w:pPr>
          </w:p>
        </w:tc>
        <w:tc>
          <w:tcPr>
            <w:tcW w:w="533" w:type="dxa"/>
            <w:shd w:val="clear" w:color="auto" w:fill="auto"/>
          </w:tcPr>
          <w:p w:rsidR="00C06068" w:rsidRPr="00521891" w:rsidRDefault="00C06068" w:rsidP="007F3574">
            <w:pPr>
              <w:spacing w:after="120" w:line="240" w:lineRule="auto"/>
              <w:jc w:val="right"/>
              <w:rPr>
                <w:i/>
                <w:sz w:val="14"/>
                <w:lang w:val="fr-FR"/>
              </w:rPr>
            </w:pPr>
            <w:r w:rsidRPr="00521891">
              <w:rPr>
                <w:i/>
                <w:sz w:val="14"/>
                <w:lang w:val="fr-FR"/>
              </w:rPr>
              <w:t>Page</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right" w:leader="dot" w:pos="9360"/>
              </w:tabs>
              <w:suppressAutoHyphens/>
              <w:spacing w:after="120"/>
              <w:ind w:left="1080"/>
              <w:rPr>
                <w:spacing w:val="60"/>
                <w:sz w:val="17"/>
                <w:lang w:val="fr-FR"/>
              </w:rPr>
            </w:pPr>
            <w:r>
              <w:rPr>
                <w:lang w:val="fr-FR"/>
              </w:rPr>
              <w:t>Liste des acronymes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7</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right" w:leader="dot" w:pos="9360"/>
              </w:tabs>
              <w:suppressAutoHyphens/>
              <w:spacing w:after="120"/>
              <w:ind w:left="1080"/>
              <w:rPr>
                <w:spacing w:val="60"/>
                <w:sz w:val="17"/>
                <w:lang w:val="fr-FR"/>
              </w:rPr>
            </w:pPr>
            <w:r>
              <w:rPr>
                <w:lang w:val="fr-FR"/>
              </w:rPr>
              <w:t>Introduction</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11</w:t>
            </w:r>
          </w:p>
        </w:tc>
      </w:tr>
      <w:tr w:rsidR="00C06068" w:rsidRPr="00521891" w:rsidTr="007F3574">
        <w:tblPrEx>
          <w:tblCellMar>
            <w:top w:w="0" w:type="dxa"/>
            <w:bottom w:w="0" w:type="dxa"/>
          </w:tblCellMar>
        </w:tblPrEx>
        <w:tc>
          <w:tcPr>
            <w:tcW w:w="9369" w:type="dxa"/>
            <w:gridSpan w:val="3"/>
            <w:shd w:val="clear" w:color="auto" w:fill="auto"/>
          </w:tcPr>
          <w:p w:rsidR="00C06068" w:rsidRPr="009C60EA" w:rsidRDefault="00C06068" w:rsidP="007F3574">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sidRPr="00521891">
              <w:rPr>
                <w:lang w:val="fr-FR"/>
              </w:rPr>
              <w:t>Première partie</w:t>
            </w:r>
            <w:r>
              <w:rPr>
                <w:lang w:val="fr-FR"/>
              </w:rPr>
              <w:t>. I</w:t>
            </w:r>
            <w:r w:rsidRPr="00521891">
              <w:rPr>
                <w:lang w:val="fr-FR"/>
              </w:rPr>
              <w:t>nformations d</w:t>
            </w:r>
            <w:r>
              <w:rPr>
                <w:lang w:val="fr-FR"/>
              </w:rPr>
              <w:t>’</w:t>
            </w:r>
            <w:r w:rsidRPr="00521891">
              <w:rPr>
                <w:lang w:val="fr-FR"/>
              </w:rPr>
              <w:t>ordre général</w:t>
            </w:r>
            <w:r>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1"/>
                <w:numId w:val="5"/>
              </w:numPr>
              <w:tabs>
                <w:tab w:val="clear" w:pos="1944"/>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hanging="846"/>
              <w:rPr>
                <w:lang w:val="fr-FR"/>
              </w:rPr>
            </w:pPr>
            <w:r w:rsidRPr="00521891">
              <w:rPr>
                <w:lang w:val="fr-FR"/>
              </w:rPr>
              <w:t>Caractéristiques de la population et évolution démographique</w:t>
            </w:r>
            <w:r>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1"/>
                <w:numId w:val="5"/>
              </w:numPr>
              <w:tabs>
                <w:tab w:val="clear" w:pos="1944"/>
                <w:tab w:val="left" w:pos="1521"/>
                <w:tab w:val="left" w:pos="1728"/>
                <w:tab w:val="left" w:pos="2160"/>
                <w:tab w:val="left" w:pos="2592"/>
                <w:tab w:val="left" w:pos="3024"/>
                <w:tab w:val="left" w:pos="3456"/>
                <w:tab w:val="left" w:pos="3888"/>
                <w:tab w:val="right" w:leader="dot" w:pos="9360"/>
              </w:tabs>
              <w:suppressAutoHyphens/>
              <w:spacing w:after="120"/>
              <w:ind w:hanging="846"/>
              <w:rPr>
                <w:lang w:val="fr-FR"/>
              </w:rPr>
            </w:pPr>
            <w:r w:rsidRPr="00521891">
              <w:rPr>
                <w:lang w:val="fr-FR"/>
              </w:rPr>
              <w:t>Informations d</w:t>
            </w:r>
            <w:r>
              <w:rPr>
                <w:lang w:val="fr-FR"/>
              </w:rPr>
              <w:t>’</w:t>
            </w:r>
            <w:r w:rsidRPr="00521891">
              <w:rPr>
                <w:lang w:val="fr-FR"/>
              </w:rPr>
              <w:t>ordre politique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917"/>
                <w:tab w:val="left" w:pos="2160"/>
                <w:tab w:val="right" w:leader="dot" w:pos="9360"/>
              </w:tabs>
              <w:suppressAutoHyphens/>
              <w:spacing w:after="120"/>
              <w:ind w:hanging="846"/>
              <w:rPr>
                <w:lang w:val="fr-FR"/>
              </w:rPr>
            </w:pPr>
            <w:r w:rsidRPr="00521891">
              <w:rPr>
                <w:lang w:val="fr-FR"/>
              </w:rPr>
              <w:t>La crise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512"/>
                <w:tab w:val="left" w:pos="1890"/>
                <w:tab w:val="left" w:pos="2592"/>
                <w:tab w:val="right" w:leader="dot" w:pos="9360"/>
              </w:tabs>
              <w:suppressAutoHyphens/>
              <w:spacing w:after="120"/>
              <w:ind w:hanging="846"/>
              <w:rPr>
                <w:lang w:val="fr-FR"/>
              </w:rPr>
            </w:pPr>
            <w:r w:rsidRPr="00521891">
              <w:rPr>
                <w:lang w:val="fr-FR"/>
              </w:rPr>
              <w:t>Le processus de sortie de crise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14</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512"/>
                <w:tab w:val="left" w:pos="1890"/>
                <w:tab w:val="left" w:pos="2592"/>
                <w:tab w:val="right" w:leader="dot" w:pos="9360"/>
              </w:tabs>
              <w:suppressAutoHyphens/>
              <w:spacing w:after="120"/>
              <w:ind w:hanging="846"/>
              <w:rPr>
                <w:lang w:val="fr-FR"/>
              </w:rPr>
            </w:pPr>
            <w:r w:rsidRPr="00521891">
              <w:rPr>
                <w:lang w:val="fr-FR"/>
              </w:rPr>
              <w:t>Les institutions de la transition prévues par la feuille de route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14</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512"/>
                <w:tab w:val="left" w:pos="1890"/>
                <w:tab w:val="left" w:pos="2592"/>
                <w:tab w:val="right" w:leader="dot" w:pos="9360"/>
              </w:tabs>
              <w:suppressAutoHyphens/>
              <w:spacing w:after="120"/>
              <w:ind w:hanging="846"/>
              <w:rPr>
                <w:lang w:val="fr-FR"/>
              </w:rPr>
            </w:pPr>
            <w:r w:rsidRPr="00521891">
              <w:rPr>
                <w:lang w:val="fr-FR"/>
              </w:rPr>
              <w:t>Les mesures prises pour l</w:t>
            </w:r>
            <w:r>
              <w:rPr>
                <w:lang w:val="fr-FR"/>
              </w:rPr>
              <w:t>’</w:t>
            </w:r>
            <w:r w:rsidRPr="00521891">
              <w:rPr>
                <w:lang w:val="fr-FR"/>
              </w:rPr>
              <w:t>application de la feuille de route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1"/>
                <w:numId w:val="5"/>
              </w:numPr>
              <w:tabs>
                <w:tab w:val="clear" w:pos="1944"/>
                <w:tab w:val="left" w:pos="1530"/>
                <w:tab w:val="left" w:pos="1728"/>
                <w:tab w:val="left" w:pos="2160"/>
                <w:tab w:val="left" w:pos="2592"/>
                <w:tab w:val="left" w:pos="3024"/>
                <w:tab w:val="left" w:pos="3456"/>
                <w:tab w:val="right" w:leader="dot" w:pos="9360"/>
              </w:tabs>
              <w:suppressAutoHyphens/>
              <w:spacing w:after="120"/>
              <w:ind w:hanging="846"/>
              <w:rPr>
                <w:lang w:val="fr-FR"/>
              </w:rPr>
            </w:pPr>
            <w:r w:rsidRPr="00521891">
              <w:rPr>
                <w:lang w:val="fr-FR"/>
              </w:rPr>
              <w:t>Évolution constitutionnelle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1"/>
                <w:numId w:val="5"/>
              </w:numPr>
              <w:tabs>
                <w:tab w:val="clear" w:pos="1944"/>
                <w:tab w:val="left" w:pos="1296"/>
                <w:tab w:val="left" w:pos="1539"/>
                <w:tab w:val="left" w:pos="2160"/>
                <w:tab w:val="left" w:pos="2592"/>
                <w:tab w:val="left" w:pos="3024"/>
                <w:tab w:val="left" w:pos="3456"/>
                <w:tab w:val="left" w:pos="3888"/>
                <w:tab w:val="left" w:pos="4320"/>
                <w:tab w:val="left" w:pos="4752"/>
                <w:tab w:val="right" w:leader="dot" w:pos="9360"/>
              </w:tabs>
              <w:suppressAutoHyphens/>
              <w:spacing w:after="120"/>
              <w:ind w:hanging="846"/>
              <w:rPr>
                <w:lang w:val="fr-FR"/>
              </w:rPr>
            </w:pPr>
            <w:r w:rsidRPr="00521891">
              <w:rPr>
                <w:lang w:val="fr-FR"/>
              </w:rPr>
              <w:t>Informations d</w:t>
            </w:r>
            <w:r>
              <w:rPr>
                <w:lang w:val="fr-FR"/>
              </w:rPr>
              <w:t>’</w:t>
            </w:r>
            <w:r w:rsidRPr="00521891">
              <w:rPr>
                <w:lang w:val="fr-FR"/>
              </w:rPr>
              <w:t>ordre économique et social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512"/>
                <w:tab w:val="left" w:pos="1890"/>
                <w:tab w:val="left" w:pos="2592"/>
                <w:tab w:val="right" w:leader="dot" w:pos="9360"/>
              </w:tabs>
              <w:suppressAutoHyphens/>
              <w:spacing w:after="120"/>
              <w:ind w:hanging="846"/>
              <w:rPr>
                <w:lang w:val="fr-FR"/>
              </w:rPr>
            </w:pPr>
            <w:r w:rsidRPr="00521891">
              <w:rPr>
                <w:lang w:val="fr-FR"/>
              </w:rPr>
              <w:t>Domaine économique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19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C06068">
            <w:pPr>
              <w:numPr>
                <w:ilvl w:val="2"/>
                <w:numId w:val="5"/>
              </w:numPr>
              <w:tabs>
                <w:tab w:val="clear" w:pos="2376"/>
                <w:tab w:val="left" w:pos="1296"/>
                <w:tab w:val="left" w:pos="1512"/>
                <w:tab w:val="left" w:pos="1890"/>
                <w:tab w:val="left" w:pos="2592"/>
                <w:tab w:val="right" w:leader="dot" w:pos="9360"/>
              </w:tabs>
              <w:suppressAutoHyphens/>
              <w:spacing w:after="120"/>
              <w:ind w:hanging="846"/>
              <w:rPr>
                <w:lang w:val="fr-FR"/>
              </w:rPr>
            </w:pPr>
            <w:r w:rsidRPr="00521891">
              <w:rPr>
                <w:lang w:val="fr-FR"/>
              </w:rPr>
              <w:t>Domaine social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20</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sidRPr="00521891">
              <w:rPr>
                <w:lang w:val="fr-FR"/>
              </w:rPr>
              <w:t>Deuxième partie</w:t>
            </w:r>
            <w:r>
              <w:rPr>
                <w:lang w:val="fr-FR"/>
              </w:rPr>
              <w:t>. A</w:t>
            </w:r>
            <w:r w:rsidRPr="00521891">
              <w:rPr>
                <w:lang w:val="fr-FR"/>
              </w:rPr>
              <w:t>pplication des articles 1 à 16 de la Convention</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22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 l</w:t>
            </w:r>
            <w:r>
              <w:rPr>
                <w:lang w:val="fr-FR"/>
              </w:rPr>
              <w:t>’</w:t>
            </w:r>
            <w:r w:rsidRPr="00521891">
              <w:rPr>
                <w:lang w:val="fr-FR"/>
              </w:rPr>
              <w:t>article 1 de la Convention : définition de la discrimination à l</w:t>
            </w:r>
            <w:r>
              <w:rPr>
                <w:lang w:val="fr-FR"/>
              </w:rPr>
              <w:t>’égard des </w:t>
            </w:r>
            <w:r w:rsidRPr="00521891">
              <w:rPr>
                <w:lang w:val="fr-FR"/>
              </w:rPr>
              <w:t>femmes</w:t>
            </w:r>
            <w:r>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22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des articles 2 et 5 : élimination de la discrimination à l</w:t>
            </w:r>
            <w:r>
              <w:rPr>
                <w:lang w:val="fr-FR"/>
              </w:rPr>
              <w:t>’</w:t>
            </w:r>
            <w:r w:rsidRPr="00521891">
              <w:rPr>
                <w:lang w:val="fr-FR"/>
              </w:rPr>
              <w:t>égard des femmes</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530"/>
              <w:rPr>
                <w:spacing w:val="60"/>
                <w:sz w:val="17"/>
                <w:lang w:val="fr-FR"/>
              </w:rPr>
            </w:pPr>
            <w:r w:rsidRPr="00521891">
              <w:rPr>
                <w:lang w:val="fr-FR"/>
              </w:rPr>
              <w:t>1.</w:t>
            </w:r>
            <w:r w:rsidRPr="00521891">
              <w:rPr>
                <w:lang w:val="fr-FR"/>
              </w:rPr>
              <w:tab/>
              <w:t>Combattre l</w:t>
            </w:r>
            <w:r>
              <w:rPr>
                <w:lang w:val="fr-FR"/>
              </w:rPr>
              <w:t>’</w:t>
            </w:r>
            <w:r w:rsidRPr="00521891">
              <w:rPr>
                <w:lang w:val="fr-FR"/>
              </w:rPr>
              <w:t>infériorité de la femme par rapport à l</w:t>
            </w:r>
            <w:r>
              <w:rPr>
                <w:lang w:val="fr-FR"/>
              </w:rPr>
              <w:t>’</w:t>
            </w:r>
            <w:r w:rsidRPr="00521891">
              <w:rPr>
                <w:lang w:val="fr-FR"/>
              </w:rPr>
              <w:t>homme</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24</w:t>
            </w:r>
          </w:p>
        </w:tc>
      </w:tr>
      <w:tr w:rsidR="00C06068" w:rsidRPr="00521891" w:rsidTr="007F3574">
        <w:tblPrEx>
          <w:tblCellMar>
            <w:top w:w="0" w:type="dxa"/>
            <w:bottom w:w="0" w:type="dxa"/>
          </w:tblCellMar>
        </w:tblPrEx>
        <w:tc>
          <w:tcPr>
            <w:tcW w:w="9369" w:type="dxa"/>
            <w:gridSpan w:val="3"/>
            <w:shd w:val="clear" w:color="auto" w:fill="auto"/>
          </w:tcPr>
          <w:p w:rsidR="00C06068" w:rsidRPr="009C60EA" w:rsidRDefault="00C06068" w:rsidP="007F3574">
            <w:pPr>
              <w:tabs>
                <w:tab w:val="left" w:pos="1296"/>
                <w:tab w:val="left" w:pos="1899"/>
                <w:tab w:val="left" w:pos="2160"/>
                <w:tab w:val="right" w:leader="dot" w:pos="9360"/>
              </w:tabs>
              <w:suppressAutoHyphens/>
              <w:spacing w:after="120"/>
              <w:ind w:left="1530"/>
              <w:rPr>
                <w:spacing w:val="60"/>
                <w:sz w:val="17"/>
                <w:lang w:val="fr-FR"/>
              </w:rPr>
            </w:pPr>
            <w:r w:rsidRPr="00521891">
              <w:rPr>
                <w:lang w:val="fr-FR"/>
              </w:rPr>
              <w:t>2.</w:t>
            </w:r>
            <w:r w:rsidRPr="00521891">
              <w:rPr>
                <w:lang w:val="fr-FR"/>
              </w:rPr>
              <w:tab/>
              <w:t>Moletry</w:t>
            </w:r>
            <w:r>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26</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530"/>
              <w:rPr>
                <w:spacing w:val="60"/>
                <w:sz w:val="17"/>
                <w:lang w:val="fr-FR"/>
              </w:rPr>
            </w:pPr>
            <w:r w:rsidRPr="00521891">
              <w:rPr>
                <w:lang w:val="fr-FR"/>
              </w:rPr>
              <w:t>3.</w:t>
            </w:r>
            <w:r w:rsidRPr="00521891">
              <w:rPr>
                <w:lang w:val="fr-FR"/>
              </w:rPr>
              <w:tab/>
              <w:t>Les enfants jumeaux</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27</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3 de la Convention : promotion de l</w:t>
            </w:r>
            <w:r>
              <w:rPr>
                <w:lang w:val="fr-FR"/>
              </w:rPr>
              <w:t>’</w:t>
            </w:r>
            <w:r w:rsidRPr="00521891">
              <w:rPr>
                <w:lang w:val="fr-FR"/>
              </w:rPr>
              <w:t>égalité des sexes</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27</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530"/>
              <w:rPr>
                <w:spacing w:val="60"/>
                <w:sz w:val="17"/>
                <w:lang w:val="fr-FR"/>
              </w:rPr>
            </w:pPr>
            <w:r w:rsidRPr="00521891">
              <w:rPr>
                <w:lang w:val="fr-FR"/>
              </w:rPr>
              <w:t>1.</w:t>
            </w:r>
            <w:r w:rsidRPr="00521891">
              <w:rPr>
                <w:lang w:val="fr-FR"/>
              </w:rPr>
              <w:tab/>
              <w:t>Le mécanisme national de promotion de la femme</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530"/>
              <w:rPr>
                <w:spacing w:val="60"/>
                <w:sz w:val="17"/>
                <w:lang w:val="fr-FR"/>
              </w:rPr>
            </w:pPr>
            <w:r w:rsidRPr="00521891">
              <w:rPr>
                <w:lang w:val="fr-FR"/>
              </w:rPr>
              <w:t>2.</w:t>
            </w:r>
            <w:r w:rsidRPr="00521891">
              <w:rPr>
                <w:lang w:val="fr-FR"/>
              </w:rPr>
              <w:tab/>
              <w:t>La Commission Nationale des droits de l</w:t>
            </w:r>
            <w:r>
              <w:rPr>
                <w:lang w:val="fr-FR"/>
              </w:rPr>
              <w:t>’</w:t>
            </w:r>
            <w:r w:rsidRPr="00521891">
              <w:rPr>
                <w:lang w:val="fr-FR"/>
              </w:rPr>
              <w:t>homme</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28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4 de la Convention : accélération de l</w:t>
            </w:r>
            <w:r>
              <w:rPr>
                <w:lang w:val="fr-FR"/>
              </w:rPr>
              <w:t>’</w:t>
            </w:r>
            <w:r w:rsidRPr="00521891">
              <w:rPr>
                <w:lang w:val="fr-FR"/>
              </w:rPr>
              <w:t>instauration d</w:t>
            </w:r>
            <w:r>
              <w:rPr>
                <w:lang w:val="fr-FR"/>
              </w:rPr>
              <w:t>’une égalité de </w:t>
            </w:r>
            <w:r w:rsidRPr="00521891">
              <w:rPr>
                <w:lang w:val="fr-FR"/>
              </w:rPr>
              <w:t>fait entre l</w:t>
            </w:r>
            <w:r>
              <w:rPr>
                <w:lang w:val="fr-FR"/>
              </w:rPr>
              <w:t>’</w:t>
            </w:r>
            <w:r w:rsidRPr="00521891">
              <w:rPr>
                <w:lang w:val="fr-FR"/>
              </w:rPr>
              <w:t>homme et la femme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31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 xml:space="preserve">rticle 5 de la Convention : élimination des pratiques culturelles </w:t>
            </w:r>
            <w:r>
              <w:rPr>
                <w:lang w:val="fr-FR"/>
              </w:rPr>
              <w:br/>
            </w:r>
            <w:r w:rsidRPr="00521891">
              <w:rPr>
                <w:lang w:val="fr-FR"/>
              </w:rPr>
              <w:t>et des stéréotypes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32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 xml:space="preserve">rticle 6 de la Convention : priorisation de la lutte contre la violence </w:t>
            </w:r>
            <w:r w:rsidRPr="00521891">
              <w:rPr>
                <w:lang w:val="fr-FR"/>
              </w:rPr>
              <w:br/>
              <w:t>à l</w:t>
            </w:r>
            <w:r>
              <w:rPr>
                <w:lang w:val="fr-FR"/>
              </w:rPr>
              <w:t>’</w:t>
            </w:r>
            <w:r w:rsidRPr="00521891">
              <w:rPr>
                <w:lang w:val="fr-FR"/>
              </w:rPr>
              <w:t>égard des filles et femmes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33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890" w:hanging="360"/>
              <w:rPr>
                <w:spacing w:val="60"/>
                <w:sz w:val="17"/>
                <w:lang w:val="fr-FR"/>
              </w:rPr>
            </w:pPr>
            <w:r w:rsidRPr="00521891">
              <w:rPr>
                <w:lang w:val="fr-FR"/>
              </w:rPr>
              <w:t>1.</w:t>
            </w:r>
            <w:r w:rsidRPr="00521891">
              <w:rPr>
                <w:lang w:val="fr-FR"/>
              </w:rPr>
              <w:tab/>
              <w:t>Sensibilisation de l</w:t>
            </w:r>
            <w:r>
              <w:rPr>
                <w:lang w:val="fr-FR"/>
              </w:rPr>
              <w:t>’</w:t>
            </w:r>
            <w:r w:rsidRPr="00521891">
              <w:rPr>
                <w:lang w:val="fr-FR"/>
              </w:rPr>
              <w:t>opinion publique sur les formes de violence à l</w:t>
            </w:r>
            <w:r>
              <w:rPr>
                <w:lang w:val="fr-FR"/>
              </w:rPr>
              <w:t>’</w:t>
            </w:r>
            <w:r w:rsidRPr="00521891">
              <w:rPr>
                <w:lang w:val="fr-FR"/>
              </w:rPr>
              <w:t xml:space="preserve">encontre </w:t>
            </w:r>
            <w:r>
              <w:rPr>
                <w:lang w:val="fr-FR"/>
              </w:rPr>
              <w:br/>
            </w:r>
            <w:r w:rsidRPr="00521891">
              <w:rPr>
                <w:lang w:val="fr-FR"/>
              </w:rPr>
              <w:t>des femmes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ind w:right="40"/>
              <w:jc w:val="right"/>
              <w:rPr>
                <w:lang w:val="fr-FR"/>
              </w:rPr>
            </w:pPr>
            <w:r>
              <w:rPr>
                <w:lang w:val="fr-FR"/>
              </w:rPr>
              <w:t>34</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ind w:left="1530"/>
              <w:rPr>
                <w:spacing w:val="60"/>
                <w:sz w:val="17"/>
                <w:lang w:val="fr-FR"/>
              </w:rPr>
            </w:pPr>
            <w:r w:rsidRPr="00521891">
              <w:rPr>
                <w:lang w:val="fr-FR"/>
              </w:rPr>
              <w:t>2.</w:t>
            </w:r>
            <w:r w:rsidRPr="00521891">
              <w:rPr>
                <w:lang w:val="fr-FR"/>
              </w:rPr>
              <w:tab/>
              <w:t>Traite et exploitation à des fins de prostitution</w:t>
            </w:r>
            <w:r w:rsidRPr="00521891">
              <w:rPr>
                <w:spacing w:val="60"/>
                <w:sz w:val="17"/>
                <w:lang w:val="fr-FR"/>
              </w:rPr>
              <w:tab/>
            </w:r>
          </w:p>
        </w:tc>
        <w:tc>
          <w:tcPr>
            <w:tcW w:w="533" w:type="dxa"/>
            <w:shd w:val="clear" w:color="auto" w:fill="auto"/>
          </w:tcPr>
          <w:p w:rsidR="00C06068" w:rsidRPr="00521891" w:rsidRDefault="00C06068" w:rsidP="007F3574">
            <w:pPr>
              <w:spacing w:after="120"/>
              <w:ind w:right="40"/>
              <w:jc w:val="right"/>
              <w:rPr>
                <w:lang w:val="fr-FR"/>
              </w:rPr>
            </w:pPr>
            <w:r>
              <w:rPr>
                <w:lang w:val="fr-FR"/>
              </w:rPr>
              <w:t>37</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keepNext/>
              <w:keepLines/>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 xml:space="preserve">rticle 7 de la Convention : égalité dans la vie politique et publique </w:t>
            </w:r>
            <w:r>
              <w:rPr>
                <w:lang w:val="fr-FR"/>
              </w:rPr>
              <w:br/>
            </w:r>
            <w:r w:rsidRPr="00521891">
              <w:rPr>
                <w:lang w:val="fr-FR"/>
              </w:rPr>
              <w:t>au niveau national</w:t>
            </w:r>
            <w:r w:rsidRPr="00521891">
              <w:rPr>
                <w:spacing w:val="60"/>
                <w:sz w:val="17"/>
                <w:lang w:val="fr-FR"/>
              </w:rPr>
              <w:tab/>
            </w:r>
          </w:p>
        </w:tc>
        <w:tc>
          <w:tcPr>
            <w:tcW w:w="533" w:type="dxa"/>
            <w:shd w:val="clear" w:color="auto" w:fill="auto"/>
            <w:vAlign w:val="bottom"/>
          </w:tcPr>
          <w:p w:rsidR="00C06068" w:rsidRPr="00521891" w:rsidRDefault="00C06068" w:rsidP="007F3574">
            <w:pPr>
              <w:keepNext/>
              <w:keepLines/>
              <w:spacing w:after="120" w:line="240" w:lineRule="atLeast"/>
              <w:ind w:right="40"/>
              <w:jc w:val="right"/>
              <w:rPr>
                <w:lang w:val="fr-FR"/>
              </w:rPr>
            </w:pPr>
            <w:r>
              <w:rPr>
                <w:lang w:val="fr-FR"/>
              </w:rPr>
              <w:t>41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Le droit de voter et d</w:t>
            </w:r>
            <w:r>
              <w:rPr>
                <w:lang w:val="fr-FR"/>
              </w:rPr>
              <w:t>’</w:t>
            </w:r>
            <w:r w:rsidRPr="00521891">
              <w:rPr>
                <w:lang w:val="fr-FR"/>
              </w:rPr>
              <w:t>être éligible à toutes les élections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2.</w:t>
            </w:r>
            <w:r w:rsidRPr="00521891">
              <w:rPr>
                <w:lang w:val="fr-FR"/>
              </w:rPr>
              <w:tab/>
              <w:t>Participation féminine à la gestion des affaires politiques et publiques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8 de la Convention : représentation féminine à l</w:t>
            </w:r>
            <w:r>
              <w:rPr>
                <w:lang w:val="fr-FR"/>
              </w:rPr>
              <w:t>’</w:t>
            </w:r>
            <w:r w:rsidRPr="00521891">
              <w:rPr>
                <w:lang w:val="fr-FR"/>
              </w:rPr>
              <w:t xml:space="preserve">échelon </w:t>
            </w:r>
            <w:r>
              <w:rPr>
                <w:lang w:val="fr-FR"/>
              </w:rPr>
              <w:br/>
            </w:r>
            <w:r w:rsidRPr="00521891">
              <w:rPr>
                <w:lang w:val="fr-FR"/>
              </w:rPr>
              <w:t>international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47</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9 de la Convention : droits à la nationalité</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10 de la Convention : sensibilisation sur l</w:t>
            </w:r>
            <w:r>
              <w:rPr>
                <w:lang w:val="fr-FR"/>
              </w:rPr>
              <w:t>’</w:t>
            </w:r>
            <w:r w:rsidRPr="00521891">
              <w:rPr>
                <w:lang w:val="fr-FR"/>
              </w:rPr>
              <w:t xml:space="preserve">importance </w:t>
            </w:r>
            <w:r w:rsidRPr="00521891">
              <w:rPr>
                <w:lang w:val="fr-FR"/>
              </w:rPr>
              <w:br/>
              <w:t>de l</w:t>
            </w:r>
            <w:r>
              <w:rPr>
                <w:lang w:val="fr-FR"/>
              </w:rPr>
              <w:t>’</w:t>
            </w:r>
            <w:r w:rsidRPr="00521891">
              <w:rPr>
                <w:lang w:val="fr-FR"/>
              </w:rPr>
              <w:t>éducation</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Mesures législatives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11 de la Convention : égalité de droits à l</w:t>
            </w:r>
            <w:r>
              <w:rPr>
                <w:lang w:val="fr-FR"/>
              </w:rPr>
              <w:t>’</w:t>
            </w:r>
            <w:r w:rsidRPr="00521891">
              <w:rPr>
                <w:lang w:val="fr-FR"/>
              </w:rPr>
              <w:t>emploi et au travail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54</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Cadre normatif</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54</w:t>
            </w:r>
          </w:p>
        </w:tc>
      </w:tr>
      <w:tr w:rsidR="00C06068" w:rsidRPr="00521891" w:rsidTr="007F3574">
        <w:tblPrEx>
          <w:tblCellMar>
            <w:top w:w="0" w:type="dxa"/>
            <w:bottom w:w="0" w:type="dxa"/>
          </w:tblCellMar>
        </w:tblPrEx>
        <w:tc>
          <w:tcPr>
            <w:tcW w:w="9369" w:type="dxa"/>
            <w:gridSpan w:val="3"/>
            <w:shd w:val="clear" w:color="auto" w:fill="auto"/>
          </w:tcPr>
          <w:p w:rsidR="00C06068" w:rsidRPr="00B3056D"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2.</w:t>
            </w:r>
            <w:r w:rsidRPr="00521891">
              <w:rPr>
                <w:lang w:val="fr-FR"/>
              </w:rPr>
              <w:tab/>
              <w:t>Dans le</w:t>
            </w:r>
            <w:r>
              <w:rPr>
                <w:lang w:val="fr-FR"/>
              </w:rPr>
              <w:t>s</w:t>
            </w:r>
            <w:r w:rsidRPr="00521891">
              <w:rPr>
                <w:lang w:val="fr-FR"/>
              </w:rPr>
              <w:t xml:space="preserve"> secteur</w:t>
            </w:r>
            <w:r>
              <w:rPr>
                <w:lang w:val="fr-FR"/>
              </w:rPr>
              <w:t>s</w:t>
            </w:r>
            <w:r w:rsidRPr="00521891">
              <w:rPr>
                <w:lang w:val="fr-FR"/>
              </w:rPr>
              <w:t xml:space="preserve"> </w:t>
            </w:r>
            <w:r>
              <w:rPr>
                <w:lang w:val="fr-FR"/>
              </w:rPr>
              <w:t>public et privé</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55</w:t>
            </w:r>
          </w:p>
        </w:tc>
      </w:tr>
      <w:tr w:rsidR="00C06068" w:rsidRPr="00521891" w:rsidTr="007F3574">
        <w:tblPrEx>
          <w:tblCellMar>
            <w:top w:w="0" w:type="dxa"/>
            <w:bottom w:w="0" w:type="dxa"/>
          </w:tblCellMar>
        </w:tblPrEx>
        <w:tc>
          <w:tcPr>
            <w:tcW w:w="9369" w:type="dxa"/>
            <w:gridSpan w:val="3"/>
            <w:shd w:val="clear" w:color="auto" w:fill="auto"/>
          </w:tcPr>
          <w:p w:rsidR="00C06068" w:rsidRPr="00B3056D"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3.</w:t>
            </w:r>
            <w:r w:rsidRPr="00521891">
              <w:rPr>
                <w:spacing w:val="60"/>
                <w:sz w:val="17"/>
                <w:lang w:val="fr-FR"/>
              </w:rPr>
              <w:tab/>
            </w:r>
            <w:r w:rsidRPr="00521891">
              <w:rPr>
                <w:lang w:val="fr-FR"/>
              </w:rPr>
              <w:t>Dans le secteur informel</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55</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4.</w:t>
            </w:r>
            <w:r w:rsidRPr="00521891">
              <w:rPr>
                <w:lang w:val="fr-FR"/>
              </w:rPr>
              <w:tab/>
              <w:t>À travail égal, salaire égal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56</w:t>
            </w:r>
          </w:p>
        </w:tc>
      </w:tr>
      <w:tr w:rsidR="00C06068" w:rsidRPr="00521891" w:rsidTr="007F3574">
        <w:tblPrEx>
          <w:tblCellMar>
            <w:top w:w="0" w:type="dxa"/>
            <w:bottom w:w="0" w:type="dxa"/>
          </w:tblCellMar>
        </w:tblPrEx>
        <w:tc>
          <w:tcPr>
            <w:tcW w:w="9369" w:type="dxa"/>
            <w:gridSpan w:val="3"/>
            <w:shd w:val="clear" w:color="auto" w:fill="auto"/>
          </w:tcPr>
          <w:p w:rsidR="00C06068" w:rsidRPr="00B3056D"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Pr>
                <w:lang w:val="fr-FR"/>
              </w:rPr>
              <w:t>5.</w:t>
            </w:r>
            <w:r>
              <w:rPr>
                <w:lang w:val="fr-FR"/>
              </w:rPr>
              <w:tab/>
            </w:r>
            <w:r w:rsidRPr="00521891">
              <w:rPr>
                <w:lang w:val="fr-FR"/>
              </w:rPr>
              <w:t>Migration économique</w:t>
            </w:r>
            <w:r>
              <w:rPr>
                <w:spacing w:val="60"/>
                <w:sz w:val="17"/>
                <w:lang w:val="fr-FR"/>
              </w:rPr>
              <w:tab/>
            </w:r>
          </w:p>
        </w:tc>
        <w:tc>
          <w:tcPr>
            <w:tcW w:w="533" w:type="dxa"/>
            <w:shd w:val="clear" w:color="auto" w:fill="auto"/>
            <w:vAlign w:val="bottom"/>
          </w:tcPr>
          <w:p w:rsidR="00C06068" w:rsidRDefault="00C06068" w:rsidP="007F3574">
            <w:pPr>
              <w:spacing w:after="120" w:line="240" w:lineRule="atLeast"/>
              <w:ind w:right="40"/>
              <w:jc w:val="right"/>
              <w:rPr>
                <w:lang w:val="fr-FR"/>
              </w:rPr>
            </w:pPr>
            <w:r>
              <w:rPr>
                <w:lang w:val="fr-FR"/>
              </w:rPr>
              <w:t>56</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’a</w:t>
            </w:r>
            <w:r w:rsidRPr="00521891">
              <w:rPr>
                <w:lang w:val="fr-FR"/>
              </w:rPr>
              <w:t>rticle 12 de la Convention : égalité de l</w:t>
            </w:r>
            <w:r>
              <w:rPr>
                <w:lang w:val="fr-FR"/>
              </w:rPr>
              <w:t>’</w:t>
            </w:r>
            <w:r w:rsidRPr="00521891">
              <w:rPr>
                <w:lang w:val="fr-FR"/>
              </w:rPr>
              <w:t>accès aux soins de santé</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Amélioration de l</w:t>
            </w:r>
            <w:r>
              <w:rPr>
                <w:lang w:val="fr-FR"/>
              </w:rPr>
              <w:t>’</w:t>
            </w:r>
            <w:r w:rsidRPr="00521891">
              <w:rPr>
                <w:lang w:val="fr-FR"/>
              </w:rPr>
              <w:t>accès des femmes aux soins de santé pendant la grossesse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65</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890" w:hanging="360"/>
              <w:rPr>
                <w:spacing w:val="60"/>
                <w:sz w:val="17"/>
                <w:lang w:val="fr-FR"/>
              </w:rPr>
            </w:pPr>
            <w:r w:rsidRPr="00521891">
              <w:rPr>
                <w:lang w:val="fr-FR"/>
              </w:rPr>
              <w:t>2.</w:t>
            </w:r>
            <w:r w:rsidRPr="00521891">
              <w:rPr>
                <w:lang w:val="fr-FR"/>
              </w:rPr>
              <w:tab/>
              <w:t>Amélioration de l</w:t>
            </w:r>
            <w:r>
              <w:rPr>
                <w:lang w:val="fr-FR"/>
              </w:rPr>
              <w:t>’</w:t>
            </w:r>
            <w:r w:rsidRPr="00521891">
              <w:rPr>
                <w:lang w:val="fr-FR"/>
              </w:rPr>
              <w:t xml:space="preserve">accès des femmes aux soins de santé au cours </w:t>
            </w:r>
            <w:r w:rsidRPr="00521891">
              <w:rPr>
                <w:lang w:val="fr-FR"/>
              </w:rPr>
              <w:br/>
              <w:t>de l</w:t>
            </w:r>
            <w:r>
              <w:rPr>
                <w:lang w:val="fr-FR"/>
              </w:rPr>
              <w:t>’</w:t>
            </w:r>
            <w:r w:rsidRPr="00521891">
              <w:rPr>
                <w:lang w:val="fr-FR"/>
              </w:rPr>
              <w:t>accouchement</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3.</w:t>
            </w:r>
            <w:r w:rsidRPr="00521891">
              <w:rPr>
                <w:lang w:val="fr-FR"/>
              </w:rPr>
              <w:tab/>
              <w:t>Amélioration de l</w:t>
            </w:r>
            <w:r>
              <w:rPr>
                <w:lang w:val="fr-FR"/>
              </w:rPr>
              <w:t>’</w:t>
            </w:r>
            <w:r w:rsidRPr="00521891">
              <w:rPr>
                <w:lang w:val="fr-FR"/>
              </w:rPr>
              <w:t>accès des femmes aux soins de santé après l</w:t>
            </w:r>
            <w:r>
              <w:rPr>
                <w:lang w:val="fr-FR"/>
              </w:rPr>
              <w:t>’</w:t>
            </w:r>
            <w:r w:rsidRPr="00521891">
              <w:rPr>
                <w:lang w:val="fr-FR"/>
              </w:rPr>
              <w:t>accouchement</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4.</w:t>
            </w:r>
            <w:r w:rsidRPr="00521891">
              <w:rPr>
                <w:lang w:val="fr-FR"/>
              </w:rPr>
              <w:tab/>
              <w:t>Service de planification familiale et de santé génésique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70</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5.</w:t>
            </w:r>
            <w:r w:rsidRPr="00521891">
              <w:rPr>
                <w:lang w:val="fr-FR"/>
              </w:rPr>
              <w:tab/>
              <w:t xml:space="preserve">Grossesse précoce </w:t>
            </w:r>
            <w:r>
              <w:rPr>
                <w:lang w:val="fr-FR"/>
              </w:rPr>
              <w:t xml:space="preserve">– </w:t>
            </w:r>
            <w:r w:rsidRPr="00521891">
              <w:rPr>
                <w:lang w:val="fr-FR"/>
              </w:rPr>
              <w:t>fistule obstétricale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6.</w:t>
            </w:r>
            <w:r w:rsidRPr="00521891">
              <w:rPr>
                <w:lang w:val="fr-FR"/>
              </w:rPr>
              <w:tab/>
              <w:t>Prévention des grossesses précoces</w:t>
            </w:r>
            <w:r w:rsidRPr="00521891">
              <w:rPr>
                <w:spacing w:val="60"/>
                <w:sz w:val="17"/>
                <w:lang w:val="fr-FR"/>
              </w:rPr>
              <w:tab/>
            </w:r>
          </w:p>
        </w:tc>
        <w:tc>
          <w:tcPr>
            <w:tcW w:w="533" w:type="dxa"/>
            <w:shd w:val="clear" w:color="auto" w:fill="auto"/>
          </w:tcPr>
          <w:p w:rsidR="00C06068" w:rsidRPr="00521891" w:rsidRDefault="00C06068" w:rsidP="007F3574">
            <w:pPr>
              <w:spacing w:after="120" w:line="240" w:lineRule="atLeast"/>
              <w:ind w:right="40"/>
              <w:jc w:val="right"/>
              <w:rPr>
                <w:lang w:val="fr-FR"/>
              </w:rPr>
            </w:pPr>
            <w:r>
              <w:rPr>
                <w:lang w:val="fr-FR"/>
              </w:rPr>
              <w:t>71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t xml:space="preserve">Application de l’article </w:t>
            </w:r>
            <w:r w:rsidRPr="00521891">
              <w:rPr>
                <w:lang w:val="fr-FR"/>
              </w:rPr>
              <w:t xml:space="preserve">13 de la Convention : élimination de la discrimination </w:t>
            </w:r>
            <w:r>
              <w:rPr>
                <w:lang w:val="fr-FR"/>
              </w:rPr>
              <w:br/>
            </w:r>
            <w:r w:rsidRPr="00521891">
              <w:rPr>
                <w:lang w:val="fr-FR"/>
              </w:rPr>
              <w:t>à l</w:t>
            </w:r>
            <w:r>
              <w:rPr>
                <w:lang w:val="fr-FR"/>
              </w:rPr>
              <w:t>’</w:t>
            </w:r>
            <w:r w:rsidRPr="00521891">
              <w:rPr>
                <w:lang w:val="fr-FR"/>
              </w:rPr>
              <w:t>égard des femmes dans d</w:t>
            </w:r>
            <w:r>
              <w:rPr>
                <w:lang w:val="fr-FR"/>
              </w:rPr>
              <w:t>’</w:t>
            </w:r>
            <w:r w:rsidRPr="00521891">
              <w:rPr>
                <w:lang w:val="fr-FR"/>
              </w:rPr>
              <w:t>autres domaines de la vie économique et social</w:t>
            </w:r>
            <w:r>
              <w:rPr>
                <w:lang w:val="fr-FR"/>
              </w:rPr>
              <w:t>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Accès des femmes aux crédits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2.</w:t>
            </w:r>
            <w:r w:rsidRPr="00521891">
              <w:rPr>
                <w:lang w:val="fr-FR"/>
              </w:rPr>
              <w:tab/>
              <w:t>Accès des femmes rurales aux services de santé adéquats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75</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3.</w:t>
            </w:r>
            <w:r w:rsidRPr="00521891">
              <w:rPr>
                <w:lang w:val="fr-FR"/>
              </w:rPr>
              <w:tab/>
              <w:t>Accès des femmes rurales à l</w:t>
            </w:r>
            <w:r>
              <w:rPr>
                <w:lang w:val="fr-FR"/>
              </w:rPr>
              <w:t>’</w:t>
            </w:r>
            <w:r w:rsidRPr="00521891">
              <w:rPr>
                <w:lang w:val="fr-FR"/>
              </w:rPr>
              <w:t>éducation</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78</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890" w:hanging="360"/>
              <w:rPr>
                <w:spacing w:val="60"/>
                <w:sz w:val="17"/>
                <w:lang w:val="fr-FR"/>
              </w:rPr>
            </w:pPr>
            <w:r w:rsidRPr="00521891">
              <w:rPr>
                <w:lang w:val="fr-FR"/>
              </w:rPr>
              <w:t>4.</w:t>
            </w:r>
            <w:r w:rsidRPr="00521891">
              <w:rPr>
                <w:lang w:val="fr-FR"/>
              </w:rPr>
              <w:tab/>
              <w:t>Mise en œuvre de l</w:t>
            </w:r>
            <w:r>
              <w:rPr>
                <w:lang w:val="fr-FR"/>
              </w:rPr>
              <w:t>’</w:t>
            </w:r>
            <w:r w:rsidRPr="00521891">
              <w:rPr>
                <w:lang w:val="fr-FR"/>
              </w:rPr>
              <w:t>article 13 c) : le droit de participer aux activités récréatives,</w:t>
            </w:r>
            <w:r w:rsidRPr="00521891">
              <w:rPr>
                <w:lang w:val="fr-FR"/>
              </w:rPr>
              <w:br/>
              <w:t>aux sports et à tous l</w:t>
            </w:r>
            <w:r>
              <w:rPr>
                <w:lang w:val="fr-FR"/>
              </w:rPr>
              <w:t>es aspects de la vie culturelle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79</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5.</w:t>
            </w:r>
            <w:r w:rsidRPr="00521891">
              <w:rPr>
                <w:lang w:val="fr-FR"/>
              </w:rPr>
              <w:tab/>
              <w:t>Participation des jeunes filles aux activités sportives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80</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6.</w:t>
            </w:r>
            <w:r w:rsidRPr="00521891">
              <w:rPr>
                <w:lang w:val="fr-FR"/>
              </w:rPr>
              <w:tab/>
              <w:t>Animations/formations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80</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w:t>
            </w:r>
            <w:r w:rsidRPr="00521891">
              <w:rPr>
                <w:lang w:val="fr-FR"/>
              </w:rPr>
              <w:t>article 14 de la Convention : faire de la promotion de l</w:t>
            </w:r>
            <w:r>
              <w:rPr>
                <w:lang w:val="fr-FR"/>
              </w:rPr>
              <w:t>’</w:t>
            </w:r>
            <w:r w:rsidRPr="00521891">
              <w:rPr>
                <w:lang w:val="fr-FR"/>
              </w:rPr>
              <w:t xml:space="preserve">égalité </w:t>
            </w:r>
            <w:r>
              <w:rPr>
                <w:lang w:val="fr-FR"/>
              </w:rPr>
              <w:br/>
            </w:r>
            <w:r w:rsidRPr="00521891">
              <w:rPr>
                <w:lang w:val="fr-FR"/>
              </w:rPr>
              <w:t xml:space="preserve">des sexes une composante explicite des plans et programmes de développement </w:t>
            </w:r>
            <w:r>
              <w:rPr>
                <w:lang w:val="fr-FR"/>
              </w:rPr>
              <w:br/>
            </w:r>
            <w:r w:rsidRPr="00521891">
              <w:rPr>
                <w:lang w:val="fr-FR"/>
              </w:rPr>
              <w:t>national et local</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81</w:t>
            </w:r>
          </w:p>
        </w:tc>
      </w:tr>
      <w:tr w:rsidR="00C06068" w:rsidRPr="00521891" w:rsidTr="007F3574">
        <w:tblPrEx>
          <w:tblCellMar>
            <w:top w:w="0" w:type="dxa"/>
            <w:bottom w:w="0" w:type="dxa"/>
          </w:tblCellMar>
        </w:tblPrEx>
        <w:trPr>
          <w:cantSplit/>
        </w:trPr>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w:t>
            </w:r>
            <w:r w:rsidRPr="00521891">
              <w:rPr>
                <w:lang w:val="fr-FR"/>
              </w:rPr>
              <w:t>article 15 de la Convention : égalité de l</w:t>
            </w:r>
            <w:r>
              <w:rPr>
                <w:lang w:val="fr-FR"/>
              </w:rPr>
              <w:t>’</w:t>
            </w:r>
            <w:r w:rsidRPr="00521891">
              <w:rPr>
                <w:lang w:val="fr-FR"/>
              </w:rPr>
              <w:t xml:space="preserve">homme et de la femme </w:t>
            </w:r>
            <w:r>
              <w:rPr>
                <w:lang w:val="fr-FR"/>
              </w:rPr>
              <w:br/>
            </w:r>
            <w:r w:rsidRPr="00521891">
              <w:rPr>
                <w:lang w:val="fr-FR"/>
              </w:rPr>
              <w:t>devant la loi</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L</w:t>
            </w:r>
            <w:r>
              <w:rPr>
                <w:lang w:val="fr-FR"/>
              </w:rPr>
              <w:t>’</w:t>
            </w:r>
            <w:r w:rsidRPr="00521891">
              <w:rPr>
                <w:lang w:val="fr-FR"/>
              </w:rPr>
              <w:t>égalité homme</w:t>
            </w:r>
            <w:r>
              <w:rPr>
                <w:lang w:val="fr-FR"/>
              </w:rPr>
              <w:t>s-</w:t>
            </w:r>
            <w:r w:rsidRPr="00521891">
              <w:rPr>
                <w:lang w:val="fr-FR"/>
              </w:rPr>
              <w:t>femme</w:t>
            </w:r>
            <w:r>
              <w:rPr>
                <w:lang w:val="fr-FR"/>
              </w:rPr>
              <w:t>s</w:t>
            </w:r>
            <w:r w:rsidRPr="00521891">
              <w:rPr>
                <w:lang w:val="fr-FR"/>
              </w:rPr>
              <w:t xml:space="preserve"> devant la loi</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81</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728"/>
                <w:tab w:val="left" w:pos="2160"/>
                <w:tab w:val="right" w:leader="dot" w:pos="9360"/>
              </w:tabs>
              <w:suppressAutoHyphens/>
              <w:spacing w:after="120" w:line="240" w:lineRule="atLeast"/>
              <w:ind w:left="1512" w:hanging="414"/>
              <w:rPr>
                <w:spacing w:val="60"/>
                <w:sz w:val="17"/>
                <w:lang w:val="fr-FR"/>
              </w:rPr>
            </w:pPr>
            <w:r>
              <w:rPr>
                <w:lang w:val="fr-FR"/>
              </w:rPr>
              <w:tab/>
            </w:r>
            <w:r>
              <w:rPr>
                <w:lang w:val="fr-FR"/>
              </w:rPr>
              <w:tab/>
            </w:r>
            <w:r w:rsidRPr="00521891">
              <w:rPr>
                <w:lang w:val="fr-FR"/>
              </w:rPr>
              <w:t>Application de l</w:t>
            </w:r>
            <w:r>
              <w:rPr>
                <w:lang w:val="fr-FR"/>
              </w:rPr>
              <w:t>’</w:t>
            </w:r>
            <w:r w:rsidRPr="00521891">
              <w:rPr>
                <w:lang w:val="fr-FR"/>
              </w:rPr>
              <w:t xml:space="preserve">article 16 de la Convention : élimination la discrimination </w:t>
            </w:r>
            <w:r>
              <w:rPr>
                <w:lang w:val="fr-FR"/>
              </w:rPr>
              <w:br/>
            </w:r>
            <w:r w:rsidRPr="00521891">
              <w:rPr>
                <w:lang w:val="fr-FR"/>
              </w:rPr>
              <w:t>à l</w:t>
            </w:r>
            <w:r>
              <w:rPr>
                <w:lang w:val="fr-FR"/>
              </w:rPr>
              <w:t>’</w:t>
            </w:r>
            <w:r w:rsidRPr="00521891">
              <w:rPr>
                <w:lang w:val="fr-FR"/>
              </w:rPr>
              <w:t>égard des femmes dans toutes les questions découlant du mariage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1.</w:t>
            </w:r>
            <w:r w:rsidRPr="00521891">
              <w:rPr>
                <w:lang w:val="fr-FR"/>
              </w:rPr>
              <w:tab/>
              <w:t>Harmonisation du droit civil et coutumier en matière de mariage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890" w:hanging="360"/>
              <w:rPr>
                <w:spacing w:val="60"/>
                <w:sz w:val="17"/>
                <w:lang w:val="fr-FR"/>
              </w:rPr>
            </w:pPr>
            <w:r w:rsidRPr="00521891">
              <w:rPr>
                <w:lang w:val="fr-FR"/>
              </w:rPr>
              <w:t>2.</w:t>
            </w:r>
            <w:r w:rsidRPr="00521891">
              <w:rPr>
                <w:lang w:val="fr-FR"/>
              </w:rPr>
              <w:tab/>
              <w:t xml:space="preserve">Interdiction faite à la femme de se remarier avant expiration du délai </w:t>
            </w:r>
            <w:r w:rsidRPr="00521891">
              <w:rPr>
                <w:lang w:val="fr-FR"/>
              </w:rPr>
              <w:br/>
              <w:t>de six mois</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82</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1296"/>
                <w:tab w:val="left" w:pos="1512"/>
                <w:tab w:val="left" w:pos="1890"/>
                <w:tab w:val="left" w:pos="2592"/>
                <w:tab w:val="right" w:leader="dot" w:pos="9360"/>
              </w:tabs>
              <w:suppressAutoHyphens/>
              <w:spacing w:after="120" w:line="240" w:lineRule="atLeast"/>
              <w:ind w:left="1530"/>
              <w:rPr>
                <w:spacing w:val="60"/>
                <w:sz w:val="17"/>
                <w:lang w:val="fr-FR"/>
              </w:rPr>
            </w:pPr>
            <w:r w:rsidRPr="00521891">
              <w:rPr>
                <w:lang w:val="fr-FR"/>
              </w:rPr>
              <w:t>3.</w:t>
            </w:r>
            <w:r w:rsidRPr="00521891">
              <w:rPr>
                <w:lang w:val="fr-FR"/>
              </w:rPr>
              <w:tab/>
              <w:t>L</w:t>
            </w:r>
            <w:r>
              <w:rPr>
                <w:lang w:val="fr-FR"/>
              </w:rPr>
              <w:t>’</w:t>
            </w:r>
            <w:r w:rsidRPr="00521891">
              <w:rPr>
                <w:lang w:val="fr-FR"/>
              </w:rPr>
              <w:t>élimination de la polygamie</w:t>
            </w:r>
            <w:r w:rsidRPr="00521891">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83</w:t>
            </w:r>
          </w:p>
        </w:tc>
      </w:tr>
      <w:tr w:rsidR="00C06068" w:rsidRPr="00521891"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2286"/>
                <w:tab w:val="left" w:pos="2592"/>
                <w:tab w:val="left" w:pos="3024"/>
                <w:tab w:val="left" w:pos="3456"/>
                <w:tab w:val="left" w:pos="3888"/>
                <w:tab w:val="left" w:pos="4320"/>
                <w:tab w:val="right" w:leader="dot" w:pos="9360"/>
              </w:tabs>
              <w:suppressAutoHyphens/>
              <w:spacing w:after="120" w:line="240" w:lineRule="atLeast"/>
              <w:ind w:left="486" w:hanging="9"/>
              <w:rPr>
                <w:spacing w:val="60"/>
                <w:sz w:val="17"/>
                <w:lang w:val="fr-FR"/>
              </w:rPr>
            </w:pPr>
            <w:r w:rsidRPr="00F83435">
              <w:rPr>
                <w:lang w:val="fr-FR"/>
              </w:rPr>
              <w:t>Tablea</w:t>
            </w:r>
            <w:r>
              <w:rPr>
                <w:lang w:val="fr-FR"/>
              </w:rPr>
              <w:t>ux</w:t>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atLeast"/>
              <w:ind w:left="1179"/>
              <w:rPr>
                <w:spacing w:val="60"/>
                <w:sz w:val="17"/>
                <w:lang w:val="fr-FR"/>
              </w:rPr>
            </w:pPr>
            <w:r>
              <w:rPr>
                <w:lang w:val="fr-FR"/>
              </w:rPr>
              <w:t>1.</w:t>
            </w:r>
            <w:r>
              <w:rPr>
                <w:lang w:val="fr-FR"/>
              </w:rPr>
              <w:tab/>
            </w:r>
            <w:r w:rsidRPr="00FC0CA5">
              <w:rPr>
                <w:lang w:val="fr-FR"/>
              </w:rPr>
              <w:t>Estimation de la population de Madagascar par région en 2012</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12</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line="240" w:lineRule="atLeast"/>
              <w:ind w:left="1179"/>
              <w:rPr>
                <w:spacing w:val="60"/>
                <w:sz w:val="17"/>
                <w:lang w:val="fr-FR"/>
              </w:rPr>
            </w:pPr>
            <w:r>
              <w:rPr>
                <w:lang w:val="fr-FR"/>
              </w:rPr>
              <w:t>2.</w:t>
            </w:r>
            <w:r>
              <w:rPr>
                <w:lang w:val="fr-FR"/>
              </w:rPr>
              <w:tab/>
            </w:r>
            <w:r w:rsidRPr="00FC0CA5">
              <w:rPr>
                <w:lang w:val="fr-FR"/>
              </w:rPr>
              <w:t>Tendance de la fécondité, de la mortalité infantile et infanto-juvénile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13</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line="240" w:lineRule="atLeast"/>
              <w:ind w:left="1179"/>
              <w:rPr>
                <w:spacing w:val="60"/>
                <w:sz w:val="17"/>
                <w:lang w:val="fr-FR"/>
              </w:rPr>
            </w:pPr>
            <w:r>
              <w:rPr>
                <w:lang w:val="fr-FR"/>
              </w:rPr>
              <w:t>3.</w:t>
            </w:r>
            <w:r>
              <w:rPr>
                <w:lang w:val="fr-FR"/>
              </w:rPr>
              <w:tab/>
            </w:r>
            <w:r w:rsidRPr="00FC0CA5">
              <w:rPr>
                <w:lang w:val="fr-FR"/>
              </w:rPr>
              <w:t>Évolution du produit intérieur brut (PIB) en terme nominal et réel et du taux d’inflation</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20</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atLeast"/>
              <w:ind w:left="1179"/>
              <w:rPr>
                <w:spacing w:val="60"/>
                <w:sz w:val="17"/>
                <w:lang w:val="fr-FR"/>
              </w:rPr>
            </w:pPr>
            <w:r>
              <w:rPr>
                <w:lang w:val="fr-FR"/>
              </w:rPr>
              <w:t>4.</w:t>
            </w:r>
            <w:r>
              <w:rPr>
                <w:lang w:val="fr-FR"/>
              </w:rPr>
              <w:tab/>
            </w:r>
            <w:r w:rsidRPr="00FC0CA5">
              <w:rPr>
                <w:lang w:val="fr-FR"/>
              </w:rPr>
              <w:t>Tendance de fonctionnalité des centres de santé de base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21</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line="240" w:lineRule="atLeast"/>
              <w:ind w:left="1179"/>
              <w:rPr>
                <w:spacing w:val="60"/>
                <w:sz w:val="17"/>
                <w:lang w:val="fr-FR"/>
              </w:rPr>
            </w:pPr>
            <w:r>
              <w:rPr>
                <w:lang w:val="fr-FR"/>
              </w:rPr>
              <w:t>5.</w:t>
            </w:r>
            <w:r>
              <w:rPr>
                <w:lang w:val="fr-FR"/>
              </w:rPr>
              <w:tab/>
            </w:r>
            <w:r w:rsidRPr="00FC0CA5">
              <w:rPr>
                <w:lang w:val="fr-FR"/>
              </w:rPr>
              <w:t>Pourcentage de participation des femmes aux assemblées des Fokontany</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25</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right" w:leader="dot" w:pos="9360"/>
              </w:tabs>
              <w:suppressAutoHyphens/>
              <w:spacing w:after="120" w:line="240" w:lineRule="atLeast"/>
              <w:ind w:left="1179"/>
              <w:rPr>
                <w:spacing w:val="60"/>
                <w:sz w:val="17"/>
                <w:lang w:val="fr-FR"/>
              </w:rPr>
            </w:pPr>
            <w:r>
              <w:rPr>
                <w:lang w:val="fr-FR"/>
              </w:rPr>
              <w:t>6.</w:t>
            </w:r>
            <w:r>
              <w:rPr>
                <w:lang w:val="fr-FR"/>
              </w:rPr>
              <w:tab/>
            </w:r>
            <w:r w:rsidRPr="00FC0CA5">
              <w:rPr>
                <w:lang w:val="fr-FR"/>
              </w:rPr>
              <w:t>Localisation des bénéficiaires du programme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40</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728"/>
                <w:tab w:val="left" w:pos="2160"/>
                <w:tab w:val="right" w:leader="dot" w:pos="9360"/>
              </w:tabs>
              <w:suppressAutoHyphens/>
              <w:spacing w:after="120" w:line="240" w:lineRule="atLeast"/>
              <w:ind w:left="1503" w:hanging="324"/>
              <w:rPr>
                <w:spacing w:val="60"/>
                <w:sz w:val="17"/>
                <w:lang w:val="fr-FR"/>
              </w:rPr>
            </w:pPr>
            <w:r>
              <w:rPr>
                <w:lang w:val="fr-FR"/>
              </w:rPr>
              <w:t>7.</w:t>
            </w:r>
            <w:r>
              <w:rPr>
                <w:lang w:val="fr-FR"/>
              </w:rPr>
              <w:tab/>
            </w:r>
            <w:r w:rsidRPr="00FC0CA5">
              <w:rPr>
                <w:lang w:val="fr-FR"/>
              </w:rPr>
              <w:t>Nombre de femmes formées sur l’agriculture, l’élevage et l’artisanat par l’OMEF</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40</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179"/>
              <w:rPr>
                <w:spacing w:val="60"/>
                <w:sz w:val="17"/>
                <w:lang w:val="fr-FR"/>
              </w:rPr>
            </w:pPr>
            <w:r>
              <w:rPr>
                <w:lang w:val="fr-FR"/>
              </w:rPr>
              <w:t>8.</w:t>
            </w:r>
            <w:r>
              <w:rPr>
                <w:lang w:val="fr-FR"/>
              </w:rPr>
              <w:tab/>
              <w:t>Femmes membres du B</w:t>
            </w:r>
            <w:r w:rsidRPr="00FC0CA5">
              <w:rPr>
                <w:lang w:val="fr-FR"/>
              </w:rPr>
              <w:t>ureau de la CENIT</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46</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line="240" w:lineRule="atLeast"/>
              <w:ind w:left="1179"/>
              <w:rPr>
                <w:spacing w:val="60"/>
                <w:sz w:val="17"/>
                <w:lang w:val="fr-FR"/>
              </w:rPr>
            </w:pPr>
            <w:r>
              <w:rPr>
                <w:lang w:val="fr-FR"/>
              </w:rPr>
              <w:t>9.</w:t>
            </w:r>
            <w:r>
              <w:rPr>
                <w:lang w:val="fr-FR"/>
              </w:rPr>
              <w:tab/>
            </w:r>
            <w:r w:rsidRPr="00FC0CA5">
              <w:rPr>
                <w:lang w:val="fr-FR"/>
              </w:rPr>
              <w:t>Statistiques du système éducatif malagasy avec la proportion des filles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49</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line="240" w:lineRule="atLeast"/>
              <w:ind w:left="1080"/>
              <w:rPr>
                <w:spacing w:val="60"/>
                <w:sz w:val="17"/>
                <w:lang w:val="fr-FR"/>
              </w:rPr>
            </w:pPr>
            <w:r>
              <w:rPr>
                <w:lang w:val="fr-FR"/>
              </w:rPr>
              <w:t>10.</w:t>
            </w:r>
            <w:r>
              <w:rPr>
                <w:lang w:val="fr-FR"/>
              </w:rPr>
              <w:tab/>
            </w:r>
            <w:r w:rsidRPr="00FC0CA5">
              <w:rPr>
                <w:lang w:val="fr-FR"/>
              </w:rPr>
              <w:t>Répartition par filière et par genre des étudiants du CNTEMAD</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51</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line="240" w:lineRule="atLeast"/>
              <w:ind w:left="1080"/>
              <w:rPr>
                <w:spacing w:val="60"/>
                <w:sz w:val="17"/>
                <w:lang w:val="fr-FR"/>
              </w:rPr>
            </w:pPr>
            <w:r>
              <w:rPr>
                <w:lang w:val="fr-FR"/>
              </w:rPr>
              <w:t>11.</w:t>
            </w:r>
            <w:r>
              <w:rPr>
                <w:lang w:val="fr-FR"/>
              </w:rPr>
              <w:tab/>
            </w:r>
            <w:r w:rsidRPr="00FC0CA5">
              <w:rPr>
                <w:lang w:val="fr-FR"/>
              </w:rPr>
              <w:t>Répartition des enseignants de l’enseignement supérieur par sexe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52</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12.</w:t>
            </w:r>
            <w:r>
              <w:rPr>
                <w:lang w:val="fr-FR"/>
              </w:rPr>
              <w:tab/>
            </w:r>
            <w:r w:rsidRPr="00FC0CA5">
              <w:rPr>
                <w:lang w:val="fr-FR"/>
              </w:rPr>
              <w:t>Les réalisations de la DEPA</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53</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728"/>
                <w:tab w:val="left" w:pos="2160"/>
                <w:tab w:val="right" w:leader="dot" w:pos="9360"/>
              </w:tabs>
              <w:suppressAutoHyphens/>
              <w:spacing w:after="120" w:line="240" w:lineRule="atLeast"/>
              <w:ind w:left="1530" w:hanging="423"/>
              <w:rPr>
                <w:spacing w:val="60"/>
                <w:sz w:val="17"/>
                <w:lang w:val="fr-FR"/>
              </w:rPr>
            </w:pPr>
            <w:r>
              <w:rPr>
                <w:lang w:val="fr-FR"/>
              </w:rPr>
              <w:t>13.</w:t>
            </w:r>
            <w:r>
              <w:rPr>
                <w:lang w:val="fr-FR"/>
              </w:rPr>
              <w:tab/>
            </w:r>
            <w:r w:rsidRPr="00FC0CA5">
              <w:rPr>
                <w:lang w:val="fr-FR"/>
              </w:rPr>
              <w:t xml:space="preserve">Répartition par tranche d’âge des étudiants inscrits au titre de l’année universitaire </w:t>
            </w:r>
            <w:r>
              <w:rPr>
                <w:lang w:val="fr-FR"/>
              </w:rPr>
              <w:br/>
            </w:r>
            <w:r w:rsidRPr="00FC0CA5">
              <w:rPr>
                <w:lang w:val="fr-FR"/>
              </w:rPr>
              <w:t>2009-2010</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54</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14.</w:t>
            </w:r>
            <w:r>
              <w:rPr>
                <w:lang w:val="fr-FR"/>
              </w:rPr>
              <w:tab/>
            </w:r>
            <w:r w:rsidRPr="00FC0CA5">
              <w:rPr>
                <w:lang w:val="fr-FR"/>
              </w:rPr>
              <w:t>Fréquence des émigrés en 2007</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56</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15.</w:t>
            </w:r>
            <w:r>
              <w:rPr>
                <w:lang w:val="fr-FR"/>
              </w:rPr>
              <w:tab/>
            </w:r>
            <w:r w:rsidRPr="00FC0CA5">
              <w:rPr>
                <w:lang w:val="fr-FR"/>
              </w:rPr>
              <w:t>Secteurs d’activité des émigrés en 2007</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56</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48"/>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16.</w:t>
            </w:r>
            <w:r>
              <w:rPr>
                <w:lang w:val="fr-FR"/>
              </w:rPr>
              <w:tab/>
            </w:r>
            <w:r w:rsidRPr="00FC0CA5">
              <w:rPr>
                <w:lang w:val="fr-FR"/>
              </w:rPr>
              <w:t>Fréquence des émigrés en 2008</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57</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17.</w:t>
            </w:r>
            <w:r>
              <w:rPr>
                <w:lang w:val="fr-FR"/>
              </w:rPr>
              <w:tab/>
            </w:r>
            <w:r w:rsidRPr="00FC0CA5">
              <w:rPr>
                <w:lang w:val="fr-FR"/>
              </w:rPr>
              <w:t>Secteurs d’activité des émigrés en 2008</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57</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18.</w:t>
            </w:r>
            <w:r>
              <w:rPr>
                <w:lang w:val="fr-FR"/>
              </w:rPr>
              <w:tab/>
            </w:r>
            <w:r w:rsidRPr="00FC0CA5">
              <w:rPr>
                <w:lang w:val="fr-FR"/>
              </w:rPr>
              <w:t>Fréquence des émigrés en 2009</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57</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19.</w:t>
            </w:r>
            <w:r>
              <w:rPr>
                <w:lang w:val="fr-FR"/>
              </w:rPr>
              <w:tab/>
            </w:r>
            <w:r w:rsidRPr="00FC0CA5">
              <w:rPr>
                <w:lang w:val="fr-FR"/>
              </w:rPr>
              <w:t>Secteurs d’activité des émigrés en 2009</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57</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20.</w:t>
            </w:r>
            <w:r>
              <w:rPr>
                <w:lang w:val="fr-FR"/>
              </w:rPr>
              <w:tab/>
            </w:r>
            <w:r w:rsidRPr="00FC0CA5">
              <w:rPr>
                <w:lang w:val="fr-FR"/>
              </w:rPr>
              <w:t>Fréquence des émigrés en 2010</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58</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21.</w:t>
            </w:r>
            <w:r>
              <w:rPr>
                <w:lang w:val="fr-FR"/>
              </w:rPr>
              <w:tab/>
            </w:r>
            <w:r w:rsidRPr="00FC0CA5">
              <w:rPr>
                <w:lang w:val="fr-FR"/>
              </w:rPr>
              <w:t>Secteurs d’activité des émigrés en 2010</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59</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22.</w:t>
            </w:r>
            <w:r>
              <w:rPr>
                <w:lang w:val="fr-FR"/>
              </w:rPr>
              <w:tab/>
            </w:r>
            <w:r w:rsidRPr="00FC0CA5">
              <w:rPr>
                <w:lang w:val="fr-FR"/>
              </w:rPr>
              <w:t>Fréquence des émigrés en 2011</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59</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23.</w:t>
            </w:r>
            <w:r>
              <w:rPr>
                <w:lang w:val="fr-FR"/>
              </w:rPr>
              <w:tab/>
            </w:r>
            <w:r w:rsidRPr="00FC0CA5">
              <w:rPr>
                <w:lang w:val="fr-FR"/>
              </w:rPr>
              <w:t>Secteurs d’activité des émigrés en 2011</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60</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keepNext/>
              <w:keepLines/>
              <w:tabs>
                <w:tab w:val="left" w:pos="1296"/>
                <w:tab w:val="left" w:pos="1557"/>
                <w:tab w:val="left" w:pos="2160"/>
                <w:tab w:val="left" w:pos="2592"/>
                <w:tab w:val="left" w:pos="3024"/>
                <w:tab w:val="left" w:pos="3456"/>
                <w:tab w:val="left" w:pos="3888"/>
                <w:tab w:val="right" w:leader="dot" w:pos="9360"/>
              </w:tabs>
              <w:suppressAutoHyphens/>
              <w:spacing w:after="120" w:line="240" w:lineRule="atLeast"/>
              <w:ind w:left="1080"/>
              <w:rPr>
                <w:spacing w:val="60"/>
                <w:sz w:val="17"/>
                <w:lang w:val="fr-FR"/>
              </w:rPr>
            </w:pPr>
            <w:r>
              <w:rPr>
                <w:lang w:val="fr-FR"/>
              </w:rPr>
              <w:t>24.</w:t>
            </w:r>
            <w:r>
              <w:rPr>
                <w:lang w:val="fr-FR"/>
              </w:rPr>
              <w:tab/>
            </w:r>
            <w:r w:rsidRPr="00FC0CA5">
              <w:rPr>
                <w:lang w:val="fr-FR"/>
              </w:rPr>
              <w:t>Fréquence des émigrés en 2012</w:t>
            </w:r>
            <w:r>
              <w:rPr>
                <w:spacing w:val="60"/>
                <w:sz w:val="17"/>
                <w:lang w:val="fr-FR"/>
              </w:rPr>
              <w:tab/>
            </w:r>
          </w:p>
        </w:tc>
        <w:tc>
          <w:tcPr>
            <w:tcW w:w="533" w:type="dxa"/>
            <w:shd w:val="clear" w:color="auto" w:fill="auto"/>
            <w:vAlign w:val="bottom"/>
          </w:tcPr>
          <w:p w:rsidR="00C06068" w:rsidRPr="00521891" w:rsidRDefault="00C06068" w:rsidP="007F3574">
            <w:pPr>
              <w:keepNext/>
              <w:keepLines/>
              <w:spacing w:after="120" w:line="240" w:lineRule="atLeast"/>
              <w:ind w:right="40"/>
              <w:jc w:val="right"/>
              <w:rPr>
                <w:lang w:val="fr-FR"/>
              </w:rPr>
            </w:pPr>
            <w:r>
              <w:rPr>
                <w:lang w:val="fr-FR"/>
              </w:rPr>
              <w:t>61</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right" w:leader="dot" w:pos="9360"/>
              </w:tabs>
              <w:suppressAutoHyphens/>
              <w:spacing w:after="120" w:line="240" w:lineRule="atLeast"/>
              <w:ind w:left="1080"/>
              <w:rPr>
                <w:spacing w:val="60"/>
                <w:sz w:val="17"/>
                <w:lang w:val="fr-FR"/>
              </w:rPr>
            </w:pPr>
            <w:r>
              <w:rPr>
                <w:lang w:val="fr-FR"/>
              </w:rPr>
              <w:t>25.</w:t>
            </w:r>
            <w:r>
              <w:rPr>
                <w:lang w:val="fr-FR"/>
              </w:rPr>
              <w:tab/>
            </w:r>
            <w:r w:rsidRPr="00FC0CA5">
              <w:rPr>
                <w:lang w:val="fr-FR"/>
              </w:rPr>
              <w:t>Secteurs d’activité des émigrés en 2012</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62</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57"/>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line="240" w:lineRule="atLeast"/>
              <w:ind w:left="1080"/>
              <w:rPr>
                <w:spacing w:val="60"/>
                <w:sz w:val="17"/>
                <w:lang w:val="fr-FR"/>
              </w:rPr>
            </w:pPr>
            <w:r>
              <w:rPr>
                <w:lang w:val="fr-FR"/>
              </w:rPr>
              <w:t>26.</w:t>
            </w:r>
            <w:r>
              <w:rPr>
                <w:lang w:val="fr-FR"/>
              </w:rPr>
              <w:tab/>
            </w:r>
            <w:r w:rsidRPr="00FC0CA5">
              <w:rPr>
                <w:lang w:val="fr-FR"/>
              </w:rPr>
              <w:t>Tendance de la mortalité maternelle, néonatale et infanto-juvénile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64</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27.</w:t>
            </w:r>
            <w:r>
              <w:rPr>
                <w:lang w:val="fr-FR"/>
              </w:rPr>
              <w:tab/>
            </w:r>
            <w:r w:rsidRPr="00FC0CA5">
              <w:rPr>
                <w:lang w:val="fr-FR"/>
              </w:rPr>
              <w:t>Tendance de la couverture en consultation prénatale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65</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28.</w:t>
            </w:r>
            <w:r>
              <w:rPr>
                <w:lang w:val="fr-FR"/>
              </w:rPr>
              <w:tab/>
            </w:r>
            <w:r w:rsidRPr="00FC0CA5">
              <w:rPr>
                <w:lang w:val="fr-FR"/>
              </w:rPr>
              <w:t xml:space="preserve">Évolution de la naissance protégée </w:t>
            </w:r>
            <w:r>
              <w:rPr>
                <w:lang w:val="fr-FR"/>
              </w:rPr>
              <w:t>en tétanos néonatal</w:t>
            </w:r>
            <w:r w:rsidRPr="00FC0CA5">
              <w:rPr>
                <w:lang w:val="fr-FR"/>
              </w:rPr>
              <w:t xml:space="preserve"> (TNN)</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66</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503" w:hanging="423"/>
              <w:rPr>
                <w:lang w:val="fr-FR"/>
              </w:rPr>
            </w:pPr>
            <w:r>
              <w:rPr>
                <w:lang w:val="fr-FR"/>
              </w:rPr>
              <w:t>29.</w:t>
            </w:r>
            <w:r>
              <w:rPr>
                <w:lang w:val="fr-FR"/>
              </w:rPr>
              <w:tab/>
            </w:r>
            <w:r w:rsidRPr="00FC0CA5">
              <w:rPr>
                <w:lang w:val="fr-FR"/>
              </w:rPr>
              <w:t xml:space="preserve">Tendance de la prévention primaire de la transmission mère-enfant du VIH/sida </w:t>
            </w:r>
            <w:r>
              <w:rPr>
                <w:lang w:val="fr-FR"/>
              </w:rPr>
              <w:br/>
            </w:r>
            <w:r w:rsidRPr="00FC0CA5">
              <w:rPr>
                <w:lang w:val="fr-FR"/>
              </w:rPr>
              <w:t>chez les femmes enceintes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66</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30.</w:t>
            </w:r>
            <w:r>
              <w:rPr>
                <w:lang w:val="fr-FR"/>
              </w:rPr>
              <w:tab/>
            </w:r>
            <w:r w:rsidRPr="00FC0CA5">
              <w:rPr>
                <w:lang w:val="fr-FR"/>
              </w:rPr>
              <w:t>Évolution de la mise en place des sites de dépistage et counseling en VIH/sida</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67</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31.</w:t>
            </w:r>
            <w:r>
              <w:rPr>
                <w:lang w:val="fr-FR"/>
              </w:rPr>
              <w:tab/>
            </w:r>
            <w:r w:rsidRPr="00FC0CA5">
              <w:rPr>
                <w:lang w:val="fr-FR"/>
              </w:rPr>
              <w:t>Tendance de la distribution de MID</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67</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503" w:hanging="423"/>
              <w:rPr>
                <w:lang w:val="fr-FR"/>
              </w:rPr>
            </w:pPr>
            <w:r>
              <w:rPr>
                <w:lang w:val="fr-FR"/>
              </w:rPr>
              <w:t>32.</w:t>
            </w:r>
            <w:r>
              <w:rPr>
                <w:lang w:val="fr-FR"/>
              </w:rPr>
              <w:tab/>
            </w:r>
            <w:r w:rsidRPr="00FC0CA5">
              <w:rPr>
                <w:lang w:val="fr-FR"/>
              </w:rPr>
              <w:t>Tendance de la proportion de femmes enceintes ayant reçu une prévention</w:t>
            </w:r>
            <w:r>
              <w:rPr>
                <w:lang w:val="fr-FR"/>
              </w:rPr>
              <w:br/>
            </w:r>
            <w:r w:rsidRPr="00FC0CA5">
              <w:rPr>
                <w:lang w:val="fr-FR"/>
              </w:rPr>
              <w:t>en paludisme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68</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33.</w:t>
            </w:r>
            <w:r>
              <w:rPr>
                <w:lang w:val="fr-FR"/>
              </w:rPr>
              <w:tab/>
            </w:r>
            <w:r w:rsidRPr="00FC0CA5">
              <w:rPr>
                <w:lang w:val="fr-FR"/>
              </w:rPr>
              <w:t>Tendance de la couverture de l’accouchement dans les formations sanitaires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69</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503" w:hanging="423"/>
              <w:rPr>
                <w:lang w:val="fr-FR"/>
              </w:rPr>
            </w:pPr>
            <w:r>
              <w:rPr>
                <w:lang w:val="fr-FR"/>
              </w:rPr>
              <w:t>34.</w:t>
            </w:r>
            <w:r>
              <w:rPr>
                <w:lang w:val="fr-FR"/>
              </w:rPr>
              <w:tab/>
            </w:r>
            <w:r w:rsidRPr="00FC0CA5">
              <w:rPr>
                <w:lang w:val="fr-FR"/>
              </w:rPr>
              <w:t>Tendance de la couverture de la mise en place d’audits et de surveillance de décès maternels et néonatals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70</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35.</w:t>
            </w:r>
            <w:r>
              <w:rPr>
                <w:lang w:val="fr-FR"/>
              </w:rPr>
              <w:tab/>
            </w:r>
            <w:r w:rsidRPr="00FC0CA5">
              <w:rPr>
                <w:lang w:val="fr-FR"/>
              </w:rPr>
              <w:t>Évolution des activités des jeunes pairs éducateurs dans 25 sites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72</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36.</w:t>
            </w:r>
            <w:r>
              <w:rPr>
                <w:lang w:val="fr-FR"/>
              </w:rPr>
              <w:tab/>
            </w:r>
            <w:r w:rsidRPr="00FC0CA5">
              <w:rPr>
                <w:lang w:val="fr-FR"/>
              </w:rPr>
              <w:t>Évolution du nombre des jeunes sensibilisés en SRA/VIH/sida (25 sites)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73</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728"/>
                <w:tab w:val="left" w:pos="2160"/>
                <w:tab w:val="left" w:pos="2592"/>
                <w:tab w:val="left" w:pos="3024"/>
                <w:tab w:val="right" w:leader="dot" w:pos="9360"/>
              </w:tabs>
              <w:suppressAutoHyphens/>
              <w:spacing w:after="120" w:line="240" w:lineRule="atLeast"/>
              <w:ind w:left="1503" w:hanging="423"/>
              <w:rPr>
                <w:spacing w:val="60"/>
                <w:sz w:val="17"/>
                <w:lang w:val="fr-FR"/>
              </w:rPr>
            </w:pPr>
            <w:r>
              <w:rPr>
                <w:lang w:val="fr-FR"/>
              </w:rPr>
              <w:t>37.</w:t>
            </w:r>
            <w:r>
              <w:rPr>
                <w:lang w:val="fr-FR"/>
              </w:rPr>
              <w:tab/>
            </w:r>
            <w:r w:rsidRPr="00FC0CA5">
              <w:rPr>
                <w:lang w:val="fr-FR"/>
              </w:rPr>
              <w:t xml:space="preserve">Appuis financiers de la CNMF pour la vulgarisation du produit CAE </w:t>
            </w:r>
            <w:r>
              <w:rPr>
                <w:lang w:val="fr-FR"/>
              </w:rPr>
              <w:br/>
            </w:r>
            <w:r w:rsidRPr="00FC0CA5">
              <w:rPr>
                <w:lang w:val="fr-FR"/>
              </w:rPr>
              <w:t>(financement PNUD)</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74</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503" w:hanging="423"/>
              <w:rPr>
                <w:lang w:val="fr-FR"/>
              </w:rPr>
            </w:pPr>
            <w:r>
              <w:rPr>
                <w:lang w:val="fr-FR"/>
              </w:rPr>
              <w:t>38.</w:t>
            </w:r>
            <w:r>
              <w:rPr>
                <w:lang w:val="fr-FR"/>
              </w:rPr>
              <w:tab/>
            </w:r>
            <w:r w:rsidRPr="00FC0CA5">
              <w:rPr>
                <w:lang w:val="fr-FR"/>
              </w:rPr>
              <w:t xml:space="preserve">Pourcentage des femmes membres et/ou clients des IMF et des établissements </w:t>
            </w:r>
            <w:r>
              <w:rPr>
                <w:lang w:val="fr-FR"/>
              </w:rPr>
              <w:br/>
            </w:r>
            <w:r w:rsidRPr="00FC0CA5">
              <w:rPr>
                <w:lang w:val="fr-FR"/>
              </w:rPr>
              <w:t>de crédits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74</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39.</w:t>
            </w:r>
            <w:r>
              <w:rPr>
                <w:lang w:val="fr-FR"/>
              </w:rPr>
              <w:tab/>
            </w:r>
            <w:r w:rsidRPr="00FC0CA5">
              <w:rPr>
                <w:lang w:val="fr-FR"/>
              </w:rPr>
              <w:t>Tendance de la fonctionnalité des centres de santé de base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76</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40.</w:t>
            </w:r>
            <w:r>
              <w:rPr>
                <w:lang w:val="fr-FR"/>
              </w:rPr>
              <w:tab/>
            </w:r>
            <w:r w:rsidRPr="00FC0CA5">
              <w:rPr>
                <w:lang w:val="fr-FR"/>
              </w:rPr>
              <w:t>Tendance de recrutement et de contractualisation de médecins et de paramédicaux</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76</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41.</w:t>
            </w:r>
            <w:r>
              <w:rPr>
                <w:lang w:val="fr-FR"/>
              </w:rPr>
              <w:tab/>
            </w:r>
            <w:r w:rsidRPr="00FC0CA5">
              <w:rPr>
                <w:lang w:val="fr-FR"/>
              </w:rPr>
              <w:t>Tendance de la couverture des paquets de services offerts au cours de SSME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77</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42.</w:t>
            </w:r>
            <w:r>
              <w:rPr>
                <w:lang w:val="fr-FR"/>
              </w:rPr>
              <w:tab/>
            </w:r>
            <w:r w:rsidRPr="00FC0CA5">
              <w:rPr>
                <w:lang w:val="fr-FR"/>
              </w:rPr>
              <w:t>Problèmes d’accès aux soins des femmes de 15 à 49 ans selon le milieu de résidence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77</w:t>
            </w:r>
          </w:p>
        </w:tc>
      </w:tr>
      <w:tr w:rsidR="00C06068" w:rsidRPr="00521891"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080"/>
              <w:rPr>
                <w:lang w:val="fr-FR"/>
              </w:rPr>
            </w:pPr>
            <w:r>
              <w:rPr>
                <w:lang w:val="fr-FR"/>
              </w:rPr>
              <w:t>43.</w:t>
            </w:r>
            <w:r>
              <w:rPr>
                <w:lang w:val="fr-FR"/>
              </w:rPr>
              <w:tab/>
            </w:r>
            <w:r w:rsidRPr="00FC0CA5">
              <w:rPr>
                <w:lang w:val="fr-FR"/>
              </w:rPr>
              <w:t>Nombre de filles pour 100 garçons scolarisées par niveau d’éducation</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78</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728"/>
                <w:tab w:val="left" w:pos="2160"/>
                <w:tab w:val="left" w:pos="2592"/>
                <w:tab w:val="right" w:leader="dot" w:pos="9360"/>
              </w:tabs>
              <w:suppressAutoHyphens/>
              <w:spacing w:after="120" w:line="240" w:lineRule="atLeast"/>
              <w:ind w:left="1503" w:hanging="423"/>
              <w:rPr>
                <w:spacing w:val="60"/>
                <w:sz w:val="17"/>
                <w:lang w:val="fr-FR"/>
              </w:rPr>
            </w:pPr>
            <w:r>
              <w:rPr>
                <w:lang w:val="fr-FR"/>
              </w:rPr>
              <w:t>44.</w:t>
            </w:r>
            <w:r>
              <w:rPr>
                <w:lang w:val="fr-FR"/>
              </w:rPr>
              <w:tab/>
            </w:r>
            <w:r w:rsidRPr="00FC0CA5">
              <w:rPr>
                <w:lang w:val="fr-FR"/>
              </w:rPr>
              <w:t xml:space="preserve">Taux d’alphabétisation des individus âgés de </w:t>
            </w:r>
            <w:r>
              <w:rPr>
                <w:lang w:val="fr-FR"/>
              </w:rPr>
              <w:t>15 ans et plus, selon le milieu</w:t>
            </w:r>
            <w:r w:rsidRPr="00FC0CA5">
              <w:rPr>
                <w:lang w:val="fr-FR"/>
              </w:rPr>
              <w:t xml:space="preserve"> </w:t>
            </w:r>
            <w:r>
              <w:rPr>
                <w:lang w:val="fr-FR"/>
              </w:rPr>
              <w:br/>
            </w:r>
            <w:r w:rsidRPr="00FC0CA5">
              <w:rPr>
                <w:lang w:val="fr-FR"/>
              </w:rPr>
              <w:t>et selon le genre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79</w:t>
            </w:r>
          </w:p>
        </w:tc>
      </w:tr>
      <w:tr w:rsidR="00C06068" w:rsidRPr="00521891"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line="240" w:lineRule="atLeast"/>
              <w:ind w:left="1080"/>
              <w:rPr>
                <w:spacing w:val="60"/>
                <w:sz w:val="17"/>
                <w:lang w:val="fr-FR"/>
              </w:rPr>
            </w:pPr>
            <w:r>
              <w:rPr>
                <w:lang w:val="fr-FR"/>
              </w:rPr>
              <w:t>45.</w:t>
            </w:r>
            <w:r>
              <w:rPr>
                <w:lang w:val="fr-FR"/>
              </w:rPr>
              <w:tab/>
              <w:t>Fréquentation des maisons de</w:t>
            </w:r>
            <w:r w:rsidRPr="00FC0CA5">
              <w:rPr>
                <w:lang w:val="fr-FR"/>
              </w:rPr>
              <w:t xml:space="preserve"> jeunes par les jeunes de 10 à 24 ans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80</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2286"/>
                <w:tab w:val="left" w:pos="2592"/>
                <w:tab w:val="left" w:pos="3024"/>
                <w:tab w:val="left" w:pos="3456"/>
                <w:tab w:val="left" w:pos="3888"/>
                <w:tab w:val="left" w:pos="4320"/>
                <w:tab w:val="right" w:leader="dot" w:pos="9360"/>
              </w:tabs>
              <w:suppressAutoHyphens/>
              <w:spacing w:after="120" w:line="240" w:lineRule="atLeast"/>
              <w:ind w:left="288"/>
              <w:rPr>
                <w:lang w:val="fr-FR"/>
              </w:rPr>
            </w:pPr>
            <w:r>
              <w:rPr>
                <w:lang w:val="fr-FR"/>
              </w:rPr>
              <w:t>Graphiques</w:t>
            </w:r>
          </w:p>
        </w:tc>
        <w:tc>
          <w:tcPr>
            <w:tcW w:w="533" w:type="dxa"/>
            <w:shd w:val="clear" w:color="auto" w:fill="auto"/>
            <w:vAlign w:val="bottom"/>
          </w:tcPr>
          <w:p w:rsidR="00C06068" w:rsidRPr="00521891" w:rsidRDefault="00C06068" w:rsidP="007F3574">
            <w:pPr>
              <w:tabs>
                <w:tab w:val="left" w:pos="2286"/>
                <w:tab w:val="left" w:pos="2592"/>
                <w:tab w:val="left" w:pos="3024"/>
                <w:tab w:val="left" w:pos="3456"/>
                <w:tab w:val="left" w:pos="3888"/>
                <w:tab w:val="left" w:pos="4320"/>
                <w:tab w:val="right" w:leader="dot" w:pos="9360"/>
              </w:tabs>
              <w:suppressAutoHyphens/>
              <w:spacing w:after="120" w:line="240" w:lineRule="atLeast"/>
              <w:ind w:left="423"/>
              <w:jc w:val="right"/>
              <w:rPr>
                <w:lang w:val="fr-FR"/>
              </w:rPr>
            </w:pP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170"/>
              <w:rPr>
                <w:lang w:val="fr-FR"/>
              </w:rPr>
            </w:pPr>
            <w:r>
              <w:rPr>
                <w:lang w:val="fr-FR"/>
              </w:rPr>
              <w:t>1.</w:t>
            </w:r>
            <w:r>
              <w:rPr>
                <w:lang w:val="fr-FR"/>
              </w:rPr>
              <w:tab/>
            </w:r>
            <w:r w:rsidRPr="00FC0CA5">
              <w:rPr>
                <w:lang w:val="fr-FR"/>
              </w:rPr>
              <w:t>Réponse des femmes interrogées qui ont déclaré avoir subi un acte de violence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35</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170"/>
              <w:rPr>
                <w:lang w:val="fr-FR"/>
              </w:rPr>
            </w:pPr>
            <w:r>
              <w:rPr>
                <w:lang w:val="fr-FR"/>
              </w:rPr>
              <w:t>2.</w:t>
            </w:r>
            <w:r>
              <w:rPr>
                <w:lang w:val="fr-FR"/>
              </w:rPr>
              <w:tab/>
            </w:r>
            <w:r w:rsidRPr="00FC0CA5">
              <w:rPr>
                <w:lang w:val="fr-FR"/>
              </w:rPr>
              <w:t>Formes de violence à l’égard des femmes les plus rapportées à Antananarivo</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36</w:t>
            </w:r>
          </w:p>
        </w:tc>
      </w:tr>
      <w:tr w:rsidR="00C06068" w:rsidRPr="00F83435" w:rsidTr="007F3574">
        <w:tblPrEx>
          <w:tblCellMar>
            <w:top w:w="0" w:type="dxa"/>
            <w:bottom w:w="0" w:type="dxa"/>
          </w:tblCellMar>
        </w:tblPrEx>
        <w:tc>
          <w:tcPr>
            <w:tcW w:w="9369" w:type="dxa"/>
            <w:gridSpan w:val="3"/>
            <w:shd w:val="clear" w:color="auto" w:fill="auto"/>
          </w:tcPr>
          <w:p w:rsidR="00C06068" w:rsidRPr="00697C37" w:rsidRDefault="00C06068" w:rsidP="007F3574">
            <w:pPr>
              <w:tabs>
                <w:tab w:val="left" w:pos="1503"/>
                <w:tab w:val="left" w:pos="1728"/>
                <w:tab w:val="right" w:leader="dot" w:pos="9360"/>
              </w:tabs>
              <w:suppressAutoHyphens/>
              <w:spacing w:after="120" w:line="240" w:lineRule="atLeast"/>
              <w:ind w:left="1503" w:hanging="333"/>
              <w:rPr>
                <w:spacing w:val="60"/>
                <w:sz w:val="17"/>
                <w:lang w:val="fr-FR"/>
              </w:rPr>
            </w:pPr>
            <w:r>
              <w:rPr>
                <w:lang w:val="fr-FR"/>
              </w:rPr>
              <w:t>3.</w:t>
            </w:r>
            <w:r>
              <w:rPr>
                <w:lang w:val="fr-FR"/>
              </w:rPr>
              <w:tab/>
            </w:r>
            <w:r w:rsidRPr="00FC0CA5">
              <w:rPr>
                <w:lang w:val="fr-FR"/>
              </w:rPr>
              <w:t xml:space="preserve">Évolution de la présence des femmes au sein de la Haute Cour constitutionnelle </w:t>
            </w:r>
            <w:r>
              <w:rPr>
                <w:lang w:val="fr-FR"/>
              </w:rPr>
              <w:br/>
            </w:r>
            <w:r w:rsidRPr="00FC0CA5">
              <w:rPr>
                <w:lang w:val="fr-FR"/>
              </w:rPr>
              <w:t>et de la Cour suprême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43</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170"/>
              <w:rPr>
                <w:lang w:val="fr-FR"/>
              </w:rPr>
            </w:pPr>
            <w:r>
              <w:rPr>
                <w:lang w:val="fr-FR"/>
              </w:rPr>
              <w:t>4.</w:t>
            </w:r>
            <w:r>
              <w:rPr>
                <w:lang w:val="fr-FR"/>
              </w:rPr>
              <w:tab/>
            </w:r>
            <w:r w:rsidRPr="00FC0CA5">
              <w:rPr>
                <w:lang w:val="fr-FR"/>
              </w:rPr>
              <w:t>Évolution de la participation de la femme dans le Gouvernement</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44</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170"/>
              <w:rPr>
                <w:lang w:val="fr-FR"/>
              </w:rPr>
            </w:pPr>
            <w:r>
              <w:rPr>
                <w:lang w:val="fr-FR"/>
              </w:rPr>
              <w:t>5.</w:t>
            </w:r>
            <w:r>
              <w:rPr>
                <w:lang w:val="fr-FR"/>
              </w:rPr>
              <w:tab/>
            </w:r>
            <w:r w:rsidRPr="00FC0CA5">
              <w:rPr>
                <w:lang w:val="fr-FR"/>
              </w:rPr>
              <w:t>Évolution de la participation de la femme dans les hauts emplois de l’État</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44</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keepNext/>
              <w:keepLines/>
              <w:tabs>
                <w:tab w:val="left" w:pos="1503"/>
                <w:tab w:val="left" w:pos="1728"/>
                <w:tab w:val="right" w:leader="dot" w:pos="9360"/>
              </w:tabs>
              <w:suppressAutoHyphens/>
              <w:spacing w:after="120" w:line="240" w:lineRule="atLeast"/>
              <w:ind w:left="1152"/>
              <w:rPr>
                <w:lang w:val="fr-FR"/>
              </w:rPr>
            </w:pPr>
            <w:r>
              <w:rPr>
                <w:lang w:val="fr-FR"/>
              </w:rPr>
              <w:t>6.</w:t>
            </w:r>
            <w:r>
              <w:rPr>
                <w:lang w:val="fr-FR"/>
              </w:rPr>
              <w:tab/>
            </w:r>
            <w:r w:rsidRPr="00FC0CA5">
              <w:rPr>
                <w:lang w:val="fr-FR"/>
              </w:rPr>
              <w:t>Évolution de la présence des femmes dans les syndicats</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45</w:t>
            </w:r>
          </w:p>
        </w:tc>
      </w:tr>
      <w:tr w:rsidR="00C06068" w:rsidRPr="00F83435" w:rsidTr="007F3574">
        <w:tblPrEx>
          <w:tblCellMar>
            <w:top w:w="0" w:type="dxa"/>
            <w:bottom w:w="0" w:type="dxa"/>
          </w:tblCellMar>
        </w:tblPrEx>
        <w:tc>
          <w:tcPr>
            <w:tcW w:w="9369" w:type="dxa"/>
            <w:gridSpan w:val="3"/>
            <w:shd w:val="clear" w:color="auto" w:fill="auto"/>
          </w:tcPr>
          <w:p w:rsidR="00C06068" w:rsidRDefault="00C06068" w:rsidP="007F3574">
            <w:pPr>
              <w:tabs>
                <w:tab w:val="left" w:pos="1503"/>
                <w:tab w:val="left" w:pos="1728"/>
                <w:tab w:val="right" w:leader="dot" w:pos="9360"/>
              </w:tabs>
              <w:suppressAutoHyphens/>
              <w:spacing w:after="120" w:line="240" w:lineRule="atLeast"/>
              <w:ind w:left="1152"/>
              <w:rPr>
                <w:lang w:val="fr-FR"/>
              </w:rPr>
            </w:pPr>
            <w:r>
              <w:rPr>
                <w:lang w:val="fr-FR"/>
              </w:rPr>
              <w:t>7.</w:t>
            </w:r>
            <w:r>
              <w:rPr>
                <w:lang w:val="fr-FR"/>
              </w:rPr>
              <w:tab/>
            </w:r>
            <w:r w:rsidRPr="00FC0CA5">
              <w:rPr>
                <w:lang w:val="fr-FR"/>
              </w:rPr>
              <w:t>Présence des femmes dans la vie associative</w:t>
            </w:r>
            <w:r>
              <w:rPr>
                <w:spacing w:val="60"/>
                <w:sz w:val="17"/>
                <w:lang w:val="fr-FR"/>
              </w:rPr>
              <w:tab/>
            </w:r>
          </w:p>
        </w:tc>
        <w:tc>
          <w:tcPr>
            <w:tcW w:w="533" w:type="dxa"/>
            <w:shd w:val="clear" w:color="auto" w:fill="auto"/>
            <w:vAlign w:val="bottom"/>
          </w:tcPr>
          <w:p w:rsidR="00C06068" w:rsidRPr="00521891" w:rsidRDefault="00C06068" w:rsidP="007F3574">
            <w:pPr>
              <w:spacing w:after="120" w:line="240" w:lineRule="atLeast"/>
              <w:ind w:right="40"/>
              <w:jc w:val="right"/>
              <w:rPr>
                <w:lang w:val="fr-FR"/>
              </w:rPr>
            </w:pPr>
            <w:r>
              <w:rPr>
                <w:lang w:val="fr-FR"/>
              </w:rPr>
              <w:t>47</w:t>
            </w:r>
          </w:p>
        </w:tc>
      </w:tr>
      <w:tr w:rsidR="00C06068" w:rsidRPr="00F83435" w:rsidTr="007F3574">
        <w:tblPrEx>
          <w:tblCellMar>
            <w:top w:w="0" w:type="dxa"/>
            <w:bottom w:w="0" w:type="dxa"/>
          </w:tblCellMar>
        </w:tblPrEx>
        <w:tc>
          <w:tcPr>
            <w:tcW w:w="9369" w:type="dxa"/>
            <w:gridSpan w:val="3"/>
            <w:shd w:val="clear" w:color="auto" w:fill="auto"/>
          </w:tcPr>
          <w:p w:rsidR="00C06068" w:rsidRPr="00521891" w:rsidRDefault="00C06068" w:rsidP="007F3574">
            <w:pPr>
              <w:tabs>
                <w:tab w:val="left" w:pos="2286"/>
                <w:tab w:val="left" w:pos="2592"/>
                <w:tab w:val="left" w:pos="3024"/>
                <w:tab w:val="left" w:pos="3456"/>
                <w:tab w:val="left" w:pos="3888"/>
                <w:tab w:val="left" w:pos="4320"/>
                <w:tab w:val="right" w:leader="dot" w:pos="9360"/>
              </w:tabs>
              <w:suppressAutoHyphens/>
              <w:spacing w:after="120" w:line="240" w:lineRule="atLeast"/>
              <w:ind w:left="302"/>
              <w:rPr>
                <w:lang w:val="fr-FR"/>
              </w:rPr>
            </w:pPr>
            <w:r w:rsidRPr="00521891">
              <w:rPr>
                <w:lang w:val="fr-FR"/>
              </w:rPr>
              <w:t>Annexes</w:t>
            </w:r>
            <w:r w:rsidRPr="00313148">
              <w:rPr>
                <w:lang w:val="fr-FR"/>
              </w:rPr>
              <w:footnoteReference w:customMarkFollows="1" w:id="2"/>
              <w:t>**</w:t>
            </w:r>
          </w:p>
        </w:tc>
        <w:tc>
          <w:tcPr>
            <w:tcW w:w="533" w:type="dxa"/>
            <w:shd w:val="clear" w:color="auto" w:fill="auto"/>
            <w:vAlign w:val="bottom"/>
          </w:tcPr>
          <w:p w:rsidR="00C06068" w:rsidRPr="00521891" w:rsidRDefault="00C06068" w:rsidP="007F3574">
            <w:pPr>
              <w:tabs>
                <w:tab w:val="left" w:pos="2286"/>
                <w:tab w:val="left" w:pos="2592"/>
                <w:tab w:val="left" w:pos="3024"/>
                <w:tab w:val="left" w:pos="3456"/>
                <w:tab w:val="left" w:pos="3888"/>
                <w:tab w:val="left" w:pos="4320"/>
                <w:tab w:val="right" w:leader="dot" w:pos="9360"/>
              </w:tabs>
              <w:suppressAutoHyphens/>
              <w:spacing w:after="120" w:line="240" w:lineRule="atLeast"/>
              <w:ind w:left="423"/>
              <w:jc w:val="right"/>
              <w:rPr>
                <w:lang w:val="fr-FR"/>
              </w:rPr>
            </w:pPr>
          </w:p>
        </w:tc>
      </w:tr>
    </w:tbl>
    <w:p w:rsidR="00C06068" w:rsidRDefault="00C06068" w:rsidP="00C06068">
      <w:pPr>
        <w:pStyle w:val="SingleTxt"/>
        <w:rPr>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Pr="00521891">
        <w:rPr>
          <w:lang w:val="fr-FR"/>
        </w:rPr>
        <w:tab/>
      </w:r>
      <w:r w:rsidRPr="00521891">
        <w:rPr>
          <w:lang w:val="fr-FR"/>
        </w:rPr>
        <w:tab/>
        <w:t>Liste des acronymes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3"/>
        <w:gridCol w:w="6137"/>
      </w:tblGrid>
      <w:tr w:rsidR="00C06068" w:rsidRPr="00521891" w:rsidTr="007F3574">
        <w:tc>
          <w:tcPr>
            <w:tcW w:w="1253" w:type="dxa"/>
            <w:tcBorders>
              <w:top w:val="nil"/>
              <w:left w:val="nil"/>
              <w:bottom w:val="nil"/>
              <w:right w:val="nil"/>
            </w:tcBorders>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ADM</w:t>
            </w:r>
          </w:p>
        </w:tc>
        <w:tc>
          <w:tcPr>
            <w:tcW w:w="6137" w:type="dxa"/>
            <w:tcBorders>
              <w:top w:val="nil"/>
              <w:left w:val="nil"/>
              <w:bottom w:val="nil"/>
              <w:right w:val="nil"/>
            </w:tcBorders>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Audit de décès maternel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ADN</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Acide désoxyribonucléique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AFD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Agence française pour le développement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AGOA</w:t>
            </w:r>
          </w:p>
        </w:tc>
        <w:tc>
          <w:tcPr>
            <w:tcW w:w="6137" w:type="dxa"/>
            <w:shd w:val="clear" w:color="auto" w:fill="auto"/>
          </w:tcPr>
          <w:p w:rsidR="00C06068" w:rsidRPr="00521891" w:rsidRDefault="00C06068" w:rsidP="007F3574">
            <w:pPr>
              <w:pStyle w:val="SingleTxt"/>
              <w:suppressAutoHyphens/>
              <w:ind w:left="0" w:right="0"/>
              <w:jc w:val="left"/>
              <w:rPr>
                <w:rFonts w:eastAsia="Times New Roman"/>
                <w:i/>
                <w:lang w:val="fr-FR"/>
              </w:rPr>
            </w:pPr>
            <w:r w:rsidRPr="00521891">
              <w:rPr>
                <w:rFonts w:eastAsia="Times New Roman"/>
                <w:i/>
                <w:lang w:val="fr-FR"/>
              </w:rPr>
              <w:t>African Growth Opportunity Act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AGR</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Activités génératrices de revenu</w:t>
            </w:r>
            <w:r>
              <w:rPr>
                <w:rFonts w:eastAsia="Times New Roman"/>
                <w:lang w:val="fr-FR"/>
              </w:rPr>
              <w:t>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Al.</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Alinéa</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AME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Allaitement maternel exclusif</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ANJE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Alimentation du nourrisson et du jeune enfant et nutrition de la femme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APD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Aide publique au développement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AR</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Arrêt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Art.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Article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ASAMA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Action scolaire d</w:t>
            </w:r>
            <w:r>
              <w:rPr>
                <w:rFonts w:eastAsia="Times New Roman"/>
                <w:lang w:val="fr-FR"/>
              </w:rPr>
              <w:t>’</w:t>
            </w:r>
            <w:r w:rsidRPr="00521891">
              <w:rPr>
                <w:rFonts w:eastAsia="Times New Roman"/>
                <w:lang w:val="fr-FR"/>
              </w:rPr>
              <w:t>appoint pour Malagasy adolescent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CAE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Crédit avec éducation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CECAM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Caisses d</w:t>
            </w:r>
            <w:r>
              <w:rPr>
                <w:rFonts w:eastAsia="Times New Roman"/>
                <w:lang w:val="fr-FR"/>
              </w:rPr>
              <w:t>’</w:t>
            </w:r>
            <w:r w:rsidRPr="00521891">
              <w:rPr>
                <w:rFonts w:eastAsia="Times New Roman"/>
                <w:lang w:val="fr-FR"/>
              </w:rPr>
              <w:t>épargne et de crédit agricole mutuelles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CECJ</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Centre d</w:t>
            </w:r>
            <w:r>
              <w:rPr>
                <w:rFonts w:eastAsia="Times New Roman"/>
                <w:lang w:val="fr-FR"/>
              </w:rPr>
              <w:t>’</w:t>
            </w:r>
            <w:r w:rsidRPr="00521891">
              <w:rPr>
                <w:rFonts w:eastAsia="Times New Roman"/>
                <w:lang w:val="fr-FR"/>
              </w:rPr>
              <w:t>écoute et de conseil juridique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CEDEF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Convention internationale pour l</w:t>
            </w:r>
            <w:r>
              <w:rPr>
                <w:rFonts w:eastAsia="Times New Roman"/>
                <w:lang w:val="fr-FR"/>
              </w:rPr>
              <w:t>’</w:t>
            </w:r>
            <w:r w:rsidRPr="00521891">
              <w:rPr>
                <w:rFonts w:eastAsia="Times New Roman"/>
                <w:lang w:val="fr-FR"/>
              </w:rPr>
              <w:t>élimination de toutes les formes de</w:t>
            </w:r>
            <w:r>
              <w:rPr>
                <w:rFonts w:eastAsia="Times New Roman"/>
                <w:lang w:val="fr-FR"/>
              </w:rPr>
              <w:t> </w:t>
            </w:r>
            <w:r w:rsidRPr="00521891">
              <w:rPr>
                <w:rFonts w:eastAsia="Times New Roman"/>
                <w:lang w:val="fr-FR"/>
              </w:rPr>
              <w:t>discrimination à l</w:t>
            </w:r>
            <w:r>
              <w:rPr>
                <w:rFonts w:eastAsia="Times New Roman"/>
                <w:lang w:val="fr-FR"/>
              </w:rPr>
              <w:t>’</w:t>
            </w:r>
            <w:r w:rsidRPr="00521891">
              <w:rPr>
                <w:rFonts w:eastAsia="Times New Roman"/>
                <w:lang w:val="fr-FR"/>
              </w:rPr>
              <w:t>égard des femmes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CEG</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Collège d</w:t>
            </w:r>
            <w:r>
              <w:rPr>
                <w:rFonts w:eastAsia="Times New Roman"/>
                <w:lang w:val="fr-FR"/>
              </w:rPr>
              <w:t>’</w:t>
            </w:r>
            <w:r w:rsidRPr="00521891">
              <w:rPr>
                <w:rFonts w:eastAsia="Times New Roman"/>
                <w:lang w:val="fr-FR"/>
              </w:rPr>
              <w:t>enseignement général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CENI-T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Commission électorale nationale indépendante de la transition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CEPE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Certificat d</w:t>
            </w:r>
            <w:r>
              <w:rPr>
                <w:rFonts w:eastAsia="Times New Roman"/>
                <w:lang w:val="fr-FR"/>
              </w:rPr>
              <w:t>’</w:t>
            </w:r>
            <w:r w:rsidRPr="00521891">
              <w:rPr>
                <w:rFonts w:eastAsia="Times New Roman"/>
                <w:lang w:val="fr-FR"/>
              </w:rPr>
              <w:t>études primaires élémentaires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CERD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Convention internationale pour l</w:t>
            </w:r>
            <w:r>
              <w:rPr>
                <w:rFonts w:eastAsia="Times New Roman"/>
                <w:lang w:val="fr-FR"/>
              </w:rPr>
              <w:t>’</w:t>
            </w:r>
            <w:r w:rsidRPr="00521891">
              <w:rPr>
                <w:rFonts w:eastAsia="Times New Roman"/>
                <w:lang w:val="fr-FR"/>
              </w:rPr>
              <w:t>élimination de toutes les formes de</w:t>
            </w:r>
            <w:r>
              <w:rPr>
                <w:rFonts w:eastAsia="Times New Roman"/>
                <w:lang w:val="fr-FR"/>
              </w:rPr>
              <w:t> </w:t>
            </w:r>
            <w:r w:rsidRPr="00521891">
              <w:rPr>
                <w:rFonts w:eastAsia="Times New Roman"/>
                <w:lang w:val="fr-FR"/>
              </w:rPr>
              <w:t>discrimination raciale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CES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Cour électorale spéciale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CNaPS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Caisse nationale de prévoyance sociale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CNDH</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Conseil national des droits de l</w:t>
            </w:r>
            <w:r>
              <w:rPr>
                <w:rFonts w:eastAsia="Times New Roman"/>
                <w:lang w:val="fr-FR"/>
              </w:rPr>
              <w:t>’</w:t>
            </w:r>
            <w:r w:rsidRPr="00521891">
              <w:rPr>
                <w:rFonts w:eastAsia="Times New Roman"/>
                <w:lang w:val="fr-FR"/>
              </w:rPr>
              <w:t>homme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CNIDH</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Commission nationale indépendante de droits de l</w:t>
            </w:r>
            <w:r>
              <w:rPr>
                <w:rFonts w:eastAsia="Times New Roman"/>
                <w:lang w:val="fr-FR"/>
              </w:rPr>
              <w:t>’</w:t>
            </w:r>
            <w:r w:rsidRPr="00521891">
              <w:rPr>
                <w:rFonts w:eastAsia="Times New Roman"/>
                <w:lang w:val="fr-FR"/>
              </w:rPr>
              <w:t>homme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CNMF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Coordination nationale de la microfinance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CNTEMAD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Centre na</w:t>
            </w:r>
            <w:r>
              <w:rPr>
                <w:rFonts w:eastAsia="Times New Roman"/>
                <w:lang w:val="fr-FR"/>
              </w:rPr>
              <w:t>tional de télé-enseignement de M</w:t>
            </w:r>
            <w:r w:rsidRPr="00521891">
              <w:rPr>
                <w:rFonts w:eastAsia="Times New Roman"/>
                <w:lang w:val="fr-FR"/>
              </w:rPr>
              <w:t>adagascar</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CPN</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Consultation prénatale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CRM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 xml:space="preserve">Conseil pour la réconciliation </w:t>
            </w:r>
            <w:r>
              <w:rPr>
                <w:rFonts w:eastAsia="Times New Roman"/>
                <w:lang w:val="fr-FR"/>
              </w:rPr>
              <w:t>m</w:t>
            </w:r>
            <w:r w:rsidRPr="00521891">
              <w:rPr>
                <w:rFonts w:eastAsia="Times New Roman"/>
                <w:lang w:val="fr-FR"/>
              </w:rPr>
              <w:t>alagasy</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CSB</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Centre de santé de base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CST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Conseil supérieur de la transition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CT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Congrès de la transition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DBC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Distribution à base communautaire de préservatifs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DEPA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Direction de l</w:t>
            </w:r>
            <w:r>
              <w:rPr>
                <w:rFonts w:eastAsia="Times New Roman"/>
                <w:lang w:val="fr-FR"/>
              </w:rPr>
              <w:t>’</w:t>
            </w:r>
            <w:r w:rsidRPr="00521891">
              <w:rPr>
                <w:rFonts w:eastAsia="Times New Roman"/>
                <w:lang w:val="fr-FR"/>
              </w:rPr>
              <w:t>éducation préscolaire et de l</w:t>
            </w:r>
            <w:r>
              <w:rPr>
                <w:rFonts w:eastAsia="Times New Roman"/>
                <w:lang w:val="fr-FR"/>
              </w:rPr>
              <w:t>’</w:t>
            </w:r>
            <w:r w:rsidRPr="00521891">
              <w:rPr>
                <w:rFonts w:eastAsia="Times New Roman"/>
                <w:lang w:val="fr-FR"/>
              </w:rPr>
              <w:t>alphabétisation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DSY</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Direction des synthèses économiques</w:t>
            </w:r>
          </w:p>
        </w:tc>
      </w:tr>
      <w:tr w:rsidR="00C06068" w:rsidRPr="0081752A"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ECPAT</w:t>
            </w:r>
          </w:p>
        </w:tc>
        <w:tc>
          <w:tcPr>
            <w:tcW w:w="6137" w:type="dxa"/>
            <w:shd w:val="clear" w:color="auto" w:fill="auto"/>
          </w:tcPr>
          <w:p w:rsidR="00C06068" w:rsidRPr="0081752A" w:rsidRDefault="00C06068" w:rsidP="007F3574">
            <w:pPr>
              <w:pStyle w:val="SingleTxt"/>
              <w:suppressAutoHyphens/>
              <w:ind w:left="0" w:right="0"/>
              <w:jc w:val="left"/>
              <w:rPr>
                <w:rFonts w:eastAsia="Times New Roman"/>
              </w:rPr>
            </w:pPr>
            <w:r w:rsidRPr="0081752A">
              <w:rPr>
                <w:rFonts w:eastAsia="Times New Roman"/>
              </w:rPr>
              <w:t>End child prostitution and trafficking</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EDS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Enquête démographique et de santé</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Ens.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Ensemble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EPM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Enquête permanente/périodique auprès des ménages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EPU</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Examen périodique universel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Féminin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Fille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FAF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Fer acide folique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Femme enceinte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FFKM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Fikambanan</w:t>
            </w:r>
            <w:r>
              <w:rPr>
                <w:rFonts w:eastAsia="Times New Roman"/>
                <w:lang w:val="fr-FR"/>
              </w:rPr>
              <w:t>’</w:t>
            </w:r>
            <w:r w:rsidRPr="00521891">
              <w:rPr>
                <w:rFonts w:eastAsia="Times New Roman"/>
                <w:lang w:val="fr-FR"/>
              </w:rPr>
              <w:t>ny fiangonana kristiana malagasy (</w:t>
            </w:r>
            <w:r>
              <w:rPr>
                <w:rFonts w:eastAsia="Times New Roman"/>
                <w:lang w:val="fr-FR"/>
              </w:rPr>
              <w:t>C</w:t>
            </w:r>
            <w:r w:rsidRPr="00521891">
              <w:rPr>
                <w:rFonts w:eastAsia="Times New Roman"/>
                <w:lang w:val="fr-FR"/>
              </w:rPr>
              <w:t>onseil œcuménique des églises chrétiennes de Malagasy)</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FFM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Filankevitry ny fampihavanana malagasy (Conseil pour la réconciliation malagasy)</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FIDA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Fonds international de développement agricole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FNUAP</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Fonds des Nations Unies pour la population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FO</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Fistule obstétricale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FRAM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Fikambanan</w:t>
            </w:r>
            <w:r>
              <w:rPr>
                <w:rFonts w:eastAsia="Times New Roman"/>
                <w:lang w:val="fr-FR"/>
              </w:rPr>
              <w:t>’</w:t>
            </w:r>
            <w:r w:rsidRPr="00521891">
              <w:rPr>
                <w:rFonts w:eastAsia="Times New Roman"/>
                <w:lang w:val="fr-FR"/>
              </w:rPr>
              <w:t>ny ray aman-drenin</w:t>
            </w:r>
            <w:r>
              <w:rPr>
                <w:rFonts w:eastAsia="Times New Roman"/>
                <w:lang w:val="fr-FR"/>
              </w:rPr>
              <w:t>’</w:t>
            </w:r>
            <w:r w:rsidRPr="00521891">
              <w:rPr>
                <w:rFonts w:eastAsia="Times New Roman"/>
                <w:lang w:val="fr-FR"/>
              </w:rPr>
              <w:t>ny mpianatra (A</w:t>
            </w:r>
            <w:r>
              <w:rPr>
                <w:rFonts w:eastAsia="Times New Roman"/>
                <w:lang w:val="fr-FR"/>
              </w:rPr>
              <w:t>ssociation des </w:t>
            </w:r>
            <w:r w:rsidRPr="00521891">
              <w:rPr>
                <w:rFonts w:eastAsia="Times New Roman"/>
                <w:lang w:val="fr-FR"/>
              </w:rPr>
              <w:t>parents d</w:t>
            </w:r>
            <w:r>
              <w:rPr>
                <w:rFonts w:eastAsia="Times New Roman"/>
                <w:lang w:val="fr-FR"/>
              </w:rPr>
              <w:t>’</w:t>
            </w:r>
            <w:r w:rsidRPr="00521891">
              <w:rPr>
                <w:rFonts w:eastAsia="Times New Roman"/>
                <w:lang w:val="fr-FR"/>
              </w:rPr>
              <w:t>élève</w:t>
            </w:r>
            <w:r>
              <w:rPr>
                <w:rFonts w:eastAsia="Times New Roman"/>
                <w:lang w:val="fr-FR"/>
              </w:rPr>
              <w:t>s</w:t>
            </w:r>
            <w:r w:rsidRPr="00521891">
              <w:rPr>
                <w:rFonts w:eastAsia="Times New Roman"/>
                <w:lang w:val="fr-FR"/>
              </w:rPr>
              <w: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G.</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Garçon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GAVI</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Alliance globale pour les vaccins et l</w:t>
            </w:r>
            <w:r>
              <w:rPr>
                <w:rFonts w:eastAsia="Times New Roman"/>
                <w:lang w:val="fr-FR"/>
              </w:rPr>
              <w:t>’</w:t>
            </w:r>
            <w:r w:rsidRPr="00521891">
              <w:rPr>
                <w:rFonts w:eastAsia="Times New Roman"/>
                <w:lang w:val="fr-FR"/>
              </w:rPr>
              <w:t>immunisation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HCC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Pr>
                <w:rFonts w:eastAsia="Times New Roman"/>
                <w:lang w:val="fr-FR"/>
              </w:rPr>
              <w:t xml:space="preserve">Haute </w:t>
            </w:r>
            <w:r w:rsidRPr="00521891">
              <w:rPr>
                <w:rFonts w:eastAsia="Times New Roman"/>
                <w:lang w:val="fr-FR"/>
              </w:rPr>
              <w:t>Cour constitutionnelle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HCDH</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Haut-Commissariat aux droits de l</w:t>
            </w:r>
            <w:r>
              <w:rPr>
                <w:rFonts w:eastAsia="Times New Roman"/>
                <w:lang w:val="fr-FR"/>
              </w:rPr>
              <w:t>’</w:t>
            </w:r>
            <w:r w:rsidRPr="00521891">
              <w:rPr>
                <w:rFonts w:eastAsia="Times New Roman"/>
                <w:lang w:val="fr-FR"/>
              </w:rPr>
              <w:t>homme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IDH</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Indicateur de développement humain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IDISA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Indication de développement et de</w:t>
            </w:r>
            <w:r>
              <w:rPr>
                <w:rFonts w:eastAsia="Times New Roman"/>
                <w:lang w:val="fr-FR"/>
              </w:rPr>
              <w:t>s inégalités entre les sexes en </w:t>
            </w:r>
            <w:r w:rsidRPr="00521891">
              <w:rPr>
                <w:rFonts w:eastAsia="Times New Roman"/>
                <w:lang w:val="fr-FR"/>
              </w:rPr>
              <w:t>Afrique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IMF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Institutions de microfinance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INSTAT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Institut national de la statistique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INSTN</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Institut national des sciences et techniques nucléaires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IST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Institut supérieur de la technologie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IST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Infection sexuellement transmissible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KIA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Kits individuels d</w:t>
            </w:r>
            <w:r>
              <w:rPr>
                <w:rFonts w:eastAsia="Times New Roman"/>
                <w:lang w:val="fr-FR"/>
              </w:rPr>
              <w:t>’</w:t>
            </w:r>
            <w:r w:rsidRPr="00521891">
              <w:rPr>
                <w:rFonts w:eastAsia="Times New Roman"/>
                <w:lang w:val="fr-FR"/>
              </w:rPr>
              <w:t>accouchement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LTGO</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Capacité juridique de contracter</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Masculin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MID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Moustiquaire imprégnée d</w:t>
            </w:r>
            <w:r>
              <w:rPr>
                <w:rFonts w:eastAsia="Times New Roman"/>
                <w:lang w:val="fr-FR"/>
              </w:rPr>
              <w:t>’</w:t>
            </w:r>
            <w:r w:rsidRPr="00521891">
              <w:rPr>
                <w:rFonts w:eastAsia="Times New Roman"/>
                <w:lang w:val="fr-FR"/>
              </w:rPr>
              <w:t>insecticide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MINFOPTLS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Ministère de la fonction publique, du travail et des lois sociales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MPAS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Ministère de la population et des affaires sociales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Pr>
                <w:rFonts w:eastAsia="Times New Roman"/>
                <w:lang w:val="fr-FR"/>
              </w:rPr>
              <w:t>n.d.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Non disponible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NdF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Nutrition de la femme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Opération césarienne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ODDER</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Organisme diocésain de développement rural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OEMC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Office de l</w:t>
            </w:r>
            <w:r>
              <w:rPr>
                <w:rFonts w:eastAsia="Times New Roman"/>
                <w:lang w:val="fr-FR"/>
              </w:rPr>
              <w:t>’</w:t>
            </w:r>
            <w:r w:rsidRPr="00521891">
              <w:rPr>
                <w:rFonts w:eastAsia="Times New Roman"/>
                <w:lang w:val="fr-FR"/>
              </w:rPr>
              <w:t>éducation de masse et du civisme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OGE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Organe en charge de la gestion de l</w:t>
            </w:r>
            <w:r>
              <w:rPr>
                <w:rFonts w:eastAsia="Times New Roman"/>
                <w:lang w:val="fr-FR"/>
              </w:rPr>
              <w:t>’</w:t>
            </w:r>
            <w:r w:rsidRPr="00521891">
              <w:rPr>
                <w:rFonts w:eastAsia="Times New Roman"/>
                <w:lang w:val="fr-FR"/>
              </w:rPr>
              <w:t>élection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OIF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Organisation internationale de la Francophonie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OIM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Organisation internationale pour la migration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OIT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Organisation internationale du Travail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OMEF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Observatoire malgache de l</w:t>
            </w:r>
            <w:r>
              <w:rPr>
                <w:rFonts w:eastAsia="Times New Roman"/>
                <w:lang w:val="fr-FR"/>
              </w:rPr>
              <w:t>’</w:t>
            </w:r>
            <w:r w:rsidRPr="00521891">
              <w:rPr>
                <w:rFonts w:eastAsia="Times New Roman"/>
                <w:lang w:val="fr-FR"/>
              </w:rPr>
              <w:t xml:space="preserve">emploi de la formation professionnelle </w:t>
            </w:r>
            <w:r w:rsidRPr="00521891">
              <w:rPr>
                <w:rFonts w:eastAsia="Times New Roman"/>
                <w:lang w:val="fr-FR"/>
              </w:rPr>
              <w:br/>
              <w:t>et entrepreneuriale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OMS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Organisation mondiale de la Santé</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ONG</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Organisation non gouvernementale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OTIV</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Ombona tahiry ifampisamborana vola</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PACEM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 xml:space="preserve">Projet en appui au cycle électoral à </w:t>
            </w:r>
            <w:r>
              <w:rPr>
                <w:rFonts w:eastAsia="Times New Roman"/>
                <w:lang w:val="fr-FR"/>
              </w:rPr>
              <w:t>M</w:t>
            </w:r>
            <w:r w:rsidRPr="00521891">
              <w:rPr>
                <w:rFonts w:eastAsia="Times New Roman"/>
                <w:lang w:val="fr-FR"/>
              </w:rPr>
              <w:t>adagascar</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PAF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Police de l</w:t>
            </w:r>
            <w:r>
              <w:rPr>
                <w:rFonts w:eastAsia="Times New Roman"/>
                <w:lang w:val="fr-FR"/>
              </w:rPr>
              <w:t>’</w:t>
            </w:r>
            <w:r w:rsidRPr="00521891">
              <w:rPr>
                <w:rFonts w:eastAsia="Times New Roman"/>
                <w:lang w:val="fr-FR"/>
              </w:rPr>
              <w:t>air et des frontières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PANAGED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Programme national genre et développement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PASSOBA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Programme d</w:t>
            </w:r>
            <w:r>
              <w:rPr>
                <w:rFonts w:eastAsia="Times New Roman"/>
                <w:lang w:val="fr-FR"/>
              </w:rPr>
              <w:t>’</w:t>
            </w:r>
            <w:r w:rsidRPr="00521891">
              <w:rPr>
                <w:rFonts w:eastAsia="Times New Roman"/>
                <w:lang w:val="fr-FR"/>
              </w:rPr>
              <w:t>appui aux secteurs sociaux de base dans le secteur santé</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PIB</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Produit intérieur brut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PIE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Plan intérimaire de l</w:t>
            </w:r>
            <w:r>
              <w:rPr>
                <w:rFonts w:eastAsia="Times New Roman"/>
                <w:lang w:val="fr-FR"/>
              </w:rPr>
              <w:t>’</w:t>
            </w:r>
            <w:r w:rsidRPr="00521891">
              <w:rPr>
                <w:rFonts w:eastAsia="Times New Roman"/>
                <w:lang w:val="fr-FR"/>
              </w:rPr>
              <w:t>éducation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PMPM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Police des mœurs et de la protection des mineurs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PNUD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Pr>
                <w:rFonts w:eastAsia="Times New Roman"/>
                <w:lang w:val="fr-FR"/>
              </w:rPr>
              <w:t>Programme des Nations U</w:t>
            </w:r>
            <w:r w:rsidRPr="00521891">
              <w:rPr>
                <w:rFonts w:eastAsia="Times New Roman"/>
                <w:lang w:val="fr-FR"/>
              </w:rPr>
              <w:t>nies pour le développement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PSNEFO</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Plan stratégique national pour l</w:t>
            </w:r>
            <w:r>
              <w:rPr>
                <w:rFonts w:eastAsia="Times New Roman"/>
                <w:lang w:val="fr-FR"/>
              </w:rPr>
              <w:t>’</w:t>
            </w:r>
            <w:r w:rsidRPr="00521891">
              <w:rPr>
                <w:rFonts w:eastAsia="Times New Roman"/>
                <w:lang w:val="fr-FR"/>
              </w:rPr>
              <w:t>éradication des fistules obstétricales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 xml:space="preserve">RNDH </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Rapport national sur le développement humain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SADC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Southern african developement community</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SAVA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Sambava, antalaha, vohémar, andapa</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SCAC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Service de coopération et d</w:t>
            </w:r>
            <w:r>
              <w:rPr>
                <w:rFonts w:eastAsia="Times New Roman"/>
                <w:lang w:val="fr-FR"/>
              </w:rPr>
              <w:t>’</w:t>
            </w:r>
            <w:r w:rsidRPr="00521891">
              <w:rPr>
                <w:rFonts w:eastAsia="Times New Roman"/>
                <w:lang w:val="fr-FR"/>
              </w:rPr>
              <w:t>action culturelle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SNFI</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Stratégie nationale de la finance inclusive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SONU</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Pr>
                <w:rFonts w:eastAsia="Times New Roman"/>
                <w:lang w:val="fr-FR"/>
              </w:rPr>
              <w:t>Soins obstétricaux et néonatals</w:t>
            </w:r>
            <w:r w:rsidRPr="00521891">
              <w:rPr>
                <w:rFonts w:eastAsia="Times New Roman"/>
                <w:lang w:val="fr-FR"/>
              </w:rPr>
              <w:t xml:space="preserve"> d</w:t>
            </w:r>
            <w:r>
              <w:rPr>
                <w:rFonts w:eastAsia="Times New Roman"/>
                <w:lang w:val="fr-FR"/>
              </w:rPr>
              <w:t>’</w:t>
            </w:r>
            <w:r w:rsidRPr="00521891">
              <w:rPr>
                <w:rFonts w:eastAsia="Times New Roman"/>
                <w:lang w:val="fr-FR"/>
              </w:rPr>
              <w:t>urgence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SONUB</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Soins obstétricaux et néonatals d</w:t>
            </w:r>
            <w:r>
              <w:rPr>
                <w:rFonts w:eastAsia="Times New Roman"/>
                <w:lang w:val="fr-FR"/>
              </w:rPr>
              <w:t>’</w:t>
            </w:r>
            <w:r w:rsidRPr="00521891">
              <w:rPr>
                <w:rFonts w:eastAsia="Times New Roman"/>
                <w:lang w:val="fr-FR"/>
              </w:rPr>
              <w:t>urgence de base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SONUC</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Soins obstétricaux et néonatals d</w:t>
            </w:r>
            <w:r>
              <w:rPr>
                <w:rFonts w:eastAsia="Times New Roman"/>
                <w:lang w:val="fr-FR"/>
              </w:rPr>
              <w:t>’</w:t>
            </w:r>
            <w:r w:rsidRPr="00521891">
              <w:rPr>
                <w:rFonts w:eastAsia="Times New Roman"/>
                <w:lang w:val="fr-FR"/>
              </w:rPr>
              <w:t>urgence complets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SP</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Sulfadoxine pyriméthamine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SPDTS</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Syndicat professionnel des diplômés en travail social de Madagascar</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SRA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Santé de la reproduction des jeunes et des adolescents</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SSME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Semaine de la santé de la mère et de l</w:t>
            </w:r>
            <w:r>
              <w:rPr>
                <w:rFonts w:eastAsia="Times New Roman"/>
                <w:lang w:val="fr-FR"/>
              </w:rPr>
              <w:t>’</w:t>
            </w:r>
            <w:r w:rsidRPr="00521891">
              <w:rPr>
                <w:rFonts w:eastAsia="Times New Roman"/>
                <w:lang w:val="fr-FR"/>
              </w:rPr>
              <w:t>enfant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TIAVO</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Tahiry ifamonjena amin</w:t>
            </w:r>
            <w:r>
              <w:rPr>
                <w:rFonts w:eastAsia="Times New Roman"/>
                <w:lang w:val="fr-FR"/>
              </w:rPr>
              <w:t>’</w:t>
            </w:r>
            <w:r w:rsidRPr="00521891">
              <w:rPr>
                <w:rFonts w:eastAsia="Times New Roman"/>
                <w:lang w:val="fr-FR"/>
              </w:rPr>
              <w:t>ny vola</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TM</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Tolon</w:t>
            </w:r>
            <w:r>
              <w:rPr>
                <w:rFonts w:eastAsia="Times New Roman"/>
                <w:lang w:val="fr-FR"/>
              </w:rPr>
              <w:t>’</w:t>
            </w:r>
            <w:r w:rsidRPr="00521891">
              <w:rPr>
                <w:rFonts w:eastAsia="Times New Roman"/>
                <w:lang w:val="fr-FR"/>
              </w:rPr>
              <w:t>ny mpikarama</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TNN</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Tétanos néonatal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Tot.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Total</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TPI</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Traitement préventif intermittent</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UE</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Union européenne</w:t>
            </w:r>
          </w:p>
        </w:tc>
      </w:tr>
      <w:tr w:rsidR="00C06068" w:rsidRPr="0081752A"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UNCDF</w:t>
            </w:r>
          </w:p>
        </w:tc>
        <w:tc>
          <w:tcPr>
            <w:tcW w:w="6137" w:type="dxa"/>
            <w:shd w:val="clear" w:color="auto" w:fill="auto"/>
          </w:tcPr>
          <w:p w:rsidR="00C06068" w:rsidRPr="0081752A" w:rsidRDefault="00C06068" w:rsidP="007F3574">
            <w:pPr>
              <w:pStyle w:val="SingleTxt"/>
              <w:suppressAutoHyphens/>
              <w:ind w:left="0" w:right="0"/>
              <w:jc w:val="left"/>
              <w:rPr>
                <w:rFonts w:eastAsia="Times New Roman"/>
              </w:rPr>
            </w:pPr>
            <w:r w:rsidRPr="0081752A">
              <w:rPr>
                <w:rFonts w:eastAsia="Times New Roman"/>
              </w:rPr>
              <w:t>United Nations capital development financing</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UNICEF</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Fonds des Nations Unies pour l</w:t>
            </w:r>
            <w:r>
              <w:rPr>
                <w:rFonts w:eastAsia="Times New Roman"/>
                <w:lang w:val="fr-FR"/>
              </w:rPr>
              <w:t>’</w:t>
            </w:r>
            <w:r w:rsidRPr="00521891">
              <w:rPr>
                <w:rFonts w:eastAsia="Times New Roman"/>
                <w:lang w:val="fr-FR"/>
              </w:rPr>
              <w:t>enfance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USD</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Dollar américain</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VIH/sida</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Virus de l</w:t>
            </w:r>
            <w:r>
              <w:rPr>
                <w:rFonts w:eastAsia="Times New Roman"/>
                <w:lang w:val="fr-FR"/>
              </w:rPr>
              <w:t>’</w:t>
            </w:r>
            <w:r w:rsidRPr="00521891">
              <w:rPr>
                <w:rFonts w:eastAsia="Times New Roman"/>
                <w:lang w:val="fr-FR"/>
              </w:rPr>
              <w:t>immunodéficience humaine/syndrome de l</w:t>
            </w:r>
            <w:r>
              <w:rPr>
                <w:rFonts w:eastAsia="Times New Roman"/>
                <w:lang w:val="fr-FR"/>
              </w:rPr>
              <w:t>’</w:t>
            </w:r>
            <w:r w:rsidRPr="00521891">
              <w:rPr>
                <w:rFonts w:eastAsia="Times New Roman"/>
                <w:lang w:val="fr-FR"/>
              </w:rPr>
              <w:t>immunodéficience acquise</w:t>
            </w:r>
          </w:p>
        </w:tc>
      </w:tr>
      <w:tr w:rsidR="00C06068" w:rsidRPr="00521891" w:rsidTr="007F3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shd w:val="clear" w:color="auto" w:fill="auto"/>
          </w:tcPr>
          <w:p w:rsidR="00C06068" w:rsidRPr="00521891" w:rsidRDefault="00C06068" w:rsidP="007F3574">
            <w:pPr>
              <w:pStyle w:val="SingleTxt"/>
              <w:suppressAutoHyphens/>
              <w:ind w:left="0" w:right="0"/>
              <w:rPr>
                <w:rFonts w:eastAsia="Times New Roman"/>
                <w:lang w:val="fr-FR"/>
              </w:rPr>
            </w:pPr>
            <w:r w:rsidRPr="00521891">
              <w:rPr>
                <w:rFonts w:eastAsia="Times New Roman"/>
                <w:lang w:val="fr-FR"/>
              </w:rPr>
              <w:t>Vit.</w:t>
            </w:r>
          </w:p>
        </w:tc>
        <w:tc>
          <w:tcPr>
            <w:tcW w:w="6137" w:type="dxa"/>
            <w:shd w:val="clear" w:color="auto" w:fill="auto"/>
          </w:tcPr>
          <w:p w:rsidR="00C06068" w:rsidRPr="00521891" w:rsidRDefault="00C06068" w:rsidP="007F3574">
            <w:pPr>
              <w:pStyle w:val="SingleTxt"/>
              <w:suppressAutoHyphens/>
              <w:ind w:left="0" w:right="0"/>
              <w:jc w:val="left"/>
              <w:rPr>
                <w:rFonts w:eastAsia="Times New Roman"/>
                <w:lang w:val="fr-FR"/>
              </w:rPr>
            </w:pPr>
            <w:r w:rsidRPr="00521891">
              <w:rPr>
                <w:rFonts w:eastAsia="Times New Roman"/>
                <w:lang w:val="fr-FR"/>
              </w:rPr>
              <w:t>Vitamine</w:t>
            </w:r>
          </w:p>
        </w:tc>
      </w:tr>
    </w:tbl>
    <w:p w:rsidR="00C06068" w:rsidRPr="00521891" w:rsidRDefault="00C06068" w:rsidP="00C060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br w:type="page"/>
      </w:r>
      <w:bookmarkStart w:id="1" w:name="_Toc376709288"/>
      <w:r w:rsidRPr="00521891">
        <w:rPr>
          <w:lang w:val="fr-FR"/>
        </w:rPr>
        <w:tab/>
      </w:r>
      <w:r w:rsidRPr="00521891">
        <w:rPr>
          <w:lang w:val="fr-FR"/>
        </w:rPr>
        <w:tab/>
        <w:t>Introduction</w:t>
      </w:r>
      <w:bookmarkEnd w:id="1"/>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rPr>
          <w:lang w:val="fr-FR"/>
        </w:rPr>
      </w:pPr>
      <w:r w:rsidRPr="00521891">
        <w:rPr>
          <w:lang w:val="fr-FR"/>
        </w:rPr>
        <w:tab/>
        <w:t>Malgré la crise sociopolitique qui a secoué le pays, depuis décembre 2008, Madagascar n</w:t>
      </w:r>
      <w:r>
        <w:rPr>
          <w:lang w:val="fr-FR"/>
        </w:rPr>
        <w:t>’</w:t>
      </w:r>
      <w:r w:rsidRPr="00521891">
        <w:rPr>
          <w:lang w:val="fr-FR"/>
        </w:rPr>
        <w:t>a pas failli à ses obligations de soumission de rapports sur la mise en œuvre des instruments juridiques internationaux des droits de l</w:t>
      </w:r>
      <w:r>
        <w:rPr>
          <w:lang w:val="fr-FR"/>
        </w:rPr>
        <w:t>’</w:t>
      </w:r>
      <w:r w:rsidRPr="00521891">
        <w:rPr>
          <w:lang w:val="fr-FR"/>
        </w:rPr>
        <w:t>homme ratifiés.</w:t>
      </w:r>
    </w:p>
    <w:p w:rsidR="00C06068" w:rsidRPr="00521891" w:rsidRDefault="00C06068" w:rsidP="00C06068">
      <w:pPr>
        <w:pStyle w:val="SingleTxt"/>
        <w:rPr>
          <w:lang w:val="fr-FR"/>
        </w:rPr>
      </w:pPr>
      <w:r w:rsidRPr="00521891">
        <w:rPr>
          <w:lang w:val="fr-FR"/>
        </w:rPr>
        <w:tab/>
        <w:t>Madagascar a ainsi rédigé et soutenu devant</w:t>
      </w:r>
      <w:r>
        <w:rPr>
          <w:lang w:val="fr-FR"/>
        </w:rPr>
        <w:t xml:space="preserve"> les organes de t</w:t>
      </w:r>
      <w:r w:rsidRPr="00521891">
        <w:rPr>
          <w:lang w:val="fr-FR"/>
        </w:rPr>
        <w:t>raités concernés les rapports sur l</w:t>
      </w:r>
      <w:r>
        <w:rPr>
          <w:lang w:val="fr-FR"/>
        </w:rPr>
        <w:t>’</w:t>
      </w:r>
      <w:r w:rsidRPr="00521891">
        <w:rPr>
          <w:lang w:val="fr-FR"/>
        </w:rPr>
        <w:t>application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Pacte international relatif aux droits économiques sociaux et culturels en 2009;</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Convention contre la torture et les mauvais traitements devant le Comité contre la torture en 2011;</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Convention relative aux droits de l</w:t>
      </w:r>
      <w:r>
        <w:rPr>
          <w:lang w:val="fr-FR"/>
        </w:rPr>
        <w:t>’</w:t>
      </w:r>
      <w:r w:rsidRPr="00521891">
        <w:rPr>
          <w:lang w:val="fr-FR"/>
        </w:rPr>
        <w:t>enfant en 2012 et enfin</w:t>
      </w:r>
      <w:r>
        <w:rPr>
          <w:lang w:val="fr-FR"/>
        </w:rPr>
        <w:t>,</w:t>
      </w:r>
      <w:r w:rsidRPr="00521891">
        <w:rPr>
          <w:lang w:val="fr-FR"/>
        </w:rPr>
        <w:t xml:space="preserve"> devant le Conseil des droits de l</w:t>
      </w:r>
      <w:r>
        <w:rPr>
          <w:lang w:val="fr-FR"/>
        </w:rPr>
        <w:t>’</w:t>
      </w:r>
      <w:r w:rsidRPr="00521891">
        <w:rPr>
          <w:lang w:val="fr-FR"/>
        </w:rPr>
        <w:t>homme, son rapport dans le cadre de l</w:t>
      </w:r>
      <w:r>
        <w:rPr>
          <w:lang w:val="fr-FR"/>
        </w:rPr>
        <w:t>’</w:t>
      </w:r>
      <w:r w:rsidRPr="00521891">
        <w:rPr>
          <w:lang w:val="fr-FR"/>
        </w:rPr>
        <w:t>examen périodique universel en 2010.</w:t>
      </w:r>
    </w:p>
    <w:p w:rsidR="00C06068" w:rsidRPr="00521891" w:rsidRDefault="00C06068" w:rsidP="00C06068">
      <w:pPr>
        <w:pStyle w:val="SingleTxt"/>
        <w:rPr>
          <w:bCs/>
          <w:lang w:val="fr-FR"/>
        </w:rPr>
      </w:pPr>
      <w:r w:rsidRPr="00521891">
        <w:rPr>
          <w:lang w:val="fr-FR"/>
        </w:rPr>
        <w:tab/>
      </w:r>
      <w:r w:rsidRPr="00521891">
        <w:rPr>
          <w:bCs/>
          <w:lang w:val="fr-FR"/>
        </w:rPr>
        <w:t>La rédaction du présent rapport unique valant sixième et septième rapports périodiques sur l</w:t>
      </w:r>
      <w:r>
        <w:rPr>
          <w:bCs/>
          <w:lang w:val="fr-FR"/>
        </w:rPr>
        <w:t>’</w:t>
      </w:r>
      <w:r w:rsidRPr="00521891">
        <w:rPr>
          <w:bCs/>
          <w:lang w:val="fr-FR"/>
        </w:rPr>
        <w:t>application de la Convention sur l</w:t>
      </w:r>
      <w:r>
        <w:rPr>
          <w:bCs/>
          <w:lang w:val="fr-FR"/>
        </w:rPr>
        <w:t>’</w:t>
      </w:r>
      <w:r w:rsidRPr="00521891">
        <w:rPr>
          <w:bCs/>
          <w:lang w:val="fr-FR"/>
        </w:rPr>
        <w:t>élimination de toutes les formes de discrimination à l</w:t>
      </w:r>
      <w:r>
        <w:rPr>
          <w:bCs/>
          <w:lang w:val="fr-FR"/>
        </w:rPr>
        <w:t>’</w:t>
      </w:r>
      <w:r w:rsidRPr="00521891">
        <w:rPr>
          <w:bCs/>
          <w:lang w:val="fr-FR"/>
        </w:rPr>
        <w:t>égard des femmes a été établi</w:t>
      </w:r>
      <w:r>
        <w:rPr>
          <w:bCs/>
          <w:lang w:val="fr-FR"/>
        </w:rPr>
        <w:t>e</w:t>
      </w:r>
      <w:r w:rsidRPr="00521891">
        <w:rPr>
          <w:bCs/>
          <w:lang w:val="fr-FR"/>
        </w:rPr>
        <w:t xml:space="preserve"> dans le cadre de l</w:t>
      </w:r>
      <w:r>
        <w:rPr>
          <w:bCs/>
          <w:lang w:val="fr-FR"/>
        </w:rPr>
        <w:t>’</w:t>
      </w:r>
      <w:r w:rsidRPr="00521891">
        <w:rPr>
          <w:bCs/>
          <w:lang w:val="fr-FR"/>
        </w:rPr>
        <w:t>exécution des engagements établis en application de l</w:t>
      </w:r>
      <w:r>
        <w:rPr>
          <w:bCs/>
          <w:lang w:val="fr-FR"/>
        </w:rPr>
        <w:t>’</w:t>
      </w:r>
      <w:r w:rsidRPr="00521891">
        <w:rPr>
          <w:bCs/>
          <w:lang w:val="fr-FR"/>
        </w:rPr>
        <w:t>article 18 de la Convention et conformément aux directives du Comité CEDEF.</w:t>
      </w:r>
    </w:p>
    <w:p w:rsidR="00C06068" w:rsidRPr="00521891" w:rsidRDefault="00C06068" w:rsidP="00C06068">
      <w:pPr>
        <w:pStyle w:val="SingleTxt"/>
        <w:rPr>
          <w:bCs/>
          <w:lang w:val="fr-FR"/>
        </w:rPr>
      </w:pPr>
      <w:r w:rsidRPr="00521891">
        <w:rPr>
          <w:bCs/>
          <w:lang w:val="fr-FR"/>
        </w:rPr>
        <w:tab/>
        <w:t>Avec l</w:t>
      </w:r>
      <w:r>
        <w:rPr>
          <w:bCs/>
          <w:lang w:val="fr-FR"/>
        </w:rPr>
        <w:t>’</w:t>
      </w:r>
      <w:r w:rsidRPr="00521891">
        <w:rPr>
          <w:bCs/>
          <w:lang w:val="fr-FR"/>
        </w:rPr>
        <w:t>appui du FNUAP, du PNUD et du H</w:t>
      </w:r>
      <w:r>
        <w:rPr>
          <w:bCs/>
          <w:lang w:val="fr-FR"/>
        </w:rPr>
        <w:t xml:space="preserve">CHD, deux ateliers de rédaction </w:t>
      </w:r>
      <w:r w:rsidRPr="00521891">
        <w:rPr>
          <w:bCs/>
          <w:lang w:val="fr-FR"/>
        </w:rPr>
        <w:t>ont été tenus successivement à Mahajanga et à Toamasina en 2013.</w:t>
      </w:r>
    </w:p>
    <w:p w:rsidR="00C06068" w:rsidRPr="00521891" w:rsidRDefault="00C06068" w:rsidP="00C06068">
      <w:pPr>
        <w:pStyle w:val="SingleTxt"/>
        <w:rPr>
          <w:bCs/>
          <w:lang w:val="fr-FR"/>
        </w:rPr>
      </w:pPr>
      <w:r w:rsidRPr="00521891">
        <w:rPr>
          <w:bCs/>
          <w:lang w:val="fr-FR"/>
        </w:rPr>
        <w:tab/>
        <w:t>Ont pris part à la rédaction les membres du Comité de rédaction des rapports des droits de l</w:t>
      </w:r>
      <w:r>
        <w:rPr>
          <w:bCs/>
          <w:lang w:val="fr-FR"/>
        </w:rPr>
        <w:t>’</w:t>
      </w:r>
      <w:r w:rsidRPr="00521891">
        <w:rPr>
          <w:bCs/>
          <w:lang w:val="fr-FR"/>
        </w:rPr>
        <w:t xml:space="preserve">homme </w:t>
      </w:r>
      <w:r>
        <w:rPr>
          <w:bCs/>
          <w:lang w:val="fr-FR"/>
        </w:rPr>
        <w:t xml:space="preserve">composé des </w:t>
      </w:r>
      <w:r w:rsidRPr="00521891">
        <w:rPr>
          <w:bCs/>
          <w:lang w:val="fr-FR"/>
        </w:rPr>
        <w:t>représentants issus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w:t>
      </w:r>
      <w:r>
        <w:rPr>
          <w:lang w:val="fr-FR"/>
        </w:rPr>
        <w:t>’</w:t>
      </w:r>
      <w:r w:rsidRPr="00521891">
        <w:rPr>
          <w:lang w:val="fr-FR"/>
        </w:rPr>
        <w:t xml:space="preserve">Institut national de la </w:t>
      </w:r>
      <w:r>
        <w:rPr>
          <w:lang w:val="fr-FR"/>
        </w:rPr>
        <w:t>statistique relevant de la vice-</w:t>
      </w:r>
      <w:r w:rsidRPr="00521891">
        <w:rPr>
          <w:lang w:val="fr-FR"/>
        </w:rPr>
        <w:t>primature, chargée de l</w:t>
      </w:r>
      <w:r>
        <w:rPr>
          <w:lang w:val="fr-FR"/>
        </w:rPr>
        <w:t>’</w:t>
      </w:r>
      <w:r w:rsidRPr="00521891">
        <w:rPr>
          <w:lang w:val="fr-FR"/>
        </w:rPr>
        <w:t>économie et de l</w:t>
      </w:r>
      <w:r>
        <w:rPr>
          <w:lang w:val="fr-FR"/>
        </w:rPr>
        <w:t>’</w:t>
      </w:r>
      <w:r w:rsidRPr="00521891">
        <w:rPr>
          <w:lang w:val="fr-FR"/>
        </w:rPr>
        <w:t>industrie;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des affaires étrangères;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justice;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sécurité intérieure;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population et des affaires sociales;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des relations avec les institutions;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w:t>
      </w:r>
      <w:r>
        <w:rPr>
          <w:lang w:val="fr-FR"/>
        </w:rPr>
        <w:t>’</w:t>
      </w:r>
      <w:r w:rsidRPr="00521891">
        <w:rPr>
          <w:lang w:val="fr-FR"/>
        </w:rPr>
        <w:t>éducation nationale;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santé publique;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communication;</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Ministère de la fonction publique, du travail et des lois sociales;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Secrétariat d</w:t>
      </w:r>
      <w:r>
        <w:rPr>
          <w:lang w:val="fr-FR"/>
        </w:rPr>
        <w:t>’</w:t>
      </w:r>
      <w:r w:rsidRPr="00521891">
        <w:rPr>
          <w:lang w:val="fr-FR"/>
        </w:rPr>
        <w:t>État à la gendarmerie.</w:t>
      </w:r>
    </w:p>
    <w:p w:rsidR="00C06068" w:rsidRDefault="00C06068" w:rsidP="00C06068">
      <w:pPr>
        <w:pStyle w:val="SingleTxt"/>
        <w:rPr>
          <w:bCs/>
          <w:lang w:val="fr-FR"/>
        </w:rPr>
      </w:pPr>
      <w:r w:rsidRPr="00521891">
        <w:rPr>
          <w:bCs/>
          <w:lang w:val="fr-FR"/>
        </w:rPr>
        <w:tab/>
        <w:t>Les représentants de la société civile au niveau central et régional, membres du Comité de rédaction</w:t>
      </w:r>
      <w:r>
        <w:rPr>
          <w:bCs/>
          <w:lang w:val="fr-FR"/>
        </w:rPr>
        <w:t>,</w:t>
      </w:r>
      <w:r w:rsidRPr="00521891">
        <w:rPr>
          <w:bCs/>
          <w:lang w:val="fr-FR"/>
        </w:rPr>
        <w:t xml:space="preserve"> ont également apporté leur contribution.</w:t>
      </w:r>
    </w:p>
    <w:p w:rsidR="00313148" w:rsidRPr="00313148" w:rsidRDefault="00313148" w:rsidP="00313148">
      <w:pPr>
        <w:pStyle w:val="SingleTxt"/>
        <w:spacing w:after="0" w:line="120" w:lineRule="exact"/>
        <w:rPr>
          <w:bCs/>
          <w:sz w:val="10"/>
          <w:lang w:val="fr-FR"/>
        </w:rPr>
      </w:pPr>
    </w:p>
    <w:p w:rsidR="00313148" w:rsidRPr="00313148" w:rsidRDefault="00313148" w:rsidP="00313148">
      <w:pPr>
        <w:pStyle w:val="SingleTxt"/>
        <w:spacing w:after="0" w:line="120" w:lineRule="exact"/>
        <w:rPr>
          <w:bCs/>
          <w:sz w:val="10"/>
          <w:lang w:val="fr-FR"/>
        </w:rPr>
      </w:pPr>
    </w:p>
    <w:p w:rsidR="00C06068" w:rsidRPr="00521891" w:rsidRDefault="00C06068" w:rsidP="003131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376709292"/>
      <w:r w:rsidRPr="00521891">
        <w:rPr>
          <w:lang w:val="fr-FR"/>
        </w:rPr>
        <w:tab/>
      </w:r>
      <w:r w:rsidRPr="00521891">
        <w:rPr>
          <w:lang w:val="fr-FR"/>
        </w:rPr>
        <w:tab/>
        <w:t>Première partie</w:t>
      </w:r>
      <w:r>
        <w:rPr>
          <w:lang w:val="fr-FR"/>
        </w:rPr>
        <w:br/>
        <w:t>I</w:t>
      </w:r>
      <w:r w:rsidRPr="00521891">
        <w:rPr>
          <w:lang w:val="fr-FR"/>
        </w:rPr>
        <w:t>nformations d</w:t>
      </w:r>
      <w:r>
        <w:rPr>
          <w:lang w:val="fr-FR"/>
        </w:rPr>
        <w:t>’</w:t>
      </w:r>
      <w:r w:rsidRPr="00521891">
        <w:rPr>
          <w:lang w:val="fr-FR"/>
        </w:rPr>
        <w:t xml:space="preserve">ordre </w:t>
      </w:r>
      <w:bookmarkEnd w:id="2"/>
      <w:r w:rsidRPr="00521891">
        <w:rPr>
          <w:lang w:val="fr-FR"/>
        </w:rPr>
        <w:t>général</w:t>
      </w:r>
    </w:p>
    <w:p w:rsidR="00C06068" w:rsidRPr="00521891" w:rsidRDefault="00C06068" w:rsidP="00313148">
      <w:pPr>
        <w:pStyle w:val="SingleTxt"/>
        <w:keepNext/>
        <w:keepLines/>
        <w:spacing w:after="0" w:line="120" w:lineRule="exact"/>
        <w:rPr>
          <w:sz w:val="10"/>
          <w:lang w:val="fr-FR"/>
        </w:rPr>
      </w:pPr>
    </w:p>
    <w:p w:rsidR="00C06068" w:rsidRPr="00521891" w:rsidRDefault="00C06068" w:rsidP="00313148">
      <w:pPr>
        <w:pStyle w:val="SingleTxt"/>
        <w:keepNext/>
        <w:keepLines/>
        <w:spacing w:after="0" w:line="120" w:lineRule="exact"/>
        <w:rPr>
          <w:sz w:val="10"/>
          <w:lang w:val="fr-FR"/>
        </w:rPr>
      </w:pPr>
    </w:p>
    <w:p w:rsidR="00C06068" w:rsidRPr="00521891" w:rsidRDefault="00C06068" w:rsidP="00C06068">
      <w:pPr>
        <w:pStyle w:val="SingleTxt"/>
        <w:numPr>
          <w:ilvl w:val="0"/>
          <w:numId w:val="6"/>
        </w:numPr>
        <w:rPr>
          <w:lang w:val="fr-FR"/>
        </w:rPr>
      </w:pPr>
      <w:r w:rsidRPr="00521891">
        <w:rPr>
          <w:lang w:val="fr-FR"/>
        </w:rPr>
        <w:t>Depuis le dernier rapport examiné en 2008, des changements ont été enregistrés dans le</w:t>
      </w:r>
      <w:r>
        <w:rPr>
          <w:lang w:val="fr-FR"/>
        </w:rPr>
        <w:t>s</w:t>
      </w:r>
      <w:r w:rsidRPr="00521891">
        <w:rPr>
          <w:lang w:val="fr-FR"/>
        </w:rPr>
        <w:t xml:space="preserve"> domaine</w:t>
      </w:r>
      <w:r>
        <w:rPr>
          <w:lang w:val="fr-FR"/>
        </w:rPr>
        <w:t>s</w:t>
      </w:r>
      <w:r w:rsidRPr="00521891">
        <w:rPr>
          <w:lang w:val="fr-FR"/>
        </w:rPr>
        <w:t xml:space="preserve"> démographique, politique, économique et social.</w:t>
      </w:r>
    </w:p>
    <w:p w:rsidR="00C06068" w:rsidRPr="00521891" w:rsidRDefault="00C06068" w:rsidP="00C06068">
      <w:pPr>
        <w:pStyle w:val="SingleTxt"/>
        <w:spacing w:after="0" w:line="120" w:lineRule="exact"/>
        <w:rPr>
          <w:b/>
          <w:sz w:val="10"/>
          <w:lang w:val="fr-FR"/>
        </w:rPr>
      </w:pPr>
      <w:bookmarkStart w:id="3" w:name="_Toc360707333"/>
      <w:bookmarkStart w:id="4" w:name="_Toc376709293"/>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A.</w:t>
      </w:r>
      <w:r w:rsidRPr="00521891">
        <w:rPr>
          <w:lang w:val="fr-FR"/>
        </w:rPr>
        <w:tab/>
        <w:t xml:space="preserve">Caractéristiques de la population et évolution </w:t>
      </w:r>
      <w:bookmarkEnd w:id="3"/>
      <w:r w:rsidRPr="00521891">
        <w:rPr>
          <w:lang w:val="fr-FR"/>
        </w:rPr>
        <w:t>démographique</w:t>
      </w:r>
      <w:bookmarkEnd w:id="4"/>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6"/>
        </w:numPr>
        <w:rPr>
          <w:lang w:val="fr-FR"/>
        </w:rPr>
      </w:pPr>
      <w:r w:rsidRPr="00521891">
        <w:rPr>
          <w:lang w:val="fr-FR"/>
        </w:rPr>
        <w:t>Les caractéristiques de la population malgache ont été déjà présentées lors du précédent rapport.</w:t>
      </w:r>
    </w:p>
    <w:p w:rsidR="00C06068" w:rsidRPr="00521891" w:rsidRDefault="00C06068" w:rsidP="00C06068">
      <w:pPr>
        <w:pStyle w:val="SingleTxt"/>
        <w:numPr>
          <w:ilvl w:val="0"/>
          <w:numId w:val="6"/>
        </w:numPr>
        <w:rPr>
          <w:lang w:val="fr-FR"/>
        </w:rPr>
      </w:pPr>
      <w:r w:rsidRPr="00521891">
        <w:rPr>
          <w:lang w:val="fr-FR"/>
        </w:rPr>
        <w:t>Selon la projection de l</w:t>
      </w:r>
      <w:r>
        <w:rPr>
          <w:lang w:val="fr-FR"/>
        </w:rPr>
        <w:t>’</w:t>
      </w:r>
      <w:r w:rsidRPr="00521891">
        <w:rPr>
          <w:lang w:val="fr-FR"/>
        </w:rPr>
        <w:t>Institut national de la statistique (INSTAT), la population malagasy estimée à 16 584 801 en 2003 est passée à 21 263 403 en 2012</w:t>
      </w:r>
      <w:r>
        <w:rPr>
          <w:lang w:val="fr-FR"/>
        </w:rPr>
        <w:t>,</w:t>
      </w:r>
      <w:r w:rsidRPr="00521891">
        <w:rPr>
          <w:lang w:val="fr-FR"/>
        </w:rPr>
        <w:t xml:space="preserve"> dont plus de 80 % résident en milieu rural.</w:t>
      </w:r>
    </w:p>
    <w:p w:rsidR="00C06068" w:rsidRPr="00521891" w:rsidRDefault="00C06068" w:rsidP="00C06068">
      <w:pPr>
        <w:pStyle w:val="SingleTxt"/>
        <w:numPr>
          <w:ilvl w:val="0"/>
          <w:numId w:val="6"/>
        </w:numPr>
        <w:rPr>
          <w:lang w:val="fr-FR"/>
        </w:rPr>
      </w:pPr>
      <w:r w:rsidRPr="004D41CE">
        <w:rPr>
          <w:spacing w:val="2"/>
          <w:lang w:val="fr-FR"/>
        </w:rPr>
        <w:t>Madagascar compte 22 régions et 119 districts. La composition démographique</w:t>
      </w:r>
      <w:r w:rsidRPr="00521891">
        <w:rPr>
          <w:lang w:val="fr-FR"/>
        </w:rPr>
        <w:t xml:space="preserve"> ventilée par région est présentée dans le tableau ci-après.</w:t>
      </w:r>
    </w:p>
    <w:p w:rsidR="00C06068" w:rsidRPr="00521891" w:rsidRDefault="00C06068" w:rsidP="00C06068">
      <w:pPr>
        <w:pStyle w:val="SingleTxt"/>
        <w:spacing w:after="0" w:line="120" w:lineRule="exact"/>
        <w:rPr>
          <w:b/>
          <w:sz w:val="10"/>
          <w:lang w:val="fr-FR"/>
        </w:rPr>
      </w:pPr>
      <w:bookmarkStart w:id="5" w:name="_Toc360707520"/>
      <w:bookmarkStart w:id="6" w:name="_Toc377129287"/>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b w:val="0"/>
          <w:lang w:val="fr-FR"/>
        </w:rPr>
        <w:tab/>
        <w:t xml:space="preserve">Tableau </w:t>
      </w:r>
      <w:r>
        <w:rPr>
          <w:b w:val="0"/>
          <w:lang w:val="fr-FR"/>
        </w:rPr>
        <w:t>1</w:t>
      </w:r>
      <w:r>
        <w:rPr>
          <w:b w:val="0"/>
          <w:lang w:val="fr-FR"/>
        </w:rPr>
        <w:br/>
      </w:r>
      <w:r w:rsidRPr="00521891">
        <w:rPr>
          <w:lang w:val="fr-FR"/>
        </w:rPr>
        <w:t>Estimation de la population de Madagascar par région en 2012</w:t>
      </w:r>
      <w:bookmarkEnd w:id="5"/>
      <w:bookmarkEnd w:id="6"/>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SingleTxt"/>
        <w:spacing w:after="0" w:line="120" w:lineRule="exact"/>
        <w:rPr>
          <w:b/>
          <w:sz w:val="10"/>
          <w:lang w:val="fr-FR"/>
        </w:rPr>
      </w:pPr>
    </w:p>
    <w:tbl>
      <w:tblPr>
        <w:tblW w:w="0" w:type="auto"/>
        <w:tblInd w:w="1260" w:type="dxa"/>
        <w:tblLayout w:type="fixed"/>
        <w:tblCellMar>
          <w:left w:w="0" w:type="dxa"/>
          <w:right w:w="0" w:type="dxa"/>
        </w:tblCellMar>
        <w:tblLook w:val="0000"/>
      </w:tblPr>
      <w:tblGrid>
        <w:gridCol w:w="6120"/>
        <w:gridCol w:w="1200"/>
      </w:tblGrid>
      <w:tr w:rsidR="00C06068" w:rsidRPr="00521891" w:rsidTr="007F3574">
        <w:tblPrEx>
          <w:tblCellMar>
            <w:top w:w="0" w:type="dxa"/>
            <w:bottom w:w="0" w:type="dxa"/>
          </w:tblCellMar>
        </w:tblPrEx>
        <w:trPr>
          <w:tblHeader/>
        </w:trPr>
        <w:tc>
          <w:tcPr>
            <w:tcW w:w="61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bCs/>
                <w:i/>
                <w:sz w:val="14"/>
                <w:lang w:val="fr-FR"/>
              </w:rPr>
              <w:t>Régions</w:t>
            </w:r>
          </w:p>
        </w:tc>
        <w:tc>
          <w:tcPr>
            <w:tcW w:w="120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bCs/>
                <w:i/>
                <w:sz w:val="14"/>
                <w:lang w:val="fr-FR"/>
              </w:rPr>
              <w:t>Population totale</w:t>
            </w:r>
          </w:p>
        </w:tc>
      </w:tr>
      <w:tr w:rsidR="00C06068" w:rsidRPr="00521891" w:rsidTr="007F3574">
        <w:tblPrEx>
          <w:tblCellMar>
            <w:top w:w="0" w:type="dxa"/>
            <w:bottom w:w="0" w:type="dxa"/>
          </w:tblCellMar>
        </w:tblPrEx>
        <w:trPr>
          <w:trHeight w:hRule="exact" w:val="115"/>
          <w:tblHeader/>
        </w:trPr>
        <w:tc>
          <w:tcPr>
            <w:tcW w:w="61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20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Alaotra Mangoro</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999 894</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Amoron</w:t>
            </w:r>
            <w:r>
              <w:rPr>
                <w:sz w:val="17"/>
                <w:lang w:val="fr-FR"/>
              </w:rPr>
              <w:t>’</w:t>
            </w:r>
            <w:r w:rsidRPr="00521891">
              <w:rPr>
                <w:sz w:val="17"/>
                <w:lang w:val="fr-FR"/>
              </w:rPr>
              <w:t>i Mania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696 080</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Analamanga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3 260 060</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Analanjirofo</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1 007 703</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Androy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714 486</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Anosy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654 004</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left" w:pos="1296"/>
                <w:tab w:val="right" w:leader="dot" w:pos="9360"/>
              </w:tabs>
              <w:suppressAutoHyphens/>
              <w:spacing w:before="30" w:after="30" w:line="200" w:lineRule="exact"/>
              <w:ind w:right="43"/>
              <w:rPr>
                <w:spacing w:val="60"/>
                <w:sz w:val="17"/>
                <w:lang w:val="fr-FR"/>
              </w:rPr>
            </w:pPr>
            <w:r w:rsidRPr="00521891">
              <w:rPr>
                <w:sz w:val="17"/>
                <w:lang w:val="fr-FR"/>
              </w:rPr>
              <w:t>Atsimo Andrefana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1 281 865</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left" w:pos="1296"/>
                <w:tab w:val="right" w:leader="dot" w:pos="9360"/>
              </w:tabs>
              <w:suppressAutoHyphens/>
              <w:spacing w:before="30" w:after="30" w:line="200" w:lineRule="exact"/>
              <w:ind w:right="43"/>
              <w:rPr>
                <w:spacing w:val="60"/>
                <w:sz w:val="17"/>
                <w:lang w:val="fr-FR"/>
              </w:rPr>
            </w:pPr>
            <w:r w:rsidRPr="00521891">
              <w:rPr>
                <w:sz w:val="17"/>
                <w:lang w:val="fr-FR"/>
              </w:rPr>
              <w:t>Atsimo Atsinanana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874 888</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Atsinanana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1 237 010</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Betsiboka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285 744</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Boeny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778 485</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Bongolava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445 249</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Diana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681 472</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Haute Matsiatra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1 167 408</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Ihorombe</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304 032</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Itasy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713 416</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Melaky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281 921</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Menabe</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576 423</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Sava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954 818</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Sofia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1 213 994</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Vakinankaratra</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1 755 524</w:t>
            </w:r>
          </w:p>
        </w:tc>
      </w:tr>
      <w:tr w:rsidR="00C06068" w:rsidRPr="00521891" w:rsidTr="007F3574">
        <w:tblPrEx>
          <w:tblCellMar>
            <w:top w:w="0" w:type="dxa"/>
            <w:bottom w:w="0" w:type="dxa"/>
          </w:tblCellMar>
        </w:tblPrEx>
        <w:tc>
          <w:tcPr>
            <w:tcW w:w="6120" w:type="dxa"/>
            <w:shd w:val="clear" w:color="auto" w:fill="auto"/>
          </w:tcPr>
          <w:p w:rsidR="00C06068" w:rsidRPr="004D41CE" w:rsidRDefault="00C06068" w:rsidP="007F3574">
            <w:pPr>
              <w:tabs>
                <w:tab w:val="right" w:leader="dot" w:pos="9360"/>
              </w:tabs>
              <w:suppressAutoHyphens/>
              <w:spacing w:before="30" w:after="30" w:line="200" w:lineRule="exact"/>
              <w:ind w:right="43"/>
              <w:rPr>
                <w:spacing w:val="60"/>
                <w:sz w:val="17"/>
                <w:lang w:val="fr-FR"/>
              </w:rPr>
            </w:pPr>
            <w:r w:rsidRPr="00521891">
              <w:rPr>
                <w:sz w:val="17"/>
                <w:lang w:val="fr-FR"/>
              </w:rPr>
              <w:t>Vatovavy Fitovinany</w:t>
            </w:r>
            <w:r>
              <w:rPr>
                <w:spacing w:val="60"/>
                <w:sz w:val="17"/>
                <w:lang w:val="fr-FR"/>
              </w:rPr>
              <w:tab/>
            </w:r>
          </w:p>
        </w:tc>
        <w:tc>
          <w:tcPr>
            <w:tcW w:w="12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30" w:after="30" w:line="200" w:lineRule="exact"/>
              <w:ind w:right="43"/>
              <w:jc w:val="right"/>
              <w:rPr>
                <w:sz w:val="17"/>
                <w:lang w:val="fr-FR"/>
              </w:rPr>
            </w:pPr>
            <w:r w:rsidRPr="00521891">
              <w:rPr>
                <w:sz w:val="17"/>
                <w:lang w:val="fr-FR"/>
              </w:rPr>
              <w:t>1 378 926</w:t>
            </w:r>
          </w:p>
        </w:tc>
      </w:tr>
      <w:tr w:rsidR="00C06068" w:rsidRPr="00521891" w:rsidTr="007F3574">
        <w:tblPrEx>
          <w:tblCellMar>
            <w:top w:w="0" w:type="dxa"/>
            <w:bottom w:w="0" w:type="dxa"/>
          </w:tblCellMar>
        </w:tblPrEx>
        <w:tc>
          <w:tcPr>
            <w:tcW w:w="6120" w:type="dxa"/>
            <w:tcBorders>
              <w:bottom w:val="single" w:sz="12" w:space="0" w:color="auto"/>
            </w:tcBorders>
            <w:shd w:val="clear" w:color="auto" w:fill="auto"/>
          </w:tcPr>
          <w:p w:rsidR="00C06068" w:rsidRPr="004D41CE" w:rsidRDefault="00C06068" w:rsidP="007F3574">
            <w:pPr>
              <w:tabs>
                <w:tab w:val="right" w:leader="dot" w:pos="9360"/>
              </w:tabs>
              <w:suppressAutoHyphens/>
              <w:spacing w:before="40" w:after="40" w:line="200" w:lineRule="atLeast"/>
              <w:ind w:right="43"/>
              <w:rPr>
                <w:spacing w:val="60"/>
                <w:sz w:val="17"/>
                <w:lang w:val="fr-FR"/>
              </w:rPr>
            </w:pPr>
            <w:r w:rsidRPr="00521891">
              <w:rPr>
                <w:sz w:val="17"/>
                <w:lang w:val="fr-FR"/>
              </w:rPr>
              <w:t>Madagascar</w:t>
            </w:r>
            <w:r>
              <w:rPr>
                <w:spacing w:val="60"/>
                <w:sz w:val="17"/>
                <w:lang w:val="fr-FR"/>
              </w:rPr>
              <w:tab/>
            </w:r>
          </w:p>
        </w:tc>
        <w:tc>
          <w:tcPr>
            <w:tcW w:w="120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atLeast"/>
              <w:ind w:right="43"/>
              <w:jc w:val="right"/>
              <w:rPr>
                <w:sz w:val="17"/>
                <w:lang w:val="fr-FR"/>
              </w:rPr>
            </w:pPr>
            <w:r w:rsidRPr="00521891">
              <w:rPr>
                <w:sz w:val="17"/>
                <w:lang w:val="fr-FR"/>
              </w:rPr>
              <w:t>21 263 403</w:t>
            </w:r>
          </w:p>
        </w:tc>
      </w:tr>
    </w:tbl>
    <w:p w:rsidR="00C06068" w:rsidRPr="00144A6D" w:rsidRDefault="00C06068" w:rsidP="00C06068">
      <w:pPr>
        <w:pStyle w:val="FootnoteText"/>
        <w:tabs>
          <w:tab w:val="right" w:pos="1476"/>
          <w:tab w:val="left" w:pos="1548"/>
          <w:tab w:val="right" w:pos="1836"/>
          <w:tab w:val="left" w:pos="1908"/>
        </w:tabs>
        <w:spacing w:line="120" w:lineRule="exact"/>
        <w:ind w:left="1555" w:right="1267" w:hanging="288"/>
        <w:rPr>
          <w:i/>
          <w:sz w:val="10"/>
          <w:lang w:val="fr-FR"/>
        </w:rPr>
      </w:pPr>
    </w:p>
    <w:p w:rsidR="00C06068" w:rsidRPr="00521891" w:rsidRDefault="00C06068" w:rsidP="00C06068">
      <w:pPr>
        <w:pStyle w:val="FootnoteText"/>
        <w:tabs>
          <w:tab w:val="right" w:pos="1476"/>
          <w:tab w:val="left" w:pos="1548"/>
          <w:tab w:val="right" w:pos="1836"/>
          <w:tab w:val="left" w:pos="1908"/>
        </w:tabs>
        <w:spacing w:before="40"/>
        <w:ind w:left="1555" w:right="1267" w:hanging="288"/>
        <w:rPr>
          <w:lang w:val="fr-FR"/>
        </w:rPr>
      </w:pPr>
      <w:r w:rsidRPr="00521891">
        <w:rPr>
          <w:i/>
          <w:lang w:val="fr-FR"/>
        </w:rPr>
        <w:t>Source</w:t>
      </w:r>
      <w:r w:rsidRPr="00521891">
        <w:rPr>
          <w:b/>
          <w:lang w:val="fr-FR"/>
        </w:rPr>
        <w:t> </w:t>
      </w:r>
      <w:r w:rsidRPr="00521891">
        <w:rPr>
          <w:lang w:val="fr-FR"/>
        </w:rPr>
        <w:t>: INSTAT/Projection de la population.</w:t>
      </w:r>
    </w:p>
    <w:p w:rsidR="00C06068" w:rsidRPr="00521891" w:rsidRDefault="00C06068" w:rsidP="00C06068">
      <w:pPr>
        <w:pStyle w:val="SingleTxt"/>
        <w:numPr>
          <w:ilvl w:val="0"/>
          <w:numId w:val="6"/>
        </w:numPr>
        <w:rPr>
          <w:lang w:val="fr-FR"/>
        </w:rPr>
      </w:pPr>
      <w:r w:rsidRPr="00521891">
        <w:rPr>
          <w:lang w:val="fr-FR"/>
        </w:rPr>
        <w:t>La population malagasy se caractérise par une fécondité élevée, néanmoins une tendance à la baisse a été enregistrée régulièrement. En effet, le nombre moyen d</w:t>
      </w:r>
      <w:r>
        <w:rPr>
          <w:lang w:val="fr-FR"/>
        </w:rPr>
        <w:t>’</w:t>
      </w:r>
      <w:r w:rsidRPr="00521891">
        <w:rPr>
          <w:lang w:val="fr-FR"/>
        </w:rPr>
        <w:t>enfants nés vivants qu</w:t>
      </w:r>
      <w:r>
        <w:rPr>
          <w:lang w:val="fr-FR"/>
        </w:rPr>
        <w:t>’</w:t>
      </w:r>
      <w:r w:rsidRPr="00521891">
        <w:rPr>
          <w:lang w:val="fr-FR"/>
        </w:rPr>
        <w:t>aurait une femme en fin de vie féconde ou indice synthétique de fécondité est passé de 5,2 en 2003-2004 à 4,8 en 2008-2009. De même, la mortalité infantile et infanto-juvénile a baissé respectivement de 10 points et 22 points entre la période 2003-2004 et 2008-2009 grâce à la mise en œuvre de paquet d</w:t>
      </w:r>
      <w:r>
        <w:rPr>
          <w:lang w:val="fr-FR"/>
        </w:rPr>
        <w:t>’</w:t>
      </w:r>
      <w:r w:rsidRPr="00521891">
        <w:rPr>
          <w:lang w:val="fr-FR"/>
        </w:rPr>
        <w:t>activités pour l</w:t>
      </w:r>
      <w:r>
        <w:rPr>
          <w:lang w:val="fr-FR"/>
        </w:rPr>
        <w:t>’</w:t>
      </w:r>
      <w:r w:rsidRPr="00521891">
        <w:rPr>
          <w:lang w:val="fr-FR"/>
        </w:rPr>
        <w:t>amélioration de la santé du couple mère-enfant.</w:t>
      </w:r>
    </w:p>
    <w:p w:rsidR="00C06068" w:rsidRPr="00521891" w:rsidRDefault="00C06068" w:rsidP="00C06068">
      <w:pPr>
        <w:pStyle w:val="SingleTxt"/>
        <w:spacing w:after="0" w:line="120" w:lineRule="exact"/>
        <w:rPr>
          <w:b/>
          <w:sz w:val="10"/>
          <w:lang w:val="fr-FR"/>
        </w:rPr>
      </w:pPr>
      <w:bookmarkStart w:id="7" w:name="_Toc360707521"/>
      <w:bookmarkStart w:id="8" w:name="_Toc377129288"/>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b w:val="0"/>
          <w:lang w:val="fr-FR"/>
        </w:rPr>
        <w:tab/>
        <w:t xml:space="preserve">Tableau </w:t>
      </w:r>
      <w:r>
        <w:rPr>
          <w:b w:val="0"/>
          <w:lang w:val="fr-FR"/>
        </w:rPr>
        <w:t>2</w:t>
      </w:r>
      <w:r w:rsidRPr="00521891">
        <w:rPr>
          <w:b w:val="0"/>
          <w:lang w:val="fr-FR"/>
        </w:rPr>
        <w:br/>
      </w:r>
      <w:r w:rsidRPr="00521891">
        <w:rPr>
          <w:lang w:val="fr-FR"/>
        </w:rPr>
        <w:t>Tendance de la fécondité, de la mortalité infantile et infanto-juvénile</w:t>
      </w:r>
      <w:bookmarkEnd w:id="7"/>
      <w:bookmarkEnd w:id="8"/>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080"/>
        <w:gridCol w:w="1458"/>
        <w:gridCol w:w="2439"/>
        <w:gridCol w:w="2343"/>
      </w:tblGrid>
      <w:tr w:rsidR="00C06068" w:rsidRPr="00521891" w:rsidTr="007F3574">
        <w:tblPrEx>
          <w:tblCellMar>
            <w:top w:w="0" w:type="dxa"/>
            <w:bottom w:w="0" w:type="dxa"/>
          </w:tblCellMar>
        </w:tblPrEx>
        <w:trPr>
          <w:tblHeader/>
        </w:trPr>
        <w:tc>
          <w:tcPr>
            <w:tcW w:w="108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Années</w:t>
            </w:r>
          </w:p>
        </w:tc>
        <w:tc>
          <w:tcPr>
            <w:tcW w:w="1458"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Indice synthétique </w:t>
            </w:r>
            <w:r w:rsidRPr="00521891">
              <w:rPr>
                <w:i/>
                <w:sz w:val="14"/>
                <w:lang w:val="fr-FR"/>
              </w:rPr>
              <w:br/>
              <w:t>de fécondité</w:t>
            </w:r>
          </w:p>
        </w:tc>
        <w:tc>
          <w:tcPr>
            <w:tcW w:w="2439"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Mortalité infantile</w:t>
            </w:r>
            <w:r w:rsidRPr="00521891">
              <w:rPr>
                <w:i/>
                <w:sz w:val="14"/>
                <w:lang w:val="fr-FR"/>
              </w:rPr>
              <w:br/>
              <w:t>(pour 1 000 naissances vivantes)</w:t>
            </w:r>
          </w:p>
        </w:tc>
        <w:tc>
          <w:tcPr>
            <w:tcW w:w="2343"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Mortalité infanto-juvénile</w:t>
            </w:r>
            <w:r w:rsidRPr="00521891">
              <w:rPr>
                <w:i/>
                <w:sz w:val="14"/>
                <w:lang w:val="fr-FR"/>
              </w:rPr>
              <w:br/>
              <w:t>(pour 1 000 naissances vivantes)</w:t>
            </w:r>
          </w:p>
        </w:tc>
      </w:tr>
      <w:tr w:rsidR="00C06068" w:rsidRPr="00521891" w:rsidTr="007F3574">
        <w:tblPrEx>
          <w:tblCellMar>
            <w:top w:w="0" w:type="dxa"/>
            <w:bottom w:w="0" w:type="dxa"/>
          </w:tblCellMar>
        </w:tblPrEx>
        <w:trPr>
          <w:trHeight w:hRule="exact" w:val="115"/>
          <w:tblHeader/>
        </w:trPr>
        <w:tc>
          <w:tcPr>
            <w:tcW w:w="108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458"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2439"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2343"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2003-2004</w:t>
            </w:r>
          </w:p>
        </w:tc>
        <w:tc>
          <w:tcPr>
            <w:tcW w:w="145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5,2</w:t>
            </w:r>
          </w:p>
        </w:tc>
        <w:tc>
          <w:tcPr>
            <w:tcW w:w="24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58</w:t>
            </w:r>
          </w:p>
        </w:tc>
        <w:tc>
          <w:tcPr>
            <w:tcW w:w="2343"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94</w:t>
            </w:r>
          </w:p>
        </w:tc>
      </w:tr>
      <w:tr w:rsidR="00C06068" w:rsidRPr="00521891" w:rsidTr="007F3574">
        <w:tblPrEx>
          <w:tblCellMar>
            <w:top w:w="0" w:type="dxa"/>
            <w:bottom w:w="0" w:type="dxa"/>
          </w:tblCellMar>
        </w:tblPrEx>
        <w:tc>
          <w:tcPr>
            <w:tcW w:w="108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2008-2009</w:t>
            </w:r>
          </w:p>
        </w:tc>
        <w:tc>
          <w:tcPr>
            <w:tcW w:w="1458"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4,8</w:t>
            </w:r>
          </w:p>
        </w:tc>
        <w:tc>
          <w:tcPr>
            <w:tcW w:w="2439"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48</w:t>
            </w:r>
          </w:p>
        </w:tc>
        <w:tc>
          <w:tcPr>
            <w:tcW w:w="2343"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72</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b/>
          <w:lang w:val="fr-FR"/>
        </w:rPr>
        <w:t> </w:t>
      </w:r>
      <w:r w:rsidRPr="00521891">
        <w:rPr>
          <w:lang w:val="fr-FR"/>
        </w:rPr>
        <w:t>:</w:t>
      </w:r>
      <w:r>
        <w:rPr>
          <w:lang w:val="fr-FR"/>
        </w:rPr>
        <w:t xml:space="preserve"> INSTAT/</w:t>
      </w:r>
      <w:r w:rsidRPr="00521891">
        <w:rPr>
          <w:lang w:val="fr-FR"/>
        </w:rPr>
        <w:t>Enquête démographique et de santé à Madagascar 2003-2004 et 2008-2009.</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6"/>
        </w:numPr>
        <w:rPr>
          <w:lang w:val="fr-FR"/>
        </w:rPr>
      </w:pPr>
      <w:r w:rsidRPr="00521891">
        <w:rPr>
          <w:lang w:val="fr-FR"/>
        </w:rPr>
        <w:t>Cependant, l</w:t>
      </w:r>
      <w:r>
        <w:rPr>
          <w:lang w:val="fr-FR"/>
        </w:rPr>
        <w:t>’</w:t>
      </w:r>
      <w:r w:rsidRPr="00521891">
        <w:rPr>
          <w:lang w:val="fr-FR"/>
        </w:rPr>
        <w:t>espérance de vie à la naissance est de 56,2 ans en 2008</w:t>
      </w:r>
      <w:r w:rsidRPr="00313148">
        <w:rPr>
          <w:vertAlign w:val="superscript"/>
          <w:lang w:val="fr-FR"/>
        </w:rPr>
        <w:footnoteReference w:id="3"/>
      </w:r>
      <w:r w:rsidRPr="00521891">
        <w:rPr>
          <w:lang w:val="fr-FR"/>
        </w:rPr>
        <w:t>.</w:t>
      </w:r>
    </w:p>
    <w:p w:rsidR="00C06068" w:rsidRPr="00521891" w:rsidRDefault="00C06068" w:rsidP="00C06068">
      <w:pPr>
        <w:pStyle w:val="SingleTxt"/>
        <w:numPr>
          <w:ilvl w:val="0"/>
          <w:numId w:val="6"/>
        </w:numPr>
        <w:rPr>
          <w:lang w:val="fr-FR"/>
        </w:rPr>
      </w:pPr>
      <w:r w:rsidRPr="00521891">
        <w:rPr>
          <w:lang w:val="fr-FR"/>
        </w:rPr>
        <w:t>La co</w:t>
      </w:r>
      <w:r>
        <w:rPr>
          <w:lang w:val="fr-FR"/>
        </w:rPr>
        <w:t>mposition démographique des non-ressortissant</w:t>
      </w:r>
      <w:r w:rsidRPr="00521891">
        <w:rPr>
          <w:lang w:val="fr-FR"/>
        </w:rPr>
        <w:t>s est présentée suivant les tableaux en annexe.</w:t>
      </w:r>
    </w:p>
    <w:p w:rsidR="00C06068" w:rsidRPr="00521891" w:rsidRDefault="00C06068" w:rsidP="00C06068">
      <w:pPr>
        <w:pStyle w:val="SingleTxt"/>
        <w:spacing w:after="0" w:line="120" w:lineRule="exact"/>
        <w:rPr>
          <w:b/>
          <w:sz w:val="10"/>
          <w:lang w:val="fr-FR"/>
        </w:rPr>
      </w:pPr>
      <w:bookmarkStart w:id="9" w:name="_Toc165135278"/>
      <w:bookmarkStart w:id="10" w:name="_Toc139970398"/>
      <w:bookmarkStart w:id="11" w:name="_Toc115836955"/>
      <w:bookmarkStart w:id="12" w:name="_Toc115836799"/>
      <w:bookmarkStart w:id="13" w:name="_Toc115835634"/>
      <w:bookmarkStart w:id="14" w:name="_Toc360707334"/>
      <w:bookmarkStart w:id="15" w:name="_Toc376709294"/>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B.</w:t>
      </w:r>
      <w:bookmarkEnd w:id="9"/>
      <w:bookmarkEnd w:id="10"/>
      <w:bookmarkEnd w:id="11"/>
      <w:bookmarkEnd w:id="12"/>
      <w:bookmarkEnd w:id="13"/>
      <w:r w:rsidRPr="00521891">
        <w:rPr>
          <w:lang w:val="fr-FR"/>
        </w:rPr>
        <w:tab/>
        <w:t>Informations d</w:t>
      </w:r>
      <w:r>
        <w:rPr>
          <w:lang w:val="fr-FR"/>
        </w:rPr>
        <w:t>’</w:t>
      </w:r>
      <w:r w:rsidRPr="00521891">
        <w:rPr>
          <w:lang w:val="fr-FR"/>
        </w:rPr>
        <w:t>ordre politique</w:t>
      </w:r>
      <w:bookmarkEnd w:id="14"/>
      <w:bookmarkEnd w:id="15"/>
    </w:p>
    <w:p w:rsidR="00C06068" w:rsidRPr="00521891" w:rsidRDefault="00C06068" w:rsidP="00C06068">
      <w:pPr>
        <w:pStyle w:val="SingleTxt"/>
        <w:spacing w:after="0" w:line="120" w:lineRule="exact"/>
        <w:rPr>
          <w:b/>
          <w:sz w:val="10"/>
          <w:lang w:val="fr-FR"/>
        </w:rPr>
      </w:pPr>
      <w:bookmarkStart w:id="16" w:name="_Toc376709295"/>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La crise</w:t>
      </w:r>
      <w:bookmarkEnd w:id="16"/>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Depuis la fin de l</w:t>
      </w:r>
      <w:r>
        <w:rPr>
          <w:lang w:val="fr-FR"/>
        </w:rPr>
        <w:t>’</w:t>
      </w:r>
      <w:r w:rsidRPr="00521891">
        <w:rPr>
          <w:lang w:val="fr-FR"/>
        </w:rPr>
        <w:t>année 2008, Madagascar est confronté à une crise sociopolitique grave qui a duré plus de quatre ans.</w:t>
      </w:r>
    </w:p>
    <w:p w:rsidR="00C06068" w:rsidRPr="00521891" w:rsidRDefault="00C06068" w:rsidP="00C06068">
      <w:pPr>
        <w:pStyle w:val="SingleTxt"/>
        <w:numPr>
          <w:ilvl w:val="0"/>
          <w:numId w:val="10"/>
        </w:numPr>
        <w:rPr>
          <w:lang w:val="fr-FR"/>
        </w:rPr>
      </w:pPr>
      <w:r w:rsidRPr="00521891">
        <w:rPr>
          <w:lang w:val="fr-FR"/>
        </w:rPr>
        <w:t>Un mouvement populaire de protestation contre le régime en place a conduit à la démission de Marc Ravalomanana, Président de la République en exercice, le 17 mars 2009.</w:t>
      </w:r>
    </w:p>
    <w:p w:rsidR="00C06068" w:rsidRPr="00521891" w:rsidRDefault="00C06068" w:rsidP="00C06068">
      <w:pPr>
        <w:pStyle w:val="SingleTxt"/>
        <w:numPr>
          <w:ilvl w:val="0"/>
          <w:numId w:val="10"/>
        </w:numPr>
        <w:rPr>
          <w:lang w:val="fr-FR"/>
        </w:rPr>
      </w:pPr>
      <w:r w:rsidRPr="00521891">
        <w:rPr>
          <w:lang w:val="fr-FR"/>
        </w:rPr>
        <w:t xml:space="preserve">Par ordonnance </w:t>
      </w:r>
      <w:r>
        <w:rPr>
          <w:lang w:val="fr-FR"/>
        </w:rPr>
        <w:t>n</w:t>
      </w:r>
      <w:r w:rsidRPr="008763DE">
        <w:rPr>
          <w:vertAlign w:val="superscript"/>
          <w:lang w:val="fr-FR"/>
        </w:rPr>
        <w:t>o</w:t>
      </w:r>
      <w:r>
        <w:rPr>
          <w:lang w:val="fr-FR"/>
        </w:rPr>
        <w:t> </w:t>
      </w:r>
      <w:r w:rsidRPr="00521891">
        <w:rPr>
          <w:lang w:val="fr-FR"/>
        </w:rPr>
        <w:t>2009-001 du 17 mars 2009, Marc Ravalomanana a transféré les pleins pouvoirs à un directoire militaire qui, à son tour</w:t>
      </w:r>
      <w:r>
        <w:rPr>
          <w:lang w:val="fr-FR"/>
        </w:rPr>
        <w:t>,</w:t>
      </w:r>
      <w:r w:rsidRPr="00521891">
        <w:rPr>
          <w:lang w:val="fr-FR"/>
        </w:rPr>
        <w:t xml:space="preserve"> les a transféré</w:t>
      </w:r>
      <w:r>
        <w:rPr>
          <w:lang w:val="fr-FR"/>
        </w:rPr>
        <w:t>s</w:t>
      </w:r>
      <w:r w:rsidRPr="00521891">
        <w:rPr>
          <w:lang w:val="fr-FR"/>
        </w:rPr>
        <w:t xml:space="preserve"> par ordonnance n</w:t>
      </w:r>
      <w:r w:rsidRPr="00521891">
        <w:rPr>
          <w:vertAlign w:val="superscript"/>
          <w:lang w:val="fr-FR"/>
        </w:rPr>
        <w:t>o</w:t>
      </w:r>
      <w:r>
        <w:rPr>
          <w:vertAlign w:val="superscript"/>
          <w:lang w:val="fr-FR"/>
        </w:rPr>
        <w:t> </w:t>
      </w:r>
      <w:r w:rsidRPr="00521891">
        <w:rPr>
          <w:lang w:val="fr-FR"/>
        </w:rPr>
        <w:t>2009-002 du 17 mars 2009 à Andry Nirina Rajoelina.</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ordonnance n</w:t>
      </w:r>
      <w:r w:rsidRPr="00521891">
        <w:rPr>
          <w:vertAlign w:val="superscript"/>
          <w:lang w:val="fr-FR"/>
        </w:rPr>
        <w:t>o</w:t>
      </w:r>
      <w:r>
        <w:rPr>
          <w:vertAlign w:val="superscript"/>
          <w:lang w:val="fr-FR"/>
        </w:rPr>
        <w:t> </w:t>
      </w:r>
      <w:r w:rsidRPr="00521891">
        <w:rPr>
          <w:lang w:val="fr-FR"/>
        </w:rPr>
        <w:t>2009-003 du 17 mars 2009 a institué une Ha</w:t>
      </w:r>
      <w:r>
        <w:rPr>
          <w:lang w:val="fr-FR"/>
        </w:rPr>
        <w:t xml:space="preserve">ute </w:t>
      </w:r>
      <w:r w:rsidRPr="00521891">
        <w:rPr>
          <w:lang w:val="fr-FR"/>
        </w:rPr>
        <w:t>Autorité de la transition et a suspendu le Parlement.</w:t>
      </w:r>
    </w:p>
    <w:p w:rsidR="00C06068" w:rsidRPr="00521891" w:rsidRDefault="00C06068" w:rsidP="00C06068">
      <w:pPr>
        <w:pStyle w:val="SingleTxt"/>
        <w:numPr>
          <w:ilvl w:val="0"/>
          <w:numId w:val="10"/>
        </w:numPr>
        <w:rPr>
          <w:lang w:val="fr-FR"/>
        </w:rPr>
      </w:pPr>
      <w:r w:rsidRPr="00521891">
        <w:rPr>
          <w:lang w:val="fr-FR"/>
        </w:rPr>
        <w:t>Par lettre n</w:t>
      </w:r>
      <w:r w:rsidRPr="00521891">
        <w:rPr>
          <w:vertAlign w:val="superscript"/>
          <w:lang w:val="fr-FR"/>
        </w:rPr>
        <w:t>o</w:t>
      </w:r>
      <w:r>
        <w:rPr>
          <w:vertAlign w:val="superscript"/>
          <w:lang w:val="fr-FR"/>
        </w:rPr>
        <w:t> </w:t>
      </w:r>
      <w:r w:rsidRPr="00521891">
        <w:rPr>
          <w:lang w:val="fr-FR"/>
        </w:rPr>
        <w:t xml:space="preserve">79-HCC/G du 18 mars 2009, la </w:t>
      </w:r>
      <w:r>
        <w:rPr>
          <w:lang w:val="fr-FR"/>
        </w:rPr>
        <w:t>Haute Cour</w:t>
      </w:r>
      <w:r w:rsidRPr="00521891">
        <w:rPr>
          <w:lang w:val="fr-FR"/>
        </w:rPr>
        <w:t xml:space="preserve"> constitutionnelle a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Pris acte de ces ordonnances et validé la dissolution du Parlement;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Constaté la vacance de poste du Président de la République;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Entériné le transfert de</w:t>
      </w:r>
      <w:r>
        <w:rPr>
          <w:lang w:val="fr-FR"/>
        </w:rPr>
        <w:t>s pouvoirs et la désignation d’</w:t>
      </w:r>
      <w:r w:rsidRPr="00521891">
        <w:rPr>
          <w:lang w:val="fr-FR"/>
        </w:rPr>
        <w:t>Andry Nirina Rajoelina Président de la haute autorité de la transition exerçant la fonction de chef d</w:t>
      </w:r>
      <w:r>
        <w:rPr>
          <w:lang w:val="fr-FR"/>
        </w:rPr>
        <w:t>’</w:t>
      </w:r>
      <w:r w:rsidRPr="00521891">
        <w:rPr>
          <w:lang w:val="fr-FR"/>
        </w:rPr>
        <w:t xml:space="preserve">État ainsi que la nomination de Monja Roindefo Zafitsimivalo Premier Ministre du Gouvernement de la </w:t>
      </w:r>
      <w:r>
        <w:rPr>
          <w:lang w:val="fr-FR"/>
        </w:rPr>
        <w:t>Haute Autorité</w:t>
      </w:r>
      <w:r w:rsidRPr="00521891">
        <w:rPr>
          <w:lang w:val="fr-FR"/>
        </w:rPr>
        <w:t xml:space="preserve"> de la transition.</w:t>
      </w:r>
    </w:p>
    <w:p w:rsidR="00C06068" w:rsidRPr="00521891" w:rsidRDefault="00C06068" w:rsidP="00C06068">
      <w:pPr>
        <w:pStyle w:val="SingleTxt"/>
        <w:spacing w:after="0" w:line="120" w:lineRule="exact"/>
        <w:rPr>
          <w:b/>
          <w:sz w:val="10"/>
          <w:lang w:val="fr-FR"/>
        </w:rPr>
      </w:pPr>
      <w:bookmarkStart w:id="17" w:name="_Toc360707336"/>
      <w:bookmarkStart w:id="18" w:name="_Toc376709296"/>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Le processus de sortie de crise</w:t>
      </w:r>
      <w:bookmarkEnd w:id="17"/>
      <w:bookmarkEnd w:id="18"/>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Malgré cette crise, Madagascar n</w:t>
      </w:r>
      <w:r>
        <w:rPr>
          <w:lang w:val="fr-FR"/>
        </w:rPr>
        <w:t>’</w:t>
      </w:r>
      <w:r w:rsidRPr="00521891">
        <w:rPr>
          <w:lang w:val="fr-FR"/>
        </w:rPr>
        <w:t>a pas connu de cas d</w:t>
      </w:r>
      <w:r>
        <w:rPr>
          <w:lang w:val="fr-FR"/>
        </w:rPr>
        <w:t>’</w:t>
      </w:r>
      <w:r w:rsidRPr="00521891">
        <w:rPr>
          <w:lang w:val="fr-FR"/>
        </w:rPr>
        <w:t>affrontement à caractère clanique, tribal, ethnique ou racial.</w:t>
      </w:r>
    </w:p>
    <w:p w:rsidR="00C06068" w:rsidRPr="00521891" w:rsidRDefault="00C06068" w:rsidP="00C06068">
      <w:pPr>
        <w:pStyle w:val="SingleTxt"/>
        <w:numPr>
          <w:ilvl w:val="0"/>
          <w:numId w:val="10"/>
        </w:numPr>
        <w:rPr>
          <w:lang w:val="fr-FR"/>
        </w:rPr>
      </w:pPr>
      <w:r w:rsidRPr="00521891">
        <w:rPr>
          <w:lang w:val="fr-FR"/>
        </w:rPr>
        <w:t>Plusieurs tentatives de sortie de crise ont été menées tant au niveau national qu</w:t>
      </w:r>
      <w:r>
        <w:rPr>
          <w:lang w:val="fr-FR"/>
        </w:rPr>
        <w:t>’</w:t>
      </w:r>
      <w:r w:rsidRPr="00521891">
        <w:rPr>
          <w:lang w:val="fr-FR"/>
        </w:rPr>
        <w:t>international.</w:t>
      </w:r>
    </w:p>
    <w:p w:rsidR="00C06068" w:rsidRPr="00521891" w:rsidRDefault="00C06068" w:rsidP="00C06068">
      <w:pPr>
        <w:pStyle w:val="SingleTxt"/>
        <w:numPr>
          <w:ilvl w:val="0"/>
          <w:numId w:val="10"/>
        </w:numPr>
        <w:rPr>
          <w:lang w:val="fr-FR"/>
        </w:rPr>
      </w:pPr>
      <w:r w:rsidRPr="00521891">
        <w:rPr>
          <w:lang w:val="fr-FR"/>
        </w:rPr>
        <w:t>Au niveau national, sous l</w:t>
      </w:r>
      <w:r>
        <w:rPr>
          <w:lang w:val="fr-FR"/>
        </w:rPr>
        <w:t>’</w:t>
      </w:r>
      <w:r w:rsidRPr="00521891">
        <w:rPr>
          <w:lang w:val="fr-FR"/>
        </w:rPr>
        <w:t xml:space="preserve">égide du FFKM mandaté par la </w:t>
      </w:r>
      <w:r>
        <w:rPr>
          <w:lang w:val="fr-FR"/>
        </w:rPr>
        <w:t>communauté internationale</w:t>
      </w:r>
      <w:r w:rsidRPr="00521891">
        <w:rPr>
          <w:lang w:val="fr-FR"/>
        </w:rPr>
        <w:t>, des médiations ont été menées à l</w:t>
      </w:r>
      <w:r>
        <w:rPr>
          <w:lang w:val="fr-FR"/>
        </w:rPr>
        <w:t>’</w:t>
      </w:r>
      <w:r w:rsidRPr="00521891">
        <w:rPr>
          <w:lang w:val="fr-FR"/>
        </w:rPr>
        <w:t>hôtel le Hintsy, à l</w:t>
      </w:r>
      <w:r>
        <w:rPr>
          <w:lang w:val="fr-FR"/>
        </w:rPr>
        <w:t>’</w:t>
      </w:r>
      <w:r w:rsidRPr="00521891">
        <w:rPr>
          <w:lang w:val="fr-FR"/>
        </w:rPr>
        <w:t>hôtel Carlton, à l</w:t>
      </w:r>
      <w:r>
        <w:rPr>
          <w:lang w:val="fr-FR"/>
        </w:rPr>
        <w:t>’</w:t>
      </w:r>
      <w:r w:rsidRPr="00521891">
        <w:rPr>
          <w:lang w:val="fr-FR"/>
        </w:rPr>
        <w:t>épiscopat Antanimena et à l</w:t>
      </w:r>
      <w:r>
        <w:rPr>
          <w:lang w:val="fr-FR"/>
        </w:rPr>
        <w:t>’ambassade</w:t>
      </w:r>
      <w:r w:rsidRPr="00521891">
        <w:rPr>
          <w:lang w:val="fr-FR"/>
        </w:rPr>
        <w:t xml:space="preserve"> du Sénégal.</w:t>
      </w:r>
    </w:p>
    <w:p w:rsidR="00C06068" w:rsidRPr="00521891" w:rsidRDefault="00C06068" w:rsidP="00C06068">
      <w:pPr>
        <w:pStyle w:val="SingleTxt"/>
        <w:numPr>
          <w:ilvl w:val="0"/>
          <w:numId w:val="10"/>
        </w:numPr>
        <w:rPr>
          <w:lang w:val="fr-FR"/>
        </w:rPr>
      </w:pPr>
      <w:r w:rsidRPr="00521891">
        <w:rPr>
          <w:lang w:val="fr-FR"/>
        </w:rPr>
        <w:t>Au niveau international, sous l</w:t>
      </w:r>
      <w:r>
        <w:rPr>
          <w:lang w:val="fr-FR"/>
        </w:rPr>
        <w:t>’</w:t>
      </w:r>
      <w:r w:rsidRPr="00521891">
        <w:rPr>
          <w:lang w:val="fr-FR"/>
        </w:rPr>
        <w:t>égide de la SADC, de l</w:t>
      </w:r>
      <w:r>
        <w:rPr>
          <w:lang w:val="fr-FR"/>
        </w:rPr>
        <w:t>’</w:t>
      </w:r>
      <w:r w:rsidRPr="00521891">
        <w:rPr>
          <w:lang w:val="fr-FR"/>
        </w:rPr>
        <w:t>Union africaine, du Groupe international de contact et des Nations Unies, des accords de sortie de crise ont été conclus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Signature de l</w:t>
      </w:r>
      <w:r>
        <w:rPr>
          <w:lang w:val="fr-FR"/>
        </w:rPr>
        <w:t>’</w:t>
      </w:r>
      <w:r w:rsidRPr="00521891">
        <w:rPr>
          <w:lang w:val="fr-FR"/>
        </w:rPr>
        <w:t>Accord de Maputo (Mozambique) par Didier Ratsiraka, Marc Ravalomanana, Albert Zafy, anciens présidents élus</w:t>
      </w:r>
      <w:r>
        <w:rPr>
          <w:lang w:val="fr-FR"/>
        </w:rPr>
        <w:t>,</w:t>
      </w:r>
      <w:r w:rsidRPr="00521891">
        <w:rPr>
          <w:lang w:val="fr-FR"/>
        </w:rPr>
        <w:t xml:space="preserve"> et Andry Nirina Rajoelina, Président de la </w:t>
      </w:r>
      <w:r>
        <w:rPr>
          <w:lang w:val="fr-FR"/>
        </w:rPr>
        <w:t>Haute Autorité</w:t>
      </w:r>
      <w:r w:rsidRPr="00521891">
        <w:rPr>
          <w:lang w:val="fr-FR"/>
        </w:rPr>
        <w:t xml:space="preserve"> de la transition le 9 août 2009 sous l</w:t>
      </w:r>
      <w:r>
        <w:rPr>
          <w:lang w:val="fr-FR"/>
        </w:rPr>
        <w:t>’</w:t>
      </w:r>
      <w:r w:rsidRPr="00521891">
        <w:rPr>
          <w:lang w:val="fr-FR"/>
        </w:rPr>
        <w:t>égide de la SADC;</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Signature de l</w:t>
      </w:r>
      <w:r>
        <w:rPr>
          <w:lang w:val="fr-FR"/>
        </w:rPr>
        <w:t>’</w:t>
      </w:r>
      <w:r w:rsidRPr="00521891">
        <w:rPr>
          <w:lang w:val="fr-FR"/>
        </w:rPr>
        <w:t>acte additionnel d</w:t>
      </w:r>
      <w:r>
        <w:rPr>
          <w:lang w:val="fr-FR"/>
        </w:rPr>
        <w:t>’</w:t>
      </w:r>
      <w:r w:rsidRPr="00521891">
        <w:rPr>
          <w:lang w:val="fr-FR"/>
        </w:rPr>
        <w:t>Addis-Abeba le 6 novembre 2009.</w:t>
      </w:r>
    </w:p>
    <w:p w:rsidR="00C06068" w:rsidRPr="00521891" w:rsidRDefault="00C06068" w:rsidP="00C06068">
      <w:pPr>
        <w:pStyle w:val="SingleTxt"/>
        <w:numPr>
          <w:ilvl w:val="0"/>
          <w:numId w:val="10"/>
        </w:numPr>
        <w:rPr>
          <w:lang w:val="fr-FR"/>
        </w:rPr>
      </w:pPr>
      <w:r w:rsidRPr="00521891">
        <w:rPr>
          <w:lang w:val="fr-FR"/>
        </w:rPr>
        <w:t>De ces accords, il a été convenu que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Andry Nirina Rajoelina est Président de la </w:t>
      </w:r>
      <w:r>
        <w:rPr>
          <w:lang w:val="fr-FR"/>
        </w:rPr>
        <w:t>transition</w:t>
      </w:r>
      <w:r w:rsidRPr="00521891">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Fetison Rakoto Andrianirina, de la mouvance Ravalomanana</w:t>
      </w:r>
      <w:r>
        <w:rPr>
          <w:lang w:val="fr-FR"/>
        </w:rPr>
        <w:t>,</w:t>
      </w:r>
      <w:r w:rsidRPr="00521891">
        <w:rPr>
          <w:lang w:val="fr-FR"/>
        </w:rPr>
        <w:t xml:space="preserve"> et Emmanuel Rakotovahiny, de la mouvance Albert Zafy</w:t>
      </w:r>
      <w:r>
        <w:rPr>
          <w:lang w:val="fr-FR"/>
        </w:rPr>
        <w:t>,</w:t>
      </w:r>
      <w:r w:rsidRPr="00521891">
        <w:rPr>
          <w:lang w:val="fr-FR"/>
        </w:rPr>
        <w:t xml:space="preserve"> sont nommés coprésidents;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Eugène Régis Mangalaza de la mouvance Ratsiraka a été nommé Premier Ministre de consensus. Ce dernier n</w:t>
      </w:r>
      <w:r>
        <w:rPr>
          <w:lang w:val="fr-FR"/>
        </w:rPr>
        <w:t>’</w:t>
      </w:r>
      <w:r w:rsidRPr="00521891">
        <w:rPr>
          <w:lang w:val="fr-FR"/>
        </w:rPr>
        <w:t>ayant pas pu former son gouvernement, Camille Albert Vital a été nommé pour le remplacer.</w:t>
      </w:r>
    </w:p>
    <w:p w:rsidR="00C06068" w:rsidRPr="00521891" w:rsidRDefault="00C06068" w:rsidP="00C06068">
      <w:pPr>
        <w:pStyle w:val="SingleTxt"/>
        <w:numPr>
          <w:ilvl w:val="0"/>
          <w:numId w:val="10"/>
        </w:numPr>
        <w:rPr>
          <w:lang w:val="fr-FR"/>
        </w:rPr>
      </w:pPr>
      <w:r w:rsidRPr="00521891">
        <w:rPr>
          <w:lang w:val="fr-FR"/>
        </w:rPr>
        <w:t>Après l</w:t>
      </w:r>
      <w:r>
        <w:rPr>
          <w:lang w:val="fr-FR"/>
        </w:rPr>
        <w:t>’</w:t>
      </w:r>
      <w:r w:rsidRPr="00521891">
        <w:rPr>
          <w:lang w:val="fr-FR"/>
        </w:rPr>
        <w:t>échec des précédents accords, sous l</w:t>
      </w:r>
      <w:r>
        <w:rPr>
          <w:lang w:val="fr-FR"/>
        </w:rPr>
        <w:t>’</w:t>
      </w:r>
      <w:r w:rsidRPr="00521891">
        <w:rPr>
          <w:lang w:val="fr-FR"/>
        </w:rPr>
        <w:t>égide de la SADC et en présence des représentants de la communauté internationale, une feuille de route pour la sortie de crise fut signée par 10 entités politiques incluant la mouvance Ravalomanana et celle d</w:t>
      </w:r>
      <w:r>
        <w:rPr>
          <w:lang w:val="fr-FR"/>
        </w:rPr>
        <w:t>’</w:t>
      </w:r>
      <w:r w:rsidRPr="00521891">
        <w:rPr>
          <w:lang w:val="fr-FR"/>
        </w:rPr>
        <w:t>Albert Zafy. La mouvance de l</w:t>
      </w:r>
      <w:r>
        <w:rPr>
          <w:lang w:val="fr-FR"/>
        </w:rPr>
        <w:t>’</w:t>
      </w:r>
      <w:r w:rsidRPr="00521891">
        <w:rPr>
          <w:lang w:val="fr-FR"/>
        </w:rPr>
        <w:t>ancien Président Didier Ratsiraka ne l</w:t>
      </w:r>
      <w:r>
        <w:rPr>
          <w:lang w:val="fr-FR"/>
        </w:rPr>
        <w:t>’</w:t>
      </w:r>
      <w:r w:rsidRPr="00521891">
        <w:rPr>
          <w:lang w:val="fr-FR"/>
        </w:rPr>
        <w:t>a pas signée.</w:t>
      </w:r>
    </w:p>
    <w:p w:rsidR="00C06068" w:rsidRPr="00521891" w:rsidRDefault="00C06068" w:rsidP="00C06068">
      <w:pPr>
        <w:pStyle w:val="SingleTxt"/>
        <w:numPr>
          <w:ilvl w:val="0"/>
          <w:numId w:val="10"/>
        </w:numPr>
        <w:rPr>
          <w:lang w:val="fr-FR"/>
        </w:rPr>
      </w:pPr>
      <w:r w:rsidRPr="00521891">
        <w:rPr>
          <w:lang w:val="fr-FR"/>
        </w:rPr>
        <w:t>La loi n</w:t>
      </w:r>
      <w:r w:rsidRPr="00521891">
        <w:rPr>
          <w:vertAlign w:val="superscript"/>
          <w:lang w:val="fr-FR"/>
        </w:rPr>
        <w:t>o</w:t>
      </w:r>
      <w:r>
        <w:rPr>
          <w:vertAlign w:val="superscript"/>
          <w:lang w:val="fr-FR"/>
        </w:rPr>
        <w:t> </w:t>
      </w:r>
      <w:r w:rsidRPr="00521891">
        <w:rPr>
          <w:lang w:val="fr-FR"/>
        </w:rPr>
        <w:t>2011-014 du 28 décembre 2011 incorpore cette feuille de route dans l</w:t>
      </w:r>
      <w:r>
        <w:rPr>
          <w:lang w:val="fr-FR"/>
        </w:rPr>
        <w:t>’</w:t>
      </w:r>
      <w:r w:rsidRPr="00521891">
        <w:rPr>
          <w:lang w:val="fr-FR"/>
        </w:rPr>
        <w:t>ordonnancement juridique interne et décrit les différentes institutions de la transition.</w:t>
      </w:r>
    </w:p>
    <w:p w:rsidR="00C06068" w:rsidRPr="00521891" w:rsidRDefault="00C06068" w:rsidP="00C06068">
      <w:pPr>
        <w:pStyle w:val="SingleTxt"/>
        <w:spacing w:after="0" w:line="120" w:lineRule="exact"/>
        <w:rPr>
          <w:b/>
          <w:sz w:val="10"/>
          <w:lang w:val="fr-FR"/>
        </w:rPr>
      </w:pPr>
      <w:bookmarkStart w:id="19" w:name="_Toc376709297"/>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w:t>
      </w:r>
      <w:r w:rsidRPr="00521891">
        <w:rPr>
          <w:lang w:val="fr-FR"/>
        </w:rPr>
        <w:tab/>
        <w:t>Les institutions de la transition prévues par la feuille de route</w:t>
      </w:r>
      <w:bookmarkEnd w:id="19"/>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3.1</w:t>
      </w:r>
      <w:r w:rsidRPr="00521891">
        <w:rPr>
          <w:lang w:val="fr-FR"/>
        </w:rPr>
        <w:tab/>
        <w:t>Du pouvoir exécutif</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Conformément à la feuille de route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Andry Nirina Rajoelina est le Président de la transition et exerce les fonctions de chef d</w:t>
      </w:r>
      <w:r>
        <w:rPr>
          <w:lang w:val="fr-FR"/>
        </w:rPr>
        <w:t>’</w:t>
      </w:r>
      <w:r w:rsidRPr="00521891">
        <w:rPr>
          <w:lang w:val="fr-FR"/>
        </w:rPr>
        <w:t>État;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Jean Omer Beriziky, Premier Ministre de consensus, dirige le Gouvernement d</w:t>
      </w:r>
      <w:r>
        <w:rPr>
          <w:lang w:val="fr-FR"/>
        </w:rPr>
        <w:t>’</w:t>
      </w:r>
      <w:r w:rsidRPr="00521891">
        <w:rPr>
          <w:lang w:val="fr-FR"/>
        </w:rPr>
        <w:t>union nationale. Il fut nommé par le Président de la transition sur une liste de personnalités proposées par les entités politiques signataires de la feuille de route;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Tenant compte des dispositions de l</w:t>
      </w:r>
      <w:r>
        <w:rPr>
          <w:lang w:val="fr-FR"/>
        </w:rPr>
        <w:t>’</w:t>
      </w:r>
      <w:r w:rsidRPr="00521891">
        <w:rPr>
          <w:lang w:val="fr-FR"/>
        </w:rPr>
        <w:t>article 5 de la feuille de route, il n</w:t>
      </w:r>
      <w:r>
        <w:rPr>
          <w:lang w:val="fr-FR"/>
        </w:rPr>
        <w:t>’</w:t>
      </w:r>
      <w:r w:rsidRPr="00521891">
        <w:rPr>
          <w:lang w:val="fr-FR"/>
        </w:rPr>
        <w:t>est ni originaire de la même province que le Président de la transition ni issu de la plateforme politique le soutenant;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membres du Gouvernement de l</w:t>
      </w:r>
      <w:r>
        <w:rPr>
          <w:lang w:val="fr-FR"/>
        </w:rPr>
        <w:t>’</w:t>
      </w:r>
      <w:r w:rsidRPr="00521891">
        <w:rPr>
          <w:lang w:val="fr-FR"/>
        </w:rPr>
        <w:t>union nationale ont été nommés par le Président de la transition sur proposition du Premier Ministre de consensus à partir d</w:t>
      </w:r>
      <w:r>
        <w:rPr>
          <w:lang w:val="fr-FR"/>
        </w:rPr>
        <w:t>’</w:t>
      </w:r>
      <w:r w:rsidRPr="00521891">
        <w:rPr>
          <w:lang w:val="fr-FR"/>
        </w:rPr>
        <w:t>une liste de personnalités politiques proposées par les acteurs politiques signataires de la feuille de route.</w:t>
      </w:r>
    </w:p>
    <w:p w:rsidR="00C06068" w:rsidRPr="00521891" w:rsidRDefault="00C06068" w:rsidP="00C06068">
      <w:pPr>
        <w:pStyle w:val="SingleTxt"/>
        <w:numPr>
          <w:ilvl w:val="0"/>
          <w:numId w:val="10"/>
        </w:numPr>
        <w:rPr>
          <w:lang w:val="fr-FR"/>
        </w:rPr>
      </w:pPr>
      <w:r w:rsidRPr="00521891">
        <w:rPr>
          <w:lang w:val="fr-FR"/>
        </w:rPr>
        <w:t>La nomination des membres du gouvernement a tenu compte d</w:t>
      </w:r>
      <w:r>
        <w:rPr>
          <w:lang w:val="fr-FR"/>
        </w:rPr>
        <w:t>’</w:t>
      </w:r>
      <w:r w:rsidRPr="00521891">
        <w:rPr>
          <w:lang w:val="fr-FR"/>
        </w:rPr>
        <w:t>une répartition juste et équitable des portefeuilles.</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3.2</w:t>
      </w:r>
      <w:r w:rsidRPr="00521891">
        <w:rPr>
          <w:lang w:val="fr-FR"/>
        </w:rPr>
        <w:tab/>
        <w:t>Du Parlement</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 Conseil supérieur de la transition et le Congrès de la transition constituent le Parlement de la transition.</w:t>
      </w:r>
    </w:p>
    <w:p w:rsidR="00C06068" w:rsidRPr="00521891" w:rsidRDefault="00C06068" w:rsidP="00C06068">
      <w:pPr>
        <w:pStyle w:val="SingleTxt"/>
        <w:numPr>
          <w:ilvl w:val="0"/>
          <w:numId w:val="10"/>
        </w:numPr>
        <w:rPr>
          <w:lang w:val="fr-FR"/>
        </w:rPr>
      </w:pPr>
      <w:r w:rsidRPr="00521891">
        <w:rPr>
          <w:lang w:val="fr-FR"/>
        </w:rPr>
        <w:t>Le Conseil supérieur de la transition (CST) est présidé par le général Dolin Rasolosoa de la mouvance Rajoelina. Composé de 90 membres, il assure la fonction relevant du Sénat.</w:t>
      </w:r>
    </w:p>
    <w:p w:rsidR="00C06068" w:rsidRPr="00521891" w:rsidRDefault="00C06068" w:rsidP="00C06068">
      <w:pPr>
        <w:pStyle w:val="SingleTxt"/>
        <w:numPr>
          <w:ilvl w:val="0"/>
          <w:numId w:val="10"/>
        </w:numPr>
        <w:rPr>
          <w:lang w:val="fr-FR"/>
        </w:rPr>
      </w:pPr>
      <w:r w:rsidRPr="00521891">
        <w:rPr>
          <w:lang w:val="fr-FR"/>
        </w:rPr>
        <w:t>Le Congrès de la transition (CT), présidé par Mamy Rakotoarivelo, issu de la mouvance Ravalomanana, est composé de 250 membres. Ce congrès assume la fonction dévolue à l</w:t>
      </w:r>
      <w:r>
        <w:rPr>
          <w:lang w:val="fr-FR"/>
        </w:rPr>
        <w:t>’</w:t>
      </w:r>
      <w:r w:rsidRPr="00521891">
        <w:rPr>
          <w:lang w:val="fr-FR"/>
        </w:rPr>
        <w:t>Assemblée nationale.</w:t>
      </w:r>
    </w:p>
    <w:p w:rsidR="00C06068" w:rsidRPr="00521891" w:rsidRDefault="00C06068" w:rsidP="00C06068">
      <w:pPr>
        <w:pStyle w:val="SingleTxt"/>
        <w:numPr>
          <w:ilvl w:val="0"/>
          <w:numId w:val="10"/>
        </w:numPr>
        <w:rPr>
          <w:lang w:val="fr-FR"/>
        </w:rPr>
      </w:pPr>
      <w:r w:rsidRPr="00521891">
        <w:rPr>
          <w:lang w:val="fr-FR"/>
        </w:rPr>
        <w:t>Les membres de ces deux chambres sont issus des acteurs politiques malagasy signataires de la feuille de route</w:t>
      </w:r>
      <w:r w:rsidRPr="00313148">
        <w:rPr>
          <w:vertAlign w:val="superscript"/>
          <w:lang w:val="fr-FR"/>
        </w:rPr>
        <w:footnoteReference w:id="4"/>
      </w:r>
      <w:r w:rsidRPr="00521891">
        <w:rPr>
          <w:lang w:val="fr-FR"/>
        </w:rPr>
        <w:t xml:space="preserve"> et sont nommés par le Président de la transition.</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3.3</w:t>
      </w:r>
      <w:r w:rsidRPr="00521891">
        <w:rPr>
          <w:lang w:val="fr-FR"/>
        </w:rPr>
        <w:tab/>
        <w:t>Des institutions électorales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En vue de la tenue d</w:t>
      </w:r>
      <w:r>
        <w:rPr>
          <w:lang w:val="fr-FR"/>
        </w:rPr>
        <w:t>’</w:t>
      </w:r>
      <w:r w:rsidRPr="00521891">
        <w:rPr>
          <w:lang w:val="fr-FR"/>
        </w:rPr>
        <w:t>élections justes, libres, transparentes, crédibles et acceptées par tous, il a été institué une commission électorale nationale indépendante pour la transition et une cour électorale spéciale.</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sidRPr="00521891">
        <w:rPr>
          <w:bCs/>
          <w:lang w:val="fr-FR"/>
        </w:rPr>
        <w:t xml:space="preserve">De </w:t>
      </w:r>
      <w:r w:rsidRPr="00521891">
        <w:rPr>
          <w:lang w:val="fr-FR"/>
        </w:rPr>
        <w:t>la Commission électorale nationale indépendante pour la transition (CENI-T)</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CENI-T, créée par la loi n</w:t>
      </w:r>
      <w:r w:rsidRPr="00521891">
        <w:rPr>
          <w:vertAlign w:val="superscript"/>
          <w:lang w:val="fr-FR"/>
        </w:rPr>
        <w:t>o</w:t>
      </w:r>
      <w:r>
        <w:rPr>
          <w:vertAlign w:val="superscript"/>
          <w:lang w:val="fr-FR"/>
        </w:rPr>
        <w:t> </w:t>
      </w:r>
      <w:r w:rsidRPr="00521891">
        <w:rPr>
          <w:lang w:val="fr-FR"/>
        </w:rPr>
        <w:t>2012-004 du 1</w:t>
      </w:r>
      <w:r w:rsidRPr="00521891">
        <w:rPr>
          <w:vertAlign w:val="superscript"/>
          <w:lang w:val="fr-FR"/>
        </w:rPr>
        <w:t>er</w:t>
      </w:r>
      <w:r w:rsidRPr="00521891">
        <w:rPr>
          <w:lang w:val="fr-FR"/>
        </w:rPr>
        <w:t> février 2012, est un organe en charge de la gestion des élections (O.G.E.).</w:t>
      </w:r>
    </w:p>
    <w:p w:rsidR="00C06068" w:rsidRPr="00521891" w:rsidRDefault="00C06068" w:rsidP="00C06068">
      <w:pPr>
        <w:pStyle w:val="SingleTxt"/>
        <w:numPr>
          <w:ilvl w:val="0"/>
          <w:numId w:val="10"/>
        </w:numPr>
        <w:rPr>
          <w:lang w:val="fr-FR"/>
        </w:rPr>
      </w:pPr>
      <w:r w:rsidRPr="00521891">
        <w:rPr>
          <w:lang w:val="fr-FR"/>
        </w:rPr>
        <w:t>Elle a pour mission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Organiser et superviser les opérations électorales;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Traiter et publier les résultats provisoires des scrutins durant la transition.</w:t>
      </w:r>
    </w:p>
    <w:p w:rsidR="00C06068" w:rsidRPr="00521891" w:rsidRDefault="00C06068" w:rsidP="00C06068">
      <w:pPr>
        <w:pStyle w:val="SingleTxt"/>
        <w:numPr>
          <w:ilvl w:val="0"/>
          <w:numId w:val="10"/>
        </w:numPr>
        <w:rPr>
          <w:lang w:val="fr-FR"/>
        </w:rPr>
      </w:pPr>
      <w:r w:rsidRPr="00521891">
        <w:rPr>
          <w:lang w:val="fr-FR"/>
        </w:rPr>
        <w:t>La CENI-T est composée de 24 membres selon la répartition par catégorie suivante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Catégorie A : le Président de la Commission électorale nationale indépendante recruté selon les modalités et les critères définis par la loi n</w:t>
      </w:r>
      <w:r w:rsidRPr="00521891">
        <w:rPr>
          <w:vertAlign w:val="superscript"/>
          <w:lang w:val="fr-FR"/>
        </w:rPr>
        <w:t>o</w:t>
      </w:r>
      <w:r>
        <w:rPr>
          <w:vertAlign w:val="superscript"/>
          <w:lang w:val="fr-FR"/>
        </w:rPr>
        <w:t> </w:t>
      </w:r>
      <w:r w:rsidRPr="00521891">
        <w:rPr>
          <w:lang w:val="fr-FR"/>
        </w:rPr>
        <w:t>2012-004 fixant l</w:t>
      </w:r>
      <w:r>
        <w:rPr>
          <w:lang w:val="fr-FR"/>
        </w:rPr>
        <w:t>’</w:t>
      </w:r>
      <w:r w:rsidRPr="00521891">
        <w:rPr>
          <w:lang w:val="fr-FR"/>
        </w:rPr>
        <w:t>organisation, le fonctionnement et les attributions de la Commission électorale nationale indépendante pour la transition;</w:t>
      </w:r>
    </w:p>
    <w:p w:rsidR="00C06068" w:rsidRPr="00521891" w:rsidRDefault="00C06068" w:rsidP="00C06068">
      <w:pPr>
        <w:pStyle w:val="SingleTxt"/>
        <w:keepNext/>
        <w:keepLines/>
        <w:tabs>
          <w:tab w:val="right" w:pos="1685"/>
        </w:tabs>
        <w:ind w:left="1742" w:hanging="475"/>
        <w:rPr>
          <w:lang w:val="fr-FR"/>
        </w:rPr>
      </w:pPr>
      <w:r w:rsidRPr="00521891">
        <w:rPr>
          <w:lang w:val="fr-FR"/>
        </w:rPr>
        <w:tab/>
        <w:t>•</w:t>
      </w:r>
      <w:r w:rsidRPr="00521891">
        <w:rPr>
          <w:lang w:val="fr-FR"/>
        </w:rPr>
        <w:tab/>
        <w:t>Catégorie B : 10 membres représentant les entités de la société civile dont :</w:t>
      </w:r>
    </w:p>
    <w:p w:rsidR="00C06068" w:rsidRPr="00521891" w:rsidRDefault="00C06068" w:rsidP="00C06068">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Trois issus des organisations œuvrant dans l</w:t>
      </w:r>
      <w:r>
        <w:rPr>
          <w:lang w:val="fr-FR"/>
        </w:rPr>
        <w:t>’</w:t>
      </w:r>
      <w:r w:rsidRPr="00521891">
        <w:rPr>
          <w:lang w:val="fr-FR"/>
        </w:rPr>
        <w:t>observation des élections;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r>
      <w:r>
        <w:rPr>
          <w:lang w:val="fr-FR"/>
        </w:rPr>
        <w:t>U</w:t>
      </w:r>
      <w:r w:rsidRPr="00521891">
        <w:rPr>
          <w:lang w:val="fr-FR"/>
        </w:rPr>
        <w:t>n issu des organisations œuvrant pour l</w:t>
      </w:r>
      <w:r>
        <w:rPr>
          <w:lang w:val="fr-FR"/>
        </w:rPr>
        <w:t>’</w:t>
      </w:r>
      <w:r w:rsidRPr="00521891">
        <w:rPr>
          <w:lang w:val="fr-FR"/>
        </w:rPr>
        <w:t>éducation des citoyens;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issu des associations de défense des droits de l</w:t>
      </w:r>
      <w:r>
        <w:rPr>
          <w:lang w:val="fr-FR"/>
        </w:rPr>
        <w:t>’</w:t>
      </w:r>
      <w:r w:rsidRPr="00521891">
        <w:rPr>
          <w:lang w:val="fr-FR"/>
        </w:rPr>
        <w:t>homme;</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issu de l</w:t>
      </w:r>
      <w:r>
        <w:rPr>
          <w:lang w:val="fr-FR"/>
        </w:rPr>
        <w:t>’</w:t>
      </w:r>
      <w:r w:rsidRPr="00521891">
        <w:rPr>
          <w:lang w:val="fr-FR"/>
        </w:rPr>
        <w:t>Ordre des journalistes</w:t>
      </w:r>
      <w:r>
        <w:rPr>
          <w:lang w:val="fr-FR"/>
        </w:rPr>
        <w:t xml:space="preserve"> </w:t>
      </w:r>
      <w:r w:rsidRPr="00521891">
        <w:rPr>
          <w:lang w:val="fr-FR"/>
        </w:rPr>
        <w:t>élu par ses pairs;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issu du corps des administrateurs civils élu par ses pairs en assemblée générale convoquée et dirigée par le doyen des plus hauts gradés;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issu de l</w:t>
      </w:r>
      <w:r>
        <w:rPr>
          <w:lang w:val="fr-FR"/>
        </w:rPr>
        <w:t>’</w:t>
      </w:r>
      <w:r w:rsidRPr="00521891">
        <w:rPr>
          <w:lang w:val="fr-FR"/>
        </w:rPr>
        <w:t>ordre des avocats élu par ses pairs;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enseignant titulaire de droit des universités publiques désigné par les doyens des facultés de droit des universités publiques;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magistrat issu du corps des magistrats de Madagascar élu par ses pairs en assemblée générale convoquée et dirigée par</w:t>
      </w:r>
      <w:r>
        <w:rPr>
          <w:lang w:val="fr-FR"/>
        </w:rPr>
        <w:t xml:space="preserve"> le doyen des plus hauts gradés;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Catégorie C : deux membres issus de l</w:t>
      </w:r>
      <w:r>
        <w:rPr>
          <w:lang w:val="fr-FR"/>
        </w:rPr>
        <w:t>’</w:t>
      </w:r>
      <w:r w:rsidRPr="00521891">
        <w:rPr>
          <w:lang w:val="fr-FR"/>
        </w:rPr>
        <w:t>administration dont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cadre de l</w:t>
      </w:r>
      <w:r>
        <w:rPr>
          <w:lang w:val="fr-FR"/>
        </w:rPr>
        <w:t>’</w:t>
      </w:r>
      <w:r w:rsidRPr="00521891">
        <w:rPr>
          <w:lang w:val="fr-FR"/>
        </w:rPr>
        <w:t>administration du territoire représentant du Ministère chargé de l</w:t>
      </w:r>
      <w:r>
        <w:rPr>
          <w:lang w:val="fr-FR"/>
        </w:rPr>
        <w:t>’</w:t>
      </w:r>
      <w:r w:rsidRPr="00521891">
        <w:rPr>
          <w:lang w:val="fr-FR"/>
        </w:rPr>
        <w:t>intérieur;</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Un cadre du Ministère chargé de la décentralisation</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Catégorie D : un représentant de chacun des </w:t>
      </w:r>
      <w:r>
        <w:rPr>
          <w:lang w:val="fr-FR"/>
        </w:rPr>
        <w:t xml:space="preserve">11 </w:t>
      </w:r>
      <w:r w:rsidRPr="00521891">
        <w:rPr>
          <w:lang w:val="fr-FR"/>
        </w:rPr>
        <w:t>partis ou des groupements politiques signataires de la feuille de route.</w:t>
      </w:r>
    </w:p>
    <w:p w:rsidR="00C06068" w:rsidRPr="00521891" w:rsidRDefault="00C06068" w:rsidP="00C06068">
      <w:pPr>
        <w:pStyle w:val="SingleTxt"/>
        <w:numPr>
          <w:ilvl w:val="0"/>
          <w:numId w:val="10"/>
        </w:numPr>
        <w:rPr>
          <w:lang w:val="fr-FR"/>
        </w:rPr>
      </w:pPr>
      <w:r w:rsidRPr="00521891">
        <w:rPr>
          <w:lang w:val="fr-FR"/>
        </w:rPr>
        <w:t>La CENI-T est le garant moral de l</w:t>
      </w:r>
      <w:r>
        <w:rPr>
          <w:lang w:val="fr-FR"/>
        </w:rPr>
        <w:t>’</w:t>
      </w:r>
      <w:r w:rsidRPr="00521891">
        <w:rPr>
          <w:lang w:val="fr-FR"/>
        </w:rPr>
        <w:t>authenticité du scrutin et de la sincérité du vote.</w:t>
      </w:r>
    </w:p>
    <w:p w:rsidR="00C06068" w:rsidRPr="00521891" w:rsidRDefault="00C06068" w:rsidP="00C06068">
      <w:pPr>
        <w:pStyle w:val="SingleTxt"/>
        <w:numPr>
          <w:ilvl w:val="0"/>
          <w:numId w:val="10"/>
        </w:numPr>
        <w:rPr>
          <w:lang w:val="fr-FR"/>
        </w:rPr>
      </w:pPr>
      <w:r w:rsidRPr="00521891">
        <w:rPr>
          <w:lang w:val="fr-FR"/>
        </w:rPr>
        <w:t xml:space="preserve">En vue </w:t>
      </w:r>
      <w:r>
        <w:rPr>
          <w:lang w:val="fr-FR"/>
        </w:rPr>
        <w:t xml:space="preserve">de </w:t>
      </w:r>
      <w:r w:rsidRPr="00521891">
        <w:rPr>
          <w:lang w:val="fr-FR"/>
        </w:rPr>
        <w:t>la transparence et de la crédibilité des élections, les organisations de la société civile et les partis politiques ont été formés pour suivre et observer les opérations électorales.</w:t>
      </w:r>
    </w:p>
    <w:p w:rsidR="00C06068" w:rsidRPr="008763DE" w:rsidRDefault="00C06068" w:rsidP="00C06068">
      <w:pPr>
        <w:pStyle w:val="SingleTxt"/>
        <w:numPr>
          <w:ilvl w:val="0"/>
          <w:numId w:val="10"/>
        </w:numPr>
        <w:rPr>
          <w:spacing w:val="2"/>
          <w:lang w:val="fr-FR"/>
        </w:rPr>
      </w:pPr>
      <w:r w:rsidRPr="008763DE">
        <w:rPr>
          <w:spacing w:val="2"/>
          <w:lang w:val="fr-FR"/>
        </w:rPr>
        <w:t>Pour l</w:t>
      </w:r>
      <w:r>
        <w:rPr>
          <w:spacing w:val="2"/>
          <w:lang w:val="fr-FR"/>
        </w:rPr>
        <w:t>’</w:t>
      </w:r>
      <w:r w:rsidRPr="008763DE">
        <w:rPr>
          <w:spacing w:val="2"/>
          <w:lang w:val="fr-FR"/>
        </w:rPr>
        <w:t>accomplissement de sa mission, la CENI-T bénéficie d</w:t>
      </w:r>
      <w:r>
        <w:rPr>
          <w:spacing w:val="2"/>
          <w:lang w:val="fr-FR"/>
        </w:rPr>
        <w:t>’</w:t>
      </w:r>
      <w:r w:rsidRPr="008763DE">
        <w:rPr>
          <w:spacing w:val="2"/>
          <w:lang w:val="fr-FR"/>
        </w:rPr>
        <w:t>un appui technique et financier du Gouvernement et de la communauté internationale à travers le projet en appui au cycle électoral à Madagascar (PACEM), géré par le PNUD.</w:t>
      </w:r>
    </w:p>
    <w:p w:rsidR="00C06068" w:rsidRPr="00521891" w:rsidRDefault="00C06068" w:rsidP="00C06068">
      <w:pPr>
        <w:pStyle w:val="SingleTxt"/>
        <w:spacing w:after="0" w:line="120" w:lineRule="exact"/>
        <w:rPr>
          <w:b/>
          <w:bCs/>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bCs/>
          <w:lang w:val="fr-FR"/>
        </w:rPr>
        <w:tab/>
      </w:r>
      <w:r w:rsidRPr="00521891">
        <w:rPr>
          <w:bCs/>
          <w:lang w:val="fr-FR"/>
        </w:rPr>
        <w:tab/>
        <w:t xml:space="preserve">De </w:t>
      </w:r>
      <w:r w:rsidRPr="00521891">
        <w:rPr>
          <w:lang w:val="fr-FR"/>
        </w:rPr>
        <w:t>la Cour électorale spéciale (CES)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 xml:space="preserve">La </w:t>
      </w:r>
      <w:r>
        <w:rPr>
          <w:lang w:val="fr-FR"/>
        </w:rPr>
        <w:t>« </w:t>
      </w:r>
      <w:r w:rsidRPr="00521891">
        <w:rPr>
          <w:lang w:val="fr-FR"/>
        </w:rPr>
        <w:t>Cour électorale spéciale</w:t>
      </w:r>
      <w:r>
        <w:rPr>
          <w:lang w:val="fr-FR"/>
        </w:rPr>
        <w:t> » au sein de la Haute Cour</w:t>
      </w:r>
      <w:r w:rsidRPr="00521891">
        <w:rPr>
          <w:lang w:val="fr-FR"/>
        </w:rPr>
        <w:t xml:space="preserve"> </w:t>
      </w:r>
      <w:r>
        <w:rPr>
          <w:lang w:val="fr-FR"/>
        </w:rPr>
        <w:t>c</w:t>
      </w:r>
      <w:r w:rsidRPr="00521891">
        <w:rPr>
          <w:lang w:val="fr-FR"/>
        </w:rPr>
        <w:t>onstitutionnelle a été instituée par la loi n</w:t>
      </w:r>
      <w:r w:rsidRPr="00521891">
        <w:rPr>
          <w:vertAlign w:val="superscript"/>
          <w:lang w:val="fr-FR"/>
        </w:rPr>
        <w:t>o</w:t>
      </w:r>
      <w:r>
        <w:rPr>
          <w:vertAlign w:val="superscript"/>
          <w:lang w:val="fr-FR"/>
        </w:rPr>
        <w:t> </w:t>
      </w:r>
      <w:r w:rsidRPr="00521891">
        <w:rPr>
          <w:lang w:val="fr-FR"/>
        </w:rPr>
        <w:t>2013-008 du 1</w:t>
      </w:r>
      <w:r w:rsidRPr="00345AC1">
        <w:rPr>
          <w:vertAlign w:val="superscript"/>
          <w:lang w:val="fr-FR"/>
        </w:rPr>
        <w:t>er</w:t>
      </w:r>
      <w:r>
        <w:rPr>
          <w:lang w:val="fr-FR"/>
        </w:rPr>
        <w:t> </w:t>
      </w:r>
      <w:r w:rsidRPr="00521891">
        <w:rPr>
          <w:lang w:val="fr-FR"/>
        </w:rPr>
        <w:t>août 2013.</w:t>
      </w:r>
    </w:p>
    <w:p w:rsidR="00C06068" w:rsidRPr="00521891" w:rsidRDefault="00C06068" w:rsidP="00C06068">
      <w:pPr>
        <w:pStyle w:val="SingleTxt"/>
        <w:numPr>
          <w:ilvl w:val="0"/>
          <w:numId w:val="10"/>
        </w:numPr>
        <w:rPr>
          <w:lang w:val="fr-FR"/>
        </w:rPr>
      </w:pPr>
      <w:r w:rsidRPr="00521891">
        <w:rPr>
          <w:lang w:val="fr-FR"/>
        </w:rPr>
        <w:t>La Cour électorale spéciale est chargée de la réception et de la validation des candidatures, des contentieux électoraux et de la proclamation des résultats définiti</w:t>
      </w:r>
      <w:r>
        <w:rPr>
          <w:lang w:val="fr-FR"/>
        </w:rPr>
        <w:t>fs des élections présidentielle</w:t>
      </w:r>
      <w:r w:rsidRPr="00521891">
        <w:rPr>
          <w:lang w:val="fr-FR"/>
        </w:rPr>
        <w:t xml:space="preserve"> et législatives.</w:t>
      </w:r>
    </w:p>
    <w:p w:rsidR="00C06068" w:rsidRPr="00521891" w:rsidRDefault="00C06068" w:rsidP="00C06068">
      <w:pPr>
        <w:pStyle w:val="SingleTxt"/>
        <w:numPr>
          <w:ilvl w:val="0"/>
          <w:numId w:val="10"/>
        </w:numPr>
        <w:rPr>
          <w:lang w:val="fr-FR"/>
        </w:rPr>
      </w:pPr>
      <w:r w:rsidRPr="00521891">
        <w:rPr>
          <w:lang w:val="fr-FR"/>
        </w:rPr>
        <w:t>Par arrêt n</w:t>
      </w:r>
      <w:r w:rsidRPr="00521891">
        <w:rPr>
          <w:vertAlign w:val="superscript"/>
          <w:lang w:val="fr-FR"/>
        </w:rPr>
        <w:t>o</w:t>
      </w:r>
      <w:r>
        <w:rPr>
          <w:vertAlign w:val="superscript"/>
          <w:lang w:val="fr-FR"/>
        </w:rPr>
        <w:t> </w:t>
      </w:r>
      <w:r w:rsidRPr="00521891">
        <w:rPr>
          <w:lang w:val="fr-FR"/>
        </w:rPr>
        <w:t>01-CES/AR du 22 novembre 2013 portant proclamation du résultat définitif du premier tour de l</w:t>
      </w:r>
      <w:r>
        <w:rPr>
          <w:lang w:val="fr-FR"/>
        </w:rPr>
        <w:t>’</w:t>
      </w:r>
      <w:r w:rsidRPr="00521891">
        <w:rPr>
          <w:lang w:val="fr-FR"/>
        </w:rPr>
        <w:t>élection présidentielle le 25 octobre 2013, sont admis à se présenter au second tour du scrutin, les candidats Jean Louis Robinson avec 949 987 de</w:t>
      </w:r>
      <w:r>
        <w:rPr>
          <w:lang w:val="fr-FR"/>
        </w:rPr>
        <w:t>s</w:t>
      </w:r>
      <w:r w:rsidRPr="00521891">
        <w:rPr>
          <w:lang w:val="fr-FR"/>
        </w:rPr>
        <w:t xml:space="preserve"> voix (21,16 %) et Hery Rajaonarimampianina avec 711 534 des voix (15,85 %).</w:t>
      </w:r>
    </w:p>
    <w:p w:rsidR="00C06068" w:rsidRDefault="00C06068" w:rsidP="00C06068">
      <w:pPr>
        <w:pStyle w:val="SingleTxt"/>
        <w:numPr>
          <w:ilvl w:val="0"/>
          <w:numId w:val="10"/>
        </w:numPr>
        <w:rPr>
          <w:lang w:val="fr-FR"/>
        </w:rPr>
      </w:pPr>
      <w:r w:rsidRPr="00521891">
        <w:rPr>
          <w:lang w:val="fr-FR"/>
        </w:rPr>
        <w:t>Le second tour de l</w:t>
      </w:r>
      <w:r>
        <w:rPr>
          <w:lang w:val="fr-FR"/>
        </w:rPr>
        <w:t>’</w:t>
      </w:r>
      <w:r w:rsidRPr="00521891">
        <w:rPr>
          <w:lang w:val="fr-FR"/>
        </w:rPr>
        <w:t>élection présidentielle, jumelée aux élections législatives, s</w:t>
      </w:r>
      <w:r>
        <w:rPr>
          <w:lang w:val="fr-FR"/>
        </w:rPr>
        <w:t>’</w:t>
      </w:r>
      <w:r w:rsidRPr="00521891">
        <w:rPr>
          <w:lang w:val="fr-FR"/>
        </w:rPr>
        <w:t>est tenu le 20 décembre 2013.</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3.4</w:t>
      </w:r>
      <w:r w:rsidRPr="00521891">
        <w:rPr>
          <w:lang w:val="fr-FR"/>
        </w:rPr>
        <w:tab/>
        <w:t>Des institutions pour l</w:t>
      </w:r>
      <w:r>
        <w:rPr>
          <w:lang w:val="fr-FR"/>
        </w:rPr>
        <w:t>’</w:t>
      </w:r>
      <w:r w:rsidRPr="00521891">
        <w:rPr>
          <w:lang w:val="fr-FR"/>
        </w:rPr>
        <w:t>instauration d</w:t>
      </w:r>
      <w:r>
        <w:rPr>
          <w:lang w:val="fr-FR"/>
        </w:rPr>
        <w:t>’</w:t>
      </w:r>
      <w:r w:rsidRPr="00521891">
        <w:rPr>
          <w:lang w:val="fr-FR"/>
        </w:rPr>
        <w:t>un climat d</w:t>
      </w:r>
      <w:r>
        <w:rPr>
          <w:lang w:val="fr-FR"/>
        </w:rPr>
        <w:t>’</w:t>
      </w:r>
      <w:r w:rsidRPr="00521891">
        <w:rPr>
          <w:lang w:val="fr-FR"/>
        </w:rPr>
        <w:t>apaisement</w:t>
      </w:r>
    </w:p>
    <w:p w:rsidR="00C06068" w:rsidRPr="00521891" w:rsidRDefault="00C06068" w:rsidP="00C06068">
      <w:pPr>
        <w:pStyle w:val="SingleTxt"/>
        <w:keepNext/>
        <w:keepLines/>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Afin d</w:t>
      </w:r>
      <w:r>
        <w:rPr>
          <w:lang w:val="fr-FR"/>
        </w:rPr>
        <w:t>’</w:t>
      </w:r>
      <w:r w:rsidRPr="00521891">
        <w:rPr>
          <w:lang w:val="fr-FR"/>
        </w:rPr>
        <w:t>instaurer un climat d</w:t>
      </w:r>
      <w:r>
        <w:rPr>
          <w:lang w:val="fr-FR"/>
        </w:rPr>
        <w:t>’</w:t>
      </w:r>
      <w:r w:rsidRPr="00521891">
        <w:rPr>
          <w:lang w:val="fr-FR"/>
        </w:rPr>
        <w:t xml:space="preserve">apaisement, une </w:t>
      </w:r>
      <w:r>
        <w:rPr>
          <w:lang w:val="fr-FR"/>
        </w:rPr>
        <w:t>c</w:t>
      </w:r>
      <w:r w:rsidRPr="00521891">
        <w:rPr>
          <w:lang w:val="fr-FR"/>
        </w:rPr>
        <w:t>ommission spéciale auprès de la Cour suprême et un conseil pour la réconciliation malagasy (Filankevitry ny fampihavanana malagasy) ont été créés.</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sidRPr="00521891">
        <w:rPr>
          <w:bCs/>
          <w:lang w:val="fr-FR"/>
        </w:rPr>
        <w:t xml:space="preserve">De </w:t>
      </w:r>
      <w:r w:rsidRPr="00521891">
        <w:rPr>
          <w:lang w:val="fr-FR"/>
        </w:rPr>
        <w:t>la Commission spéciale auprès de la Cour suprême</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Cette commission spéciale instituée par l</w:t>
      </w:r>
      <w:r>
        <w:rPr>
          <w:lang w:val="fr-FR"/>
        </w:rPr>
        <w:t>’</w:t>
      </w:r>
      <w:r w:rsidRPr="00521891">
        <w:rPr>
          <w:lang w:val="fr-FR"/>
        </w:rPr>
        <w:t>ordonnance n</w:t>
      </w:r>
      <w:r w:rsidRPr="00521891">
        <w:rPr>
          <w:vertAlign w:val="superscript"/>
          <w:lang w:val="fr-FR"/>
        </w:rPr>
        <w:t>o</w:t>
      </w:r>
      <w:r>
        <w:rPr>
          <w:vertAlign w:val="superscript"/>
          <w:lang w:val="fr-FR"/>
        </w:rPr>
        <w:t> </w:t>
      </w:r>
      <w:r w:rsidRPr="00521891">
        <w:rPr>
          <w:lang w:val="fr-FR"/>
        </w:rPr>
        <w:t>2012-004 du 9 octobre 2012 est en charge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Prononcer l</w:t>
      </w:r>
      <w:r>
        <w:rPr>
          <w:lang w:val="fr-FR"/>
        </w:rPr>
        <w:t>’</w:t>
      </w:r>
      <w:r w:rsidRPr="00521891">
        <w:rPr>
          <w:lang w:val="fr-FR"/>
        </w:rPr>
        <w:t>amnistie large et de plein droit des faits et peines qui rentrent dans les prévisions des articles 2 et 3 de la loi n</w:t>
      </w:r>
      <w:r w:rsidRPr="00521891">
        <w:rPr>
          <w:vertAlign w:val="superscript"/>
          <w:lang w:val="fr-FR"/>
        </w:rPr>
        <w:t>o</w:t>
      </w:r>
      <w:r>
        <w:rPr>
          <w:vertAlign w:val="superscript"/>
          <w:lang w:val="fr-FR"/>
        </w:rPr>
        <w:t> </w:t>
      </w:r>
      <w:r>
        <w:rPr>
          <w:lang w:val="fr-FR"/>
        </w:rPr>
        <w:t xml:space="preserve">2012-007 du </w:t>
      </w:r>
      <w:r w:rsidRPr="00521891">
        <w:rPr>
          <w:lang w:val="fr-FR"/>
        </w:rPr>
        <w:t>3 mai 2012 portant amnistie pour la réconciliation nationale;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Statuer sur les demandes d</w:t>
      </w:r>
      <w:r>
        <w:rPr>
          <w:lang w:val="fr-FR"/>
        </w:rPr>
        <w:t>’</w:t>
      </w:r>
      <w:r w:rsidRPr="00521891">
        <w:rPr>
          <w:lang w:val="fr-FR"/>
        </w:rPr>
        <w:t>amnistie déposées par les personnes poursuivies qui n</w:t>
      </w:r>
      <w:r>
        <w:rPr>
          <w:lang w:val="fr-FR"/>
        </w:rPr>
        <w:t>’</w:t>
      </w:r>
      <w:r w:rsidRPr="00521891">
        <w:rPr>
          <w:lang w:val="fr-FR"/>
        </w:rPr>
        <w:t>ont pas fait l</w:t>
      </w:r>
      <w:r>
        <w:rPr>
          <w:lang w:val="fr-FR"/>
        </w:rPr>
        <w:t>’</w:t>
      </w:r>
      <w:r w:rsidRPr="00521891">
        <w:rPr>
          <w:lang w:val="fr-FR"/>
        </w:rPr>
        <w:t>objet des mesures édictées par la loi n</w:t>
      </w:r>
      <w:r w:rsidRPr="00521891">
        <w:rPr>
          <w:vertAlign w:val="superscript"/>
          <w:lang w:val="fr-FR"/>
        </w:rPr>
        <w:t>o</w:t>
      </w:r>
      <w:r>
        <w:rPr>
          <w:vertAlign w:val="superscript"/>
          <w:lang w:val="fr-FR"/>
        </w:rPr>
        <w:t> </w:t>
      </w:r>
      <w:r w:rsidRPr="00521891">
        <w:rPr>
          <w:lang w:val="fr-FR"/>
        </w:rPr>
        <w:t>2012-007 du 3 mai 2012 portant amnistie pour la réconciliation nationale, après avoir été instruites par le Filankevitry ny fampihavanana malagasy ou Conseil pour la réconciliation malagasy;</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Notifier à l</w:t>
      </w:r>
      <w:r>
        <w:rPr>
          <w:lang w:val="fr-FR"/>
        </w:rPr>
        <w:t>’</w:t>
      </w:r>
      <w:r w:rsidRPr="00521891">
        <w:rPr>
          <w:lang w:val="fr-FR"/>
        </w:rPr>
        <w:t>intéressé la décision constatant l</w:t>
      </w:r>
      <w:r>
        <w:rPr>
          <w:lang w:val="fr-FR"/>
        </w:rPr>
        <w:t>’</w:t>
      </w:r>
      <w:r w:rsidRPr="00521891">
        <w:rPr>
          <w:lang w:val="fr-FR"/>
        </w:rPr>
        <w:t>amnistie;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Dresser et publier la liste des bénéficiaires au siège de la Cour suprême et au </w:t>
      </w:r>
      <w:r w:rsidRPr="00521891">
        <w:rPr>
          <w:i/>
          <w:lang w:val="fr-FR"/>
        </w:rPr>
        <w:t>Journal officiel</w:t>
      </w:r>
      <w:r w:rsidRPr="00521891">
        <w:rPr>
          <w:lang w:val="fr-FR"/>
        </w:rPr>
        <w:t xml:space="preserve"> de la République.</w:t>
      </w:r>
    </w:p>
    <w:p w:rsidR="00C06068" w:rsidRPr="00521891" w:rsidRDefault="00C06068" w:rsidP="00C06068">
      <w:pPr>
        <w:pStyle w:val="SingleTxt"/>
        <w:numPr>
          <w:ilvl w:val="0"/>
          <w:numId w:val="10"/>
        </w:numPr>
        <w:rPr>
          <w:lang w:val="fr-FR"/>
        </w:rPr>
      </w:pPr>
      <w:r w:rsidRPr="00521891">
        <w:rPr>
          <w:lang w:val="fr-FR"/>
        </w:rPr>
        <w:t>La Commission spéciale est composée de six magistrats de premier grade en service au siège de la Cour de cassation, quatre titulaires et deux suppléants, ainsi qu</w:t>
      </w:r>
      <w:r>
        <w:rPr>
          <w:lang w:val="fr-FR"/>
        </w:rPr>
        <w:t>’</w:t>
      </w:r>
      <w:r w:rsidRPr="00521891">
        <w:rPr>
          <w:lang w:val="fr-FR"/>
        </w:rPr>
        <w:t>un magistrat de premier grade en service au Parquet général de la Cour de cassation et un suppléant, tous élus, par leurs pairs, en assemblée générale de la Cour de cassation</w:t>
      </w:r>
      <w:r w:rsidRPr="00313148">
        <w:rPr>
          <w:vertAlign w:val="superscript"/>
          <w:lang w:val="fr-FR"/>
        </w:rPr>
        <w:footnoteReference w:id="5"/>
      </w:r>
      <w:r w:rsidRPr="00521891">
        <w:rPr>
          <w:lang w:val="fr-FR"/>
        </w:rPr>
        <w:t>.</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 xml:space="preserve">Du Conseil pour la réconciliation malagasy (CRM) ou filankevitry </w:t>
      </w:r>
      <w:r w:rsidRPr="00521891">
        <w:rPr>
          <w:lang w:val="fr-FR"/>
        </w:rPr>
        <w:br/>
        <w:t>ny fampihavanana malagasy (FFM)</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 Conseil pour la réconciliation malagasy est institué par la loi n</w:t>
      </w:r>
      <w:r w:rsidRPr="00521891">
        <w:rPr>
          <w:vertAlign w:val="superscript"/>
          <w:lang w:val="fr-FR"/>
        </w:rPr>
        <w:t>o</w:t>
      </w:r>
      <w:r>
        <w:rPr>
          <w:vertAlign w:val="superscript"/>
          <w:lang w:val="fr-FR"/>
        </w:rPr>
        <w:t> </w:t>
      </w:r>
      <w:r w:rsidRPr="00521891">
        <w:rPr>
          <w:lang w:val="fr-FR"/>
        </w:rPr>
        <w:t xml:space="preserve">2012-010 du 9 mai 2012 portant création, mission, attributions, composition et modalités de fonctionnement du filankevitry ny fampihavanana malagasy </w:t>
      </w:r>
      <w:r>
        <w:rPr>
          <w:lang w:val="fr-FR"/>
        </w:rPr>
        <w:t>(FFM) ou Conseil de la réconciliation m</w:t>
      </w:r>
      <w:r w:rsidRPr="00521891">
        <w:rPr>
          <w:lang w:val="fr-FR"/>
        </w:rPr>
        <w:t>alagasy (CRM).</w:t>
      </w:r>
    </w:p>
    <w:p w:rsidR="00C06068" w:rsidRPr="00521891" w:rsidRDefault="00C06068" w:rsidP="00C06068">
      <w:pPr>
        <w:pStyle w:val="SingleTxt"/>
        <w:numPr>
          <w:ilvl w:val="0"/>
          <w:numId w:val="10"/>
        </w:numPr>
        <w:rPr>
          <w:lang w:val="fr-FR"/>
        </w:rPr>
      </w:pPr>
      <w:r w:rsidRPr="00521891">
        <w:rPr>
          <w:lang w:val="fr-FR"/>
        </w:rPr>
        <w:t>Le Conseil pour la réconciliation malagasy a pour mission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fixation des modalités d</w:t>
      </w:r>
      <w:r>
        <w:rPr>
          <w:lang w:val="fr-FR"/>
        </w:rPr>
        <w:t>’</w:t>
      </w:r>
      <w:r w:rsidRPr="00521891">
        <w:rPr>
          <w:lang w:val="fr-FR"/>
        </w:rPr>
        <w:t>indemnisation de toute personne victime des évènements politiques survenus entre 2002 et la date de signature de la feuille de route;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w:t>
      </w:r>
      <w:r>
        <w:rPr>
          <w:lang w:val="fr-FR"/>
        </w:rPr>
        <w:t>’</w:t>
      </w:r>
      <w:r w:rsidRPr="00521891">
        <w:rPr>
          <w:lang w:val="fr-FR"/>
        </w:rPr>
        <w:t>éradication et la prévention des crises politiques cycliques;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w:t>
      </w:r>
      <w:r>
        <w:rPr>
          <w:lang w:val="fr-FR"/>
        </w:rPr>
        <w:t>’</w:t>
      </w:r>
      <w:r w:rsidRPr="00521891">
        <w:rPr>
          <w:lang w:val="fr-FR"/>
        </w:rPr>
        <w:t>établissement de saines fondations pour l</w:t>
      </w:r>
      <w:r>
        <w:rPr>
          <w:lang w:val="fr-FR"/>
        </w:rPr>
        <w:t>’</w:t>
      </w:r>
      <w:r w:rsidRPr="00521891">
        <w:rPr>
          <w:lang w:val="fr-FR"/>
        </w:rPr>
        <w:t>avenir et le développement économique de la nation;</w:t>
      </w:r>
    </w:p>
    <w:p w:rsidR="00C06068" w:rsidRDefault="00C06068" w:rsidP="00C06068">
      <w:pPr>
        <w:pStyle w:val="SingleTxt"/>
        <w:tabs>
          <w:tab w:val="right" w:pos="1685"/>
        </w:tabs>
        <w:ind w:left="1742" w:hanging="475"/>
        <w:rPr>
          <w:lang w:val="fr-FR"/>
        </w:rPr>
      </w:pPr>
      <w:r w:rsidRPr="00521891">
        <w:rPr>
          <w:lang w:val="fr-FR"/>
        </w:rPr>
        <w:tab/>
        <w:t>•</w:t>
      </w:r>
      <w:r w:rsidRPr="00521891">
        <w:rPr>
          <w:lang w:val="fr-FR"/>
        </w:rPr>
        <w:tab/>
        <w:t>La consolidation de la paix sociale, l</w:t>
      </w:r>
      <w:r>
        <w:rPr>
          <w:lang w:val="fr-FR"/>
        </w:rPr>
        <w:t>’</w:t>
      </w:r>
      <w:r w:rsidRPr="00521891">
        <w:rPr>
          <w:lang w:val="fr-FR"/>
        </w:rPr>
        <w:t>unité et la cohésion au sein de toutes les composantes de la nation pour qu</w:t>
      </w:r>
      <w:r>
        <w:rPr>
          <w:lang w:val="fr-FR"/>
        </w:rPr>
        <w:t>’</w:t>
      </w:r>
      <w:r w:rsidRPr="00521891">
        <w:rPr>
          <w:lang w:val="fr-FR"/>
        </w:rPr>
        <w:t>il y ait un développement harmonieux et équilibré sur l</w:t>
      </w:r>
      <w:r>
        <w:rPr>
          <w:lang w:val="fr-FR"/>
        </w:rPr>
        <w:t>’</w:t>
      </w:r>
      <w:r w:rsidRPr="00521891">
        <w:rPr>
          <w:lang w:val="fr-FR"/>
        </w:rPr>
        <w:t>étendue du territoire national</w:t>
      </w:r>
      <w:r>
        <w:rPr>
          <w:lang w:val="fr-FR"/>
        </w:rPr>
        <w:t>,</w:t>
      </w:r>
      <w:r w:rsidRPr="00521891">
        <w:rPr>
          <w:lang w:val="fr-FR"/>
        </w:rPr>
        <w:t xml:space="preserve"> et ce, en considération des valeurs culturelles et du respect mutuel.</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4.</w:t>
      </w:r>
      <w:r w:rsidRPr="00521891">
        <w:rPr>
          <w:lang w:val="fr-FR"/>
        </w:rPr>
        <w:tab/>
        <w:t>Les mesures prises pour l</w:t>
      </w:r>
      <w:r>
        <w:rPr>
          <w:lang w:val="fr-FR"/>
        </w:rPr>
        <w:t>’</w:t>
      </w:r>
      <w:r w:rsidRPr="00521891">
        <w:rPr>
          <w:lang w:val="fr-FR"/>
        </w:rPr>
        <w:t>application de la feuille de route</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Pour la mise en œuvre de la feuille de route, des dispositions législatives et réglementaires furent adoptées</w:t>
      </w:r>
      <w:r>
        <w:rPr>
          <w:lang w:val="fr-FR"/>
        </w:rPr>
        <w:t>,</w:t>
      </w:r>
      <w:r w:rsidRPr="00521891">
        <w:rPr>
          <w:lang w:val="fr-FR"/>
        </w:rPr>
        <w:t xml:space="preserve"> à savoir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n</w:t>
      </w:r>
      <w:r w:rsidRPr="00521891">
        <w:rPr>
          <w:vertAlign w:val="superscript"/>
          <w:lang w:val="fr-FR"/>
        </w:rPr>
        <w:t>o</w:t>
      </w:r>
      <w:r>
        <w:rPr>
          <w:vertAlign w:val="superscript"/>
          <w:lang w:val="fr-FR"/>
        </w:rPr>
        <w:t> </w:t>
      </w:r>
      <w:r w:rsidRPr="00521891">
        <w:rPr>
          <w:lang w:val="fr-FR"/>
        </w:rPr>
        <w:t>2011-014 du 28 décembre 2011 portant incorporation dans l</w:t>
      </w:r>
      <w:r>
        <w:rPr>
          <w:lang w:val="fr-FR"/>
        </w:rPr>
        <w:t>’</w:t>
      </w:r>
      <w:r w:rsidRPr="00521891">
        <w:rPr>
          <w:lang w:val="fr-FR"/>
        </w:rPr>
        <w:t>ordonnancement juridique interne de la feuille de route;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n</w:t>
      </w:r>
      <w:r w:rsidRPr="00521891">
        <w:rPr>
          <w:vertAlign w:val="superscript"/>
          <w:lang w:val="fr-FR"/>
        </w:rPr>
        <w:t>o</w:t>
      </w:r>
      <w:r>
        <w:rPr>
          <w:vertAlign w:val="superscript"/>
          <w:lang w:val="fr-FR"/>
        </w:rPr>
        <w:t> </w:t>
      </w:r>
      <w:r w:rsidRPr="00521891">
        <w:rPr>
          <w:lang w:val="fr-FR"/>
        </w:rPr>
        <w:t>2011-012 du 18 août 2011 relative aux partis politiques;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n</w:t>
      </w:r>
      <w:r w:rsidRPr="00521891">
        <w:rPr>
          <w:vertAlign w:val="superscript"/>
          <w:lang w:val="fr-FR"/>
        </w:rPr>
        <w:t>o</w:t>
      </w:r>
      <w:r>
        <w:rPr>
          <w:vertAlign w:val="superscript"/>
          <w:lang w:val="fr-FR"/>
        </w:rPr>
        <w:t> </w:t>
      </w:r>
      <w:r w:rsidRPr="00521891">
        <w:rPr>
          <w:lang w:val="fr-FR"/>
        </w:rPr>
        <w:t>2012-004 du 1</w:t>
      </w:r>
      <w:r w:rsidRPr="00521891">
        <w:rPr>
          <w:vertAlign w:val="superscript"/>
          <w:lang w:val="fr-FR"/>
        </w:rPr>
        <w:t>er</w:t>
      </w:r>
      <w:r w:rsidRPr="00521891">
        <w:rPr>
          <w:lang w:val="fr-FR"/>
        </w:rPr>
        <w:t> février 2012 portant création de la CENI-T;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organique n</w:t>
      </w:r>
      <w:r w:rsidRPr="00521891">
        <w:rPr>
          <w:vertAlign w:val="superscript"/>
          <w:lang w:val="fr-FR"/>
        </w:rPr>
        <w:t>o</w:t>
      </w:r>
      <w:r>
        <w:rPr>
          <w:vertAlign w:val="superscript"/>
          <w:lang w:val="fr-FR"/>
        </w:rPr>
        <w:t> </w:t>
      </w:r>
      <w:r w:rsidRPr="00521891">
        <w:rPr>
          <w:lang w:val="fr-FR"/>
        </w:rPr>
        <w:t>2012-005 du 22 mars 2012 portant Code électoral;</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r>
      <w:r w:rsidRPr="008763DE">
        <w:rPr>
          <w:spacing w:val="2"/>
          <w:lang w:val="fr-FR"/>
        </w:rPr>
        <w:t>La loi n</w:t>
      </w:r>
      <w:r w:rsidRPr="008763DE">
        <w:rPr>
          <w:spacing w:val="2"/>
          <w:vertAlign w:val="superscript"/>
          <w:lang w:val="fr-FR"/>
        </w:rPr>
        <w:t>o </w:t>
      </w:r>
      <w:r w:rsidRPr="008763DE">
        <w:rPr>
          <w:spacing w:val="2"/>
          <w:lang w:val="fr-FR"/>
        </w:rPr>
        <w:t>2012-007 du 3 mai 2012 portant amnistie pour la réconciliation nationale;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n</w:t>
      </w:r>
      <w:r w:rsidRPr="00521891">
        <w:rPr>
          <w:vertAlign w:val="superscript"/>
          <w:lang w:val="fr-FR"/>
        </w:rPr>
        <w:t>o</w:t>
      </w:r>
      <w:r>
        <w:rPr>
          <w:vertAlign w:val="superscript"/>
          <w:lang w:val="fr-FR"/>
        </w:rPr>
        <w:t> </w:t>
      </w:r>
      <w:r w:rsidRPr="00521891">
        <w:rPr>
          <w:lang w:val="fr-FR"/>
        </w:rPr>
        <w:t>2012-010 du 9 mai 2012 portant création, mission, attributions, composition et modalités de fonctionnement du Filankevitry ny fampihavanana malagasy (FFM) ou Conseil de la réconciliation Malagasy (CRM);</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 décret n</w:t>
      </w:r>
      <w:r w:rsidRPr="00521891">
        <w:rPr>
          <w:vertAlign w:val="superscript"/>
          <w:lang w:val="fr-FR"/>
        </w:rPr>
        <w:t>o</w:t>
      </w:r>
      <w:r>
        <w:rPr>
          <w:vertAlign w:val="superscript"/>
          <w:lang w:val="fr-FR"/>
        </w:rPr>
        <w:t> </w:t>
      </w:r>
      <w:r w:rsidRPr="00521891">
        <w:rPr>
          <w:lang w:val="fr-FR"/>
        </w:rPr>
        <w:t>2012-568 du 23 mai 2012 portant création, mission, composition, organisation et fonctionnement du Comité de suivi et de contrôle de l</w:t>
      </w:r>
      <w:r>
        <w:rPr>
          <w:lang w:val="fr-FR"/>
        </w:rPr>
        <w:t>’</w:t>
      </w:r>
      <w:r w:rsidRPr="00521891">
        <w:rPr>
          <w:lang w:val="fr-FR"/>
        </w:rPr>
        <w:t>application de la feuille de route;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n</w:t>
      </w:r>
      <w:r w:rsidRPr="00521891">
        <w:rPr>
          <w:vertAlign w:val="superscript"/>
          <w:lang w:val="fr-FR"/>
        </w:rPr>
        <w:t>o</w:t>
      </w:r>
      <w:r>
        <w:rPr>
          <w:vertAlign w:val="superscript"/>
          <w:lang w:val="fr-FR"/>
        </w:rPr>
        <w:t> </w:t>
      </w:r>
      <w:r w:rsidRPr="00521891">
        <w:rPr>
          <w:lang w:val="fr-FR"/>
        </w:rPr>
        <w:t>2012-006 du 30</w:t>
      </w:r>
      <w:r>
        <w:rPr>
          <w:lang w:val="fr-FR"/>
        </w:rPr>
        <w:t> </w:t>
      </w:r>
      <w:r w:rsidRPr="00521891">
        <w:rPr>
          <w:lang w:val="fr-FR"/>
        </w:rPr>
        <w:t>juillet 2012 portant code d</w:t>
      </w:r>
      <w:r>
        <w:rPr>
          <w:lang w:val="fr-FR"/>
        </w:rPr>
        <w:t>’</w:t>
      </w:r>
      <w:r w:rsidRPr="00521891">
        <w:rPr>
          <w:lang w:val="fr-FR"/>
        </w:rPr>
        <w:t>éthique et de bonne conduite politique des acteurs politiques pendant la transition;</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organique n</w:t>
      </w:r>
      <w:r w:rsidRPr="00521891">
        <w:rPr>
          <w:vertAlign w:val="superscript"/>
          <w:lang w:val="fr-FR"/>
        </w:rPr>
        <w:t>o</w:t>
      </w:r>
      <w:r>
        <w:rPr>
          <w:vertAlign w:val="superscript"/>
          <w:lang w:val="fr-FR"/>
        </w:rPr>
        <w:t> </w:t>
      </w:r>
      <w:r w:rsidRPr="00521891">
        <w:rPr>
          <w:lang w:val="fr-FR"/>
        </w:rPr>
        <w:t>2012-015 du 1</w:t>
      </w:r>
      <w:r w:rsidRPr="00521891">
        <w:rPr>
          <w:vertAlign w:val="superscript"/>
          <w:lang w:val="fr-FR"/>
        </w:rPr>
        <w:t>er</w:t>
      </w:r>
      <w:r w:rsidRPr="00521891">
        <w:rPr>
          <w:lang w:val="fr-FR"/>
        </w:rPr>
        <w:t> août 2012 relative à l</w:t>
      </w:r>
      <w:r>
        <w:rPr>
          <w:lang w:val="fr-FR"/>
        </w:rPr>
        <w:t>’</w:t>
      </w:r>
      <w:r w:rsidRPr="00521891">
        <w:rPr>
          <w:lang w:val="fr-FR"/>
        </w:rPr>
        <w:t>élection du premier Président de la quatrième République;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loi organique n</w:t>
      </w:r>
      <w:r w:rsidRPr="00521891">
        <w:rPr>
          <w:vertAlign w:val="superscript"/>
          <w:lang w:val="fr-FR"/>
        </w:rPr>
        <w:t>o</w:t>
      </w:r>
      <w:r>
        <w:rPr>
          <w:vertAlign w:val="superscript"/>
          <w:lang w:val="fr-FR"/>
        </w:rPr>
        <w:t> </w:t>
      </w:r>
      <w:r w:rsidRPr="00521891">
        <w:rPr>
          <w:lang w:val="fr-FR"/>
        </w:rPr>
        <w:t>2012-016 du 1</w:t>
      </w:r>
      <w:r w:rsidRPr="00521891">
        <w:rPr>
          <w:vertAlign w:val="superscript"/>
          <w:lang w:val="fr-FR"/>
        </w:rPr>
        <w:t>er</w:t>
      </w:r>
      <w:r w:rsidRPr="00521891">
        <w:rPr>
          <w:lang w:val="fr-FR"/>
        </w:rPr>
        <w:t> août 2012 relative aux premières élections législatives de la quatrième République.</w:t>
      </w:r>
    </w:p>
    <w:p w:rsidR="00C06068" w:rsidRPr="008763DE" w:rsidRDefault="00C06068" w:rsidP="00C06068">
      <w:pPr>
        <w:pStyle w:val="SingleTxt"/>
        <w:spacing w:after="0" w:line="120" w:lineRule="exact"/>
        <w:rPr>
          <w:sz w:val="10"/>
          <w:lang w:val="fr-FR"/>
        </w:rPr>
      </w:pPr>
      <w:bookmarkStart w:id="20" w:name="_Toc360707339"/>
      <w:bookmarkStart w:id="21" w:name="_Toc165135280"/>
      <w:bookmarkStart w:id="22" w:name="_Toc148424772"/>
      <w:bookmarkStart w:id="23" w:name="_Toc140451989"/>
      <w:bookmarkStart w:id="24" w:name="_Toc138577537"/>
      <w:bookmarkStart w:id="25" w:name="_Toc98224854"/>
      <w:bookmarkStart w:id="26" w:name="_Toc97531234"/>
      <w:bookmarkStart w:id="27" w:name="_Toc376709299"/>
    </w:p>
    <w:p w:rsidR="00C06068" w:rsidRPr="008763DE" w:rsidRDefault="00C06068" w:rsidP="00C06068">
      <w:pPr>
        <w:pStyle w:val="SingleTxt"/>
        <w:spacing w:after="0" w:line="120" w:lineRule="exact"/>
        <w:rPr>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C.</w:t>
      </w:r>
      <w:r w:rsidRPr="00521891">
        <w:rPr>
          <w:lang w:val="fr-FR"/>
        </w:rPr>
        <w:tab/>
        <w:t>Évolution constitutionnelle</w:t>
      </w:r>
      <w:bookmarkEnd w:id="20"/>
      <w:bookmarkEnd w:id="21"/>
      <w:bookmarkEnd w:id="22"/>
      <w:bookmarkEnd w:id="23"/>
      <w:bookmarkEnd w:id="24"/>
      <w:bookmarkEnd w:id="25"/>
      <w:bookmarkEnd w:id="26"/>
      <w:bookmarkEnd w:id="27"/>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Une nouvelle Constitution a été adoptée le 11 décembre 2010. Cette nouvelle Constitution de la quatrième République consacre le principe d</w:t>
      </w:r>
      <w:r>
        <w:rPr>
          <w:lang w:val="fr-FR"/>
        </w:rPr>
        <w:t>’</w:t>
      </w:r>
      <w:r w:rsidRPr="00521891">
        <w:rPr>
          <w:lang w:val="fr-FR"/>
        </w:rPr>
        <w:t>égalité et de non-discrimination fondée sur le sexe, le degré d</w:t>
      </w:r>
      <w:r>
        <w:rPr>
          <w:lang w:val="fr-FR"/>
        </w:rPr>
        <w:t>’</w:t>
      </w:r>
      <w:r w:rsidRPr="00521891">
        <w:rPr>
          <w:lang w:val="fr-FR"/>
        </w:rPr>
        <w:t>instruction, la fortune, l</w:t>
      </w:r>
      <w:r>
        <w:rPr>
          <w:lang w:val="fr-FR"/>
        </w:rPr>
        <w:t>’</w:t>
      </w:r>
      <w:r w:rsidRPr="00521891">
        <w:rPr>
          <w:lang w:val="fr-FR"/>
        </w:rPr>
        <w:t>origine, la croyance religieuse ou l</w:t>
      </w:r>
      <w:r>
        <w:rPr>
          <w:lang w:val="fr-FR"/>
        </w:rPr>
        <w:t>’</w:t>
      </w:r>
      <w:r w:rsidRPr="00521891">
        <w:rPr>
          <w:lang w:val="fr-FR"/>
        </w:rPr>
        <w:t>opinion.</w:t>
      </w:r>
    </w:p>
    <w:p w:rsidR="00C06068" w:rsidRPr="00521891" w:rsidRDefault="00C06068" w:rsidP="00C06068">
      <w:pPr>
        <w:pStyle w:val="SingleTxt"/>
        <w:numPr>
          <w:ilvl w:val="0"/>
          <w:numId w:val="10"/>
        </w:numPr>
        <w:rPr>
          <w:lang w:val="fr-FR"/>
        </w:rPr>
      </w:pPr>
      <w:r w:rsidRPr="00521891">
        <w:rPr>
          <w:lang w:val="fr-FR"/>
        </w:rPr>
        <w:t>Elle constitutionnalise l</w:t>
      </w:r>
      <w:r>
        <w:rPr>
          <w:lang w:val="fr-FR"/>
        </w:rPr>
        <w:t>’</w:t>
      </w:r>
      <w:r w:rsidRPr="00521891">
        <w:rPr>
          <w:lang w:val="fr-FR"/>
        </w:rPr>
        <w:t>interdiction de la torture et des mauvais traitements</w:t>
      </w:r>
      <w:r w:rsidRPr="00313148">
        <w:rPr>
          <w:vertAlign w:val="superscript"/>
          <w:lang w:val="fr-FR"/>
        </w:rPr>
        <w:footnoteReference w:id="6"/>
      </w:r>
      <w:r w:rsidRPr="00521891">
        <w:rPr>
          <w:lang w:val="fr-FR"/>
        </w:rPr>
        <w:t>.</w:t>
      </w:r>
    </w:p>
    <w:p w:rsidR="00C06068" w:rsidRPr="00521891" w:rsidRDefault="00C06068" w:rsidP="00C06068">
      <w:pPr>
        <w:pStyle w:val="SingleTxt"/>
        <w:numPr>
          <w:ilvl w:val="0"/>
          <w:numId w:val="10"/>
        </w:numPr>
        <w:rPr>
          <w:lang w:val="fr-FR"/>
        </w:rPr>
      </w:pPr>
      <w:r w:rsidRPr="00521891">
        <w:rPr>
          <w:lang w:val="fr-FR"/>
        </w:rPr>
        <w:t>Elle fait siennes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Charte internationale des droits de l</w:t>
      </w:r>
      <w:r>
        <w:rPr>
          <w:lang w:val="fr-FR"/>
        </w:rPr>
        <w:t>’</w:t>
      </w:r>
      <w:r w:rsidRPr="00521891">
        <w:rPr>
          <w:lang w:val="fr-FR"/>
        </w:rPr>
        <w:t>homme;</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Conventions relatives aux droits de l</w:t>
      </w:r>
      <w:r>
        <w:rPr>
          <w:lang w:val="fr-FR"/>
        </w:rPr>
        <w:t>’</w:t>
      </w:r>
      <w:r w:rsidRPr="00521891">
        <w:rPr>
          <w:lang w:val="fr-FR"/>
        </w:rPr>
        <w:t>enfant, aux droits de la femme, à la protection de l</w:t>
      </w:r>
      <w:r>
        <w:rPr>
          <w:lang w:val="fr-FR"/>
        </w:rPr>
        <w:t>’</w:t>
      </w:r>
      <w:r w:rsidRPr="00521891">
        <w:rPr>
          <w:lang w:val="fr-FR"/>
        </w:rPr>
        <w:t>environnement, aux droits sociaux, économiques, politiques, civils et culturels.</w:t>
      </w:r>
    </w:p>
    <w:p w:rsidR="00C06068" w:rsidRDefault="00C06068" w:rsidP="00C06068">
      <w:pPr>
        <w:pStyle w:val="SingleTxt"/>
        <w:keepNext/>
        <w:keepLines/>
        <w:numPr>
          <w:ilvl w:val="0"/>
          <w:numId w:val="10"/>
        </w:numPr>
        <w:rPr>
          <w:lang w:val="fr-FR"/>
        </w:rPr>
      </w:pPr>
      <w:r w:rsidRPr="00521891">
        <w:rPr>
          <w:lang w:val="fr-FR"/>
        </w:rPr>
        <w:t>Par ailleurs, en plus des régions et des communes constituant les collectivités territoriales, les provinces ont été réinstaurées par ladite Constitution</w:t>
      </w:r>
      <w:r w:rsidRPr="00313148">
        <w:rPr>
          <w:vertAlign w:val="superscript"/>
          <w:lang w:val="fr-FR"/>
        </w:rPr>
        <w:footnoteReference w:id="7"/>
      </w:r>
      <w:r w:rsidRPr="00521891">
        <w:rPr>
          <w:lang w:val="fr-FR"/>
        </w:rPr>
        <w:t>.</w:t>
      </w:r>
    </w:p>
    <w:p w:rsidR="00C06068" w:rsidRPr="008763DE" w:rsidRDefault="00C06068" w:rsidP="00C06068">
      <w:pPr>
        <w:pStyle w:val="SingleTxt"/>
        <w:spacing w:after="0" w:line="120" w:lineRule="exact"/>
        <w:rPr>
          <w:sz w:val="10"/>
          <w:lang w:val="fr-FR"/>
        </w:rPr>
      </w:pPr>
    </w:p>
    <w:p w:rsidR="00C06068" w:rsidRPr="008763DE" w:rsidRDefault="00C06068" w:rsidP="00C06068">
      <w:pPr>
        <w:pStyle w:val="SingleTxt"/>
        <w:spacing w:after="0" w:line="120" w:lineRule="exact"/>
        <w:rPr>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8" w:name="_Toc360707340"/>
      <w:bookmarkStart w:id="29" w:name="_Toc165135283"/>
      <w:bookmarkStart w:id="30" w:name="_Toc376709300"/>
      <w:r w:rsidRPr="00521891">
        <w:rPr>
          <w:lang w:val="fr-FR"/>
        </w:rPr>
        <w:tab/>
        <w:t>D.</w:t>
      </w:r>
      <w:r w:rsidRPr="00521891">
        <w:rPr>
          <w:lang w:val="fr-FR"/>
        </w:rPr>
        <w:tab/>
        <w:t>Informations d</w:t>
      </w:r>
      <w:r>
        <w:rPr>
          <w:lang w:val="fr-FR"/>
        </w:rPr>
        <w:t>’</w:t>
      </w:r>
      <w:r w:rsidRPr="00521891">
        <w:rPr>
          <w:lang w:val="fr-FR"/>
        </w:rPr>
        <w:t>ordre économique et social</w:t>
      </w:r>
      <w:bookmarkEnd w:id="28"/>
      <w:bookmarkEnd w:id="29"/>
      <w:bookmarkEnd w:id="30"/>
    </w:p>
    <w:p w:rsidR="00C06068" w:rsidRPr="00521891" w:rsidRDefault="00C06068" w:rsidP="00C06068">
      <w:pPr>
        <w:pStyle w:val="SingleTxt"/>
        <w:spacing w:after="0" w:line="120" w:lineRule="exact"/>
        <w:rPr>
          <w:b/>
          <w:sz w:val="10"/>
          <w:lang w:val="fr-FR"/>
        </w:rPr>
      </w:pPr>
      <w:bookmarkStart w:id="31" w:name="_Toc376709301"/>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Domaine économique</w:t>
      </w:r>
      <w:bookmarkEnd w:id="31"/>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variation du PIB et de l</w:t>
      </w:r>
      <w:r>
        <w:rPr>
          <w:lang w:val="fr-FR"/>
        </w:rPr>
        <w:t>’</w:t>
      </w:r>
      <w:r w:rsidRPr="00521891">
        <w:rPr>
          <w:lang w:val="fr-FR"/>
        </w:rPr>
        <w:t>inflation est conditionnée par la situation politique qu</w:t>
      </w:r>
      <w:r>
        <w:rPr>
          <w:lang w:val="fr-FR"/>
        </w:rPr>
        <w:t>’</w:t>
      </w:r>
      <w:r w:rsidRPr="00521891">
        <w:rPr>
          <w:lang w:val="fr-FR"/>
        </w:rPr>
        <w:t>a traversée le pays depuis 2008 jusqu</w:t>
      </w:r>
      <w:r>
        <w:rPr>
          <w:lang w:val="fr-FR"/>
        </w:rPr>
        <w:t>’</w:t>
      </w:r>
      <w:r w:rsidRPr="00521891">
        <w:rPr>
          <w:lang w:val="fr-FR"/>
        </w:rPr>
        <w:t>à nos jours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En 2008, Madagascar est entré dans la phase d</w:t>
      </w:r>
      <w:r>
        <w:rPr>
          <w:lang w:val="fr-FR"/>
        </w:rPr>
        <w:t>’</w:t>
      </w:r>
      <w:r w:rsidRPr="00521891">
        <w:rPr>
          <w:lang w:val="fr-FR"/>
        </w:rPr>
        <w:t>accélération et d</w:t>
      </w:r>
      <w:r>
        <w:rPr>
          <w:lang w:val="fr-FR"/>
        </w:rPr>
        <w:t>’</w:t>
      </w:r>
      <w:r w:rsidRPr="00521891">
        <w:rPr>
          <w:lang w:val="fr-FR"/>
        </w:rPr>
        <w:t xml:space="preserve">amélioration du processus de coordination </w:t>
      </w:r>
      <w:r>
        <w:rPr>
          <w:lang w:val="fr-FR"/>
        </w:rPr>
        <w:t>de son développement économique;</w:t>
      </w:r>
      <w:r w:rsidRPr="00521891">
        <w:rPr>
          <w:lang w:val="fr-FR"/>
        </w:rPr>
        <w:t xml:space="preserve"> le taux de croissance atteint 7,1 %</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Cependant, la crise politique qui a début</w:t>
      </w:r>
      <w:r>
        <w:rPr>
          <w:lang w:val="fr-FR"/>
        </w:rPr>
        <w:t>é</w:t>
      </w:r>
      <w:r w:rsidRPr="00521891">
        <w:rPr>
          <w:lang w:val="fr-FR"/>
        </w:rPr>
        <w:t xml:space="preserve"> à la fin de l</w:t>
      </w:r>
      <w:r>
        <w:rPr>
          <w:lang w:val="fr-FR"/>
        </w:rPr>
        <w:t>’</w:t>
      </w:r>
      <w:r w:rsidRPr="00521891">
        <w:rPr>
          <w:lang w:val="fr-FR"/>
        </w:rPr>
        <w:t>année 2008 a paralysé l</w:t>
      </w:r>
      <w:r>
        <w:rPr>
          <w:lang w:val="fr-FR"/>
        </w:rPr>
        <w:t>’</w:t>
      </w:r>
      <w:r w:rsidRPr="00521891">
        <w:rPr>
          <w:lang w:val="fr-FR"/>
        </w:rPr>
        <w:t>économie nationale à cause de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fermeture de nombreuses entreprises franches suite à la non-éligibilité du pays de l</w:t>
      </w:r>
      <w:r>
        <w:rPr>
          <w:lang w:val="fr-FR"/>
        </w:rPr>
        <w:t>’</w:t>
      </w:r>
      <w:r w:rsidRPr="00521891">
        <w:rPr>
          <w:i/>
          <w:lang w:val="fr-FR"/>
        </w:rPr>
        <w:t>African Growth Opportunity Act</w:t>
      </w:r>
      <w:r w:rsidRPr="00521891">
        <w:rPr>
          <w:lang w:val="fr-FR"/>
        </w:rPr>
        <w:t xml:space="preserve"> (GOA), a augmenté le taux du chômage;</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Le gel des aides budgétaires et des financements extérieurs;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chute des recettes budgétaires de l</w:t>
      </w:r>
      <w:r>
        <w:rPr>
          <w:lang w:val="fr-FR"/>
        </w:rPr>
        <w:t>’</w:t>
      </w:r>
      <w:r w:rsidRPr="00521891">
        <w:rPr>
          <w:lang w:val="fr-FR"/>
        </w:rPr>
        <w:t>État;</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w:t>
      </w:r>
      <w:r>
        <w:rPr>
          <w:lang w:val="fr-FR"/>
        </w:rPr>
        <w:t>’</w:t>
      </w:r>
      <w:r w:rsidRPr="00521891">
        <w:rPr>
          <w:lang w:val="fr-FR"/>
        </w:rPr>
        <w:t>insuffisance de la demande globale liée à la baisse des revenus et du pouvoir d</w:t>
      </w:r>
      <w:r>
        <w:rPr>
          <w:lang w:val="fr-FR"/>
        </w:rPr>
        <w:t>’</w:t>
      </w:r>
      <w:r w:rsidRPr="00521891">
        <w:rPr>
          <w:lang w:val="fr-FR"/>
        </w:rPr>
        <w:t>achat des ménages;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w:t>
      </w:r>
      <w:r>
        <w:rPr>
          <w:lang w:val="fr-FR"/>
        </w:rPr>
        <w:t>’</w:t>
      </w:r>
      <w:r w:rsidRPr="00521891">
        <w:rPr>
          <w:lang w:val="fr-FR"/>
        </w:rPr>
        <w:t>effet de la récession économique mondiale;</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Les effets négatifs des cyclones entre 2004 et 2013 (Hubert, Bingiza et Haruna) et des invasions acridiennes de 2010 à 2013;</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En 2011, l</w:t>
      </w:r>
      <w:r>
        <w:rPr>
          <w:lang w:val="fr-FR"/>
        </w:rPr>
        <w:t>’</w:t>
      </w:r>
      <w:r w:rsidRPr="00521891">
        <w:rPr>
          <w:lang w:val="fr-FR"/>
        </w:rPr>
        <w:t>économie nationale a connu une reprise qui s</w:t>
      </w:r>
      <w:r>
        <w:rPr>
          <w:lang w:val="fr-FR"/>
        </w:rPr>
        <w:t>’</w:t>
      </w:r>
      <w:r w:rsidRPr="00521891">
        <w:rPr>
          <w:lang w:val="fr-FR"/>
        </w:rPr>
        <w:t>est poursuivie en 2012. Comparativement à 2011, cette année a été marquée par une légère hausse du taux de croissance économique de 3,1 % contre 1,3 % pour 2011 et une baisse du taux d</w:t>
      </w:r>
      <w:r>
        <w:rPr>
          <w:lang w:val="fr-FR"/>
        </w:rPr>
        <w:t>’</w:t>
      </w:r>
      <w:r w:rsidRPr="00521891">
        <w:rPr>
          <w:lang w:val="fr-FR"/>
        </w:rPr>
        <w:t>inflation à 5,8 % pour moyenne de la période contre 9,5 % pour 2011;</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population vivant en dessous du seuil de pauvreté a atteint la proportion de 76,5 % en 2010 contre 68,7 % en 2005.</w:t>
      </w:r>
    </w:p>
    <w:p w:rsidR="00C06068" w:rsidRPr="00521891" w:rsidRDefault="00C06068" w:rsidP="00C06068">
      <w:pPr>
        <w:pStyle w:val="SingleTxt"/>
        <w:numPr>
          <w:ilvl w:val="0"/>
          <w:numId w:val="10"/>
        </w:numPr>
        <w:rPr>
          <w:lang w:val="fr-FR"/>
        </w:rPr>
      </w:pPr>
      <w:r w:rsidRPr="00521891">
        <w:rPr>
          <w:lang w:val="fr-FR"/>
        </w:rPr>
        <w:t>L</w:t>
      </w:r>
      <w:r>
        <w:rPr>
          <w:lang w:val="fr-FR"/>
        </w:rPr>
        <w:t>’i</w:t>
      </w:r>
      <w:r w:rsidRPr="00521891">
        <w:rPr>
          <w:lang w:val="fr-FR"/>
        </w:rPr>
        <w:t>ndice de développement humain (IDH) a régressé</w:t>
      </w:r>
      <w:r>
        <w:rPr>
          <w:lang w:val="fr-FR"/>
        </w:rPr>
        <w:t>,</w:t>
      </w:r>
      <w:r w:rsidRPr="00521891">
        <w:rPr>
          <w:lang w:val="fr-FR"/>
        </w:rPr>
        <w:t xml:space="preserve"> passant de 0,571 en 2008 à 0,481 en 2010 et à 0,480 en 2011</w:t>
      </w:r>
      <w:r>
        <w:rPr>
          <w:lang w:val="fr-FR"/>
        </w:rPr>
        <w:t>,</w:t>
      </w:r>
      <w:r w:rsidRPr="00521891">
        <w:rPr>
          <w:lang w:val="fr-FR"/>
        </w:rPr>
        <w:t xml:space="preserve"> reclassant de nouveau Madagascar au rang des pays à faible développement humain.</w:t>
      </w:r>
    </w:p>
    <w:p w:rsidR="00C06068" w:rsidRPr="00521891" w:rsidRDefault="00C06068" w:rsidP="00C06068">
      <w:pPr>
        <w:pStyle w:val="SingleTxt"/>
        <w:numPr>
          <w:ilvl w:val="0"/>
          <w:numId w:val="10"/>
        </w:numPr>
        <w:rPr>
          <w:lang w:val="fr-FR"/>
        </w:rPr>
      </w:pPr>
      <w:r w:rsidRPr="00521891">
        <w:rPr>
          <w:lang w:val="fr-FR"/>
        </w:rPr>
        <w:t>Les décaissements au titre d</w:t>
      </w:r>
      <w:r>
        <w:rPr>
          <w:lang w:val="fr-FR"/>
        </w:rPr>
        <w:t>’</w:t>
      </w:r>
      <w:r w:rsidRPr="00521891">
        <w:rPr>
          <w:lang w:val="fr-FR"/>
        </w:rPr>
        <w:t>aide publique au développement (APD) n</w:t>
      </w:r>
      <w:r>
        <w:rPr>
          <w:lang w:val="fr-FR"/>
        </w:rPr>
        <w:t>’</w:t>
      </w:r>
      <w:r w:rsidRPr="00521891">
        <w:rPr>
          <w:lang w:val="fr-FR"/>
        </w:rPr>
        <w:t xml:space="preserve">ont cessé de chuter : 700 millions en 2008, 470,3 millions en 2010 et 405,6 millions </w:t>
      </w:r>
      <w:r>
        <w:rPr>
          <w:lang w:val="fr-FR"/>
        </w:rPr>
        <w:t xml:space="preserve">de </w:t>
      </w:r>
      <w:r w:rsidRPr="00521891">
        <w:rPr>
          <w:lang w:val="fr-FR"/>
        </w:rPr>
        <w:t>dollars en 2011. Ainsi, le taux d</w:t>
      </w:r>
      <w:r>
        <w:rPr>
          <w:lang w:val="fr-FR"/>
        </w:rPr>
        <w:t>’</w:t>
      </w:r>
      <w:r w:rsidRPr="00521891">
        <w:rPr>
          <w:lang w:val="fr-FR"/>
        </w:rPr>
        <w:t>investissement brut est de 40,3 % en 2008 à 18,8 % en 2010 et 14,5 % du PIB en 2011.</w:t>
      </w:r>
    </w:p>
    <w:p w:rsidR="00C06068" w:rsidRPr="00521891" w:rsidRDefault="00C06068" w:rsidP="00C06068">
      <w:pPr>
        <w:pStyle w:val="SingleTxt"/>
        <w:numPr>
          <w:ilvl w:val="0"/>
          <w:numId w:val="10"/>
        </w:numPr>
        <w:spacing w:line="236" w:lineRule="exact"/>
        <w:rPr>
          <w:lang w:val="fr-FR"/>
        </w:rPr>
      </w:pPr>
      <w:r w:rsidRPr="00521891">
        <w:rPr>
          <w:lang w:val="fr-FR"/>
        </w:rPr>
        <w:t xml:space="preserve">Concernant le climat des investissements, Madagascar est classé parmi les pays ayant apporté des réformes dans la facilitation des affaires en 2011. Madagascar est passé de la </w:t>
      </w:r>
      <w:r>
        <w:rPr>
          <w:lang w:val="fr-FR"/>
        </w:rPr>
        <w:t>144</w:t>
      </w:r>
      <w:r w:rsidRPr="008763DE">
        <w:rPr>
          <w:vertAlign w:val="superscript"/>
          <w:lang w:val="fr-FR"/>
        </w:rPr>
        <w:t>e</w:t>
      </w:r>
      <w:r>
        <w:rPr>
          <w:lang w:val="fr-FR"/>
        </w:rPr>
        <w:t> </w:t>
      </w:r>
      <w:r w:rsidRPr="00521891">
        <w:rPr>
          <w:lang w:val="fr-FR"/>
        </w:rPr>
        <w:t xml:space="preserve">place dans le </w:t>
      </w:r>
      <w:r>
        <w:rPr>
          <w:lang w:val="fr-FR"/>
        </w:rPr>
        <w:t>« </w:t>
      </w:r>
      <w:r w:rsidRPr="00521891">
        <w:rPr>
          <w:lang w:val="fr-FR"/>
        </w:rPr>
        <w:t>Doing business 2011</w:t>
      </w:r>
      <w:r>
        <w:rPr>
          <w:lang w:val="fr-FR"/>
        </w:rPr>
        <w:t> »</w:t>
      </w:r>
      <w:r w:rsidRPr="00521891">
        <w:rPr>
          <w:lang w:val="fr-FR"/>
        </w:rPr>
        <w:t xml:space="preserve"> à </w:t>
      </w:r>
      <w:r>
        <w:rPr>
          <w:lang w:val="fr-FR"/>
        </w:rPr>
        <w:t>137</w:t>
      </w:r>
      <w:r w:rsidRPr="008763DE">
        <w:rPr>
          <w:vertAlign w:val="superscript"/>
          <w:lang w:val="fr-FR"/>
        </w:rPr>
        <w:t>e</w:t>
      </w:r>
      <w:r>
        <w:rPr>
          <w:lang w:val="fr-FR"/>
        </w:rPr>
        <w:t> </w:t>
      </w:r>
      <w:r w:rsidRPr="00521891">
        <w:rPr>
          <w:lang w:val="fr-FR"/>
        </w:rPr>
        <w:t>sur 183 pays en 2012.</w:t>
      </w:r>
    </w:p>
    <w:p w:rsidR="00C06068" w:rsidRPr="00521891" w:rsidRDefault="00C06068" w:rsidP="00C06068">
      <w:pPr>
        <w:pStyle w:val="SingleTxt"/>
        <w:numPr>
          <w:ilvl w:val="0"/>
          <w:numId w:val="10"/>
        </w:numPr>
        <w:rPr>
          <w:lang w:val="fr-FR"/>
        </w:rPr>
      </w:pPr>
      <w:r w:rsidRPr="00521891">
        <w:rPr>
          <w:lang w:val="fr-FR"/>
        </w:rPr>
        <w:t>On note toutefois que les contraintes persistent encore</w:t>
      </w:r>
      <w:r>
        <w:rPr>
          <w:lang w:val="fr-FR"/>
        </w:rPr>
        <w:t>,</w:t>
      </w:r>
      <w:r w:rsidRPr="00521891">
        <w:rPr>
          <w:lang w:val="fr-FR"/>
        </w:rPr>
        <w:t xml:space="preserve"> notamment en matière d</w:t>
      </w:r>
      <w:r>
        <w:rPr>
          <w:lang w:val="fr-FR"/>
        </w:rPr>
        <w:t>’</w:t>
      </w:r>
      <w:r w:rsidRPr="00521891">
        <w:rPr>
          <w:lang w:val="fr-FR"/>
        </w:rPr>
        <w:t>octroi de permis de construire, de raccordement à l</w:t>
      </w:r>
      <w:r>
        <w:rPr>
          <w:lang w:val="fr-FR"/>
        </w:rPr>
        <w:t>’</w:t>
      </w:r>
      <w:r w:rsidRPr="00521891">
        <w:rPr>
          <w:lang w:val="fr-FR"/>
        </w:rPr>
        <w:t>électricité, de transfert de propriété et d</w:t>
      </w:r>
      <w:r>
        <w:rPr>
          <w:lang w:val="fr-FR"/>
        </w:rPr>
        <w:t>’</w:t>
      </w:r>
      <w:r w:rsidRPr="00521891">
        <w:rPr>
          <w:lang w:val="fr-FR"/>
        </w:rPr>
        <w:t>obtention de prêt.</w:t>
      </w:r>
    </w:p>
    <w:p w:rsidR="00C06068" w:rsidRPr="00521891" w:rsidRDefault="00C06068" w:rsidP="00C06068">
      <w:pPr>
        <w:pStyle w:val="SingleTxt"/>
        <w:numPr>
          <w:ilvl w:val="0"/>
          <w:numId w:val="10"/>
        </w:numPr>
        <w:rPr>
          <w:lang w:val="fr-FR"/>
        </w:rPr>
      </w:pPr>
      <w:r w:rsidRPr="00521891">
        <w:rPr>
          <w:lang w:val="fr-FR"/>
        </w:rPr>
        <w:t>En matière d</w:t>
      </w:r>
      <w:r>
        <w:rPr>
          <w:lang w:val="fr-FR"/>
        </w:rPr>
        <w:t>’</w:t>
      </w:r>
      <w:r w:rsidRPr="00521891">
        <w:rPr>
          <w:lang w:val="fr-FR"/>
        </w:rPr>
        <w:t>infrastructure</w:t>
      </w:r>
      <w:r>
        <w:rPr>
          <w:lang w:val="fr-FR"/>
        </w:rPr>
        <w:t>,</w:t>
      </w:r>
      <w:r w:rsidRPr="00521891">
        <w:rPr>
          <w:lang w:val="fr-FR"/>
        </w:rPr>
        <w:t xml:space="preserve"> on constate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Une dégradation des infrastructures routières, en raison de la réduction des dépenses sur financement interne et de l</w:t>
      </w:r>
      <w:r>
        <w:rPr>
          <w:lang w:val="fr-FR"/>
        </w:rPr>
        <w:t>’</w:t>
      </w:r>
      <w:r w:rsidRPr="00521891">
        <w:rPr>
          <w:lang w:val="fr-FR"/>
        </w:rPr>
        <w:t>absence des financements extérieurs;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Une régression du taux d</w:t>
      </w:r>
      <w:r>
        <w:rPr>
          <w:lang w:val="fr-FR"/>
        </w:rPr>
        <w:t>’</w:t>
      </w:r>
      <w:r w:rsidRPr="00521891">
        <w:rPr>
          <w:lang w:val="fr-FR"/>
        </w:rPr>
        <w:t>accès à l</w:t>
      </w:r>
      <w:r>
        <w:rPr>
          <w:lang w:val="fr-FR"/>
        </w:rPr>
        <w:t>’</w:t>
      </w:r>
      <w:r w:rsidRPr="00521891">
        <w:rPr>
          <w:lang w:val="fr-FR"/>
        </w:rPr>
        <w:t>eau potable au niveau national, passant de 44 % à 39 % pour la période 2008-2012;</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Une tendance décroissante du taux d</w:t>
      </w:r>
      <w:r>
        <w:rPr>
          <w:lang w:val="fr-FR"/>
        </w:rPr>
        <w:t>’</w:t>
      </w:r>
      <w:r w:rsidRPr="00521891">
        <w:rPr>
          <w:lang w:val="fr-FR"/>
        </w:rPr>
        <w:t>utilisation des latrines pour la population au niveau national, passant de 51 % à 46 % pour la période 2007-2011.</w:t>
      </w:r>
    </w:p>
    <w:p w:rsidR="00C06068" w:rsidRPr="00521891" w:rsidRDefault="00C06068" w:rsidP="00C06068">
      <w:pPr>
        <w:pStyle w:val="SingleTxt"/>
        <w:numPr>
          <w:ilvl w:val="0"/>
          <w:numId w:val="10"/>
        </w:numPr>
        <w:rPr>
          <w:lang w:val="fr-FR"/>
        </w:rPr>
      </w:pPr>
      <w:r w:rsidRPr="00521891">
        <w:rPr>
          <w:lang w:val="fr-FR"/>
        </w:rPr>
        <w:t>La production rizicole a diminué, passant de 5 932 550 tonnes en 2010 à 5 886 100 en 2011 contre 6 295 564 tonnes en 2009, à cause des aléas climatiques et des catastrophes naturelles.</w:t>
      </w:r>
    </w:p>
    <w:p w:rsidR="00C06068" w:rsidRPr="00521891" w:rsidRDefault="00C06068" w:rsidP="00C06068">
      <w:pPr>
        <w:pStyle w:val="SingleTxt"/>
        <w:spacing w:after="0" w:line="120" w:lineRule="exact"/>
        <w:rPr>
          <w:b/>
          <w:sz w:val="10"/>
          <w:lang w:val="fr-FR"/>
        </w:rPr>
      </w:pPr>
      <w:bookmarkStart w:id="32" w:name="_Toc360707522"/>
      <w:bookmarkStart w:id="33" w:name="_Toc377129289"/>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521891">
        <w:rPr>
          <w:lang w:val="fr-FR"/>
        </w:rPr>
        <w:tab/>
      </w:r>
      <w:r w:rsidRPr="00521891">
        <w:rPr>
          <w:lang w:val="fr-FR"/>
        </w:rPr>
        <w:tab/>
      </w:r>
      <w:r w:rsidRPr="00521891">
        <w:rPr>
          <w:b w:val="0"/>
          <w:lang w:val="fr-FR"/>
        </w:rPr>
        <w:t xml:space="preserve">Tableau </w:t>
      </w:r>
      <w:r>
        <w:rPr>
          <w:b w:val="0"/>
          <w:lang w:val="fr-FR"/>
        </w:rPr>
        <w:t>3</w:t>
      </w:r>
      <w:r w:rsidRPr="00521891">
        <w:rPr>
          <w:b w:val="0"/>
          <w:lang w:val="fr-FR"/>
        </w:rPr>
        <w:br/>
      </w:r>
      <w:r w:rsidRPr="00521891">
        <w:rPr>
          <w:lang w:val="fr-FR"/>
        </w:rPr>
        <w:t xml:space="preserve">Évolution du produit intérieur brut (PIB) en terme nominal et réel </w:t>
      </w:r>
      <w:r w:rsidRPr="00521891">
        <w:rPr>
          <w:lang w:val="fr-FR"/>
        </w:rPr>
        <w:br/>
        <w:t>et du taux d</w:t>
      </w:r>
      <w:r>
        <w:rPr>
          <w:lang w:val="fr-FR"/>
        </w:rPr>
        <w:t>’</w:t>
      </w:r>
      <w:r w:rsidRPr="00521891">
        <w:rPr>
          <w:lang w:val="fr-FR"/>
        </w:rPr>
        <w:t>inflation</w:t>
      </w:r>
      <w:bookmarkEnd w:id="32"/>
      <w:bookmarkEnd w:id="33"/>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C06068" w:rsidRPr="00521891" w:rsidTr="007F3574">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Année</w:t>
            </w:r>
          </w:p>
        </w:tc>
        <w:tc>
          <w:tcPr>
            <w:tcW w:w="1464"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PIB nominal</w:t>
            </w:r>
            <w:r w:rsidRPr="00521891">
              <w:rPr>
                <w:i/>
                <w:sz w:val="14"/>
                <w:lang w:val="fr-FR"/>
              </w:rPr>
              <w:br/>
              <w:t>(milliards d</w:t>
            </w:r>
            <w:r>
              <w:rPr>
                <w:i/>
                <w:sz w:val="14"/>
                <w:lang w:val="fr-FR"/>
              </w:rPr>
              <w:t>’</w:t>
            </w:r>
            <w:r w:rsidRPr="00521891">
              <w:rPr>
                <w:i/>
                <w:sz w:val="14"/>
                <w:lang w:val="fr-FR"/>
              </w:rPr>
              <w:t>ariary)</w:t>
            </w:r>
          </w:p>
        </w:tc>
        <w:tc>
          <w:tcPr>
            <w:tcW w:w="1464"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PIB réel</w:t>
            </w:r>
            <w:r w:rsidRPr="00521891">
              <w:rPr>
                <w:i/>
                <w:sz w:val="14"/>
                <w:lang w:val="fr-FR"/>
              </w:rPr>
              <w:br/>
              <w:t>(milliards d</w:t>
            </w:r>
            <w:r>
              <w:rPr>
                <w:i/>
                <w:sz w:val="14"/>
                <w:lang w:val="fr-FR"/>
              </w:rPr>
              <w:t>’</w:t>
            </w:r>
            <w:r w:rsidRPr="00521891">
              <w:rPr>
                <w:i/>
                <w:sz w:val="14"/>
                <w:lang w:val="fr-FR"/>
              </w:rPr>
              <w:t>ariary)</w:t>
            </w:r>
          </w:p>
        </w:tc>
        <w:tc>
          <w:tcPr>
            <w:tcW w:w="1464"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Croissance</w:t>
            </w:r>
            <w:r w:rsidRPr="00521891">
              <w:rPr>
                <w:i/>
                <w:sz w:val="14"/>
                <w:lang w:val="fr-FR"/>
              </w:rPr>
              <w:br/>
              <w:t>(pourcentage)</w:t>
            </w:r>
          </w:p>
        </w:tc>
        <w:tc>
          <w:tcPr>
            <w:tcW w:w="1464"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Inflation</w:t>
            </w:r>
            <w:r w:rsidRPr="00521891">
              <w:rPr>
                <w:i/>
                <w:sz w:val="14"/>
                <w:lang w:val="fr-FR"/>
              </w:rPr>
              <w:br/>
              <w:t>(pourcentage)</w:t>
            </w:r>
          </w:p>
        </w:tc>
      </w:tr>
      <w:tr w:rsidR="00C06068" w:rsidRPr="00521891" w:rsidTr="007F3574">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464"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00" w:lineRule="exact"/>
              <w:ind w:right="43"/>
              <w:rPr>
                <w:sz w:val="17"/>
                <w:lang w:val="fr-FR"/>
              </w:rPr>
            </w:pPr>
            <w:r w:rsidRPr="00521891">
              <w:rPr>
                <w:sz w:val="17"/>
                <w:lang w:val="fr-FR"/>
              </w:rPr>
              <w:t>2012</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21 989</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627</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3,1</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5,8</w:t>
            </w:r>
          </w:p>
        </w:tc>
      </w:tr>
      <w:tr w:rsidR="00C06068" w:rsidRPr="00521891" w:rsidTr="007F3574">
        <w:tblPrEx>
          <w:tblCellMar>
            <w:top w:w="0" w:type="dxa"/>
            <w:bottom w:w="0" w:type="dxa"/>
          </w:tblCellMar>
        </w:tblPrEx>
        <w:tc>
          <w:tcPr>
            <w:tcW w:w="1464"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00" w:lineRule="exact"/>
              <w:ind w:right="43"/>
              <w:rPr>
                <w:sz w:val="17"/>
                <w:lang w:val="fr-FR"/>
              </w:rPr>
            </w:pPr>
            <w:r w:rsidRPr="00521891">
              <w:rPr>
                <w:sz w:val="17"/>
                <w:lang w:val="fr-FR"/>
              </w:rPr>
              <w:t>2011</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20 088</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609</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1,3</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9,5</w:t>
            </w:r>
          </w:p>
        </w:tc>
      </w:tr>
      <w:tr w:rsidR="00C06068" w:rsidRPr="00521891" w:rsidTr="007F3574">
        <w:tblPrEx>
          <w:tblCellMar>
            <w:top w:w="0" w:type="dxa"/>
            <w:bottom w:w="0" w:type="dxa"/>
          </w:tblCellMar>
        </w:tblPrEx>
        <w:tc>
          <w:tcPr>
            <w:tcW w:w="1464"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00" w:lineRule="exact"/>
              <w:ind w:right="43"/>
              <w:rPr>
                <w:sz w:val="17"/>
                <w:lang w:val="fr-FR"/>
              </w:rPr>
            </w:pPr>
            <w:r w:rsidRPr="00521891">
              <w:rPr>
                <w:sz w:val="17"/>
                <w:lang w:val="fr-FR"/>
              </w:rPr>
              <w:t>2010</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18 273</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601</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-1,1</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9,2</w:t>
            </w:r>
          </w:p>
        </w:tc>
      </w:tr>
      <w:tr w:rsidR="00C06068" w:rsidRPr="00521891" w:rsidTr="007F3574">
        <w:tblPrEx>
          <w:tblCellMar>
            <w:top w:w="0" w:type="dxa"/>
            <w:bottom w:w="0" w:type="dxa"/>
          </w:tblCellMar>
        </w:tblPrEx>
        <w:tc>
          <w:tcPr>
            <w:tcW w:w="1464"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00" w:lineRule="exact"/>
              <w:ind w:right="43"/>
              <w:rPr>
                <w:sz w:val="17"/>
                <w:lang w:val="fr-FR"/>
              </w:rPr>
            </w:pPr>
            <w:r w:rsidRPr="00521891">
              <w:rPr>
                <w:sz w:val="17"/>
                <w:lang w:val="fr-FR"/>
              </w:rPr>
              <w:t>2009</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16 797</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607</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-2,6</w:t>
            </w:r>
          </w:p>
        </w:tc>
        <w:tc>
          <w:tcPr>
            <w:tcW w:w="1464"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9,0</w:t>
            </w:r>
          </w:p>
        </w:tc>
      </w:tr>
      <w:tr w:rsidR="00C06068" w:rsidRPr="00521891" w:rsidTr="007F3574">
        <w:tblPrEx>
          <w:tblCellMar>
            <w:top w:w="0" w:type="dxa"/>
            <w:bottom w:w="0" w:type="dxa"/>
          </w:tblCellMar>
        </w:tblPrEx>
        <w:tc>
          <w:tcPr>
            <w:tcW w:w="1464" w:type="dxa"/>
            <w:tcBorders>
              <w:bottom w:val="single" w:sz="12"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40" w:after="40" w:line="200" w:lineRule="exact"/>
              <w:ind w:right="43"/>
              <w:rPr>
                <w:sz w:val="17"/>
                <w:lang w:val="fr-FR"/>
              </w:rPr>
            </w:pPr>
            <w:r w:rsidRPr="00521891">
              <w:rPr>
                <w:sz w:val="17"/>
                <w:lang w:val="fr-FR"/>
              </w:rPr>
              <w:t>2008</w:t>
            </w:r>
          </w:p>
        </w:tc>
        <w:tc>
          <w:tcPr>
            <w:tcW w:w="1464"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16 081</w:t>
            </w:r>
          </w:p>
        </w:tc>
        <w:tc>
          <w:tcPr>
            <w:tcW w:w="1464"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624</w:t>
            </w:r>
          </w:p>
        </w:tc>
        <w:tc>
          <w:tcPr>
            <w:tcW w:w="1464"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7,1</w:t>
            </w:r>
          </w:p>
        </w:tc>
        <w:tc>
          <w:tcPr>
            <w:tcW w:w="1464"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00" w:lineRule="exact"/>
              <w:ind w:right="43"/>
              <w:jc w:val="right"/>
              <w:rPr>
                <w:sz w:val="17"/>
                <w:lang w:val="fr-FR"/>
              </w:rPr>
            </w:pPr>
            <w:r w:rsidRPr="00521891">
              <w:rPr>
                <w:sz w:val="17"/>
                <w:lang w:val="fr-FR"/>
              </w:rPr>
              <w:t>9,2</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b/>
          <w:lang w:val="fr-FR"/>
        </w:rPr>
        <w:t> </w:t>
      </w:r>
      <w:r w:rsidRPr="00521891">
        <w:rPr>
          <w:lang w:val="fr-FR"/>
        </w:rPr>
        <w:t>: INSTAT/DSY.</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4" w:name="_Toc376709302"/>
      <w:r w:rsidRPr="00521891">
        <w:rPr>
          <w:lang w:val="fr-FR"/>
        </w:rPr>
        <w:tab/>
        <w:t>2.</w:t>
      </w:r>
      <w:r w:rsidRPr="00521891">
        <w:rPr>
          <w:lang w:val="fr-FR"/>
        </w:rPr>
        <w:tab/>
        <w:t>Domaine social</w:t>
      </w:r>
      <w:bookmarkEnd w:id="34"/>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2.1</w:t>
      </w:r>
      <w:r w:rsidRPr="00521891">
        <w:rPr>
          <w:lang w:val="fr-FR"/>
        </w:rPr>
        <w:tab/>
        <w:t>Santé</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État dispose d</w:t>
      </w:r>
      <w:r>
        <w:rPr>
          <w:lang w:val="fr-FR"/>
        </w:rPr>
        <w:t>’</w:t>
      </w:r>
      <w:r w:rsidRPr="00521891">
        <w:rPr>
          <w:lang w:val="fr-FR"/>
        </w:rPr>
        <w:t>une politique nationale de santé communautaire et d</w:t>
      </w:r>
      <w:r>
        <w:rPr>
          <w:lang w:val="fr-FR"/>
        </w:rPr>
        <w:t>’</w:t>
      </w:r>
      <w:r w:rsidRPr="00521891">
        <w:rPr>
          <w:lang w:val="fr-FR"/>
        </w:rPr>
        <w:t>une politique nationale de prise en charge globale médicale et psychosociale des personnes vivant avec le VIH/sida à Madagascar.</w:t>
      </w:r>
    </w:p>
    <w:p w:rsidR="00C06068" w:rsidRPr="00521891" w:rsidRDefault="00C06068" w:rsidP="00C06068">
      <w:pPr>
        <w:pStyle w:val="SingleTxt"/>
        <w:numPr>
          <w:ilvl w:val="0"/>
          <w:numId w:val="10"/>
        </w:numPr>
        <w:rPr>
          <w:lang w:val="fr-FR"/>
        </w:rPr>
      </w:pPr>
      <w:r w:rsidRPr="00521891">
        <w:rPr>
          <w:lang w:val="fr-FR"/>
        </w:rPr>
        <w:t>Par ailleurs, une politique nationale de protection sociale est en phase d</w:t>
      </w:r>
      <w:r>
        <w:rPr>
          <w:lang w:val="fr-FR"/>
        </w:rPr>
        <w:t>’</w:t>
      </w:r>
      <w:r w:rsidRPr="00521891">
        <w:rPr>
          <w:lang w:val="fr-FR"/>
        </w:rPr>
        <w:t>élaboration.</w:t>
      </w:r>
    </w:p>
    <w:p w:rsidR="00C06068" w:rsidRPr="00C119E2" w:rsidRDefault="00C06068" w:rsidP="00C06068">
      <w:pPr>
        <w:pStyle w:val="SingleTxt"/>
        <w:numPr>
          <w:ilvl w:val="0"/>
          <w:numId w:val="10"/>
        </w:numPr>
        <w:spacing w:after="0"/>
        <w:rPr>
          <w:spacing w:val="2"/>
          <w:lang w:val="fr-FR"/>
        </w:rPr>
      </w:pPr>
      <w:r w:rsidRPr="00C119E2">
        <w:rPr>
          <w:spacing w:val="2"/>
          <w:w w:val="101"/>
          <w:lang w:val="fr-FR"/>
        </w:rPr>
        <w:t xml:space="preserve">Les soins de santé de base sont dispensés par les centres de santé de base niveau 1 </w:t>
      </w:r>
      <w:r w:rsidRPr="00C119E2">
        <w:rPr>
          <w:spacing w:val="2"/>
          <w:lang w:val="fr-FR"/>
        </w:rPr>
        <w:t>(CSB 1) tenu par des paramédicaux au niveau de Fokontany et les centres de santé de base niveau 2 (CSB 2) tenus par des médecins au niveau des chefs-lieux des communes. L’accessibilité de la population aux soins de base a été améliorée, d’une part, par le recrutement de médecins et paramédicaux fonctionnaires. D’autre part, des paramédicaux contractuels ont été recrutés avec l’appui de l’UNICEF et du FNUAP.</w:t>
      </w:r>
    </w:p>
    <w:p w:rsidR="00C06068" w:rsidRPr="00521891" w:rsidRDefault="00C06068" w:rsidP="00C06068">
      <w:pPr>
        <w:pStyle w:val="SingleTxt"/>
        <w:numPr>
          <w:ilvl w:val="0"/>
          <w:numId w:val="10"/>
        </w:numPr>
        <w:rPr>
          <w:lang w:val="fr-FR"/>
        </w:rPr>
      </w:pPr>
      <w:bookmarkStart w:id="35" w:name="_Toc360707523"/>
      <w:r w:rsidRPr="00521891">
        <w:rPr>
          <w:lang w:val="fr-FR"/>
        </w:rPr>
        <w:t>Le tableau ci-après fait état de la situation des CSB fermés et réouverts.</w:t>
      </w:r>
    </w:p>
    <w:p w:rsidR="00C06068" w:rsidRPr="00521891" w:rsidRDefault="00C06068" w:rsidP="00C06068">
      <w:pPr>
        <w:pStyle w:val="SingleTxt"/>
        <w:spacing w:after="0" w:line="120" w:lineRule="exact"/>
        <w:rPr>
          <w:b/>
          <w:sz w:val="10"/>
          <w:lang w:val="fr-FR"/>
        </w:rPr>
      </w:pPr>
      <w:bookmarkStart w:id="36" w:name="_Toc377129290"/>
      <w:bookmarkEnd w:id="35"/>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b w:val="0"/>
          <w:lang w:val="fr-FR"/>
        </w:rPr>
        <w:tab/>
      </w:r>
      <w:r w:rsidRPr="00521891">
        <w:rPr>
          <w:b w:val="0"/>
          <w:lang w:val="fr-FR"/>
        </w:rPr>
        <w:tab/>
        <w:t xml:space="preserve">Tableau </w:t>
      </w:r>
      <w:r>
        <w:rPr>
          <w:b w:val="0"/>
          <w:lang w:val="fr-FR"/>
        </w:rPr>
        <w:t>4</w:t>
      </w:r>
      <w:r>
        <w:rPr>
          <w:b w:val="0"/>
          <w:lang w:val="fr-FR"/>
        </w:rPr>
        <w:br/>
      </w:r>
      <w:r w:rsidRPr="00521891">
        <w:rPr>
          <w:lang w:val="fr-FR"/>
        </w:rPr>
        <w:t>Tendance de fonctionnalité des centres de santé de base</w:t>
      </w:r>
      <w:bookmarkEnd w:id="36"/>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8588" w:type="dxa"/>
        <w:tblInd w:w="1267" w:type="dxa"/>
        <w:tblLayout w:type="fixed"/>
        <w:tblCellMar>
          <w:left w:w="0" w:type="dxa"/>
          <w:right w:w="0" w:type="dxa"/>
        </w:tblCellMar>
        <w:tblLook w:val="0000"/>
      </w:tblPr>
      <w:tblGrid>
        <w:gridCol w:w="740"/>
        <w:gridCol w:w="900"/>
        <w:gridCol w:w="882"/>
        <w:gridCol w:w="942"/>
        <w:gridCol w:w="939"/>
        <w:gridCol w:w="978"/>
        <w:gridCol w:w="861"/>
        <w:gridCol w:w="759"/>
        <w:gridCol w:w="540"/>
        <w:gridCol w:w="1047"/>
      </w:tblGrid>
      <w:tr w:rsidR="00C06068" w:rsidRPr="00521891" w:rsidTr="007F3574">
        <w:tblPrEx>
          <w:tblCellMar>
            <w:top w:w="0" w:type="dxa"/>
            <w:bottom w:w="0" w:type="dxa"/>
          </w:tblCellMar>
        </w:tblPrEx>
        <w:trPr>
          <w:tblHeader/>
        </w:trPr>
        <w:tc>
          <w:tcPr>
            <w:tcW w:w="740"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rPr>
                <w:i/>
                <w:sz w:val="14"/>
                <w:lang w:val="fr-FR"/>
              </w:rPr>
            </w:pPr>
          </w:p>
        </w:tc>
        <w:tc>
          <w:tcPr>
            <w:tcW w:w="900"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rPr>
                <w:i/>
                <w:sz w:val="14"/>
                <w:lang w:val="fr-FR"/>
              </w:rPr>
            </w:pPr>
          </w:p>
        </w:tc>
        <w:tc>
          <w:tcPr>
            <w:tcW w:w="882"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p>
        </w:tc>
        <w:tc>
          <w:tcPr>
            <w:tcW w:w="942"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p>
        </w:tc>
        <w:tc>
          <w:tcPr>
            <w:tcW w:w="939"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p>
        </w:tc>
        <w:tc>
          <w:tcPr>
            <w:tcW w:w="3138" w:type="dxa"/>
            <w:gridSpan w:val="4"/>
            <w:tcBorders>
              <w:top w:val="single" w:sz="4" w:space="0" w:color="auto"/>
              <w:bottom w:val="single" w:sz="4" w:space="0" w:color="auto"/>
            </w:tcBorders>
            <w:shd w:val="clear" w:color="auto" w:fill="auto"/>
            <w:vAlign w:val="bottom"/>
          </w:tcPr>
          <w:p w:rsidR="00C06068" w:rsidRPr="00521891" w:rsidRDefault="00C06068" w:rsidP="007F3574">
            <w:pPr>
              <w:suppressAutoHyphens/>
              <w:spacing w:before="80" w:after="80" w:line="160" w:lineRule="exact"/>
              <w:ind w:right="43"/>
              <w:jc w:val="center"/>
              <w:rPr>
                <w:i/>
                <w:sz w:val="14"/>
                <w:lang w:val="fr-FR"/>
              </w:rPr>
            </w:pPr>
            <w:r w:rsidRPr="00521891">
              <w:rPr>
                <w:bCs/>
                <w:i/>
                <w:sz w:val="14"/>
                <w:lang w:val="fr-FR"/>
              </w:rPr>
              <w:t>Causes de non</w:t>
            </w:r>
            <w:r>
              <w:rPr>
                <w:bCs/>
                <w:i/>
                <w:sz w:val="14"/>
                <w:lang w:val="fr-FR"/>
              </w:rPr>
              <w:t>-</w:t>
            </w:r>
            <w:r w:rsidRPr="00521891">
              <w:rPr>
                <w:bCs/>
                <w:i/>
                <w:sz w:val="14"/>
                <w:lang w:val="fr-FR"/>
              </w:rPr>
              <w:t>fonctionnalité</w:t>
            </w:r>
          </w:p>
        </w:tc>
        <w:tc>
          <w:tcPr>
            <w:tcW w:w="1047" w:type="dxa"/>
            <w:tcBorders>
              <w:top w:val="single" w:sz="4"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p>
        </w:tc>
      </w:tr>
      <w:tr w:rsidR="00C06068" w:rsidRPr="00521891" w:rsidTr="007F3574">
        <w:tblPrEx>
          <w:tblCellMar>
            <w:top w:w="0" w:type="dxa"/>
            <w:bottom w:w="0" w:type="dxa"/>
          </w:tblCellMar>
        </w:tblPrEx>
        <w:trPr>
          <w:tblHeader/>
        </w:trPr>
        <w:tc>
          <w:tcPr>
            <w:tcW w:w="740"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rPr>
                <w:i/>
                <w:sz w:val="14"/>
                <w:lang w:val="fr-FR"/>
              </w:rPr>
            </w:pPr>
            <w:r w:rsidRPr="00521891">
              <w:rPr>
                <w:i/>
                <w:sz w:val="14"/>
                <w:lang w:val="fr-FR"/>
              </w:rPr>
              <w:t>Année</w:t>
            </w:r>
          </w:p>
        </w:tc>
        <w:tc>
          <w:tcPr>
            <w:tcW w:w="900"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rPr>
                <w:i/>
                <w:sz w:val="14"/>
                <w:lang w:val="fr-FR"/>
              </w:rPr>
            </w:pPr>
            <w:r w:rsidRPr="00521891">
              <w:rPr>
                <w:bCs/>
                <w:i/>
                <w:sz w:val="14"/>
                <w:lang w:val="fr-FR"/>
              </w:rPr>
              <w:t xml:space="preserve">Types </w:t>
            </w:r>
            <w:r>
              <w:rPr>
                <w:bCs/>
                <w:i/>
                <w:sz w:val="14"/>
                <w:lang w:val="fr-FR"/>
              </w:rPr>
              <w:br/>
            </w:r>
            <w:r w:rsidRPr="00521891">
              <w:rPr>
                <w:bCs/>
                <w:i/>
                <w:sz w:val="14"/>
                <w:lang w:val="fr-FR"/>
              </w:rPr>
              <w:t>de CSB/total</w:t>
            </w:r>
          </w:p>
        </w:tc>
        <w:tc>
          <w:tcPr>
            <w:tcW w:w="882"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r w:rsidRPr="00521891">
              <w:rPr>
                <w:bCs/>
                <w:i/>
                <w:sz w:val="14"/>
                <w:lang w:val="fr-FR"/>
              </w:rPr>
              <w:t xml:space="preserve">Nombre total </w:t>
            </w:r>
            <w:r w:rsidRPr="00521891">
              <w:rPr>
                <w:bCs/>
                <w:i/>
                <w:sz w:val="14"/>
                <w:lang w:val="fr-FR"/>
              </w:rPr>
              <w:br/>
              <w:t>de CSB</w:t>
            </w:r>
          </w:p>
        </w:tc>
        <w:tc>
          <w:tcPr>
            <w:tcW w:w="942"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r w:rsidRPr="00521891">
              <w:rPr>
                <w:bCs/>
                <w:i/>
                <w:sz w:val="14"/>
                <w:lang w:val="fr-FR"/>
              </w:rPr>
              <w:t>CSB fonctionnels</w:t>
            </w:r>
          </w:p>
        </w:tc>
        <w:tc>
          <w:tcPr>
            <w:tcW w:w="939"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r w:rsidRPr="00521891">
              <w:rPr>
                <w:bCs/>
                <w:i/>
                <w:sz w:val="14"/>
                <w:lang w:val="fr-FR"/>
              </w:rPr>
              <w:t>CSB non fonctionnels</w:t>
            </w:r>
          </w:p>
        </w:tc>
        <w:tc>
          <w:tcPr>
            <w:tcW w:w="978" w:type="dxa"/>
            <w:tcBorders>
              <w:top w:val="single" w:sz="4" w:space="0" w:color="auto"/>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bCs/>
                <w:i/>
                <w:sz w:val="14"/>
                <w:lang w:val="fr-FR"/>
              </w:rPr>
            </w:pPr>
            <w:r w:rsidRPr="00521891">
              <w:rPr>
                <w:bCs/>
                <w:i/>
                <w:sz w:val="14"/>
                <w:lang w:val="fr-FR"/>
              </w:rPr>
              <w:t>Infrastructure</w:t>
            </w:r>
          </w:p>
        </w:tc>
        <w:tc>
          <w:tcPr>
            <w:tcW w:w="861" w:type="dxa"/>
            <w:tcBorders>
              <w:top w:val="single" w:sz="4" w:space="0" w:color="auto"/>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bCs/>
                <w:i/>
                <w:sz w:val="14"/>
                <w:lang w:val="fr-FR"/>
              </w:rPr>
            </w:pPr>
            <w:r w:rsidRPr="00521891">
              <w:rPr>
                <w:bCs/>
                <w:i/>
                <w:sz w:val="14"/>
                <w:lang w:val="fr-FR"/>
              </w:rPr>
              <w:t xml:space="preserve">Absence </w:t>
            </w:r>
            <w:r w:rsidRPr="00521891">
              <w:rPr>
                <w:bCs/>
                <w:i/>
                <w:sz w:val="14"/>
                <w:lang w:val="fr-FR"/>
              </w:rPr>
              <w:br/>
              <w:t xml:space="preserve">de personnel </w:t>
            </w:r>
          </w:p>
        </w:tc>
        <w:tc>
          <w:tcPr>
            <w:tcW w:w="759" w:type="dxa"/>
            <w:tcBorders>
              <w:top w:val="single" w:sz="4" w:space="0" w:color="auto"/>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bCs/>
                <w:i/>
                <w:sz w:val="14"/>
                <w:lang w:val="fr-FR"/>
              </w:rPr>
            </w:pPr>
            <w:r w:rsidRPr="00521891">
              <w:rPr>
                <w:bCs/>
                <w:i/>
                <w:sz w:val="14"/>
                <w:lang w:val="fr-FR"/>
              </w:rPr>
              <w:t>Insécurité</w:t>
            </w:r>
          </w:p>
        </w:tc>
        <w:tc>
          <w:tcPr>
            <w:tcW w:w="540" w:type="dxa"/>
            <w:tcBorders>
              <w:top w:val="single" w:sz="4" w:space="0" w:color="auto"/>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bCs/>
                <w:i/>
                <w:sz w:val="14"/>
                <w:lang w:val="fr-FR"/>
              </w:rPr>
            </w:pPr>
            <w:r w:rsidRPr="00521891">
              <w:rPr>
                <w:bCs/>
                <w:i/>
                <w:sz w:val="14"/>
                <w:lang w:val="fr-FR"/>
              </w:rPr>
              <w:t>Autres</w:t>
            </w:r>
          </w:p>
        </w:tc>
        <w:tc>
          <w:tcPr>
            <w:tcW w:w="1047" w:type="dxa"/>
            <w:tcBorders>
              <w:bottom w:val="single" w:sz="12" w:space="0" w:color="auto"/>
            </w:tcBorders>
            <w:shd w:val="clear" w:color="auto" w:fill="auto"/>
            <w:vAlign w:val="bottom"/>
          </w:tcPr>
          <w:p w:rsidR="00C06068" w:rsidRPr="00521891" w:rsidRDefault="00C06068" w:rsidP="007F3574">
            <w:pPr>
              <w:suppressAutoHyphens/>
              <w:spacing w:before="80" w:after="80" w:line="160" w:lineRule="exact"/>
              <w:ind w:right="43"/>
              <w:jc w:val="right"/>
              <w:rPr>
                <w:i/>
                <w:sz w:val="14"/>
                <w:lang w:val="fr-FR"/>
              </w:rPr>
            </w:pPr>
            <w:r w:rsidRPr="00521891">
              <w:rPr>
                <w:bCs/>
                <w:i/>
                <w:sz w:val="14"/>
                <w:lang w:val="fr-FR"/>
              </w:rPr>
              <w:t>CSB réouverts</w:t>
            </w:r>
          </w:p>
        </w:tc>
      </w:tr>
      <w:tr w:rsidR="00C06068" w:rsidRPr="00521891" w:rsidTr="007F3574">
        <w:tblPrEx>
          <w:tblCellMar>
            <w:top w:w="0" w:type="dxa"/>
            <w:bottom w:w="0" w:type="dxa"/>
          </w:tblCellMar>
        </w:tblPrEx>
        <w:trPr>
          <w:trHeight w:hRule="exact" w:val="115"/>
          <w:tblHeader/>
        </w:trPr>
        <w:tc>
          <w:tcPr>
            <w:tcW w:w="740"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rPr>
                <w:sz w:val="17"/>
                <w:lang w:val="fr-FR"/>
              </w:rPr>
            </w:pPr>
          </w:p>
        </w:tc>
        <w:tc>
          <w:tcPr>
            <w:tcW w:w="900"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rPr>
                <w:sz w:val="17"/>
                <w:lang w:val="fr-FR"/>
              </w:rPr>
            </w:pPr>
          </w:p>
        </w:tc>
        <w:tc>
          <w:tcPr>
            <w:tcW w:w="882"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942"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939"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978"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861"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759"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c>
          <w:tcPr>
            <w:tcW w:w="1047" w:type="dxa"/>
            <w:tcBorders>
              <w:top w:val="single" w:sz="12" w:space="0" w:color="auto"/>
            </w:tcBorders>
            <w:shd w:val="clear" w:color="auto" w:fill="auto"/>
            <w:vAlign w:val="bottom"/>
          </w:tcPr>
          <w:p w:rsidR="00C06068" w:rsidRPr="00521891" w:rsidRDefault="00C06068" w:rsidP="007F3574">
            <w:pPr>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2009</w:t>
            </w: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CSB1</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875</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795</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80</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ND</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CSB2</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561</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516</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45</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Ens</w:t>
            </w:r>
            <w:r>
              <w:rPr>
                <w:sz w:val="17"/>
                <w:szCs w:val="17"/>
                <w:lang w:val="fr-FR"/>
              </w:rPr>
              <w:t>.</w:t>
            </w:r>
            <w:r w:rsidRPr="00521891">
              <w:rPr>
                <w:sz w:val="17"/>
                <w:szCs w:val="17"/>
                <w:lang w:val="fr-FR"/>
              </w:rPr>
              <w:t xml:space="preserve"> 2009</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436</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311</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125</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15</w:t>
            </w: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82</w:t>
            </w: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6</w:t>
            </w: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2010</w:t>
            </w: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CSB1</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862</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734</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128</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CSB2</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596</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510</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86</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9</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Ens</w:t>
            </w:r>
            <w:r>
              <w:rPr>
                <w:sz w:val="17"/>
                <w:szCs w:val="17"/>
                <w:lang w:val="fr-FR"/>
              </w:rPr>
              <w:t>.</w:t>
            </w:r>
            <w:r w:rsidRPr="00521891">
              <w:rPr>
                <w:sz w:val="17"/>
                <w:szCs w:val="17"/>
                <w:lang w:val="fr-FR"/>
              </w:rPr>
              <w:t xml:space="preserve"> 2010</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458</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244</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214</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32</w:t>
            </w: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128</w:t>
            </w: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16</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2011</w:t>
            </w: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CSB1</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884</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828</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56</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105</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CSB2</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601</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584</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17</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80</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Ens</w:t>
            </w:r>
            <w:r>
              <w:rPr>
                <w:sz w:val="17"/>
                <w:szCs w:val="17"/>
                <w:lang w:val="fr-FR"/>
              </w:rPr>
              <w:t>.</w:t>
            </w:r>
            <w:r w:rsidRPr="00521891">
              <w:rPr>
                <w:sz w:val="17"/>
                <w:szCs w:val="17"/>
                <w:lang w:val="fr-FR"/>
              </w:rPr>
              <w:t xml:space="preserve"> 2011</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485</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412</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73</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11</w:t>
            </w: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45</w:t>
            </w: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185</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2012</w:t>
            </w: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CSB1</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935</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796</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139</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6</w:t>
            </w: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11</w:t>
            </w: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11</w:t>
            </w:r>
          </w:p>
        </w:tc>
      </w:tr>
      <w:tr w:rsidR="00C06068" w:rsidRPr="00521891" w:rsidTr="007F3574">
        <w:tblPrEx>
          <w:tblCellMar>
            <w:top w:w="0" w:type="dxa"/>
            <w:bottom w:w="0" w:type="dxa"/>
          </w:tblCellMar>
        </w:tblPrEx>
        <w:tc>
          <w:tcPr>
            <w:tcW w:w="7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CSB2</w:t>
            </w:r>
          </w:p>
        </w:tc>
        <w:tc>
          <w:tcPr>
            <w:tcW w:w="88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609</w:t>
            </w:r>
          </w:p>
        </w:tc>
        <w:tc>
          <w:tcPr>
            <w:tcW w:w="942" w:type="dxa"/>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1</w:t>
            </w:r>
            <w:r>
              <w:rPr>
                <w:sz w:val="17"/>
                <w:szCs w:val="17"/>
                <w:lang w:val="fr-FR"/>
              </w:rPr>
              <w:t> </w:t>
            </w:r>
            <w:r w:rsidRPr="00FA2203">
              <w:rPr>
                <w:sz w:val="17"/>
                <w:szCs w:val="17"/>
                <w:lang w:val="fr-FR"/>
              </w:rPr>
              <w:t>561</w:t>
            </w:r>
          </w:p>
        </w:tc>
        <w:tc>
          <w:tcPr>
            <w:tcW w:w="93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48</w:t>
            </w:r>
          </w:p>
        </w:tc>
        <w:tc>
          <w:tcPr>
            <w:tcW w:w="978"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17</w:t>
            </w:r>
          </w:p>
        </w:tc>
        <w:tc>
          <w:tcPr>
            <w:tcW w:w="861"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56</w:t>
            </w:r>
          </w:p>
        </w:tc>
        <w:tc>
          <w:tcPr>
            <w:tcW w:w="759"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38</w:t>
            </w:r>
          </w:p>
        </w:tc>
      </w:tr>
      <w:tr w:rsidR="00C06068" w:rsidRPr="00521891" w:rsidTr="007F3574">
        <w:tblPrEx>
          <w:tblCellMar>
            <w:top w:w="0" w:type="dxa"/>
            <w:bottom w:w="0" w:type="dxa"/>
          </w:tblCellMar>
        </w:tblPrEx>
        <w:tc>
          <w:tcPr>
            <w:tcW w:w="74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900" w:type="dxa"/>
            <w:tcBorders>
              <w:bottom w:val="single" w:sz="12" w:space="0" w:color="auto"/>
            </w:tcBorders>
            <w:shd w:val="clear" w:color="auto" w:fill="auto"/>
            <w:vAlign w:val="bottom"/>
          </w:tcPr>
          <w:p w:rsidR="00C06068" w:rsidRPr="00521891" w:rsidRDefault="00C06068" w:rsidP="007F3574">
            <w:pPr>
              <w:suppressAutoHyphens/>
              <w:spacing w:before="40" w:after="40" w:line="210" w:lineRule="exact"/>
              <w:ind w:right="43"/>
              <w:rPr>
                <w:sz w:val="17"/>
                <w:szCs w:val="17"/>
                <w:lang w:val="fr-FR"/>
              </w:rPr>
            </w:pPr>
            <w:r w:rsidRPr="00521891">
              <w:rPr>
                <w:sz w:val="17"/>
                <w:szCs w:val="17"/>
                <w:lang w:val="fr-FR"/>
              </w:rPr>
              <w:t>Ens</w:t>
            </w:r>
            <w:r>
              <w:rPr>
                <w:sz w:val="17"/>
                <w:szCs w:val="17"/>
                <w:lang w:val="fr-FR"/>
              </w:rPr>
              <w:t>.</w:t>
            </w:r>
            <w:r w:rsidRPr="00521891">
              <w:rPr>
                <w:sz w:val="17"/>
                <w:szCs w:val="17"/>
                <w:lang w:val="fr-FR"/>
              </w:rPr>
              <w:t xml:space="preserve"> 2012</w:t>
            </w:r>
          </w:p>
        </w:tc>
        <w:tc>
          <w:tcPr>
            <w:tcW w:w="882" w:type="dxa"/>
            <w:tcBorders>
              <w:bottom w:val="single" w:sz="12" w:space="0" w:color="auto"/>
            </w:tcBorders>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544</w:t>
            </w:r>
          </w:p>
        </w:tc>
        <w:tc>
          <w:tcPr>
            <w:tcW w:w="942" w:type="dxa"/>
            <w:tcBorders>
              <w:bottom w:val="single" w:sz="12" w:space="0" w:color="auto"/>
            </w:tcBorders>
            <w:shd w:val="clear" w:color="auto" w:fill="auto"/>
            <w:vAlign w:val="bottom"/>
          </w:tcPr>
          <w:p w:rsidR="00C06068" w:rsidRPr="00FA2203" w:rsidRDefault="00C06068" w:rsidP="007F3574">
            <w:pPr>
              <w:tabs>
                <w:tab w:val="left" w:pos="288"/>
                <w:tab w:val="left" w:pos="576"/>
                <w:tab w:val="left" w:pos="864"/>
                <w:tab w:val="left" w:pos="1152"/>
              </w:tabs>
              <w:suppressAutoHyphens/>
              <w:spacing w:before="40" w:after="40" w:line="210" w:lineRule="exact"/>
              <w:ind w:right="43"/>
              <w:jc w:val="right"/>
              <w:rPr>
                <w:sz w:val="17"/>
                <w:szCs w:val="17"/>
                <w:lang w:val="fr-FR"/>
              </w:rPr>
            </w:pPr>
            <w:r w:rsidRPr="00FA2203">
              <w:rPr>
                <w:sz w:val="17"/>
                <w:szCs w:val="17"/>
                <w:lang w:val="fr-FR"/>
              </w:rPr>
              <w:t>2</w:t>
            </w:r>
            <w:r>
              <w:rPr>
                <w:sz w:val="17"/>
                <w:szCs w:val="17"/>
                <w:lang w:val="fr-FR"/>
              </w:rPr>
              <w:t> </w:t>
            </w:r>
            <w:r w:rsidRPr="00FA2203">
              <w:rPr>
                <w:sz w:val="17"/>
                <w:szCs w:val="17"/>
                <w:lang w:val="fr-FR"/>
              </w:rPr>
              <w:t>357</w:t>
            </w:r>
          </w:p>
        </w:tc>
        <w:tc>
          <w:tcPr>
            <w:tcW w:w="939"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187</w:t>
            </w:r>
          </w:p>
        </w:tc>
        <w:tc>
          <w:tcPr>
            <w:tcW w:w="978"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59</w:t>
            </w:r>
          </w:p>
        </w:tc>
        <w:tc>
          <w:tcPr>
            <w:tcW w:w="861"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121</w:t>
            </w:r>
          </w:p>
        </w:tc>
        <w:tc>
          <w:tcPr>
            <w:tcW w:w="759"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w:t>
            </w:r>
          </w:p>
        </w:tc>
        <w:tc>
          <w:tcPr>
            <w:tcW w:w="54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47"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49</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hanging="288"/>
        <w:rPr>
          <w:lang w:val="fr-FR"/>
        </w:rPr>
      </w:pPr>
      <w:r w:rsidRPr="00521891">
        <w:rPr>
          <w:i/>
          <w:lang w:val="fr-FR"/>
        </w:rPr>
        <w:t>Source</w:t>
      </w:r>
      <w:r w:rsidRPr="00521891">
        <w:rPr>
          <w:b/>
          <w:lang w:val="fr-FR"/>
        </w:rPr>
        <w:t> </w:t>
      </w:r>
      <w:r w:rsidRPr="00521891">
        <w:rPr>
          <w:lang w:val="fr-FR"/>
        </w:rPr>
        <w:t>: Ministère de la santé publique.</w:t>
      </w:r>
    </w:p>
    <w:p w:rsidR="00C06068" w:rsidRPr="008763DE" w:rsidRDefault="00C06068" w:rsidP="00C06068">
      <w:pPr>
        <w:pStyle w:val="SingleTxt"/>
        <w:spacing w:after="0" w:line="120" w:lineRule="exact"/>
        <w:rPr>
          <w:sz w:val="10"/>
          <w:lang w:val="fr-FR"/>
        </w:rPr>
      </w:pPr>
    </w:p>
    <w:p w:rsidR="00C06068" w:rsidRPr="008763DE" w:rsidRDefault="00C06068" w:rsidP="00C06068">
      <w:pPr>
        <w:pStyle w:val="SingleTxt"/>
        <w:spacing w:after="0" w:line="120" w:lineRule="exact"/>
        <w:rPr>
          <w:sz w:val="10"/>
          <w:lang w:val="fr-FR"/>
        </w:rPr>
      </w:pPr>
    </w:p>
    <w:p w:rsidR="00C06068" w:rsidRPr="008763DE" w:rsidRDefault="00C06068" w:rsidP="00C06068">
      <w:pPr>
        <w:pStyle w:val="SingleTxt"/>
        <w:spacing w:after="0" w:line="120" w:lineRule="exact"/>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2.2</w:t>
      </w:r>
      <w:r w:rsidRPr="00521891">
        <w:rPr>
          <w:lang w:val="fr-FR"/>
        </w:rPr>
        <w:tab/>
      </w:r>
      <w:r>
        <w:rPr>
          <w:lang w:val="fr-FR"/>
        </w:rPr>
        <w:t>É</w:t>
      </w:r>
      <w:r w:rsidRPr="00521891">
        <w:rPr>
          <w:lang w:val="fr-FR"/>
        </w:rPr>
        <w:t>ducation</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 taux net de la scolarisation du primaire a diminué, passant de 83,3 % en 2005 à 73,4 % en 2010.</w:t>
      </w:r>
    </w:p>
    <w:p w:rsidR="00C06068" w:rsidRPr="00521891" w:rsidRDefault="00C06068" w:rsidP="00C06068">
      <w:pPr>
        <w:pStyle w:val="SingleTxt"/>
        <w:numPr>
          <w:ilvl w:val="0"/>
          <w:numId w:val="10"/>
        </w:numPr>
        <w:rPr>
          <w:lang w:val="fr-FR"/>
        </w:rPr>
      </w:pPr>
      <w:r w:rsidRPr="00521891">
        <w:rPr>
          <w:lang w:val="fr-FR"/>
        </w:rPr>
        <w:t>Le taux d</w:t>
      </w:r>
      <w:r>
        <w:rPr>
          <w:lang w:val="fr-FR"/>
        </w:rPr>
        <w:t>’</w:t>
      </w:r>
      <w:r w:rsidRPr="00521891">
        <w:rPr>
          <w:lang w:val="fr-FR"/>
        </w:rPr>
        <w:t>alphabétisation a enregistré une baisse</w:t>
      </w:r>
      <w:r>
        <w:rPr>
          <w:lang w:val="fr-FR"/>
        </w:rPr>
        <w:t>,</w:t>
      </w:r>
      <w:r w:rsidRPr="00521891">
        <w:rPr>
          <w:lang w:val="fr-FR"/>
        </w:rPr>
        <w:t xml:space="preserve"> passant de 77 % en 2009 à 71,4 % en 2011.</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2.3</w:t>
      </w:r>
      <w:r w:rsidRPr="00521891">
        <w:rPr>
          <w:lang w:val="fr-FR"/>
        </w:rPr>
        <w:tab/>
        <w:t>Sécurité et surpopulation carcérale</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Dans le domaine judiciaire et pénitentiaire, le taux de criminalité a connu une hausse</w:t>
      </w:r>
      <w:r>
        <w:rPr>
          <w:lang w:val="fr-FR"/>
        </w:rPr>
        <w:t>,</w:t>
      </w:r>
      <w:r w:rsidRPr="00521891">
        <w:rPr>
          <w:lang w:val="fr-FR"/>
        </w:rPr>
        <w:t xml:space="preserve"> passant de 1,22 infraction pour 1 000 habitants en 2010 à 1,39 en 2011. Ainsi, la surpopulation carcérale persiste avec plus de 19 000 détenus pour les 82 établissements pénitentiaires d</w:t>
      </w:r>
      <w:r>
        <w:rPr>
          <w:lang w:val="fr-FR"/>
        </w:rPr>
        <w:t>’</w:t>
      </w:r>
      <w:r w:rsidRPr="00521891">
        <w:rPr>
          <w:lang w:val="fr-FR"/>
        </w:rPr>
        <w:t>une capacité d</w:t>
      </w:r>
      <w:r>
        <w:rPr>
          <w:lang w:val="fr-FR"/>
        </w:rPr>
        <w:t>’</w:t>
      </w:r>
      <w:r w:rsidRPr="00521891">
        <w:rPr>
          <w:lang w:val="fr-FR"/>
        </w:rPr>
        <w:t>accueil de 15 000.</w:t>
      </w:r>
    </w:p>
    <w:p w:rsidR="00C06068" w:rsidRPr="00521891" w:rsidRDefault="00C06068" w:rsidP="00C06068">
      <w:pPr>
        <w:pStyle w:val="SingleTxt"/>
        <w:numPr>
          <w:ilvl w:val="0"/>
          <w:numId w:val="10"/>
        </w:numPr>
        <w:rPr>
          <w:lang w:val="fr-FR"/>
        </w:rPr>
      </w:pPr>
      <w:r w:rsidRPr="00521891">
        <w:rPr>
          <w:lang w:val="fr-FR"/>
        </w:rPr>
        <w:t>Toutefois, cette situation n</w:t>
      </w:r>
      <w:r>
        <w:rPr>
          <w:lang w:val="fr-FR"/>
        </w:rPr>
        <w:t>’</w:t>
      </w:r>
      <w:r w:rsidRPr="00521891">
        <w:rPr>
          <w:lang w:val="fr-FR"/>
        </w:rPr>
        <w:t>affecte pas les cas des femmes détenues.</w:t>
      </w:r>
    </w:p>
    <w:p w:rsidR="00C06068" w:rsidRPr="00521891" w:rsidRDefault="00C06068" w:rsidP="00C06068">
      <w:pPr>
        <w:pStyle w:val="SingleTxt"/>
        <w:numPr>
          <w:ilvl w:val="0"/>
          <w:numId w:val="10"/>
        </w:numPr>
        <w:rPr>
          <w:lang w:val="fr-FR"/>
        </w:rPr>
      </w:pPr>
      <w:r w:rsidRPr="00521891">
        <w:rPr>
          <w:lang w:val="fr-FR"/>
        </w:rPr>
        <w:t>Dans l</w:t>
      </w:r>
      <w:r>
        <w:rPr>
          <w:lang w:val="fr-FR"/>
        </w:rPr>
        <w:t>’</w:t>
      </w:r>
      <w:r w:rsidRPr="00521891">
        <w:rPr>
          <w:lang w:val="fr-FR"/>
        </w:rPr>
        <w:t>optique de remédier à cette situation, le Ministère de la justice appuyé par le PNUD et le HCDH a organisé une visite d</w:t>
      </w:r>
      <w:r>
        <w:rPr>
          <w:lang w:val="fr-FR"/>
        </w:rPr>
        <w:t>’</w:t>
      </w:r>
      <w:r w:rsidRPr="00521891">
        <w:rPr>
          <w:lang w:val="fr-FR"/>
        </w:rPr>
        <w:t xml:space="preserve">exploration des bonnes pratiques rwandaises en matière de lutte contre la surpopulation carcérale. Ce pays, à travers une politique de réhabilitation des détenus, est parvenu en </w:t>
      </w:r>
      <w:r>
        <w:rPr>
          <w:lang w:val="fr-FR"/>
        </w:rPr>
        <w:t xml:space="preserve">17 </w:t>
      </w:r>
      <w:r w:rsidRPr="00521891">
        <w:rPr>
          <w:lang w:val="fr-FR"/>
        </w:rPr>
        <w:t>ans à ramener le nombre de détenus de 150 000 à 56 000.</w:t>
      </w:r>
    </w:p>
    <w:p w:rsidR="00C06068" w:rsidRPr="00521891" w:rsidRDefault="00C06068" w:rsidP="00C06068">
      <w:pPr>
        <w:pStyle w:val="SingleTxt"/>
        <w:numPr>
          <w:ilvl w:val="0"/>
          <w:numId w:val="10"/>
        </w:numPr>
        <w:rPr>
          <w:lang w:val="fr-FR"/>
        </w:rPr>
      </w:pPr>
      <w:r w:rsidRPr="00521891">
        <w:rPr>
          <w:lang w:val="fr-FR"/>
        </w:rPr>
        <w:t>Les leçons apprises au cours de cette visite seront mises à profit pour l</w:t>
      </w:r>
      <w:r>
        <w:rPr>
          <w:lang w:val="fr-FR"/>
        </w:rPr>
        <w:t>’</w:t>
      </w:r>
      <w:r w:rsidRPr="00521891">
        <w:rPr>
          <w:lang w:val="fr-FR"/>
        </w:rPr>
        <w:t>amélioration du système pénitentiaire en vue de combattre</w:t>
      </w:r>
      <w:r>
        <w:rPr>
          <w:lang w:val="fr-FR"/>
        </w:rPr>
        <w:t xml:space="preserve"> la surpopulation carcérale et d’</w:t>
      </w:r>
      <w:r w:rsidRPr="00521891">
        <w:rPr>
          <w:lang w:val="fr-FR"/>
        </w:rPr>
        <w:t>améliorer les conditions de vie carcérale incluant celles des femmes.</w:t>
      </w:r>
    </w:p>
    <w:p w:rsidR="00C06068" w:rsidRPr="008763DE" w:rsidRDefault="00C06068" w:rsidP="00C06068">
      <w:pPr>
        <w:pStyle w:val="SingleTxt"/>
        <w:spacing w:after="0" w:line="120" w:lineRule="exact"/>
        <w:rPr>
          <w:sz w:val="10"/>
          <w:lang w:val="fr-FR"/>
        </w:rPr>
      </w:pPr>
      <w:bookmarkStart w:id="37" w:name="_Toc376709303"/>
    </w:p>
    <w:p w:rsidR="00C06068" w:rsidRPr="00521891" w:rsidRDefault="00C06068" w:rsidP="00C060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Deuxième partie</w:t>
      </w:r>
      <w:r>
        <w:rPr>
          <w:lang w:val="fr-FR"/>
        </w:rPr>
        <w:br/>
        <w:t>A</w:t>
      </w:r>
      <w:r w:rsidRPr="00521891">
        <w:rPr>
          <w:lang w:val="fr-FR"/>
        </w:rPr>
        <w:t>pplication des articles 1 à 16 de la Convention</w:t>
      </w:r>
      <w:bookmarkEnd w:id="37"/>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8" w:name="_Toc376709304"/>
      <w:r w:rsidRPr="00521891">
        <w:rPr>
          <w:lang w:val="fr-FR"/>
        </w:rPr>
        <w:tab/>
      </w:r>
      <w:r w:rsidRPr="00521891">
        <w:rPr>
          <w:lang w:val="fr-FR"/>
        </w:rPr>
        <w:tab/>
        <w:t>Application de l</w:t>
      </w:r>
      <w:r>
        <w:rPr>
          <w:lang w:val="fr-FR"/>
        </w:rPr>
        <w:t>’</w:t>
      </w:r>
      <w:r w:rsidRPr="00521891">
        <w:rPr>
          <w:lang w:val="fr-FR"/>
        </w:rPr>
        <w:t xml:space="preserve">article 1 de la Convention : définition </w:t>
      </w:r>
      <w:r w:rsidRPr="00521891">
        <w:rPr>
          <w:lang w:val="fr-FR"/>
        </w:rPr>
        <w:br/>
        <w:t>de la discrimination à l</w:t>
      </w:r>
      <w:r>
        <w:rPr>
          <w:lang w:val="fr-FR"/>
        </w:rPr>
        <w:t>’</w:t>
      </w:r>
      <w:r w:rsidRPr="00521891">
        <w:rPr>
          <w:lang w:val="fr-FR"/>
        </w:rPr>
        <w:t>égard des femmes</w:t>
      </w:r>
      <w:bookmarkEnd w:id="38"/>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rPr>
          <w:lang w:val="fr-FR"/>
        </w:rPr>
      </w:pPr>
      <w:r w:rsidRPr="00521891">
        <w:rPr>
          <w:lang w:val="fr-FR"/>
        </w:rPr>
        <w:t>(</w:t>
      </w:r>
      <w:r w:rsidRPr="00C119E2">
        <w:rPr>
          <w:i/>
          <w:lang w:val="fr-FR"/>
        </w:rPr>
        <w:t>Objet de la recommandation dans le paragraphe 11</w:t>
      </w:r>
      <w:r w:rsidRPr="00521891">
        <w:rPr>
          <w:lang w:val="fr-FR"/>
        </w:rPr>
        <w:t>)</w:t>
      </w:r>
    </w:p>
    <w:p w:rsidR="00C06068" w:rsidRPr="00C119E2" w:rsidRDefault="00C06068" w:rsidP="00C06068">
      <w:pPr>
        <w:pStyle w:val="SingleTxt"/>
        <w:rPr>
          <w:i/>
          <w:lang w:val="fr-FR"/>
        </w:rPr>
      </w:pPr>
      <w:r w:rsidRPr="00521891">
        <w:rPr>
          <w:bCs/>
          <w:lang w:val="fr-FR"/>
        </w:rPr>
        <w:tab/>
      </w:r>
      <w:r w:rsidRPr="00C119E2">
        <w:rPr>
          <w:bCs/>
          <w:i/>
          <w:lang w:val="fr-FR"/>
        </w:rPr>
        <w:t>Le Comité recommande que l’État partie intègre dans sa Constitution ou dans tout autre acte législatif pertinent une définition de la discrimination à l’égard des femmes englobant la discrimination directe aussi bien que la discrimination indirecte et conforme à l’article 1 de la Convention. Il lui recommande en outre de faire en sorte que la définition de la discrimination indirecte englobe la discrimination sexiste et les nombreuses autres formes de discrimination indirecte auxquelles les femmes peuvent être en butte. Le Comité engage l’État partie à prendre d’autres mesures pour faire en sorte que la Convention soit suffisamment connue et appliquée par l’État partie en tant que cadre pour toutes les lois et politiques concernant l’égalité des sexes et la promotion de la femme. Il l’invite en outre à prendre de nouvelles mesures pour mieux faire connaître la Convention et ses propres recommandations générales et à mettre en place, à l’intention des procureurs, des juges, des avocats et des autorités du système de justice coutumière, des programmes de formation portant sur la Convention et son application. Il recommande que des campagnes de sensibilisation et d’information juridique soient organisées à l’intention des femmes, notamment de celles vivant en milieu rural, et des organisations non gouvernementales qui défendent les intérêts des femmes afin de les encourager à utiliser les procédures et voies de recours à leur disposition en cas de violation de leurs droits.</w:t>
      </w:r>
    </w:p>
    <w:p w:rsidR="00C06068" w:rsidRPr="00521891" w:rsidRDefault="00C06068" w:rsidP="00C06068">
      <w:pPr>
        <w:pStyle w:val="SingleTxt"/>
        <w:numPr>
          <w:ilvl w:val="0"/>
          <w:numId w:val="10"/>
        </w:numPr>
        <w:rPr>
          <w:lang w:val="fr-FR"/>
        </w:rPr>
      </w:pPr>
      <w:r w:rsidRPr="00521891">
        <w:rPr>
          <w:lang w:val="fr-FR"/>
        </w:rPr>
        <w:t>Même en l</w:t>
      </w:r>
      <w:r>
        <w:rPr>
          <w:lang w:val="fr-FR"/>
        </w:rPr>
        <w:t>’</w:t>
      </w:r>
      <w:r w:rsidRPr="00521891">
        <w:rPr>
          <w:lang w:val="fr-FR"/>
        </w:rPr>
        <w:t>absence d</w:t>
      </w:r>
      <w:r>
        <w:rPr>
          <w:lang w:val="fr-FR"/>
        </w:rPr>
        <w:t>’</w:t>
      </w:r>
      <w:r w:rsidRPr="00521891">
        <w:rPr>
          <w:lang w:val="fr-FR"/>
        </w:rPr>
        <w:t>une révision constitutionnelle et législative définissant la discrimination conformément au paragraphe 11 des observations finales du Comité, les lois existantes prennent en compte la non-discrimination des femmes en matière de reconnaissance et de jouissance de leurs droits civils, politiques et d</w:t>
      </w:r>
      <w:r>
        <w:rPr>
          <w:lang w:val="fr-FR"/>
        </w:rPr>
        <w:t>’</w:t>
      </w:r>
      <w:r w:rsidRPr="00521891">
        <w:rPr>
          <w:lang w:val="fr-FR"/>
        </w:rPr>
        <w:t>accès aux droits à la santé, à l</w:t>
      </w:r>
      <w:r>
        <w:rPr>
          <w:lang w:val="fr-FR"/>
        </w:rPr>
        <w:t>’</w:t>
      </w:r>
      <w:r w:rsidRPr="00521891">
        <w:rPr>
          <w:lang w:val="fr-FR"/>
        </w:rPr>
        <w:t>éducation et à l</w:t>
      </w:r>
      <w:r>
        <w:rPr>
          <w:lang w:val="fr-FR"/>
        </w:rPr>
        <w:t>’</w:t>
      </w:r>
      <w:r w:rsidRPr="00521891">
        <w:rPr>
          <w:lang w:val="fr-FR"/>
        </w:rPr>
        <w:t>emploi.</w:t>
      </w:r>
    </w:p>
    <w:p w:rsidR="00C06068" w:rsidRPr="00521891" w:rsidRDefault="00C06068" w:rsidP="00C06068">
      <w:pPr>
        <w:pStyle w:val="SingleTxt"/>
        <w:numPr>
          <w:ilvl w:val="0"/>
          <w:numId w:val="10"/>
        </w:numPr>
        <w:rPr>
          <w:lang w:val="fr-FR"/>
        </w:rPr>
      </w:pPr>
      <w:r w:rsidRPr="00521891">
        <w:rPr>
          <w:lang w:val="fr-FR"/>
        </w:rPr>
        <w:t>Les lacunes constatées par le Comité dans sa recommandation feront l</w:t>
      </w:r>
      <w:r>
        <w:rPr>
          <w:lang w:val="fr-FR"/>
        </w:rPr>
        <w:t>’</w:t>
      </w:r>
      <w:r w:rsidRPr="00521891">
        <w:rPr>
          <w:lang w:val="fr-FR"/>
        </w:rPr>
        <w:t>objet d</w:t>
      </w:r>
      <w:r>
        <w:rPr>
          <w:lang w:val="fr-FR"/>
        </w:rPr>
        <w:t>’</w:t>
      </w:r>
      <w:r w:rsidRPr="00521891">
        <w:rPr>
          <w:lang w:val="fr-FR"/>
        </w:rPr>
        <w:t>une réforme législative après la mise en place du Parlement de la quatrième République.</w:t>
      </w:r>
    </w:p>
    <w:p w:rsidR="00C06068" w:rsidRPr="00521891" w:rsidRDefault="00C06068" w:rsidP="00C06068">
      <w:pPr>
        <w:pStyle w:val="SingleTxt"/>
        <w:numPr>
          <w:ilvl w:val="0"/>
          <w:numId w:val="10"/>
        </w:numPr>
        <w:rPr>
          <w:lang w:val="fr-FR"/>
        </w:rPr>
      </w:pPr>
      <w:r w:rsidRPr="00521891">
        <w:rPr>
          <w:lang w:val="fr-FR"/>
        </w:rPr>
        <w:t>Le PANAGED, évoqué dans le précèdent rapport a fait l</w:t>
      </w:r>
      <w:r>
        <w:rPr>
          <w:lang w:val="fr-FR"/>
        </w:rPr>
        <w:t>’</w:t>
      </w:r>
      <w:r w:rsidRPr="00521891">
        <w:rPr>
          <w:lang w:val="fr-FR"/>
        </w:rPr>
        <w:t>objet d</w:t>
      </w:r>
      <w:r>
        <w:rPr>
          <w:lang w:val="fr-FR"/>
        </w:rPr>
        <w:t>’</w:t>
      </w:r>
      <w:r w:rsidRPr="00521891">
        <w:rPr>
          <w:lang w:val="fr-FR"/>
        </w:rPr>
        <w:t>une évaluation. Des recommandations ont été émises en vue de son prolongement dans le futur.</w:t>
      </w:r>
    </w:p>
    <w:p w:rsidR="00C06068" w:rsidRPr="00521891" w:rsidRDefault="00C06068" w:rsidP="00C06068">
      <w:pPr>
        <w:pStyle w:val="SingleTxt"/>
        <w:numPr>
          <w:ilvl w:val="0"/>
          <w:numId w:val="10"/>
        </w:numPr>
        <w:rPr>
          <w:lang w:val="fr-FR"/>
        </w:rPr>
      </w:pPr>
      <w:r w:rsidRPr="00521891">
        <w:rPr>
          <w:lang w:val="fr-FR"/>
        </w:rPr>
        <w:t>En 2010, avec l</w:t>
      </w:r>
      <w:r>
        <w:rPr>
          <w:lang w:val="fr-FR"/>
        </w:rPr>
        <w:t>’</w:t>
      </w:r>
      <w:r w:rsidRPr="00521891">
        <w:rPr>
          <w:lang w:val="fr-FR"/>
        </w:rPr>
        <w:t>appui du PNUD, le Ministère de l</w:t>
      </w:r>
      <w:r>
        <w:rPr>
          <w:lang w:val="fr-FR"/>
        </w:rPr>
        <w:t>’</w:t>
      </w:r>
      <w:r w:rsidRPr="00521891">
        <w:rPr>
          <w:lang w:val="fr-FR"/>
        </w:rPr>
        <w:t>éducation nationale par l</w:t>
      </w:r>
      <w:r>
        <w:rPr>
          <w:lang w:val="fr-FR"/>
        </w:rPr>
        <w:t>’</w:t>
      </w:r>
      <w:r w:rsidRPr="00521891">
        <w:rPr>
          <w:lang w:val="fr-FR"/>
        </w:rPr>
        <w:t>intermédiaire de l</w:t>
      </w:r>
      <w:r>
        <w:rPr>
          <w:lang w:val="fr-FR"/>
        </w:rPr>
        <w:t>’</w:t>
      </w:r>
      <w:r w:rsidRPr="00521891">
        <w:rPr>
          <w:lang w:val="fr-FR"/>
        </w:rPr>
        <w:t>Office de l</w:t>
      </w:r>
      <w:r>
        <w:rPr>
          <w:lang w:val="fr-FR"/>
        </w:rPr>
        <w:t>’</w:t>
      </w:r>
      <w:r w:rsidRPr="00521891">
        <w:rPr>
          <w:lang w:val="fr-FR"/>
        </w:rPr>
        <w:t>éducation de masse et du civisme a traduit en malagasy et diffusé la Convention sur l</w:t>
      </w:r>
      <w:r>
        <w:rPr>
          <w:lang w:val="fr-FR"/>
        </w:rPr>
        <w:t>’</w:t>
      </w:r>
      <w:r w:rsidRPr="00521891">
        <w:rPr>
          <w:lang w:val="fr-FR"/>
        </w:rPr>
        <w:t>élimination de toutes formes de discrimination à l</w:t>
      </w:r>
      <w:r>
        <w:rPr>
          <w:lang w:val="fr-FR"/>
        </w:rPr>
        <w:t>’</w:t>
      </w:r>
      <w:r w:rsidRPr="00521891">
        <w:rPr>
          <w:lang w:val="fr-FR"/>
        </w:rPr>
        <w:t>égard des femmes à l</w:t>
      </w:r>
      <w:r>
        <w:rPr>
          <w:lang w:val="fr-FR"/>
        </w:rPr>
        <w:t>’</w:t>
      </w:r>
      <w:r w:rsidRPr="00521891">
        <w:rPr>
          <w:lang w:val="fr-FR"/>
        </w:rPr>
        <w:t>intention des élèves du CEG et du lycée. En outre, la CEDEF a été intégrée dans les nouveaux curricula d</w:t>
      </w:r>
      <w:r>
        <w:rPr>
          <w:lang w:val="fr-FR"/>
        </w:rPr>
        <w:t>’</w:t>
      </w:r>
      <w:r w:rsidRPr="00521891">
        <w:rPr>
          <w:lang w:val="fr-FR"/>
        </w:rPr>
        <w:t>éducation civique.</w:t>
      </w:r>
    </w:p>
    <w:p w:rsidR="00C06068" w:rsidRPr="00521891" w:rsidRDefault="00C06068" w:rsidP="00C06068">
      <w:pPr>
        <w:pStyle w:val="SingleTxt"/>
        <w:numPr>
          <w:ilvl w:val="0"/>
          <w:numId w:val="10"/>
        </w:numPr>
        <w:rPr>
          <w:lang w:val="fr-FR"/>
        </w:rPr>
      </w:pPr>
      <w:r w:rsidRPr="00521891">
        <w:rPr>
          <w:lang w:val="fr-FR"/>
        </w:rPr>
        <w:t>Dans le cadre des campagnes de sensibilisation pour faire connaître la Convention, le Ministère de la justice, appuyé par le PNUD</w:t>
      </w:r>
      <w:r>
        <w:rPr>
          <w:lang w:val="fr-FR"/>
        </w:rPr>
        <w:t>,</w:t>
      </w:r>
      <w:r w:rsidRPr="00521891">
        <w:rPr>
          <w:lang w:val="fr-FR"/>
        </w:rPr>
        <w:t xml:space="preserve"> a produit un film éducatif sur l</w:t>
      </w:r>
      <w:r>
        <w:rPr>
          <w:lang w:val="fr-FR"/>
        </w:rPr>
        <w:t>’</w:t>
      </w:r>
      <w:r w:rsidRPr="00521891">
        <w:rPr>
          <w:lang w:val="fr-FR"/>
        </w:rPr>
        <w:t>interdiction des violences et des violences conjugales à l</w:t>
      </w:r>
      <w:r>
        <w:rPr>
          <w:lang w:val="fr-FR"/>
        </w:rPr>
        <w:t>’</w:t>
      </w:r>
      <w:r w:rsidRPr="00521891">
        <w:rPr>
          <w:lang w:val="fr-FR"/>
        </w:rPr>
        <w:t xml:space="preserve">encontre des femmes à travers les films </w:t>
      </w:r>
      <w:r w:rsidRPr="002E382B">
        <w:rPr>
          <w:i/>
          <w:lang w:val="fr-FR"/>
        </w:rPr>
        <w:t>Aina</w:t>
      </w:r>
      <w:r w:rsidRPr="00521891">
        <w:rPr>
          <w:lang w:val="fr-FR"/>
        </w:rPr>
        <w:t xml:space="preserve"> et </w:t>
      </w:r>
      <w:r w:rsidRPr="002E382B">
        <w:rPr>
          <w:i/>
          <w:lang w:val="fr-FR"/>
        </w:rPr>
        <w:t>Fandrika</w:t>
      </w:r>
      <w:r w:rsidRPr="00521891">
        <w:rPr>
          <w:lang w:val="fr-FR"/>
        </w:rPr>
        <w:t>. Ces films ont été diffusés sur toutes les chaînes de télévision à l</w:t>
      </w:r>
      <w:r>
        <w:rPr>
          <w:lang w:val="fr-FR"/>
        </w:rPr>
        <w:t>’</w:t>
      </w:r>
      <w:r w:rsidRPr="00521891">
        <w:rPr>
          <w:lang w:val="fr-FR"/>
        </w:rPr>
        <w:t>occasion de la journée du 8 mars et du 10 décembre</w:t>
      </w:r>
      <w:r>
        <w:rPr>
          <w:lang w:val="fr-FR"/>
        </w:rPr>
        <w:t xml:space="preserve"> 2010 à </w:t>
      </w:r>
      <w:r w:rsidRPr="00521891">
        <w:rPr>
          <w:lang w:val="fr-FR"/>
        </w:rPr>
        <w:t>2012.</w:t>
      </w:r>
    </w:p>
    <w:p w:rsidR="00C06068" w:rsidRPr="00521891" w:rsidRDefault="00C06068" w:rsidP="00C06068">
      <w:pPr>
        <w:pStyle w:val="SingleTxt"/>
        <w:numPr>
          <w:ilvl w:val="0"/>
          <w:numId w:val="10"/>
        </w:numPr>
        <w:rPr>
          <w:lang w:val="fr-FR"/>
        </w:rPr>
      </w:pPr>
      <w:r w:rsidRPr="00521891">
        <w:rPr>
          <w:lang w:val="fr-FR"/>
        </w:rPr>
        <w:t>En 2012, avec l</w:t>
      </w:r>
      <w:r>
        <w:rPr>
          <w:lang w:val="fr-FR"/>
        </w:rPr>
        <w:t>’</w:t>
      </w:r>
      <w:r w:rsidRPr="00521891">
        <w:rPr>
          <w:lang w:val="fr-FR"/>
        </w:rPr>
        <w:t>appui du PNUD et du Haut-Commissariat aux droits de l</w:t>
      </w:r>
      <w:r>
        <w:rPr>
          <w:lang w:val="fr-FR"/>
        </w:rPr>
        <w:t>’</w:t>
      </w:r>
      <w:r w:rsidRPr="00521891">
        <w:rPr>
          <w:lang w:val="fr-FR"/>
        </w:rPr>
        <w:t>homme, des manuels de formation en droits de l</w:t>
      </w:r>
      <w:r>
        <w:rPr>
          <w:lang w:val="fr-FR"/>
        </w:rPr>
        <w:t>’</w:t>
      </w:r>
      <w:r w:rsidRPr="00521891">
        <w:rPr>
          <w:lang w:val="fr-FR"/>
        </w:rPr>
        <w:t>homme incluant la lutte contre la discrimination à l</w:t>
      </w:r>
      <w:r>
        <w:rPr>
          <w:lang w:val="fr-FR"/>
        </w:rPr>
        <w:t>’</w:t>
      </w:r>
      <w:r w:rsidRPr="00521891">
        <w:rPr>
          <w:lang w:val="fr-FR"/>
        </w:rPr>
        <w:t>égard des femmes ont été édités en 2 000 exemplaires et distribués à l</w:t>
      </w:r>
      <w:r>
        <w:rPr>
          <w:lang w:val="fr-FR"/>
        </w:rPr>
        <w:t>’</w:t>
      </w:r>
      <w:r w:rsidRPr="00521891">
        <w:rPr>
          <w:lang w:val="fr-FR"/>
        </w:rPr>
        <w:t>intention des formateurs en droits de l</w:t>
      </w:r>
      <w:r>
        <w:rPr>
          <w:lang w:val="fr-FR"/>
        </w:rPr>
        <w:t>’</w:t>
      </w:r>
      <w:r w:rsidRPr="00521891">
        <w:rPr>
          <w:lang w:val="fr-FR"/>
        </w:rPr>
        <w:t>homme dans les grandes écoles professionnelles de la magistrature, de la police, de la gendarmerie, de l</w:t>
      </w:r>
      <w:r>
        <w:rPr>
          <w:lang w:val="fr-FR"/>
        </w:rPr>
        <w:t>’</w:t>
      </w:r>
      <w:r w:rsidRPr="00521891">
        <w:rPr>
          <w:lang w:val="fr-FR"/>
        </w:rPr>
        <w:t>armée et de l</w:t>
      </w:r>
      <w:r>
        <w:rPr>
          <w:lang w:val="fr-FR"/>
        </w:rPr>
        <w:t>’</w:t>
      </w:r>
      <w:r w:rsidRPr="00521891">
        <w:rPr>
          <w:lang w:val="fr-FR"/>
        </w:rPr>
        <w:t>administration pénitentiaire.</w:t>
      </w:r>
    </w:p>
    <w:p w:rsidR="00C06068" w:rsidRPr="00521891" w:rsidRDefault="00C06068" w:rsidP="00C06068">
      <w:pPr>
        <w:pStyle w:val="SingleTxt"/>
        <w:numPr>
          <w:ilvl w:val="0"/>
          <w:numId w:val="10"/>
        </w:numPr>
        <w:rPr>
          <w:lang w:val="fr-FR"/>
        </w:rPr>
      </w:pPr>
      <w:r w:rsidRPr="00521891">
        <w:rPr>
          <w:lang w:val="fr-FR"/>
        </w:rPr>
        <w:t>Par ailleurs, avec l</w:t>
      </w:r>
      <w:r>
        <w:rPr>
          <w:lang w:val="fr-FR"/>
        </w:rPr>
        <w:t>’</w:t>
      </w:r>
      <w:r w:rsidRPr="00521891">
        <w:rPr>
          <w:lang w:val="fr-FR"/>
        </w:rPr>
        <w:t>appui du PNUD et du HCDH, des formations à l</w:t>
      </w:r>
      <w:r>
        <w:rPr>
          <w:lang w:val="fr-FR"/>
        </w:rPr>
        <w:t>’</w:t>
      </w:r>
      <w:r w:rsidRPr="00521891">
        <w:rPr>
          <w:lang w:val="fr-FR"/>
        </w:rPr>
        <w:t>intention des responsables de l</w:t>
      </w:r>
      <w:r>
        <w:rPr>
          <w:lang w:val="fr-FR"/>
        </w:rPr>
        <w:t>’</w:t>
      </w:r>
      <w:r w:rsidRPr="00521891">
        <w:rPr>
          <w:lang w:val="fr-FR"/>
        </w:rPr>
        <w:t>application des lois à Toamasina, Antsirabe et à Fort Dauphin incluant les magistrats, les officiers de police judiciaires, les responsables pénitentiaire et les militaires sur l</w:t>
      </w:r>
      <w:r>
        <w:rPr>
          <w:lang w:val="fr-FR"/>
        </w:rPr>
        <w:t>’</w:t>
      </w:r>
      <w:r w:rsidRPr="00521891">
        <w:rPr>
          <w:lang w:val="fr-FR"/>
        </w:rPr>
        <w:t>interdiction de la discrimination à l</w:t>
      </w:r>
      <w:r>
        <w:rPr>
          <w:lang w:val="fr-FR"/>
        </w:rPr>
        <w:t>’</w:t>
      </w:r>
      <w:r w:rsidRPr="00521891">
        <w:rPr>
          <w:lang w:val="fr-FR"/>
        </w:rPr>
        <w:t>égard des femmes ont été effectuées respectivement en février 2013 et mai 2013.</w:t>
      </w:r>
    </w:p>
    <w:p w:rsidR="00C06068" w:rsidRPr="00521891" w:rsidRDefault="00C06068" w:rsidP="00C06068">
      <w:pPr>
        <w:pStyle w:val="SingleTxt"/>
        <w:numPr>
          <w:ilvl w:val="0"/>
          <w:numId w:val="10"/>
        </w:numPr>
        <w:rPr>
          <w:lang w:val="fr-FR"/>
        </w:rPr>
      </w:pPr>
      <w:r w:rsidRPr="00521891">
        <w:rPr>
          <w:lang w:val="fr-FR"/>
        </w:rPr>
        <w:t>Depuis 2008, ont pu bénéficier des mêmes formations, les membres des cliniques juridiques, les membres du CECJ et les associations des femmes de Mananjary, Farafangana, Manakara, Fort Dauphin, Tuléar, Andohatapenaka, Ihosy, Ambalavao et Sakaraha.</w:t>
      </w:r>
    </w:p>
    <w:p w:rsidR="00C06068" w:rsidRPr="00521891" w:rsidRDefault="00C06068" w:rsidP="00C06068">
      <w:pPr>
        <w:pStyle w:val="SingleTxt"/>
        <w:numPr>
          <w:ilvl w:val="0"/>
          <w:numId w:val="10"/>
        </w:numPr>
        <w:rPr>
          <w:lang w:val="fr-FR"/>
        </w:rPr>
      </w:pPr>
      <w:r>
        <w:rPr>
          <w:lang w:val="fr-FR"/>
        </w:rPr>
        <w:t>Appuyé</w:t>
      </w:r>
      <w:r w:rsidRPr="00521891">
        <w:rPr>
          <w:lang w:val="fr-FR"/>
        </w:rPr>
        <w:t xml:space="preserve"> par le PNUD, le Ministère de la justice a mis en place des mécanismes de monitoring de l</w:t>
      </w:r>
      <w:r>
        <w:rPr>
          <w:lang w:val="fr-FR"/>
        </w:rPr>
        <w:t>’</w:t>
      </w:r>
      <w:r w:rsidRPr="00521891">
        <w:rPr>
          <w:lang w:val="fr-FR"/>
        </w:rPr>
        <w:t xml:space="preserve">accès à la justice et des violences sexuelles et basées sur le genre dans trois villes de Madagascar, à savoir Antananarivo, Diego et Tuléar. Les matériels informatiques destinés aux bureaux de suivi des violences sexuelles et basées sur le genre ont été remis à toutes les parties prenantes dont les </w:t>
      </w:r>
      <w:r>
        <w:rPr>
          <w:lang w:val="fr-FR"/>
        </w:rPr>
        <w:t>communes, districts, M</w:t>
      </w:r>
      <w:r w:rsidRPr="00521891">
        <w:rPr>
          <w:lang w:val="fr-FR"/>
        </w:rPr>
        <w:t>inistère de la population, tribunal de première instance et cours d</w:t>
      </w:r>
      <w:r>
        <w:rPr>
          <w:lang w:val="fr-FR"/>
        </w:rPr>
        <w:t>’</w:t>
      </w:r>
      <w:r w:rsidRPr="00521891">
        <w:rPr>
          <w:lang w:val="fr-FR"/>
        </w:rPr>
        <w:t>appel de ces trois localités et Ministère de la justice depuis mai 2012.</w:t>
      </w:r>
    </w:p>
    <w:p w:rsidR="00C06068" w:rsidRPr="00521891" w:rsidRDefault="00C06068" w:rsidP="00C06068">
      <w:pPr>
        <w:pStyle w:val="SingleTxt"/>
        <w:numPr>
          <w:ilvl w:val="0"/>
          <w:numId w:val="10"/>
        </w:numPr>
        <w:rPr>
          <w:lang w:val="fr-FR"/>
        </w:rPr>
      </w:pPr>
      <w:r w:rsidRPr="00521891">
        <w:rPr>
          <w:lang w:val="fr-FR"/>
        </w:rPr>
        <w:t>Les responsables des mécanismes de monitoring dans les trois régions pilotes ont été tous formés sur l</w:t>
      </w:r>
      <w:r>
        <w:rPr>
          <w:lang w:val="fr-FR"/>
        </w:rPr>
        <w:t>’</w:t>
      </w:r>
      <w:r w:rsidRPr="00521891">
        <w:rPr>
          <w:lang w:val="fr-FR"/>
        </w:rPr>
        <w:t>utilisation du logiciel en 2012.</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objectif est de disp</w:t>
      </w:r>
      <w:r>
        <w:rPr>
          <w:lang w:val="fr-FR"/>
        </w:rPr>
        <w:t>oser des mécanismes de collecte</w:t>
      </w:r>
      <w:r w:rsidRPr="00521891">
        <w:rPr>
          <w:lang w:val="fr-FR"/>
        </w:rPr>
        <w:t xml:space="preserve"> des données fiables incluant celles liées à toutes formes de discrimination à l</w:t>
      </w:r>
      <w:r>
        <w:rPr>
          <w:lang w:val="fr-FR"/>
        </w:rPr>
        <w:t>’</w:t>
      </w:r>
      <w:r w:rsidRPr="00521891">
        <w:rPr>
          <w:lang w:val="fr-FR"/>
        </w:rPr>
        <w:t>égard des femmes afin que l</w:t>
      </w:r>
      <w:r>
        <w:rPr>
          <w:lang w:val="fr-FR"/>
        </w:rPr>
        <w:t>’</w:t>
      </w:r>
      <w:r w:rsidRPr="00521891">
        <w:rPr>
          <w:lang w:val="fr-FR"/>
        </w:rPr>
        <w:t>on puisse procéder à une analyse utile à l</w:t>
      </w:r>
      <w:r>
        <w:rPr>
          <w:lang w:val="fr-FR"/>
        </w:rPr>
        <w:t>’</w:t>
      </w:r>
      <w:r w:rsidRPr="00521891">
        <w:rPr>
          <w:lang w:val="fr-FR"/>
        </w:rPr>
        <w:t>élaboration d</w:t>
      </w:r>
      <w:r>
        <w:rPr>
          <w:lang w:val="fr-FR"/>
        </w:rPr>
        <w:t>’</w:t>
      </w:r>
      <w:r w:rsidRPr="00521891">
        <w:rPr>
          <w:lang w:val="fr-FR"/>
        </w:rPr>
        <w:t>une politique nationale de promotion et de protection des droits de l</w:t>
      </w:r>
      <w:r>
        <w:rPr>
          <w:lang w:val="fr-FR"/>
        </w:rPr>
        <w:t>’</w:t>
      </w:r>
      <w:r w:rsidRPr="00521891">
        <w:rPr>
          <w:lang w:val="fr-FR"/>
        </w:rPr>
        <w:t>homme et en particulier les droits de la femme et des enfants.</w:t>
      </w:r>
    </w:p>
    <w:p w:rsidR="00C06068" w:rsidRPr="00521891" w:rsidRDefault="00C06068" w:rsidP="00C06068">
      <w:pPr>
        <w:pStyle w:val="SingleTxt"/>
        <w:spacing w:after="0" w:line="120" w:lineRule="exact"/>
        <w:rPr>
          <w:b/>
          <w:sz w:val="10"/>
          <w:lang w:val="fr-FR"/>
        </w:rPr>
      </w:pPr>
      <w:bookmarkStart w:id="39" w:name="_Toc376709305"/>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 xml:space="preserve">Application des articles 2 et 5 : élimination de la discrimination </w:t>
      </w:r>
      <w:r w:rsidRPr="00521891">
        <w:rPr>
          <w:lang w:val="fr-FR"/>
        </w:rPr>
        <w:br/>
        <w:t>à l</w:t>
      </w:r>
      <w:r>
        <w:rPr>
          <w:lang w:val="fr-FR"/>
        </w:rPr>
        <w:t>’</w:t>
      </w:r>
      <w:r w:rsidRPr="00521891">
        <w:rPr>
          <w:lang w:val="fr-FR"/>
        </w:rPr>
        <w:t>égard des femmes</w:t>
      </w:r>
      <w:bookmarkEnd w:id="39"/>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C119E2">
        <w:rPr>
          <w:i/>
          <w:lang w:val="fr-FR"/>
        </w:rPr>
        <w:t>Objet de la recommandation dans le paragraphe 17</w:t>
      </w:r>
      <w:r w:rsidRPr="00521891">
        <w:rPr>
          <w:lang w:val="fr-FR"/>
        </w:rPr>
        <w:t>)</w:t>
      </w:r>
    </w:p>
    <w:p w:rsidR="00C06068" w:rsidRPr="00C119E2" w:rsidRDefault="00C06068" w:rsidP="00C06068">
      <w:pPr>
        <w:pStyle w:val="SingleTxt"/>
        <w:rPr>
          <w:i/>
          <w:lang w:val="fr-FR"/>
        </w:rPr>
      </w:pPr>
      <w:r w:rsidRPr="00521891">
        <w:rPr>
          <w:bCs/>
          <w:lang w:val="fr-FR"/>
        </w:rPr>
        <w:tab/>
      </w:r>
      <w:r w:rsidRPr="00C119E2">
        <w:rPr>
          <w:bCs/>
          <w:i/>
          <w:lang w:val="fr-FR"/>
        </w:rPr>
        <w:t>Le Comité prie l’État partie de considérer que les coutumes culturelles nationales sont des aspects dynamiques de la vie et du tissu social du pays et, par conséquent, susceptibles de changer. Il lui demande instamment de mettre en place sans plus tarder une stratégie globale, comportant un volet législatif, afin de modifier ou d’éliminer les pratiques culturelles et les stéréotypes qui constituent une discrimination à l’égard des femmes conformément à l’alinéa f) de l’article 2 et à l’alinéa a) de l’article 5 de la Convention. Ces mesures doivent comprendre des activités de sensibilisation à la question qui doivent être menées en collaboration avec la société civile, s’adressant tant aux hommes qu’aux femmes, à tous les niveaux de la société, et notamment aux chefs traditionnels. Le Comité prie instamment l’État partie de lutter plus activement contre les coutumes et pratiques culturelles et traditionnelles néfastes, telles que le « moletry » (dot) dans le nord-ouest ou la coutume prescrivant l’abandon d’un enfant jumeau à Mananjary. Il l’encourage à mettre en œuvre des mesures constructives et novatrices pour mieux faire comprendre la notion d’égalité entre hommes et femmes et à collaborer avec les médias pour les encourager à donner une image plus positive et non stéréotypée des femmes.</w:t>
      </w:r>
    </w:p>
    <w:p w:rsidR="00C06068" w:rsidRPr="00521891" w:rsidRDefault="00C06068" w:rsidP="00C06068">
      <w:pPr>
        <w:pStyle w:val="SingleTxt"/>
        <w:numPr>
          <w:ilvl w:val="0"/>
          <w:numId w:val="10"/>
        </w:numPr>
        <w:rPr>
          <w:lang w:val="fr-FR"/>
        </w:rPr>
      </w:pPr>
      <w:r w:rsidRPr="00521891">
        <w:rPr>
          <w:lang w:val="fr-FR"/>
        </w:rPr>
        <w:t>Ces deux articles ont fait l</w:t>
      </w:r>
      <w:r>
        <w:rPr>
          <w:lang w:val="fr-FR"/>
        </w:rPr>
        <w:t>’</w:t>
      </w:r>
      <w:r w:rsidRPr="00521891">
        <w:rPr>
          <w:lang w:val="fr-FR"/>
        </w:rPr>
        <w:t>objet d</w:t>
      </w:r>
      <w:r>
        <w:rPr>
          <w:lang w:val="fr-FR"/>
        </w:rPr>
        <w:t>’</w:t>
      </w:r>
      <w:r w:rsidRPr="00521891">
        <w:rPr>
          <w:lang w:val="fr-FR"/>
        </w:rPr>
        <w:t>une même recommandation d</w:t>
      </w:r>
      <w:r>
        <w:rPr>
          <w:lang w:val="fr-FR"/>
        </w:rPr>
        <w:t>’</w:t>
      </w:r>
      <w:r w:rsidRPr="00521891">
        <w:rPr>
          <w:lang w:val="fr-FR"/>
        </w:rPr>
        <w:t>où l</w:t>
      </w:r>
      <w:r>
        <w:rPr>
          <w:lang w:val="fr-FR"/>
        </w:rPr>
        <w:t>’</w:t>
      </w:r>
      <w:r w:rsidRPr="00521891">
        <w:rPr>
          <w:lang w:val="fr-FR"/>
        </w:rPr>
        <w:t>utilité de les regrouper.</w:t>
      </w:r>
    </w:p>
    <w:p w:rsidR="00C06068" w:rsidRPr="00521891" w:rsidRDefault="00C06068" w:rsidP="00C06068">
      <w:pPr>
        <w:pStyle w:val="SingleTxt"/>
        <w:numPr>
          <w:ilvl w:val="0"/>
          <w:numId w:val="10"/>
        </w:numPr>
        <w:rPr>
          <w:lang w:val="fr-FR"/>
        </w:rPr>
      </w:pPr>
      <w:r w:rsidRPr="00521891">
        <w:rPr>
          <w:lang w:val="fr-FR"/>
        </w:rPr>
        <w:t>Pour donner suite à ces recommandations préconisant la réforme législative et la lutte contre le préjugé lié à l</w:t>
      </w:r>
      <w:r>
        <w:rPr>
          <w:lang w:val="fr-FR"/>
        </w:rPr>
        <w:t>’</w:t>
      </w:r>
      <w:r w:rsidRPr="00521891">
        <w:rPr>
          <w:lang w:val="fr-FR"/>
        </w:rPr>
        <w:t>idée d</w:t>
      </w:r>
      <w:r>
        <w:rPr>
          <w:lang w:val="fr-FR"/>
        </w:rPr>
        <w:t>’</w:t>
      </w:r>
      <w:r w:rsidRPr="00521891">
        <w:rPr>
          <w:lang w:val="fr-FR"/>
        </w:rPr>
        <w:t>infériorité de la femme par rapport à l</w:t>
      </w:r>
      <w:r>
        <w:rPr>
          <w:lang w:val="fr-FR"/>
        </w:rPr>
        <w:t>’</w:t>
      </w:r>
      <w:r w:rsidRPr="00521891">
        <w:rPr>
          <w:lang w:val="fr-FR"/>
        </w:rPr>
        <w:t>homme</w:t>
      </w:r>
      <w:r>
        <w:rPr>
          <w:lang w:val="fr-FR"/>
        </w:rPr>
        <w:t>, des mesures législatives et ré</w:t>
      </w:r>
      <w:r w:rsidRPr="00521891">
        <w:rPr>
          <w:lang w:val="fr-FR"/>
        </w:rPr>
        <w:t>glementaires ont été menées et rapportées dans le précédent rapport.</w:t>
      </w:r>
    </w:p>
    <w:p w:rsidR="00C06068" w:rsidRPr="00521891" w:rsidRDefault="00C06068" w:rsidP="00C06068">
      <w:pPr>
        <w:pStyle w:val="SingleTxt"/>
        <w:numPr>
          <w:ilvl w:val="0"/>
          <w:numId w:val="10"/>
        </w:numPr>
        <w:rPr>
          <w:lang w:val="fr-FR"/>
        </w:rPr>
      </w:pPr>
      <w:r w:rsidRPr="00521891">
        <w:rPr>
          <w:lang w:val="fr-FR"/>
        </w:rPr>
        <w:t>Malgré l</w:t>
      </w:r>
      <w:r>
        <w:rPr>
          <w:lang w:val="fr-FR"/>
        </w:rPr>
        <w:t>’</w:t>
      </w:r>
      <w:r w:rsidRPr="00521891">
        <w:rPr>
          <w:lang w:val="fr-FR"/>
        </w:rPr>
        <w:t>entrée en vigueur de la nouvelle loi abrogeant celle à caractère discriminatoire en matière d</w:t>
      </w:r>
      <w:r>
        <w:rPr>
          <w:lang w:val="fr-FR"/>
        </w:rPr>
        <w:t>’</w:t>
      </w:r>
      <w:r w:rsidRPr="00521891">
        <w:rPr>
          <w:lang w:val="fr-FR"/>
        </w:rPr>
        <w:t>accès à l</w:t>
      </w:r>
      <w:r>
        <w:rPr>
          <w:lang w:val="fr-FR"/>
        </w:rPr>
        <w:t>’</w:t>
      </w:r>
      <w:r w:rsidRPr="00521891">
        <w:rPr>
          <w:lang w:val="fr-FR"/>
        </w:rPr>
        <w:t>héritage foncier, dans la pratique, dans certaines régions du sud et du sud-est, les femmes n</w:t>
      </w:r>
      <w:r>
        <w:rPr>
          <w:lang w:val="fr-FR"/>
        </w:rPr>
        <w:t>’</w:t>
      </w:r>
      <w:r w:rsidRPr="00521891">
        <w:rPr>
          <w:lang w:val="fr-FR"/>
        </w:rPr>
        <w:t>osent pas réclamer leurs droits par peur d</w:t>
      </w:r>
      <w:r>
        <w:rPr>
          <w:lang w:val="fr-FR"/>
        </w:rPr>
        <w:t>’</w:t>
      </w:r>
      <w:r w:rsidRPr="00521891">
        <w:rPr>
          <w:lang w:val="fr-FR"/>
        </w:rPr>
        <w:t xml:space="preserve">être rejetées par la famille et la communauté </w:t>
      </w:r>
      <w:r>
        <w:rPr>
          <w:lang w:val="fr-FR"/>
        </w:rPr>
        <w:t>tout entière</w:t>
      </w:r>
      <w:r w:rsidRPr="00521891">
        <w:rPr>
          <w:lang w:val="fr-FR"/>
        </w:rPr>
        <w:t xml:space="preserve"> à cause de la coutume considérée comme immuable.</w:t>
      </w:r>
    </w:p>
    <w:p w:rsidR="00C06068" w:rsidRPr="00521891" w:rsidRDefault="00C06068" w:rsidP="00C06068">
      <w:pPr>
        <w:pStyle w:val="SingleTxt"/>
        <w:spacing w:after="0" w:line="120" w:lineRule="exact"/>
        <w:rPr>
          <w:b/>
          <w:sz w:val="10"/>
          <w:lang w:val="fr-FR"/>
        </w:rPr>
      </w:pPr>
      <w:bookmarkStart w:id="40" w:name="_Toc376709306"/>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Combattre l</w:t>
      </w:r>
      <w:r>
        <w:rPr>
          <w:lang w:val="fr-FR"/>
        </w:rPr>
        <w:t>’</w:t>
      </w:r>
      <w:r w:rsidRPr="00521891">
        <w:rPr>
          <w:lang w:val="fr-FR"/>
        </w:rPr>
        <w:t>infériorité de la femme par rapport à l</w:t>
      </w:r>
      <w:r>
        <w:rPr>
          <w:lang w:val="fr-FR"/>
        </w:rPr>
        <w:t>’</w:t>
      </w:r>
      <w:r w:rsidRPr="00521891">
        <w:rPr>
          <w:lang w:val="fr-FR"/>
        </w:rPr>
        <w:t>homme</w:t>
      </w:r>
      <w:bookmarkEnd w:id="40"/>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coutume considérant la femme comme étant inférieure par rapport à l</w:t>
      </w:r>
      <w:r>
        <w:rPr>
          <w:lang w:val="fr-FR"/>
        </w:rPr>
        <w:t>’</w:t>
      </w:r>
      <w:r w:rsidRPr="00521891">
        <w:rPr>
          <w:lang w:val="fr-FR"/>
        </w:rPr>
        <w:t>homme persiste. Elle est beaucoup plus accentuée en milieu rural. Il en résulte que les femmes sont privées de leur droit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Participer au même titre que l</w:t>
      </w:r>
      <w:r>
        <w:rPr>
          <w:lang w:val="fr-FR"/>
        </w:rPr>
        <w:t>’</w:t>
      </w:r>
      <w:r w:rsidRPr="00521891">
        <w:rPr>
          <w:lang w:val="fr-FR"/>
        </w:rPr>
        <w:t>homme à l</w:t>
      </w:r>
      <w:r>
        <w:rPr>
          <w:lang w:val="fr-FR"/>
        </w:rPr>
        <w:t>’</w:t>
      </w:r>
      <w:r w:rsidRPr="00521891">
        <w:rPr>
          <w:lang w:val="fr-FR"/>
        </w:rPr>
        <w:t>exercice de l</w:t>
      </w:r>
      <w:r>
        <w:rPr>
          <w:lang w:val="fr-FR"/>
        </w:rPr>
        <w:t>’</w:t>
      </w:r>
      <w:r w:rsidRPr="00521891">
        <w:rPr>
          <w:lang w:val="fr-FR"/>
        </w:rPr>
        <w:t>autorité parentale malgré les dispositions de la loi 2007-023 en ses articles 15 et 1</w:t>
      </w:r>
      <w:r>
        <w:rPr>
          <w:lang w:val="fr-FR"/>
        </w:rPr>
        <w:t>6</w:t>
      </w:r>
      <w:r w:rsidRPr="00313148">
        <w:rPr>
          <w:vertAlign w:val="superscript"/>
          <w:lang w:val="fr-FR"/>
        </w:rPr>
        <w:footnoteReference w:id="8"/>
      </w:r>
      <w:r w:rsidRPr="00521891">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Prendre la parole en public;</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Participer à la gestion des affaires publiques par voie élective ou de désignation pour occuper des postes de haute responsabilité;</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Accéder au crédit en vue de leur autonomie économique.</w:t>
      </w:r>
    </w:p>
    <w:p w:rsidR="00C06068" w:rsidRPr="00521891" w:rsidRDefault="00C06068" w:rsidP="00C06068">
      <w:pPr>
        <w:pStyle w:val="SingleTxt"/>
        <w:numPr>
          <w:ilvl w:val="0"/>
          <w:numId w:val="10"/>
        </w:numPr>
        <w:rPr>
          <w:lang w:val="fr-FR"/>
        </w:rPr>
      </w:pPr>
      <w:r w:rsidRPr="00521891">
        <w:rPr>
          <w:lang w:val="fr-FR"/>
        </w:rPr>
        <w:t>Avec l</w:t>
      </w:r>
      <w:r>
        <w:rPr>
          <w:lang w:val="fr-FR"/>
        </w:rPr>
        <w:t>’</w:t>
      </w:r>
      <w:r w:rsidRPr="00521891">
        <w:rPr>
          <w:lang w:val="fr-FR"/>
        </w:rPr>
        <w:t>appui du PNUD, dans le cadre de la mise en œu</w:t>
      </w:r>
      <w:r>
        <w:rPr>
          <w:lang w:val="fr-FR"/>
        </w:rPr>
        <w:t>vre du programme Participation accrue des f</w:t>
      </w:r>
      <w:r w:rsidRPr="00521891">
        <w:rPr>
          <w:lang w:val="fr-FR"/>
        </w:rPr>
        <w:t>emmes aux décisions communautaires à travers l</w:t>
      </w:r>
      <w:r>
        <w:rPr>
          <w:lang w:val="fr-FR"/>
        </w:rPr>
        <w:t>’</w:t>
      </w:r>
      <w:r w:rsidRPr="00521891">
        <w:rPr>
          <w:lang w:val="fr-FR"/>
        </w:rPr>
        <w:t>amélioration de l</w:t>
      </w:r>
      <w:r>
        <w:rPr>
          <w:lang w:val="fr-FR"/>
        </w:rPr>
        <w:t>’</w:t>
      </w:r>
      <w:r w:rsidRPr="00521891">
        <w:rPr>
          <w:lang w:val="fr-FR"/>
        </w:rPr>
        <w:t>exercice de leurs droits civils et économiques, des actions o</w:t>
      </w:r>
      <w:r>
        <w:rPr>
          <w:lang w:val="fr-FR"/>
        </w:rPr>
        <w:t>nt été menées dans les régions s</w:t>
      </w:r>
      <w:r w:rsidRPr="00521891">
        <w:rPr>
          <w:lang w:val="fr-FR"/>
        </w:rPr>
        <w:t>ud-e</w:t>
      </w:r>
      <w:r>
        <w:rPr>
          <w:lang w:val="fr-FR"/>
        </w:rPr>
        <w:t>st et s</w:t>
      </w:r>
      <w:r w:rsidRPr="00521891">
        <w:rPr>
          <w:lang w:val="fr-FR"/>
        </w:rPr>
        <w:t>ud-ouest de juin 2011 à juillet 2013 pour permettre aux femmes de prendre la parole en public et de participer dans la gestion des affaires communautaires.</w:t>
      </w:r>
    </w:p>
    <w:p w:rsidR="00C06068" w:rsidRDefault="00C06068" w:rsidP="00C06068">
      <w:pPr>
        <w:pStyle w:val="SingleTxt"/>
        <w:numPr>
          <w:ilvl w:val="0"/>
          <w:numId w:val="10"/>
        </w:numPr>
        <w:rPr>
          <w:lang w:val="fr-FR"/>
        </w:rPr>
      </w:pPr>
      <w:r>
        <w:rPr>
          <w:lang w:val="fr-FR"/>
        </w:rPr>
        <w:t xml:space="preserve">À </w:t>
      </w:r>
      <w:r w:rsidRPr="00521891">
        <w:rPr>
          <w:lang w:val="fr-FR"/>
        </w:rPr>
        <w:t>l</w:t>
      </w:r>
      <w:r>
        <w:rPr>
          <w:lang w:val="fr-FR"/>
        </w:rPr>
        <w:t>’</w:t>
      </w:r>
      <w:r w:rsidRPr="00521891">
        <w:rPr>
          <w:lang w:val="fr-FR"/>
        </w:rPr>
        <w:t>issue de ce programme, des femmes et des groupements des femmes ont pu participer à la prise de décision</w:t>
      </w:r>
      <w:r>
        <w:rPr>
          <w:lang w:val="fr-FR"/>
        </w:rPr>
        <w:t>s</w:t>
      </w:r>
      <w:r w:rsidRPr="00521891">
        <w:rPr>
          <w:lang w:val="fr-FR"/>
        </w:rPr>
        <w:t xml:space="preserve"> au niveau communautaire.</w:t>
      </w:r>
    </w:p>
    <w:p w:rsidR="00C06068" w:rsidRPr="00C119E2" w:rsidRDefault="00C06068" w:rsidP="00C06068">
      <w:pPr>
        <w:pStyle w:val="SingleTxt"/>
        <w:spacing w:after="0" w:line="120" w:lineRule="exact"/>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1" w:name="_Toc377129291"/>
      <w:r w:rsidRPr="00A50DF6">
        <w:rPr>
          <w:b w:val="0"/>
          <w:lang w:val="fr-FR"/>
        </w:rPr>
        <w:tab/>
      </w:r>
      <w:r w:rsidRPr="00A50DF6">
        <w:rPr>
          <w:b w:val="0"/>
          <w:lang w:val="fr-FR"/>
        </w:rPr>
        <w:tab/>
        <w:t>Tableau 5</w:t>
      </w:r>
      <w:r>
        <w:rPr>
          <w:b w:val="0"/>
          <w:lang w:val="fr-FR"/>
        </w:rPr>
        <w:br/>
      </w:r>
      <w:r w:rsidRPr="00521891">
        <w:rPr>
          <w:lang w:val="fr-FR"/>
        </w:rPr>
        <w:t>Pourcentage de participation des femmes aux assemblées des Fokontany</w:t>
      </w:r>
      <w:bookmarkEnd w:id="41"/>
    </w:p>
    <w:p w:rsidR="00C06068" w:rsidRPr="00521891" w:rsidRDefault="00C06068" w:rsidP="00C06068">
      <w:pPr>
        <w:pStyle w:val="SingleTxt"/>
        <w:keepNext/>
        <w:keepLines/>
        <w:spacing w:after="0" w:line="120" w:lineRule="exact"/>
        <w:rPr>
          <w:sz w:val="10"/>
          <w:lang w:val="fr-FR"/>
        </w:rPr>
      </w:pPr>
    </w:p>
    <w:p w:rsidR="00C06068" w:rsidRPr="00521891" w:rsidRDefault="00C06068" w:rsidP="00C06068">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tblPr>
      <w:tblGrid>
        <w:gridCol w:w="1220"/>
        <w:gridCol w:w="1220"/>
        <w:gridCol w:w="1220"/>
        <w:gridCol w:w="1220"/>
        <w:gridCol w:w="1220"/>
        <w:gridCol w:w="1220"/>
      </w:tblGrid>
      <w:tr w:rsidR="00C06068" w:rsidRPr="00521891" w:rsidTr="007F3574">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Zones d</w:t>
            </w:r>
            <w:r>
              <w:rPr>
                <w:i/>
                <w:sz w:val="14"/>
                <w:lang w:val="fr-FR"/>
              </w:rPr>
              <w:t>’</w:t>
            </w:r>
            <w:r w:rsidRPr="00521891">
              <w:rPr>
                <w:i/>
                <w:sz w:val="14"/>
                <w:lang w:val="fr-FR"/>
              </w:rPr>
              <w:t>intervention (districts)</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Nombre des groupements cibles du projet</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Nombre des membres des groupements</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Nombre </w:t>
            </w:r>
            <w:r>
              <w:rPr>
                <w:i/>
                <w:sz w:val="14"/>
                <w:lang w:val="fr-FR"/>
              </w:rPr>
              <w:br/>
            </w:r>
            <w:r w:rsidRPr="00521891">
              <w:rPr>
                <w:i/>
                <w:sz w:val="14"/>
                <w:lang w:val="fr-FR"/>
              </w:rPr>
              <w:t xml:space="preserve">des femmes </w:t>
            </w:r>
            <w:r w:rsidRPr="00521891">
              <w:rPr>
                <w:i/>
                <w:sz w:val="14"/>
                <w:lang w:val="fr-FR"/>
              </w:rPr>
              <w:br/>
              <w:t>de plus de 18 ans dans les FKT</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Nombre </w:t>
            </w:r>
            <w:r>
              <w:rPr>
                <w:i/>
                <w:sz w:val="14"/>
                <w:lang w:val="fr-FR"/>
              </w:rPr>
              <w:br/>
            </w:r>
            <w:r w:rsidRPr="00521891">
              <w:rPr>
                <w:i/>
                <w:sz w:val="14"/>
                <w:lang w:val="fr-FR"/>
              </w:rPr>
              <w:t xml:space="preserve">des membres participant </w:t>
            </w:r>
            <w:r w:rsidRPr="00521891">
              <w:rPr>
                <w:i/>
                <w:sz w:val="14"/>
                <w:lang w:val="fr-FR"/>
              </w:rPr>
              <w:br/>
              <w:t>aux AG des FKT</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Pourcentage</w:t>
            </w:r>
          </w:p>
        </w:tc>
      </w:tr>
      <w:tr w:rsidR="00C06068" w:rsidRPr="00521891" w:rsidTr="007F3574">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Farafangana</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80</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2 320</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3 094</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2 042</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88,0</w:t>
            </w:r>
          </w:p>
        </w:tc>
      </w:tr>
      <w:tr w:rsidR="00C06068" w:rsidRPr="00521891" w:rsidTr="007F3574">
        <w:tblPrEx>
          <w:tblCellMar>
            <w:top w:w="0" w:type="dxa"/>
            <w:bottom w:w="0" w:type="dxa"/>
          </w:tblCellMar>
        </w:tblPrEx>
        <w:tc>
          <w:tcPr>
            <w:tcW w:w="122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Manakara</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58</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1 348</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1 925</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1 117</w:t>
            </w:r>
          </w:p>
        </w:tc>
        <w:tc>
          <w:tcPr>
            <w:tcW w:w="122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82,8</w:t>
            </w:r>
          </w:p>
        </w:tc>
      </w:tr>
      <w:tr w:rsidR="00C06068" w:rsidRPr="00521891" w:rsidTr="007F3574">
        <w:tblPrEx>
          <w:tblCellMar>
            <w:top w:w="0" w:type="dxa"/>
            <w:bottom w:w="0" w:type="dxa"/>
          </w:tblCellMar>
        </w:tblPrEx>
        <w:tc>
          <w:tcPr>
            <w:tcW w:w="1220" w:type="dxa"/>
            <w:tcBorders>
              <w:bottom w:val="single" w:sz="4"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521891">
              <w:rPr>
                <w:sz w:val="17"/>
                <w:lang w:val="fr-FR"/>
              </w:rPr>
              <w:t>Mananjary</w:t>
            </w:r>
          </w:p>
        </w:tc>
        <w:tc>
          <w:tcPr>
            <w:tcW w:w="122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56</w:t>
            </w:r>
          </w:p>
        </w:tc>
        <w:tc>
          <w:tcPr>
            <w:tcW w:w="122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1 312</w:t>
            </w:r>
          </w:p>
        </w:tc>
        <w:tc>
          <w:tcPr>
            <w:tcW w:w="122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1 730</w:t>
            </w:r>
          </w:p>
        </w:tc>
        <w:tc>
          <w:tcPr>
            <w:tcW w:w="122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1 176</w:t>
            </w:r>
          </w:p>
        </w:tc>
        <w:tc>
          <w:tcPr>
            <w:tcW w:w="122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89,6</w:t>
            </w:r>
          </w:p>
        </w:tc>
      </w:tr>
      <w:tr w:rsidR="00C06068" w:rsidRPr="00521891" w:rsidTr="007F3574">
        <w:tblPrEx>
          <w:tblCellMar>
            <w:top w:w="0" w:type="dxa"/>
            <w:bottom w:w="0" w:type="dxa"/>
          </w:tblCellMar>
        </w:tblPrEx>
        <w:tc>
          <w:tcPr>
            <w:tcW w:w="1220" w:type="dxa"/>
            <w:tcBorders>
              <w:top w:val="single" w:sz="4" w:space="0" w:color="auto"/>
              <w:bottom w:val="single" w:sz="12"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sidRPr="00521891">
              <w:rPr>
                <w:b/>
                <w:sz w:val="17"/>
                <w:lang w:val="fr-FR"/>
              </w:rPr>
              <w:tab/>
              <w:t>Total</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194</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4 980</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6 749</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4 335</w:t>
            </w:r>
          </w:p>
        </w:tc>
        <w:tc>
          <w:tcPr>
            <w:tcW w:w="122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87,0</w:t>
            </w:r>
          </w:p>
        </w:tc>
      </w:tr>
    </w:tbl>
    <w:p w:rsidR="00C06068" w:rsidRPr="00521891" w:rsidRDefault="00C06068" w:rsidP="00C06068">
      <w:pPr>
        <w:pStyle w:val="SingleTxt"/>
        <w:spacing w:after="0" w:line="120" w:lineRule="exact"/>
        <w:rPr>
          <w:b/>
          <w:i/>
          <w:iCs/>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Rapport d</w:t>
      </w:r>
      <w:r>
        <w:rPr>
          <w:lang w:val="fr-FR"/>
        </w:rPr>
        <w:t>’</w:t>
      </w:r>
      <w:r w:rsidRPr="00521891">
        <w:rPr>
          <w:lang w:val="fr-FR"/>
        </w:rPr>
        <w:t xml:space="preserve">activités du </w:t>
      </w:r>
      <w:r>
        <w:rPr>
          <w:lang w:val="fr-FR"/>
        </w:rPr>
        <w:t>p</w:t>
      </w:r>
      <w:r w:rsidRPr="00521891">
        <w:rPr>
          <w:lang w:val="fr-FR"/>
        </w:rPr>
        <w:t>rojet PAF, juillet 2013.</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De 2011 à 2012, dans l</w:t>
      </w:r>
      <w:r>
        <w:rPr>
          <w:lang w:val="fr-FR"/>
        </w:rPr>
        <w:t>’</w:t>
      </w:r>
      <w:r w:rsidRPr="00521891">
        <w:rPr>
          <w:lang w:val="fr-FR"/>
        </w:rPr>
        <w:t>objectif d</w:t>
      </w:r>
      <w:r>
        <w:rPr>
          <w:lang w:val="fr-FR"/>
        </w:rPr>
        <w:t>’</w:t>
      </w:r>
      <w:r w:rsidRPr="00521891">
        <w:rPr>
          <w:lang w:val="fr-FR"/>
        </w:rPr>
        <w:t>encourager un changement de mentalité et de comportement tendant à éliminer la coutume néfaste constitutif de discrimination à l</w:t>
      </w:r>
      <w:r>
        <w:rPr>
          <w:lang w:val="fr-FR"/>
        </w:rPr>
        <w:t>’</w:t>
      </w:r>
      <w:r w:rsidRPr="00521891">
        <w:rPr>
          <w:lang w:val="fr-FR"/>
        </w:rPr>
        <w:t>égard des femmes, le MPAS a organisé des séances d</w:t>
      </w:r>
      <w:r>
        <w:rPr>
          <w:lang w:val="fr-FR"/>
        </w:rPr>
        <w:t>’</w:t>
      </w:r>
      <w:r w:rsidRPr="00521891">
        <w:rPr>
          <w:lang w:val="fr-FR"/>
        </w:rPr>
        <w:t>information et de sensibilisation à l</w:t>
      </w:r>
      <w:r>
        <w:rPr>
          <w:lang w:val="fr-FR"/>
        </w:rPr>
        <w:t>’</w:t>
      </w:r>
      <w:r w:rsidRPr="00521891">
        <w:rPr>
          <w:lang w:val="fr-FR"/>
        </w:rPr>
        <w:t>issue desquelles 62 leaders traditionnels issus de régions de Boeny, Ihorombe, Menabe, Amoron</w:t>
      </w:r>
      <w:r>
        <w:rPr>
          <w:lang w:val="fr-FR"/>
        </w:rPr>
        <w:t>’</w:t>
      </w:r>
      <w:r w:rsidRPr="00521891">
        <w:rPr>
          <w:lang w:val="fr-FR"/>
        </w:rPr>
        <w:t>i Manja, Antsimo Andrefana, Anosy ont pris l</w:t>
      </w:r>
      <w:r>
        <w:rPr>
          <w:lang w:val="fr-FR"/>
        </w:rPr>
        <w:t>’</w:t>
      </w:r>
      <w:r w:rsidRPr="00521891">
        <w:rPr>
          <w:lang w:val="fr-FR"/>
        </w:rPr>
        <w:t>engagement de promouvoir l</w:t>
      </w:r>
      <w:r>
        <w:rPr>
          <w:lang w:val="fr-FR"/>
        </w:rPr>
        <w:t>’</w:t>
      </w:r>
      <w:r w:rsidRPr="00521891">
        <w:rPr>
          <w:lang w:val="fr-FR"/>
        </w:rPr>
        <w:t>égalité entre homme</w:t>
      </w:r>
      <w:r>
        <w:rPr>
          <w:lang w:val="fr-FR"/>
        </w:rPr>
        <w:t>s</w:t>
      </w:r>
      <w:r w:rsidRPr="00521891">
        <w:rPr>
          <w:lang w:val="fr-FR"/>
        </w:rPr>
        <w:t xml:space="preserve"> et femme</w:t>
      </w:r>
      <w:r>
        <w:rPr>
          <w:lang w:val="fr-FR"/>
        </w:rPr>
        <w:t>s</w:t>
      </w:r>
      <w:r w:rsidRPr="00521891">
        <w:rPr>
          <w:lang w:val="fr-FR"/>
        </w:rPr>
        <w:t xml:space="preserve"> et de prévenir la violence basée sur le genre auprès des membres de leur localité.</w:t>
      </w:r>
    </w:p>
    <w:p w:rsidR="00C06068" w:rsidRPr="00521891" w:rsidRDefault="00C06068" w:rsidP="00C06068">
      <w:pPr>
        <w:pStyle w:val="SingleTxt"/>
        <w:numPr>
          <w:ilvl w:val="0"/>
          <w:numId w:val="10"/>
        </w:numPr>
        <w:rPr>
          <w:lang w:val="fr-FR"/>
        </w:rPr>
      </w:pPr>
      <w:r w:rsidRPr="00521891">
        <w:rPr>
          <w:lang w:val="fr-FR"/>
        </w:rPr>
        <w:t xml:space="preserve">Depuis 2008, des visites de sensibilisation sur </w:t>
      </w:r>
      <w:r>
        <w:rPr>
          <w:lang w:val="fr-FR"/>
        </w:rPr>
        <w:t>« </w:t>
      </w:r>
      <w:r w:rsidRPr="00521891">
        <w:rPr>
          <w:lang w:val="fr-FR"/>
        </w:rPr>
        <w:t>la possibilité pour les filles d</w:t>
      </w:r>
      <w:r>
        <w:rPr>
          <w:lang w:val="fr-FR"/>
        </w:rPr>
        <w:t>’</w:t>
      </w:r>
      <w:r w:rsidRPr="00521891">
        <w:rPr>
          <w:lang w:val="fr-FR"/>
        </w:rPr>
        <w:t>opter pour des métiers traditionnellement dévolus aux garçons</w:t>
      </w:r>
      <w:r>
        <w:rPr>
          <w:lang w:val="fr-FR"/>
        </w:rPr>
        <w:t> »</w:t>
      </w:r>
      <w:r w:rsidRPr="00521891">
        <w:rPr>
          <w:lang w:val="fr-FR"/>
        </w:rPr>
        <w:t xml:space="preserve"> sont effectuées par le Ministère de l</w:t>
      </w:r>
      <w:r>
        <w:rPr>
          <w:lang w:val="fr-FR"/>
        </w:rPr>
        <w:t>’</w:t>
      </w:r>
      <w:r w:rsidRPr="00521891">
        <w:rPr>
          <w:lang w:val="fr-FR"/>
        </w:rPr>
        <w:t>éducation nationale chaque année auprès de 140 établissements scolaires en moyenne.</w:t>
      </w:r>
    </w:p>
    <w:p w:rsidR="00C06068" w:rsidRPr="00521891" w:rsidRDefault="00C06068" w:rsidP="00C06068">
      <w:pPr>
        <w:pStyle w:val="SingleTxt"/>
        <w:numPr>
          <w:ilvl w:val="0"/>
          <w:numId w:val="10"/>
        </w:numPr>
        <w:rPr>
          <w:lang w:val="fr-FR"/>
        </w:rPr>
      </w:pPr>
      <w:r w:rsidRPr="00521891">
        <w:rPr>
          <w:lang w:val="fr-FR"/>
        </w:rPr>
        <w:t>Dans l</w:t>
      </w:r>
      <w:r>
        <w:rPr>
          <w:lang w:val="fr-FR"/>
        </w:rPr>
        <w:t>’</w:t>
      </w:r>
      <w:r w:rsidRPr="00521891">
        <w:rPr>
          <w:lang w:val="fr-FR"/>
        </w:rPr>
        <w:t>objectif de briser l</w:t>
      </w:r>
      <w:r>
        <w:rPr>
          <w:lang w:val="fr-FR"/>
        </w:rPr>
        <w:t>’</w:t>
      </w:r>
      <w:r w:rsidRPr="00521891">
        <w:rPr>
          <w:lang w:val="fr-FR"/>
        </w:rPr>
        <w:t>image stéréotypée de la fille destinée aux travaux domestiques ainsi qu</w:t>
      </w:r>
      <w:r>
        <w:rPr>
          <w:lang w:val="fr-FR"/>
        </w:rPr>
        <w:t>’</w:t>
      </w:r>
      <w:r w:rsidRPr="00521891">
        <w:rPr>
          <w:lang w:val="fr-FR"/>
        </w:rPr>
        <w:t>à la conception traditionnelle de métiers réservés aux filles ou aux garçons, l</w:t>
      </w:r>
      <w:r>
        <w:rPr>
          <w:lang w:val="fr-FR"/>
        </w:rPr>
        <w:t>’</w:t>
      </w:r>
      <w:r w:rsidRPr="00521891">
        <w:rPr>
          <w:lang w:val="fr-FR"/>
        </w:rPr>
        <w:t>OEMC a élaboré un programme scolaire d</w:t>
      </w:r>
      <w:r>
        <w:rPr>
          <w:lang w:val="fr-FR"/>
        </w:rPr>
        <w:t>’</w:t>
      </w:r>
      <w:r w:rsidRPr="00521891">
        <w:rPr>
          <w:lang w:val="fr-FR"/>
        </w:rPr>
        <w:t>éducation civique prônant l</w:t>
      </w:r>
      <w:r>
        <w:rPr>
          <w:lang w:val="fr-FR"/>
        </w:rPr>
        <w:t>’</w:t>
      </w:r>
      <w:r w:rsidRPr="00521891">
        <w:rPr>
          <w:lang w:val="fr-FR"/>
        </w:rPr>
        <w:t>égalité de</w:t>
      </w:r>
      <w:r>
        <w:rPr>
          <w:lang w:val="fr-FR"/>
        </w:rPr>
        <w:t>s</w:t>
      </w:r>
      <w:r w:rsidRPr="00521891">
        <w:rPr>
          <w:lang w:val="fr-FR"/>
        </w:rPr>
        <w:t xml:space="preserve"> sexe</w:t>
      </w:r>
      <w:r>
        <w:rPr>
          <w:lang w:val="fr-FR"/>
        </w:rPr>
        <w:t>s</w:t>
      </w:r>
      <w:r w:rsidRPr="00521891">
        <w:rPr>
          <w:lang w:val="fr-FR"/>
        </w:rPr>
        <w:t xml:space="preserve"> en matière de travaux domestiques et de professions. Pour conscientiser le public sur ce problème, des livrets et des affiches de sensibilisation en faveur d</w:t>
      </w:r>
      <w:r>
        <w:rPr>
          <w:lang w:val="fr-FR"/>
        </w:rPr>
        <w:t>’</w:t>
      </w:r>
      <w:r w:rsidRPr="00521891">
        <w:rPr>
          <w:lang w:val="fr-FR"/>
        </w:rPr>
        <w:t>un traitement égalitaire des filles et des garçons dans le milieu familial ont été produits et diffusés auprès des établissements scolaires publics des 22 régions de Madagascar en 2012 et des 10 directions nationales de l</w:t>
      </w:r>
      <w:r>
        <w:rPr>
          <w:lang w:val="fr-FR"/>
        </w:rPr>
        <w:t>’</w:t>
      </w:r>
      <w:r w:rsidRPr="00521891">
        <w:rPr>
          <w:lang w:val="fr-FR"/>
        </w:rPr>
        <w:t>enseignement privé en 2013 ainsi qu</w:t>
      </w:r>
      <w:r>
        <w:rPr>
          <w:lang w:val="fr-FR"/>
        </w:rPr>
        <w:t>’</w:t>
      </w:r>
      <w:r w:rsidRPr="00521891">
        <w:rPr>
          <w:lang w:val="fr-FR"/>
        </w:rPr>
        <w:t>aux organisations de la société civile.</w:t>
      </w:r>
    </w:p>
    <w:p w:rsidR="00C06068" w:rsidRPr="00521891" w:rsidRDefault="00C06068" w:rsidP="00C06068">
      <w:pPr>
        <w:pStyle w:val="SingleTxt"/>
        <w:numPr>
          <w:ilvl w:val="0"/>
          <w:numId w:val="10"/>
        </w:numPr>
        <w:rPr>
          <w:lang w:val="fr-FR"/>
        </w:rPr>
      </w:pPr>
      <w:r w:rsidRPr="00521891">
        <w:rPr>
          <w:lang w:val="fr-FR"/>
        </w:rPr>
        <w:t>Par ailleurs, le Ministère de l</w:t>
      </w:r>
      <w:r>
        <w:rPr>
          <w:lang w:val="fr-FR"/>
        </w:rPr>
        <w:t>’</w:t>
      </w:r>
      <w:r w:rsidRPr="00521891">
        <w:rPr>
          <w:lang w:val="fr-FR"/>
        </w:rPr>
        <w:t>éducation nationale en collaboration avec tous les ministères concernés a réalisé une campagne nationale de scolarisation pour l</w:t>
      </w:r>
      <w:r>
        <w:rPr>
          <w:lang w:val="fr-FR"/>
        </w:rPr>
        <w:t>’</w:t>
      </w:r>
      <w:r w:rsidRPr="00521891">
        <w:rPr>
          <w:lang w:val="fr-FR"/>
        </w:rPr>
        <w:t>année scolaire 2013-2014. Cette campagne tient compte des principaux facteurs d</w:t>
      </w:r>
      <w:r>
        <w:rPr>
          <w:lang w:val="fr-FR"/>
        </w:rPr>
        <w:t>’</w:t>
      </w:r>
      <w:r w:rsidRPr="00521891">
        <w:rPr>
          <w:lang w:val="fr-FR"/>
        </w:rPr>
        <w:t>exclusion au cycle primaire, entre autres les raisons du non-accès à l</w:t>
      </w:r>
      <w:r>
        <w:rPr>
          <w:lang w:val="fr-FR"/>
        </w:rPr>
        <w:t>’école et de la non-</w:t>
      </w:r>
      <w:r w:rsidRPr="00521891">
        <w:rPr>
          <w:lang w:val="fr-FR"/>
        </w:rPr>
        <w:t xml:space="preserve">scolarisation des enfants liées à la culture et aux coutumes régionales comme la pratique du </w:t>
      </w:r>
      <w:r>
        <w:rPr>
          <w:lang w:val="fr-FR"/>
        </w:rPr>
        <w:t>moletry</w:t>
      </w:r>
      <w:r w:rsidRPr="00521891">
        <w:rPr>
          <w:lang w:val="fr-FR"/>
        </w:rPr>
        <w:t>.</w:t>
      </w:r>
    </w:p>
    <w:p w:rsidR="00C06068" w:rsidRPr="00521891" w:rsidRDefault="00C06068" w:rsidP="00C06068">
      <w:pPr>
        <w:pStyle w:val="SingleTxt"/>
        <w:numPr>
          <w:ilvl w:val="0"/>
          <w:numId w:val="10"/>
        </w:numPr>
        <w:rPr>
          <w:lang w:val="fr-FR"/>
        </w:rPr>
      </w:pPr>
      <w:r w:rsidRPr="00521891">
        <w:rPr>
          <w:lang w:val="fr-FR"/>
        </w:rPr>
        <w:t>Enfin, afin de lutter contre les préjugés et les stéréotypes au niveau des familles, l</w:t>
      </w:r>
      <w:r>
        <w:rPr>
          <w:lang w:val="fr-FR"/>
        </w:rPr>
        <w:t>’</w:t>
      </w:r>
      <w:r w:rsidRPr="00521891">
        <w:rPr>
          <w:lang w:val="fr-FR"/>
        </w:rPr>
        <w:t>OEMC auprès du Ministère de l</w:t>
      </w:r>
      <w:r>
        <w:rPr>
          <w:lang w:val="fr-FR"/>
        </w:rPr>
        <w:t>’</w:t>
      </w:r>
      <w:r w:rsidRPr="00521891">
        <w:rPr>
          <w:lang w:val="fr-FR"/>
        </w:rPr>
        <w:t>éducation nationale a initié un programme de développement de l</w:t>
      </w:r>
      <w:r>
        <w:rPr>
          <w:lang w:val="fr-FR"/>
        </w:rPr>
        <w:t>’</w:t>
      </w:r>
      <w:r w:rsidRPr="00521891">
        <w:rPr>
          <w:lang w:val="fr-FR"/>
        </w:rPr>
        <w:t>éducation parentale à travers la mise en place d</w:t>
      </w:r>
      <w:r>
        <w:rPr>
          <w:lang w:val="fr-FR"/>
        </w:rPr>
        <w:t>’</w:t>
      </w:r>
      <w:r w:rsidRPr="00521891">
        <w:rPr>
          <w:lang w:val="fr-FR"/>
        </w:rPr>
        <w:t>écoles de parents. Il s</w:t>
      </w:r>
      <w:r>
        <w:rPr>
          <w:lang w:val="fr-FR"/>
        </w:rPr>
        <w:t>’</w:t>
      </w:r>
      <w:r w:rsidRPr="00521891">
        <w:rPr>
          <w:lang w:val="fr-FR"/>
        </w:rPr>
        <w:t>agit de convaincre les parents à traiter de manière égale les garçons et les filles.</w:t>
      </w:r>
    </w:p>
    <w:p w:rsidR="00C06068" w:rsidRPr="00521891" w:rsidRDefault="00C06068" w:rsidP="00C06068">
      <w:pPr>
        <w:pStyle w:val="SingleTxt"/>
        <w:numPr>
          <w:ilvl w:val="0"/>
          <w:numId w:val="10"/>
        </w:numPr>
        <w:rPr>
          <w:lang w:val="fr-FR"/>
        </w:rPr>
      </w:pPr>
      <w:r w:rsidRPr="00521891">
        <w:rPr>
          <w:lang w:val="fr-FR"/>
        </w:rPr>
        <w:t>En 2013, trois écoles des parents sont mises en place à Antananarivo, Antsirabe et Ambatondrazaka.</w:t>
      </w:r>
    </w:p>
    <w:p w:rsidR="00C06068" w:rsidRPr="00521891" w:rsidRDefault="00C06068" w:rsidP="00C06068">
      <w:pPr>
        <w:pStyle w:val="SingleTxt"/>
        <w:numPr>
          <w:ilvl w:val="0"/>
          <w:numId w:val="10"/>
        </w:numPr>
        <w:rPr>
          <w:lang w:val="fr-FR"/>
        </w:rPr>
      </w:pPr>
      <w:r w:rsidRPr="00521891">
        <w:rPr>
          <w:lang w:val="fr-FR"/>
        </w:rPr>
        <w:t>Dans l</w:t>
      </w:r>
      <w:r>
        <w:rPr>
          <w:lang w:val="fr-FR"/>
        </w:rPr>
        <w:t>’</w:t>
      </w:r>
      <w:r w:rsidRPr="00521891">
        <w:rPr>
          <w:lang w:val="fr-FR"/>
        </w:rPr>
        <w:t>objectif de briser l</w:t>
      </w:r>
      <w:r>
        <w:rPr>
          <w:lang w:val="fr-FR"/>
        </w:rPr>
        <w:t>’</w:t>
      </w:r>
      <w:r w:rsidRPr="00521891">
        <w:rPr>
          <w:lang w:val="fr-FR"/>
        </w:rPr>
        <w:t>image stéréotypée de la fille destinée aux travaux domestiques ainsi qu</w:t>
      </w:r>
      <w:r>
        <w:rPr>
          <w:lang w:val="fr-FR"/>
        </w:rPr>
        <w:t>’</w:t>
      </w:r>
      <w:r w:rsidRPr="00521891">
        <w:rPr>
          <w:lang w:val="fr-FR"/>
        </w:rPr>
        <w:t>à la conception traditionnelle de métiers réservés aux filles ou aux garçons, l</w:t>
      </w:r>
      <w:r>
        <w:rPr>
          <w:lang w:val="fr-FR"/>
        </w:rPr>
        <w:t>’</w:t>
      </w:r>
      <w:r w:rsidRPr="00521891">
        <w:rPr>
          <w:lang w:val="fr-FR"/>
        </w:rPr>
        <w:t>OEMC a élaboré un programme scolaire d</w:t>
      </w:r>
      <w:r>
        <w:rPr>
          <w:lang w:val="fr-FR"/>
        </w:rPr>
        <w:t>’</w:t>
      </w:r>
      <w:r w:rsidRPr="00521891">
        <w:rPr>
          <w:lang w:val="fr-FR"/>
        </w:rPr>
        <w:t>éducation civique prônant l</w:t>
      </w:r>
      <w:r>
        <w:rPr>
          <w:lang w:val="fr-FR"/>
        </w:rPr>
        <w:t>’égalité des sexes</w:t>
      </w:r>
      <w:r w:rsidRPr="00521891">
        <w:rPr>
          <w:lang w:val="fr-FR"/>
        </w:rPr>
        <w:t xml:space="preserve"> en matière de travaux domestiques et de professions. Pour conscientiser le public sur ce problème, des livrets et des affiches de sensibilisation en faveur d</w:t>
      </w:r>
      <w:r>
        <w:rPr>
          <w:lang w:val="fr-FR"/>
        </w:rPr>
        <w:t>’</w:t>
      </w:r>
      <w:r w:rsidRPr="00521891">
        <w:rPr>
          <w:lang w:val="fr-FR"/>
        </w:rPr>
        <w:t>un traitement égalitaire des filles et des garçons dans le milieu familial ont été produits et diffusés auprès des établissements scolaires en 2012 et des organisations de la société civile.</w:t>
      </w:r>
    </w:p>
    <w:p w:rsidR="00C06068" w:rsidRPr="00521891" w:rsidRDefault="00C06068" w:rsidP="00C06068">
      <w:pPr>
        <w:pStyle w:val="SingleTxt"/>
        <w:numPr>
          <w:ilvl w:val="0"/>
          <w:numId w:val="10"/>
        </w:numPr>
        <w:rPr>
          <w:lang w:val="fr-FR"/>
        </w:rPr>
      </w:pPr>
      <w:r w:rsidRPr="00521891">
        <w:rPr>
          <w:lang w:val="fr-FR"/>
        </w:rPr>
        <w:t>Lors des visites de sensibilisation dans les établissements scolaires, l</w:t>
      </w:r>
      <w:r>
        <w:rPr>
          <w:lang w:val="fr-FR"/>
        </w:rPr>
        <w:t>’</w:t>
      </w:r>
      <w:r w:rsidRPr="00521891">
        <w:rPr>
          <w:lang w:val="fr-FR"/>
        </w:rPr>
        <w:t>accent est mis sur la possibilité pour les filles d</w:t>
      </w:r>
      <w:r>
        <w:rPr>
          <w:lang w:val="fr-FR"/>
        </w:rPr>
        <w:t>’</w:t>
      </w:r>
      <w:r w:rsidRPr="00521891">
        <w:rPr>
          <w:lang w:val="fr-FR"/>
        </w:rPr>
        <w:t>opter pour des métiers traditionnellement dévolus aux garçons.</w:t>
      </w:r>
    </w:p>
    <w:p w:rsidR="00C06068" w:rsidRPr="00521891" w:rsidRDefault="00C06068" w:rsidP="00C06068">
      <w:pPr>
        <w:pStyle w:val="SingleTxt"/>
        <w:numPr>
          <w:ilvl w:val="0"/>
          <w:numId w:val="10"/>
        </w:numPr>
        <w:rPr>
          <w:lang w:val="fr-FR"/>
        </w:rPr>
      </w:pPr>
      <w:r w:rsidRPr="00521891">
        <w:rPr>
          <w:lang w:val="fr-FR"/>
        </w:rPr>
        <w:t>Concernant les pratiques négatives sociales et culturelles, on peut citer la persistance de pratiques à caractère discriminatoire à l</w:t>
      </w:r>
      <w:r>
        <w:rPr>
          <w:lang w:val="fr-FR"/>
        </w:rPr>
        <w:t>’</w:t>
      </w:r>
      <w:r w:rsidRPr="00521891">
        <w:rPr>
          <w:lang w:val="fr-FR"/>
        </w:rPr>
        <w:t>encontre des filles et des enfants à travers le moletry et l</w:t>
      </w:r>
      <w:r>
        <w:rPr>
          <w:lang w:val="fr-FR"/>
        </w:rPr>
        <w:t>’</w:t>
      </w:r>
      <w:r w:rsidRPr="00521891">
        <w:rPr>
          <w:lang w:val="fr-FR"/>
        </w:rPr>
        <w:t>abandon des enfants jumeaux.</w:t>
      </w:r>
    </w:p>
    <w:p w:rsidR="00C06068" w:rsidRPr="00521891" w:rsidRDefault="00C06068" w:rsidP="00C06068">
      <w:pPr>
        <w:pStyle w:val="SingleTxt"/>
        <w:spacing w:after="0" w:line="120" w:lineRule="exact"/>
        <w:rPr>
          <w:b/>
          <w:sz w:val="10"/>
          <w:lang w:val="fr-FR"/>
        </w:rPr>
      </w:pPr>
      <w:bookmarkStart w:id="42" w:name="_Toc376709307"/>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Moletry</w:t>
      </w:r>
      <w:bookmarkEnd w:id="42"/>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7F2D9E">
        <w:rPr>
          <w:lang w:val="fr-FR"/>
        </w:rPr>
        <w:t xml:space="preserve">Le </w:t>
      </w:r>
      <w:r>
        <w:rPr>
          <w:iCs/>
          <w:lang w:val="fr-FR"/>
        </w:rPr>
        <w:t>« moletry »</w:t>
      </w:r>
      <w:r w:rsidRPr="007F2D9E">
        <w:rPr>
          <w:lang w:val="fr-FR"/>
        </w:rPr>
        <w:t xml:space="preserve">, </w:t>
      </w:r>
      <w:r w:rsidRPr="00521891">
        <w:rPr>
          <w:lang w:val="fr-FR"/>
        </w:rPr>
        <w:t>pratiqué</w:t>
      </w:r>
      <w:r w:rsidRPr="00521891">
        <w:rPr>
          <w:b/>
          <w:lang w:val="fr-FR"/>
        </w:rPr>
        <w:t xml:space="preserve"> </w:t>
      </w:r>
      <w:r w:rsidRPr="00521891">
        <w:rPr>
          <w:lang w:val="fr-FR"/>
        </w:rPr>
        <w:t>dans certaines localités du nord-ouest</w:t>
      </w:r>
      <w:r>
        <w:rPr>
          <w:lang w:val="fr-FR"/>
        </w:rPr>
        <w:t>, consiste en un contrat de pré</w:t>
      </w:r>
      <w:r w:rsidRPr="00521891">
        <w:rPr>
          <w:lang w:val="fr-FR"/>
        </w:rPr>
        <w:t>mariage d</w:t>
      </w:r>
      <w:r>
        <w:rPr>
          <w:lang w:val="fr-FR"/>
        </w:rPr>
        <w:t>’</w:t>
      </w:r>
      <w:r w:rsidRPr="00521891">
        <w:rPr>
          <w:lang w:val="fr-FR"/>
        </w:rPr>
        <w:t>une année conditionné par la dot offerte par le futur époux à la famille de l</w:t>
      </w:r>
      <w:r>
        <w:rPr>
          <w:lang w:val="fr-FR"/>
        </w:rPr>
        <w:t>’</w:t>
      </w:r>
      <w:r w:rsidRPr="00521891">
        <w:rPr>
          <w:lang w:val="fr-FR"/>
        </w:rPr>
        <w:t>épouse. La dot est constituée d</w:t>
      </w:r>
      <w:r>
        <w:rPr>
          <w:lang w:val="fr-FR"/>
        </w:rPr>
        <w:t>’</w:t>
      </w:r>
      <w:r w:rsidRPr="00521891">
        <w:rPr>
          <w:lang w:val="fr-FR"/>
        </w:rPr>
        <w:t>une somme d</w:t>
      </w:r>
      <w:r>
        <w:rPr>
          <w:lang w:val="fr-FR"/>
        </w:rPr>
        <w:t>’</w:t>
      </w:r>
      <w:r w:rsidRPr="00521891">
        <w:rPr>
          <w:lang w:val="fr-FR"/>
        </w:rPr>
        <w:t>argent et de bovidés, selon ce qui est convenu durant les négociations. Sa valeur est souvent déterminée en fonction du statut social de la future épouse et de son âge.</w:t>
      </w:r>
    </w:p>
    <w:p w:rsidR="00C06068" w:rsidRPr="00521891" w:rsidRDefault="00C06068" w:rsidP="00C06068">
      <w:pPr>
        <w:pStyle w:val="SingleTxt"/>
        <w:numPr>
          <w:ilvl w:val="0"/>
          <w:numId w:val="10"/>
        </w:numPr>
        <w:rPr>
          <w:lang w:val="fr-FR"/>
        </w:rPr>
      </w:pPr>
      <w:r w:rsidRPr="00521891">
        <w:rPr>
          <w:lang w:val="fr-FR"/>
        </w:rPr>
        <w:t>La dot devient la propriété de la famille de l</w:t>
      </w:r>
      <w:r>
        <w:rPr>
          <w:lang w:val="fr-FR"/>
        </w:rPr>
        <w:t>’</w:t>
      </w:r>
      <w:r w:rsidRPr="00521891">
        <w:rPr>
          <w:lang w:val="fr-FR"/>
        </w:rPr>
        <w:t>épouse après une année, (volambita), au cas où l</w:t>
      </w:r>
      <w:r>
        <w:rPr>
          <w:lang w:val="fr-FR"/>
        </w:rPr>
        <w:t>’</w:t>
      </w:r>
      <w:r w:rsidRPr="00521891">
        <w:rPr>
          <w:lang w:val="fr-FR"/>
        </w:rPr>
        <w:t>épouse n</w:t>
      </w:r>
      <w:r>
        <w:rPr>
          <w:lang w:val="fr-FR"/>
        </w:rPr>
        <w:t>’</w:t>
      </w:r>
      <w:r w:rsidRPr="00521891">
        <w:rPr>
          <w:lang w:val="fr-FR"/>
        </w:rPr>
        <w:t>aurait pas commis une faute ou des indélicatesses. En cas de tort imputable à l</w:t>
      </w:r>
      <w:r>
        <w:rPr>
          <w:lang w:val="fr-FR"/>
        </w:rPr>
        <w:t>’</w:t>
      </w:r>
      <w:r w:rsidRPr="00521891">
        <w:rPr>
          <w:lang w:val="fr-FR"/>
        </w:rPr>
        <w:t>épouse, la dot n</w:t>
      </w:r>
      <w:r>
        <w:rPr>
          <w:lang w:val="fr-FR"/>
        </w:rPr>
        <w:t>’</w:t>
      </w:r>
      <w:r w:rsidRPr="00521891">
        <w:rPr>
          <w:lang w:val="fr-FR"/>
        </w:rPr>
        <w:t>est pas due. Dans le cas contraire, celle-ci est acquise même en cas de séparation.</w:t>
      </w:r>
    </w:p>
    <w:p w:rsidR="00C06068" w:rsidRPr="00521891" w:rsidRDefault="00C06068" w:rsidP="00C06068">
      <w:pPr>
        <w:pStyle w:val="SingleTxt"/>
        <w:numPr>
          <w:ilvl w:val="0"/>
          <w:numId w:val="10"/>
        </w:numPr>
        <w:rPr>
          <w:lang w:val="fr-FR"/>
        </w:rPr>
      </w:pPr>
      <w:r w:rsidRPr="00521891">
        <w:rPr>
          <w:lang w:val="fr-FR"/>
        </w:rPr>
        <w:t xml:space="preserve">En 2008, pour combattre le </w:t>
      </w:r>
      <w:r>
        <w:rPr>
          <w:lang w:val="fr-FR"/>
        </w:rPr>
        <w:t>moletry,</w:t>
      </w:r>
      <w:r w:rsidRPr="00521891">
        <w:rPr>
          <w:lang w:val="fr-FR"/>
        </w:rPr>
        <w:t xml:space="preserve"> le Ministère de la justice, appuyé par le PNUD, a confié une étude au cabinet Miaramita afin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Déterminer l</w:t>
      </w:r>
      <w:r>
        <w:rPr>
          <w:lang w:val="fr-FR"/>
        </w:rPr>
        <w:t>’</w:t>
      </w:r>
      <w:r w:rsidRPr="00521891">
        <w:rPr>
          <w:lang w:val="fr-FR"/>
        </w:rPr>
        <w:t>ampleur du phénomène</w:t>
      </w:r>
      <w:r>
        <w:rPr>
          <w:lang w:val="fr-FR"/>
        </w:rPr>
        <w:t>,</w:t>
      </w:r>
      <w:r w:rsidRPr="00521891">
        <w:rPr>
          <w:lang w:val="fr-FR"/>
        </w:rPr>
        <w:t xml:space="preserve"> plus particulièrement celui touchant les filles;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Élaborer une feuille de route en vue de l</w:t>
      </w:r>
      <w:r>
        <w:rPr>
          <w:lang w:val="fr-FR"/>
        </w:rPr>
        <w:t>’</w:t>
      </w:r>
      <w:r w:rsidRPr="00521891">
        <w:rPr>
          <w:lang w:val="fr-FR"/>
        </w:rPr>
        <w:t>élimination du mariage d</w:t>
      </w:r>
      <w:r>
        <w:rPr>
          <w:lang w:val="fr-FR"/>
        </w:rPr>
        <w:t>’</w:t>
      </w:r>
      <w:r w:rsidRPr="00521891">
        <w:rPr>
          <w:lang w:val="fr-FR"/>
        </w:rPr>
        <w:t xml:space="preserve">enfants à travers le </w:t>
      </w:r>
      <w:r>
        <w:rPr>
          <w:lang w:val="fr-FR"/>
        </w:rPr>
        <w:t>moletry</w:t>
      </w:r>
      <w:r w:rsidRPr="00521891">
        <w:rPr>
          <w:lang w:val="fr-FR"/>
        </w:rPr>
        <w:t>.</w:t>
      </w:r>
    </w:p>
    <w:p w:rsidR="00C06068" w:rsidRPr="00521891" w:rsidRDefault="00C06068" w:rsidP="00C06068">
      <w:pPr>
        <w:pStyle w:val="SingleTxt"/>
        <w:numPr>
          <w:ilvl w:val="0"/>
          <w:numId w:val="10"/>
        </w:numPr>
        <w:rPr>
          <w:lang w:val="fr-FR"/>
        </w:rPr>
      </w:pPr>
      <w:r w:rsidRPr="00521891">
        <w:rPr>
          <w:lang w:val="fr-FR"/>
        </w:rPr>
        <w:t>Suite aux résultats de l</w:t>
      </w:r>
      <w:r>
        <w:rPr>
          <w:lang w:val="fr-FR"/>
        </w:rPr>
        <w:t>’</w:t>
      </w:r>
      <w:r w:rsidRPr="00521891">
        <w:rPr>
          <w:lang w:val="fr-FR"/>
        </w:rPr>
        <w:t>étude, le Ministère de la justice a organisé un atelier impliquant toutes les autorités judiciaires, administratives, religieuses, traditionnelles de la région de Sofia. L</w:t>
      </w:r>
      <w:r>
        <w:rPr>
          <w:lang w:val="fr-FR"/>
        </w:rPr>
        <w:t>’</w:t>
      </w:r>
      <w:r w:rsidRPr="00521891">
        <w:rPr>
          <w:lang w:val="fr-FR"/>
        </w:rPr>
        <w:t xml:space="preserve">objectif visé était de convaincre les participants sur les méfaits du </w:t>
      </w:r>
      <w:r>
        <w:rPr>
          <w:lang w:val="fr-FR"/>
        </w:rPr>
        <w:t>moletry</w:t>
      </w:r>
      <w:r w:rsidRPr="00521891">
        <w:rPr>
          <w:lang w:val="fr-FR"/>
        </w:rPr>
        <w:t xml:space="preserve"> pratiqué à l</w:t>
      </w:r>
      <w:r>
        <w:rPr>
          <w:lang w:val="fr-FR"/>
        </w:rPr>
        <w:t>’</w:t>
      </w:r>
      <w:r w:rsidRPr="00521891">
        <w:rPr>
          <w:lang w:val="fr-FR"/>
        </w:rPr>
        <w:t>endroit des filles et d</w:t>
      </w:r>
      <w:r>
        <w:rPr>
          <w:lang w:val="fr-FR"/>
        </w:rPr>
        <w:t>’</w:t>
      </w:r>
      <w:r w:rsidRPr="00521891">
        <w:rPr>
          <w:lang w:val="fr-FR"/>
        </w:rPr>
        <w:t>obtenir leur engagement à combattre ce fléau.</w:t>
      </w:r>
    </w:p>
    <w:p w:rsidR="00C06068" w:rsidRPr="00521891" w:rsidRDefault="00C06068" w:rsidP="00C06068">
      <w:pPr>
        <w:pStyle w:val="SingleTxt"/>
        <w:numPr>
          <w:ilvl w:val="0"/>
          <w:numId w:val="10"/>
        </w:numPr>
        <w:rPr>
          <w:lang w:val="fr-FR"/>
        </w:rPr>
      </w:pPr>
      <w:r w:rsidRPr="00521891">
        <w:rPr>
          <w:lang w:val="fr-FR"/>
        </w:rPr>
        <w:t>À l</w:t>
      </w:r>
      <w:r>
        <w:rPr>
          <w:lang w:val="fr-FR"/>
        </w:rPr>
        <w:t>’</w:t>
      </w:r>
      <w:r w:rsidRPr="00521891">
        <w:rPr>
          <w:lang w:val="fr-FR"/>
        </w:rPr>
        <w:t>issue de l</w:t>
      </w:r>
      <w:r>
        <w:rPr>
          <w:lang w:val="fr-FR"/>
        </w:rPr>
        <w:t>’</w:t>
      </w:r>
      <w:r w:rsidRPr="00521891">
        <w:rPr>
          <w:lang w:val="fr-FR"/>
        </w:rPr>
        <w:t>atelier, une feuille de route a été signée par les parties prenantes. Celle-ci consigne les engagements de tout un chacun à combattre ce phénomène et à mener des actions concrètes à leur niveau pour ce faire.</w:t>
      </w:r>
    </w:p>
    <w:p w:rsidR="00C06068" w:rsidRPr="00521891" w:rsidRDefault="00C06068" w:rsidP="00C06068">
      <w:pPr>
        <w:pStyle w:val="SingleTxt"/>
        <w:numPr>
          <w:ilvl w:val="0"/>
          <w:numId w:val="10"/>
        </w:numPr>
        <w:rPr>
          <w:lang w:val="fr-FR"/>
        </w:rPr>
      </w:pPr>
      <w:r w:rsidRPr="00521891">
        <w:rPr>
          <w:lang w:val="fr-FR"/>
        </w:rPr>
        <w:t>Ainsi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Les chefs traditionnels se sont ainsi engagés à ne pas donner leur bénédiction en cas de </w:t>
      </w:r>
      <w:r>
        <w:rPr>
          <w:lang w:val="fr-FR"/>
        </w:rPr>
        <w:t>moletry</w:t>
      </w:r>
      <w:r w:rsidRPr="00521891">
        <w:rPr>
          <w:lang w:val="fr-FR"/>
        </w:rPr>
        <w:t xml:space="preserve"> pratiqué à l</w:t>
      </w:r>
      <w:r>
        <w:rPr>
          <w:lang w:val="fr-FR"/>
        </w:rPr>
        <w:t>’</w:t>
      </w:r>
      <w:r w:rsidRPr="00521891">
        <w:rPr>
          <w:lang w:val="fr-FR"/>
        </w:rPr>
        <w:t>encontre des enfants âgés de moins de 18 ans;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autorités religieuses toutes confessions confondues, chrétiennes et musulmanes, ont promis de mener des actions de sensibilisation à l</w:t>
      </w:r>
      <w:r>
        <w:rPr>
          <w:lang w:val="fr-FR"/>
        </w:rPr>
        <w:t>’</w:t>
      </w:r>
      <w:r w:rsidRPr="00521891">
        <w:rPr>
          <w:lang w:val="fr-FR"/>
        </w:rPr>
        <w:t>endroit de leurs fidèles en vue d</w:t>
      </w:r>
      <w:r>
        <w:rPr>
          <w:lang w:val="fr-FR"/>
        </w:rPr>
        <w:t>’</w:t>
      </w:r>
      <w:r w:rsidRPr="00521891">
        <w:rPr>
          <w:lang w:val="fr-FR"/>
        </w:rPr>
        <w:t xml:space="preserve">éradiquer le </w:t>
      </w:r>
      <w:r>
        <w:rPr>
          <w:lang w:val="fr-FR"/>
        </w:rPr>
        <w:t>moletry</w:t>
      </w:r>
      <w:r w:rsidRPr="00521891">
        <w:rPr>
          <w:lang w:val="fr-FR"/>
        </w:rPr>
        <w:t xml:space="preserve"> pratiqué sur des enfants;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autorités judiciaires, policières et administratives se sont engagées dans le même sens.</w:t>
      </w:r>
    </w:p>
    <w:p w:rsidR="00C06068" w:rsidRPr="00521891" w:rsidRDefault="00C06068" w:rsidP="00C06068">
      <w:pPr>
        <w:pStyle w:val="SingleTxt"/>
        <w:numPr>
          <w:ilvl w:val="0"/>
          <w:numId w:val="10"/>
        </w:numPr>
        <w:rPr>
          <w:lang w:val="fr-FR"/>
        </w:rPr>
      </w:pPr>
      <w:r w:rsidRPr="00521891">
        <w:rPr>
          <w:lang w:val="fr-FR"/>
        </w:rPr>
        <w:t>Une évaluation des impacts des actions menées fut programmée en 2009, mais à cause de la crise, celle-ci n</w:t>
      </w:r>
      <w:r>
        <w:rPr>
          <w:lang w:val="fr-FR"/>
        </w:rPr>
        <w:t>’</w:t>
      </w:r>
      <w:r w:rsidRPr="00521891">
        <w:rPr>
          <w:lang w:val="fr-FR"/>
        </w:rPr>
        <w:t>a pas eu lieu.</w:t>
      </w:r>
    </w:p>
    <w:p w:rsidR="00C06068" w:rsidRPr="00521891" w:rsidRDefault="00C06068" w:rsidP="00C06068">
      <w:pPr>
        <w:pStyle w:val="SingleTxt"/>
        <w:spacing w:after="0" w:line="120" w:lineRule="exact"/>
        <w:rPr>
          <w:b/>
          <w:sz w:val="10"/>
          <w:lang w:val="fr-FR"/>
        </w:rPr>
      </w:pPr>
      <w:bookmarkStart w:id="43" w:name="_Toc376709308"/>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w:t>
      </w:r>
      <w:r w:rsidRPr="00521891">
        <w:rPr>
          <w:lang w:val="fr-FR"/>
        </w:rPr>
        <w:tab/>
        <w:t>Les enfants jumeaux</w:t>
      </w:r>
      <w:bookmarkEnd w:id="43"/>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 xml:space="preserve">Dans les </w:t>
      </w:r>
      <w:r>
        <w:rPr>
          <w:lang w:val="fr-FR"/>
        </w:rPr>
        <w:t>d</w:t>
      </w:r>
      <w:r w:rsidRPr="00521891">
        <w:rPr>
          <w:lang w:val="fr-FR"/>
        </w:rPr>
        <w:t xml:space="preserve">istricts de Mananjary et </w:t>
      </w:r>
      <w:r>
        <w:rPr>
          <w:lang w:val="fr-FR"/>
        </w:rPr>
        <w:t>de Nosy Varika, la naissance de</w:t>
      </w:r>
      <w:r w:rsidRPr="00521891">
        <w:rPr>
          <w:lang w:val="fr-FR"/>
        </w:rPr>
        <w:t xml:space="preserve"> jumeaux est considérée par l</w:t>
      </w:r>
      <w:r>
        <w:rPr>
          <w:lang w:val="fr-FR"/>
        </w:rPr>
        <w:t>’</w:t>
      </w:r>
      <w:r w:rsidRPr="00521891">
        <w:rPr>
          <w:lang w:val="fr-FR"/>
        </w:rPr>
        <w:t>ensemble des membres de la communauté comme étant une malédiction d</w:t>
      </w:r>
      <w:r>
        <w:rPr>
          <w:lang w:val="fr-FR"/>
        </w:rPr>
        <w:t>’</w:t>
      </w:r>
      <w:r w:rsidRPr="00521891">
        <w:rPr>
          <w:lang w:val="fr-FR"/>
        </w:rPr>
        <w:t>où l</w:t>
      </w:r>
      <w:r>
        <w:rPr>
          <w:lang w:val="fr-FR"/>
        </w:rPr>
        <w:t>’</w:t>
      </w:r>
      <w:r w:rsidRPr="00521891">
        <w:rPr>
          <w:lang w:val="fr-FR"/>
        </w:rPr>
        <w:t>interdiction absolue de les maintenir au sein de la famille biologique. Cette interdiction affecte également la possibilité de résider dans la localité de Mananjary.</w:t>
      </w:r>
    </w:p>
    <w:p w:rsidR="00C06068" w:rsidRPr="00521891" w:rsidRDefault="00C06068" w:rsidP="00C06068">
      <w:pPr>
        <w:pStyle w:val="SingleTxt"/>
        <w:numPr>
          <w:ilvl w:val="0"/>
          <w:numId w:val="10"/>
        </w:numPr>
        <w:rPr>
          <w:lang w:val="fr-FR"/>
        </w:rPr>
      </w:pPr>
      <w:r w:rsidRPr="00521891">
        <w:rPr>
          <w:lang w:val="fr-FR"/>
        </w:rPr>
        <w:t>Face à cette situation, le Ministère de la justice, appuyé par le PNUD</w:t>
      </w:r>
      <w:r>
        <w:rPr>
          <w:lang w:val="fr-FR"/>
        </w:rPr>
        <w:t>,</w:t>
      </w:r>
      <w:r w:rsidRPr="00521891">
        <w:rPr>
          <w:lang w:val="fr-FR"/>
        </w:rPr>
        <w:t xml:space="preserve"> a fait procéder à des études pour comprendre les raisons profondes de cette pratique, son ampleur ainsi que les voies et moyens à mettre en œuvre pour éradiquer cette discrimination à l</w:t>
      </w:r>
      <w:r>
        <w:rPr>
          <w:lang w:val="fr-FR"/>
        </w:rPr>
        <w:t>’</w:t>
      </w:r>
      <w:r w:rsidRPr="00521891">
        <w:rPr>
          <w:lang w:val="fr-FR"/>
        </w:rPr>
        <w:t>encontre des enfants jumeaux.</w:t>
      </w:r>
    </w:p>
    <w:p w:rsidR="00C06068" w:rsidRPr="00521891" w:rsidRDefault="00C06068" w:rsidP="00C06068">
      <w:pPr>
        <w:pStyle w:val="SingleTxt"/>
        <w:numPr>
          <w:ilvl w:val="0"/>
          <w:numId w:val="10"/>
        </w:numPr>
        <w:rPr>
          <w:lang w:val="fr-FR"/>
        </w:rPr>
      </w:pPr>
      <w:r w:rsidRPr="00521891">
        <w:rPr>
          <w:lang w:val="fr-FR"/>
        </w:rPr>
        <w:t>Un atelier impliquant les autorités judiciaires, administratives, religieuses, traditionnelles s</w:t>
      </w:r>
      <w:r>
        <w:rPr>
          <w:lang w:val="fr-FR"/>
        </w:rPr>
        <w:t>’</w:t>
      </w:r>
      <w:r w:rsidRPr="00521891">
        <w:rPr>
          <w:lang w:val="fr-FR"/>
        </w:rPr>
        <w:t>est tenu en 2008 à Mananjary. L</w:t>
      </w:r>
      <w:r>
        <w:rPr>
          <w:lang w:val="fr-FR"/>
        </w:rPr>
        <w:t>’</w:t>
      </w:r>
      <w:r w:rsidRPr="00521891">
        <w:rPr>
          <w:lang w:val="fr-FR"/>
        </w:rPr>
        <w:t>objectif visé était de convaincre les participants sur les méfaits de la discrimination à l</w:t>
      </w:r>
      <w:r>
        <w:rPr>
          <w:lang w:val="fr-FR"/>
        </w:rPr>
        <w:t>’</w:t>
      </w:r>
      <w:r w:rsidRPr="00521891">
        <w:rPr>
          <w:lang w:val="fr-FR"/>
        </w:rPr>
        <w:t>encontre des enfants jumeaux et d</w:t>
      </w:r>
      <w:r>
        <w:rPr>
          <w:lang w:val="fr-FR"/>
        </w:rPr>
        <w:t>’</w:t>
      </w:r>
      <w:r w:rsidRPr="00521891">
        <w:rPr>
          <w:lang w:val="fr-FR"/>
        </w:rPr>
        <w:t>obtenir leur engagement à combattre ce fléau.</w:t>
      </w:r>
    </w:p>
    <w:p w:rsidR="00C06068" w:rsidRPr="00521891" w:rsidRDefault="00C06068" w:rsidP="00C06068">
      <w:pPr>
        <w:pStyle w:val="SingleTxt"/>
        <w:numPr>
          <w:ilvl w:val="0"/>
          <w:numId w:val="10"/>
        </w:numPr>
        <w:rPr>
          <w:lang w:val="fr-FR"/>
        </w:rPr>
      </w:pPr>
      <w:r w:rsidRPr="00521891">
        <w:rPr>
          <w:lang w:val="fr-FR"/>
        </w:rPr>
        <w:t>À l</w:t>
      </w:r>
      <w:r>
        <w:rPr>
          <w:lang w:val="fr-FR"/>
        </w:rPr>
        <w:t>’</w:t>
      </w:r>
      <w:r w:rsidRPr="00521891">
        <w:rPr>
          <w:lang w:val="fr-FR"/>
        </w:rPr>
        <w:t>issue de l</w:t>
      </w:r>
      <w:r>
        <w:rPr>
          <w:lang w:val="fr-FR"/>
        </w:rPr>
        <w:t>’</w:t>
      </w:r>
      <w:r w:rsidRPr="00521891">
        <w:rPr>
          <w:lang w:val="fr-FR"/>
        </w:rPr>
        <w:t>atelier, une feuille de route a été signée par les parties prenantes. Celle-ci consigne les engagements de tout un chacun à combattre ce phénomène et à mener des actions concrètes à leur niveau pour ce faire.</w:t>
      </w:r>
    </w:p>
    <w:p w:rsidR="00C06068" w:rsidRPr="00521891" w:rsidRDefault="00C06068" w:rsidP="00C06068">
      <w:pPr>
        <w:pStyle w:val="SingleTxt"/>
        <w:numPr>
          <w:ilvl w:val="0"/>
          <w:numId w:val="10"/>
        </w:numPr>
        <w:rPr>
          <w:lang w:val="fr-FR"/>
        </w:rPr>
      </w:pPr>
      <w:r w:rsidRPr="00521891">
        <w:rPr>
          <w:lang w:val="fr-FR"/>
        </w:rPr>
        <w:t>Cependant, les Ampanjaka ont nuancé leur position en ne s</w:t>
      </w:r>
      <w:r>
        <w:rPr>
          <w:lang w:val="fr-FR"/>
        </w:rPr>
        <w:t>’</w:t>
      </w:r>
      <w:r w:rsidRPr="00521891">
        <w:rPr>
          <w:lang w:val="fr-FR"/>
        </w:rPr>
        <w:t>opposant pas à la possibilité pour les parents de ne pas abandonner leurs enfants jumeaux mais sans leur bénédiction. La décision d</w:t>
      </w:r>
      <w:r>
        <w:rPr>
          <w:lang w:val="fr-FR"/>
        </w:rPr>
        <w:t>’</w:t>
      </w:r>
      <w:r w:rsidRPr="00521891">
        <w:rPr>
          <w:lang w:val="fr-FR"/>
        </w:rPr>
        <w:t>élever des enfants jumeaux à Mananjary est, selon eux, aux risques et périls de ceux qui osent braver l</w:t>
      </w:r>
      <w:r>
        <w:rPr>
          <w:lang w:val="fr-FR"/>
        </w:rPr>
        <w:t>’</w:t>
      </w:r>
      <w:r w:rsidRPr="00521891">
        <w:rPr>
          <w:lang w:val="fr-FR"/>
        </w:rPr>
        <w:t>interdit.</w:t>
      </w:r>
    </w:p>
    <w:p w:rsidR="00C06068" w:rsidRPr="00521891" w:rsidRDefault="00C06068" w:rsidP="00C06068">
      <w:pPr>
        <w:pStyle w:val="SingleTxt"/>
        <w:numPr>
          <w:ilvl w:val="0"/>
          <w:numId w:val="10"/>
        </w:numPr>
        <w:rPr>
          <w:lang w:val="fr-FR"/>
        </w:rPr>
      </w:pPr>
      <w:r w:rsidRPr="00521891">
        <w:rPr>
          <w:lang w:val="fr-FR"/>
        </w:rPr>
        <w:t xml:space="preserve">Il y a une légère avancée dans ce sens que les enfants jumeaux peuvent résider à Mananjary </w:t>
      </w:r>
      <w:r>
        <w:rPr>
          <w:lang w:val="fr-FR"/>
        </w:rPr>
        <w:t xml:space="preserve">avec </w:t>
      </w:r>
      <w:r w:rsidRPr="00521891">
        <w:rPr>
          <w:lang w:val="fr-FR"/>
        </w:rPr>
        <w:t>leur</w:t>
      </w:r>
      <w:r>
        <w:rPr>
          <w:lang w:val="fr-FR"/>
        </w:rPr>
        <w:t>s</w:t>
      </w:r>
      <w:r w:rsidRPr="00521891">
        <w:rPr>
          <w:lang w:val="fr-FR"/>
        </w:rPr>
        <w:t xml:space="preserve"> parent</w:t>
      </w:r>
      <w:r>
        <w:rPr>
          <w:lang w:val="fr-FR"/>
        </w:rPr>
        <w:t>s</w:t>
      </w:r>
      <w:r w:rsidRPr="00521891">
        <w:rPr>
          <w:lang w:val="fr-FR"/>
        </w:rPr>
        <w:t xml:space="preserve"> biologique</w:t>
      </w:r>
      <w:r>
        <w:rPr>
          <w:lang w:val="fr-FR"/>
        </w:rPr>
        <w:t>s</w:t>
      </w:r>
      <w:r w:rsidRPr="00521891">
        <w:rPr>
          <w:lang w:val="fr-FR"/>
        </w:rPr>
        <w:t xml:space="preserve"> et cohabiter avec les membres de la communauté ethnique Antambahoaka.</w:t>
      </w:r>
    </w:p>
    <w:p w:rsidR="00C06068" w:rsidRPr="00521891" w:rsidRDefault="00C06068" w:rsidP="00C06068">
      <w:pPr>
        <w:pStyle w:val="SingleTxt"/>
        <w:spacing w:after="0" w:line="120" w:lineRule="exact"/>
        <w:rPr>
          <w:b/>
          <w:sz w:val="10"/>
          <w:lang w:val="fr-FR"/>
        </w:rPr>
      </w:pPr>
      <w:bookmarkStart w:id="44" w:name="_Toc376709309"/>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Application de l</w:t>
      </w:r>
      <w:r>
        <w:rPr>
          <w:lang w:val="fr-FR"/>
        </w:rPr>
        <w:t>’</w:t>
      </w:r>
      <w:r w:rsidRPr="00521891">
        <w:rPr>
          <w:lang w:val="fr-FR"/>
        </w:rPr>
        <w:t xml:space="preserve">article 3 de la Convention : promotion </w:t>
      </w:r>
      <w:r w:rsidRPr="00521891">
        <w:rPr>
          <w:lang w:val="fr-FR"/>
        </w:rPr>
        <w:br/>
        <w:t>de l</w:t>
      </w:r>
      <w:r>
        <w:rPr>
          <w:lang w:val="fr-FR"/>
        </w:rPr>
        <w:t>’</w:t>
      </w:r>
      <w:r w:rsidRPr="00521891">
        <w:rPr>
          <w:lang w:val="fr-FR"/>
        </w:rPr>
        <w:t>égalité des sexes</w:t>
      </w:r>
      <w:bookmarkEnd w:id="44"/>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C119E2">
        <w:rPr>
          <w:i/>
          <w:lang w:val="fr-FR"/>
        </w:rPr>
        <w:t>Objet de la recommandation dans le paragraphe 13</w:t>
      </w:r>
      <w:r w:rsidRPr="00521891">
        <w:rPr>
          <w:lang w:val="fr-FR"/>
        </w:rPr>
        <w:t>)</w:t>
      </w:r>
    </w:p>
    <w:p w:rsidR="00C06068" w:rsidRPr="00C119E2" w:rsidRDefault="00C06068" w:rsidP="00C06068">
      <w:pPr>
        <w:pStyle w:val="SingleTxt"/>
        <w:rPr>
          <w:i/>
          <w:lang w:val="fr-FR"/>
        </w:rPr>
      </w:pPr>
      <w:r w:rsidRPr="00521891">
        <w:rPr>
          <w:bCs/>
          <w:lang w:val="fr-FR"/>
        </w:rPr>
        <w:tab/>
      </w:r>
      <w:r w:rsidRPr="00C119E2">
        <w:rPr>
          <w:bCs/>
          <w:i/>
          <w:lang w:val="fr-FR"/>
        </w:rPr>
        <w:t>Le Comité prie l’État partie de veiller à ce que le mécanisme national de promotion de la femme soit doté de la visibilité et des pouvoirs de décision et de coordination nécessaires pour lui permettre de s’acquitter efficacement de son mandat de promotion de l’égalité des sexes. Il le prie également de présenter dans son prochain rapport des informations plus précises et plus détaillées sur ce mécanisme national, notamment ses pouvoirs, fonctions, attributions et ressources. Le Conseil national des droits humains ayant été chargé de la mise en œuvre de la Convention et d’autres traités relatifs aux droits de l’homme, le Comité recommande aussi que son personnel et son conseil d’administration soient composés de femmes et d’hommes en nombre égal et qu’il donne aux femmes tous les moyens qui leur permettent facilement de revendiquer leurs droits.</w:t>
      </w:r>
    </w:p>
    <w:p w:rsidR="00C06068" w:rsidRPr="00521891" w:rsidRDefault="00C06068" w:rsidP="00C06068">
      <w:pPr>
        <w:pStyle w:val="SingleTxt"/>
        <w:spacing w:after="0" w:line="120" w:lineRule="exact"/>
        <w:rPr>
          <w:b/>
          <w:sz w:val="10"/>
          <w:lang w:val="fr-FR"/>
        </w:rPr>
      </w:pPr>
      <w:bookmarkStart w:id="45" w:name="_Toc376709310"/>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Le mécanisme national de promotion de la femme</w:t>
      </w:r>
      <w:bookmarkEnd w:id="45"/>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 mécanisme national de promotion de la femme dont la mise en place a été initiée par le Ministère de la population et des affaires sociales en 2008 a prévu que les membres soient constitués de points focaux issus des départements ministériels et des représentants de la société civile.</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objectif est d</w:t>
      </w:r>
      <w:r>
        <w:rPr>
          <w:lang w:val="fr-FR"/>
        </w:rPr>
        <w:t>’</w:t>
      </w:r>
      <w:r w:rsidRPr="00521891">
        <w:rPr>
          <w:lang w:val="fr-FR"/>
        </w:rPr>
        <w:t>intégrer la dimension genre dans les programmes et projets de développement de ces entités et aussi de coordonner les actions de promotion de l</w:t>
      </w:r>
      <w:r>
        <w:rPr>
          <w:lang w:val="fr-FR"/>
        </w:rPr>
        <w:t>’</w:t>
      </w:r>
      <w:r w:rsidRPr="00521891">
        <w:rPr>
          <w:lang w:val="fr-FR"/>
        </w:rPr>
        <w:t>égalité de genre. La période entre 2009 et 2013 a été marquée par des changements permanents des dirigeants et des points focaux ainsi que des priorités dans les activités. Cette situation a entraîné la mise en veilleuse dudit mécanisme.</w:t>
      </w:r>
    </w:p>
    <w:p w:rsidR="00C06068" w:rsidRPr="00521891" w:rsidRDefault="00C06068" w:rsidP="00C06068">
      <w:pPr>
        <w:pStyle w:val="SingleTxt"/>
        <w:numPr>
          <w:ilvl w:val="0"/>
          <w:numId w:val="10"/>
        </w:numPr>
        <w:rPr>
          <w:lang w:val="fr-FR"/>
        </w:rPr>
      </w:pPr>
      <w:r w:rsidRPr="00521891">
        <w:rPr>
          <w:lang w:val="fr-FR"/>
        </w:rPr>
        <w:t>La redynamisation de ce mécanisme tiendra compte des recommandations stipulées dans les observations finales du comité sur la visibilité et des pouvoirs de décision et de coordination.</w:t>
      </w:r>
    </w:p>
    <w:p w:rsidR="00C06068" w:rsidRPr="00521891" w:rsidRDefault="00C06068" w:rsidP="00C06068">
      <w:pPr>
        <w:pStyle w:val="SingleTxt"/>
        <w:spacing w:after="0" w:line="120" w:lineRule="exact"/>
        <w:rPr>
          <w:b/>
          <w:sz w:val="10"/>
          <w:lang w:val="fr-FR"/>
        </w:rPr>
      </w:pPr>
      <w:bookmarkStart w:id="46" w:name="_Toc376709311"/>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La Commission nationale des droits de l</w:t>
      </w:r>
      <w:r>
        <w:rPr>
          <w:lang w:val="fr-FR"/>
        </w:rPr>
        <w:t>’</w:t>
      </w:r>
      <w:r w:rsidRPr="00521891">
        <w:rPr>
          <w:lang w:val="fr-FR"/>
        </w:rPr>
        <w:t>homme</w:t>
      </w:r>
      <w:bookmarkEnd w:id="46"/>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article 40</w:t>
      </w:r>
      <w:r>
        <w:rPr>
          <w:lang w:val="fr-FR"/>
        </w:rPr>
        <w:t>,</w:t>
      </w:r>
      <w:r w:rsidRPr="00521891">
        <w:rPr>
          <w:lang w:val="fr-FR"/>
        </w:rPr>
        <w:t xml:space="preserve"> alinéa 2</w:t>
      </w:r>
      <w:r>
        <w:rPr>
          <w:lang w:val="fr-FR"/>
        </w:rPr>
        <w:t>,</w:t>
      </w:r>
      <w:r w:rsidRPr="00521891">
        <w:rPr>
          <w:lang w:val="fr-FR"/>
        </w:rPr>
        <w:t xml:space="preserve"> de la Constitution dispose que</w:t>
      </w:r>
      <w:r>
        <w:rPr>
          <w:lang w:val="fr-FR"/>
        </w:rPr>
        <w:t xml:space="preserve"> « l’</w:t>
      </w:r>
      <w:r w:rsidRPr="00521891">
        <w:rPr>
          <w:lang w:val="fr-FR"/>
        </w:rPr>
        <w:t>État assure par l</w:t>
      </w:r>
      <w:r>
        <w:rPr>
          <w:lang w:val="fr-FR"/>
        </w:rPr>
        <w:t>’</w:t>
      </w:r>
      <w:r w:rsidRPr="00521891">
        <w:rPr>
          <w:lang w:val="fr-FR"/>
        </w:rPr>
        <w:t>institution d</w:t>
      </w:r>
      <w:r>
        <w:rPr>
          <w:lang w:val="fr-FR"/>
        </w:rPr>
        <w:t>’</w:t>
      </w:r>
      <w:r w:rsidRPr="00521891">
        <w:rPr>
          <w:lang w:val="fr-FR"/>
        </w:rPr>
        <w:t>organismes spécialisés la promotion et la protection des droits de l</w:t>
      </w:r>
      <w:r>
        <w:rPr>
          <w:lang w:val="fr-FR"/>
        </w:rPr>
        <w:t>’</w:t>
      </w:r>
      <w:r w:rsidRPr="00521891">
        <w:rPr>
          <w:lang w:val="fr-FR"/>
        </w:rPr>
        <w:t>homme</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En 1996, une Commission nationale des droits de l</w:t>
      </w:r>
      <w:r>
        <w:rPr>
          <w:lang w:val="fr-FR"/>
        </w:rPr>
        <w:t>’</w:t>
      </w:r>
      <w:r w:rsidRPr="00521891">
        <w:rPr>
          <w:lang w:val="fr-FR"/>
        </w:rPr>
        <w:t xml:space="preserve">homme </w:t>
      </w:r>
      <w:r>
        <w:rPr>
          <w:lang w:val="fr-FR"/>
        </w:rPr>
        <w:t>a été créée par d</w:t>
      </w:r>
      <w:r w:rsidRPr="00521891">
        <w:rPr>
          <w:lang w:val="fr-FR"/>
        </w:rPr>
        <w:t>écret. En 2002, le mandat de cette institution a expiré sans renouvellement.</w:t>
      </w:r>
    </w:p>
    <w:p w:rsidR="00C06068" w:rsidRPr="00521891" w:rsidRDefault="00C06068" w:rsidP="00C06068">
      <w:pPr>
        <w:pStyle w:val="SingleTxt"/>
        <w:numPr>
          <w:ilvl w:val="0"/>
          <w:numId w:val="10"/>
        </w:numPr>
        <w:rPr>
          <w:lang w:val="fr-FR"/>
        </w:rPr>
      </w:pPr>
      <w:r w:rsidRPr="00521891">
        <w:rPr>
          <w:lang w:val="fr-FR"/>
        </w:rPr>
        <w:t>En 2008, la loi n</w:t>
      </w:r>
      <w:r w:rsidRPr="00521891">
        <w:rPr>
          <w:vertAlign w:val="superscript"/>
          <w:lang w:val="fr-FR"/>
        </w:rPr>
        <w:t>o</w:t>
      </w:r>
      <w:r>
        <w:rPr>
          <w:vertAlign w:val="superscript"/>
          <w:lang w:val="fr-FR"/>
        </w:rPr>
        <w:t> </w:t>
      </w:r>
      <w:r w:rsidRPr="00521891">
        <w:rPr>
          <w:lang w:val="fr-FR"/>
        </w:rPr>
        <w:t>2008-012 a mis en place le Conseil national des droits humains.</w:t>
      </w:r>
    </w:p>
    <w:p w:rsidR="00C06068" w:rsidRPr="00521891" w:rsidRDefault="00C06068" w:rsidP="00C06068">
      <w:pPr>
        <w:pStyle w:val="SingleTxt"/>
        <w:numPr>
          <w:ilvl w:val="0"/>
          <w:numId w:val="10"/>
        </w:numPr>
        <w:rPr>
          <w:lang w:val="fr-FR"/>
        </w:rPr>
      </w:pPr>
      <w:r w:rsidRPr="00521891">
        <w:rPr>
          <w:lang w:val="fr-FR"/>
        </w:rPr>
        <w:t xml:space="preserve">Tenant compte des recommandations des organes conventionnels dont celle du </w:t>
      </w:r>
      <w:r>
        <w:rPr>
          <w:lang w:val="fr-FR"/>
        </w:rPr>
        <w:t>c</w:t>
      </w:r>
      <w:r w:rsidRPr="00521891">
        <w:rPr>
          <w:lang w:val="fr-FR"/>
        </w:rPr>
        <w:t>omité CERD, la direction des droits humains et des relations internationales auprès du Ministère de la justice appuyée par le Haut-Commissariat aux droits de l</w:t>
      </w:r>
      <w:r>
        <w:rPr>
          <w:lang w:val="fr-FR"/>
        </w:rPr>
        <w:t>’</w:t>
      </w:r>
      <w:r w:rsidRPr="00521891">
        <w:rPr>
          <w:lang w:val="fr-FR"/>
        </w:rPr>
        <w:t>homme et le PNUD a organisé en mai 2012 un atelier d</w:t>
      </w:r>
      <w:r>
        <w:rPr>
          <w:lang w:val="fr-FR"/>
        </w:rPr>
        <w:t>’</w:t>
      </w:r>
      <w:r w:rsidRPr="00521891">
        <w:rPr>
          <w:lang w:val="fr-FR"/>
        </w:rPr>
        <w:t>évaluation de la conformité de la loi n</w:t>
      </w:r>
      <w:r w:rsidRPr="00521891">
        <w:rPr>
          <w:vertAlign w:val="superscript"/>
          <w:lang w:val="fr-FR"/>
        </w:rPr>
        <w:t>o</w:t>
      </w:r>
      <w:r>
        <w:rPr>
          <w:vertAlign w:val="superscript"/>
          <w:lang w:val="fr-FR"/>
        </w:rPr>
        <w:t> </w:t>
      </w:r>
      <w:r w:rsidRPr="00521891">
        <w:rPr>
          <w:lang w:val="fr-FR"/>
        </w:rPr>
        <w:t>2008-012 du 17 juillet 2008 portant institution du CNDH avec les Principes de Paris.</w:t>
      </w:r>
    </w:p>
    <w:p w:rsidR="00C06068" w:rsidRPr="00521891" w:rsidRDefault="00C06068" w:rsidP="00C06068">
      <w:pPr>
        <w:pStyle w:val="SingleTxt"/>
        <w:numPr>
          <w:ilvl w:val="0"/>
          <w:numId w:val="10"/>
        </w:numPr>
        <w:rPr>
          <w:lang w:val="fr-FR"/>
        </w:rPr>
      </w:pPr>
      <w:r w:rsidRPr="00521891">
        <w:rPr>
          <w:lang w:val="fr-FR"/>
        </w:rPr>
        <w:t>Au cours de cet atelier, chaque article de la loi précitée a fait l</w:t>
      </w:r>
      <w:r>
        <w:rPr>
          <w:lang w:val="fr-FR"/>
        </w:rPr>
        <w:t>’</w:t>
      </w:r>
      <w:r w:rsidRPr="00521891">
        <w:rPr>
          <w:lang w:val="fr-FR"/>
        </w:rPr>
        <w:t>objet d</w:t>
      </w:r>
      <w:r>
        <w:rPr>
          <w:lang w:val="fr-FR"/>
        </w:rPr>
        <w:t>’</w:t>
      </w:r>
      <w:r w:rsidRPr="00521891">
        <w:rPr>
          <w:lang w:val="fr-FR"/>
        </w:rPr>
        <w:t>une analyse. De cette analyse, il en est ressorti que plusieurs dispositions de cette loi ne sont pas conformes aux Principes de Paris</w:t>
      </w:r>
      <w:r>
        <w:rPr>
          <w:lang w:val="fr-FR"/>
        </w:rPr>
        <w:t>,</w:t>
      </w:r>
      <w:r w:rsidRPr="00521891">
        <w:rPr>
          <w:lang w:val="fr-FR"/>
        </w:rPr>
        <w:t xml:space="preserve"> entre autres celles liées à la désignation des </w:t>
      </w:r>
      <w:r>
        <w:rPr>
          <w:lang w:val="fr-FR"/>
        </w:rPr>
        <w:t>membres du Conseil car, sur les neuf membres, sept</w:t>
      </w:r>
      <w:r w:rsidRPr="00521891">
        <w:rPr>
          <w:lang w:val="fr-FR"/>
        </w:rPr>
        <w:t xml:space="preserve"> sont nommés par l</w:t>
      </w:r>
      <w:r>
        <w:rPr>
          <w:lang w:val="fr-FR"/>
        </w:rPr>
        <w:t>’</w:t>
      </w:r>
      <w:r w:rsidRPr="00521891">
        <w:rPr>
          <w:lang w:val="fr-FR"/>
        </w:rPr>
        <w:t>exécutif. Ce qui pourrait favoriser la mainmise de l</w:t>
      </w:r>
      <w:r>
        <w:rPr>
          <w:lang w:val="fr-FR"/>
        </w:rPr>
        <w:t>’</w:t>
      </w:r>
      <w:r w:rsidRPr="00521891">
        <w:rPr>
          <w:lang w:val="fr-FR"/>
        </w:rPr>
        <w:t>exécutif sur l</w:t>
      </w:r>
      <w:r>
        <w:rPr>
          <w:lang w:val="fr-FR"/>
        </w:rPr>
        <w:t>’i</w:t>
      </w:r>
      <w:r w:rsidRPr="00521891">
        <w:rPr>
          <w:lang w:val="fr-FR"/>
        </w:rPr>
        <w:t>nstitution et affecter son indépendance.</w:t>
      </w:r>
    </w:p>
    <w:p w:rsidR="00C06068" w:rsidRPr="00521891" w:rsidRDefault="00C06068" w:rsidP="00C06068">
      <w:pPr>
        <w:pStyle w:val="SingleTxt"/>
        <w:numPr>
          <w:ilvl w:val="0"/>
          <w:numId w:val="10"/>
        </w:numPr>
        <w:rPr>
          <w:lang w:val="fr-FR"/>
        </w:rPr>
      </w:pPr>
      <w:r w:rsidRPr="00521891">
        <w:rPr>
          <w:lang w:val="fr-FR"/>
        </w:rPr>
        <w:t>Pour y remédier, un avant-projet de loi a été élaboré par des représentants issus de la primature, du Ministère de la justice, des membres du Parlement de la transition, de l</w:t>
      </w:r>
      <w:r>
        <w:rPr>
          <w:lang w:val="fr-FR"/>
        </w:rPr>
        <w:t>’</w:t>
      </w:r>
      <w:r w:rsidRPr="00521891">
        <w:rPr>
          <w:lang w:val="fr-FR"/>
        </w:rPr>
        <w:t>ordre des journalistes, de l</w:t>
      </w:r>
      <w:r>
        <w:rPr>
          <w:lang w:val="fr-FR"/>
        </w:rPr>
        <w:t>’</w:t>
      </w:r>
      <w:r w:rsidRPr="00521891">
        <w:rPr>
          <w:lang w:val="fr-FR"/>
        </w:rPr>
        <w:t>université, des avocats et des membres de la société civile.</w:t>
      </w:r>
    </w:p>
    <w:p w:rsidR="00C06068" w:rsidRPr="00521891" w:rsidRDefault="00C06068" w:rsidP="00C06068">
      <w:pPr>
        <w:pStyle w:val="SingleTxt"/>
        <w:numPr>
          <w:ilvl w:val="0"/>
          <w:numId w:val="10"/>
        </w:numPr>
        <w:rPr>
          <w:lang w:val="fr-FR"/>
        </w:rPr>
      </w:pPr>
      <w:r w:rsidRPr="00521891">
        <w:rPr>
          <w:lang w:val="fr-FR"/>
        </w:rPr>
        <w:t xml:space="preserve">Après large consultation de toutes les parties prenantes et intégration de leurs observations, le projet de loi a été examiné et adopté en conseil </w:t>
      </w:r>
      <w:r>
        <w:rPr>
          <w:lang w:val="fr-FR"/>
        </w:rPr>
        <w:t>de g</w:t>
      </w:r>
      <w:r w:rsidRPr="00521891">
        <w:rPr>
          <w:lang w:val="fr-FR"/>
        </w:rPr>
        <w:t>ouvernement. La saisine du Parlement interviendra après son adoption en conseil des ministres.</w:t>
      </w:r>
    </w:p>
    <w:p w:rsidR="00C06068" w:rsidRPr="00521891" w:rsidRDefault="00C06068" w:rsidP="00C06068">
      <w:pPr>
        <w:pStyle w:val="SingleTxt"/>
        <w:numPr>
          <w:ilvl w:val="0"/>
          <w:numId w:val="10"/>
        </w:numPr>
        <w:rPr>
          <w:lang w:val="fr-FR"/>
        </w:rPr>
      </w:pPr>
      <w:r w:rsidRPr="00521891">
        <w:rPr>
          <w:lang w:val="fr-FR"/>
        </w:rPr>
        <w:t>Ce projet de loi vise à mettre en place une institution de défense des droits de l</w:t>
      </w:r>
      <w:r>
        <w:rPr>
          <w:lang w:val="fr-FR"/>
        </w:rPr>
        <w:t>’homme conforme aux Principes de P</w:t>
      </w:r>
      <w:r w:rsidRPr="00521891">
        <w:rPr>
          <w:lang w:val="fr-FR"/>
        </w:rPr>
        <w:t>aris en assurant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Son indépendance vis-à-vis de l</w:t>
      </w:r>
      <w:r>
        <w:rPr>
          <w:lang w:val="fr-FR"/>
        </w:rPr>
        <w:t>’</w:t>
      </w:r>
      <w:r w:rsidRPr="00521891">
        <w:rPr>
          <w:lang w:val="fr-FR"/>
        </w:rPr>
        <w:t>exécutif</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 mandat aussi étendu que possible</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Une composition pluraliste et représentative</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Des procédures de nomination indépendantes</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 fonctionnement régulier et efficace à plein temps</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Un financement adéquat.</w:t>
      </w:r>
    </w:p>
    <w:p w:rsidR="00C06068" w:rsidRPr="00521891" w:rsidRDefault="00C06068" w:rsidP="00C06068">
      <w:pPr>
        <w:pStyle w:val="SingleTxt"/>
        <w:numPr>
          <w:ilvl w:val="0"/>
          <w:numId w:val="10"/>
        </w:numPr>
        <w:rPr>
          <w:lang w:val="fr-FR"/>
        </w:rPr>
      </w:pPr>
      <w:r w:rsidRPr="00521891">
        <w:rPr>
          <w:lang w:val="fr-FR"/>
        </w:rPr>
        <w:t xml:space="preserve">La dénomination </w:t>
      </w:r>
      <w:r>
        <w:rPr>
          <w:lang w:val="fr-FR"/>
        </w:rPr>
        <w:t>« </w:t>
      </w:r>
      <w:r w:rsidRPr="00521891">
        <w:rPr>
          <w:lang w:val="fr-FR"/>
        </w:rPr>
        <w:t>Conseil national des droits de l</w:t>
      </w:r>
      <w:r>
        <w:rPr>
          <w:lang w:val="fr-FR"/>
        </w:rPr>
        <w:t>’</w:t>
      </w:r>
      <w:r w:rsidRPr="00521891">
        <w:rPr>
          <w:lang w:val="fr-FR"/>
        </w:rPr>
        <w:t>homme</w:t>
      </w:r>
      <w:r>
        <w:rPr>
          <w:lang w:val="fr-FR"/>
        </w:rPr>
        <w:t> »</w:t>
      </w:r>
      <w:r w:rsidRPr="00521891">
        <w:rPr>
          <w:lang w:val="fr-FR"/>
        </w:rPr>
        <w:t xml:space="preserve"> a été remplacée par </w:t>
      </w:r>
      <w:r>
        <w:rPr>
          <w:lang w:val="fr-FR"/>
        </w:rPr>
        <w:t>« </w:t>
      </w:r>
      <w:r w:rsidRPr="00521891">
        <w:rPr>
          <w:lang w:val="fr-FR"/>
        </w:rPr>
        <w:t>Commission nationale indépendante des droits de l</w:t>
      </w:r>
      <w:r>
        <w:rPr>
          <w:lang w:val="fr-FR"/>
        </w:rPr>
        <w:t>’</w:t>
      </w:r>
      <w:r w:rsidRPr="00521891">
        <w:rPr>
          <w:lang w:val="fr-FR"/>
        </w:rPr>
        <w:t>homme</w:t>
      </w:r>
      <w:r>
        <w:rPr>
          <w:lang w:val="fr-FR"/>
        </w:rPr>
        <w:t> »</w:t>
      </w:r>
      <w:r w:rsidRPr="00521891">
        <w:rPr>
          <w:lang w:val="fr-FR"/>
        </w:rPr>
        <w:t xml:space="preserve"> pour insister sur l</w:t>
      </w:r>
      <w:r>
        <w:rPr>
          <w:lang w:val="fr-FR"/>
        </w:rPr>
        <w:t>’</w:t>
      </w:r>
      <w:r w:rsidRPr="00521891">
        <w:rPr>
          <w:lang w:val="fr-FR"/>
        </w:rPr>
        <w:t>indépendance de l</w:t>
      </w:r>
      <w:r>
        <w:rPr>
          <w:lang w:val="fr-FR"/>
        </w:rPr>
        <w:t>’</w:t>
      </w:r>
      <w:r w:rsidRPr="00521891">
        <w:rPr>
          <w:lang w:val="fr-FR"/>
        </w:rPr>
        <w:t>institution.</w:t>
      </w:r>
    </w:p>
    <w:p w:rsidR="00C06068" w:rsidRPr="00521891" w:rsidRDefault="00C06068" w:rsidP="00C06068">
      <w:pPr>
        <w:pStyle w:val="SingleTxt"/>
        <w:numPr>
          <w:ilvl w:val="0"/>
          <w:numId w:val="10"/>
        </w:numPr>
        <w:rPr>
          <w:lang w:val="fr-FR"/>
        </w:rPr>
      </w:pPr>
      <w:r w:rsidRPr="00521891">
        <w:rPr>
          <w:lang w:val="fr-FR"/>
        </w:rPr>
        <w:t>Par ailleurs, ce projet de loi attribue la désignation des représentants des entités concernées par ses pairs à l</w:t>
      </w:r>
      <w:r>
        <w:rPr>
          <w:lang w:val="fr-FR"/>
        </w:rPr>
        <w:t>’</w:t>
      </w:r>
      <w:r w:rsidRPr="00521891">
        <w:rPr>
          <w:lang w:val="fr-FR"/>
        </w:rPr>
        <w:t>exception du représentant de l</w:t>
      </w:r>
      <w:r>
        <w:rPr>
          <w:lang w:val="fr-FR"/>
        </w:rPr>
        <w:t>’</w:t>
      </w:r>
      <w:r w:rsidRPr="00521891">
        <w:rPr>
          <w:lang w:val="fr-FR"/>
        </w:rPr>
        <w:t>exécutif qui n</w:t>
      </w:r>
      <w:r>
        <w:rPr>
          <w:lang w:val="fr-FR"/>
        </w:rPr>
        <w:t>’</w:t>
      </w:r>
      <w:r w:rsidRPr="00521891">
        <w:rPr>
          <w:lang w:val="fr-FR"/>
        </w:rPr>
        <w:t>a pas voix délibérative.</w:t>
      </w:r>
    </w:p>
    <w:p w:rsidR="00C06068" w:rsidRPr="00521891" w:rsidRDefault="00C06068" w:rsidP="00C06068">
      <w:pPr>
        <w:pStyle w:val="SingleTxt"/>
        <w:numPr>
          <w:ilvl w:val="0"/>
          <w:numId w:val="10"/>
        </w:numPr>
        <w:rPr>
          <w:lang w:val="fr-FR"/>
        </w:rPr>
      </w:pPr>
      <w:r w:rsidRPr="00521891">
        <w:rPr>
          <w:lang w:val="fr-FR"/>
        </w:rPr>
        <w:t>De même, la désignation des membres allie la représentativité, le pluralisme, l</w:t>
      </w:r>
      <w:r>
        <w:rPr>
          <w:lang w:val="fr-FR"/>
        </w:rPr>
        <w:t>’</w:t>
      </w:r>
      <w:r w:rsidRPr="00521891">
        <w:rPr>
          <w:lang w:val="fr-FR"/>
        </w:rPr>
        <w:t>expertise, l</w:t>
      </w:r>
      <w:r>
        <w:rPr>
          <w:lang w:val="fr-FR"/>
        </w:rPr>
        <w:t>’</w:t>
      </w:r>
      <w:r w:rsidRPr="00521891">
        <w:rPr>
          <w:lang w:val="fr-FR"/>
        </w:rPr>
        <w:t>expérience, la bonne moralité, l</w:t>
      </w:r>
      <w:r>
        <w:rPr>
          <w:lang w:val="fr-FR"/>
        </w:rPr>
        <w:t>’</w:t>
      </w:r>
      <w:r w:rsidRPr="00521891">
        <w:rPr>
          <w:lang w:val="fr-FR"/>
        </w:rPr>
        <w:t>intégrité et l</w:t>
      </w:r>
      <w:r>
        <w:rPr>
          <w:lang w:val="fr-FR"/>
        </w:rPr>
        <w:t>’</w:t>
      </w:r>
      <w:r w:rsidRPr="00521891">
        <w:rPr>
          <w:lang w:val="fr-FR"/>
        </w:rPr>
        <w:t>attachement aux valeurs et principes de droit de l</w:t>
      </w:r>
      <w:r>
        <w:rPr>
          <w:lang w:val="fr-FR"/>
        </w:rPr>
        <w:t>’</w:t>
      </w:r>
      <w:r w:rsidRPr="00521891">
        <w:rPr>
          <w:lang w:val="fr-FR"/>
        </w:rPr>
        <w:t>homme.</w:t>
      </w:r>
    </w:p>
    <w:p w:rsidR="00C06068" w:rsidRPr="00521891" w:rsidRDefault="00C06068" w:rsidP="00C06068">
      <w:pPr>
        <w:pStyle w:val="SingleTxt"/>
        <w:numPr>
          <w:ilvl w:val="0"/>
          <w:numId w:val="10"/>
        </w:numPr>
        <w:rPr>
          <w:lang w:val="fr-FR"/>
        </w:rPr>
      </w:pPr>
      <w:r w:rsidRPr="00521891">
        <w:rPr>
          <w:lang w:val="fr-FR"/>
        </w:rPr>
        <w:t>Par souci de stabilité et d</w:t>
      </w:r>
      <w:r>
        <w:rPr>
          <w:lang w:val="fr-FR"/>
        </w:rPr>
        <w:t>’</w:t>
      </w:r>
      <w:r w:rsidRPr="00521891">
        <w:rPr>
          <w:lang w:val="fr-FR"/>
        </w:rPr>
        <w:t>efficacité, les membres de la Commission exerceront leur</w:t>
      </w:r>
      <w:r>
        <w:rPr>
          <w:lang w:val="fr-FR"/>
        </w:rPr>
        <w:t>s</w:t>
      </w:r>
      <w:r w:rsidRPr="00521891">
        <w:rPr>
          <w:lang w:val="fr-FR"/>
        </w:rPr>
        <w:t xml:space="preserve"> fonction</w:t>
      </w:r>
      <w:r>
        <w:rPr>
          <w:lang w:val="fr-FR"/>
        </w:rPr>
        <w:t>s</w:t>
      </w:r>
      <w:r w:rsidRPr="00521891">
        <w:rPr>
          <w:lang w:val="fr-FR"/>
        </w:rPr>
        <w:t xml:space="preserve"> à temps plein pour pouvoir donner en temps réel des réponses rapides et appropriées aux cas de violation perpétrés.</w:t>
      </w:r>
    </w:p>
    <w:p w:rsidR="00C06068" w:rsidRPr="00521891" w:rsidRDefault="00C06068" w:rsidP="00C06068">
      <w:pPr>
        <w:pStyle w:val="SingleTxt"/>
        <w:numPr>
          <w:ilvl w:val="0"/>
          <w:numId w:val="10"/>
        </w:numPr>
        <w:rPr>
          <w:lang w:val="fr-FR"/>
        </w:rPr>
      </w:pPr>
      <w:r w:rsidRPr="00521891">
        <w:rPr>
          <w:lang w:val="fr-FR"/>
        </w:rPr>
        <w:t>Conformément à la recommandation du</w:t>
      </w:r>
      <w:r>
        <w:rPr>
          <w:lang w:val="fr-FR"/>
        </w:rPr>
        <w:t xml:space="preserve"> c</w:t>
      </w:r>
      <w:r w:rsidRPr="00521891">
        <w:rPr>
          <w:lang w:val="fr-FR"/>
        </w:rPr>
        <w:t>omité CERD, la Commission est habilitée à mener des enquêtes sur des cas de violation des droits de l</w:t>
      </w:r>
      <w:r>
        <w:rPr>
          <w:lang w:val="fr-FR"/>
        </w:rPr>
        <w:t>’</w:t>
      </w:r>
      <w:r w:rsidRPr="00521891">
        <w:rPr>
          <w:lang w:val="fr-FR"/>
        </w:rPr>
        <w:t>homme.</w:t>
      </w:r>
    </w:p>
    <w:p w:rsidR="00C06068" w:rsidRPr="00521891" w:rsidRDefault="00C06068" w:rsidP="00C06068">
      <w:pPr>
        <w:pStyle w:val="SingleTxt"/>
        <w:numPr>
          <w:ilvl w:val="0"/>
          <w:numId w:val="10"/>
        </w:numPr>
        <w:rPr>
          <w:lang w:val="fr-FR"/>
        </w:rPr>
      </w:pPr>
      <w:r w:rsidRPr="00521891">
        <w:rPr>
          <w:lang w:val="fr-FR"/>
        </w:rPr>
        <w:t>Il est enfin fondamental de doter la Commission des moyens humains, techniques et financiers adéquat</w:t>
      </w:r>
      <w:bookmarkStart w:id="47" w:name="P20_6868"/>
      <w:bookmarkEnd w:id="47"/>
      <w:r w:rsidRPr="00521891">
        <w:rPr>
          <w:lang w:val="fr-FR"/>
        </w:rPr>
        <w:t>s.</w:t>
      </w:r>
    </w:p>
    <w:p w:rsidR="00C06068" w:rsidRPr="00521891" w:rsidRDefault="00C06068" w:rsidP="00C06068">
      <w:pPr>
        <w:pStyle w:val="SingleTxt"/>
        <w:numPr>
          <w:ilvl w:val="0"/>
          <w:numId w:val="10"/>
        </w:numPr>
        <w:rPr>
          <w:lang w:val="fr-FR"/>
        </w:rPr>
      </w:pPr>
      <w:r w:rsidRPr="00521891">
        <w:rPr>
          <w:lang w:val="fr-FR"/>
        </w:rPr>
        <w:t>Par a</w:t>
      </w:r>
      <w:r>
        <w:rPr>
          <w:lang w:val="fr-FR"/>
        </w:rPr>
        <w:t>illeurs les articles 2 et 4 du p</w:t>
      </w:r>
      <w:r w:rsidRPr="00521891">
        <w:rPr>
          <w:lang w:val="fr-FR"/>
        </w:rPr>
        <w:t>rojet de loi déterminent les attributions de la Commission en ces termes :</w:t>
      </w:r>
    </w:p>
    <w:p w:rsidR="00C06068" w:rsidRPr="002E382B" w:rsidRDefault="00C06068" w:rsidP="00C06068">
      <w:pPr>
        <w:pStyle w:val="SingleTxt"/>
        <w:spacing w:after="0" w:line="120" w:lineRule="exact"/>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89" w:right="1260" w:hanging="1267"/>
        <w:rPr>
          <w:b w:val="0"/>
          <w:i/>
          <w:lang w:val="fr-FR"/>
        </w:rPr>
      </w:pPr>
      <w:r w:rsidRPr="00521891">
        <w:rPr>
          <w:b w:val="0"/>
          <w:i/>
          <w:lang w:val="fr-FR"/>
        </w:rPr>
        <w:tab/>
      </w:r>
      <w:r w:rsidRPr="00521891">
        <w:rPr>
          <w:b w:val="0"/>
          <w:i/>
          <w:lang w:val="fr-FR"/>
        </w:rPr>
        <w:tab/>
        <w:t xml:space="preserve">Article 2 – </w:t>
      </w:r>
      <w:r>
        <w:rPr>
          <w:b w:val="0"/>
          <w:i/>
          <w:lang w:val="fr-FR"/>
        </w:rPr>
        <w:t>« </w:t>
      </w:r>
      <w:r w:rsidRPr="00521891">
        <w:rPr>
          <w:b w:val="0"/>
          <w:i/>
          <w:lang w:val="fr-FR"/>
        </w:rPr>
        <w:t>La Commission est chargée de :</w:t>
      </w: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ind w:left="2217" w:hanging="475"/>
        <w:rPr>
          <w:i/>
          <w:lang w:val="fr-FR"/>
        </w:rPr>
      </w:pPr>
      <w:r w:rsidRPr="00521891">
        <w:rPr>
          <w:i/>
          <w:lang w:val="fr-FR"/>
        </w:rPr>
        <w:t>1.</w:t>
      </w:r>
      <w:r w:rsidRPr="00521891">
        <w:rPr>
          <w:i/>
          <w:lang w:val="fr-FR"/>
        </w:rPr>
        <w:tab/>
        <w:t>Promouvoir et protéger tous les droits de l</w:t>
      </w:r>
      <w:r>
        <w:rPr>
          <w:i/>
          <w:lang w:val="fr-FR"/>
        </w:rPr>
        <w:t>’</w:t>
      </w:r>
      <w:r w:rsidRPr="00521891">
        <w:rPr>
          <w:i/>
          <w:lang w:val="fr-FR"/>
        </w:rPr>
        <w:t>homme sans exception;</w:t>
      </w:r>
    </w:p>
    <w:p w:rsidR="00C06068" w:rsidRPr="00521891" w:rsidRDefault="00C06068" w:rsidP="00C06068">
      <w:pPr>
        <w:pStyle w:val="SingleTxt"/>
        <w:ind w:left="2217" w:hanging="475"/>
        <w:rPr>
          <w:i/>
          <w:lang w:val="fr-FR"/>
        </w:rPr>
      </w:pPr>
      <w:r w:rsidRPr="00521891">
        <w:rPr>
          <w:i/>
          <w:lang w:val="fr-FR"/>
        </w:rPr>
        <w:t>2.</w:t>
      </w:r>
      <w:r w:rsidRPr="00521891">
        <w:rPr>
          <w:i/>
          <w:lang w:val="fr-FR"/>
        </w:rPr>
        <w:tab/>
        <w:t>Fournir à titre consultatif à l</w:t>
      </w:r>
      <w:r>
        <w:rPr>
          <w:i/>
          <w:lang w:val="fr-FR"/>
        </w:rPr>
        <w:t>’</w:t>
      </w:r>
      <w:r w:rsidRPr="00521891">
        <w:rPr>
          <w:i/>
          <w:lang w:val="fr-FR"/>
        </w:rPr>
        <w:t>exécutif, au législatif, à la Cour suprême et à tout autre organe compétent, soit à la demande des autorités concernées, soit en usant de sa faculté d</w:t>
      </w:r>
      <w:r>
        <w:rPr>
          <w:i/>
          <w:lang w:val="fr-FR"/>
        </w:rPr>
        <w:t>’</w:t>
      </w:r>
      <w:r w:rsidRPr="00521891">
        <w:rPr>
          <w:i/>
          <w:lang w:val="fr-FR"/>
        </w:rPr>
        <w:t>autosaisine, des avis, recommandations, propositions et rapports concernant toute question relative à la promotion et à la protection des droits de l</w:t>
      </w:r>
      <w:r>
        <w:rPr>
          <w:i/>
          <w:lang w:val="fr-FR"/>
        </w:rPr>
        <w:t>’</w:t>
      </w:r>
      <w:r w:rsidRPr="00521891">
        <w:rPr>
          <w:i/>
          <w:lang w:val="fr-FR"/>
        </w:rPr>
        <w:t>homme;</w:t>
      </w:r>
    </w:p>
    <w:p w:rsidR="00C06068" w:rsidRPr="00521891" w:rsidRDefault="00C06068" w:rsidP="00C06068">
      <w:pPr>
        <w:pStyle w:val="SingleTxt"/>
        <w:ind w:left="2217" w:hanging="475"/>
        <w:rPr>
          <w:i/>
          <w:lang w:val="fr-FR"/>
        </w:rPr>
      </w:pPr>
      <w:r w:rsidRPr="00521891">
        <w:rPr>
          <w:i/>
          <w:lang w:val="fr-FR"/>
        </w:rPr>
        <w:t>3.</w:t>
      </w:r>
      <w:r w:rsidRPr="00521891">
        <w:rPr>
          <w:i/>
          <w:lang w:val="fr-FR"/>
        </w:rPr>
        <w:tab/>
      </w:r>
      <w:r>
        <w:rPr>
          <w:i/>
          <w:lang w:val="fr-FR"/>
        </w:rPr>
        <w:t>D</w:t>
      </w:r>
      <w:r w:rsidRPr="00521891">
        <w:rPr>
          <w:i/>
          <w:lang w:val="fr-FR"/>
        </w:rPr>
        <w:t>ans le respect de son indépendance, formuler des avis à l</w:t>
      </w:r>
      <w:r>
        <w:rPr>
          <w:i/>
          <w:lang w:val="fr-FR"/>
        </w:rPr>
        <w:t>’</w:t>
      </w:r>
      <w:r w:rsidRPr="00521891">
        <w:rPr>
          <w:i/>
          <w:lang w:val="fr-FR"/>
        </w:rPr>
        <w:t>exécutif concernant les libertés fondamentales et les droits de l</w:t>
      </w:r>
      <w:r>
        <w:rPr>
          <w:i/>
          <w:lang w:val="fr-FR"/>
        </w:rPr>
        <w:t>’</w:t>
      </w:r>
      <w:r w:rsidRPr="00521891">
        <w:rPr>
          <w:i/>
          <w:lang w:val="fr-FR"/>
        </w:rPr>
        <w:t>homme, sur les droits de la femme, de l</w:t>
      </w:r>
      <w:r>
        <w:rPr>
          <w:i/>
          <w:lang w:val="fr-FR"/>
        </w:rPr>
        <w:t>’</w:t>
      </w:r>
      <w:r w:rsidRPr="00521891">
        <w:rPr>
          <w:i/>
          <w:lang w:val="fr-FR"/>
        </w:rPr>
        <w:t>enfant, des personnes en situation de handicap, des personnes âgées et de tout autre groupe vulnérable;</w:t>
      </w:r>
    </w:p>
    <w:p w:rsidR="00C06068" w:rsidRPr="00521891" w:rsidRDefault="00C06068" w:rsidP="00C06068">
      <w:pPr>
        <w:pStyle w:val="SingleTxt"/>
        <w:ind w:left="2217" w:hanging="475"/>
        <w:rPr>
          <w:i/>
          <w:lang w:val="fr-FR"/>
        </w:rPr>
      </w:pPr>
      <w:r w:rsidRPr="00521891">
        <w:rPr>
          <w:i/>
          <w:lang w:val="fr-FR"/>
        </w:rPr>
        <w:t>4.</w:t>
      </w:r>
      <w:r w:rsidRPr="00521891">
        <w:rPr>
          <w:i/>
          <w:lang w:val="fr-FR"/>
        </w:rPr>
        <w:tab/>
        <w:t>Élaborer des rapports sur la situation nationale des droits de l</w:t>
      </w:r>
      <w:r>
        <w:rPr>
          <w:i/>
          <w:lang w:val="fr-FR"/>
        </w:rPr>
        <w:t>’</w:t>
      </w:r>
      <w:r w:rsidRPr="00521891">
        <w:rPr>
          <w:i/>
          <w:lang w:val="fr-FR"/>
        </w:rPr>
        <w:t>homme et les libertés fondamentales en général, ainsi que sur des questions plus spécifiques;</w:t>
      </w:r>
    </w:p>
    <w:p w:rsidR="00C06068" w:rsidRPr="00521891" w:rsidRDefault="00C06068" w:rsidP="00C06068">
      <w:pPr>
        <w:pStyle w:val="SingleTxt"/>
        <w:ind w:left="2217" w:hanging="475"/>
        <w:rPr>
          <w:i/>
          <w:lang w:val="fr-FR"/>
        </w:rPr>
      </w:pPr>
      <w:r w:rsidRPr="00521891">
        <w:rPr>
          <w:i/>
          <w:lang w:val="fr-FR"/>
        </w:rPr>
        <w:t>5.</w:t>
      </w:r>
      <w:r w:rsidRPr="00521891">
        <w:rPr>
          <w:i/>
          <w:lang w:val="fr-FR"/>
        </w:rPr>
        <w:tab/>
        <w:t>Promouvoir et assurer l</w:t>
      </w:r>
      <w:r>
        <w:rPr>
          <w:i/>
          <w:lang w:val="fr-FR"/>
        </w:rPr>
        <w:t>’</w:t>
      </w:r>
      <w:r w:rsidRPr="00521891">
        <w:rPr>
          <w:i/>
          <w:lang w:val="fr-FR"/>
        </w:rPr>
        <w:t>harmonisation des lois, des règlements et des pratiques natio</w:t>
      </w:r>
      <w:r>
        <w:rPr>
          <w:i/>
          <w:lang w:val="fr-FR"/>
        </w:rPr>
        <w:t>nales avec les instruments sous-</w:t>
      </w:r>
      <w:r w:rsidRPr="00521891">
        <w:rPr>
          <w:i/>
          <w:lang w:val="fr-FR"/>
        </w:rPr>
        <w:t>régionaux, régionaux et internationaux relatifs aux droits de l</w:t>
      </w:r>
      <w:r>
        <w:rPr>
          <w:i/>
          <w:lang w:val="fr-FR"/>
        </w:rPr>
        <w:t>’</w:t>
      </w:r>
      <w:r w:rsidRPr="00521891">
        <w:rPr>
          <w:i/>
          <w:lang w:val="fr-FR"/>
        </w:rPr>
        <w:t>homme, auxquels l</w:t>
      </w:r>
      <w:r>
        <w:rPr>
          <w:i/>
          <w:lang w:val="fr-FR"/>
        </w:rPr>
        <w:t>’</w:t>
      </w:r>
      <w:r w:rsidRPr="00521891">
        <w:rPr>
          <w:i/>
          <w:lang w:val="fr-FR"/>
        </w:rPr>
        <w:t>État malagasy est partie, et veiller à leur mise en œuvre effective;</w:t>
      </w:r>
    </w:p>
    <w:p w:rsidR="00C06068" w:rsidRPr="00521891" w:rsidRDefault="00C06068" w:rsidP="00C06068">
      <w:pPr>
        <w:pStyle w:val="SingleTxt"/>
        <w:ind w:left="2217" w:hanging="475"/>
        <w:rPr>
          <w:i/>
          <w:lang w:val="fr-FR"/>
        </w:rPr>
      </w:pPr>
      <w:r w:rsidRPr="00521891">
        <w:rPr>
          <w:i/>
          <w:lang w:val="fr-FR"/>
        </w:rPr>
        <w:t>6.</w:t>
      </w:r>
      <w:r w:rsidRPr="00521891">
        <w:rPr>
          <w:i/>
          <w:lang w:val="fr-FR"/>
        </w:rPr>
        <w:tab/>
        <w:t>Encourager la ratification des instruments régionaux et internationaux relatifs aux droits de l</w:t>
      </w:r>
      <w:r>
        <w:rPr>
          <w:i/>
          <w:lang w:val="fr-FR"/>
        </w:rPr>
        <w:t>’</w:t>
      </w:r>
      <w:r w:rsidRPr="00521891">
        <w:rPr>
          <w:i/>
          <w:lang w:val="fr-FR"/>
        </w:rPr>
        <w:t>homme ou l</w:t>
      </w:r>
      <w:r>
        <w:rPr>
          <w:i/>
          <w:lang w:val="fr-FR"/>
        </w:rPr>
        <w:t>’</w:t>
      </w:r>
      <w:r w:rsidRPr="00521891">
        <w:rPr>
          <w:i/>
          <w:lang w:val="fr-FR"/>
        </w:rPr>
        <w:t>adhésion à ces textes et s</w:t>
      </w:r>
      <w:r>
        <w:rPr>
          <w:i/>
          <w:lang w:val="fr-FR"/>
        </w:rPr>
        <w:t>’</w:t>
      </w:r>
      <w:r w:rsidRPr="00521891">
        <w:rPr>
          <w:i/>
          <w:lang w:val="fr-FR"/>
        </w:rPr>
        <w:t>assurer de leur mise en œuvre;</w:t>
      </w:r>
    </w:p>
    <w:p w:rsidR="00C06068" w:rsidRPr="00521891" w:rsidRDefault="00C06068" w:rsidP="00C06068">
      <w:pPr>
        <w:pStyle w:val="SingleTxt"/>
        <w:ind w:left="2217" w:hanging="475"/>
        <w:rPr>
          <w:i/>
          <w:lang w:val="fr-FR"/>
        </w:rPr>
      </w:pPr>
      <w:r w:rsidRPr="00521891">
        <w:rPr>
          <w:i/>
          <w:lang w:val="fr-FR"/>
        </w:rPr>
        <w:t>7.</w:t>
      </w:r>
      <w:r w:rsidRPr="00521891">
        <w:rPr>
          <w:i/>
          <w:lang w:val="fr-FR"/>
        </w:rPr>
        <w:tab/>
        <w:t>Interpeller l</w:t>
      </w:r>
      <w:r>
        <w:rPr>
          <w:i/>
          <w:lang w:val="fr-FR"/>
        </w:rPr>
        <w:t>’</w:t>
      </w:r>
      <w:r w:rsidRPr="00521891">
        <w:rPr>
          <w:i/>
          <w:lang w:val="fr-FR"/>
        </w:rPr>
        <w:t>exécutif et ses démembrements sur les situations de violation des droits de l</w:t>
      </w:r>
      <w:r>
        <w:rPr>
          <w:i/>
          <w:lang w:val="fr-FR"/>
        </w:rPr>
        <w:t>’</w:t>
      </w:r>
      <w:r w:rsidRPr="00521891">
        <w:rPr>
          <w:i/>
          <w:lang w:val="fr-FR"/>
        </w:rPr>
        <w:t>homme dans tout le pays, lui proposer toute initiative tendant à y mettre fin et, le cas échéant, émettre un avis sur les positions et réactions des autorités concernées;</w:t>
      </w:r>
    </w:p>
    <w:p w:rsidR="00C06068" w:rsidRPr="00521891" w:rsidRDefault="00C06068" w:rsidP="00C06068">
      <w:pPr>
        <w:pStyle w:val="SingleTxt"/>
        <w:ind w:left="2217" w:hanging="475"/>
        <w:rPr>
          <w:i/>
          <w:lang w:val="fr-FR"/>
        </w:rPr>
      </w:pPr>
      <w:r w:rsidRPr="00521891">
        <w:rPr>
          <w:i/>
          <w:lang w:val="fr-FR"/>
        </w:rPr>
        <w:t>8.</w:t>
      </w:r>
      <w:r w:rsidRPr="00521891">
        <w:rPr>
          <w:i/>
          <w:lang w:val="fr-FR"/>
        </w:rPr>
        <w:tab/>
        <w:t>Examiner les lois et les règlements en vigueur ainsi que les projets et propositions de loi et faire les observations appropriées en vue de garantir que ces textes soient conformes aux principes fondamentaux des droits de l</w:t>
      </w:r>
      <w:r>
        <w:rPr>
          <w:i/>
          <w:lang w:val="fr-FR"/>
        </w:rPr>
        <w:t>’</w:t>
      </w:r>
      <w:r w:rsidRPr="00521891">
        <w:rPr>
          <w:i/>
          <w:lang w:val="fr-FR"/>
        </w:rPr>
        <w:t>homme; recommander, si nécessaire, l</w:t>
      </w:r>
      <w:r>
        <w:rPr>
          <w:i/>
          <w:lang w:val="fr-FR"/>
        </w:rPr>
        <w:t>’</w:t>
      </w:r>
      <w:r w:rsidRPr="00521891">
        <w:rPr>
          <w:i/>
          <w:lang w:val="fr-FR"/>
        </w:rPr>
        <w:t>adoption d</w:t>
      </w:r>
      <w:r>
        <w:rPr>
          <w:i/>
          <w:lang w:val="fr-FR"/>
        </w:rPr>
        <w:t>’</w:t>
      </w:r>
      <w:r w:rsidRPr="00521891">
        <w:rPr>
          <w:i/>
          <w:lang w:val="fr-FR"/>
        </w:rPr>
        <w:t>une nouvelle législation, l</w:t>
      </w:r>
      <w:r>
        <w:rPr>
          <w:i/>
          <w:lang w:val="fr-FR"/>
        </w:rPr>
        <w:t>’</w:t>
      </w:r>
      <w:r w:rsidRPr="00521891">
        <w:rPr>
          <w:i/>
          <w:lang w:val="fr-FR"/>
        </w:rPr>
        <w:t>adaptation de la législation et de la réglementation en vigueur, et si besoin est leur modification;</w:t>
      </w:r>
    </w:p>
    <w:p w:rsidR="00C06068" w:rsidRPr="00521891" w:rsidRDefault="00C06068" w:rsidP="00C06068">
      <w:pPr>
        <w:pStyle w:val="SingleTxt"/>
        <w:ind w:left="2217" w:hanging="475"/>
        <w:rPr>
          <w:i/>
          <w:lang w:val="fr-FR"/>
        </w:rPr>
      </w:pPr>
      <w:r w:rsidRPr="00521891">
        <w:rPr>
          <w:i/>
          <w:lang w:val="fr-FR"/>
        </w:rPr>
        <w:t>9.</w:t>
      </w:r>
      <w:r w:rsidRPr="00521891">
        <w:rPr>
          <w:i/>
          <w:lang w:val="fr-FR"/>
        </w:rPr>
        <w:tab/>
        <w:t>Coopérer avec l</w:t>
      </w:r>
      <w:r>
        <w:rPr>
          <w:i/>
          <w:lang w:val="fr-FR"/>
        </w:rPr>
        <w:t>’</w:t>
      </w:r>
      <w:r w:rsidRPr="00521891">
        <w:rPr>
          <w:i/>
          <w:lang w:val="fr-FR"/>
        </w:rPr>
        <w:t>Organisation des Nations Unies et tout autre organisme des Natio</w:t>
      </w:r>
      <w:r>
        <w:rPr>
          <w:i/>
          <w:lang w:val="fr-FR"/>
        </w:rPr>
        <w:t>ns Unies, les institutions sous-</w:t>
      </w:r>
      <w:r w:rsidRPr="00521891">
        <w:rPr>
          <w:i/>
          <w:lang w:val="fr-FR"/>
        </w:rPr>
        <w:t>régionales</w:t>
      </w:r>
      <w:r>
        <w:rPr>
          <w:i/>
          <w:lang w:val="fr-FR"/>
        </w:rPr>
        <w:t xml:space="preserve"> et</w:t>
      </w:r>
      <w:r w:rsidRPr="00521891">
        <w:rPr>
          <w:i/>
          <w:lang w:val="fr-FR"/>
        </w:rPr>
        <w:t xml:space="preserve"> régionales ainsi que les institutions nationales d</w:t>
      </w:r>
      <w:r>
        <w:rPr>
          <w:i/>
          <w:lang w:val="fr-FR"/>
        </w:rPr>
        <w:t>’</w:t>
      </w:r>
      <w:r w:rsidRPr="00521891">
        <w:rPr>
          <w:i/>
          <w:lang w:val="fr-FR"/>
        </w:rPr>
        <w:t>autres pays, compétentes dans les domaines de la promotion et de la protection des droits de l</w:t>
      </w:r>
      <w:r>
        <w:rPr>
          <w:i/>
          <w:lang w:val="fr-FR"/>
        </w:rPr>
        <w:t>’</w:t>
      </w:r>
      <w:r w:rsidRPr="00521891">
        <w:rPr>
          <w:i/>
          <w:lang w:val="fr-FR"/>
        </w:rPr>
        <w:t>homme;</w:t>
      </w:r>
    </w:p>
    <w:p w:rsidR="00C06068" w:rsidRPr="00521891" w:rsidRDefault="00C06068" w:rsidP="00C06068">
      <w:pPr>
        <w:pStyle w:val="SingleTxt"/>
        <w:ind w:left="2217" w:hanging="475"/>
        <w:rPr>
          <w:i/>
          <w:lang w:val="fr-FR"/>
        </w:rPr>
      </w:pPr>
      <w:r w:rsidRPr="00521891">
        <w:rPr>
          <w:i/>
          <w:lang w:val="fr-FR"/>
        </w:rPr>
        <w:t>10.</w:t>
      </w:r>
      <w:r w:rsidRPr="00521891">
        <w:rPr>
          <w:i/>
          <w:lang w:val="fr-FR"/>
        </w:rPr>
        <w:tab/>
        <w:t>Contribuer à la rédaction des rapports que l</w:t>
      </w:r>
      <w:r>
        <w:rPr>
          <w:i/>
          <w:lang w:val="fr-FR"/>
        </w:rPr>
        <w:t>’</w:t>
      </w:r>
      <w:r w:rsidRPr="00521891">
        <w:rPr>
          <w:i/>
          <w:lang w:val="fr-FR"/>
        </w:rPr>
        <w:t>État doit présenter aux organes et comités des Nations Unies, ainsi qu</w:t>
      </w:r>
      <w:r>
        <w:rPr>
          <w:i/>
          <w:lang w:val="fr-FR"/>
        </w:rPr>
        <w:t xml:space="preserve">’aux institutions sous-régionales et </w:t>
      </w:r>
      <w:r w:rsidRPr="00521891">
        <w:rPr>
          <w:i/>
          <w:lang w:val="fr-FR"/>
        </w:rPr>
        <w:t>régionales, en application de ses obligations conventionnelles et</w:t>
      </w:r>
      <w:r>
        <w:rPr>
          <w:i/>
          <w:lang w:val="fr-FR"/>
        </w:rPr>
        <w:t>,</w:t>
      </w:r>
      <w:r w:rsidRPr="00521891">
        <w:rPr>
          <w:i/>
          <w:lang w:val="fr-FR"/>
        </w:rPr>
        <w:t xml:space="preserve"> le cas échéant, émettre un avis à ce sujet dans le respect de son indépendance;</w:t>
      </w:r>
    </w:p>
    <w:p w:rsidR="00C06068" w:rsidRPr="00521891" w:rsidRDefault="00C06068" w:rsidP="00C06068">
      <w:pPr>
        <w:pStyle w:val="SingleTxt"/>
        <w:ind w:left="2217" w:hanging="475"/>
        <w:rPr>
          <w:i/>
          <w:lang w:val="fr-FR"/>
        </w:rPr>
      </w:pPr>
      <w:r w:rsidRPr="00521891">
        <w:rPr>
          <w:i/>
          <w:lang w:val="fr-FR"/>
        </w:rPr>
        <w:t>11.</w:t>
      </w:r>
      <w:r w:rsidRPr="00521891">
        <w:rPr>
          <w:i/>
          <w:lang w:val="fr-FR"/>
        </w:rPr>
        <w:tab/>
        <w:t>Faire connaître les droits de l</w:t>
      </w:r>
      <w:r>
        <w:rPr>
          <w:i/>
          <w:lang w:val="fr-FR"/>
        </w:rPr>
        <w:t>’</w:t>
      </w:r>
      <w:r w:rsidRPr="00521891">
        <w:rPr>
          <w:i/>
          <w:lang w:val="fr-FR"/>
        </w:rPr>
        <w:t>homme et la lutte contre toutes les formes de violation des droits de l</w:t>
      </w:r>
      <w:r>
        <w:rPr>
          <w:i/>
          <w:lang w:val="fr-FR"/>
        </w:rPr>
        <w:t>’</w:t>
      </w:r>
      <w:r w:rsidRPr="00521891">
        <w:rPr>
          <w:i/>
          <w:lang w:val="fr-FR"/>
        </w:rPr>
        <w:t>homme, en sensibilisant l</w:t>
      </w:r>
      <w:r>
        <w:rPr>
          <w:i/>
          <w:lang w:val="fr-FR"/>
        </w:rPr>
        <w:t>’</w:t>
      </w:r>
      <w:r w:rsidRPr="00521891">
        <w:rPr>
          <w:i/>
          <w:lang w:val="fr-FR"/>
        </w:rPr>
        <w:t>opinion publique, notamment par l</w:t>
      </w:r>
      <w:r>
        <w:rPr>
          <w:i/>
          <w:lang w:val="fr-FR"/>
        </w:rPr>
        <w:t>’</w:t>
      </w:r>
      <w:r w:rsidRPr="00521891">
        <w:rPr>
          <w:i/>
          <w:lang w:val="fr-FR"/>
        </w:rPr>
        <w:t>information, l</w:t>
      </w:r>
      <w:r>
        <w:rPr>
          <w:i/>
          <w:lang w:val="fr-FR"/>
        </w:rPr>
        <w:t>’</w:t>
      </w:r>
      <w:r w:rsidRPr="00521891">
        <w:rPr>
          <w:i/>
          <w:lang w:val="fr-FR"/>
        </w:rPr>
        <w:t>éducation et en faisant appel, entre autres, à tous les organes de presse;</w:t>
      </w:r>
    </w:p>
    <w:p w:rsidR="00C06068" w:rsidRPr="00521891" w:rsidRDefault="00C06068" w:rsidP="00C06068">
      <w:pPr>
        <w:pStyle w:val="SingleTxt"/>
        <w:ind w:left="2217" w:hanging="475"/>
        <w:rPr>
          <w:i/>
          <w:lang w:val="fr-FR"/>
        </w:rPr>
      </w:pPr>
      <w:r w:rsidRPr="00521891">
        <w:rPr>
          <w:i/>
          <w:lang w:val="fr-FR"/>
        </w:rPr>
        <w:t>12.</w:t>
      </w:r>
      <w:r w:rsidRPr="00521891">
        <w:rPr>
          <w:i/>
          <w:lang w:val="fr-FR"/>
        </w:rPr>
        <w:tab/>
        <w:t>Être associé à l</w:t>
      </w:r>
      <w:r>
        <w:rPr>
          <w:i/>
          <w:lang w:val="fr-FR"/>
        </w:rPr>
        <w:t>’</w:t>
      </w:r>
      <w:r w:rsidRPr="00521891">
        <w:rPr>
          <w:i/>
          <w:lang w:val="fr-FR"/>
        </w:rPr>
        <w:t>élaboration des programmes concernant l</w:t>
      </w:r>
      <w:r>
        <w:rPr>
          <w:i/>
          <w:lang w:val="fr-FR"/>
        </w:rPr>
        <w:t>’</w:t>
      </w:r>
      <w:r w:rsidRPr="00521891">
        <w:rPr>
          <w:i/>
          <w:lang w:val="fr-FR"/>
        </w:rPr>
        <w:t>enseignement et la recherche sur les droits de l</w:t>
      </w:r>
      <w:r>
        <w:rPr>
          <w:i/>
          <w:lang w:val="fr-FR"/>
        </w:rPr>
        <w:t>’</w:t>
      </w:r>
      <w:r w:rsidRPr="00521891">
        <w:rPr>
          <w:i/>
          <w:lang w:val="fr-FR"/>
        </w:rPr>
        <w:t>homme et participer à leur mise en œuvre dans les milieux scolaires, universitaires, sociaux et professionnels;</w:t>
      </w:r>
    </w:p>
    <w:p w:rsidR="00C06068" w:rsidRPr="00521891" w:rsidRDefault="00C06068" w:rsidP="00C06068">
      <w:pPr>
        <w:pStyle w:val="SingleTxt"/>
        <w:ind w:left="2217" w:hanging="475"/>
        <w:rPr>
          <w:i/>
          <w:lang w:val="fr-FR"/>
        </w:rPr>
      </w:pPr>
      <w:r w:rsidRPr="00521891">
        <w:rPr>
          <w:i/>
          <w:lang w:val="fr-FR"/>
        </w:rPr>
        <w:t>13.</w:t>
      </w:r>
      <w:r w:rsidRPr="00521891">
        <w:rPr>
          <w:i/>
          <w:lang w:val="fr-FR"/>
        </w:rPr>
        <w:tab/>
        <w:t>Recevoir et examiner les plaintes et requêtes individuelles ou collectives en matière de violation des droits de l</w:t>
      </w:r>
      <w:r>
        <w:rPr>
          <w:i/>
          <w:lang w:val="fr-FR"/>
        </w:rPr>
        <w:t>’</w:t>
      </w:r>
      <w:r w:rsidRPr="00521891">
        <w:rPr>
          <w:i/>
          <w:lang w:val="fr-FR"/>
        </w:rPr>
        <w:t>homme et rechercher un règlement amiable par la conciliation ou les transmettre à toutes autorités compétentes le cas échéant;</w:t>
      </w:r>
    </w:p>
    <w:p w:rsidR="00C06068" w:rsidRPr="00521891" w:rsidRDefault="00C06068" w:rsidP="00C06068">
      <w:pPr>
        <w:pStyle w:val="SingleTxt"/>
        <w:ind w:left="2217" w:hanging="475"/>
        <w:rPr>
          <w:i/>
          <w:lang w:val="fr-FR"/>
        </w:rPr>
      </w:pPr>
      <w:r w:rsidRPr="00521891">
        <w:rPr>
          <w:i/>
          <w:lang w:val="fr-FR"/>
        </w:rPr>
        <w:t>14.</w:t>
      </w:r>
      <w:r w:rsidRPr="00521891">
        <w:rPr>
          <w:i/>
          <w:lang w:val="fr-FR"/>
        </w:rPr>
        <w:tab/>
        <w:t>Effectuer à toute heure des visites régulières avisées ou inopinées des prisons et tous lieux de détention et de privation de liberté</w:t>
      </w:r>
      <w:r>
        <w:rPr>
          <w:i/>
          <w:lang w:val="fr-FR"/>
        </w:rPr>
        <w:t> »</w:t>
      </w:r>
      <w:r w:rsidRPr="00521891">
        <w:rPr>
          <w:i/>
          <w:lang w:val="fr-FR"/>
        </w:rPr>
        <w:t>.</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7" w:hanging="720"/>
        <w:rPr>
          <w:b w:val="0"/>
          <w:i/>
          <w:lang w:val="fr-FR"/>
        </w:rPr>
      </w:pPr>
      <w:r w:rsidRPr="00521891">
        <w:rPr>
          <w:b w:val="0"/>
          <w:i/>
          <w:lang w:val="fr-FR"/>
        </w:rPr>
        <w:tab/>
      </w:r>
      <w:r w:rsidRPr="00521891">
        <w:rPr>
          <w:b w:val="0"/>
          <w:i/>
          <w:lang w:val="fr-FR"/>
        </w:rPr>
        <w:tab/>
        <w:t xml:space="preserve">Article 4 – </w:t>
      </w:r>
      <w:r>
        <w:rPr>
          <w:b w:val="0"/>
          <w:i/>
          <w:lang w:val="fr-FR"/>
        </w:rPr>
        <w:t>« </w:t>
      </w:r>
      <w:r w:rsidRPr="00521891">
        <w:rPr>
          <w:b w:val="0"/>
          <w:i/>
          <w:lang w:val="fr-FR"/>
        </w:rPr>
        <w:t xml:space="preserve">La Commission procède à des études, analyses, enquêtes </w:t>
      </w:r>
      <w:r>
        <w:rPr>
          <w:b w:val="0"/>
          <w:i/>
          <w:lang w:val="fr-FR"/>
        </w:rPr>
        <w:br/>
      </w:r>
      <w:r w:rsidRPr="00521891">
        <w:rPr>
          <w:b w:val="0"/>
          <w:i/>
          <w:lang w:val="fr-FR"/>
        </w:rPr>
        <w:t>et publications sur toutes questions relatives aux droits de l</w:t>
      </w:r>
      <w:r>
        <w:rPr>
          <w:b w:val="0"/>
          <w:i/>
          <w:lang w:val="fr-FR"/>
        </w:rPr>
        <w:t>’</w:t>
      </w:r>
      <w:r w:rsidRPr="00521891">
        <w:rPr>
          <w:b w:val="0"/>
          <w:i/>
          <w:lang w:val="fr-FR"/>
        </w:rPr>
        <w:t xml:space="preserve">homme </w:t>
      </w:r>
      <w:r>
        <w:rPr>
          <w:b w:val="0"/>
          <w:i/>
          <w:lang w:val="fr-FR"/>
        </w:rPr>
        <w:br/>
      </w:r>
      <w:r w:rsidRPr="00521891">
        <w:rPr>
          <w:b w:val="0"/>
          <w:i/>
          <w:lang w:val="fr-FR"/>
        </w:rPr>
        <w:t>et aux libertés fondamentales.</w:t>
      </w:r>
    </w:p>
    <w:p w:rsidR="00C06068" w:rsidRPr="00521891" w:rsidRDefault="00C06068" w:rsidP="00C06068">
      <w:pPr>
        <w:pStyle w:val="SingleTxt"/>
        <w:keepNext/>
        <w:keepLines/>
        <w:spacing w:after="0" w:line="120" w:lineRule="exact"/>
        <w:ind w:left="2218"/>
        <w:rPr>
          <w:i/>
          <w:sz w:val="10"/>
          <w:lang w:val="fr-FR"/>
        </w:rPr>
      </w:pPr>
    </w:p>
    <w:p w:rsidR="00C06068" w:rsidRPr="00521891" w:rsidRDefault="00C06068" w:rsidP="00C06068">
      <w:pPr>
        <w:pStyle w:val="SingleTxt"/>
        <w:tabs>
          <w:tab w:val="clear" w:pos="1267"/>
        </w:tabs>
        <w:ind w:left="1742" w:firstLine="468"/>
        <w:rPr>
          <w:i/>
          <w:lang w:val="fr-FR"/>
        </w:rPr>
      </w:pPr>
      <w:r w:rsidRPr="00521891">
        <w:rPr>
          <w:i/>
          <w:lang w:val="fr-FR"/>
        </w:rPr>
        <w:tab/>
        <w:t>La Commission saisit les autorités compétentes sur tous les cas de violations notamment celles liées :</w:t>
      </w:r>
    </w:p>
    <w:p w:rsidR="00C06068" w:rsidRPr="00521891" w:rsidRDefault="00C06068" w:rsidP="00C06068">
      <w:pPr>
        <w:pStyle w:val="SingleTxt"/>
        <w:ind w:left="1742"/>
        <w:rPr>
          <w:i/>
          <w:lang w:val="fr-FR"/>
        </w:rPr>
      </w:pPr>
      <w:r>
        <w:rPr>
          <w:i/>
          <w:lang w:val="fr-FR"/>
        </w:rPr>
        <w:tab/>
      </w:r>
      <w:r w:rsidRPr="00521891">
        <w:rPr>
          <w:i/>
          <w:lang w:val="fr-FR"/>
        </w:rPr>
        <w:t>a)</w:t>
      </w:r>
      <w:r w:rsidRPr="00521891">
        <w:rPr>
          <w:i/>
          <w:lang w:val="fr-FR"/>
        </w:rPr>
        <w:tab/>
        <w:t>À la pratique de la torture, ou aux autres peines et traitement cruels, inhumains ou dégradants pendant la garde à vue ou pendant la détention en milieu carcéral ou dans les centres de rééducation et de réinsertion ainsi que les cas d</w:t>
      </w:r>
      <w:r>
        <w:rPr>
          <w:i/>
          <w:lang w:val="fr-FR"/>
        </w:rPr>
        <w:t>’exécution extra</w:t>
      </w:r>
      <w:r w:rsidRPr="00521891">
        <w:rPr>
          <w:i/>
          <w:lang w:val="fr-FR"/>
        </w:rPr>
        <w:t>judiciaire;</w:t>
      </w:r>
    </w:p>
    <w:p w:rsidR="00C06068" w:rsidRPr="00521891" w:rsidRDefault="00C06068" w:rsidP="00C06068">
      <w:pPr>
        <w:pStyle w:val="SingleTxt"/>
        <w:ind w:left="2217" w:hanging="475"/>
        <w:rPr>
          <w:i/>
          <w:lang w:val="fr-FR"/>
        </w:rPr>
      </w:pPr>
      <w:r>
        <w:rPr>
          <w:i/>
          <w:lang w:val="fr-FR"/>
        </w:rPr>
        <w:tab/>
      </w:r>
      <w:r w:rsidRPr="00521891">
        <w:rPr>
          <w:i/>
          <w:lang w:val="fr-FR"/>
        </w:rPr>
        <w:t>b)</w:t>
      </w:r>
      <w:r w:rsidRPr="00521891">
        <w:rPr>
          <w:i/>
          <w:lang w:val="fr-FR"/>
        </w:rPr>
        <w:tab/>
        <w:t>À l</w:t>
      </w:r>
      <w:r>
        <w:rPr>
          <w:i/>
          <w:lang w:val="fr-FR"/>
        </w:rPr>
        <w:t>’</w:t>
      </w:r>
      <w:r w:rsidRPr="00521891">
        <w:rPr>
          <w:i/>
          <w:lang w:val="fr-FR"/>
        </w:rPr>
        <w:t>existence de lieux où se pratique la détention secrète;</w:t>
      </w:r>
    </w:p>
    <w:p w:rsidR="00C06068" w:rsidRPr="00521891" w:rsidRDefault="00C06068" w:rsidP="00C06068">
      <w:pPr>
        <w:pStyle w:val="SingleTxt"/>
        <w:ind w:left="2217" w:hanging="475"/>
        <w:rPr>
          <w:i/>
          <w:lang w:val="fr-FR"/>
        </w:rPr>
      </w:pPr>
      <w:r>
        <w:rPr>
          <w:i/>
          <w:lang w:val="fr-FR"/>
        </w:rPr>
        <w:tab/>
      </w:r>
      <w:r w:rsidRPr="00521891">
        <w:rPr>
          <w:i/>
          <w:lang w:val="fr-FR"/>
        </w:rPr>
        <w:t>c)</w:t>
      </w:r>
      <w:r w:rsidRPr="00521891">
        <w:rPr>
          <w:i/>
          <w:lang w:val="fr-FR"/>
        </w:rPr>
        <w:tab/>
        <w:t>Aux disparitions forcées, aux transferts secrets;</w:t>
      </w:r>
    </w:p>
    <w:p w:rsidR="00C06068" w:rsidRPr="00521891" w:rsidRDefault="00C06068" w:rsidP="00C06068">
      <w:pPr>
        <w:pStyle w:val="SingleTxt"/>
        <w:ind w:left="1742"/>
        <w:rPr>
          <w:i/>
          <w:lang w:val="fr-FR"/>
        </w:rPr>
      </w:pPr>
      <w:r>
        <w:rPr>
          <w:i/>
          <w:lang w:val="fr-FR"/>
        </w:rPr>
        <w:tab/>
      </w:r>
      <w:r w:rsidRPr="00521891">
        <w:rPr>
          <w:i/>
          <w:lang w:val="fr-FR"/>
        </w:rPr>
        <w:t>d)</w:t>
      </w:r>
      <w:r w:rsidRPr="00521891">
        <w:rPr>
          <w:i/>
          <w:lang w:val="fr-FR"/>
        </w:rPr>
        <w:tab/>
        <w:t>À la pratique de discrimination raciale, des pires formes de travail des enfants et de traite des personnes;</w:t>
      </w:r>
    </w:p>
    <w:p w:rsidR="00C06068" w:rsidRPr="00521891" w:rsidRDefault="00C06068" w:rsidP="00C06068">
      <w:pPr>
        <w:pStyle w:val="SingleTxt"/>
        <w:ind w:left="2217" w:hanging="475"/>
        <w:rPr>
          <w:i/>
          <w:lang w:val="fr-FR"/>
        </w:rPr>
      </w:pPr>
      <w:r>
        <w:rPr>
          <w:i/>
          <w:lang w:val="fr-FR"/>
        </w:rPr>
        <w:tab/>
      </w:r>
      <w:r w:rsidRPr="00521891">
        <w:rPr>
          <w:i/>
          <w:lang w:val="fr-FR"/>
        </w:rPr>
        <w:t>e)</w:t>
      </w:r>
      <w:r w:rsidRPr="00521891">
        <w:rPr>
          <w:i/>
          <w:lang w:val="fr-FR"/>
        </w:rPr>
        <w:tab/>
        <w:t>À la liberté d</w:t>
      </w:r>
      <w:r>
        <w:rPr>
          <w:i/>
          <w:lang w:val="fr-FR"/>
        </w:rPr>
        <w:t>’</w:t>
      </w:r>
      <w:r w:rsidRPr="00521891">
        <w:rPr>
          <w:i/>
          <w:lang w:val="fr-FR"/>
        </w:rPr>
        <w:t>opinion, d</w:t>
      </w:r>
      <w:r>
        <w:rPr>
          <w:i/>
          <w:lang w:val="fr-FR"/>
        </w:rPr>
        <w:t>’</w:t>
      </w:r>
      <w:r w:rsidRPr="00521891">
        <w:rPr>
          <w:i/>
          <w:lang w:val="fr-FR"/>
        </w:rPr>
        <w:t>expression et de manifestation</w:t>
      </w:r>
      <w:r>
        <w:rPr>
          <w:i/>
          <w:lang w:val="fr-FR"/>
        </w:rPr>
        <w:t> »</w:t>
      </w:r>
      <w:r w:rsidRPr="00521891">
        <w:rPr>
          <w:i/>
          <w:lang w:val="fr-FR"/>
        </w:rPr>
        <w:t>.</w:t>
      </w:r>
    </w:p>
    <w:p w:rsidR="00C06068" w:rsidRPr="002E382B" w:rsidRDefault="00C06068" w:rsidP="00C06068">
      <w:pPr>
        <w:pStyle w:val="SingleTxt"/>
        <w:spacing w:after="0" w:line="120" w:lineRule="exact"/>
        <w:rPr>
          <w:sz w:val="10"/>
          <w:lang w:val="fr-FR"/>
        </w:rPr>
      </w:pPr>
      <w:bookmarkStart w:id="48" w:name="_Toc376709312"/>
    </w:p>
    <w:p w:rsidR="00C06068" w:rsidRPr="002E382B" w:rsidRDefault="00C06068" w:rsidP="00C06068">
      <w:pPr>
        <w:pStyle w:val="SingleTxt"/>
        <w:spacing w:after="0" w:line="120" w:lineRule="exact"/>
        <w:rPr>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Application de l</w:t>
      </w:r>
      <w:r>
        <w:rPr>
          <w:lang w:val="fr-FR"/>
        </w:rPr>
        <w:t>’</w:t>
      </w:r>
      <w:r w:rsidRPr="00521891">
        <w:rPr>
          <w:lang w:val="fr-FR"/>
        </w:rPr>
        <w:t xml:space="preserve">article 4 de la Convention : accélération </w:t>
      </w:r>
      <w:r w:rsidRPr="00521891">
        <w:rPr>
          <w:lang w:val="fr-FR"/>
        </w:rPr>
        <w:br/>
        <w:t>de l</w:t>
      </w:r>
      <w:r>
        <w:rPr>
          <w:lang w:val="fr-FR"/>
        </w:rPr>
        <w:t>’</w:t>
      </w:r>
      <w:r w:rsidRPr="00521891">
        <w:rPr>
          <w:lang w:val="fr-FR"/>
        </w:rPr>
        <w:t>instauration d</w:t>
      </w:r>
      <w:r>
        <w:rPr>
          <w:lang w:val="fr-FR"/>
        </w:rPr>
        <w:t>’</w:t>
      </w:r>
      <w:r w:rsidRPr="00521891">
        <w:rPr>
          <w:lang w:val="fr-FR"/>
        </w:rPr>
        <w:t>une égalité de fait entre l</w:t>
      </w:r>
      <w:r>
        <w:rPr>
          <w:lang w:val="fr-FR"/>
        </w:rPr>
        <w:t>’</w:t>
      </w:r>
      <w:r w:rsidRPr="00521891">
        <w:rPr>
          <w:lang w:val="fr-FR"/>
        </w:rPr>
        <w:t xml:space="preserve">homme </w:t>
      </w:r>
      <w:r w:rsidRPr="00521891">
        <w:rPr>
          <w:lang w:val="fr-FR"/>
        </w:rPr>
        <w:br/>
        <w:t>et la femme</w:t>
      </w:r>
      <w:bookmarkEnd w:id="48"/>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55238B">
        <w:rPr>
          <w:i/>
          <w:lang w:val="fr-FR"/>
        </w:rPr>
        <w:t>Objet de la recommandation dans le paragraphe 25</w:t>
      </w:r>
      <w:r w:rsidRPr="00521891">
        <w:rPr>
          <w:lang w:val="fr-FR"/>
        </w:rPr>
        <w:t>)</w:t>
      </w:r>
    </w:p>
    <w:p w:rsidR="00C06068" w:rsidRPr="0055238B" w:rsidRDefault="00C06068" w:rsidP="00C06068">
      <w:pPr>
        <w:pStyle w:val="SingleTxt"/>
        <w:rPr>
          <w:i/>
          <w:lang w:val="fr-FR"/>
        </w:rPr>
      </w:pPr>
      <w:r w:rsidRPr="00521891">
        <w:rPr>
          <w:bCs/>
          <w:lang w:val="fr-FR"/>
        </w:rPr>
        <w:tab/>
      </w:r>
      <w:r w:rsidRPr="0055238B">
        <w:rPr>
          <w:bCs/>
          <w:i/>
          <w:lang w:val="fr-FR"/>
        </w:rPr>
        <w:t>Le Comité engage vivement l’État partie à sensibiliser les esprits à l’importance de l’éducation en tant que droit fondamental et moyen de favoriser l’autonomie des femmes et à prendre des mesures pour éliminer les attitudes traditionnelles qui empêchent les femmes et les filles de jouir pleinement de leur droit fondamental à l’éducation. Il lui recommande de prendre des mesures pour assurer l’égalité d’accès des filles et des jeunes femmes à tous les niveaux d’éducation, faire en sorte que les filles restent scolarisées et permettre aux filles et aux jeunes femmes enceintes de retourner à l’école après leur grossesse. Il l’engage aussi à prendre des mesures pour augmenter le taux de scolarisation des filles à tous les niveaux et lui recommande d’adopter des mesures spéciales temporaires en application de sa</w:t>
      </w:r>
      <w:r w:rsidRPr="0055238B">
        <w:rPr>
          <w:i/>
          <w:lang w:val="fr-FR"/>
        </w:rPr>
        <w:t xml:space="preserve"> </w:t>
      </w:r>
      <w:r w:rsidRPr="0055238B">
        <w:rPr>
          <w:bCs/>
          <w:i/>
          <w:lang w:val="fr-FR"/>
        </w:rPr>
        <w:t>recommandation générale n</w:t>
      </w:r>
      <w:r w:rsidRPr="0055238B">
        <w:rPr>
          <w:bCs/>
          <w:i/>
          <w:vertAlign w:val="superscript"/>
          <w:lang w:val="fr-FR"/>
        </w:rPr>
        <w:t>o </w:t>
      </w:r>
      <w:r w:rsidRPr="0055238B">
        <w:rPr>
          <w:bCs/>
          <w:i/>
          <w:lang w:val="fr-FR"/>
        </w:rPr>
        <w:t>25, y compris des mesures incitant les parents à envoyer leurs filles à l’école</w:t>
      </w:r>
      <w:r w:rsidRPr="0055238B">
        <w:rPr>
          <w:i/>
          <w:lang w:val="fr-FR"/>
        </w:rPr>
        <w:t>.</w:t>
      </w:r>
    </w:p>
    <w:p w:rsidR="00C06068" w:rsidRPr="00521891" w:rsidRDefault="00C06068" w:rsidP="00C06068">
      <w:pPr>
        <w:pStyle w:val="SingleTxt"/>
        <w:numPr>
          <w:ilvl w:val="0"/>
          <w:numId w:val="10"/>
        </w:numPr>
        <w:rPr>
          <w:lang w:val="fr-FR"/>
        </w:rPr>
      </w:pPr>
      <w:r w:rsidRPr="00521891">
        <w:rPr>
          <w:lang w:val="fr-FR"/>
        </w:rPr>
        <w:t xml:space="preserve">La Constitution 2010 en son article 8, alinéa 2, dispose que : </w:t>
      </w:r>
      <w:r>
        <w:rPr>
          <w:lang w:val="fr-FR"/>
        </w:rPr>
        <w:t>« </w:t>
      </w:r>
      <w:r w:rsidRPr="00521891">
        <w:rPr>
          <w:lang w:val="fr-FR"/>
        </w:rPr>
        <w:t>Tous les individus sont égaux en droit et jouissent des mêmes libertés fondamentales protégées par la loi sans discrimination fondée sur le sexe, le degré d</w:t>
      </w:r>
      <w:r>
        <w:rPr>
          <w:lang w:val="fr-FR"/>
        </w:rPr>
        <w:t>’</w:t>
      </w:r>
      <w:r w:rsidRPr="00521891">
        <w:rPr>
          <w:lang w:val="fr-FR"/>
        </w:rPr>
        <w:t>instruction, la fortune, l</w:t>
      </w:r>
      <w:r>
        <w:rPr>
          <w:lang w:val="fr-FR"/>
        </w:rPr>
        <w:t>’</w:t>
      </w:r>
      <w:r w:rsidRPr="00521891">
        <w:rPr>
          <w:lang w:val="fr-FR"/>
        </w:rPr>
        <w:t>origine, la race, la croyance religieuse ou l</w:t>
      </w:r>
      <w:r>
        <w:rPr>
          <w:lang w:val="fr-FR"/>
        </w:rPr>
        <w:t>’</w:t>
      </w:r>
      <w:r w:rsidRPr="00521891">
        <w:rPr>
          <w:lang w:val="fr-FR"/>
        </w:rPr>
        <w:t>opinion</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Il en découle que nul ne doit être discriminé en raison de son origine pour être privé de l</w:t>
      </w:r>
      <w:r>
        <w:rPr>
          <w:lang w:val="fr-FR"/>
        </w:rPr>
        <w:t>’</w:t>
      </w:r>
      <w:r w:rsidRPr="00521891">
        <w:rPr>
          <w:lang w:val="fr-FR"/>
        </w:rPr>
        <w:t>accès à la nationalité.</w:t>
      </w:r>
    </w:p>
    <w:p w:rsidR="00C06068" w:rsidRPr="00521891" w:rsidRDefault="00C06068" w:rsidP="00C06068">
      <w:pPr>
        <w:pStyle w:val="SingleTxt"/>
        <w:numPr>
          <w:ilvl w:val="0"/>
          <w:numId w:val="10"/>
        </w:numPr>
        <w:rPr>
          <w:lang w:val="fr-FR"/>
        </w:rPr>
      </w:pPr>
      <w:r w:rsidRPr="00521891">
        <w:rPr>
          <w:lang w:val="fr-FR"/>
        </w:rPr>
        <w:t>Pour donne</w:t>
      </w:r>
      <w:r>
        <w:rPr>
          <w:lang w:val="fr-FR"/>
        </w:rPr>
        <w:t>r suite à la recommandation du c</w:t>
      </w:r>
      <w:r w:rsidRPr="00521891">
        <w:rPr>
          <w:lang w:val="fr-FR"/>
        </w:rPr>
        <w:t>omité CEDEF, un projet de loi modifiant et complétant certaines dispositions de l</w:t>
      </w:r>
      <w:r>
        <w:rPr>
          <w:lang w:val="fr-FR"/>
        </w:rPr>
        <w:t>’</w:t>
      </w:r>
      <w:r w:rsidRPr="00521891">
        <w:rPr>
          <w:lang w:val="fr-FR"/>
        </w:rPr>
        <w:t>ordonnance n</w:t>
      </w:r>
      <w:r w:rsidRPr="00521891">
        <w:rPr>
          <w:vertAlign w:val="superscript"/>
          <w:lang w:val="fr-FR"/>
        </w:rPr>
        <w:t>o</w:t>
      </w:r>
      <w:r>
        <w:rPr>
          <w:vertAlign w:val="superscript"/>
          <w:lang w:val="fr-FR"/>
        </w:rPr>
        <w:t> </w:t>
      </w:r>
      <w:r w:rsidRPr="00521891">
        <w:rPr>
          <w:lang w:val="fr-FR"/>
        </w:rPr>
        <w:t>60-064 du 22 juillet 1960 portant Code de la nationalité malagasy est élaboré.</w:t>
      </w:r>
    </w:p>
    <w:p w:rsidR="00C06068" w:rsidRPr="00521891" w:rsidRDefault="00C06068" w:rsidP="00C06068">
      <w:pPr>
        <w:pStyle w:val="SingleTxt"/>
        <w:keepNext/>
        <w:keepLines/>
        <w:numPr>
          <w:ilvl w:val="0"/>
          <w:numId w:val="10"/>
        </w:numPr>
        <w:rPr>
          <w:lang w:val="fr-FR"/>
        </w:rPr>
      </w:pPr>
      <w:r w:rsidRPr="00521891">
        <w:rPr>
          <w:lang w:val="fr-FR"/>
        </w:rPr>
        <w:t>Ce projet vise à garantir aux enfants issus de couple</w:t>
      </w:r>
      <w:r>
        <w:rPr>
          <w:lang w:val="fr-FR"/>
        </w:rPr>
        <w:t>s</w:t>
      </w:r>
      <w:r w:rsidRPr="00521891">
        <w:rPr>
          <w:lang w:val="fr-FR"/>
        </w:rPr>
        <w:t xml:space="preserve"> mixte</w:t>
      </w:r>
      <w:r>
        <w:rPr>
          <w:lang w:val="fr-FR"/>
        </w:rPr>
        <w:t>s</w:t>
      </w:r>
      <w:r w:rsidRPr="00521891">
        <w:rPr>
          <w:lang w:val="fr-FR"/>
        </w:rPr>
        <w:t xml:space="preserve"> la nationalité malagasy, au même titre que les enfants nés d</w:t>
      </w:r>
      <w:r>
        <w:rPr>
          <w:lang w:val="fr-FR"/>
        </w:rPr>
        <w:t>’</w:t>
      </w:r>
      <w:r w:rsidRPr="00521891">
        <w:rPr>
          <w:lang w:val="fr-FR"/>
        </w:rPr>
        <w:t>un père de nationalité malagasy et d</w:t>
      </w:r>
      <w:r>
        <w:rPr>
          <w:lang w:val="fr-FR"/>
        </w:rPr>
        <w:t>’</w:t>
      </w:r>
      <w:r w:rsidRPr="00521891">
        <w:rPr>
          <w:lang w:val="fr-FR"/>
        </w:rPr>
        <w:t>une mère de nationalité étrangère.</w:t>
      </w:r>
    </w:p>
    <w:p w:rsidR="00C06068" w:rsidRPr="00521891" w:rsidRDefault="00C06068" w:rsidP="00C06068">
      <w:pPr>
        <w:pStyle w:val="SingleTxt"/>
        <w:keepNext/>
        <w:keepLines/>
        <w:numPr>
          <w:ilvl w:val="0"/>
          <w:numId w:val="10"/>
        </w:numPr>
        <w:rPr>
          <w:lang w:val="fr-FR"/>
        </w:rPr>
      </w:pPr>
      <w:r w:rsidRPr="00521891">
        <w:rPr>
          <w:lang w:val="fr-FR"/>
        </w:rPr>
        <w:t>Il vise également :</w:t>
      </w:r>
    </w:p>
    <w:p w:rsidR="00C06068" w:rsidRPr="00521891" w:rsidRDefault="00C06068" w:rsidP="00C06068">
      <w:pPr>
        <w:pStyle w:val="SingleTxt"/>
        <w:keepNext/>
        <w:keepLines/>
        <w:tabs>
          <w:tab w:val="right" w:pos="1685"/>
        </w:tabs>
        <w:ind w:left="1742" w:hanging="475"/>
        <w:rPr>
          <w:lang w:val="fr-FR"/>
        </w:rPr>
      </w:pPr>
      <w:r w:rsidRPr="00521891">
        <w:rPr>
          <w:lang w:val="fr-FR"/>
        </w:rPr>
        <w:tab/>
        <w:t>•</w:t>
      </w:r>
      <w:r w:rsidRPr="00521891">
        <w:rPr>
          <w:lang w:val="fr-FR"/>
        </w:rPr>
        <w:tab/>
        <w:t>La préservation du droit de l</w:t>
      </w:r>
      <w:r>
        <w:rPr>
          <w:lang w:val="fr-FR"/>
        </w:rPr>
        <w:t>’</w:t>
      </w:r>
      <w:r w:rsidRPr="00521891">
        <w:rPr>
          <w:lang w:val="fr-FR"/>
        </w:rPr>
        <w:t>enfant à la nationalité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Acquisition de la nationalité malgache dès que l</w:t>
      </w:r>
      <w:r>
        <w:rPr>
          <w:lang w:val="fr-FR"/>
        </w:rPr>
        <w:t>’</w:t>
      </w:r>
      <w:r w:rsidRPr="00521891">
        <w:rPr>
          <w:lang w:val="fr-FR"/>
        </w:rPr>
        <w:t>un des parents est malgache sans considération si l</w:t>
      </w:r>
      <w:r>
        <w:rPr>
          <w:lang w:val="fr-FR"/>
        </w:rPr>
        <w:t>’</w:t>
      </w:r>
      <w:r w:rsidRPr="00521891">
        <w:rPr>
          <w:lang w:val="fr-FR"/>
        </w:rPr>
        <w:t>enfant est légitime ou naturel (art. 9 nouveau);</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Préservation de la nationalité malgache de l</w:t>
      </w:r>
      <w:r>
        <w:rPr>
          <w:lang w:val="fr-FR"/>
        </w:rPr>
        <w:t>’</w:t>
      </w:r>
      <w:r w:rsidRPr="00521891">
        <w:rPr>
          <w:lang w:val="fr-FR"/>
        </w:rPr>
        <w:t>enfant faisant l</w:t>
      </w:r>
      <w:r>
        <w:rPr>
          <w:lang w:val="fr-FR"/>
        </w:rPr>
        <w:t>’</w:t>
      </w:r>
      <w:r w:rsidRPr="00521891">
        <w:rPr>
          <w:lang w:val="fr-FR"/>
        </w:rPr>
        <w:t>objet de l</w:t>
      </w:r>
      <w:r>
        <w:rPr>
          <w:lang w:val="fr-FR"/>
        </w:rPr>
        <w:t>’</w:t>
      </w:r>
      <w:r w:rsidRPr="00521891">
        <w:rPr>
          <w:lang w:val="fr-FR"/>
        </w:rPr>
        <w:t>adoption plénière internationale (art. 17, al. 2 nouveau);</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Acquisition d</w:t>
      </w:r>
      <w:r>
        <w:rPr>
          <w:lang w:val="fr-FR"/>
        </w:rPr>
        <w:t>’</w:t>
      </w:r>
      <w:r w:rsidRPr="00521891">
        <w:rPr>
          <w:lang w:val="fr-FR"/>
        </w:rPr>
        <w:t>office de la nationalité malgache par l</w:t>
      </w:r>
      <w:r>
        <w:rPr>
          <w:lang w:val="fr-FR"/>
        </w:rPr>
        <w:t>’</w:t>
      </w:r>
      <w:r w:rsidRPr="00521891">
        <w:rPr>
          <w:lang w:val="fr-FR"/>
        </w:rPr>
        <w:t>enfant étranger adopté judiciairement par une personne de nationalité malgache (art. 17, al.1 nouveau);</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Respect des droits de la femme à la nationalité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possibilité pour une mère de nationalité malgache de transmettre cette nationalité à ses enfants quelle que soit sa situation matrimoniale (art. 40 nouveau);</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Faculté pour la femme qui a épousé un étranger de conserver sa nationalité d</w:t>
      </w:r>
      <w:r>
        <w:rPr>
          <w:lang w:val="fr-FR"/>
        </w:rPr>
        <w:t>’</w:t>
      </w:r>
      <w:r w:rsidRPr="00521891">
        <w:rPr>
          <w:lang w:val="fr-FR"/>
        </w:rPr>
        <w:t>origine, même si elle acquiert celle de son conjoint, si la loi nationale de ce dernier le permet (art. 47 nouveau).</w:t>
      </w:r>
    </w:p>
    <w:p w:rsidR="00C06068" w:rsidRPr="00521891" w:rsidRDefault="00C06068" w:rsidP="00C06068">
      <w:pPr>
        <w:pStyle w:val="SingleTxt"/>
        <w:spacing w:after="0" w:line="120" w:lineRule="exact"/>
        <w:rPr>
          <w:b/>
          <w:sz w:val="10"/>
          <w:lang w:val="fr-FR"/>
        </w:rPr>
      </w:pPr>
      <w:bookmarkStart w:id="49" w:name="_Toc376709313"/>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5 de la Convention : élimination </w:t>
      </w:r>
      <w:r w:rsidRPr="00521891">
        <w:rPr>
          <w:lang w:val="fr-FR"/>
        </w:rPr>
        <w:br/>
        <w:t>des pratiques culturelles et des stéréotypes</w:t>
      </w:r>
      <w:bookmarkEnd w:id="49"/>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55238B">
        <w:rPr>
          <w:i/>
          <w:lang w:val="fr-FR"/>
        </w:rPr>
        <w:t>Objet de la recommandation dans le paragraphe 17</w:t>
      </w:r>
      <w:r w:rsidRPr="00521891">
        <w:rPr>
          <w:lang w:val="fr-FR"/>
        </w:rPr>
        <w:t>)</w:t>
      </w:r>
    </w:p>
    <w:p w:rsidR="00C06068" w:rsidRPr="0055238B" w:rsidRDefault="00C06068" w:rsidP="00C06068">
      <w:pPr>
        <w:pStyle w:val="SingleTxt"/>
        <w:rPr>
          <w:i/>
          <w:lang w:val="fr-FR"/>
        </w:rPr>
      </w:pPr>
      <w:r w:rsidRPr="00521891">
        <w:rPr>
          <w:bCs/>
          <w:lang w:val="fr-FR"/>
        </w:rPr>
        <w:tab/>
      </w:r>
      <w:r w:rsidRPr="0055238B">
        <w:rPr>
          <w:bCs/>
          <w:i/>
          <w:lang w:val="fr-FR"/>
        </w:rPr>
        <w:t>Le Comité prie l’État partie de considérer que les coutumes culturelles nationales sont des aspects dynamiques de la vie et du tissu social du pays et, par conséquent, susceptibles de changer. Il lui demande instamment de mettre en place sans plus tarder une stratégie globale, comportant un volet législatif, afin de modifier ou d’éliminer les pratiques culturelles et les stéréotypes qui constituent une discrimination à l’égard des femmes conformément à l’alinéa f) de l’article 2 et à l’alinéa a) de l’article 5 de la Convention. Ces mesures doivent comprendre des activités de sensibilisation à la question qui doivent être menées en collaboration avec la société civile, s’adressant tant aux hommes qu’aux femmes, à tous les niveaux de la société, et notamment aux chefs traditionnels. Le Comité prie instamment l’État partie de lutter plus activement contre les coutumes et pratiques culturelles et traditionnelles néfastes, telles que le « moletry » (dot) dans le nord-ouest ou la coutume prescrivant l’abandon d’un enfant jumeau à Mananjary. Il l’encourage à mettre en œuvre des mesures constructives et novatrices pour mieux faire comprendre la notion d’égalité entre hommes et femmes et à collaborer avec les médias pour les encourager à donner une image plus positive et non stéréotypée des femmes.</w:t>
      </w:r>
    </w:p>
    <w:p w:rsidR="00C06068" w:rsidRPr="00521891" w:rsidRDefault="00C06068" w:rsidP="00C06068">
      <w:pPr>
        <w:pStyle w:val="SingleTxt"/>
        <w:numPr>
          <w:ilvl w:val="0"/>
          <w:numId w:val="10"/>
        </w:numPr>
        <w:rPr>
          <w:lang w:val="fr-FR"/>
        </w:rPr>
      </w:pPr>
      <w:r w:rsidRPr="00521891">
        <w:rPr>
          <w:lang w:val="fr-FR"/>
        </w:rPr>
        <w:t>Les pratiques culturelles néfastes liées aux pratiques du moletry et de l</w:t>
      </w:r>
      <w:r>
        <w:rPr>
          <w:lang w:val="fr-FR"/>
        </w:rPr>
        <w:t>’</w:t>
      </w:r>
      <w:r w:rsidRPr="00521891">
        <w:rPr>
          <w:lang w:val="fr-FR"/>
        </w:rPr>
        <w:t>abandon des enfants jumeaux à Mananjary ont été traitées dans les informations sur l</w:t>
      </w:r>
      <w:r>
        <w:rPr>
          <w:lang w:val="fr-FR"/>
        </w:rPr>
        <w:t>’</w:t>
      </w:r>
      <w:r w:rsidRPr="00521891">
        <w:rPr>
          <w:lang w:val="fr-FR"/>
        </w:rPr>
        <w:t>application de l</w:t>
      </w:r>
      <w:r>
        <w:rPr>
          <w:lang w:val="fr-FR"/>
        </w:rPr>
        <w:t>’</w:t>
      </w:r>
      <w:r w:rsidRPr="00521891">
        <w:rPr>
          <w:lang w:val="fr-FR"/>
        </w:rPr>
        <w:t>article 2 du présent rapport.</w:t>
      </w:r>
    </w:p>
    <w:p w:rsidR="00C06068" w:rsidRPr="00521891" w:rsidRDefault="00C06068" w:rsidP="00C06068">
      <w:pPr>
        <w:pStyle w:val="SingleTxt"/>
        <w:numPr>
          <w:ilvl w:val="0"/>
          <w:numId w:val="10"/>
        </w:numPr>
        <w:rPr>
          <w:lang w:val="fr-FR"/>
        </w:rPr>
      </w:pPr>
      <w:r w:rsidRPr="00521891">
        <w:rPr>
          <w:lang w:val="fr-FR"/>
        </w:rPr>
        <w:t>Dans le cadre de la lutte contre les pratiques néfastes à travers le moletry et l</w:t>
      </w:r>
      <w:r>
        <w:rPr>
          <w:lang w:val="fr-FR"/>
        </w:rPr>
        <w:t>’</w:t>
      </w:r>
      <w:r w:rsidRPr="00521891">
        <w:rPr>
          <w:lang w:val="fr-FR"/>
        </w:rPr>
        <w:t>abandon des enfants jumeaux, les chefs traditionnels, les médias, les autorités administratives locales et régionales ainsi que les membres des organisations de la société civile ont été sensibilisés au cours de séries d</w:t>
      </w:r>
      <w:r>
        <w:rPr>
          <w:lang w:val="fr-FR"/>
        </w:rPr>
        <w:t>’</w:t>
      </w:r>
      <w:r w:rsidRPr="00521891">
        <w:rPr>
          <w:lang w:val="fr-FR"/>
        </w:rPr>
        <w:t>ateliers à Mampikony, Mananjary, Manakara, Farafangana.</w:t>
      </w:r>
    </w:p>
    <w:p w:rsidR="00C06068" w:rsidRPr="00521891" w:rsidRDefault="00C06068" w:rsidP="00C06068">
      <w:pPr>
        <w:pStyle w:val="SingleTxt"/>
        <w:numPr>
          <w:ilvl w:val="0"/>
          <w:numId w:val="10"/>
        </w:numPr>
        <w:rPr>
          <w:lang w:val="fr-FR"/>
        </w:rPr>
      </w:pPr>
      <w:r w:rsidRPr="00521891">
        <w:rPr>
          <w:lang w:val="fr-FR"/>
        </w:rPr>
        <w:t xml:space="preserve">Au titre de </w:t>
      </w:r>
      <w:r>
        <w:rPr>
          <w:lang w:val="fr-FR"/>
        </w:rPr>
        <w:t xml:space="preserve">la </w:t>
      </w:r>
      <w:r w:rsidRPr="00521891">
        <w:rPr>
          <w:lang w:val="fr-FR"/>
        </w:rPr>
        <w:t>réforme législative pour combattre la conception traditionnelle d</w:t>
      </w:r>
      <w:r>
        <w:rPr>
          <w:lang w:val="fr-FR"/>
        </w:rPr>
        <w:t>’</w:t>
      </w:r>
      <w:r w:rsidRPr="00521891">
        <w:rPr>
          <w:lang w:val="fr-FR"/>
        </w:rPr>
        <w:t>in</w:t>
      </w:r>
      <w:r>
        <w:rPr>
          <w:lang w:val="fr-FR"/>
        </w:rPr>
        <w:t>fériorisation de la femme entraî</w:t>
      </w:r>
      <w:r w:rsidRPr="00521891">
        <w:rPr>
          <w:lang w:val="fr-FR"/>
        </w:rPr>
        <w:t>nant des discriminations à leur encontre, on peut rappeler l</w:t>
      </w:r>
      <w:r>
        <w:rPr>
          <w:lang w:val="fr-FR"/>
        </w:rPr>
        <w:t>’</w:t>
      </w:r>
      <w:r w:rsidRPr="00521891">
        <w:rPr>
          <w:lang w:val="fr-FR"/>
        </w:rPr>
        <w:t>abrogation des dispositions sur le partage inégalitaire des biens à l</w:t>
      </w:r>
      <w:r>
        <w:rPr>
          <w:lang w:val="fr-FR"/>
        </w:rPr>
        <w:t>’</w:t>
      </w:r>
      <w:r w:rsidRPr="00521891">
        <w:rPr>
          <w:lang w:val="fr-FR"/>
        </w:rPr>
        <w:t>issue d</w:t>
      </w:r>
      <w:r>
        <w:rPr>
          <w:lang w:val="fr-FR"/>
        </w:rPr>
        <w:t>’un</w:t>
      </w:r>
      <w:r w:rsidRPr="00521891">
        <w:rPr>
          <w:lang w:val="fr-FR"/>
        </w:rPr>
        <w:t xml:space="preserve"> divorce, ainsi que la fixation à 18 ans </w:t>
      </w:r>
      <w:r>
        <w:rPr>
          <w:lang w:val="fr-FR"/>
        </w:rPr>
        <w:t xml:space="preserve">de </w:t>
      </w:r>
      <w:r w:rsidRPr="00521891">
        <w:rPr>
          <w:lang w:val="fr-FR"/>
        </w:rPr>
        <w:t>la majorité matrimoniale pour les deux sexes si auparavant l</w:t>
      </w:r>
      <w:r>
        <w:rPr>
          <w:lang w:val="fr-FR"/>
        </w:rPr>
        <w:t>’</w:t>
      </w:r>
      <w:r w:rsidRPr="00521891">
        <w:rPr>
          <w:lang w:val="fr-FR"/>
        </w:rPr>
        <w:t>homme pouvait contracter mariage à 17 ans et la femme à 14 ans. De même, le délit d</w:t>
      </w:r>
      <w:r>
        <w:rPr>
          <w:lang w:val="fr-FR"/>
        </w:rPr>
        <w:t>’</w:t>
      </w:r>
      <w:r w:rsidRPr="00521891">
        <w:rPr>
          <w:lang w:val="fr-FR"/>
        </w:rPr>
        <w:t>adultère est puni de la même peine alors qu</w:t>
      </w:r>
      <w:r>
        <w:rPr>
          <w:lang w:val="fr-FR"/>
        </w:rPr>
        <w:t>’</w:t>
      </w:r>
      <w:r w:rsidRPr="00521891">
        <w:rPr>
          <w:lang w:val="fr-FR"/>
        </w:rPr>
        <w:t>auparavant l</w:t>
      </w:r>
      <w:r>
        <w:rPr>
          <w:lang w:val="fr-FR"/>
        </w:rPr>
        <w:t>’</w:t>
      </w:r>
      <w:r w:rsidRPr="00521891">
        <w:rPr>
          <w:lang w:val="fr-FR"/>
        </w:rPr>
        <w:t>adultère de la femme était puni plus sévèrement.</w:t>
      </w:r>
    </w:p>
    <w:p w:rsidR="00C06068" w:rsidRPr="00521891" w:rsidRDefault="00C06068" w:rsidP="00C06068">
      <w:pPr>
        <w:pStyle w:val="SingleTxt"/>
        <w:spacing w:after="0" w:line="120" w:lineRule="exact"/>
        <w:rPr>
          <w:b/>
          <w:sz w:val="10"/>
          <w:lang w:val="fr-FR"/>
        </w:rPr>
      </w:pPr>
      <w:bookmarkStart w:id="50" w:name="_Toc376709314"/>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sidRPr="00521891">
        <w:rPr>
          <w:lang w:val="fr-FR"/>
        </w:rPr>
        <w:tab/>
      </w:r>
      <w:r w:rsidRPr="00521891">
        <w:rPr>
          <w:lang w:val="fr-FR"/>
        </w:rPr>
        <w:tab/>
      </w:r>
      <w:r>
        <w:rPr>
          <w:lang w:val="fr-FR"/>
        </w:rPr>
        <w:t xml:space="preserve">Application de l’article </w:t>
      </w:r>
      <w:r w:rsidRPr="00521891">
        <w:rPr>
          <w:lang w:val="fr-FR"/>
        </w:rPr>
        <w:t xml:space="preserve">6 de la Convention : priorisation </w:t>
      </w:r>
      <w:r w:rsidRPr="00521891">
        <w:rPr>
          <w:lang w:val="fr-FR"/>
        </w:rPr>
        <w:br/>
        <w:t>de la lutte contre la violence à l</w:t>
      </w:r>
      <w:r>
        <w:rPr>
          <w:lang w:val="fr-FR"/>
        </w:rPr>
        <w:t>’</w:t>
      </w:r>
      <w:r w:rsidRPr="00521891">
        <w:rPr>
          <w:lang w:val="fr-FR"/>
        </w:rPr>
        <w:t xml:space="preserve">égard des filles et </w:t>
      </w:r>
      <w:r>
        <w:rPr>
          <w:lang w:val="fr-FR"/>
        </w:rPr>
        <w:t xml:space="preserve">des </w:t>
      </w:r>
      <w:r w:rsidRPr="00521891">
        <w:rPr>
          <w:lang w:val="fr-FR"/>
        </w:rPr>
        <w:t>femmes</w:t>
      </w:r>
      <w:bookmarkEnd w:id="50"/>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55238B">
        <w:rPr>
          <w:i/>
          <w:lang w:val="fr-FR"/>
        </w:rPr>
        <w:t>Objet de la recommandation dans les paragraphes 19 et 21</w:t>
      </w:r>
      <w:r w:rsidRPr="00521891">
        <w:rPr>
          <w:lang w:val="fr-FR"/>
        </w:rPr>
        <w:t>)</w:t>
      </w:r>
    </w:p>
    <w:p w:rsidR="00C06068" w:rsidRPr="0055238B" w:rsidRDefault="00C06068" w:rsidP="00C06068">
      <w:pPr>
        <w:pStyle w:val="SingleTxt"/>
        <w:rPr>
          <w:bCs/>
          <w:i/>
          <w:lang w:val="fr-FR"/>
        </w:rPr>
      </w:pPr>
      <w:r w:rsidRPr="00521891">
        <w:rPr>
          <w:bCs/>
          <w:lang w:val="fr-FR"/>
        </w:rPr>
        <w:tab/>
      </w:r>
      <w:r w:rsidRPr="0055238B">
        <w:rPr>
          <w:bCs/>
          <w:i/>
          <w:lang w:val="fr-FR"/>
        </w:rPr>
        <w:t>Le Comité exhorte l’État partie à accorder une attention prioritaire à la lutte contre la violence à l’égard des femmes et des filles et à adopter des mesures de vaste portée pour combattre toutes les formes de violence dont elles sont victimes, conformément à sa recommandation générale n</w:t>
      </w:r>
      <w:r w:rsidRPr="0055238B">
        <w:rPr>
          <w:bCs/>
          <w:i/>
          <w:vertAlign w:val="superscript"/>
          <w:lang w:val="fr-FR"/>
        </w:rPr>
        <w:t>o </w:t>
      </w:r>
      <w:r w:rsidRPr="0055238B">
        <w:rPr>
          <w:bCs/>
          <w:i/>
          <w:lang w:val="fr-FR"/>
        </w:rPr>
        <w:t>19. Il prie l’État partie de sensibiliser l’opinion publique, par l’intermédiaire des médias et de programmes éducatifs, au fait que toutes les formes de violence contre les femmes constituent une forme de discrimination visée par la Convention et, par conséquent, une violation des droits des femmes. Il l’invite à faire en sorte que la violence à l’égard des femmes et des filles, notamment la violence familiale, le viol conjugal et toutes les formes d’abus sexuels, soit érigée en infraction pénale; que les auteurs soient poursuivis en justice, punis et rééduqués; et que les femmes et les filles victimes de violences aient immédiatement accès à des moyens de recours et à une protection. Il lui demande de supprimer tous les obstacles auxquels les femmes doivent faire face pour accéder à la justice et recommande qu’une aide judiciaire soit fournie à toutes les victimes de violences et notamment que des services de consultation juridique supplémentaires soient mis en place dans les régions rurales ou reculées. Il recommande que l’on dispense aux magistrats et aux fonctionnaires, en particulier aux policiers, au personnel des services de santé et aux agents de développement communautaire, une formation qui les sensibilise à toutes les formes de violence contre les femmes et leur permette d’apporter aux victimes une aide adaptée à leurs besoins. Il recommande également de mettre en place des services de conseil et de créer des foyers d’accueil à leur intention. Il prie l’État partie de fournir dans son prochain rapport des informations sur les mesures législatives et politiques qui ont été mises en place pour lutter contre la violence à l’égard des femmes et des filles et sur l’impact de ces mesures, ainsi que des données sur la prévalence des diverses formes de violence contre les femmes et son évolution tendancielle, ventilées par groupe d’âge.</w:t>
      </w:r>
    </w:p>
    <w:p w:rsidR="00C06068" w:rsidRPr="00521891" w:rsidRDefault="00C06068" w:rsidP="00C06068">
      <w:pPr>
        <w:pStyle w:val="SingleTxt"/>
        <w:spacing w:after="0" w:line="120" w:lineRule="exact"/>
        <w:rPr>
          <w:b/>
          <w:sz w:val="10"/>
          <w:lang w:val="fr-FR"/>
        </w:rPr>
      </w:pPr>
      <w:bookmarkStart w:id="51" w:name="_Toc376709315"/>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Sensibilisation de l</w:t>
      </w:r>
      <w:r>
        <w:rPr>
          <w:lang w:val="fr-FR"/>
        </w:rPr>
        <w:t>’</w:t>
      </w:r>
      <w:r w:rsidRPr="00521891">
        <w:rPr>
          <w:lang w:val="fr-FR"/>
        </w:rPr>
        <w:t xml:space="preserve">opinion publique sur les formes de violence </w:t>
      </w:r>
      <w:r>
        <w:rPr>
          <w:lang w:val="fr-FR"/>
        </w:rPr>
        <w:br/>
      </w:r>
      <w:r w:rsidRPr="00521891">
        <w:rPr>
          <w:lang w:val="fr-FR"/>
        </w:rPr>
        <w:t>à l</w:t>
      </w:r>
      <w:r>
        <w:rPr>
          <w:lang w:val="fr-FR"/>
        </w:rPr>
        <w:t>’</w:t>
      </w:r>
      <w:r w:rsidRPr="00521891">
        <w:rPr>
          <w:lang w:val="fr-FR"/>
        </w:rPr>
        <w:t>encontre des femmes</w:t>
      </w:r>
      <w:bookmarkEnd w:id="51"/>
    </w:p>
    <w:p w:rsidR="00C06068" w:rsidRPr="00521891" w:rsidRDefault="00C06068" w:rsidP="00C06068">
      <w:pPr>
        <w:pStyle w:val="SingleTxt"/>
        <w:keepNext/>
        <w:keepLines/>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 xml:space="preserve">Pour donner suite à la recommandation </w:t>
      </w:r>
      <w:r>
        <w:rPr>
          <w:lang w:val="fr-FR"/>
        </w:rPr>
        <w:t xml:space="preserve">du </w:t>
      </w:r>
      <w:r w:rsidRPr="00521891">
        <w:rPr>
          <w:lang w:val="fr-FR"/>
        </w:rPr>
        <w:t>paragraphe 19 demandant à ce que l</w:t>
      </w:r>
      <w:r>
        <w:rPr>
          <w:lang w:val="fr-FR"/>
        </w:rPr>
        <w:t>’</w:t>
      </w:r>
      <w:r w:rsidRPr="00521891">
        <w:rPr>
          <w:lang w:val="fr-FR"/>
        </w:rPr>
        <w:t>opinion publique soit sensibilisée que toutes les formes de violence à l</w:t>
      </w:r>
      <w:r>
        <w:rPr>
          <w:lang w:val="fr-FR"/>
        </w:rPr>
        <w:t>’</w:t>
      </w:r>
      <w:r w:rsidRPr="00521891">
        <w:rPr>
          <w:lang w:val="fr-FR"/>
        </w:rPr>
        <w:t>encontre des femmes constituent une forme de discriminations au sens de la Convention, le Ministère de l</w:t>
      </w:r>
      <w:r>
        <w:rPr>
          <w:lang w:val="fr-FR"/>
        </w:rPr>
        <w:t>’</w:t>
      </w:r>
      <w:r w:rsidRPr="00521891">
        <w:rPr>
          <w:lang w:val="fr-FR"/>
        </w:rPr>
        <w:t>éducation nationale par l</w:t>
      </w:r>
      <w:r>
        <w:rPr>
          <w:lang w:val="fr-FR"/>
        </w:rPr>
        <w:t>’</w:t>
      </w:r>
      <w:r w:rsidRPr="00521891">
        <w:rPr>
          <w:lang w:val="fr-FR"/>
        </w:rPr>
        <w:t>intermédiaire de l</w:t>
      </w:r>
      <w:r>
        <w:rPr>
          <w:lang w:val="fr-FR"/>
        </w:rPr>
        <w:t>’O</w:t>
      </w:r>
      <w:r w:rsidRPr="00521891">
        <w:rPr>
          <w:lang w:val="fr-FR"/>
        </w:rPr>
        <w:t>ffice de l</w:t>
      </w:r>
      <w:r>
        <w:rPr>
          <w:lang w:val="fr-FR"/>
        </w:rPr>
        <w:t>’</w:t>
      </w:r>
      <w:r w:rsidRPr="00521891">
        <w:rPr>
          <w:lang w:val="fr-FR"/>
        </w:rPr>
        <w:t>éducation de masse et du civisme (OEMC) a produit des émissions radio éducatives diffusées sur les ondes de la radio nationale. Ces émissions durant le mois d</w:t>
      </w:r>
      <w:r>
        <w:rPr>
          <w:lang w:val="fr-FR"/>
        </w:rPr>
        <w:t>’</w:t>
      </w:r>
      <w:r w:rsidRPr="00521891">
        <w:rPr>
          <w:lang w:val="fr-FR"/>
        </w:rPr>
        <w:t>avril 2013, du lundi au samedi</w:t>
      </w:r>
      <w:r>
        <w:rPr>
          <w:lang w:val="fr-FR"/>
        </w:rPr>
        <w:t>,</w:t>
      </w:r>
      <w:r w:rsidRPr="00521891">
        <w:rPr>
          <w:lang w:val="fr-FR"/>
        </w:rPr>
        <w:t xml:space="preserve"> ont sensibilisé l</w:t>
      </w:r>
      <w:r>
        <w:rPr>
          <w:lang w:val="fr-FR"/>
        </w:rPr>
        <w:t>’</w:t>
      </w:r>
      <w:r w:rsidRPr="00521891">
        <w:rPr>
          <w:lang w:val="fr-FR"/>
        </w:rPr>
        <w:t>opinion publique sur la discrimination faite aux femmes découlant de toutes les formes de violences dont elles sont victimes.</w:t>
      </w:r>
    </w:p>
    <w:p w:rsidR="00C06068" w:rsidRPr="00521891" w:rsidRDefault="00C06068" w:rsidP="00C06068">
      <w:pPr>
        <w:pStyle w:val="SingleTxt"/>
        <w:numPr>
          <w:ilvl w:val="0"/>
          <w:numId w:val="10"/>
        </w:numPr>
        <w:rPr>
          <w:lang w:val="fr-FR"/>
        </w:rPr>
      </w:pPr>
      <w:r w:rsidRPr="00521891">
        <w:rPr>
          <w:lang w:val="fr-FR"/>
        </w:rPr>
        <w:t>Au sein de la famille, les violences physiques faites aux femmes peuvent constituer des infractions pénales punissables dans le Code pénal.</w:t>
      </w:r>
    </w:p>
    <w:p w:rsidR="00C06068" w:rsidRPr="00521891" w:rsidRDefault="00C06068" w:rsidP="00C06068">
      <w:pPr>
        <w:pStyle w:val="SingleTxt"/>
        <w:numPr>
          <w:ilvl w:val="0"/>
          <w:numId w:val="10"/>
        </w:numPr>
        <w:rPr>
          <w:lang w:val="fr-FR"/>
        </w:rPr>
      </w:pPr>
      <w:r w:rsidRPr="00521891">
        <w:rPr>
          <w:lang w:val="fr-FR"/>
        </w:rPr>
        <w:t>La qualité de femme enceinte victime de violence constitue une circonstance aggravante selon les dispositions de l</w:t>
      </w:r>
      <w:r>
        <w:rPr>
          <w:lang w:val="fr-FR"/>
        </w:rPr>
        <w:t>’</w:t>
      </w:r>
      <w:r w:rsidRPr="00521891">
        <w:rPr>
          <w:lang w:val="fr-FR"/>
        </w:rPr>
        <w:t xml:space="preserve">article 312 </w:t>
      </w:r>
      <w:r w:rsidRPr="00FA2203">
        <w:rPr>
          <w:i/>
          <w:lang w:val="fr-FR"/>
        </w:rPr>
        <w:t>bis</w:t>
      </w:r>
      <w:r w:rsidRPr="00521891">
        <w:rPr>
          <w:lang w:val="fr-FR"/>
        </w:rPr>
        <w:t xml:space="preserve"> du Code pénal</w:t>
      </w:r>
      <w:r w:rsidRPr="00313148">
        <w:rPr>
          <w:vertAlign w:val="superscript"/>
          <w:lang w:val="fr-FR"/>
        </w:rPr>
        <w:footnoteReference w:id="9"/>
      </w:r>
      <w:r w:rsidRPr="00521891">
        <w:rPr>
          <w:lang w:val="fr-FR"/>
        </w:rPr>
        <w:t>.</w:t>
      </w:r>
    </w:p>
    <w:p w:rsidR="00C06068" w:rsidRPr="00521891" w:rsidRDefault="00C06068" w:rsidP="00C06068">
      <w:pPr>
        <w:pStyle w:val="SingleTxt"/>
        <w:numPr>
          <w:ilvl w:val="0"/>
          <w:numId w:val="10"/>
        </w:numPr>
        <w:rPr>
          <w:lang w:val="fr-FR"/>
        </w:rPr>
      </w:pPr>
      <w:r w:rsidRPr="00521891">
        <w:rPr>
          <w:lang w:val="fr-FR"/>
        </w:rPr>
        <w:t>Selon une enquête effectuée par la plateforme de la société civile pour l</w:t>
      </w:r>
      <w:r>
        <w:rPr>
          <w:lang w:val="fr-FR"/>
        </w:rPr>
        <w:t>’</w:t>
      </w:r>
      <w:r w:rsidRPr="00521891">
        <w:rPr>
          <w:lang w:val="fr-FR"/>
        </w:rPr>
        <w:t>enfance dans des quartiers populaires de la capitale, il en est ressorti que 6 % des filles ont été victimes de viol perpétré par des proches de la victime notamment le père, le beau-père, l</w:t>
      </w:r>
      <w:r>
        <w:rPr>
          <w:lang w:val="fr-FR"/>
        </w:rPr>
        <w:t>’</w:t>
      </w:r>
      <w:r w:rsidRPr="00521891">
        <w:rPr>
          <w:lang w:val="fr-FR"/>
        </w:rPr>
        <w:t>oncle ainsi que l</w:t>
      </w:r>
      <w:r>
        <w:rPr>
          <w:lang w:val="fr-FR"/>
        </w:rPr>
        <w:t>’</w:t>
      </w:r>
      <w:r w:rsidRPr="00521891">
        <w:rPr>
          <w:lang w:val="fr-FR"/>
        </w:rPr>
        <w:t>éducateur. En termes de statistique, l</w:t>
      </w:r>
      <w:r>
        <w:rPr>
          <w:lang w:val="fr-FR"/>
        </w:rPr>
        <w:t>’</w:t>
      </w:r>
      <w:r w:rsidRPr="00521891">
        <w:rPr>
          <w:lang w:val="fr-FR"/>
        </w:rPr>
        <w:t>inceste constitue 11 % chez les 12 à 14 ans contre 5 % pour les attouchements chez les 7 à 8 ans.</w:t>
      </w:r>
    </w:p>
    <w:p w:rsidR="00C06068" w:rsidRPr="00521891" w:rsidRDefault="00C06068" w:rsidP="00C06068">
      <w:pPr>
        <w:pStyle w:val="SingleTxt"/>
        <w:numPr>
          <w:ilvl w:val="0"/>
          <w:numId w:val="10"/>
        </w:numPr>
        <w:rPr>
          <w:lang w:val="fr-FR"/>
        </w:rPr>
      </w:pPr>
      <w:r w:rsidRPr="00521891">
        <w:rPr>
          <w:lang w:val="fr-FR"/>
        </w:rPr>
        <w:t>D</w:t>
      </w:r>
      <w:r>
        <w:rPr>
          <w:lang w:val="fr-FR"/>
        </w:rPr>
        <w:t>’</w:t>
      </w:r>
      <w:r w:rsidRPr="00521891">
        <w:rPr>
          <w:lang w:val="fr-FR"/>
        </w:rPr>
        <w:t>une enquête réalisée par l</w:t>
      </w:r>
      <w:r>
        <w:rPr>
          <w:lang w:val="fr-FR"/>
        </w:rPr>
        <w:t>’</w:t>
      </w:r>
      <w:r w:rsidRPr="00521891">
        <w:rPr>
          <w:lang w:val="fr-FR"/>
        </w:rPr>
        <w:t>ONG ENDA-OI en 2009, il ressort que 65 % des femmes interrogées ont déclaré avoir subi un acte de violence.</w:t>
      </w:r>
    </w:p>
    <w:p w:rsidR="00C06068" w:rsidRPr="00521891" w:rsidRDefault="00C06068" w:rsidP="00C06068">
      <w:pPr>
        <w:pStyle w:val="SingleTxt"/>
        <w:spacing w:after="0" w:line="120" w:lineRule="exact"/>
        <w:rPr>
          <w:b/>
          <w:sz w:val="10"/>
          <w:lang w:val="fr-FR"/>
        </w:rPr>
      </w:pPr>
      <w:bookmarkStart w:id="52" w:name="_Toc376686689"/>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 w:val="0"/>
          <w:lang w:val="fr-FR"/>
        </w:rPr>
        <w:br w:type="page"/>
      </w:r>
      <w:r w:rsidRPr="00521891">
        <w:rPr>
          <w:b w:val="0"/>
          <w:lang w:val="fr-FR"/>
        </w:rPr>
        <w:tab/>
      </w:r>
      <w:r w:rsidRPr="00521891">
        <w:rPr>
          <w:b w:val="0"/>
          <w:lang w:val="fr-FR"/>
        </w:rPr>
        <w:tab/>
        <w:t xml:space="preserve">Graphique </w:t>
      </w:r>
      <w:r>
        <w:rPr>
          <w:b w:val="0"/>
          <w:lang w:val="fr-FR"/>
        </w:rPr>
        <w:t>1</w:t>
      </w:r>
      <w:r w:rsidRPr="00521891">
        <w:rPr>
          <w:b w:val="0"/>
          <w:lang w:val="fr-FR"/>
        </w:rPr>
        <w:br/>
      </w:r>
      <w:r w:rsidRPr="00521891">
        <w:rPr>
          <w:lang w:val="fr-FR"/>
        </w:rPr>
        <w:t xml:space="preserve">Réponse des femmes interrogées qui ont déclaré avoir subi un acte </w:t>
      </w:r>
      <w:r w:rsidRPr="00521891">
        <w:rPr>
          <w:lang w:val="fr-FR"/>
        </w:rPr>
        <w:br/>
        <w:t>de violence</w:t>
      </w:r>
      <w:bookmarkEnd w:id="52"/>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line="240" w:lineRule="auto"/>
        <w:rPr>
          <w:lang w:val="fr-FR"/>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11.55pt;margin-top:30.2pt;width:113.75pt;height:13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inset="0,0,0,0">
              <w:txbxContent>
                <w:p w:rsidR="00C06068" w:rsidRPr="00E36498" w:rsidRDefault="00C06068" w:rsidP="00C06068">
                  <w:pPr>
                    <w:spacing w:line="210" w:lineRule="exact"/>
                    <w:rPr>
                      <w:sz w:val="17"/>
                      <w:szCs w:val="17"/>
                      <w:lang w:val="fr-CA"/>
                    </w:rPr>
                  </w:pPr>
                  <w:r w:rsidRPr="00E36498">
                    <w:rPr>
                      <w:sz w:val="17"/>
                      <w:szCs w:val="17"/>
                      <w:lang w:val="fr-CA"/>
                    </w:rPr>
                    <w:t>Victimes de violence conjugale ou sexuelle, de</w:t>
                  </w:r>
                  <w:r>
                    <w:rPr>
                      <w:sz w:val="17"/>
                      <w:szCs w:val="17"/>
                      <w:lang w:val="fr-CA"/>
                    </w:rPr>
                    <w:t> </w:t>
                  </w:r>
                  <w:r w:rsidRPr="00E36498">
                    <w:rPr>
                      <w:sz w:val="17"/>
                      <w:szCs w:val="17"/>
                      <w:lang w:val="fr-CA"/>
                    </w:rPr>
                    <w:t>harcèlement sexuel ou de proxénitisme</w:t>
                  </w:r>
                </w:p>
                <w:p w:rsidR="00C06068" w:rsidRPr="00E36498" w:rsidRDefault="00C06068" w:rsidP="00C06068">
                  <w:pPr>
                    <w:spacing w:line="140" w:lineRule="exact"/>
                    <w:rPr>
                      <w:sz w:val="10"/>
                      <w:szCs w:val="17"/>
                      <w:lang w:val="fr-CA"/>
                    </w:rPr>
                  </w:pPr>
                </w:p>
                <w:p w:rsidR="00C06068" w:rsidRPr="00E36498" w:rsidRDefault="00C06068" w:rsidP="00C06068">
                  <w:pPr>
                    <w:spacing w:line="120" w:lineRule="exact"/>
                    <w:rPr>
                      <w:sz w:val="10"/>
                      <w:szCs w:val="17"/>
                      <w:lang w:val="fr-CA"/>
                    </w:rPr>
                  </w:pPr>
                </w:p>
                <w:p w:rsidR="00C06068" w:rsidRPr="00E36498" w:rsidRDefault="00C06068" w:rsidP="00C06068">
                  <w:pPr>
                    <w:spacing w:line="210" w:lineRule="exact"/>
                    <w:rPr>
                      <w:sz w:val="17"/>
                      <w:szCs w:val="17"/>
                      <w:lang w:val="fr-CA"/>
                    </w:rPr>
                  </w:pPr>
                  <w:r w:rsidRPr="00E36498">
                    <w:rPr>
                      <w:sz w:val="17"/>
                      <w:szCs w:val="17"/>
                      <w:lang w:val="fr-CA"/>
                    </w:rPr>
                    <w:t xml:space="preserve">Souffrant de plusieurs </w:t>
                  </w:r>
                  <w:r>
                    <w:rPr>
                      <w:sz w:val="17"/>
                      <w:szCs w:val="17"/>
                      <w:lang w:val="fr-CA"/>
                    </w:rPr>
                    <w:br/>
                  </w:r>
                  <w:r w:rsidRPr="00E36498">
                    <w:rPr>
                      <w:sz w:val="17"/>
                      <w:szCs w:val="17"/>
                      <w:lang w:val="fr-CA"/>
                    </w:rPr>
                    <w:t>types de violence</w:t>
                  </w:r>
                </w:p>
                <w:p w:rsidR="00C06068" w:rsidRDefault="00C06068" w:rsidP="00C06068">
                  <w:pPr>
                    <w:spacing w:line="210" w:lineRule="exact"/>
                    <w:rPr>
                      <w:sz w:val="17"/>
                      <w:szCs w:val="17"/>
                      <w:lang w:val="fr-CA"/>
                    </w:rPr>
                  </w:pPr>
                </w:p>
                <w:p w:rsidR="00C06068" w:rsidRDefault="00C06068" w:rsidP="00C06068">
                  <w:pPr>
                    <w:spacing w:line="210" w:lineRule="exact"/>
                    <w:rPr>
                      <w:sz w:val="17"/>
                      <w:szCs w:val="17"/>
                      <w:lang w:val="fr-CA"/>
                    </w:rPr>
                  </w:pPr>
                </w:p>
                <w:p w:rsidR="00C06068" w:rsidRPr="00E36498" w:rsidRDefault="00C06068" w:rsidP="00C06068">
                  <w:pPr>
                    <w:spacing w:line="260" w:lineRule="exact"/>
                    <w:rPr>
                      <w:sz w:val="17"/>
                      <w:szCs w:val="17"/>
                      <w:lang w:val="fr-CA"/>
                    </w:rPr>
                  </w:pPr>
                </w:p>
                <w:p w:rsidR="00C06068" w:rsidRPr="00E36498" w:rsidRDefault="00C06068" w:rsidP="00C06068">
                  <w:pPr>
                    <w:spacing w:line="210" w:lineRule="exact"/>
                    <w:rPr>
                      <w:sz w:val="17"/>
                      <w:szCs w:val="17"/>
                      <w:lang w:val="fr-CA"/>
                    </w:rPr>
                  </w:pPr>
                  <w:r w:rsidRPr="00E36498">
                    <w:rPr>
                      <w:sz w:val="17"/>
                      <w:szCs w:val="17"/>
                      <w:lang w:val="fr-CA"/>
                    </w:rPr>
                    <w:t>Pas de réponse</w:t>
                  </w:r>
                </w:p>
              </w:txbxContent>
            </v:textbox>
          </v:shape>
        </w:pict>
      </w:r>
      <w:r w:rsidRPr="00521891">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368.25pt;height:221.25pt;visibility:visible">
            <v:imagedata r:id="rId14" o:title=""/>
          </v:shape>
        </w:pict>
      </w: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Enquête réalisée par l</w:t>
      </w:r>
      <w:r>
        <w:rPr>
          <w:lang w:val="fr-FR"/>
        </w:rPr>
        <w:t>’</w:t>
      </w:r>
      <w:r w:rsidRPr="00521891">
        <w:rPr>
          <w:lang w:val="fr-FR"/>
        </w:rPr>
        <w:t>ENDA-OI.</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Default="00C06068" w:rsidP="00C06068">
      <w:pPr>
        <w:pStyle w:val="SingleTxt"/>
        <w:numPr>
          <w:ilvl w:val="0"/>
          <w:numId w:val="10"/>
        </w:numPr>
        <w:rPr>
          <w:lang w:val="fr-FR"/>
        </w:rPr>
      </w:pPr>
      <w:r w:rsidRPr="00521891">
        <w:rPr>
          <w:lang w:val="fr-FR"/>
        </w:rPr>
        <w:t>Une enquête réalisée par le programme BABEO en 2010, identifie les formes de violence à l</w:t>
      </w:r>
      <w:r>
        <w:rPr>
          <w:lang w:val="fr-FR"/>
        </w:rPr>
        <w:t>’</w:t>
      </w:r>
      <w:r w:rsidRPr="00521891">
        <w:rPr>
          <w:lang w:val="fr-FR"/>
        </w:rPr>
        <w:t>égard des femmes les plus rapportées</w:t>
      </w:r>
      <w:r>
        <w:rPr>
          <w:lang w:val="fr-FR"/>
        </w:rPr>
        <w:t xml:space="preserve"> à Antananarivo se résume par le</w:t>
      </w:r>
      <w:r w:rsidRPr="00521891">
        <w:rPr>
          <w:lang w:val="fr-FR"/>
        </w:rPr>
        <w:t xml:space="preserve"> graphique ci-dessous :</w:t>
      </w:r>
    </w:p>
    <w:p w:rsidR="00C06068" w:rsidRPr="002E382B" w:rsidRDefault="00C06068" w:rsidP="00C06068">
      <w:pPr>
        <w:pStyle w:val="SingleTxt"/>
        <w:spacing w:after="0" w:line="120" w:lineRule="exact"/>
        <w:rPr>
          <w:sz w:val="10"/>
          <w:lang w:val="fr-FR"/>
        </w:rPr>
      </w:pPr>
    </w:p>
    <w:p w:rsidR="00C06068" w:rsidRPr="00521891" w:rsidRDefault="00C06068" w:rsidP="003131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3" w:name="_Toc376686690"/>
      <w:r w:rsidRPr="00521891">
        <w:rPr>
          <w:lang w:val="fr-FR"/>
        </w:rPr>
        <w:tab/>
      </w:r>
      <w:r w:rsidRPr="00521891">
        <w:rPr>
          <w:lang w:val="fr-FR"/>
        </w:rPr>
        <w:tab/>
      </w:r>
      <w:r w:rsidRPr="00521891">
        <w:rPr>
          <w:b w:val="0"/>
          <w:lang w:val="fr-FR"/>
        </w:rPr>
        <w:t xml:space="preserve">Graphique </w:t>
      </w:r>
      <w:r>
        <w:rPr>
          <w:b w:val="0"/>
          <w:lang w:val="fr-FR"/>
        </w:rPr>
        <w:t>2</w:t>
      </w:r>
      <w:r>
        <w:rPr>
          <w:b w:val="0"/>
          <w:lang w:val="fr-FR"/>
        </w:rPr>
        <w:br/>
      </w:r>
      <w:r w:rsidRPr="00521891">
        <w:rPr>
          <w:lang w:val="fr-FR"/>
        </w:rPr>
        <w:t>Formes de violence à l</w:t>
      </w:r>
      <w:r>
        <w:rPr>
          <w:lang w:val="fr-FR"/>
        </w:rPr>
        <w:t>’</w:t>
      </w:r>
      <w:r w:rsidRPr="00521891">
        <w:rPr>
          <w:lang w:val="fr-FR"/>
        </w:rPr>
        <w:t>égard des femmes les plus rapportées à Antananarivo</w:t>
      </w:r>
      <w:bookmarkEnd w:id="53"/>
    </w:p>
    <w:p w:rsidR="00C06068" w:rsidRPr="00521891" w:rsidRDefault="00C06068" w:rsidP="00313148">
      <w:pPr>
        <w:pStyle w:val="SingleTxt"/>
        <w:keepNext/>
        <w:keepLines/>
        <w:spacing w:after="0" w:line="120" w:lineRule="exact"/>
        <w:rPr>
          <w:sz w:val="10"/>
          <w:lang w:val="fr-FR"/>
        </w:rPr>
      </w:pPr>
    </w:p>
    <w:p w:rsidR="00C06068" w:rsidRPr="00521891" w:rsidRDefault="00C06068" w:rsidP="00313148">
      <w:pPr>
        <w:pStyle w:val="SingleTxt"/>
        <w:keepNext/>
        <w:keepLines/>
        <w:spacing w:after="0" w:line="120" w:lineRule="exact"/>
        <w:rPr>
          <w:sz w:val="10"/>
          <w:lang w:val="fr-FR"/>
        </w:rPr>
      </w:pPr>
    </w:p>
    <w:p w:rsidR="00C06068" w:rsidRPr="00521891" w:rsidRDefault="00C06068" w:rsidP="00313148">
      <w:pPr>
        <w:pStyle w:val="SingleTxt"/>
        <w:keepNext/>
        <w:keepLines/>
        <w:spacing w:line="240" w:lineRule="auto"/>
        <w:rPr>
          <w:b/>
          <w:lang w:val="fr-FR"/>
        </w:rPr>
      </w:pPr>
      <w:r w:rsidRPr="00521891">
        <w:rPr>
          <w:b/>
          <w:lang w:val="fr-FR"/>
        </w:rPr>
        <w:pict>
          <v:shape id="Image 4" o:spid="_x0000_i1026" type="#_x0000_t75" style="width:366.75pt;height:220.5pt;visibility:visible">
            <v:imagedata r:id="rId15" o:title=""/>
          </v:shape>
        </w:pict>
      </w:r>
    </w:p>
    <w:p w:rsidR="00C06068" w:rsidRPr="00521891" w:rsidRDefault="00C06068" w:rsidP="00313148">
      <w:pPr>
        <w:pStyle w:val="FootnoteText"/>
        <w:keepNext/>
        <w:keepLines/>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Enquête réalisée par le programme BABEO.</w:t>
      </w:r>
    </w:p>
    <w:p w:rsidR="00C06068" w:rsidRPr="00521891" w:rsidRDefault="00C06068" w:rsidP="00313148">
      <w:pPr>
        <w:pStyle w:val="FootnoteText"/>
        <w:keepNext/>
        <w:keepLines/>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313148">
      <w:pPr>
        <w:pStyle w:val="FootnoteText"/>
        <w:keepNext/>
        <w:keepLines/>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313148">
      <w:pPr>
        <w:pStyle w:val="SingleTxt"/>
        <w:keepNext/>
        <w:keepLines/>
        <w:numPr>
          <w:ilvl w:val="0"/>
          <w:numId w:val="10"/>
        </w:numPr>
        <w:rPr>
          <w:lang w:val="fr-FR"/>
        </w:rPr>
      </w:pPr>
      <w:r w:rsidRPr="00521891">
        <w:rPr>
          <w:lang w:val="fr-FR"/>
        </w:rPr>
        <w:t>En ce qui concerne le viol commis par l</w:t>
      </w:r>
      <w:r>
        <w:rPr>
          <w:lang w:val="fr-FR"/>
        </w:rPr>
        <w:t>’</w:t>
      </w:r>
      <w:r w:rsidRPr="00521891">
        <w:rPr>
          <w:lang w:val="fr-FR"/>
        </w:rPr>
        <w:t>époux sur sa conjointe, en l</w:t>
      </w:r>
      <w:r>
        <w:rPr>
          <w:lang w:val="fr-FR"/>
        </w:rPr>
        <w:t>’</w:t>
      </w:r>
      <w:r w:rsidRPr="00521891">
        <w:rPr>
          <w:lang w:val="fr-FR"/>
        </w:rPr>
        <w:t>état actuel, le viol conjugal n</w:t>
      </w:r>
      <w:r>
        <w:rPr>
          <w:lang w:val="fr-FR"/>
        </w:rPr>
        <w:t>’</w:t>
      </w:r>
      <w:r w:rsidRPr="00521891">
        <w:rPr>
          <w:lang w:val="fr-FR"/>
        </w:rPr>
        <w:t>est pas encore érigé en infraction pénale autonome. Un projet de loi est en cours d</w:t>
      </w:r>
      <w:r>
        <w:rPr>
          <w:lang w:val="fr-FR"/>
        </w:rPr>
        <w:t>’</w:t>
      </w:r>
      <w:r w:rsidRPr="00521891">
        <w:rPr>
          <w:lang w:val="fr-FR"/>
        </w:rPr>
        <w:t>élaboration.</w:t>
      </w:r>
    </w:p>
    <w:p w:rsidR="00C06068" w:rsidRPr="00521891" w:rsidRDefault="00C06068" w:rsidP="00C06068">
      <w:pPr>
        <w:pStyle w:val="SingleTxt"/>
        <w:numPr>
          <w:ilvl w:val="0"/>
          <w:numId w:val="10"/>
        </w:numPr>
        <w:rPr>
          <w:lang w:val="fr-FR"/>
        </w:rPr>
      </w:pPr>
      <w:r w:rsidRPr="00521891">
        <w:rPr>
          <w:lang w:val="fr-FR"/>
        </w:rPr>
        <w:t>En 2012, en partenariat avec l</w:t>
      </w:r>
      <w:r>
        <w:rPr>
          <w:lang w:val="fr-FR"/>
        </w:rPr>
        <w:t>’</w:t>
      </w:r>
      <w:r w:rsidRPr="00521891">
        <w:rPr>
          <w:lang w:val="fr-FR"/>
        </w:rPr>
        <w:t>ONG Groupe développement, le Ministère de l</w:t>
      </w:r>
      <w:r>
        <w:rPr>
          <w:lang w:val="fr-FR"/>
        </w:rPr>
        <w:t>’</w:t>
      </w:r>
      <w:r w:rsidRPr="00521891">
        <w:rPr>
          <w:lang w:val="fr-FR"/>
        </w:rPr>
        <w:t>éducation nationale par le biais de l</w:t>
      </w:r>
      <w:r>
        <w:rPr>
          <w:lang w:val="fr-FR"/>
        </w:rPr>
        <w:t>’</w:t>
      </w:r>
      <w:r w:rsidRPr="00521891">
        <w:rPr>
          <w:lang w:val="fr-FR"/>
        </w:rPr>
        <w:t>OEMC participe à la lutte contre l</w:t>
      </w:r>
      <w:r>
        <w:rPr>
          <w:lang w:val="fr-FR"/>
        </w:rPr>
        <w:t>’</w:t>
      </w:r>
      <w:r w:rsidRPr="00521891">
        <w:rPr>
          <w:lang w:val="fr-FR"/>
        </w:rPr>
        <w:t>exploitation sexuelle des enfants par des activités de prévention telles que des émissions radio éducatives, des visites de sensibilisation des élèves et des parents au niveau des établissements scolaires et formation de 200 enseignants de la capitale et de Mahajanga sur l</w:t>
      </w:r>
      <w:r>
        <w:rPr>
          <w:lang w:val="fr-FR"/>
        </w:rPr>
        <w:t>’</w:t>
      </w:r>
      <w:r w:rsidRPr="00521891">
        <w:rPr>
          <w:lang w:val="fr-FR"/>
        </w:rPr>
        <w:t>autoprotection des enfants contre l</w:t>
      </w:r>
      <w:r>
        <w:rPr>
          <w:lang w:val="fr-FR"/>
        </w:rPr>
        <w:t>’</w:t>
      </w:r>
      <w:r w:rsidRPr="00521891">
        <w:rPr>
          <w:lang w:val="fr-FR"/>
        </w:rPr>
        <w:t>exploitation sexuelle. Ces enseignants ont par la suite sensibilisé 3 000 élèves sur cette thématique. Des manuels, guides et outils pédagogiques relatifs à l</w:t>
      </w:r>
      <w:r>
        <w:rPr>
          <w:lang w:val="fr-FR"/>
        </w:rPr>
        <w:t>’</w:t>
      </w:r>
      <w:r w:rsidRPr="00521891">
        <w:rPr>
          <w:lang w:val="fr-FR"/>
        </w:rPr>
        <w:t>autoprotection contre l</w:t>
      </w:r>
      <w:r>
        <w:rPr>
          <w:lang w:val="fr-FR"/>
        </w:rPr>
        <w:t>’</w:t>
      </w:r>
      <w:r w:rsidRPr="00521891">
        <w:rPr>
          <w:lang w:val="fr-FR"/>
        </w:rPr>
        <w:t>exploitation sexuelle des enfants ont été produits et distribués aux enseignants et élèves.</w:t>
      </w:r>
    </w:p>
    <w:p w:rsidR="00C06068" w:rsidRPr="00521891" w:rsidRDefault="00C06068" w:rsidP="00C06068">
      <w:pPr>
        <w:pStyle w:val="SingleTxt"/>
        <w:numPr>
          <w:ilvl w:val="0"/>
          <w:numId w:val="10"/>
        </w:numPr>
        <w:rPr>
          <w:lang w:val="fr-FR"/>
        </w:rPr>
      </w:pPr>
      <w:r w:rsidRPr="00521891">
        <w:rPr>
          <w:lang w:val="fr-FR"/>
        </w:rPr>
        <w:t>La lutte contre l</w:t>
      </w:r>
      <w:r>
        <w:rPr>
          <w:lang w:val="fr-FR"/>
        </w:rPr>
        <w:t>’</w:t>
      </w:r>
      <w:r w:rsidRPr="00521891">
        <w:rPr>
          <w:lang w:val="fr-FR"/>
        </w:rPr>
        <w:t>exploitation sexuelle des enfants est intégrée dans les nouveaux programmes d</w:t>
      </w:r>
      <w:r>
        <w:rPr>
          <w:lang w:val="fr-FR"/>
        </w:rPr>
        <w:t>’</w:t>
      </w:r>
      <w:r w:rsidRPr="00521891">
        <w:rPr>
          <w:lang w:val="fr-FR"/>
        </w:rPr>
        <w:t>éducation civique dans les collèges, les lycées d</w:t>
      </w:r>
      <w:r>
        <w:rPr>
          <w:lang w:val="fr-FR"/>
        </w:rPr>
        <w:t>’</w:t>
      </w:r>
      <w:r w:rsidRPr="00521891">
        <w:rPr>
          <w:lang w:val="fr-FR"/>
        </w:rPr>
        <w:t>enseignement général et d</w:t>
      </w:r>
      <w:r>
        <w:rPr>
          <w:lang w:val="fr-FR"/>
        </w:rPr>
        <w:t>’</w:t>
      </w:r>
      <w:r w:rsidRPr="00521891">
        <w:rPr>
          <w:lang w:val="fr-FR"/>
        </w:rPr>
        <w:t>enseignement technique.</w:t>
      </w:r>
    </w:p>
    <w:p w:rsidR="00C06068" w:rsidRPr="00521891" w:rsidRDefault="00C06068" w:rsidP="00C06068">
      <w:pPr>
        <w:pStyle w:val="SingleTxt"/>
        <w:numPr>
          <w:ilvl w:val="0"/>
          <w:numId w:val="10"/>
        </w:numPr>
        <w:rPr>
          <w:lang w:val="fr-FR"/>
        </w:rPr>
      </w:pPr>
      <w:r w:rsidRPr="00521891">
        <w:rPr>
          <w:lang w:val="fr-FR"/>
        </w:rPr>
        <w:t>Pour faciliter l</w:t>
      </w:r>
      <w:r>
        <w:rPr>
          <w:lang w:val="fr-FR"/>
        </w:rPr>
        <w:t>’accès à la j</w:t>
      </w:r>
      <w:r w:rsidRPr="00521891">
        <w:rPr>
          <w:lang w:val="fr-FR"/>
        </w:rPr>
        <w:t>ustice des femmes victimes de violence ne disposant pas de moyens financiers pour payer les frais de recours, le décret n</w:t>
      </w:r>
      <w:r w:rsidRPr="00521891">
        <w:rPr>
          <w:vertAlign w:val="superscript"/>
          <w:lang w:val="fr-FR"/>
        </w:rPr>
        <w:t>o</w:t>
      </w:r>
      <w:r>
        <w:rPr>
          <w:vertAlign w:val="superscript"/>
          <w:lang w:val="fr-FR"/>
        </w:rPr>
        <w:t> </w:t>
      </w:r>
      <w:r w:rsidRPr="00521891">
        <w:rPr>
          <w:lang w:val="fr-FR"/>
        </w:rPr>
        <w:t>2009-970 du 5 janvier 2010 portant réglementation de l</w:t>
      </w:r>
      <w:r>
        <w:rPr>
          <w:lang w:val="fr-FR"/>
        </w:rPr>
        <w:t>’</w:t>
      </w:r>
      <w:r w:rsidRPr="00521891">
        <w:rPr>
          <w:lang w:val="fr-FR"/>
        </w:rPr>
        <w:t>assistance judiciaire prévoit la prise en charge de ces frais.</w:t>
      </w:r>
    </w:p>
    <w:p w:rsidR="00C06068" w:rsidRPr="00521891" w:rsidRDefault="00C06068" w:rsidP="00C06068">
      <w:pPr>
        <w:pStyle w:val="SingleTxt"/>
        <w:numPr>
          <w:ilvl w:val="0"/>
          <w:numId w:val="10"/>
        </w:numPr>
        <w:rPr>
          <w:lang w:val="fr-FR"/>
        </w:rPr>
      </w:pPr>
      <w:r w:rsidRPr="00521891">
        <w:rPr>
          <w:lang w:val="fr-FR"/>
        </w:rPr>
        <w:t>Par ailleurs, depuis 2013</w:t>
      </w:r>
      <w:r>
        <w:rPr>
          <w:lang w:val="fr-FR"/>
        </w:rPr>
        <w:t>,</w:t>
      </w:r>
      <w:r w:rsidRPr="00521891">
        <w:rPr>
          <w:lang w:val="fr-FR"/>
        </w:rPr>
        <w:t xml:space="preserve"> avec l</w:t>
      </w:r>
      <w:r>
        <w:rPr>
          <w:lang w:val="fr-FR"/>
        </w:rPr>
        <w:t>’</w:t>
      </w:r>
      <w:r w:rsidRPr="00521891">
        <w:rPr>
          <w:lang w:val="fr-FR"/>
        </w:rPr>
        <w:t>appui du SCAC, un pool d</w:t>
      </w:r>
      <w:r>
        <w:rPr>
          <w:lang w:val="fr-FR"/>
        </w:rPr>
        <w:t>’</w:t>
      </w:r>
      <w:r w:rsidRPr="00521891">
        <w:rPr>
          <w:lang w:val="fr-FR"/>
        </w:rPr>
        <w:t>avocats au sein de la Maison du droit à Antananarivo assure gratuitement, durant la procédure pénale, l</w:t>
      </w:r>
      <w:r>
        <w:rPr>
          <w:lang w:val="fr-FR"/>
        </w:rPr>
        <w:t>’</w:t>
      </w:r>
      <w:r w:rsidRPr="00521891">
        <w:rPr>
          <w:lang w:val="fr-FR"/>
        </w:rPr>
        <w:t>accueil et la défense des intérêts des mineurs et des femmes, sans ressources, victimes de violences.</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4" w:name="_Toc376709316"/>
      <w:r w:rsidRPr="00521891">
        <w:rPr>
          <w:lang w:val="fr-FR"/>
        </w:rPr>
        <w:tab/>
        <w:t>2.</w:t>
      </w:r>
      <w:r w:rsidRPr="00521891">
        <w:rPr>
          <w:lang w:val="fr-FR"/>
        </w:rPr>
        <w:tab/>
        <w:t>Traite et exploitation à des fins de prostitution</w:t>
      </w:r>
      <w:bookmarkEnd w:id="54"/>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2.1</w:t>
      </w:r>
      <w:r w:rsidRPr="00521891">
        <w:rPr>
          <w:lang w:val="fr-FR"/>
        </w:rPr>
        <w:tab/>
        <w:t xml:space="preserve">Mise en œuvre de la nouvelle loi sur la traite et le tourisme sexuel : </w:t>
      </w:r>
      <w:r w:rsidRPr="00521891">
        <w:rPr>
          <w:lang w:val="fr-FR"/>
        </w:rPr>
        <w:br/>
        <w:t>prévention, poursuite et sanction</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Prévention</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Pour prévenir les risques de traite et d</w:t>
      </w:r>
      <w:r>
        <w:rPr>
          <w:lang w:val="fr-FR"/>
        </w:rPr>
        <w:t>’</w:t>
      </w:r>
      <w:r w:rsidRPr="00521891">
        <w:rPr>
          <w:lang w:val="fr-FR"/>
        </w:rPr>
        <w:t>exploitation à des fins de prostitution auxquels sont exposées les travailleuses migrantes, des mesures ont été prises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Rapatriement et réinsertion sociale de 85 femmes et </w:t>
      </w:r>
      <w:r>
        <w:rPr>
          <w:lang w:val="fr-FR"/>
        </w:rPr>
        <w:t xml:space="preserve">1 </w:t>
      </w:r>
      <w:r w:rsidRPr="00521891">
        <w:rPr>
          <w:lang w:val="fr-FR"/>
        </w:rPr>
        <w:t>enfant en provenance du Liban en mars 2011;</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Prise en charge de leur réinsertion sociale et professionnelle par le Ministère de la population avec octroi d</w:t>
      </w:r>
      <w:r>
        <w:rPr>
          <w:lang w:val="fr-FR"/>
        </w:rPr>
        <w:t>’</w:t>
      </w:r>
      <w:r w:rsidRPr="00521891">
        <w:rPr>
          <w:lang w:val="fr-FR"/>
        </w:rPr>
        <w:t>indemnités de réinstallation;</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Suspension temporaire d</w:t>
      </w:r>
      <w:r>
        <w:rPr>
          <w:lang w:val="fr-FR"/>
        </w:rPr>
        <w:t>’</w:t>
      </w:r>
      <w:r w:rsidRPr="00521891">
        <w:rPr>
          <w:lang w:val="fr-FR"/>
        </w:rPr>
        <w:t>envoi de travailleurs migrants dans les pays à haut risque tels que l</w:t>
      </w:r>
      <w:r>
        <w:rPr>
          <w:lang w:val="fr-FR"/>
        </w:rPr>
        <w:t>’</w:t>
      </w:r>
      <w:r w:rsidRPr="00521891">
        <w:rPr>
          <w:lang w:val="fr-FR"/>
        </w:rPr>
        <w:t>Arabie saoudite, le Koweït et le Qatar ainsi que dans tout autre pays ne disposant pas de garanties suffisantes de protection des droits de l</w:t>
      </w:r>
      <w:r>
        <w:rPr>
          <w:lang w:val="fr-FR"/>
        </w:rPr>
        <w:t>’</w:t>
      </w:r>
      <w:r w:rsidRPr="00521891">
        <w:rPr>
          <w:lang w:val="fr-FR"/>
        </w:rPr>
        <w:t>homme en général et des droits des travailleurs migrants en particulier.</w:t>
      </w:r>
    </w:p>
    <w:p w:rsidR="00C06068" w:rsidRPr="00521891" w:rsidRDefault="00C06068" w:rsidP="00C06068">
      <w:pPr>
        <w:pStyle w:val="SingleTxt"/>
        <w:numPr>
          <w:ilvl w:val="0"/>
          <w:numId w:val="10"/>
        </w:numPr>
        <w:rPr>
          <w:lang w:val="fr-FR"/>
        </w:rPr>
      </w:pPr>
      <w:r w:rsidRPr="00521891">
        <w:rPr>
          <w:lang w:val="fr-FR"/>
        </w:rPr>
        <w:t>Suite à cette décision de suspension, le Gouvernement de l</w:t>
      </w:r>
      <w:r>
        <w:rPr>
          <w:lang w:val="fr-FR"/>
        </w:rPr>
        <w:t>’</w:t>
      </w:r>
      <w:r w:rsidRPr="00521891">
        <w:rPr>
          <w:lang w:val="fr-FR"/>
        </w:rPr>
        <w:t>Arabie saoudite a soumis une proposition d</w:t>
      </w:r>
      <w:r>
        <w:rPr>
          <w:lang w:val="fr-FR"/>
        </w:rPr>
        <w:t>’</w:t>
      </w:r>
      <w:r w:rsidRPr="00521891">
        <w:rPr>
          <w:lang w:val="fr-FR"/>
        </w:rPr>
        <w:t>accord bilatéral relatif à la migration des travailleurs domestiques.</w:t>
      </w:r>
    </w:p>
    <w:p w:rsidR="00C06068" w:rsidRPr="00521891" w:rsidRDefault="00C06068" w:rsidP="00C06068">
      <w:pPr>
        <w:pStyle w:val="SingleTxt"/>
        <w:numPr>
          <w:ilvl w:val="0"/>
          <w:numId w:val="10"/>
        </w:numPr>
        <w:rPr>
          <w:lang w:val="fr-FR"/>
        </w:rPr>
      </w:pPr>
      <w:r w:rsidRPr="00521891">
        <w:rPr>
          <w:lang w:val="fr-FR"/>
        </w:rPr>
        <w:t>En outre, pour intensifier la lutte contre la traite conformément aux normes internationales, Madagascar a sollicité l</w:t>
      </w:r>
      <w:r>
        <w:rPr>
          <w:lang w:val="fr-FR"/>
        </w:rPr>
        <w:t>’</w:t>
      </w:r>
      <w:r w:rsidRPr="00521891">
        <w:rPr>
          <w:lang w:val="fr-FR"/>
        </w:rPr>
        <w:t>appui technique de l</w:t>
      </w:r>
      <w:r>
        <w:rPr>
          <w:lang w:val="fr-FR"/>
        </w:rPr>
        <w:t>’</w:t>
      </w:r>
      <w:r w:rsidRPr="00521891">
        <w:rPr>
          <w:lang w:val="fr-FR"/>
        </w:rPr>
        <w:t>OIM axé sur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w:t>
      </w:r>
      <w:r>
        <w:rPr>
          <w:lang w:val="fr-FR"/>
        </w:rPr>
        <w:t>’</w:t>
      </w:r>
      <w:r w:rsidRPr="00521891">
        <w:rPr>
          <w:lang w:val="fr-FR"/>
        </w:rPr>
        <w:t>amélioration du projet de réforme de la loi n</w:t>
      </w:r>
      <w:r w:rsidRPr="00521891">
        <w:rPr>
          <w:vertAlign w:val="superscript"/>
          <w:lang w:val="fr-FR"/>
        </w:rPr>
        <w:t>o</w:t>
      </w:r>
      <w:r>
        <w:rPr>
          <w:vertAlign w:val="superscript"/>
          <w:lang w:val="fr-FR"/>
        </w:rPr>
        <w:t> </w:t>
      </w:r>
      <w:r w:rsidRPr="00521891">
        <w:rPr>
          <w:lang w:val="fr-FR"/>
        </w:rPr>
        <w:t>2007-038 contre la traite des personnes</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mise en place d</w:t>
      </w:r>
      <w:r>
        <w:rPr>
          <w:lang w:val="fr-FR"/>
        </w:rPr>
        <w:t>’</w:t>
      </w:r>
      <w:r w:rsidRPr="00521891">
        <w:rPr>
          <w:lang w:val="fr-FR"/>
        </w:rPr>
        <w:t>un mécanisme national de lutte contre la traite des personnes</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formations de formateurs</w:t>
      </w:r>
      <w:r>
        <w:rPr>
          <w:lang w:val="fr-FR"/>
        </w:rPr>
        <w:t>;</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 renforcement de capacités des responsables de l</w:t>
      </w:r>
      <w:r>
        <w:rPr>
          <w:lang w:val="fr-FR"/>
        </w:rPr>
        <w:t>’</w:t>
      </w:r>
      <w:r w:rsidRPr="00521891">
        <w:rPr>
          <w:lang w:val="fr-FR"/>
        </w:rPr>
        <w:t>application des lois en matière de lutte contre la traite des personnes.</w:t>
      </w:r>
    </w:p>
    <w:p w:rsidR="00C06068" w:rsidRPr="00521891" w:rsidRDefault="00C06068" w:rsidP="00C06068">
      <w:pPr>
        <w:pStyle w:val="SingleTxt"/>
        <w:numPr>
          <w:ilvl w:val="0"/>
          <w:numId w:val="10"/>
        </w:numPr>
        <w:rPr>
          <w:lang w:val="fr-FR"/>
        </w:rPr>
      </w:pPr>
      <w:r w:rsidRPr="00521891">
        <w:rPr>
          <w:lang w:val="fr-FR"/>
        </w:rPr>
        <w:t>À titre de prévention également, en 2008, en vue d</w:t>
      </w:r>
      <w:r>
        <w:rPr>
          <w:lang w:val="fr-FR"/>
        </w:rPr>
        <w:t>’</w:t>
      </w:r>
      <w:r w:rsidRPr="00521891">
        <w:rPr>
          <w:lang w:val="fr-FR"/>
        </w:rPr>
        <w:t>informer et de sensibiliser les citoyens sur le danger de la traite et d</w:t>
      </w:r>
      <w:r>
        <w:rPr>
          <w:lang w:val="fr-FR"/>
        </w:rPr>
        <w:t>’</w:t>
      </w:r>
      <w:r w:rsidRPr="00521891">
        <w:rPr>
          <w:lang w:val="fr-FR"/>
        </w:rPr>
        <w:t>exploitation sexuelle des enfants à des fins commerciales, le Ministère de la justice avec l</w:t>
      </w:r>
      <w:r>
        <w:rPr>
          <w:lang w:val="fr-FR"/>
        </w:rPr>
        <w:t>’</w:t>
      </w:r>
      <w:r w:rsidRPr="00521891">
        <w:rPr>
          <w:lang w:val="fr-FR"/>
        </w:rPr>
        <w:t>appui du PNUD a produit un film faisant apparaître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différentes formes de traite et d</w:t>
      </w:r>
      <w:r>
        <w:rPr>
          <w:lang w:val="fr-FR"/>
        </w:rPr>
        <w:t>’</w:t>
      </w:r>
      <w:r w:rsidRPr="00521891">
        <w:rPr>
          <w:lang w:val="fr-FR"/>
        </w:rPr>
        <w:t>exploitation sexuelle des enfants à des fins commerciales au</w:t>
      </w:r>
      <w:r>
        <w:rPr>
          <w:lang w:val="fr-FR"/>
        </w:rPr>
        <w:t>x</w:t>
      </w:r>
      <w:r w:rsidRPr="00521891">
        <w:rPr>
          <w:lang w:val="fr-FR"/>
        </w:rPr>
        <w:t xml:space="preserve"> niveau</w:t>
      </w:r>
      <w:r>
        <w:rPr>
          <w:lang w:val="fr-FR"/>
        </w:rPr>
        <w:t>x</w:t>
      </w:r>
      <w:r w:rsidRPr="00521891">
        <w:rPr>
          <w:lang w:val="fr-FR"/>
        </w:rPr>
        <w:t xml:space="preserve"> mondial et national;</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procédure de saisine des tribunaux, la condamnation des auteurs de la traite et la réparation de la victime incluant sa réinsertion sociale.</w:t>
      </w:r>
    </w:p>
    <w:p w:rsidR="00C06068" w:rsidRPr="00521891" w:rsidRDefault="00C06068" w:rsidP="00C06068">
      <w:pPr>
        <w:pStyle w:val="SingleTxt"/>
        <w:numPr>
          <w:ilvl w:val="0"/>
          <w:numId w:val="10"/>
        </w:numPr>
        <w:rPr>
          <w:lang w:val="fr-FR"/>
        </w:rPr>
      </w:pPr>
      <w:r w:rsidRPr="00521891">
        <w:rPr>
          <w:lang w:val="fr-FR"/>
        </w:rPr>
        <w:t>Le Ministère de la jeunesse et des loisirs</w:t>
      </w:r>
      <w:r>
        <w:rPr>
          <w:lang w:val="fr-FR"/>
        </w:rPr>
        <w:t>,</w:t>
      </w:r>
      <w:r w:rsidRPr="00521891">
        <w:rPr>
          <w:lang w:val="fr-FR"/>
        </w:rPr>
        <w:t xml:space="preserve"> avec l</w:t>
      </w:r>
      <w:r>
        <w:rPr>
          <w:lang w:val="fr-FR"/>
        </w:rPr>
        <w:t>’</w:t>
      </w:r>
      <w:r w:rsidRPr="00521891">
        <w:rPr>
          <w:lang w:val="fr-FR"/>
        </w:rPr>
        <w:t>appui de l</w:t>
      </w:r>
      <w:r>
        <w:rPr>
          <w:lang w:val="fr-FR"/>
        </w:rPr>
        <w:t>’</w:t>
      </w:r>
      <w:r w:rsidRPr="00521891">
        <w:rPr>
          <w:lang w:val="fr-FR"/>
        </w:rPr>
        <w:t>UNICEF</w:t>
      </w:r>
      <w:r>
        <w:rPr>
          <w:lang w:val="fr-FR"/>
        </w:rPr>
        <w:t>,</w:t>
      </w:r>
      <w:r w:rsidRPr="00521891">
        <w:rPr>
          <w:lang w:val="fr-FR"/>
        </w:rPr>
        <w:t xml:space="preserve"> a également produit des films similaires pour combattre l</w:t>
      </w:r>
      <w:r>
        <w:rPr>
          <w:lang w:val="fr-FR"/>
        </w:rPr>
        <w:t>’</w:t>
      </w:r>
      <w:r w:rsidRPr="00521891">
        <w:rPr>
          <w:lang w:val="fr-FR"/>
        </w:rPr>
        <w:t>exploitation sexuelle des enfants en 2010.</w:t>
      </w:r>
    </w:p>
    <w:p w:rsidR="00C06068" w:rsidRPr="00521891" w:rsidRDefault="00C06068" w:rsidP="00C06068">
      <w:pPr>
        <w:pStyle w:val="SingleTxt"/>
        <w:numPr>
          <w:ilvl w:val="0"/>
          <w:numId w:val="10"/>
        </w:numPr>
        <w:rPr>
          <w:lang w:val="fr-FR"/>
        </w:rPr>
      </w:pPr>
      <w:r w:rsidRPr="00521891">
        <w:rPr>
          <w:lang w:val="fr-FR"/>
        </w:rPr>
        <w:t>Tous ces films ont été diffusés</w:t>
      </w:r>
      <w:r>
        <w:rPr>
          <w:lang w:val="fr-FR"/>
        </w:rPr>
        <w:t xml:space="preserve"> sur les stations de télévision</w:t>
      </w:r>
      <w:r w:rsidRPr="00521891">
        <w:rPr>
          <w:lang w:val="fr-FR"/>
        </w:rPr>
        <w:t xml:space="preserve"> publiques et privées nationales et locales.</w:t>
      </w:r>
    </w:p>
    <w:p w:rsidR="00C06068" w:rsidRPr="00521891" w:rsidRDefault="00C06068" w:rsidP="00C06068">
      <w:pPr>
        <w:pStyle w:val="SingleTxt"/>
        <w:numPr>
          <w:ilvl w:val="0"/>
          <w:numId w:val="10"/>
        </w:numPr>
        <w:rPr>
          <w:lang w:val="fr-FR"/>
        </w:rPr>
      </w:pPr>
      <w:r w:rsidRPr="00521891">
        <w:rPr>
          <w:lang w:val="fr-FR"/>
        </w:rPr>
        <w:t>Par ailleurs, depuis 2012, 30 000 posters de sensibilisation sur l</w:t>
      </w:r>
      <w:r>
        <w:rPr>
          <w:lang w:val="fr-FR"/>
        </w:rPr>
        <w:t>’</w:t>
      </w:r>
      <w:r w:rsidRPr="00521891">
        <w:rPr>
          <w:lang w:val="fr-FR"/>
        </w:rPr>
        <w:t>interdiction et la criminalisation du tourisme sexuel ont été produits et affichés à l</w:t>
      </w:r>
      <w:r>
        <w:rPr>
          <w:lang w:val="fr-FR"/>
        </w:rPr>
        <w:t>’</w:t>
      </w:r>
      <w:r w:rsidRPr="00521891">
        <w:rPr>
          <w:lang w:val="fr-FR"/>
        </w:rPr>
        <w:t>entrée des hôtels et d</w:t>
      </w:r>
      <w:r>
        <w:rPr>
          <w:lang w:val="fr-FR"/>
        </w:rPr>
        <w:t>’</w:t>
      </w:r>
      <w:r w:rsidRPr="00521891">
        <w:rPr>
          <w:lang w:val="fr-FR"/>
        </w:rPr>
        <w:t>autres bâtiments publics dans les sites les plus exposés au risque de traite et de tourisme sexuel. Ces posters ont été édités et diffusés par le Ministère du tourisme.</w:t>
      </w:r>
    </w:p>
    <w:p w:rsidR="00C06068" w:rsidRPr="00521891" w:rsidRDefault="00C06068" w:rsidP="00C06068">
      <w:pPr>
        <w:pStyle w:val="SingleTxt"/>
        <w:numPr>
          <w:ilvl w:val="0"/>
          <w:numId w:val="10"/>
        </w:numPr>
        <w:rPr>
          <w:lang w:val="fr-FR"/>
        </w:rPr>
      </w:pPr>
      <w:r w:rsidRPr="00521891">
        <w:rPr>
          <w:lang w:val="fr-FR"/>
        </w:rPr>
        <w:t>Enfin, avec l</w:t>
      </w:r>
      <w:r>
        <w:rPr>
          <w:lang w:val="fr-FR"/>
        </w:rPr>
        <w:t>’</w:t>
      </w:r>
      <w:r w:rsidRPr="00521891">
        <w:rPr>
          <w:lang w:val="fr-FR"/>
        </w:rPr>
        <w:t>appui de l</w:t>
      </w:r>
      <w:r>
        <w:rPr>
          <w:lang w:val="fr-FR"/>
        </w:rPr>
        <w:t>’</w:t>
      </w:r>
      <w:r w:rsidRPr="00521891">
        <w:rPr>
          <w:lang w:val="fr-FR"/>
        </w:rPr>
        <w:t>UNICEF, en vue du signalement des cas de toute forme de violence à l</w:t>
      </w:r>
      <w:r>
        <w:rPr>
          <w:lang w:val="fr-FR"/>
        </w:rPr>
        <w:t>’</w:t>
      </w:r>
      <w:r w:rsidRPr="00521891">
        <w:rPr>
          <w:lang w:val="fr-FR"/>
        </w:rPr>
        <w:t>égard des femmes incluant la traite et l</w:t>
      </w:r>
      <w:r>
        <w:rPr>
          <w:lang w:val="fr-FR"/>
        </w:rPr>
        <w:t>’</w:t>
      </w:r>
      <w:r w:rsidRPr="00521891">
        <w:rPr>
          <w:lang w:val="fr-FR"/>
        </w:rPr>
        <w:t>exploitation sexuelle, une ligne verte</w:t>
      </w:r>
      <w:r w:rsidRPr="00313148">
        <w:rPr>
          <w:vertAlign w:val="superscript"/>
          <w:lang w:val="fr-FR"/>
        </w:rPr>
        <w:footnoteReference w:id="10"/>
      </w:r>
      <w:r w:rsidRPr="00521891">
        <w:rPr>
          <w:lang w:val="fr-FR"/>
        </w:rPr>
        <w:t xml:space="preserve"> a été mise en place depuis 2010. Il s</w:t>
      </w:r>
      <w:r>
        <w:rPr>
          <w:lang w:val="fr-FR"/>
        </w:rPr>
        <w:t>’</w:t>
      </w:r>
      <w:r w:rsidRPr="00521891">
        <w:rPr>
          <w:lang w:val="fr-FR"/>
        </w:rPr>
        <w:t>agit d</w:t>
      </w:r>
      <w:r>
        <w:rPr>
          <w:lang w:val="fr-FR"/>
        </w:rPr>
        <w:t>’</w:t>
      </w:r>
      <w:r w:rsidRPr="00521891">
        <w:rPr>
          <w:lang w:val="fr-FR"/>
        </w:rPr>
        <w:t>appel téléphonique gratuit de signalement à l</w:t>
      </w:r>
      <w:r>
        <w:rPr>
          <w:lang w:val="fr-FR"/>
        </w:rPr>
        <w:t>’</w:t>
      </w:r>
      <w:r w:rsidRPr="00521891">
        <w:rPr>
          <w:lang w:val="fr-FR"/>
        </w:rPr>
        <w:t>échelle national</w:t>
      </w:r>
      <w:r>
        <w:rPr>
          <w:lang w:val="fr-FR"/>
        </w:rPr>
        <w:t>e</w:t>
      </w:r>
      <w:r w:rsidRPr="00521891">
        <w:rPr>
          <w:lang w:val="fr-FR"/>
        </w:rPr>
        <w:t xml:space="preserve"> saisissant la police des mœurs et de la protection des mineurs.</w:t>
      </w:r>
    </w:p>
    <w:p w:rsidR="00C06068" w:rsidRPr="00521891" w:rsidRDefault="00C06068" w:rsidP="00C06068">
      <w:pPr>
        <w:pStyle w:val="SingleTxt"/>
        <w:numPr>
          <w:ilvl w:val="0"/>
          <w:numId w:val="10"/>
        </w:numPr>
        <w:rPr>
          <w:lang w:val="fr-FR"/>
        </w:rPr>
      </w:pPr>
      <w:r w:rsidRPr="00521891">
        <w:rPr>
          <w:lang w:val="fr-FR"/>
        </w:rPr>
        <w:t>Pour prévenir l</w:t>
      </w:r>
      <w:r>
        <w:rPr>
          <w:lang w:val="fr-FR"/>
        </w:rPr>
        <w:t>’</w:t>
      </w:r>
      <w:r w:rsidRPr="00521891">
        <w:rPr>
          <w:lang w:val="fr-FR"/>
        </w:rPr>
        <w:t>exploitation de la prostitution des femmes et des filles, des sensibilisations ont été faites par le service de la PMPM en collaboration avec le personnel de la SPDTS et des volontaires du Fokontany rassemblés dans l</w:t>
      </w:r>
      <w:r>
        <w:rPr>
          <w:lang w:val="fr-FR"/>
        </w:rPr>
        <w:t>’</w:t>
      </w:r>
      <w:r w:rsidRPr="00521891">
        <w:rPr>
          <w:lang w:val="fr-FR"/>
        </w:rPr>
        <w:t>association Fiantso.</w:t>
      </w:r>
    </w:p>
    <w:p w:rsidR="00C06068" w:rsidRPr="00521891" w:rsidRDefault="00C06068" w:rsidP="00C06068">
      <w:pPr>
        <w:pStyle w:val="SingleTxt"/>
        <w:numPr>
          <w:ilvl w:val="0"/>
          <w:numId w:val="10"/>
        </w:numPr>
        <w:rPr>
          <w:lang w:val="fr-FR"/>
        </w:rPr>
      </w:pPr>
      <w:r w:rsidRPr="00521891">
        <w:rPr>
          <w:lang w:val="fr-FR"/>
        </w:rPr>
        <w:t>En 2011-2012, les réalisations suivantes ont été effectuées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Sensibilisation des parents des élèves au niveau de 32 établissements scolaires;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Sensibilisation de la population au niveau de 45 Fokontany;</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Sensibilisation des gérants de 15 hôtels;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Contrôles systématiques dans les boites de nuit, salle</w:t>
      </w:r>
      <w:r>
        <w:rPr>
          <w:lang w:val="fr-FR"/>
        </w:rPr>
        <w:t>s de</w:t>
      </w:r>
      <w:r w:rsidRPr="00521891">
        <w:rPr>
          <w:lang w:val="fr-FR"/>
        </w:rPr>
        <w:t xml:space="preserve"> jeux et vidéothèques.</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Poursuite et répression</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mise en œuvre de la loi sur la traite et le tourisme sexuel se heurte à des obstacles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Malgré les formations réalisées depuis 2007</w:t>
      </w:r>
      <w:r>
        <w:rPr>
          <w:lang w:val="fr-FR"/>
        </w:rPr>
        <w:t>,</w:t>
      </w:r>
      <w:r w:rsidRPr="00521891">
        <w:rPr>
          <w:lang w:val="fr-FR"/>
        </w:rPr>
        <w:t xml:space="preserve"> force est de constater que rares sont les cas de poursuites et condamnations ainsi que l</w:t>
      </w:r>
      <w:r>
        <w:rPr>
          <w:lang w:val="fr-FR"/>
        </w:rPr>
        <w:t>’</w:t>
      </w:r>
      <w:r w:rsidRPr="00521891">
        <w:rPr>
          <w:lang w:val="fr-FR"/>
        </w:rPr>
        <w:t>octroi d</w:t>
      </w:r>
      <w:r>
        <w:rPr>
          <w:lang w:val="fr-FR"/>
        </w:rPr>
        <w:t>’</w:t>
      </w:r>
      <w:r w:rsidRPr="00521891">
        <w:rPr>
          <w:lang w:val="fr-FR"/>
        </w:rPr>
        <w:t>indemnisation aux victimes;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Les victimes n</w:t>
      </w:r>
      <w:r>
        <w:rPr>
          <w:lang w:val="fr-FR"/>
        </w:rPr>
        <w:t>’</w:t>
      </w:r>
      <w:r w:rsidRPr="00521891">
        <w:rPr>
          <w:lang w:val="fr-FR"/>
        </w:rPr>
        <w:t>osent pas porter plainte auprès des autorités compétentes par méconnaissance de leurs droits, par honte, par peur des représailles de la part des auteurs;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Pour la plupart des cas, les victimes préfèrent recourir à un arrangement à l</w:t>
      </w:r>
      <w:r>
        <w:rPr>
          <w:lang w:val="fr-FR"/>
        </w:rPr>
        <w:t>’</w:t>
      </w:r>
      <w:r w:rsidRPr="00521891">
        <w:rPr>
          <w:lang w:val="fr-FR"/>
        </w:rPr>
        <w:t>amiable leur permettant d</w:t>
      </w:r>
      <w:r>
        <w:rPr>
          <w:lang w:val="fr-FR"/>
        </w:rPr>
        <w:t>’</w:t>
      </w:r>
      <w:r w:rsidRPr="00521891">
        <w:rPr>
          <w:lang w:val="fr-FR"/>
        </w:rPr>
        <w:t>obtenir in</w:t>
      </w:r>
      <w:r>
        <w:rPr>
          <w:lang w:val="fr-FR"/>
        </w:rPr>
        <w:t>demnisation sans passer par le t</w:t>
      </w:r>
      <w:r w:rsidRPr="00521891">
        <w:rPr>
          <w:lang w:val="fr-FR"/>
        </w:rPr>
        <w:t>ribunal.</w:t>
      </w:r>
    </w:p>
    <w:p w:rsidR="00C06068" w:rsidRPr="00521891" w:rsidRDefault="00C06068" w:rsidP="00C06068">
      <w:pPr>
        <w:pStyle w:val="SingleTxt"/>
        <w:numPr>
          <w:ilvl w:val="0"/>
          <w:numId w:val="10"/>
        </w:numPr>
        <w:rPr>
          <w:lang w:val="fr-FR"/>
        </w:rPr>
      </w:pPr>
      <w:r w:rsidRPr="00521891">
        <w:rPr>
          <w:lang w:val="fr-FR"/>
        </w:rPr>
        <w:t>Pour surmonter ces obstacles, la poursuite des campagnes d</w:t>
      </w:r>
      <w:r>
        <w:rPr>
          <w:lang w:val="fr-FR"/>
        </w:rPr>
        <w:t>’</w:t>
      </w:r>
      <w:r w:rsidRPr="00521891">
        <w:rPr>
          <w:lang w:val="fr-FR"/>
        </w:rPr>
        <w:t>information et de sensibilisation du public sera intensifiée.</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2.2</w:t>
      </w:r>
      <w:r w:rsidRPr="00521891">
        <w:rPr>
          <w:lang w:val="fr-FR"/>
        </w:rPr>
        <w:tab/>
        <w:t>Formation des responsables de l</w:t>
      </w:r>
      <w:r>
        <w:rPr>
          <w:lang w:val="fr-FR"/>
        </w:rPr>
        <w:t>’</w:t>
      </w:r>
      <w:r w:rsidRPr="00521891">
        <w:rPr>
          <w:lang w:val="fr-FR"/>
        </w:rPr>
        <w:t xml:space="preserve">application de la loi et des travailleurs </w:t>
      </w:r>
      <w:r w:rsidRPr="00521891">
        <w:rPr>
          <w:lang w:val="fr-FR"/>
        </w:rPr>
        <w:br/>
        <w:t>sociaux et des agents de développement communautaires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De 2009 à 2013, le Ministère de la justice appuyé par le PNUD, le HCDH, l</w:t>
      </w:r>
      <w:r>
        <w:rPr>
          <w:lang w:val="fr-FR"/>
        </w:rPr>
        <w:t>’</w:t>
      </w:r>
      <w:r w:rsidRPr="00521891">
        <w:rPr>
          <w:lang w:val="fr-FR"/>
        </w:rPr>
        <w:t>OIF et le SCAC a dispensé des séries de formations sur l</w:t>
      </w:r>
      <w:r>
        <w:rPr>
          <w:lang w:val="fr-FR"/>
        </w:rPr>
        <w:t>’</w:t>
      </w:r>
      <w:r w:rsidRPr="00521891">
        <w:rPr>
          <w:lang w:val="fr-FR"/>
        </w:rPr>
        <w:t>application de la loi sur la traite et le tourisme sexuel à Taolagnaro, Toamasina, Mahajanga, Antsiranana, Antananarivo et Mananjary à l</w:t>
      </w:r>
      <w:r>
        <w:rPr>
          <w:lang w:val="fr-FR"/>
        </w:rPr>
        <w:t>’</w:t>
      </w:r>
      <w:r w:rsidRPr="00521891">
        <w:rPr>
          <w:lang w:val="fr-FR"/>
        </w:rPr>
        <w:t>intention des responsables de l</w:t>
      </w:r>
      <w:r>
        <w:rPr>
          <w:lang w:val="fr-FR"/>
        </w:rPr>
        <w:t>’</w:t>
      </w:r>
      <w:r w:rsidRPr="00521891">
        <w:rPr>
          <w:lang w:val="fr-FR"/>
        </w:rPr>
        <w:t>application de la loi : magistrats, officiers de police judiciaire, membres du barreau et représentants des organisations de la société civile</w:t>
      </w:r>
      <w:r>
        <w:rPr>
          <w:lang w:val="fr-FR"/>
        </w:rPr>
        <w:t>,</w:t>
      </w:r>
      <w:r w:rsidRPr="00521891">
        <w:rPr>
          <w:lang w:val="fr-FR"/>
        </w:rPr>
        <w:t xml:space="preserve"> à raison de 40 participants par site.</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2.3</w:t>
      </w:r>
      <w:r w:rsidRPr="00521891">
        <w:rPr>
          <w:lang w:val="fr-FR"/>
        </w:rPr>
        <w:tab/>
        <w:t>Adoption d</w:t>
      </w:r>
      <w:r>
        <w:rPr>
          <w:lang w:val="fr-FR"/>
        </w:rPr>
        <w:t>’</w:t>
      </w:r>
      <w:r w:rsidRPr="00521891">
        <w:rPr>
          <w:lang w:val="fr-FR"/>
        </w:rPr>
        <w:t>un plan d</w:t>
      </w:r>
      <w:r>
        <w:rPr>
          <w:lang w:val="fr-FR"/>
        </w:rPr>
        <w:t>’</w:t>
      </w:r>
      <w:r w:rsidRPr="00521891">
        <w:rPr>
          <w:lang w:val="fr-FR"/>
        </w:rPr>
        <w:t>action</w:t>
      </w:r>
    </w:p>
    <w:p w:rsidR="00C06068" w:rsidRPr="00521891" w:rsidRDefault="00C06068" w:rsidP="00C06068">
      <w:pPr>
        <w:pStyle w:val="SingleTxt"/>
        <w:keepNext/>
        <w:keepLines/>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Pour donner suite aux recommandations du Conseil de</w:t>
      </w:r>
      <w:r>
        <w:rPr>
          <w:lang w:val="fr-FR"/>
        </w:rPr>
        <w:t>s</w:t>
      </w:r>
      <w:r w:rsidRPr="00521891">
        <w:rPr>
          <w:lang w:val="fr-FR"/>
        </w:rPr>
        <w:t xml:space="preserve"> droits de l</w:t>
      </w:r>
      <w:r>
        <w:rPr>
          <w:lang w:val="fr-FR"/>
        </w:rPr>
        <w:t>’</w:t>
      </w:r>
      <w:r w:rsidRPr="00521891">
        <w:rPr>
          <w:lang w:val="fr-FR"/>
        </w:rPr>
        <w:t>homme dans le cadre de l</w:t>
      </w:r>
      <w:r>
        <w:rPr>
          <w:lang w:val="fr-FR"/>
        </w:rPr>
        <w:t>’</w:t>
      </w:r>
      <w:r w:rsidRPr="00521891">
        <w:rPr>
          <w:lang w:val="fr-FR"/>
        </w:rPr>
        <w:t xml:space="preserve">examen périodique universel (EPU) et du </w:t>
      </w:r>
      <w:r>
        <w:rPr>
          <w:lang w:val="fr-FR"/>
        </w:rPr>
        <w:t>c</w:t>
      </w:r>
      <w:r w:rsidRPr="00521891">
        <w:rPr>
          <w:lang w:val="fr-FR"/>
        </w:rPr>
        <w:t>omité CEDEF en vue de l</w:t>
      </w:r>
      <w:r>
        <w:rPr>
          <w:lang w:val="fr-FR"/>
        </w:rPr>
        <w:t>’</w:t>
      </w:r>
      <w:r w:rsidRPr="00521891">
        <w:rPr>
          <w:lang w:val="fr-FR"/>
        </w:rPr>
        <w:t>adoption d</w:t>
      </w:r>
      <w:r>
        <w:rPr>
          <w:lang w:val="fr-FR"/>
        </w:rPr>
        <w:t>’</w:t>
      </w:r>
      <w:r w:rsidRPr="00521891">
        <w:rPr>
          <w:lang w:val="fr-FR"/>
        </w:rPr>
        <w:t>un plan d</w:t>
      </w:r>
      <w:r>
        <w:rPr>
          <w:lang w:val="fr-FR"/>
        </w:rPr>
        <w:t>’</w:t>
      </w:r>
      <w:r w:rsidRPr="00521891">
        <w:rPr>
          <w:lang w:val="fr-FR"/>
        </w:rPr>
        <w:t>action de lutte contre la traite</w:t>
      </w:r>
      <w:r>
        <w:rPr>
          <w:lang w:val="fr-FR"/>
        </w:rPr>
        <w:t>, une structure permanente anti</w:t>
      </w:r>
      <w:r w:rsidRPr="00521891">
        <w:rPr>
          <w:lang w:val="fr-FR"/>
        </w:rPr>
        <w:t>traite est en cours de mise en place. Celle-ci est en charge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Proposer un plan national de lutte contre la traite tenant compte du volet prévention, poursuite et répression des trafiquants ainsi que l</w:t>
      </w:r>
      <w:r>
        <w:rPr>
          <w:lang w:val="fr-FR"/>
        </w:rPr>
        <w:t>’</w:t>
      </w:r>
      <w:r w:rsidRPr="00521891">
        <w:rPr>
          <w:lang w:val="fr-FR"/>
        </w:rPr>
        <w:t>octroi d</w:t>
      </w:r>
      <w:r>
        <w:rPr>
          <w:lang w:val="fr-FR"/>
        </w:rPr>
        <w:t>’</w:t>
      </w:r>
      <w:r w:rsidRPr="00521891">
        <w:rPr>
          <w:lang w:val="fr-FR"/>
        </w:rPr>
        <w:t>indemnisation des victimes et leur réinsertion;</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Proposer des réformes législatives conformes aux normes internationales;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Élaborer un dispositif de prise en charge pluridisciplinaire.</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2.4</w:t>
      </w:r>
      <w:r w:rsidRPr="00521891">
        <w:rPr>
          <w:lang w:val="fr-FR"/>
        </w:rPr>
        <w:tab/>
        <w:t>Redoubler d</w:t>
      </w:r>
      <w:r>
        <w:rPr>
          <w:lang w:val="fr-FR"/>
        </w:rPr>
        <w:t>’</w:t>
      </w:r>
      <w:r w:rsidRPr="00521891">
        <w:rPr>
          <w:lang w:val="fr-FR"/>
        </w:rPr>
        <w:t>effort</w:t>
      </w:r>
      <w:r>
        <w:rPr>
          <w:lang w:val="fr-FR"/>
        </w:rPr>
        <w:t>s</w:t>
      </w:r>
      <w:r w:rsidRPr="00521891">
        <w:rPr>
          <w:lang w:val="fr-FR"/>
        </w:rPr>
        <w:t xml:space="preserve"> pour améliorer la situation économique des femmes</w:t>
      </w:r>
      <w:r>
        <w:rPr>
          <w:lang w:val="fr-FR"/>
        </w:rPr>
        <w:t>,</w:t>
      </w:r>
      <w:r w:rsidRPr="00521891">
        <w:rPr>
          <w:lang w:val="fr-FR"/>
        </w:rPr>
        <w:t xml:space="preserve"> </w:t>
      </w:r>
      <w:r w:rsidRPr="00521891">
        <w:rPr>
          <w:lang w:val="fr-FR"/>
        </w:rPr>
        <w:br/>
        <w:t xml:space="preserve">en particulier des filles qui ont atteint </w:t>
      </w:r>
      <w:r>
        <w:rPr>
          <w:lang w:val="fr-FR"/>
        </w:rPr>
        <w:t>l’</w:t>
      </w:r>
      <w:r w:rsidRPr="00521891">
        <w:rPr>
          <w:lang w:val="fr-FR"/>
        </w:rPr>
        <w:t>âge de puberté</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En vue d</w:t>
      </w:r>
      <w:r>
        <w:rPr>
          <w:lang w:val="fr-FR"/>
        </w:rPr>
        <w:t>’</w:t>
      </w:r>
      <w:r w:rsidRPr="00521891">
        <w:rPr>
          <w:lang w:val="fr-FR"/>
        </w:rPr>
        <w:t>éliminer la vulnérabilité des filles en âge de puberté et des femmes à l</w:t>
      </w:r>
      <w:r>
        <w:rPr>
          <w:lang w:val="fr-FR"/>
        </w:rPr>
        <w:t>’</w:t>
      </w:r>
      <w:r w:rsidRPr="00521891">
        <w:rPr>
          <w:lang w:val="fr-FR"/>
        </w:rPr>
        <w:t>exploitation et à la traite, des mesures ont été prises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w:t>
      </w:r>
      <w:r>
        <w:rPr>
          <w:lang w:val="fr-FR"/>
        </w:rPr>
        <w:t>’</w:t>
      </w:r>
      <w:r w:rsidRPr="00521891">
        <w:rPr>
          <w:lang w:val="fr-FR"/>
        </w:rPr>
        <w:t>encouragement des parents à scolariser leurs filles par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w:t>
      </w:r>
      <w:r>
        <w:rPr>
          <w:lang w:val="fr-FR"/>
        </w:rPr>
        <w:t>’</w:t>
      </w:r>
      <w:r w:rsidRPr="00521891">
        <w:rPr>
          <w:lang w:val="fr-FR"/>
        </w:rPr>
        <w:t>allégement des charges parentales d</w:t>
      </w:r>
      <w:r>
        <w:rPr>
          <w:lang w:val="fr-FR"/>
        </w:rPr>
        <w:t>’éducation;</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distribution de kits scolaires (sac à dos, cahiers, stylos) pour</w:t>
      </w:r>
      <w:r>
        <w:rPr>
          <w:lang w:val="fr-FR"/>
        </w:rPr>
        <w:t xml:space="preserve"> les élèves du primaire;</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di</w:t>
      </w:r>
      <w:r>
        <w:rPr>
          <w:lang w:val="fr-FR"/>
        </w:rPr>
        <w:t>stribution de manuels scolaires;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poursuite de l</w:t>
      </w:r>
      <w:r>
        <w:rPr>
          <w:lang w:val="fr-FR"/>
        </w:rPr>
        <w:t>’</w:t>
      </w:r>
      <w:r w:rsidRPr="00521891">
        <w:rPr>
          <w:lang w:val="fr-FR"/>
        </w:rPr>
        <w:t>exonération des frais d</w:t>
      </w:r>
      <w:r>
        <w:rPr>
          <w:lang w:val="fr-FR"/>
        </w:rPr>
        <w:t>’</w:t>
      </w:r>
      <w:r w:rsidRPr="00521891">
        <w:rPr>
          <w:lang w:val="fr-FR"/>
        </w:rPr>
        <w:t>ins</w:t>
      </w:r>
      <w:r>
        <w:rPr>
          <w:lang w:val="fr-FR"/>
        </w:rPr>
        <w:t>cription pour le cycle primaire;</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sidRPr="00521891">
        <w:rPr>
          <w:lang w:val="fr-FR"/>
        </w:rPr>
        <w:tab/>
        <w:t>–</w:t>
      </w:r>
      <w:r w:rsidRPr="00521891">
        <w:rPr>
          <w:lang w:val="fr-FR"/>
        </w:rPr>
        <w:tab/>
        <w:t>La dotation de caisse école aux écoles publiques à raison de 3 000 ariary</w:t>
      </w:r>
      <w:r>
        <w:rPr>
          <w:lang w:val="fr-FR"/>
        </w:rPr>
        <w:t xml:space="preserve"> par élève par an;</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dotation d</w:t>
      </w:r>
      <w:r>
        <w:rPr>
          <w:lang w:val="fr-FR"/>
        </w:rPr>
        <w:t>’</w:t>
      </w:r>
      <w:r w:rsidRPr="00521891">
        <w:rPr>
          <w:lang w:val="fr-FR"/>
        </w:rPr>
        <w:t>une subvention annuelle aux établissements privés et aux enseignants des écoles privées. Pour cette année 2013, il est prévu un montant de 3 532 700 000 ariary à titre de subvention au secteur privé à raison de 27 000 ariary par an par enseignant et de 30 000 ariary par mois pendant neuf</w:t>
      </w:r>
      <w:r>
        <w:rPr>
          <w:lang w:val="fr-FR"/>
        </w:rPr>
        <w:t xml:space="preserve"> mois;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La réinsertion en milieu scolaire des enfants de rue de 10 à 15 ans a pu également avoir lieu grâce au programme d</w:t>
      </w:r>
      <w:r>
        <w:rPr>
          <w:lang w:val="fr-FR"/>
        </w:rPr>
        <w:t>’</w:t>
      </w:r>
      <w:r w:rsidRPr="00521891">
        <w:rPr>
          <w:lang w:val="fr-FR"/>
        </w:rPr>
        <w:t>action scolaire d</w:t>
      </w:r>
      <w:r>
        <w:rPr>
          <w:lang w:val="fr-FR"/>
        </w:rPr>
        <w:t>’</w:t>
      </w:r>
      <w:r w:rsidRPr="00521891">
        <w:rPr>
          <w:lang w:val="fr-FR"/>
        </w:rPr>
        <w:t>appoint pour malagasy adolescent (ASAMA)</w:t>
      </w:r>
      <w:r>
        <w:rPr>
          <w:lang w:val="fr-FR"/>
        </w:rPr>
        <w:t>,</w:t>
      </w:r>
      <w:r w:rsidRPr="00521891">
        <w:rPr>
          <w:lang w:val="fr-FR"/>
        </w:rPr>
        <w:t xml:space="preserve"> lequel consiste à faire bénéficier ces derniers d</w:t>
      </w:r>
      <w:r>
        <w:rPr>
          <w:lang w:val="fr-FR"/>
        </w:rPr>
        <w:t>’</w:t>
      </w:r>
      <w:r w:rsidRPr="00521891">
        <w:rPr>
          <w:lang w:val="fr-FR"/>
        </w:rPr>
        <w:t>un enseignement de cycle court de 10 mois leur permettant d</w:t>
      </w:r>
      <w:r>
        <w:rPr>
          <w:lang w:val="fr-FR"/>
        </w:rPr>
        <w:t>’</w:t>
      </w:r>
      <w:r w:rsidRPr="00521891">
        <w:rPr>
          <w:lang w:val="fr-FR"/>
        </w:rPr>
        <w:t>accéder aux examens publics CEPE. Les enfants se trouvant</w:t>
      </w:r>
      <w:r>
        <w:rPr>
          <w:lang w:val="fr-FR"/>
        </w:rPr>
        <w:t xml:space="preserve"> dans la même situation entre 7 et </w:t>
      </w:r>
      <w:r w:rsidRPr="00521891">
        <w:rPr>
          <w:lang w:val="fr-FR"/>
        </w:rPr>
        <w:t>10 ans bénéficient d</w:t>
      </w:r>
      <w:r>
        <w:rPr>
          <w:lang w:val="fr-FR"/>
        </w:rPr>
        <w:t>’</w:t>
      </w:r>
      <w:r w:rsidRPr="00521891">
        <w:rPr>
          <w:lang w:val="fr-FR"/>
        </w:rPr>
        <w:t>un programme d</w:t>
      </w:r>
      <w:r>
        <w:rPr>
          <w:lang w:val="fr-FR"/>
        </w:rPr>
        <w:t>’</w:t>
      </w:r>
      <w:r w:rsidRPr="00521891">
        <w:rPr>
          <w:lang w:val="fr-FR"/>
        </w:rPr>
        <w:t>alphabétisation et de réinsertion scolaire suivant leur âge et leur niveau. Les frais de scolarité dans le cadre de cette réinsertion sont pris en charge par des ONG</w:t>
      </w:r>
      <w:r>
        <w:rPr>
          <w:lang w:val="fr-FR"/>
        </w:rPr>
        <w:t>, dont le Groupe d</w:t>
      </w:r>
      <w:r w:rsidRPr="00521891">
        <w:rPr>
          <w:lang w:val="fr-FR"/>
        </w:rPr>
        <w:t>éveloppement devenu ECPAT-Madagascar.</w:t>
      </w:r>
    </w:p>
    <w:p w:rsidR="00C06068" w:rsidRPr="00521891" w:rsidRDefault="00C06068" w:rsidP="00C06068">
      <w:pPr>
        <w:pStyle w:val="SingleTxt"/>
        <w:numPr>
          <w:ilvl w:val="0"/>
          <w:numId w:val="10"/>
        </w:numPr>
        <w:rPr>
          <w:lang w:val="fr-FR"/>
        </w:rPr>
      </w:pPr>
      <w:r w:rsidRPr="00521891">
        <w:rPr>
          <w:lang w:val="fr-FR"/>
        </w:rPr>
        <w:t>Par ailleurs en 2012, en partenariat avec l</w:t>
      </w:r>
      <w:r>
        <w:rPr>
          <w:lang w:val="fr-FR"/>
        </w:rPr>
        <w:t>’</w:t>
      </w:r>
      <w:r w:rsidRPr="00521891">
        <w:rPr>
          <w:lang w:val="fr-FR"/>
        </w:rPr>
        <w:t>ONG Groupe développement, l</w:t>
      </w:r>
      <w:r>
        <w:rPr>
          <w:lang w:val="fr-FR"/>
        </w:rPr>
        <w:t>’</w:t>
      </w:r>
      <w:r w:rsidRPr="00521891">
        <w:rPr>
          <w:lang w:val="fr-FR"/>
        </w:rPr>
        <w:t>OEMC a procédé à la formation de 200 enseignants de la capitale et de Mahajanga sur l</w:t>
      </w:r>
      <w:r>
        <w:rPr>
          <w:lang w:val="fr-FR"/>
        </w:rPr>
        <w:t>’</w:t>
      </w:r>
      <w:r w:rsidRPr="00521891">
        <w:rPr>
          <w:lang w:val="fr-FR"/>
        </w:rPr>
        <w:t>autoprotection des enfants contre l</w:t>
      </w:r>
      <w:r>
        <w:rPr>
          <w:lang w:val="fr-FR"/>
        </w:rPr>
        <w:t>’</w:t>
      </w:r>
      <w:r w:rsidRPr="00521891">
        <w:rPr>
          <w:lang w:val="fr-FR"/>
        </w:rPr>
        <w:t>exploitation sexuelle. Ces enseignants ont par la suite sensibilisé 3 000 élèves sur cette thématique.</w:t>
      </w:r>
    </w:p>
    <w:p w:rsidR="00C06068" w:rsidRPr="00521891" w:rsidRDefault="00C06068" w:rsidP="00C06068">
      <w:pPr>
        <w:pStyle w:val="SingleTxt"/>
        <w:numPr>
          <w:ilvl w:val="0"/>
          <w:numId w:val="10"/>
        </w:numPr>
        <w:rPr>
          <w:lang w:val="fr-FR"/>
        </w:rPr>
      </w:pPr>
      <w:r w:rsidRPr="00521891">
        <w:rPr>
          <w:lang w:val="fr-FR"/>
        </w:rPr>
        <w:t>En outre, en 2013</w:t>
      </w:r>
      <w:r>
        <w:rPr>
          <w:lang w:val="fr-FR"/>
        </w:rPr>
        <w:t>,</w:t>
      </w:r>
      <w:r w:rsidRPr="00521891">
        <w:rPr>
          <w:lang w:val="fr-FR"/>
        </w:rPr>
        <w:t xml:space="preserve"> dans le cadre de la mise en œuvre du programme BABEO financé par l</w:t>
      </w:r>
      <w:r>
        <w:rPr>
          <w:lang w:val="fr-FR"/>
        </w:rPr>
        <w:t>’</w:t>
      </w:r>
      <w:r w:rsidRPr="00521891">
        <w:rPr>
          <w:lang w:val="fr-FR"/>
        </w:rPr>
        <w:t>Union Européenne, 80 femmes ont été formées sur la lutte contre la violence à l</w:t>
      </w:r>
      <w:r>
        <w:rPr>
          <w:lang w:val="fr-FR"/>
        </w:rPr>
        <w:t>’</w:t>
      </w:r>
      <w:r w:rsidRPr="00521891">
        <w:rPr>
          <w:lang w:val="fr-FR"/>
        </w:rPr>
        <w:t>égard des femmes par l</w:t>
      </w:r>
      <w:r>
        <w:rPr>
          <w:lang w:val="fr-FR"/>
        </w:rPr>
        <w:t>’</w:t>
      </w:r>
      <w:r w:rsidRPr="00521891">
        <w:rPr>
          <w:lang w:val="fr-FR"/>
        </w:rPr>
        <w:t>OEMC.</w:t>
      </w:r>
    </w:p>
    <w:p w:rsidR="00C06068" w:rsidRPr="00521891" w:rsidRDefault="00C06068" w:rsidP="00C06068">
      <w:pPr>
        <w:pStyle w:val="SingleTxt"/>
        <w:numPr>
          <w:ilvl w:val="0"/>
          <w:numId w:val="10"/>
        </w:numPr>
        <w:rPr>
          <w:lang w:val="fr-FR"/>
        </w:rPr>
      </w:pPr>
      <w:r w:rsidRPr="00521891">
        <w:rPr>
          <w:lang w:val="fr-FR"/>
        </w:rPr>
        <w:t>Afin que les femmes puissent avoir une autonomie économique leur permettant d</w:t>
      </w:r>
      <w:r>
        <w:rPr>
          <w:lang w:val="fr-FR"/>
        </w:rPr>
        <w:t>’</w:t>
      </w:r>
      <w:r w:rsidRPr="00521891">
        <w:rPr>
          <w:lang w:val="fr-FR"/>
        </w:rPr>
        <w:t>échapper à la traite et à l</w:t>
      </w:r>
      <w:r>
        <w:rPr>
          <w:lang w:val="fr-FR"/>
        </w:rPr>
        <w:t>’</w:t>
      </w:r>
      <w:r w:rsidRPr="00521891">
        <w:rPr>
          <w:lang w:val="fr-FR"/>
        </w:rPr>
        <w:t>exploitation sexuelle et afin de maintenir la scolarisation de leurs filles en âge de puberté, des associations et groupements de femmes ont été outillés par le PNUD dans le cadre de la mise en œuvre du programme participation accrue des femmes à travers l</w:t>
      </w:r>
      <w:r>
        <w:rPr>
          <w:lang w:val="fr-FR"/>
        </w:rPr>
        <w:t>’</w:t>
      </w:r>
      <w:r w:rsidRPr="00521891">
        <w:rPr>
          <w:lang w:val="fr-FR"/>
        </w:rPr>
        <w:t>amélioration de l</w:t>
      </w:r>
      <w:r>
        <w:rPr>
          <w:lang w:val="fr-FR"/>
        </w:rPr>
        <w:t>’</w:t>
      </w:r>
      <w:r w:rsidRPr="00521891">
        <w:rPr>
          <w:lang w:val="fr-FR"/>
        </w:rPr>
        <w:t>exercice de leurs droits civils et économiques. Trois zones d</w:t>
      </w:r>
      <w:r>
        <w:rPr>
          <w:lang w:val="fr-FR"/>
        </w:rPr>
        <w:t>’</w:t>
      </w:r>
      <w:r w:rsidRPr="00521891">
        <w:rPr>
          <w:lang w:val="fr-FR"/>
        </w:rPr>
        <w:t>intervention ont été ciblées</w:t>
      </w:r>
      <w:r>
        <w:rPr>
          <w:lang w:val="fr-FR"/>
        </w:rPr>
        <w:t>,</w:t>
      </w:r>
      <w:r w:rsidRPr="00521891">
        <w:rPr>
          <w:lang w:val="fr-FR"/>
        </w:rPr>
        <w:t xml:space="preserve"> à savoir Farafangana, Manakara et Mananjary.</w:t>
      </w:r>
    </w:p>
    <w:p w:rsidR="00C06068" w:rsidRPr="00521891" w:rsidRDefault="00C06068" w:rsidP="00C06068">
      <w:pPr>
        <w:pStyle w:val="SingleTxt"/>
        <w:spacing w:after="0" w:line="120" w:lineRule="exact"/>
        <w:rPr>
          <w:b/>
          <w:sz w:val="10"/>
          <w:lang w:val="fr-FR"/>
        </w:rPr>
      </w:pPr>
      <w:bookmarkStart w:id="55" w:name="_Toc377129292"/>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sidRPr="00521891">
        <w:rPr>
          <w:b w:val="0"/>
          <w:lang w:val="fr-FR"/>
        </w:rPr>
        <w:t xml:space="preserve">Tableau </w:t>
      </w:r>
      <w:r>
        <w:rPr>
          <w:b w:val="0"/>
          <w:lang w:val="fr-FR"/>
        </w:rPr>
        <w:t>6</w:t>
      </w:r>
      <w:r>
        <w:rPr>
          <w:b w:val="0"/>
          <w:lang w:val="fr-FR"/>
        </w:rPr>
        <w:br/>
      </w:r>
      <w:r w:rsidRPr="00521891">
        <w:rPr>
          <w:lang w:val="fr-FR"/>
        </w:rPr>
        <w:t>Localisation des bénéficiaires du programme</w:t>
      </w:r>
      <w:bookmarkEnd w:id="55"/>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530"/>
        <w:gridCol w:w="2895"/>
        <w:gridCol w:w="2895"/>
      </w:tblGrid>
      <w:tr w:rsidR="00C06068" w:rsidRPr="00521891" w:rsidTr="007F3574">
        <w:tblPrEx>
          <w:tblCellMar>
            <w:top w:w="0" w:type="dxa"/>
            <w:bottom w:w="0" w:type="dxa"/>
          </w:tblCellMar>
        </w:tblPrEx>
        <w:trPr>
          <w:tblHeader/>
        </w:trPr>
        <w:tc>
          <w:tcPr>
            <w:tcW w:w="15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Zone d</w:t>
            </w:r>
            <w:r>
              <w:rPr>
                <w:i/>
                <w:sz w:val="14"/>
                <w:lang w:val="fr-FR"/>
              </w:rPr>
              <w:t>’</w:t>
            </w:r>
            <w:r w:rsidRPr="00521891">
              <w:rPr>
                <w:i/>
                <w:sz w:val="14"/>
                <w:lang w:val="fr-FR"/>
              </w:rPr>
              <w:t>intervention</w:t>
            </w:r>
          </w:p>
        </w:tc>
        <w:tc>
          <w:tcPr>
            <w:tcW w:w="2895"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Nombre de groupements</w:t>
            </w:r>
            <w:r>
              <w:rPr>
                <w:i/>
                <w:sz w:val="14"/>
                <w:lang w:val="fr-FR"/>
              </w:rPr>
              <w:br/>
            </w:r>
            <w:r w:rsidRPr="00521891">
              <w:rPr>
                <w:i/>
                <w:sz w:val="14"/>
                <w:lang w:val="fr-FR"/>
              </w:rPr>
              <w:t xml:space="preserve"> appuyés</w:t>
            </w:r>
            <w:r>
              <w:rPr>
                <w:i/>
                <w:sz w:val="14"/>
                <w:lang w:val="fr-FR"/>
              </w:rPr>
              <w:t xml:space="preserve"> </w:t>
            </w:r>
            <w:r w:rsidRPr="00521891">
              <w:rPr>
                <w:i/>
                <w:sz w:val="14"/>
                <w:lang w:val="fr-FR"/>
              </w:rPr>
              <w:t xml:space="preserve">par le projet </w:t>
            </w:r>
          </w:p>
        </w:tc>
        <w:tc>
          <w:tcPr>
            <w:tcW w:w="2895"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Nombre des </w:t>
            </w:r>
            <w:r>
              <w:rPr>
                <w:i/>
                <w:sz w:val="14"/>
                <w:lang w:val="fr-FR"/>
              </w:rPr>
              <w:t>groupements</w:t>
            </w:r>
            <w:r w:rsidRPr="00521891">
              <w:rPr>
                <w:i/>
                <w:sz w:val="14"/>
                <w:lang w:val="fr-FR"/>
              </w:rPr>
              <w:t xml:space="preserve"> </w:t>
            </w:r>
            <w:r>
              <w:rPr>
                <w:i/>
                <w:sz w:val="14"/>
                <w:lang w:val="fr-FR"/>
              </w:rPr>
              <w:br/>
            </w:r>
            <w:r w:rsidRPr="00521891">
              <w:rPr>
                <w:i/>
                <w:sz w:val="14"/>
                <w:lang w:val="fr-FR"/>
              </w:rPr>
              <w:t>utilisant</w:t>
            </w:r>
            <w:r>
              <w:rPr>
                <w:i/>
                <w:sz w:val="14"/>
                <w:lang w:val="fr-FR"/>
              </w:rPr>
              <w:t xml:space="preserve"> l</w:t>
            </w:r>
            <w:r w:rsidRPr="00521891">
              <w:rPr>
                <w:i/>
                <w:sz w:val="14"/>
                <w:lang w:val="fr-FR"/>
              </w:rPr>
              <w:t xml:space="preserve">es techniques </w:t>
            </w:r>
            <w:r>
              <w:rPr>
                <w:i/>
                <w:sz w:val="14"/>
                <w:lang w:val="fr-FR"/>
              </w:rPr>
              <w:br/>
            </w:r>
            <w:r w:rsidRPr="00521891">
              <w:rPr>
                <w:i/>
                <w:sz w:val="14"/>
                <w:lang w:val="fr-FR"/>
              </w:rPr>
              <w:t>de mobilisation communautaires</w:t>
            </w:r>
          </w:p>
        </w:tc>
      </w:tr>
      <w:tr w:rsidR="00C06068" w:rsidRPr="00521891" w:rsidTr="007F3574">
        <w:tblPrEx>
          <w:tblCellMar>
            <w:top w:w="0" w:type="dxa"/>
            <w:bottom w:w="0" w:type="dxa"/>
          </w:tblCellMar>
        </w:tblPrEx>
        <w:trPr>
          <w:trHeight w:hRule="exact" w:val="115"/>
          <w:tblHeader/>
        </w:trPr>
        <w:tc>
          <w:tcPr>
            <w:tcW w:w="153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2895"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2895"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5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Farafangana</w:t>
            </w:r>
          </w:p>
        </w:tc>
        <w:tc>
          <w:tcPr>
            <w:tcW w:w="2895"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80</w:t>
            </w:r>
          </w:p>
        </w:tc>
        <w:tc>
          <w:tcPr>
            <w:tcW w:w="2895"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75</w:t>
            </w:r>
          </w:p>
        </w:tc>
      </w:tr>
      <w:tr w:rsidR="00C06068" w:rsidRPr="00521891" w:rsidTr="007F3574">
        <w:tblPrEx>
          <w:tblCellMar>
            <w:top w:w="0" w:type="dxa"/>
            <w:bottom w:w="0" w:type="dxa"/>
          </w:tblCellMar>
        </w:tblPrEx>
        <w:tc>
          <w:tcPr>
            <w:tcW w:w="153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Manakara</w:t>
            </w:r>
          </w:p>
        </w:tc>
        <w:tc>
          <w:tcPr>
            <w:tcW w:w="2895"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58</w:t>
            </w:r>
          </w:p>
        </w:tc>
        <w:tc>
          <w:tcPr>
            <w:tcW w:w="2895"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52</w:t>
            </w:r>
          </w:p>
        </w:tc>
      </w:tr>
      <w:tr w:rsidR="00C06068" w:rsidRPr="00521891" w:rsidTr="007F3574">
        <w:tblPrEx>
          <w:tblCellMar>
            <w:top w:w="0" w:type="dxa"/>
            <w:bottom w:w="0" w:type="dxa"/>
          </w:tblCellMar>
        </w:tblPrEx>
        <w:tc>
          <w:tcPr>
            <w:tcW w:w="1530" w:type="dxa"/>
            <w:tcBorders>
              <w:bottom w:val="single" w:sz="4"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521891">
              <w:rPr>
                <w:sz w:val="17"/>
                <w:lang w:val="fr-FR"/>
              </w:rPr>
              <w:t>Mananjary</w:t>
            </w:r>
          </w:p>
        </w:tc>
        <w:tc>
          <w:tcPr>
            <w:tcW w:w="2895"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56</w:t>
            </w:r>
          </w:p>
        </w:tc>
        <w:tc>
          <w:tcPr>
            <w:tcW w:w="2895"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51</w:t>
            </w:r>
          </w:p>
        </w:tc>
      </w:tr>
      <w:tr w:rsidR="00C06068" w:rsidRPr="00521891" w:rsidTr="007F3574">
        <w:tblPrEx>
          <w:tblCellMar>
            <w:top w:w="0" w:type="dxa"/>
            <w:bottom w:w="0" w:type="dxa"/>
          </w:tblCellMar>
        </w:tblPrEx>
        <w:tc>
          <w:tcPr>
            <w:tcW w:w="1530" w:type="dxa"/>
            <w:tcBorders>
              <w:top w:val="single" w:sz="4" w:space="0" w:color="auto"/>
              <w:bottom w:val="single" w:sz="12"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sidRPr="00521891">
              <w:rPr>
                <w:b/>
                <w:sz w:val="17"/>
                <w:lang w:val="fr-FR"/>
              </w:rPr>
              <w:tab/>
              <w:t>Total</w:t>
            </w:r>
          </w:p>
        </w:tc>
        <w:tc>
          <w:tcPr>
            <w:tcW w:w="2895"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194</w:t>
            </w:r>
          </w:p>
        </w:tc>
        <w:tc>
          <w:tcPr>
            <w:tcW w:w="2895"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178</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Rapport d</w:t>
      </w:r>
      <w:r>
        <w:rPr>
          <w:lang w:val="fr-FR"/>
        </w:rPr>
        <w:t>’</w:t>
      </w:r>
      <w:r w:rsidRPr="00521891">
        <w:rPr>
          <w:lang w:val="fr-FR"/>
        </w:rPr>
        <w:t>activités du projet appuyé par le PNUD, juillet 2013.</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Les femmes au sein de chaque groupement ont pu bénéficier d</w:t>
      </w:r>
      <w:r>
        <w:rPr>
          <w:lang w:val="fr-FR"/>
        </w:rPr>
        <w:t>’</w:t>
      </w:r>
      <w:r w:rsidRPr="00521891">
        <w:rPr>
          <w:lang w:val="fr-FR"/>
        </w:rPr>
        <w:t>un appui leur ayant permis d</w:t>
      </w:r>
      <w:r>
        <w:rPr>
          <w:lang w:val="fr-FR"/>
        </w:rPr>
        <w:t>’exerc</w:t>
      </w:r>
      <w:r w:rsidRPr="00521891">
        <w:rPr>
          <w:lang w:val="fr-FR"/>
        </w:rPr>
        <w:t>e</w:t>
      </w:r>
      <w:r>
        <w:rPr>
          <w:lang w:val="fr-FR"/>
        </w:rPr>
        <w:t>r</w:t>
      </w:r>
      <w:r w:rsidRPr="00521891">
        <w:rPr>
          <w:lang w:val="fr-FR"/>
        </w:rPr>
        <w:t xml:space="preserve"> des petits métiers tels que l</w:t>
      </w:r>
      <w:r>
        <w:rPr>
          <w:lang w:val="fr-FR"/>
        </w:rPr>
        <w:t>’</w:t>
      </w:r>
      <w:r w:rsidRPr="00521891">
        <w:rPr>
          <w:lang w:val="fr-FR"/>
        </w:rPr>
        <w:t>élevage de porcins, la riziculture, l</w:t>
      </w:r>
      <w:r>
        <w:rPr>
          <w:lang w:val="fr-FR"/>
        </w:rPr>
        <w:t>’</w:t>
      </w:r>
      <w:r w:rsidRPr="00521891">
        <w:rPr>
          <w:lang w:val="fr-FR"/>
        </w:rPr>
        <w:t>élevage de poulet</w:t>
      </w:r>
      <w:r>
        <w:rPr>
          <w:lang w:val="fr-FR"/>
        </w:rPr>
        <w:t xml:space="preserve">s, la pisciculture. </w:t>
      </w:r>
      <w:r w:rsidRPr="00521891">
        <w:rPr>
          <w:lang w:val="fr-FR"/>
        </w:rPr>
        <w:t>Les revenus obtenus leur ont permis de maintenir leurs enfants en milieu scolaire et d</w:t>
      </w:r>
      <w:r>
        <w:rPr>
          <w:lang w:val="fr-FR"/>
        </w:rPr>
        <w:t>’</w:t>
      </w:r>
      <w:r w:rsidRPr="00521891">
        <w:rPr>
          <w:lang w:val="fr-FR"/>
        </w:rPr>
        <w:t>éviter d</w:t>
      </w:r>
      <w:r>
        <w:rPr>
          <w:lang w:val="fr-FR"/>
        </w:rPr>
        <w:t>’</w:t>
      </w:r>
      <w:r w:rsidRPr="00521891">
        <w:rPr>
          <w:lang w:val="fr-FR"/>
        </w:rPr>
        <w:t>être exposés à la traite et l</w:t>
      </w:r>
      <w:r>
        <w:rPr>
          <w:lang w:val="fr-FR"/>
        </w:rPr>
        <w:t>’</w:t>
      </w:r>
      <w:r w:rsidRPr="00521891">
        <w:rPr>
          <w:lang w:val="fr-FR"/>
        </w:rPr>
        <w:t>exploitation sexuelle.</w:t>
      </w:r>
    </w:p>
    <w:p w:rsidR="00C06068" w:rsidRPr="00521891" w:rsidRDefault="00C06068" w:rsidP="00C06068">
      <w:pPr>
        <w:pStyle w:val="SingleTxt"/>
        <w:numPr>
          <w:ilvl w:val="0"/>
          <w:numId w:val="10"/>
        </w:numPr>
        <w:rPr>
          <w:lang w:val="fr-FR"/>
        </w:rPr>
      </w:pPr>
      <w:r w:rsidRPr="00521891">
        <w:rPr>
          <w:lang w:val="fr-FR"/>
        </w:rPr>
        <w:t>Enfin, dans 12 régions de l</w:t>
      </w:r>
      <w:r>
        <w:rPr>
          <w:lang w:val="fr-FR"/>
        </w:rPr>
        <w:t>’</w:t>
      </w:r>
      <w:r w:rsidRPr="00521891">
        <w:rPr>
          <w:lang w:val="fr-FR"/>
        </w:rPr>
        <w:t>île, des femmes ont pu bénéficier d</w:t>
      </w:r>
      <w:r>
        <w:rPr>
          <w:lang w:val="fr-FR"/>
        </w:rPr>
        <w:t>’</w:t>
      </w:r>
      <w:r w:rsidRPr="00521891">
        <w:rPr>
          <w:lang w:val="fr-FR"/>
        </w:rPr>
        <w:t>une formation sur l</w:t>
      </w:r>
      <w:r>
        <w:rPr>
          <w:lang w:val="fr-FR"/>
        </w:rPr>
        <w:t>’</w:t>
      </w:r>
      <w:r w:rsidRPr="00521891">
        <w:rPr>
          <w:lang w:val="fr-FR"/>
        </w:rPr>
        <w:t>agriculture, l</w:t>
      </w:r>
      <w:r>
        <w:rPr>
          <w:lang w:val="fr-FR"/>
        </w:rPr>
        <w:t>’</w:t>
      </w:r>
      <w:r w:rsidRPr="00521891">
        <w:rPr>
          <w:lang w:val="fr-FR"/>
        </w:rPr>
        <w:t>élevage et l</w:t>
      </w:r>
      <w:r>
        <w:rPr>
          <w:lang w:val="fr-FR"/>
        </w:rPr>
        <w:t>’</w:t>
      </w:r>
      <w:r w:rsidRPr="00521891">
        <w:rPr>
          <w:lang w:val="fr-FR"/>
        </w:rPr>
        <w:t>artisanat dispensée par l</w:t>
      </w:r>
      <w:r>
        <w:rPr>
          <w:lang w:val="fr-FR"/>
        </w:rPr>
        <w:t>’</w:t>
      </w:r>
      <w:r w:rsidRPr="00521891">
        <w:rPr>
          <w:lang w:val="fr-FR"/>
        </w:rPr>
        <w:t>OMEF (Observatoire malgache de l</w:t>
      </w:r>
      <w:r>
        <w:rPr>
          <w:lang w:val="fr-FR"/>
        </w:rPr>
        <w:t>’</w:t>
      </w:r>
      <w:r w:rsidRPr="00521891">
        <w:rPr>
          <w:lang w:val="fr-FR"/>
        </w:rPr>
        <w:t>emploi de la formation professionnelle et entrepreneuriale</w:t>
      </w:r>
      <w:r>
        <w:rPr>
          <w:lang w:val="fr-FR"/>
        </w:rPr>
        <w:t xml:space="preserve">) en fin 2012 </w:t>
      </w:r>
      <w:r w:rsidRPr="00521891">
        <w:rPr>
          <w:lang w:val="fr-FR"/>
        </w:rPr>
        <w:t>début 2013.</w:t>
      </w:r>
    </w:p>
    <w:p w:rsidR="00C06068" w:rsidRPr="00521891" w:rsidRDefault="00C06068" w:rsidP="00C06068">
      <w:pPr>
        <w:pStyle w:val="SingleTxt"/>
        <w:numPr>
          <w:ilvl w:val="0"/>
          <w:numId w:val="10"/>
        </w:numPr>
        <w:rPr>
          <w:lang w:val="fr-FR"/>
        </w:rPr>
      </w:pPr>
      <w:r w:rsidRPr="00521891">
        <w:rPr>
          <w:lang w:val="fr-FR"/>
        </w:rPr>
        <w:t>Cette formation vise à autonomiser les femmes rurales qui ne sont pas encore bénéficiaires de prestation sociale.</w:t>
      </w:r>
    </w:p>
    <w:p w:rsidR="00C06068" w:rsidRPr="00521891" w:rsidRDefault="00C06068" w:rsidP="00C06068">
      <w:pPr>
        <w:pStyle w:val="SingleTxt"/>
        <w:spacing w:after="0" w:line="120" w:lineRule="exact"/>
        <w:rPr>
          <w:b/>
          <w:sz w:val="10"/>
          <w:lang w:val="fr-FR"/>
        </w:rPr>
      </w:pPr>
      <w:bookmarkStart w:id="56" w:name="_Toc377129293"/>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521891">
        <w:rPr>
          <w:b w:val="0"/>
          <w:lang w:val="fr-FR"/>
        </w:rPr>
        <w:tab/>
      </w:r>
      <w:r w:rsidRPr="00521891">
        <w:rPr>
          <w:b w:val="0"/>
          <w:lang w:val="fr-FR"/>
        </w:rPr>
        <w:tab/>
        <w:t xml:space="preserve">Tableau </w:t>
      </w:r>
      <w:r>
        <w:rPr>
          <w:b w:val="0"/>
          <w:lang w:val="fr-FR"/>
        </w:rPr>
        <w:t>7</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Nombre de femmes formées sur l</w:t>
      </w:r>
      <w:r>
        <w:rPr>
          <w:lang w:val="fr-FR"/>
        </w:rPr>
        <w:t>’</w:t>
      </w:r>
      <w:r w:rsidRPr="00521891">
        <w:rPr>
          <w:lang w:val="fr-FR"/>
        </w:rPr>
        <w:t>agriculture, l</w:t>
      </w:r>
      <w:r>
        <w:rPr>
          <w:lang w:val="fr-FR"/>
        </w:rPr>
        <w:t>’</w:t>
      </w:r>
      <w:r w:rsidRPr="00521891">
        <w:rPr>
          <w:lang w:val="fr-FR"/>
        </w:rPr>
        <w:t>élevage et l</w:t>
      </w:r>
      <w:r>
        <w:rPr>
          <w:lang w:val="fr-FR"/>
        </w:rPr>
        <w:t>’</w:t>
      </w:r>
      <w:r w:rsidRPr="00521891">
        <w:rPr>
          <w:lang w:val="fr-FR"/>
        </w:rPr>
        <w:t xml:space="preserve">artisanat </w:t>
      </w:r>
      <w:r w:rsidRPr="00521891">
        <w:rPr>
          <w:lang w:val="fr-FR"/>
        </w:rPr>
        <w:br/>
        <w:t>par l</w:t>
      </w:r>
      <w:r>
        <w:rPr>
          <w:lang w:val="fr-FR"/>
        </w:rPr>
        <w:t>’</w:t>
      </w:r>
      <w:r w:rsidRPr="00521891">
        <w:rPr>
          <w:lang w:val="fr-FR"/>
        </w:rPr>
        <w:t>OMEF</w:t>
      </w:r>
      <w:bookmarkEnd w:id="56"/>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800"/>
        <w:gridCol w:w="1710"/>
        <w:gridCol w:w="1080"/>
        <w:gridCol w:w="1350"/>
        <w:gridCol w:w="1380"/>
      </w:tblGrid>
      <w:tr w:rsidR="00C06068" w:rsidRPr="00521891" w:rsidTr="007F3574">
        <w:tblPrEx>
          <w:tblCellMar>
            <w:top w:w="0" w:type="dxa"/>
            <w:bottom w:w="0" w:type="dxa"/>
          </w:tblCellMar>
        </w:tblPrEx>
        <w:trPr>
          <w:tblHeader/>
        </w:trPr>
        <w:tc>
          <w:tcPr>
            <w:tcW w:w="180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Région</w:t>
            </w:r>
          </w:p>
        </w:tc>
        <w:tc>
          <w:tcPr>
            <w:tcW w:w="171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Formation</w:t>
            </w:r>
          </w:p>
        </w:tc>
        <w:tc>
          <w:tcPr>
            <w:tcW w:w="108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Nombre </w:t>
            </w:r>
            <w:r w:rsidRPr="00521891">
              <w:rPr>
                <w:i/>
                <w:sz w:val="14"/>
                <w:lang w:val="fr-FR"/>
              </w:rPr>
              <w:br/>
              <w:t xml:space="preserve">de participants </w:t>
            </w:r>
          </w:p>
        </w:tc>
        <w:tc>
          <w:tcPr>
            <w:tcW w:w="135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Nombre </w:t>
            </w:r>
            <w:r w:rsidRPr="00521891">
              <w:rPr>
                <w:i/>
                <w:sz w:val="14"/>
                <w:lang w:val="fr-FR"/>
              </w:rPr>
              <w:br/>
              <w:t xml:space="preserve">de femmes formées </w:t>
            </w:r>
          </w:p>
        </w:tc>
        <w:tc>
          <w:tcPr>
            <w:tcW w:w="138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Pourcentage </w:t>
            </w:r>
            <w:r w:rsidRPr="00521891">
              <w:rPr>
                <w:i/>
                <w:sz w:val="14"/>
                <w:lang w:val="fr-FR"/>
              </w:rPr>
              <w:br/>
              <w:t xml:space="preserve"> de femmes formées</w:t>
            </w:r>
          </w:p>
        </w:tc>
      </w:tr>
      <w:tr w:rsidR="00C06068" w:rsidRPr="00521891" w:rsidTr="007F3574">
        <w:tblPrEx>
          <w:tblCellMar>
            <w:top w:w="0" w:type="dxa"/>
            <w:bottom w:w="0" w:type="dxa"/>
          </w:tblCellMar>
        </w:tblPrEx>
        <w:trPr>
          <w:trHeight w:hRule="exact" w:val="115"/>
          <w:tblHeader/>
        </w:trPr>
        <w:tc>
          <w:tcPr>
            <w:tcW w:w="180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71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08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5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80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Diana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Artisanat</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13</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65,00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Atsimo Andrefana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Vache laitière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Vatovavy Fitovinany</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Huile de palme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Boeny</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Fumage de poisson</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13</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30,77</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Haute Matsiatra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Manioc</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10</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50,00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Amoron</w:t>
            </w:r>
            <w:r>
              <w:rPr>
                <w:sz w:val="17"/>
                <w:lang w:val="fr-FR"/>
              </w:rPr>
              <w:t>’</w:t>
            </w:r>
            <w:r w:rsidRPr="00521891">
              <w:rPr>
                <w:sz w:val="17"/>
                <w:lang w:val="fr-FR"/>
              </w:rPr>
              <w:t>i Mania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Apiculture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7</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Atsimo Atsinanana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Briqueterie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23</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8,69</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Alaotra Mangoro</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Pisciculture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3</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Analanjirofo</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Girofle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15</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6,66</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Bongolava</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Maïs</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9</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45,00</w:t>
            </w:r>
          </w:p>
        </w:tc>
      </w:tr>
      <w:tr w:rsidR="00C06068" w:rsidRPr="00521891" w:rsidTr="007F3574">
        <w:tblPrEx>
          <w:tblCellMar>
            <w:top w:w="0" w:type="dxa"/>
            <w:bottom w:w="0" w:type="dxa"/>
          </w:tblCellMar>
        </w:tblPrEx>
        <w:tc>
          <w:tcPr>
            <w:tcW w:w="180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Itasy</w:t>
            </w:r>
          </w:p>
        </w:tc>
        <w:tc>
          <w:tcPr>
            <w:tcW w:w="171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Pisc</w:t>
            </w:r>
            <w:r>
              <w:rPr>
                <w:sz w:val="17"/>
                <w:lang w:val="fr-FR"/>
              </w:rPr>
              <w:t>ic</w:t>
            </w:r>
            <w:r w:rsidRPr="00521891">
              <w:rPr>
                <w:sz w:val="17"/>
                <w:lang w:val="fr-FR"/>
              </w:rPr>
              <w:t>ulture</w:t>
            </w:r>
          </w:p>
        </w:tc>
        <w:tc>
          <w:tcPr>
            <w:tcW w:w="10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w:t>
            </w:r>
          </w:p>
        </w:tc>
        <w:tc>
          <w:tcPr>
            <w:tcW w:w="138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10,00</w:t>
            </w:r>
          </w:p>
        </w:tc>
      </w:tr>
      <w:tr w:rsidR="00C06068" w:rsidRPr="00521891" w:rsidTr="007F3574">
        <w:tblPrEx>
          <w:tblCellMar>
            <w:top w:w="0" w:type="dxa"/>
            <w:bottom w:w="0" w:type="dxa"/>
          </w:tblCellMar>
        </w:tblPrEx>
        <w:tc>
          <w:tcPr>
            <w:tcW w:w="180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Atsinanana</w:t>
            </w:r>
          </w:p>
        </w:tc>
        <w:tc>
          <w:tcPr>
            <w:tcW w:w="171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Pate de banane</w:t>
            </w:r>
          </w:p>
        </w:tc>
        <w:tc>
          <w:tcPr>
            <w:tcW w:w="108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20</w:t>
            </w:r>
          </w:p>
        </w:tc>
        <w:tc>
          <w:tcPr>
            <w:tcW w:w="135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0</w:t>
            </w:r>
          </w:p>
        </w:tc>
        <w:tc>
          <w:tcPr>
            <w:tcW w:w="1380" w:type="dxa"/>
            <w:tcBorders>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0,00</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Données statistiques de l</w:t>
      </w:r>
      <w:r>
        <w:rPr>
          <w:lang w:val="fr-FR"/>
        </w:rPr>
        <w:t>’</w:t>
      </w:r>
      <w:r w:rsidRPr="00521891">
        <w:rPr>
          <w:lang w:val="fr-FR"/>
        </w:rPr>
        <w:t>OMEF-Direction d</w:t>
      </w:r>
      <w:r>
        <w:rPr>
          <w:lang w:val="fr-FR"/>
        </w:rPr>
        <w:t>’</w:t>
      </w:r>
      <w:r w:rsidRPr="00521891">
        <w:rPr>
          <w:lang w:val="fr-FR"/>
        </w:rPr>
        <w:t>appui à la promotion de l</w:t>
      </w:r>
      <w:r>
        <w:rPr>
          <w:lang w:val="fr-FR"/>
        </w:rPr>
        <w:t>’</w:t>
      </w:r>
      <w:r w:rsidRPr="00521891">
        <w:rPr>
          <w:lang w:val="fr-FR"/>
        </w:rPr>
        <w:t>emploi.</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2E382B"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2.5</w:t>
      </w:r>
      <w:r w:rsidRPr="00521891">
        <w:rPr>
          <w:lang w:val="fr-FR"/>
        </w:rPr>
        <w:tab/>
        <w:t>Intensification des efforts pour l</w:t>
      </w:r>
      <w:r>
        <w:rPr>
          <w:lang w:val="fr-FR"/>
        </w:rPr>
        <w:t xml:space="preserve">utter contre le tourisme sexuel, </w:t>
      </w:r>
      <w:r>
        <w:rPr>
          <w:lang w:val="fr-FR"/>
        </w:rPr>
        <w:br/>
      </w:r>
      <w:r w:rsidRPr="00521891">
        <w:rPr>
          <w:lang w:val="fr-FR"/>
        </w:rPr>
        <w:t>notamment en coopération avec les pays d</w:t>
      </w:r>
      <w:r>
        <w:rPr>
          <w:lang w:val="fr-FR"/>
        </w:rPr>
        <w:t>’</w:t>
      </w:r>
      <w:r w:rsidRPr="00521891">
        <w:rPr>
          <w:lang w:val="fr-FR"/>
        </w:rPr>
        <w:t>origine des auteurs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loi sur la lutte contre la traite et le tourisme sexuel prévoit une compétence étendue permettant de poursuivre les auteurs où qu</w:t>
      </w:r>
      <w:r>
        <w:rPr>
          <w:lang w:val="fr-FR"/>
        </w:rPr>
        <w:t>’</w:t>
      </w:r>
      <w:r w:rsidRPr="00521891">
        <w:rPr>
          <w:lang w:val="fr-FR"/>
        </w:rPr>
        <w:t>ils se trouvent, d</w:t>
      </w:r>
      <w:r>
        <w:rPr>
          <w:lang w:val="fr-FR"/>
        </w:rPr>
        <w:t>’</w:t>
      </w:r>
      <w:r w:rsidRPr="00521891">
        <w:rPr>
          <w:lang w:val="fr-FR"/>
        </w:rPr>
        <w:t>où l</w:t>
      </w:r>
      <w:r>
        <w:rPr>
          <w:lang w:val="fr-FR"/>
        </w:rPr>
        <w:t>’</w:t>
      </w:r>
      <w:r w:rsidRPr="00521891">
        <w:rPr>
          <w:lang w:val="fr-FR"/>
        </w:rPr>
        <w:t>importance d</w:t>
      </w:r>
      <w:r>
        <w:rPr>
          <w:lang w:val="fr-FR"/>
        </w:rPr>
        <w:t>’</w:t>
      </w:r>
      <w:r w:rsidRPr="00521891">
        <w:rPr>
          <w:lang w:val="fr-FR"/>
        </w:rPr>
        <w:t>une coopération avec les pays d</w:t>
      </w:r>
      <w:r>
        <w:rPr>
          <w:lang w:val="fr-FR"/>
        </w:rPr>
        <w:t>’</w:t>
      </w:r>
      <w:r w:rsidRPr="00521891">
        <w:rPr>
          <w:lang w:val="fr-FR"/>
        </w:rPr>
        <w:t>origine de ces trafiquants.</w:t>
      </w:r>
    </w:p>
    <w:p w:rsidR="00C06068" w:rsidRPr="00521891" w:rsidRDefault="00C06068" w:rsidP="00C06068">
      <w:pPr>
        <w:pStyle w:val="SingleTxt"/>
        <w:spacing w:after="0" w:line="120" w:lineRule="exact"/>
        <w:rPr>
          <w:b/>
          <w:sz w:val="10"/>
          <w:lang w:val="fr-FR"/>
        </w:rPr>
      </w:pPr>
      <w:bookmarkStart w:id="57" w:name="_Toc376709317"/>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Application de l</w:t>
      </w:r>
      <w:r>
        <w:rPr>
          <w:lang w:val="fr-FR"/>
        </w:rPr>
        <w:t>’</w:t>
      </w:r>
      <w:r w:rsidRPr="00521891">
        <w:rPr>
          <w:lang w:val="fr-FR"/>
        </w:rPr>
        <w:t xml:space="preserve">article 7 de la Convention : égalité </w:t>
      </w:r>
      <w:r>
        <w:rPr>
          <w:lang w:val="fr-FR"/>
        </w:rPr>
        <w:br/>
      </w:r>
      <w:r w:rsidRPr="00521891">
        <w:rPr>
          <w:lang w:val="fr-FR"/>
        </w:rPr>
        <w:t>dans la vie politique et publique au niveau national</w:t>
      </w:r>
      <w:bookmarkEnd w:id="57"/>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BA0C2C">
        <w:rPr>
          <w:i/>
          <w:lang w:val="fr-FR"/>
        </w:rPr>
        <w:t>Objet de la recommandation dans les paragraphes 15 et 23</w:t>
      </w:r>
      <w:r w:rsidRPr="00521891">
        <w:rPr>
          <w:lang w:val="fr-FR"/>
        </w:rPr>
        <w:t>)</w:t>
      </w:r>
    </w:p>
    <w:p w:rsidR="00C06068" w:rsidRPr="00BA0C2C" w:rsidRDefault="00C06068" w:rsidP="00C06068">
      <w:pPr>
        <w:pStyle w:val="SingleTxt"/>
        <w:rPr>
          <w:i/>
          <w:lang w:val="fr-FR"/>
        </w:rPr>
      </w:pPr>
      <w:r w:rsidRPr="00521891">
        <w:rPr>
          <w:lang w:val="fr-FR"/>
        </w:rPr>
        <w:tab/>
      </w:r>
      <w:r w:rsidRPr="00BA0C2C">
        <w:rPr>
          <w:i/>
          <w:lang w:val="fr-FR"/>
        </w:rPr>
        <w:t>Le Comité recommande à l’État partie de prendre, comme le prévoient le paragraphe 1 de l’article 4 de la Convention et la recommandation générale n</w:t>
      </w:r>
      <w:r w:rsidRPr="00BA0C2C">
        <w:rPr>
          <w:i/>
          <w:vertAlign w:val="superscript"/>
          <w:lang w:val="fr-FR"/>
        </w:rPr>
        <w:t>o </w:t>
      </w:r>
      <w:r w:rsidRPr="00BA0C2C">
        <w:rPr>
          <w:i/>
          <w:lang w:val="fr-FR"/>
        </w:rPr>
        <w:t>25, des mesures temporaires spéciales s’inscrivant dans le cadre d’une stratégie nécessaire pour accélérer la réalisation d’une égalité de fait entre les femmes et les hommes. Il demande à l’État partie d’envisager de recourir à tout un éventail de mesures possibles, notamment quotas, objectifs d’étape, buts et incitations, en particulier en ce qui concerne la mise en œuvre accélérée des articles 7, 8, 10, 11, 12 et 14 de la Convention.</w:t>
      </w:r>
    </w:p>
    <w:p w:rsidR="00C06068" w:rsidRPr="00BA0C2C" w:rsidRDefault="00C06068" w:rsidP="00C06068">
      <w:pPr>
        <w:pStyle w:val="SingleTxt"/>
        <w:rPr>
          <w:i/>
          <w:lang w:val="fr-FR"/>
        </w:rPr>
      </w:pPr>
      <w:r w:rsidRPr="00BA0C2C">
        <w:rPr>
          <w:i/>
          <w:lang w:val="fr-FR"/>
        </w:rPr>
        <w:tab/>
        <w:t>Le Comité encourage l’État partie à prendre des mesures concrètes en vue d’accroître le nombre de femmes occupant des postes de décision, en particulier au niveau municipal/local, au Parlement et dans les partis politiques. Il l’invite à donner effet au paragraphe 1 de l’article 4 de la Convention concernant les mesures spéciales temporaires ainsi qu’à ses propres recommandations générales n</w:t>
      </w:r>
      <w:r w:rsidRPr="00BA0C2C">
        <w:rPr>
          <w:i/>
          <w:vertAlign w:val="superscript"/>
          <w:lang w:val="fr-FR"/>
        </w:rPr>
        <w:t>os </w:t>
      </w:r>
      <w:r w:rsidRPr="00BA0C2C">
        <w:rPr>
          <w:i/>
          <w:lang w:val="fr-FR"/>
        </w:rPr>
        <w:t>23 et 25 et à fixer des objectifs et des calendriers précis pour accélérer la participation des femmes, sur un pied d’égalité avec les hommes, à la vie publique et politique à tous les niveaux. Il l’invite aussi à encourager les partis politiques à fixer des quotas. L’État partie est instamment prié de mener, en direction des femmes et des hommes, des campagnes de sensibilisation en vue d’éliminer les stéréotypes concernant les rôles traditionnels des femmes dans la famille et dans la société en général et à favoriser l’émancipation politique des femmes.</w:t>
      </w:r>
    </w:p>
    <w:p w:rsidR="00C06068" w:rsidRPr="00521891" w:rsidRDefault="00C06068" w:rsidP="00C06068">
      <w:pPr>
        <w:pStyle w:val="SingleTxt"/>
        <w:spacing w:after="0" w:line="120" w:lineRule="exact"/>
        <w:rPr>
          <w:b/>
          <w:sz w:val="10"/>
          <w:lang w:val="fr-FR"/>
        </w:rPr>
      </w:pPr>
      <w:bookmarkStart w:id="58" w:name="_Toc376709318"/>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Le droit de voter et d</w:t>
      </w:r>
      <w:r>
        <w:rPr>
          <w:lang w:val="fr-FR"/>
        </w:rPr>
        <w:t>’</w:t>
      </w:r>
      <w:r w:rsidRPr="00521891">
        <w:rPr>
          <w:lang w:val="fr-FR"/>
        </w:rPr>
        <w:t>être éligible à toutes les élections</w:t>
      </w:r>
      <w:bookmarkEnd w:id="58"/>
    </w:p>
    <w:p w:rsidR="00C06068" w:rsidRPr="00521891" w:rsidRDefault="00C06068" w:rsidP="00C06068">
      <w:pPr>
        <w:pStyle w:val="SingleTxt"/>
        <w:keepNext/>
        <w:keepLines/>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Les constitutions successives ont consacré le principe de non-discrimination quant au droit de vote et d</w:t>
      </w:r>
      <w:r>
        <w:rPr>
          <w:lang w:val="fr-FR"/>
        </w:rPr>
        <w:t>’</w:t>
      </w:r>
      <w:r w:rsidRPr="00521891">
        <w:rPr>
          <w:lang w:val="fr-FR"/>
        </w:rPr>
        <w:t>être éligible. La loi organique n</w:t>
      </w:r>
      <w:r w:rsidRPr="00521891">
        <w:rPr>
          <w:vertAlign w:val="superscript"/>
          <w:lang w:val="fr-FR"/>
        </w:rPr>
        <w:t>o</w:t>
      </w:r>
      <w:r>
        <w:rPr>
          <w:vertAlign w:val="superscript"/>
          <w:lang w:val="fr-FR"/>
        </w:rPr>
        <w:t> </w:t>
      </w:r>
      <w:r w:rsidRPr="00521891">
        <w:rPr>
          <w:lang w:val="fr-FR"/>
        </w:rPr>
        <w:t>2012-005 portant Code électoral a repris ce principe en disposant en ses articles 3 et 5 que :</w:t>
      </w:r>
    </w:p>
    <w:p w:rsidR="00C06068" w:rsidRPr="00FA2203" w:rsidRDefault="00C06068" w:rsidP="00C06068">
      <w:pPr>
        <w:pStyle w:val="SingleTxt"/>
        <w:ind w:left="1742" w:hanging="475"/>
        <w:rPr>
          <w:i/>
          <w:lang w:val="fr-FR"/>
        </w:rPr>
      </w:pPr>
      <w:r>
        <w:rPr>
          <w:bCs/>
          <w:i/>
          <w:lang w:val="fr-FR"/>
        </w:rPr>
        <w:tab/>
      </w:r>
      <w:r w:rsidRPr="00FA2203">
        <w:rPr>
          <w:bCs/>
          <w:i/>
          <w:lang w:val="fr-FR"/>
        </w:rPr>
        <w:t xml:space="preserve">Article 3 </w:t>
      </w:r>
      <w:r w:rsidRPr="00FA2203">
        <w:rPr>
          <w:i/>
          <w:lang w:val="fr-FR"/>
        </w:rPr>
        <w:t>– « Sont électeurs tous les citoyens malagasy sans distinction de sexe, âgés de dix-huit ans révolus à la date du scrutin, et jouissant de leurs droits civils et politiques.</w:t>
      </w:r>
    </w:p>
    <w:p w:rsidR="00C06068" w:rsidRPr="00FA2203" w:rsidRDefault="00C06068" w:rsidP="00C06068">
      <w:pPr>
        <w:pStyle w:val="SingleTxt"/>
        <w:ind w:left="1742" w:hanging="475"/>
        <w:rPr>
          <w:i/>
          <w:lang w:val="fr-FR"/>
        </w:rPr>
      </w:pPr>
      <w:r>
        <w:rPr>
          <w:i/>
          <w:lang w:val="fr-FR"/>
        </w:rPr>
        <w:tab/>
      </w:r>
      <w:r w:rsidRPr="00FA2203">
        <w:rPr>
          <w:i/>
          <w:lang w:val="fr-FR"/>
        </w:rPr>
        <w:t>Le droit de vote des femmes ayant acquis la nationalité malagasy par mariage ainsi que celui des étrangers naturalisés malagasy sont fixés par le Code de nationalité</w:t>
      </w:r>
      <w:r>
        <w:rPr>
          <w:i/>
          <w:lang w:val="fr-FR"/>
        </w:rPr>
        <w:t>.</w:t>
      </w:r>
      <w:r w:rsidRPr="00FA2203">
        <w:rPr>
          <w:i/>
          <w:lang w:val="fr-FR"/>
        </w:rPr>
        <w:t> »</w:t>
      </w:r>
    </w:p>
    <w:p w:rsidR="00C06068" w:rsidRPr="00FA2203" w:rsidRDefault="00C06068" w:rsidP="00C06068">
      <w:pPr>
        <w:pStyle w:val="SingleTxt"/>
        <w:ind w:left="1742" w:hanging="475"/>
        <w:rPr>
          <w:i/>
          <w:lang w:val="fr-FR"/>
        </w:rPr>
      </w:pPr>
      <w:r>
        <w:rPr>
          <w:bCs/>
          <w:i/>
          <w:lang w:val="fr-FR"/>
        </w:rPr>
        <w:tab/>
      </w:r>
      <w:r w:rsidRPr="00FA2203">
        <w:rPr>
          <w:bCs/>
          <w:i/>
          <w:lang w:val="fr-FR"/>
        </w:rPr>
        <w:t>Article 5</w:t>
      </w:r>
      <w:r w:rsidRPr="00FA2203">
        <w:rPr>
          <w:b/>
          <w:bCs/>
          <w:i/>
          <w:lang w:val="fr-FR"/>
        </w:rPr>
        <w:t xml:space="preserve"> </w:t>
      </w:r>
      <w:r w:rsidRPr="00FA2203">
        <w:rPr>
          <w:i/>
          <w:lang w:val="fr-FR"/>
        </w:rPr>
        <w:t>– « Sont éligibles, sans distinction de sexe, tous les citoyens malagasy remplissant les conditions pour être électeur ainsi que celles requises par les textes particuliers à chaque catégorie d</w:t>
      </w:r>
      <w:r>
        <w:rPr>
          <w:i/>
          <w:lang w:val="fr-FR"/>
        </w:rPr>
        <w:t>’</w:t>
      </w:r>
      <w:r w:rsidRPr="00FA2203">
        <w:rPr>
          <w:i/>
          <w:lang w:val="fr-FR"/>
        </w:rPr>
        <w:t>élection, notamment :</w:t>
      </w:r>
    </w:p>
    <w:p w:rsidR="00C06068" w:rsidRPr="00FA2203" w:rsidRDefault="00C06068" w:rsidP="00C06068">
      <w:pPr>
        <w:pStyle w:val="SingleTxt"/>
        <w:tabs>
          <w:tab w:val="clear" w:pos="1742"/>
          <w:tab w:val="clear" w:pos="2218"/>
          <w:tab w:val="right" w:pos="1917"/>
          <w:tab w:val="left" w:pos="2133"/>
        </w:tabs>
        <w:ind w:left="1998" w:hanging="475"/>
        <w:rPr>
          <w:i/>
          <w:lang w:val="fr-FR"/>
        </w:rPr>
      </w:pPr>
      <w:r>
        <w:rPr>
          <w:i/>
          <w:lang w:val="fr-FR"/>
        </w:rPr>
        <w:tab/>
      </w:r>
      <w:r w:rsidRPr="00FA2203">
        <w:rPr>
          <w:i/>
          <w:lang w:val="fr-FR"/>
        </w:rPr>
        <w:tab/>
        <w:t>•</w:t>
      </w:r>
      <w:r w:rsidRPr="00FA2203">
        <w:rPr>
          <w:i/>
          <w:lang w:val="fr-FR"/>
        </w:rPr>
        <w:tab/>
        <w:t>L</w:t>
      </w:r>
      <w:r>
        <w:rPr>
          <w:i/>
          <w:lang w:val="fr-FR"/>
        </w:rPr>
        <w:t>’</w:t>
      </w:r>
      <w:r w:rsidRPr="00FA2203">
        <w:rPr>
          <w:i/>
          <w:lang w:val="fr-FR"/>
        </w:rPr>
        <w:t>inscription sur la liste électorale;</w:t>
      </w:r>
    </w:p>
    <w:p w:rsidR="00C06068" w:rsidRPr="00FA2203" w:rsidRDefault="00C06068" w:rsidP="00C06068">
      <w:pPr>
        <w:pStyle w:val="SingleTxt"/>
        <w:tabs>
          <w:tab w:val="clear" w:pos="1742"/>
          <w:tab w:val="clear" w:pos="2218"/>
          <w:tab w:val="right" w:pos="1917"/>
          <w:tab w:val="left" w:pos="2133"/>
        </w:tabs>
        <w:ind w:left="1998" w:hanging="475"/>
        <w:rPr>
          <w:i/>
          <w:lang w:val="fr-FR"/>
        </w:rPr>
      </w:pPr>
      <w:r>
        <w:rPr>
          <w:i/>
          <w:lang w:val="fr-FR"/>
        </w:rPr>
        <w:tab/>
      </w:r>
      <w:r w:rsidRPr="00FA2203">
        <w:rPr>
          <w:i/>
          <w:lang w:val="fr-FR"/>
        </w:rPr>
        <w:tab/>
        <w:t>•</w:t>
      </w:r>
      <w:r w:rsidRPr="00FA2203">
        <w:rPr>
          <w:i/>
          <w:lang w:val="fr-FR"/>
        </w:rPr>
        <w:tab/>
        <w:t>L</w:t>
      </w:r>
      <w:r>
        <w:rPr>
          <w:i/>
          <w:lang w:val="fr-FR"/>
        </w:rPr>
        <w:t>’</w:t>
      </w:r>
      <w:r w:rsidRPr="00FA2203">
        <w:rPr>
          <w:i/>
          <w:lang w:val="fr-FR"/>
        </w:rPr>
        <w:t>âge requis par la loi pour chaque fonction élective</w:t>
      </w:r>
      <w:r>
        <w:rPr>
          <w:i/>
          <w:lang w:val="fr-FR"/>
        </w:rPr>
        <w:t>.</w:t>
      </w:r>
      <w:r w:rsidRPr="00FA2203">
        <w:rPr>
          <w:i/>
          <w:lang w:val="fr-FR"/>
        </w:rPr>
        <w:t> »</w:t>
      </w:r>
    </w:p>
    <w:p w:rsidR="00C06068" w:rsidRPr="00521891" w:rsidRDefault="00C06068" w:rsidP="00C06068">
      <w:pPr>
        <w:pStyle w:val="SingleTxt"/>
        <w:spacing w:after="0" w:line="120" w:lineRule="exact"/>
        <w:rPr>
          <w:b/>
          <w:sz w:val="10"/>
          <w:lang w:val="fr-FR"/>
        </w:rPr>
      </w:pPr>
      <w:bookmarkStart w:id="59" w:name="_Toc376709319"/>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Participation féminine à la gestion des affaires politiques et publiques</w:t>
      </w:r>
      <w:bookmarkEnd w:id="59"/>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2.1</w:t>
      </w:r>
      <w:r w:rsidRPr="00521891">
        <w:rPr>
          <w:lang w:val="fr-FR"/>
        </w:rPr>
        <w:tab/>
        <w:t>Participation des femmes aux postes électifs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En 2012, la participation des femmes reste encore minime mais approche déjà l</w:t>
      </w:r>
      <w:r>
        <w:rPr>
          <w:lang w:val="fr-FR"/>
        </w:rPr>
        <w:t>’</w:t>
      </w:r>
      <w:r w:rsidRPr="00521891">
        <w:rPr>
          <w:lang w:val="fr-FR"/>
        </w:rPr>
        <w:t>objectif de 30 %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Gouvernement de </w:t>
      </w:r>
      <w:r>
        <w:rPr>
          <w:lang w:val="fr-FR"/>
        </w:rPr>
        <w:t xml:space="preserve">la </w:t>
      </w:r>
      <w:r w:rsidRPr="00521891">
        <w:rPr>
          <w:lang w:val="fr-FR"/>
        </w:rPr>
        <w:t>transition : 9 femmes sur 35 ministres ou 25 %;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Conseil supérieur de la transition : 32 sur 161 conseillers ou 20 %;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 xml:space="preserve">Congrès de </w:t>
      </w:r>
      <w:r>
        <w:rPr>
          <w:lang w:val="fr-FR"/>
        </w:rPr>
        <w:t xml:space="preserve">la </w:t>
      </w:r>
      <w:r w:rsidRPr="00521891">
        <w:rPr>
          <w:lang w:val="fr-FR"/>
        </w:rPr>
        <w:t>transition : 64 sur 366 congressistes ou 17 %;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Chefs de région : aucune femme ou 0 %;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Secrétaires généraux des régions : 4 sur 22 ou 18 %;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Chefs de district : 22 sur 119 ou 18 %</w:t>
      </w:r>
      <w:r>
        <w:rPr>
          <w:lang w:val="fr-FR"/>
        </w:rPr>
        <w:t>.</w:t>
      </w:r>
    </w:p>
    <w:p w:rsidR="00C06068" w:rsidRPr="00521891" w:rsidRDefault="00C06068" w:rsidP="00C06068">
      <w:pPr>
        <w:pStyle w:val="SingleTxt"/>
        <w:numPr>
          <w:ilvl w:val="0"/>
          <w:numId w:val="10"/>
        </w:numPr>
        <w:rPr>
          <w:lang w:val="fr-FR"/>
        </w:rPr>
      </w:pPr>
      <w:r w:rsidRPr="00521891">
        <w:rPr>
          <w:lang w:val="fr-FR"/>
        </w:rPr>
        <w:t xml:space="preserve">La faible représentation des femmes dans les institutions de la transition montre que les femmes malgaches rencontrent des obstacles à leur participation active dans la vie politique. Avec 25 % de femmes au Gouvernement de la transition, 17 % au </w:t>
      </w:r>
      <w:r>
        <w:rPr>
          <w:lang w:val="fr-FR"/>
        </w:rPr>
        <w:t>C</w:t>
      </w:r>
      <w:r w:rsidRPr="00521891">
        <w:rPr>
          <w:lang w:val="fr-FR"/>
        </w:rPr>
        <w:t>ongrès de la transition, 20 % au Conseil supérieur de la transition et 4 % de femmes maires, on peut conclure que l</w:t>
      </w:r>
      <w:r>
        <w:rPr>
          <w:lang w:val="fr-FR"/>
        </w:rPr>
        <w:t>’</w:t>
      </w:r>
      <w:r w:rsidRPr="00521891">
        <w:rPr>
          <w:lang w:val="fr-FR"/>
        </w:rPr>
        <w:t>exercice des fonctions politiques est réservé aux hommes.</w:t>
      </w:r>
    </w:p>
    <w:p w:rsidR="00C06068" w:rsidRPr="00521891" w:rsidRDefault="00C06068" w:rsidP="00C06068">
      <w:pPr>
        <w:pStyle w:val="SingleTxt"/>
        <w:numPr>
          <w:ilvl w:val="0"/>
          <w:numId w:val="10"/>
        </w:numPr>
        <w:rPr>
          <w:lang w:val="fr-FR"/>
        </w:rPr>
      </w:pPr>
      <w:r w:rsidRPr="00521891">
        <w:rPr>
          <w:lang w:val="fr-FR"/>
        </w:rPr>
        <w:t>Pour l</w:t>
      </w:r>
      <w:r>
        <w:rPr>
          <w:lang w:val="fr-FR"/>
        </w:rPr>
        <w:t>’</w:t>
      </w:r>
      <w:r w:rsidRPr="00521891">
        <w:rPr>
          <w:lang w:val="fr-FR"/>
        </w:rPr>
        <w:t>élection présidentielle du 25 octobre 2013, 2 femmes sur 33 candidats se sont présentées.</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2.2</w:t>
      </w:r>
      <w:r w:rsidRPr="00521891">
        <w:rPr>
          <w:lang w:val="fr-FR"/>
        </w:rPr>
        <w:tab/>
        <w:t>Participation des femmes dans la gestion des affaires publiques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évolution de la présence des femmes au sein de la HCC, telle que représentée dans le graphique ci-dessous, est caractérisée par leur nombre toujours minoritaire, contrairement à la Cour suprême où l</w:t>
      </w:r>
      <w:r>
        <w:rPr>
          <w:lang w:val="fr-FR"/>
        </w:rPr>
        <w:t>’</w:t>
      </w:r>
      <w:r w:rsidRPr="00521891">
        <w:rPr>
          <w:lang w:val="fr-FR"/>
        </w:rPr>
        <w:t>évolution des effectifs semble avoir été favorable aux femmes.</w:t>
      </w:r>
    </w:p>
    <w:p w:rsidR="00C06068" w:rsidRPr="00521891" w:rsidRDefault="00C06068" w:rsidP="00C06068">
      <w:pPr>
        <w:pStyle w:val="SingleTxt"/>
        <w:spacing w:after="0" w:line="120" w:lineRule="exact"/>
        <w:rPr>
          <w:b/>
          <w:sz w:val="10"/>
          <w:lang w:val="fr-FR"/>
        </w:rPr>
      </w:pPr>
      <w:bookmarkStart w:id="60" w:name="_Toc376686691"/>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b w:val="0"/>
          <w:lang w:val="fr-FR"/>
        </w:rPr>
        <w:tab/>
      </w:r>
      <w:r w:rsidRPr="00521891">
        <w:rPr>
          <w:b w:val="0"/>
          <w:lang w:val="fr-FR"/>
        </w:rPr>
        <w:tab/>
        <w:t xml:space="preserve">Graphique </w:t>
      </w:r>
      <w:r>
        <w:rPr>
          <w:b w:val="0"/>
          <w:lang w:val="fr-FR"/>
        </w:rPr>
        <w:t>3</w:t>
      </w:r>
      <w:r>
        <w:rPr>
          <w:b w:val="0"/>
          <w:lang w:val="fr-FR"/>
        </w:rPr>
        <w:br/>
      </w:r>
      <w:r w:rsidRPr="00521891">
        <w:rPr>
          <w:lang w:val="fr-FR"/>
        </w:rPr>
        <w:t xml:space="preserve">Évolution de la présence des femmes au sein de la </w:t>
      </w:r>
      <w:r>
        <w:rPr>
          <w:lang w:val="fr-FR"/>
        </w:rPr>
        <w:t>Haute Cour</w:t>
      </w:r>
      <w:r w:rsidRPr="00521891">
        <w:rPr>
          <w:lang w:val="fr-FR"/>
        </w:rPr>
        <w:t xml:space="preserve"> constitutionnelle </w:t>
      </w:r>
      <w:r>
        <w:rPr>
          <w:lang w:val="fr-FR"/>
        </w:rPr>
        <w:br/>
      </w:r>
      <w:r w:rsidRPr="00521891">
        <w:rPr>
          <w:lang w:val="fr-FR"/>
        </w:rPr>
        <w:t xml:space="preserve">et de la Cour suprême </w:t>
      </w:r>
      <w:r>
        <w:rPr>
          <w:lang w:val="fr-FR"/>
        </w:rPr>
        <w:br/>
      </w:r>
      <w:r w:rsidRPr="008135FC">
        <w:rPr>
          <w:b w:val="0"/>
          <w:sz w:val="14"/>
          <w:szCs w:val="14"/>
          <w:lang w:val="fr-FR"/>
        </w:rPr>
        <w:t>(Pourcentage)</w:t>
      </w:r>
      <w:bookmarkEnd w:id="60"/>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line="240" w:lineRule="auto"/>
        <w:rPr>
          <w:lang w:val="fr-FR"/>
        </w:rPr>
      </w:pPr>
      <w:r w:rsidRPr="00521891">
        <w:rPr>
          <w:lang w:val="fr-FR"/>
        </w:rPr>
        <w:pict>
          <v:shape id="Image 5" o:spid="_x0000_i1027" type="#_x0000_t75" style="width:429pt;height:221.25pt;visibility:visible">
            <v:imagedata r:id="rId16" o:title=""/>
          </v:shape>
        </w:pict>
      </w:r>
    </w:p>
    <w:p w:rsidR="00C06068" w:rsidRPr="00521891" w:rsidRDefault="00C06068" w:rsidP="00C06068">
      <w:pPr>
        <w:pStyle w:val="FootnoteText"/>
        <w:tabs>
          <w:tab w:val="right" w:pos="1476"/>
          <w:tab w:val="left" w:pos="1548"/>
          <w:tab w:val="right" w:pos="1836"/>
          <w:tab w:val="left" w:pos="1908"/>
        </w:tabs>
        <w:ind w:left="1548" w:hanging="288"/>
        <w:rPr>
          <w:lang w:val="fr-FR"/>
        </w:rPr>
      </w:pPr>
      <w:r w:rsidRPr="00521891">
        <w:rPr>
          <w:i/>
          <w:lang w:val="fr-FR"/>
        </w:rPr>
        <w:t>Source</w:t>
      </w:r>
      <w:r w:rsidRPr="00521891">
        <w:rPr>
          <w:lang w:val="fr-FR"/>
        </w:rPr>
        <w:t> : Rapport national sur l</w:t>
      </w:r>
      <w:r>
        <w:rPr>
          <w:lang w:val="fr-FR"/>
        </w:rPr>
        <w:t>’</w:t>
      </w:r>
      <w:r w:rsidRPr="00521891">
        <w:rPr>
          <w:lang w:val="fr-FR"/>
        </w:rPr>
        <w:t>IDISA 2003.</w:t>
      </w:r>
    </w:p>
    <w:p w:rsidR="00C06068" w:rsidRPr="00521891"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SingleTxt"/>
        <w:numPr>
          <w:ilvl w:val="0"/>
          <w:numId w:val="10"/>
        </w:numPr>
        <w:rPr>
          <w:lang w:val="fr-FR"/>
        </w:rPr>
      </w:pPr>
      <w:r w:rsidRPr="00521891">
        <w:rPr>
          <w:lang w:val="fr-FR"/>
        </w:rPr>
        <w:t>En effet, au sein de la Cour suprême, il existe une parité entre femmes et hommes en nombre et en responsabilité. Les f</w:t>
      </w:r>
      <w:r>
        <w:rPr>
          <w:lang w:val="fr-FR"/>
        </w:rPr>
        <w:t>emmes y accèdent aux postes de p</w:t>
      </w:r>
      <w:r w:rsidRPr="00521891">
        <w:rPr>
          <w:lang w:val="fr-FR"/>
        </w:rPr>
        <w:t>résident de la Cour suprême (désigné par le Ministre de la justice</w:t>
      </w:r>
      <w:r>
        <w:rPr>
          <w:lang w:val="fr-FR"/>
        </w:rPr>
        <w:t>) et de p</w:t>
      </w:r>
      <w:r w:rsidRPr="00521891">
        <w:rPr>
          <w:lang w:val="fr-FR"/>
        </w:rPr>
        <w:t>résident de chambre (choisi parmi les plus anciens au grade le plus élevé), au même titre que les hommes.</w:t>
      </w:r>
    </w:p>
    <w:p w:rsidR="00C06068" w:rsidRPr="00521891" w:rsidRDefault="00C06068" w:rsidP="00C06068">
      <w:pPr>
        <w:pStyle w:val="SingleTxt"/>
        <w:numPr>
          <w:ilvl w:val="0"/>
          <w:numId w:val="10"/>
        </w:numPr>
        <w:rPr>
          <w:lang w:val="fr-FR"/>
        </w:rPr>
      </w:pPr>
      <w:r w:rsidRPr="00521891">
        <w:rPr>
          <w:lang w:val="fr-FR"/>
        </w:rPr>
        <w:t>Le graphique ci-après retrace la partic</w:t>
      </w:r>
      <w:r>
        <w:rPr>
          <w:lang w:val="fr-FR"/>
        </w:rPr>
        <w:t>ipation de la femme au sein du G</w:t>
      </w:r>
      <w:r w:rsidRPr="00521891">
        <w:rPr>
          <w:lang w:val="fr-FR"/>
        </w:rPr>
        <w:t>ouvernement de 1991 à 2012.</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61" w:name="_Toc376686692"/>
      <w:r w:rsidRPr="00521891">
        <w:rPr>
          <w:lang w:val="fr-FR"/>
        </w:rPr>
        <w:br w:type="page"/>
      </w:r>
      <w:r w:rsidRPr="00521891">
        <w:rPr>
          <w:b w:val="0"/>
          <w:lang w:val="fr-FR"/>
        </w:rPr>
        <w:tab/>
      </w:r>
      <w:r w:rsidRPr="00521891">
        <w:rPr>
          <w:b w:val="0"/>
          <w:lang w:val="fr-FR"/>
        </w:rPr>
        <w:tab/>
        <w:t xml:space="preserve">Graphique </w:t>
      </w:r>
      <w:r>
        <w:rPr>
          <w:b w:val="0"/>
          <w:lang w:val="fr-FR"/>
        </w:rPr>
        <w:t>4</w:t>
      </w:r>
    </w:p>
    <w:p w:rsidR="00C06068" w:rsidRPr="007F2D9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sidRPr="00521891">
        <w:rPr>
          <w:lang w:val="fr-FR"/>
        </w:rPr>
        <w:tab/>
      </w:r>
      <w:r w:rsidRPr="00521891">
        <w:rPr>
          <w:lang w:val="fr-FR"/>
        </w:rPr>
        <w:tab/>
        <w:t xml:space="preserve">Évolution de la participation de la femme dans le Gouvernement </w:t>
      </w:r>
      <w:r>
        <w:rPr>
          <w:lang w:val="fr-FR"/>
        </w:rPr>
        <w:br/>
      </w:r>
      <w:r w:rsidRPr="007F2D9E">
        <w:rPr>
          <w:b w:val="0"/>
          <w:sz w:val="14"/>
          <w:szCs w:val="14"/>
          <w:lang w:val="fr-FR"/>
        </w:rPr>
        <w:t>(</w:t>
      </w:r>
      <w:r>
        <w:rPr>
          <w:b w:val="0"/>
          <w:sz w:val="14"/>
          <w:szCs w:val="14"/>
          <w:lang w:val="fr-FR"/>
        </w:rPr>
        <w:t>P</w:t>
      </w:r>
      <w:r w:rsidRPr="007F2D9E">
        <w:rPr>
          <w:b w:val="0"/>
          <w:sz w:val="14"/>
          <w:szCs w:val="14"/>
          <w:lang w:val="fr-FR"/>
        </w:rPr>
        <w:t>ourcentage)</w:t>
      </w:r>
      <w:bookmarkEnd w:id="61"/>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line="240" w:lineRule="auto"/>
        <w:rPr>
          <w:lang w:val="fr-FR"/>
        </w:rPr>
      </w:pPr>
      <w:r w:rsidRPr="00521891">
        <w:rPr>
          <w:lang w:val="fr-FR"/>
        </w:rPr>
        <w:pict>
          <v:shape id="Image 6" o:spid="_x0000_i1028" type="#_x0000_t75" style="width:362.25pt;height:218.25pt;visibility:visible">
            <v:imagedata r:id="rId17" o:title=""/>
          </v:shape>
        </w:pict>
      </w: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IDISA 2003/RNDH 2006/Baromètre Madagascar 2010 et 2012.</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En 1998, on a enregistré la présence de cinq femmes ministres ou secrétaires d</w:t>
      </w:r>
      <w:r>
        <w:rPr>
          <w:lang w:val="fr-FR"/>
        </w:rPr>
        <w:t>’</w:t>
      </w:r>
      <w:r w:rsidRPr="00521891">
        <w:rPr>
          <w:lang w:val="fr-FR"/>
        </w:rPr>
        <w:t>État. La représentation de cinq femmes ministres est réapparue en 2010.</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Hauts emplois de l</w:t>
      </w:r>
      <w:r>
        <w:rPr>
          <w:lang w:val="fr-FR"/>
        </w:rPr>
        <w:t>’</w:t>
      </w:r>
      <w:r w:rsidRPr="00521891">
        <w:rPr>
          <w:lang w:val="fr-FR"/>
        </w:rPr>
        <w:t>État</w:t>
      </w:r>
    </w:p>
    <w:p w:rsidR="00C06068" w:rsidRPr="00521891" w:rsidRDefault="00C06068" w:rsidP="00C06068">
      <w:pPr>
        <w:pStyle w:val="SingleTxt"/>
        <w:spacing w:after="0" w:line="120" w:lineRule="exact"/>
        <w:rPr>
          <w:b/>
          <w:sz w:val="10"/>
          <w:lang w:val="fr-FR"/>
        </w:rPr>
      </w:pPr>
      <w:bookmarkStart w:id="62" w:name="_Toc376686693"/>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521891">
        <w:rPr>
          <w:b w:val="0"/>
          <w:lang w:val="fr-FR"/>
        </w:rPr>
        <w:tab/>
      </w:r>
      <w:r w:rsidRPr="00521891">
        <w:rPr>
          <w:b w:val="0"/>
          <w:lang w:val="fr-FR"/>
        </w:rPr>
        <w:tab/>
        <w:t xml:space="preserve">Graphique </w:t>
      </w:r>
      <w:r>
        <w:rPr>
          <w:b w:val="0"/>
          <w:lang w:val="fr-FR"/>
        </w:rPr>
        <w:t>5</w:t>
      </w:r>
    </w:p>
    <w:p w:rsidR="00C06068" w:rsidRPr="007F2D9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sidRPr="00521891">
        <w:rPr>
          <w:lang w:val="fr-FR"/>
        </w:rPr>
        <w:tab/>
      </w:r>
      <w:r w:rsidRPr="00521891">
        <w:rPr>
          <w:lang w:val="fr-FR"/>
        </w:rPr>
        <w:tab/>
        <w:t>Évolution de la participation de la femme dans les hauts emplois de l</w:t>
      </w:r>
      <w:r>
        <w:rPr>
          <w:lang w:val="fr-FR"/>
        </w:rPr>
        <w:t>’</w:t>
      </w:r>
      <w:r w:rsidRPr="00521891">
        <w:rPr>
          <w:lang w:val="fr-FR"/>
        </w:rPr>
        <w:t xml:space="preserve">État </w:t>
      </w:r>
      <w:r w:rsidRPr="007F2D9E">
        <w:rPr>
          <w:b w:val="0"/>
          <w:sz w:val="14"/>
          <w:szCs w:val="14"/>
          <w:lang w:val="fr-FR"/>
        </w:rPr>
        <w:t>(</w:t>
      </w:r>
      <w:r>
        <w:rPr>
          <w:b w:val="0"/>
          <w:sz w:val="14"/>
          <w:szCs w:val="14"/>
          <w:lang w:val="fr-FR"/>
        </w:rPr>
        <w:t>P</w:t>
      </w:r>
      <w:r w:rsidRPr="007F2D9E">
        <w:rPr>
          <w:b w:val="0"/>
          <w:sz w:val="14"/>
          <w:szCs w:val="14"/>
          <w:lang w:val="fr-FR"/>
        </w:rPr>
        <w:t>ourcentage)</w:t>
      </w:r>
      <w:bookmarkEnd w:id="62"/>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line="240" w:lineRule="auto"/>
        <w:rPr>
          <w:lang w:val="fr-FR"/>
        </w:rPr>
      </w:pPr>
      <w:r w:rsidRPr="00521891">
        <w:rPr>
          <w:lang w:val="fr-FR"/>
        </w:rPr>
        <w:pict>
          <v:shape id="Image 7" o:spid="_x0000_i1029" type="#_x0000_t75" style="width:362.25pt;height:208.5pt;visibility:visible">
            <v:imagedata r:id="rId18" o:title=""/>
          </v:shape>
        </w:pict>
      </w: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w:t>
      </w:r>
      <w:r>
        <w:rPr>
          <w:lang w:val="fr-FR"/>
        </w:rPr>
        <w:t xml:space="preserve"> IDSA 2003/B</w:t>
      </w:r>
      <w:r w:rsidRPr="00521891">
        <w:rPr>
          <w:lang w:val="fr-FR"/>
        </w:rPr>
        <w:t>aromètre 2010 et 2012.</w:t>
      </w:r>
    </w:p>
    <w:p w:rsidR="00C06068" w:rsidRPr="00521891" w:rsidRDefault="00C06068" w:rsidP="00C06068">
      <w:pPr>
        <w:pStyle w:val="SingleTxt"/>
        <w:numPr>
          <w:ilvl w:val="0"/>
          <w:numId w:val="10"/>
        </w:numPr>
        <w:rPr>
          <w:lang w:val="fr-FR"/>
        </w:rPr>
      </w:pPr>
      <w:r w:rsidRPr="00521891">
        <w:rPr>
          <w:lang w:val="fr-FR"/>
        </w:rPr>
        <w:t>Madagascar est classé au septième rang au niveau régional en 2012 avec 33 % de femmes secrétaires exécutives/directrices générales et 24 %</w:t>
      </w:r>
      <w:r>
        <w:rPr>
          <w:lang w:val="fr-FR"/>
        </w:rPr>
        <w:t xml:space="preserve"> de</w:t>
      </w:r>
      <w:r w:rsidRPr="00521891">
        <w:rPr>
          <w:lang w:val="fr-FR"/>
        </w:rPr>
        <w:t xml:space="preserve"> hauts fonctionnaires.</w:t>
      </w:r>
    </w:p>
    <w:p w:rsidR="00C06068" w:rsidRPr="00521891" w:rsidRDefault="00C06068" w:rsidP="00C06068">
      <w:pPr>
        <w:pStyle w:val="SingleTxt"/>
        <w:numPr>
          <w:ilvl w:val="0"/>
          <w:numId w:val="10"/>
        </w:numPr>
        <w:rPr>
          <w:lang w:val="fr-FR"/>
        </w:rPr>
      </w:pPr>
      <w:r w:rsidRPr="00521891">
        <w:rPr>
          <w:lang w:val="fr-FR"/>
        </w:rPr>
        <w:t>Au niveau de la magistrature, 454 sur les 913 magistrats sont des femmes, soit 49,72 %.</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Syndicats</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Pour ce qui concerne les syndicats, les femmes représentent 29 % des syndiqués et occupent 25,08 % des postes du Comité exécutif et 20,41 % des postes de dirigeant</w:t>
      </w:r>
      <w:r w:rsidRPr="00313148">
        <w:rPr>
          <w:vertAlign w:val="superscript"/>
          <w:lang w:val="fr-FR"/>
        </w:rPr>
        <w:footnoteReference w:id="11"/>
      </w:r>
      <w:r w:rsidRPr="00521891">
        <w:rPr>
          <w:lang w:val="fr-FR"/>
        </w:rPr>
        <w:t>. Le graphique ci-après résume la participation des femmes dans les 13 syndicats recensés</w:t>
      </w:r>
      <w:r w:rsidRPr="00313148">
        <w:rPr>
          <w:vertAlign w:val="superscript"/>
          <w:lang w:val="fr-FR"/>
        </w:rPr>
        <w:footnoteReference w:id="12"/>
      </w:r>
      <w:r w:rsidRPr="00521891">
        <w:rPr>
          <w:lang w:val="fr-FR"/>
        </w:rPr>
        <w:t>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28,98 % des 99</w:t>
      </w:r>
      <w:r>
        <w:rPr>
          <w:lang w:val="fr-FR"/>
        </w:rPr>
        <w:t> </w:t>
      </w:r>
      <w:r w:rsidRPr="00521891">
        <w:rPr>
          <w:lang w:val="fr-FR"/>
        </w:rPr>
        <w:t>072 membres;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74,92 % des 311 membres des comités exécutifs;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20,41 % des 338 dirigeants.</w:t>
      </w:r>
    </w:p>
    <w:p w:rsidR="00C06068" w:rsidRPr="00521891" w:rsidRDefault="00C06068" w:rsidP="00C06068">
      <w:pPr>
        <w:pStyle w:val="SingleTxt"/>
        <w:numPr>
          <w:ilvl w:val="0"/>
          <w:numId w:val="10"/>
        </w:numPr>
        <w:rPr>
          <w:lang w:val="fr-FR"/>
        </w:rPr>
      </w:pPr>
      <w:r w:rsidRPr="00521891">
        <w:rPr>
          <w:lang w:val="fr-FR"/>
        </w:rPr>
        <w:t>Dans les fédérations non affiliées aux centrales qui comptent au total 11 707 syndiqués, on compte 6 132 femmes. Le taux relativement élevé des femmes aux postes de direction dans ces fédérations, à savoir 47,14 %</w:t>
      </w:r>
      <w:r>
        <w:rPr>
          <w:lang w:val="fr-FR"/>
        </w:rPr>
        <w:t xml:space="preserve"> dans les c</w:t>
      </w:r>
      <w:r w:rsidRPr="00521891">
        <w:rPr>
          <w:lang w:val="fr-FR"/>
        </w:rPr>
        <w:t xml:space="preserve">omités exécutifs (33 sur 70) et 31,25 % dans les postes </w:t>
      </w:r>
      <w:r>
        <w:rPr>
          <w:lang w:val="fr-FR"/>
        </w:rPr>
        <w:t xml:space="preserve">de </w:t>
      </w:r>
      <w:r w:rsidRPr="00521891">
        <w:rPr>
          <w:lang w:val="fr-FR"/>
        </w:rPr>
        <w:t>dirigeant (15 sur 48)</w:t>
      </w:r>
      <w:r>
        <w:rPr>
          <w:lang w:val="fr-FR"/>
        </w:rPr>
        <w:t>,</w:t>
      </w:r>
      <w:r w:rsidRPr="00521891">
        <w:rPr>
          <w:lang w:val="fr-FR"/>
        </w:rPr>
        <w:t xml:space="preserve"> s</w:t>
      </w:r>
      <w:r>
        <w:rPr>
          <w:lang w:val="fr-FR"/>
        </w:rPr>
        <w:t>’</w:t>
      </w:r>
      <w:r w:rsidRPr="00521891">
        <w:rPr>
          <w:lang w:val="fr-FR"/>
        </w:rPr>
        <w:t>explique par la nature spécifique des syndicats concernés.</w:t>
      </w:r>
    </w:p>
    <w:p w:rsidR="00C06068" w:rsidRPr="00521891" w:rsidRDefault="00C06068" w:rsidP="00C06068">
      <w:pPr>
        <w:pStyle w:val="SingleTxt"/>
        <w:spacing w:after="0" w:line="120" w:lineRule="exact"/>
        <w:rPr>
          <w:b/>
          <w:sz w:val="10"/>
          <w:lang w:val="fr-FR"/>
        </w:rPr>
      </w:pPr>
      <w:bookmarkStart w:id="63" w:name="_Toc376686694"/>
    </w:p>
    <w:p w:rsidR="00C06068" w:rsidRPr="0013208B"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13208B">
        <w:rPr>
          <w:b w:val="0"/>
          <w:lang w:val="fr-FR"/>
        </w:rPr>
        <w:tab/>
      </w:r>
      <w:r w:rsidRPr="0013208B">
        <w:rPr>
          <w:b w:val="0"/>
          <w:lang w:val="fr-FR"/>
        </w:rPr>
        <w:tab/>
        <w:t>Graphique 6</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Évolution de la présence des femmes dans les syndicats</w:t>
      </w:r>
      <w:bookmarkEnd w:id="63"/>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line="240" w:lineRule="auto"/>
        <w:rPr>
          <w:lang w:val="fr-FR"/>
        </w:rPr>
      </w:pPr>
      <w:r w:rsidRPr="00521891">
        <w:rPr>
          <w:lang w:val="fr-FR"/>
        </w:rPr>
        <w:pict>
          <v:shape id="Image 8" o:spid="_x0000_i1030" type="#_x0000_t75" style="width:362.25pt;height:218.25pt;visibility:visible">
            <v:imagedata r:id="rId19" o:title=""/>
          </v:shape>
        </w:pict>
      </w: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Enquête Focus/BIT/CTM/</w:t>
      </w:r>
      <w:r>
        <w:rPr>
          <w:lang w:val="fr-FR"/>
        </w:rPr>
        <w:t>r</w:t>
      </w:r>
      <w:r w:rsidRPr="00521891">
        <w:rPr>
          <w:lang w:val="fr-FR"/>
        </w:rPr>
        <w:t>apport national IDISA 2004.</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Ainsi, l</w:t>
      </w:r>
      <w:r>
        <w:rPr>
          <w:lang w:val="fr-FR"/>
        </w:rPr>
        <w:t>’</w:t>
      </w:r>
      <w:r w:rsidRPr="00521891">
        <w:rPr>
          <w:lang w:val="fr-FR"/>
        </w:rPr>
        <w:t>intersyndical Tolon</w:t>
      </w:r>
      <w:r>
        <w:rPr>
          <w:lang w:val="fr-FR"/>
        </w:rPr>
        <w:t>’</w:t>
      </w:r>
      <w:r w:rsidRPr="00521891">
        <w:rPr>
          <w:lang w:val="fr-FR"/>
        </w:rPr>
        <w:t xml:space="preserve">ny Mpikarama (TM) regroupe des syndicats qui organisent les travailleurs du </w:t>
      </w:r>
      <w:r>
        <w:rPr>
          <w:lang w:val="fr-FR"/>
        </w:rPr>
        <w:t>s</w:t>
      </w:r>
      <w:r w:rsidRPr="00521891">
        <w:rPr>
          <w:lang w:val="fr-FR"/>
        </w:rPr>
        <w:t>ecteur textile (broderie, confection, etc.) où plus de 80 % des salariés concernés sont des femmes. Ceci explique le chiffre de huit femmes présidentes sur les 23 en poste.</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Participation des femmes aux élections</w:t>
      </w:r>
    </w:p>
    <w:p w:rsidR="00C06068" w:rsidRPr="00521891" w:rsidRDefault="00C06068" w:rsidP="00C06068">
      <w:pPr>
        <w:pStyle w:val="SingleTxt"/>
        <w:spacing w:after="0" w:line="120" w:lineRule="exact"/>
        <w:rPr>
          <w:sz w:val="10"/>
          <w:lang w:val="fr-FR"/>
        </w:rPr>
      </w:pPr>
    </w:p>
    <w:p w:rsidR="00C06068" w:rsidRPr="00E11787" w:rsidRDefault="00C06068" w:rsidP="00C06068">
      <w:pPr>
        <w:pStyle w:val="SingleTxt"/>
        <w:numPr>
          <w:ilvl w:val="0"/>
          <w:numId w:val="10"/>
        </w:numPr>
        <w:rPr>
          <w:w w:val="102"/>
          <w:lang w:val="fr-FR"/>
        </w:rPr>
      </w:pPr>
      <w:r w:rsidRPr="00E11787">
        <w:rPr>
          <w:w w:val="102"/>
          <w:lang w:val="fr-FR"/>
        </w:rPr>
        <w:t>En avril 2012, le PNUD a organisé un atelier de planification stratégique visant une représentation accrue des femmes malgaches dans les instances de décisions à travers l’intégration du genre dans le processus électoral et dans un contexte de postconflit. La nouvelle dynamique née de cet atelier contribuera à impliquer davantage les femmes dans les phases préélectorales, électorales et postélectorales du processus. Tel est le cas de la présence de femmes parmi les membres du Bureau de la CENIT (Commission électorale nationale indépendante de la transition).</w:t>
      </w:r>
    </w:p>
    <w:p w:rsidR="00C06068" w:rsidRPr="00521891" w:rsidRDefault="00C06068" w:rsidP="00C06068">
      <w:pPr>
        <w:pStyle w:val="SingleTxt"/>
        <w:spacing w:after="0" w:line="120" w:lineRule="exact"/>
        <w:rPr>
          <w:b/>
          <w:sz w:val="10"/>
          <w:lang w:val="fr-FR"/>
        </w:rPr>
      </w:pPr>
      <w:bookmarkStart w:id="64" w:name="_Toc377129294"/>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521891">
        <w:rPr>
          <w:b w:val="0"/>
          <w:lang w:val="fr-FR"/>
        </w:rPr>
        <w:tab/>
      </w:r>
      <w:r w:rsidRPr="00521891">
        <w:rPr>
          <w:b w:val="0"/>
          <w:lang w:val="fr-FR"/>
        </w:rPr>
        <w:tab/>
        <w:t xml:space="preserve">Tableau </w:t>
      </w:r>
      <w:r>
        <w:rPr>
          <w:b w:val="0"/>
          <w:lang w:val="fr-FR"/>
        </w:rPr>
        <w:t>8</w:t>
      </w: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Femmes membres du B</w:t>
      </w:r>
      <w:r w:rsidRPr="00521891">
        <w:rPr>
          <w:lang w:val="fr-FR"/>
        </w:rPr>
        <w:t>ureau de la CENIT</w:t>
      </w:r>
      <w:bookmarkEnd w:id="64"/>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830"/>
        <w:gridCol w:w="1830"/>
        <w:gridCol w:w="1830"/>
        <w:gridCol w:w="1830"/>
      </w:tblGrid>
      <w:tr w:rsidR="00C06068" w:rsidRPr="00521891" w:rsidTr="007F357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21891">
              <w:rPr>
                <w:i/>
                <w:sz w:val="14"/>
                <w:lang w:val="fr-FR"/>
              </w:rPr>
              <w:t>Membres du bureau</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Homme</w:t>
            </w:r>
            <w:r>
              <w:rPr>
                <w:i/>
                <w:sz w:val="14"/>
                <w:lang w:val="fr-FR"/>
              </w:rPr>
              <w:t>s</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Femme</w:t>
            </w:r>
            <w:r>
              <w:rPr>
                <w:i/>
                <w:sz w:val="14"/>
                <w:lang w:val="fr-FR"/>
              </w:rPr>
              <w:t>s</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21891">
              <w:rPr>
                <w:i/>
                <w:sz w:val="14"/>
                <w:lang w:val="fr-FR"/>
              </w:rPr>
              <w:t xml:space="preserve">Pourcentage </w:t>
            </w:r>
            <w:r w:rsidRPr="00521891">
              <w:rPr>
                <w:i/>
                <w:sz w:val="14"/>
                <w:lang w:val="fr-FR"/>
              </w:rPr>
              <w:br/>
              <w:t>de femmes</w:t>
            </w:r>
          </w:p>
        </w:tc>
      </w:tr>
      <w:tr w:rsidR="00C06068" w:rsidRPr="00521891" w:rsidTr="007F357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521891" w:rsidTr="007F3574">
        <w:tblPrEx>
          <w:tblCellMar>
            <w:top w:w="0" w:type="dxa"/>
            <w:bottom w:w="0" w:type="dxa"/>
          </w:tblCellMar>
        </w:tblPrEx>
        <w:tc>
          <w:tcPr>
            <w:tcW w:w="183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21891">
              <w:rPr>
                <w:sz w:val="17"/>
                <w:lang w:val="fr-FR"/>
              </w:rPr>
              <w:t>Président</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0</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100</w:t>
            </w:r>
          </w:p>
        </w:tc>
      </w:tr>
      <w:tr w:rsidR="00C06068" w:rsidRPr="00521891" w:rsidTr="007F3574">
        <w:tblPrEx>
          <w:tblCellMar>
            <w:top w:w="0" w:type="dxa"/>
            <w:bottom w:w="0" w:type="dxa"/>
          </w:tblCellMar>
        </w:tblPrEx>
        <w:tc>
          <w:tcPr>
            <w:tcW w:w="1830" w:type="dxa"/>
            <w:shd w:val="clear" w:color="auto" w:fill="auto"/>
          </w:tcPr>
          <w:p w:rsidR="00C06068" w:rsidRPr="00521891"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Vice-</w:t>
            </w:r>
            <w:r w:rsidRPr="00521891">
              <w:rPr>
                <w:sz w:val="17"/>
                <w:lang w:val="fr-FR"/>
              </w:rPr>
              <w:t>président</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2</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0</w:t>
            </w:r>
          </w:p>
        </w:tc>
        <w:tc>
          <w:tcPr>
            <w:tcW w:w="1830" w:type="dxa"/>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21891">
              <w:rPr>
                <w:sz w:val="17"/>
                <w:lang w:val="fr-FR"/>
              </w:rPr>
              <w:t>0</w:t>
            </w:r>
          </w:p>
        </w:tc>
      </w:tr>
      <w:tr w:rsidR="00C06068" w:rsidRPr="00521891" w:rsidTr="007F3574">
        <w:tblPrEx>
          <w:tblCellMar>
            <w:top w:w="0" w:type="dxa"/>
            <w:bottom w:w="0" w:type="dxa"/>
          </w:tblCellMar>
        </w:tblPrEx>
        <w:tc>
          <w:tcPr>
            <w:tcW w:w="1830" w:type="dxa"/>
            <w:tcBorders>
              <w:bottom w:val="single" w:sz="4"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40" w:after="81" w:line="210" w:lineRule="exact"/>
              <w:ind w:right="43"/>
              <w:rPr>
                <w:sz w:val="17"/>
                <w:lang w:val="fr-FR"/>
              </w:rPr>
            </w:pPr>
            <w:r>
              <w:rPr>
                <w:sz w:val="17"/>
                <w:lang w:val="fr-FR"/>
              </w:rPr>
              <w:t>Rapporteur</w:t>
            </w:r>
          </w:p>
        </w:tc>
        <w:tc>
          <w:tcPr>
            <w:tcW w:w="183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1</w:t>
            </w:r>
          </w:p>
        </w:tc>
        <w:tc>
          <w:tcPr>
            <w:tcW w:w="183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1</w:t>
            </w:r>
          </w:p>
        </w:tc>
        <w:tc>
          <w:tcPr>
            <w:tcW w:w="1830" w:type="dxa"/>
            <w:tcBorders>
              <w:bottom w:val="single" w:sz="4"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21891">
              <w:rPr>
                <w:sz w:val="17"/>
                <w:lang w:val="fr-FR"/>
              </w:rPr>
              <w:t>50</w:t>
            </w:r>
          </w:p>
        </w:tc>
      </w:tr>
      <w:tr w:rsidR="00C06068" w:rsidRPr="00521891" w:rsidTr="007F3574">
        <w:tblPrEx>
          <w:tblCellMar>
            <w:top w:w="0" w:type="dxa"/>
            <w:bottom w:w="0" w:type="dxa"/>
          </w:tblCellMar>
        </w:tblPrEx>
        <w:tc>
          <w:tcPr>
            <w:tcW w:w="1830" w:type="dxa"/>
            <w:tcBorders>
              <w:top w:val="single" w:sz="4" w:space="0" w:color="auto"/>
              <w:bottom w:val="single" w:sz="12" w:space="0" w:color="auto"/>
            </w:tcBorders>
            <w:shd w:val="clear" w:color="auto" w:fill="auto"/>
          </w:tcPr>
          <w:p w:rsidR="00C06068" w:rsidRPr="00521891"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sidRPr="00521891">
              <w:rPr>
                <w:b/>
                <w:sz w:val="17"/>
                <w:lang w:val="fr-FR"/>
              </w:rPr>
              <w:tab/>
              <w:t>Total</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3</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2</w:t>
            </w:r>
          </w:p>
        </w:tc>
        <w:tc>
          <w:tcPr>
            <w:tcW w:w="1830" w:type="dxa"/>
            <w:tcBorders>
              <w:top w:val="single" w:sz="4" w:space="0" w:color="auto"/>
              <w:bottom w:val="single" w:sz="12" w:space="0" w:color="auto"/>
            </w:tcBorders>
            <w:shd w:val="clear" w:color="auto" w:fill="auto"/>
            <w:vAlign w:val="bottom"/>
          </w:tcPr>
          <w:p w:rsidR="00C06068" w:rsidRPr="00521891"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21891">
              <w:rPr>
                <w:b/>
                <w:sz w:val="17"/>
                <w:lang w:val="fr-FR"/>
              </w:rPr>
              <w:t>40</w:t>
            </w:r>
          </w:p>
        </w:tc>
      </w:tr>
    </w:tbl>
    <w:p w:rsidR="00C06068" w:rsidRPr="00521891"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Enquête personnelle auprès de la CENIT (2012).</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 xml:space="preserve">Deux femmes </w:t>
      </w:r>
      <w:r>
        <w:rPr>
          <w:lang w:val="fr-FR"/>
        </w:rPr>
        <w:t>et trois hommes constituent le B</w:t>
      </w:r>
      <w:r w:rsidRPr="00521891">
        <w:rPr>
          <w:lang w:val="fr-FR"/>
        </w:rPr>
        <w:t>ureau de la CENIT qui est la deuxième institution du pays à être dirigée par une femme. Elle compte actuellement 22 membres</w:t>
      </w:r>
      <w:r>
        <w:rPr>
          <w:lang w:val="fr-FR"/>
        </w:rPr>
        <w:t>,</w:t>
      </w:r>
      <w:r w:rsidRPr="00521891">
        <w:rPr>
          <w:lang w:val="fr-FR"/>
        </w:rPr>
        <w:t xml:space="preserve"> dont </w:t>
      </w:r>
      <w:r>
        <w:rPr>
          <w:lang w:val="fr-FR"/>
        </w:rPr>
        <w:t xml:space="preserve">5 </w:t>
      </w:r>
      <w:r w:rsidRPr="00521891">
        <w:rPr>
          <w:lang w:val="fr-FR"/>
        </w:rPr>
        <w:t>femmes. C</w:t>
      </w:r>
      <w:r>
        <w:rPr>
          <w:lang w:val="fr-FR"/>
        </w:rPr>
        <w:t>’</w:t>
      </w:r>
      <w:r w:rsidRPr="00521891">
        <w:rPr>
          <w:lang w:val="fr-FR"/>
        </w:rPr>
        <w:t>est le reflet du degré de sensibilité du genre des institutions qui ont proposé leur représentant(e) à y siéger.</w:t>
      </w:r>
    </w:p>
    <w:p w:rsidR="00C06068" w:rsidRPr="00521891" w:rsidRDefault="00C06068" w:rsidP="00C06068">
      <w:pPr>
        <w:pStyle w:val="SingleTxt"/>
        <w:numPr>
          <w:ilvl w:val="0"/>
          <w:numId w:val="10"/>
        </w:numPr>
        <w:rPr>
          <w:lang w:val="fr-FR"/>
        </w:rPr>
      </w:pPr>
      <w:r w:rsidRPr="00521891">
        <w:rPr>
          <w:lang w:val="fr-FR"/>
        </w:rPr>
        <w:t>Quant à l</w:t>
      </w:r>
      <w:r>
        <w:rPr>
          <w:lang w:val="fr-FR"/>
        </w:rPr>
        <w:t>’</w:t>
      </w:r>
      <w:r w:rsidRPr="00521891">
        <w:rPr>
          <w:lang w:val="fr-FR"/>
        </w:rPr>
        <w:t>exercice du droit de vote, n</w:t>
      </w:r>
      <w:r>
        <w:rPr>
          <w:lang w:val="fr-FR"/>
        </w:rPr>
        <w:t>’</w:t>
      </w:r>
      <w:r w:rsidRPr="00521891">
        <w:rPr>
          <w:lang w:val="fr-FR"/>
        </w:rPr>
        <w:t xml:space="preserve">excluant pas les femmes, ces dernières sont très enthousiastes. </w:t>
      </w:r>
      <w:r>
        <w:rPr>
          <w:lang w:val="fr-FR"/>
        </w:rPr>
        <w:t xml:space="preserve">À </w:t>
      </w:r>
      <w:r w:rsidRPr="00521891">
        <w:rPr>
          <w:lang w:val="fr-FR"/>
        </w:rPr>
        <w:t>l</w:t>
      </w:r>
      <w:r>
        <w:rPr>
          <w:lang w:val="fr-FR"/>
        </w:rPr>
        <w:t>’</w:t>
      </w:r>
      <w:r w:rsidRPr="00521891">
        <w:rPr>
          <w:lang w:val="fr-FR"/>
        </w:rPr>
        <w:t>appui, lors du dernier référendum constitutionnel du 11 novembre 2010, 3 204 243 femmes (soit 44,8 %) sont enregistrées contre 3 946 980 hommes</w:t>
      </w:r>
      <w:r w:rsidRPr="00313148">
        <w:rPr>
          <w:vertAlign w:val="superscript"/>
          <w:lang w:val="fr-FR"/>
        </w:rPr>
        <w:footnoteReference w:id="13"/>
      </w:r>
      <w:r w:rsidRPr="00521891">
        <w:rPr>
          <w:lang w:val="fr-FR"/>
        </w:rPr>
        <w:t>.</w:t>
      </w:r>
    </w:p>
    <w:p w:rsidR="00C06068" w:rsidRPr="00521891" w:rsidRDefault="00C06068" w:rsidP="00C06068">
      <w:pPr>
        <w:pStyle w:val="SingleTxt"/>
        <w:numPr>
          <w:ilvl w:val="0"/>
          <w:numId w:val="10"/>
        </w:numPr>
        <w:rPr>
          <w:lang w:val="fr-FR"/>
        </w:rPr>
      </w:pPr>
      <w:r w:rsidRPr="00521891">
        <w:rPr>
          <w:lang w:val="fr-FR"/>
        </w:rPr>
        <w:t>La faiblesse du nombre des femmes affiliées à un parti politique démontre leur méfiance envers les partis politiques</w:t>
      </w:r>
      <w:r w:rsidRPr="00313148">
        <w:rPr>
          <w:vertAlign w:val="superscript"/>
          <w:lang w:val="fr-FR"/>
        </w:rPr>
        <w:footnoteReference w:id="14"/>
      </w:r>
      <w:r w:rsidRPr="00521891">
        <w:rPr>
          <w:lang w:val="fr-FR"/>
        </w:rPr>
        <w:t xml:space="preserve"> et leur désintéressement à se porter candidate</w:t>
      </w:r>
      <w:r>
        <w:rPr>
          <w:lang w:val="fr-FR"/>
        </w:rPr>
        <w:t>s</w:t>
      </w:r>
      <w:r w:rsidRPr="00521891">
        <w:rPr>
          <w:lang w:val="fr-FR"/>
        </w:rPr>
        <w:t xml:space="preserve"> aux élections.</w:t>
      </w:r>
    </w:p>
    <w:p w:rsidR="00C06068" w:rsidRPr="00521891" w:rsidRDefault="00C06068" w:rsidP="00C06068">
      <w:pPr>
        <w:pStyle w:val="SingleTxt"/>
        <w:numPr>
          <w:ilvl w:val="0"/>
          <w:numId w:val="10"/>
        </w:numPr>
        <w:rPr>
          <w:lang w:val="fr-FR"/>
        </w:rPr>
      </w:pPr>
      <w:r w:rsidRPr="00521891">
        <w:rPr>
          <w:lang w:val="fr-FR"/>
        </w:rPr>
        <w:t>Pour remédier à l</w:t>
      </w:r>
      <w:r>
        <w:rPr>
          <w:lang w:val="fr-FR"/>
        </w:rPr>
        <w:t>’</w:t>
      </w:r>
      <w:r w:rsidRPr="00521891">
        <w:rPr>
          <w:lang w:val="fr-FR"/>
        </w:rPr>
        <w:t>insuffisance du nombre des femmes affiliées à un parti politique et les encourager à se porter candidates, il est envisagé de :</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Légiférer pour imposer aux partis politiques une alternance de candidats de chaque sexe pour les scrutins de liste en veillant à ce que la tête de liste soit une femme dans la moitié des circonscriptions électorales;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Et que 50 % de candidats de sexe féminin soit appliqué pour les élections uninominales;</w:t>
      </w:r>
    </w:p>
    <w:p w:rsidR="00C06068" w:rsidRPr="00521891" w:rsidRDefault="00C06068" w:rsidP="00C06068">
      <w:pPr>
        <w:pStyle w:val="SingleTxt"/>
        <w:tabs>
          <w:tab w:val="right" w:pos="1685"/>
        </w:tabs>
        <w:ind w:left="1742" w:hanging="475"/>
        <w:rPr>
          <w:lang w:val="fr-FR"/>
        </w:rPr>
      </w:pPr>
      <w:r w:rsidRPr="00521891">
        <w:rPr>
          <w:lang w:val="fr-FR"/>
        </w:rPr>
        <w:tab/>
        <w:t>•</w:t>
      </w:r>
      <w:r w:rsidRPr="00521891">
        <w:rPr>
          <w:lang w:val="fr-FR"/>
        </w:rPr>
        <w:tab/>
        <w:t>Fixer un objectif précis avec détermination de calendrier d</w:t>
      </w:r>
      <w:r>
        <w:rPr>
          <w:lang w:val="fr-FR"/>
        </w:rPr>
        <w:t>’</w:t>
      </w:r>
      <w:r w:rsidRPr="00521891">
        <w:rPr>
          <w:lang w:val="fr-FR"/>
        </w:rPr>
        <w:t>exécution.</w:t>
      </w:r>
    </w:p>
    <w:p w:rsidR="00C06068" w:rsidRPr="00521891" w:rsidRDefault="00C06068" w:rsidP="00C06068">
      <w:pPr>
        <w:pStyle w:val="SingleTxt"/>
        <w:spacing w:after="0" w:line="120" w:lineRule="exact"/>
        <w:rPr>
          <w:b/>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Vie associative</w:t>
      </w: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Les femmes s</w:t>
      </w:r>
      <w:r>
        <w:rPr>
          <w:lang w:val="fr-FR"/>
        </w:rPr>
        <w:t>’</w:t>
      </w:r>
      <w:r w:rsidRPr="00521891">
        <w:rPr>
          <w:lang w:val="fr-FR"/>
        </w:rPr>
        <w:t>engagent dans les associations à vocation sociale.</w:t>
      </w:r>
    </w:p>
    <w:p w:rsidR="00C06068" w:rsidRPr="00521891" w:rsidRDefault="00C06068" w:rsidP="00C06068">
      <w:pPr>
        <w:pStyle w:val="SingleTxt"/>
        <w:spacing w:after="0" w:line="120" w:lineRule="exact"/>
        <w:rPr>
          <w:b/>
          <w:sz w:val="10"/>
          <w:lang w:val="fr-FR"/>
        </w:rPr>
      </w:pPr>
      <w:bookmarkStart w:id="65" w:name="_Toc376686695"/>
    </w:p>
    <w:p w:rsidR="00C06068" w:rsidRPr="00285352"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285352">
        <w:rPr>
          <w:b w:val="0"/>
          <w:lang w:val="fr-FR"/>
        </w:rPr>
        <w:tab/>
      </w:r>
      <w:r w:rsidRPr="00285352">
        <w:rPr>
          <w:b w:val="0"/>
          <w:lang w:val="fr-FR"/>
        </w:rPr>
        <w:tab/>
        <w:t xml:space="preserve">Graphique </w:t>
      </w:r>
      <w:r>
        <w:rPr>
          <w:b w:val="0"/>
          <w:lang w:val="fr-FR"/>
        </w:rPr>
        <w:t>7</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Présence des femmes dans la vie associative</w:t>
      </w:r>
      <w:bookmarkEnd w:id="65"/>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r>
        <w:rPr>
          <w:noProof/>
        </w:rPr>
        <w:pict>
          <v:shape id="Image 9" o:spid="_x0000_s1028" type="#_x0000_t75" style="position:absolute;left:0;text-align:left;margin-left:58.3pt;margin-top:3.75pt;width:373.25pt;height:185.25pt;z-index:3;visibility:visible">
            <v:imagedata r:id="rId20" o:title=""/>
          </v:shape>
        </w:pict>
      </w:r>
    </w:p>
    <w:p w:rsidR="00C06068" w:rsidRPr="00521891" w:rsidRDefault="00C06068" w:rsidP="00C06068">
      <w:pPr>
        <w:pStyle w:val="SingleTxt"/>
        <w:tabs>
          <w:tab w:val="clear" w:pos="1267"/>
        </w:tabs>
        <w:spacing w:line="240" w:lineRule="auto"/>
        <w:ind w:left="1179"/>
        <w:rPr>
          <w:lang w:val="fr-FR"/>
        </w:rPr>
      </w:pPr>
      <w:r>
        <w:rPr>
          <w:noProof/>
        </w:rPr>
        <w:pict>
          <v:shape id="_x0000_s1029" type="#_x0000_t202" style="position:absolute;left:0;text-align:left;margin-left:107.65pt;margin-top:4.8pt;width:304.45pt;height:34.2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inset="21.6pt,0,0,0">
              <w:txbxContent>
                <w:p w:rsidR="00C06068" w:rsidRPr="00A31920" w:rsidRDefault="00C06068" w:rsidP="00C06068">
                  <w:pPr>
                    <w:spacing w:line="210" w:lineRule="exact"/>
                    <w:jc w:val="center"/>
                    <w:rPr>
                      <w:b/>
                      <w:sz w:val="17"/>
                      <w:szCs w:val="17"/>
                      <w:lang w:val="fr-CA"/>
                    </w:rPr>
                  </w:pPr>
                  <w:r w:rsidRPr="00A31920">
                    <w:rPr>
                      <w:b/>
                      <w:sz w:val="17"/>
                      <w:szCs w:val="17"/>
                      <w:lang w:val="fr-CA"/>
                    </w:rPr>
                    <w:t>Pourcentage des femmes dans la direction des organisations</w:t>
                  </w:r>
                  <w:r w:rsidRPr="00A31920">
                    <w:rPr>
                      <w:b/>
                      <w:sz w:val="17"/>
                      <w:szCs w:val="17"/>
                      <w:lang w:val="fr-CA"/>
                    </w:rPr>
                    <w:br/>
                    <w:t>communautaires de base, par secteur d’intervention</w:t>
                  </w:r>
                </w:p>
              </w:txbxContent>
            </v:textbox>
          </v:shape>
        </w:pict>
      </w:r>
      <w:r>
        <w:rPr>
          <w:noProof/>
          <w:w w:val="100"/>
          <w:lang w:val="fr-FR" w:eastAsia="fr-FR"/>
        </w:rPr>
        <w:pict>
          <v:shape id="_x0000_s1026" type="#_x0000_t202" style="position:absolute;left:0;text-align:left;margin-left:66.7pt;margin-top:158.55pt;width:176.1pt;height:12.9pt;z-index:1" stroked="f">
            <v:textbox inset="0,0,0,0">
              <w:txbxContent>
                <w:p w:rsidR="00C06068" w:rsidRDefault="00C06068" w:rsidP="00C06068"/>
              </w:txbxContent>
            </v:textbox>
          </v:shape>
        </w:pict>
      </w: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r>
        <w:rPr>
          <w:noProof/>
          <w:w w:val="100"/>
        </w:rPr>
        <w:pict>
          <v:shape id="_x0000_s1031" type="#_x0000_t202" style="position:absolute;left:0;text-align:left;margin-left:78.15pt;margin-top:5.45pt;width:84.25pt;height:79.9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inset="0,0,0,0">
              <w:txbxContent>
                <w:p w:rsidR="00C06068" w:rsidRDefault="00C06068" w:rsidP="00C06068">
                  <w:pPr>
                    <w:spacing w:after="30" w:line="170" w:lineRule="exact"/>
                    <w:rPr>
                      <w:sz w:val="17"/>
                      <w:szCs w:val="17"/>
                      <w:lang w:val="fr-CA"/>
                    </w:rPr>
                  </w:pPr>
                  <w:r w:rsidRPr="00A31920">
                    <w:rPr>
                      <w:sz w:val="17"/>
                      <w:szCs w:val="17"/>
                      <w:lang w:val="fr-CA"/>
                    </w:rPr>
                    <w:t>Social, formation,</w:t>
                  </w:r>
                  <w:r w:rsidRPr="00A31920">
                    <w:rPr>
                      <w:sz w:val="17"/>
                      <w:szCs w:val="17"/>
                      <w:lang w:val="fr-CA"/>
                    </w:rPr>
                    <w:br/>
                    <w:t>économique</w:t>
                  </w:r>
                </w:p>
                <w:p w:rsidR="00C06068" w:rsidRDefault="00C06068" w:rsidP="00C06068">
                  <w:pPr>
                    <w:spacing w:line="170" w:lineRule="exact"/>
                    <w:rPr>
                      <w:sz w:val="17"/>
                      <w:szCs w:val="17"/>
                      <w:lang w:val="fr-CA"/>
                    </w:rPr>
                  </w:pPr>
                  <w:r>
                    <w:rPr>
                      <w:sz w:val="17"/>
                      <w:szCs w:val="17"/>
                      <w:lang w:val="fr-CA"/>
                    </w:rPr>
                    <w:t>Éducation</w:t>
                  </w:r>
                </w:p>
                <w:p w:rsidR="00C06068" w:rsidRDefault="00C06068" w:rsidP="00C06068">
                  <w:pPr>
                    <w:spacing w:line="170" w:lineRule="exact"/>
                    <w:rPr>
                      <w:sz w:val="17"/>
                      <w:szCs w:val="17"/>
                      <w:lang w:val="fr-CA"/>
                    </w:rPr>
                  </w:pPr>
                </w:p>
                <w:p w:rsidR="00C06068" w:rsidRDefault="00C06068" w:rsidP="00C06068">
                  <w:pPr>
                    <w:spacing w:line="170" w:lineRule="exact"/>
                    <w:rPr>
                      <w:sz w:val="17"/>
                      <w:szCs w:val="17"/>
                      <w:lang w:val="fr-CA"/>
                    </w:rPr>
                  </w:pPr>
                  <w:r>
                    <w:rPr>
                      <w:sz w:val="17"/>
                      <w:szCs w:val="17"/>
                      <w:lang w:val="fr-CA"/>
                    </w:rPr>
                    <w:t>Santé, hygiène</w:t>
                  </w:r>
                </w:p>
                <w:p w:rsidR="00C06068" w:rsidRDefault="00C06068" w:rsidP="00C06068">
                  <w:pPr>
                    <w:spacing w:after="20" w:line="170" w:lineRule="exact"/>
                    <w:rPr>
                      <w:sz w:val="17"/>
                      <w:szCs w:val="17"/>
                      <w:lang w:val="fr-CA"/>
                    </w:rPr>
                  </w:pPr>
                </w:p>
                <w:p w:rsidR="00C06068" w:rsidRDefault="00C06068" w:rsidP="00C06068">
                  <w:pPr>
                    <w:spacing w:line="170" w:lineRule="exact"/>
                    <w:rPr>
                      <w:sz w:val="17"/>
                      <w:szCs w:val="17"/>
                      <w:lang w:val="fr-CA"/>
                    </w:rPr>
                  </w:pPr>
                  <w:r>
                    <w:rPr>
                      <w:sz w:val="17"/>
                      <w:szCs w:val="17"/>
                      <w:lang w:val="fr-CA"/>
                    </w:rPr>
                    <w:t>Eau</w:t>
                  </w:r>
                </w:p>
                <w:p w:rsidR="00C06068" w:rsidRDefault="00C06068" w:rsidP="00C06068">
                  <w:pPr>
                    <w:spacing w:after="20" w:line="170" w:lineRule="exact"/>
                    <w:rPr>
                      <w:sz w:val="17"/>
                      <w:szCs w:val="17"/>
                      <w:lang w:val="fr-CA"/>
                    </w:rPr>
                  </w:pPr>
                </w:p>
                <w:p w:rsidR="00C06068" w:rsidRPr="00A31920" w:rsidRDefault="00C06068" w:rsidP="00C06068">
                  <w:pPr>
                    <w:spacing w:after="20" w:line="170" w:lineRule="exact"/>
                    <w:rPr>
                      <w:sz w:val="17"/>
                      <w:szCs w:val="17"/>
                      <w:lang w:val="fr-CA"/>
                    </w:rPr>
                  </w:pPr>
                  <w:r>
                    <w:rPr>
                      <w:sz w:val="17"/>
                      <w:szCs w:val="17"/>
                      <w:lang w:val="fr-CA"/>
                    </w:rPr>
                    <w:t>Infrastructures</w:t>
                  </w:r>
                </w:p>
              </w:txbxContent>
            </v:textbox>
          </v:shape>
        </w:pict>
      </w: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r>
        <w:rPr>
          <w:i/>
          <w:noProof/>
          <w:w w:val="100"/>
        </w:rPr>
        <w:pict>
          <v:shape id="_x0000_s1030" type="#_x0000_t202" style="position:absolute;left:0;text-align:left;margin-left:209.25pt;margin-top:5pt;width:171pt;height:33.7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inset="0,0,0,0">
              <w:txbxContent>
                <w:p w:rsidR="00C06068" w:rsidRPr="00A31920" w:rsidRDefault="00C06068" w:rsidP="00C06068">
                  <w:pPr>
                    <w:spacing w:line="180" w:lineRule="exact"/>
                    <w:rPr>
                      <w:sz w:val="17"/>
                      <w:szCs w:val="17"/>
                      <w:lang w:val="fr-CA"/>
                    </w:rPr>
                  </w:pPr>
                  <w:r w:rsidRPr="00A31920">
                    <w:rPr>
                      <w:sz w:val="17"/>
                      <w:szCs w:val="17"/>
                      <w:lang w:val="fr-CA"/>
                    </w:rPr>
                    <w:t xml:space="preserve">  Président    </w:t>
                  </w:r>
                  <w:r>
                    <w:rPr>
                      <w:sz w:val="17"/>
                      <w:szCs w:val="17"/>
                      <w:lang w:val="fr-CA"/>
                    </w:rPr>
                    <w:t xml:space="preserve">  </w:t>
                  </w:r>
                  <w:r w:rsidRPr="00A31920">
                    <w:rPr>
                      <w:sz w:val="17"/>
                      <w:szCs w:val="17"/>
                      <w:lang w:val="fr-CA"/>
                    </w:rPr>
                    <w:t xml:space="preserve">   Trésorier   </w:t>
                  </w:r>
                  <w:r>
                    <w:rPr>
                      <w:sz w:val="17"/>
                      <w:szCs w:val="17"/>
                      <w:lang w:val="fr-CA"/>
                    </w:rPr>
                    <w:t xml:space="preserve"> </w:t>
                  </w:r>
                  <w:r w:rsidRPr="00A31920">
                    <w:rPr>
                      <w:sz w:val="17"/>
                      <w:szCs w:val="17"/>
                      <w:lang w:val="fr-CA"/>
                    </w:rPr>
                    <w:t xml:space="preserve"> </w:t>
                  </w:r>
                  <w:r>
                    <w:rPr>
                      <w:sz w:val="17"/>
                      <w:szCs w:val="17"/>
                      <w:lang w:val="fr-CA"/>
                    </w:rPr>
                    <w:t xml:space="preserve">     M</w:t>
                  </w:r>
                  <w:r w:rsidRPr="00A31920">
                    <w:rPr>
                      <w:sz w:val="17"/>
                      <w:szCs w:val="17"/>
                      <w:lang w:val="fr-CA"/>
                    </w:rPr>
                    <w:t xml:space="preserve">embres </w:t>
                  </w:r>
                  <w:r w:rsidRPr="00A31920">
                    <w:rPr>
                      <w:sz w:val="17"/>
                      <w:szCs w:val="17"/>
                      <w:lang w:val="fr-CA"/>
                    </w:rPr>
                    <w:br/>
                    <w:t xml:space="preserve">                                                 du bureau </w:t>
                  </w:r>
                  <w:r w:rsidRPr="00A31920">
                    <w:rPr>
                      <w:sz w:val="17"/>
                      <w:szCs w:val="17"/>
                      <w:lang w:val="fr-CA"/>
                    </w:rPr>
                    <w:br/>
                    <w:t xml:space="preserve">                                                 exécutif</w:t>
                  </w:r>
                </w:p>
              </w:txbxContent>
            </v:textbox>
          </v:shape>
        </w:pict>
      </w: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r>
        <w:rPr>
          <w:noProof/>
          <w:w w:val="100"/>
        </w:rPr>
        <w:pict>
          <v:shape id="_x0000_s1032" type="#_x0000_t202" style="position:absolute;left:0;text-align:left;margin-left:64.8pt;margin-top:7.85pt;width:329.25pt;height:17.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inset="0,0,0,0">
              <w:txbxContent>
                <w:p w:rsidR="00C06068" w:rsidRPr="001C2560" w:rsidRDefault="00C06068" w:rsidP="00C06068">
                  <w:pPr>
                    <w:spacing w:line="120" w:lineRule="exact"/>
                    <w:rPr>
                      <w:i/>
                      <w:sz w:val="10"/>
                      <w:szCs w:val="16"/>
                      <w:lang w:val="fr-CA"/>
                    </w:rPr>
                  </w:pPr>
                </w:p>
                <w:p w:rsidR="00C06068" w:rsidRPr="001C2560" w:rsidRDefault="00C06068" w:rsidP="00C06068">
                  <w:pPr>
                    <w:spacing w:line="180" w:lineRule="exact"/>
                    <w:rPr>
                      <w:sz w:val="16"/>
                      <w:szCs w:val="16"/>
                      <w:lang w:val="fr-CA"/>
                    </w:rPr>
                  </w:pPr>
                  <w:r>
                    <w:rPr>
                      <w:i/>
                      <w:sz w:val="16"/>
                      <w:szCs w:val="16"/>
                      <w:lang w:val="fr-CA"/>
                    </w:rPr>
                    <w:t>Source </w:t>
                  </w:r>
                  <w:r>
                    <w:rPr>
                      <w:sz w:val="16"/>
                      <w:szCs w:val="16"/>
                      <w:lang w:val="fr-CA"/>
                    </w:rPr>
                    <w:t xml:space="preserve">: </w:t>
                  </w:r>
                  <w:r>
                    <w:rPr>
                      <w:i/>
                      <w:sz w:val="16"/>
                      <w:szCs w:val="16"/>
                      <w:lang w:val="fr-CA"/>
                    </w:rPr>
                    <w:t>Rapport national sur l’IDISA</w:t>
                  </w:r>
                  <w:r>
                    <w:rPr>
                      <w:sz w:val="16"/>
                      <w:szCs w:val="16"/>
                      <w:lang w:val="fr-CA"/>
                    </w:rPr>
                    <w:t>, 2003</w:t>
                  </w:r>
                </w:p>
              </w:txbxContent>
            </v:textbox>
          </v:shape>
        </w:pict>
      </w: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i/>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521891">
        <w:rPr>
          <w:i/>
          <w:lang w:val="fr-FR"/>
        </w:rPr>
        <w:t>Source</w:t>
      </w:r>
      <w:r w:rsidRPr="00521891">
        <w:rPr>
          <w:lang w:val="fr-FR"/>
        </w:rPr>
        <w:t> : IDISA 2003</w:t>
      </w:r>
      <w:r>
        <w:rPr>
          <w:lang w:val="fr-FR"/>
        </w:rPr>
        <w:t>.</w:t>
      </w: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Ainsi, la proportion des femmes dans les postes de direction des organisations communautaires reste faible. Le rapport national sur l</w:t>
      </w:r>
      <w:r>
        <w:rPr>
          <w:lang w:val="fr-FR"/>
        </w:rPr>
        <w:t>’</w:t>
      </w:r>
      <w:r w:rsidRPr="00521891">
        <w:rPr>
          <w:lang w:val="fr-FR"/>
        </w:rPr>
        <w:t>IDISA rapporte un taux de 17 %, seulement dans le</w:t>
      </w:r>
      <w:r>
        <w:rPr>
          <w:lang w:val="fr-FR"/>
        </w:rPr>
        <w:t>s</w:t>
      </w:r>
      <w:r w:rsidRPr="00521891">
        <w:rPr>
          <w:lang w:val="fr-FR"/>
        </w:rPr>
        <w:t xml:space="preserve"> domaine</w:t>
      </w:r>
      <w:r>
        <w:rPr>
          <w:lang w:val="fr-FR"/>
        </w:rPr>
        <w:t>s</w:t>
      </w:r>
      <w:r w:rsidRPr="00521891">
        <w:rPr>
          <w:lang w:val="fr-FR"/>
        </w:rPr>
        <w:t xml:space="preserve"> social, formation, économique, éducation et infrastructures. Celles-ci seraient par contre plus nombreuses dans le poste de trésorière, taux estimé à 39 %. Le graphique montre qu</w:t>
      </w:r>
      <w:r>
        <w:rPr>
          <w:lang w:val="fr-FR"/>
        </w:rPr>
        <w:t>’</w:t>
      </w:r>
      <w:r w:rsidRPr="00521891">
        <w:rPr>
          <w:lang w:val="fr-FR"/>
        </w:rPr>
        <w:t>une représentativité des femmes est importante dans le poste de trésorerie à chaque domaine. Les explications fournies y afférentes s</w:t>
      </w:r>
      <w:r>
        <w:rPr>
          <w:lang w:val="fr-FR"/>
        </w:rPr>
        <w:t>’</w:t>
      </w:r>
      <w:r w:rsidRPr="00521891">
        <w:rPr>
          <w:lang w:val="fr-FR"/>
        </w:rPr>
        <w:t>attachent à attribuer à la femme des qualités de rigueur requises pour cette fonction.</w:t>
      </w:r>
    </w:p>
    <w:p w:rsidR="00C06068" w:rsidRPr="00521891" w:rsidRDefault="00C06068" w:rsidP="00C06068">
      <w:pPr>
        <w:pStyle w:val="SingleTxt"/>
        <w:spacing w:after="0" w:line="120" w:lineRule="exact"/>
        <w:rPr>
          <w:b/>
          <w:sz w:val="10"/>
          <w:lang w:val="fr-FR"/>
        </w:rPr>
      </w:pPr>
      <w:bookmarkStart w:id="66" w:name="_Toc376709320"/>
    </w:p>
    <w:p w:rsidR="00C06068" w:rsidRPr="00521891" w:rsidRDefault="00C06068" w:rsidP="00C06068">
      <w:pPr>
        <w:pStyle w:val="SingleTxt"/>
        <w:spacing w:after="0" w:line="120" w:lineRule="exact"/>
        <w:rPr>
          <w:b/>
          <w:sz w:val="10"/>
          <w:lang w:val="fr-FR"/>
        </w:rPr>
      </w:pPr>
    </w:p>
    <w:p w:rsidR="00C06068"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8 de la Convention : représentation féminine à l</w:t>
      </w:r>
      <w:r>
        <w:rPr>
          <w:lang w:val="fr-FR"/>
        </w:rPr>
        <w:t>’</w:t>
      </w:r>
      <w:r w:rsidRPr="00521891">
        <w:rPr>
          <w:lang w:val="fr-FR"/>
        </w:rPr>
        <w:t>échelon international</w:t>
      </w:r>
      <w:bookmarkEnd w:id="66"/>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spacing w:after="0" w:line="120" w:lineRule="exact"/>
        <w:rPr>
          <w:sz w:val="10"/>
          <w:lang w:val="fr-FR"/>
        </w:rPr>
      </w:pPr>
    </w:p>
    <w:p w:rsidR="00C06068" w:rsidRPr="00521891" w:rsidRDefault="00C06068" w:rsidP="00C06068">
      <w:pPr>
        <w:pStyle w:val="SingleTxt"/>
        <w:rPr>
          <w:lang w:val="fr-FR"/>
        </w:rPr>
      </w:pPr>
      <w:r w:rsidRPr="00521891">
        <w:rPr>
          <w:lang w:val="fr-FR"/>
        </w:rPr>
        <w:t>(</w:t>
      </w:r>
      <w:r w:rsidRPr="00BA0C2C">
        <w:rPr>
          <w:i/>
          <w:lang w:val="fr-FR"/>
        </w:rPr>
        <w:t>Objet de la recommandation dans le paragraphe 23</w:t>
      </w:r>
      <w:r w:rsidRPr="00521891">
        <w:rPr>
          <w:lang w:val="fr-FR"/>
        </w:rPr>
        <w:t>)</w:t>
      </w:r>
    </w:p>
    <w:p w:rsidR="00C06068" w:rsidRPr="00BA0C2C" w:rsidRDefault="00C06068" w:rsidP="00C06068">
      <w:pPr>
        <w:pStyle w:val="SingleTxt"/>
        <w:rPr>
          <w:i/>
          <w:lang w:val="fr-FR"/>
        </w:rPr>
      </w:pPr>
      <w:r>
        <w:rPr>
          <w:bCs/>
          <w:lang w:val="fr-FR"/>
        </w:rPr>
        <w:tab/>
      </w:r>
      <w:r w:rsidRPr="00BA0C2C">
        <w:rPr>
          <w:bCs/>
          <w:i/>
          <w:lang w:val="fr-FR"/>
        </w:rPr>
        <w:t>Le Comité encourage l’État partie à prendre des mesures concrètes en vue d’accroître le nombre de femmes occupant des postes de décision, en particulier au niveau municipal/local, au Parlement et dans les partis politiques. Il l’invite à donner effet au paragraphe 1 de l’article 4 de la Convention concernant les mesures spéciales temporaires ainsi qu’à ses propres recommandations générales n</w:t>
      </w:r>
      <w:r w:rsidRPr="00BA0C2C">
        <w:rPr>
          <w:bCs/>
          <w:i/>
          <w:vertAlign w:val="superscript"/>
          <w:lang w:val="fr-FR"/>
        </w:rPr>
        <w:t>os</w:t>
      </w:r>
      <w:r w:rsidRPr="00BA0C2C">
        <w:rPr>
          <w:bCs/>
          <w:i/>
          <w:lang w:val="fr-FR"/>
        </w:rPr>
        <w:t> 23 et 25 et à fixer des objectifs et des calendriers précis pour accélérer la participation des femmes, sur un pied d’égalité avec les hommes, à la vie publique et politique à tous les niveaux. Il l’invite aussi à encourager les partis politiques à fixer des quotas. L’État partie est instamment prié de mener, en direction des femmes et des hommes, des campagnes de sensibilisation en vue d’éliminer les stéréotypes concernant les rôles traditionnels des femmes dans la famille et dans la société en général et à favoriser l’émancipation politique des femmes</w:t>
      </w:r>
      <w:r w:rsidRPr="00BA0C2C">
        <w:rPr>
          <w:i/>
          <w:lang w:val="fr-FR"/>
        </w:rPr>
        <w:t>.</w:t>
      </w:r>
    </w:p>
    <w:p w:rsidR="00C06068" w:rsidRPr="00521891" w:rsidRDefault="00C06068" w:rsidP="00C06068">
      <w:pPr>
        <w:pStyle w:val="SingleTxt"/>
        <w:numPr>
          <w:ilvl w:val="0"/>
          <w:numId w:val="10"/>
        </w:numPr>
        <w:rPr>
          <w:lang w:val="fr-FR"/>
        </w:rPr>
      </w:pPr>
      <w:r w:rsidRPr="00521891">
        <w:rPr>
          <w:lang w:val="fr-FR"/>
        </w:rPr>
        <w:t>À Madagascar</w:t>
      </w:r>
      <w:r>
        <w:rPr>
          <w:lang w:val="fr-FR"/>
        </w:rPr>
        <w:t>,</w:t>
      </w:r>
      <w:r w:rsidRPr="00521891">
        <w:rPr>
          <w:lang w:val="fr-FR"/>
        </w:rPr>
        <w:t xml:space="preserve"> les femmes ont la possibilité au même titre que les hommes de représenter l</w:t>
      </w:r>
      <w:r>
        <w:rPr>
          <w:lang w:val="fr-FR"/>
        </w:rPr>
        <w:t>’</w:t>
      </w:r>
      <w:r w:rsidRPr="00521891">
        <w:rPr>
          <w:lang w:val="fr-FR"/>
        </w:rPr>
        <w:t>État au niveau des instances internationales. L</w:t>
      </w:r>
      <w:r>
        <w:rPr>
          <w:lang w:val="fr-FR"/>
        </w:rPr>
        <w:t>’</w:t>
      </w:r>
      <w:r w:rsidRPr="00521891">
        <w:rPr>
          <w:lang w:val="fr-FR"/>
        </w:rPr>
        <w:t>Ambassadeur et Représentante permanente de Madagascar auprès de l</w:t>
      </w:r>
      <w:r>
        <w:rPr>
          <w:lang w:val="fr-FR"/>
        </w:rPr>
        <w:t>’</w:t>
      </w:r>
      <w:r w:rsidRPr="00521891">
        <w:rPr>
          <w:lang w:val="fr-FR"/>
        </w:rPr>
        <w:t>Office des Nations Unies à Genève est une femme.</w:t>
      </w:r>
    </w:p>
    <w:p w:rsidR="00C06068" w:rsidRPr="00521891" w:rsidRDefault="00C06068" w:rsidP="00C06068">
      <w:pPr>
        <w:pStyle w:val="SingleTxt"/>
        <w:numPr>
          <w:ilvl w:val="0"/>
          <w:numId w:val="10"/>
        </w:numPr>
        <w:rPr>
          <w:lang w:val="fr-FR"/>
        </w:rPr>
      </w:pPr>
      <w:r w:rsidRPr="00521891">
        <w:rPr>
          <w:lang w:val="fr-FR"/>
        </w:rPr>
        <w:t>Depuis 2003, les chefs de délégation en charge de soutenir les rapports d</w:t>
      </w:r>
      <w:r>
        <w:rPr>
          <w:lang w:val="fr-FR"/>
        </w:rPr>
        <w:t>’</w:t>
      </w:r>
      <w:r w:rsidRPr="00521891">
        <w:rPr>
          <w:lang w:val="fr-FR"/>
        </w:rPr>
        <w:t>application des traités liés aux droits de l</w:t>
      </w:r>
      <w:r>
        <w:rPr>
          <w:lang w:val="fr-FR"/>
        </w:rPr>
        <w:t>’</w:t>
      </w:r>
      <w:r w:rsidRPr="00521891">
        <w:rPr>
          <w:lang w:val="fr-FR"/>
        </w:rPr>
        <w:t>homme auprès des organes de suivi des Nations Unies sont des femmes ministres.</w:t>
      </w:r>
    </w:p>
    <w:p w:rsidR="00C06068" w:rsidRPr="00285352" w:rsidRDefault="00C06068" w:rsidP="00C06068">
      <w:pPr>
        <w:pStyle w:val="SingleTxt"/>
        <w:spacing w:after="0" w:line="120" w:lineRule="exact"/>
        <w:rPr>
          <w:b/>
          <w:sz w:val="10"/>
          <w:lang w:val="fr-FR"/>
        </w:rPr>
      </w:pPr>
      <w:bookmarkStart w:id="67" w:name="_Toc376709321"/>
    </w:p>
    <w:p w:rsidR="00C06068" w:rsidRPr="00285352"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9 de la Convention : droits </w:t>
      </w:r>
      <w:r>
        <w:rPr>
          <w:lang w:val="fr-FR"/>
        </w:rPr>
        <w:br/>
      </w:r>
      <w:r w:rsidRPr="00521891">
        <w:rPr>
          <w:lang w:val="fr-FR"/>
        </w:rPr>
        <w:t>à la nationalité</w:t>
      </w:r>
      <w:bookmarkEnd w:id="67"/>
    </w:p>
    <w:p w:rsidR="00C06068" w:rsidRPr="00285352" w:rsidRDefault="00C06068" w:rsidP="00C06068">
      <w:pPr>
        <w:pStyle w:val="SingleTxt"/>
        <w:spacing w:after="0" w:line="120" w:lineRule="exact"/>
        <w:rPr>
          <w:i/>
          <w:sz w:val="10"/>
          <w:lang w:val="fr-FR"/>
        </w:rPr>
      </w:pPr>
    </w:p>
    <w:p w:rsidR="00C06068" w:rsidRPr="00285352"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BA0C2C">
        <w:rPr>
          <w:i/>
          <w:lang w:val="fr-FR"/>
        </w:rPr>
        <w:t>Objet de la recommandation dans le paragraphe 25</w:t>
      </w:r>
      <w:r w:rsidRPr="00521891">
        <w:rPr>
          <w:lang w:val="fr-FR"/>
        </w:rPr>
        <w:t>)</w:t>
      </w:r>
    </w:p>
    <w:p w:rsidR="00C06068" w:rsidRPr="00BA0C2C" w:rsidRDefault="00C06068" w:rsidP="00C06068">
      <w:pPr>
        <w:pStyle w:val="SingleTxt"/>
        <w:rPr>
          <w:i/>
          <w:lang w:val="fr-FR"/>
        </w:rPr>
      </w:pPr>
      <w:r>
        <w:rPr>
          <w:bCs/>
          <w:lang w:val="fr-FR"/>
        </w:rPr>
        <w:tab/>
      </w:r>
      <w:r w:rsidRPr="00BA0C2C">
        <w:rPr>
          <w:bCs/>
          <w:i/>
          <w:lang w:val="fr-FR"/>
        </w:rPr>
        <w:t>Le Comité invite instamment l’État partie à modifier le Code de la nationalité afin de le mettre en conformité avec l’article 9 de la Convention</w:t>
      </w:r>
      <w:r w:rsidRPr="00BA0C2C">
        <w:rPr>
          <w:i/>
          <w:lang w:val="fr-FR"/>
        </w:rPr>
        <w:t>.</w:t>
      </w:r>
    </w:p>
    <w:p w:rsidR="00C06068" w:rsidRPr="00521891" w:rsidRDefault="00C06068" w:rsidP="00C06068">
      <w:pPr>
        <w:pStyle w:val="SingleTxt"/>
        <w:numPr>
          <w:ilvl w:val="0"/>
          <w:numId w:val="10"/>
        </w:numPr>
        <w:rPr>
          <w:lang w:val="fr-FR"/>
        </w:rPr>
      </w:pPr>
      <w:r w:rsidRPr="00521891">
        <w:rPr>
          <w:lang w:val="fr-FR"/>
        </w:rPr>
        <w:t>En réponse à la recommandation du paragraphe 25, un projet de loi tenant compte</w:t>
      </w:r>
      <w:r>
        <w:rPr>
          <w:lang w:val="fr-FR"/>
        </w:rPr>
        <w:t xml:space="preserve"> des directives énoncées par la</w:t>
      </w:r>
      <w:r w:rsidRPr="00521891">
        <w:rPr>
          <w:lang w:val="fr-FR"/>
        </w:rPr>
        <w:t>dite recommandation est en cours de transmission au niveau du Parlement pour adoption.</w:t>
      </w:r>
    </w:p>
    <w:p w:rsidR="00C06068" w:rsidRPr="00521891" w:rsidRDefault="00C06068" w:rsidP="00C06068">
      <w:pPr>
        <w:pStyle w:val="SingleTxt"/>
        <w:numPr>
          <w:ilvl w:val="0"/>
          <w:numId w:val="10"/>
        </w:numPr>
        <w:rPr>
          <w:lang w:val="fr-FR"/>
        </w:rPr>
      </w:pPr>
      <w:r w:rsidRPr="00521891">
        <w:rPr>
          <w:lang w:val="fr-FR"/>
        </w:rPr>
        <w:t>Sur l</w:t>
      </w:r>
      <w:r>
        <w:rPr>
          <w:lang w:val="fr-FR"/>
        </w:rPr>
        <w:t>’</w:t>
      </w:r>
      <w:r w:rsidRPr="00521891">
        <w:rPr>
          <w:lang w:val="fr-FR"/>
        </w:rPr>
        <w:t xml:space="preserve">acquisition, le changement et la conservation de la nationalité pour la femme, ce projet de loi </w:t>
      </w:r>
      <w:r>
        <w:rPr>
          <w:lang w:val="fr-FR"/>
        </w:rPr>
        <w:t xml:space="preserve">en son article </w:t>
      </w:r>
      <w:r w:rsidRPr="00521891">
        <w:rPr>
          <w:lang w:val="fr-FR"/>
        </w:rPr>
        <w:t xml:space="preserve">9 dispose : </w:t>
      </w:r>
      <w:r>
        <w:rPr>
          <w:lang w:val="fr-FR"/>
        </w:rPr>
        <w:t>« </w:t>
      </w:r>
      <w:r w:rsidRPr="00521891">
        <w:rPr>
          <w:lang w:val="fr-FR"/>
        </w:rPr>
        <w:t>Est malgache, l</w:t>
      </w:r>
      <w:r>
        <w:rPr>
          <w:lang w:val="fr-FR"/>
        </w:rPr>
        <w:t>’</w:t>
      </w:r>
      <w:r w:rsidRPr="00521891">
        <w:rPr>
          <w:lang w:val="fr-FR"/>
        </w:rPr>
        <w:t>enfant dont la filiation est établie à l</w:t>
      </w:r>
      <w:r>
        <w:rPr>
          <w:lang w:val="fr-FR"/>
        </w:rPr>
        <w:t>’</w:t>
      </w:r>
      <w:r w:rsidRPr="00521891">
        <w:rPr>
          <w:lang w:val="fr-FR"/>
        </w:rPr>
        <w:t>égard d</w:t>
      </w:r>
      <w:r>
        <w:rPr>
          <w:lang w:val="fr-FR"/>
        </w:rPr>
        <w:t>’</w:t>
      </w:r>
      <w:r w:rsidRPr="00521891">
        <w:rPr>
          <w:lang w:val="fr-FR"/>
        </w:rPr>
        <w:t>un seul parent de nationalité malgache</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Ainsi, la femme qui a épousé un étranger a la faculté de conserver sa nationalité d</w:t>
      </w:r>
      <w:r>
        <w:rPr>
          <w:lang w:val="fr-FR"/>
        </w:rPr>
        <w:t>’</w:t>
      </w:r>
      <w:r w:rsidRPr="00521891">
        <w:rPr>
          <w:lang w:val="fr-FR"/>
        </w:rPr>
        <w:t>origine, même si elle acquiert celle de son mari, si la loi nationale de ce dernier le permet.</w:t>
      </w:r>
    </w:p>
    <w:p w:rsidR="00C06068" w:rsidRPr="00285352" w:rsidRDefault="00C06068" w:rsidP="00C06068">
      <w:pPr>
        <w:pStyle w:val="SingleTxt"/>
        <w:spacing w:after="0" w:line="120" w:lineRule="exact"/>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Sur le droit de la femme concernant la nationalité de son enfant</w:t>
      </w:r>
    </w:p>
    <w:p w:rsidR="00C06068" w:rsidRPr="00285352"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Une mère qui a acquis la nationalité malgache a la possibilité de transmettre celle-ci à ses enfants quelle que soit sa situation matrimoniale.</w:t>
      </w:r>
    </w:p>
    <w:p w:rsidR="00C06068" w:rsidRPr="00521891" w:rsidRDefault="00C06068" w:rsidP="00C06068">
      <w:pPr>
        <w:pStyle w:val="SingleTxt"/>
        <w:ind w:left="1742" w:hanging="475"/>
        <w:rPr>
          <w:i/>
          <w:lang w:val="fr-FR"/>
        </w:rPr>
      </w:pPr>
      <w:r>
        <w:rPr>
          <w:i/>
          <w:lang w:val="fr-FR"/>
        </w:rPr>
        <w:tab/>
      </w:r>
      <w:r w:rsidRPr="0013208B">
        <w:rPr>
          <w:i/>
          <w:lang w:val="fr-FR"/>
        </w:rPr>
        <w:t>Article 40</w:t>
      </w:r>
      <w:r>
        <w:rPr>
          <w:i/>
          <w:lang w:val="fr-FR"/>
        </w:rPr>
        <w:t xml:space="preserve"> –</w:t>
      </w:r>
      <w:r w:rsidRPr="00521891">
        <w:rPr>
          <w:i/>
          <w:lang w:val="fr-FR"/>
        </w:rPr>
        <w:t xml:space="preserve"> </w:t>
      </w:r>
      <w:r>
        <w:rPr>
          <w:lang w:val="fr-FR"/>
        </w:rPr>
        <w:t>« </w:t>
      </w:r>
      <w:r w:rsidRPr="00521891">
        <w:rPr>
          <w:i/>
          <w:lang w:val="fr-FR"/>
        </w:rPr>
        <w:t>Devient de plein droit malgache au même titre que ses parents, à condition que sa filiation soit établie conformément au droit civil malgache :</w:t>
      </w:r>
    </w:p>
    <w:p w:rsidR="00C06068" w:rsidRPr="0013208B" w:rsidRDefault="00C06068" w:rsidP="00C06068">
      <w:pPr>
        <w:pStyle w:val="SingleTxt"/>
        <w:tabs>
          <w:tab w:val="clear" w:pos="1742"/>
          <w:tab w:val="clear" w:pos="2218"/>
          <w:tab w:val="right" w:pos="2106"/>
          <w:tab w:val="left" w:pos="2340"/>
        </w:tabs>
        <w:ind w:left="2196" w:hanging="475"/>
        <w:rPr>
          <w:i/>
          <w:lang w:val="fr-FR"/>
        </w:rPr>
      </w:pPr>
      <w:r w:rsidRPr="0013208B">
        <w:rPr>
          <w:i/>
          <w:lang w:val="fr-FR"/>
        </w:rPr>
        <w:tab/>
        <w:t>•</w:t>
      </w:r>
      <w:r w:rsidRPr="0013208B">
        <w:rPr>
          <w:i/>
          <w:lang w:val="fr-FR"/>
        </w:rPr>
        <w:tab/>
        <w:t>L</w:t>
      </w:r>
      <w:r>
        <w:rPr>
          <w:i/>
          <w:lang w:val="fr-FR"/>
        </w:rPr>
        <w:t>’</w:t>
      </w:r>
      <w:r w:rsidRPr="0013208B">
        <w:rPr>
          <w:i/>
          <w:lang w:val="fr-FR"/>
        </w:rPr>
        <w:t>enfant légitime ou légitimé dont le père ou la mère, acquiert la nationalité malgache;</w:t>
      </w:r>
    </w:p>
    <w:p w:rsidR="00C06068" w:rsidRPr="0013208B" w:rsidRDefault="00C06068" w:rsidP="00C06068">
      <w:pPr>
        <w:pStyle w:val="SingleTxt"/>
        <w:tabs>
          <w:tab w:val="clear" w:pos="1742"/>
          <w:tab w:val="clear" w:pos="2218"/>
          <w:tab w:val="right" w:pos="2106"/>
          <w:tab w:val="left" w:pos="2340"/>
        </w:tabs>
        <w:ind w:left="2196" w:hanging="475"/>
        <w:rPr>
          <w:i/>
          <w:lang w:val="fr-FR"/>
        </w:rPr>
      </w:pPr>
      <w:r w:rsidRPr="0013208B">
        <w:rPr>
          <w:i/>
          <w:lang w:val="fr-FR"/>
        </w:rPr>
        <w:tab/>
        <w:t>•</w:t>
      </w:r>
      <w:r w:rsidRPr="0013208B">
        <w:rPr>
          <w:i/>
          <w:lang w:val="fr-FR"/>
        </w:rPr>
        <w:tab/>
        <w:t>L</w:t>
      </w:r>
      <w:r>
        <w:rPr>
          <w:i/>
          <w:lang w:val="fr-FR"/>
        </w:rPr>
        <w:t>’</w:t>
      </w:r>
      <w:r w:rsidRPr="0013208B">
        <w:rPr>
          <w:i/>
          <w:lang w:val="fr-FR"/>
        </w:rPr>
        <w:t>enfant né hors mariage, dont celui des parents à l</w:t>
      </w:r>
      <w:r>
        <w:rPr>
          <w:i/>
          <w:lang w:val="fr-FR"/>
        </w:rPr>
        <w:t>’</w:t>
      </w:r>
      <w:r w:rsidRPr="0013208B">
        <w:rPr>
          <w:i/>
          <w:lang w:val="fr-FR"/>
        </w:rPr>
        <w:t>égard duquel la filiation a été établie en premier lieu ou, le cas échéant, dont le parent survivant acquiert la nationalité malgache ».</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enfant de nationalité étrangère qui a fait l</w:t>
      </w:r>
      <w:r>
        <w:rPr>
          <w:lang w:val="fr-FR"/>
        </w:rPr>
        <w:t>’</w:t>
      </w:r>
      <w:r w:rsidRPr="00521891">
        <w:rPr>
          <w:lang w:val="fr-FR"/>
        </w:rPr>
        <w:t>objet d</w:t>
      </w:r>
      <w:r>
        <w:rPr>
          <w:lang w:val="fr-FR"/>
        </w:rPr>
        <w:t>’</w:t>
      </w:r>
      <w:r w:rsidRPr="00521891">
        <w:rPr>
          <w:lang w:val="fr-FR"/>
        </w:rPr>
        <w:t>une adoption plénière acquiert la nationalité malgache si l</w:t>
      </w:r>
      <w:r>
        <w:rPr>
          <w:lang w:val="fr-FR"/>
        </w:rPr>
        <w:t>’</w:t>
      </w:r>
      <w:r w:rsidRPr="00521891">
        <w:rPr>
          <w:lang w:val="fr-FR"/>
        </w:rPr>
        <w:t>un des parents adoptifs est malgache.</w:t>
      </w:r>
    </w:p>
    <w:p w:rsidR="00C06068" w:rsidRPr="00285352" w:rsidRDefault="00C06068" w:rsidP="00C06068">
      <w:pPr>
        <w:pStyle w:val="SingleTxt"/>
        <w:spacing w:after="0" w:line="120" w:lineRule="exact"/>
        <w:rPr>
          <w:b/>
          <w:sz w:val="10"/>
          <w:lang w:val="fr-FR"/>
        </w:rPr>
      </w:pPr>
      <w:bookmarkStart w:id="68" w:name="_Toc376709322"/>
    </w:p>
    <w:p w:rsidR="00C06068" w:rsidRPr="00285352"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t>Application de l</w:t>
      </w:r>
      <w:r>
        <w:rPr>
          <w:lang w:val="fr-FR"/>
        </w:rPr>
        <w:t>’a</w:t>
      </w:r>
      <w:r w:rsidRPr="00521891">
        <w:rPr>
          <w:lang w:val="fr-FR"/>
        </w:rPr>
        <w:t xml:space="preserve">rticle 10 de la Convention : sensibilisation </w:t>
      </w:r>
      <w:r>
        <w:rPr>
          <w:lang w:val="fr-FR"/>
        </w:rPr>
        <w:br/>
      </w:r>
      <w:r w:rsidRPr="00521891">
        <w:rPr>
          <w:lang w:val="fr-FR"/>
        </w:rPr>
        <w:t>sur l</w:t>
      </w:r>
      <w:r>
        <w:rPr>
          <w:lang w:val="fr-FR"/>
        </w:rPr>
        <w:t>’</w:t>
      </w:r>
      <w:r w:rsidRPr="00521891">
        <w:rPr>
          <w:lang w:val="fr-FR"/>
        </w:rPr>
        <w:t>importance de l</w:t>
      </w:r>
      <w:r>
        <w:rPr>
          <w:lang w:val="fr-FR"/>
        </w:rPr>
        <w:t>’</w:t>
      </w:r>
      <w:r w:rsidRPr="00521891">
        <w:rPr>
          <w:lang w:val="fr-FR"/>
        </w:rPr>
        <w:t>éducation</w:t>
      </w:r>
      <w:bookmarkEnd w:id="68"/>
    </w:p>
    <w:p w:rsidR="00C06068" w:rsidRPr="00285352" w:rsidRDefault="00C06068" w:rsidP="00C06068">
      <w:pPr>
        <w:pStyle w:val="SingleTxt"/>
        <w:keepNext/>
        <w:keepLines/>
        <w:spacing w:after="0" w:line="120" w:lineRule="exact"/>
        <w:rPr>
          <w:i/>
          <w:sz w:val="10"/>
          <w:lang w:val="fr-FR"/>
        </w:rPr>
      </w:pPr>
    </w:p>
    <w:p w:rsidR="00C06068" w:rsidRPr="00285352"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BA0C2C">
        <w:rPr>
          <w:i/>
          <w:lang w:val="fr-FR"/>
        </w:rPr>
        <w:t>Objet de la recommandation dans le paragraphe 27</w:t>
      </w:r>
      <w:r w:rsidRPr="00521891">
        <w:rPr>
          <w:lang w:val="fr-FR"/>
        </w:rPr>
        <w:t>)</w:t>
      </w:r>
    </w:p>
    <w:p w:rsidR="00C06068" w:rsidRPr="00BA0C2C" w:rsidRDefault="00C06068" w:rsidP="00C06068">
      <w:pPr>
        <w:pStyle w:val="SingleTxt"/>
        <w:rPr>
          <w:i/>
          <w:lang w:val="fr-FR"/>
        </w:rPr>
      </w:pPr>
      <w:r>
        <w:rPr>
          <w:bCs/>
          <w:lang w:val="fr-FR"/>
        </w:rPr>
        <w:tab/>
      </w:r>
      <w:r w:rsidRPr="00BA0C2C">
        <w:rPr>
          <w:bCs/>
          <w:i/>
          <w:lang w:val="fr-FR"/>
        </w:rPr>
        <w:t>Le Comité engage vivement l’État partie à sensibiliser les esprits à l’importance de l’éducation en tant que droit fondamental et moyen de favoriser l’autonomie des femmes et à prendre des mesures pour éliminer les attitudes traditionnelles qui empêchent les femmes et les filles de jouir pleinement de leur droit fondamental à l’éducation. Il lui recommande de prendre des mesures pour assurer l’égalité d’accès des filles et des jeunes femmes à tous les niveaux d’éducation, faire en sorte que les filles restent scolarisées et permettre aux filles et aux jeunes femmes enceintes de retourner à l’école après leur grossesse. Il l’engage aussi à prendre des mesures pour augmenter le taux de scolarisation des filles à tous les niveaux et lui recommande d’adopter des mesures spéciales temporaires en application de sa recommandation générale n</w:t>
      </w:r>
      <w:r w:rsidRPr="00BA0C2C">
        <w:rPr>
          <w:bCs/>
          <w:i/>
          <w:vertAlign w:val="superscript"/>
          <w:lang w:val="fr-FR"/>
        </w:rPr>
        <w:t>o </w:t>
      </w:r>
      <w:r w:rsidRPr="00BA0C2C">
        <w:rPr>
          <w:bCs/>
          <w:i/>
          <w:lang w:val="fr-FR"/>
        </w:rPr>
        <w:t>25, y compris des mesures incitant les parents à envoyer leurs filles à l’école</w:t>
      </w:r>
      <w:r w:rsidRPr="00BA0C2C">
        <w:rPr>
          <w:i/>
          <w:lang w:val="fr-FR"/>
        </w:rPr>
        <w:t>.</w:t>
      </w:r>
    </w:p>
    <w:p w:rsidR="00C06068" w:rsidRPr="00521891" w:rsidRDefault="00C06068" w:rsidP="00C06068">
      <w:pPr>
        <w:pStyle w:val="SingleTxt"/>
        <w:numPr>
          <w:ilvl w:val="0"/>
          <w:numId w:val="10"/>
        </w:numPr>
        <w:rPr>
          <w:lang w:val="fr-FR"/>
        </w:rPr>
      </w:pPr>
      <w:r w:rsidRPr="00521891">
        <w:rPr>
          <w:lang w:val="fr-FR"/>
        </w:rPr>
        <w:t>En réponse à cette recommandation, la Constitution du 11 décembre 2010 reprend le principe d</w:t>
      </w:r>
      <w:r>
        <w:rPr>
          <w:lang w:val="fr-FR"/>
        </w:rPr>
        <w:t>’égalité des sexes</w:t>
      </w:r>
      <w:r w:rsidRPr="00521891">
        <w:rPr>
          <w:lang w:val="fr-FR"/>
        </w:rPr>
        <w:t xml:space="preserve"> en matière de droit à l</w:t>
      </w:r>
      <w:r>
        <w:rPr>
          <w:lang w:val="fr-FR"/>
        </w:rPr>
        <w:t>’</w:t>
      </w:r>
      <w:r w:rsidRPr="00521891">
        <w:rPr>
          <w:lang w:val="fr-FR"/>
        </w:rPr>
        <w:t xml:space="preserve">éducation. Elle stipule en son article 23 : </w:t>
      </w:r>
      <w:r>
        <w:rPr>
          <w:lang w:val="fr-FR"/>
        </w:rPr>
        <w:t>« </w:t>
      </w:r>
      <w:r w:rsidRPr="00521891">
        <w:rPr>
          <w:lang w:val="fr-FR"/>
        </w:rPr>
        <w:t>Tout enfant a droit à l</w:t>
      </w:r>
      <w:r>
        <w:rPr>
          <w:lang w:val="fr-FR"/>
        </w:rPr>
        <w:t>’</w:t>
      </w:r>
      <w:r w:rsidRPr="00521891">
        <w:rPr>
          <w:lang w:val="fr-FR"/>
        </w:rPr>
        <w:t>instruction et à l</w:t>
      </w:r>
      <w:r>
        <w:rPr>
          <w:lang w:val="fr-FR"/>
        </w:rPr>
        <w:t>’</w:t>
      </w:r>
      <w:r w:rsidRPr="00521891">
        <w:rPr>
          <w:lang w:val="fr-FR"/>
        </w:rPr>
        <w:t>éducation sous la responsabilité des parents dans le respect de leur liberté de choix</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Par ailleurs, selon les dispositions de l</w:t>
      </w:r>
      <w:r>
        <w:rPr>
          <w:lang w:val="fr-FR"/>
        </w:rPr>
        <w:t>’</w:t>
      </w:r>
      <w:r w:rsidRPr="00521891">
        <w:rPr>
          <w:lang w:val="fr-FR"/>
        </w:rPr>
        <w:t xml:space="preserve">article 22 : </w:t>
      </w:r>
      <w:r>
        <w:rPr>
          <w:lang w:val="fr-FR"/>
        </w:rPr>
        <w:t>« </w:t>
      </w:r>
      <w:r w:rsidRPr="00521891">
        <w:rPr>
          <w:lang w:val="fr-FR"/>
        </w:rPr>
        <w:t>L</w:t>
      </w:r>
      <w:r>
        <w:rPr>
          <w:lang w:val="fr-FR"/>
        </w:rPr>
        <w:t>’</w:t>
      </w:r>
      <w:r w:rsidRPr="00521891">
        <w:rPr>
          <w:lang w:val="fr-FR"/>
        </w:rPr>
        <w:t>État s</w:t>
      </w:r>
      <w:r>
        <w:rPr>
          <w:lang w:val="fr-FR"/>
        </w:rPr>
        <w:t>’</w:t>
      </w:r>
      <w:r w:rsidRPr="00521891">
        <w:rPr>
          <w:lang w:val="fr-FR"/>
        </w:rPr>
        <w:t>engage à prendre les mesures nécessaires en vue d</w:t>
      </w:r>
      <w:r>
        <w:rPr>
          <w:lang w:val="fr-FR"/>
        </w:rPr>
        <w:t>’</w:t>
      </w:r>
      <w:r w:rsidRPr="00521891">
        <w:rPr>
          <w:lang w:val="fr-FR"/>
        </w:rPr>
        <w:t>assurer le développement intellectuel de tout individu sans autre limitation que les aptitudes de chacun</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En outre, l</w:t>
      </w:r>
      <w:r>
        <w:rPr>
          <w:lang w:val="fr-FR"/>
        </w:rPr>
        <w:t>’</w:t>
      </w:r>
      <w:r w:rsidRPr="00521891">
        <w:rPr>
          <w:lang w:val="fr-FR"/>
        </w:rPr>
        <w:t>article 24 de la même constitution garantit l</w:t>
      </w:r>
      <w:r>
        <w:rPr>
          <w:lang w:val="fr-FR"/>
        </w:rPr>
        <w:t>’</w:t>
      </w:r>
      <w:r w:rsidRPr="00521891">
        <w:rPr>
          <w:lang w:val="fr-FR"/>
        </w:rPr>
        <w:t>égal accès pour tous à un enseignement public gratuit.</w:t>
      </w:r>
    </w:p>
    <w:p w:rsidR="00C06068" w:rsidRPr="00285352" w:rsidRDefault="00C06068" w:rsidP="00C06068">
      <w:pPr>
        <w:pStyle w:val="SingleTxt"/>
        <w:spacing w:after="0" w:line="120" w:lineRule="exact"/>
        <w:rPr>
          <w:b/>
          <w:sz w:val="10"/>
          <w:lang w:val="fr-FR"/>
        </w:rPr>
      </w:pPr>
      <w:bookmarkStart w:id="69" w:name="_Toc376709323"/>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Mesures législatives</w:t>
      </w:r>
      <w:bookmarkEnd w:id="69"/>
    </w:p>
    <w:p w:rsidR="00C06068" w:rsidRPr="00285352"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Suivant les termes de la loi n</w:t>
      </w:r>
      <w:r w:rsidRPr="00521891">
        <w:rPr>
          <w:vertAlign w:val="superscript"/>
          <w:lang w:val="fr-FR"/>
        </w:rPr>
        <w:t>o</w:t>
      </w:r>
      <w:r>
        <w:rPr>
          <w:vertAlign w:val="superscript"/>
          <w:lang w:val="fr-FR"/>
        </w:rPr>
        <w:t> </w:t>
      </w:r>
      <w:r w:rsidRPr="00521891">
        <w:rPr>
          <w:lang w:val="fr-FR"/>
        </w:rPr>
        <w:t>2008-011 du 26 juillet 2008 portant orientation générale du système d</w:t>
      </w:r>
      <w:r>
        <w:rPr>
          <w:lang w:val="fr-FR"/>
        </w:rPr>
        <w:t>’</w:t>
      </w:r>
      <w:r w:rsidRPr="00521891">
        <w:rPr>
          <w:lang w:val="fr-FR"/>
        </w:rPr>
        <w:t>éducation, d</w:t>
      </w:r>
      <w:r>
        <w:rPr>
          <w:lang w:val="fr-FR"/>
        </w:rPr>
        <w:t>’</w:t>
      </w:r>
      <w:r w:rsidRPr="00521891">
        <w:rPr>
          <w:lang w:val="fr-FR"/>
        </w:rPr>
        <w:t>enseignement et de formation à Madagascar, les jeunes filles au même titre que les garçons jouissent d</w:t>
      </w:r>
      <w:r>
        <w:rPr>
          <w:lang w:val="fr-FR"/>
        </w:rPr>
        <w:t>’</w:t>
      </w:r>
      <w:r w:rsidRPr="00521891">
        <w:rPr>
          <w:lang w:val="fr-FR"/>
        </w:rPr>
        <w:t>un libre accès au système éducatif.</w:t>
      </w:r>
    </w:p>
    <w:p w:rsidR="00C06068" w:rsidRPr="00521891" w:rsidRDefault="00C06068" w:rsidP="00C06068">
      <w:pPr>
        <w:pStyle w:val="SingleTxt"/>
        <w:numPr>
          <w:ilvl w:val="0"/>
          <w:numId w:val="10"/>
        </w:numPr>
        <w:rPr>
          <w:lang w:val="fr-FR"/>
        </w:rPr>
      </w:pPr>
      <w:r w:rsidRPr="00521891">
        <w:rPr>
          <w:lang w:val="fr-FR"/>
        </w:rPr>
        <w:t>Les données statistiques scolaires ci-après montrent la proportion des filles dans le système éducatif malagasy.</w:t>
      </w:r>
    </w:p>
    <w:p w:rsidR="00C06068" w:rsidRPr="00285352" w:rsidRDefault="00C06068" w:rsidP="00C06068">
      <w:pPr>
        <w:pStyle w:val="SingleTxt"/>
        <w:spacing w:after="0" w:line="120" w:lineRule="exact"/>
        <w:rPr>
          <w:b/>
          <w:sz w:val="10"/>
          <w:lang w:val="fr-FR"/>
        </w:rPr>
      </w:pPr>
      <w:bookmarkStart w:id="70" w:name="_Toc377129295"/>
    </w:p>
    <w:p w:rsidR="00C06068" w:rsidRPr="00285352"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285352">
        <w:rPr>
          <w:b w:val="0"/>
          <w:lang w:val="fr-FR"/>
        </w:rPr>
        <w:t xml:space="preserve">Tableau </w:t>
      </w:r>
      <w:r>
        <w:rPr>
          <w:b w:val="0"/>
          <w:lang w:val="fr-FR"/>
        </w:rPr>
        <w:t>9</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Statistiques du système éducatif malagasy avec la proportion des filles</w:t>
      </w:r>
      <w:bookmarkEnd w:id="70"/>
    </w:p>
    <w:p w:rsidR="00C06068" w:rsidRPr="00285352" w:rsidRDefault="00C06068" w:rsidP="00C06068">
      <w:pPr>
        <w:pStyle w:val="SingleTxt"/>
        <w:spacing w:after="0" w:line="120" w:lineRule="exact"/>
        <w:rPr>
          <w:sz w:val="10"/>
          <w:lang w:val="fr-FR"/>
        </w:rPr>
      </w:pPr>
    </w:p>
    <w:p w:rsidR="00C06068" w:rsidRPr="00285352" w:rsidRDefault="00C06068" w:rsidP="00C06068">
      <w:pPr>
        <w:pStyle w:val="SingleTxt"/>
        <w:spacing w:after="0" w:line="120" w:lineRule="exact"/>
        <w:rPr>
          <w:sz w:val="10"/>
          <w:lang w:val="fr-FR"/>
        </w:rPr>
      </w:pPr>
    </w:p>
    <w:tbl>
      <w:tblPr>
        <w:tblW w:w="9838" w:type="dxa"/>
        <w:tblLayout w:type="fixed"/>
        <w:tblCellMar>
          <w:left w:w="0" w:type="dxa"/>
          <w:right w:w="0" w:type="dxa"/>
        </w:tblCellMar>
        <w:tblLook w:val="0000"/>
      </w:tblPr>
      <w:tblGrid>
        <w:gridCol w:w="1710"/>
        <w:gridCol w:w="990"/>
        <w:gridCol w:w="720"/>
        <w:gridCol w:w="75"/>
        <w:gridCol w:w="915"/>
        <w:gridCol w:w="1052"/>
        <w:gridCol w:w="65"/>
        <w:gridCol w:w="953"/>
        <w:gridCol w:w="1018"/>
        <w:gridCol w:w="71"/>
        <w:gridCol w:w="981"/>
        <w:gridCol w:w="1288"/>
      </w:tblGrid>
      <w:tr w:rsidR="00C06068" w:rsidRPr="00285352" w:rsidTr="007F3574">
        <w:tblPrEx>
          <w:tblCellMar>
            <w:top w:w="0" w:type="dxa"/>
            <w:bottom w:w="0" w:type="dxa"/>
          </w:tblCellMar>
        </w:tblPrEx>
        <w:trPr>
          <w:tblHeader/>
        </w:trPr>
        <w:tc>
          <w:tcPr>
            <w:tcW w:w="1710" w:type="dxa"/>
            <w:tcBorders>
              <w:top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p>
        </w:tc>
        <w:tc>
          <w:tcPr>
            <w:tcW w:w="1710" w:type="dxa"/>
            <w:gridSpan w:val="2"/>
            <w:tcBorders>
              <w:top w:val="single" w:sz="4" w:space="0" w:color="auto"/>
              <w:bottom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r>
              <w:rPr>
                <w:i/>
                <w:sz w:val="14"/>
                <w:lang w:val="fr-FR"/>
              </w:rPr>
              <w:t>Total préscolaire</w:t>
            </w:r>
          </w:p>
        </w:tc>
        <w:tc>
          <w:tcPr>
            <w:tcW w:w="75" w:type="dxa"/>
            <w:tcBorders>
              <w:top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p>
        </w:tc>
        <w:tc>
          <w:tcPr>
            <w:tcW w:w="1967" w:type="dxa"/>
            <w:gridSpan w:val="2"/>
            <w:tcBorders>
              <w:top w:val="single" w:sz="4" w:space="0" w:color="auto"/>
              <w:bottom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r w:rsidRPr="00285352">
              <w:rPr>
                <w:i/>
                <w:sz w:val="14"/>
                <w:lang w:val="fr-FR"/>
              </w:rPr>
              <w:t>Total de la CP1 à la CM2</w:t>
            </w:r>
          </w:p>
        </w:tc>
        <w:tc>
          <w:tcPr>
            <w:tcW w:w="65" w:type="dxa"/>
            <w:tcBorders>
              <w:top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p>
        </w:tc>
        <w:tc>
          <w:tcPr>
            <w:tcW w:w="1971" w:type="dxa"/>
            <w:gridSpan w:val="2"/>
            <w:tcBorders>
              <w:top w:val="single" w:sz="4" w:space="0" w:color="auto"/>
              <w:bottom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r w:rsidRPr="00285352">
              <w:rPr>
                <w:i/>
                <w:sz w:val="14"/>
                <w:lang w:val="fr-FR"/>
              </w:rPr>
              <w:t>Total de la 6</w:t>
            </w:r>
            <w:r w:rsidRPr="0013208B">
              <w:rPr>
                <w:i/>
                <w:sz w:val="14"/>
                <w:vertAlign w:val="superscript"/>
                <w:lang w:val="fr-FR"/>
              </w:rPr>
              <w:t>e</w:t>
            </w:r>
            <w:r w:rsidRPr="00285352">
              <w:rPr>
                <w:i/>
                <w:sz w:val="14"/>
                <w:lang w:val="fr-FR"/>
              </w:rPr>
              <w:t xml:space="preserve"> à la 3</w:t>
            </w:r>
            <w:r w:rsidRPr="0013208B">
              <w:rPr>
                <w:i/>
                <w:sz w:val="14"/>
                <w:vertAlign w:val="superscript"/>
                <w:lang w:val="fr-FR"/>
              </w:rPr>
              <w:t>e</w:t>
            </w:r>
          </w:p>
        </w:tc>
        <w:tc>
          <w:tcPr>
            <w:tcW w:w="71" w:type="dxa"/>
            <w:tcBorders>
              <w:top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p>
        </w:tc>
        <w:tc>
          <w:tcPr>
            <w:tcW w:w="2269" w:type="dxa"/>
            <w:gridSpan w:val="2"/>
            <w:tcBorders>
              <w:top w:val="single" w:sz="4" w:space="0" w:color="auto"/>
              <w:bottom w:val="single" w:sz="4" w:space="0" w:color="auto"/>
            </w:tcBorders>
            <w:shd w:val="clear" w:color="auto" w:fill="auto"/>
            <w:vAlign w:val="bottom"/>
          </w:tcPr>
          <w:p w:rsidR="00C06068" w:rsidRPr="00285352" w:rsidRDefault="00C06068" w:rsidP="007F3574">
            <w:pPr>
              <w:suppressAutoHyphens/>
              <w:spacing w:before="80" w:after="80" w:line="160" w:lineRule="exact"/>
              <w:ind w:right="43"/>
              <w:jc w:val="center"/>
              <w:rPr>
                <w:i/>
                <w:sz w:val="14"/>
                <w:lang w:val="fr-FR"/>
              </w:rPr>
            </w:pPr>
            <w:r>
              <w:rPr>
                <w:i/>
                <w:sz w:val="14"/>
                <w:lang w:val="fr-FR"/>
              </w:rPr>
              <w:t>Total de la s</w:t>
            </w:r>
            <w:r w:rsidRPr="00285352">
              <w:rPr>
                <w:i/>
                <w:sz w:val="14"/>
                <w:lang w:val="fr-FR"/>
              </w:rPr>
              <w:t xml:space="preserve">econde à la </w:t>
            </w:r>
            <w:r>
              <w:rPr>
                <w:i/>
                <w:sz w:val="14"/>
                <w:lang w:val="fr-FR"/>
              </w:rPr>
              <w:t>t</w:t>
            </w:r>
            <w:r w:rsidRPr="00285352">
              <w:rPr>
                <w:i/>
                <w:sz w:val="14"/>
                <w:lang w:val="fr-FR"/>
              </w:rPr>
              <w:t>erminale</w:t>
            </w:r>
          </w:p>
        </w:tc>
      </w:tr>
      <w:tr w:rsidR="00C06068" w:rsidRPr="00285352" w:rsidTr="007F3574">
        <w:tblPrEx>
          <w:tblCellMar>
            <w:top w:w="0" w:type="dxa"/>
            <w:bottom w:w="0" w:type="dxa"/>
          </w:tblCellMar>
        </w:tblPrEx>
        <w:trPr>
          <w:tblHeader/>
        </w:trPr>
        <w:tc>
          <w:tcPr>
            <w:tcW w:w="1710" w:type="dxa"/>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rPr>
                <w:i/>
                <w:sz w:val="14"/>
                <w:lang w:val="fr-FR"/>
              </w:rPr>
            </w:pPr>
            <w:r>
              <w:rPr>
                <w:i/>
                <w:sz w:val="14"/>
                <w:lang w:val="fr-FR"/>
              </w:rPr>
              <w:t>Région</w:t>
            </w:r>
          </w:p>
        </w:tc>
        <w:tc>
          <w:tcPr>
            <w:tcW w:w="990" w:type="dxa"/>
            <w:tcBorders>
              <w:top w:val="single" w:sz="4" w:space="0" w:color="auto"/>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 xml:space="preserve">Garçons </w:t>
            </w:r>
            <w:r>
              <w:rPr>
                <w:i/>
                <w:sz w:val="14"/>
                <w:lang w:val="fr-FR"/>
              </w:rPr>
              <w:br/>
              <w:t>et filles</w:t>
            </w:r>
          </w:p>
        </w:tc>
        <w:tc>
          <w:tcPr>
            <w:tcW w:w="720" w:type="dxa"/>
            <w:tcBorders>
              <w:top w:val="single" w:sz="4" w:space="0" w:color="auto"/>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Filles</w:t>
            </w:r>
          </w:p>
        </w:tc>
        <w:tc>
          <w:tcPr>
            <w:tcW w:w="990" w:type="dxa"/>
            <w:gridSpan w:val="2"/>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 xml:space="preserve">Garçons </w:t>
            </w:r>
            <w:r>
              <w:rPr>
                <w:i/>
                <w:sz w:val="14"/>
                <w:lang w:val="fr-FR"/>
              </w:rPr>
              <w:br/>
              <w:t>et filles</w:t>
            </w:r>
          </w:p>
        </w:tc>
        <w:tc>
          <w:tcPr>
            <w:tcW w:w="1052" w:type="dxa"/>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Filles</w:t>
            </w:r>
          </w:p>
        </w:tc>
        <w:tc>
          <w:tcPr>
            <w:tcW w:w="1018" w:type="dxa"/>
            <w:gridSpan w:val="2"/>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 xml:space="preserve">Garçons </w:t>
            </w:r>
            <w:r>
              <w:rPr>
                <w:i/>
                <w:sz w:val="14"/>
                <w:lang w:val="fr-FR"/>
              </w:rPr>
              <w:br/>
              <w:t>et filles</w:t>
            </w:r>
          </w:p>
        </w:tc>
        <w:tc>
          <w:tcPr>
            <w:tcW w:w="1018" w:type="dxa"/>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Filles</w:t>
            </w:r>
          </w:p>
        </w:tc>
        <w:tc>
          <w:tcPr>
            <w:tcW w:w="1052" w:type="dxa"/>
            <w:gridSpan w:val="2"/>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 xml:space="preserve">Garçons </w:t>
            </w:r>
            <w:r>
              <w:rPr>
                <w:i/>
                <w:sz w:val="14"/>
                <w:lang w:val="fr-FR"/>
              </w:rPr>
              <w:br/>
              <w:t>et filles</w:t>
            </w:r>
          </w:p>
        </w:tc>
        <w:tc>
          <w:tcPr>
            <w:tcW w:w="1288" w:type="dxa"/>
            <w:tcBorders>
              <w:bottom w:val="single" w:sz="12" w:space="0" w:color="auto"/>
            </w:tcBorders>
            <w:shd w:val="clear" w:color="auto" w:fill="auto"/>
            <w:vAlign w:val="bottom"/>
          </w:tcPr>
          <w:p w:rsidR="00C06068" w:rsidRPr="00285352" w:rsidRDefault="00C06068" w:rsidP="007F3574">
            <w:pPr>
              <w:suppressAutoHyphens/>
              <w:spacing w:before="80" w:after="80" w:line="160" w:lineRule="exact"/>
              <w:ind w:right="43"/>
              <w:jc w:val="right"/>
              <w:rPr>
                <w:i/>
                <w:sz w:val="14"/>
                <w:lang w:val="fr-FR"/>
              </w:rPr>
            </w:pPr>
            <w:r>
              <w:rPr>
                <w:i/>
                <w:sz w:val="14"/>
                <w:lang w:val="fr-FR"/>
              </w:rPr>
              <w:t>Filles</w:t>
            </w:r>
          </w:p>
        </w:tc>
      </w:tr>
      <w:tr w:rsidR="00C06068" w:rsidRPr="00285352" w:rsidTr="007F3574">
        <w:tblPrEx>
          <w:tblCellMar>
            <w:top w:w="0" w:type="dxa"/>
            <w:bottom w:w="0" w:type="dxa"/>
          </w:tblCellMar>
        </w:tblPrEx>
        <w:trPr>
          <w:trHeight w:hRule="exact" w:val="115"/>
          <w:tblHeader/>
        </w:trPr>
        <w:tc>
          <w:tcPr>
            <w:tcW w:w="1710"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rPr>
                <w:sz w:val="17"/>
                <w:lang w:val="fr-FR"/>
              </w:rPr>
            </w:pPr>
          </w:p>
        </w:tc>
        <w:tc>
          <w:tcPr>
            <w:tcW w:w="990"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990" w:type="dxa"/>
            <w:gridSpan w:val="2"/>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1052"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1018" w:type="dxa"/>
            <w:gridSpan w:val="2"/>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1018"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1052" w:type="dxa"/>
            <w:gridSpan w:val="2"/>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c>
          <w:tcPr>
            <w:tcW w:w="1288" w:type="dxa"/>
            <w:tcBorders>
              <w:top w:val="single" w:sz="12" w:space="0" w:color="auto"/>
            </w:tcBorders>
            <w:shd w:val="clear" w:color="auto" w:fill="auto"/>
            <w:vAlign w:val="bottom"/>
          </w:tcPr>
          <w:p w:rsidR="00C06068" w:rsidRPr="00285352" w:rsidRDefault="00C06068" w:rsidP="007F3574">
            <w:pPr>
              <w:suppressAutoHyphens/>
              <w:spacing w:before="40" w:after="40" w:line="210" w:lineRule="exact"/>
              <w:ind w:right="43"/>
              <w:jc w:val="right"/>
              <w:rPr>
                <w:sz w:val="17"/>
                <w:lang w:val="fr-FR"/>
              </w:rPr>
            </w:pP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Alaotra Mangoro</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2 194</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1 139</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181 397</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89 026</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32 990</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16 590</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7 702</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3 706</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Amoron</w:t>
            </w:r>
            <w:r>
              <w:rPr>
                <w:sz w:val="17"/>
                <w:lang w:val="fr-FR"/>
              </w:rPr>
              <w:t>’</w:t>
            </w:r>
            <w:r w:rsidRPr="00285352">
              <w:rPr>
                <w:sz w:val="17"/>
                <w:lang w:val="fr-FR"/>
              </w:rPr>
              <w:t>i Mania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5 696</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2 852</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139 138</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67 865</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33 287</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17 243</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5 549</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2 719</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Analamanga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3 738</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1 906</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283 207</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135 612</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94 716</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48 702</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23 048</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12 007</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Analanjirofo</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6 047</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3 091</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242 241</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117 396</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56 582</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26 432</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5 235</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2 130</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Androy</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509</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269</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118 442</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64 152</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10 907</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5 474</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1 624</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699</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Anosy</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92 861</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47 391</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10 822</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4 869</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2 149</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955</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Atsimo Andrefana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1 914</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1 007</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184 994</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97 801</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27 261</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12 857</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6 186</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2 632</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Atsimo Atsinanana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2 029</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1 092</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185 359</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89 163</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22 243</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8 827</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2 296</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795</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Atsinanana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1 608</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842</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248 074</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122 135</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38 896</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19 324</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6 669</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3 300</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Betsiboka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48 704</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24 154</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6 498</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3 118</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999</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451</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Boeny</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1 516</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774</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91 936</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45 770</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15 289</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7 205</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3 770</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1 670</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Bongolava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50</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21</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74 631</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36 593</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12 444</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6 101</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2 064</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935</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Diana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2 234</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1 144</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96 930</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48 555</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23 479</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11 736</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5 412</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2 530</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Haute Matsiatra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2 303</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1 179</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208 926</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102 905</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46 966</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25 352</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8 237</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3 982</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Ihorombe</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124</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67</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48 704</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23 450</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5 374</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2 426</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1 224</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557</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Itasy</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892</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481</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111 947</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54 454</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23 585</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12 290</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3 743</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1 816</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Melaky</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32 585</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16 081</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3 410</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1 587</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668</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270</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Menabe</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675</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376</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82 521</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42 230</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10 521</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4 934</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2 323</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988</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SAVA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 </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225 948</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110 638</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51 295</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22 491</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6 282</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2 388</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Sofia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71</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38</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273 266</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134 336</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48 787</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20 470</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9 192</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3 503</w:t>
            </w:r>
          </w:p>
        </w:tc>
      </w:tr>
      <w:tr w:rsidR="00C06068" w:rsidRPr="00285352" w:rsidTr="007F3574">
        <w:tblPrEx>
          <w:tblCellMar>
            <w:top w:w="0" w:type="dxa"/>
            <w:bottom w:w="0" w:type="dxa"/>
          </w:tblCellMar>
        </w:tblPrEx>
        <w:tc>
          <w:tcPr>
            <w:tcW w:w="1710" w:type="dxa"/>
            <w:shd w:val="clear" w:color="auto" w:fill="auto"/>
          </w:tcPr>
          <w:p w:rsidR="00C06068" w:rsidRPr="00285352"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85352">
              <w:rPr>
                <w:sz w:val="17"/>
                <w:lang w:val="fr-FR"/>
              </w:rPr>
              <w:t>Vakinankaratra</w:t>
            </w:r>
          </w:p>
        </w:tc>
        <w:tc>
          <w:tcPr>
            <w:tcW w:w="99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4 267</w:t>
            </w:r>
          </w:p>
        </w:tc>
        <w:tc>
          <w:tcPr>
            <w:tcW w:w="720" w:type="dxa"/>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85352">
              <w:rPr>
                <w:sz w:val="17"/>
                <w:lang w:val="fr-FR"/>
              </w:rPr>
              <w:t>2 215</w:t>
            </w:r>
          </w:p>
        </w:tc>
        <w:tc>
          <w:tcPr>
            <w:tcW w:w="990"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245 107</w:t>
            </w:r>
          </w:p>
        </w:tc>
        <w:tc>
          <w:tcPr>
            <w:tcW w:w="1052"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118 082</w:t>
            </w:r>
          </w:p>
        </w:tc>
        <w:tc>
          <w:tcPr>
            <w:tcW w:w="1018"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50 045</w:t>
            </w:r>
          </w:p>
        </w:tc>
        <w:tc>
          <w:tcPr>
            <w:tcW w:w="101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24 915</w:t>
            </w:r>
          </w:p>
        </w:tc>
        <w:tc>
          <w:tcPr>
            <w:tcW w:w="1052" w:type="dxa"/>
            <w:gridSpan w:val="2"/>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7 411</w:t>
            </w:r>
          </w:p>
        </w:tc>
        <w:tc>
          <w:tcPr>
            <w:tcW w:w="1288" w:type="dxa"/>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C024EA">
              <w:rPr>
                <w:sz w:val="17"/>
                <w:lang w:val="fr-FR"/>
              </w:rPr>
              <w:t>3 349</w:t>
            </w:r>
          </w:p>
        </w:tc>
      </w:tr>
      <w:tr w:rsidR="00C06068" w:rsidRPr="00285352" w:rsidTr="007F3574">
        <w:tblPrEx>
          <w:tblCellMar>
            <w:top w:w="0" w:type="dxa"/>
            <w:bottom w:w="0" w:type="dxa"/>
          </w:tblCellMar>
        </w:tblPrEx>
        <w:tc>
          <w:tcPr>
            <w:tcW w:w="1710" w:type="dxa"/>
            <w:tcBorders>
              <w:bottom w:val="single" w:sz="4" w:space="0" w:color="auto"/>
            </w:tcBorders>
            <w:shd w:val="clear" w:color="auto" w:fill="auto"/>
          </w:tcPr>
          <w:p w:rsidR="00C06068" w:rsidRPr="00285352"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285352">
              <w:rPr>
                <w:sz w:val="17"/>
                <w:lang w:val="fr-FR"/>
              </w:rPr>
              <w:t>Vatovavy Fitovinany</w:t>
            </w:r>
          </w:p>
        </w:tc>
        <w:tc>
          <w:tcPr>
            <w:tcW w:w="990" w:type="dxa"/>
            <w:tcBorders>
              <w:bottom w:val="single" w:sz="4" w:space="0" w:color="auto"/>
            </w:tcBorders>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85352">
              <w:rPr>
                <w:sz w:val="17"/>
                <w:lang w:val="fr-FR"/>
              </w:rPr>
              <w:t>1 732</w:t>
            </w:r>
          </w:p>
        </w:tc>
        <w:tc>
          <w:tcPr>
            <w:tcW w:w="720" w:type="dxa"/>
            <w:tcBorders>
              <w:bottom w:val="single" w:sz="4" w:space="0" w:color="auto"/>
            </w:tcBorders>
            <w:shd w:val="clear" w:color="auto" w:fill="auto"/>
            <w:vAlign w:val="bottom"/>
          </w:tcPr>
          <w:p w:rsidR="00C06068" w:rsidRPr="00285352"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85352">
              <w:rPr>
                <w:sz w:val="17"/>
                <w:lang w:val="fr-FR"/>
              </w:rPr>
              <w:t>849</w:t>
            </w:r>
          </w:p>
        </w:tc>
        <w:tc>
          <w:tcPr>
            <w:tcW w:w="990" w:type="dxa"/>
            <w:gridSpan w:val="2"/>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322 413</w:t>
            </w:r>
          </w:p>
        </w:tc>
        <w:tc>
          <w:tcPr>
            <w:tcW w:w="1052" w:type="dxa"/>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156 803</w:t>
            </w:r>
          </w:p>
        </w:tc>
        <w:tc>
          <w:tcPr>
            <w:tcW w:w="1018" w:type="dxa"/>
            <w:gridSpan w:val="2"/>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37 940</w:t>
            </w:r>
          </w:p>
        </w:tc>
        <w:tc>
          <w:tcPr>
            <w:tcW w:w="1018" w:type="dxa"/>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16 050</w:t>
            </w:r>
          </w:p>
        </w:tc>
        <w:tc>
          <w:tcPr>
            <w:tcW w:w="1052" w:type="dxa"/>
            <w:gridSpan w:val="2"/>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5 870</w:t>
            </w:r>
          </w:p>
        </w:tc>
        <w:tc>
          <w:tcPr>
            <w:tcW w:w="1288" w:type="dxa"/>
            <w:tcBorders>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C024EA">
              <w:rPr>
                <w:sz w:val="17"/>
                <w:lang w:val="fr-FR"/>
              </w:rPr>
              <w:t>2 324</w:t>
            </w:r>
          </w:p>
        </w:tc>
      </w:tr>
      <w:tr w:rsidR="00C06068" w:rsidRPr="00C024EA" w:rsidTr="007F3574">
        <w:tblPrEx>
          <w:tblCellMar>
            <w:top w:w="0" w:type="dxa"/>
            <w:bottom w:w="0" w:type="dxa"/>
          </w:tblCellMar>
        </w:tblPrEx>
        <w:tc>
          <w:tcPr>
            <w:tcW w:w="1710" w:type="dxa"/>
            <w:tcBorders>
              <w:top w:val="single" w:sz="4" w:space="0" w:color="auto"/>
              <w:bottom w:val="single" w:sz="4" w:space="0" w:color="auto"/>
            </w:tcBorders>
            <w:shd w:val="clear" w:color="auto" w:fill="auto"/>
          </w:tcPr>
          <w:p w:rsidR="00C06068" w:rsidRPr="00C024EA"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C024EA">
              <w:rPr>
                <w:b/>
                <w:sz w:val="17"/>
                <w:lang w:val="fr-FR"/>
              </w:rPr>
              <w:t>Ensemble</w:t>
            </w:r>
          </w:p>
        </w:tc>
        <w:tc>
          <w:tcPr>
            <w:tcW w:w="990" w:type="dxa"/>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37 599</w:t>
            </w:r>
          </w:p>
        </w:tc>
        <w:tc>
          <w:tcPr>
            <w:tcW w:w="720" w:type="dxa"/>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19 342</w:t>
            </w:r>
          </w:p>
        </w:tc>
        <w:tc>
          <w:tcPr>
            <w:tcW w:w="990" w:type="dxa"/>
            <w:gridSpan w:val="2"/>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3 539 331</w:t>
            </w:r>
          </w:p>
        </w:tc>
        <w:tc>
          <w:tcPr>
            <w:tcW w:w="1052" w:type="dxa"/>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1 744 592</w:t>
            </w:r>
          </w:p>
        </w:tc>
        <w:tc>
          <w:tcPr>
            <w:tcW w:w="1018" w:type="dxa"/>
            <w:gridSpan w:val="2"/>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663 337</w:t>
            </w:r>
          </w:p>
        </w:tc>
        <w:tc>
          <w:tcPr>
            <w:tcW w:w="1018" w:type="dxa"/>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318 993</w:t>
            </w:r>
          </w:p>
        </w:tc>
        <w:tc>
          <w:tcPr>
            <w:tcW w:w="1052" w:type="dxa"/>
            <w:gridSpan w:val="2"/>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 xml:space="preserve">117 653 </w:t>
            </w:r>
          </w:p>
        </w:tc>
        <w:tc>
          <w:tcPr>
            <w:tcW w:w="1288" w:type="dxa"/>
            <w:tcBorders>
              <w:top w:val="single" w:sz="4" w:space="0" w:color="auto"/>
              <w:bottom w:val="single" w:sz="4"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024EA">
              <w:rPr>
                <w:b/>
                <w:sz w:val="17"/>
                <w:lang w:val="fr-FR"/>
              </w:rPr>
              <w:t>53 706</w:t>
            </w:r>
          </w:p>
        </w:tc>
      </w:tr>
      <w:tr w:rsidR="00C06068" w:rsidRPr="00285352" w:rsidTr="007F3574">
        <w:tblPrEx>
          <w:tblCellMar>
            <w:top w:w="0" w:type="dxa"/>
            <w:bottom w:w="0" w:type="dxa"/>
          </w:tblCellMar>
        </w:tblPrEx>
        <w:tc>
          <w:tcPr>
            <w:tcW w:w="1710" w:type="dxa"/>
            <w:tcBorders>
              <w:top w:val="single" w:sz="4" w:space="0" w:color="auto"/>
              <w:bottom w:val="single" w:sz="12" w:space="0" w:color="auto"/>
            </w:tcBorders>
            <w:shd w:val="clear" w:color="auto" w:fill="auto"/>
            <w:vAlign w:val="bottom"/>
          </w:tcPr>
          <w:p w:rsidR="00C06068" w:rsidRPr="00285352" w:rsidRDefault="00C06068" w:rsidP="007F3574">
            <w:pPr>
              <w:tabs>
                <w:tab w:val="left" w:pos="288"/>
                <w:tab w:val="left" w:pos="576"/>
                <w:tab w:val="left" w:pos="864"/>
                <w:tab w:val="left" w:pos="1152"/>
              </w:tabs>
              <w:suppressAutoHyphens/>
              <w:spacing w:before="81" w:after="40" w:line="210" w:lineRule="exact"/>
              <w:ind w:right="43"/>
              <w:rPr>
                <w:sz w:val="17"/>
                <w:lang w:val="fr-FR"/>
              </w:rPr>
            </w:pPr>
            <w:r w:rsidRPr="00285352">
              <w:rPr>
                <w:sz w:val="17"/>
                <w:lang w:val="fr-FR"/>
              </w:rPr>
              <w:t>Pourcentage</w:t>
            </w:r>
          </w:p>
        </w:tc>
        <w:tc>
          <w:tcPr>
            <w:tcW w:w="990" w:type="dxa"/>
            <w:tcBorders>
              <w:top w:val="single" w:sz="4" w:space="0" w:color="auto"/>
              <w:bottom w:val="single" w:sz="12" w:space="0" w:color="auto"/>
            </w:tcBorders>
            <w:shd w:val="clear" w:color="auto" w:fill="auto"/>
            <w:vAlign w:val="bottom"/>
          </w:tcPr>
          <w:p w:rsidR="00C06068" w:rsidRPr="00285352"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285352">
              <w:rPr>
                <w:sz w:val="17"/>
                <w:lang w:val="fr-FR"/>
              </w:rPr>
              <w:t>100</w:t>
            </w:r>
          </w:p>
        </w:tc>
        <w:tc>
          <w:tcPr>
            <w:tcW w:w="720" w:type="dxa"/>
            <w:tcBorders>
              <w:top w:val="single" w:sz="4" w:space="0" w:color="auto"/>
              <w:bottom w:val="single" w:sz="12" w:space="0" w:color="auto"/>
            </w:tcBorders>
            <w:shd w:val="clear" w:color="auto" w:fill="auto"/>
            <w:vAlign w:val="bottom"/>
          </w:tcPr>
          <w:p w:rsidR="00C06068" w:rsidRPr="00285352"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285352">
              <w:rPr>
                <w:sz w:val="17"/>
                <w:lang w:val="fr-FR"/>
              </w:rPr>
              <w:t>51,44</w:t>
            </w:r>
          </w:p>
        </w:tc>
        <w:tc>
          <w:tcPr>
            <w:tcW w:w="990" w:type="dxa"/>
            <w:gridSpan w:val="2"/>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100</w:t>
            </w:r>
          </w:p>
        </w:tc>
        <w:tc>
          <w:tcPr>
            <w:tcW w:w="1052" w:type="dxa"/>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49,29</w:t>
            </w:r>
          </w:p>
        </w:tc>
        <w:tc>
          <w:tcPr>
            <w:tcW w:w="1018" w:type="dxa"/>
            <w:gridSpan w:val="2"/>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100</w:t>
            </w:r>
          </w:p>
        </w:tc>
        <w:tc>
          <w:tcPr>
            <w:tcW w:w="1018" w:type="dxa"/>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48,09</w:t>
            </w:r>
          </w:p>
        </w:tc>
        <w:tc>
          <w:tcPr>
            <w:tcW w:w="1052" w:type="dxa"/>
            <w:gridSpan w:val="2"/>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100</w:t>
            </w:r>
          </w:p>
        </w:tc>
        <w:tc>
          <w:tcPr>
            <w:tcW w:w="1288" w:type="dxa"/>
            <w:tcBorders>
              <w:top w:val="single" w:sz="4" w:space="0" w:color="auto"/>
              <w:bottom w:val="single" w:sz="12" w:space="0" w:color="auto"/>
            </w:tcBorders>
            <w:shd w:val="clear" w:color="auto" w:fill="auto"/>
            <w:vAlign w:val="bottom"/>
          </w:tcPr>
          <w:p w:rsidR="00C06068" w:rsidRPr="00C024EA" w:rsidRDefault="00C06068" w:rsidP="007F3574">
            <w:pPr>
              <w:tabs>
                <w:tab w:val="left" w:pos="288"/>
                <w:tab w:val="left" w:pos="576"/>
                <w:tab w:val="left" w:pos="864"/>
                <w:tab w:val="left" w:pos="1152"/>
              </w:tabs>
              <w:suppressAutoHyphens/>
              <w:spacing w:before="81" w:after="40" w:line="210" w:lineRule="exact"/>
              <w:ind w:right="43"/>
              <w:jc w:val="right"/>
              <w:rPr>
                <w:sz w:val="17"/>
                <w:lang w:val="fr-FR"/>
              </w:rPr>
            </w:pPr>
            <w:r w:rsidRPr="00C024EA">
              <w:rPr>
                <w:sz w:val="17"/>
                <w:lang w:val="fr-FR"/>
              </w:rPr>
              <w:t>45,64</w:t>
            </w:r>
          </w:p>
        </w:tc>
      </w:tr>
    </w:tbl>
    <w:p w:rsidR="00C06068" w:rsidRPr="00C024EA" w:rsidRDefault="00C06068" w:rsidP="00C06068">
      <w:pPr>
        <w:pStyle w:val="FootnoteText"/>
        <w:tabs>
          <w:tab w:val="right" w:pos="216"/>
          <w:tab w:val="left" w:pos="288"/>
          <w:tab w:val="right" w:pos="576"/>
          <w:tab w:val="left" w:pos="648"/>
        </w:tabs>
        <w:spacing w:line="120" w:lineRule="exact"/>
        <w:ind w:left="288" w:hanging="288"/>
        <w:rPr>
          <w:i/>
          <w:sz w:val="10"/>
          <w:lang w:val="fr-FR"/>
        </w:rPr>
      </w:pPr>
    </w:p>
    <w:p w:rsidR="00C06068" w:rsidRDefault="00C06068" w:rsidP="00C06068">
      <w:pPr>
        <w:pStyle w:val="FootnoteText"/>
        <w:tabs>
          <w:tab w:val="right" w:pos="216"/>
          <w:tab w:val="left" w:pos="288"/>
          <w:tab w:val="right" w:pos="576"/>
          <w:tab w:val="left" w:pos="648"/>
        </w:tabs>
        <w:ind w:left="288" w:hanging="288"/>
        <w:rPr>
          <w:lang w:val="fr-FR"/>
        </w:rPr>
      </w:pPr>
      <w:r w:rsidRPr="00C024EA">
        <w:rPr>
          <w:i/>
          <w:lang w:val="fr-FR"/>
        </w:rPr>
        <w:t>Source</w:t>
      </w:r>
      <w:r w:rsidRPr="00C024EA">
        <w:rPr>
          <w:lang w:val="fr-FR"/>
        </w:rPr>
        <w:t> :</w:t>
      </w:r>
      <w:r w:rsidRPr="00521891">
        <w:rPr>
          <w:lang w:val="fr-FR"/>
        </w:rPr>
        <w:t xml:space="preserve"> DPE/MEN/</w:t>
      </w:r>
      <w:r w:rsidRPr="00CC5A59">
        <w:rPr>
          <w:i/>
          <w:lang w:val="fr-FR"/>
        </w:rPr>
        <w:t>Annuaire statistique 2010-2011</w:t>
      </w:r>
      <w:r>
        <w:rPr>
          <w:lang w:val="fr-FR"/>
        </w:rPr>
        <w:t>.</w:t>
      </w:r>
    </w:p>
    <w:p w:rsidR="00C06068" w:rsidRPr="00C024EA"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C024EA"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effectif des enfants en début de scolarisation au niveau préscolaire donne une proportion plus élevée de filles avec 51,4 % contre 48,6 % de garçons. Une inversion progressive de cette tendance est constatée aux niveaux primaire, secondaire et supérieur.</w:t>
      </w:r>
    </w:p>
    <w:p w:rsidR="00C06068" w:rsidRPr="00521891" w:rsidRDefault="00C06068" w:rsidP="00C06068">
      <w:pPr>
        <w:pStyle w:val="SingleTxt"/>
        <w:numPr>
          <w:ilvl w:val="0"/>
          <w:numId w:val="10"/>
        </w:numPr>
        <w:rPr>
          <w:lang w:val="fr-FR"/>
        </w:rPr>
      </w:pPr>
      <w:r w:rsidRPr="00521891">
        <w:rPr>
          <w:lang w:val="fr-FR"/>
        </w:rPr>
        <w:t>Pour l</w:t>
      </w:r>
      <w:r>
        <w:rPr>
          <w:lang w:val="fr-FR"/>
        </w:rPr>
        <w:t>’</w:t>
      </w:r>
      <w:r w:rsidRPr="00521891">
        <w:rPr>
          <w:lang w:val="fr-FR"/>
        </w:rPr>
        <w:t>enseignement primaire, la proportion des filles scolarisées est de 49,30 % et celle des garçons est de 50,7 %. Cependant, dans certaines régions comme l</w:t>
      </w:r>
      <w:r>
        <w:rPr>
          <w:lang w:val="fr-FR"/>
        </w:rPr>
        <w:t>’</w:t>
      </w:r>
      <w:r w:rsidRPr="00521891">
        <w:rPr>
          <w:lang w:val="fr-FR"/>
        </w:rPr>
        <w:t>Androy, l</w:t>
      </w:r>
      <w:r>
        <w:rPr>
          <w:lang w:val="fr-FR"/>
        </w:rPr>
        <w:t>’</w:t>
      </w:r>
      <w:r w:rsidRPr="00521891">
        <w:rPr>
          <w:lang w:val="fr-FR"/>
        </w:rPr>
        <w:t>Anosy, l</w:t>
      </w:r>
      <w:r>
        <w:rPr>
          <w:lang w:val="fr-FR"/>
        </w:rPr>
        <w:t>’</w:t>
      </w:r>
      <w:r w:rsidRPr="00521891">
        <w:rPr>
          <w:lang w:val="fr-FR"/>
        </w:rPr>
        <w:t>Atsimo Andrefana, Diana</w:t>
      </w:r>
      <w:r>
        <w:rPr>
          <w:lang w:val="fr-FR"/>
        </w:rPr>
        <w:t xml:space="preserve"> </w:t>
      </w:r>
      <w:r w:rsidRPr="00521891">
        <w:rPr>
          <w:lang w:val="fr-FR"/>
        </w:rPr>
        <w:t>et le Menabe, la proportion de filles scolarisées reste supérieure à celle des garçons.</w:t>
      </w:r>
    </w:p>
    <w:p w:rsidR="00C06068" w:rsidRPr="00521891" w:rsidRDefault="00C06068" w:rsidP="00C06068">
      <w:pPr>
        <w:pStyle w:val="SingleTxt"/>
        <w:numPr>
          <w:ilvl w:val="0"/>
          <w:numId w:val="10"/>
        </w:numPr>
        <w:rPr>
          <w:lang w:val="fr-FR"/>
        </w:rPr>
      </w:pPr>
      <w:r w:rsidRPr="00521891">
        <w:rPr>
          <w:lang w:val="fr-FR"/>
        </w:rPr>
        <w:t>Pour l</w:t>
      </w:r>
      <w:r>
        <w:rPr>
          <w:lang w:val="fr-FR"/>
        </w:rPr>
        <w:t>’</w:t>
      </w:r>
      <w:r w:rsidRPr="00521891">
        <w:rPr>
          <w:lang w:val="fr-FR"/>
        </w:rPr>
        <w:t>enseignement secondaire, l</w:t>
      </w:r>
      <w:r>
        <w:rPr>
          <w:lang w:val="fr-FR"/>
        </w:rPr>
        <w:t>’</w:t>
      </w:r>
      <w:r w:rsidRPr="00521891">
        <w:rPr>
          <w:lang w:val="fr-FR"/>
        </w:rPr>
        <w:t>écart devient en général plus significatif, 48 % de filles contre 52 % de garçons dans les collèges et 45,64 % de filles contre 54,36 % de garçons au niveau lycée. Néanmoins, il est à constater qu</w:t>
      </w:r>
      <w:r>
        <w:rPr>
          <w:lang w:val="fr-FR"/>
        </w:rPr>
        <w:t>’</w:t>
      </w:r>
      <w:r w:rsidRPr="00521891">
        <w:rPr>
          <w:lang w:val="fr-FR"/>
        </w:rPr>
        <w:t xml:space="preserve">au niveau des collèges, la proportion de filles scolarisées dépasse celle des garçons dans </w:t>
      </w:r>
      <w:r>
        <w:rPr>
          <w:lang w:val="fr-FR"/>
        </w:rPr>
        <w:t xml:space="preserve">5 </w:t>
      </w:r>
      <w:r w:rsidRPr="00521891">
        <w:rPr>
          <w:lang w:val="fr-FR"/>
        </w:rPr>
        <w:t>régions sur 22. Au niveau des lycées, seule la région d</w:t>
      </w:r>
      <w:r>
        <w:rPr>
          <w:lang w:val="fr-FR"/>
        </w:rPr>
        <w:t>’</w:t>
      </w:r>
      <w:r w:rsidRPr="00521891">
        <w:rPr>
          <w:lang w:val="fr-FR"/>
        </w:rPr>
        <w:t>Analamanga présente une proportion plus élevée de filles.</w:t>
      </w:r>
    </w:p>
    <w:p w:rsidR="00C06068" w:rsidRPr="00521891" w:rsidRDefault="00C06068" w:rsidP="00C06068">
      <w:pPr>
        <w:pStyle w:val="SingleTxt"/>
        <w:numPr>
          <w:ilvl w:val="0"/>
          <w:numId w:val="10"/>
        </w:numPr>
        <w:rPr>
          <w:lang w:val="fr-FR"/>
        </w:rPr>
      </w:pPr>
      <w:r w:rsidRPr="00521891">
        <w:rPr>
          <w:lang w:val="fr-FR"/>
        </w:rPr>
        <w:t>La diminution progressive de la proportion de filles s</w:t>
      </w:r>
      <w:r>
        <w:rPr>
          <w:lang w:val="fr-FR"/>
        </w:rPr>
        <w:t>’</w:t>
      </w:r>
      <w:r w:rsidRPr="00521891">
        <w:rPr>
          <w:lang w:val="fr-FR"/>
        </w:rPr>
        <w:t>explique par le fait que les filles abandonnent l</w:t>
      </w:r>
      <w:r>
        <w:rPr>
          <w:lang w:val="fr-FR"/>
        </w:rPr>
        <w:t>’</w:t>
      </w:r>
      <w:r w:rsidRPr="00521891">
        <w:rPr>
          <w:lang w:val="fr-FR"/>
        </w:rPr>
        <w:t>école plus tôt, soit pour se marier, soit à cause d</w:t>
      </w:r>
      <w:r>
        <w:rPr>
          <w:lang w:val="fr-FR"/>
        </w:rPr>
        <w:t>’</w:t>
      </w:r>
      <w:r w:rsidRPr="00521891">
        <w:rPr>
          <w:lang w:val="fr-FR"/>
        </w:rPr>
        <w:t>une grossesse précoce, soit parce que les parents, jugeant qu</w:t>
      </w:r>
      <w:r>
        <w:rPr>
          <w:lang w:val="fr-FR"/>
        </w:rPr>
        <w:t>’</w:t>
      </w:r>
      <w:r w:rsidRPr="00521891">
        <w:rPr>
          <w:lang w:val="fr-FR"/>
        </w:rPr>
        <w:t>elles ont acquis suffisamment de connaissances, les retirent précocement de l</w:t>
      </w:r>
      <w:r>
        <w:rPr>
          <w:lang w:val="fr-FR"/>
        </w:rPr>
        <w:t>’</w:t>
      </w:r>
      <w:r w:rsidRPr="00521891">
        <w:rPr>
          <w:lang w:val="fr-FR"/>
        </w:rPr>
        <w:t>école.</w:t>
      </w:r>
    </w:p>
    <w:p w:rsidR="00C06068" w:rsidRPr="00521891" w:rsidRDefault="00C06068" w:rsidP="00C06068">
      <w:pPr>
        <w:pStyle w:val="SingleTxt"/>
        <w:numPr>
          <w:ilvl w:val="0"/>
          <w:numId w:val="10"/>
        </w:numPr>
        <w:rPr>
          <w:lang w:val="fr-FR"/>
        </w:rPr>
      </w:pPr>
      <w:r w:rsidRPr="00521891">
        <w:rPr>
          <w:lang w:val="fr-FR"/>
        </w:rPr>
        <w:t>Jusqu</w:t>
      </w:r>
      <w:r>
        <w:rPr>
          <w:lang w:val="fr-FR"/>
        </w:rPr>
        <w:t>’</w:t>
      </w:r>
      <w:r w:rsidRPr="00521891">
        <w:rPr>
          <w:lang w:val="fr-FR"/>
        </w:rPr>
        <w:t>à l</w:t>
      </w:r>
      <w:r>
        <w:rPr>
          <w:lang w:val="fr-FR"/>
        </w:rPr>
        <w:t>’</w:t>
      </w:r>
      <w:r w:rsidRPr="00521891">
        <w:rPr>
          <w:lang w:val="fr-FR"/>
        </w:rPr>
        <w:t>âge de 20 à 21 ans, on note un taux de 54,15 % de filles dépassant celui du sexe masculin. Cependant à partir de 22 ans, il y a moins de filles que de garçons pour continuer les études supérieures.</w:t>
      </w:r>
    </w:p>
    <w:p w:rsidR="00C06068" w:rsidRDefault="00C06068" w:rsidP="00C06068">
      <w:pPr>
        <w:pStyle w:val="SingleTxt"/>
        <w:numPr>
          <w:ilvl w:val="0"/>
          <w:numId w:val="10"/>
        </w:numPr>
        <w:rPr>
          <w:lang w:val="fr-FR"/>
        </w:rPr>
      </w:pPr>
      <w:r w:rsidRPr="00521891">
        <w:rPr>
          <w:lang w:val="fr-FR"/>
        </w:rPr>
        <w:t>Les tableaux ci-après présentent les effectifs des étudiants inscrits auprès des institutions supérieures au titre de l</w:t>
      </w:r>
      <w:r>
        <w:rPr>
          <w:lang w:val="fr-FR"/>
        </w:rPr>
        <w:t>’</w:t>
      </w:r>
      <w:r w:rsidRPr="00521891">
        <w:rPr>
          <w:lang w:val="fr-FR"/>
        </w:rPr>
        <w:t>année universitaire 2009-2010 (</w:t>
      </w:r>
      <w:r>
        <w:rPr>
          <w:lang w:val="fr-FR"/>
        </w:rPr>
        <w:t>voir</w:t>
      </w:r>
      <w:r w:rsidRPr="00521891">
        <w:rPr>
          <w:lang w:val="fr-FR"/>
        </w:rPr>
        <w:t xml:space="preserve"> annexe)</w:t>
      </w:r>
      <w:r>
        <w:rPr>
          <w:lang w:val="fr-FR"/>
        </w:rPr>
        <w:t>.</w:t>
      </w:r>
    </w:p>
    <w:p w:rsidR="00C06068" w:rsidRPr="009A2FA2" w:rsidRDefault="00C06068" w:rsidP="00C06068">
      <w:pPr>
        <w:pStyle w:val="SingleTxt"/>
        <w:spacing w:after="0" w:line="120" w:lineRule="exact"/>
        <w:rPr>
          <w:sz w:val="10"/>
          <w:lang w:val="fr-FR"/>
        </w:rPr>
      </w:pPr>
    </w:p>
    <w:p w:rsidR="00C06068" w:rsidRPr="00FC658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71" w:name="_Toc377129296"/>
      <w:r w:rsidRPr="00FC6584">
        <w:rPr>
          <w:b w:val="0"/>
          <w:lang w:val="fr-FR"/>
        </w:rPr>
        <w:tab/>
      </w:r>
      <w:r w:rsidRPr="00FC6584">
        <w:rPr>
          <w:b w:val="0"/>
          <w:lang w:val="fr-FR"/>
        </w:rPr>
        <w:tab/>
        <w:t>Tableau 10</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Répartition par filière et par genre des étudiants du CNTEMAD</w:t>
      </w:r>
      <w:bookmarkEnd w:id="71"/>
    </w:p>
    <w:p w:rsidR="00C06068" w:rsidRPr="00C024EA" w:rsidRDefault="00C06068" w:rsidP="00C06068">
      <w:pPr>
        <w:pStyle w:val="SingleTxt"/>
        <w:spacing w:after="0" w:line="120" w:lineRule="exact"/>
        <w:rPr>
          <w:sz w:val="10"/>
          <w:lang w:val="fr-FR"/>
        </w:rPr>
      </w:pPr>
    </w:p>
    <w:p w:rsidR="00C06068" w:rsidRPr="00C024EA"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5112"/>
        <w:gridCol w:w="756"/>
        <w:gridCol w:w="756"/>
        <w:gridCol w:w="756"/>
      </w:tblGrid>
      <w:tr w:rsidR="00C06068" w:rsidRPr="001129FF" w:rsidTr="007F3574">
        <w:tblPrEx>
          <w:tblCellMar>
            <w:top w:w="0" w:type="dxa"/>
            <w:bottom w:w="0" w:type="dxa"/>
          </w:tblCellMar>
        </w:tblPrEx>
        <w:trPr>
          <w:tblHeader/>
        </w:trPr>
        <w:tc>
          <w:tcPr>
            <w:tcW w:w="5112"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1129FF">
              <w:rPr>
                <w:i/>
                <w:sz w:val="14"/>
                <w:lang w:val="fr-FR"/>
              </w:rPr>
              <w:t>Filière</w:t>
            </w:r>
          </w:p>
        </w:tc>
        <w:tc>
          <w:tcPr>
            <w:tcW w:w="756"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Masculin</w:t>
            </w:r>
          </w:p>
        </w:tc>
        <w:tc>
          <w:tcPr>
            <w:tcW w:w="756"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Féminin</w:t>
            </w:r>
          </w:p>
        </w:tc>
        <w:tc>
          <w:tcPr>
            <w:tcW w:w="756"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Total</w:t>
            </w:r>
          </w:p>
        </w:tc>
      </w:tr>
      <w:tr w:rsidR="00C06068" w:rsidRPr="001129FF" w:rsidTr="007F3574">
        <w:tblPrEx>
          <w:tblCellMar>
            <w:top w:w="0" w:type="dxa"/>
            <w:bottom w:w="0" w:type="dxa"/>
          </w:tblCellMar>
        </w:tblPrEx>
        <w:trPr>
          <w:trHeight w:hRule="exact" w:val="115"/>
          <w:tblHeader/>
        </w:trPr>
        <w:tc>
          <w:tcPr>
            <w:tcW w:w="5112"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756"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6"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56"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9FF" w:rsidTr="007F3574">
        <w:tblPrEx>
          <w:tblCellMar>
            <w:top w:w="0" w:type="dxa"/>
            <w:bottom w:w="0" w:type="dxa"/>
          </w:tblCellMar>
        </w:tblPrEx>
        <w:tc>
          <w:tcPr>
            <w:tcW w:w="5112" w:type="dxa"/>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1120C4">
              <w:rPr>
                <w:bCs/>
                <w:sz w:val="17"/>
                <w:lang w:val="fr-FR"/>
              </w:rPr>
              <w:t>Gestion</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1 218</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1 282</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2 600</w:t>
            </w:r>
          </w:p>
        </w:tc>
      </w:tr>
      <w:tr w:rsidR="00C06068" w:rsidRPr="001129FF" w:rsidTr="007F3574">
        <w:tblPrEx>
          <w:tblCellMar>
            <w:top w:w="0" w:type="dxa"/>
            <w:bottom w:w="0" w:type="dxa"/>
          </w:tblCellMar>
        </w:tblPrEx>
        <w:tc>
          <w:tcPr>
            <w:tcW w:w="5112" w:type="dxa"/>
            <w:shd w:val="clear" w:color="auto" w:fill="auto"/>
          </w:tcPr>
          <w:p w:rsidR="00C06068" w:rsidRPr="001120C4"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1120C4">
              <w:rPr>
                <w:bCs/>
                <w:sz w:val="17"/>
                <w:lang w:val="fr-FR"/>
              </w:rPr>
              <w:t>Droit</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1 425</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1 763</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3 188</w:t>
            </w:r>
          </w:p>
        </w:tc>
      </w:tr>
      <w:tr w:rsidR="00C06068" w:rsidRPr="001129FF" w:rsidTr="007F3574">
        <w:tblPrEx>
          <w:tblCellMar>
            <w:top w:w="0" w:type="dxa"/>
            <w:bottom w:w="0" w:type="dxa"/>
          </w:tblCellMar>
        </w:tblPrEx>
        <w:tc>
          <w:tcPr>
            <w:tcW w:w="5112" w:type="dxa"/>
            <w:shd w:val="clear" w:color="auto" w:fill="auto"/>
          </w:tcPr>
          <w:p w:rsidR="00C06068" w:rsidRPr="001120C4"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1120C4">
              <w:rPr>
                <w:bCs/>
                <w:sz w:val="17"/>
                <w:lang w:val="fr-FR"/>
              </w:rPr>
              <w:t>Informatique de gestion</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511</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241</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762</w:t>
            </w:r>
          </w:p>
        </w:tc>
      </w:tr>
      <w:tr w:rsidR="00C06068" w:rsidRPr="001129FF" w:rsidTr="007F3574">
        <w:tblPrEx>
          <w:tblCellMar>
            <w:top w:w="0" w:type="dxa"/>
            <w:bottom w:w="0" w:type="dxa"/>
          </w:tblCellMar>
        </w:tblPrEx>
        <w:tc>
          <w:tcPr>
            <w:tcW w:w="5112" w:type="dxa"/>
            <w:shd w:val="clear" w:color="auto" w:fill="auto"/>
          </w:tcPr>
          <w:p w:rsidR="00C06068" w:rsidRPr="001120C4"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1120C4">
              <w:rPr>
                <w:bCs/>
                <w:sz w:val="17"/>
                <w:lang w:val="fr-FR"/>
              </w:rPr>
              <w:t>Commerce</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189</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339</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628</w:t>
            </w:r>
          </w:p>
        </w:tc>
      </w:tr>
      <w:tr w:rsidR="00C06068" w:rsidRPr="001129FF" w:rsidTr="007F3574">
        <w:tblPrEx>
          <w:tblCellMar>
            <w:top w:w="0" w:type="dxa"/>
            <w:bottom w:w="0" w:type="dxa"/>
          </w:tblCellMar>
        </w:tblPrEx>
        <w:tc>
          <w:tcPr>
            <w:tcW w:w="5112" w:type="dxa"/>
            <w:shd w:val="clear" w:color="auto" w:fill="auto"/>
          </w:tcPr>
          <w:p w:rsidR="00C06068" w:rsidRPr="001120C4"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1120C4">
              <w:rPr>
                <w:bCs/>
                <w:sz w:val="17"/>
                <w:lang w:val="fr-FR"/>
              </w:rPr>
              <w:t>Communication</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162</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539</w:t>
            </w:r>
          </w:p>
        </w:tc>
        <w:tc>
          <w:tcPr>
            <w:tcW w:w="756"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1120C4">
              <w:rPr>
                <w:sz w:val="17"/>
                <w:lang w:val="fr-FR"/>
              </w:rPr>
              <w:t>701</w:t>
            </w:r>
          </w:p>
        </w:tc>
      </w:tr>
      <w:tr w:rsidR="00C06068" w:rsidRPr="001129FF" w:rsidTr="007F3574">
        <w:tblPrEx>
          <w:tblCellMar>
            <w:top w:w="0" w:type="dxa"/>
            <w:bottom w:w="0" w:type="dxa"/>
          </w:tblCellMar>
        </w:tblPrEx>
        <w:tc>
          <w:tcPr>
            <w:tcW w:w="5112" w:type="dxa"/>
            <w:tcBorders>
              <w:bottom w:val="single" w:sz="4" w:space="0" w:color="auto"/>
            </w:tcBorders>
            <w:shd w:val="clear" w:color="auto" w:fill="auto"/>
          </w:tcPr>
          <w:p w:rsidR="00C06068" w:rsidRPr="001120C4" w:rsidRDefault="00C06068" w:rsidP="007F3574">
            <w:pPr>
              <w:tabs>
                <w:tab w:val="left" w:pos="288"/>
                <w:tab w:val="left" w:pos="576"/>
                <w:tab w:val="left" w:pos="864"/>
                <w:tab w:val="left" w:pos="1152"/>
              </w:tabs>
              <w:suppressAutoHyphens/>
              <w:spacing w:before="40" w:after="81" w:line="210" w:lineRule="exact"/>
              <w:ind w:right="43"/>
              <w:rPr>
                <w:bCs/>
                <w:sz w:val="17"/>
                <w:lang w:val="fr-FR"/>
              </w:rPr>
            </w:pPr>
            <w:r w:rsidRPr="001120C4">
              <w:rPr>
                <w:bCs/>
                <w:sz w:val="17"/>
                <w:lang w:val="fr-FR"/>
              </w:rPr>
              <w:t>Licence professionnelle (informatique, communication, commerce)</w:t>
            </w:r>
          </w:p>
        </w:tc>
        <w:tc>
          <w:tcPr>
            <w:tcW w:w="756" w:type="dxa"/>
            <w:tcBorders>
              <w:bottom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1120C4">
              <w:rPr>
                <w:sz w:val="17"/>
                <w:lang w:val="fr-FR"/>
              </w:rPr>
              <w:t>124</w:t>
            </w:r>
          </w:p>
        </w:tc>
        <w:tc>
          <w:tcPr>
            <w:tcW w:w="756" w:type="dxa"/>
            <w:tcBorders>
              <w:bottom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1120C4">
              <w:rPr>
                <w:sz w:val="17"/>
                <w:lang w:val="fr-FR"/>
              </w:rPr>
              <w:t>194</w:t>
            </w:r>
          </w:p>
        </w:tc>
        <w:tc>
          <w:tcPr>
            <w:tcW w:w="756" w:type="dxa"/>
            <w:tcBorders>
              <w:bottom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1120C4">
              <w:rPr>
                <w:sz w:val="17"/>
                <w:lang w:val="fr-FR"/>
              </w:rPr>
              <w:t>318</w:t>
            </w:r>
          </w:p>
        </w:tc>
      </w:tr>
      <w:tr w:rsidR="00C06068" w:rsidRPr="00807F55" w:rsidTr="007F3574">
        <w:tblPrEx>
          <w:tblCellMar>
            <w:top w:w="0" w:type="dxa"/>
            <w:bottom w:w="0" w:type="dxa"/>
          </w:tblCellMar>
        </w:tblPrEx>
        <w:tc>
          <w:tcPr>
            <w:tcW w:w="5112" w:type="dxa"/>
            <w:tcBorders>
              <w:top w:val="single" w:sz="4" w:space="0" w:color="auto"/>
              <w:bottom w:val="single" w:sz="4" w:space="0" w:color="auto"/>
            </w:tcBorders>
            <w:shd w:val="clear" w:color="auto" w:fill="auto"/>
          </w:tcPr>
          <w:p w:rsidR="00C06068" w:rsidRPr="00807F55" w:rsidRDefault="00C06068" w:rsidP="007F3574">
            <w:pPr>
              <w:tabs>
                <w:tab w:val="left" w:pos="288"/>
                <w:tab w:val="left" w:pos="576"/>
                <w:tab w:val="left" w:pos="864"/>
                <w:tab w:val="left" w:pos="1152"/>
              </w:tabs>
              <w:suppressAutoHyphens/>
              <w:spacing w:before="81" w:after="81" w:line="210" w:lineRule="exact"/>
              <w:ind w:right="43"/>
              <w:rPr>
                <w:b/>
                <w:bCs/>
                <w:sz w:val="17"/>
                <w:lang w:val="fr-FR"/>
              </w:rPr>
            </w:pPr>
            <w:r>
              <w:rPr>
                <w:b/>
                <w:bCs/>
                <w:sz w:val="17"/>
                <w:lang w:val="fr-FR"/>
              </w:rPr>
              <w:tab/>
            </w:r>
            <w:r w:rsidRPr="00807F55">
              <w:rPr>
                <w:b/>
                <w:bCs/>
                <w:sz w:val="17"/>
                <w:lang w:val="fr-FR"/>
              </w:rPr>
              <w:t>Ensemble</w:t>
            </w:r>
          </w:p>
        </w:tc>
        <w:tc>
          <w:tcPr>
            <w:tcW w:w="756" w:type="dxa"/>
            <w:tcBorders>
              <w:top w:val="single" w:sz="4" w:space="0" w:color="auto"/>
              <w:bottom w:val="single" w:sz="4" w:space="0" w:color="auto"/>
            </w:tcBorders>
            <w:shd w:val="clear" w:color="auto" w:fill="auto"/>
            <w:vAlign w:val="bottom"/>
          </w:tcPr>
          <w:p w:rsidR="00C06068" w:rsidRPr="00807F5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807F55">
              <w:rPr>
                <w:b/>
                <w:sz w:val="17"/>
                <w:lang w:val="fr-FR"/>
              </w:rPr>
              <w:t>3 629</w:t>
            </w:r>
          </w:p>
        </w:tc>
        <w:tc>
          <w:tcPr>
            <w:tcW w:w="756" w:type="dxa"/>
            <w:tcBorders>
              <w:top w:val="single" w:sz="4" w:space="0" w:color="auto"/>
              <w:bottom w:val="single" w:sz="4" w:space="0" w:color="auto"/>
            </w:tcBorders>
            <w:shd w:val="clear" w:color="auto" w:fill="auto"/>
            <w:vAlign w:val="bottom"/>
          </w:tcPr>
          <w:p w:rsidR="00C06068" w:rsidRPr="00807F5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807F55">
              <w:rPr>
                <w:b/>
                <w:sz w:val="17"/>
                <w:lang w:val="fr-FR"/>
              </w:rPr>
              <w:t>4 368</w:t>
            </w:r>
          </w:p>
        </w:tc>
        <w:tc>
          <w:tcPr>
            <w:tcW w:w="756" w:type="dxa"/>
            <w:tcBorders>
              <w:top w:val="single" w:sz="4" w:space="0" w:color="auto"/>
              <w:bottom w:val="single" w:sz="4" w:space="0" w:color="auto"/>
            </w:tcBorders>
            <w:shd w:val="clear" w:color="auto" w:fill="auto"/>
            <w:vAlign w:val="bottom"/>
          </w:tcPr>
          <w:p w:rsidR="00C06068" w:rsidRPr="00807F5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807F55">
              <w:rPr>
                <w:b/>
                <w:sz w:val="17"/>
                <w:lang w:val="fr-FR"/>
              </w:rPr>
              <w:t>7 987</w:t>
            </w:r>
          </w:p>
        </w:tc>
      </w:tr>
      <w:tr w:rsidR="00C06068" w:rsidRPr="001129FF" w:rsidTr="007F3574">
        <w:tblPrEx>
          <w:tblCellMar>
            <w:top w:w="0" w:type="dxa"/>
            <w:bottom w:w="0" w:type="dxa"/>
          </w:tblCellMar>
        </w:tblPrEx>
        <w:tc>
          <w:tcPr>
            <w:tcW w:w="5112" w:type="dxa"/>
            <w:tcBorders>
              <w:top w:val="single" w:sz="4" w:space="0" w:color="auto"/>
              <w:bottom w:val="single" w:sz="12" w:space="0" w:color="auto"/>
            </w:tcBorders>
            <w:shd w:val="clear" w:color="auto" w:fill="auto"/>
          </w:tcPr>
          <w:p w:rsidR="00C06068" w:rsidRPr="001120C4" w:rsidRDefault="00C06068" w:rsidP="007F3574">
            <w:pPr>
              <w:tabs>
                <w:tab w:val="left" w:pos="288"/>
                <w:tab w:val="left" w:pos="576"/>
                <w:tab w:val="left" w:pos="864"/>
                <w:tab w:val="left" w:pos="1152"/>
              </w:tabs>
              <w:suppressAutoHyphens/>
              <w:spacing w:before="81" w:after="81" w:line="210" w:lineRule="exact"/>
              <w:ind w:right="43"/>
              <w:rPr>
                <w:bCs/>
                <w:sz w:val="17"/>
                <w:lang w:val="fr-FR"/>
              </w:rPr>
            </w:pPr>
            <w:r w:rsidRPr="001120C4">
              <w:rPr>
                <w:bCs/>
                <w:sz w:val="17"/>
                <w:lang w:val="fr-FR"/>
              </w:rPr>
              <w:t>Proportion (</w:t>
            </w:r>
            <w:r>
              <w:rPr>
                <w:bCs/>
                <w:sz w:val="17"/>
                <w:lang w:val="fr-FR"/>
              </w:rPr>
              <w:t>pourcentage</w:t>
            </w:r>
            <w:r w:rsidRPr="001120C4">
              <w:rPr>
                <w:bCs/>
                <w:sz w:val="17"/>
                <w:lang w:val="fr-FR"/>
              </w:rPr>
              <w:t>)</w:t>
            </w:r>
          </w:p>
        </w:tc>
        <w:tc>
          <w:tcPr>
            <w:tcW w:w="756"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1" w:after="81" w:line="210" w:lineRule="exact"/>
              <w:ind w:right="43"/>
              <w:jc w:val="right"/>
              <w:rPr>
                <w:sz w:val="17"/>
                <w:lang w:val="fr-FR"/>
              </w:rPr>
            </w:pPr>
            <w:r w:rsidRPr="001120C4">
              <w:rPr>
                <w:sz w:val="17"/>
                <w:lang w:val="fr-FR"/>
              </w:rPr>
              <w:t>45</w:t>
            </w:r>
          </w:p>
        </w:tc>
        <w:tc>
          <w:tcPr>
            <w:tcW w:w="756"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1" w:after="81" w:line="210" w:lineRule="exact"/>
              <w:ind w:right="43"/>
              <w:jc w:val="right"/>
              <w:rPr>
                <w:sz w:val="17"/>
                <w:lang w:val="fr-FR"/>
              </w:rPr>
            </w:pPr>
            <w:r w:rsidRPr="001120C4">
              <w:rPr>
                <w:sz w:val="17"/>
                <w:lang w:val="fr-FR"/>
              </w:rPr>
              <w:t>55</w:t>
            </w:r>
          </w:p>
        </w:tc>
        <w:tc>
          <w:tcPr>
            <w:tcW w:w="756"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1" w:after="81" w:line="210" w:lineRule="exact"/>
              <w:ind w:right="43"/>
              <w:jc w:val="right"/>
              <w:rPr>
                <w:sz w:val="17"/>
                <w:lang w:val="fr-FR"/>
              </w:rPr>
            </w:pPr>
            <w:r w:rsidRPr="001120C4">
              <w:rPr>
                <w:sz w:val="17"/>
                <w:lang w:val="fr-FR"/>
              </w:rPr>
              <w:t>100</w:t>
            </w:r>
          </w:p>
        </w:tc>
      </w:tr>
    </w:tbl>
    <w:p w:rsidR="00C06068" w:rsidRPr="001120C4" w:rsidRDefault="00C06068" w:rsidP="00C06068">
      <w:pPr>
        <w:pStyle w:val="SingleTxt"/>
        <w:spacing w:after="0" w:line="120" w:lineRule="exact"/>
        <w:rPr>
          <w:b/>
          <w:bCs/>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1120C4">
        <w:rPr>
          <w:i/>
          <w:lang w:val="fr-FR"/>
        </w:rPr>
        <w:t>Source</w:t>
      </w:r>
      <w:r w:rsidRPr="001120C4">
        <w:rPr>
          <w:lang w:val="fr-FR"/>
        </w:rPr>
        <w:t> :</w:t>
      </w:r>
      <w:r w:rsidRPr="00521891">
        <w:rPr>
          <w:lang w:val="fr-FR"/>
        </w:rPr>
        <w:t xml:space="preserve"> MESUPRES/</w:t>
      </w:r>
      <w:r w:rsidRPr="00CC5A59">
        <w:rPr>
          <w:i/>
          <w:lang w:val="fr-FR"/>
        </w:rPr>
        <w:t>Annuaire 2009-2010</w:t>
      </w:r>
      <w:r>
        <w:rPr>
          <w:lang w:val="fr-FR"/>
        </w:rPr>
        <w:t>.</w:t>
      </w:r>
    </w:p>
    <w:p w:rsidR="00C06068" w:rsidRPr="001120C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120C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Les données fournies par le tableau 1 ne renseignent pas sur la parité en genre des étudiants. Elles montrent cependant que l</w:t>
      </w:r>
      <w:r>
        <w:rPr>
          <w:lang w:val="fr-FR"/>
        </w:rPr>
        <w:t>’</w:t>
      </w:r>
      <w:r w:rsidRPr="00521891">
        <w:rPr>
          <w:lang w:val="fr-FR"/>
        </w:rPr>
        <w:t>accès à l</w:t>
      </w:r>
      <w:r>
        <w:rPr>
          <w:lang w:val="fr-FR"/>
        </w:rPr>
        <w:t>’</w:t>
      </w:r>
      <w:r w:rsidRPr="00521891">
        <w:rPr>
          <w:lang w:val="fr-FR"/>
        </w:rPr>
        <w:t>enseignement supérieur est facilité par la présence des institutions publiques et privées éparpillées dans l</w:t>
      </w:r>
      <w:r>
        <w:rPr>
          <w:lang w:val="fr-FR"/>
        </w:rPr>
        <w:t>’</w:t>
      </w:r>
      <w:r w:rsidRPr="00521891">
        <w:rPr>
          <w:lang w:val="fr-FR"/>
        </w:rPr>
        <w:t>île, notamment le CNTEMAD implantée dans 20 régions sur 22. L</w:t>
      </w:r>
      <w:r>
        <w:rPr>
          <w:lang w:val="fr-FR"/>
        </w:rPr>
        <w:t>’</w:t>
      </w:r>
      <w:r w:rsidRPr="00521891">
        <w:rPr>
          <w:lang w:val="fr-FR"/>
        </w:rPr>
        <w:t>existence du CNTEMAD dans presque toutes les régions favorise l</w:t>
      </w:r>
      <w:r>
        <w:rPr>
          <w:lang w:val="fr-FR"/>
        </w:rPr>
        <w:t>’</w:t>
      </w:r>
      <w:r w:rsidRPr="00521891">
        <w:rPr>
          <w:lang w:val="fr-FR"/>
        </w:rPr>
        <w:t>accès des femmes à l</w:t>
      </w:r>
      <w:r>
        <w:rPr>
          <w:lang w:val="fr-FR"/>
        </w:rPr>
        <w:t>’</w:t>
      </w:r>
      <w:r w:rsidRPr="00521891">
        <w:rPr>
          <w:lang w:val="fr-FR"/>
        </w:rPr>
        <w:t>enseignement supérieur dans la mesure où les cours dispensés à distance ne les obligent pas à se déplacer hors de leur lieu de résidence.</w:t>
      </w:r>
    </w:p>
    <w:p w:rsidR="00C06068" w:rsidRPr="00521891" w:rsidRDefault="00C06068" w:rsidP="00C06068">
      <w:pPr>
        <w:pStyle w:val="SingleTxt"/>
        <w:numPr>
          <w:ilvl w:val="0"/>
          <w:numId w:val="10"/>
        </w:numPr>
        <w:rPr>
          <w:lang w:val="fr-FR"/>
        </w:rPr>
      </w:pPr>
      <w:r w:rsidRPr="00521891">
        <w:rPr>
          <w:lang w:val="fr-FR"/>
        </w:rPr>
        <w:t>Les données fournies par le tableau 2 montrent d</w:t>
      </w:r>
      <w:r>
        <w:rPr>
          <w:lang w:val="fr-FR"/>
        </w:rPr>
        <w:t>’</w:t>
      </w:r>
      <w:r w:rsidRPr="00521891">
        <w:rPr>
          <w:lang w:val="fr-FR"/>
        </w:rPr>
        <w:t>ailleurs que la proportion des filles inscrites à l</w:t>
      </w:r>
      <w:r>
        <w:rPr>
          <w:lang w:val="fr-FR"/>
        </w:rPr>
        <w:t>’</w:t>
      </w:r>
      <w:r w:rsidRPr="00521891">
        <w:rPr>
          <w:lang w:val="fr-FR"/>
        </w:rPr>
        <w:t>enseignement supérieur au niveau de la CNTEMAD est plus élevée que celle des garçons, 55 % contre 45 %.</w:t>
      </w:r>
    </w:p>
    <w:p w:rsidR="00C06068" w:rsidRPr="00521891" w:rsidRDefault="00C06068" w:rsidP="00C06068">
      <w:pPr>
        <w:pStyle w:val="SingleTxt"/>
        <w:numPr>
          <w:ilvl w:val="0"/>
          <w:numId w:val="10"/>
        </w:numPr>
        <w:rPr>
          <w:lang w:val="fr-FR"/>
        </w:rPr>
      </w:pPr>
      <w:r w:rsidRPr="00521891">
        <w:rPr>
          <w:lang w:val="fr-FR"/>
        </w:rPr>
        <w:t>Tous les apprenants</w:t>
      </w:r>
      <w:r>
        <w:rPr>
          <w:lang w:val="fr-FR"/>
        </w:rPr>
        <w:t>,</w:t>
      </w:r>
      <w:r w:rsidRPr="00521891">
        <w:rPr>
          <w:lang w:val="fr-FR"/>
        </w:rPr>
        <w:t xml:space="preserve"> sans distinction de sexe, accèdent selon le niveau d</w:t>
      </w:r>
      <w:r>
        <w:rPr>
          <w:lang w:val="fr-FR"/>
        </w:rPr>
        <w:t>’</w:t>
      </w:r>
      <w:r w:rsidRPr="00521891">
        <w:rPr>
          <w:lang w:val="fr-FR"/>
        </w:rPr>
        <w:t>enseignement aux mêmes programmes, aux mêmes examens et à un personnel enseignant possédant les qualifications de même ordre. La répartition par sexe des enseignants au niveau de l</w:t>
      </w:r>
      <w:r>
        <w:rPr>
          <w:lang w:val="fr-FR"/>
        </w:rPr>
        <w:t>’</w:t>
      </w:r>
      <w:r w:rsidRPr="00521891">
        <w:rPr>
          <w:lang w:val="fr-FR"/>
        </w:rPr>
        <w:t>enseignement primaire et secondaire n</w:t>
      </w:r>
      <w:r>
        <w:rPr>
          <w:lang w:val="fr-FR"/>
        </w:rPr>
        <w:t>’</w:t>
      </w:r>
      <w:r w:rsidRPr="00521891">
        <w:rPr>
          <w:lang w:val="fr-FR"/>
        </w:rPr>
        <w:t>est pas disponible. Au niveau de l</w:t>
      </w:r>
      <w:r>
        <w:rPr>
          <w:lang w:val="fr-FR"/>
        </w:rPr>
        <w:t>’</w:t>
      </w:r>
      <w:r w:rsidRPr="00521891">
        <w:rPr>
          <w:lang w:val="fr-FR"/>
        </w:rPr>
        <w:t>enseignement supérieur, les enseignants de sexe féminin sont moins nombreux que ceux du sexe masculin comme le montre le tableau ci-après.</w:t>
      </w:r>
    </w:p>
    <w:p w:rsidR="00C06068" w:rsidRPr="001129FF" w:rsidRDefault="00C06068" w:rsidP="00C06068">
      <w:pPr>
        <w:pStyle w:val="SingleTxt"/>
        <w:spacing w:after="0" w:line="120" w:lineRule="exact"/>
        <w:rPr>
          <w:b/>
          <w:sz w:val="10"/>
          <w:lang w:val="fr-FR"/>
        </w:rPr>
      </w:pPr>
      <w:bookmarkStart w:id="72" w:name="_Toc377129297"/>
    </w:p>
    <w:p w:rsidR="00C06068" w:rsidRPr="001129FF"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1129FF">
        <w:rPr>
          <w:b w:val="0"/>
          <w:lang w:val="fr-FR"/>
        </w:rPr>
        <w:t xml:space="preserve">Tableau </w:t>
      </w:r>
      <w:r>
        <w:rPr>
          <w:b w:val="0"/>
          <w:lang w:val="fr-FR"/>
        </w:rPr>
        <w:t>11</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Répartition des enseignants de l</w:t>
      </w:r>
      <w:r>
        <w:rPr>
          <w:lang w:val="fr-FR"/>
        </w:rPr>
        <w:t>’</w:t>
      </w:r>
      <w:r w:rsidRPr="00521891">
        <w:rPr>
          <w:lang w:val="fr-FR"/>
        </w:rPr>
        <w:t>enseignement supérieur par sexe</w:t>
      </w:r>
      <w:bookmarkEnd w:id="72"/>
    </w:p>
    <w:p w:rsidR="00C06068" w:rsidRPr="001129FF" w:rsidRDefault="00C06068" w:rsidP="00C06068">
      <w:pPr>
        <w:pStyle w:val="SingleTxt"/>
        <w:keepNext/>
        <w:keepLines/>
        <w:spacing w:after="0" w:line="120" w:lineRule="exact"/>
        <w:rPr>
          <w:sz w:val="10"/>
          <w:lang w:val="fr-FR"/>
        </w:rPr>
      </w:pPr>
    </w:p>
    <w:p w:rsidR="00C06068" w:rsidRPr="001129FF" w:rsidRDefault="00C06068" w:rsidP="00C06068">
      <w:pPr>
        <w:pStyle w:val="SingleTxt"/>
        <w:keepNext/>
        <w:keepLines/>
        <w:spacing w:after="0" w:line="120" w:lineRule="exact"/>
        <w:rPr>
          <w:sz w:val="10"/>
          <w:lang w:val="fr-FR"/>
        </w:rPr>
      </w:pPr>
    </w:p>
    <w:tbl>
      <w:tblPr>
        <w:tblW w:w="9842" w:type="dxa"/>
        <w:tblLayout w:type="fixed"/>
        <w:tblCellMar>
          <w:left w:w="0" w:type="dxa"/>
          <w:right w:w="0" w:type="dxa"/>
        </w:tblCellMar>
        <w:tblLook w:val="0000"/>
      </w:tblPr>
      <w:tblGrid>
        <w:gridCol w:w="1954"/>
        <w:gridCol w:w="522"/>
        <w:gridCol w:w="522"/>
        <w:gridCol w:w="523"/>
        <w:gridCol w:w="126"/>
        <w:gridCol w:w="399"/>
        <w:gridCol w:w="525"/>
        <w:gridCol w:w="526"/>
        <w:gridCol w:w="108"/>
        <w:gridCol w:w="417"/>
        <w:gridCol w:w="525"/>
        <w:gridCol w:w="526"/>
        <w:gridCol w:w="99"/>
        <w:gridCol w:w="426"/>
        <w:gridCol w:w="525"/>
        <w:gridCol w:w="543"/>
        <w:gridCol w:w="108"/>
        <w:gridCol w:w="417"/>
        <w:gridCol w:w="525"/>
        <w:gridCol w:w="526"/>
      </w:tblGrid>
      <w:tr w:rsidR="00C06068" w:rsidRPr="001129FF" w:rsidTr="007F3574">
        <w:tblPrEx>
          <w:tblCellMar>
            <w:top w:w="0" w:type="dxa"/>
            <w:bottom w:w="0" w:type="dxa"/>
          </w:tblCellMar>
        </w:tblPrEx>
        <w:trPr>
          <w:tblHeader/>
        </w:trPr>
        <w:tc>
          <w:tcPr>
            <w:tcW w:w="1956" w:type="dxa"/>
            <w:tcBorders>
              <w:top w:val="single" w:sz="4"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center"/>
              <w:rPr>
                <w:i/>
                <w:sz w:val="14"/>
                <w:lang w:val="fr-FR"/>
              </w:rPr>
            </w:pPr>
          </w:p>
        </w:tc>
        <w:tc>
          <w:tcPr>
            <w:tcW w:w="1570" w:type="dxa"/>
            <w:gridSpan w:val="3"/>
            <w:tcBorders>
              <w:top w:val="single" w:sz="4" w:space="0" w:color="auto"/>
              <w:bottom w:val="single" w:sz="4" w:space="0" w:color="auto"/>
            </w:tcBorders>
            <w:vAlign w:val="bottom"/>
          </w:tcPr>
          <w:p w:rsidR="00C06068" w:rsidRPr="001129FF" w:rsidRDefault="00C06068" w:rsidP="007F3574">
            <w:pPr>
              <w:keepNext/>
              <w:keepLines/>
              <w:suppressAutoHyphens/>
              <w:spacing w:before="80" w:after="80" w:line="160" w:lineRule="exact"/>
              <w:ind w:right="43"/>
              <w:jc w:val="center"/>
              <w:rPr>
                <w:i/>
                <w:sz w:val="14"/>
                <w:lang w:val="fr-FR"/>
              </w:rPr>
            </w:pPr>
            <w:r w:rsidRPr="00DE333E">
              <w:rPr>
                <w:bCs/>
                <w:i/>
                <w:sz w:val="14"/>
                <w:lang w:val="fr-FR"/>
              </w:rPr>
              <w:t xml:space="preserve">Professeur </w:t>
            </w:r>
            <w:r>
              <w:rPr>
                <w:bCs/>
                <w:i/>
                <w:sz w:val="14"/>
                <w:lang w:val="fr-FR"/>
              </w:rPr>
              <w:t>t</w:t>
            </w:r>
            <w:r w:rsidRPr="00DE333E">
              <w:rPr>
                <w:bCs/>
                <w:i/>
                <w:sz w:val="14"/>
                <w:lang w:val="fr-FR"/>
              </w:rPr>
              <w:t>itulaire</w:t>
            </w:r>
          </w:p>
        </w:tc>
        <w:tc>
          <w:tcPr>
            <w:tcW w:w="126" w:type="dxa"/>
            <w:tcBorders>
              <w:top w:val="single" w:sz="4"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center"/>
              <w:rPr>
                <w:i/>
                <w:sz w:val="14"/>
                <w:lang w:val="fr-FR"/>
              </w:rPr>
            </w:pPr>
          </w:p>
        </w:tc>
        <w:tc>
          <w:tcPr>
            <w:tcW w:w="1450" w:type="dxa"/>
            <w:gridSpan w:val="3"/>
            <w:tcBorders>
              <w:top w:val="single" w:sz="4" w:space="0" w:color="auto"/>
              <w:bottom w:val="single" w:sz="4"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center"/>
              <w:rPr>
                <w:i/>
                <w:sz w:val="14"/>
                <w:lang w:val="fr-FR"/>
              </w:rPr>
            </w:pPr>
            <w:r w:rsidRPr="00DE333E">
              <w:rPr>
                <w:bCs/>
                <w:i/>
                <w:sz w:val="14"/>
                <w:lang w:val="fr-FR"/>
              </w:rPr>
              <w:t>Professeur</w:t>
            </w:r>
          </w:p>
        </w:tc>
        <w:tc>
          <w:tcPr>
            <w:tcW w:w="108" w:type="dxa"/>
            <w:tcBorders>
              <w:top w:val="single" w:sz="4"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center"/>
              <w:rPr>
                <w:i/>
                <w:sz w:val="14"/>
                <w:lang w:val="fr-FR"/>
              </w:rPr>
            </w:pPr>
          </w:p>
        </w:tc>
        <w:tc>
          <w:tcPr>
            <w:tcW w:w="1468" w:type="dxa"/>
            <w:gridSpan w:val="3"/>
            <w:tcBorders>
              <w:top w:val="single" w:sz="4" w:space="0" w:color="auto"/>
              <w:bottom w:val="single" w:sz="4" w:space="0" w:color="auto"/>
            </w:tcBorders>
            <w:shd w:val="clear" w:color="auto" w:fill="auto"/>
            <w:vAlign w:val="bottom"/>
          </w:tcPr>
          <w:p w:rsidR="00C06068" w:rsidRPr="00DE333E" w:rsidRDefault="00C06068" w:rsidP="007F3574">
            <w:pPr>
              <w:keepNext/>
              <w:keepLines/>
              <w:suppressAutoHyphens/>
              <w:spacing w:before="80" w:after="80" w:line="160" w:lineRule="exact"/>
              <w:ind w:right="43"/>
              <w:jc w:val="center"/>
              <w:rPr>
                <w:bCs/>
                <w:i/>
                <w:sz w:val="14"/>
                <w:lang w:val="fr-FR"/>
              </w:rPr>
            </w:pPr>
            <w:r w:rsidRPr="00DE333E">
              <w:rPr>
                <w:bCs/>
                <w:i/>
                <w:sz w:val="14"/>
                <w:lang w:val="fr-FR"/>
              </w:rPr>
              <w:t>Ma</w:t>
            </w:r>
            <w:r>
              <w:rPr>
                <w:bCs/>
                <w:i/>
                <w:sz w:val="14"/>
                <w:lang w:val="fr-FR"/>
              </w:rPr>
              <w:t>î</w:t>
            </w:r>
            <w:r w:rsidRPr="00DE333E">
              <w:rPr>
                <w:bCs/>
                <w:i/>
                <w:sz w:val="14"/>
                <w:lang w:val="fr-FR"/>
              </w:rPr>
              <w:t>tre de conférences</w:t>
            </w:r>
          </w:p>
        </w:tc>
        <w:tc>
          <w:tcPr>
            <w:tcW w:w="99" w:type="dxa"/>
            <w:tcBorders>
              <w:top w:val="single" w:sz="4" w:space="0" w:color="auto"/>
            </w:tcBorders>
            <w:shd w:val="clear" w:color="auto" w:fill="auto"/>
            <w:vAlign w:val="bottom"/>
          </w:tcPr>
          <w:p w:rsidR="00C06068" w:rsidRPr="00DE333E" w:rsidRDefault="00C06068" w:rsidP="007F3574">
            <w:pPr>
              <w:keepNext/>
              <w:keepLines/>
              <w:suppressAutoHyphens/>
              <w:spacing w:before="80" w:after="80" w:line="160" w:lineRule="exact"/>
              <w:ind w:right="43"/>
              <w:jc w:val="center"/>
              <w:rPr>
                <w:bCs/>
                <w:i/>
                <w:sz w:val="14"/>
                <w:lang w:val="fr-FR"/>
              </w:rPr>
            </w:pPr>
          </w:p>
        </w:tc>
        <w:tc>
          <w:tcPr>
            <w:tcW w:w="1494" w:type="dxa"/>
            <w:gridSpan w:val="3"/>
            <w:tcBorders>
              <w:top w:val="single" w:sz="4" w:space="0" w:color="auto"/>
              <w:bottom w:val="single" w:sz="4" w:space="0" w:color="auto"/>
            </w:tcBorders>
            <w:shd w:val="clear" w:color="auto" w:fill="auto"/>
            <w:vAlign w:val="bottom"/>
          </w:tcPr>
          <w:p w:rsidR="00C06068" w:rsidRPr="00DE333E" w:rsidRDefault="00C06068" w:rsidP="007F3574">
            <w:pPr>
              <w:keepNext/>
              <w:keepLines/>
              <w:suppressAutoHyphens/>
              <w:spacing w:before="80" w:after="80" w:line="160" w:lineRule="exact"/>
              <w:ind w:right="43"/>
              <w:jc w:val="center"/>
              <w:rPr>
                <w:bCs/>
                <w:i/>
                <w:sz w:val="14"/>
                <w:lang w:val="fr-FR"/>
              </w:rPr>
            </w:pPr>
            <w:r w:rsidRPr="00DE333E">
              <w:rPr>
                <w:bCs/>
                <w:i/>
                <w:sz w:val="14"/>
                <w:lang w:val="fr-FR"/>
              </w:rPr>
              <w:t>Assistant</w:t>
            </w:r>
          </w:p>
        </w:tc>
        <w:tc>
          <w:tcPr>
            <w:tcW w:w="108" w:type="dxa"/>
            <w:tcBorders>
              <w:top w:val="single" w:sz="4" w:space="0" w:color="auto"/>
            </w:tcBorders>
            <w:shd w:val="clear" w:color="auto" w:fill="auto"/>
            <w:vAlign w:val="bottom"/>
          </w:tcPr>
          <w:p w:rsidR="00C06068" w:rsidRPr="00DE333E" w:rsidRDefault="00C06068" w:rsidP="007F3574">
            <w:pPr>
              <w:keepNext/>
              <w:keepLines/>
              <w:suppressAutoHyphens/>
              <w:spacing w:before="80" w:after="80" w:line="160" w:lineRule="exact"/>
              <w:ind w:right="43"/>
              <w:jc w:val="center"/>
              <w:rPr>
                <w:bCs/>
                <w:i/>
                <w:sz w:val="14"/>
                <w:lang w:val="fr-FR"/>
              </w:rPr>
            </w:pPr>
          </w:p>
        </w:tc>
        <w:tc>
          <w:tcPr>
            <w:tcW w:w="1463" w:type="dxa"/>
            <w:gridSpan w:val="3"/>
            <w:tcBorders>
              <w:top w:val="single" w:sz="4" w:space="0" w:color="auto"/>
              <w:bottom w:val="single" w:sz="4"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center"/>
              <w:rPr>
                <w:i/>
                <w:sz w:val="14"/>
                <w:lang w:val="fr-FR"/>
              </w:rPr>
            </w:pPr>
            <w:r w:rsidRPr="00DE333E">
              <w:rPr>
                <w:bCs/>
                <w:i/>
                <w:sz w:val="14"/>
                <w:lang w:val="fr-FR"/>
              </w:rPr>
              <w:t>Total</w:t>
            </w:r>
          </w:p>
        </w:tc>
      </w:tr>
      <w:tr w:rsidR="00C06068" w:rsidRPr="001129FF" w:rsidTr="007F3574">
        <w:tblPrEx>
          <w:tblCellMar>
            <w:top w:w="0" w:type="dxa"/>
            <w:bottom w:w="0" w:type="dxa"/>
          </w:tblCellMar>
        </w:tblPrEx>
        <w:trPr>
          <w:tblHeader/>
        </w:trPr>
        <w:tc>
          <w:tcPr>
            <w:tcW w:w="1956"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rPr>
                <w:i/>
                <w:sz w:val="14"/>
                <w:lang w:val="fr-FR"/>
              </w:rPr>
            </w:pPr>
          </w:p>
        </w:tc>
        <w:tc>
          <w:tcPr>
            <w:tcW w:w="523" w:type="dxa"/>
            <w:tcBorders>
              <w:top w:val="single" w:sz="4" w:space="0" w:color="auto"/>
              <w:bottom w:val="single" w:sz="12" w:space="0" w:color="auto"/>
            </w:tcBorders>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M</w:t>
            </w:r>
          </w:p>
        </w:tc>
        <w:tc>
          <w:tcPr>
            <w:tcW w:w="523" w:type="dxa"/>
            <w:tcBorders>
              <w:top w:val="single" w:sz="4" w:space="0" w:color="auto"/>
              <w:bottom w:val="single" w:sz="12" w:space="0" w:color="auto"/>
            </w:tcBorders>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F</w:t>
            </w:r>
          </w:p>
        </w:tc>
        <w:tc>
          <w:tcPr>
            <w:tcW w:w="524" w:type="dxa"/>
            <w:tcBorders>
              <w:top w:val="single" w:sz="4" w:space="0" w:color="auto"/>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Total</w:t>
            </w:r>
          </w:p>
        </w:tc>
        <w:tc>
          <w:tcPr>
            <w:tcW w:w="525" w:type="dxa"/>
            <w:gridSpan w:val="2"/>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M</w:t>
            </w:r>
          </w:p>
        </w:tc>
        <w:tc>
          <w:tcPr>
            <w:tcW w:w="525"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F</w:t>
            </w:r>
          </w:p>
        </w:tc>
        <w:tc>
          <w:tcPr>
            <w:tcW w:w="526"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Total</w:t>
            </w:r>
          </w:p>
        </w:tc>
        <w:tc>
          <w:tcPr>
            <w:tcW w:w="525" w:type="dxa"/>
            <w:gridSpan w:val="2"/>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M</w:t>
            </w:r>
          </w:p>
        </w:tc>
        <w:tc>
          <w:tcPr>
            <w:tcW w:w="525"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F</w:t>
            </w:r>
          </w:p>
        </w:tc>
        <w:tc>
          <w:tcPr>
            <w:tcW w:w="526"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Total</w:t>
            </w:r>
          </w:p>
        </w:tc>
        <w:tc>
          <w:tcPr>
            <w:tcW w:w="525" w:type="dxa"/>
            <w:gridSpan w:val="2"/>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M</w:t>
            </w:r>
          </w:p>
        </w:tc>
        <w:tc>
          <w:tcPr>
            <w:tcW w:w="525"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F</w:t>
            </w:r>
          </w:p>
        </w:tc>
        <w:tc>
          <w:tcPr>
            <w:tcW w:w="538"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Total</w:t>
            </w:r>
          </w:p>
        </w:tc>
        <w:tc>
          <w:tcPr>
            <w:tcW w:w="525" w:type="dxa"/>
            <w:gridSpan w:val="2"/>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M</w:t>
            </w:r>
          </w:p>
        </w:tc>
        <w:tc>
          <w:tcPr>
            <w:tcW w:w="525"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F</w:t>
            </w:r>
          </w:p>
        </w:tc>
        <w:tc>
          <w:tcPr>
            <w:tcW w:w="526" w:type="dxa"/>
            <w:tcBorders>
              <w:bottom w:val="single" w:sz="12" w:space="0" w:color="auto"/>
            </w:tcBorders>
            <w:shd w:val="clear" w:color="auto" w:fill="auto"/>
            <w:vAlign w:val="bottom"/>
          </w:tcPr>
          <w:p w:rsidR="00C06068" w:rsidRPr="001129FF" w:rsidRDefault="00C06068" w:rsidP="007F3574">
            <w:pPr>
              <w:keepNext/>
              <w:keepLines/>
              <w:suppressAutoHyphens/>
              <w:spacing w:before="80" w:after="80" w:line="160" w:lineRule="exact"/>
              <w:ind w:right="43"/>
              <w:jc w:val="right"/>
              <w:rPr>
                <w:i/>
                <w:sz w:val="14"/>
                <w:lang w:val="fr-FR"/>
              </w:rPr>
            </w:pPr>
            <w:r>
              <w:rPr>
                <w:i/>
                <w:sz w:val="14"/>
                <w:lang w:val="fr-FR"/>
              </w:rPr>
              <w:t>Total</w:t>
            </w:r>
          </w:p>
        </w:tc>
      </w:tr>
      <w:tr w:rsidR="00C06068" w:rsidRPr="001129FF" w:rsidTr="007F3574">
        <w:tblPrEx>
          <w:tblCellMar>
            <w:top w:w="0" w:type="dxa"/>
            <w:bottom w:w="0" w:type="dxa"/>
          </w:tblCellMar>
        </w:tblPrEx>
        <w:trPr>
          <w:trHeight w:hRule="exact" w:val="115"/>
          <w:tblHeader/>
        </w:trPr>
        <w:tc>
          <w:tcPr>
            <w:tcW w:w="1956"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rPr>
                <w:sz w:val="17"/>
                <w:lang w:val="fr-FR"/>
              </w:rPr>
            </w:pPr>
          </w:p>
        </w:tc>
        <w:tc>
          <w:tcPr>
            <w:tcW w:w="523" w:type="dxa"/>
            <w:tcBorders>
              <w:top w:val="single" w:sz="12" w:space="0" w:color="auto"/>
            </w:tcBorders>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3" w:type="dxa"/>
            <w:tcBorders>
              <w:top w:val="single" w:sz="12" w:space="0" w:color="auto"/>
            </w:tcBorders>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4"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gridSpan w:val="2"/>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6"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gridSpan w:val="2"/>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6"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gridSpan w:val="2"/>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38"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gridSpan w:val="2"/>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5"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c>
          <w:tcPr>
            <w:tcW w:w="526" w:type="dxa"/>
            <w:tcBorders>
              <w:top w:val="single" w:sz="12" w:space="0" w:color="auto"/>
            </w:tcBorders>
            <w:shd w:val="clear" w:color="auto" w:fill="auto"/>
            <w:vAlign w:val="bottom"/>
          </w:tcPr>
          <w:p w:rsidR="00C06068" w:rsidRPr="001129FF" w:rsidRDefault="00C06068" w:rsidP="007F3574">
            <w:pPr>
              <w:keepNext/>
              <w:keepLines/>
              <w:suppressAutoHyphens/>
              <w:spacing w:before="40" w:after="40" w:line="210" w:lineRule="exact"/>
              <w:ind w:right="43"/>
              <w:jc w:val="right"/>
              <w:rPr>
                <w:sz w:val="17"/>
                <w:lang w:val="fr-FR"/>
              </w:rPr>
            </w:pPr>
          </w:p>
        </w:tc>
      </w:tr>
      <w:tr w:rsidR="00C06068" w:rsidRPr="001129FF" w:rsidTr="007F3574">
        <w:tblPrEx>
          <w:tblCellMar>
            <w:top w:w="0" w:type="dxa"/>
            <w:bottom w:w="0" w:type="dxa"/>
          </w:tblCellMar>
        </w:tblPrEx>
        <w:tc>
          <w:tcPr>
            <w:tcW w:w="1956" w:type="dxa"/>
            <w:shd w:val="clear" w:color="auto" w:fill="auto"/>
          </w:tcPr>
          <w:p w:rsidR="00C06068" w:rsidRPr="00DE333E"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Six</w:t>
            </w:r>
            <w:r w:rsidRPr="00DE333E">
              <w:rPr>
                <w:sz w:val="17"/>
                <w:lang w:val="fr-FR"/>
              </w:rPr>
              <w:t xml:space="preserve"> universités publiques</w:t>
            </w:r>
          </w:p>
        </w:tc>
        <w:tc>
          <w:tcPr>
            <w:tcW w:w="523" w:type="dxa"/>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 xml:space="preserve">64 </w:t>
            </w:r>
          </w:p>
        </w:tc>
        <w:tc>
          <w:tcPr>
            <w:tcW w:w="523" w:type="dxa"/>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28</w:t>
            </w:r>
          </w:p>
        </w:tc>
        <w:tc>
          <w:tcPr>
            <w:tcW w:w="524" w:type="dxa"/>
            <w:shd w:val="clear" w:color="auto" w:fill="auto"/>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92</w:t>
            </w:r>
          </w:p>
        </w:tc>
        <w:tc>
          <w:tcPr>
            <w:tcW w:w="525" w:type="dxa"/>
            <w:gridSpan w:val="2"/>
            <w:shd w:val="clear" w:color="auto" w:fill="auto"/>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81</w:t>
            </w:r>
          </w:p>
        </w:tc>
        <w:tc>
          <w:tcPr>
            <w:tcW w:w="525" w:type="dxa"/>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w:t>
            </w:r>
          </w:p>
        </w:tc>
        <w:tc>
          <w:tcPr>
            <w:tcW w:w="52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408</w:t>
            </w:r>
          </w:p>
        </w:tc>
        <w:tc>
          <w:tcPr>
            <w:tcW w:w="525"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179</w:t>
            </w:r>
          </w:p>
        </w:tc>
        <w:tc>
          <w:tcPr>
            <w:tcW w:w="52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587</w:t>
            </w:r>
          </w:p>
        </w:tc>
        <w:tc>
          <w:tcPr>
            <w:tcW w:w="52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242</w:t>
            </w:r>
          </w:p>
        </w:tc>
        <w:tc>
          <w:tcPr>
            <w:tcW w:w="525"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131</w:t>
            </w:r>
          </w:p>
        </w:tc>
        <w:tc>
          <w:tcPr>
            <w:tcW w:w="52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373</w:t>
            </w:r>
          </w:p>
        </w:tc>
        <w:tc>
          <w:tcPr>
            <w:tcW w:w="538"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795</w:t>
            </w:r>
          </w:p>
        </w:tc>
        <w:tc>
          <w:tcPr>
            <w:tcW w:w="525"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379</w:t>
            </w:r>
          </w:p>
        </w:tc>
        <w:tc>
          <w:tcPr>
            <w:tcW w:w="52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1174</w:t>
            </w:r>
          </w:p>
        </w:tc>
        <w:tc>
          <w:tcPr>
            <w:tcW w:w="52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242</w:t>
            </w:r>
          </w:p>
        </w:tc>
      </w:tr>
      <w:tr w:rsidR="00C06068" w:rsidRPr="001129FF" w:rsidTr="007F3574">
        <w:tblPrEx>
          <w:tblCellMar>
            <w:top w:w="0" w:type="dxa"/>
            <w:bottom w:w="0" w:type="dxa"/>
          </w:tblCellMar>
        </w:tblPrEx>
        <w:tc>
          <w:tcPr>
            <w:tcW w:w="1956" w:type="dxa"/>
            <w:tcBorders>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Institutions privées</w:t>
            </w:r>
          </w:p>
        </w:tc>
        <w:tc>
          <w:tcPr>
            <w:tcW w:w="523" w:type="dxa"/>
            <w:tcBorders>
              <w:bottom w:val="single" w:sz="12" w:space="0" w:color="auto"/>
            </w:tcBorders>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56</w:t>
            </w:r>
          </w:p>
        </w:tc>
        <w:tc>
          <w:tcPr>
            <w:tcW w:w="523" w:type="dxa"/>
            <w:tcBorders>
              <w:bottom w:val="single" w:sz="12" w:space="0" w:color="auto"/>
            </w:tcBorders>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22</w:t>
            </w:r>
          </w:p>
        </w:tc>
        <w:tc>
          <w:tcPr>
            <w:tcW w:w="524" w:type="dxa"/>
            <w:tcBorders>
              <w:bottom w:val="single" w:sz="12" w:space="0" w:color="auto"/>
            </w:tcBorders>
            <w:shd w:val="clear" w:color="auto" w:fill="auto"/>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 xml:space="preserve">78 </w:t>
            </w:r>
          </w:p>
        </w:tc>
        <w:tc>
          <w:tcPr>
            <w:tcW w:w="525" w:type="dxa"/>
            <w:gridSpan w:val="2"/>
            <w:tcBorders>
              <w:bottom w:val="single" w:sz="12" w:space="0" w:color="auto"/>
            </w:tcBorders>
            <w:shd w:val="clear" w:color="auto" w:fill="auto"/>
            <w:vAlign w:val="bottom"/>
          </w:tcPr>
          <w:p w:rsidR="00C06068" w:rsidRPr="00DE333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E333E">
              <w:rPr>
                <w:sz w:val="17"/>
                <w:lang w:val="fr-FR"/>
              </w:rPr>
              <w:t>102</w:t>
            </w:r>
          </w:p>
        </w:tc>
        <w:tc>
          <w:tcPr>
            <w:tcW w:w="525" w:type="dxa"/>
            <w:tcBorders>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526"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89</w:t>
            </w:r>
          </w:p>
        </w:tc>
        <w:tc>
          <w:tcPr>
            <w:tcW w:w="525" w:type="dxa"/>
            <w:gridSpan w:val="2"/>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34</w:t>
            </w:r>
          </w:p>
        </w:tc>
        <w:tc>
          <w:tcPr>
            <w:tcW w:w="525"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123</w:t>
            </w:r>
          </w:p>
        </w:tc>
        <w:tc>
          <w:tcPr>
            <w:tcW w:w="526"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211</w:t>
            </w:r>
          </w:p>
        </w:tc>
        <w:tc>
          <w:tcPr>
            <w:tcW w:w="525" w:type="dxa"/>
            <w:gridSpan w:val="2"/>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88</w:t>
            </w:r>
          </w:p>
        </w:tc>
        <w:tc>
          <w:tcPr>
            <w:tcW w:w="525"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299</w:t>
            </w:r>
          </w:p>
        </w:tc>
        <w:tc>
          <w:tcPr>
            <w:tcW w:w="538"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457</w:t>
            </w:r>
          </w:p>
        </w:tc>
        <w:tc>
          <w:tcPr>
            <w:tcW w:w="525" w:type="dxa"/>
            <w:gridSpan w:val="2"/>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159</w:t>
            </w:r>
          </w:p>
        </w:tc>
        <w:tc>
          <w:tcPr>
            <w:tcW w:w="525"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618</w:t>
            </w:r>
          </w:p>
        </w:tc>
        <w:tc>
          <w:tcPr>
            <w:tcW w:w="526" w:type="dxa"/>
            <w:tcBorders>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211</w:t>
            </w:r>
          </w:p>
        </w:tc>
      </w:tr>
    </w:tbl>
    <w:p w:rsidR="00C06068" w:rsidRPr="005B402E"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Default="00C06068" w:rsidP="00C06068">
      <w:pPr>
        <w:pStyle w:val="FootnoteText"/>
        <w:tabs>
          <w:tab w:val="right" w:pos="216"/>
          <w:tab w:val="left" w:pos="288"/>
          <w:tab w:val="right" w:pos="576"/>
          <w:tab w:val="left" w:pos="648"/>
        </w:tabs>
        <w:ind w:left="288" w:hanging="288"/>
        <w:rPr>
          <w:lang w:val="fr-FR"/>
        </w:rPr>
      </w:pPr>
      <w:r w:rsidRPr="005B402E">
        <w:rPr>
          <w:i/>
          <w:lang w:val="fr-FR"/>
        </w:rPr>
        <w:t>Source</w:t>
      </w:r>
      <w:r w:rsidRPr="00521891">
        <w:rPr>
          <w:lang w:val="fr-FR"/>
        </w:rPr>
        <w:t> : MESUPRES</w:t>
      </w:r>
      <w:r>
        <w:rPr>
          <w:lang w:val="fr-FR"/>
        </w:rPr>
        <w:t>.</w:t>
      </w:r>
    </w:p>
    <w:p w:rsidR="00C06068" w:rsidRPr="005B402E"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5B402E"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521891" w:rsidRDefault="00C06068" w:rsidP="00C06068">
      <w:pPr>
        <w:pStyle w:val="SingleTxt"/>
        <w:numPr>
          <w:ilvl w:val="0"/>
          <w:numId w:val="10"/>
        </w:numPr>
        <w:rPr>
          <w:lang w:val="fr-FR"/>
        </w:rPr>
      </w:pPr>
      <w:r w:rsidRPr="00521891">
        <w:rPr>
          <w:lang w:val="fr-FR"/>
        </w:rPr>
        <w:t>Les étudiants sans distinction de sexe ont les mêmes possibilités de bénéficier des bourses prises en charge par l</w:t>
      </w:r>
      <w:r>
        <w:rPr>
          <w:lang w:val="fr-FR"/>
        </w:rPr>
        <w:t>’</w:t>
      </w:r>
      <w:r w:rsidRPr="00521891">
        <w:rPr>
          <w:lang w:val="fr-FR"/>
        </w:rPr>
        <w:t>État. En 2009-2010, 39 818 étudiants sur 47 793 soit 83,1 %, ont reçu des bourses d</w:t>
      </w:r>
      <w:r>
        <w:rPr>
          <w:lang w:val="fr-FR"/>
        </w:rPr>
        <w:t>’</w:t>
      </w:r>
      <w:r w:rsidRPr="00521891">
        <w:rPr>
          <w:lang w:val="fr-FR"/>
        </w:rPr>
        <w:t>études.</w:t>
      </w:r>
    </w:p>
    <w:p w:rsidR="00C06068" w:rsidRPr="00521891" w:rsidRDefault="00C06068" w:rsidP="00C06068">
      <w:pPr>
        <w:pStyle w:val="SingleTxt"/>
        <w:numPr>
          <w:ilvl w:val="0"/>
          <w:numId w:val="10"/>
        </w:numPr>
        <w:rPr>
          <w:lang w:val="fr-FR"/>
        </w:rPr>
      </w:pPr>
      <w:r w:rsidRPr="00521891">
        <w:rPr>
          <w:lang w:val="fr-FR"/>
        </w:rPr>
        <w:t>Pour remédier à ce phénomène d</w:t>
      </w:r>
      <w:r>
        <w:rPr>
          <w:lang w:val="fr-FR"/>
        </w:rPr>
        <w:t>’</w:t>
      </w:r>
      <w:r w:rsidRPr="00521891">
        <w:rPr>
          <w:lang w:val="fr-FR"/>
        </w:rPr>
        <w:t>abandon précoce et augmenter le taux de scolarisation en général et celui des filles en particulier, le Ministère de l</w:t>
      </w:r>
      <w:r>
        <w:rPr>
          <w:lang w:val="fr-FR"/>
        </w:rPr>
        <w:t>’é</w:t>
      </w:r>
      <w:r w:rsidRPr="00521891">
        <w:rPr>
          <w:lang w:val="fr-FR"/>
        </w:rPr>
        <w:t xml:space="preserve">ducation </w:t>
      </w:r>
      <w:r>
        <w:rPr>
          <w:lang w:val="fr-FR"/>
        </w:rPr>
        <w:t>n</w:t>
      </w:r>
      <w:r w:rsidRPr="00521891">
        <w:rPr>
          <w:lang w:val="fr-FR"/>
        </w:rPr>
        <w:t>ationale avec l</w:t>
      </w:r>
      <w:r>
        <w:rPr>
          <w:lang w:val="fr-FR"/>
        </w:rPr>
        <w:t>’</w:t>
      </w:r>
      <w:r w:rsidRPr="00521891">
        <w:rPr>
          <w:lang w:val="fr-FR"/>
        </w:rPr>
        <w:t>appui de l</w:t>
      </w:r>
      <w:r>
        <w:rPr>
          <w:lang w:val="fr-FR"/>
        </w:rPr>
        <w:t>’</w:t>
      </w:r>
      <w:r w:rsidRPr="00521891">
        <w:rPr>
          <w:lang w:val="fr-FR"/>
        </w:rPr>
        <w:t>UNICEF et en collaboration avec les ministères concernés par l</w:t>
      </w:r>
      <w:r>
        <w:rPr>
          <w:lang w:val="fr-FR"/>
        </w:rPr>
        <w:t>’</w:t>
      </w:r>
      <w:r w:rsidRPr="00521891">
        <w:rPr>
          <w:lang w:val="fr-FR"/>
        </w:rPr>
        <w:t>éducation a lancé, avant la rentrée 2013-2014, une campagne de scolarisation de tous les enfants d</w:t>
      </w:r>
      <w:r>
        <w:rPr>
          <w:lang w:val="fr-FR"/>
        </w:rPr>
        <w:t>’</w:t>
      </w:r>
      <w:r w:rsidRPr="00521891">
        <w:rPr>
          <w:lang w:val="fr-FR"/>
        </w:rPr>
        <w:t>âge scolaire à l</w:t>
      </w:r>
      <w:r>
        <w:rPr>
          <w:lang w:val="fr-FR"/>
        </w:rPr>
        <w:t>’</w:t>
      </w:r>
      <w:r w:rsidRPr="00521891">
        <w:rPr>
          <w:lang w:val="fr-FR"/>
        </w:rPr>
        <w:t>intention des parents et du public à l</w:t>
      </w:r>
      <w:r>
        <w:rPr>
          <w:lang w:val="fr-FR"/>
        </w:rPr>
        <w:t>’</w:t>
      </w:r>
      <w:r w:rsidRPr="00521891">
        <w:rPr>
          <w:lang w:val="fr-FR"/>
        </w:rPr>
        <w:t>échelon national.</w:t>
      </w:r>
    </w:p>
    <w:p w:rsidR="00C06068" w:rsidRPr="00521891" w:rsidRDefault="00C06068" w:rsidP="00C06068">
      <w:pPr>
        <w:pStyle w:val="SingleTxt"/>
        <w:numPr>
          <w:ilvl w:val="0"/>
          <w:numId w:val="10"/>
        </w:numPr>
        <w:rPr>
          <w:lang w:val="fr-FR"/>
        </w:rPr>
      </w:pPr>
      <w:r w:rsidRPr="00521891">
        <w:rPr>
          <w:lang w:val="fr-FR"/>
        </w:rPr>
        <w:t>Par ailleurs, depuis 2006, avec l</w:t>
      </w:r>
      <w:r>
        <w:rPr>
          <w:lang w:val="fr-FR"/>
        </w:rPr>
        <w:t>’</w:t>
      </w:r>
      <w:r w:rsidRPr="00521891">
        <w:rPr>
          <w:lang w:val="fr-FR"/>
        </w:rPr>
        <w:t>appui de l</w:t>
      </w:r>
      <w:r>
        <w:rPr>
          <w:lang w:val="fr-FR"/>
        </w:rPr>
        <w:t>’</w:t>
      </w:r>
      <w:r w:rsidRPr="00521891">
        <w:rPr>
          <w:lang w:val="fr-FR"/>
        </w:rPr>
        <w:t>USAID, un programme de bourses pour filles visant à les maintenir à l</w:t>
      </w:r>
      <w:r>
        <w:rPr>
          <w:lang w:val="fr-FR"/>
        </w:rPr>
        <w:t>’</w:t>
      </w:r>
      <w:r w:rsidRPr="00521891">
        <w:rPr>
          <w:lang w:val="fr-FR"/>
        </w:rPr>
        <w:t>école et à achever au moins le cycle d</w:t>
      </w:r>
      <w:r>
        <w:rPr>
          <w:lang w:val="fr-FR"/>
        </w:rPr>
        <w:t>’</w:t>
      </w:r>
      <w:r w:rsidRPr="00521891">
        <w:rPr>
          <w:lang w:val="fr-FR"/>
        </w:rPr>
        <w:t>études primaires a été initié par le Ministère de l</w:t>
      </w:r>
      <w:r>
        <w:rPr>
          <w:lang w:val="fr-FR"/>
        </w:rPr>
        <w:t>’é</w:t>
      </w:r>
      <w:r w:rsidRPr="00521891">
        <w:rPr>
          <w:lang w:val="fr-FR"/>
        </w:rPr>
        <w:t>ducation nationale.</w:t>
      </w:r>
    </w:p>
    <w:p w:rsidR="00C06068" w:rsidRPr="00521891" w:rsidRDefault="00C06068" w:rsidP="00C06068">
      <w:pPr>
        <w:pStyle w:val="SingleTxt"/>
        <w:numPr>
          <w:ilvl w:val="0"/>
          <w:numId w:val="10"/>
        </w:numPr>
        <w:rPr>
          <w:lang w:val="fr-FR"/>
        </w:rPr>
      </w:pPr>
      <w:r w:rsidRPr="00521891">
        <w:rPr>
          <w:lang w:val="fr-FR"/>
        </w:rPr>
        <w:t xml:space="preserve">En outre depuis 2007, un programme </w:t>
      </w:r>
      <w:r>
        <w:rPr>
          <w:lang w:val="fr-FR"/>
        </w:rPr>
        <w:t>« S</w:t>
      </w:r>
      <w:r w:rsidRPr="00521891">
        <w:rPr>
          <w:lang w:val="fr-FR"/>
        </w:rPr>
        <w:t>tratégie fille pour fille</w:t>
      </w:r>
      <w:r>
        <w:rPr>
          <w:lang w:val="fr-FR"/>
        </w:rPr>
        <w:t> »</w:t>
      </w:r>
      <w:r w:rsidRPr="00521891">
        <w:rPr>
          <w:lang w:val="fr-FR"/>
        </w:rPr>
        <w:t xml:space="preserve"> développé par le Ministère de l</w:t>
      </w:r>
      <w:r>
        <w:rPr>
          <w:lang w:val="fr-FR"/>
        </w:rPr>
        <w:t>’é</w:t>
      </w:r>
      <w:r w:rsidRPr="00521891">
        <w:rPr>
          <w:lang w:val="fr-FR"/>
        </w:rPr>
        <w:t>ducation nationale, appuyé par l</w:t>
      </w:r>
      <w:r>
        <w:rPr>
          <w:lang w:val="fr-FR"/>
        </w:rPr>
        <w:t>’</w:t>
      </w:r>
      <w:r w:rsidRPr="00521891">
        <w:rPr>
          <w:lang w:val="fr-FR"/>
        </w:rPr>
        <w:t>UNI</w:t>
      </w:r>
      <w:r>
        <w:rPr>
          <w:lang w:val="fr-FR"/>
        </w:rPr>
        <w:t>CEF, vise le même objectif. La S</w:t>
      </w:r>
      <w:r w:rsidRPr="00521891">
        <w:rPr>
          <w:lang w:val="fr-FR"/>
        </w:rPr>
        <w:t>tratégie fille pour fille met en place un sy</w:t>
      </w:r>
      <w:r>
        <w:rPr>
          <w:lang w:val="fr-FR"/>
        </w:rPr>
        <w:t>stème de tutorat où une fille aî</w:t>
      </w:r>
      <w:r w:rsidRPr="00521891">
        <w:rPr>
          <w:lang w:val="fr-FR"/>
        </w:rPr>
        <w:t xml:space="preserve">née de la </w:t>
      </w:r>
      <w:r>
        <w:rPr>
          <w:lang w:val="fr-FR"/>
        </w:rPr>
        <w:t>4</w:t>
      </w:r>
      <w:r w:rsidRPr="00CC5A59">
        <w:rPr>
          <w:vertAlign w:val="superscript"/>
          <w:lang w:val="fr-FR"/>
        </w:rPr>
        <w:t>e</w:t>
      </w:r>
      <w:r>
        <w:rPr>
          <w:lang w:val="fr-FR"/>
        </w:rPr>
        <w:t xml:space="preserve"> </w:t>
      </w:r>
      <w:r w:rsidRPr="00521891">
        <w:rPr>
          <w:lang w:val="fr-FR"/>
        </w:rPr>
        <w:t xml:space="preserve">ou la </w:t>
      </w:r>
      <w:r>
        <w:rPr>
          <w:lang w:val="fr-FR"/>
        </w:rPr>
        <w:t>5</w:t>
      </w:r>
      <w:r w:rsidRPr="00CC5A59">
        <w:rPr>
          <w:vertAlign w:val="superscript"/>
          <w:lang w:val="fr-FR"/>
        </w:rPr>
        <w:t>e</w:t>
      </w:r>
      <w:r>
        <w:rPr>
          <w:lang w:val="fr-FR"/>
        </w:rPr>
        <w:t xml:space="preserve"> </w:t>
      </w:r>
      <w:r w:rsidRPr="00521891">
        <w:rPr>
          <w:lang w:val="fr-FR"/>
        </w:rPr>
        <w:t>année devient tutrice d</w:t>
      </w:r>
      <w:r>
        <w:rPr>
          <w:lang w:val="fr-FR"/>
        </w:rPr>
        <w:t>’</w:t>
      </w:r>
      <w:r w:rsidRPr="00521891">
        <w:rPr>
          <w:lang w:val="fr-FR"/>
        </w:rPr>
        <w:t>une fille du même village qu</w:t>
      </w:r>
      <w:r>
        <w:rPr>
          <w:lang w:val="fr-FR"/>
        </w:rPr>
        <w:t>’</w:t>
      </w:r>
      <w:r w:rsidRPr="00521891">
        <w:rPr>
          <w:lang w:val="fr-FR"/>
        </w:rPr>
        <w:t xml:space="preserve">elle, nouvellement inscrite en </w:t>
      </w:r>
      <w:r>
        <w:rPr>
          <w:lang w:val="fr-FR"/>
        </w:rPr>
        <w:t>1</w:t>
      </w:r>
      <w:r w:rsidRPr="00CC5A59">
        <w:rPr>
          <w:vertAlign w:val="superscript"/>
          <w:lang w:val="fr-FR"/>
        </w:rPr>
        <w:t>re</w:t>
      </w:r>
      <w:r>
        <w:rPr>
          <w:lang w:val="fr-FR"/>
        </w:rPr>
        <w:t xml:space="preserve"> </w:t>
      </w:r>
      <w:r w:rsidRPr="00521891">
        <w:rPr>
          <w:lang w:val="fr-FR"/>
        </w:rPr>
        <w:t>année de l</w:t>
      </w:r>
      <w:r>
        <w:rPr>
          <w:lang w:val="fr-FR"/>
        </w:rPr>
        <w:t>’</w:t>
      </w:r>
      <w:r w:rsidRPr="00521891">
        <w:rPr>
          <w:lang w:val="fr-FR"/>
        </w:rPr>
        <w:t>école primaire. La mission de la tutrice consiste à encadrer sa cadette sur plusieurs points : l</w:t>
      </w:r>
      <w:r>
        <w:rPr>
          <w:lang w:val="fr-FR"/>
        </w:rPr>
        <w:t>’</w:t>
      </w:r>
      <w:r w:rsidRPr="00521891">
        <w:rPr>
          <w:lang w:val="fr-FR"/>
        </w:rPr>
        <w:t>accompagner à l</w:t>
      </w:r>
      <w:r>
        <w:rPr>
          <w:lang w:val="fr-FR"/>
        </w:rPr>
        <w:t>’</w:t>
      </w:r>
      <w:r w:rsidRPr="00521891">
        <w:rPr>
          <w:lang w:val="fr-FR"/>
        </w:rPr>
        <w:t>école et l</w:t>
      </w:r>
      <w:r>
        <w:rPr>
          <w:lang w:val="fr-FR"/>
        </w:rPr>
        <w:t>’</w:t>
      </w:r>
      <w:r w:rsidRPr="00521891">
        <w:rPr>
          <w:lang w:val="fr-FR"/>
        </w:rPr>
        <w:t>assister dans ses devoirs de maison.</w:t>
      </w:r>
    </w:p>
    <w:p w:rsidR="00C06068" w:rsidRPr="00521891" w:rsidRDefault="00C06068" w:rsidP="00C06068">
      <w:pPr>
        <w:pStyle w:val="SingleTxt"/>
        <w:numPr>
          <w:ilvl w:val="0"/>
          <w:numId w:val="10"/>
        </w:numPr>
        <w:rPr>
          <w:lang w:val="fr-FR"/>
        </w:rPr>
      </w:pPr>
      <w:r w:rsidRPr="00521891">
        <w:rPr>
          <w:lang w:val="fr-FR"/>
        </w:rPr>
        <w:t>Enfin, des mesures d</w:t>
      </w:r>
      <w:r>
        <w:rPr>
          <w:lang w:val="fr-FR"/>
        </w:rPr>
        <w:t>’</w:t>
      </w:r>
      <w:r w:rsidRPr="00521891">
        <w:rPr>
          <w:lang w:val="fr-FR"/>
        </w:rPr>
        <w:t>allègement des charges parentales ont été prises pour redynamiser la scolarisation des enfants en général et celle des filles en particulier. En effet, lorsque les parents, faute de moyens, doivent choisir lequel de leurs enfants continuera les études, le choix se fait souvent au détriment des filles.</w:t>
      </w:r>
    </w:p>
    <w:p w:rsidR="00C06068" w:rsidRPr="00521891" w:rsidRDefault="00C06068" w:rsidP="00C06068">
      <w:pPr>
        <w:pStyle w:val="SingleTxt"/>
        <w:numPr>
          <w:ilvl w:val="0"/>
          <w:numId w:val="10"/>
        </w:numPr>
        <w:rPr>
          <w:lang w:val="fr-FR"/>
        </w:rPr>
      </w:pPr>
      <w:r w:rsidRPr="00521891">
        <w:rPr>
          <w:lang w:val="fr-FR"/>
        </w:rPr>
        <w:t>Ainsi, l</w:t>
      </w:r>
      <w:r>
        <w:rPr>
          <w:lang w:val="fr-FR"/>
        </w:rPr>
        <w:t>’</w:t>
      </w:r>
      <w:r w:rsidRPr="00521891">
        <w:rPr>
          <w:lang w:val="fr-FR"/>
        </w:rPr>
        <w:t>État continue à prendre en charge les frais d</w:t>
      </w:r>
      <w:r>
        <w:rPr>
          <w:lang w:val="fr-FR"/>
        </w:rPr>
        <w:t>’</w:t>
      </w:r>
      <w:r w:rsidRPr="00521891">
        <w:rPr>
          <w:lang w:val="fr-FR"/>
        </w:rPr>
        <w:t>inscription des écoliers, à distribuer, avec l</w:t>
      </w:r>
      <w:r>
        <w:rPr>
          <w:lang w:val="fr-FR"/>
        </w:rPr>
        <w:t>’</w:t>
      </w:r>
      <w:r w:rsidRPr="00521891">
        <w:rPr>
          <w:lang w:val="fr-FR"/>
        </w:rPr>
        <w:t>appui de l</w:t>
      </w:r>
      <w:r>
        <w:rPr>
          <w:lang w:val="fr-FR"/>
        </w:rPr>
        <w:t>’</w:t>
      </w:r>
      <w:r w:rsidRPr="00521891">
        <w:rPr>
          <w:lang w:val="fr-FR"/>
        </w:rPr>
        <w:t>UNICEF, des kits scolaires, à octroyer des subventions aux enseignants FRAM recrutés par les parents d</w:t>
      </w:r>
      <w:r>
        <w:rPr>
          <w:lang w:val="fr-FR"/>
        </w:rPr>
        <w:t>’</w:t>
      </w:r>
      <w:r w:rsidRPr="00521891">
        <w:rPr>
          <w:lang w:val="fr-FR"/>
        </w:rPr>
        <w:t>élèves et aux enseignants des écoles privées, à mettre en place des cantines scolaires dans les zones rurales à haut risque de déscolarisation, à octroyer des bourses aux élèves des familles en difficulté.</w:t>
      </w:r>
    </w:p>
    <w:p w:rsidR="00C06068" w:rsidRPr="00521891" w:rsidRDefault="00C06068" w:rsidP="00C06068">
      <w:pPr>
        <w:pStyle w:val="SingleTxt"/>
        <w:numPr>
          <w:ilvl w:val="0"/>
          <w:numId w:val="10"/>
        </w:numPr>
        <w:rPr>
          <w:lang w:val="fr-FR"/>
        </w:rPr>
      </w:pPr>
      <w:r w:rsidRPr="00521891">
        <w:rPr>
          <w:lang w:val="fr-FR"/>
        </w:rPr>
        <w:t>Pour la mise en œuvre du plan intérimaire de l</w:t>
      </w:r>
      <w:r>
        <w:rPr>
          <w:lang w:val="fr-FR"/>
        </w:rPr>
        <w:t>’é</w:t>
      </w:r>
      <w:r w:rsidRPr="00521891">
        <w:rPr>
          <w:lang w:val="fr-FR"/>
        </w:rPr>
        <w:t>ducation (PIE) couvrant la période 2013-2015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3 650 959 élèves ont bénéficié en 2013 des kits scolaires;</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151 379 écoles en zones d</w:t>
      </w:r>
      <w:r>
        <w:rPr>
          <w:lang w:val="fr-FR"/>
        </w:rPr>
        <w:t>’</w:t>
      </w:r>
      <w:r w:rsidRPr="00521891">
        <w:rPr>
          <w:lang w:val="fr-FR"/>
        </w:rPr>
        <w:t>insécurité alimentaire seront dotées de nouvelles cantines;</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182 548 élèves bénéficieront d</w:t>
      </w:r>
      <w:r>
        <w:rPr>
          <w:lang w:val="fr-FR"/>
        </w:rPr>
        <w:t>’</w:t>
      </w:r>
      <w:r w:rsidRPr="00521891">
        <w:rPr>
          <w:lang w:val="fr-FR"/>
        </w:rPr>
        <w:t>un complément nutritionnel en période de soudure;</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4 224 collégiens recevront une bourse d</w:t>
      </w:r>
      <w:r>
        <w:rPr>
          <w:lang w:val="fr-FR"/>
        </w:rPr>
        <w:t>’</w:t>
      </w:r>
      <w:r w:rsidRPr="00521891">
        <w:rPr>
          <w:lang w:val="fr-FR"/>
        </w:rPr>
        <w:t>études et 11 333 enseignants du privé seront subventionnés;</w:t>
      </w:r>
    </w:p>
    <w:p w:rsidR="00C06068" w:rsidRPr="00521891" w:rsidRDefault="00C06068" w:rsidP="00C06068">
      <w:pPr>
        <w:pStyle w:val="SingleTxt"/>
        <w:tabs>
          <w:tab w:val="right" w:pos="1685"/>
        </w:tabs>
        <w:ind w:left="1742" w:hanging="475"/>
        <w:rPr>
          <w:lang w:val="fr-FR"/>
        </w:rPr>
      </w:pPr>
      <w:r>
        <w:rPr>
          <w:lang w:val="fr-FR"/>
        </w:rPr>
        <w:tab/>
        <w:t>•</w:t>
      </w:r>
      <w:r>
        <w:rPr>
          <w:lang w:val="fr-FR"/>
        </w:rPr>
        <w:tab/>
        <w:t>M</w:t>
      </w:r>
      <w:r w:rsidRPr="00521891">
        <w:rPr>
          <w:lang w:val="fr-FR"/>
        </w:rPr>
        <w:t>ise en échelle de l</w:t>
      </w:r>
      <w:r>
        <w:rPr>
          <w:lang w:val="fr-FR"/>
        </w:rPr>
        <w:t>’</w:t>
      </w:r>
      <w:r w:rsidRPr="00521891">
        <w:rPr>
          <w:lang w:val="fr-FR"/>
        </w:rPr>
        <w:t>éducation préscolaire et d</w:t>
      </w:r>
      <w:r>
        <w:rPr>
          <w:lang w:val="fr-FR"/>
        </w:rPr>
        <w:t>’</w:t>
      </w:r>
      <w:r w:rsidRPr="00521891">
        <w:rPr>
          <w:lang w:val="fr-FR"/>
        </w:rPr>
        <w:t>octroi de caisse préscolaire.</w:t>
      </w:r>
    </w:p>
    <w:p w:rsidR="00C06068" w:rsidRPr="00521891" w:rsidRDefault="00C06068" w:rsidP="00C06068">
      <w:pPr>
        <w:pStyle w:val="SingleTxt"/>
        <w:numPr>
          <w:ilvl w:val="0"/>
          <w:numId w:val="10"/>
        </w:numPr>
        <w:rPr>
          <w:lang w:val="fr-FR"/>
        </w:rPr>
      </w:pPr>
      <w:r w:rsidRPr="00521891">
        <w:rPr>
          <w:lang w:val="fr-FR"/>
        </w:rPr>
        <w:t>Pour les enfants hors du système scolaire, l</w:t>
      </w:r>
      <w:r>
        <w:rPr>
          <w:lang w:val="fr-FR"/>
        </w:rPr>
        <w:t>’</w:t>
      </w:r>
      <w:r w:rsidRPr="00521891">
        <w:rPr>
          <w:lang w:val="fr-FR"/>
        </w:rPr>
        <w:t>ASAMA</w:t>
      </w:r>
      <w:r w:rsidRPr="00313148">
        <w:rPr>
          <w:vertAlign w:val="superscript"/>
          <w:lang w:val="fr-FR"/>
        </w:rPr>
        <w:footnoteReference w:id="15"/>
      </w:r>
      <w:r w:rsidRPr="00521891">
        <w:rPr>
          <w:lang w:val="fr-FR"/>
        </w:rPr>
        <w:t xml:space="preserve"> procède à la réinsertion scolaire des enfants non scolarisés et déscolarisés sans distinction de sexe.</w:t>
      </w:r>
    </w:p>
    <w:p w:rsidR="00C06068" w:rsidRPr="00521891" w:rsidRDefault="00C06068" w:rsidP="00C06068">
      <w:pPr>
        <w:pStyle w:val="SingleTxt"/>
        <w:numPr>
          <w:ilvl w:val="0"/>
          <w:numId w:val="10"/>
        </w:numPr>
        <w:rPr>
          <w:lang w:val="fr-FR"/>
        </w:rPr>
      </w:pPr>
      <w:r w:rsidRPr="00521891">
        <w:rPr>
          <w:lang w:val="fr-FR"/>
        </w:rPr>
        <w:t>Le tableau ci-après fait ressortir les réalisations de la Direction de l</w:t>
      </w:r>
      <w:r>
        <w:rPr>
          <w:lang w:val="fr-FR"/>
        </w:rPr>
        <w:t>’é</w:t>
      </w:r>
      <w:r w:rsidRPr="00521891">
        <w:rPr>
          <w:lang w:val="fr-FR"/>
        </w:rPr>
        <w:t>ducation</w:t>
      </w:r>
      <w:r>
        <w:rPr>
          <w:lang w:val="fr-FR"/>
        </w:rPr>
        <w:t xml:space="preserve"> p</w:t>
      </w:r>
      <w:r w:rsidRPr="00521891">
        <w:rPr>
          <w:lang w:val="fr-FR"/>
        </w:rPr>
        <w:t>réscolaire et de l</w:t>
      </w:r>
      <w:r>
        <w:rPr>
          <w:lang w:val="fr-FR"/>
        </w:rPr>
        <w:t>’a</w:t>
      </w:r>
      <w:r w:rsidRPr="00521891">
        <w:rPr>
          <w:lang w:val="fr-FR"/>
        </w:rPr>
        <w:t xml:space="preserve">lphabétisation de 2008 </w:t>
      </w:r>
      <w:r>
        <w:rPr>
          <w:lang w:val="fr-FR"/>
        </w:rPr>
        <w:t xml:space="preserve">à </w:t>
      </w:r>
      <w:r w:rsidRPr="00521891">
        <w:rPr>
          <w:lang w:val="fr-FR"/>
        </w:rPr>
        <w:t>2012.</w:t>
      </w:r>
    </w:p>
    <w:p w:rsidR="00C06068" w:rsidRPr="001129FF" w:rsidRDefault="00C06068" w:rsidP="00C06068">
      <w:pPr>
        <w:pStyle w:val="SingleTxt"/>
        <w:spacing w:after="0" w:line="120" w:lineRule="exact"/>
        <w:rPr>
          <w:b/>
          <w:sz w:val="10"/>
          <w:lang w:val="fr-FR"/>
        </w:rPr>
      </w:pPr>
      <w:bookmarkStart w:id="73" w:name="_Toc377129298"/>
    </w:p>
    <w:p w:rsidR="00C06068" w:rsidRPr="001129FF"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129FF">
        <w:rPr>
          <w:b w:val="0"/>
          <w:lang w:val="fr-FR"/>
        </w:rPr>
        <w:t xml:space="preserve">Tableau </w:t>
      </w:r>
      <w:r>
        <w:rPr>
          <w:b w:val="0"/>
          <w:lang w:val="fr-FR"/>
        </w:rPr>
        <w:t>12</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Les réalisations de la DEPA</w:t>
      </w:r>
      <w:bookmarkEnd w:id="73"/>
    </w:p>
    <w:p w:rsidR="00C06068" w:rsidRPr="001129FF" w:rsidRDefault="00C06068" w:rsidP="00C06068">
      <w:pPr>
        <w:pStyle w:val="SingleTxt"/>
        <w:spacing w:after="0" w:line="120" w:lineRule="exact"/>
        <w:rPr>
          <w:sz w:val="10"/>
          <w:lang w:val="fr-FR"/>
        </w:rPr>
      </w:pPr>
    </w:p>
    <w:p w:rsidR="00C06068" w:rsidRPr="001129FF" w:rsidRDefault="00C06068" w:rsidP="00C06068">
      <w:pPr>
        <w:pStyle w:val="SingleTxt"/>
        <w:spacing w:after="0" w:line="120" w:lineRule="exact"/>
        <w:rPr>
          <w:sz w:val="10"/>
          <w:lang w:val="fr-FR"/>
        </w:rPr>
      </w:pPr>
    </w:p>
    <w:tbl>
      <w:tblPr>
        <w:tblW w:w="7326" w:type="dxa"/>
        <w:tblInd w:w="1260" w:type="dxa"/>
        <w:tblLayout w:type="fixed"/>
        <w:tblCellMar>
          <w:left w:w="0" w:type="dxa"/>
          <w:right w:w="0" w:type="dxa"/>
        </w:tblCellMar>
        <w:tblLook w:val="0000"/>
      </w:tblPr>
      <w:tblGrid>
        <w:gridCol w:w="1350"/>
        <w:gridCol w:w="1195"/>
        <w:gridCol w:w="1195"/>
        <w:gridCol w:w="1195"/>
        <w:gridCol w:w="1195"/>
        <w:gridCol w:w="1196"/>
      </w:tblGrid>
      <w:tr w:rsidR="00C06068" w:rsidRPr="001129FF" w:rsidTr="007F3574">
        <w:tblPrEx>
          <w:tblCellMar>
            <w:top w:w="0" w:type="dxa"/>
            <w:bottom w:w="0" w:type="dxa"/>
          </w:tblCellMar>
        </w:tblPrEx>
        <w:trPr>
          <w:tblHeader/>
        </w:trPr>
        <w:tc>
          <w:tcPr>
            <w:tcW w:w="1350"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B402E">
              <w:rPr>
                <w:i/>
                <w:sz w:val="14"/>
                <w:lang w:val="fr-FR"/>
              </w:rPr>
              <w:t>Années scolaires</w:t>
            </w:r>
          </w:p>
        </w:tc>
        <w:tc>
          <w:tcPr>
            <w:tcW w:w="1195" w:type="dxa"/>
            <w:tcBorders>
              <w:top w:val="single" w:sz="4" w:space="0" w:color="auto"/>
              <w:bottom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r w:rsidRPr="005B402E">
              <w:rPr>
                <w:i/>
                <w:sz w:val="14"/>
                <w:lang w:val="fr-FR"/>
              </w:rPr>
              <w:t xml:space="preserve"> de classes</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B402E">
              <w:rPr>
                <w:i/>
                <w:sz w:val="14"/>
                <w:lang w:val="fr-FR"/>
              </w:rPr>
              <w:t>Effectif initial</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B402E">
              <w:rPr>
                <w:i/>
                <w:sz w:val="14"/>
                <w:lang w:val="fr-FR"/>
              </w:rPr>
              <w:t xml:space="preserve">Présents </w:t>
            </w:r>
            <w:r>
              <w:rPr>
                <w:i/>
                <w:sz w:val="14"/>
                <w:lang w:val="fr-FR"/>
              </w:rPr>
              <w:br/>
            </w:r>
            <w:r w:rsidRPr="005B402E">
              <w:rPr>
                <w:i/>
                <w:sz w:val="14"/>
                <w:lang w:val="fr-FR"/>
              </w:rPr>
              <w:t>aux examens</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B402E">
              <w:rPr>
                <w:i/>
                <w:sz w:val="14"/>
                <w:lang w:val="fr-FR"/>
              </w:rPr>
              <w:t>Admis au CEPE</w:t>
            </w:r>
          </w:p>
        </w:tc>
        <w:tc>
          <w:tcPr>
            <w:tcW w:w="1196"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w:t>
            </w:r>
          </w:p>
        </w:tc>
      </w:tr>
      <w:tr w:rsidR="00C06068" w:rsidRPr="001129FF" w:rsidTr="007F3574">
        <w:tblPrEx>
          <w:tblCellMar>
            <w:top w:w="0" w:type="dxa"/>
            <w:bottom w:w="0" w:type="dxa"/>
          </w:tblCellMar>
        </w:tblPrEx>
        <w:trPr>
          <w:trHeight w:hRule="exact" w:val="115"/>
          <w:tblHeader/>
        </w:trPr>
        <w:tc>
          <w:tcPr>
            <w:tcW w:w="1350"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195"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95"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95"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95"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96" w:type="dxa"/>
            <w:tcBorders>
              <w:top w:val="single" w:sz="12" w:space="0" w:color="auto"/>
            </w:tcBorders>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9FF" w:rsidTr="007F3574">
        <w:tblPrEx>
          <w:tblCellMar>
            <w:top w:w="0" w:type="dxa"/>
            <w:bottom w:w="0" w:type="dxa"/>
          </w:tblCellMar>
        </w:tblPrEx>
        <w:tc>
          <w:tcPr>
            <w:tcW w:w="1350" w:type="dxa"/>
            <w:shd w:val="clear" w:color="auto" w:fill="auto"/>
            <w:vAlign w:val="bottom"/>
          </w:tcPr>
          <w:p w:rsidR="00C06068" w:rsidRPr="001129F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bCs/>
                <w:sz w:val="17"/>
                <w:lang w:val="fr-FR"/>
              </w:rPr>
              <w:t>2008/2009</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18</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483</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334</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260</w:t>
            </w:r>
          </w:p>
        </w:tc>
        <w:tc>
          <w:tcPr>
            <w:tcW w:w="119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77,44</w:t>
            </w:r>
          </w:p>
        </w:tc>
      </w:tr>
      <w:tr w:rsidR="00C06068" w:rsidRPr="001129FF" w:rsidTr="007F3574">
        <w:tblPrEx>
          <w:tblCellMar>
            <w:top w:w="0" w:type="dxa"/>
            <w:bottom w:w="0" w:type="dxa"/>
          </w:tblCellMar>
        </w:tblPrEx>
        <w:tc>
          <w:tcPr>
            <w:tcW w:w="1350"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5B402E">
              <w:rPr>
                <w:bCs/>
                <w:sz w:val="17"/>
                <w:lang w:val="fr-FR"/>
              </w:rPr>
              <w:t>2009/2010</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56</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1 265</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804</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494</w:t>
            </w:r>
          </w:p>
        </w:tc>
        <w:tc>
          <w:tcPr>
            <w:tcW w:w="119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61,49</w:t>
            </w:r>
          </w:p>
        </w:tc>
      </w:tr>
      <w:tr w:rsidR="00C06068" w:rsidRPr="001129FF" w:rsidTr="007F3574">
        <w:tblPrEx>
          <w:tblCellMar>
            <w:top w:w="0" w:type="dxa"/>
            <w:bottom w:w="0" w:type="dxa"/>
          </w:tblCellMar>
        </w:tblPrEx>
        <w:tc>
          <w:tcPr>
            <w:tcW w:w="1350"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bCs/>
                <w:sz w:val="17"/>
                <w:lang w:val="fr-FR"/>
              </w:rPr>
            </w:pPr>
            <w:r w:rsidRPr="005B402E">
              <w:rPr>
                <w:bCs/>
                <w:sz w:val="17"/>
                <w:lang w:val="fr-FR"/>
              </w:rPr>
              <w:t>2010/2011</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34/69</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2 110</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667</w:t>
            </w:r>
          </w:p>
        </w:tc>
        <w:tc>
          <w:tcPr>
            <w:tcW w:w="1195"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524</w:t>
            </w:r>
          </w:p>
        </w:tc>
        <w:tc>
          <w:tcPr>
            <w:tcW w:w="119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85</w:t>
            </w:r>
          </w:p>
        </w:tc>
      </w:tr>
      <w:tr w:rsidR="00C06068" w:rsidRPr="001129FF" w:rsidTr="007F3574">
        <w:tblPrEx>
          <w:tblCellMar>
            <w:top w:w="0" w:type="dxa"/>
            <w:bottom w:w="0" w:type="dxa"/>
          </w:tblCellMar>
        </w:tblPrEx>
        <w:tc>
          <w:tcPr>
            <w:tcW w:w="1350" w:type="dxa"/>
            <w:tcBorders>
              <w:bottom w:val="single" w:sz="4" w:space="0" w:color="auto"/>
            </w:tcBorders>
            <w:shd w:val="clear" w:color="auto" w:fill="auto"/>
          </w:tcPr>
          <w:p w:rsidR="00C06068" w:rsidRPr="005B402E" w:rsidRDefault="00C06068" w:rsidP="007F3574">
            <w:pPr>
              <w:tabs>
                <w:tab w:val="left" w:pos="288"/>
                <w:tab w:val="left" w:pos="576"/>
                <w:tab w:val="left" w:pos="864"/>
                <w:tab w:val="left" w:pos="1152"/>
              </w:tabs>
              <w:suppressAutoHyphens/>
              <w:spacing w:before="40" w:after="81" w:line="210" w:lineRule="exact"/>
              <w:ind w:right="43"/>
              <w:rPr>
                <w:bCs/>
                <w:sz w:val="17"/>
                <w:lang w:val="fr-FR"/>
              </w:rPr>
            </w:pPr>
            <w:r w:rsidRPr="005B402E">
              <w:rPr>
                <w:bCs/>
                <w:sz w:val="17"/>
                <w:lang w:val="fr-FR"/>
              </w:rPr>
              <w:t>2011/2012</w:t>
            </w:r>
          </w:p>
        </w:tc>
        <w:tc>
          <w:tcPr>
            <w:tcW w:w="1195"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34/80</w:t>
            </w:r>
          </w:p>
        </w:tc>
        <w:tc>
          <w:tcPr>
            <w:tcW w:w="1195"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1 009</w:t>
            </w:r>
          </w:p>
        </w:tc>
        <w:tc>
          <w:tcPr>
            <w:tcW w:w="1195"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747</w:t>
            </w:r>
          </w:p>
        </w:tc>
        <w:tc>
          <w:tcPr>
            <w:tcW w:w="1195"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606</w:t>
            </w:r>
          </w:p>
        </w:tc>
        <w:tc>
          <w:tcPr>
            <w:tcW w:w="1196"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81,</w:t>
            </w:r>
            <w:r w:rsidRPr="005B402E">
              <w:rPr>
                <w:sz w:val="17"/>
                <w:lang w:val="fr-FR"/>
              </w:rPr>
              <w:t>12</w:t>
            </w:r>
          </w:p>
        </w:tc>
      </w:tr>
      <w:tr w:rsidR="00C06068" w:rsidRPr="005B402E" w:rsidTr="007F3574">
        <w:tblPrEx>
          <w:tblCellMar>
            <w:top w:w="0" w:type="dxa"/>
            <w:bottom w:w="0" w:type="dxa"/>
          </w:tblCellMar>
        </w:tblPrEx>
        <w:tc>
          <w:tcPr>
            <w:tcW w:w="1350" w:type="dxa"/>
            <w:tcBorders>
              <w:top w:val="single" w:sz="4" w:space="0" w:color="auto"/>
              <w:bottom w:val="single" w:sz="12" w:space="0" w:color="auto"/>
            </w:tcBorders>
            <w:shd w:val="clear" w:color="auto" w:fill="auto"/>
          </w:tcPr>
          <w:p w:rsidR="00C06068" w:rsidRPr="005B402E" w:rsidRDefault="00C06068" w:rsidP="007F3574">
            <w:pPr>
              <w:tabs>
                <w:tab w:val="left" w:pos="288"/>
                <w:tab w:val="left" w:pos="576"/>
                <w:tab w:val="left" w:pos="864"/>
                <w:tab w:val="left" w:pos="1152"/>
              </w:tabs>
              <w:suppressAutoHyphens/>
              <w:spacing w:before="81" w:after="81" w:line="210" w:lineRule="exact"/>
              <w:ind w:right="43"/>
              <w:rPr>
                <w:b/>
                <w:bCs/>
                <w:sz w:val="17"/>
                <w:lang w:val="fr-FR"/>
              </w:rPr>
            </w:pPr>
            <w:r>
              <w:rPr>
                <w:b/>
                <w:bCs/>
                <w:sz w:val="17"/>
                <w:lang w:val="fr-FR"/>
              </w:rPr>
              <w:tab/>
            </w:r>
            <w:r w:rsidRPr="005B402E">
              <w:rPr>
                <w:b/>
                <w:bCs/>
                <w:sz w:val="17"/>
                <w:lang w:val="fr-FR"/>
              </w:rPr>
              <w:t>Ensemble</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221</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4 867</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2 552</w:t>
            </w:r>
          </w:p>
        </w:tc>
        <w:tc>
          <w:tcPr>
            <w:tcW w:w="1195"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1 884</w:t>
            </w:r>
          </w:p>
        </w:tc>
        <w:tc>
          <w:tcPr>
            <w:tcW w:w="1196"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73,</w:t>
            </w:r>
            <w:r w:rsidRPr="005B402E">
              <w:rPr>
                <w:b/>
                <w:sz w:val="17"/>
                <w:lang w:val="fr-FR"/>
              </w:rPr>
              <w:t>82</w:t>
            </w:r>
          </w:p>
        </w:tc>
      </w:tr>
    </w:tbl>
    <w:p w:rsidR="00C06068" w:rsidRPr="001120C4" w:rsidRDefault="00C06068" w:rsidP="00C06068">
      <w:pPr>
        <w:pStyle w:val="SingleTxt"/>
        <w:spacing w:after="0" w:line="120" w:lineRule="exact"/>
        <w:rPr>
          <w:sz w:val="10"/>
          <w:lang w:val="fr-FR"/>
        </w:rPr>
      </w:pPr>
    </w:p>
    <w:p w:rsidR="00C06068" w:rsidRPr="001120C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De 2008 à 2012, le nombre des classes ASAMA est passé de 18 à 80, donnant une opportunité de réinsertion scolaire à 4 867 élèves, dont 1884 sur 2 552 inscrits sont admis au CEPE, soit un taux de réussite 73,82 %.</w:t>
      </w:r>
    </w:p>
    <w:p w:rsidR="00C06068" w:rsidRPr="00521891" w:rsidRDefault="00C06068" w:rsidP="00C06068">
      <w:pPr>
        <w:pStyle w:val="SingleTxt"/>
        <w:numPr>
          <w:ilvl w:val="0"/>
          <w:numId w:val="10"/>
        </w:numPr>
        <w:rPr>
          <w:lang w:val="fr-FR"/>
        </w:rPr>
      </w:pPr>
      <w:r w:rsidRPr="00521891">
        <w:rPr>
          <w:lang w:val="fr-FR"/>
        </w:rPr>
        <w:t>Tenant compte de ces résultats, le PIE prévoit l</w:t>
      </w:r>
      <w:r>
        <w:rPr>
          <w:lang w:val="fr-FR"/>
        </w:rPr>
        <w:t>’</w:t>
      </w:r>
      <w:r w:rsidRPr="00521891">
        <w:rPr>
          <w:lang w:val="fr-FR"/>
        </w:rPr>
        <w:t>extension des classes ASAMA. C</w:t>
      </w:r>
      <w:r>
        <w:rPr>
          <w:lang w:val="fr-FR"/>
        </w:rPr>
        <w:t>’</w:t>
      </w:r>
      <w:r w:rsidRPr="00521891">
        <w:rPr>
          <w:lang w:val="fr-FR"/>
        </w:rPr>
        <w:t xml:space="preserve">est ainsi que 10 000 adolescents non scolarisés et/ou déscolarisés seront confiés aux ONG et 10 000 autres seront pris en charge auprès </w:t>
      </w:r>
      <w:r>
        <w:rPr>
          <w:lang w:val="fr-FR"/>
        </w:rPr>
        <w:t xml:space="preserve">de </w:t>
      </w:r>
      <w:r w:rsidRPr="00521891">
        <w:rPr>
          <w:lang w:val="fr-FR"/>
        </w:rPr>
        <w:t xml:space="preserve">11 CISCO pilotes répartis dans </w:t>
      </w:r>
      <w:r>
        <w:rPr>
          <w:lang w:val="fr-FR"/>
        </w:rPr>
        <w:t>trois</w:t>
      </w:r>
      <w:r w:rsidRPr="00521891">
        <w:rPr>
          <w:lang w:val="fr-FR"/>
        </w:rPr>
        <w:t xml:space="preserve"> régions : Amoron</w:t>
      </w:r>
      <w:r>
        <w:rPr>
          <w:lang w:val="fr-FR"/>
        </w:rPr>
        <w:t>’</w:t>
      </w:r>
      <w:r w:rsidRPr="00521891">
        <w:rPr>
          <w:lang w:val="fr-FR"/>
        </w:rPr>
        <w:t>i Mania, Analanjirofo et Atsinanana. Après une scolarité accélérée de 10 mois, ces enfants passeront les examens du CEPE et ceux qui réussiront seront réinsérés dans le circuit éducatif formel.</w:t>
      </w:r>
    </w:p>
    <w:p w:rsidR="00C06068" w:rsidRPr="00521891" w:rsidRDefault="00C06068" w:rsidP="00C06068">
      <w:pPr>
        <w:pStyle w:val="SingleTxt"/>
        <w:numPr>
          <w:ilvl w:val="0"/>
          <w:numId w:val="10"/>
        </w:numPr>
        <w:rPr>
          <w:lang w:val="fr-FR"/>
        </w:rPr>
      </w:pPr>
      <w:r w:rsidRPr="00521891">
        <w:rPr>
          <w:lang w:val="fr-FR"/>
        </w:rPr>
        <w:t xml:space="preserve">Enfin, pour les enfants en situation de handicap, le </w:t>
      </w:r>
      <w:r>
        <w:rPr>
          <w:lang w:val="fr-FR"/>
        </w:rPr>
        <w:t>décret 2009-1147 du 1</w:t>
      </w:r>
      <w:r w:rsidRPr="00CC5A59">
        <w:rPr>
          <w:vertAlign w:val="superscript"/>
          <w:lang w:val="fr-FR"/>
        </w:rPr>
        <w:t>er</w:t>
      </w:r>
      <w:r>
        <w:rPr>
          <w:lang w:val="fr-FR"/>
        </w:rPr>
        <w:t> </w:t>
      </w:r>
      <w:r w:rsidRPr="00521891">
        <w:rPr>
          <w:lang w:val="fr-FR"/>
        </w:rPr>
        <w:t>septembre 2009 portant politique nationale de l</w:t>
      </w:r>
      <w:r>
        <w:rPr>
          <w:lang w:val="fr-FR"/>
        </w:rPr>
        <w:t>’</w:t>
      </w:r>
      <w:r w:rsidRPr="00521891">
        <w:rPr>
          <w:lang w:val="fr-FR"/>
        </w:rPr>
        <w:t xml:space="preserve">éducation inclusive a été adopté. Ce </w:t>
      </w:r>
      <w:r>
        <w:rPr>
          <w:lang w:val="fr-FR"/>
        </w:rPr>
        <w:t>décret</w:t>
      </w:r>
      <w:r w:rsidRPr="00521891">
        <w:rPr>
          <w:lang w:val="fr-FR"/>
        </w:rPr>
        <w:t xml:space="preserve">, </w:t>
      </w:r>
      <w:r>
        <w:rPr>
          <w:lang w:val="fr-FR"/>
        </w:rPr>
        <w:t xml:space="preserve">dans </w:t>
      </w:r>
      <w:r w:rsidRPr="00521891">
        <w:rPr>
          <w:lang w:val="fr-FR"/>
        </w:rPr>
        <w:t>son article 4</w:t>
      </w:r>
      <w:r>
        <w:rPr>
          <w:lang w:val="fr-FR"/>
        </w:rPr>
        <w:t>,</w:t>
      </w:r>
      <w:r w:rsidRPr="00521891">
        <w:rPr>
          <w:lang w:val="fr-FR"/>
        </w:rPr>
        <w:t xml:space="preserve"> stipule</w:t>
      </w:r>
      <w:r>
        <w:rPr>
          <w:lang w:val="fr-FR"/>
        </w:rPr>
        <w:t xml:space="preserve"> </w:t>
      </w:r>
      <w:r w:rsidRPr="00521891">
        <w:rPr>
          <w:lang w:val="fr-FR"/>
        </w:rPr>
        <w:t>qu</w:t>
      </w:r>
      <w:r>
        <w:rPr>
          <w:lang w:val="fr-FR"/>
        </w:rPr>
        <w:t>’« a</w:t>
      </w:r>
      <w:r w:rsidRPr="00521891">
        <w:rPr>
          <w:lang w:val="fr-FR"/>
        </w:rPr>
        <w:t>ucun enfant ne se verra refuser sans motif légitime l</w:t>
      </w:r>
      <w:r>
        <w:rPr>
          <w:lang w:val="fr-FR"/>
        </w:rPr>
        <w:t>’</w:t>
      </w:r>
      <w:r w:rsidRPr="00521891">
        <w:rPr>
          <w:lang w:val="fr-FR"/>
        </w:rPr>
        <w:t>admission à une école primaire</w:t>
      </w:r>
      <w:r>
        <w:rPr>
          <w:lang w:val="fr-FR"/>
        </w:rPr>
        <w:t> »</w:t>
      </w:r>
      <w:r w:rsidRPr="00521891">
        <w:rPr>
          <w:lang w:val="fr-FR"/>
        </w:rPr>
        <w:t>. Ainsi, tout enfant, indépendamment de sa santé physique, sensorielle ou mentale a droit à être scolarisé au même titre que les autres enfants.</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 xml:space="preserve">objectif de </w:t>
      </w:r>
      <w:r>
        <w:rPr>
          <w:lang w:val="fr-FR"/>
        </w:rPr>
        <w:t>« </w:t>
      </w:r>
      <w:r w:rsidRPr="00521891">
        <w:rPr>
          <w:lang w:val="fr-FR"/>
        </w:rPr>
        <w:t>l</w:t>
      </w:r>
      <w:r>
        <w:rPr>
          <w:lang w:val="fr-FR"/>
        </w:rPr>
        <w:t>’</w:t>
      </w:r>
      <w:r w:rsidRPr="00521891">
        <w:rPr>
          <w:lang w:val="fr-FR"/>
        </w:rPr>
        <w:t>éducation inclusive</w:t>
      </w:r>
      <w:r>
        <w:rPr>
          <w:lang w:val="fr-FR"/>
        </w:rPr>
        <w:t> »</w:t>
      </w:r>
      <w:r w:rsidRPr="00521891">
        <w:rPr>
          <w:lang w:val="fr-FR"/>
        </w:rPr>
        <w:t xml:space="preserve"> vise à inclure tous les enfants hors du système scolaire formel dans les classes des écoles primaires publiques ou privées de proximité, et à les retenir à l</w:t>
      </w:r>
      <w:r>
        <w:rPr>
          <w:lang w:val="fr-FR"/>
        </w:rPr>
        <w:t>’</w:t>
      </w:r>
      <w:r w:rsidRPr="00521891">
        <w:rPr>
          <w:lang w:val="fr-FR"/>
        </w:rPr>
        <w:t>école.</w:t>
      </w:r>
    </w:p>
    <w:p w:rsidR="00C06068" w:rsidRPr="00521891" w:rsidRDefault="00C06068" w:rsidP="00C06068">
      <w:pPr>
        <w:pStyle w:val="SingleTxt"/>
        <w:numPr>
          <w:ilvl w:val="0"/>
          <w:numId w:val="10"/>
        </w:numPr>
        <w:rPr>
          <w:lang w:val="fr-FR"/>
        </w:rPr>
      </w:pPr>
      <w:r w:rsidRPr="00521891">
        <w:rPr>
          <w:lang w:val="fr-FR"/>
        </w:rPr>
        <w:t>En collaboration avec l</w:t>
      </w:r>
      <w:r>
        <w:rPr>
          <w:lang w:val="fr-FR"/>
        </w:rPr>
        <w:t>’</w:t>
      </w:r>
      <w:r w:rsidRPr="00521891">
        <w:rPr>
          <w:lang w:val="fr-FR"/>
        </w:rPr>
        <w:t>UNICEF, il est prévu jusqu</w:t>
      </w:r>
      <w:r>
        <w:rPr>
          <w:lang w:val="fr-FR"/>
        </w:rPr>
        <w:t>’</w:t>
      </w:r>
      <w:r w:rsidRPr="00521891">
        <w:rPr>
          <w:lang w:val="fr-FR"/>
        </w:rPr>
        <w:t>en 2015, l</w:t>
      </w:r>
      <w:r>
        <w:rPr>
          <w:lang w:val="fr-FR"/>
        </w:rPr>
        <w:t>’</w:t>
      </w:r>
      <w:r w:rsidRPr="00521891">
        <w:rPr>
          <w:lang w:val="fr-FR"/>
        </w:rPr>
        <w:t xml:space="preserve">insertion et la réinsertion scolaire de 20 000 enfants déscolarisés et non scolarisés. </w:t>
      </w:r>
      <w:r>
        <w:rPr>
          <w:lang w:val="fr-FR"/>
        </w:rPr>
        <w:t xml:space="preserve">À </w:t>
      </w:r>
      <w:r w:rsidRPr="00521891">
        <w:rPr>
          <w:lang w:val="fr-FR"/>
        </w:rPr>
        <w:t>titre d</w:t>
      </w:r>
      <w:r>
        <w:rPr>
          <w:lang w:val="fr-FR"/>
        </w:rPr>
        <w:t>’</w:t>
      </w:r>
      <w:r w:rsidRPr="00521891">
        <w:rPr>
          <w:lang w:val="fr-FR"/>
        </w:rPr>
        <w:t>action expérimentale, on a pu organiser cette année 2013, des cours de remise à niveau en faveur de 6 365 enfants déscolarisés et non scolarisés répartis dans 112 classes inclusives, ainsi que la formation de 385 enseignants expérimentateurs.</w:t>
      </w:r>
    </w:p>
    <w:p w:rsidR="00C06068" w:rsidRPr="00521891" w:rsidRDefault="00C06068" w:rsidP="00C06068">
      <w:pPr>
        <w:pStyle w:val="SingleTxt"/>
        <w:numPr>
          <w:ilvl w:val="0"/>
          <w:numId w:val="10"/>
        </w:numPr>
        <w:rPr>
          <w:lang w:val="fr-FR"/>
        </w:rPr>
      </w:pPr>
      <w:r w:rsidRPr="00521891">
        <w:rPr>
          <w:lang w:val="fr-FR"/>
        </w:rPr>
        <w:t>Les données de l</w:t>
      </w:r>
      <w:r>
        <w:rPr>
          <w:lang w:val="fr-FR"/>
        </w:rPr>
        <w:t>’</w:t>
      </w:r>
      <w:r w:rsidRPr="00521891">
        <w:rPr>
          <w:lang w:val="fr-FR"/>
        </w:rPr>
        <w:t>année 2010 révèlent plus de détails sur la répartition par tranche d</w:t>
      </w:r>
      <w:r>
        <w:rPr>
          <w:lang w:val="fr-FR"/>
        </w:rPr>
        <w:t>’</w:t>
      </w:r>
      <w:r w:rsidRPr="00521891">
        <w:rPr>
          <w:lang w:val="fr-FR"/>
        </w:rPr>
        <w:t>âge des étudiants inscrits au titre de l</w:t>
      </w:r>
      <w:r>
        <w:rPr>
          <w:lang w:val="fr-FR"/>
        </w:rPr>
        <w:t>’</w:t>
      </w:r>
      <w:r w:rsidRPr="00521891">
        <w:rPr>
          <w:lang w:val="fr-FR"/>
        </w:rPr>
        <w:t>année universitaire 2009-2010.</w:t>
      </w:r>
    </w:p>
    <w:p w:rsidR="00C06068" w:rsidRPr="00581EA7" w:rsidRDefault="00C06068" w:rsidP="00C06068">
      <w:pPr>
        <w:pStyle w:val="SingleTxt"/>
        <w:spacing w:after="0" w:line="120" w:lineRule="exact"/>
        <w:rPr>
          <w:sz w:val="10"/>
          <w:lang w:val="fr-FR"/>
        </w:rPr>
      </w:pPr>
      <w:bookmarkStart w:id="74" w:name="_Toc377129299"/>
    </w:p>
    <w:p w:rsidR="00C06068" w:rsidRPr="001120C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120C4">
        <w:rPr>
          <w:b w:val="0"/>
          <w:lang w:val="fr-FR"/>
        </w:rPr>
        <w:t xml:space="preserve">Tableau </w:t>
      </w:r>
      <w:r>
        <w:rPr>
          <w:b w:val="0"/>
          <w:lang w:val="fr-FR"/>
        </w:rPr>
        <w:t>13</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Répartition par tranche d</w:t>
      </w:r>
      <w:r>
        <w:rPr>
          <w:lang w:val="fr-FR"/>
        </w:rPr>
        <w:t>’</w:t>
      </w:r>
      <w:r w:rsidRPr="00521891">
        <w:rPr>
          <w:lang w:val="fr-FR"/>
        </w:rPr>
        <w:t>âge des étudiants inscrits au titre de l</w:t>
      </w:r>
      <w:r>
        <w:rPr>
          <w:lang w:val="fr-FR"/>
        </w:rPr>
        <w:t>’</w:t>
      </w:r>
      <w:r w:rsidRPr="00521891">
        <w:rPr>
          <w:lang w:val="fr-FR"/>
        </w:rPr>
        <w:t>année universitaire 2009-2010</w:t>
      </w:r>
      <w:bookmarkEnd w:id="74"/>
    </w:p>
    <w:p w:rsidR="00C06068" w:rsidRPr="001120C4" w:rsidRDefault="00C06068" w:rsidP="00C06068">
      <w:pPr>
        <w:pStyle w:val="SingleTxt"/>
        <w:spacing w:after="0" w:line="120" w:lineRule="exact"/>
        <w:rPr>
          <w:b/>
          <w:sz w:val="10"/>
          <w:lang w:val="fr-FR"/>
        </w:rPr>
      </w:pPr>
    </w:p>
    <w:p w:rsidR="00C06068" w:rsidRPr="001120C4" w:rsidRDefault="00C06068" w:rsidP="00C06068">
      <w:pPr>
        <w:pStyle w:val="SingleTxt"/>
        <w:spacing w:after="0" w:line="120" w:lineRule="exact"/>
        <w:rPr>
          <w:b/>
          <w:sz w:val="10"/>
          <w:lang w:val="fr-FR"/>
        </w:rPr>
      </w:pPr>
    </w:p>
    <w:tbl>
      <w:tblPr>
        <w:tblW w:w="8582" w:type="dxa"/>
        <w:tblInd w:w="1260" w:type="dxa"/>
        <w:tblLayout w:type="fixed"/>
        <w:tblCellMar>
          <w:left w:w="0" w:type="dxa"/>
          <w:right w:w="0" w:type="dxa"/>
        </w:tblCellMar>
        <w:tblLook w:val="0000"/>
      </w:tblPr>
      <w:tblGrid>
        <w:gridCol w:w="1716"/>
        <w:gridCol w:w="1716"/>
        <w:gridCol w:w="1717"/>
        <w:gridCol w:w="1716"/>
        <w:gridCol w:w="65"/>
        <w:gridCol w:w="1652"/>
      </w:tblGrid>
      <w:tr w:rsidR="00C06068" w:rsidRPr="001120C4" w:rsidTr="007F3574">
        <w:tblPrEx>
          <w:tblCellMar>
            <w:top w:w="0" w:type="dxa"/>
            <w:bottom w:w="0" w:type="dxa"/>
          </w:tblCellMar>
        </w:tblPrEx>
        <w:trPr>
          <w:tblHeader/>
        </w:trPr>
        <w:tc>
          <w:tcPr>
            <w:tcW w:w="1716" w:type="dxa"/>
            <w:tcBorders>
              <w:top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5149" w:type="dxa"/>
            <w:gridSpan w:val="3"/>
            <w:tcBorders>
              <w:top w:val="single" w:sz="4" w:space="0" w:color="auto"/>
              <w:bottom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5B402E">
              <w:rPr>
                <w:i/>
                <w:sz w:val="14"/>
                <w:lang w:val="fr-FR"/>
              </w:rPr>
              <w:t>Ensemble du système d</w:t>
            </w:r>
            <w:r>
              <w:rPr>
                <w:i/>
                <w:sz w:val="14"/>
                <w:lang w:val="fr-FR"/>
              </w:rPr>
              <w:t>’</w:t>
            </w:r>
            <w:r w:rsidRPr="005B402E">
              <w:rPr>
                <w:i/>
                <w:sz w:val="14"/>
                <w:lang w:val="fr-FR"/>
              </w:rPr>
              <w:t>enseignement supérieur</w:t>
            </w:r>
            <w:r>
              <w:rPr>
                <w:i/>
                <w:sz w:val="14"/>
                <w:lang w:val="fr-FR"/>
              </w:rPr>
              <w:br/>
            </w:r>
            <w:r w:rsidRPr="005B402E">
              <w:rPr>
                <w:i/>
                <w:sz w:val="14"/>
                <w:lang w:val="fr-FR"/>
              </w:rPr>
              <w:t>(6 universités publiques, ISTN, 3 IST, CNTEMAD, universités privées)</w:t>
            </w:r>
          </w:p>
        </w:tc>
        <w:tc>
          <w:tcPr>
            <w:tcW w:w="65" w:type="dxa"/>
            <w:tcBorders>
              <w:top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652" w:type="dxa"/>
            <w:tcBorders>
              <w:top w:val="single" w:sz="4" w:space="0" w:color="auto"/>
              <w:bottom w:val="single" w:sz="4"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5B402E">
              <w:rPr>
                <w:i/>
                <w:sz w:val="14"/>
                <w:lang w:val="fr-FR"/>
              </w:rPr>
              <w:t xml:space="preserve">Proportion </w:t>
            </w:r>
            <w:r>
              <w:rPr>
                <w:i/>
                <w:sz w:val="14"/>
                <w:lang w:val="fr-FR"/>
              </w:rPr>
              <w:t xml:space="preserve">de </w:t>
            </w:r>
            <w:r w:rsidRPr="005B402E">
              <w:rPr>
                <w:i/>
                <w:sz w:val="14"/>
                <w:lang w:val="fr-FR"/>
              </w:rPr>
              <w:t>filles</w:t>
            </w:r>
          </w:p>
        </w:tc>
      </w:tr>
      <w:tr w:rsidR="00C06068" w:rsidRPr="001120C4" w:rsidTr="007F3574">
        <w:tblPrEx>
          <w:tblCellMar>
            <w:top w:w="0" w:type="dxa"/>
            <w:bottom w:w="0" w:type="dxa"/>
          </w:tblCellMar>
        </w:tblPrEx>
        <w:trPr>
          <w:tblHeader/>
        </w:trPr>
        <w:tc>
          <w:tcPr>
            <w:tcW w:w="1716" w:type="dxa"/>
            <w:tcBorders>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5B402E">
              <w:rPr>
                <w:i/>
                <w:sz w:val="14"/>
                <w:lang w:val="fr-FR"/>
              </w:rPr>
              <w:t>Tranches d</w:t>
            </w:r>
            <w:r>
              <w:rPr>
                <w:i/>
                <w:sz w:val="14"/>
                <w:lang w:val="fr-FR"/>
              </w:rPr>
              <w:t>’</w:t>
            </w:r>
            <w:r w:rsidRPr="005B402E">
              <w:rPr>
                <w:i/>
                <w:sz w:val="14"/>
                <w:lang w:val="fr-FR"/>
              </w:rPr>
              <w:t>âge</w:t>
            </w:r>
          </w:p>
        </w:tc>
        <w:tc>
          <w:tcPr>
            <w:tcW w:w="1716"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5B402E">
              <w:rPr>
                <w:i/>
                <w:sz w:val="14"/>
                <w:lang w:val="fr-FR"/>
              </w:rPr>
              <w:t>Masculin</w:t>
            </w:r>
          </w:p>
        </w:tc>
        <w:tc>
          <w:tcPr>
            <w:tcW w:w="1717"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Féminin</w:t>
            </w:r>
          </w:p>
        </w:tc>
        <w:tc>
          <w:tcPr>
            <w:tcW w:w="1716"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Total</w:t>
            </w:r>
          </w:p>
        </w:tc>
        <w:tc>
          <w:tcPr>
            <w:tcW w:w="1717" w:type="dxa"/>
            <w:gridSpan w:val="2"/>
            <w:tcBorders>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En pourcentage</w:t>
            </w:r>
          </w:p>
        </w:tc>
      </w:tr>
      <w:tr w:rsidR="00C06068" w:rsidRPr="001120C4" w:rsidTr="007F3574">
        <w:tblPrEx>
          <w:tblCellMar>
            <w:top w:w="0" w:type="dxa"/>
            <w:bottom w:w="0" w:type="dxa"/>
          </w:tblCellMar>
        </w:tblPrEx>
        <w:trPr>
          <w:trHeight w:hRule="exact" w:val="115"/>
          <w:tblHeader/>
        </w:trPr>
        <w:tc>
          <w:tcPr>
            <w:tcW w:w="1716"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716"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17"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16"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17" w:type="dxa"/>
            <w:gridSpan w:val="2"/>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Moins de 18</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487</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962</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1 449</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66,39</w:t>
            </w: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18 à 21</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14 388</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16 727</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31 115</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53,76</w:t>
            </w: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22 à 25</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16 288</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13 360</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29 648</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45,06</w:t>
            </w: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26 à 29</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5 430</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3 314</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8 744</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37,90</w:t>
            </w: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30 à 33</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1 171</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667</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1 838</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36,29</w:t>
            </w:r>
          </w:p>
        </w:tc>
      </w:tr>
      <w:tr w:rsidR="00C06068" w:rsidRPr="001120C4" w:rsidTr="007F3574">
        <w:tblPrEx>
          <w:tblCellMar>
            <w:top w:w="0" w:type="dxa"/>
            <w:bottom w:w="0" w:type="dxa"/>
          </w:tblCellMar>
        </w:tblPrEx>
        <w:tc>
          <w:tcPr>
            <w:tcW w:w="1716" w:type="dxa"/>
            <w:shd w:val="clear" w:color="auto" w:fill="auto"/>
          </w:tcPr>
          <w:p w:rsidR="00C06068" w:rsidRPr="005B402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5B402E">
              <w:rPr>
                <w:sz w:val="17"/>
                <w:lang w:val="fr-FR"/>
              </w:rPr>
              <w:t>34 à 39</w:t>
            </w:r>
            <w:r>
              <w:rPr>
                <w:sz w:val="17"/>
                <w:lang w:val="fr-FR"/>
              </w:rPr>
              <w:t xml:space="preserve"> </w:t>
            </w:r>
            <w:r w:rsidRPr="005B402E">
              <w:rPr>
                <w:sz w:val="17"/>
                <w:lang w:val="fr-FR"/>
              </w:rPr>
              <w:t>ans</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552</w:t>
            </w:r>
          </w:p>
        </w:tc>
        <w:tc>
          <w:tcPr>
            <w:tcW w:w="1717"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393</w:t>
            </w:r>
          </w:p>
        </w:tc>
        <w:tc>
          <w:tcPr>
            <w:tcW w:w="1716" w:type="dxa"/>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945</w:t>
            </w:r>
          </w:p>
        </w:tc>
        <w:tc>
          <w:tcPr>
            <w:tcW w:w="1717" w:type="dxa"/>
            <w:gridSpan w:val="2"/>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5B402E">
              <w:rPr>
                <w:sz w:val="17"/>
                <w:lang w:val="fr-FR"/>
              </w:rPr>
              <w:t>41,58</w:t>
            </w:r>
          </w:p>
        </w:tc>
      </w:tr>
      <w:tr w:rsidR="00C06068" w:rsidRPr="001120C4" w:rsidTr="007F3574">
        <w:tblPrEx>
          <w:tblCellMar>
            <w:top w:w="0" w:type="dxa"/>
            <w:bottom w:w="0" w:type="dxa"/>
          </w:tblCellMar>
        </w:tblPrEx>
        <w:tc>
          <w:tcPr>
            <w:tcW w:w="1716" w:type="dxa"/>
            <w:tcBorders>
              <w:bottom w:val="single" w:sz="4" w:space="0" w:color="auto"/>
            </w:tcBorders>
            <w:shd w:val="clear" w:color="auto" w:fill="auto"/>
          </w:tcPr>
          <w:p w:rsidR="00C06068" w:rsidRPr="005B402E"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5B402E">
              <w:rPr>
                <w:sz w:val="17"/>
                <w:lang w:val="fr-FR"/>
              </w:rPr>
              <w:t>Plus de 40</w:t>
            </w:r>
            <w:r>
              <w:rPr>
                <w:sz w:val="17"/>
                <w:lang w:val="fr-FR"/>
              </w:rPr>
              <w:t xml:space="preserve"> </w:t>
            </w:r>
            <w:r w:rsidRPr="005B402E">
              <w:rPr>
                <w:sz w:val="17"/>
                <w:lang w:val="fr-FR"/>
              </w:rPr>
              <w:t>ans</w:t>
            </w:r>
          </w:p>
        </w:tc>
        <w:tc>
          <w:tcPr>
            <w:tcW w:w="1716"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568</w:t>
            </w:r>
          </w:p>
        </w:tc>
        <w:tc>
          <w:tcPr>
            <w:tcW w:w="1717"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291</w:t>
            </w:r>
          </w:p>
        </w:tc>
        <w:tc>
          <w:tcPr>
            <w:tcW w:w="1716" w:type="dxa"/>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859</w:t>
            </w:r>
          </w:p>
        </w:tc>
        <w:tc>
          <w:tcPr>
            <w:tcW w:w="1717" w:type="dxa"/>
            <w:gridSpan w:val="2"/>
            <w:tcBorders>
              <w:bottom w:val="single" w:sz="4"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5B402E">
              <w:rPr>
                <w:sz w:val="17"/>
                <w:lang w:val="fr-FR"/>
              </w:rPr>
              <w:t>33,87</w:t>
            </w:r>
          </w:p>
        </w:tc>
      </w:tr>
      <w:tr w:rsidR="00C06068" w:rsidRPr="005B402E" w:rsidTr="007F3574">
        <w:tblPrEx>
          <w:tblCellMar>
            <w:top w:w="0" w:type="dxa"/>
            <w:bottom w:w="0" w:type="dxa"/>
          </w:tblCellMar>
        </w:tblPrEx>
        <w:tc>
          <w:tcPr>
            <w:tcW w:w="1716" w:type="dxa"/>
            <w:tcBorders>
              <w:top w:val="single" w:sz="4" w:space="0" w:color="auto"/>
              <w:bottom w:val="single" w:sz="12" w:space="0" w:color="auto"/>
            </w:tcBorders>
            <w:shd w:val="clear" w:color="auto" w:fill="auto"/>
          </w:tcPr>
          <w:p w:rsidR="00C06068" w:rsidRPr="005B402E"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5B402E">
              <w:rPr>
                <w:b/>
                <w:sz w:val="17"/>
                <w:lang w:val="fr-FR"/>
              </w:rPr>
              <w:t>Ensemble</w:t>
            </w:r>
          </w:p>
        </w:tc>
        <w:tc>
          <w:tcPr>
            <w:tcW w:w="1716"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38 884</w:t>
            </w:r>
          </w:p>
        </w:tc>
        <w:tc>
          <w:tcPr>
            <w:tcW w:w="1717"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35 714</w:t>
            </w:r>
          </w:p>
        </w:tc>
        <w:tc>
          <w:tcPr>
            <w:tcW w:w="1716" w:type="dxa"/>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74 598</w:t>
            </w:r>
          </w:p>
        </w:tc>
        <w:tc>
          <w:tcPr>
            <w:tcW w:w="1717" w:type="dxa"/>
            <w:gridSpan w:val="2"/>
            <w:tcBorders>
              <w:top w:val="single" w:sz="4" w:space="0" w:color="auto"/>
              <w:bottom w:val="single" w:sz="12" w:space="0" w:color="auto"/>
            </w:tcBorders>
            <w:shd w:val="clear" w:color="auto" w:fill="auto"/>
            <w:vAlign w:val="bottom"/>
          </w:tcPr>
          <w:p w:rsidR="00C06068" w:rsidRPr="005B402E"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5B402E">
              <w:rPr>
                <w:b/>
                <w:sz w:val="17"/>
                <w:lang w:val="fr-FR"/>
              </w:rPr>
              <w:t>47,87</w:t>
            </w:r>
          </w:p>
        </w:tc>
      </w:tr>
    </w:tbl>
    <w:p w:rsidR="00C06068" w:rsidRPr="005B402E" w:rsidRDefault="00C06068" w:rsidP="00C06068">
      <w:pPr>
        <w:pStyle w:val="SingleTxt"/>
        <w:spacing w:after="0" w:line="120" w:lineRule="exact"/>
        <w:rPr>
          <w:b/>
          <w:i/>
          <w:sz w:val="10"/>
          <w:lang w:val="fr-FR"/>
        </w:rPr>
      </w:pPr>
    </w:p>
    <w:p w:rsidR="00C06068" w:rsidRPr="00521891" w:rsidRDefault="00C06068" w:rsidP="00C06068">
      <w:pPr>
        <w:pStyle w:val="FootnoteText"/>
        <w:tabs>
          <w:tab w:val="right" w:pos="1476"/>
          <w:tab w:val="left" w:pos="1548"/>
          <w:tab w:val="right" w:pos="1836"/>
          <w:tab w:val="left" w:pos="1908"/>
        </w:tabs>
        <w:ind w:left="1548" w:hanging="288"/>
        <w:rPr>
          <w:lang w:val="fr-FR"/>
        </w:rPr>
      </w:pPr>
      <w:r w:rsidRPr="005B402E">
        <w:rPr>
          <w:i/>
          <w:lang w:val="fr-FR"/>
        </w:rPr>
        <w:t>Source</w:t>
      </w:r>
      <w:r w:rsidRPr="005B402E">
        <w:rPr>
          <w:lang w:val="fr-FR"/>
        </w:rPr>
        <w:t> :</w:t>
      </w:r>
      <w:r w:rsidRPr="00521891">
        <w:rPr>
          <w:lang w:val="fr-FR"/>
        </w:rPr>
        <w:t xml:space="preserve"> MESUPRES/</w:t>
      </w:r>
      <w:r w:rsidRPr="00CC5A59">
        <w:rPr>
          <w:i/>
          <w:lang w:val="fr-FR"/>
        </w:rPr>
        <w:t>Annuaire 2009-2010</w:t>
      </w:r>
      <w:r>
        <w:rPr>
          <w:lang w:val="fr-FR"/>
        </w:rPr>
        <w:t>.</w:t>
      </w:r>
    </w:p>
    <w:p w:rsidR="00C06068" w:rsidRPr="001120C4" w:rsidRDefault="00C06068" w:rsidP="00C06068">
      <w:pPr>
        <w:pStyle w:val="SingleTxt"/>
        <w:spacing w:after="0" w:line="120" w:lineRule="exact"/>
        <w:rPr>
          <w:b/>
          <w:sz w:val="10"/>
          <w:lang w:val="fr-FR"/>
        </w:rPr>
      </w:pPr>
      <w:bookmarkStart w:id="75" w:name="_Toc376709324"/>
    </w:p>
    <w:p w:rsidR="00C06068" w:rsidRPr="001120C4" w:rsidRDefault="00C06068" w:rsidP="00C06068">
      <w:pPr>
        <w:pStyle w:val="SingleTxt"/>
        <w:spacing w:after="0" w:line="120" w:lineRule="exact"/>
        <w:rPr>
          <w:b/>
          <w:sz w:val="10"/>
          <w:lang w:val="fr-FR"/>
        </w:rPr>
      </w:pPr>
    </w:p>
    <w:p w:rsidR="00C06068" w:rsidRPr="001120C4" w:rsidRDefault="00C06068" w:rsidP="00C06068">
      <w:pPr>
        <w:pStyle w:val="SingleTxt"/>
        <w:spacing w:after="0" w:line="120" w:lineRule="exact"/>
        <w:rPr>
          <w:b/>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11 de la Convention : égalité de droits </w:t>
      </w:r>
      <w:r>
        <w:rPr>
          <w:lang w:val="fr-FR"/>
        </w:rPr>
        <w:br/>
      </w:r>
      <w:r w:rsidRPr="00521891">
        <w:rPr>
          <w:lang w:val="fr-FR"/>
        </w:rPr>
        <w:t>à l</w:t>
      </w:r>
      <w:r>
        <w:rPr>
          <w:lang w:val="fr-FR"/>
        </w:rPr>
        <w:t>’</w:t>
      </w:r>
      <w:r w:rsidRPr="00521891">
        <w:rPr>
          <w:lang w:val="fr-FR"/>
        </w:rPr>
        <w:t>emploi et au travail</w:t>
      </w:r>
      <w:bookmarkEnd w:id="75"/>
    </w:p>
    <w:p w:rsidR="00C06068" w:rsidRPr="001120C4"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CA4846">
        <w:rPr>
          <w:i/>
          <w:lang w:val="fr-FR"/>
        </w:rPr>
        <w:t>Objet de la recommandation dans les paragraphes 15 et 29</w:t>
      </w:r>
      <w:r w:rsidRPr="00521891">
        <w:rPr>
          <w:lang w:val="fr-FR"/>
        </w:rPr>
        <w:t>)</w:t>
      </w:r>
    </w:p>
    <w:p w:rsidR="00C06068" w:rsidRPr="00CA4846" w:rsidRDefault="00C06068" w:rsidP="00C06068">
      <w:pPr>
        <w:pStyle w:val="SingleTxt"/>
        <w:rPr>
          <w:i/>
          <w:lang w:val="fr-FR"/>
        </w:rPr>
      </w:pPr>
      <w:r w:rsidRPr="00CA4846">
        <w:rPr>
          <w:i/>
          <w:lang w:val="fr-FR"/>
        </w:rPr>
        <w:tab/>
        <w:t>1.</w:t>
      </w:r>
      <w:r w:rsidRPr="00CA4846">
        <w:rPr>
          <w:i/>
          <w:lang w:val="fr-FR"/>
        </w:rPr>
        <w:tab/>
        <w:t>Les États parties s’engagent prendre toutes les mesures appropriées pour éliminer la discrimination à l’égard des femmes dans le domaine de l’emploi, afin d’assurer, sur la base de l’égalité de l’homme et de la femme, les mêmes droits, et en particulier :</w:t>
      </w:r>
    </w:p>
    <w:p w:rsidR="00C06068" w:rsidRPr="00CA4846" w:rsidRDefault="00C06068" w:rsidP="00C06068">
      <w:pPr>
        <w:pStyle w:val="SingleTxt"/>
        <w:rPr>
          <w:i/>
          <w:lang w:val="fr-FR"/>
        </w:rPr>
      </w:pPr>
      <w:r w:rsidRPr="00CA4846">
        <w:rPr>
          <w:i/>
          <w:lang w:val="fr-FR"/>
        </w:rPr>
        <w:tab/>
        <w:t>2</w:t>
      </w:r>
      <w:r>
        <w:rPr>
          <w:i/>
          <w:lang w:val="fr-FR"/>
        </w:rPr>
        <w:t>.</w:t>
      </w:r>
      <w:r>
        <w:rPr>
          <w:i/>
          <w:lang w:val="fr-FR"/>
        </w:rPr>
        <w:tab/>
      </w:r>
      <w:r w:rsidRPr="00CA4846">
        <w:rPr>
          <w:i/>
          <w:lang w:val="fr-FR"/>
        </w:rPr>
        <w:t>a)</w:t>
      </w:r>
      <w:r w:rsidRPr="00CA4846">
        <w:rPr>
          <w:i/>
          <w:lang w:val="fr-FR"/>
        </w:rPr>
        <w:tab/>
        <w:t>D’interdire, sous peine de sanctions, le licenciement pour cause de grossesse ou de congé de maternité et la discrimination fondée sur le statut matrimonial.</w:t>
      </w:r>
    </w:p>
    <w:p w:rsidR="00C06068" w:rsidRPr="00CC5A59" w:rsidRDefault="00C06068" w:rsidP="00C06068">
      <w:pPr>
        <w:pStyle w:val="SingleTxt"/>
        <w:spacing w:after="0" w:line="120" w:lineRule="exact"/>
        <w:rPr>
          <w:sz w:val="10"/>
          <w:lang w:val="fr-FR"/>
        </w:rPr>
      </w:pPr>
      <w:bookmarkStart w:id="76" w:name="_Toc376709325"/>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Cadre normatif</w:t>
      </w:r>
      <w:bookmarkEnd w:id="76"/>
    </w:p>
    <w:p w:rsidR="00C06068" w:rsidRPr="008B07F6"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Madagascar a ratifié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La Convention n</w:t>
      </w:r>
      <w:r w:rsidRPr="00521891">
        <w:rPr>
          <w:vertAlign w:val="superscript"/>
          <w:lang w:val="fr-FR"/>
        </w:rPr>
        <w:t>o</w:t>
      </w:r>
      <w:r>
        <w:rPr>
          <w:vertAlign w:val="superscript"/>
          <w:lang w:val="fr-FR"/>
        </w:rPr>
        <w:t> </w:t>
      </w:r>
      <w:r w:rsidRPr="00521891">
        <w:rPr>
          <w:lang w:val="fr-FR"/>
        </w:rPr>
        <w:t>100 relative à l</w:t>
      </w:r>
      <w:r>
        <w:rPr>
          <w:lang w:val="fr-FR"/>
        </w:rPr>
        <w:t>’égalité de rémunération;</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La Convention n</w:t>
      </w:r>
      <w:r w:rsidRPr="00521891">
        <w:rPr>
          <w:vertAlign w:val="superscript"/>
          <w:lang w:val="fr-FR"/>
        </w:rPr>
        <w:t>o</w:t>
      </w:r>
      <w:r>
        <w:rPr>
          <w:vertAlign w:val="superscript"/>
          <w:lang w:val="fr-FR"/>
        </w:rPr>
        <w:t> </w:t>
      </w:r>
      <w:r w:rsidRPr="00521891">
        <w:rPr>
          <w:lang w:val="fr-FR"/>
        </w:rPr>
        <w:t>111 sur la discrimination en matière d</w:t>
      </w:r>
      <w:r>
        <w:rPr>
          <w:lang w:val="fr-FR"/>
        </w:rPr>
        <w:t>’emploi et de profession;</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 xml:space="preserve">La </w:t>
      </w:r>
      <w:r>
        <w:rPr>
          <w:lang w:val="fr-FR"/>
        </w:rPr>
        <w:t>C</w:t>
      </w:r>
      <w:r w:rsidRPr="00521891">
        <w:rPr>
          <w:lang w:val="fr-FR"/>
        </w:rPr>
        <w:t>onvention n</w:t>
      </w:r>
      <w:r w:rsidRPr="00521891">
        <w:rPr>
          <w:vertAlign w:val="superscript"/>
          <w:lang w:val="fr-FR"/>
        </w:rPr>
        <w:t>o</w:t>
      </w:r>
      <w:r>
        <w:rPr>
          <w:vertAlign w:val="superscript"/>
          <w:lang w:val="fr-FR"/>
        </w:rPr>
        <w:t> </w:t>
      </w:r>
      <w:r w:rsidRPr="00521891">
        <w:rPr>
          <w:lang w:val="fr-FR"/>
        </w:rPr>
        <w:t>118 de l</w:t>
      </w:r>
      <w:r>
        <w:rPr>
          <w:lang w:val="fr-FR"/>
        </w:rPr>
        <w:t>’</w:t>
      </w:r>
      <w:r w:rsidRPr="00521891">
        <w:rPr>
          <w:lang w:val="fr-FR"/>
        </w:rPr>
        <w:t>OIT concernant l</w:t>
      </w:r>
      <w:r>
        <w:rPr>
          <w:lang w:val="fr-FR"/>
        </w:rPr>
        <w:t>’</w:t>
      </w:r>
      <w:r w:rsidRPr="00521891">
        <w:rPr>
          <w:lang w:val="fr-FR"/>
        </w:rPr>
        <w:t>égalité de trai</w:t>
      </w:r>
      <w:r>
        <w:rPr>
          <w:lang w:val="fr-FR"/>
        </w:rPr>
        <w:t>tement des nationaux et des non-</w:t>
      </w:r>
      <w:r w:rsidRPr="00521891">
        <w:rPr>
          <w:lang w:val="fr-FR"/>
        </w:rPr>
        <w:t>nationaux</w:t>
      </w:r>
      <w:r>
        <w:rPr>
          <w:lang w:val="fr-FR"/>
        </w:rPr>
        <w:t xml:space="preserve"> en matière de sécurité sociale;</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La Convention n</w:t>
      </w:r>
      <w:r w:rsidRPr="00521891">
        <w:rPr>
          <w:vertAlign w:val="superscript"/>
          <w:lang w:val="fr-FR"/>
        </w:rPr>
        <w:t>o</w:t>
      </w:r>
      <w:r>
        <w:rPr>
          <w:vertAlign w:val="superscript"/>
          <w:lang w:val="fr-FR"/>
        </w:rPr>
        <w:t> </w:t>
      </w:r>
      <w:r w:rsidRPr="00521891">
        <w:rPr>
          <w:lang w:val="fr-FR"/>
        </w:rPr>
        <w:t>151 sur les relations de travail dans la fonction publique.</w:t>
      </w:r>
    </w:p>
    <w:p w:rsidR="00C06068" w:rsidRPr="00521891" w:rsidRDefault="00C06068" w:rsidP="00C06068">
      <w:pPr>
        <w:pStyle w:val="SingleTxt"/>
        <w:numPr>
          <w:ilvl w:val="0"/>
          <w:numId w:val="10"/>
        </w:numPr>
        <w:rPr>
          <w:lang w:val="fr-FR"/>
        </w:rPr>
      </w:pPr>
      <w:r w:rsidRPr="00521891">
        <w:rPr>
          <w:lang w:val="fr-FR"/>
        </w:rPr>
        <w:t xml:space="preserve">La législation nationale en matière du marché du travail, dans le secteur </w:t>
      </w:r>
      <w:r>
        <w:rPr>
          <w:lang w:val="fr-FR"/>
        </w:rPr>
        <w:t xml:space="preserve">tant public que privé, </w:t>
      </w:r>
      <w:r w:rsidRPr="00521891">
        <w:rPr>
          <w:lang w:val="fr-FR"/>
        </w:rPr>
        <w:t>veille au respect du principe d</w:t>
      </w:r>
      <w:r>
        <w:rPr>
          <w:lang w:val="fr-FR"/>
        </w:rPr>
        <w:t>’</w:t>
      </w:r>
      <w:r w:rsidRPr="00521891">
        <w:rPr>
          <w:lang w:val="fr-FR"/>
        </w:rPr>
        <w:t>égal accès à l</w:t>
      </w:r>
      <w:r>
        <w:rPr>
          <w:lang w:val="fr-FR"/>
        </w:rPr>
        <w:t>’</w:t>
      </w:r>
      <w:r w:rsidRPr="00521891">
        <w:rPr>
          <w:lang w:val="fr-FR"/>
        </w:rPr>
        <w:t>emploi conformément aux normes internationales du travail.</w:t>
      </w:r>
    </w:p>
    <w:p w:rsidR="00C06068" w:rsidRPr="00521891" w:rsidRDefault="00C06068" w:rsidP="00C06068">
      <w:pPr>
        <w:pStyle w:val="SingleTxt"/>
        <w:numPr>
          <w:ilvl w:val="0"/>
          <w:numId w:val="10"/>
        </w:numPr>
        <w:rPr>
          <w:lang w:val="fr-FR"/>
        </w:rPr>
      </w:pPr>
      <w:r w:rsidRPr="00521891">
        <w:rPr>
          <w:lang w:val="fr-FR"/>
        </w:rPr>
        <w:t>Le secteur public est régit par la loi n</w:t>
      </w:r>
      <w:r w:rsidRPr="00521891">
        <w:rPr>
          <w:vertAlign w:val="superscript"/>
          <w:lang w:val="fr-FR"/>
        </w:rPr>
        <w:t>o</w:t>
      </w:r>
      <w:r>
        <w:rPr>
          <w:vertAlign w:val="superscript"/>
          <w:lang w:val="fr-FR"/>
        </w:rPr>
        <w:t> </w:t>
      </w:r>
      <w:r w:rsidRPr="00521891">
        <w:rPr>
          <w:lang w:val="fr-FR"/>
        </w:rPr>
        <w:t>2003-011 du 3 septembre 2003 portant statut général des fonctionnaires</w:t>
      </w:r>
      <w:r>
        <w:rPr>
          <w:lang w:val="fr-FR"/>
        </w:rPr>
        <w:t>,</w:t>
      </w:r>
      <w:r w:rsidRPr="00521891">
        <w:rPr>
          <w:lang w:val="fr-FR"/>
        </w:rPr>
        <w:t xml:space="preserve"> tandis que le secteur privé est réglementé par la loi n</w:t>
      </w:r>
      <w:r w:rsidRPr="00521891">
        <w:rPr>
          <w:vertAlign w:val="superscript"/>
          <w:lang w:val="fr-FR"/>
        </w:rPr>
        <w:t>o</w:t>
      </w:r>
      <w:r>
        <w:rPr>
          <w:vertAlign w:val="superscript"/>
          <w:lang w:val="fr-FR"/>
        </w:rPr>
        <w:t> </w:t>
      </w:r>
      <w:r w:rsidRPr="00521891">
        <w:rPr>
          <w:lang w:val="fr-FR"/>
        </w:rPr>
        <w:t>2003-</w:t>
      </w:r>
      <w:r>
        <w:rPr>
          <w:lang w:val="fr-FR"/>
        </w:rPr>
        <w:t>044 du 28 juillet 2004 portant C</w:t>
      </w:r>
      <w:r w:rsidRPr="00521891">
        <w:rPr>
          <w:lang w:val="fr-FR"/>
        </w:rPr>
        <w:t>ode du travail.</w:t>
      </w:r>
    </w:p>
    <w:p w:rsidR="00C06068" w:rsidRPr="00521891" w:rsidRDefault="00C06068" w:rsidP="00C06068">
      <w:pPr>
        <w:pStyle w:val="SingleTxt"/>
        <w:numPr>
          <w:ilvl w:val="0"/>
          <w:numId w:val="10"/>
        </w:numPr>
        <w:rPr>
          <w:lang w:val="fr-FR"/>
        </w:rPr>
      </w:pPr>
      <w:r w:rsidRPr="00521891">
        <w:rPr>
          <w:lang w:val="fr-FR"/>
        </w:rPr>
        <w:t xml:space="preserve">Les prestations sociales dans le secteur privé sont régies par le </w:t>
      </w:r>
      <w:r>
        <w:rPr>
          <w:lang w:val="fr-FR"/>
        </w:rPr>
        <w:t>d</w:t>
      </w:r>
      <w:r w:rsidRPr="00521891">
        <w:rPr>
          <w:lang w:val="fr-FR"/>
        </w:rPr>
        <w:t xml:space="preserve">écret </w:t>
      </w:r>
      <w:r>
        <w:rPr>
          <w:lang w:val="fr-FR"/>
        </w:rPr>
        <w:br/>
      </w:r>
      <w:r w:rsidRPr="00521891">
        <w:rPr>
          <w:lang w:val="fr-FR"/>
        </w:rPr>
        <w:t>n</w:t>
      </w:r>
      <w:r w:rsidRPr="00521891">
        <w:rPr>
          <w:vertAlign w:val="superscript"/>
          <w:lang w:val="fr-FR"/>
        </w:rPr>
        <w:t>o</w:t>
      </w:r>
      <w:r>
        <w:rPr>
          <w:vertAlign w:val="superscript"/>
          <w:lang w:val="fr-FR"/>
        </w:rPr>
        <w:t> </w:t>
      </w:r>
      <w:r w:rsidRPr="00521891">
        <w:rPr>
          <w:lang w:val="fr-FR"/>
        </w:rPr>
        <w:t>69-145 du 8 avril 1969 portant Code de prévoyance sociale.</w:t>
      </w:r>
    </w:p>
    <w:p w:rsidR="00C06068" w:rsidRPr="008B07F6" w:rsidRDefault="00C06068" w:rsidP="00C06068">
      <w:pPr>
        <w:pStyle w:val="SingleTxt"/>
        <w:spacing w:after="0" w:line="120" w:lineRule="exact"/>
        <w:rPr>
          <w:b/>
          <w:sz w:val="10"/>
          <w:lang w:val="fr-FR"/>
        </w:rPr>
      </w:pP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Dans le</w:t>
      </w:r>
      <w:r>
        <w:rPr>
          <w:lang w:val="fr-FR"/>
        </w:rPr>
        <w:t>s</w:t>
      </w:r>
      <w:r w:rsidRPr="00521891">
        <w:rPr>
          <w:lang w:val="fr-FR"/>
        </w:rPr>
        <w:t xml:space="preserve"> secteur</w:t>
      </w:r>
      <w:r>
        <w:rPr>
          <w:lang w:val="fr-FR"/>
        </w:rPr>
        <w:t>s</w:t>
      </w:r>
      <w:r w:rsidRPr="00521891">
        <w:rPr>
          <w:lang w:val="fr-FR"/>
        </w:rPr>
        <w:t xml:space="preserve"> public et privé</w:t>
      </w:r>
    </w:p>
    <w:p w:rsidR="00C06068" w:rsidRPr="008B07F6"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Les principes d</w:t>
      </w:r>
      <w:r>
        <w:rPr>
          <w:lang w:val="fr-FR"/>
        </w:rPr>
        <w:t>’</w:t>
      </w:r>
      <w:r w:rsidRPr="00521891">
        <w:rPr>
          <w:lang w:val="fr-FR"/>
        </w:rPr>
        <w:t>égalité d</w:t>
      </w:r>
      <w:r>
        <w:rPr>
          <w:lang w:val="fr-FR"/>
        </w:rPr>
        <w:t>’</w:t>
      </w:r>
      <w:r w:rsidRPr="00521891">
        <w:rPr>
          <w:lang w:val="fr-FR"/>
        </w:rPr>
        <w:t>accès à l</w:t>
      </w:r>
      <w:r>
        <w:rPr>
          <w:lang w:val="fr-FR"/>
        </w:rPr>
        <w:t>’</w:t>
      </w:r>
      <w:r w:rsidRPr="00521891">
        <w:rPr>
          <w:lang w:val="fr-FR"/>
        </w:rPr>
        <w:t>emploi, d</w:t>
      </w:r>
      <w:r>
        <w:rPr>
          <w:lang w:val="fr-FR"/>
        </w:rPr>
        <w:t>’</w:t>
      </w:r>
      <w:r w:rsidRPr="00521891">
        <w:rPr>
          <w:lang w:val="fr-FR"/>
        </w:rPr>
        <w:t>égale rémunération à travail de même valeur, de non-discrimination suivant l</w:t>
      </w:r>
      <w:r>
        <w:rPr>
          <w:lang w:val="fr-FR"/>
        </w:rPr>
        <w:t>’</w:t>
      </w:r>
      <w:r w:rsidRPr="00521891">
        <w:rPr>
          <w:lang w:val="fr-FR"/>
        </w:rPr>
        <w:t>âge d</w:t>
      </w:r>
      <w:r>
        <w:rPr>
          <w:lang w:val="fr-FR"/>
        </w:rPr>
        <w:t>’</w:t>
      </w:r>
      <w:r w:rsidRPr="00521891">
        <w:rPr>
          <w:lang w:val="fr-FR"/>
        </w:rPr>
        <w:t>embauche et suivant le sexe sont respectés.</w:t>
      </w:r>
    </w:p>
    <w:p w:rsidR="00C06068" w:rsidRPr="00CC5A59" w:rsidRDefault="00C06068" w:rsidP="00C06068">
      <w:pPr>
        <w:pStyle w:val="SingleTxt"/>
        <w:numPr>
          <w:ilvl w:val="0"/>
          <w:numId w:val="10"/>
        </w:numPr>
        <w:rPr>
          <w:lang w:val="fr-FR"/>
        </w:rPr>
      </w:pPr>
      <w:r w:rsidRPr="00521891">
        <w:rPr>
          <w:lang w:val="fr-FR"/>
        </w:rPr>
        <w:t>La loi n</w:t>
      </w:r>
      <w:r w:rsidRPr="00521891">
        <w:rPr>
          <w:vertAlign w:val="superscript"/>
          <w:lang w:val="fr-FR"/>
        </w:rPr>
        <w:t>o</w:t>
      </w:r>
      <w:r>
        <w:rPr>
          <w:vertAlign w:val="superscript"/>
          <w:lang w:val="fr-FR"/>
        </w:rPr>
        <w:t> </w:t>
      </w:r>
      <w:r w:rsidRPr="00521891">
        <w:rPr>
          <w:lang w:val="fr-FR"/>
        </w:rPr>
        <w:t xml:space="preserve">2003-044 du 28 juillet 2004 portant </w:t>
      </w:r>
      <w:r>
        <w:rPr>
          <w:lang w:val="fr-FR"/>
        </w:rPr>
        <w:t>Code du travail</w:t>
      </w:r>
      <w:r w:rsidRPr="00521891">
        <w:rPr>
          <w:lang w:val="fr-FR"/>
        </w:rPr>
        <w:t xml:space="preserve"> en son article 53 stipule qu</w:t>
      </w:r>
      <w:r>
        <w:rPr>
          <w:lang w:val="fr-FR"/>
        </w:rPr>
        <w:t>’« À</w:t>
      </w:r>
      <w:r w:rsidRPr="00CC5A59">
        <w:rPr>
          <w:lang w:val="fr-FR"/>
        </w:rPr>
        <w:t xml:space="preserve"> même qualification professionnelle, même emploi et pour un travail de valeur égale, le salaire est égal pour tous les travailleurs quels que soient leur origine, leur couleur, leur ascendance nationale, leur sexe, leur âge, leur appartenance syndicale, leur opinion et leur statut ».</w:t>
      </w:r>
    </w:p>
    <w:p w:rsidR="00C06068" w:rsidRPr="00521891" w:rsidRDefault="00C06068" w:rsidP="00C06068">
      <w:pPr>
        <w:pStyle w:val="SingleTxt"/>
        <w:numPr>
          <w:ilvl w:val="0"/>
          <w:numId w:val="10"/>
        </w:numPr>
        <w:rPr>
          <w:lang w:val="fr-FR"/>
        </w:rPr>
      </w:pPr>
      <w:r>
        <w:rPr>
          <w:lang w:val="fr-FR"/>
        </w:rPr>
        <w:t>Le chapitre III de ce même C</w:t>
      </w:r>
      <w:r w:rsidRPr="00521891">
        <w:rPr>
          <w:lang w:val="fr-FR"/>
        </w:rPr>
        <w:t>ode du travail définit les conditions particulières de travail de certaines catégories de travailleurs, plus précisément du travail des femmes.</w:t>
      </w:r>
    </w:p>
    <w:p w:rsidR="00C06068" w:rsidRPr="00521891" w:rsidRDefault="00C06068" w:rsidP="00C06068">
      <w:pPr>
        <w:pStyle w:val="SingleTxt"/>
        <w:numPr>
          <w:ilvl w:val="0"/>
          <w:numId w:val="10"/>
        </w:numPr>
        <w:rPr>
          <w:lang w:val="fr-FR"/>
        </w:rPr>
      </w:pPr>
      <w:r w:rsidRPr="00521891">
        <w:rPr>
          <w:lang w:val="fr-FR"/>
        </w:rPr>
        <w:t>Dans le secteur privé, afin de lutter contre la discrimination sur l</w:t>
      </w:r>
      <w:r>
        <w:rPr>
          <w:lang w:val="fr-FR"/>
        </w:rPr>
        <w:t>’</w:t>
      </w:r>
      <w:r w:rsidRPr="00521891">
        <w:rPr>
          <w:lang w:val="fr-FR"/>
        </w:rPr>
        <w:t xml:space="preserve">âge et sur le sexe, le </w:t>
      </w:r>
      <w:r>
        <w:rPr>
          <w:lang w:val="fr-FR"/>
        </w:rPr>
        <w:t>d</w:t>
      </w:r>
      <w:r w:rsidRPr="00521891">
        <w:rPr>
          <w:lang w:val="fr-FR"/>
        </w:rPr>
        <w:t>écret n</w:t>
      </w:r>
      <w:r w:rsidRPr="00521891">
        <w:rPr>
          <w:vertAlign w:val="superscript"/>
          <w:lang w:val="fr-FR"/>
        </w:rPr>
        <w:t>o</w:t>
      </w:r>
      <w:r>
        <w:rPr>
          <w:vertAlign w:val="superscript"/>
          <w:lang w:val="fr-FR"/>
        </w:rPr>
        <w:t> </w:t>
      </w:r>
      <w:r w:rsidRPr="00521891">
        <w:rPr>
          <w:lang w:val="fr-FR"/>
        </w:rPr>
        <w:t xml:space="preserve">2013-337 du 14 mai </w:t>
      </w:r>
      <w:r>
        <w:rPr>
          <w:lang w:val="fr-FR"/>
        </w:rPr>
        <w:t xml:space="preserve">2013 en son article 1 </w:t>
      </w:r>
      <w:r w:rsidRPr="00521891">
        <w:rPr>
          <w:lang w:val="fr-FR"/>
        </w:rPr>
        <w:t>fixe l</w:t>
      </w:r>
      <w:r>
        <w:rPr>
          <w:lang w:val="fr-FR"/>
        </w:rPr>
        <w:t>’</w:t>
      </w:r>
      <w:r w:rsidRPr="00521891">
        <w:rPr>
          <w:lang w:val="fr-FR"/>
        </w:rPr>
        <w:t>âge normal d</w:t>
      </w:r>
      <w:r>
        <w:rPr>
          <w:lang w:val="fr-FR"/>
        </w:rPr>
        <w:t>’</w:t>
      </w:r>
      <w:r w:rsidRPr="00521891">
        <w:rPr>
          <w:lang w:val="fr-FR"/>
        </w:rPr>
        <w:t>ouverture du droit à prestation à 60 ans pour les travailleurs de sexe masculin et féminin si auparavant l</w:t>
      </w:r>
      <w:r>
        <w:rPr>
          <w:lang w:val="fr-FR"/>
        </w:rPr>
        <w:t>’</w:t>
      </w:r>
      <w:r w:rsidRPr="00521891">
        <w:rPr>
          <w:lang w:val="fr-FR"/>
        </w:rPr>
        <w:t>âge de la retraite des femmes était de 55 ans.</w:t>
      </w:r>
    </w:p>
    <w:p w:rsidR="00C06068" w:rsidRPr="008B07F6" w:rsidRDefault="00C06068" w:rsidP="00C06068">
      <w:pPr>
        <w:pStyle w:val="SingleTxt"/>
        <w:spacing w:after="0" w:line="120" w:lineRule="exact"/>
        <w:rPr>
          <w:b/>
          <w:sz w:val="10"/>
          <w:lang w:val="fr-FR"/>
        </w:rPr>
      </w:pPr>
      <w:bookmarkStart w:id="77" w:name="_Toc376709326"/>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w:t>
      </w:r>
      <w:r w:rsidRPr="00521891">
        <w:rPr>
          <w:lang w:val="fr-FR"/>
        </w:rPr>
        <w:tab/>
        <w:t>Dans le secteur informel</w:t>
      </w:r>
      <w:bookmarkEnd w:id="77"/>
    </w:p>
    <w:p w:rsidR="00C06068" w:rsidRPr="008B07F6"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 xml:space="preserve">En 2012, une </w:t>
      </w:r>
      <w:r>
        <w:rPr>
          <w:lang w:val="fr-FR"/>
        </w:rPr>
        <w:t>e</w:t>
      </w:r>
      <w:r w:rsidRPr="00521891">
        <w:rPr>
          <w:lang w:val="fr-FR"/>
        </w:rPr>
        <w:t>nquête nationale sur l</w:t>
      </w:r>
      <w:r>
        <w:rPr>
          <w:lang w:val="fr-FR"/>
        </w:rPr>
        <w:t>’</w:t>
      </w:r>
      <w:r w:rsidRPr="00521891">
        <w:rPr>
          <w:lang w:val="fr-FR"/>
        </w:rPr>
        <w:t>emploi et le secteur informel a été menée par l</w:t>
      </w:r>
      <w:r>
        <w:rPr>
          <w:lang w:val="fr-FR"/>
        </w:rPr>
        <w:t>’</w:t>
      </w:r>
      <w:r w:rsidRPr="00521891">
        <w:rPr>
          <w:lang w:val="fr-FR"/>
        </w:rPr>
        <w:t>INSTAT, avec l</w:t>
      </w:r>
      <w:r>
        <w:rPr>
          <w:lang w:val="fr-FR"/>
        </w:rPr>
        <w:t>’</w:t>
      </w:r>
      <w:r w:rsidRPr="00521891">
        <w:rPr>
          <w:lang w:val="fr-FR"/>
        </w:rPr>
        <w:t>appui du PNUD, du BIT et l</w:t>
      </w:r>
      <w:r>
        <w:rPr>
          <w:lang w:val="fr-FR"/>
        </w:rPr>
        <w:t>’</w:t>
      </w:r>
      <w:r w:rsidRPr="00521891">
        <w:rPr>
          <w:lang w:val="fr-FR"/>
        </w:rPr>
        <w:t>IRD/DIAL. Les résultats de l</w:t>
      </w:r>
      <w:r>
        <w:rPr>
          <w:lang w:val="fr-FR"/>
        </w:rPr>
        <w:t>’</w:t>
      </w:r>
      <w:r w:rsidRPr="00521891">
        <w:rPr>
          <w:lang w:val="fr-FR"/>
        </w:rPr>
        <w:t>enquête font ressortir que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Le chômage, au sens du BIT</w:t>
      </w:r>
      <w:r w:rsidRPr="00313148">
        <w:rPr>
          <w:vertAlign w:val="superscript"/>
          <w:lang w:val="fr-FR"/>
        </w:rPr>
        <w:footnoteReference w:id="16"/>
      </w:r>
      <w:r w:rsidRPr="00521891">
        <w:rPr>
          <w:lang w:val="fr-FR"/>
        </w:rPr>
        <w:t>, est encore faible à Madagascar puisqu</w:t>
      </w:r>
      <w:r>
        <w:rPr>
          <w:lang w:val="fr-FR"/>
        </w:rPr>
        <w:t>’</w:t>
      </w:r>
      <w:r w:rsidRPr="00521891">
        <w:rPr>
          <w:lang w:val="fr-FR"/>
        </w:rPr>
        <w:t xml:space="preserve">il ne touche que 1,3 % de la population active malagasy. Cependant, il touche plus les femmes que les hommes car </w:t>
      </w:r>
      <w:r>
        <w:rPr>
          <w:lang w:val="fr-FR"/>
        </w:rPr>
        <w:t xml:space="preserve">6 </w:t>
      </w:r>
      <w:r w:rsidRPr="00521891">
        <w:rPr>
          <w:lang w:val="fr-FR"/>
        </w:rPr>
        <w:t xml:space="preserve">chômeurs sur </w:t>
      </w:r>
      <w:r>
        <w:rPr>
          <w:lang w:val="fr-FR"/>
        </w:rPr>
        <w:t xml:space="preserve">10 </w:t>
      </w:r>
      <w:r w:rsidRPr="00521891">
        <w:rPr>
          <w:lang w:val="fr-FR"/>
        </w:rPr>
        <w:t>sont des femmes;</w:t>
      </w:r>
    </w:p>
    <w:p w:rsidR="00C06068" w:rsidRPr="00521891" w:rsidRDefault="00C06068" w:rsidP="00C06068">
      <w:pPr>
        <w:pStyle w:val="SingleTxt"/>
        <w:tabs>
          <w:tab w:val="right" w:pos="1685"/>
        </w:tabs>
        <w:ind w:left="1742" w:hanging="475"/>
        <w:rPr>
          <w:lang w:val="fr-FR"/>
        </w:rPr>
      </w:pPr>
      <w:r>
        <w:rPr>
          <w:lang w:val="fr-FR"/>
        </w:rPr>
        <w:tab/>
        <w:t>•</w:t>
      </w:r>
      <w:r>
        <w:rPr>
          <w:lang w:val="fr-FR"/>
        </w:rPr>
        <w:tab/>
        <w:t>Neuf</w:t>
      </w:r>
      <w:r w:rsidRPr="00521891">
        <w:rPr>
          <w:lang w:val="fr-FR"/>
        </w:rPr>
        <w:t xml:space="preserve"> emplois sur 10 se trou</w:t>
      </w:r>
      <w:r>
        <w:rPr>
          <w:lang w:val="fr-FR"/>
        </w:rPr>
        <w:t>vent dans le secteur informel. À</w:t>
      </w:r>
      <w:r w:rsidRPr="00521891">
        <w:rPr>
          <w:lang w:val="fr-FR"/>
        </w:rPr>
        <w:t xml:space="preserve"> cet effet, on note une forte présence féminine dans le secteur informel hors agriculture (services domestiques aux ménages et les éventuelles activités qui entrent dans la catégorie des aides familiales).</w:t>
      </w:r>
    </w:p>
    <w:p w:rsidR="00C06068" w:rsidRPr="00521891" w:rsidRDefault="00C06068" w:rsidP="00C06068">
      <w:pPr>
        <w:pStyle w:val="SingleTxt"/>
        <w:numPr>
          <w:ilvl w:val="0"/>
          <w:numId w:val="10"/>
        </w:numPr>
        <w:rPr>
          <w:lang w:val="fr-FR"/>
        </w:rPr>
      </w:pPr>
      <w:r w:rsidRPr="00521891">
        <w:rPr>
          <w:lang w:val="fr-FR"/>
        </w:rPr>
        <w:t>Chaque année depuis 2011, la CNaPS mène des actions de sensibilisation pour encourager le secteur informel à inscrire leurs employés à la CNaPS en vue de l</w:t>
      </w:r>
      <w:r>
        <w:rPr>
          <w:lang w:val="fr-FR"/>
        </w:rPr>
        <w:t>’</w:t>
      </w:r>
      <w:r w:rsidRPr="00521891">
        <w:rPr>
          <w:lang w:val="fr-FR"/>
        </w:rPr>
        <w:t>obtention des prestations sociales.</w:t>
      </w:r>
    </w:p>
    <w:p w:rsidR="00C06068" w:rsidRDefault="00C06068" w:rsidP="00C06068">
      <w:pPr>
        <w:pStyle w:val="SingleTxt"/>
        <w:numPr>
          <w:ilvl w:val="0"/>
          <w:numId w:val="10"/>
        </w:numPr>
        <w:rPr>
          <w:lang w:val="fr-FR"/>
        </w:rPr>
      </w:pPr>
      <w:r w:rsidRPr="00521891">
        <w:rPr>
          <w:lang w:val="fr-FR"/>
        </w:rPr>
        <w:t>L</w:t>
      </w:r>
      <w:r>
        <w:rPr>
          <w:lang w:val="fr-FR"/>
        </w:rPr>
        <w:t>’</w:t>
      </w:r>
      <w:r w:rsidRPr="00521891">
        <w:rPr>
          <w:lang w:val="fr-FR"/>
        </w:rPr>
        <w:t>encouragement de l</w:t>
      </w:r>
      <w:r>
        <w:rPr>
          <w:lang w:val="fr-FR"/>
        </w:rPr>
        <w:t>’</w:t>
      </w:r>
      <w:r w:rsidRPr="00521891">
        <w:rPr>
          <w:lang w:val="fr-FR"/>
        </w:rPr>
        <w:t>intégration des opérateurs dans le secteur formel figure parmi les actions prioritaires de la Vice</w:t>
      </w:r>
      <w:r>
        <w:rPr>
          <w:lang w:val="fr-FR"/>
        </w:rPr>
        <w:t>-</w:t>
      </w:r>
      <w:r w:rsidRPr="00521891">
        <w:rPr>
          <w:lang w:val="fr-FR"/>
        </w:rPr>
        <w:t>Primature chargée de l</w:t>
      </w:r>
      <w:r>
        <w:rPr>
          <w:lang w:val="fr-FR"/>
        </w:rPr>
        <w:t>’</w:t>
      </w:r>
      <w:r w:rsidRPr="00521891">
        <w:rPr>
          <w:lang w:val="fr-FR"/>
        </w:rPr>
        <w:t>économie et de l</w:t>
      </w:r>
      <w:r>
        <w:rPr>
          <w:lang w:val="fr-FR"/>
        </w:rPr>
        <w:t>’</w:t>
      </w:r>
      <w:r w:rsidRPr="00521891">
        <w:rPr>
          <w:lang w:val="fr-FR"/>
        </w:rPr>
        <w:t>industrie à travers la promotion de création des coopératives.</w:t>
      </w:r>
    </w:p>
    <w:p w:rsidR="00C06068" w:rsidRPr="006650C6" w:rsidRDefault="00C06068" w:rsidP="00C06068">
      <w:pPr>
        <w:pStyle w:val="SingleTxt"/>
        <w:tabs>
          <w:tab w:val="clear" w:pos="1742"/>
        </w:tabs>
        <w:spacing w:after="0" w:line="120" w:lineRule="exact"/>
        <w:rPr>
          <w:sz w:val="10"/>
          <w:lang w:val="fr-FR"/>
        </w:rPr>
      </w:pP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8" w:name="_Toc376709327"/>
      <w:r w:rsidRPr="00521891">
        <w:rPr>
          <w:lang w:val="fr-FR"/>
        </w:rPr>
        <w:tab/>
        <w:t>4.</w:t>
      </w:r>
      <w:r w:rsidRPr="00521891">
        <w:rPr>
          <w:lang w:val="fr-FR"/>
        </w:rPr>
        <w:tab/>
        <w:t>À travail égal, salaire égal</w:t>
      </w:r>
      <w:bookmarkEnd w:id="78"/>
    </w:p>
    <w:p w:rsidR="00C06068" w:rsidRPr="00807F55"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Pr>
          <w:lang w:val="fr-FR"/>
        </w:rPr>
        <w:t>L</w:t>
      </w:r>
      <w:r w:rsidRPr="00521891">
        <w:rPr>
          <w:lang w:val="fr-FR"/>
        </w:rPr>
        <w:t xml:space="preserve">a Constitution </w:t>
      </w:r>
      <w:r>
        <w:rPr>
          <w:lang w:val="fr-FR"/>
        </w:rPr>
        <w:t xml:space="preserve">de </w:t>
      </w:r>
      <w:r w:rsidRPr="00521891">
        <w:rPr>
          <w:lang w:val="fr-FR"/>
        </w:rPr>
        <w:t>2010, e</w:t>
      </w:r>
      <w:r>
        <w:rPr>
          <w:lang w:val="fr-FR"/>
        </w:rPr>
        <w:t xml:space="preserve">n son article 29, </w:t>
      </w:r>
      <w:r w:rsidRPr="00521891">
        <w:rPr>
          <w:lang w:val="fr-FR"/>
        </w:rPr>
        <w:t xml:space="preserve">dispose que </w:t>
      </w:r>
      <w:r>
        <w:rPr>
          <w:lang w:val="fr-FR"/>
        </w:rPr>
        <w:t>« </w:t>
      </w:r>
      <w:r w:rsidRPr="00521891">
        <w:rPr>
          <w:lang w:val="fr-FR"/>
        </w:rPr>
        <w:t>Tout citoyen a droit à une juste rémunération de son travail lui assurant, ainsi qu</w:t>
      </w:r>
      <w:r>
        <w:rPr>
          <w:lang w:val="fr-FR"/>
        </w:rPr>
        <w:t>’</w:t>
      </w:r>
      <w:r w:rsidRPr="00521891">
        <w:rPr>
          <w:lang w:val="fr-FR"/>
        </w:rPr>
        <w:t>à sa famille, une existence conforme à la dignité humaine</w:t>
      </w:r>
      <w:r>
        <w:rPr>
          <w:lang w:val="fr-FR"/>
        </w:rPr>
        <w:t> »</w:t>
      </w:r>
      <w:r w:rsidRPr="00521891">
        <w:rPr>
          <w:lang w:val="fr-FR"/>
        </w:rPr>
        <w:t>.</w:t>
      </w:r>
    </w:p>
    <w:p w:rsidR="00C06068" w:rsidRPr="00807F55" w:rsidRDefault="00C06068" w:rsidP="00C06068">
      <w:pPr>
        <w:pStyle w:val="SingleTxt"/>
        <w:spacing w:after="0" w:line="120" w:lineRule="exact"/>
        <w:rPr>
          <w:b/>
          <w:sz w:val="10"/>
          <w:lang w:val="fr-FR"/>
        </w:rPr>
      </w:pPr>
      <w:bookmarkStart w:id="79" w:name="_Toc376709328"/>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5.</w:t>
      </w:r>
      <w:r w:rsidRPr="00521891">
        <w:rPr>
          <w:lang w:val="fr-FR"/>
        </w:rPr>
        <w:tab/>
        <w:t>Migration économique</w:t>
      </w:r>
      <w:bookmarkEnd w:id="79"/>
    </w:p>
    <w:p w:rsidR="00C06068" w:rsidRPr="00807F55"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 taux élevé de chômage a provoqué l</w:t>
      </w:r>
      <w:r>
        <w:rPr>
          <w:lang w:val="fr-FR"/>
        </w:rPr>
        <w:t>’</w:t>
      </w:r>
      <w:r w:rsidRPr="00521891">
        <w:rPr>
          <w:lang w:val="fr-FR"/>
        </w:rPr>
        <w:t>accroissement du nombre d</w:t>
      </w:r>
      <w:r>
        <w:rPr>
          <w:lang w:val="fr-FR"/>
        </w:rPr>
        <w:t>’</w:t>
      </w:r>
      <w:r w:rsidRPr="00521891">
        <w:rPr>
          <w:lang w:val="fr-FR"/>
        </w:rPr>
        <w:t>hommes et de femmes qui se sont expatriés pour trouver de travail à l</w:t>
      </w:r>
      <w:r>
        <w:rPr>
          <w:lang w:val="fr-FR"/>
        </w:rPr>
        <w:t>’</w:t>
      </w:r>
      <w:r w:rsidRPr="00521891">
        <w:rPr>
          <w:lang w:val="fr-FR"/>
        </w:rPr>
        <w:t xml:space="preserve">étranger dont notamment aux Seychelles, Maurice, Arabie </w:t>
      </w:r>
      <w:r>
        <w:rPr>
          <w:lang w:val="fr-FR"/>
        </w:rPr>
        <w:t>s</w:t>
      </w:r>
      <w:r w:rsidRPr="00521891">
        <w:rPr>
          <w:lang w:val="fr-FR"/>
        </w:rPr>
        <w:t xml:space="preserve">aoudite, Koweït, Qatar et </w:t>
      </w:r>
      <w:r>
        <w:rPr>
          <w:lang w:val="fr-FR"/>
        </w:rPr>
        <w:t>Doubaï</w:t>
      </w:r>
      <w:r w:rsidRPr="00521891">
        <w:rPr>
          <w:lang w:val="fr-FR"/>
        </w:rPr>
        <w:t>.</w:t>
      </w:r>
    </w:p>
    <w:p w:rsidR="00C06068" w:rsidRPr="001120C4" w:rsidRDefault="00C06068" w:rsidP="00C06068">
      <w:pPr>
        <w:pStyle w:val="SingleTxt"/>
        <w:spacing w:after="0" w:line="120" w:lineRule="exact"/>
        <w:rPr>
          <w:b/>
          <w:sz w:val="10"/>
          <w:lang w:val="fr-FR"/>
        </w:rPr>
      </w:pPr>
      <w:bookmarkStart w:id="80" w:name="_Toc377129300"/>
    </w:p>
    <w:p w:rsidR="00C06068" w:rsidRPr="001120C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120C4">
        <w:rPr>
          <w:b w:val="0"/>
          <w:lang w:val="fr-FR"/>
        </w:rPr>
        <w:t xml:space="preserve">Tableau </w:t>
      </w:r>
      <w:r>
        <w:rPr>
          <w:b w:val="0"/>
          <w:lang w:val="fr-FR"/>
        </w:rPr>
        <w:t>14</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2007</w:t>
      </w:r>
      <w:bookmarkEnd w:id="80"/>
    </w:p>
    <w:p w:rsidR="00C06068" w:rsidRPr="001120C4" w:rsidRDefault="00C06068" w:rsidP="00C06068">
      <w:pPr>
        <w:pStyle w:val="SingleTxt"/>
        <w:spacing w:after="0" w:line="120" w:lineRule="exact"/>
        <w:rPr>
          <w:sz w:val="10"/>
          <w:lang w:val="fr-FR"/>
        </w:rPr>
      </w:pPr>
    </w:p>
    <w:p w:rsidR="00C06068" w:rsidRPr="001120C4"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C06068" w:rsidRPr="001120C4" w:rsidTr="007F3574">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Pays</w:t>
            </w:r>
          </w:p>
        </w:tc>
        <w:tc>
          <w:tcPr>
            <w:tcW w:w="1464"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p>
        </w:tc>
        <w:tc>
          <w:tcPr>
            <w:tcW w:w="1464"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1464"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1464"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1120C4" w:rsidTr="007F3574">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0C4" w:rsidTr="007F3574">
        <w:tblPrEx>
          <w:tblCellMar>
            <w:top w:w="0" w:type="dxa"/>
            <w:bottom w:w="0" w:type="dxa"/>
          </w:tblCellMar>
        </w:tblPrEx>
        <w:tc>
          <w:tcPr>
            <w:tcW w:w="1464" w:type="dxa"/>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Liban</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448</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0</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448</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 à 3 ans</w:t>
            </w:r>
          </w:p>
        </w:tc>
      </w:tr>
      <w:tr w:rsidR="00C06068" w:rsidRPr="001120C4" w:rsidTr="007F3574">
        <w:tblPrEx>
          <w:tblCellMar>
            <w:top w:w="0" w:type="dxa"/>
            <w:bottom w:w="0" w:type="dxa"/>
          </w:tblCellMar>
        </w:tblPrEx>
        <w:tc>
          <w:tcPr>
            <w:tcW w:w="1464" w:type="dxa"/>
            <w:shd w:val="clear" w:color="auto" w:fill="auto"/>
          </w:tcPr>
          <w:p w:rsidR="00C06068" w:rsidRPr="00FC6584"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FC6584">
              <w:rPr>
                <w:sz w:val="17"/>
                <w:lang w:val="fr-FR"/>
              </w:rPr>
              <w:t>Maurice</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276</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76</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200</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 à 3 ans</w:t>
            </w:r>
          </w:p>
        </w:tc>
      </w:tr>
      <w:tr w:rsidR="00C06068" w:rsidRPr="001120C4" w:rsidTr="007F3574">
        <w:tblPrEx>
          <w:tblCellMar>
            <w:top w:w="0" w:type="dxa"/>
            <w:bottom w:w="0" w:type="dxa"/>
          </w:tblCellMar>
        </w:tblPrEx>
        <w:tc>
          <w:tcPr>
            <w:tcW w:w="1464" w:type="dxa"/>
            <w:shd w:val="clear" w:color="auto" w:fill="auto"/>
          </w:tcPr>
          <w:p w:rsidR="00C06068" w:rsidRPr="00FC6584"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FC6584">
              <w:rPr>
                <w:sz w:val="17"/>
                <w:lang w:val="fr-FR"/>
              </w:rPr>
              <w:t>Seychelles</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256</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45</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211</w:t>
            </w:r>
          </w:p>
        </w:tc>
        <w:tc>
          <w:tcPr>
            <w:tcW w:w="1464" w:type="dxa"/>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FC6584">
              <w:rPr>
                <w:sz w:val="17"/>
                <w:lang w:val="fr-FR"/>
              </w:rPr>
              <w:t>2 ans</w:t>
            </w:r>
          </w:p>
        </w:tc>
      </w:tr>
      <w:tr w:rsidR="00C06068" w:rsidRPr="001120C4" w:rsidTr="007F3574">
        <w:tblPrEx>
          <w:tblCellMar>
            <w:top w:w="0" w:type="dxa"/>
            <w:bottom w:w="0" w:type="dxa"/>
          </w:tblCellMar>
        </w:tblPrEx>
        <w:tc>
          <w:tcPr>
            <w:tcW w:w="1464" w:type="dxa"/>
            <w:tcBorders>
              <w:bottom w:val="single" w:sz="4" w:space="0" w:color="auto"/>
            </w:tcBorders>
            <w:shd w:val="clear" w:color="auto" w:fill="auto"/>
          </w:tcPr>
          <w:p w:rsidR="00C06068" w:rsidRPr="00FC6584"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FC6584">
              <w:rPr>
                <w:sz w:val="17"/>
                <w:lang w:val="fr-FR"/>
              </w:rPr>
              <w:t>Mayotte</w:t>
            </w:r>
          </w:p>
        </w:tc>
        <w:tc>
          <w:tcPr>
            <w:tcW w:w="1464" w:type="dxa"/>
            <w:tcBorders>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FC6584">
              <w:rPr>
                <w:sz w:val="17"/>
                <w:lang w:val="fr-FR"/>
              </w:rPr>
              <w:t>5</w:t>
            </w:r>
          </w:p>
        </w:tc>
        <w:tc>
          <w:tcPr>
            <w:tcW w:w="1464" w:type="dxa"/>
            <w:tcBorders>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FC6584">
              <w:rPr>
                <w:sz w:val="17"/>
                <w:lang w:val="fr-FR"/>
              </w:rPr>
              <w:t>5</w:t>
            </w:r>
          </w:p>
        </w:tc>
        <w:tc>
          <w:tcPr>
            <w:tcW w:w="1464" w:type="dxa"/>
            <w:tcBorders>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FC6584">
              <w:rPr>
                <w:sz w:val="17"/>
                <w:lang w:val="fr-FR"/>
              </w:rPr>
              <w:t>0</w:t>
            </w:r>
          </w:p>
        </w:tc>
        <w:tc>
          <w:tcPr>
            <w:tcW w:w="1464" w:type="dxa"/>
            <w:tcBorders>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FC6584">
              <w:rPr>
                <w:sz w:val="17"/>
                <w:lang w:val="fr-FR"/>
              </w:rPr>
              <w:t>3 mois à 1 an</w:t>
            </w:r>
          </w:p>
        </w:tc>
      </w:tr>
      <w:tr w:rsidR="00C06068" w:rsidRPr="00917E2F" w:rsidTr="007F3574">
        <w:tblPrEx>
          <w:tblCellMar>
            <w:top w:w="0" w:type="dxa"/>
            <w:bottom w:w="0" w:type="dxa"/>
          </w:tblCellMar>
        </w:tblPrEx>
        <w:tc>
          <w:tcPr>
            <w:tcW w:w="1464" w:type="dxa"/>
            <w:tcBorders>
              <w:top w:val="single" w:sz="4" w:space="0" w:color="auto"/>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917E2F">
              <w:rPr>
                <w:b/>
                <w:sz w:val="17"/>
                <w:lang w:val="fr-FR"/>
              </w:rPr>
              <w:t>Total</w:t>
            </w:r>
          </w:p>
        </w:tc>
        <w:tc>
          <w:tcPr>
            <w:tcW w:w="1464"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985</w:t>
            </w:r>
          </w:p>
        </w:tc>
        <w:tc>
          <w:tcPr>
            <w:tcW w:w="1464"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126</w:t>
            </w:r>
          </w:p>
        </w:tc>
        <w:tc>
          <w:tcPr>
            <w:tcW w:w="1464"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859</w:t>
            </w:r>
          </w:p>
        </w:tc>
        <w:tc>
          <w:tcPr>
            <w:tcW w:w="1464"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917E2F" w:rsidRDefault="00C06068" w:rsidP="00C06068">
      <w:pPr>
        <w:pStyle w:val="FootnoteText"/>
        <w:tabs>
          <w:tab w:val="right" w:pos="1476"/>
          <w:tab w:val="left" w:pos="1548"/>
          <w:tab w:val="right" w:pos="1836"/>
          <w:tab w:val="left" w:pos="1908"/>
        </w:tabs>
        <w:spacing w:line="120" w:lineRule="exact"/>
        <w:ind w:left="1548" w:right="1267" w:hanging="288"/>
        <w:rPr>
          <w:b/>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917E2F">
        <w:rPr>
          <w:i/>
          <w:lang w:val="fr-FR"/>
        </w:rPr>
        <w:t>Source</w:t>
      </w:r>
      <w:r w:rsidRPr="00917E2F">
        <w:rPr>
          <w:lang w:val="fr-FR"/>
        </w:rPr>
        <w:t> :</w:t>
      </w:r>
      <w:r w:rsidRPr="00521891">
        <w:rPr>
          <w:lang w:val="fr-FR"/>
        </w:rPr>
        <w:t xml:space="preserve"> MINFOPTLS</w:t>
      </w:r>
      <w:r>
        <w:rPr>
          <w:lang w:val="fr-FR"/>
        </w:rPr>
        <w:t>.</w:t>
      </w:r>
    </w:p>
    <w:p w:rsidR="00C06068" w:rsidRPr="001120C4" w:rsidRDefault="00C06068" w:rsidP="00C06068">
      <w:pPr>
        <w:pStyle w:val="SingleTxt"/>
        <w:spacing w:after="0" w:line="120" w:lineRule="exact"/>
        <w:rPr>
          <w:b/>
          <w:sz w:val="10"/>
          <w:lang w:val="fr-FR"/>
        </w:rPr>
      </w:pPr>
      <w:bookmarkStart w:id="81" w:name="_Toc377129301"/>
    </w:p>
    <w:p w:rsidR="00C06068" w:rsidRPr="001120C4" w:rsidRDefault="00C06068" w:rsidP="00C06068">
      <w:pPr>
        <w:pStyle w:val="SingleTxt"/>
        <w:spacing w:after="0" w:line="120" w:lineRule="exact"/>
        <w:rPr>
          <w:b/>
          <w:sz w:val="10"/>
          <w:lang w:val="fr-FR"/>
        </w:rPr>
      </w:pPr>
    </w:p>
    <w:p w:rsidR="00C06068" w:rsidRPr="001120C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120C4">
        <w:rPr>
          <w:b w:val="0"/>
          <w:lang w:val="fr-FR"/>
        </w:rPr>
        <w:t xml:space="preserve">Tableau </w:t>
      </w:r>
      <w:r>
        <w:rPr>
          <w:b w:val="0"/>
          <w:lang w:val="fr-FR"/>
        </w:rPr>
        <w:t>15</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2007</w:t>
      </w:r>
      <w:bookmarkEnd w:id="81"/>
    </w:p>
    <w:p w:rsidR="00C06068" w:rsidRPr="001120C4" w:rsidRDefault="00C06068" w:rsidP="00C06068">
      <w:pPr>
        <w:pStyle w:val="SingleTxt"/>
        <w:spacing w:after="0" w:line="120" w:lineRule="exact"/>
        <w:rPr>
          <w:sz w:val="10"/>
          <w:lang w:val="fr-FR"/>
        </w:rPr>
      </w:pPr>
    </w:p>
    <w:p w:rsidR="00C06068" w:rsidRPr="001120C4"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6660"/>
        <w:gridCol w:w="660"/>
      </w:tblGrid>
      <w:tr w:rsidR="00C06068" w:rsidRPr="001120C4" w:rsidTr="007F3574">
        <w:tblPrEx>
          <w:tblCellMar>
            <w:top w:w="0" w:type="dxa"/>
            <w:bottom w:w="0" w:type="dxa"/>
          </w:tblCellMar>
        </w:tblPrEx>
        <w:trPr>
          <w:tblHeader/>
        </w:trPr>
        <w:tc>
          <w:tcPr>
            <w:tcW w:w="6660"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Emploi</w:t>
            </w:r>
          </w:p>
        </w:tc>
        <w:tc>
          <w:tcPr>
            <w:tcW w:w="660"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p>
        </w:tc>
      </w:tr>
      <w:tr w:rsidR="00C06068" w:rsidRPr="001120C4" w:rsidTr="007F3574">
        <w:tblPrEx>
          <w:tblCellMar>
            <w:top w:w="0" w:type="dxa"/>
            <w:bottom w:w="0" w:type="dxa"/>
          </w:tblCellMar>
        </w:tblPrEx>
        <w:trPr>
          <w:trHeight w:hRule="exact" w:val="115"/>
          <w:tblHeader/>
        </w:trPr>
        <w:tc>
          <w:tcPr>
            <w:tcW w:w="6660"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660"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Aide familiale</w:t>
            </w:r>
            <w:r>
              <w:rPr>
                <w:spacing w:val="60"/>
                <w:sz w:val="17"/>
                <w:lang w:val="fr-FR"/>
              </w:rPr>
              <w:tab/>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209</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left" w:pos="1296"/>
                <w:tab w:val="right" w:leader="dot" w:pos="9360"/>
              </w:tabs>
              <w:suppressAutoHyphens/>
              <w:spacing w:before="40" w:after="40" w:line="210" w:lineRule="exact"/>
              <w:ind w:right="43"/>
              <w:rPr>
                <w:spacing w:val="60"/>
                <w:sz w:val="17"/>
                <w:lang w:val="fr-FR"/>
              </w:rPr>
            </w:pPr>
            <w:r w:rsidRPr="00917E2F">
              <w:rPr>
                <w:sz w:val="17"/>
                <w:lang w:val="fr-FR"/>
              </w:rPr>
              <w:t>Femme de ménage</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239</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left" w:pos="1296"/>
                <w:tab w:val="right" w:leader="dot" w:pos="9360"/>
              </w:tabs>
              <w:suppressAutoHyphens/>
              <w:spacing w:before="40" w:after="40" w:line="210" w:lineRule="exact"/>
              <w:ind w:right="43"/>
              <w:rPr>
                <w:spacing w:val="60"/>
                <w:sz w:val="17"/>
                <w:lang w:val="fr-FR"/>
              </w:rPr>
            </w:pPr>
            <w:r w:rsidRPr="00917E2F">
              <w:rPr>
                <w:sz w:val="17"/>
                <w:lang w:val="fr-FR"/>
              </w:rPr>
              <w:t>High Precis Mechanics</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26</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Machiniste</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226</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Frigoriste</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1</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Pareuse</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212</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Packer et Caser</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43</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left" w:pos="1296"/>
                <w:tab w:val="left" w:pos="1728"/>
                <w:tab w:val="left" w:pos="2160"/>
                <w:tab w:val="right" w:leader="dot" w:pos="9360"/>
              </w:tabs>
              <w:suppressAutoHyphens/>
              <w:spacing w:before="40" w:after="40" w:line="210" w:lineRule="exact"/>
              <w:ind w:right="43"/>
              <w:rPr>
                <w:spacing w:val="60"/>
                <w:sz w:val="17"/>
                <w:lang w:val="fr-FR"/>
              </w:rPr>
            </w:pPr>
            <w:r w:rsidRPr="00917E2F">
              <w:rPr>
                <w:sz w:val="17"/>
                <w:lang w:val="fr-FR"/>
              </w:rPr>
              <w:t>Technicien en mécanique engins</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2</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left" w:pos="1296"/>
                <w:tab w:val="left" w:pos="1728"/>
                <w:tab w:val="right" w:leader="dot" w:pos="9360"/>
              </w:tabs>
              <w:suppressAutoHyphens/>
              <w:spacing w:before="40" w:after="40" w:line="210" w:lineRule="exact"/>
              <w:ind w:right="43"/>
              <w:rPr>
                <w:spacing w:val="60"/>
                <w:sz w:val="17"/>
                <w:lang w:val="fr-FR"/>
              </w:rPr>
            </w:pPr>
            <w:r w:rsidRPr="00917E2F">
              <w:rPr>
                <w:sz w:val="17"/>
                <w:lang w:val="fr-FR"/>
              </w:rPr>
              <w:t>Technicien peinture CAT</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3</w:t>
            </w:r>
          </w:p>
        </w:tc>
      </w:tr>
      <w:tr w:rsidR="00C06068" w:rsidRPr="001120C4" w:rsidTr="007F3574">
        <w:tblPrEx>
          <w:tblCellMar>
            <w:top w:w="0" w:type="dxa"/>
            <w:bottom w:w="0" w:type="dxa"/>
          </w:tblCellMar>
        </w:tblPrEx>
        <w:tc>
          <w:tcPr>
            <w:tcW w:w="6660" w:type="dxa"/>
            <w:shd w:val="clear" w:color="auto" w:fill="auto"/>
          </w:tcPr>
          <w:p w:rsidR="00C06068" w:rsidRPr="00CC5A59"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Opérateur</w:t>
            </w:r>
            <w:r>
              <w:rPr>
                <w:spacing w:val="60"/>
                <w:sz w:val="17"/>
                <w:lang w:val="fr-FR"/>
              </w:rPr>
              <w:tab/>
            </w:r>
          </w:p>
        </w:tc>
        <w:tc>
          <w:tcPr>
            <w:tcW w:w="660"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10</w:t>
            </w:r>
          </w:p>
        </w:tc>
      </w:tr>
      <w:tr w:rsidR="00C06068" w:rsidRPr="001120C4" w:rsidTr="007F3574">
        <w:tblPrEx>
          <w:tblCellMar>
            <w:top w:w="0" w:type="dxa"/>
            <w:bottom w:w="0" w:type="dxa"/>
          </w:tblCellMar>
        </w:tblPrEx>
        <w:tc>
          <w:tcPr>
            <w:tcW w:w="6660" w:type="dxa"/>
            <w:tcBorders>
              <w:bottom w:val="single" w:sz="4" w:space="0" w:color="auto"/>
            </w:tcBorders>
            <w:shd w:val="clear" w:color="auto" w:fill="auto"/>
          </w:tcPr>
          <w:p w:rsidR="00C06068" w:rsidRPr="00CC5A59" w:rsidRDefault="00C06068" w:rsidP="007F3574">
            <w:pPr>
              <w:tabs>
                <w:tab w:val="left" w:pos="1296"/>
                <w:tab w:val="right" w:leader="dot" w:pos="9360"/>
              </w:tabs>
              <w:suppressAutoHyphens/>
              <w:spacing w:before="40" w:after="81" w:line="210" w:lineRule="exact"/>
              <w:ind w:right="43"/>
              <w:rPr>
                <w:spacing w:val="60"/>
                <w:sz w:val="17"/>
                <w:lang w:val="fr-FR"/>
              </w:rPr>
            </w:pPr>
            <w:r w:rsidRPr="00917E2F">
              <w:rPr>
                <w:sz w:val="17"/>
                <w:lang w:val="fr-FR"/>
              </w:rPr>
              <w:t>Conseil pédagogique</w:t>
            </w:r>
            <w:r>
              <w:rPr>
                <w:spacing w:val="60"/>
                <w:sz w:val="17"/>
                <w:lang w:val="fr-FR"/>
              </w:rPr>
              <w:tab/>
            </w:r>
          </w:p>
        </w:tc>
        <w:tc>
          <w:tcPr>
            <w:tcW w:w="660" w:type="dxa"/>
            <w:tcBorders>
              <w:bottom w:val="single" w:sz="4"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917E2F">
              <w:rPr>
                <w:sz w:val="17"/>
                <w:lang w:val="fr-FR"/>
              </w:rPr>
              <w:t>14</w:t>
            </w:r>
          </w:p>
        </w:tc>
      </w:tr>
      <w:tr w:rsidR="00C06068" w:rsidRPr="00917E2F" w:rsidTr="007F3574">
        <w:tblPrEx>
          <w:tblCellMar>
            <w:top w:w="0" w:type="dxa"/>
            <w:bottom w:w="0" w:type="dxa"/>
          </w:tblCellMar>
        </w:tblPrEx>
        <w:tc>
          <w:tcPr>
            <w:tcW w:w="6660" w:type="dxa"/>
            <w:tcBorders>
              <w:top w:val="single" w:sz="4" w:space="0" w:color="auto"/>
              <w:bottom w:val="single" w:sz="12" w:space="0" w:color="auto"/>
            </w:tcBorders>
            <w:shd w:val="clear" w:color="auto" w:fill="auto"/>
          </w:tcPr>
          <w:p w:rsidR="00C06068" w:rsidRPr="00CC5A59" w:rsidRDefault="00C06068" w:rsidP="007F3574">
            <w:pPr>
              <w:tabs>
                <w:tab w:val="left" w:pos="369"/>
                <w:tab w:val="right" w:leader="dot" w:pos="9360"/>
              </w:tabs>
              <w:suppressAutoHyphens/>
              <w:spacing w:before="81" w:after="81" w:line="210" w:lineRule="exact"/>
              <w:ind w:right="43"/>
              <w:rPr>
                <w:b/>
                <w:spacing w:val="60"/>
                <w:sz w:val="17"/>
                <w:lang w:val="fr-FR"/>
              </w:rPr>
            </w:pPr>
            <w:r w:rsidRPr="00917E2F">
              <w:rPr>
                <w:b/>
                <w:sz w:val="17"/>
                <w:lang w:val="fr-FR"/>
              </w:rPr>
              <w:tab/>
              <w:t>Total</w:t>
            </w:r>
            <w:r>
              <w:rPr>
                <w:b/>
                <w:spacing w:val="60"/>
                <w:sz w:val="17"/>
                <w:lang w:val="fr-FR"/>
              </w:rPr>
              <w:tab/>
            </w:r>
          </w:p>
        </w:tc>
        <w:tc>
          <w:tcPr>
            <w:tcW w:w="660"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985</w:t>
            </w:r>
          </w:p>
        </w:tc>
      </w:tr>
    </w:tbl>
    <w:p w:rsidR="00C06068" w:rsidRPr="00917E2F" w:rsidRDefault="00C06068" w:rsidP="00C06068">
      <w:pPr>
        <w:pStyle w:val="SingleTxt"/>
        <w:spacing w:after="0" w:line="120" w:lineRule="exact"/>
        <w:rPr>
          <w:i/>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917E2F">
        <w:rPr>
          <w:i/>
          <w:lang w:val="fr-FR"/>
        </w:rPr>
        <w:t>Source</w:t>
      </w:r>
      <w:r w:rsidRPr="00917E2F">
        <w:rPr>
          <w:lang w:val="fr-FR"/>
        </w:rPr>
        <w:t> :</w:t>
      </w:r>
      <w:r w:rsidRPr="00521891">
        <w:rPr>
          <w:lang w:val="fr-FR"/>
        </w:rPr>
        <w:t xml:space="preserve"> MINFOPTLS</w:t>
      </w:r>
      <w:r>
        <w:rPr>
          <w:lang w:val="fr-FR"/>
        </w:rPr>
        <w:t>.</w:t>
      </w:r>
    </w:p>
    <w:p w:rsidR="00C06068" w:rsidRPr="001120C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82" w:name="_Toc377129302"/>
      <w:r>
        <w:rPr>
          <w:lang w:val="fr-FR"/>
        </w:rPr>
        <w:tab/>
      </w:r>
      <w:r>
        <w:rPr>
          <w:lang w:val="fr-FR"/>
        </w:rPr>
        <w:tab/>
      </w:r>
      <w:r w:rsidRPr="001120C4">
        <w:rPr>
          <w:b w:val="0"/>
          <w:lang w:val="fr-FR"/>
        </w:rPr>
        <w:t xml:space="preserve">Tableau </w:t>
      </w:r>
      <w:r>
        <w:rPr>
          <w:b w:val="0"/>
          <w:lang w:val="fr-FR"/>
        </w:rPr>
        <w:t>16</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2008</w:t>
      </w:r>
      <w:bookmarkEnd w:id="82"/>
    </w:p>
    <w:p w:rsidR="00C06068" w:rsidRPr="00917E2F" w:rsidRDefault="00C06068" w:rsidP="00C06068">
      <w:pPr>
        <w:pStyle w:val="SingleTxt"/>
        <w:spacing w:after="0" w:line="120" w:lineRule="exact"/>
        <w:rPr>
          <w:sz w:val="10"/>
          <w:lang w:val="fr-FR"/>
        </w:rPr>
      </w:pPr>
    </w:p>
    <w:p w:rsidR="00C06068" w:rsidRPr="001120C4" w:rsidRDefault="00C06068" w:rsidP="00C06068">
      <w:pPr>
        <w:pStyle w:val="SingleTxt"/>
        <w:spacing w:after="0" w:line="120" w:lineRule="exact"/>
        <w:rPr>
          <w:sz w:val="10"/>
          <w:lang w:val="fr-FR"/>
        </w:rPr>
      </w:pPr>
    </w:p>
    <w:tbl>
      <w:tblPr>
        <w:tblW w:w="7372" w:type="dxa"/>
        <w:tblInd w:w="1260" w:type="dxa"/>
        <w:tblBorders>
          <w:top w:val="single" w:sz="4" w:space="0" w:color="auto"/>
        </w:tblBorders>
        <w:tblCellMar>
          <w:left w:w="0" w:type="dxa"/>
          <w:right w:w="0" w:type="dxa"/>
        </w:tblCellMar>
        <w:tblLook w:val="04A0"/>
      </w:tblPr>
      <w:tblGrid>
        <w:gridCol w:w="1980"/>
        <w:gridCol w:w="1263"/>
        <w:gridCol w:w="1263"/>
        <w:gridCol w:w="1263"/>
        <w:gridCol w:w="1603"/>
      </w:tblGrid>
      <w:tr w:rsidR="00C06068" w:rsidRPr="00FC6584" w:rsidTr="007F3574">
        <w:trPr>
          <w:trHeight w:val="240"/>
          <w:tblHeader/>
        </w:trPr>
        <w:tc>
          <w:tcPr>
            <w:tcW w:w="198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Pays</w:t>
            </w:r>
          </w:p>
        </w:tc>
        <w:tc>
          <w:tcPr>
            <w:tcW w:w="126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126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26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60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FC6584" w:rsidTr="007F3574">
        <w:trPr>
          <w:trHeight w:val="240"/>
        </w:trPr>
        <w:tc>
          <w:tcPr>
            <w:tcW w:w="198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Liban</w:t>
            </w:r>
          </w:p>
        </w:tc>
        <w:tc>
          <w:tcPr>
            <w:tcW w:w="1263" w:type="dxa"/>
            <w:tcBorders>
              <w:top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657</w:t>
            </w:r>
          </w:p>
        </w:tc>
        <w:tc>
          <w:tcPr>
            <w:tcW w:w="1263" w:type="dxa"/>
            <w:tcBorders>
              <w:top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0</w:t>
            </w:r>
          </w:p>
        </w:tc>
        <w:tc>
          <w:tcPr>
            <w:tcW w:w="1263" w:type="dxa"/>
            <w:tcBorders>
              <w:top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657</w:t>
            </w:r>
          </w:p>
        </w:tc>
        <w:tc>
          <w:tcPr>
            <w:tcW w:w="1603" w:type="dxa"/>
            <w:tcBorders>
              <w:top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 xml:space="preserve">3 ans </w:t>
            </w:r>
          </w:p>
        </w:tc>
      </w:tr>
      <w:tr w:rsidR="00C06068" w:rsidRPr="00FC6584" w:rsidTr="007F3574">
        <w:trPr>
          <w:trHeight w:val="240"/>
        </w:trPr>
        <w:tc>
          <w:tcPr>
            <w:tcW w:w="19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Maurice</w:t>
            </w:r>
          </w:p>
        </w:tc>
        <w:tc>
          <w:tcPr>
            <w:tcW w:w="1263"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133</w:t>
            </w:r>
          </w:p>
        </w:tc>
        <w:tc>
          <w:tcPr>
            <w:tcW w:w="1263"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76</w:t>
            </w:r>
          </w:p>
        </w:tc>
        <w:tc>
          <w:tcPr>
            <w:tcW w:w="1263"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57</w:t>
            </w:r>
          </w:p>
        </w:tc>
        <w:tc>
          <w:tcPr>
            <w:tcW w:w="1603" w:type="dxa"/>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917E2F">
              <w:rPr>
                <w:sz w:val="17"/>
                <w:lang w:val="fr-FR"/>
              </w:rPr>
              <w:t xml:space="preserve">2 ans </w:t>
            </w:r>
          </w:p>
        </w:tc>
      </w:tr>
      <w:tr w:rsidR="00C06068" w:rsidRPr="00FC6584" w:rsidTr="007F3574">
        <w:trPr>
          <w:trHeight w:val="240"/>
        </w:trPr>
        <w:tc>
          <w:tcPr>
            <w:tcW w:w="198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Seychelles</w:t>
            </w:r>
          </w:p>
        </w:tc>
        <w:tc>
          <w:tcPr>
            <w:tcW w:w="1263" w:type="dxa"/>
            <w:tcBorders>
              <w:bottom w:val="single" w:sz="4"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917E2F">
              <w:rPr>
                <w:sz w:val="17"/>
                <w:lang w:val="fr-FR"/>
              </w:rPr>
              <w:t>1</w:t>
            </w:r>
          </w:p>
        </w:tc>
        <w:tc>
          <w:tcPr>
            <w:tcW w:w="1263" w:type="dxa"/>
            <w:tcBorders>
              <w:bottom w:val="single" w:sz="4"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917E2F">
              <w:rPr>
                <w:sz w:val="17"/>
                <w:lang w:val="fr-FR"/>
              </w:rPr>
              <w:t>0</w:t>
            </w:r>
          </w:p>
        </w:tc>
        <w:tc>
          <w:tcPr>
            <w:tcW w:w="1263" w:type="dxa"/>
            <w:tcBorders>
              <w:bottom w:val="single" w:sz="4"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917E2F">
              <w:rPr>
                <w:sz w:val="17"/>
                <w:lang w:val="fr-FR"/>
              </w:rPr>
              <w:t>1</w:t>
            </w:r>
          </w:p>
        </w:tc>
        <w:tc>
          <w:tcPr>
            <w:tcW w:w="1603" w:type="dxa"/>
            <w:tcBorders>
              <w:bottom w:val="single" w:sz="4"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917E2F">
              <w:rPr>
                <w:sz w:val="17"/>
                <w:lang w:val="fr-FR"/>
              </w:rPr>
              <w:t>1 an</w:t>
            </w:r>
          </w:p>
        </w:tc>
      </w:tr>
      <w:tr w:rsidR="00C06068" w:rsidRPr="00917E2F" w:rsidTr="007F3574">
        <w:trPr>
          <w:trHeight w:val="240"/>
        </w:trPr>
        <w:tc>
          <w:tcPr>
            <w:tcW w:w="1980" w:type="dxa"/>
            <w:tcBorders>
              <w:top w:val="single" w:sz="4" w:space="0" w:color="auto"/>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917E2F">
              <w:rPr>
                <w:b/>
                <w:sz w:val="17"/>
                <w:lang w:val="fr-FR"/>
              </w:rPr>
              <w:t>Total</w:t>
            </w:r>
          </w:p>
        </w:tc>
        <w:tc>
          <w:tcPr>
            <w:tcW w:w="1263"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791</w:t>
            </w:r>
          </w:p>
        </w:tc>
        <w:tc>
          <w:tcPr>
            <w:tcW w:w="1263"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76</w:t>
            </w:r>
          </w:p>
        </w:tc>
        <w:tc>
          <w:tcPr>
            <w:tcW w:w="1263"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917E2F">
              <w:rPr>
                <w:b/>
                <w:sz w:val="17"/>
                <w:lang w:val="fr-FR"/>
              </w:rPr>
              <w:t>715</w:t>
            </w:r>
          </w:p>
        </w:tc>
        <w:tc>
          <w:tcPr>
            <w:tcW w:w="1603" w:type="dxa"/>
            <w:tcBorders>
              <w:top w:val="single" w:sz="4" w:space="0" w:color="auto"/>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256056" w:rsidRDefault="00C06068" w:rsidP="00C06068">
      <w:pPr>
        <w:pStyle w:val="SingleTxt"/>
        <w:spacing w:after="0" w:line="120" w:lineRule="exact"/>
        <w:rPr>
          <w:i/>
          <w:sz w:val="10"/>
          <w:lang w:val="fr-FR"/>
        </w:rPr>
      </w:pPr>
    </w:p>
    <w:p w:rsidR="00C06068" w:rsidRPr="00917E2F" w:rsidRDefault="00C06068" w:rsidP="00C06068">
      <w:pPr>
        <w:pStyle w:val="FootnoteText"/>
        <w:tabs>
          <w:tab w:val="right" w:pos="1476"/>
          <w:tab w:val="left" w:pos="1548"/>
          <w:tab w:val="right" w:pos="1836"/>
          <w:tab w:val="left" w:pos="1908"/>
        </w:tabs>
        <w:ind w:left="1548" w:right="1267" w:hanging="288"/>
        <w:rPr>
          <w:lang w:val="fr-FR"/>
        </w:rPr>
      </w:pPr>
      <w:r w:rsidRPr="00917E2F">
        <w:rPr>
          <w:i/>
          <w:lang w:val="fr-FR"/>
        </w:rPr>
        <w:t>Source</w:t>
      </w:r>
      <w:r w:rsidRPr="00917E2F">
        <w:rPr>
          <w:lang w:val="fr-FR"/>
        </w:rPr>
        <w:t> : MINFOPTLS</w:t>
      </w:r>
      <w:r>
        <w:rPr>
          <w:lang w:val="fr-FR"/>
        </w:rPr>
        <w:t>.</w:t>
      </w:r>
    </w:p>
    <w:p w:rsidR="00C06068" w:rsidRPr="00F938C7" w:rsidRDefault="00C06068" w:rsidP="00C06068">
      <w:pPr>
        <w:pStyle w:val="SingleTxt"/>
        <w:spacing w:after="0" w:line="120" w:lineRule="exact"/>
        <w:rPr>
          <w:sz w:val="10"/>
          <w:lang w:val="fr-FR"/>
        </w:rPr>
      </w:pPr>
      <w:bookmarkStart w:id="83" w:name="_Toc377129303"/>
    </w:p>
    <w:p w:rsidR="00C06068" w:rsidRPr="00F938C7" w:rsidRDefault="00C06068" w:rsidP="00C06068">
      <w:pPr>
        <w:pStyle w:val="SingleTxt"/>
        <w:spacing w:after="0" w:line="120" w:lineRule="exact"/>
        <w:rPr>
          <w:sz w:val="10"/>
          <w:lang w:val="fr-FR"/>
        </w:rPr>
      </w:pPr>
    </w:p>
    <w:p w:rsidR="00C06068" w:rsidRPr="00F938C7" w:rsidRDefault="00C06068" w:rsidP="00C06068">
      <w:pPr>
        <w:pStyle w:val="SingleTxt"/>
        <w:spacing w:after="0" w:line="120" w:lineRule="exact"/>
        <w:rPr>
          <w:sz w:val="10"/>
          <w:lang w:val="fr-FR"/>
        </w:rPr>
      </w:pPr>
    </w:p>
    <w:p w:rsidR="00C06068" w:rsidRPr="00917E2F"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917E2F">
        <w:rPr>
          <w:b w:val="0"/>
          <w:lang w:val="fr-FR"/>
        </w:rPr>
        <w:t>Tableau 17</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2008</w:t>
      </w:r>
      <w:bookmarkEnd w:id="83"/>
    </w:p>
    <w:p w:rsidR="00C06068" w:rsidRPr="00917E2F" w:rsidRDefault="00C06068" w:rsidP="00C06068">
      <w:pPr>
        <w:pStyle w:val="SingleTxt"/>
        <w:spacing w:after="0" w:line="120" w:lineRule="exact"/>
        <w:rPr>
          <w:sz w:val="10"/>
          <w:lang w:val="fr-FR"/>
        </w:rPr>
      </w:pPr>
    </w:p>
    <w:p w:rsidR="00C06068" w:rsidRPr="00917E2F" w:rsidRDefault="00C06068" w:rsidP="00C06068">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6561"/>
        <w:gridCol w:w="759"/>
      </w:tblGrid>
      <w:tr w:rsidR="00C06068" w:rsidRPr="001120C4" w:rsidTr="007F3574">
        <w:tblPrEx>
          <w:tblCellMar>
            <w:top w:w="0" w:type="dxa"/>
            <w:bottom w:w="0" w:type="dxa"/>
          </w:tblCellMar>
        </w:tblPrEx>
        <w:trPr>
          <w:tblHeader/>
        </w:trPr>
        <w:tc>
          <w:tcPr>
            <w:tcW w:w="6561"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Emploi</w:t>
            </w:r>
          </w:p>
        </w:tc>
        <w:tc>
          <w:tcPr>
            <w:tcW w:w="759" w:type="dxa"/>
            <w:tcBorders>
              <w:top w:val="single" w:sz="4" w:space="0" w:color="auto"/>
              <w:bottom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p>
        </w:tc>
      </w:tr>
      <w:tr w:rsidR="00C06068" w:rsidRPr="001120C4" w:rsidTr="007F3574">
        <w:tblPrEx>
          <w:tblCellMar>
            <w:top w:w="0" w:type="dxa"/>
            <w:bottom w:w="0" w:type="dxa"/>
          </w:tblCellMar>
        </w:tblPrEx>
        <w:trPr>
          <w:trHeight w:hRule="exact" w:val="115"/>
          <w:tblHeader/>
        </w:trPr>
        <w:tc>
          <w:tcPr>
            <w:tcW w:w="6561"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759" w:type="dxa"/>
            <w:tcBorders>
              <w:top w:val="single" w:sz="12" w:space="0" w:color="auto"/>
            </w:tcBorders>
            <w:shd w:val="clear" w:color="auto" w:fill="auto"/>
            <w:vAlign w:val="bottom"/>
          </w:tcPr>
          <w:p w:rsidR="00C06068" w:rsidRPr="001120C4"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1120C4" w:rsidTr="007F3574">
        <w:tblPrEx>
          <w:tblCellMar>
            <w:top w:w="0" w:type="dxa"/>
            <w:bottom w:w="0" w:type="dxa"/>
          </w:tblCellMar>
        </w:tblPrEx>
        <w:tc>
          <w:tcPr>
            <w:tcW w:w="6561" w:type="dxa"/>
            <w:shd w:val="clear" w:color="auto" w:fill="auto"/>
          </w:tcPr>
          <w:p w:rsidR="00C06068" w:rsidRPr="00F938C7" w:rsidRDefault="00C06068" w:rsidP="007F3574">
            <w:pPr>
              <w:tabs>
                <w:tab w:val="left" w:pos="1296"/>
                <w:tab w:val="right" w:leader="dot" w:pos="9360"/>
              </w:tabs>
              <w:suppressAutoHyphens/>
              <w:spacing w:before="40" w:after="40" w:line="210" w:lineRule="exact"/>
              <w:ind w:right="43"/>
              <w:rPr>
                <w:spacing w:val="60"/>
                <w:sz w:val="17"/>
                <w:lang w:val="fr-FR"/>
              </w:rPr>
            </w:pPr>
            <w:r w:rsidRPr="00917E2F">
              <w:rPr>
                <w:sz w:val="17"/>
                <w:lang w:val="fr-FR"/>
              </w:rPr>
              <w:t>Femme de ménage</w:t>
            </w:r>
            <w:r>
              <w:rPr>
                <w:spacing w:val="60"/>
                <w:sz w:val="17"/>
                <w:lang w:val="fr-FR"/>
              </w:rPr>
              <w:tab/>
            </w:r>
          </w:p>
        </w:tc>
        <w:tc>
          <w:tcPr>
            <w:tcW w:w="75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657</w:t>
            </w:r>
          </w:p>
        </w:tc>
      </w:tr>
      <w:tr w:rsidR="00C06068" w:rsidRPr="001120C4" w:rsidTr="007F3574">
        <w:tblPrEx>
          <w:tblCellMar>
            <w:top w:w="0" w:type="dxa"/>
            <w:bottom w:w="0" w:type="dxa"/>
          </w:tblCellMar>
        </w:tblPrEx>
        <w:tc>
          <w:tcPr>
            <w:tcW w:w="6561" w:type="dxa"/>
            <w:shd w:val="clear" w:color="auto" w:fill="auto"/>
          </w:tcPr>
          <w:p w:rsidR="00C06068" w:rsidRPr="00F938C7"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Pareuse</w:t>
            </w:r>
            <w:r>
              <w:rPr>
                <w:spacing w:val="60"/>
                <w:sz w:val="17"/>
                <w:lang w:val="fr-FR"/>
              </w:rPr>
              <w:tab/>
            </w:r>
          </w:p>
        </w:tc>
        <w:tc>
          <w:tcPr>
            <w:tcW w:w="75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58</w:t>
            </w:r>
          </w:p>
        </w:tc>
      </w:tr>
      <w:tr w:rsidR="00C06068" w:rsidRPr="001120C4" w:rsidTr="007F3574">
        <w:tblPrEx>
          <w:tblCellMar>
            <w:top w:w="0" w:type="dxa"/>
            <w:bottom w:w="0" w:type="dxa"/>
          </w:tblCellMar>
        </w:tblPrEx>
        <w:tc>
          <w:tcPr>
            <w:tcW w:w="6561" w:type="dxa"/>
            <w:shd w:val="clear" w:color="auto" w:fill="auto"/>
          </w:tcPr>
          <w:p w:rsidR="00C06068" w:rsidRPr="00F938C7" w:rsidRDefault="00C06068" w:rsidP="007F3574">
            <w:pPr>
              <w:tabs>
                <w:tab w:val="right" w:leader="dot" w:pos="9360"/>
              </w:tabs>
              <w:suppressAutoHyphens/>
              <w:spacing w:before="40" w:after="40" w:line="210" w:lineRule="exact"/>
              <w:ind w:right="43"/>
              <w:rPr>
                <w:spacing w:val="60"/>
                <w:sz w:val="17"/>
                <w:lang w:val="fr-FR"/>
              </w:rPr>
            </w:pPr>
            <w:r w:rsidRPr="00917E2F">
              <w:rPr>
                <w:sz w:val="17"/>
                <w:lang w:val="fr-FR"/>
              </w:rPr>
              <w:t>Aide cuisinier</w:t>
            </w:r>
            <w:r>
              <w:rPr>
                <w:spacing w:val="60"/>
                <w:sz w:val="17"/>
                <w:lang w:val="fr-FR"/>
              </w:rPr>
              <w:tab/>
            </w:r>
          </w:p>
        </w:tc>
        <w:tc>
          <w:tcPr>
            <w:tcW w:w="75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r>
      <w:tr w:rsidR="00C06068" w:rsidRPr="001120C4" w:rsidTr="007F3574">
        <w:tblPrEx>
          <w:tblCellMar>
            <w:top w:w="0" w:type="dxa"/>
            <w:bottom w:w="0" w:type="dxa"/>
          </w:tblCellMar>
        </w:tblPrEx>
        <w:tc>
          <w:tcPr>
            <w:tcW w:w="6561" w:type="dxa"/>
            <w:shd w:val="clear" w:color="auto" w:fill="auto"/>
          </w:tcPr>
          <w:p w:rsidR="00C06068" w:rsidRPr="00F938C7" w:rsidRDefault="00C06068" w:rsidP="007F3574">
            <w:pPr>
              <w:tabs>
                <w:tab w:val="left" w:pos="1296"/>
                <w:tab w:val="right" w:leader="dot" w:pos="9360"/>
              </w:tabs>
              <w:suppressAutoHyphens/>
              <w:spacing w:before="40" w:after="40" w:line="210" w:lineRule="exact"/>
              <w:ind w:right="43"/>
              <w:rPr>
                <w:spacing w:val="60"/>
                <w:sz w:val="17"/>
                <w:lang w:val="fr-FR"/>
              </w:rPr>
            </w:pPr>
            <w:r w:rsidRPr="00917E2F">
              <w:rPr>
                <w:sz w:val="17"/>
                <w:lang w:val="fr-FR"/>
              </w:rPr>
              <w:t>Manutentionnaire</w:t>
            </w:r>
            <w:r>
              <w:rPr>
                <w:spacing w:val="60"/>
                <w:sz w:val="17"/>
                <w:lang w:val="fr-FR"/>
              </w:rPr>
              <w:tab/>
            </w:r>
          </w:p>
        </w:tc>
        <w:tc>
          <w:tcPr>
            <w:tcW w:w="75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w:t>
            </w:r>
          </w:p>
        </w:tc>
      </w:tr>
      <w:tr w:rsidR="00C06068" w:rsidRPr="001120C4" w:rsidTr="007F3574">
        <w:tblPrEx>
          <w:tblCellMar>
            <w:top w:w="0" w:type="dxa"/>
            <w:bottom w:w="0" w:type="dxa"/>
          </w:tblCellMar>
        </w:tblPrEx>
        <w:tc>
          <w:tcPr>
            <w:tcW w:w="6561" w:type="dxa"/>
            <w:tcBorders>
              <w:bottom w:val="single" w:sz="4" w:space="0" w:color="auto"/>
            </w:tcBorders>
            <w:shd w:val="clear" w:color="auto" w:fill="auto"/>
          </w:tcPr>
          <w:p w:rsidR="00C06068" w:rsidRPr="00F938C7" w:rsidRDefault="00C06068" w:rsidP="007F3574">
            <w:pPr>
              <w:tabs>
                <w:tab w:val="left" w:pos="1296"/>
                <w:tab w:val="left" w:pos="1728"/>
                <w:tab w:val="right" w:leader="dot" w:pos="9360"/>
              </w:tabs>
              <w:suppressAutoHyphens/>
              <w:spacing w:before="40" w:after="81" w:line="210" w:lineRule="exact"/>
              <w:ind w:right="43"/>
              <w:rPr>
                <w:spacing w:val="60"/>
                <w:sz w:val="17"/>
                <w:lang w:val="fr-FR"/>
              </w:rPr>
            </w:pPr>
            <w:r w:rsidRPr="00917E2F">
              <w:rPr>
                <w:sz w:val="17"/>
                <w:lang w:val="fr-FR"/>
              </w:rPr>
              <w:t>Animal welfare officier</w:t>
            </w:r>
            <w:r>
              <w:rPr>
                <w:spacing w:val="60"/>
                <w:sz w:val="17"/>
                <w:lang w:val="fr-FR"/>
              </w:rPr>
              <w:tab/>
            </w:r>
          </w:p>
        </w:tc>
        <w:tc>
          <w:tcPr>
            <w:tcW w:w="759"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w:t>
            </w:r>
          </w:p>
        </w:tc>
      </w:tr>
      <w:tr w:rsidR="00C06068" w:rsidRPr="00256056" w:rsidTr="007F3574">
        <w:tblPrEx>
          <w:tblCellMar>
            <w:top w:w="0" w:type="dxa"/>
            <w:bottom w:w="0" w:type="dxa"/>
          </w:tblCellMar>
        </w:tblPrEx>
        <w:tc>
          <w:tcPr>
            <w:tcW w:w="6561" w:type="dxa"/>
            <w:tcBorders>
              <w:top w:val="single" w:sz="4" w:space="0" w:color="auto"/>
              <w:bottom w:val="single" w:sz="12" w:space="0" w:color="auto"/>
            </w:tcBorders>
            <w:shd w:val="clear" w:color="auto" w:fill="auto"/>
          </w:tcPr>
          <w:p w:rsidR="00C06068" w:rsidRPr="00F938C7" w:rsidRDefault="00C06068" w:rsidP="007F3574">
            <w:pPr>
              <w:tabs>
                <w:tab w:val="left" w:pos="297"/>
                <w:tab w:val="right" w:leader="dot" w:pos="9360"/>
              </w:tabs>
              <w:suppressAutoHyphens/>
              <w:spacing w:before="81" w:after="81" w:line="210" w:lineRule="exact"/>
              <w:ind w:right="43"/>
              <w:rPr>
                <w:b/>
                <w:spacing w:val="60"/>
                <w:sz w:val="17"/>
                <w:lang w:val="fr-FR"/>
              </w:rPr>
            </w:pPr>
            <w:r>
              <w:rPr>
                <w:b/>
                <w:sz w:val="17"/>
                <w:lang w:val="fr-FR"/>
              </w:rPr>
              <w:tab/>
            </w:r>
            <w:r w:rsidRPr="00256056">
              <w:rPr>
                <w:b/>
                <w:sz w:val="17"/>
                <w:lang w:val="fr-FR"/>
              </w:rPr>
              <w:t>Total</w:t>
            </w:r>
            <w:r>
              <w:rPr>
                <w:b/>
                <w:spacing w:val="60"/>
                <w:sz w:val="17"/>
                <w:lang w:val="fr-FR"/>
              </w:rPr>
              <w:tab/>
            </w:r>
            <w:r>
              <w:rPr>
                <w:b/>
                <w:spacing w:val="60"/>
                <w:sz w:val="17"/>
                <w:lang w:val="fr-FR"/>
              </w:rPr>
              <w:tab/>
            </w:r>
          </w:p>
        </w:tc>
        <w:tc>
          <w:tcPr>
            <w:tcW w:w="759" w:type="dxa"/>
            <w:tcBorders>
              <w:top w:val="single" w:sz="4" w:space="0" w:color="auto"/>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256056">
              <w:rPr>
                <w:b/>
                <w:sz w:val="17"/>
                <w:lang w:val="fr-FR"/>
              </w:rPr>
              <w:t>791</w:t>
            </w:r>
          </w:p>
        </w:tc>
      </w:tr>
    </w:tbl>
    <w:p w:rsidR="00C06068" w:rsidRPr="00256056"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917E2F">
        <w:rPr>
          <w:i/>
          <w:lang w:val="fr-FR"/>
        </w:rPr>
        <w:t>Source </w:t>
      </w:r>
      <w:r w:rsidRPr="00256056">
        <w:rPr>
          <w:lang w:val="fr-FR"/>
        </w:rPr>
        <w:t>: MINFOPTLS</w:t>
      </w:r>
      <w:r>
        <w:rPr>
          <w:lang w:val="fr-FR"/>
        </w:rPr>
        <w:t>.</w:t>
      </w:r>
    </w:p>
    <w:p w:rsidR="00C06068" w:rsidRPr="00256056" w:rsidRDefault="00C06068" w:rsidP="00C06068">
      <w:pPr>
        <w:pStyle w:val="SingleTxt"/>
        <w:spacing w:after="0" w:line="120" w:lineRule="exact"/>
        <w:rPr>
          <w:sz w:val="10"/>
          <w:lang w:val="fr-FR"/>
        </w:rPr>
      </w:pPr>
    </w:p>
    <w:p w:rsidR="00C06068" w:rsidRPr="00256056" w:rsidRDefault="00C06068" w:rsidP="00C06068">
      <w:pPr>
        <w:pStyle w:val="SingleTxt"/>
        <w:spacing w:after="0" w:line="120" w:lineRule="exact"/>
        <w:rPr>
          <w:sz w:val="10"/>
          <w:lang w:val="fr-FR"/>
        </w:rPr>
      </w:pPr>
    </w:p>
    <w:p w:rsidR="00C06068" w:rsidRPr="00256056" w:rsidRDefault="00C06068" w:rsidP="00C06068">
      <w:pPr>
        <w:pStyle w:val="SingleTxt"/>
        <w:spacing w:after="0" w:line="120" w:lineRule="exact"/>
        <w:rPr>
          <w:sz w:val="10"/>
          <w:lang w:val="fr-FR"/>
        </w:rPr>
      </w:pPr>
    </w:p>
    <w:p w:rsidR="00C06068" w:rsidRPr="00256056"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84" w:name="_Toc377129304"/>
      <w:r w:rsidRPr="00256056">
        <w:rPr>
          <w:b w:val="0"/>
          <w:lang w:val="fr-FR"/>
        </w:rPr>
        <w:tab/>
      </w:r>
      <w:r w:rsidRPr="00256056">
        <w:rPr>
          <w:b w:val="0"/>
          <w:lang w:val="fr-FR"/>
        </w:rPr>
        <w:tab/>
        <w:t>Tableau 18</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2009</w:t>
      </w:r>
      <w:bookmarkEnd w:id="84"/>
    </w:p>
    <w:p w:rsidR="00C06068" w:rsidRPr="00256056" w:rsidRDefault="00C06068" w:rsidP="00C06068">
      <w:pPr>
        <w:pStyle w:val="SingleTxt"/>
        <w:spacing w:after="0" w:line="120" w:lineRule="exact"/>
        <w:rPr>
          <w:sz w:val="10"/>
          <w:lang w:val="fr-FR"/>
        </w:rPr>
      </w:pPr>
    </w:p>
    <w:p w:rsidR="00C06068" w:rsidRPr="00256056" w:rsidRDefault="00C06068" w:rsidP="00C06068">
      <w:pPr>
        <w:pStyle w:val="SingleTxt"/>
        <w:spacing w:after="0" w:line="120" w:lineRule="exact"/>
        <w:rPr>
          <w:sz w:val="10"/>
          <w:lang w:val="fr-FR"/>
        </w:rPr>
      </w:pPr>
    </w:p>
    <w:tbl>
      <w:tblPr>
        <w:tblW w:w="7326" w:type="dxa"/>
        <w:tblInd w:w="1260" w:type="dxa"/>
        <w:tblBorders>
          <w:top w:val="single" w:sz="4" w:space="0" w:color="auto"/>
        </w:tblBorders>
        <w:tblLayout w:type="fixed"/>
        <w:tblCellMar>
          <w:left w:w="0" w:type="dxa"/>
          <w:right w:w="0" w:type="dxa"/>
        </w:tblCellMar>
        <w:tblLook w:val="04A0"/>
      </w:tblPr>
      <w:tblGrid>
        <w:gridCol w:w="1710"/>
        <w:gridCol w:w="1521"/>
        <w:gridCol w:w="1287"/>
        <w:gridCol w:w="1242"/>
        <w:gridCol w:w="1566"/>
      </w:tblGrid>
      <w:tr w:rsidR="00C06068" w:rsidRPr="00FC6584" w:rsidTr="007F3574">
        <w:trPr>
          <w:trHeight w:val="240"/>
          <w:tblHeader/>
        </w:trPr>
        <w:tc>
          <w:tcPr>
            <w:tcW w:w="171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Pays</w:t>
            </w:r>
          </w:p>
        </w:tc>
        <w:tc>
          <w:tcPr>
            <w:tcW w:w="1521"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128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242"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56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FC6584" w:rsidTr="007F3574">
        <w:trPr>
          <w:trHeight w:val="240"/>
        </w:trPr>
        <w:tc>
          <w:tcPr>
            <w:tcW w:w="171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Liban</w:t>
            </w:r>
          </w:p>
        </w:tc>
        <w:tc>
          <w:tcPr>
            <w:tcW w:w="1521"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3 919</w:t>
            </w:r>
          </w:p>
        </w:tc>
        <w:tc>
          <w:tcPr>
            <w:tcW w:w="128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0</w:t>
            </w:r>
          </w:p>
        </w:tc>
        <w:tc>
          <w:tcPr>
            <w:tcW w:w="1242"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3 919</w:t>
            </w:r>
          </w:p>
        </w:tc>
        <w:tc>
          <w:tcPr>
            <w:tcW w:w="156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171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Maurice</w:t>
            </w:r>
          </w:p>
        </w:tc>
        <w:tc>
          <w:tcPr>
            <w:tcW w:w="15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294</w:t>
            </w:r>
          </w:p>
        </w:tc>
        <w:tc>
          <w:tcPr>
            <w:tcW w:w="128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62</w:t>
            </w:r>
          </w:p>
        </w:tc>
        <w:tc>
          <w:tcPr>
            <w:tcW w:w="12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232</w:t>
            </w:r>
          </w:p>
        </w:tc>
        <w:tc>
          <w:tcPr>
            <w:tcW w:w="15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à 3 ans</w:t>
            </w:r>
          </w:p>
        </w:tc>
      </w:tr>
      <w:tr w:rsidR="00C06068" w:rsidRPr="00FC6584" w:rsidTr="007F3574">
        <w:trPr>
          <w:trHeight w:val="240"/>
        </w:trPr>
        <w:tc>
          <w:tcPr>
            <w:tcW w:w="171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Seychelles</w:t>
            </w:r>
          </w:p>
        </w:tc>
        <w:tc>
          <w:tcPr>
            <w:tcW w:w="15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133</w:t>
            </w:r>
          </w:p>
        </w:tc>
        <w:tc>
          <w:tcPr>
            <w:tcW w:w="128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75</w:t>
            </w:r>
          </w:p>
        </w:tc>
        <w:tc>
          <w:tcPr>
            <w:tcW w:w="12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58</w:t>
            </w:r>
          </w:p>
        </w:tc>
        <w:tc>
          <w:tcPr>
            <w:tcW w:w="15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71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Mayotte</w:t>
            </w:r>
          </w:p>
        </w:tc>
        <w:tc>
          <w:tcPr>
            <w:tcW w:w="15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19</w:t>
            </w:r>
          </w:p>
        </w:tc>
        <w:tc>
          <w:tcPr>
            <w:tcW w:w="128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19</w:t>
            </w:r>
          </w:p>
        </w:tc>
        <w:tc>
          <w:tcPr>
            <w:tcW w:w="12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0</w:t>
            </w:r>
          </w:p>
        </w:tc>
        <w:tc>
          <w:tcPr>
            <w:tcW w:w="15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mois à 1 an</w:t>
            </w:r>
          </w:p>
        </w:tc>
      </w:tr>
      <w:tr w:rsidR="00C06068" w:rsidRPr="00FC6584" w:rsidTr="007F3574">
        <w:trPr>
          <w:trHeight w:val="240"/>
        </w:trPr>
        <w:tc>
          <w:tcPr>
            <w:tcW w:w="171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 xml:space="preserve">Koweït </w:t>
            </w:r>
          </w:p>
        </w:tc>
        <w:tc>
          <w:tcPr>
            <w:tcW w:w="1521"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7</w:t>
            </w:r>
          </w:p>
        </w:tc>
        <w:tc>
          <w:tcPr>
            <w:tcW w:w="128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0</w:t>
            </w:r>
          </w:p>
        </w:tc>
        <w:tc>
          <w:tcPr>
            <w:tcW w:w="1242"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7</w:t>
            </w:r>
          </w:p>
        </w:tc>
        <w:tc>
          <w:tcPr>
            <w:tcW w:w="156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 ans</w:t>
            </w:r>
          </w:p>
        </w:tc>
      </w:tr>
      <w:tr w:rsidR="00C06068" w:rsidRPr="006650C6" w:rsidTr="007F3574">
        <w:trPr>
          <w:trHeight w:val="240"/>
        </w:trPr>
        <w:tc>
          <w:tcPr>
            <w:tcW w:w="1710" w:type="dxa"/>
            <w:tcBorders>
              <w:top w:val="single" w:sz="4" w:space="0" w:color="auto"/>
              <w:bottom w:val="single" w:sz="12" w:space="0" w:color="auto"/>
            </w:tcBorders>
            <w:shd w:val="clear" w:color="auto" w:fill="auto"/>
          </w:tcPr>
          <w:p w:rsidR="00C06068" w:rsidRPr="006650C6"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6650C6">
              <w:rPr>
                <w:b/>
                <w:sz w:val="17"/>
                <w:lang w:val="fr-FR"/>
              </w:rPr>
              <w:t>Total</w:t>
            </w:r>
          </w:p>
        </w:tc>
        <w:tc>
          <w:tcPr>
            <w:tcW w:w="1521" w:type="dxa"/>
            <w:tcBorders>
              <w:top w:val="single" w:sz="4" w:space="0" w:color="auto"/>
              <w:bottom w:val="single" w:sz="12" w:space="0" w:color="auto"/>
            </w:tcBorders>
            <w:shd w:val="clear" w:color="auto" w:fill="auto"/>
            <w:vAlign w:val="bottom"/>
          </w:tcPr>
          <w:p w:rsidR="00C06068" w:rsidRPr="006650C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650C6">
              <w:rPr>
                <w:b/>
                <w:sz w:val="17"/>
                <w:lang w:val="fr-FR"/>
              </w:rPr>
              <w:t>4 372</w:t>
            </w:r>
          </w:p>
        </w:tc>
        <w:tc>
          <w:tcPr>
            <w:tcW w:w="1287" w:type="dxa"/>
            <w:tcBorders>
              <w:top w:val="single" w:sz="4" w:space="0" w:color="auto"/>
              <w:bottom w:val="single" w:sz="12" w:space="0" w:color="auto"/>
            </w:tcBorders>
            <w:shd w:val="clear" w:color="auto" w:fill="auto"/>
            <w:vAlign w:val="bottom"/>
          </w:tcPr>
          <w:p w:rsidR="00C06068" w:rsidRPr="006650C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650C6">
              <w:rPr>
                <w:b/>
                <w:sz w:val="17"/>
                <w:lang w:val="fr-FR"/>
              </w:rPr>
              <w:t>156</w:t>
            </w:r>
          </w:p>
        </w:tc>
        <w:tc>
          <w:tcPr>
            <w:tcW w:w="1242" w:type="dxa"/>
            <w:tcBorders>
              <w:top w:val="single" w:sz="4" w:space="0" w:color="auto"/>
              <w:bottom w:val="single" w:sz="12" w:space="0" w:color="auto"/>
            </w:tcBorders>
            <w:shd w:val="clear" w:color="auto" w:fill="auto"/>
            <w:vAlign w:val="bottom"/>
          </w:tcPr>
          <w:p w:rsidR="00C06068" w:rsidRPr="006650C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650C6">
              <w:rPr>
                <w:b/>
                <w:sz w:val="17"/>
                <w:lang w:val="fr-FR"/>
              </w:rPr>
              <w:t>4 216</w:t>
            </w:r>
          </w:p>
        </w:tc>
        <w:tc>
          <w:tcPr>
            <w:tcW w:w="1566" w:type="dxa"/>
            <w:tcBorders>
              <w:top w:val="single" w:sz="4" w:space="0" w:color="auto"/>
              <w:bottom w:val="single" w:sz="12" w:space="0" w:color="auto"/>
            </w:tcBorders>
            <w:shd w:val="clear" w:color="auto" w:fill="auto"/>
            <w:vAlign w:val="bottom"/>
          </w:tcPr>
          <w:p w:rsidR="00C06068" w:rsidRPr="006650C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85" w:name="_Toc377129305"/>
      <w:r>
        <w:rPr>
          <w:lang w:val="fr-FR"/>
        </w:rPr>
        <w:tab/>
      </w:r>
      <w:r>
        <w:rPr>
          <w:lang w:val="fr-FR"/>
        </w:rPr>
        <w:tab/>
      </w:r>
      <w:r w:rsidRPr="007C0220">
        <w:rPr>
          <w:b w:val="0"/>
          <w:lang w:val="fr-FR"/>
        </w:rPr>
        <w:t>Tableau</w:t>
      </w:r>
      <w:r>
        <w:rPr>
          <w:b w:val="0"/>
          <w:lang w:val="fr-FR"/>
        </w:rPr>
        <w:t xml:space="preserve"> 19</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2009</w:t>
      </w:r>
      <w:bookmarkEnd w:id="85"/>
    </w:p>
    <w:p w:rsidR="00C06068" w:rsidRPr="007C0220" w:rsidRDefault="00C06068" w:rsidP="00C06068">
      <w:pPr>
        <w:pStyle w:val="SingleTxt"/>
        <w:spacing w:after="0" w:line="120" w:lineRule="exact"/>
        <w:rPr>
          <w:sz w:val="10"/>
          <w:lang w:val="fr-FR"/>
        </w:rPr>
      </w:pPr>
    </w:p>
    <w:p w:rsidR="00C06068" w:rsidRPr="007C0220" w:rsidRDefault="00C06068" w:rsidP="00C06068">
      <w:pPr>
        <w:pStyle w:val="SingleTxt"/>
        <w:spacing w:after="0" w:line="120" w:lineRule="exact"/>
        <w:rPr>
          <w:sz w:val="10"/>
          <w:lang w:val="fr-FR"/>
        </w:rPr>
      </w:pPr>
    </w:p>
    <w:tbl>
      <w:tblPr>
        <w:tblW w:w="7380" w:type="dxa"/>
        <w:tblInd w:w="1260" w:type="dxa"/>
        <w:tblBorders>
          <w:top w:val="single" w:sz="4" w:space="0" w:color="auto"/>
        </w:tblBorders>
        <w:tblCellMar>
          <w:left w:w="0" w:type="dxa"/>
          <w:right w:w="0" w:type="dxa"/>
        </w:tblCellMar>
        <w:tblLook w:val="04A0"/>
      </w:tblPr>
      <w:tblGrid>
        <w:gridCol w:w="4446"/>
        <w:gridCol w:w="927"/>
        <w:gridCol w:w="927"/>
        <w:gridCol w:w="1080"/>
      </w:tblGrid>
      <w:tr w:rsidR="00C06068" w:rsidRPr="00FC6584" w:rsidTr="007F3574">
        <w:trPr>
          <w:trHeight w:val="240"/>
          <w:tblHeader/>
        </w:trPr>
        <w:tc>
          <w:tcPr>
            <w:tcW w:w="444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Emploi</w:t>
            </w:r>
          </w:p>
        </w:tc>
        <w:tc>
          <w:tcPr>
            <w:tcW w:w="92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92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08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Durée</w:t>
            </w:r>
          </w:p>
        </w:tc>
      </w:tr>
      <w:tr w:rsidR="00C06068" w:rsidRPr="00FC6584" w:rsidTr="007F3574">
        <w:trPr>
          <w:trHeight w:val="240"/>
        </w:trPr>
        <w:tc>
          <w:tcPr>
            <w:tcW w:w="4446"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 de ménage</w:t>
            </w:r>
          </w:p>
        </w:tc>
        <w:tc>
          <w:tcPr>
            <w:tcW w:w="92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2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3 926</w:t>
            </w:r>
          </w:p>
        </w:tc>
        <w:tc>
          <w:tcPr>
            <w:tcW w:w="108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Pareuse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58</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Assistant cuisinier</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Manutentionnaire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Animal welfare officier</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r w:rsidRPr="00256056">
              <w:rPr>
                <w:sz w:val="17"/>
                <w:lang w:val="fr-FR"/>
              </w:rPr>
              <w:t>an</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Tôlier peintre spécialiste en entretien</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de maintena</w:t>
            </w:r>
            <w:r>
              <w:rPr>
                <w:sz w:val="17"/>
                <w:lang w:val="fr-FR"/>
              </w:rPr>
              <w:t>nce et de réparation circuit et </w:t>
            </w:r>
            <w:r w:rsidRPr="00917E2F">
              <w:rPr>
                <w:sz w:val="17"/>
                <w:lang w:val="fr-FR"/>
              </w:rPr>
              <w:t>transmission machines</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 mois – 1 an</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de maintenance et de réparation circuit système et</w:t>
            </w:r>
            <w:r>
              <w:rPr>
                <w:sz w:val="17"/>
                <w:lang w:val="fr-FR"/>
              </w:rPr>
              <w:t> </w:t>
            </w:r>
            <w:r w:rsidRPr="00917E2F">
              <w:rPr>
                <w:sz w:val="17"/>
                <w:lang w:val="fr-FR"/>
              </w:rPr>
              <w:t>moteur</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Technicien de maintenance et de réparation circuit </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de maintenance et de réparation système électronique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de maintenance et de réparation système électrique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en machine outils spécialisé</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de maintenances accessoires cabine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en mécanique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mois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Machine opérateur (textiles)</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62</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444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machine</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w:t>
            </w:r>
          </w:p>
        </w:tc>
        <w:tc>
          <w:tcPr>
            <w:tcW w:w="92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169</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4446"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Non mentionné</w:t>
            </w:r>
          </w:p>
        </w:tc>
        <w:tc>
          <w:tcPr>
            <w:tcW w:w="92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42</w:t>
            </w:r>
          </w:p>
        </w:tc>
        <w:tc>
          <w:tcPr>
            <w:tcW w:w="92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08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 ans</w:t>
            </w:r>
          </w:p>
        </w:tc>
      </w:tr>
      <w:tr w:rsidR="00C06068" w:rsidRPr="007C0220" w:rsidTr="007F3574">
        <w:trPr>
          <w:trHeight w:val="240"/>
        </w:trPr>
        <w:tc>
          <w:tcPr>
            <w:tcW w:w="4446" w:type="dxa"/>
            <w:tcBorders>
              <w:top w:val="single" w:sz="4" w:space="0" w:color="auto"/>
              <w:bottom w:val="single" w:sz="12" w:space="0" w:color="auto"/>
            </w:tcBorders>
            <w:shd w:val="clear" w:color="auto" w:fill="auto"/>
          </w:tcPr>
          <w:p w:rsidR="00C06068" w:rsidRPr="007C0220"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7C0220">
              <w:rPr>
                <w:b/>
                <w:sz w:val="17"/>
                <w:lang w:val="fr-FR"/>
              </w:rPr>
              <w:t>Total</w:t>
            </w:r>
          </w:p>
        </w:tc>
        <w:tc>
          <w:tcPr>
            <w:tcW w:w="927"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156</w:t>
            </w:r>
          </w:p>
        </w:tc>
        <w:tc>
          <w:tcPr>
            <w:tcW w:w="927"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4 216</w:t>
            </w:r>
          </w:p>
        </w:tc>
        <w:tc>
          <w:tcPr>
            <w:tcW w:w="1080"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86" w:name="_Toc377129306"/>
      <w:r>
        <w:rPr>
          <w:lang w:val="fr-FR"/>
        </w:rPr>
        <w:tab/>
      </w:r>
      <w:r>
        <w:rPr>
          <w:lang w:val="fr-FR"/>
        </w:rPr>
        <w:tab/>
      </w:r>
      <w:r w:rsidRPr="007C0220">
        <w:rPr>
          <w:b w:val="0"/>
          <w:lang w:val="fr-FR"/>
        </w:rPr>
        <w:t xml:space="preserve">Tableau </w:t>
      </w:r>
      <w:r>
        <w:rPr>
          <w:b w:val="0"/>
          <w:lang w:val="fr-FR"/>
        </w:rPr>
        <w:t>20</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2010</w:t>
      </w:r>
      <w:bookmarkEnd w:id="86"/>
    </w:p>
    <w:p w:rsidR="00C06068" w:rsidRPr="007C0220" w:rsidRDefault="00C06068" w:rsidP="00C06068">
      <w:pPr>
        <w:pStyle w:val="SingleTxt"/>
        <w:spacing w:after="0" w:line="120" w:lineRule="exact"/>
        <w:rPr>
          <w:sz w:val="10"/>
          <w:lang w:val="fr-FR"/>
        </w:rPr>
      </w:pPr>
    </w:p>
    <w:p w:rsidR="00C06068" w:rsidRPr="007C0220"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488"/>
        <w:gridCol w:w="1442"/>
        <w:gridCol w:w="1425"/>
        <w:gridCol w:w="1394"/>
        <w:gridCol w:w="1621"/>
      </w:tblGrid>
      <w:tr w:rsidR="00C06068" w:rsidRPr="00FC6584" w:rsidTr="007F3574">
        <w:trPr>
          <w:trHeight w:val="240"/>
          <w:tblHeader/>
        </w:trPr>
        <w:tc>
          <w:tcPr>
            <w:tcW w:w="148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Pays</w:t>
            </w:r>
          </w:p>
        </w:tc>
        <w:tc>
          <w:tcPr>
            <w:tcW w:w="1442"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1425"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39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621"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FC6584" w:rsidTr="007F3574">
        <w:trPr>
          <w:trHeight w:val="240"/>
        </w:trPr>
        <w:tc>
          <w:tcPr>
            <w:tcW w:w="1488"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Liban</w:t>
            </w:r>
          </w:p>
        </w:tc>
        <w:tc>
          <w:tcPr>
            <w:tcW w:w="1442"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w:t>
            </w:r>
          </w:p>
        </w:tc>
        <w:tc>
          <w:tcPr>
            <w:tcW w:w="1425"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39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w:t>
            </w:r>
          </w:p>
        </w:tc>
        <w:tc>
          <w:tcPr>
            <w:tcW w:w="1621"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Maurice</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206</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161</w:t>
            </w: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w:t>
            </w: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à 3 ans</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Qatar </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Mayotte</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0</w:t>
            </w: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an</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Koweït </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116</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116</w:t>
            </w: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Égypte</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108</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108</w:t>
            </w: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48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Doubaï </w:t>
            </w:r>
          </w:p>
        </w:tc>
        <w:tc>
          <w:tcPr>
            <w:tcW w:w="14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4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à 3 ans</w:t>
            </w:r>
          </w:p>
        </w:tc>
      </w:tr>
      <w:tr w:rsidR="00C06068" w:rsidRPr="00FC6584" w:rsidTr="007F3574">
        <w:trPr>
          <w:trHeight w:val="240"/>
        </w:trPr>
        <w:tc>
          <w:tcPr>
            <w:tcW w:w="1488"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Pr>
                <w:sz w:val="17"/>
                <w:lang w:val="fr-FR"/>
              </w:rPr>
              <w:t>Arabie sa</w:t>
            </w:r>
            <w:r w:rsidRPr="00917E2F">
              <w:rPr>
                <w:sz w:val="17"/>
                <w:lang w:val="fr-FR"/>
              </w:rPr>
              <w:t>oudite</w:t>
            </w:r>
          </w:p>
        </w:tc>
        <w:tc>
          <w:tcPr>
            <w:tcW w:w="1442"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w:t>
            </w:r>
          </w:p>
        </w:tc>
        <w:tc>
          <w:tcPr>
            <w:tcW w:w="1425"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394"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w:t>
            </w:r>
          </w:p>
        </w:tc>
        <w:tc>
          <w:tcPr>
            <w:tcW w:w="1621"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 ans</w:t>
            </w:r>
          </w:p>
        </w:tc>
      </w:tr>
      <w:tr w:rsidR="00C06068" w:rsidRPr="007C0220" w:rsidTr="007F3574">
        <w:trPr>
          <w:trHeight w:val="240"/>
        </w:trPr>
        <w:tc>
          <w:tcPr>
            <w:tcW w:w="1488" w:type="dxa"/>
            <w:tcBorders>
              <w:top w:val="single" w:sz="4" w:space="0" w:color="auto"/>
              <w:bottom w:val="single" w:sz="12" w:space="0" w:color="auto"/>
            </w:tcBorders>
            <w:shd w:val="clear" w:color="auto" w:fill="auto"/>
          </w:tcPr>
          <w:p w:rsidR="00C06068" w:rsidRPr="007C0220"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7C0220">
              <w:rPr>
                <w:b/>
                <w:sz w:val="17"/>
                <w:lang w:val="fr-FR"/>
              </w:rPr>
              <w:t>Total</w:t>
            </w:r>
          </w:p>
        </w:tc>
        <w:tc>
          <w:tcPr>
            <w:tcW w:w="1442"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461</w:t>
            </w:r>
          </w:p>
        </w:tc>
        <w:tc>
          <w:tcPr>
            <w:tcW w:w="1425"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274</w:t>
            </w:r>
          </w:p>
        </w:tc>
        <w:tc>
          <w:tcPr>
            <w:tcW w:w="1394"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186</w:t>
            </w:r>
          </w:p>
        </w:tc>
        <w:tc>
          <w:tcPr>
            <w:tcW w:w="1621"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7C0220" w:rsidRDefault="00C06068" w:rsidP="00C06068">
      <w:pPr>
        <w:pStyle w:val="SingleTxt"/>
        <w:spacing w:after="0" w:line="120" w:lineRule="exact"/>
        <w:rPr>
          <w:b/>
          <w:sz w:val="10"/>
          <w:lang w:val="fr-FR"/>
        </w:rPr>
      </w:pPr>
      <w:bookmarkStart w:id="87" w:name="_Toc377129307"/>
    </w:p>
    <w:p w:rsidR="00C06068" w:rsidRPr="007C0220" w:rsidRDefault="00C06068" w:rsidP="00C06068">
      <w:pPr>
        <w:pStyle w:val="SingleTxt"/>
        <w:spacing w:after="0" w:line="120" w:lineRule="exact"/>
        <w:rPr>
          <w:b/>
          <w:sz w:val="10"/>
          <w:lang w:val="fr-FR"/>
        </w:rPr>
      </w:pPr>
    </w:p>
    <w:p w:rsidR="00C06068" w:rsidRPr="007C0220" w:rsidRDefault="00C06068" w:rsidP="00C06068">
      <w:pPr>
        <w:pStyle w:val="SingleTxt"/>
        <w:spacing w:after="0" w:line="120" w:lineRule="exact"/>
        <w:rPr>
          <w:b/>
          <w:sz w:val="10"/>
          <w:lang w:val="fr-FR"/>
        </w:rPr>
      </w:pPr>
    </w:p>
    <w:p w:rsidR="00C06068" w:rsidRPr="007C022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7C0220">
        <w:rPr>
          <w:b w:val="0"/>
          <w:lang w:val="fr-FR"/>
        </w:rPr>
        <w:t>Tableau 21</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2010</w:t>
      </w:r>
      <w:bookmarkEnd w:id="87"/>
    </w:p>
    <w:p w:rsidR="00C06068" w:rsidRPr="007C0220" w:rsidRDefault="00C06068" w:rsidP="00C06068">
      <w:pPr>
        <w:pStyle w:val="SingleTxt"/>
        <w:keepNext/>
        <w:keepLines/>
        <w:spacing w:after="0" w:line="120" w:lineRule="exact"/>
        <w:rPr>
          <w:sz w:val="10"/>
          <w:lang w:val="fr-FR"/>
        </w:rPr>
      </w:pPr>
    </w:p>
    <w:p w:rsidR="00C06068" w:rsidRPr="007C0220" w:rsidRDefault="00C06068" w:rsidP="00C06068">
      <w:pPr>
        <w:pStyle w:val="SingleTxt"/>
        <w:keepNext/>
        <w:keepLines/>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2790"/>
        <w:gridCol w:w="1194"/>
        <w:gridCol w:w="1770"/>
        <w:gridCol w:w="1616"/>
      </w:tblGrid>
      <w:tr w:rsidR="00C06068" w:rsidRPr="00FC6584" w:rsidTr="007F3574">
        <w:trPr>
          <w:trHeight w:val="240"/>
          <w:tblHeader/>
        </w:trPr>
        <w:tc>
          <w:tcPr>
            <w:tcW w:w="27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Emploi</w:t>
            </w:r>
          </w:p>
        </w:tc>
        <w:tc>
          <w:tcPr>
            <w:tcW w:w="119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77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61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Durée</w:t>
            </w:r>
          </w:p>
        </w:tc>
      </w:tr>
      <w:tr w:rsidR="00C06068" w:rsidRPr="00FC6584" w:rsidTr="007F3574">
        <w:trPr>
          <w:trHeight w:val="240"/>
        </w:trPr>
        <w:tc>
          <w:tcPr>
            <w:tcW w:w="279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 de ménage</w:t>
            </w:r>
          </w:p>
        </w:tc>
        <w:tc>
          <w:tcPr>
            <w:tcW w:w="119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7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139</w:t>
            </w:r>
          </w:p>
        </w:tc>
        <w:tc>
          <w:tcPr>
            <w:tcW w:w="161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à 3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Baby-sitter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à 3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peintre spécialiste</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an</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en machine outils</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an</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Machiniste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213</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High precision mechanics</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machine</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42</w:t>
            </w: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Agent de sécurité</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Charpentier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Soudeur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Conducteur d</w:t>
            </w:r>
            <w:r>
              <w:rPr>
                <w:sz w:val="17"/>
                <w:lang w:val="fr-FR"/>
              </w:rPr>
              <w:t>’</w:t>
            </w:r>
            <w:r w:rsidRPr="00917E2F">
              <w:rPr>
                <w:sz w:val="17"/>
                <w:lang w:val="fr-FR"/>
              </w:rPr>
              <w:t>engins</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Maçon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Contremaî</w:t>
            </w:r>
            <w:r w:rsidRPr="00917E2F">
              <w:rPr>
                <w:sz w:val="17"/>
                <w:lang w:val="fr-FR"/>
              </w:rPr>
              <w:t xml:space="preserve">tre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79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Jardinier </w:t>
            </w:r>
          </w:p>
        </w:tc>
        <w:tc>
          <w:tcPr>
            <w:tcW w:w="119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7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1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79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Technicien maintenance</w:t>
            </w:r>
          </w:p>
        </w:tc>
        <w:tc>
          <w:tcPr>
            <w:tcW w:w="1194"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w:t>
            </w:r>
          </w:p>
        </w:tc>
        <w:tc>
          <w:tcPr>
            <w:tcW w:w="177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61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 ans</w:t>
            </w:r>
          </w:p>
        </w:tc>
      </w:tr>
      <w:tr w:rsidR="00C06068" w:rsidRPr="007C0220" w:rsidTr="007F3574">
        <w:trPr>
          <w:trHeight w:val="240"/>
        </w:trPr>
        <w:tc>
          <w:tcPr>
            <w:tcW w:w="2790" w:type="dxa"/>
            <w:tcBorders>
              <w:top w:val="single" w:sz="4" w:space="0" w:color="auto"/>
              <w:bottom w:val="single" w:sz="12" w:space="0" w:color="auto"/>
            </w:tcBorders>
            <w:shd w:val="clear" w:color="auto" w:fill="auto"/>
          </w:tcPr>
          <w:p w:rsidR="00C06068" w:rsidRPr="007C0220"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7C0220">
              <w:rPr>
                <w:b/>
                <w:sz w:val="17"/>
                <w:lang w:val="fr-FR"/>
              </w:rPr>
              <w:t>Total</w:t>
            </w:r>
          </w:p>
        </w:tc>
        <w:tc>
          <w:tcPr>
            <w:tcW w:w="1194"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274</w:t>
            </w:r>
          </w:p>
        </w:tc>
        <w:tc>
          <w:tcPr>
            <w:tcW w:w="1770"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188</w:t>
            </w:r>
          </w:p>
        </w:tc>
        <w:tc>
          <w:tcPr>
            <w:tcW w:w="1616"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88" w:name="_Toc377129308"/>
      <w:r>
        <w:rPr>
          <w:lang w:val="fr-FR"/>
        </w:rPr>
        <w:tab/>
      </w:r>
      <w:r>
        <w:rPr>
          <w:lang w:val="fr-FR"/>
        </w:rPr>
        <w:tab/>
      </w:r>
      <w:r w:rsidRPr="007C0220">
        <w:rPr>
          <w:b w:val="0"/>
          <w:lang w:val="fr-FR"/>
        </w:rPr>
        <w:t>Tableau 22</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2011</w:t>
      </w:r>
      <w:bookmarkEnd w:id="88"/>
    </w:p>
    <w:p w:rsidR="00C06068" w:rsidRPr="007C0220" w:rsidRDefault="00C06068" w:rsidP="00C06068">
      <w:pPr>
        <w:pStyle w:val="SingleTxt"/>
        <w:spacing w:after="0" w:line="120" w:lineRule="exact"/>
        <w:rPr>
          <w:sz w:val="10"/>
          <w:lang w:val="fr-FR"/>
        </w:rPr>
      </w:pPr>
    </w:p>
    <w:p w:rsidR="00C06068" w:rsidRPr="007C0220"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530"/>
        <w:gridCol w:w="828"/>
        <w:gridCol w:w="1056"/>
        <w:gridCol w:w="1806"/>
        <w:gridCol w:w="766"/>
        <w:gridCol w:w="1384"/>
      </w:tblGrid>
      <w:tr w:rsidR="00C06068" w:rsidRPr="00FC6584" w:rsidTr="007F3574">
        <w:trPr>
          <w:trHeight w:val="240"/>
          <w:tblHeader/>
        </w:trPr>
        <w:tc>
          <w:tcPr>
            <w:tcW w:w="153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Pays</w:t>
            </w:r>
          </w:p>
        </w:tc>
        <w:tc>
          <w:tcPr>
            <w:tcW w:w="82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105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80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76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Non</w:t>
            </w:r>
            <w:r>
              <w:rPr>
                <w:i/>
                <w:sz w:val="14"/>
                <w:lang w:val="fr-FR"/>
              </w:rPr>
              <w:t xml:space="preserve"> </w:t>
            </w:r>
            <w:r w:rsidRPr="00FC6584">
              <w:rPr>
                <w:i/>
                <w:sz w:val="14"/>
                <w:lang w:val="fr-FR"/>
              </w:rPr>
              <w:t>déterminé</w:t>
            </w:r>
          </w:p>
        </w:tc>
        <w:tc>
          <w:tcPr>
            <w:tcW w:w="138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FC6584" w:rsidTr="007F3574">
        <w:trPr>
          <w:trHeight w:val="240"/>
        </w:trPr>
        <w:tc>
          <w:tcPr>
            <w:tcW w:w="153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Liban</w:t>
            </w:r>
          </w:p>
        </w:tc>
        <w:tc>
          <w:tcPr>
            <w:tcW w:w="82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05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0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76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Maurice</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390</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246</w:t>
            </w: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144</w:t>
            </w: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à 4 ans</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Seychelles</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50</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w:t>
            </w: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28</w:t>
            </w: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Mayotte</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w:t>
            </w: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 mois à 1 an</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Koweït </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165</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xml:space="preserve">165 </w:t>
            </w:r>
            <w:r>
              <w:rPr>
                <w:sz w:val="17"/>
                <w:lang w:val="fr-FR"/>
              </w:rPr>
              <w:br/>
            </w:r>
            <w:r w:rsidRPr="00256056">
              <w:rPr>
                <w:sz w:val="17"/>
                <w:lang w:val="fr-FR"/>
              </w:rPr>
              <w:t xml:space="preserve">(dont 2 interdictions </w:t>
            </w:r>
            <w:r>
              <w:rPr>
                <w:sz w:val="17"/>
                <w:lang w:val="fr-FR"/>
              </w:rPr>
              <w:br/>
            </w:r>
            <w:r w:rsidRPr="00256056">
              <w:rPr>
                <w:sz w:val="17"/>
                <w:lang w:val="fr-FR"/>
              </w:rPr>
              <w:t>de sortie du territoire)</w:t>
            </w: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Aix-en-Provence</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I</w:t>
            </w:r>
            <w:r w:rsidRPr="00256056">
              <w:rPr>
                <w:sz w:val="17"/>
                <w:lang w:val="fr-FR"/>
              </w:rPr>
              <w:t>ndéterminé</w:t>
            </w:r>
          </w:p>
        </w:tc>
      </w:tr>
      <w:tr w:rsidR="00C06068" w:rsidRPr="00FC6584" w:rsidTr="007F3574">
        <w:trPr>
          <w:trHeight w:val="240"/>
        </w:trPr>
        <w:tc>
          <w:tcPr>
            <w:tcW w:w="153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France</w:t>
            </w:r>
          </w:p>
        </w:tc>
        <w:tc>
          <w:tcPr>
            <w:tcW w:w="82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05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0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3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mois</w:t>
            </w:r>
          </w:p>
        </w:tc>
      </w:tr>
      <w:tr w:rsidR="00C06068" w:rsidRPr="00FC6584" w:rsidTr="007F3574">
        <w:trPr>
          <w:trHeight w:val="240"/>
        </w:trPr>
        <w:tc>
          <w:tcPr>
            <w:tcW w:w="153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 xml:space="preserve">Jordanie </w:t>
            </w:r>
          </w:p>
        </w:tc>
        <w:tc>
          <w:tcPr>
            <w:tcW w:w="828"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288</w:t>
            </w:r>
          </w:p>
        </w:tc>
        <w:tc>
          <w:tcPr>
            <w:tcW w:w="105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113</w:t>
            </w:r>
          </w:p>
        </w:tc>
        <w:tc>
          <w:tcPr>
            <w:tcW w:w="180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167</w:t>
            </w:r>
          </w:p>
        </w:tc>
        <w:tc>
          <w:tcPr>
            <w:tcW w:w="76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8</w:t>
            </w:r>
          </w:p>
        </w:tc>
        <w:tc>
          <w:tcPr>
            <w:tcW w:w="1384"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3 ans</w:t>
            </w:r>
          </w:p>
        </w:tc>
      </w:tr>
      <w:tr w:rsidR="00C06068" w:rsidRPr="007C0220" w:rsidTr="007F3574">
        <w:trPr>
          <w:trHeight w:val="240"/>
        </w:trPr>
        <w:tc>
          <w:tcPr>
            <w:tcW w:w="1530" w:type="dxa"/>
            <w:tcBorders>
              <w:top w:val="single" w:sz="4" w:space="0" w:color="auto"/>
              <w:bottom w:val="single" w:sz="12" w:space="0" w:color="auto"/>
            </w:tcBorders>
            <w:shd w:val="clear" w:color="auto" w:fill="auto"/>
          </w:tcPr>
          <w:p w:rsidR="00C06068" w:rsidRPr="007C0220"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7C0220">
              <w:rPr>
                <w:b/>
                <w:sz w:val="17"/>
                <w:lang w:val="fr-FR"/>
              </w:rPr>
              <w:t>Total</w:t>
            </w:r>
          </w:p>
        </w:tc>
        <w:tc>
          <w:tcPr>
            <w:tcW w:w="828"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903</w:t>
            </w:r>
          </w:p>
        </w:tc>
        <w:tc>
          <w:tcPr>
            <w:tcW w:w="1056"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390</w:t>
            </w:r>
          </w:p>
        </w:tc>
        <w:tc>
          <w:tcPr>
            <w:tcW w:w="1806"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505</w:t>
            </w:r>
          </w:p>
        </w:tc>
        <w:tc>
          <w:tcPr>
            <w:tcW w:w="766"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7C0220">
              <w:rPr>
                <w:b/>
                <w:sz w:val="17"/>
                <w:lang w:val="fr-FR"/>
              </w:rPr>
              <w:t>8</w:t>
            </w:r>
          </w:p>
        </w:tc>
        <w:tc>
          <w:tcPr>
            <w:tcW w:w="1384" w:type="dxa"/>
            <w:tcBorders>
              <w:top w:val="single" w:sz="4" w:space="0" w:color="auto"/>
              <w:bottom w:val="single" w:sz="12" w:space="0" w:color="auto"/>
            </w:tcBorders>
            <w:shd w:val="clear" w:color="auto" w:fill="auto"/>
            <w:vAlign w:val="bottom"/>
          </w:tcPr>
          <w:p w:rsidR="00C06068" w:rsidRPr="007C022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bookmarkStart w:id="89" w:name="_Toc377129309"/>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F938C7"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F938C7"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F938C7"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7C022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7C0220">
        <w:rPr>
          <w:b w:val="0"/>
          <w:lang w:val="fr-FR"/>
        </w:rPr>
        <w:t>Tableau 23</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2011</w:t>
      </w:r>
      <w:bookmarkEnd w:id="89"/>
    </w:p>
    <w:p w:rsidR="00C06068" w:rsidRPr="007C0220" w:rsidRDefault="00C06068" w:rsidP="00C06068">
      <w:pPr>
        <w:pStyle w:val="SingleTxt"/>
        <w:keepNext/>
        <w:keepLines/>
        <w:spacing w:after="0" w:line="120" w:lineRule="exact"/>
        <w:rPr>
          <w:sz w:val="10"/>
          <w:lang w:val="fr-FR"/>
        </w:rPr>
      </w:pPr>
    </w:p>
    <w:p w:rsidR="00C06068" w:rsidRPr="007C0220" w:rsidRDefault="00C06068" w:rsidP="00C06068">
      <w:pPr>
        <w:pStyle w:val="SingleTxt"/>
        <w:keepNext/>
        <w:keepLines/>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2880"/>
        <w:gridCol w:w="630"/>
        <w:gridCol w:w="1890"/>
        <w:gridCol w:w="810"/>
        <w:gridCol w:w="1160"/>
      </w:tblGrid>
      <w:tr w:rsidR="00C06068" w:rsidRPr="00FC6584" w:rsidTr="007F3574">
        <w:trPr>
          <w:trHeight w:val="240"/>
          <w:tblHeader/>
        </w:trPr>
        <w:tc>
          <w:tcPr>
            <w:tcW w:w="288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Emploi</w:t>
            </w:r>
          </w:p>
        </w:tc>
        <w:tc>
          <w:tcPr>
            <w:tcW w:w="63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89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81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Non déterminé </w:t>
            </w:r>
          </w:p>
        </w:tc>
        <w:tc>
          <w:tcPr>
            <w:tcW w:w="116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Durée</w:t>
            </w:r>
          </w:p>
        </w:tc>
      </w:tr>
      <w:tr w:rsidR="00C06068" w:rsidRPr="00FC6584" w:rsidTr="007F3574">
        <w:trPr>
          <w:trHeight w:val="240"/>
        </w:trPr>
        <w:tc>
          <w:tcPr>
            <w:tcW w:w="288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Pareuse</w:t>
            </w:r>
          </w:p>
        </w:tc>
        <w:tc>
          <w:tcPr>
            <w:tcW w:w="63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w:t>
            </w:r>
          </w:p>
        </w:tc>
        <w:tc>
          <w:tcPr>
            <w:tcW w:w="18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28</w:t>
            </w:r>
          </w:p>
        </w:tc>
        <w:tc>
          <w:tcPr>
            <w:tcW w:w="81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machine outils spécialisé en usinage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 mois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Technicien en mécanique engins</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 mois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Tôlier peintre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an</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Technicien de maintenance </w:t>
            </w:r>
            <w:r>
              <w:rPr>
                <w:sz w:val="17"/>
                <w:lang w:val="fr-FR"/>
              </w:rPr>
              <w:br/>
            </w:r>
            <w:r w:rsidRPr="00917E2F">
              <w:rPr>
                <w:sz w:val="17"/>
                <w:lang w:val="fr-FR"/>
              </w:rPr>
              <w:t xml:space="preserve">et de réparation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 mois</w:t>
            </w:r>
            <w:r>
              <w:rPr>
                <w:sz w:val="17"/>
                <w:lang w:val="fr-FR"/>
              </w:rPr>
              <w:t>-</w:t>
            </w:r>
            <w:r w:rsidRPr="00256056">
              <w:rPr>
                <w:sz w:val="17"/>
                <w:lang w:val="fr-FR"/>
              </w:rPr>
              <w:t>1 an</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 de ménage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xml:space="preserve">166 </w:t>
            </w:r>
            <w:r>
              <w:rPr>
                <w:sz w:val="17"/>
                <w:lang w:val="fr-FR"/>
              </w:rPr>
              <w:br/>
            </w:r>
            <w:r w:rsidRPr="00256056">
              <w:rPr>
                <w:sz w:val="17"/>
                <w:lang w:val="fr-FR"/>
              </w:rPr>
              <w:t xml:space="preserve">(dont 2 interdictions </w:t>
            </w:r>
            <w:r>
              <w:rPr>
                <w:sz w:val="17"/>
                <w:lang w:val="fr-FR"/>
              </w:rPr>
              <w:br/>
            </w:r>
            <w:r w:rsidRPr="00256056">
              <w:rPr>
                <w:sz w:val="17"/>
                <w:lang w:val="fr-FR"/>
              </w:rPr>
              <w:t>de sortie du territoire)</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Washing</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Visiteur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Travailleur de ferme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Tisseur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machine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125</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126</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à 4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25</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Machiniste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18</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Lavage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Fish sorter</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Finissage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Filature manœuvre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Filature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Cuisinier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Support PMS</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Indéterminée</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Stage sur la gestion des entreprises</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mois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Pressing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w:t>
            </w:r>
          </w:p>
        </w:tc>
        <w:tc>
          <w:tcPr>
            <w:tcW w:w="1160" w:type="dxa"/>
            <w:vMerge w:val="restart"/>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Non mentionné</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Checking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Cheek mending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Contrôle qualité</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Coupeur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Formane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Formane stitching</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Inspection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Inspection finale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Interprète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Knitting</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Looping/</w:t>
            </w:r>
            <w:r w:rsidRPr="00917E2F">
              <w:rPr>
                <w:sz w:val="17"/>
                <w:lang w:val="fr-FR"/>
              </w:rPr>
              <w:t>inspection</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Looping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42</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Machiniste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30</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Manipulateur machine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Mending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Opérateur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machine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robot</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shima</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Packing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QC Looping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Repassage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Robot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Robot tricotage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Seamine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Shima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Shimma machine</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Stitching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Surjet looping</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Tricoteuse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Vérificateur </w:t>
            </w: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81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0"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88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Pr>
                <w:sz w:val="17"/>
                <w:lang w:val="fr-FR"/>
              </w:rPr>
              <w:t>Ware</w:t>
            </w:r>
            <w:r w:rsidRPr="00917E2F">
              <w:rPr>
                <w:sz w:val="17"/>
                <w:lang w:val="fr-FR"/>
              </w:rPr>
              <w:t xml:space="preserve">house </w:t>
            </w:r>
          </w:p>
        </w:tc>
        <w:tc>
          <w:tcPr>
            <w:tcW w:w="63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8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w:t>
            </w:r>
          </w:p>
        </w:tc>
        <w:tc>
          <w:tcPr>
            <w:tcW w:w="81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16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r>
      <w:tr w:rsidR="00C06068" w:rsidRPr="00654C95" w:rsidTr="007F3574">
        <w:trPr>
          <w:trHeight w:val="240"/>
        </w:trPr>
        <w:tc>
          <w:tcPr>
            <w:tcW w:w="2880" w:type="dxa"/>
            <w:tcBorders>
              <w:top w:val="single" w:sz="4" w:space="0" w:color="auto"/>
              <w:bottom w:val="single" w:sz="12" w:space="0" w:color="auto"/>
            </w:tcBorders>
            <w:shd w:val="clear" w:color="auto" w:fill="auto"/>
          </w:tcPr>
          <w:p w:rsidR="00C06068" w:rsidRPr="00654C95"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654C95">
              <w:rPr>
                <w:b/>
                <w:sz w:val="17"/>
                <w:lang w:val="fr-FR"/>
              </w:rPr>
              <w:t>Total</w:t>
            </w:r>
          </w:p>
        </w:tc>
        <w:tc>
          <w:tcPr>
            <w:tcW w:w="63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390</w:t>
            </w:r>
          </w:p>
        </w:tc>
        <w:tc>
          <w:tcPr>
            <w:tcW w:w="189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505</w:t>
            </w:r>
          </w:p>
        </w:tc>
        <w:tc>
          <w:tcPr>
            <w:tcW w:w="81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8</w:t>
            </w:r>
          </w:p>
        </w:tc>
        <w:tc>
          <w:tcPr>
            <w:tcW w:w="116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654C95" w:rsidRDefault="00C06068" w:rsidP="00C06068">
      <w:pPr>
        <w:pStyle w:val="SingleTxt"/>
        <w:spacing w:after="0" w:line="120" w:lineRule="exact"/>
        <w:rPr>
          <w:b/>
          <w:sz w:val="10"/>
          <w:lang w:val="fr-FR"/>
        </w:rPr>
      </w:pPr>
      <w:bookmarkStart w:id="90" w:name="_Toc377129310"/>
    </w:p>
    <w:p w:rsidR="00C06068" w:rsidRPr="00654C95" w:rsidRDefault="00C06068" w:rsidP="00C06068">
      <w:pPr>
        <w:pStyle w:val="SingleTxt"/>
        <w:spacing w:after="0" w:line="120" w:lineRule="exact"/>
        <w:rPr>
          <w:b/>
          <w:sz w:val="10"/>
          <w:lang w:val="fr-FR"/>
        </w:rPr>
      </w:pPr>
    </w:p>
    <w:p w:rsidR="00C06068" w:rsidRPr="00654C95" w:rsidRDefault="00C06068" w:rsidP="00C06068">
      <w:pPr>
        <w:pStyle w:val="SingleTxt"/>
        <w:spacing w:after="0" w:line="120" w:lineRule="exact"/>
        <w:rPr>
          <w:b/>
          <w:sz w:val="10"/>
          <w:lang w:val="fr-FR"/>
        </w:rPr>
      </w:pPr>
    </w:p>
    <w:p w:rsidR="00C06068" w:rsidRPr="00654C9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654C95">
        <w:rPr>
          <w:b w:val="0"/>
          <w:lang w:val="fr-FR"/>
        </w:rPr>
        <w:t>Tableau 24</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Fréquence des émigrés en 2012</w:t>
      </w:r>
      <w:bookmarkEnd w:id="90"/>
    </w:p>
    <w:p w:rsidR="00C06068" w:rsidRPr="00654C95" w:rsidRDefault="00C06068" w:rsidP="00C06068">
      <w:pPr>
        <w:pStyle w:val="SingleTxt"/>
        <w:spacing w:after="0" w:line="120" w:lineRule="exact"/>
        <w:rPr>
          <w:sz w:val="10"/>
          <w:lang w:val="fr-FR"/>
        </w:rPr>
      </w:pPr>
    </w:p>
    <w:p w:rsidR="00C06068" w:rsidRPr="00654C95"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556"/>
        <w:gridCol w:w="1360"/>
        <w:gridCol w:w="1044"/>
        <w:gridCol w:w="1890"/>
        <w:gridCol w:w="1520"/>
      </w:tblGrid>
      <w:tr w:rsidR="00C06068" w:rsidRPr="00FC6584" w:rsidTr="007F3574">
        <w:trPr>
          <w:trHeight w:val="240"/>
          <w:tblHeader/>
        </w:trPr>
        <w:tc>
          <w:tcPr>
            <w:tcW w:w="155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Pays</w:t>
            </w:r>
          </w:p>
        </w:tc>
        <w:tc>
          <w:tcPr>
            <w:tcW w:w="136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104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8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52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Mois/année de séjour</w:t>
            </w:r>
          </w:p>
        </w:tc>
      </w:tr>
      <w:tr w:rsidR="00C06068" w:rsidRPr="00FC6584" w:rsidTr="007F3574">
        <w:trPr>
          <w:trHeight w:val="240"/>
        </w:trPr>
        <w:tc>
          <w:tcPr>
            <w:tcW w:w="1556"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Seychelles</w:t>
            </w:r>
          </w:p>
        </w:tc>
        <w:tc>
          <w:tcPr>
            <w:tcW w:w="136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260</w:t>
            </w:r>
          </w:p>
        </w:tc>
        <w:tc>
          <w:tcPr>
            <w:tcW w:w="104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w:t>
            </w:r>
          </w:p>
        </w:tc>
        <w:tc>
          <w:tcPr>
            <w:tcW w:w="18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212</w:t>
            </w:r>
          </w:p>
        </w:tc>
        <w:tc>
          <w:tcPr>
            <w:tcW w:w="152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5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Maurice</w:t>
            </w:r>
          </w:p>
        </w:tc>
        <w:tc>
          <w:tcPr>
            <w:tcW w:w="13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881</w:t>
            </w:r>
          </w:p>
        </w:tc>
        <w:tc>
          <w:tcPr>
            <w:tcW w:w="10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602</w:t>
            </w: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279</w:t>
            </w:r>
          </w:p>
        </w:tc>
        <w:tc>
          <w:tcPr>
            <w:tcW w:w="152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à 5 ans</w:t>
            </w:r>
          </w:p>
        </w:tc>
      </w:tr>
      <w:tr w:rsidR="00C06068" w:rsidRPr="00FC6584" w:rsidTr="007F3574">
        <w:trPr>
          <w:trHeight w:val="240"/>
        </w:trPr>
        <w:tc>
          <w:tcPr>
            <w:tcW w:w="155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Oman</w:t>
            </w:r>
          </w:p>
        </w:tc>
        <w:tc>
          <w:tcPr>
            <w:tcW w:w="13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0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52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5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Arabie </w:t>
            </w:r>
            <w:r>
              <w:rPr>
                <w:sz w:val="17"/>
                <w:lang w:val="fr-FR"/>
              </w:rPr>
              <w:t>s</w:t>
            </w:r>
            <w:r w:rsidRPr="00917E2F">
              <w:rPr>
                <w:sz w:val="17"/>
                <w:lang w:val="fr-FR"/>
              </w:rPr>
              <w:t xml:space="preserve">aoudite </w:t>
            </w:r>
          </w:p>
        </w:tc>
        <w:tc>
          <w:tcPr>
            <w:tcW w:w="13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360</w:t>
            </w:r>
          </w:p>
        </w:tc>
        <w:tc>
          <w:tcPr>
            <w:tcW w:w="10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360</w:t>
            </w:r>
          </w:p>
        </w:tc>
        <w:tc>
          <w:tcPr>
            <w:tcW w:w="152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5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Koweït </w:t>
            </w:r>
          </w:p>
        </w:tc>
        <w:tc>
          <w:tcPr>
            <w:tcW w:w="1360" w:type="dxa"/>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b/>
                <w:sz w:val="17"/>
                <w:lang w:val="fr-FR"/>
              </w:rPr>
              <w:t> </w:t>
            </w:r>
            <w:r w:rsidRPr="00256056">
              <w:rPr>
                <w:sz w:val="17"/>
                <w:lang w:val="fr-FR"/>
              </w:rPr>
              <w:t>626</w:t>
            </w:r>
          </w:p>
        </w:tc>
        <w:tc>
          <w:tcPr>
            <w:tcW w:w="10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 xml:space="preserve">626 </w:t>
            </w:r>
            <w:r>
              <w:rPr>
                <w:sz w:val="17"/>
                <w:lang w:val="fr-FR"/>
              </w:rPr>
              <w:br/>
            </w:r>
            <w:r w:rsidRPr="00256056">
              <w:rPr>
                <w:sz w:val="17"/>
                <w:lang w:val="fr-FR"/>
              </w:rPr>
              <w:t>(1 double utilisation)</w:t>
            </w:r>
          </w:p>
        </w:tc>
        <w:tc>
          <w:tcPr>
            <w:tcW w:w="152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1556"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France </w:t>
            </w:r>
          </w:p>
        </w:tc>
        <w:tc>
          <w:tcPr>
            <w:tcW w:w="13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w:t>
            </w:r>
          </w:p>
        </w:tc>
        <w:tc>
          <w:tcPr>
            <w:tcW w:w="10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w:t>
            </w:r>
          </w:p>
        </w:tc>
        <w:tc>
          <w:tcPr>
            <w:tcW w:w="152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mois à 1 an</w:t>
            </w:r>
          </w:p>
        </w:tc>
      </w:tr>
      <w:tr w:rsidR="00C06068" w:rsidRPr="00FC6584" w:rsidTr="007F3574">
        <w:trPr>
          <w:trHeight w:val="240"/>
        </w:trPr>
        <w:tc>
          <w:tcPr>
            <w:tcW w:w="1556"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 xml:space="preserve">Jordanie </w:t>
            </w:r>
          </w:p>
        </w:tc>
        <w:tc>
          <w:tcPr>
            <w:tcW w:w="1360" w:type="dxa"/>
            <w:tcBorders>
              <w:bottom w:val="single" w:sz="4"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73</w:t>
            </w:r>
          </w:p>
        </w:tc>
        <w:tc>
          <w:tcPr>
            <w:tcW w:w="1044" w:type="dxa"/>
            <w:tcBorders>
              <w:bottom w:val="single" w:sz="4"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19</w:t>
            </w:r>
          </w:p>
        </w:tc>
        <w:tc>
          <w:tcPr>
            <w:tcW w:w="18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 xml:space="preserve">54 </w:t>
            </w:r>
            <w:r>
              <w:rPr>
                <w:sz w:val="17"/>
                <w:lang w:val="fr-FR"/>
              </w:rPr>
              <w:br/>
            </w:r>
            <w:r w:rsidRPr="00256056">
              <w:rPr>
                <w:sz w:val="17"/>
                <w:lang w:val="fr-FR"/>
              </w:rPr>
              <w:t>(1 double utilisation)</w:t>
            </w:r>
          </w:p>
        </w:tc>
        <w:tc>
          <w:tcPr>
            <w:tcW w:w="1520" w:type="dxa"/>
            <w:tcBorders>
              <w:bottom w:val="single" w:sz="4"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 ans</w:t>
            </w:r>
          </w:p>
        </w:tc>
      </w:tr>
      <w:tr w:rsidR="00C06068" w:rsidRPr="00654C95" w:rsidTr="007F3574">
        <w:trPr>
          <w:trHeight w:val="240"/>
        </w:trPr>
        <w:tc>
          <w:tcPr>
            <w:tcW w:w="1556" w:type="dxa"/>
            <w:tcBorders>
              <w:top w:val="single" w:sz="4" w:space="0" w:color="auto"/>
              <w:bottom w:val="single" w:sz="12" w:space="0" w:color="auto"/>
            </w:tcBorders>
            <w:shd w:val="clear" w:color="auto" w:fill="auto"/>
          </w:tcPr>
          <w:p w:rsidR="00C06068" w:rsidRPr="00654C95"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654C95">
              <w:rPr>
                <w:b/>
                <w:sz w:val="17"/>
                <w:lang w:val="fr-FR"/>
              </w:rPr>
              <w:t>Total</w:t>
            </w:r>
          </w:p>
        </w:tc>
        <w:tc>
          <w:tcPr>
            <w:tcW w:w="136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3</w:t>
            </w:r>
            <w:r>
              <w:rPr>
                <w:b/>
                <w:sz w:val="17"/>
                <w:lang w:val="fr-FR"/>
              </w:rPr>
              <w:t> </w:t>
            </w:r>
            <w:r w:rsidRPr="00654C95">
              <w:rPr>
                <w:b/>
                <w:sz w:val="17"/>
                <w:lang w:val="fr-FR"/>
              </w:rPr>
              <w:t>226</w:t>
            </w:r>
          </w:p>
        </w:tc>
        <w:tc>
          <w:tcPr>
            <w:tcW w:w="1044"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669</w:t>
            </w:r>
          </w:p>
        </w:tc>
        <w:tc>
          <w:tcPr>
            <w:tcW w:w="189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2</w:t>
            </w:r>
            <w:r>
              <w:rPr>
                <w:b/>
                <w:sz w:val="17"/>
                <w:lang w:val="fr-FR"/>
              </w:rPr>
              <w:t xml:space="preserve"> </w:t>
            </w:r>
            <w:r w:rsidRPr="00654C95">
              <w:rPr>
                <w:b/>
                <w:sz w:val="17"/>
                <w:lang w:val="fr-FR"/>
              </w:rPr>
              <w:t>557</w:t>
            </w:r>
          </w:p>
        </w:tc>
        <w:tc>
          <w:tcPr>
            <w:tcW w:w="1520"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bookmarkStart w:id="91" w:name="_Toc377129311"/>
    </w:p>
    <w:p w:rsidR="00C06068" w:rsidRDefault="00C06068" w:rsidP="00C06068">
      <w:pPr>
        <w:pStyle w:val="FootnoteText"/>
        <w:tabs>
          <w:tab w:val="right" w:pos="1476"/>
          <w:tab w:val="left" w:pos="1548"/>
          <w:tab w:val="right" w:pos="1836"/>
          <w:tab w:val="left" w:pos="1908"/>
        </w:tabs>
        <w:ind w:left="1548" w:right="1267" w:hanging="288"/>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654C95" w:rsidRDefault="00C06068" w:rsidP="00C06068">
      <w:pPr>
        <w:pStyle w:val="SingleTxt"/>
        <w:spacing w:after="0" w:line="120" w:lineRule="exact"/>
        <w:rPr>
          <w:b/>
          <w:sz w:val="10"/>
          <w:lang w:val="fr-FR"/>
        </w:rPr>
      </w:pPr>
    </w:p>
    <w:p w:rsidR="00C06068" w:rsidRPr="00654C9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654C95">
        <w:rPr>
          <w:b w:val="0"/>
          <w:lang w:val="fr-FR"/>
        </w:rPr>
        <w:t>Tableau 25</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Secteurs d</w:t>
      </w:r>
      <w:r>
        <w:rPr>
          <w:lang w:val="fr-FR"/>
        </w:rPr>
        <w:t>’</w:t>
      </w:r>
      <w:r w:rsidRPr="00521891">
        <w:rPr>
          <w:lang w:val="fr-FR"/>
        </w:rPr>
        <w:t>activité des émigrés en 2012</w:t>
      </w:r>
      <w:bookmarkEnd w:id="91"/>
    </w:p>
    <w:p w:rsidR="00C06068" w:rsidRPr="00654C95" w:rsidRDefault="00C06068" w:rsidP="00C06068">
      <w:pPr>
        <w:pStyle w:val="SingleTxt"/>
        <w:spacing w:after="0" w:line="120" w:lineRule="exact"/>
        <w:rPr>
          <w:sz w:val="10"/>
          <w:lang w:val="fr-FR"/>
        </w:rPr>
      </w:pPr>
    </w:p>
    <w:p w:rsidR="00C06068" w:rsidRPr="00654C95"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2218"/>
        <w:gridCol w:w="1791"/>
        <w:gridCol w:w="1757"/>
        <w:gridCol w:w="1604"/>
      </w:tblGrid>
      <w:tr w:rsidR="00C06068" w:rsidRPr="00FC6584" w:rsidTr="007F3574">
        <w:trPr>
          <w:trHeight w:val="240"/>
          <w:tblHeader/>
        </w:trPr>
        <w:tc>
          <w:tcPr>
            <w:tcW w:w="221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Emploi</w:t>
            </w:r>
          </w:p>
        </w:tc>
        <w:tc>
          <w:tcPr>
            <w:tcW w:w="1791"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75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60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Durée</w:t>
            </w:r>
          </w:p>
        </w:tc>
      </w:tr>
      <w:tr w:rsidR="00C06068" w:rsidRPr="00FC6584" w:rsidTr="007F3574">
        <w:trPr>
          <w:trHeight w:val="240"/>
        </w:trPr>
        <w:tc>
          <w:tcPr>
            <w:tcW w:w="2218"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 de ménage</w:t>
            </w:r>
          </w:p>
        </w:tc>
        <w:tc>
          <w:tcPr>
            <w:tcW w:w="1791"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xml:space="preserve"> </w:t>
            </w:r>
            <w:r w:rsidRPr="00256056">
              <w:rPr>
                <w:sz w:val="17"/>
                <w:lang w:val="fr-FR"/>
              </w:rPr>
              <w:t>990</w:t>
            </w:r>
          </w:p>
        </w:tc>
        <w:tc>
          <w:tcPr>
            <w:tcW w:w="160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w:t>
            </w:r>
            <w:r w:rsidRPr="00256056">
              <w:rPr>
                <w:sz w:val="17"/>
                <w:lang w:val="fr-FR"/>
              </w:rPr>
              <w:t>2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Ouvrier manuel</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24</w:t>
            </w:r>
          </w:p>
        </w:tc>
        <w:tc>
          <w:tcPr>
            <w:tcW w:w="1604" w:type="dxa"/>
            <w:vMerge w:val="restart"/>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Food and beverage manager</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Agent de sécurité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Executive chef</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Executive housekeeper</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Chief steward</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Security manager</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Pareuse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37</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203</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Sewing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30</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machine</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387</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123</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Ouvrier(ère</w:t>
            </w:r>
            <w:r w:rsidRPr="00917E2F">
              <w:rPr>
                <w:sz w:val="17"/>
                <w:lang w:val="fr-FR"/>
              </w:rPr>
              <w:t>) 1</w:t>
            </w:r>
            <w:r w:rsidRPr="006650C6">
              <w:rPr>
                <w:sz w:val="17"/>
                <w:vertAlign w:val="superscript"/>
                <w:lang w:val="fr-FR"/>
              </w:rPr>
              <w:t>re</w:t>
            </w:r>
            <w:r w:rsidRPr="00917E2F">
              <w:rPr>
                <w:sz w:val="17"/>
                <w:lang w:val="fr-FR"/>
              </w:rPr>
              <w:t xml:space="preserve"> année</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à 5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Machiniste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122</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Coloriste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Développeur Web</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Gargotier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Lavage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Opérateur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40</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ans et 6 mois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hand sanding</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Ouvrier(</w:t>
            </w:r>
            <w:r>
              <w:rPr>
                <w:sz w:val="17"/>
                <w:lang w:val="fr-FR"/>
              </w:rPr>
              <w:t>ère</w:t>
            </w:r>
            <w:r w:rsidRPr="00917E2F">
              <w:rPr>
                <w:sz w:val="17"/>
                <w:lang w:val="fr-FR"/>
              </w:rPr>
              <w:t xml:space="preserv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Packing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Superviseur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Sé</w:t>
            </w:r>
            <w:r w:rsidRPr="00917E2F">
              <w:rPr>
                <w:sz w:val="17"/>
                <w:lang w:val="fr-FR"/>
              </w:rPr>
              <w:t xml:space="preserve">rigraphe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ans</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Inspection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p>
        </w:tc>
        <w:tc>
          <w:tcPr>
            <w:tcW w:w="1604" w:type="dxa"/>
            <w:vMerge w:val="restart"/>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xml:space="preserve">3ans </w:t>
            </w: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Interprète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K</w:t>
            </w:r>
            <w:r w:rsidRPr="00917E2F">
              <w:rPr>
                <w:sz w:val="17"/>
                <w:lang w:val="fr-FR"/>
              </w:rPr>
              <w:t xml:space="preserve">nitting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Loop manche</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Looping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14</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Mending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Opérateur robot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Opérateur shima</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Overlock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Rembobinage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Shima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Stitching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Surejet looping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Tcheking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GIP</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Assemblage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Cuisinier </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604"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Non mentionné</w:t>
            </w:r>
          </w:p>
        </w:tc>
        <w:tc>
          <w:tcPr>
            <w:tcW w:w="179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7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p>
        </w:tc>
        <w:tc>
          <w:tcPr>
            <w:tcW w:w="16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FC6584" w:rsidTr="007F3574">
        <w:trPr>
          <w:trHeight w:val="240"/>
        </w:trPr>
        <w:tc>
          <w:tcPr>
            <w:tcW w:w="2218"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 xml:space="preserve">Formatrice </w:t>
            </w:r>
          </w:p>
        </w:tc>
        <w:tc>
          <w:tcPr>
            <w:tcW w:w="1791"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75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22</w:t>
            </w:r>
          </w:p>
        </w:tc>
        <w:tc>
          <w:tcPr>
            <w:tcW w:w="1604"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3 mois</w:t>
            </w:r>
          </w:p>
        </w:tc>
      </w:tr>
      <w:tr w:rsidR="00C06068" w:rsidRPr="00654C95" w:rsidTr="007F3574">
        <w:trPr>
          <w:trHeight w:val="240"/>
        </w:trPr>
        <w:tc>
          <w:tcPr>
            <w:tcW w:w="2218" w:type="dxa"/>
            <w:tcBorders>
              <w:top w:val="single" w:sz="4" w:space="0" w:color="auto"/>
              <w:bottom w:val="single" w:sz="12" w:space="0" w:color="auto"/>
            </w:tcBorders>
            <w:shd w:val="clear" w:color="auto" w:fill="auto"/>
          </w:tcPr>
          <w:p w:rsidR="00C06068" w:rsidRPr="00654C95"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654C95">
              <w:rPr>
                <w:b/>
                <w:sz w:val="17"/>
                <w:lang w:val="fr-FR"/>
              </w:rPr>
              <w:t>Total</w:t>
            </w:r>
          </w:p>
        </w:tc>
        <w:tc>
          <w:tcPr>
            <w:tcW w:w="1791"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669</w:t>
            </w:r>
          </w:p>
        </w:tc>
        <w:tc>
          <w:tcPr>
            <w:tcW w:w="1757"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654C95">
              <w:rPr>
                <w:b/>
                <w:sz w:val="17"/>
                <w:lang w:val="fr-FR"/>
              </w:rPr>
              <w:t>2 557</w:t>
            </w:r>
          </w:p>
        </w:tc>
        <w:tc>
          <w:tcPr>
            <w:tcW w:w="1604"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p>
        </w:tc>
      </w:tr>
    </w:tbl>
    <w:p w:rsidR="00C06068" w:rsidRPr="007C022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267" w:right="1267"/>
        <w:rPr>
          <w:lang w:val="fr-FR"/>
        </w:rPr>
      </w:pPr>
      <w:r w:rsidRPr="007C0220">
        <w:rPr>
          <w:i/>
          <w:lang w:val="fr-FR"/>
        </w:rPr>
        <w:t>Source</w:t>
      </w:r>
      <w:r w:rsidRPr="00917E2F">
        <w:rPr>
          <w:lang w:val="fr-FR"/>
        </w:rPr>
        <w:t> :</w:t>
      </w:r>
      <w:r w:rsidRPr="00521891">
        <w:rPr>
          <w:lang w:val="fr-FR"/>
        </w:rPr>
        <w:t xml:space="preserve"> MINFOPTLS</w:t>
      </w:r>
      <w:r>
        <w:rPr>
          <w:lang w:val="fr-FR"/>
        </w:rPr>
        <w:t>.</w:t>
      </w:r>
    </w:p>
    <w:p w:rsidR="00C06068" w:rsidRPr="00654C95" w:rsidRDefault="00C06068" w:rsidP="00C06068">
      <w:pPr>
        <w:pStyle w:val="FootnoteText"/>
        <w:tabs>
          <w:tab w:val="right" w:pos="1476"/>
          <w:tab w:val="left" w:pos="1548"/>
          <w:tab w:val="right" w:pos="1836"/>
          <w:tab w:val="left" w:pos="1908"/>
        </w:tabs>
        <w:spacing w:line="120" w:lineRule="exact"/>
        <w:ind w:left="1267" w:right="1267"/>
        <w:rPr>
          <w:sz w:val="10"/>
          <w:lang w:val="fr-FR"/>
        </w:rPr>
      </w:pPr>
    </w:p>
    <w:p w:rsidR="00C06068" w:rsidRPr="00654C95" w:rsidRDefault="00C06068" w:rsidP="00C06068">
      <w:pPr>
        <w:pStyle w:val="FootnoteText"/>
        <w:tabs>
          <w:tab w:val="right" w:pos="1476"/>
          <w:tab w:val="left" w:pos="1548"/>
          <w:tab w:val="right" w:pos="1836"/>
          <w:tab w:val="left" w:pos="1908"/>
        </w:tabs>
        <w:spacing w:line="120" w:lineRule="exact"/>
        <w:ind w:left="1267" w:right="1267"/>
        <w:rPr>
          <w:sz w:val="10"/>
          <w:lang w:val="fr-FR"/>
        </w:rPr>
      </w:pPr>
    </w:p>
    <w:p w:rsidR="00C06068" w:rsidRPr="00521891" w:rsidRDefault="00C06068" w:rsidP="00C06068">
      <w:pPr>
        <w:pStyle w:val="SingleTxt"/>
        <w:numPr>
          <w:ilvl w:val="0"/>
          <w:numId w:val="10"/>
        </w:numPr>
        <w:rPr>
          <w:lang w:val="fr-FR"/>
        </w:rPr>
      </w:pPr>
      <w:r w:rsidRPr="00521891">
        <w:rPr>
          <w:lang w:val="fr-FR"/>
        </w:rPr>
        <w:t xml:space="preserve">Des mesures </w:t>
      </w:r>
      <w:r>
        <w:rPr>
          <w:lang w:val="fr-FR"/>
        </w:rPr>
        <w:t>réglementaire</w:t>
      </w:r>
      <w:r w:rsidRPr="00521891">
        <w:rPr>
          <w:lang w:val="fr-FR"/>
        </w:rPr>
        <w:t>s ont été prises pour assurer le suivi-évaluation des situations des travailleurs migrants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Décret n</w:t>
      </w:r>
      <w:r w:rsidRPr="00521891">
        <w:rPr>
          <w:vertAlign w:val="superscript"/>
          <w:lang w:val="fr-FR"/>
        </w:rPr>
        <w:t>o</w:t>
      </w:r>
      <w:r>
        <w:rPr>
          <w:vertAlign w:val="superscript"/>
          <w:lang w:val="fr-FR"/>
        </w:rPr>
        <w:t> </w:t>
      </w:r>
      <w:r w:rsidRPr="00521891">
        <w:rPr>
          <w:lang w:val="fr-FR"/>
        </w:rPr>
        <w:t>2005/396 du 28 juin 2005 fixant les conditions et modalités d</w:t>
      </w:r>
      <w:r>
        <w:rPr>
          <w:lang w:val="fr-FR"/>
        </w:rPr>
        <w:t>’</w:t>
      </w:r>
      <w:r w:rsidRPr="00521891">
        <w:rPr>
          <w:lang w:val="fr-FR"/>
        </w:rPr>
        <w:t>exercices des bureaux de placements privés et les modalités d</w:t>
      </w:r>
      <w:r>
        <w:rPr>
          <w:lang w:val="fr-FR"/>
        </w:rPr>
        <w:t>’</w:t>
      </w:r>
      <w:r w:rsidRPr="00521891">
        <w:rPr>
          <w:lang w:val="fr-FR"/>
        </w:rPr>
        <w:t>octroi et de retrait d</w:t>
      </w:r>
      <w:r>
        <w:rPr>
          <w:lang w:val="fr-FR"/>
        </w:rPr>
        <w:t>’</w:t>
      </w:r>
      <w:r w:rsidRPr="00521891">
        <w:rPr>
          <w:lang w:val="fr-FR"/>
        </w:rPr>
        <w:t>agrément et les textes subséquents;</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Arrêté n</w:t>
      </w:r>
      <w:r w:rsidRPr="00521891">
        <w:rPr>
          <w:vertAlign w:val="superscript"/>
          <w:lang w:val="fr-FR"/>
        </w:rPr>
        <w:t>o</w:t>
      </w:r>
      <w:r>
        <w:rPr>
          <w:vertAlign w:val="superscript"/>
          <w:lang w:val="fr-FR"/>
        </w:rPr>
        <w:t> </w:t>
      </w:r>
      <w:r w:rsidRPr="00521891">
        <w:rPr>
          <w:lang w:val="fr-FR"/>
        </w:rPr>
        <w:t>01-013/2010 du 10 février 2010 fixant les modalités d</w:t>
      </w:r>
      <w:r>
        <w:rPr>
          <w:lang w:val="fr-FR"/>
        </w:rPr>
        <w:t>’</w:t>
      </w:r>
      <w:r w:rsidRPr="00521891">
        <w:rPr>
          <w:lang w:val="fr-FR"/>
        </w:rPr>
        <w:t>octroi et de retrait d</w:t>
      </w:r>
      <w:r>
        <w:rPr>
          <w:lang w:val="fr-FR"/>
        </w:rPr>
        <w:t>’</w:t>
      </w:r>
      <w:r w:rsidRPr="00521891">
        <w:rPr>
          <w:lang w:val="fr-FR"/>
        </w:rPr>
        <w:t>agrément des bureaux de placements privés.</w:t>
      </w:r>
    </w:p>
    <w:p w:rsidR="00C06068" w:rsidRDefault="00C06068" w:rsidP="00C06068">
      <w:pPr>
        <w:pStyle w:val="SingleTxt"/>
        <w:numPr>
          <w:ilvl w:val="0"/>
          <w:numId w:val="10"/>
        </w:numPr>
        <w:rPr>
          <w:lang w:val="fr-FR"/>
        </w:rPr>
      </w:pPr>
      <w:r w:rsidRPr="00521891">
        <w:rPr>
          <w:lang w:val="fr-FR"/>
        </w:rPr>
        <w:t>La législation nationale, reconnaissant le droit au congé de maternité, tant dans le secteur public que privé</w:t>
      </w:r>
      <w:r>
        <w:rPr>
          <w:lang w:val="fr-FR"/>
        </w:rPr>
        <w:t>,</w:t>
      </w:r>
      <w:r w:rsidRPr="00521891">
        <w:rPr>
          <w:lang w:val="fr-FR"/>
        </w:rPr>
        <w:t xml:space="preserve"> n</w:t>
      </w:r>
      <w:r>
        <w:rPr>
          <w:lang w:val="fr-FR"/>
        </w:rPr>
        <w:t>’</w:t>
      </w:r>
      <w:r w:rsidRPr="00521891">
        <w:rPr>
          <w:lang w:val="fr-FR"/>
        </w:rPr>
        <w:t>admet pas le licenciement pour motif de grossesse. L</w:t>
      </w:r>
      <w:r>
        <w:rPr>
          <w:lang w:val="fr-FR"/>
        </w:rPr>
        <w:t>’</w:t>
      </w:r>
      <w:r w:rsidRPr="00521891">
        <w:rPr>
          <w:lang w:val="fr-FR"/>
        </w:rPr>
        <w:t xml:space="preserve">article 94 du Code du </w:t>
      </w:r>
      <w:r>
        <w:rPr>
          <w:lang w:val="fr-FR"/>
        </w:rPr>
        <w:t>t</w:t>
      </w:r>
      <w:r w:rsidRPr="00521891">
        <w:rPr>
          <w:lang w:val="fr-FR"/>
        </w:rPr>
        <w:t xml:space="preserve">ravail dispose que : </w:t>
      </w:r>
      <w:r>
        <w:rPr>
          <w:lang w:val="fr-FR"/>
        </w:rPr>
        <w:t>« </w:t>
      </w:r>
      <w:r w:rsidRPr="00521891">
        <w:rPr>
          <w:lang w:val="fr-FR"/>
        </w:rPr>
        <w:t>Une femme candidate à l</w:t>
      </w:r>
      <w:r>
        <w:rPr>
          <w:lang w:val="fr-FR"/>
        </w:rPr>
        <w:t>’</w:t>
      </w:r>
      <w:r w:rsidRPr="00521891">
        <w:rPr>
          <w:lang w:val="fr-FR"/>
        </w:rPr>
        <w:t>emploi n</w:t>
      </w:r>
      <w:r>
        <w:rPr>
          <w:lang w:val="fr-FR"/>
        </w:rPr>
        <w:t>’</w:t>
      </w:r>
      <w:r w:rsidRPr="00521891">
        <w:rPr>
          <w:lang w:val="fr-FR"/>
        </w:rPr>
        <w:t>est pas tenue de déclarer son état de grossesse. L</w:t>
      </w:r>
      <w:r>
        <w:rPr>
          <w:lang w:val="fr-FR"/>
        </w:rPr>
        <w:t>’</w:t>
      </w:r>
      <w:r w:rsidRPr="00521891">
        <w:rPr>
          <w:lang w:val="fr-FR"/>
        </w:rPr>
        <w:t>état de grossesse ne doit pas être pris en considération pour résilier un contrat de travail au cours de la période d</w:t>
      </w:r>
      <w:r>
        <w:rPr>
          <w:lang w:val="fr-FR"/>
        </w:rPr>
        <w:t>’</w:t>
      </w:r>
      <w:r w:rsidRPr="00521891">
        <w:rPr>
          <w:lang w:val="fr-FR"/>
        </w:rPr>
        <w:t>essai</w:t>
      </w:r>
      <w:r>
        <w:rPr>
          <w:lang w:val="fr-FR"/>
        </w:rPr>
        <w:t> » :</w:t>
      </w:r>
    </w:p>
    <w:p w:rsidR="00C06068" w:rsidRPr="006650C6" w:rsidRDefault="00C06068" w:rsidP="00C06068">
      <w:pPr>
        <w:pStyle w:val="SingleTxt"/>
        <w:ind w:left="1742" w:hanging="475"/>
        <w:rPr>
          <w:i/>
          <w:lang w:val="fr-FR"/>
        </w:rPr>
      </w:pPr>
      <w:r>
        <w:rPr>
          <w:i/>
          <w:lang w:val="fr-FR"/>
        </w:rPr>
        <w:tab/>
      </w:r>
      <w:r w:rsidRPr="006650C6">
        <w:rPr>
          <w:i/>
          <w:lang w:val="fr-FR"/>
        </w:rPr>
        <w:t>Article 95</w:t>
      </w:r>
      <w:r>
        <w:rPr>
          <w:i/>
          <w:lang w:val="fr-FR"/>
        </w:rPr>
        <w:t xml:space="preserve"> – </w:t>
      </w:r>
      <w:r w:rsidRPr="006650C6">
        <w:rPr>
          <w:i/>
          <w:lang w:val="fr-FR"/>
        </w:rPr>
        <w:t>« Aucun employeur ne peut résilier le contrat de travail d</w:t>
      </w:r>
      <w:r>
        <w:rPr>
          <w:i/>
          <w:lang w:val="fr-FR"/>
        </w:rPr>
        <w:t>’</w:t>
      </w:r>
      <w:r w:rsidRPr="006650C6">
        <w:rPr>
          <w:i/>
          <w:lang w:val="fr-FR"/>
        </w:rPr>
        <w:t>une femme salariée lors qu</w:t>
      </w:r>
      <w:r>
        <w:rPr>
          <w:i/>
          <w:lang w:val="fr-FR"/>
        </w:rPr>
        <w:t>’</w:t>
      </w:r>
      <w:r w:rsidRPr="006650C6">
        <w:rPr>
          <w:i/>
          <w:lang w:val="fr-FR"/>
        </w:rPr>
        <w:t>elle est en état de grossesse constaté médicalement ».</w:t>
      </w:r>
    </w:p>
    <w:p w:rsidR="00C06068" w:rsidRPr="00521891" w:rsidRDefault="00C06068" w:rsidP="00C06068">
      <w:pPr>
        <w:pStyle w:val="SingleTxt"/>
        <w:numPr>
          <w:ilvl w:val="0"/>
          <w:numId w:val="10"/>
        </w:numPr>
        <w:rPr>
          <w:lang w:val="fr-FR"/>
        </w:rPr>
      </w:pPr>
      <w:r w:rsidRPr="00521891">
        <w:rPr>
          <w:lang w:val="fr-FR"/>
        </w:rPr>
        <w:t>Cependant, dans la pratique</w:t>
      </w:r>
      <w:r>
        <w:rPr>
          <w:lang w:val="fr-FR"/>
        </w:rPr>
        <w:t>,</w:t>
      </w:r>
      <w:r w:rsidRPr="00521891">
        <w:rPr>
          <w:lang w:val="fr-FR"/>
        </w:rPr>
        <w:t xml:space="preserve"> certaines entreprises franches préfèrent lors des recrutements embaucher des femmes non enceintes.</w:t>
      </w:r>
    </w:p>
    <w:p w:rsidR="00C06068" w:rsidRPr="00521891" w:rsidRDefault="00C06068" w:rsidP="00C06068">
      <w:pPr>
        <w:pStyle w:val="SingleTxt"/>
        <w:numPr>
          <w:ilvl w:val="0"/>
          <w:numId w:val="10"/>
        </w:numPr>
        <w:rPr>
          <w:lang w:val="fr-FR"/>
        </w:rPr>
      </w:pPr>
      <w:r w:rsidRPr="00521891">
        <w:rPr>
          <w:lang w:val="fr-FR"/>
        </w:rPr>
        <w:t>Par ailleurs, rares sont les cas de licenciement motivés par la grossesse portés devant les tribunaux de travail.</w:t>
      </w:r>
    </w:p>
    <w:p w:rsidR="00C06068" w:rsidRPr="00581EA7" w:rsidRDefault="00C06068" w:rsidP="00C06068">
      <w:pPr>
        <w:pStyle w:val="SingleTxt"/>
        <w:spacing w:after="0" w:line="120" w:lineRule="exact"/>
        <w:rPr>
          <w:sz w:val="10"/>
          <w:lang w:val="fr-FR"/>
        </w:rPr>
      </w:pPr>
      <w:bookmarkStart w:id="92" w:name="_Toc376709329"/>
    </w:p>
    <w:p w:rsidR="00C06068" w:rsidRPr="00581EA7" w:rsidRDefault="00C06068" w:rsidP="00C06068">
      <w:pPr>
        <w:pStyle w:val="SingleTxt"/>
        <w:spacing w:after="0" w:line="120" w:lineRule="exact"/>
        <w:rPr>
          <w:sz w:val="10"/>
          <w:lang w:val="fr-FR"/>
        </w:rPr>
      </w:pPr>
    </w:p>
    <w:p w:rsidR="00C06068"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12 de la Convention : égalité </w:t>
      </w:r>
      <w:r>
        <w:rPr>
          <w:lang w:val="fr-FR"/>
        </w:rPr>
        <w:br/>
      </w:r>
      <w:r w:rsidRPr="00521891">
        <w:rPr>
          <w:lang w:val="fr-FR"/>
        </w:rPr>
        <w:t>de l</w:t>
      </w:r>
      <w:r>
        <w:rPr>
          <w:lang w:val="fr-FR"/>
        </w:rPr>
        <w:t>’</w:t>
      </w:r>
      <w:r w:rsidRPr="00521891">
        <w:rPr>
          <w:lang w:val="fr-FR"/>
        </w:rPr>
        <w:t>accès aux soins de santé</w:t>
      </w:r>
      <w:bookmarkEnd w:id="92"/>
    </w:p>
    <w:p w:rsidR="00C06068" w:rsidRDefault="00C06068" w:rsidP="00C06068">
      <w:pPr>
        <w:pStyle w:val="SingleTxt"/>
        <w:spacing w:after="0" w:line="120" w:lineRule="exact"/>
        <w:rPr>
          <w:sz w:val="10"/>
          <w:lang w:val="fr-FR"/>
        </w:rPr>
      </w:pPr>
    </w:p>
    <w:p w:rsidR="00C06068" w:rsidRPr="00654C95" w:rsidRDefault="00C06068" w:rsidP="00C06068">
      <w:pPr>
        <w:pStyle w:val="SingleTxt"/>
        <w:spacing w:after="0" w:line="120" w:lineRule="exact"/>
        <w:rPr>
          <w:sz w:val="10"/>
          <w:lang w:val="fr-FR"/>
        </w:rPr>
      </w:pPr>
    </w:p>
    <w:p w:rsidR="00C06068" w:rsidRPr="00521891" w:rsidRDefault="00C06068" w:rsidP="00C06068">
      <w:pPr>
        <w:pStyle w:val="SingleTxt"/>
        <w:rPr>
          <w:lang w:val="fr-FR"/>
        </w:rPr>
      </w:pPr>
      <w:r w:rsidRPr="00521891">
        <w:rPr>
          <w:lang w:val="fr-FR"/>
        </w:rPr>
        <w:t>(</w:t>
      </w:r>
      <w:r w:rsidRPr="00CA4846">
        <w:rPr>
          <w:i/>
          <w:lang w:val="fr-FR"/>
        </w:rPr>
        <w:t>Objet de la recommandation dans les paragraphes 15 et 31)</w:t>
      </w:r>
    </w:p>
    <w:p w:rsidR="00C06068" w:rsidRPr="00CA4846" w:rsidRDefault="00C06068" w:rsidP="00C06068">
      <w:pPr>
        <w:pStyle w:val="SingleTxt"/>
        <w:rPr>
          <w:bCs/>
          <w:i/>
          <w:lang w:val="fr-FR"/>
        </w:rPr>
      </w:pPr>
      <w:r>
        <w:rPr>
          <w:bCs/>
          <w:lang w:val="fr-FR"/>
        </w:rPr>
        <w:tab/>
      </w:r>
      <w:r w:rsidRPr="00CA4846">
        <w:rPr>
          <w:bCs/>
          <w:i/>
          <w:lang w:val="fr-FR"/>
        </w:rPr>
        <w:t>Le Comité recommande à l’État partie de prendre, comme le prévoient le paragraphe 1 de l’article 4 de la Convention et la recommandation générale n</w:t>
      </w:r>
      <w:r w:rsidRPr="00CA4846">
        <w:rPr>
          <w:bCs/>
          <w:i/>
          <w:vertAlign w:val="superscript"/>
          <w:lang w:val="fr-FR"/>
        </w:rPr>
        <w:t>o </w:t>
      </w:r>
      <w:r w:rsidRPr="00CA4846">
        <w:rPr>
          <w:bCs/>
          <w:i/>
          <w:lang w:val="fr-FR"/>
        </w:rPr>
        <w:t>25, des mesures temporaires spéciales s’inscrivant dans le cadre d’une stratégie nécessaire pour accélérer la réalisation d’une égalité de fait entre les femmes et les hommes. Il demande à l’État partie d’envisager de recourir à tout un éventail de mesures possibles, notamment quotas, objectifs d’étape, buts et incitations, en particulier en ce qui concerne la mise en œuvre accélérée des articles 7, 8, 10, 11, 12 et 14 de la Convention.</w:t>
      </w:r>
    </w:p>
    <w:p w:rsidR="00C06068" w:rsidRPr="00521891" w:rsidRDefault="00C06068" w:rsidP="00C06068">
      <w:pPr>
        <w:pStyle w:val="SingleTxt"/>
        <w:rPr>
          <w:bCs/>
          <w:lang w:val="fr-FR"/>
        </w:rPr>
      </w:pPr>
      <w:r w:rsidRPr="00CA4846">
        <w:rPr>
          <w:bCs/>
          <w:i/>
          <w:lang w:val="fr-FR"/>
        </w:rPr>
        <w:tab/>
        <w:t>Le Comité recommande à l’État partie de prendre des mesures pour améliorer l’accès des femmes aux soins de santé, en particulier aux soins obstétriques d’urgence et aux services et informations connexes, conformément à l’article 12 de la Convention et à sa recommandation générale n</w:t>
      </w:r>
      <w:r w:rsidRPr="00CA4846">
        <w:rPr>
          <w:bCs/>
          <w:i/>
          <w:vertAlign w:val="superscript"/>
          <w:lang w:val="fr-FR"/>
        </w:rPr>
        <w:t>o </w:t>
      </w:r>
      <w:r w:rsidRPr="00CA4846">
        <w:rPr>
          <w:bCs/>
          <w:i/>
          <w:lang w:val="fr-FR"/>
        </w:rPr>
        <w:t>24 sur la santé des femmes. Il lui demande de mettre à disposition davantage de services d’éducation sexuelle et de santé génésique, y compris en matière de planification familiale, afin de prévenir les grossesses précoces et les avortements clandestins. Il l’encourage à renforcer tous les services de santé, en particulier à l’intention des femmes rurales. Il lui demande de fournir dans son prochain rapport des informations détaillées sur les mesures prises pour améliorer l’accès des femmes aux services et informations en matière de santé, y compris en ce qui concerne l’hygiène sexuelle, la santé génésique et la planification familiale ainsi que sur les effets de ces mesures.</w:t>
      </w:r>
    </w:p>
    <w:p w:rsidR="00C06068" w:rsidRPr="00521891" w:rsidRDefault="00C06068" w:rsidP="00C06068">
      <w:pPr>
        <w:pStyle w:val="SingleTxt"/>
        <w:numPr>
          <w:ilvl w:val="0"/>
          <w:numId w:val="10"/>
        </w:numPr>
        <w:rPr>
          <w:lang w:val="fr-FR"/>
        </w:rPr>
      </w:pPr>
      <w:r w:rsidRPr="00521891">
        <w:rPr>
          <w:lang w:val="fr-FR"/>
        </w:rPr>
        <w:t>Madagascar ne dispose pas encore de mesures spécifiques s</w:t>
      </w:r>
      <w:r>
        <w:rPr>
          <w:lang w:val="fr-FR"/>
        </w:rPr>
        <w:t>’</w:t>
      </w:r>
      <w:r w:rsidRPr="00521891">
        <w:rPr>
          <w:lang w:val="fr-FR"/>
        </w:rPr>
        <w:t>inscrivant dans le cadre d</w:t>
      </w:r>
      <w:r>
        <w:rPr>
          <w:lang w:val="fr-FR"/>
        </w:rPr>
        <w:t>’</w:t>
      </w:r>
      <w:r w:rsidRPr="00521891">
        <w:rPr>
          <w:lang w:val="fr-FR"/>
        </w:rPr>
        <w:t>une stratégie accélérant la réalisation d</w:t>
      </w:r>
      <w:r>
        <w:rPr>
          <w:lang w:val="fr-FR"/>
        </w:rPr>
        <w:t>’</w:t>
      </w:r>
      <w:r w:rsidRPr="00521891">
        <w:rPr>
          <w:lang w:val="fr-FR"/>
        </w:rPr>
        <w:t>une égalité de fait entre femme et homme à travers des quotas.</w:t>
      </w:r>
    </w:p>
    <w:p w:rsidR="00C06068" w:rsidRPr="00521891" w:rsidRDefault="00C06068" w:rsidP="00C06068">
      <w:pPr>
        <w:pStyle w:val="SingleTxt"/>
        <w:numPr>
          <w:ilvl w:val="0"/>
          <w:numId w:val="10"/>
        </w:numPr>
        <w:rPr>
          <w:lang w:val="fr-FR"/>
        </w:rPr>
      </w:pPr>
      <w:r w:rsidRPr="00521891">
        <w:rPr>
          <w:lang w:val="fr-FR"/>
        </w:rPr>
        <w:t>Comme il a été indiqué dans la partie traitant l</w:t>
      </w:r>
      <w:r>
        <w:rPr>
          <w:lang w:val="fr-FR"/>
        </w:rPr>
        <w:t>’</w:t>
      </w:r>
      <w:r w:rsidRPr="00521891">
        <w:rPr>
          <w:lang w:val="fr-FR"/>
        </w:rPr>
        <w:t>application de l</w:t>
      </w:r>
      <w:r>
        <w:rPr>
          <w:lang w:val="fr-FR"/>
        </w:rPr>
        <w:t>’</w:t>
      </w:r>
      <w:r w:rsidRPr="00521891">
        <w:rPr>
          <w:lang w:val="fr-FR"/>
        </w:rPr>
        <w:t>article 7, dans le domaine d</w:t>
      </w:r>
      <w:r>
        <w:rPr>
          <w:lang w:val="fr-FR"/>
        </w:rPr>
        <w:t>’</w:t>
      </w:r>
      <w:r w:rsidRPr="00521891">
        <w:rPr>
          <w:lang w:val="fr-FR"/>
        </w:rPr>
        <w:t>exercice des droits politiques, l</w:t>
      </w:r>
      <w:r>
        <w:rPr>
          <w:lang w:val="fr-FR"/>
        </w:rPr>
        <w:t>’</w:t>
      </w:r>
      <w:r w:rsidRPr="00521891">
        <w:rPr>
          <w:lang w:val="fr-FR"/>
        </w:rPr>
        <w:t>instauration des mesures spéciales est envisagée avec des quotas, des objectifs et des calendriers afin que l</w:t>
      </w:r>
      <w:r>
        <w:rPr>
          <w:lang w:val="fr-FR"/>
        </w:rPr>
        <w:t>’</w:t>
      </w:r>
      <w:r w:rsidRPr="00521891">
        <w:rPr>
          <w:lang w:val="fr-FR"/>
        </w:rPr>
        <w:t>égalité de fait entre homme</w:t>
      </w:r>
      <w:r>
        <w:rPr>
          <w:lang w:val="fr-FR"/>
        </w:rPr>
        <w:t>s</w:t>
      </w:r>
      <w:r w:rsidRPr="00521891">
        <w:rPr>
          <w:lang w:val="fr-FR"/>
        </w:rPr>
        <w:t xml:space="preserve"> et femme</w:t>
      </w:r>
      <w:r>
        <w:rPr>
          <w:lang w:val="fr-FR"/>
        </w:rPr>
        <w:t>s</w:t>
      </w:r>
      <w:r w:rsidRPr="00521891">
        <w:rPr>
          <w:lang w:val="fr-FR"/>
        </w:rPr>
        <w:t xml:space="preserve"> puisse être réalisée en matière d</w:t>
      </w:r>
      <w:r>
        <w:rPr>
          <w:lang w:val="fr-FR"/>
        </w:rPr>
        <w:t>’</w:t>
      </w:r>
      <w:r w:rsidRPr="00521891">
        <w:rPr>
          <w:lang w:val="fr-FR"/>
        </w:rPr>
        <w:t>accès au poste électif.</w:t>
      </w:r>
    </w:p>
    <w:p w:rsidR="00C06068" w:rsidRPr="00521891" w:rsidRDefault="00C06068" w:rsidP="00C06068">
      <w:pPr>
        <w:pStyle w:val="SingleTxt"/>
        <w:numPr>
          <w:ilvl w:val="0"/>
          <w:numId w:val="10"/>
        </w:numPr>
        <w:rPr>
          <w:lang w:val="fr-FR"/>
        </w:rPr>
      </w:pPr>
      <w:r w:rsidRPr="00521891">
        <w:rPr>
          <w:lang w:val="fr-FR"/>
        </w:rPr>
        <w:t>Madagascar dispose d</w:t>
      </w:r>
      <w:r>
        <w:rPr>
          <w:lang w:val="fr-FR"/>
        </w:rPr>
        <w:t>’un Code de la s</w:t>
      </w:r>
      <w:r w:rsidRPr="00521891">
        <w:rPr>
          <w:lang w:val="fr-FR"/>
        </w:rPr>
        <w:t>anté</w:t>
      </w:r>
      <w:r>
        <w:rPr>
          <w:lang w:val="fr-FR"/>
        </w:rPr>
        <w:t>;</w:t>
      </w:r>
      <w:r w:rsidRPr="00521891">
        <w:rPr>
          <w:lang w:val="fr-FR"/>
        </w:rPr>
        <w:t xml:space="preserve"> aux termes de son article 267, il revient à l</w:t>
      </w:r>
      <w:r>
        <w:rPr>
          <w:lang w:val="fr-FR"/>
        </w:rPr>
        <w:t>’</w:t>
      </w:r>
      <w:r w:rsidRPr="00521891">
        <w:rPr>
          <w:lang w:val="fr-FR"/>
        </w:rPr>
        <w:t>État de mettre en place des services sanitaires spéciaux, de qualité et accessibles aux femmes qui présentent des complications liées à la grossesse, à l</w:t>
      </w:r>
      <w:r>
        <w:rPr>
          <w:lang w:val="fr-FR"/>
        </w:rPr>
        <w:t>’accouchement, au post-partum, à la période post</w:t>
      </w:r>
      <w:r w:rsidRPr="00521891">
        <w:rPr>
          <w:lang w:val="fr-FR"/>
        </w:rPr>
        <w:t>natale ainsi qu</w:t>
      </w:r>
      <w:r>
        <w:rPr>
          <w:lang w:val="fr-FR"/>
        </w:rPr>
        <w:t>’</w:t>
      </w:r>
      <w:r w:rsidRPr="00521891">
        <w:rPr>
          <w:lang w:val="fr-FR"/>
        </w:rPr>
        <w:t>à l</w:t>
      </w:r>
      <w:r>
        <w:rPr>
          <w:lang w:val="fr-FR"/>
        </w:rPr>
        <w:t>’avortement</w:t>
      </w:r>
      <w:r w:rsidRPr="00313148">
        <w:rPr>
          <w:vertAlign w:val="superscript"/>
          <w:lang w:val="fr-FR"/>
        </w:rPr>
        <w:footnoteReference w:id="17"/>
      </w:r>
      <w:r>
        <w:rPr>
          <w:lang w:val="fr-FR"/>
        </w:rPr>
        <w:t>.</w:t>
      </w:r>
    </w:p>
    <w:p w:rsidR="00C06068" w:rsidRPr="00521891" w:rsidRDefault="00C06068" w:rsidP="00C06068">
      <w:pPr>
        <w:pStyle w:val="SingleTxt"/>
        <w:numPr>
          <w:ilvl w:val="0"/>
          <w:numId w:val="10"/>
        </w:numPr>
        <w:rPr>
          <w:lang w:val="fr-FR"/>
        </w:rPr>
      </w:pPr>
      <w:r w:rsidRPr="00521891">
        <w:rPr>
          <w:lang w:val="fr-FR"/>
        </w:rPr>
        <w:t>La santé de la mère et de l</w:t>
      </w:r>
      <w:r>
        <w:rPr>
          <w:lang w:val="fr-FR"/>
        </w:rPr>
        <w:t>’</w:t>
      </w:r>
      <w:r w:rsidRPr="00521891">
        <w:rPr>
          <w:lang w:val="fr-FR"/>
        </w:rPr>
        <w:t>enfant constitue une des priorités du gouvernement malagasy. De 1992 à 2009, le taux de mortalité infantile et infanto-juvénile a baissé de 45 points et de 91 points, grâce à la fourniture de paquet d</w:t>
      </w:r>
      <w:r>
        <w:rPr>
          <w:lang w:val="fr-FR"/>
        </w:rPr>
        <w:t>’</w:t>
      </w:r>
      <w:r w:rsidRPr="00521891">
        <w:rPr>
          <w:lang w:val="fr-FR"/>
        </w:rPr>
        <w:t>activités pour l</w:t>
      </w:r>
      <w:r>
        <w:rPr>
          <w:lang w:val="fr-FR"/>
        </w:rPr>
        <w:t>’</w:t>
      </w:r>
      <w:r w:rsidRPr="00521891">
        <w:rPr>
          <w:lang w:val="fr-FR"/>
        </w:rPr>
        <w:t>amélioration de la santé du couple mère-enfant. Toutefois, après une diminution de 127 points, le taux de mortalité maternelle enregistre une certaine tendance à la hausse. Les décès maternels sont plus nombreux au niveau de la communauté (88 %) qu</w:t>
      </w:r>
      <w:r>
        <w:rPr>
          <w:lang w:val="fr-FR"/>
        </w:rPr>
        <w:t>’</w:t>
      </w:r>
      <w:r w:rsidRPr="00521891">
        <w:rPr>
          <w:lang w:val="fr-FR"/>
        </w:rPr>
        <w:t>au niveau des formations sanitaires (12 %).</w:t>
      </w:r>
    </w:p>
    <w:p w:rsidR="00C06068" w:rsidRPr="00654C95" w:rsidRDefault="00C06068" w:rsidP="00C06068">
      <w:pPr>
        <w:pStyle w:val="SingleTxt"/>
        <w:spacing w:after="0" w:line="120" w:lineRule="exact"/>
        <w:rPr>
          <w:b/>
          <w:sz w:val="10"/>
          <w:lang w:val="fr-FR"/>
        </w:rPr>
      </w:pPr>
      <w:bookmarkStart w:id="93" w:name="_Toc377129312"/>
    </w:p>
    <w:p w:rsidR="00C06068" w:rsidRPr="00654C9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654C95">
        <w:rPr>
          <w:b w:val="0"/>
          <w:lang w:val="fr-FR"/>
        </w:rPr>
        <w:t>Tableau 26</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Tendance de la mortalité maternelle, néonatale et infanto-juvénile</w:t>
      </w:r>
      <w:bookmarkEnd w:id="93"/>
    </w:p>
    <w:p w:rsidR="00C06068" w:rsidRPr="00654C95" w:rsidRDefault="00C06068" w:rsidP="00C06068">
      <w:pPr>
        <w:pStyle w:val="SingleTxt"/>
        <w:spacing w:after="0" w:line="120" w:lineRule="exact"/>
        <w:rPr>
          <w:sz w:val="10"/>
          <w:lang w:val="fr-FR"/>
        </w:rPr>
      </w:pPr>
    </w:p>
    <w:p w:rsidR="00C06068" w:rsidRPr="00654C95" w:rsidRDefault="00C06068" w:rsidP="00C06068">
      <w:pPr>
        <w:pStyle w:val="SingleTxt"/>
        <w:spacing w:after="0" w:line="120" w:lineRule="exact"/>
        <w:rPr>
          <w:sz w:val="10"/>
          <w:lang w:val="fr-FR"/>
        </w:rPr>
      </w:pPr>
    </w:p>
    <w:tbl>
      <w:tblPr>
        <w:tblW w:w="7380" w:type="dxa"/>
        <w:tblInd w:w="1260" w:type="dxa"/>
        <w:tblBorders>
          <w:top w:val="single" w:sz="4" w:space="0" w:color="auto"/>
        </w:tblBorders>
        <w:tblLayout w:type="fixed"/>
        <w:tblCellMar>
          <w:left w:w="0" w:type="dxa"/>
          <w:right w:w="0" w:type="dxa"/>
        </w:tblCellMar>
        <w:tblLook w:val="04A0"/>
      </w:tblPr>
      <w:tblGrid>
        <w:gridCol w:w="4410"/>
        <w:gridCol w:w="742"/>
        <w:gridCol w:w="671"/>
        <w:gridCol w:w="814"/>
        <w:gridCol w:w="743"/>
      </w:tblGrid>
      <w:tr w:rsidR="00C06068" w:rsidRPr="00FC6584" w:rsidTr="007F3574">
        <w:trPr>
          <w:trHeight w:val="240"/>
          <w:tblHeader/>
        </w:trPr>
        <w:tc>
          <w:tcPr>
            <w:tcW w:w="4410" w:type="dxa"/>
            <w:vMerge w:val="restart"/>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2970" w:type="dxa"/>
            <w:gridSpan w:val="4"/>
            <w:tcBorders>
              <w:top w:val="single" w:sz="4" w:space="0" w:color="auto"/>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 xml:space="preserve">Enquêtes démographiques et de santé </w:t>
            </w:r>
            <w:r>
              <w:rPr>
                <w:i/>
                <w:sz w:val="14"/>
                <w:lang w:val="fr-FR"/>
              </w:rPr>
              <w:br/>
            </w:r>
            <w:r w:rsidRPr="00FC6584">
              <w:rPr>
                <w:i/>
                <w:sz w:val="14"/>
                <w:lang w:val="fr-FR"/>
              </w:rPr>
              <w:t>de Madagascar</w:t>
            </w:r>
          </w:p>
        </w:tc>
      </w:tr>
      <w:tr w:rsidR="00C06068" w:rsidRPr="00FC6584" w:rsidTr="007F3574">
        <w:trPr>
          <w:trHeight w:val="240"/>
          <w:tblHeader/>
        </w:trPr>
        <w:tc>
          <w:tcPr>
            <w:tcW w:w="4410" w:type="dxa"/>
            <w:vMerge/>
            <w:tcBorders>
              <w:top w:val="single" w:sz="12"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742"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654C95">
              <w:rPr>
                <w:i/>
                <w:sz w:val="14"/>
                <w:lang w:val="fr-FR"/>
              </w:rPr>
              <w:t>1992</w:t>
            </w:r>
          </w:p>
        </w:tc>
        <w:tc>
          <w:tcPr>
            <w:tcW w:w="671"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654C95">
              <w:rPr>
                <w:i/>
                <w:sz w:val="14"/>
                <w:lang w:val="fr-FR"/>
              </w:rPr>
              <w:t>1997</w:t>
            </w:r>
          </w:p>
        </w:tc>
        <w:tc>
          <w:tcPr>
            <w:tcW w:w="814"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654C95">
              <w:rPr>
                <w:i/>
                <w:sz w:val="14"/>
                <w:lang w:val="fr-FR"/>
              </w:rPr>
              <w:t>2003-2004</w:t>
            </w:r>
          </w:p>
        </w:tc>
        <w:tc>
          <w:tcPr>
            <w:tcW w:w="743" w:type="dxa"/>
            <w:tcBorders>
              <w:top w:val="single" w:sz="4" w:space="0" w:color="auto"/>
              <w:bottom w:val="single" w:sz="12" w:space="0" w:color="auto"/>
            </w:tcBorders>
            <w:shd w:val="clear" w:color="auto" w:fill="auto"/>
            <w:vAlign w:val="bottom"/>
          </w:tcPr>
          <w:p w:rsidR="00C06068" w:rsidRPr="00654C95"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654C95">
              <w:rPr>
                <w:i/>
                <w:sz w:val="14"/>
                <w:lang w:val="fr-FR"/>
              </w:rPr>
              <w:t>2008-2009</w:t>
            </w:r>
          </w:p>
        </w:tc>
      </w:tr>
      <w:tr w:rsidR="00C06068" w:rsidRPr="00FC6584" w:rsidTr="007F3574">
        <w:trPr>
          <w:trHeight w:val="240"/>
        </w:trPr>
        <w:tc>
          <w:tcPr>
            <w:tcW w:w="441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Mortalité maternelle</w:t>
            </w:r>
            <w:r>
              <w:rPr>
                <w:sz w:val="17"/>
                <w:lang w:val="fr-FR"/>
              </w:rPr>
              <w:t xml:space="preserve"> </w:t>
            </w:r>
            <w:r w:rsidRPr="00917E2F">
              <w:rPr>
                <w:sz w:val="17"/>
                <w:lang w:val="fr-FR"/>
              </w:rPr>
              <w:t>pour 100 000 naissances vivantes</w:t>
            </w:r>
          </w:p>
        </w:tc>
        <w:tc>
          <w:tcPr>
            <w:tcW w:w="742"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596</w:t>
            </w:r>
          </w:p>
        </w:tc>
        <w:tc>
          <w:tcPr>
            <w:tcW w:w="671" w:type="dxa"/>
            <w:tcBorders>
              <w:top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488</w:t>
            </w:r>
          </w:p>
        </w:tc>
        <w:tc>
          <w:tcPr>
            <w:tcW w:w="814" w:type="dxa"/>
            <w:tcBorders>
              <w:top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469</w:t>
            </w:r>
          </w:p>
        </w:tc>
        <w:tc>
          <w:tcPr>
            <w:tcW w:w="743" w:type="dxa"/>
            <w:tcBorders>
              <w:top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498</w:t>
            </w:r>
          </w:p>
        </w:tc>
      </w:tr>
      <w:tr w:rsidR="00C06068" w:rsidRPr="00FC6584" w:rsidTr="007F3574">
        <w:trPr>
          <w:trHeight w:val="240"/>
        </w:trPr>
        <w:tc>
          <w:tcPr>
            <w:tcW w:w="441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Mortalité néonatale</w:t>
            </w:r>
            <w:r>
              <w:rPr>
                <w:sz w:val="17"/>
                <w:lang w:val="fr-FR"/>
              </w:rPr>
              <w:t xml:space="preserve"> </w:t>
            </w:r>
            <w:r w:rsidRPr="00917E2F">
              <w:rPr>
                <w:sz w:val="17"/>
                <w:lang w:val="fr-FR"/>
              </w:rPr>
              <w:t>pour 1 000 naissances vivantes</w:t>
            </w:r>
          </w:p>
        </w:tc>
        <w:tc>
          <w:tcPr>
            <w:tcW w:w="7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42</w:t>
            </w:r>
          </w:p>
        </w:tc>
        <w:tc>
          <w:tcPr>
            <w:tcW w:w="67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41</w:t>
            </w:r>
          </w:p>
        </w:tc>
        <w:tc>
          <w:tcPr>
            <w:tcW w:w="81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34</w:t>
            </w:r>
          </w:p>
        </w:tc>
        <w:tc>
          <w:tcPr>
            <w:tcW w:w="74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24</w:t>
            </w:r>
          </w:p>
        </w:tc>
      </w:tr>
      <w:tr w:rsidR="00C06068" w:rsidRPr="00FC6584" w:rsidTr="007F3574">
        <w:trPr>
          <w:trHeight w:val="240"/>
        </w:trPr>
        <w:tc>
          <w:tcPr>
            <w:tcW w:w="441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Mortalité infantile (&lt;1</w:t>
            </w:r>
            <w:r>
              <w:rPr>
                <w:sz w:val="17"/>
                <w:lang w:val="fr-FR"/>
              </w:rPr>
              <w:t xml:space="preserve"> </w:t>
            </w:r>
            <w:r w:rsidRPr="00917E2F">
              <w:rPr>
                <w:sz w:val="17"/>
                <w:lang w:val="fr-FR"/>
              </w:rPr>
              <w:t>an)</w:t>
            </w:r>
            <w:r>
              <w:rPr>
                <w:sz w:val="17"/>
                <w:lang w:val="fr-FR"/>
              </w:rPr>
              <w:t xml:space="preserve"> </w:t>
            </w:r>
            <w:r w:rsidRPr="00917E2F">
              <w:rPr>
                <w:sz w:val="17"/>
                <w:lang w:val="fr-FR"/>
              </w:rPr>
              <w:t>pour 1 000 naissances vivantes</w:t>
            </w:r>
          </w:p>
        </w:tc>
        <w:tc>
          <w:tcPr>
            <w:tcW w:w="74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93</w:t>
            </w:r>
          </w:p>
        </w:tc>
        <w:tc>
          <w:tcPr>
            <w:tcW w:w="67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96</w:t>
            </w:r>
          </w:p>
        </w:tc>
        <w:tc>
          <w:tcPr>
            <w:tcW w:w="81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58</w:t>
            </w:r>
          </w:p>
        </w:tc>
        <w:tc>
          <w:tcPr>
            <w:tcW w:w="74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w:t>
            </w:r>
          </w:p>
        </w:tc>
      </w:tr>
      <w:tr w:rsidR="00C06068" w:rsidRPr="00FC6584" w:rsidTr="007F3574">
        <w:trPr>
          <w:trHeight w:val="240"/>
        </w:trPr>
        <w:tc>
          <w:tcPr>
            <w:tcW w:w="4410"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Mortalité infanto-juvénile (&lt;5</w:t>
            </w:r>
            <w:r>
              <w:rPr>
                <w:sz w:val="17"/>
                <w:lang w:val="fr-FR"/>
              </w:rPr>
              <w:t xml:space="preserve"> </w:t>
            </w:r>
            <w:r w:rsidRPr="00917E2F">
              <w:rPr>
                <w:sz w:val="17"/>
                <w:lang w:val="fr-FR"/>
              </w:rPr>
              <w:t>ans) pour 1</w:t>
            </w:r>
            <w:r>
              <w:rPr>
                <w:sz w:val="17"/>
                <w:lang w:val="fr-FR"/>
              </w:rPr>
              <w:t> </w:t>
            </w:r>
            <w:r w:rsidRPr="00917E2F">
              <w:rPr>
                <w:sz w:val="17"/>
                <w:lang w:val="fr-FR"/>
              </w:rPr>
              <w:t>000</w:t>
            </w:r>
            <w:r>
              <w:rPr>
                <w:sz w:val="17"/>
                <w:lang w:val="fr-FR"/>
              </w:rPr>
              <w:t xml:space="preserve"> </w:t>
            </w:r>
            <w:r w:rsidRPr="00917E2F">
              <w:rPr>
                <w:sz w:val="17"/>
                <w:lang w:val="fr-FR"/>
              </w:rPr>
              <w:t>naissances vivantes</w:t>
            </w:r>
          </w:p>
        </w:tc>
        <w:tc>
          <w:tcPr>
            <w:tcW w:w="742"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163</w:t>
            </w:r>
          </w:p>
        </w:tc>
        <w:tc>
          <w:tcPr>
            <w:tcW w:w="671"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159</w:t>
            </w:r>
          </w:p>
        </w:tc>
        <w:tc>
          <w:tcPr>
            <w:tcW w:w="814"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94</w:t>
            </w:r>
          </w:p>
        </w:tc>
        <w:tc>
          <w:tcPr>
            <w:tcW w:w="743"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72</w:t>
            </w:r>
          </w:p>
        </w:tc>
      </w:tr>
    </w:tbl>
    <w:p w:rsidR="00C06068" w:rsidRPr="00654C95" w:rsidRDefault="00C06068" w:rsidP="00C06068">
      <w:pPr>
        <w:pStyle w:val="SingleTxt"/>
        <w:spacing w:after="0" w:line="120" w:lineRule="exact"/>
        <w:rPr>
          <w:b/>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654C95">
        <w:rPr>
          <w:i/>
          <w:lang w:val="fr-FR"/>
        </w:rPr>
        <w:t>Source</w:t>
      </w:r>
      <w:r w:rsidRPr="00654C95">
        <w:rPr>
          <w:lang w:val="fr-FR"/>
        </w:rPr>
        <w:t> :</w:t>
      </w:r>
      <w:r w:rsidRPr="00521891">
        <w:rPr>
          <w:lang w:val="fr-FR"/>
        </w:rPr>
        <w:t xml:space="preserve"> Enquête démographique et de santé à Madagascar en 1992, 1997, 2003-2004, 2008-2009</w:t>
      </w:r>
      <w:r>
        <w:rPr>
          <w:lang w:val="fr-FR"/>
        </w:rPr>
        <w:t>.</w:t>
      </w:r>
    </w:p>
    <w:p w:rsidR="00C06068" w:rsidRPr="00654C95"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654C95"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État dispose d</w:t>
      </w:r>
      <w:r>
        <w:rPr>
          <w:lang w:val="fr-FR"/>
        </w:rPr>
        <w:t>’</w:t>
      </w:r>
      <w:r w:rsidRPr="00521891">
        <w:rPr>
          <w:lang w:val="fr-FR"/>
        </w:rPr>
        <w:t>une feuille de route pour la réduction de la mortalité maternelle de 2005 à 2015. Des études ont été réalisées pour appuyer la prise de décisions et la réorientation de la politique générale de santé</w:t>
      </w:r>
      <w:r>
        <w:rPr>
          <w:lang w:val="fr-FR"/>
        </w:rPr>
        <w:t>,</w:t>
      </w:r>
      <w:r w:rsidRPr="00521891">
        <w:rPr>
          <w:lang w:val="fr-FR"/>
        </w:rPr>
        <w:t xml:space="preserve"> notamment en matière du programme de survie de la mère et du nouveau-né.</w:t>
      </w:r>
    </w:p>
    <w:p w:rsidR="00C06068" w:rsidRPr="00521891" w:rsidRDefault="00C06068" w:rsidP="00C06068">
      <w:pPr>
        <w:pStyle w:val="SingleTxt"/>
        <w:numPr>
          <w:ilvl w:val="0"/>
          <w:numId w:val="10"/>
        </w:numPr>
        <w:rPr>
          <w:lang w:val="fr-FR"/>
        </w:rPr>
      </w:pPr>
      <w:r w:rsidRPr="00521891">
        <w:rPr>
          <w:lang w:val="fr-FR"/>
        </w:rPr>
        <w:t>En 2012, un document d</w:t>
      </w:r>
      <w:r>
        <w:rPr>
          <w:lang w:val="fr-FR"/>
        </w:rPr>
        <w:t>’</w:t>
      </w:r>
      <w:r w:rsidRPr="00521891">
        <w:rPr>
          <w:lang w:val="fr-FR"/>
        </w:rPr>
        <w:t>orientation politique en santé de la reproduction a été adopté et mis en œuvre. Des efforts ont été entrepris pour améliorer l</w:t>
      </w:r>
      <w:r>
        <w:rPr>
          <w:lang w:val="fr-FR"/>
        </w:rPr>
        <w:t>’</w:t>
      </w:r>
      <w:r w:rsidRPr="00521891">
        <w:rPr>
          <w:lang w:val="fr-FR"/>
        </w:rPr>
        <w:t>accès des femmes aux services de santé pendant la grossesse, l</w:t>
      </w:r>
      <w:r>
        <w:rPr>
          <w:lang w:val="fr-FR"/>
        </w:rPr>
        <w:t>’</w:t>
      </w:r>
      <w:r w:rsidRPr="00521891">
        <w:rPr>
          <w:lang w:val="fr-FR"/>
        </w:rPr>
        <w:t>accouchement et au cours de la période post-natale.</w:t>
      </w:r>
    </w:p>
    <w:p w:rsidR="00C06068" w:rsidRPr="00654C95" w:rsidRDefault="00C06068" w:rsidP="00C06068">
      <w:pPr>
        <w:pStyle w:val="SingleTxt"/>
        <w:spacing w:after="0" w:line="120" w:lineRule="exact"/>
        <w:rPr>
          <w:b/>
          <w:sz w:val="10"/>
          <w:lang w:val="fr-FR"/>
        </w:rPr>
      </w:pPr>
      <w:bookmarkStart w:id="94" w:name="_Toc376709330"/>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Amélioration de l</w:t>
      </w:r>
      <w:r>
        <w:rPr>
          <w:lang w:val="fr-FR"/>
        </w:rPr>
        <w:t>’</w:t>
      </w:r>
      <w:r w:rsidRPr="00521891">
        <w:rPr>
          <w:lang w:val="fr-FR"/>
        </w:rPr>
        <w:t>accès des femmes aux soins de santé pendant la grossesse</w:t>
      </w:r>
      <w:bookmarkEnd w:id="94"/>
    </w:p>
    <w:p w:rsidR="00C06068" w:rsidRPr="00654C95"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Les services de consultation prénatale (CPN) sont offerts gratuitement dans toutes les formations sanitaires publiques. Dans le but de renforcer l</w:t>
      </w:r>
      <w:r>
        <w:rPr>
          <w:lang w:val="fr-FR"/>
        </w:rPr>
        <w:t>a survie du couple mère-nouveau-</w:t>
      </w:r>
      <w:r w:rsidRPr="00521891">
        <w:rPr>
          <w:lang w:val="fr-FR"/>
        </w:rPr>
        <w:t>né, des paquets d</w:t>
      </w:r>
      <w:r>
        <w:rPr>
          <w:lang w:val="fr-FR"/>
        </w:rPr>
        <w:t>’</w:t>
      </w:r>
      <w:r w:rsidRPr="00521891">
        <w:rPr>
          <w:lang w:val="fr-FR"/>
        </w:rPr>
        <w:t>activités à visée préventive, curative et promotionnelle sont offerts au cours des consultations prénatales.</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implication de la communauté dans le processus de planification, de mise en œuvre et de suivi de ces activités ont permis d</w:t>
      </w:r>
      <w:r>
        <w:rPr>
          <w:lang w:val="fr-FR"/>
        </w:rPr>
        <w:t>’</w:t>
      </w:r>
      <w:r w:rsidRPr="00521891">
        <w:rPr>
          <w:lang w:val="fr-FR"/>
        </w:rPr>
        <w:t>améliorer l</w:t>
      </w:r>
      <w:r>
        <w:rPr>
          <w:lang w:val="fr-FR"/>
        </w:rPr>
        <w:t>’</w:t>
      </w:r>
      <w:r w:rsidRPr="00521891">
        <w:rPr>
          <w:lang w:val="fr-FR"/>
        </w:rPr>
        <w:t>accès des femmes enceintes à des soins appropriés. Une hausse de la couverture en première CPN a été observée.</w:t>
      </w:r>
    </w:p>
    <w:p w:rsidR="00C06068" w:rsidRPr="00521891" w:rsidRDefault="00C06068" w:rsidP="00C06068">
      <w:pPr>
        <w:pStyle w:val="SingleTxt"/>
        <w:numPr>
          <w:ilvl w:val="0"/>
          <w:numId w:val="10"/>
        </w:numPr>
        <w:rPr>
          <w:lang w:val="fr-FR"/>
        </w:rPr>
      </w:pPr>
      <w:r w:rsidRPr="00521891">
        <w:rPr>
          <w:lang w:val="fr-FR"/>
        </w:rPr>
        <w:t>Des activités de sensibilisation seront renforcées pour atteindre les objectifs fixés en CPN 4.</w:t>
      </w:r>
    </w:p>
    <w:p w:rsidR="00C06068" w:rsidRPr="00654C95" w:rsidRDefault="00C06068" w:rsidP="00C06068">
      <w:pPr>
        <w:pStyle w:val="SingleTxt"/>
        <w:spacing w:after="0" w:line="120" w:lineRule="exact"/>
        <w:rPr>
          <w:b/>
          <w:sz w:val="10"/>
          <w:lang w:val="fr-FR"/>
        </w:rPr>
      </w:pPr>
      <w:bookmarkStart w:id="95" w:name="_Toc377129313"/>
    </w:p>
    <w:p w:rsidR="00C06068" w:rsidRPr="00654C9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654C95">
        <w:rPr>
          <w:b w:val="0"/>
          <w:lang w:val="fr-FR"/>
        </w:rPr>
        <w:t>Tableau 27</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Tendance de la couverture en consultation prénatale</w:t>
      </w:r>
      <w:bookmarkEnd w:id="95"/>
    </w:p>
    <w:p w:rsidR="00C06068" w:rsidRPr="00654C95" w:rsidRDefault="00C06068" w:rsidP="00C06068">
      <w:pPr>
        <w:pStyle w:val="SingleTxt"/>
        <w:spacing w:after="0" w:line="120" w:lineRule="exact"/>
        <w:rPr>
          <w:sz w:val="10"/>
          <w:lang w:val="fr-FR"/>
        </w:rPr>
      </w:pPr>
    </w:p>
    <w:p w:rsidR="00C06068" w:rsidRDefault="00C06068" w:rsidP="00C06068">
      <w:pPr>
        <w:pStyle w:val="SingleTxt"/>
        <w:spacing w:after="0" w:line="120" w:lineRule="exact"/>
        <w:rPr>
          <w:sz w:val="10"/>
          <w:lang w:val="fr-FR"/>
        </w:rPr>
      </w:pPr>
    </w:p>
    <w:tbl>
      <w:tblPr>
        <w:tblW w:w="8595" w:type="dxa"/>
        <w:tblInd w:w="1260" w:type="dxa"/>
        <w:tblLayout w:type="fixed"/>
        <w:tblCellMar>
          <w:left w:w="0" w:type="dxa"/>
          <w:right w:w="0" w:type="dxa"/>
        </w:tblCellMar>
        <w:tblLook w:val="0000"/>
      </w:tblPr>
      <w:tblGrid>
        <w:gridCol w:w="2158"/>
        <w:gridCol w:w="87"/>
        <w:gridCol w:w="717"/>
        <w:gridCol w:w="726"/>
        <w:gridCol w:w="81"/>
        <w:gridCol w:w="802"/>
        <w:gridCol w:w="737"/>
        <w:gridCol w:w="75"/>
        <w:gridCol w:w="798"/>
        <w:gridCol w:w="749"/>
        <w:gridCol w:w="69"/>
        <w:gridCol w:w="791"/>
        <w:gridCol w:w="805"/>
      </w:tblGrid>
      <w:tr w:rsidR="00C06068" w:rsidRPr="00D42D7E" w:rsidTr="007F3574">
        <w:tblPrEx>
          <w:tblCellMar>
            <w:top w:w="0" w:type="dxa"/>
            <w:bottom w:w="0" w:type="dxa"/>
          </w:tblCellMar>
        </w:tblPrEx>
        <w:trPr>
          <w:tblHeader/>
        </w:trPr>
        <w:tc>
          <w:tcPr>
            <w:tcW w:w="2160" w:type="dxa"/>
            <w:tcBorders>
              <w:top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both"/>
              <w:rPr>
                <w:i/>
                <w:sz w:val="14"/>
                <w:lang w:val="fr-FR"/>
              </w:rPr>
            </w:pPr>
          </w:p>
        </w:tc>
        <w:tc>
          <w:tcPr>
            <w:tcW w:w="87" w:type="dxa"/>
            <w:tcBorders>
              <w:top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c>
          <w:tcPr>
            <w:tcW w:w="1443" w:type="dxa"/>
            <w:gridSpan w:val="2"/>
            <w:tcBorders>
              <w:top w:val="single" w:sz="4" w:space="0" w:color="auto"/>
              <w:bottom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Année 2009</w:t>
            </w:r>
          </w:p>
        </w:tc>
        <w:tc>
          <w:tcPr>
            <w:tcW w:w="81" w:type="dxa"/>
            <w:tcBorders>
              <w:top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539" w:type="dxa"/>
            <w:gridSpan w:val="2"/>
            <w:tcBorders>
              <w:top w:val="single" w:sz="4" w:space="0" w:color="auto"/>
              <w:bottom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Année 2010</w:t>
            </w:r>
          </w:p>
        </w:tc>
        <w:tc>
          <w:tcPr>
            <w:tcW w:w="75" w:type="dxa"/>
            <w:tcBorders>
              <w:top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545" w:type="dxa"/>
            <w:gridSpan w:val="2"/>
            <w:tcBorders>
              <w:top w:val="single" w:sz="4" w:space="0" w:color="auto"/>
              <w:bottom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Année 2011</w:t>
            </w:r>
          </w:p>
        </w:tc>
        <w:tc>
          <w:tcPr>
            <w:tcW w:w="69" w:type="dxa"/>
            <w:tcBorders>
              <w:top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596" w:type="dxa"/>
            <w:gridSpan w:val="2"/>
            <w:tcBorders>
              <w:top w:val="single" w:sz="4" w:space="0" w:color="auto"/>
              <w:bottom w:val="single" w:sz="4"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Année 2012</w:t>
            </w:r>
          </w:p>
        </w:tc>
      </w:tr>
      <w:tr w:rsidR="00C06068" w:rsidRPr="00D42D7E" w:rsidTr="007F3574">
        <w:tblPrEx>
          <w:tblCellMar>
            <w:top w:w="0" w:type="dxa"/>
            <w:bottom w:w="0" w:type="dxa"/>
          </w:tblCellMar>
        </w:tblPrEx>
        <w:trPr>
          <w:tblHeader/>
        </w:trPr>
        <w:tc>
          <w:tcPr>
            <w:tcW w:w="2160"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804" w:type="dxa"/>
            <w:gridSpan w:val="2"/>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Réalisations</w:t>
            </w:r>
          </w:p>
        </w:tc>
        <w:tc>
          <w:tcPr>
            <w:tcW w:w="726" w:type="dxa"/>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w:t>
            </w:r>
          </w:p>
        </w:tc>
        <w:tc>
          <w:tcPr>
            <w:tcW w:w="883" w:type="dxa"/>
            <w:gridSpan w:val="2"/>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Réalisations</w:t>
            </w:r>
          </w:p>
        </w:tc>
        <w:tc>
          <w:tcPr>
            <w:tcW w:w="737" w:type="dxa"/>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w:t>
            </w:r>
          </w:p>
        </w:tc>
        <w:tc>
          <w:tcPr>
            <w:tcW w:w="871" w:type="dxa"/>
            <w:gridSpan w:val="2"/>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Réalisations</w:t>
            </w:r>
          </w:p>
        </w:tc>
        <w:tc>
          <w:tcPr>
            <w:tcW w:w="749" w:type="dxa"/>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w:t>
            </w:r>
          </w:p>
        </w:tc>
        <w:tc>
          <w:tcPr>
            <w:tcW w:w="860" w:type="dxa"/>
            <w:gridSpan w:val="2"/>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Réalisations</w:t>
            </w:r>
          </w:p>
        </w:tc>
        <w:tc>
          <w:tcPr>
            <w:tcW w:w="805" w:type="dxa"/>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w:t>
            </w:r>
          </w:p>
        </w:tc>
      </w:tr>
      <w:tr w:rsidR="00C06068" w:rsidRPr="00D42D7E" w:rsidTr="007F3574">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804" w:type="dxa"/>
            <w:gridSpan w:val="2"/>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26" w:type="dxa"/>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83" w:type="dxa"/>
            <w:gridSpan w:val="2"/>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71" w:type="dxa"/>
            <w:gridSpan w:val="2"/>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49" w:type="dxa"/>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60" w:type="dxa"/>
            <w:gridSpan w:val="2"/>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05" w:type="dxa"/>
            <w:tcBorders>
              <w:top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D42D7E" w:rsidTr="007F3574">
        <w:tblPrEx>
          <w:tblCellMar>
            <w:top w:w="0" w:type="dxa"/>
            <w:bottom w:w="0" w:type="dxa"/>
          </w:tblCellMar>
        </w:tblPrEx>
        <w:tc>
          <w:tcPr>
            <w:tcW w:w="2160" w:type="dxa"/>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D42D7E">
              <w:rPr>
                <w:sz w:val="17"/>
                <w:lang w:val="fr-FR"/>
              </w:rPr>
              <w:t>Taux de première consultation prénatale (CPN.1)</w:t>
            </w:r>
          </w:p>
        </w:tc>
        <w:tc>
          <w:tcPr>
            <w:tcW w:w="804" w:type="dxa"/>
            <w:gridSpan w:val="2"/>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61 </w:t>
            </w:r>
          </w:p>
        </w:tc>
        <w:tc>
          <w:tcPr>
            <w:tcW w:w="72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76 </w:t>
            </w:r>
          </w:p>
        </w:tc>
        <w:tc>
          <w:tcPr>
            <w:tcW w:w="883" w:type="dxa"/>
            <w:gridSpan w:val="2"/>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65 </w:t>
            </w:r>
          </w:p>
        </w:tc>
        <w:tc>
          <w:tcPr>
            <w:tcW w:w="7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78 </w:t>
            </w:r>
          </w:p>
        </w:tc>
        <w:tc>
          <w:tcPr>
            <w:tcW w:w="871" w:type="dxa"/>
            <w:gridSpan w:val="2"/>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63 </w:t>
            </w:r>
          </w:p>
        </w:tc>
        <w:tc>
          <w:tcPr>
            <w:tcW w:w="74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80 </w:t>
            </w:r>
          </w:p>
        </w:tc>
        <w:tc>
          <w:tcPr>
            <w:tcW w:w="860" w:type="dxa"/>
            <w:gridSpan w:val="2"/>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80 </w:t>
            </w:r>
          </w:p>
        </w:tc>
        <w:tc>
          <w:tcPr>
            <w:tcW w:w="80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80 </w:t>
            </w:r>
          </w:p>
        </w:tc>
      </w:tr>
      <w:tr w:rsidR="00C06068" w:rsidRPr="00D42D7E" w:rsidTr="007F3574">
        <w:tblPrEx>
          <w:tblCellMar>
            <w:top w:w="0" w:type="dxa"/>
            <w:bottom w:w="0" w:type="dxa"/>
          </w:tblCellMar>
        </w:tblPrEx>
        <w:tc>
          <w:tcPr>
            <w:tcW w:w="2160"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D42D7E">
              <w:rPr>
                <w:sz w:val="17"/>
                <w:lang w:val="fr-FR"/>
              </w:rPr>
              <w:t>Taux de femmes ayant effectué au moins 4 CPN (CPN.4)</w:t>
            </w:r>
          </w:p>
        </w:tc>
        <w:tc>
          <w:tcPr>
            <w:tcW w:w="804" w:type="dxa"/>
            <w:gridSpan w:val="2"/>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26"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83" w:type="dxa"/>
            <w:gridSpan w:val="2"/>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737"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873" w:type="dxa"/>
            <w:gridSpan w:val="2"/>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n.d.</w:t>
            </w:r>
          </w:p>
        </w:tc>
        <w:tc>
          <w:tcPr>
            <w:tcW w:w="747"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n.d.</w:t>
            </w:r>
          </w:p>
        </w:tc>
        <w:tc>
          <w:tcPr>
            <w:tcW w:w="860" w:type="dxa"/>
            <w:gridSpan w:val="2"/>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15,4</w:t>
            </w:r>
          </w:p>
        </w:tc>
        <w:tc>
          <w:tcPr>
            <w:tcW w:w="805" w:type="dxa"/>
            <w:tcBorders>
              <w:bottom w:val="single" w:sz="12" w:space="0" w:color="auto"/>
            </w:tcBorders>
            <w:shd w:val="clear" w:color="auto" w:fill="auto"/>
            <w:vAlign w:val="bottom"/>
          </w:tcPr>
          <w:p w:rsidR="00C06068" w:rsidRPr="00D42D7E"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60</w:t>
            </w:r>
          </w:p>
        </w:tc>
      </w:tr>
    </w:tbl>
    <w:p w:rsidR="00C06068" w:rsidRPr="00D42D7E" w:rsidRDefault="00C06068" w:rsidP="00C06068">
      <w:pPr>
        <w:pStyle w:val="FootnoteText"/>
        <w:tabs>
          <w:tab w:val="right" w:pos="1476"/>
          <w:tab w:val="left" w:pos="1548"/>
          <w:tab w:val="right" w:pos="1836"/>
          <w:tab w:val="left" w:pos="1908"/>
        </w:tabs>
        <w:spacing w:line="120" w:lineRule="exact"/>
        <w:ind w:left="1548" w:hanging="288"/>
        <w:rPr>
          <w:i/>
          <w:sz w:val="10"/>
          <w:lang w:val="fr-FR"/>
        </w:rPr>
      </w:pPr>
    </w:p>
    <w:p w:rsidR="00C06068" w:rsidRDefault="00C06068" w:rsidP="00C06068">
      <w:pPr>
        <w:pStyle w:val="FootnoteText"/>
        <w:tabs>
          <w:tab w:val="right" w:pos="1476"/>
          <w:tab w:val="left" w:pos="1548"/>
          <w:tab w:val="right" w:pos="1836"/>
          <w:tab w:val="left" w:pos="1908"/>
        </w:tabs>
        <w:ind w:left="1548" w:hanging="288"/>
        <w:rPr>
          <w:lang w:val="fr-FR"/>
        </w:rPr>
      </w:pPr>
      <w:r w:rsidRPr="00D42D7E">
        <w:rPr>
          <w:i/>
          <w:lang w:val="fr-FR"/>
        </w:rPr>
        <w:t>Source</w:t>
      </w:r>
      <w:r w:rsidRPr="00917E2F">
        <w:rPr>
          <w:lang w:val="fr-FR"/>
        </w:rPr>
        <w:t> :</w:t>
      </w:r>
      <w:r w:rsidRPr="00521891">
        <w:rPr>
          <w:lang w:val="fr-FR"/>
        </w:rPr>
        <w:t xml:space="preserve"> Ministère de la </w:t>
      </w:r>
      <w:r>
        <w:rPr>
          <w:lang w:val="fr-FR"/>
        </w:rPr>
        <w:t>santé publique/</w:t>
      </w:r>
      <w:r w:rsidRPr="00521891">
        <w:rPr>
          <w:lang w:val="fr-FR"/>
        </w:rPr>
        <w:t>service des statistiques sanitaires</w:t>
      </w:r>
      <w:r>
        <w:rPr>
          <w:lang w:val="fr-FR"/>
        </w:rPr>
        <w:t>.</w:t>
      </w:r>
    </w:p>
    <w:p w:rsidR="00C06068" w:rsidRPr="00D42D7E"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D42D7E"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SingleTxt"/>
        <w:numPr>
          <w:ilvl w:val="0"/>
          <w:numId w:val="10"/>
        </w:numPr>
        <w:rPr>
          <w:lang w:val="fr-FR"/>
        </w:rPr>
      </w:pPr>
      <w:r w:rsidRPr="00521891">
        <w:rPr>
          <w:lang w:val="fr-FR"/>
        </w:rPr>
        <w:t>Depuis 2011, pour assurer la qualité de services offerts en soins prénatals, la CPN recentrée incluant tous les soins appropriés aux femmes enceintes comme la vaccination, nutrition et supplémentation en FAF et déparasitage, l</w:t>
      </w:r>
      <w:r>
        <w:rPr>
          <w:lang w:val="fr-FR"/>
        </w:rPr>
        <w:t>’</w:t>
      </w:r>
      <w:r w:rsidRPr="00521891">
        <w:rPr>
          <w:lang w:val="fr-FR"/>
        </w:rPr>
        <w:t>administration de sulfadoxine pyriméthamine, le counseling et dépistage en VIH et syphilis, a été renforcée et intégrée à la formation soins obstétricaux et néonatals d</w:t>
      </w:r>
      <w:r>
        <w:rPr>
          <w:lang w:val="fr-FR"/>
        </w:rPr>
        <w:t>’</w:t>
      </w:r>
      <w:r w:rsidRPr="00521891">
        <w:rPr>
          <w:lang w:val="fr-FR"/>
        </w:rPr>
        <w:t>urgence (SONU).</w:t>
      </w:r>
    </w:p>
    <w:p w:rsidR="00C06068" w:rsidRPr="00521891" w:rsidRDefault="00C06068" w:rsidP="00C06068">
      <w:pPr>
        <w:pStyle w:val="SingleTxt"/>
        <w:numPr>
          <w:ilvl w:val="0"/>
          <w:numId w:val="10"/>
        </w:numPr>
        <w:rPr>
          <w:lang w:val="fr-FR"/>
        </w:rPr>
      </w:pPr>
      <w:r w:rsidRPr="00521891">
        <w:rPr>
          <w:lang w:val="fr-FR"/>
        </w:rPr>
        <w:t>De 2009 à 2010, le pourcentage des naissances protégées par rapport au tétanos, est passé de 51,2 % à 59 % avec un pic élevé de 62 % en 2011 correspondant à la période de réalisation de la campagne d</w:t>
      </w:r>
      <w:r>
        <w:rPr>
          <w:lang w:val="fr-FR"/>
        </w:rPr>
        <w:t>’</w:t>
      </w:r>
      <w:r w:rsidRPr="00521891">
        <w:rPr>
          <w:lang w:val="fr-FR"/>
        </w:rPr>
        <w:t>élimination du tétanos maternel et néonatal.</w:t>
      </w:r>
    </w:p>
    <w:p w:rsidR="00C06068" w:rsidRPr="00D42D7E" w:rsidRDefault="00C06068" w:rsidP="00C06068">
      <w:pPr>
        <w:pStyle w:val="SingleTxt"/>
        <w:spacing w:after="0" w:line="120" w:lineRule="exact"/>
        <w:rPr>
          <w:b/>
          <w:sz w:val="10"/>
          <w:lang w:val="fr-FR"/>
        </w:rPr>
      </w:pPr>
      <w:bookmarkStart w:id="96" w:name="_Toc377129314"/>
    </w:p>
    <w:p w:rsidR="00C06068" w:rsidRPr="00D42D7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D42D7E">
        <w:rPr>
          <w:b w:val="0"/>
          <w:lang w:val="fr-FR"/>
        </w:rPr>
        <w:t>Tableau 28</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Évolution de la naissance protégée en </w:t>
      </w:r>
      <w:r>
        <w:rPr>
          <w:lang w:val="fr-FR"/>
        </w:rPr>
        <w:t>tétanos néonatal</w:t>
      </w:r>
      <w:r w:rsidRPr="00521891">
        <w:rPr>
          <w:lang w:val="fr-FR"/>
        </w:rPr>
        <w:t xml:space="preserve"> (TNN)</w:t>
      </w:r>
      <w:bookmarkEnd w:id="96"/>
    </w:p>
    <w:p w:rsidR="00C06068" w:rsidRPr="00D42D7E" w:rsidRDefault="00C06068" w:rsidP="00C06068">
      <w:pPr>
        <w:pStyle w:val="SingleTxt"/>
        <w:keepNext/>
        <w:keepLines/>
        <w:spacing w:after="0" w:line="120" w:lineRule="exact"/>
        <w:rPr>
          <w:sz w:val="10"/>
          <w:lang w:val="fr-FR"/>
        </w:rPr>
      </w:pPr>
    </w:p>
    <w:p w:rsidR="00C06068" w:rsidRPr="00D42D7E" w:rsidRDefault="00C06068" w:rsidP="00C06068">
      <w:pPr>
        <w:pStyle w:val="SingleTxt"/>
        <w:keepNext/>
        <w:keepLines/>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0A0"/>
      </w:tblPr>
      <w:tblGrid>
        <w:gridCol w:w="1684"/>
        <w:gridCol w:w="1745"/>
        <w:gridCol w:w="1755"/>
        <w:gridCol w:w="2186"/>
      </w:tblGrid>
      <w:tr w:rsidR="00C06068" w:rsidRPr="00FC6584" w:rsidTr="007F3574">
        <w:trPr>
          <w:trHeight w:val="240"/>
          <w:tblHeader/>
        </w:trPr>
        <w:tc>
          <w:tcPr>
            <w:tcW w:w="1684" w:type="dxa"/>
            <w:tcBorders>
              <w:top w:val="single" w:sz="4" w:space="0" w:color="auto"/>
              <w:bottom w:val="nil"/>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745" w:type="dxa"/>
            <w:tcBorders>
              <w:top w:val="single" w:sz="4" w:space="0" w:color="auto"/>
              <w:bottom w:val="nil"/>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3941" w:type="dxa"/>
            <w:gridSpan w:val="2"/>
            <w:tcBorders>
              <w:top w:val="single" w:sz="4" w:space="0" w:color="auto"/>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Nombre de femme</w:t>
            </w:r>
            <w:r>
              <w:rPr>
                <w:i/>
                <w:sz w:val="14"/>
                <w:lang w:val="fr-FR"/>
              </w:rPr>
              <w:t>s</w:t>
            </w:r>
            <w:r w:rsidRPr="00FC6584">
              <w:rPr>
                <w:i/>
                <w:sz w:val="14"/>
                <w:lang w:val="fr-FR"/>
              </w:rPr>
              <w:t xml:space="preserve"> ayant reçu ATT</w:t>
            </w:r>
          </w:p>
        </w:tc>
      </w:tr>
      <w:tr w:rsidR="00C06068" w:rsidRPr="00FC6584" w:rsidTr="007F3574">
        <w:trPr>
          <w:trHeight w:val="240"/>
          <w:tblHeader/>
        </w:trPr>
        <w:tc>
          <w:tcPr>
            <w:tcW w:w="1684" w:type="dxa"/>
            <w:tcBorders>
              <w:top w:val="nil"/>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1745" w:type="dxa"/>
            <w:tcBorders>
              <w:top w:val="nil"/>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Grossesse attendue</w:t>
            </w:r>
          </w:p>
        </w:tc>
        <w:tc>
          <w:tcPr>
            <w:tcW w:w="1755"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Nombre</w:t>
            </w:r>
          </w:p>
        </w:tc>
        <w:tc>
          <w:tcPr>
            <w:tcW w:w="218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 de</w:t>
            </w:r>
            <w:r w:rsidRPr="00FC6584">
              <w:rPr>
                <w:i/>
                <w:sz w:val="14"/>
                <w:lang w:val="fr-FR"/>
              </w:rPr>
              <w:t xml:space="preserve"> </w:t>
            </w:r>
            <w:r>
              <w:rPr>
                <w:i/>
                <w:sz w:val="14"/>
                <w:lang w:val="fr-FR"/>
              </w:rPr>
              <w:br/>
            </w:r>
            <w:r w:rsidRPr="00FC6584">
              <w:rPr>
                <w:i/>
                <w:sz w:val="14"/>
                <w:lang w:val="fr-FR"/>
              </w:rPr>
              <w:t>naissance</w:t>
            </w:r>
            <w:r>
              <w:rPr>
                <w:i/>
                <w:sz w:val="14"/>
                <w:lang w:val="fr-FR"/>
              </w:rPr>
              <w:t>s</w:t>
            </w:r>
            <w:r w:rsidRPr="00FC6584">
              <w:rPr>
                <w:i/>
                <w:sz w:val="14"/>
                <w:lang w:val="fr-FR"/>
              </w:rPr>
              <w:t xml:space="preserve"> protégée</w:t>
            </w:r>
            <w:r>
              <w:rPr>
                <w:i/>
                <w:sz w:val="14"/>
                <w:lang w:val="fr-FR"/>
              </w:rPr>
              <w:t>s</w:t>
            </w:r>
          </w:p>
        </w:tc>
      </w:tr>
      <w:tr w:rsidR="00C06068" w:rsidRPr="00FC6584" w:rsidTr="007F3574">
        <w:trPr>
          <w:trHeight w:val="240"/>
        </w:trPr>
        <w:tc>
          <w:tcPr>
            <w:tcW w:w="1684"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2009</w:t>
            </w:r>
          </w:p>
        </w:tc>
        <w:tc>
          <w:tcPr>
            <w:tcW w:w="1745"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881 000</w:t>
            </w:r>
          </w:p>
        </w:tc>
        <w:tc>
          <w:tcPr>
            <w:tcW w:w="1755"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503 503</w:t>
            </w:r>
          </w:p>
        </w:tc>
        <w:tc>
          <w:tcPr>
            <w:tcW w:w="2186" w:type="dxa"/>
            <w:tcBorders>
              <w:top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57,2</w:t>
            </w:r>
          </w:p>
        </w:tc>
      </w:tr>
      <w:tr w:rsidR="00C06068" w:rsidRPr="00FC6584" w:rsidTr="007F3574">
        <w:trPr>
          <w:trHeight w:val="240"/>
        </w:trPr>
        <w:tc>
          <w:tcPr>
            <w:tcW w:w="1684"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2010</w:t>
            </w:r>
          </w:p>
        </w:tc>
        <w:tc>
          <w:tcPr>
            <w:tcW w:w="17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964 270</w:t>
            </w:r>
          </w:p>
        </w:tc>
        <w:tc>
          <w:tcPr>
            <w:tcW w:w="175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566 725</w:t>
            </w:r>
          </w:p>
        </w:tc>
        <w:tc>
          <w:tcPr>
            <w:tcW w:w="218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58,8</w:t>
            </w:r>
          </w:p>
        </w:tc>
      </w:tr>
      <w:tr w:rsidR="00C06068" w:rsidRPr="00FC6584" w:rsidTr="007F3574">
        <w:trPr>
          <w:trHeight w:val="240"/>
        </w:trPr>
        <w:tc>
          <w:tcPr>
            <w:tcW w:w="1684"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2011</w:t>
            </w:r>
          </w:p>
        </w:tc>
        <w:tc>
          <w:tcPr>
            <w:tcW w:w="17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793 057</w:t>
            </w:r>
          </w:p>
        </w:tc>
        <w:tc>
          <w:tcPr>
            <w:tcW w:w="175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492 295</w:t>
            </w:r>
          </w:p>
        </w:tc>
        <w:tc>
          <w:tcPr>
            <w:tcW w:w="218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62</w:t>
            </w:r>
          </w:p>
        </w:tc>
      </w:tr>
      <w:tr w:rsidR="00C06068" w:rsidRPr="00FC6584" w:rsidTr="007F3574">
        <w:trPr>
          <w:trHeight w:val="240"/>
        </w:trPr>
        <w:tc>
          <w:tcPr>
            <w:tcW w:w="1684"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2012</w:t>
            </w:r>
          </w:p>
        </w:tc>
        <w:tc>
          <w:tcPr>
            <w:tcW w:w="1745"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816 202</w:t>
            </w:r>
          </w:p>
        </w:tc>
        <w:tc>
          <w:tcPr>
            <w:tcW w:w="1755"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483 979</w:t>
            </w:r>
          </w:p>
        </w:tc>
        <w:tc>
          <w:tcPr>
            <w:tcW w:w="218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bl>
    <w:p w:rsidR="00C06068" w:rsidRPr="00D42D7E" w:rsidRDefault="00C06068" w:rsidP="00C06068">
      <w:pPr>
        <w:pStyle w:val="SingleTxt"/>
        <w:spacing w:after="0" w:line="120" w:lineRule="exact"/>
        <w:rPr>
          <w:b/>
          <w:i/>
          <w:sz w:val="10"/>
          <w:lang w:val="fr-FR"/>
        </w:rPr>
      </w:pPr>
    </w:p>
    <w:p w:rsidR="00C06068" w:rsidRPr="00D42D7E" w:rsidRDefault="00C06068" w:rsidP="00C06068">
      <w:pPr>
        <w:pStyle w:val="FootnoteText"/>
        <w:tabs>
          <w:tab w:val="right" w:pos="1476"/>
          <w:tab w:val="left" w:pos="1548"/>
          <w:tab w:val="right" w:pos="1836"/>
          <w:tab w:val="left" w:pos="1908"/>
        </w:tabs>
        <w:ind w:left="1548" w:hanging="288"/>
        <w:rPr>
          <w:lang w:val="fr-FR"/>
        </w:rPr>
      </w:pPr>
      <w:r w:rsidRPr="00D42D7E">
        <w:rPr>
          <w:i/>
          <w:lang w:val="fr-FR"/>
        </w:rPr>
        <w:t>Source</w:t>
      </w:r>
      <w:r w:rsidRPr="00D42D7E">
        <w:rPr>
          <w:lang w:val="fr-FR"/>
        </w:rPr>
        <w:t> : Annuaire des statistiques du secteur santé de Madagascar, JRF 2011, JRF 2012.</w:t>
      </w:r>
    </w:p>
    <w:p w:rsidR="00C06068" w:rsidRPr="00D42D7E" w:rsidRDefault="00C06068" w:rsidP="00C06068">
      <w:pPr>
        <w:pStyle w:val="FootnoteText"/>
        <w:tabs>
          <w:tab w:val="right" w:pos="1476"/>
          <w:tab w:val="left" w:pos="1548"/>
          <w:tab w:val="right" w:pos="1836"/>
          <w:tab w:val="left" w:pos="1908"/>
        </w:tabs>
        <w:ind w:left="1548" w:right="1267" w:hanging="288"/>
        <w:rPr>
          <w:sz w:val="10"/>
          <w:lang w:val="fr-FR"/>
        </w:rPr>
      </w:pPr>
    </w:p>
    <w:p w:rsidR="00C06068" w:rsidRPr="00D42D7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Conformément à la recommandation de l</w:t>
      </w:r>
      <w:r>
        <w:rPr>
          <w:lang w:val="fr-FR"/>
        </w:rPr>
        <w:t>’</w:t>
      </w:r>
      <w:r w:rsidRPr="00521891">
        <w:rPr>
          <w:lang w:val="fr-FR"/>
        </w:rPr>
        <w:t>OMS, en 2012, un projet de loi relative à la vaccination est en cours d</w:t>
      </w:r>
      <w:r>
        <w:rPr>
          <w:lang w:val="fr-FR"/>
        </w:rPr>
        <w:t>’</w:t>
      </w:r>
      <w:r w:rsidRPr="00521891">
        <w:rPr>
          <w:lang w:val="fr-FR"/>
        </w:rPr>
        <w:t>étude. Il a pour objet de disposer d</w:t>
      </w:r>
      <w:r>
        <w:rPr>
          <w:lang w:val="fr-FR"/>
        </w:rPr>
        <w:t>’</w:t>
      </w:r>
      <w:r w:rsidRPr="00521891">
        <w:rPr>
          <w:lang w:val="fr-FR"/>
        </w:rPr>
        <w:t>un cadre juridique de gestion de la santé de prévention des maladies évitables par la vaccination conformément à ses obligations constitutionnelles; de planifier, organiser, exécuter et contrôler les actions destinées à garantir le caractère obligatoire et gratuit de la prévention des maladies évitables par la vaccination; de fournir les ressources financières permanentes et nécessaires à la réalisation des objectifs spécifiés.</w:t>
      </w:r>
    </w:p>
    <w:p w:rsidR="00C06068" w:rsidRPr="00521891" w:rsidRDefault="00C06068" w:rsidP="00C06068">
      <w:pPr>
        <w:pStyle w:val="SingleTxt"/>
        <w:numPr>
          <w:ilvl w:val="0"/>
          <w:numId w:val="10"/>
        </w:numPr>
        <w:rPr>
          <w:lang w:val="fr-FR"/>
        </w:rPr>
      </w:pPr>
      <w:r w:rsidRPr="00521891">
        <w:rPr>
          <w:lang w:val="fr-FR"/>
        </w:rPr>
        <w:t>Dans le cadre de la lutte contre le VIH/sida, les différentes enquêtes de surveillance biologique du VIH/sida effectuées chez les femmes enceintes (FE) en 2005, 2007 et 2010, ont rapporté des taux de prévalence inférieurs à 1 % avec respectivement 0,15 %, 0,18 % et 0,09 %. Cependant, si l</w:t>
      </w:r>
      <w:r>
        <w:rPr>
          <w:lang w:val="fr-FR"/>
        </w:rPr>
        <w:t>’</w:t>
      </w:r>
      <w:r w:rsidRPr="00521891">
        <w:rPr>
          <w:lang w:val="fr-FR"/>
        </w:rPr>
        <w:t>objectif fixé est de 80 %, la proportion de femmes enceintes ayant effectué le test de VIH/sida est de 32</w:t>
      </w:r>
      <w:r>
        <w:rPr>
          <w:lang w:val="fr-FR"/>
        </w:rPr>
        <w:t>,</w:t>
      </w:r>
      <w:r w:rsidRPr="00521891">
        <w:rPr>
          <w:lang w:val="fr-FR"/>
        </w:rPr>
        <w:t>15 %.</w:t>
      </w:r>
    </w:p>
    <w:p w:rsidR="00C06068" w:rsidRPr="00D42D7E" w:rsidRDefault="00C06068" w:rsidP="00C06068">
      <w:pPr>
        <w:pStyle w:val="SingleTxt"/>
        <w:spacing w:after="0" w:line="120" w:lineRule="exact"/>
        <w:rPr>
          <w:b/>
          <w:sz w:val="10"/>
          <w:lang w:val="fr-FR"/>
        </w:rPr>
      </w:pPr>
      <w:bookmarkStart w:id="97" w:name="_Toc377129315"/>
    </w:p>
    <w:p w:rsidR="00C06068" w:rsidRPr="00D42D7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D42D7E">
        <w:rPr>
          <w:b w:val="0"/>
          <w:lang w:val="fr-FR"/>
        </w:rPr>
        <w:t>Tableau 29</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Tendance de la prévention primaire de la transmission mère-enfant </w:t>
      </w:r>
      <w:r>
        <w:rPr>
          <w:lang w:val="fr-FR"/>
        </w:rPr>
        <w:br/>
      </w:r>
      <w:r w:rsidRPr="00521891">
        <w:rPr>
          <w:lang w:val="fr-FR"/>
        </w:rPr>
        <w:t>du VIH/sida chez les femmes enceintes</w:t>
      </w:r>
      <w:bookmarkEnd w:id="97"/>
    </w:p>
    <w:p w:rsidR="00C06068" w:rsidRPr="00D42D7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Pr>
          <w:lang w:val="fr-FR"/>
        </w:rPr>
        <w:tab/>
      </w:r>
      <w:r>
        <w:rPr>
          <w:lang w:val="fr-FR"/>
        </w:rPr>
        <w:tab/>
      </w:r>
      <w:r>
        <w:rPr>
          <w:b w:val="0"/>
          <w:sz w:val="14"/>
          <w:szCs w:val="14"/>
          <w:lang w:val="fr-FR"/>
        </w:rPr>
        <w:t>(En p</w:t>
      </w:r>
      <w:r w:rsidRPr="00D42D7E">
        <w:rPr>
          <w:b w:val="0"/>
          <w:sz w:val="14"/>
          <w:szCs w:val="14"/>
          <w:lang w:val="fr-FR"/>
        </w:rPr>
        <w:t>ourcentage)</w:t>
      </w:r>
    </w:p>
    <w:p w:rsidR="00C06068" w:rsidRPr="00D31C13" w:rsidRDefault="00C06068" w:rsidP="00C06068">
      <w:pPr>
        <w:pStyle w:val="SingleTxt"/>
        <w:spacing w:after="0" w:line="120" w:lineRule="exact"/>
        <w:rPr>
          <w:sz w:val="10"/>
          <w:lang w:val="fr-FR"/>
        </w:rPr>
      </w:pPr>
    </w:p>
    <w:p w:rsidR="00C06068" w:rsidRPr="00D42D7E" w:rsidRDefault="00C06068" w:rsidP="00C06068">
      <w:pPr>
        <w:pStyle w:val="SingleTxt"/>
        <w:spacing w:after="0" w:line="120" w:lineRule="exact"/>
        <w:rPr>
          <w:sz w:val="10"/>
          <w:lang w:val="fr-FR"/>
        </w:rPr>
      </w:pPr>
    </w:p>
    <w:tbl>
      <w:tblPr>
        <w:tblW w:w="0" w:type="auto"/>
        <w:tblInd w:w="1260" w:type="dxa"/>
        <w:tblBorders>
          <w:top w:val="single" w:sz="4" w:space="0" w:color="auto"/>
        </w:tblBorders>
        <w:tblCellMar>
          <w:left w:w="0" w:type="dxa"/>
          <w:right w:w="0" w:type="dxa"/>
        </w:tblCellMar>
        <w:tblLook w:val="04A0"/>
      </w:tblPr>
      <w:tblGrid>
        <w:gridCol w:w="720"/>
        <w:gridCol w:w="2190"/>
        <w:gridCol w:w="2190"/>
        <w:gridCol w:w="2190"/>
      </w:tblGrid>
      <w:tr w:rsidR="00C06068" w:rsidRPr="00FC6584" w:rsidTr="007F3574">
        <w:trPr>
          <w:trHeight w:val="240"/>
          <w:tblHeader/>
        </w:trPr>
        <w:tc>
          <w:tcPr>
            <w:tcW w:w="72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21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Counseling </w:t>
            </w:r>
            <w:r>
              <w:rPr>
                <w:i/>
                <w:sz w:val="14"/>
                <w:lang w:val="fr-FR"/>
              </w:rPr>
              <w:t>pré</w:t>
            </w:r>
            <w:r w:rsidRPr="00FC6584">
              <w:rPr>
                <w:i/>
                <w:sz w:val="14"/>
                <w:lang w:val="fr-FR"/>
              </w:rPr>
              <w:t>test en VIH</w:t>
            </w:r>
          </w:p>
        </w:tc>
        <w:tc>
          <w:tcPr>
            <w:tcW w:w="21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Test VIH/sida </w:t>
            </w:r>
          </w:p>
        </w:tc>
        <w:tc>
          <w:tcPr>
            <w:tcW w:w="21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Objectifs </w:t>
            </w:r>
          </w:p>
        </w:tc>
      </w:tr>
      <w:tr w:rsidR="00C06068" w:rsidRPr="00FC6584" w:rsidTr="007F3574">
        <w:trPr>
          <w:trHeight w:val="240"/>
        </w:trPr>
        <w:tc>
          <w:tcPr>
            <w:tcW w:w="72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2010</w:t>
            </w:r>
          </w:p>
        </w:tc>
        <w:tc>
          <w:tcPr>
            <w:tcW w:w="21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29</w:t>
            </w:r>
            <w:r>
              <w:rPr>
                <w:sz w:val="17"/>
                <w:lang w:val="fr-FR"/>
              </w:rPr>
              <w:t>,</w:t>
            </w:r>
            <w:r w:rsidRPr="00256056">
              <w:rPr>
                <w:sz w:val="17"/>
                <w:lang w:val="fr-FR"/>
              </w:rPr>
              <w:t>07</w:t>
            </w:r>
          </w:p>
        </w:tc>
        <w:tc>
          <w:tcPr>
            <w:tcW w:w="21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w:t>
            </w:r>
            <w:r>
              <w:rPr>
                <w:sz w:val="17"/>
                <w:lang w:val="fr-FR"/>
              </w:rPr>
              <w:t>,</w:t>
            </w:r>
            <w:r w:rsidRPr="00256056">
              <w:rPr>
                <w:sz w:val="17"/>
                <w:lang w:val="fr-FR"/>
              </w:rPr>
              <w:t>80</w:t>
            </w:r>
          </w:p>
        </w:tc>
        <w:tc>
          <w:tcPr>
            <w:tcW w:w="21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w:t>
            </w:r>
          </w:p>
        </w:tc>
      </w:tr>
      <w:tr w:rsidR="00C06068" w:rsidRPr="00FC6584" w:rsidTr="007F3574">
        <w:trPr>
          <w:trHeight w:val="240"/>
        </w:trPr>
        <w:tc>
          <w:tcPr>
            <w:tcW w:w="720"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2011</w:t>
            </w:r>
          </w:p>
        </w:tc>
        <w:tc>
          <w:tcPr>
            <w:tcW w:w="21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57</w:t>
            </w:r>
            <w:r>
              <w:rPr>
                <w:sz w:val="17"/>
                <w:lang w:val="fr-FR"/>
              </w:rPr>
              <w:t>,</w:t>
            </w:r>
            <w:r w:rsidRPr="00256056">
              <w:rPr>
                <w:sz w:val="17"/>
                <w:lang w:val="fr-FR"/>
              </w:rPr>
              <w:t>29</w:t>
            </w:r>
          </w:p>
        </w:tc>
        <w:tc>
          <w:tcPr>
            <w:tcW w:w="21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51</w:t>
            </w:r>
            <w:r>
              <w:rPr>
                <w:sz w:val="17"/>
                <w:lang w:val="fr-FR"/>
              </w:rPr>
              <w:t>,</w:t>
            </w:r>
            <w:r w:rsidRPr="00256056">
              <w:rPr>
                <w:sz w:val="17"/>
                <w:lang w:val="fr-FR"/>
              </w:rPr>
              <w:t>04</w:t>
            </w:r>
          </w:p>
        </w:tc>
        <w:tc>
          <w:tcPr>
            <w:tcW w:w="21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w:t>
            </w:r>
          </w:p>
        </w:tc>
      </w:tr>
      <w:tr w:rsidR="00C06068" w:rsidRPr="00FC6584" w:rsidTr="007F3574">
        <w:trPr>
          <w:trHeight w:val="240"/>
        </w:trPr>
        <w:tc>
          <w:tcPr>
            <w:tcW w:w="720"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2012</w:t>
            </w:r>
          </w:p>
        </w:tc>
        <w:tc>
          <w:tcPr>
            <w:tcW w:w="219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39</w:t>
            </w:r>
            <w:r>
              <w:rPr>
                <w:sz w:val="17"/>
                <w:lang w:val="fr-FR"/>
              </w:rPr>
              <w:t>,</w:t>
            </w:r>
            <w:r w:rsidRPr="00256056">
              <w:rPr>
                <w:sz w:val="17"/>
                <w:lang w:val="fr-FR"/>
              </w:rPr>
              <w:t>41</w:t>
            </w:r>
          </w:p>
        </w:tc>
        <w:tc>
          <w:tcPr>
            <w:tcW w:w="219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32</w:t>
            </w:r>
            <w:r>
              <w:rPr>
                <w:sz w:val="17"/>
                <w:lang w:val="fr-FR"/>
              </w:rPr>
              <w:t>,</w:t>
            </w:r>
            <w:r w:rsidRPr="00256056">
              <w:rPr>
                <w:sz w:val="17"/>
                <w:lang w:val="fr-FR"/>
              </w:rPr>
              <w:t>15</w:t>
            </w:r>
          </w:p>
        </w:tc>
        <w:tc>
          <w:tcPr>
            <w:tcW w:w="219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w:t>
            </w:r>
          </w:p>
        </w:tc>
      </w:tr>
    </w:tbl>
    <w:p w:rsidR="00C06068" w:rsidRPr="00D42D7E"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hanging="288"/>
        <w:rPr>
          <w:lang w:val="fr-FR"/>
        </w:rPr>
      </w:pPr>
      <w:r w:rsidRPr="00917E2F">
        <w:rPr>
          <w:i/>
          <w:lang w:val="fr-FR"/>
        </w:rPr>
        <w:t>Source</w:t>
      </w:r>
      <w:r w:rsidRPr="00C91CD9">
        <w:rPr>
          <w:lang w:val="fr-FR"/>
        </w:rPr>
        <w:t xml:space="preserve"> : Ministère de la </w:t>
      </w:r>
      <w:r>
        <w:rPr>
          <w:lang w:val="fr-FR"/>
        </w:rPr>
        <w:t>santé publique/Programme national</w:t>
      </w:r>
      <w:r w:rsidRPr="00C91CD9">
        <w:rPr>
          <w:lang w:val="fr-FR"/>
        </w:rPr>
        <w:t xml:space="preserve"> de lutte contre le sida.</w:t>
      </w: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SingleTxt"/>
        <w:numPr>
          <w:ilvl w:val="0"/>
          <w:numId w:val="10"/>
        </w:numPr>
        <w:rPr>
          <w:lang w:val="fr-FR"/>
        </w:rPr>
      </w:pPr>
      <w:r w:rsidRPr="00521891">
        <w:rPr>
          <w:lang w:val="fr-FR"/>
        </w:rPr>
        <w:t>D</w:t>
      </w:r>
      <w:r>
        <w:rPr>
          <w:lang w:val="fr-FR"/>
        </w:rPr>
        <w:t>’</w:t>
      </w:r>
      <w:r w:rsidRPr="00521891">
        <w:rPr>
          <w:lang w:val="fr-FR"/>
        </w:rPr>
        <w:t>après les résultats de l</w:t>
      </w:r>
      <w:r>
        <w:rPr>
          <w:lang w:val="fr-FR"/>
        </w:rPr>
        <w:t>’E</w:t>
      </w:r>
      <w:r w:rsidRPr="00521891">
        <w:rPr>
          <w:lang w:val="fr-FR"/>
        </w:rPr>
        <w:t>nquête démographique et de santé réalisée en 2008</w:t>
      </w:r>
      <w:r>
        <w:rPr>
          <w:lang w:val="fr-FR"/>
        </w:rPr>
        <w:t>-</w:t>
      </w:r>
      <w:r w:rsidRPr="00521891">
        <w:rPr>
          <w:lang w:val="fr-FR"/>
        </w:rPr>
        <w:t>2009, au cours des CPN, 9 % des FE ont reçu des conseils sur le VIH, ont accepté de faire le test et ont eu connaissance de leurs résultats tandis que 24 % des FE ont reçu uniquement des conseils sur le VIH, et 13 % ont accepté de faire le test et ont eu connaissance de leurs résultats</w:t>
      </w:r>
      <w:r w:rsidRPr="00313148">
        <w:rPr>
          <w:vertAlign w:val="superscript"/>
          <w:lang w:val="fr-FR"/>
        </w:rPr>
        <w:footnoteReference w:id="18"/>
      </w:r>
      <w:r w:rsidRPr="00521891">
        <w:rPr>
          <w:lang w:val="fr-FR"/>
        </w:rPr>
        <w:t>.</w:t>
      </w:r>
    </w:p>
    <w:p w:rsidR="00C06068" w:rsidRDefault="00C06068" w:rsidP="00C06068">
      <w:pPr>
        <w:pStyle w:val="SingleTxt"/>
        <w:numPr>
          <w:ilvl w:val="0"/>
          <w:numId w:val="10"/>
        </w:numPr>
        <w:rPr>
          <w:lang w:val="fr-FR"/>
        </w:rPr>
      </w:pPr>
      <w:r w:rsidRPr="00521891">
        <w:rPr>
          <w:lang w:val="fr-FR"/>
        </w:rPr>
        <w:t>Des efforts ont été entrepris dans l</w:t>
      </w:r>
      <w:r>
        <w:rPr>
          <w:lang w:val="fr-FR"/>
        </w:rPr>
        <w:t>’</w:t>
      </w:r>
      <w:r w:rsidRPr="00521891">
        <w:rPr>
          <w:lang w:val="fr-FR"/>
        </w:rPr>
        <w:t>amélioration de l</w:t>
      </w:r>
      <w:r>
        <w:rPr>
          <w:lang w:val="fr-FR"/>
        </w:rPr>
        <w:t>’</w:t>
      </w:r>
      <w:r w:rsidRPr="00521891">
        <w:rPr>
          <w:lang w:val="fr-FR"/>
        </w:rPr>
        <w:t>accès des femmes enceintes à la prévention primaire du VIH/sida par la mise à l</w:t>
      </w:r>
      <w:r>
        <w:rPr>
          <w:lang w:val="fr-FR"/>
        </w:rPr>
        <w:t>’</w:t>
      </w:r>
      <w:r w:rsidRPr="00521891">
        <w:rPr>
          <w:lang w:val="fr-FR"/>
        </w:rPr>
        <w:t>échelle des sites de dépistage et de counseling en VIH/sida.</w:t>
      </w:r>
    </w:p>
    <w:p w:rsidR="00C06068" w:rsidRPr="00D31C13" w:rsidRDefault="00C06068" w:rsidP="00C06068">
      <w:pPr>
        <w:pStyle w:val="SingleTxt"/>
        <w:spacing w:after="0" w:line="120" w:lineRule="exact"/>
        <w:rPr>
          <w:sz w:val="10"/>
          <w:lang w:val="fr-FR"/>
        </w:rPr>
      </w:pPr>
    </w:p>
    <w:p w:rsidR="00C06068" w:rsidRPr="00C91CD9"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98" w:name="_Toc377129316"/>
      <w:r>
        <w:rPr>
          <w:lang w:val="fr-FR"/>
        </w:rPr>
        <w:tab/>
      </w:r>
      <w:r>
        <w:rPr>
          <w:lang w:val="fr-FR"/>
        </w:rPr>
        <w:tab/>
      </w:r>
      <w:r w:rsidRPr="00C91CD9">
        <w:rPr>
          <w:b w:val="0"/>
          <w:lang w:val="fr-FR"/>
        </w:rPr>
        <w:t>Tableau 30</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Évolution de la mise en place des sites de dépistage et counseling en VIH/sida</w:t>
      </w:r>
      <w:bookmarkEnd w:id="98"/>
    </w:p>
    <w:p w:rsidR="00C06068" w:rsidRPr="00C91CD9" w:rsidRDefault="00C06068" w:rsidP="00C06068">
      <w:pPr>
        <w:pStyle w:val="SingleTxt"/>
        <w:spacing w:after="0" w:line="120" w:lineRule="exact"/>
        <w:rPr>
          <w:sz w:val="10"/>
          <w:lang w:val="fr-FR"/>
        </w:rPr>
      </w:pPr>
    </w:p>
    <w:p w:rsidR="00C06068" w:rsidRPr="00C91CD9" w:rsidRDefault="00C06068" w:rsidP="00C06068">
      <w:pPr>
        <w:pStyle w:val="SingleTxt"/>
        <w:spacing w:after="0" w:line="120" w:lineRule="exact"/>
        <w:rPr>
          <w:sz w:val="10"/>
          <w:lang w:val="fr-FR"/>
        </w:rPr>
      </w:pPr>
    </w:p>
    <w:tbl>
      <w:tblPr>
        <w:tblW w:w="8595" w:type="dxa"/>
        <w:tblInd w:w="1260" w:type="dxa"/>
        <w:tblBorders>
          <w:top w:val="single" w:sz="4" w:space="0" w:color="auto"/>
        </w:tblBorders>
        <w:tblCellMar>
          <w:left w:w="0" w:type="dxa"/>
          <w:right w:w="0" w:type="dxa"/>
        </w:tblCellMar>
        <w:tblLook w:val="04A0"/>
      </w:tblPr>
      <w:tblGrid>
        <w:gridCol w:w="2699"/>
        <w:gridCol w:w="1093"/>
        <w:gridCol w:w="1160"/>
        <w:gridCol w:w="1160"/>
        <w:gridCol w:w="1160"/>
        <w:gridCol w:w="1323"/>
      </w:tblGrid>
      <w:tr w:rsidR="00C06068" w:rsidRPr="00FC6584" w:rsidTr="007F3574">
        <w:trPr>
          <w:trHeight w:val="240"/>
          <w:tblHeader/>
        </w:trPr>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Indicateurs </w:t>
            </w:r>
          </w:p>
        </w:tc>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c>
          <w:tcPr>
            <w:tcW w:w="132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 2017</w:t>
            </w:r>
          </w:p>
        </w:tc>
      </w:tr>
      <w:tr w:rsidR="00C06068" w:rsidRPr="00FC6584" w:rsidTr="007F3574">
        <w:trPr>
          <w:trHeight w:val="240"/>
        </w:trPr>
        <w:tc>
          <w:tcPr>
            <w:tcW w:w="0" w:type="auto"/>
            <w:tcBorders>
              <w:top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Nombre de sites de dépistage </w:t>
            </w:r>
            <w:r>
              <w:rPr>
                <w:sz w:val="17"/>
                <w:lang w:val="fr-FR"/>
              </w:rPr>
              <w:br/>
            </w:r>
            <w:r w:rsidRPr="00917E2F">
              <w:rPr>
                <w:sz w:val="17"/>
                <w:lang w:val="fr-FR"/>
              </w:rPr>
              <w:t>et counseling en VIH</w:t>
            </w:r>
          </w:p>
        </w:tc>
        <w:tc>
          <w:tcPr>
            <w:tcW w:w="0" w:type="auto"/>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816 dans 2</w:t>
            </w:r>
            <w:r>
              <w:rPr>
                <w:sz w:val="17"/>
                <w:lang w:val="fr-FR"/>
              </w:rPr>
              <w:t xml:space="preserve"> </w:t>
            </w:r>
            <w:r w:rsidRPr="00256056">
              <w:rPr>
                <w:sz w:val="17"/>
                <w:lang w:val="fr-FR"/>
              </w:rPr>
              <w:t>436 CSB</w:t>
            </w:r>
          </w:p>
        </w:tc>
        <w:tc>
          <w:tcPr>
            <w:tcW w:w="0" w:type="auto"/>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xml:space="preserve"> </w:t>
            </w:r>
            <w:r w:rsidRPr="00256056">
              <w:rPr>
                <w:sz w:val="17"/>
                <w:lang w:val="fr-FR"/>
              </w:rPr>
              <w:t>020 dans 2</w:t>
            </w:r>
            <w:r>
              <w:rPr>
                <w:sz w:val="17"/>
                <w:lang w:val="fr-FR"/>
              </w:rPr>
              <w:t xml:space="preserve"> </w:t>
            </w:r>
            <w:r w:rsidRPr="00256056">
              <w:rPr>
                <w:sz w:val="17"/>
                <w:lang w:val="fr-FR"/>
              </w:rPr>
              <w:t>458 CSB</w:t>
            </w:r>
          </w:p>
        </w:tc>
        <w:tc>
          <w:tcPr>
            <w:tcW w:w="0" w:type="auto"/>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xml:space="preserve"> </w:t>
            </w:r>
            <w:r w:rsidRPr="00256056">
              <w:rPr>
                <w:sz w:val="17"/>
                <w:lang w:val="fr-FR"/>
              </w:rPr>
              <w:t>638 dans 2</w:t>
            </w:r>
            <w:r>
              <w:rPr>
                <w:sz w:val="17"/>
                <w:lang w:val="fr-FR"/>
              </w:rPr>
              <w:t xml:space="preserve"> </w:t>
            </w:r>
            <w:r w:rsidRPr="00256056">
              <w:rPr>
                <w:sz w:val="17"/>
                <w:lang w:val="fr-FR"/>
              </w:rPr>
              <w:t>485 CSB</w:t>
            </w:r>
          </w:p>
        </w:tc>
        <w:tc>
          <w:tcPr>
            <w:tcW w:w="0" w:type="auto"/>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xml:space="preserve"> </w:t>
            </w:r>
            <w:r w:rsidRPr="00256056">
              <w:rPr>
                <w:sz w:val="17"/>
                <w:lang w:val="fr-FR"/>
              </w:rPr>
              <w:t>644 dans 2</w:t>
            </w:r>
            <w:r>
              <w:rPr>
                <w:sz w:val="17"/>
                <w:lang w:val="fr-FR"/>
              </w:rPr>
              <w:t xml:space="preserve"> </w:t>
            </w:r>
            <w:r w:rsidRPr="00256056">
              <w:rPr>
                <w:sz w:val="17"/>
                <w:lang w:val="fr-FR"/>
              </w:rPr>
              <w:t>544 CSB</w:t>
            </w:r>
          </w:p>
        </w:tc>
        <w:tc>
          <w:tcPr>
            <w:tcW w:w="1323" w:type="dxa"/>
            <w:vMerge w:val="restart"/>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100 % (tous les CSB publics)</w:t>
            </w:r>
          </w:p>
        </w:tc>
      </w:tr>
      <w:tr w:rsidR="00C06068" w:rsidRPr="00FC6584" w:rsidTr="007F3574">
        <w:trPr>
          <w:trHeight w:val="240"/>
        </w:trPr>
        <w:tc>
          <w:tcPr>
            <w:tcW w:w="0" w:type="auto"/>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Proportion de CSB offrant du conseil et dépistage en VIH/sida</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33,49 %</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41,49 %</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65,91 %</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64,62 %</w:t>
            </w:r>
          </w:p>
        </w:tc>
        <w:tc>
          <w:tcPr>
            <w:tcW w:w="1323" w:type="dxa"/>
            <w:vMerge/>
            <w:tcBorders>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r>
    </w:tbl>
    <w:p w:rsidR="00C06068" w:rsidRPr="00C91CD9"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hanging="288"/>
        <w:rPr>
          <w:lang w:val="fr-FR"/>
        </w:rPr>
      </w:pPr>
      <w:r w:rsidRPr="00345AC1">
        <w:rPr>
          <w:i/>
          <w:lang w:val="fr-FR"/>
        </w:rPr>
        <w:t>Source</w:t>
      </w:r>
      <w:r w:rsidRPr="00917E2F">
        <w:rPr>
          <w:lang w:val="fr-FR"/>
        </w:rPr>
        <w:t> :</w:t>
      </w:r>
      <w:r w:rsidRPr="00521891">
        <w:rPr>
          <w:lang w:val="fr-FR"/>
        </w:rPr>
        <w:t xml:space="preserve"> Ministère de la santé publique/Programme </w:t>
      </w:r>
      <w:r>
        <w:rPr>
          <w:lang w:val="fr-FR"/>
        </w:rPr>
        <w:t>national</w:t>
      </w:r>
      <w:r w:rsidRPr="00521891">
        <w:rPr>
          <w:lang w:val="fr-FR"/>
        </w:rPr>
        <w:t xml:space="preserve"> de lutte contre le sida.</w:t>
      </w: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SingleTxt"/>
        <w:numPr>
          <w:ilvl w:val="0"/>
          <w:numId w:val="10"/>
        </w:numPr>
        <w:rPr>
          <w:lang w:val="fr-FR"/>
        </w:rPr>
      </w:pPr>
      <w:r w:rsidRPr="00521891">
        <w:rPr>
          <w:lang w:val="fr-FR"/>
        </w:rPr>
        <w:t>Concernant la lutte contre le paludisme, depuis 2007, des campagnes d</w:t>
      </w:r>
      <w:r>
        <w:rPr>
          <w:lang w:val="fr-FR"/>
        </w:rPr>
        <w:t>’aspersion intra</w:t>
      </w:r>
      <w:r w:rsidRPr="00521891">
        <w:rPr>
          <w:lang w:val="fr-FR"/>
        </w:rPr>
        <w:t>domiciliaire d</w:t>
      </w:r>
      <w:r>
        <w:rPr>
          <w:lang w:val="fr-FR"/>
        </w:rPr>
        <w:t>’</w:t>
      </w:r>
      <w:r w:rsidRPr="00521891">
        <w:rPr>
          <w:lang w:val="fr-FR"/>
        </w:rPr>
        <w:t>insecticide réalisées avant le début de la saison de transmission du paludisme constituent l</w:t>
      </w:r>
      <w:r>
        <w:rPr>
          <w:lang w:val="fr-FR"/>
        </w:rPr>
        <w:t>’</w:t>
      </w:r>
      <w:r w:rsidRPr="00521891">
        <w:rPr>
          <w:lang w:val="fr-FR"/>
        </w:rPr>
        <w:t>une des méthodes de contrôle du vecteur la plus efficace pour interrompre la transmission du paludisme. Cette méthode a permis d</w:t>
      </w:r>
      <w:r>
        <w:rPr>
          <w:lang w:val="fr-FR"/>
        </w:rPr>
        <w:t>’accroî</w:t>
      </w:r>
      <w:r w:rsidRPr="00521891">
        <w:rPr>
          <w:lang w:val="fr-FR"/>
        </w:rPr>
        <w:t xml:space="preserve">tre le nombre de </w:t>
      </w:r>
      <w:r>
        <w:rPr>
          <w:lang w:val="fr-FR"/>
        </w:rPr>
        <w:t xml:space="preserve">personnes </w:t>
      </w:r>
      <w:r w:rsidRPr="00521891">
        <w:rPr>
          <w:lang w:val="fr-FR"/>
        </w:rPr>
        <w:t>protégé</w:t>
      </w:r>
      <w:r>
        <w:rPr>
          <w:lang w:val="fr-FR"/>
        </w:rPr>
        <w:t>es</w:t>
      </w:r>
      <w:r w:rsidRPr="00521891">
        <w:rPr>
          <w:lang w:val="fr-FR"/>
        </w:rPr>
        <w:t xml:space="preserve"> contre le paludisme. </w:t>
      </w:r>
      <w:r>
        <w:rPr>
          <w:lang w:val="fr-FR"/>
        </w:rPr>
        <w:t xml:space="preserve">À </w:t>
      </w:r>
      <w:r w:rsidRPr="00521891">
        <w:rPr>
          <w:lang w:val="fr-FR"/>
        </w:rPr>
        <w:t>partir de l</w:t>
      </w:r>
      <w:r>
        <w:rPr>
          <w:lang w:val="fr-FR"/>
        </w:rPr>
        <w:t>’</w:t>
      </w:r>
      <w:r w:rsidRPr="00521891">
        <w:rPr>
          <w:lang w:val="fr-FR"/>
        </w:rPr>
        <w:t>année 2008, cette méthode a été appliquée dans quelques communes.</w:t>
      </w:r>
    </w:p>
    <w:p w:rsidR="00C06068" w:rsidRPr="00CA4846" w:rsidRDefault="00C06068" w:rsidP="00C06068">
      <w:pPr>
        <w:pStyle w:val="SingleTxt"/>
        <w:numPr>
          <w:ilvl w:val="0"/>
          <w:numId w:val="10"/>
        </w:numPr>
        <w:rPr>
          <w:spacing w:val="2"/>
          <w:lang w:val="fr-FR"/>
        </w:rPr>
      </w:pPr>
      <w:r w:rsidRPr="00CA4846">
        <w:rPr>
          <w:spacing w:val="2"/>
          <w:lang w:val="fr-FR"/>
        </w:rPr>
        <w:t>Entre 2010 et 2011, elle a été généralisée dans les hautes terres centrales, et étendue dans trois régions du sud. Pour une meilleure protection des femmes enceintes et des enfants, un paquet d’activités supplémentaires est dispensé aussi bien pendant les activités de routine que de campagne. Des moustiquaires imprégnées d’insecticide sont distribuées soit gratuitement soit en mode marketing social.</w:t>
      </w:r>
    </w:p>
    <w:p w:rsidR="00C06068" w:rsidRPr="00C91CD9" w:rsidRDefault="00C06068" w:rsidP="00C06068">
      <w:pPr>
        <w:pStyle w:val="SingleTxt"/>
        <w:spacing w:after="0" w:line="120" w:lineRule="exact"/>
        <w:rPr>
          <w:b/>
          <w:sz w:val="10"/>
          <w:lang w:val="fr-FR"/>
        </w:rPr>
      </w:pPr>
      <w:bookmarkStart w:id="99" w:name="_Toc377129317"/>
    </w:p>
    <w:p w:rsidR="00C06068" w:rsidRPr="00C91CD9"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C91CD9">
        <w:rPr>
          <w:b w:val="0"/>
          <w:lang w:val="fr-FR"/>
        </w:rPr>
        <w:t>Tableau 31</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Tendance de la distribution de MID</w:t>
      </w:r>
      <w:bookmarkEnd w:id="99"/>
    </w:p>
    <w:p w:rsidR="00C06068" w:rsidRPr="00C91CD9" w:rsidRDefault="00C06068" w:rsidP="00C06068">
      <w:pPr>
        <w:pStyle w:val="SingleTxt"/>
        <w:spacing w:after="0" w:line="120" w:lineRule="exact"/>
        <w:rPr>
          <w:sz w:val="10"/>
          <w:lang w:val="fr-FR"/>
        </w:rPr>
      </w:pPr>
    </w:p>
    <w:p w:rsidR="00C06068" w:rsidRPr="00C91CD9" w:rsidRDefault="00C06068" w:rsidP="00C06068">
      <w:pPr>
        <w:pStyle w:val="SingleTxt"/>
        <w:spacing w:after="0" w:line="120" w:lineRule="exact"/>
        <w:rPr>
          <w:sz w:val="10"/>
          <w:lang w:val="fr-FR"/>
        </w:rPr>
      </w:pPr>
    </w:p>
    <w:tbl>
      <w:tblPr>
        <w:tblW w:w="9884" w:type="dxa"/>
        <w:tblBorders>
          <w:top w:val="single" w:sz="4" w:space="0" w:color="auto"/>
        </w:tblBorders>
        <w:tblLayout w:type="fixed"/>
        <w:tblCellMar>
          <w:left w:w="0" w:type="dxa"/>
          <w:right w:w="0" w:type="dxa"/>
        </w:tblCellMar>
        <w:tblLook w:val="04A0"/>
      </w:tblPr>
      <w:tblGrid>
        <w:gridCol w:w="2286"/>
        <w:gridCol w:w="1296"/>
        <w:gridCol w:w="1188"/>
        <w:gridCol w:w="1278"/>
        <w:gridCol w:w="1303"/>
        <w:gridCol w:w="1266"/>
        <w:gridCol w:w="1267"/>
      </w:tblGrid>
      <w:tr w:rsidR="00C06068" w:rsidRPr="00FC6584" w:rsidTr="007F3574">
        <w:trPr>
          <w:trHeight w:val="240"/>
          <w:tblHeader/>
        </w:trPr>
        <w:tc>
          <w:tcPr>
            <w:tcW w:w="2286" w:type="dxa"/>
            <w:tcBorders>
              <w:top w:val="single" w:sz="4" w:space="0" w:color="auto"/>
              <w:bottom w:val="single" w:sz="12"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296" w:type="dxa"/>
            <w:tcBorders>
              <w:top w:val="single" w:sz="4" w:space="0" w:color="auto"/>
              <w:bottom w:val="single" w:sz="12"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2007</w:t>
            </w:r>
          </w:p>
        </w:tc>
        <w:tc>
          <w:tcPr>
            <w:tcW w:w="1188" w:type="dxa"/>
            <w:tcBorders>
              <w:top w:val="single" w:sz="4" w:space="0" w:color="auto"/>
              <w:bottom w:val="single" w:sz="12"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2008</w:t>
            </w:r>
          </w:p>
        </w:tc>
        <w:tc>
          <w:tcPr>
            <w:tcW w:w="1278" w:type="dxa"/>
            <w:tcBorders>
              <w:top w:val="single" w:sz="4" w:space="0" w:color="auto"/>
              <w:bottom w:val="single" w:sz="12"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1303"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126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126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rPr>
          <w:trHeight w:val="240"/>
        </w:trPr>
        <w:tc>
          <w:tcPr>
            <w:tcW w:w="2286" w:type="dxa"/>
            <w:tcBorders>
              <w:top w:val="single" w:sz="12" w:space="0" w:color="auto"/>
            </w:tcBorders>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MID distribuées en mode de routine</w:t>
            </w:r>
          </w:p>
        </w:tc>
        <w:tc>
          <w:tcPr>
            <w:tcW w:w="1296"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88"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471 720</w:t>
            </w:r>
          </w:p>
        </w:tc>
        <w:tc>
          <w:tcPr>
            <w:tcW w:w="1278"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44 000</w:t>
            </w:r>
          </w:p>
        </w:tc>
        <w:tc>
          <w:tcPr>
            <w:tcW w:w="1303"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74 363</w:t>
            </w:r>
          </w:p>
        </w:tc>
        <w:tc>
          <w:tcPr>
            <w:tcW w:w="126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226 040</w:t>
            </w:r>
          </w:p>
        </w:tc>
        <w:tc>
          <w:tcPr>
            <w:tcW w:w="126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130 364</w:t>
            </w:r>
          </w:p>
        </w:tc>
      </w:tr>
      <w:tr w:rsidR="00C06068" w:rsidRPr="00FC6584" w:rsidTr="007F3574">
        <w:trPr>
          <w:trHeight w:val="240"/>
        </w:trPr>
        <w:tc>
          <w:tcPr>
            <w:tcW w:w="2286" w:type="dxa"/>
            <w:shd w:val="clear" w:color="auto" w:fill="auto"/>
            <w:noWrap/>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MID distribuées au cours des campagnes dans les districts*</w:t>
            </w:r>
          </w:p>
        </w:tc>
        <w:tc>
          <w:tcPr>
            <w:tcW w:w="1296" w:type="dxa"/>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 xml:space="preserve">2 026 000 dans 92 </w:t>
            </w:r>
            <w:r w:rsidRPr="00256056">
              <w:rPr>
                <w:sz w:val="17"/>
                <w:lang w:val="fr-FR"/>
              </w:rPr>
              <w:t>districts</w:t>
            </w:r>
          </w:p>
        </w:tc>
        <w:tc>
          <w:tcPr>
            <w:tcW w:w="1188" w:type="dxa"/>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78" w:type="dxa"/>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2 900 000 dans 10 districts</w:t>
            </w:r>
          </w:p>
        </w:tc>
        <w:tc>
          <w:tcPr>
            <w:tcW w:w="130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4 748 869 dans 72 districts</w:t>
            </w:r>
          </w:p>
        </w:tc>
        <w:tc>
          <w:tcPr>
            <w:tcW w:w="12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2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3 463 445 dans 31 districts</w:t>
            </w:r>
          </w:p>
        </w:tc>
      </w:tr>
      <w:tr w:rsidR="00C06068" w:rsidRPr="00FC6584" w:rsidTr="007F3574">
        <w:trPr>
          <w:trHeight w:val="240"/>
        </w:trPr>
        <w:tc>
          <w:tcPr>
            <w:tcW w:w="2286" w:type="dxa"/>
            <w:tcBorders>
              <w:bottom w:val="single" w:sz="12" w:space="0" w:color="auto"/>
            </w:tcBorders>
            <w:shd w:val="clear" w:color="auto" w:fill="auto"/>
            <w:noWrap/>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MID vendues en marketing social dans les districts*</w:t>
            </w:r>
          </w:p>
        </w:tc>
        <w:tc>
          <w:tcPr>
            <w:tcW w:w="1296" w:type="dxa"/>
            <w:tcBorders>
              <w:bottom w:val="single" w:sz="12" w:space="0" w:color="auto"/>
            </w:tcBorders>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914</w:t>
            </w:r>
            <w:r>
              <w:rPr>
                <w:sz w:val="17"/>
                <w:lang w:val="fr-FR"/>
              </w:rPr>
              <w:t> </w:t>
            </w:r>
            <w:r w:rsidRPr="00256056">
              <w:rPr>
                <w:sz w:val="17"/>
                <w:lang w:val="fr-FR"/>
              </w:rPr>
              <w:t>156</w:t>
            </w:r>
            <w:r>
              <w:rPr>
                <w:sz w:val="17"/>
                <w:lang w:val="fr-FR"/>
              </w:rPr>
              <w:t xml:space="preserve"> dans </w:t>
            </w:r>
            <w:r>
              <w:rPr>
                <w:sz w:val="17"/>
                <w:lang w:val="fr-FR"/>
              </w:rPr>
              <w:br/>
              <w:t xml:space="preserve">106 </w:t>
            </w:r>
            <w:r w:rsidRPr="00256056">
              <w:rPr>
                <w:sz w:val="17"/>
                <w:lang w:val="fr-FR"/>
              </w:rPr>
              <w:t>districts</w:t>
            </w:r>
          </w:p>
        </w:tc>
        <w:tc>
          <w:tcPr>
            <w:tcW w:w="1188" w:type="dxa"/>
            <w:tcBorders>
              <w:bottom w:val="single" w:sz="12" w:space="0" w:color="auto"/>
            </w:tcBorders>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429</w:t>
            </w:r>
            <w:r>
              <w:rPr>
                <w:sz w:val="17"/>
                <w:lang w:val="fr-FR"/>
              </w:rPr>
              <w:t> </w:t>
            </w:r>
            <w:r w:rsidRPr="00256056">
              <w:rPr>
                <w:sz w:val="17"/>
                <w:lang w:val="fr-FR"/>
              </w:rPr>
              <w:t>332</w:t>
            </w:r>
            <w:r>
              <w:rPr>
                <w:sz w:val="17"/>
                <w:lang w:val="fr-FR"/>
              </w:rPr>
              <w:t xml:space="preserve"> </w:t>
            </w:r>
            <w:r w:rsidRPr="00256056">
              <w:rPr>
                <w:sz w:val="17"/>
                <w:lang w:val="fr-FR"/>
              </w:rPr>
              <w:t>dans 104 districts</w:t>
            </w:r>
          </w:p>
        </w:tc>
        <w:tc>
          <w:tcPr>
            <w:tcW w:w="1278" w:type="dxa"/>
            <w:tcBorders>
              <w:bottom w:val="single" w:sz="12" w:space="0" w:color="auto"/>
            </w:tcBorders>
            <w:shd w:val="clear" w:color="auto" w:fill="auto"/>
            <w:noWrap/>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253</w:t>
            </w:r>
            <w:r>
              <w:rPr>
                <w:sz w:val="17"/>
                <w:lang w:val="fr-FR"/>
              </w:rPr>
              <w:t> </w:t>
            </w:r>
            <w:r w:rsidRPr="00256056">
              <w:rPr>
                <w:sz w:val="17"/>
                <w:lang w:val="fr-FR"/>
              </w:rPr>
              <w:t>300</w:t>
            </w:r>
            <w:r>
              <w:rPr>
                <w:sz w:val="17"/>
                <w:lang w:val="fr-FR"/>
              </w:rPr>
              <w:t xml:space="preserve"> </w:t>
            </w:r>
            <w:r w:rsidRPr="00256056">
              <w:rPr>
                <w:sz w:val="17"/>
                <w:lang w:val="fr-FR"/>
              </w:rPr>
              <w:t>dans 104</w:t>
            </w:r>
            <w:r>
              <w:rPr>
                <w:sz w:val="17"/>
                <w:lang w:val="fr-FR"/>
              </w:rPr>
              <w:t xml:space="preserve"> </w:t>
            </w:r>
            <w:r w:rsidRPr="00256056">
              <w:rPr>
                <w:sz w:val="17"/>
                <w:lang w:val="fr-FR"/>
              </w:rPr>
              <w:t>districts</w:t>
            </w:r>
          </w:p>
        </w:tc>
        <w:tc>
          <w:tcPr>
            <w:tcW w:w="1303"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163</w:t>
            </w:r>
            <w:r>
              <w:rPr>
                <w:sz w:val="17"/>
                <w:lang w:val="fr-FR"/>
              </w:rPr>
              <w:t> </w:t>
            </w:r>
            <w:r w:rsidRPr="00256056">
              <w:rPr>
                <w:sz w:val="17"/>
                <w:lang w:val="fr-FR"/>
              </w:rPr>
              <w:t>636</w:t>
            </w:r>
            <w:r>
              <w:rPr>
                <w:sz w:val="17"/>
                <w:lang w:val="fr-FR"/>
              </w:rPr>
              <w:t xml:space="preserve"> </w:t>
            </w:r>
            <w:r w:rsidRPr="00256056">
              <w:rPr>
                <w:sz w:val="17"/>
                <w:lang w:val="fr-FR"/>
              </w:rPr>
              <w:t>dans 104 districts</w:t>
            </w:r>
          </w:p>
        </w:tc>
        <w:tc>
          <w:tcPr>
            <w:tcW w:w="126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284</w:t>
            </w:r>
            <w:r>
              <w:rPr>
                <w:sz w:val="17"/>
                <w:lang w:val="fr-FR"/>
              </w:rPr>
              <w:t> </w:t>
            </w:r>
            <w:r w:rsidRPr="00256056">
              <w:rPr>
                <w:sz w:val="17"/>
                <w:lang w:val="fr-FR"/>
              </w:rPr>
              <w:t>235</w:t>
            </w:r>
            <w:r>
              <w:rPr>
                <w:sz w:val="17"/>
                <w:lang w:val="fr-FR"/>
              </w:rPr>
              <w:t xml:space="preserve"> </w:t>
            </w:r>
            <w:r w:rsidRPr="00256056">
              <w:rPr>
                <w:sz w:val="17"/>
                <w:lang w:val="fr-FR"/>
              </w:rPr>
              <w:t>dans 104 districts</w:t>
            </w:r>
          </w:p>
        </w:tc>
        <w:tc>
          <w:tcPr>
            <w:tcW w:w="1267"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jc w:val="right"/>
              <w:rPr>
                <w:sz w:val="17"/>
                <w:lang w:val="fr-FR"/>
              </w:rPr>
            </w:pPr>
            <w:r w:rsidRPr="00256056">
              <w:rPr>
                <w:sz w:val="17"/>
                <w:lang w:val="fr-FR"/>
              </w:rPr>
              <w:t>345</w:t>
            </w:r>
            <w:r>
              <w:rPr>
                <w:sz w:val="17"/>
                <w:lang w:val="fr-FR"/>
              </w:rPr>
              <w:t> </w:t>
            </w:r>
            <w:r w:rsidRPr="00256056">
              <w:rPr>
                <w:sz w:val="17"/>
                <w:lang w:val="fr-FR"/>
              </w:rPr>
              <w:t>931</w:t>
            </w:r>
            <w:r>
              <w:rPr>
                <w:sz w:val="17"/>
                <w:lang w:val="fr-FR"/>
              </w:rPr>
              <w:t xml:space="preserve"> dans </w:t>
            </w:r>
            <w:r>
              <w:rPr>
                <w:sz w:val="17"/>
                <w:lang w:val="fr-FR"/>
              </w:rPr>
              <w:br/>
              <w:t xml:space="preserve">104 </w:t>
            </w:r>
            <w:r w:rsidRPr="00256056">
              <w:rPr>
                <w:sz w:val="17"/>
                <w:lang w:val="fr-FR"/>
              </w:rPr>
              <w:t>districts</w:t>
            </w:r>
          </w:p>
        </w:tc>
      </w:tr>
    </w:tbl>
    <w:p w:rsidR="00C06068" w:rsidRPr="00C91CD9" w:rsidRDefault="00C06068" w:rsidP="00C06068">
      <w:pPr>
        <w:pStyle w:val="FootnoteText"/>
        <w:tabs>
          <w:tab w:val="right" w:pos="216"/>
          <w:tab w:val="left" w:pos="288"/>
          <w:tab w:val="right" w:pos="576"/>
          <w:tab w:val="left" w:pos="648"/>
        </w:tabs>
        <w:spacing w:line="120" w:lineRule="exact"/>
        <w:ind w:left="288" w:hanging="288"/>
        <w:rPr>
          <w:i/>
          <w:sz w:val="10"/>
          <w:lang w:val="fr-FR"/>
        </w:rPr>
      </w:pPr>
    </w:p>
    <w:p w:rsidR="00C06068" w:rsidRPr="00521891" w:rsidRDefault="00C06068" w:rsidP="00C06068">
      <w:pPr>
        <w:pStyle w:val="FootnoteText"/>
        <w:tabs>
          <w:tab w:val="right" w:pos="216"/>
          <w:tab w:val="left" w:pos="288"/>
          <w:tab w:val="right" w:pos="576"/>
          <w:tab w:val="left" w:pos="648"/>
        </w:tabs>
        <w:ind w:left="288" w:hanging="288"/>
        <w:rPr>
          <w:lang w:val="fr-FR"/>
        </w:rPr>
      </w:pPr>
      <w:r w:rsidRPr="00C91CD9">
        <w:rPr>
          <w:i/>
          <w:lang w:val="fr-FR"/>
        </w:rPr>
        <w:t>Source</w:t>
      </w:r>
      <w:r w:rsidRPr="00C91CD9">
        <w:rPr>
          <w:lang w:val="fr-FR"/>
        </w:rPr>
        <w:t xml:space="preserve"> : </w:t>
      </w:r>
      <w:r w:rsidRPr="00521891">
        <w:rPr>
          <w:lang w:val="fr-FR"/>
        </w:rPr>
        <w:t xml:space="preserve">Ministère de </w:t>
      </w:r>
      <w:r>
        <w:rPr>
          <w:lang w:val="fr-FR"/>
        </w:rPr>
        <w:t>la santé publique de Madagascar</w:t>
      </w:r>
      <w:r w:rsidRPr="00521891">
        <w:rPr>
          <w:lang w:val="fr-FR"/>
        </w:rPr>
        <w:t>/</w:t>
      </w:r>
      <w:r>
        <w:rPr>
          <w:lang w:val="fr-FR"/>
        </w:rPr>
        <w:t>P</w:t>
      </w:r>
      <w:r w:rsidRPr="00521891">
        <w:rPr>
          <w:lang w:val="fr-FR"/>
        </w:rPr>
        <w:t>rogramme national de lutte contre le paludisme</w:t>
      </w:r>
      <w:r>
        <w:rPr>
          <w:lang w:val="fr-FR"/>
        </w:rPr>
        <w:t>.</w:t>
      </w:r>
    </w:p>
    <w:p w:rsidR="00C06068" w:rsidRPr="00C91CD9" w:rsidRDefault="00C06068" w:rsidP="00C06068">
      <w:pPr>
        <w:pStyle w:val="SingleTxt"/>
        <w:spacing w:after="0" w:line="120" w:lineRule="exact"/>
        <w:rPr>
          <w:i/>
          <w:sz w:val="10"/>
          <w:lang w:val="fr-FR"/>
        </w:rPr>
      </w:pPr>
    </w:p>
    <w:p w:rsidR="00C06068" w:rsidRDefault="00C06068" w:rsidP="00C06068">
      <w:pPr>
        <w:pStyle w:val="FootnoteText"/>
        <w:tabs>
          <w:tab w:val="right" w:pos="216"/>
          <w:tab w:val="left" w:pos="288"/>
          <w:tab w:val="right" w:pos="576"/>
          <w:tab w:val="left" w:pos="648"/>
        </w:tabs>
        <w:ind w:left="288" w:hanging="288"/>
        <w:rPr>
          <w:lang w:val="fr-FR"/>
        </w:rPr>
      </w:pPr>
      <w:r>
        <w:rPr>
          <w:lang w:val="fr-FR"/>
        </w:rPr>
        <w:tab/>
      </w:r>
      <w:r w:rsidRPr="00521891">
        <w:rPr>
          <w:lang w:val="fr-FR"/>
        </w:rPr>
        <w:t>*</w:t>
      </w:r>
      <w:r>
        <w:rPr>
          <w:lang w:val="fr-FR"/>
        </w:rPr>
        <w:tab/>
      </w:r>
      <w:r w:rsidRPr="00521891">
        <w:rPr>
          <w:lang w:val="fr-FR"/>
        </w:rPr>
        <w:t xml:space="preserve">Nombre total de districts sanitaires : de 2005 </w:t>
      </w:r>
      <w:r>
        <w:rPr>
          <w:lang w:val="fr-FR"/>
        </w:rPr>
        <w:t xml:space="preserve">à </w:t>
      </w:r>
      <w:r w:rsidRPr="00521891">
        <w:rPr>
          <w:lang w:val="fr-FR"/>
        </w:rPr>
        <w:t>2010 (111), pour compter du 2011 (112)</w:t>
      </w:r>
      <w:r>
        <w:rPr>
          <w:lang w:val="fr-FR"/>
        </w:rPr>
        <w:t>.</w:t>
      </w:r>
    </w:p>
    <w:p w:rsidR="00C06068" w:rsidRPr="00C91CD9"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C91CD9"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521891" w:rsidRDefault="00C06068" w:rsidP="00C06068">
      <w:pPr>
        <w:pStyle w:val="SingleTxt"/>
        <w:numPr>
          <w:ilvl w:val="0"/>
          <w:numId w:val="10"/>
        </w:numPr>
        <w:spacing w:after="0"/>
        <w:rPr>
          <w:lang w:val="fr-FR"/>
        </w:rPr>
      </w:pPr>
      <w:r w:rsidRPr="00521891">
        <w:rPr>
          <w:lang w:val="fr-FR"/>
        </w:rPr>
        <w:t xml:space="preserve">Le traitement préventif intermittent, basé sur la prise périodique de sulfadoxine pyriméthamine (SP) est dispensé à titre de prévention du paludisme à partir du </w:t>
      </w:r>
      <w:r>
        <w:rPr>
          <w:lang w:val="fr-FR"/>
        </w:rPr>
        <w:t>quatrième</w:t>
      </w:r>
      <w:r w:rsidRPr="00521891">
        <w:rPr>
          <w:lang w:val="fr-FR"/>
        </w:rPr>
        <w:t xml:space="preserve"> mois de la grossesse. Cette stra</w:t>
      </w:r>
      <w:r>
        <w:rPr>
          <w:lang w:val="fr-FR"/>
        </w:rPr>
        <w:t>tégie est mise en œuvre dans 91 </w:t>
      </w:r>
      <w:r w:rsidRPr="00521891">
        <w:rPr>
          <w:lang w:val="fr-FR"/>
        </w:rPr>
        <w:t xml:space="preserve">districts sanitaires. Indépendamment du moment de la CPN au cours duquel la femme enceinte a été vue, le nombre de femmes enceintes ayant bénéficié du TPI dans les districts ciblés </w:t>
      </w:r>
      <w:r>
        <w:rPr>
          <w:lang w:val="fr-FR"/>
        </w:rPr>
        <w:t xml:space="preserve">a </w:t>
      </w:r>
      <w:r w:rsidRPr="00521891">
        <w:rPr>
          <w:lang w:val="fr-FR"/>
        </w:rPr>
        <w:t>augmenté. Cependant, le taux de déperdition entre TPI1 et TPI2 varie de 17,18 % à 27,42 %, des efforts doivent être déployés dans le but d</w:t>
      </w:r>
      <w:r>
        <w:rPr>
          <w:lang w:val="fr-FR"/>
        </w:rPr>
        <w:t>’</w:t>
      </w:r>
      <w:r w:rsidRPr="00521891">
        <w:rPr>
          <w:lang w:val="fr-FR"/>
        </w:rPr>
        <w:t>assurer la protection des femmes enceintes.</w:t>
      </w:r>
    </w:p>
    <w:p w:rsidR="00C06068" w:rsidRPr="00D31C13" w:rsidRDefault="00C06068" w:rsidP="00C06068">
      <w:pPr>
        <w:pStyle w:val="SingleTxt"/>
        <w:spacing w:after="0" w:line="120" w:lineRule="exact"/>
        <w:rPr>
          <w:sz w:val="10"/>
          <w:lang w:val="fr-FR"/>
        </w:rPr>
      </w:pPr>
      <w:bookmarkStart w:id="100" w:name="_Toc377129318"/>
    </w:p>
    <w:p w:rsidR="00C06068" w:rsidRPr="00C91CD9"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C91CD9">
        <w:rPr>
          <w:b w:val="0"/>
          <w:lang w:val="fr-FR"/>
        </w:rPr>
        <w:t>Tableau 32</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Tendance de la proportion de femmes enceintes ayant reçu une prévention </w:t>
      </w:r>
      <w:r>
        <w:rPr>
          <w:lang w:val="fr-FR"/>
        </w:rPr>
        <w:br/>
      </w:r>
      <w:r w:rsidRPr="00521891">
        <w:rPr>
          <w:lang w:val="fr-FR"/>
        </w:rPr>
        <w:t>en paludisme</w:t>
      </w:r>
      <w:bookmarkEnd w:id="100"/>
    </w:p>
    <w:p w:rsidR="00C06068" w:rsidRPr="00C91CD9" w:rsidRDefault="00C06068" w:rsidP="00C06068">
      <w:pPr>
        <w:pStyle w:val="SingleTxt"/>
        <w:spacing w:after="0" w:line="120" w:lineRule="exact"/>
        <w:rPr>
          <w:sz w:val="10"/>
          <w:lang w:val="fr-FR"/>
        </w:rPr>
      </w:pPr>
    </w:p>
    <w:p w:rsidR="00C06068" w:rsidRPr="00C91CD9" w:rsidRDefault="00C06068" w:rsidP="00C06068">
      <w:pPr>
        <w:pStyle w:val="SingleTxt"/>
        <w:spacing w:after="0" w:line="120" w:lineRule="exact"/>
        <w:rPr>
          <w:sz w:val="10"/>
          <w:lang w:val="fr-FR"/>
        </w:rPr>
      </w:pPr>
    </w:p>
    <w:tbl>
      <w:tblPr>
        <w:tblW w:w="8624" w:type="dxa"/>
        <w:tblInd w:w="1260" w:type="dxa"/>
        <w:tblCellMar>
          <w:left w:w="0" w:type="dxa"/>
          <w:right w:w="0" w:type="dxa"/>
        </w:tblCellMar>
        <w:tblLook w:val="04A0"/>
      </w:tblPr>
      <w:tblGrid>
        <w:gridCol w:w="2456"/>
        <w:gridCol w:w="943"/>
        <w:gridCol w:w="872"/>
        <w:gridCol w:w="865"/>
        <w:gridCol w:w="872"/>
        <w:gridCol w:w="872"/>
        <w:gridCol w:w="872"/>
        <w:gridCol w:w="872"/>
      </w:tblGrid>
      <w:tr w:rsidR="00C06068" w:rsidRPr="00FC6584" w:rsidTr="007F3574">
        <w:tc>
          <w:tcPr>
            <w:tcW w:w="0" w:type="auto"/>
            <w:gridSpan w:val="2"/>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2007</w:t>
            </w: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2008</w:t>
            </w: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0" w:type="auto"/>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c>
          <w:tcPr>
            <w:tcW w:w="0" w:type="auto"/>
            <w:gridSpan w:val="2"/>
            <w:tcBorders>
              <w:top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Population totale</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18</w:t>
            </w:r>
            <w:r>
              <w:rPr>
                <w:sz w:val="17"/>
                <w:lang w:val="fr-FR"/>
              </w:rPr>
              <w:t> </w:t>
            </w:r>
            <w:r w:rsidRPr="00256056">
              <w:rPr>
                <w:sz w:val="17"/>
                <w:lang w:val="fr-FR"/>
              </w:rPr>
              <w:t>555</w:t>
            </w:r>
            <w:r>
              <w:rPr>
                <w:sz w:val="17"/>
                <w:lang w:val="fr-FR"/>
              </w:rPr>
              <w:t> </w:t>
            </w:r>
            <w:r w:rsidRPr="00256056">
              <w:rPr>
                <w:sz w:val="17"/>
                <w:lang w:val="fr-FR"/>
              </w:rPr>
              <w:t>667</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19</w:t>
            </w:r>
            <w:r>
              <w:rPr>
                <w:sz w:val="17"/>
                <w:lang w:val="fr-FR"/>
              </w:rPr>
              <w:t> </w:t>
            </w:r>
            <w:r w:rsidRPr="00256056">
              <w:rPr>
                <w:sz w:val="17"/>
                <w:lang w:val="fr-FR"/>
              </w:rPr>
              <w:t>071</w:t>
            </w:r>
            <w:r>
              <w:rPr>
                <w:sz w:val="17"/>
                <w:lang w:val="fr-FR"/>
              </w:rPr>
              <w:t> </w:t>
            </w:r>
            <w:r w:rsidRPr="00256056">
              <w:rPr>
                <w:sz w:val="17"/>
                <w:lang w:val="fr-FR"/>
              </w:rPr>
              <w:t>811</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19</w:t>
            </w:r>
            <w:r>
              <w:rPr>
                <w:sz w:val="17"/>
                <w:lang w:val="fr-FR"/>
              </w:rPr>
              <w:t> </w:t>
            </w:r>
            <w:r w:rsidRPr="00256056">
              <w:rPr>
                <w:sz w:val="17"/>
                <w:lang w:val="fr-FR"/>
              </w:rPr>
              <w:t>601</w:t>
            </w:r>
            <w:r>
              <w:rPr>
                <w:sz w:val="17"/>
                <w:lang w:val="fr-FR"/>
              </w:rPr>
              <w:t> </w:t>
            </w:r>
            <w:r w:rsidRPr="00256056">
              <w:rPr>
                <w:sz w:val="17"/>
                <w:lang w:val="fr-FR"/>
              </w:rPr>
              <w:t>026</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20</w:t>
            </w:r>
            <w:r>
              <w:rPr>
                <w:sz w:val="17"/>
                <w:lang w:val="fr-FR"/>
              </w:rPr>
              <w:t> </w:t>
            </w:r>
            <w:r w:rsidRPr="00256056">
              <w:rPr>
                <w:sz w:val="17"/>
                <w:lang w:val="fr-FR"/>
              </w:rPr>
              <w:t>142</w:t>
            </w:r>
            <w:r>
              <w:rPr>
                <w:sz w:val="17"/>
                <w:lang w:val="fr-FR"/>
              </w:rPr>
              <w:t> </w:t>
            </w:r>
            <w:r w:rsidRPr="00256056">
              <w:rPr>
                <w:sz w:val="17"/>
                <w:lang w:val="fr-FR"/>
              </w:rPr>
              <w:t>015</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20</w:t>
            </w:r>
            <w:r>
              <w:rPr>
                <w:sz w:val="17"/>
                <w:lang w:val="fr-FR"/>
              </w:rPr>
              <w:t> </w:t>
            </w:r>
            <w:r w:rsidRPr="00256056">
              <w:rPr>
                <w:sz w:val="17"/>
                <w:lang w:val="fr-FR"/>
              </w:rPr>
              <w:t>696</w:t>
            </w:r>
            <w:r>
              <w:rPr>
                <w:sz w:val="17"/>
                <w:lang w:val="fr-FR"/>
              </w:rPr>
              <w:t> </w:t>
            </w:r>
            <w:r w:rsidRPr="00256056">
              <w:rPr>
                <w:sz w:val="17"/>
                <w:lang w:val="fr-FR"/>
              </w:rPr>
              <w:t>070</w:t>
            </w:r>
          </w:p>
        </w:tc>
        <w:tc>
          <w:tcPr>
            <w:tcW w:w="0" w:type="auto"/>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21</w:t>
            </w:r>
            <w:r>
              <w:rPr>
                <w:sz w:val="17"/>
                <w:lang w:val="fr-FR"/>
              </w:rPr>
              <w:t> </w:t>
            </w:r>
            <w:r w:rsidRPr="00256056">
              <w:rPr>
                <w:sz w:val="17"/>
                <w:lang w:val="fr-FR"/>
              </w:rPr>
              <w:t>263</w:t>
            </w:r>
            <w:r>
              <w:rPr>
                <w:sz w:val="17"/>
                <w:lang w:val="fr-FR"/>
              </w:rPr>
              <w:t> </w:t>
            </w:r>
            <w:r w:rsidRPr="00256056">
              <w:rPr>
                <w:sz w:val="17"/>
                <w:lang w:val="fr-FR"/>
              </w:rPr>
              <w:t>403</w:t>
            </w:r>
          </w:p>
        </w:tc>
      </w:tr>
      <w:tr w:rsidR="00C06068" w:rsidRPr="00FC6584" w:rsidTr="007F3574">
        <w:tc>
          <w:tcPr>
            <w:tcW w:w="0" w:type="auto"/>
            <w:gridSpan w:val="2"/>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Femmes enceintes &gt;4</w:t>
            </w:r>
            <w:r>
              <w:rPr>
                <w:sz w:val="17"/>
                <w:lang w:val="fr-FR"/>
              </w:rPr>
              <w:t xml:space="preserve"> </w:t>
            </w:r>
            <w:r w:rsidRPr="00917E2F">
              <w:rPr>
                <w:sz w:val="17"/>
                <w:lang w:val="fr-FR"/>
              </w:rPr>
              <w:t xml:space="preserve">mois (1,88 % de la PT) </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348</w:t>
            </w:r>
            <w:r>
              <w:rPr>
                <w:sz w:val="17"/>
                <w:lang w:val="fr-FR"/>
              </w:rPr>
              <w:t> </w:t>
            </w:r>
            <w:r w:rsidRPr="00256056">
              <w:rPr>
                <w:sz w:val="17"/>
                <w:lang w:val="fr-FR"/>
              </w:rPr>
              <w:t>847</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358</w:t>
            </w:r>
            <w:r>
              <w:rPr>
                <w:sz w:val="17"/>
                <w:lang w:val="fr-FR"/>
              </w:rPr>
              <w:t> </w:t>
            </w:r>
            <w:r w:rsidRPr="00256056">
              <w:rPr>
                <w:sz w:val="17"/>
                <w:lang w:val="fr-FR"/>
              </w:rPr>
              <w:t>550</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368</w:t>
            </w:r>
            <w:r>
              <w:rPr>
                <w:sz w:val="17"/>
                <w:lang w:val="fr-FR"/>
              </w:rPr>
              <w:t> </w:t>
            </w:r>
            <w:r w:rsidRPr="00256056">
              <w:rPr>
                <w:sz w:val="17"/>
                <w:lang w:val="fr-FR"/>
              </w:rPr>
              <w:t>499</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378</w:t>
            </w:r>
            <w:r>
              <w:rPr>
                <w:sz w:val="17"/>
                <w:lang w:val="fr-FR"/>
              </w:rPr>
              <w:t> </w:t>
            </w:r>
            <w:r w:rsidRPr="00256056">
              <w:rPr>
                <w:sz w:val="17"/>
                <w:lang w:val="fr-FR"/>
              </w:rPr>
              <w:t>670</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389</w:t>
            </w:r>
            <w:r>
              <w:rPr>
                <w:sz w:val="17"/>
                <w:lang w:val="fr-FR"/>
              </w:rPr>
              <w:t> </w:t>
            </w:r>
            <w:r w:rsidRPr="00256056">
              <w:rPr>
                <w:sz w:val="17"/>
                <w:lang w:val="fr-FR"/>
              </w:rPr>
              <w:t>086</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399</w:t>
            </w:r>
            <w:r>
              <w:rPr>
                <w:sz w:val="17"/>
                <w:lang w:val="fr-FR"/>
              </w:rPr>
              <w:t> </w:t>
            </w:r>
            <w:r w:rsidRPr="00256056">
              <w:rPr>
                <w:sz w:val="17"/>
                <w:lang w:val="fr-FR"/>
              </w:rPr>
              <w:t>752</w:t>
            </w:r>
          </w:p>
        </w:tc>
      </w:tr>
      <w:tr w:rsidR="00C06068" w:rsidRPr="00FC6584" w:rsidTr="007F3574">
        <w:tc>
          <w:tcPr>
            <w:tcW w:w="2790" w:type="dxa"/>
            <w:vMerge w:val="restart"/>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Femmes enceintes sous TPI 1</w:t>
            </w:r>
          </w:p>
        </w:tc>
        <w:tc>
          <w:tcPr>
            <w:tcW w:w="60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nombre</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169</w:t>
            </w:r>
            <w:r>
              <w:rPr>
                <w:sz w:val="17"/>
                <w:lang w:val="fr-FR"/>
              </w:rPr>
              <w:t> </w:t>
            </w:r>
            <w:r w:rsidRPr="00256056">
              <w:rPr>
                <w:sz w:val="17"/>
                <w:lang w:val="fr-FR"/>
              </w:rPr>
              <w:t>207</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318</w:t>
            </w:r>
            <w:r>
              <w:rPr>
                <w:sz w:val="17"/>
                <w:lang w:val="fr-FR"/>
              </w:rPr>
              <w:t> </w:t>
            </w:r>
            <w:r w:rsidRPr="00256056">
              <w:rPr>
                <w:sz w:val="17"/>
                <w:lang w:val="fr-FR"/>
              </w:rPr>
              <w:t>163</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316</w:t>
            </w:r>
            <w:r>
              <w:rPr>
                <w:sz w:val="17"/>
                <w:lang w:val="fr-FR"/>
              </w:rPr>
              <w:t> </w:t>
            </w:r>
            <w:r w:rsidRPr="00256056">
              <w:rPr>
                <w:sz w:val="17"/>
                <w:lang w:val="fr-FR"/>
              </w:rPr>
              <w:t>848</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327</w:t>
            </w:r>
            <w:r>
              <w:rPr>
                <w:sz w:val="17"/>
                <w:lang w:val="fr-FR"/>
              </w:rPr>
              <w:t> </w:t>
            </w:r>
            <w:r w:rsidRPr="00256056">
              <w:rPr>
                <w:sz w:val="17"/>
                <w:lang w:val="fr-FR"/>
              </w:rPr>
              <w:t>423</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359</w:t>
            </w:r>
            <w:r>
              <w:rPr>
                <w:sz w:val="17"/>
                <w:lang w:val="fr-FR"/>
              </w:rPr>
              <w:t> </w:t>
            </w:r>
            <w:r w:rsidRPr="00256056">
              <w:rPr>
                <w:sz w:val="17"/>
                <w:lang w:val="fr-FR"/>
              </w:rPr>
              <w:t>081</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273</w:t>
            </w:r>
            <w:r>
              <w:rPr>
                <w:sz w:val="17"/>
                <w:lang w:val="fr-FR"/>
              </w:rPr>
              <w:t> </w:t>
            </w:r>
            <w:r w:rsidRPr="00256056">
              <w:rPr>
                <w:sz w:val="17"/>
                <w:lang w:val="fr-FR"/>
              </w:rPr>
              <w:t>520</w:t>
            </w:r>
          </w:p>
        </w:tc>
      </w:tr>
      <w:tr w:rsidR="00C06068" w:rsidRPr="00FC6584" w:rsidTr="007F3574">
        <w:tc>
          <w:tcPr>
            <w:tcW w:w="2790" w:type="dxa"/>
            <w:vMerge/>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jc w:val="both"/>
              <w:rPr>
                <w:sz w:val="17"/>
                <w:lang w:val="fr-FR"/>
              </w:rPr>
            </w:pPr>
          </w:p>
        </w:tc>
        <w:tc>
          <w:tcPr>
            <w:tcW w:w="60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pourcentage</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48,50</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88,74</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85,98</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86,47</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92,29</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68,42</w:t>
            </w:r>
          </w:p>
        </w:tc>
      </w:tr>
      <w:tr w:rsidR="00C06068" w:rsidRPr="00FC6584" w:rsidTr="007F3574">
        <w:tc>
          <w:tcPr>
            <w:tcW w:w="2790" w:type="dxa"/>
            <w:vMerge w:val="restart"/>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Femmes enceintes sous TPI 2</w:t>
            </w:r>
          </w:p>
        </w:tc>
        <w:tc>
          <w:tcPr>
            <w:tcW w:w="60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nombre</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109</w:t>
            </w:r>
            <w:r>
              <w:rPr>
                <w:sz w:val="17"/>
                <w:lang w:val="fr-FR"/>
              </w:rPr>
              <w:t> </w:t>
            </w:r>
            <w:r w:rsidRPr="00256056">
              <w:rPr>
                <w:sz w:val="17"/>
                <w:lang w:val="fr-FR"/>
              </w:rPr>
              <w:t>278</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219</w:t>
            </w:r>
            <w:r>
              <w:rPr>
                <w:sz w:val="17"/>
                <w:lang w:val="fr-FR"/>
              </w:rPr>
              <w:t> </w:t>
            </w:r>
            <w:r w:rsidRPr="00256056">
              <w:rPr>
                <w:sz w:val="17"/>
                <w:lang w:val="fr-FR"/>
              </w:rPr>
              <w:t>840</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238</w:t>
            </w:r>
            <w:r>
              <w:rPr>
                <w:sz w:val="17"/>
                <w:lang w:val="fr-FR"/>
              </w:rPr>
              <w:t> </w:t>
            </w:r>
            <w:r w:rsidRPr="00256056">
              <w:rPr>
                <w:sz w:val="17"/>
                <w:lang w:val="fr-FR"/>
              </w:rPr>
              <w:t>262</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248</w:t>
            </w:r>
            <w:r>
              <w:rPr>
                <w:sz w:val="17"/>
                <w:lang w:val="fr-FR"/>
              </w:rPr>
              <w:t> </w:t>
            </w:r>
            <w:r w:rsidRPr="00256056">
              <w:rPr>
                <w:sz w:val="17"/>
                <w:lang w:val="fr-FR"/>
              </w:rPr>
              <w:t>522</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272</w:t>
            </w:r>
            <w:r>
              <w:rPr>
                <w:sz w:val="17"/>
                <w:lang w:val="fr-FR"/>
              </w:rPr>
              <w:t> </w:t>
            </w:r>
            <w:r w:rsidRPr="00256056">
              <w:rPr>
                <w:sz w:val="17"/>
                <w:lang w:val="fr-FR"/>
              </w:rPr>
              <w:t>954</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188</w:t>
            </w:r>
            <w:r>
              <w:rPr>
                <w:sz w:val="17"/>
                <w:lang w:val="fr-FR"/>
              </w:rPr>
              <w:t> </w:t>
            </w:r>
            <w:r w:rsidRPr="00256056">
              <w:rPr>
                <w:sz w:val="17"/>
                <w:lang w:val="fr-FR"/>
              </w:rPr>
              <w:t>557</w:t>
            </w:r>
          </w:p>
        </w:tc>
      </w:tr>
      <w:tr w:rsidR="00C06068" w:rsidRPr="00FC6584" w:rsidTr="007F3574">
        <w:tc>
          <w:tcPr>
            <w:tcW w:w="2790" w:type="dxa"/>
            <w:vMerge/>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60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pourcentage</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31,33</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61,31</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64,66</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65,63</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70,15</w:t>
            </w:r>
          </w:p>
        </w:tc>
        <w:tc>
          <w:tcPr>
            <w:tcW w:w="0" w:type="auto"/>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47,17</w:t>
            </w:r>
          </w:p>
        </w:tc>
      </w:tr>
      <w:tr w:rsidR="00C06068" w:rsidRPr="00FC6584" w:rsidTr="007F3574">
        <w:tc>
          <w:tcPr>
            <w:tcW w:w="2790" w:type="dxa"/>
            <w:tcBorders>
              <w:bottom w:val="single" w:sz="12" w:space="0" w:color="auto"/>
            </w:tcBorders>
            <w:shd w:val="clear" w:color="auto" w:fill="auto"/>
            <w:vAlign w:val="bottom"/>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Taux de déperdition entre TPI1 et TPI2</w:t>
            </w:r>
          </w:p>
        </w:tc>
        <w:tc>
          <w:tcPr>
            <w:tcW w:w="609"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pourcentage</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17,18</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27,42</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21,33</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20,84</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22,14</w:t>
            </w:r>
          </w:p>
        </w:tc>
        <w:tc>
          <w:tcPr>
            <w:tcW w:w="0" w:type="auto"/>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21,25</w:t>
            </w:r>
          </w:p>
        </w:tc>
      </w:tr>
    </w:tbl>
    <w:p w:rsidR="00C06068" w:rsidRPr="00C91CD9" w:rsidRDefault="00C06068" w:rsidP="00C06068">
      <w:pPr>
        <w:pStyle w:val="SingleTxt"/>
        <w:spacing w:after="0" w:line="120" w:lineRule="exact"/>
        <w:rPr>
          <w:b/>
          <w:i/>
          <w:sz w:val="10"/>
          <w:lang w:val="fr-FR"/>
        </w:rPr>
      </w:pPr>
    </w:p>
    <w:p w:rsidR="00C06068" w:rsidRDefault="00C06068" w:rsidP="00C06068">
      <w:pPr>
        <w:pStyle w:val="FootnoteText"/>
        <w:tabs>
          <w:tab w:val="right" w:pos="1476"/>
          <w:tab w:val="left" w:pos="1548"/>
          <w:tab w:val="right" w:pos="1836"/>
          <w:tab w:val="left" w:pos="1908"/>
        </w:tabs>
        <w:ind w:left="1548" w:hanging="288"/>
        <w:rPr>
          <w:lang w:val="fr-FR"/>
        </w:rPr>
      </w:pPr>
      <w:r w:rsidRPr="00C91CD9">
        <w:rPr>
          <w:i/>
          <w:lang w:val="fr-FR"/>
        </w:rPr>
        <w:t>Source</w:t>
      </w:r>
      <w:r w:rsidRPr="00C91CD9">
        <w:rPr>
          <w:lang w:val="fr-FR"/>
        </w:rPr>
        <w:t> :</w:t>
      </w:r>
      <w:r w:rsidRPr="00521891">
        <w:rPr>
          <w:lang w:val="fr-FR"/>
        </w:rPr>
        <w:t xml:space="preserve"> Ministère de la santé publique </w:t>
      </w:r>
      <w:r>
        <w:rPr>
          <w:lang w:val="fr-FR"/>
        </w:rPr>
        <w:t>de Madagascar</w:t>
      </w:r>
      <w:r w:rsidRPr="00521891">
        <w:rPr>
          <w:lang w:val="fr-FR"/>
        </w:rPr>
        <w:t>/programme national de lutte contre le paludisme</w:t>
      </w:r>
      <w:r>
        <w:rPr>
          <w:lang w:val="fr-FR"/>
        </w:rPr>
        <w:t>.</w:t>
      </w: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C91CD9" w:rsidRDefault="00C06068" w:rsidP="00C06068">
      <w:pPr>
        <w:pStyle w:val="FootnoteText"/>
        <w:tabs>
          <w:tab w:val="right" w:pos="1476"/>
          <w:tab w:val="left" w:pos="1548"/>
          <w:tab w:val="right" w:pos="1836"/>
          <w:tab w:val="left" w:pos="1908"/>
        </w:tabs>
        <w:spacing w:line="120" w:lineRule="exact"/>
        <w:ind w:left="1548" w:hanging="288"/>
        <w:rPr>
          <w:sz w:val="10"/>
          <w:lang w:val="fr-FR"/>
        </w:rPr>
      </w:pPr>
    </w:p>
    <w:p w:rsidR="00C06068" w:rsidRPr="00521891" w:rsidRDefault="00C06068" w:rsidP="00C06068">
      <w:pPr>
        <w:pStyle w:val="SingleTxt"/>
        <w:numPr>
          <w:ilvl w:val="0"/>
          <w:numId w:val="10"/>
        </w:numPr>
        <w:rPr>
          <w:lang w:val="fr-FR"/>
        </w:rPr>
      </w:pPr>
      <w:r w:rsidRPr="00521891">
        <w:rPr>
          <w:lang w:val="fr-FR"/>
        </w:rPr>
        <w:t xml:space="preserve">En matière de nutrition, le déparasitage et la supplémentation en fer acide folique des femmes enceintes sont dispensés gratuitement en mode campagne au cours de la </w:t>
      </w:r>
      <w:r>
        <w:rPr>
          <w:lang w:val="fr-FR"/>
        </w:rPr>
        <w:t>S</w:t>
      </w:r>
      <w:r w:rsidRPr="00521891">
        <w:rPr>
          <w:lang w:val="fr-FR"/>
        </w:rPr>
        <w:t>emaine de la santé de la mère et de l</w:t>
      </w:r>
      <w:r>
        <w:rPr>
          <w:lang w:val="fr-FR"/>
        </w:rPr>
        <w:t>’</w:t>
      </w:r>
      <w:r w:rsidRPr="00521891">
        <w:rPr>
          <w:lang w:val="fr-FR"/>
        </w:rPr>
        <w:t>enfant.</w:t>
      </w:r>
    </w:p>
    <w:p w:rsidR="00C06068" w:rsidRPr="00C91CD9" w:rsidRDefault="00C06068" w:rsidP="00C06068">
      <w:pPr>
        <w:pStyle w:val="SingleTxt"/>
        <w:spacing w:after="0" w:line="120" w:lineRule="exact"/>
        <w:rPr>
          <w:b/>
          <w:sz w:val="10"/>
          <w:lang w:val="fr-FR"/>
        </w:rPr>
      </w:pPr>
      <w:bookmarkStart w:id="101" w:name="_Toc376709331"/>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Amélioration de l</w:t>
      </w:r>
      <w:r>
        <w:rPr>
          <w:lang w:val="fr-FR"/>
        </w:rPr>
        <w:t>’</w:t>
      </w:r>
      <w:r w:rsidRPr="00521891">
        <w:rPr>
          <w:lang w:val="fr-FR"/>
        </w:rPr>
        <w:t xml:space="preserve">accès des femmes aux soins de santé au cours </w:t>
      </w:r>
      <w:r>
        <w:rPr>
          <w:lang w:val="fr-FR"/>
        </w:rPr>
        <w:br/>
      </w:r>
      <w:r w:rsidRPr="00521891">
        <w:rPr>
          <w:lang w:val="fr-FR"/>
        </w:rPr>
        <w:t>de l</w:t>
      </w:r>
      <w:r>
        <w:rPr>
          <w:lang w:val="fr-FR"/>
        </w:rPr>
        <w:t>’</w:t>
      </w:r>
      <w:r w:rsidRPr="00521891">
        <w:rPr>
          <w:lang w:val="fr-FR"/>
        </w:rPr>
        <w:t>accouchement</w:t>
      </w:r>
      <w:bookmarkEnd w:id="101"/>
    </w:p>
    <w:p w:rsidR="00C06068" w:rsidRPr="00C91CD9"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Depuis 2006, avec l</w:t>
      </w:r>
      <w:r>
        <w:rPr>
          <w:lang w:val="fr-FR"/>
        </w:rPr>
        <w:t>’</w:t>
      </w:r>
      <w:r w:rsidRPr="00521891">
        <w:rPr>
          <w:lang w:val="fr-FR"/>
        </w:rPr>
        <w:t>appui de l</w:t>
      </w:r>
      <w:r>
        <w:rPr>
          <w:lang w:val="fr-FR"/>
        </w:rPr>
        <w:t>’</w:t>
      </w:r>
      <w:r w:rsidRPr="00521891">
        <w:rPr>
          <w:lang w:val="fr-FR"/>
        </w:rPr>
        <w:t>OMS, de l</w:t>
      </w:r>
      <w:r>
        <w:rPr>
          <w:lang w:val="fr-FR"/>
        </w:rPr>
        <w:t>’</w:t>
      </w:r>
      <w:r w:rsidRPr="00521891">
        <w:rPr>
          <w:lang w:val="fr-FR"/>
        </w:rPr>
        <w:t xml:space="preserve">UNICEF et </w:t>
      </w:r>
      <w:r>
        <w:rPr>
          <w:lang w:val="fr-FR"/>
        </w:rPr>
        <w:t>du FNUAP</w:t>
      </w:r>
      <w:r w:rsidRPr="00521891">
        <w:rPr>
          <w:lang w:val="fr-FR"/>
        </w:rPr>
        <w:t>, le programme de soins obstétricaux et néonatals d</w:t>
      </w:r>
      <w:r>
        <w:rPr>
          <w:lang w:val="fr-FR"/>
        </w:rPr>
        <w:t>’</w:t>
      </w:r>
      <w:r w:rsidRPr="00521891">
        <w:rPr>
          <w:lang w:val="fr-FR"/>
        </w:rPr>
        <w:t>urgence de base (SONUB) sont offerts au niveau de 504 formations sanitaires, et les soins obstétricaux et néonatals d</w:t>
      </w:r>
      <w:r>
        <w:rPr>
          <w:lang w:val="fr-FR"/>
        </w:rPr>
        <w:t>’</w:t>
      </w:r>
      <w:r w:rsidRPr="00521891">
        <w:rPr>
          <w:lang w:val="fr-FR"/>
        </w:rPr>
        <w:t xml:space="preserve">urgence complets (SONUC), comprenant des opérations césariennes, sont disponibles au niveau de 48 formations sanitaires publiques. Des séances de renforcement de capacité en soins obstétricaux et </w:t>
      </w:r>
      <w:r>
        <w:rPr>
          <w:lang w:val="fr-FR"/>
        </w:rPr>
        <w:t>néonatals</w:t>
      </w:r>
      <w:r w:rsidRPr="00521891">
        <w:rPr>
          <w:lang w:val="fr-FR"/>
        </w:rPr>
        <w:t xml:space="preserve"> d</w:t>
      </w:r>
      <w:r>
        <w:rPr>
          <w:lang w:val="fr-FR"/>
        </w:rPr>
        <w:t>’</w:t>
      </w:r>
      <w:r w:rsidRPr="00521891">
        <w:rPr>
          <w:lang w:val="fr-FR"/>
        </w:rPr>
        <w:t>urgence (SONU) ont été dispensées aux agents de santé (787) comprenant des médecins, des sages-femmes et infirmières. En vue de la mise à l</w:t>
      </w:r>
      <w:r>
        <w:rPr>
          <w:lang w:val="fr-FR"/>
        </w:rPr>
        <w:t>’</w:t>
      </w:r>
      <w:r w:rsidRPr="00521891">
        <w:rPr>
          <w:lang w:val="fr-FR"/>
        </w:rPr>
        <w:t>échelle et pérennisation de ces activités, des modules en SONU ont été intégrés dans le cursus de formation initiale des paramédicaux à Madagascar.</w:t>
      </w:r>
    </w:p>
    <w:p w:rsidR="00C06068" w:rsidRPr="00521891" w:rsidRDefault="00C06068" w:rsidP="00C06068">
      <w:pPr>
        <w:pStyle w:val="SingleTxt"/>
        <w:numPr>
          <w:ilvl w:val="0"/>
          <w:numId w:val="10"/>
        </w:numPr>
        <w:rPr>
          <w:lang w:val="fr-FR"/>
        </w:rPr>
      </w:pPr>
      <w:r w:rsidRPr="00521891">
        <w:rPr>
          <w:lang w:val="fr-FR"/>
        </w:rPr>
        <w:t>Depuis 2008, les formations sanitaires publiques ont été dotées de kits individuels d</w:t>
      </w:r>
      <w:r>
        <w:rPr>
          <w:lang w:val="fr-FR"/>
        </w:rPr>
        <w:t>’</w:t>
      </w:r>
      <w:r w:rsidRPr="00521891">
        <w:rPr>
          <w:lang w:val="fr-FR"/>
        </w:rPr>
        <w:t>accouchement (KIA) et des intrants pour opérations césariennes (</w:t>
      </w:r>
      <w:r>
        <w:rPr>
          <w:lang w:val="fr-FR"/>
        </w:rPr>
        <w:t>k</w:t>
      </w:r>
      <w:r w:rsidRPr="00521891">
        <w:rPr>
          <w:lang w:val="fr-FR"/>
        </w:rPr>
        <w:t>it OC) prises en charge par le budget de l</w:t>
      </w:r>
      <w:r>
        <w:rPr>
          <w:lang w:val="fr-FR"/>
        </w:rPr>
        <w:t>’</w:t>
      </w:r>
      <w:r w:rsidRPr="00521891">
        <w:rPr>
          <w:lang w:val="fr-FR"/>
        </w:rPr>
        <w:t xml:space="preserve">État en plus des contributions des partenaires techniques et financiers dont </w:t>
      </w:r>
      <w:r>
        <w:rPr>
          <w:lang w:val="fr-FR"/>
        </w:rPr>
        <w:t>l’</w:t>
      </w:r>
      <w:r w:rsidRPr="00521891">
        <w:rPr>
          <w:lang w:val="fr-FR"/>
        </w:rPr>
        <w:t xml:space="preserve">UNICEF et </w:t>
      </w:r>
      <w:r>
        <w:rPr>
          <w:lang w:val="fr-FR"/>
        </w:rPr>
        <w:t>le FNUAP</w:t>
      </w:r>
      <w:r w:rsidRPr="00521891">
        <w:rPr>
          <w:lang w:val="fr-FR"/>
        </w:rPr>
        <w:t>. En conséquence, 3 119 couples mère-nouveau</w:t>
      </w:r>
      <w:r>
        <w:rPr>
          <w:lang w:val="fr-FR"/>
        </w:rPr>
        <w:t>-</w:t>
      </w:r>
      <w:r w:rsidRPr="00521891">
        <w:rPr>
          <w:lang w:val="fr-FR"/>
        </w:rPr>
        <w:t>né ont bénéficié de cette dotation. Une évaluation de l</w:t>
      </w:r>
      <w:r>
        <w:rPr>
          <w:lang w:val="fr-FR"/>
        </w:rPr>
        <w:t>’</w:t>
      </w:r>
      <w:r w:rsidRPr="00521891">
        <w:rPr>
          <w:lang w:val="fr-FR"/>
        </w:rPr>
        <w:t>utilisation des kits opérations césariennes, réalisée en 2009, a permis de déterminer que 4</w:t>
      </w:r>
      <w:r>
        <w:rPr>
          <w:lang w:val="fr-FR"/>
        </w:rPr>
        <w:t> </w:t>
      </w:r>
      <w:r w:rsidRPr="00521891">
        <w:rPr>
          <w:lang w:val="fr-FR"/>
        </w:rPr>
        <w:t>295 opérations césariennes ont été prises en charge par l</w:t>
      </w:r>
      <w:r>
        <w:rPr>
          <w:lang w:val="fr-FR"/>
        </w:rPr>
        <w:t>’</w:t>
      </w:r>
      <w:r w:rsidRPr="00521891">
        <w:rPr>
          <w:lang w:val="fr-FR"/>
        </w:rPr>
        <w:t>État et 7</w:t>
      </w:r>
      <w:r>
        <w:rPr>
          <w:lang w:val="fr-FR"/>
        </w:rPr>
        <w:t> </w:t>
      </w:r>
      <w:r w:rsidRPr="00521891">
        <w:rPr>
          <w:lang w:val="fr-FR"/>
        </w:rPr>
        <w:t>949 par l</w:t>
      </w:r>
      <w:r>
        <w:rPr>
          <w:lang w:val="fr-FR"/>
        </w:rPr>
        <w:t>e FNUAP</w:t>
      </w:r>
      <w:r w:rsidRPr="00521891">
        <w:rPr>
          <w:lang w:val="fr-FR"/>
        </w:rPr>
        <w:t xml:space="preserve">. Cependant, depuis 2010, la tendance en dotation de kits des formations sanitaires (KIA et </w:t>
      </w:r>
      <w:r>
        <w:rPr>
          <w:lang w:val="fr-FR"/>
        </w:rPr>
        <w:t>k</w:t>
      </w:r>
      <w:r w:rsidRPr="00521891">
        <w:rPr>
          <w:lang w:val="fr-FR"/>
        </w:rPr>
        <w:t>its OC) avait diminué. Et en 2011, les besoins en couverture ne sont pas satisfaits. En 2012, l</w:t>
      </w:r>
      <w:r>
        <w:rPr>
          <w:lang w:val="fr-FR"/>
        </w:rPr>
        <w:t>’</w:t>
      </w:r>
      <w:r w:rsidRPr="00521891">
        <w:rPr>
          <w:lang w:val="fr-FR"/>
        </w:rPr>
        <w:t>effet sur le taux d</w:t>
      </w:r>
      <w:r>
        <w:rPr>
          <w:lang w:val="fr-FR"/>
        </w:rPr>
        <w:t>’</w:t>
      </w:r>
      <w:r w:rsidRPr="00521891">
        <w:rPr>
          <w:lang w:val="fr-FR"/>
        </w:rPr>
        <w:t>accouchement a été conséquent.</w:t>
      </w:r>
    </w:p>
    <w:p w:rsidR="00C06068" w:rsidRPr="001A41B4" w:rsidRDefault="00C06068" w:rsidP="00C06068">
      <w:pPr>
        <w:pStyle w:val="SingleTxt"/>
        <w:spacing w:after="0" w:line="120" w:lineRule="exact"/>
        <w:rPr>
          <w:b/>
          <w:sz w:val="10"/>
          <w:lang w:val="fr-FR"/>
        </w:rPr>
      </w:pPr>
      <w:bookmarkStart w:id="102" w:name="_Toc377129319"/>
    </w:p>
    <w:p w:rsidR="00C06068" w:rsidRPr="001A41B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A41B4">
        <w:rPr>
          <w:b w:val="0"/>
          <w:lang w:val="fr-FR"/>
        </w:rPr>
        <w:t>Tableau 33</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Tendance de la couverture de l</w:t>
      </w:r>
      <w:r>
        <w:rPr>
          <w:lang w:val="fr-FR"/>
        </w:rPr>
        <w:t>’</w:t>
      </w:r>
      <w:r w:rsidRPr="00521891">
        <w:rPr>
          <w:lang w:val="fr-FR"/>
        </w:rPr>
        <w:t>accouchement dans les formations sanitaires</w:t>
      </w:r>
      <w:bookmarkEnd w:id="102"/>
    </w:p>
    <w:p w:rsidR="00C06068" w:rsidRPr="001A41B4" w:rsidRDefault="00C06068" w:rsidP="00C06068">
      <w:pPr>
        <w:pStyle w:val="SingleTxt"/>
        <w:keepNext/>
        <w:keepLines/>
        <w:spacing w:after="0" w:line="120" w:lineRule="exact"/>
        <w:rPr>
          <w:sz w:val="10"/>
          <w:lang w:val="fr-FR"/>
        </w:rPr>
      </w:pPr>
    </w:p>
    <w:p w:rsidR="00C06068" w:rsidRPr="001A41B4" w:rsidRDefault="00C06068" w:rsidP="00C06068">
      <w:pPr>
        <w:pStyle w:val="SingleTxt"/>
        <w:keepNext/>
        <w:keepLines/>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749"/>
        <w:gridCol w:w="1147"/>
        <w:gridCol w:w="1147"/>
        <w:gridCol w:w="1054"/>
        <w:gridCol w:w="1147"/>
        <w:gridCol w:w="1126"/>
      </w:tblGrid>
      <w:tr w:rsidR="00C06068" w:rsidRPr="00FC6584" w:rsidTr="007F3574">
        <w:trPr>
          <w:trHeight w:val="240"/>
          <w:tblHeader/>
        </w:trPr>
        <w:tc>
          <w:tcPr>
            <w:tcW w:w="1749"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Indicateurs </w:t>
            </w:r>
          </w:p>
        </w:tc>
        <w:tc>
          <w:tcPr>
            <w:tcW w:w="11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11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1054"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11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c>
          <w:tcPr>
            <w:tcW w:w="112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Objectifs 2012</w:t>
            </w:r>
          </w:p>
        </w:tc>
      </w:tr>
      <w:tr w:rsidR="00C06068" w:rsidRPr="00FC6584" w:rsidTr="007F3574">
        <w:trPr>
          <w:trHeight w:val="240"/>
        </w:trPr>
        <w:tc>
          <w:tcPr>
            <w:tcW w:w="1749" w:type="dxa"/>
            <w:tcBorders>
              <w:top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Taux d</w:t>
            </w:r>
            <w:r>
              <w:rPr>
                <w:sz w:val="17"/>
                <w:lang w:val="fr-FR"/>
              </w:rPr>
              <w:t>’</w:t>
            </w:r>
            <w:r w:rsidRPr="00917E2F">
              <w:rPr>
                <w:sz w:val="17"/>
                <w:lang w:val="fr-FR"/>
              </w:rPr>
              <w:t>accouchement au niveau des formations sanitaires</w:t>
            </w:r>
          </w:p>
        </w:tc>
        <w:tc>
          <w:tcPr>
            <w:tcW w:w="1147"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31</w:t>
            </w:r>
            <w:r>
              <w:rPr>
                <w:sz w:val="17"/>
                <w:lang w:val="fr-FR"/>
              </w:rPr>
              <w:t>,</w:t>
            </w:r>
            <w:r w:rsidRPr="00256056">
              <w:rPr>
                <w:sz w:val="17"/>
                <w:lang w:val="fr-FR"/>
              </w:rPr>
              <w:t>59</w:t>
            </w:r>
          </w:p>
        </w:tc>
        <w:tc>
          <w:tcPr>
            <w:tcW w:w="1147"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33</w:t>
            </w:r>
            <w:r>
              <w:rPr>
                <w:sz w:val="17"/>
                <w:lang w:val="fr-FR"/>
              </w:rPr>
              <w:t>,</w:t>
            </w:r>
            <w:r w:rsidRPr="00256056">
              <w:rPr>
                <w:sz w:val="17"/>
                <w:lang w:val="fr-FR"/>
              </w:rPr>
              <w:t>97</w:t>
            </w:r>
          </w:p>
        </w:tc>
        <w:tc>
          <w:tcPr>
            <w:tcW w:w="1054"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30</w:t>
            </w:r>
            <w:r>
              <w:rPr>
                <w:sz w:val="17"/>
                <w:lang w:val="fr-FR"/>
              </w:rPr>
              <w:t>,00</w:t>
            </w:r>
          </w:p>
        </w:tc>
        <w:tc>
          <w:tcPr>
            <w:tcW w:w="1147"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29</w:t>
            </w:r>
            <w:r>
              <w:rPr>
                <w:sz w:val="17"/>
                <w:lang w:val="fr-FR"/>
              </w:rPr>
              <w:t>,</w:t>
            </w:r>
            <w:r w:rsidRPr="00256056">
              <w:rPr>
                <w:sz w:val="17"/>
                <w:lang w:val="fr-FR"/>
              </w:rPr>
              <w:t>50</w:t>
            </w:r>
          </w:p>
        </w:tc>
        <w:tc>
          <w:tcPr>
            <w:tcW w:w="112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42</w:t>
            </w:r>
            <w:r>
              <w:rPr>
                <w:sz w:val="17"/>
                <w:lang w:val="fr-FR"/>
              </w:rPr>
              <w:t>,0</w:t>
            </w:r>
          </w:p>
        </w:tc>
      </w:tr>
      <w:tr w:rsidR="00C06068" w:rsidRPr="00FC6584" w:rsidTr="007F3574">
        <w:trPr>
          <w:trHeight w:val="240"/>
        </w:trPr>
        <w:tc>
          <w:tcPr>
            <w:tcW w:w="1749" w:type="dxa"/>
            <w:tcBorders>
              <w:bottom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Taux des opérations césariennes</w:t>
            </w:r>
          </w:p>
        </w:tc>
        <w:tc>
          <w:tcPr>
            <w:tcW w:w="1147"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w:t>
            </w:r>
            <w:r w:rsidRPr="00256056">
              <w:rPr>
                <w:sz w:val="17"/>
                <w:lang w:val="fr-FR"/>
              </w:rPr>
              <w:t>07</w:t>
            </w:r>
          </w:p>
        </w:tc>
        <w:tc>
          <w:tcPr>
            <w:tcW w:w="1147"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0</w:t>
            </w:r>
            <w:r>
              <w:rPr>
                <w:sz w:val="17"/>
                <w:lang w:val="fr-FR"/>
              </w:rPr>
              <w:t>,</w:t>
            </w:r>
            <w:r w:rsidRPr="00256056">
              <w:rPr>
                <w:sz w:val="17"/>
                <w:lang w:val="fr-FR"/>
              </w:rPr>
              <w:t>9</w:t>
            </w:r>
          </w:p>
        </w:tc>
        <w:tc>
          <w:tcPr>
            <w:tcW w:w="1054"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0,93</w:t>
            </w:r>
          </w:p>
        </w:tc>
        <w:tc>
          <w:tcPr>
            <w:tcW w:w="1147"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1,37</w:t>
            </w:r>
          </w:p>
        </w:tc>
        <w:tc>
          <w:tcPr>
            <w:tcW w:w="112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w:t>
            </w:r>
          </w:p>
        </w:tc>
      </w:tr>
    </w:tbl>
    <w:p w:rsidR="00C06068" w:rsidRPr="001A41B4"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1A41B4">
        <w:rPr>
          <w:i/>
          <w:lang w:val="fr-FR"/>
        </w:rPr>
        <w:t>Source</w:t>
      </w:r>
      <w:r w:rsidRPr="00917E2F">
        <w:rPr>
          <w:lang w:val="fr-FR"/>
        </w:rPr>
        <w:t> :</w:t>
      </w:r>
      <w:r w:rsidRPr="00521891">
        <w:rPr>
          <w:lang w:val="fr-FR"/>
        </w:rPr>
        <w:t xml:space="preserve"> Ministère de la santé publique</w:t>
      </w:r>
      <w:r>
        <w:rPr>
          <w:lang w:val="fr-FR"/>
        </w:rPr>
        <w:t>.</w:t>
      </w: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3" w:name="_Toc376709332"/>
      <w:r w:rsidRPr="00521891">
        <w:rPr>
          <w:lang w:val="fr-FR"/>
        </w:rPr>
        <w:tab/>
        <w:t>3.</w:t>
      </w:r>
      <w:r w:rsidRPr="00521891">
        <w:rPr>
          <w:lang w:val="fr-FR"/>
        </w:rPr>
        <w:tab/>
        <w:t>Amélioration de l</w:t>
      </w:r>
      <w:r>
        <w:rPr>
          <w:lang w:val="fr-FR"/>
        </w:rPr>
        <w:t>’</w:t>
      </w:r>
      <w:r w:rsidRPr="00521891">
        <w:rPr>
          <w:lang w:val="fr-FR"/>
        </w:rPr>
        <w:t>accès des femmes aux soins de santé après l</w:t>
      </w:r>
      <w:r>
        <w:rPr>
          <w:lang w:val="fr-FR"/>
        </w:rPr>
        <w:t>’</w:t>
      </w:r>
      <w:r w:rsidRPr="00521891">
        <w:rPr>
          <w:lang w:val="fr-FR"/>
        </w:rPr>
        <w:t>accouchement</w:t>
      </w:r>
      <w:bookmarkEnd w:id="103"/>
    </w:p>
    <w:p w:rsidR="00C06068" w:rsidRPr="001A41B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bCs/>
          <w:lang w:val="fr-FR"/>
        </w:rPr>
        <w:t>En 2011, d</w:t>
      </w:r>
      <w:r w:rsidRPr="00521891">
        <w:rPr>
          <w:lang w:val="fr-FR"/>
        </w:rPr>
        <w:t>ans le cadre de la promotion de l</w:t>
      </w:r>
      <w:r>
        <w:rPr>
          <w:lang w:val="fr-FR"/>
        </w:rPr>
        <w:t>’</w:t>
      </w:r>
      <w:r w:rsidRPr="00521891">
        <w:rPr>
          <w:lang w:val="fr-FR"/>
        </w:rPr>
        <w:t xml:space="preserve">AME, le </w:t>
      </w:r>
      <w:r>
        <w:rPr>
          <w:lang w:val="fr-FR"/>
        </w:rPr>
        <w:t>d</w:t>
      </w:r>
      <w:r w:rsidRPr="00521891">
        <w:rPr>
          <w:lang w:val="fr-FR"/>
        </w:rPr>
        <w:t>écret n</w:t>
      </w:r>
      <w:r w:rsidRPr="00521891">
        <w:rPr>
          <w:vertAlign w:val="superscript"/>
          <w:lang w:val="fr-FR"/>
        </w:rPr>
        <w:t>o</w:t>
      </w:r>
      <w:r>
        <w:rPr>
          <w:vertAlign w:val="superscript"/>
          <w:lang w:val="fr-FR"/>
        </w:rPr>
        <w:t> </w:t>
      </w:r>
      <w:r w:rsidRPr="00521891">
        <w:rPr>
          <w:lang w:val="fr-FR"/>
        </w:rPr>
        <w:t>2011-629 du 29 décembre 2011 portant la réglementation de la commercialisation des substituts de lait maternel a été adopté.</w:t>
      </w:r>
      <w:r>
        <w:rPr>
          <w:lang w:val="fr-FR"/>
        </w:rPr>
        <w:t xml:space="preserve"> </w:t>
      </w:r>
      <w:r w:rsidRPr="00521891">
        <w:rPr>
          <w:lang w:val="fr-FR"/>
        </w:rPr>
        <w:t>Ce décret est applicable aux substituts du lait maternel, quand ils sont commercialisés ou également lorsqu</w:t>
      </w:r>
      <w:r>
        <w:rPr>
          <w:lang w:val="fr-FR"/>
        </w:rPr>
        <w:t>’</w:t>
      </w:r>
      <w:r w:rsidRPr="00521891">
        <w:rPr>
          <w:lang w:val="fr-FR"/>
        </w:rPr>
        <w:t>ils sont présentés comme des produits remplaçant totalemen</w:t>
      </w:r>
      <w:r>
        <w:rPr>
          <w:lang w:val="fr-FR"/>
        </w:rPr>
        <w:t>t ou partiellement</w:t>
      </w:r>
      <w:r w:rsidRPr="00521891">
        <w:rPr>
          <w:lang w:val="fr-FR"/>
        </w:rPr>
        <w:t xml:space="preserve"> le lait maternel. Il s</w:t>
      </w:r>
      <w:r>
        <w:rPr>
          <w:lang w:val="fr-FR"/>
        </w:rPr>
        <w:t>’</w:t>
      </w:r>
      <w:r w:rsidRPr="00521891">
        <w:rPr>
          <w:lang w:val="fr-FR"/>
        </w:rPr>
        <w:t>applique également aux biberons et aux tétines.</w:t>
      </w:r>
    </w:p>
    <w:p w:rsidR="00C06068" w:rsidRPr="00521891" w:rsidRDefault="00C06068" w:rsidP="00C06068">
      <w:pPr>
        <w:pStyle w:val="SingleTxt"/>
        <w:numPr>
          <w:ilvl w:val="0"/>
          <w:numId w:val="10"/>
        </w:numPr>
        <w:rPr>
          <w:lang w:val="fr-FR"/>
        </w:rPr>
      </w:pPr>
      <w:r w:rsidRPr="00521891">
        <w:rPr>
          <w:lang w:val="fr-FR"/>
        </w:rPr>
        <w:t>Depuis 2008, en vue de renforcer la diminution de la mortalité maternelle, l</w:t>
      </w:r>
      <w:r>
        <w:rPr>
          <w:lang w:val="fr-FR"/>
        </w:rPr>
        <w:t>’</w:t>
      </w:r>
      <w:r w:rsidRPr="00521891">
        <w:rPr>
          <w:lang w:val="fr-FR"/>
        </w:rPr>
        <w:t>audit de décès maternel (ADM) a été institué dans les formations sanitaires publiques. L</w:t>
      </w:r>
      <w:r>
        <w:rPr>
          <w:lang w:val="fr-FR"/>
        </w:rPr>
        <w:t>’</w:t>
      </w:r>
      <w:r w:rsidRPr="00521891">
        <w:rPr>
          <w:lang w:val="fr-FR"/>
        </w:rPr>
        <w:t>audit de décès maternels consiste en une étude approfondie des causes, des circonstances et des facteurs associés ayant contribué aux décès maternels survena</w:t>
      </w:r>
      <w:r>
        <w:rPr>
          <w:lang w:val="fr-FR"/>
        </w:rPr>
        <w:t xml:space="preserve">nt dans les structures de santé </w:t>
      </w:r>
      <w:r w:rsidRPr="00521891">
        <w:rPr>
          <w:lang w:val="fr-FR"/>
        </w:rPr>
        <w:t>afin de formuler des recommandations préconisant des changements. Par ailleurs, sur la base des analyses des causes et des facteurs évitables à l</w:t>
      </w:r>
      <w:r>
        <w:rPr>
          <w:lang w:val="fr-FR"/>
        </w:rPr>
        <w:t>’</w:t>
      </w:r>
      <w:r w:rsidRPr="00521891">
        <w:rPr>
          <w:lang w:val="fr-FR"/>
        </w:rPr>
        <w:t>origine des décès et séquelles maternels, des actions correctives sont à entreprendre aux niveaux local, régional et national. Depuis 2008, cette stratégie a été mise en œuvre dans 26 hôpitaux de référence.</w:t>
      </w:r>
    </w:p>
    <w:p w:rsidR="00C06068" w:rsidRPr="00521891" w:rsidRDefault="00C06068" w:rsidP="00C06068">
      <w:pPr>
        <w:pStyle w:val="SingleTxt"/>
        <w:numPr>
          <w:ilvl w:val="0"/>
          <w:numId w:val="10"/>
        </w:numPr>
        <w:rPr>
          <w:lang w:val="fr-FR"/>
        </w:rPr>
      </w:pPr>
      <w:r w:rsidRPr="00521891">
        <w:rPr>
          <w:lang w:val="fr-FR"/>
        </w:rPr>
        <w:t xml:space="preserve">En 2012, les </w:t>
      </w:r>
      <w:r>
        <w:rPr>
          <w:lang w:val="fr-FR"/>
        </w:rPr>
        <w:t>quatre</w:t>
      </w:r>
      <w:r w:rsidRPr="00521891">
        <w:rPr>
          <w:lang w:val="fr-FR"/>
        </w:rPr>
        <w:t xml:space="preserve"> principales causes des décès maternels enregistrés au niveau des formations sanitaires publiques sont représentées par la septicémie (42 %), l</w:t>
      </w:r>
      <w:r>
        <w:rPr>
          <w:lang w:val="fr-FR"/>
        </w:rPr>
        <w:t>’</w:t>
      </w:r>
      <w:r w:rsidRPr="00521891">
        <w:rPr>
          <w:lang w:val="fr-FR"/>
        </w:rPr>
        <w:t>hémorragie (21 %</w:t>
      </w:r>
      <w:r>
        <w:rPr>
          <w:lang w:val="fr-FR"/>
        </w:rPr>
        <w:t xml:space="preserve">), </w:t>
      </w:r>
      <w:r w:rsidRPr="00521891">
        <w:rPr>
          <w:lang w:val="fr-FR"/>
        </w:rPr>
        <w:t>l</w:t>
      </w:r>
      <w:r>
        <w:rPr>
          <w:lang w:val="fr-FR"/>
        </w:rPr>
        <w:t>’</w:t>
      </w:r>
      <w:r w:rsidRPr="00521891">
        <w:rPr>
          <w:lang w:val="fr-FR"/>
        </w:rPr>
        <w:t xml:space="preserve">éclampsie (17 %) et la rupture utérine (13 %). Et un projet de </w:t>
      </w:r>
      <w:r>
        <w:rPr>
          <w:lang w:val="fr-FR"/>
        </w:rPr>
        <w:t>d</w:t>
      </w:r>
      <w:r w:rsidRPr="00521891">
        <w:rPr>
          <w:lang w:val="fr-FR"/>
        </w:rPr>
        <w:t>écret portant institutionnalisation de la pratique de l</w:t>
      </w:r>
      <w:r>
        <w:rPr>
          <w:lang w:val="fr-FR"/>
        </w:rPr>
        <w:t>’</w:t>
      </w:r>
      <w:r w:rsidRPr="00521891">
        <w:rPr>
          <w:lang w:val="fr-FR"/>
        </w:rPr>
        <w:t>audit/revue des décès maternels dans toutes les formations sanitaires pratiquant des accouchements à Madagascar est en cours d</w:t>
      </w:r>
      <w:r>
        <w:rPr>
          <w:lang w:val="fr-FR"/>
        </w:rPr>
        <w:t>’</w:t>
      </w:r>
      <w:r w:rsidRPr="00521891">
        <w:rPr>
          <w:lang w:val="fr-FR"/>
        </w:rPr>
        <w:t>adoption.</w:t>
      </w:r>
    </w:p>
    <w:p w:rsidR="00C06068" w:rsidRPr="00521891" w:rsidRDefault="00C06068" w:rsidP="00C06068">
      <w:pPr>
        <w:pStyle w:val="SingleTxt"/>
        <w:numPr>
          <w:ilvl w:val="0"/>
          <w:numId w:val="10"/>
        </w:numPr>
        <w:rPr>
          <w:lang w:val="fr-FR"/>
        </w:rPr>
      </w:pPr>
      <w:r w:rsidRPr="00521891">
        <w:rPr>
          <w:lang w:val="fr-FR"/>
        </w:rPr>
        <w:t xml:space="preserve">Au niveau communautaire, la surveillance de décès maternels a été initiée à travers des sites sentinelles mis en place au niveau de </w:t>
      </w:r>
      <w:r>
        <w:rPr>
          <w:lang w:val="fr-FR"/>
        </w:rPr>
        <w:t>cinq</w:t>
      </w:r>
      <w:r w:rsidRPr="00521891">
        <w:rPr>
          <w:lang w:val="fr-FR"/>
        </w:rPr>
        <w:t xml:space="preserve"> districts.</w:t>
      </w:r>
    </w:p>
    <w:p w:rsidR="00C06068" w:rsidRPr="00521891" w:rsidRDefault="00C06068" w:rsidP="00C06068">
      <w:pPr>
        <w:pStyle w:val="SingleTxt"/>
        <w:numPr>
          <w:ilvl w:val="0"/>
          <w:numId w:val="10"/>
        </w:numPr>
        <w:rPr>
          <w:lang w:val="fr-FR"/>
        </w:rPr>
      </w:pPr>
      <w:r w:rsidRPr="00521891">
        <w:rPr>
          <w:lang w:val="fr-FR"/>
        </w:rPr>
        <w:t>Depuis juin 2012, un projet pilote</w:t>
      </w:r>
      <w:r>
        <w:rPr>
          <w:lang w:val="fr-FR"/>
        </w:rPr>
        <w:t>,</w:t>
      </w:r>
      <w:r w:rsidRPr="00521891">
        <w:rPr>
          <w:lang w:val="fr-FR"/>
        </w:rPr>
        <w:t xml:space="preserve"> ayant pour but d</w:t>
      </w:r>
      <w:r>
        <w:rPr>
          <w:lang w:val="fr-FR"/>
        </w:rPr>
        <w:t>’</w:t>
      </w:r>
      <w:r w:rsidRPr="00521891">
        <w:rPr>
          <w:lang w:val="fr-FR"/>
        </w:rPr>
        <w:t xml:space="preserve">améliorer la santé maternelle et néonatale, a été mise en œuvre dans les </w:t>
      </w:r>
      <w:r>
        <w:rPr>
          <w:lang w:val="fr-FR"/>
        </w:rPr>
        <w:t>cinq</w:t>
      </w:r>
      <w:r w:rsidRPr="00521891">
        <w:rPr>
          <w:lang w:val="fr-FR"/>
        </w:rPr>
        <w:t xml:space="preserve"> régions de :</w:t>
      </w:r>
    </w:p>
    <w:p w:rsidR="00C06068" w:rsidRPr="0081752A" w:rsidRDefault="00C06068" w:rsidP="00C06068">
      <w:pPr>
        <w:pStyle w:val="SingleTxt"/>
        <w:tabs>
          <w:tab w:val="right" w:pos="1685"/>
        </w:tabs>
        <w:ind w:left="1742" w:hanging="475"/>
      </w:pPr>
      <w:r>
        <w:rPr>
          <w:lang w:val="fr-FR"/>
        </w:rPr>
        <w:tab/>
      </w:r>
      <w:r w:rsidRPr="0081752A">
        <w:t>•</w:t>
      </w:r>
      <w:r w:rsidRPr="0081752A">
        <w:tab/>
        <w:t>Atsimo Atsinanana;</w:t>
      </w:r>
    </w:p>
    <w:p w:rsidR="00C06068" w:rsidRPr="0081752A" w:rsidRDefault="00C06068" w:rsidP="00C06068">
      <w:pPr>
        <w:pStyle w:val="SingleTxt"/>
        <w:tabs>
          <w:tab w:val="right" w:pos="1685"/>
        </w:tabs>
        <w:ind w:left="1742" w:hanging="475"/>
      </w:pPr>
      <w:r w:rsidRPr="0081752A">
        <w:tab/>
        <w:t>•</w:t>
      </w:r>
      <w:r w:rsidRPr="0081752A">
        <w:tab/>
        <w:t>Vatovavy Fitovinany;</w:t>
      </w:r>
    </w:p>
    <w:p w:rsidR="00C06068" w:rsidRPr="0081752A" w:rsidRDefault="00C06068" w:rsidP="00C06068">
      <w:pPr>
        <w:pStyle w:val="SingleTxt"/>
        <w:tabs>
          <w:tab w:val="right" w:pos="1685"/>
        </w:tabs>
        <w:ind w:left="1742" w:hanging="475"/>
      </w:pPr>
      <w:r w:rsidRPr="0081752A">
        <w:tab/>
        <w:t>•</w:t>
      </w:r>
      <w:r w:rsidRPr="0081752A">
        <w:tab/>
        <w:t>Atsimo Andrefana;</w:t>
      </w:r>
    </w:p>
    <w:p w:rsidR="00C06068" w:rsidRPr="00521891" w:rsidRDefault="00C06068" w:rsidP="00C06068">
      <w:pPr>
        <w:pStyle w:val="SingleTxt"/>
        <w:tabs>
          <w:tab w:val="right" w:pos="1685"/>
        </w:tabs>
        <w:ind w:left="1742" w:hanging="475"/>
        <w:rPr>
          <w:lang w:val="fr-FR"/>
        </w:rPr>
      </w:pPr>
      <w:r w:rsidRPr="0081752A">
        <w:tab/>
      </w:r>
      <w:r>
        <w:rPr>
          <w:lang w:val="fr-FR"/>
        </w:rPr>
        <w:t>•</w:t>
      </w:r>
      <w:r>
        <w:rPr>
          <w:lang w:val="fr-FR"/>
        </w:rPr>
        <w:tab/>
        <w:t>Androy;</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Sofia.</w:t>
      </w:r>
    </w:p>
    <w:p w:rsidR="00C06068" w:rsidRPr="00521891" w:rsidRDefault="00C06068" w:rsidP="00C06068">
      <w:pPr>
        <w:pStyle w:val="SingleTxt"/>
        <w:numPr>
          <w:ilvl w:val="0"/>
          <w:numId w:val="10"/>
        </w:numPr>
        <w:rPr>
          <w:lang w:val="fr-FR"/>
        </w:rPr>
      </w:pPr>
      <w:r w:rsidRPr="00521891">
        <w:rPr>
          <w:lang w:val="fr-FR"/>
        </w:rPr>
        <w:t>Ce projet consiste à rendre disponible</w:t>
      </w:r>
      <w:r>
        <w:rPr>
          <w:lang w:val="fr-FR"/>
        </w:rPr>
        <w:t>s</w:t>
      </w:r>
      <w:r w:rsidRPr="00521891">
        <w:rPr>
          <w:lang w:val="fr-FR"/>
        </w:rPr>
        <w:t xml:space="preserve"> des données fiables</w:t>
      </w:r>
      <w:r>
        <w:rPr>
          <w:lang w:val="fr-FR"/>
        </w:rPr>
        <w:t xml:space="preserve"> en</w:t>
      </w:r>
      <w:r w:rsidRPr="00521891">
        <w:rPr>
          <w:lang w:val="fr-FR"/>
        </w:rPr>
        <w:t xml:space="preserve"> temps réel, par le recours à l</w:t>
      </w:r>
      <w:r>
        <w:rPr>
          <w:lang w:val="fr-FR"/>
        </w:rPr>
        <w:t>’</w:t>
      </w:r>
      <w:r w:rsidRPr="00521891">
        <w:rPr>
          <w:lang w:val="fr-FR"/>
        </w:rPr>
        <w:t>envoi de message</w:t>
      </w:r>
      <w:r>
        <w:rPr>
          <w:lang w:val="fr-FR"/>
        </w:rPr>
        <w:t>s</w:t>
      </w:r>
      <w:r w:rsidRPr="00521891">
        <w:rPr>
          <w:lang w:val="fr-FR"/>
        </w:rPr>
        <w:t xml:space="preserve"> par téléphonie mobile pour suivre de façon continue la survenue de décès maternels et néonatals et l</w:t>
      </w:r>
      <w:r>
        <w:rPr>
          <w:lang w:val="fr-FR"/>
        </w:rPr>
        <w:t>’</w:t>
      </w:r>
      <w:r w:rsidRPr="00521891">
        <w:rPr>
          <w:lang w:val="fr-FR"/>
        </w:rPr>
        <w:t>approvisionnement en produits de santé de la reproduction. Et, à la fin de l</w:t>
      </w:r>
      <w:r>
        <w:rPr>
          <w:lang w:val="fr-FR"/>
        </w:rPr>
        <w:t>’</w:t>
      </w:r>
      <w:r w:rsidRPr="00521891">
        <w:rPr>
          <w:lang w:val="fr-FR"/>
        </w:rPr>
        <w:t>année, avec la collaboration de TELMA, 393 cas de décès maternels et 176 cas de décès néonatals ont été enregistrés.</w:t>
      </w:r>
    </w:p>
    <w:p w:rsidR="00C06068" w:rsidRPr="001A41B4" w:rsidRDefault="00C06068" w:rsidP="00C06068">
      <w:pPr>
        <w:pStyle w:val="SingleTxt"/>
        <w:spacing w:after="0" w:line="120" w:lineRule="exact"/>
        <w:rPr>
          <w:b/>
          <w:sz w:val="10"/>
          <w:lang w:val="fr-FR"/>
        </w:rPr>
      </w:pPr>
      <w:bookmarkStart w:id="104" w:name="_Toc377129320"/>
    </w:p>
    <w:p w:rsidR="00C06068" w:rsidRPr="001A41B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A41B4">
        <w:rPr>
          <w:b w:val="0"/>
          <w:lang w:val="fr-FR"/>
        </w:rPr>
        <w:t>Tableau 34</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Tendance de la couverture de la mise en place d</w:t>
      </w:r>
      <w:r>
        <w:rPr>
          <w:lang w:val="fr-FR"/>
        </w:rPr>
        <w:t>’</w:t>
      </w:r>
      <w:r w:rsidRPr="00521891">
        <w:rPr>
          <w:lang w:val="fr-FR"/>
        </w:rPr>
        <w:t xml:space="preserve">audits et de surveillance </w:t>
      </w:r>
      <w:r>
        <w:rPr>
          <w:lang w:val="fr-FR"/>
        </w:rPr>
        <w:br/>
      </w:r>
      <w:r w:rsidRPr="00521891">
        <w:rPr>
          <w:lang w:val="fr-FR"/>
        </w:rPr>
        <w:t>de décès maternels et néonatals</w:t>
      </w:r>
      <w:bookmarkEnd w:id="104"/>
    </w:p>
    <w:p w:rsidR="00C06068" w:rsidRPr="001A41B4" w:rsidRDefault="00C06068" w:rsidP="00C06068">
      <w:pPr>
        <w:pStyle w:val="SingleTxt"/>
        <w:spacing w:after="0" w:line="120" w:lineRule="exact"/>
        <w:rPr>
          <w:sz w:val="10"/>
          <w:lang w:val="fr-FR"/>
        </w:rPr>
      </w:pPr>
    </w:p>
    <w:p w:rsidR="00C06068" w:rsidRPr="001A41B4" w:rsidRDefault="00C06068" w:rsidP="00C06068">
      <w:pPr>
        <w:pStyle w:val="SingleTxt"/>
        <w:spacing w:after="0" w:line="120" w:lineRule="exact"/>
        <w:rPr>
          <w:sz w:val="10"/>
          <w:lang w:val="fr-FR"/>
        </w:rPr>
      </w:pPr>
    </w:p>
    <w:tbl>
      <w:tblPr>
        <w:tblW w:w="0" w:type="auto"/>
        <w:tblInd w:w="1260" w:type="dxa"/>
        <w:tblBorders>
          <w:top w:val="single" w:sz="4" w:space="0" w:color="auto"/>
        </w:tblBorders>
        <w:tblCellMar>
          <w:left w:w="0" w:type="dxa"/>
          <w:right w:w="0" w:type="dxa"/>
        </w:tblCellMar>
        <w:tblLook w:val="04A0"/>
      </w:tblPr>
      <w:tblGrid>
        <w:gridCol w:w="5388"/>
        <w:gridCol w:w="498"/>
        <w:gridCol w:w="498"/>
        <w:gridCol w:w="498"/>
        <w:gridCol w:w="498"/>
      </w:tblGrid>
      <w:tr w:rsidR="00C06068" w:rsidRPr="00FC6584" w:rsidTr="007F3574">
        <w:trPr>
          <w:trHeight w:val="240"/>
          <w:tblHeader/>
        </w:trPr>
        <w:tc>
          <w:tcPr>
            <w:tcW w:w="0" w:type="auto"/>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Indicateurs </w:t>
            </w:r>
          </w:p>
        </w:tc>
        <w:tc>
          <w:tcPr>
            <w:tcW w:w="498"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498"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498"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498"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rPr>
          <w:trHeight w:val="240"/>
        </w:trPr>
        <w:tc>
          <w:tcPr>
            <w:tcW w:w="0" w:type="auto"/>
            <w:tcBorders>
              <w:top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Nombre de structures hospitalières pratiquant l</w:t>
            </w:r>
            <w:r>
              <w:rPr>
                <w:sz w:val="17"/>
                <w:lang w:val="fr-FR"/>
              </w:rPr>
              <w:t>’</w:t>
            </w:r>
            <w:r w:rsidRPr="00917E2F">
              <w:rPr>
                <w:sz w:val="17"/>
                <w:lang w:val="fr-FR"/>
              </w:rPr>
              <w:t>audit de décès maternels</w:t>
            </w:r>
          </w:p>
        </w:tc>
        <w:tc>
          <w:tcPr>
            <w:tcW w:w="498"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w:t>
            </w:r>
          </w:p>
        </w:tc>
        <w:tc>
          <w:tcPr>
            <w:tcW w:w="498"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10</w:t>
            </w:r>
          </w:p>
        </w:tc>
        <w:tc>
          <w:tcPr>
            <w:tcW w:w="498"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19</w:t>
            </w:r>
          </w:p>
        </w:tc>
        <w:tc>
          <w:tcPr>
            <w:tcW w:w="498" w:type="dxa"/>
            <w:tcBorders>
              <w:top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 xml:space="preserve"> 26</w:t>
            </w:r>
          </w:p>
        </w:tc>
      </w:tr>
      <w:tr w:rsidR="00C06068" w:rsidRPr="00FC6584" w:rsidTr="007F3574">
        <w:trPr>
          <w:trHeight w:val="240"/>
        </w:trPr>
        <w:tc>
          <w:tcPr>
            <w:tcW w:w="0" w:type="auto"/>
            <w:tcBorders>
              <w:bottom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sites sentinelles de surveillance de la mortalité maternelle</w:t>
            </w:r>
          </w:p>
        </w:tc>
        <w:tc>
          <w:tcPr>
            <w:tcW w:w="498"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498"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498"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w:t>
            </w:r>
          </w:p>
        </w:tc>
        <w:tc>
          <w:tcPr>
            <w:tcW w:w="498"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w:t>
            </w:r>
          </w:p>
        </w:tc>
      </w:tr>
    </w:tbl>
    <w:p w:rsidR="00C06068" w:rsidRPr="001A41B4"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1A41B4">
        <w:rPr>
          <w:i/>
          <w:lang w:val="fr-FR"/>
        </w:rPr>
        <w:t>Source</w:t>
      </w:r>
      <w:r w:rsidRPr="00917E2F">
        <w:rPr>
          <w:lang w:val="fr-FR"/>
        </w:rPr>
        <w:t> :</w:t>
      </w:r>
      <w:r w:rsidRPr="00521891">
        <w:rPr>
          <w:lang w:val="fr-FR"/>
        </w:rPr>
        <w:t xml:space="preserve"> Ministère de la santé publique/direction de la santé de l</w:t>
      </w:r>
      <w:r>
        <w:rPr>
          <w:lang w:val="fr-FR"/>
        </w:rPr>
        <w:t>’</w:t>
      </w:r>
      <w:r w:rsidRPr="00521891">
        <w:rPr>
          <w:lang w:val="fr-FR"/>
        </w:rPr>
        <w:t>enfant de la mère et de la reproduction</w:t>
      </w:r>
      <w:r>
        <w:rPr>
          <w:lang w:val="fr-FR"/>
        </w:rPr>
        <w:t>.</w:t>
      </w: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La consultation postnatale fait partie du paquet minimum d</w:t>
      </w:r>
      <w:r>
        <w:rPr>
          <w:lang w:val="fr-FR"/>
        </w:rPr>
        <w:t>’</w:t>
      </w:r>
      <w:r w:rsidRPr="00521891">
        <w:rPr>
          <w:lang w:val="fr-FR"/>
        </w:rPr>
        <w:t>activités de toutes les formations sanitaires. La proportion de femmes ayant reçu des soins postnatals dans les 48 heures suivant la naissance étaient de 32,1 % en 2003-2004, et de 46 % en 2008-2009</w:t>
      </w:r>
      <w:r w:rsidRPr="00313148">
        <w:rPr>
          <w:vertAlign w:val="superscript"/>
          <w:lang w:val="fr-FR"/>
        </w:rPr>
        <w:footnoteReference w:id="19"/>
      </w:r>
      <w:r w:rsidRPr="00521891">
        <w:rPr>
          <w:lang w:val="fr-FR"/>
        </w:rPr>
        <w:t>.</w:t>
      </w:r>
    </w:p>
    <w:p w:rsidR="00C06068" w:rsidRPr="00521891" w:rsidRDefault="00C06068" w:rsidP="00C06068">
      <w:pPr>
        <w:pStyle w:val="SingleTxt"/>
        <w:numPr>
          <w:ilvl w:val="0"/>
          <w:numId w:val="10"/>
        </w:numPr>
        <w:rPr>
          <w:lang w:val="fr-FR"/>
        </w:rPr>
      </w:pPr>
      <w:r w:rsidRPr="00521891">
        <w:rPr>
          <w:lang w:val="fr-FR"/>
        </w:rPr>
        <w:t>Dans le cadre de l</w:t>
      </w:r>
      <w:r>
        <w:rPr>
          <w:lang w:val="fr-FR"/>
        </w:rPr>
        <w:t>’</w:t>
      </w:r>
      <w:r w:rsidRPr="00521891">
        <w:rPr>
          <w:lang w:val="fr-FR"/>
        </w:rPr>
        <w:t>amélioration de l</w:t>
      </w:r>
      <w:r>
        <w:rPr>
          <w:lang w:val="fr-FR"/>
        </w:rPr>
        <w:t>’</w:t>
      </w:r>
      <w:r w:rsidRPr="00521891">
        <w:rPr>
          <w:lang w:val="fr-FR"/>
        </w:rPr>
        <w:t xml:space="preserve">alimentation des groupes vulnérables et pour assurer la survie et le développement optima de chaque enfant, en 2010, un manuel intitulé </w:t>
      </w:r>
      <w:r>
        <w:rPr>
          <w:lang w:val="fr-FR"/>
        </w:rPr>
        <w:t>« </w:t>
      </w:r>
      <w:r w:rsidRPr="00521891">
        <w:rPr>
          <w:lang w:val="fr-FR"/>
        </w:rPr>
        <w:t>Alimentation du nourrisson et du jeune enfant et nutrition de la femme</w:t>
      </w:r>
      <w:r>
        <w:rPr>
          <w:lang w:val="fr-FR"/>
        </w:rPr>
        <w:t> »</w:t>
      </w:r>
      <w:r w:rsidRPr="00521891">
        <w:rPr>
          <w:lang w:val="fr-FR"/>
        </w:rPr>
        <w:t xml:space="preserve"> (ANJE et NdF) a été élaboré, servant de référence pour les médecins et les paramédicaux. Ce manuel met en exergue des pratiques optimales à travers des interventions les plus efficaces et les plus économiques ayant pour but de promouvoir et de protéger l</w:t>
      </w:r>
      <w:r>
        <w:rPr>
          <w:lang w:val="fr-FR"/>
        </w:rPr>
        <w:t>’</w:t>
      </w:r>
      <w:r w:rsidRPr="00521891">
        <w:rPr>
          <w:lang w:val="fr-FR"/>
        </w:rPr>
        <w:t>alimentation du nourrisson et du jeune enfant, particulièrement l</w:t>
      </w:r>
      <w:r>
        <w:rPr>
          <w:lang w:val="fr-FR"/>
        </w:rPr>
        <w:t>’</w:t>
      </w:r>
      <w:r w:rsidRPr="00521891">
        <w:rPr>
          <w:lang w:val="fr-FR"/>
        </w:rPr>
        <w:t>allaitement maternel et l</w:t>
      </w:r>
      <w:r>
        <w:rPr>
          <w:lang w:val="fr-FR"/>
        </w:rPr>
        <w:t>’</w:t>
      </w:r>
      <w:r w:rsidRPr="00521891">
        <w:rPr>
          <w:lang w:val="fr-FR"/>
        </w:rPr>
        <w:t>alimentation de complément et la nutrition de la femme. Une stratégie de communication relative à l</w:t>
      </w:r>
      <w:r>
        <w:rPr>
          <w:lang w:val="fr-FR"/>
        </w:rPr>
        <w:t>’</w:t>
      </w:r>
      <w:r w:rsidRPr="00521891">
        <w:rPr>
          <w:lang w:val="fr-FR"/>
        </w:rPr>
        <w:t>alimentation du nourrisson et du jeune enfant (ANJE) et nutrition de la femme (NdF) a été développée, et différents types de supports ont été produits et diffusés tels que feuillets d</w:t>
      </w:r>
      <w:r>
        <w:rPr>
          <w:lang w:val="fr-FR"/>
        </w:rPr>
        <w:t>’</w:t>
      </w:r>
      <w:r w:rsidRPr="00521891">
        <w:rPr>
          <w:lang w:val="fr-FR"/>
        </w:rPr>
        <w:t xml:space="preserve">animation, </w:t>
      </w:r>
      <w:r>
        <w:rPr>
          <w:lang w:val="fr-FR"/>
        </w:rPr>
        <w:t>b</w:t>
      </w:r>
      <w:r w:rsidRPr="00521891">
        <w:rPr>
          <w:lang w:val="fr-FR"/>
        </w:rPr>
        <w:t>âche cycle de vie. Des curricula de formation des agents de santé, des leaders communautaires et des agents communautaires ont été élaborés. En conséquence, 224 agents de santé, 860 leaders et 2</w:t>
      </w:r>
      <w:r>
        <w:rPr>
          <w:lang w:val="fr-FR"/>
        </w:rPr>
        <w:t> </w:t>
      </w:r>
      <w:r w:rsidRPr="00521891">
        <w:rPr>
          <w:lang w:val="fr-FR"/>
        </w:rPr>
        <w:t>854 agents communautaires ont été formés en commu</w:t>
      </w:r>
      <w:r>
        <w:rPr>
          <w:lang w:val="fr-FR"/>
        </w:rPr>
        <w:t>nication interpersonnelle en ANJE</w:t>
      </w:r>
      <w:r w:rsidRPr="00521891">
        <w:rPr>
          <w:lang w:val="fr-FR"/>
        </w:rPr>
        <w:t xml:space="preserve">/NdF dans </w:t>
      </w:r>
      <w:r>
        <w:rPr>
          <w:lang w:val="fr-FR"/>
        </w:rPr>
        <w:t>quatre</w:t>
      </w:r>
      <w:r w:rsidRPr="00521891">
        <w:rPr>
          <w:lang w:val="fr-FR"/>
        </w:rPr>
        <w:t xml:space="preserve"> régions (Analamanga, Androy, Atsimo Andrefana et Anosy).</w:t>
      </w:r>
    </w:p>
    <w:p w:rsidR="00C06068" w:rsidRPr="001A41B4" w:rsidRDefault="00C06068" w:rsidP="00C06068">
      <w:pPr>
        <w:pStyle w:val="SingleTxt"/>
        <w:spacing w:after="0" w:line="120" w:lineRule="exact"/>
        <w:rPr>
          <w:b/>
          <w:sz w:val="10"/>
          <w:lang w:val="fr-FR"/>
        </w:rPr>
      </w:pPr>
      <w:bookmarkStart w:id="105" w:name="_Toc376709333"/>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4.</w:t>
      </w:r>
      <w:r w:rsidRPr="00521891">
        <w:rPr>
          <w:lang w:val="fr-FR"/>
        </w:rPr>
        <w:tab/>
        <w:t>Service de planification familiale et de santé génésique</w:t>
      </w:r>
      <w:bookmarkEnd w:id="105"/>
    </w:p>
    <w:p w:rsidR="00C06068" w:rsidRPr="001A41B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Un programme national de planning familial, adopté en 2007, vise à réduire les grossesses trop tôt, trop rapprochées, trop tardives, trop nombreuses. Les services PF sont offerts gratuitement dans 97 % de formations sanitaires publiques dont 41 % offrent en plus des méthodes de longue durée. En 2012, l</w:t>
      </w:r>
      <w:r>
        <w:rPr>
          <w:lang w:val="fr-FR"/>
        </w:rPr>
        <w:t>’</w:t>
      </w:r>
      <w:r w:rsidRPr="00521891">
        <w:rPr>
          <w:lang w:val="fr-FR"/>
        </w:rPr>
        <w:t>offre de service a été renforcé</w:t>
      </w:r>
      <w:r>
        <w:rPr>
          <w:lang w:val="fr-FR"/>
        </w:rPr>
        <w:t>e</w:t>
      </w:r>
      <w:r w:rsidRPr="00521891">
        <w:rPr>
          <w:lang w:val="fr-FR"/>
        </w:rPr>
        <w:t xml:space="preserve"> par la mise en fonction de 2 388 sites à base communautaire PF fonctionnels, structures rattachées aux CSB, assurés par 3 796 agents communautaires dont 454 offrant des contraceptifs injectables dans 88 </w:t>
      </w:r>
      <w:r>
        <w:rPr>
          <w:lang w:val="fr-FR"/>
        </w:rPr>
        <w:t>c</w:t>
      </w:r>
      <w:r w:rsidRPr="00521891">
        <w:rPr>
          <w:lang w:val="fr-FR"/>
        </w:rPr>
        <w:t>ommunes. Ainsi, la prévalence contraceptive a évolué de 18 % en 2003 à 29 % en 2008</w:t>
      </w:r>
      <w:r w:rsidRPr="00313148">
        <w:rPr>
          <w:vertAlign w:val="superscript"/>
          <w:lang w:val="fr-FR"/>
        </w:rPr>
        <w:footnoteReference w:id="20"/>
      </w:r>
      <w:r w:rsidRPr="00521891">
        <w:rPr>
          <w:lang w:val="fr-FR"/>
        </w:rPr>
        <w:t>.</w:t>
      </w:r>
    </w:p>
    <w:p w:rsidR="00C06068" w:rsidRPr="001A41B4" w:rsidRDefault="00C06068" w:rsidP="00C06068">
      <w:pPr>
        <w:pStyle w:val="SingleTxt"/>
        <w:spacing w:after="0" w:line="120" w:lineRule="exact"/>
        <w:rPr>
          <w:b/>
          <w:sz w:val="10"/>
          <w:lang w:val="fr-FR"/>
        </w:rPr>
      </w:pPr>
      <w:bookmarkStart w:id="106" w:name="_Toc376709334"/>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5.</w:t>
      </w:r>
      <w:r w:rsidRPr="00521891">
        <w:rPr>
          <w:lang w:val="fr-FR"/>
        </w:rPr>
        <w:tab/>
        <w:t xml:space="preserve">Grossesse précoce </w:t>
      </w:r>
      <w:r>
        <w:rPr>
          <w:lang w:val="fr-FR"/>
        </w:rPr>
        <w:t xml:space="preserve">– </w:t>
      </w:r>
      <w:r w:rsidRPr="00521891">
        <w:rPr>
          <w:lang w:val="fr-FR"/>
        </w:rPr>
        <w:t>fistule obstétricale</w:t>
      </w:r>
      <w:bookmarkEnd w:id="106"/>
    </w:p>
    <w:p w:rsidR="00C06068" w:rsidRPr="001A41B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w:t>
      </w:r>
      <w:r>
        <w:rPr>
          <w:lang w:val="fr-FR"/>
        </w:rPr>
        <w:t>’</w:t>
      </w:r>
      <w:r w:rsidRPr="00521891">
        <w:rPr>
          <w:lang w:val="fr-FR"/>
        </w:rPr>
        <w:t xml:space="preserve">après les enquêtes démographiques et de santé successives, les grossesses précoces ont tendance à baisser, de 52 % en 1997 à 32 % en 2008. Néanmoins, les avortements sont les corollaires de ces grossesses précoces, et </w:t>
      </w:r>
      <w:r>
        <w:rPr>
          <w:lang w:val="fr-FR"/>
        </w:rPr>
        <w:t>un tiers</w:t>
      </w:r>
      <w:r w:rsidRPr="00521891">
        <w:rPr>
          <w:lang w:val="fr-FR"/>
        </w:rPr>
        <w:t xml:space="preserve"> des cas d</w:t>
      </w:r>
      <w:r>
        <w:rPr>
          <w:lang w:val="fr-FR"/>
        </w:rPr>
        <w:t>’</w:t>
      </w:r>
      <w:r w:rsidRPr="00521891">
        <w:rPr>
          <w:lang w:val="fr-FR"/>
        </w:rPr>
        <w:t>avortement surviennent chez les adolescentes de moins de 25 ans et représentent 2 % de motifs d</w:t>
      </w:r>
      <w:r>
        <w:rPr>
          <w:lang w:val="fr-FR"/>
        </w:rPr>
        <w:t>’</w:t>
      </w:r>
      <w:r w:rsidRPr="00521891">
        <w:rPr>
          <w:lang w:val="fr-FR"/>
        </w:rPr>
        <w:t>hospitalisations. Déterminants d</w:t>
      </w:r>
      <w:r>
        <w:rPr>
          <w:lang w:val="fr-FR"/>
        </w:rPr>
        <w:t>’</w:t>
      </w:r>
      <w:r w:rsidRPr="00521891">
        <w:rPr>
          <w:lang w:val="fr-FR"/>
        </w:rPr>
        <w:t>un accouchement difficile, ces grossesses précoces favorisent la survenue de fistule obstétricale représentée par une incapacité physique plus ou moins importante, accompagnée d</w:t>
      </w:r>
      <w:r>
        <w:rPr>
          <w:lang w:val="fr-FR"/>
        </w:rPr>
        <w:t>’</w:t>
      </w:r>
      <w:r w:rsidRPr="00521891">
        <w:rPr>
          <w:lang w:val="fr-FR"/>
        </w:rPr>
        <w:t>un fléau humain et social du fait de la stigmatisation sociale dont est victime la patiente entraînant son rejet par la communauté, voire sa famille, à l</w:t>
      </w:r>
      <w:r>
        <w:rPr>
          <w:lang w:val="fr-FR"/>
        </w:rPr>
        <w:t>’</w:t>
      </w:r>
      <w:r w:rsidRPr="00521891">
        <w:rPr>
          <w:lang w:val="fr-FR"/>
        </w:rPr>
        <w:t>origine d</w:t>
      </w:r>
      <w:r>
        <w:rPr>
          <w:lang w:val="fr-FR"/>
        </w:rPr>
        <w:t>’un isolement total</w:t>
      </w:r>
      <w:r w:rsidRPr="00521891">
        <w:rPr>
          <w:lang w:val="fr-FR"/>
        </w:rPr>
        <w:t xml:space="preserve"> et de honte.</w:t>
      </w:r>
    </w:p>
    <w:p w:rsidR="00C06068" w:rsidRPr="00521891" w:rsidRDefault="00C06068" w:rsidP="00C06068">
      <w:pPr>
        <w:pStyle w:val="SingleTxt"/>
        <w:numPr>
          <w:ilvl w:val="0"/>
          <w:numId w:val="10"/>
        </w:numPr>
        <w:rPr>
          <w:lang w:val="fr-FR"/>
        </w:rPr>
      </w:pPr>
      <w:r w:rsidRPr="00521891">
        <w:rPr>
          <w:lang w:val="fr-FR"/>
        </w:rPr>
        <w:t>Certains us et coutume</w:t>
      </w:r>
      <w:r>
        <w:rPr>
          <w:lang w:val="fr-FR"/>
        </w:rPr>
        <w:t>s</w:t>
      </w:r>
      <w:r w:rsidRPr="00521891">
        <w:rPr>
          <w:lang w:val="fr-FR"/>
        </w:rPr>
        <w:t xml:space="preserve"> de marier la jeune fille très tôt</w:t>
      </w:r>
      <w:r>
        <w:rPr>
          <w:lang w:val="fr-FR"/>
        </w:rPr>
        <w:t>,</w:t>
      </w:r>
      <w:r w:rsidRPr="00521891">
        <w:rPr>
          <w:lang w:val="fr-FR"/>
        </w:rPr>
        <w:t xml:space="preserve"> tel</w:t>
      </w:r>
      <w:r>
        <w:rPr>
          <w:lang w:val="fr-FR"/>
        </w:rPr>
        <w:t>s</w:t>
      </w:r>
      <w:r w:rsidRPr="00521891">
        <w:rPr>
          <w:lang w:val="fr-FR"/>
        </w:rPr>
        <w:t xml:space="preserve"> que le moletry, l</w:t>
      </w:r>
      <w:r>
        <w:rPr>
          <w:lang w:val="fr-FR"/>
        </w:rPr>
        <w:t>’âge du premier</w:t>
      </w:r>
      <w:r w:rsidRPr="00521891">
        <w:rPr>
          <w:lang w:val="fr-FR"/>
        </w:rPr>
        <w:t xml:space="preserve"> rapport sexuel de plus en plus jeune, la liberté sexuelle dans certaines régions où dès leur âge de puberté les filles sont libérées de l</w:t>
      </w:r>
      <w:r>
        <w:rPr>
          <w:lang w:val="fr-FR"/>
        </w:rPr>
        <w:t>’</w:t>
      </w:r>
      <w:r w:rsidRPr="00521891">
        <w:rPr>
          <w:lang w:val="fr-FR"/>
        </w:rPr>
        <w:t>autorité parentale et vivent seules, sont autant de déterminants en faveur des grossesses précoces.</w:t>
      </w:r>
    </w:p>
    <w:p w:rsidR="00C06068" w:rsidRPr="00521891" w:rsidRDefault="00C06068" w:rsidP="00C06068">
      <w:pPr>
        <w:pStyle w:val="SingleTxt"/>
        <w:numPr>
          <w:ilvl w:val="0"/>
          <w:numId w:val="10"/>
        </w:numPr>
        <w:rPr>
          <w:lang w:val="fr-FR"/>
        </w:rPr>
      </w:pPr>
      <w:r w:rsidRPr="00521891">
        <w:rPr>
          <w:lang w:val="fr-FR"/>
        </w:rPr>
        <w:t>En 2007, une analyse situationnelle réalisée pour évaluer l</w:t>
      </w:r>
      <w:r>
        <w:rPr>
          <w:lang w:val="fr-FR"/>
        </w:rPr>
        <w:t>’</w:t>
      </w:r>
      <w:r w:rsidRPr="00521891">
        <w:rPr>
          <w:lang w:val="fr-FR"/>
        </w:rPr>
        <w:t>ampleur et les impacts des fistules obstétricales (FO) a permis d</w:t>
      </w:r>
      <w:r>
        <w:rPr>
          <w:lang w:val="fr-FR"/>
        </w:rPr>
        <w:t>’</w:t>
      </w:r>
      <w:r w:rsidRPr="00521891">
        <w:rPr>
          <w:lang w:val="fr-FR"/>
        </w:rPr>
        <w:t>estimer à environ 2</w:t>
      </w:r>
      <w:r>
        <w:rPr>
          <w:lang w:val="fr-FR"/>
        </w:rPr>
        <w:t> </w:t>
      </w:r>
      <w:r w:rsidRPr="00521891">
        <w:rPr>
          <w:lang w:val="fr-FR"/>
        </w:rPr>
        <w:t>000 le nombre de nouveaux cas par an, soit 2 à 3 cas pour 1</w:t>
      </w:r>
      <w:r>
        <w:rPr>
          <w:lang w:val="fr-FR"/>
        </w:rPr>
        <w:t> </w:t>
      </w:r>
      <w:r w:rsidRPr="00521891">
        <w:rPr>
          <w:lang w:val="fr-FR"/>
        </w:rPr>
        <w:t>000 grossesses.</w:t>
      </w:r>
    </w:p>
    <w:p w:rsidR="00C06068" w:rsidRPr="00521891" w:rsidRDefault="00C06068" w:rsidP="00C06068">
      <w:pPr>
        <w:pStyle w:val="SingleTxt"/>
        <w:numPr>
          <w:ilvl w:val="0"/>
          <w:numId w:val="10"/>
        </w:numPr>
        <w:rPr>
          <w:lang w:val="fr-FR"/>
        </w:rPr>
      </w:pPr>
      <w:r w:rsidRPr="00521891">
        <w:rPr>
          <w:lang w:val="fr-FR"/>
        </w:rPr>
        <w:t>En 2010, un projet d</w:t>
      </w:r>
      <w:r>
        <w:rPr>
          <w:lang w:val="fr-FR"/>
        </w:rPr>
        <w:t>’</w:t>
      </w:r>
      <w:r w:rsidRPr="00521891">
        <w:rPr>
          <w:lang w:val="fr-FR"/>
        </w:rPr>
        <w:t xml:space="preserve">éradication de fistules obstétricales, consistant en une prise en charge gratuite comprenant une chirurgie réparatrice et la réinsertion sociale de 10 femmes porteuses de fistules obstétricales provenant de </w:t>
      </w:r>
      <w:r>
        <w:rPr>
          <w:lang w:val="fr-FR"/>
        </w:rPr>
        <w:t>six</w:t>
      </w:r>
      <w:r w:rsidRPr="00521891">
        <w:rPr>
          <w:lang w:val="fr-FR"/>
        </w:rPr>
        <w:t xml:space="preserve"> régions, a été réalisé.</w:t>
      </w:r>
    </w:p>
    <w:p w:rsidR="00C06068" w:rsidRPr="00521891" w:rsidRDefault="00C06068" w:rsidP="00C06068">
      <w:pPr>
        <w:pStyle w:val="SingleTxt"/>
        <w:numPr>
          <w:ilvl w:val="0"/>
          <w:numId w:val="10"/>
        </w:numPr>
        <w:rPr>
          <w:lang w:val="fr-FR"/>
        </w:rPr>
      </w:pPr>
      <w:r w:rsidRPr="00521891">
        <w:rPr>
          <w:lang w:val="fr-FR"/>
        </w:rPr>
        <w:t xml:space="preserve">En 2011, une campagne nationale à Toliara, ayant réuni </w:t>
      </w:r>
      <w:r>
        <w:rPr>
          <w:lang w:val="fr-FR"/>
        </w:rPr>
        <w:t>sept</w:t>
      </w:r>
      <w:r w:rsidRPr="00521891">
        <w:rPr>
          <w:lang w:val="fr-FR"/>
        </w:rPr>
        <w:t xml:space="preserve"> régions du sud-est et du sud-ouest de Madagascar (Atsimo Andrefana, Androy, Anosy, Vatovavy Fitovinany, Atsimo Atsinanana, Ihorombe, Menabe) a permis de traiter gratuitement 106 femmes porteuses de FO et d</w:t>
      </w:r>
      <w:r>
        <w:rPr>
          <w:lang w:val="fr-FR"/>
        </w:rPr>
        <w:t>’</w:t>
      </w:r>
      <w:r w:rsidRPr="00521891">
        <w:rPr>
          <w:lang w:val="fr-FR"/>
        </w:rPr>
        <w:t xml:space="preserve">augmenter de 2 à 14 le nombre de </w:t>
      </w:r>
      <w:r>
        <w:rPr>
          <w:lang w:val="fr-FR"/>
        </w:rPr>
        <w:t>c</w:t>
      </w:r>
      <w:r w:rsidRPr="00521891">
        <w:rPr>
          <w:lang w:val="fr-FR"/>
        </w:rPr>
        <w:t>entres hospitaliers prenant en charge les cas de FO.</w:t>
      </w:r>
    </w:p>
    <w:p w:rsidR="00C06068" w:rsidRPr="00521891" w:rsidRDefault="00C06068" w:rsidP="00C06068">
      <w:pPr>
        <w:pStyle w:val="SingleTxt"/>
        <w:numPr>
          <w:ilvl w:val="0"/>
          <w:numId w:val="10"/>
        </w:numPr>
        <w:rPr>
          <w:lang w:val="fr-FR"/>
        </w:rPr>
      </w:pPr>
      <w:r w:rsidRPr="00521891">
        <w:rPr>
          <w:lang w:val="fr-FR"/>
        </w:rPr>
        <w:t>En 2012, un recensement des femmes porteuses de fistules obstétricales a été intégré à la SSME, et 589 cas ont été inve</w:t>
      </w:r>
      <w:r>
        <w:rPr>
          <w:lang w:val="fr-FR"/>
        </w:rPr>
        <w:t>ntoriés dont 265 ont été traité</w:t>
      </w:r>
      <w:r w:rsidRPr="00521891">
        <w:rPr>
          <w:lang w:val="fr-FR"/>
        </w:rPr>
        <w:t>s. Et, le plan stratégique national pour l</w:t>
      </w:r>
      <w:r>
        <w:rPr>
          <w:lang w:val="fr-FR"/>
        </w:rPr>
        <w:t>’</w:t>
      </w:r>
      <w:r w:rsidRPr="00521891">
        <w:rPr>
          <w:lang w:val="fr-FR"/>
        </w:rPr>
        <w:t>éradication des fistules obstétricales (PSNEFO), mettant en œuvre des activités préventives, curatives et de réinsertion sociale avec prise en charge psychologique, a été élaboré et sera opéré par le Ministère de la santé publique en collaboration avec les autres ministères concernés, les partenaires tels que le système des Nations Unies, les ONG nationales et internationales et les bonnes volontés.</w:t>
      </w:r>
    </w:p>
    <w:p w:rsidR="00C06068" w:rsidRPr="001A41B4" w:rsidRDefault="00C06068" w:rsidP="00C06068">
      <w:pPr>
        <w:pStyle w:val="SingleTxt"/>
        <w:spacing w:after="0" w:line="120" w:lineRule="exact"/>
        <w:rPr>
          <w:b/>
          <w:sz w:val="10"/>
          <w:lang w:val="fr-FR"/>
        </w:rPr>
      </w:pPr>
      <w:bookmarkStart w:id="107" w:name="_Toc376709335"/>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6.</w:t>
      </w:r>
      <w:r w:rsidRPr="00521891">
        <w:rPr>
          <w:lang w:val="fr-FR"/>
        </w:rPr>
        <w:tab/>
        <w:t>Prévention des grossesses précoces</w:t>
      </w:r>
      <w:bookmarkEnd w:id="107"/>
    </w:p>
    <w:p w:rsidR="00C06068" w:rsidRPr="001A41B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loi n</w:t>
      </w:r>
      <w:r w:rsidRPr="00521891">
        <w:rPr>
          <w:vertAlign w:val="superscript"/>
          <w:lang w:val="fr-FR"/>
        </w:rPr>
        <w:t>o</w:t>
      </w:r>
      <w:r>
        <w:rPr>
          <w:vertAlign w:val="superscript"/>
          <w:lang w:val="fr-FR"/>
        </w:rPr>
        <w:t> </w:t>
      </w:r>
      <w:r w:rsidRPr="00521891">
        <w:rPr>
          <w:lang w:val="fr-FR"/>
        </w:rPr>
        <w:t xml:space="preserve">2004/028 du 9 septembre 2004 portant politique nationale de la jeunesse, stipule en son article 3 que </w:t>
      </w:r>
      <w:r>
        <w:rPr>
          <w:lang w:val="fr-FR"/>
        </w:rPr>
        <w:t>« </w:t>
      </w:r>
      <w:r w:rsidRPr="00521891">
        <w:rPr>
          <w:lang w:val="fr-FR"/>
        </w:rPr>
        <w:t>La politique nationale de la jeunesse cerne tout jeune sans distinction de sexe, de classe sociale, de religion, d</w:t>
      </w:r>
      <w:r>
        <w:rPr>
          <w:lang w:val="fr-FR"/>
        </w:rPr>
        <w:t>’</w:t>
      </w:r>
      <w:r w:rsidRPr="00521891">
        <w:rPr>
          <w:lang w:val="fr-FR"/>
        </w:rPr>
        <w:t>affiliation politique ni de handicap physique ou mental</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État dispose d</w:t>
      </w:r>
      <w:r>
        <w:rPr>
          <w:lang w:val="fr-FR"/>
        </w:rPr>
        <w:t>’</w:t>
      </w:r>
      <w:r w:rsidRPr="00521891">
        <w:rPr>
          <w:lang w:val="fr-FR"/>
        </w:rPr>
        <w:t>une politique nationale en santé de la reproduction des jeunes et des adolescents (SRA). Une approche multisectorielle et conjointe des Ministères de la santé, de la jeunesse et de l</w:t>
      </w:r>
      <w:r>
        <w:rPr>
          <w:lang w:val="fr-FR"/>
        </w:rPr>
        <w:t>’</w:t>
      </w:r>
      <w:r w:rsidRPr="00521891">
        <w:rPr>
          <w:lang w:val="fr-FR"/>
        </w:rPr>
        <w:t>éducation nationale a été adoptée pour la sensibilisation en santé de la reproduction des adolescents et des jeunes et la réduction des grossesses précoces.</w:t>
      </w:r>
    </w:p>
    <w:p w:rsidR="00C06068" w:rsidRPr="00521891" w:rsidRDefault="00C06068" w:rsidP="00C06068">
      <w:pPr>
        <w:pStyle w:val="SingleTxt"/>
        <w:numPr>
          <w:ilvl w:val="0"/>
          <w:numId w:val="10"/>
        </w:numPr>
        <w:rPr>
          <w:lang w:val="fr-FR"/>
        </w:rPr>
      </w:pPr>
      <w:r w:rsidRPr="00521891">
        <w:rPr>
          <w:lang w:val="fr-FR"/>
        </w:rPr>
        <w:t>Des mesures ont été adoptées pour prévenir les grossesses précoces : des conseils sont dispensés aux adolescents, une approche plus efficace de l</w:t>
      </w:r>
      <w:r>
        <w:rPr>
          <w:lang w:val="fr-FR"/>
        </w:rPr>
        <w:t>’</w:t>
      </w:r>
      <w:r w:rsidRPr="00521891">
        <w:rPr>
          <w:lang w:val="fr-FR"/>
        </w:rPr>
        <w:t>éducation sexuelle et de la contraception a été adoptée dans les écoles, et des émissions radiophoniques et télévisées ont été programmées, des renforcements de capacité en approche life skills basée sur la santé sexuelle et la santé de la reproduction ont été prodigués aux acteurs.</w:t>
      </w:r>
    </w:p>
    <w:p w:rsidR="00C06068" w:rsidRPr="00521891" w:rsidRDefault="00C06068" w:rsidP="00C06068">
      <w:pPr>
        <w:pStyle w:val="SingleTxt"/>
        <w:numPr>
          <w:ilvl w:val="0"/>
          <w:numId w:val="10"/>
        </w:numPr>
        <w:rPr>
          <w:lang w:val="fr-FR"/>
        </w:rPr>
      </w:pPr>
      <w:r w:rsidRPr="00521891">
        <w:rPr>
          <w:lang w:val="fr-FR"/>
        </w:rPr>
        <w:t xml:space="preserve">En 2012, un manuel de référence intitulé </w:t>
      </w:r>
      <w:r>
        <w:rPr>
          <w:lang w:val="fr-FR"/>
        </w:rPr>
        <w:t>« </w:t>
      </w:r>
      <w:r w:rsidRPr="00521891">
        <w:rPr>
          <w:lang w:val="fr-FR"/>
        </w:rPr>
        <w:t>Service amis des jeunes</w:t>
      </w:r>
      <w:r>
        <w:rPr>
          <w:lang w:val="fr-FR"/>
        </w:rPr>
        <w:t> »</w:t>
      </w:r>
      <w:r w:rsidRPr="00521891">
        <w:rPr>
          <w:lang w:val="fr-FR"/>
        </w:rPr>
        <w:t xml:space="preserve"> a été élaboré et vulgarisé en 4</w:t>
      </w:r>
      <w:r>
        <w:rPr>
          <w:lang w:val="fr-FR"/>
        </w:rPr>
        <w:t> </w:t>
      </w:r>
      <w:r w:rsidRPr="00521891">
        <w:rPr>
          <w:lang w:val="fr-FR"/>
        </w:rPr>
        <w:t xml:space="preserve">000 exemplaires. Par ailleurs, 148 services amis des jeunes ont été mis en fonction dans 31 sur 119 districts, et 35 centres de santé de base amis de jeunes ont été mis en place. La mise en réseau des </w:t>
      </w:r>
      <w:r>
        <w:rPr>
          <w:lang w:val="fr-FR"/>
        </w:rPr>
        <w:t>« </w:t>
      </w:r>
      <w:r w:rsidRPr="00521891">
        <w:rPr>
          <w:lang w:val="fr-FR"/>
        </w:rPr>
        <w:t>services amis des jeunes</w:t>
      </w:r>
      <w:r>
        <w:rPr>
          <w:lang w:val="fr-FR"/>
        </w:rPr>
        <w:t> »</w:t>
      </w:r>
      <w:r w:rsidRPr="00521891">
        <w:rPr>
          <w:lang w:val="fr-FR"/>
        </w:rPr>
        <w:t xml:space="preserve"> a permis de référer les jeunes en réponse à leur demande et à leurs besoins. En 2013, avec l</w:t>
      </w:r>
      <w:r>
        <w:rPr>
          <w:lang w:val="fr-FR"/>
        </w:rPr>
        <w:t>’</w:t>
      </w:r>
      <w:r w:rsidRPr="00521891">
        <w:rPr>
          <w:lang w:val="fr-FR"/>
        </w:rPr>
        <w:t>appui de l</w:t>
      </w:r>
      <w:r>
        <w:rPr>
          <w:lang w:val="fr-FR"/>
        </w:rPr>
        <w:t>’</w:t>
      </w:r>
      <w:r w:rsidRPr="00521891">
        <w:rPr>
          <w:lang w:val="fr-FR"/>
        </w:rPr>
        <w:t>OMS, de l</w:t>
      </w:r>
      <w:r>
        <w:rPr>
          <w:lang w:val="fr-FR"/>
        </w:rPr>
        <w:t>’</w:t>
      </w:r>
      <w:r w:rsidRPr="00521891">
        <w:rPr>
          <w:lang w:val="fr-FR"/>
        </w:rPr>
        <w:t xml:space="preserve">UNICEF et </w:t>
      </w:r>
      <w:r>
        <w:rPr>
          <w:lang w:val="fr-FR"/>
        </w:rPr>
        <w:t>du FNUAP</w:t>
      </w:r>
      <w:r w:rsidRPr="00521891">
        <w:rPr>
          <w:lang w:val="fr-FR"/>
        </w:rPr>
        <w:t>, 31 communes mettront en réseau les services ami des jeunes de leur localité respective.</w:t>
      </w:r>
    </w:p>
    <w:p w:rsidR="00C06068" w:rsidRPr="00521891" w:rsidRDefault="00C06068" w:rsidP="00C06068">
      <w:pPr>
        <w:pStyle w:val="SingleTxt"/>
        <w:numPr>
          <w:ilvl w:val="0"/>
          <w:numId w:val="10"/>
        </w:numPr>
        <w:rPr>
          <w:lang w:val="fr-FR"/>
        </w:rPr>
      </w:pPr>
      <w:r w:rsidRPr="00521891">
        <w:rPr>
          <w:lang w:val="fr-FR"/>
        </w:rPr>
        <w:t>Tous les ans, des jeunes éducateurs (de parité égale entre 15 à 24 ans) sont recrutés et sont chargés de la distribution à base communautaire de préservatifs (DBC) auprès de leurs pairs.</w:t>
      </w:r>
    </w:p>
    <w:p w:rsidR="00C06068" w:rsidRPr="001A41B4" w:rsidRDefault="00C06068" w:rsidP="00C06068">
      <w:pPr>
        <w:pStyle w:val="SingleTxt"/>
        <w:spacing w:after="0" w:line="120" w:lineRule="exact"/>
        <w:rPr>
          <w:b/>
          <w:sz w:val="10"/>
          <w:lang w:val="fr-FR"/>
        </w:rPr>
      </w:pPr>
      <w:bookmarkStart w:id="108" w:name="_Toc377129321"/>
    </w:p>
    <w:p w:rsidR="00C06068" w:rsidRPr="001A41B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A41B4">
        <w:rPr>
          <w:b w:val="0"/>
          <w:lang w:val="fr-FR"/>
        </w:rPr>
        <w:t>Tableau 35</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Évolution des activités des </w:t>
      </w:r>
      <w:r>
        <w:rPr>
          <w:lang w:val="fr-FR"/>
        </w:rPr>
        <w:t>j</w:t>
      </w:r>
      <w:r w:rsidRPr="00521891">
        <w:rPr>
          <w:lang w:val="fr-FR"/>
        </w:rPr>
        <w:t>eunes pairs éducateurs dans 25 sites</w:t>
      </w:r>
      <w:bookmarkEnd w:id="108"/>
    </w:p>
    <w:p w:rsidR="00C06068" w:rsidRPr="001A41B4" w:rsidRDefault="00C06068" w:rsidP="00C06068">
      <w:pPr>
        <w:pStyle w:val="SingleTxt"/>
        <w:spacing w:after="0" w:line="120" w:lineRule="exact"/>
        <w:rPr>
          <w:sz w:val="10"/>
          <w:lang w:val="fr-FR"/>
        </w:rPr>
      </w:pPr>
    </w:p>
    <w:p w:rsidR="00C06068" w:rsidRPr="001A41B4"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712"/>
        <w:gridCol w:w="1438"/>
        <w:gridCol w:w="1344"/>
        <w:gridCol w:w="1438"/>
        <w:gridCol w:w="1438"/>
      </w:tblGrid>
      <w:tr w:rsidR="00C06068" w:rsidRPr="00FC6584" w:rsidTr="007F3574">
        <w:trPr>
          <w:trHeight w:val="240"/>
          <w:tblHeader/>
        </w:trPr>
        <w:tc>
          <w:tcPr>
            <w:tcW w:w="1712"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143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134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143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143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rPr>
          <w:trHeight w:val="240"/>
        </w:trPr>
        <w:tc>
          <w:tcPr>
            <w:tcW w:w="1712"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Nombre de jeunes pairs éducateurs</w:t>
            </w:r>
          </w:p>
        </w:tc>
        <w:tc>
          <w:tcPr>
            <w:tcW w:w="143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w:t>
            </w:r>
            <w:r>
              <w:rPr>
                <w:sz w:val="17"/>
                <w:lang w:val="fr-FR"/>
              </w:rPr>
              <w:t> </w:t>
            </w:r>
            <w:r w:rsidRPr="00256056">
              <w:rPr>
                <w:sz w:val="17"/>
                <w:lang w:val="fr-FR"/>
              </w:rPr>
              <w:t>735 dont 915 G et 815 F</w:t>
            </w:r>
          </w:p>
        </w:tc>
        <w:tc>
          <w:tcPr>
            <w:tcW w:w="134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200 dont 100 G et 100</w:t>
            </w:r>
            <w:r>
              <w:rPr>
                <w:sz w:val="17"/>
                <w:lang w:val="fr-FR"/>
              </w:rPr>
              <w:t xml:space="preserve"> </w:t>
            </w:r>
            <w:r w:rsidRPr="00256056">
              <w:rPr>
                <w:sz w:val="17"/>
                <w:lang w:val="fr-FR"/>
              </w:rPr>
              <w:t>F</w:t>
            </w:r>
          </w:p>
        </w:tc>
        <w:tc>
          <w:tcPr>
            <w:tcW w:w="143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 xml:space="preserve">425 dont 225 G </w:t>
            </w:r>
            <w:r>
              <w:rPr>
                <w:sz w:val="17"/>
                <w:lang w:val="fr-FR"/>
              </w:rPr>
              <w:br/>
            </w:r>
            <w:r w:rsidRPr="00256056">
              <w:rPr>
                <w:sz w:val="17"/>
                <w:lang w:val="fr-FR"/>
              </w:rPr>
              <w:t>et 200 F</w:t>
            </w:r>
          </w:p>
        </w:tc>
        <w:tc>
          <w:tcPr>
            <w:tcW w:w="143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 xml:space="preserve">442 dont 221 G </w:t>
            </w:r>
            <w:r>
              <w:rPr>
                <w:sz w:val="17"/>
                <w:lang w:val="fr-FR"/>
              </w:rPr>
              <w:br/>
            </w:r>
            <w:r w:rsidRPr="00256056">
              <w:rPr>
                <w:sz w:val="17"/>
                <w:lang w:val="fr-FR"/>
              </w:rPr>
              <w:t>et 221 F</w:t>
            </w:r>
          </w:p>
        </w:tc>
      </w:tr>
      <w:tr w:rsidR="00C06068" w:rsidRPr="00FC6584" w:rsidTr="007F3574">
        <w:trPr>
          <w:trHeight w:val="240"/>
        </w:trPr>
        <w:tc>
          <w:tcPr>
            <w:tcW w:w="1712"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préservatifs distribués (DBC)</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w:t>
            </w:r>
            <w:r>
              <w:rPr>
                <w:sz w:val="17"/>
                <w:lang w:val="fr-FR"/>
              </w:rPr>
              <w:t> </w:t>
            </w:r>
            <w:r w:rsidRPr="00256056">
              <w:rPr>
                <w:sz w:val="17"/>
                <w:lang w:val="fr-FR"/>
              </w:rPr>
              <w:t>433</w:t>
            </w:r>
          </w:p>
        </w:tc>
        <w:tc>
          <w:tcPr>
            <w:tcW w:w="13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77</w:t>
            </w:r>
            <w:r>
              <w:rPr>
                <w:sz w:val="17"/>
                <w:lang w:val="fr-FR"/>
              </w:rPr>
              <w:t> </w:t>
            </w:r>
            <w:r w:rsidRPr="00256056">
              <w:rPr>
                <w:sz w:val="17"/>
                <w:lang w:val="fr-FR"/>
              </w:rPr>
              <w:t>889</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228</w:t>
            </w:r>
            <w:r>
              <w:rPr>
                <w:sz w:val="17"/>
                <w:lang w:val="fr-FR"/>
              </w:rPr>
              <w:t> </w:t>
            </w:r>
            <w:r w:rsidRPr="00256056">
              <w:rPr>
                <w:sz w:val="17"/>
                <w:lang w:val="fr-FR"/>
              </w:rPr>
              <w:t>432</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155</w:t>
            </w:r>
            <w:r>
              <w:rPr>
                <w:sz w:val="17"/>
                <w:lang w:val="fr-FR"/>
              </w:rPr>
              <w:t> </w:t>
            </w:r>
            <w:r w:rsidRPr="00256056">
              <w:rPr>
                <w:sz w:val="17"/>
                <w:lang w:val="fr-FR"/>
              </w:rPr>
              <w:t>169</w:t>
            </w:r>
          </w:p>
        </w:tc>
      </w:tr>
      <w:tr w:rsidR="00C06068" w:rsidRPr="00FC6584" w:rsidTr="007F3574">
        <w:trPr>
          <w:trHeight w:val="240"/>
        </w:trPr>
        <w:tc>
          <w:tcPr>
            <w:tcW w:w="1712"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Jeunes sensibilisés avec l</w:t>
            </w:r>
            <w:r>
              <w:rPr>
                <w:sz w:val="17"/>
                <w:lang w:val="fr-FR"/>
              </w:rPr>
              <w:t>’</w:t>
            </w:r>
            <w:r w:rsidRPr="00917E2F">
              <w:rPr>
                <w:sz w:val="17"/>
                <w:lang w:val="fr-FR"/>
              </w:rPr>
              <w:t>approche life skills</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159</w:t>
            </w:r>
            <w:r>
              <w:rPr>
                <w:sz w:val="17"/>
                <w:lang w:val="fr-FR"/>
              </w:rPr>
              <w:t> </w:t>
            </w:r>
            <w:r w:rsidRPr="00256056">
              <w:rPr>
                <w:sz w:val="17"/>
                <w:lang w:val="fr-FR"/>
              </w:rPr>
              <w:t>533</w:t>
            </w:r>
          </w:p>
        </w:tc>
        <w:tc>
          <w:tcPr>
            <w:tcW w:w="134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99</w:t>
            </w:r>
            <w:r>
              <w:rPr>
                <w:sz w:val="17"/>
                <w:lang w:val="fr-FR"/>
              </w:rPr>
              <w:t> </w:t>
            </w:r>
            <w:r w:rsidRPr="00256056">
              <w:rPr>
                <w:sz w:val="17"/>
                <w:lang w:val="fr-FR"/>
              </w:rPr>
              <w:t>844</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86</w:t>
            </w:r>
            <w:r>
              <w:rPr>
                <w:sz w:val="17"/>
                <w:lang w:val="fr-FR"/>
              </w:rPr>
              <w:t> </w:t>
            </w:r>
            <w:r w:rsidRPr="00256056">
              <w:rPr>
                <w:sz w:val="17"/>
                <w:lang w:val="fr-FR"/>
              </w:rPr>
              <w:t>057</w:t>
            </w:r>
          </w:p>
        </w:tc>
        <w:tc>
          <w:tcPr>
            <w:tcW w:w="14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133</w:t>
            </w:r>
            <w:r>
              <w:rPr>
                <w:sz w:val="17"/>
                <w:lang w:val="fr-FR"/>
              </w:rPr>
              <w:t> </w:t>
            </w:r>
            <w:r w:rsidRPr="00256056">
              <w:rPr>
                <w:sz w:val="17"/>
                <w:lang w:val="fr-FR"/>
              </w:rPr>
              <w:t>485</w:t>
            </w:r>
          </w:p>
        </w:tc>
      </w:tr>
      <w:tr w:rsidR="00C06068" w:rsidRPr="00FC6584" w:rsidTr="007F3574">
        <w:trPr>
          <w:trHeight w:val="240"/>
        </w:trPr>
        <w:tc>
          <w:tcPr>
            <w:tcW w:w="1712"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Jeunes référés vers les centres de santé</w:t>
            </w:r>
          </w:p>
        </w:tc>
        <w:tc>
          <w:tcPr>
            <w:tcW w:w="1438"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904</w:t>
            </w:r>
          </w:p>
        </w:tc>
        <w:tc>
          <w:tcPr>
            <w:tcW w:w="1344"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515</w:t>
            </w:r>
          </w:p>
        </w:tc>
        <w:tc>
          <w:tcPr>
            <w:tcW w:w="1438"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w:t>
            </w:r>
            <w:r>
              <w:rPr>
                <w:sz w:val="17"/>
                <w:lang w:val="fr-FR"/>
              </w:rPr>
              <w:t> </w:t>
            </w:r>
            <w:r w:rsidRPr="00256056">
              <w:rPr>
                <w:sz w:val="17"/>
                <w:lang w:val="fr-FR"/>
              </w:rPr>
              <w:t>083</w:t>
            </w:r>
          </w:p>
        </w:tc>
        <w:tc>
          <w:tcPr>
            <w:tcW w:w="1438"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787</w:t>
            </w:r>
          </w:p>
        </w:tc>
      </w:tr>
    </w:tbl>
    <w:p w:rsidR="00C06068" w:rsidRPr="001A41B4"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1A41B4">
        <w:rPr>
          <w:i/>
          <w:lang w:val="fr-FR"/>
        </w:rPr>
        <w:t>Source</w:t>
      </w:r>
      <w:r w:rsidRPr="00917E2F">
        <w:rPr>
          <w:lang w:val="fr-FR"/>
        </w:rPr>
        <w:t> :</w:t>
      </w:r>
      <w:r w:rsidRPr="00521891">
        <w:rPr>
          <w:lang w:val="fr-FR"/>
        </w:rPr>
        <w:t xml:space="preserve"> Ministère de la jeunesse et des loisirs</w:t>
      </w:r>
      <w:r>
        <w:rPr>
          <w:lang w:val="fr-FR"/>
        </w:rPr>
        <w:t>.</w:t>
      </w: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 xml:space="preserve">Dans la mise en œuvre des programmes jeunes, les activités de prévention de la grossesse précoce </w:t>
      </w:r>
      <w:r>
        <w:rPr>
          <w:lang w:val="fr-FR"/>
        </w:rPr>
        <w:t xml:space="preserve">sont </w:t>
      </w:r>
      <w:r w:rsidRPr="00521891">
        <w:rPr>
          <w:lang w:val="fr-FR"/>
        </w:rPr>
        <w:t>réalisé</w:t>
      </w:r>
      <w:r>
        <w:rPr>
          <w:lang w:val="fr-FR"/>
        </w:rPr>
        <w:t>es</w:t>
      </w:r>
      <w:r w:rsidRPr="00521891">
        <w:rPr>
          <w:lang w:val="fr-FR"/>
        </w:rPr>
        <w:t xml:space="preserve"> conjointement avec la prévention et des IST/VIH/sida.</w:t>
      </w:r>
    </w:p>
    <w:p w:rsidR="00C06068" w:rsidRPr="001A41B4" w:rsidRDefault="00C06068" w:rsidP="00C06068">
      <w:pPr>
        <w:pStyle w:val="SingleTxt"/>
        <w:spacing w:after="0" w:line="120" w:lineRule="exact"/>
        <w:rPr>
          <w:b/>
          <w:sz w:val="10"/>
          <w:lang w:val="fr-FR"/>
        </w:rPr>
      </w:pPr>
      <w:bookmarkStart w:id="109" w:name="_Toc377129322"/>
    </w:p>
    <w:p w:rsidR="00C06068" w:rsidRPr="001A41B4"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1A41B4">
        <w:rPr>
          <w:b w:val="0"/>
          <w:lang w:val="fr-FR"/>
        </w:rPr>
        <w:t>Tableau 36</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Évolution du nombre des jeunes sensibilisés en SRA/VIH/sida (25 sites)</w:t>
      </w:r>
      <w:bookmarkEnd w:id="109"/>
    </w:p>
    <w:p w:rsidR="00C06068" w:rsidRPr="001A41B4" w:rsidRDefault="00C06068" w:rsidP="00C06068">
      <w:pPr>
        <w:pStyle w:val="SingleTxt"/>
        <w:keepNext/>
        <w:keepLines/>
        <w:spacing w:after="0" w:line="120" w:lineRule="exact"/>
        <w:rPr>
          <w:sz w:val="10"/>
          <w:lang w:val="fr-FR"/>
        </w:rPr>
      </w:pPr>
    </w:p>
    <w:p w:rsidR="00C06068" w:rsidRPr="001A41B4" w:rsidRDefault="00C06068" w:rsidP="00C06068">
      <w:pPr>
        <w:pStyle w:val="SingleTxt"/>
        <w:keepNext/>
        <w:keepLines/>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000"/>
      </w:tblPr>
      <w:tblGrid>
        <w:gridCol w:w="1546"/>
        <w:gridCol w:w="1456"/>
        <w:gridCol w:w="1456"/>
        <w:gridCol w:w="1456"/>
        <w:gridCol w:w="1456"/>
      </w:tblGrid>
      <w:tr w:rsidR="00C06068" w:rsidRPr="00FC6584" w:rsidTr="007F3574">
        <w:trPr>
          <w:trHeight w:val="240"/>
          <w:tblHeader/>
        </w:trPr>
        <w:tc>
          <w:tcPr>
            <w:tcW w:w="1546"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1456"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1456"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1456"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1456"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rPr>
          <w:trHeight w:val="240"/>
        </w:trPr>
        <w:tc>
          <w:tcPr>
            <w:tcW w:w="1546" w:type="dxa"/>
            <w:tcBorders>
              <w:top w:val="single" w:sz="12" w:space="0" w:color="auto"/>
            </w:tcBorders>
            <w:shd w:val="clear" w:color="auto" w:fill="auto"/>
          </w:tcPr>
          <w:p w:rsidR="00C06068" w:rsidRPr="00917E2F" w:rsidRDefault="00C06068" w:rsidP="007F3574">
            <w:pPr>
              <w:keepNext/>
              <w:keepLines/>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Garçons</w:t>
            </w:r>
          </w:p>
        </w:tc>
        <w:tc>
          <w:tcPr>
            <w:tcW w:w="1456"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80" w:after="40" w:line="210" w:lineRule="exact"/>
              <w:ind w:right="43"/>
              <w:jc w:val="right"/>
              <w:rPr>
                <w:sz w:val="17"/>
                <w:lang w:val="fr-FR"/>
              </w:rPr>
            </w:pPr>
          </w:p>
        </w:tc>
        <w:tc>
          <w:tcPr>
            <w:tcW w:w="1456"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22 009</w:t>
            </w:r>
          </w:p>
        </w:tc>
        <w:tc>
          <w:tcPr>
            <w:tcW w:w="1456"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80" w:after="40" w:line="210" w:lineRule="exact"/>
              <w:ind w:right="43"/>
              <w:jc w:val="right"/>
              <w:rPr>
                <w:sz w:val="17"/>
                <w:lang w:val="fr-FR"/>
              </w:rPr>
            </w:pPr>
          </w:p>
        </w:tc>
        <w:tc>
          <w:tcPr>
            <w:tcW w:w="1456"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75 068</w:t>
            </w:r>
          </w:p>
        </w:tc>
      </w:tr>
      <w:tr w:rsidR="00C06068" w:rsidRPr="00FC6584" w:rsidTr="007F3574">
        <w:trPr>
          <w:trHeight w:val="240"/>
        </w:trPr>
        <w:tc>
          <w:tcPr>
            <w:tcW w:w="1546"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Filles</w:t>
            </w:r>
          </w:p>
        </w:tc>
        <w:tc>
          <w:tcPr>
            <w:tcW w:w="145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45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23 013</w:t>
            </w:r>
          </w:p>
        </w:tc>
        <w:tc>
          <w:tcPr>
            <w:tcW w:w="145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1456"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58 417</w:t>
            </w:r>
          </w:p>
        </w:tc>
      </w:tr>
      <w:tr w:rsidR="00C06068" w:rsidRPr="00C92DDA" w:rsidTr="007F3574">
        <w:trPr>
          <w:trHeight w:val="240"/>
        </w:trPr>
        <w:tc>
          <w:tcPr>
            <w:tcW w:w="1546" w:type="dxa"/>
            <w:tcBorders>
              <w:top w:val="single" w:sz="4" w:space="0" w:color="auto"/>
              <w:bottom w:val="single" w:sz="12" w:space="0" w:color="auto"/>
            </w:tcBorders>
            <w:shd w:val="clear" w:color="auto" w:fill="auto"/>
          </w:tcPr>
          <w:p w:rsidR="00C06068" w:rsidRPr="00C92DDA"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sidRPr="00C92DDA">
              <w:rPr>
                <w:b/>
                <w:sz w:val="17"/>
                <w:lang w:val="fr-FR"/>
              </w:rPr>
              <w:t>Total</w:t>
            </w:r>
          </w:p>
        </w:tc>
        <w:tc>
          <w:tcPr>
            <w:tcW w:w="1456"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92DDA">
              <w:rPr>
                <w:b/>
                <w:sz w:val="17"/>
                <w:lang w:val="fr-FR"/>
              </w:rPr>
              <w:t>159 533</w:t>
            </w:r>
          </w:p>
        </w:tc>
        <w:tc>
          <w:tcPr>
            <w:tcW w:w="1456"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92DDA">
              <w:rPr>
                <w:b/>
                <w:sz w:val="17"/>
                <w:lang w:val="fr-FR"/>
              </w:rPr>
              <w:t>45 022</w:t>
            </w:r>
          </w:p>
        </w:tc>
        <w:tc>
          <w:tcPr>
            <w:tcW w:w="1456"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92DDA">
              <w:rPr>
                <w:b/>
                <w:sz w:val="17"/>
                <w:lang w:val="fr-FR"/>
              </w:rPr>
              <w:t>189 422</w:t>
            </w:r>
          </w:p>
        </w:tc>
        <w:tc>
          <w:tcPr>
            <w:tcW w:w="1456"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C92DDA">
              <w:rPr>
                <w:b/>
                <w:sz w:val="17"/>
                <w:lang w:val="fr-FR"/>
              </w:rPr>
              <w:t>133 485</w:t>
            </w:r>
          </w:p>
        </w:tc>
      </w:tr>
    </w:tbl>
    <w:p w:rsidR="00C06068" w:rsidRPr="001A41B4"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1A41B4">
        <w:rPr>
          <w:i/>
          <w:lang w:val="fr-FR"/>
        </w:rPr>
        <w:t>Source</w:t>
      </w:r>
      <w:r w:rsidRPr="00917E2F">
        <w:rPr>
          <w:lang w:val="fr-FR"/>
        </w:rPr>
        <w:t> :</w:t>
      </w:r>
      <w:r w:rsidRPr="00521891">
        <w:rPr>
          <w:lang w:val="fr-FR"/>
        </w:rPr>
        <w:t xml:space="preserve"> Ministère de la jeunesse et des loisirs</w:t>
      </w:r>
      <w:r>
        <w:rPr>
          <w:lang w:val="fr-FR"/>
        </w:rPr>
        <w:t>.</w:t>
      </w: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1A41B4"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0" w:name="_Toc376709336"/>
      <w:r w:rsidRPr="00521891">
        <w:rPr>
          <w:lang w:val="fr-FR"/>
        </w:rPr>
        <w:tab/>
      </w:r>
      <w:r w:rsidRPr="00521891">
        <w:rPr>
          <w:lang w:val="fr-FR"/>
        </w:rPr>
        <w:tab/>
      </w:r>
      <w:r>
        <w:rPr>
          <w:lang w:val="fr-FR"/>
        </w:rPr>
        <w:t xml:space="preserve">Application de l’article </w:t>
      </w:r>
      <w:r w:rsidRPr="00521891">
        <w:rPr>
          <w:lang w:val="fr-FR"/>
        </w:rPr>
        <w:t xml:space="preserve">13 de la Convention : </w:t>
      </w:r>
      <w:r>
        <w:rPr>
          <w:lang w:val="fr-FR"/>
        </w:rPr>
        <w:br/>
      </w:r>
      <w:r w:rsidRPr="00521891">
        <w:rPr>
          <w:lang w:val="fr-FR"/>
        </w:rPr>
        <w:t>élimination de la discrimination à l</w:t>
      </w:r>
      <w:r>
        <w:rPr>
          <w:lang w:val="fr-FR"/>
        </w:rPr>
        <w:t>’</w:t>
      </w:r>
      <w:r w:rsidRPr="00521891">
        <w:rPr>
          <w:lang w:val="fr-FR"/>
        </w:rPr>
        <w:t xml:space="preserve">égard des femmes </w:t>
      </w:r>
      <w:r>
        <w:rPr>
          <w:lang w:val="fr-FR"/>
        </w:rPr>
        <w:br/>
      </w:r>
      <w:r w:rsidRPr="00521891">
        <w:rPr>
          <w:lang w:val="fr-FR"/>
        </w:rPr>
        <w:t>dans d</w:t>
      </w:r>
      <w:r>
        <w:rPr>
          <w:lang w:val="fr-FR"/>
        </w:rPr>
        <w:t>’</w:t>
      </w:r>
      <w:r w:rsidRPr="00521891">
        <w:rPr>
          <w:lang w:val="fr-FR"/>
        </w:rPr>
        <w:t>autres domaines de la vie économique et social</w:t>
      </w:r>
      <w:bookmarkEnd w:id="110"/>
      <w:r w:rsidRPr="00521891">
        <w:rPr>
          <w:lang w:val="fr-FR"/>
        </w:rPr>
        <w:t>e</w:t>
      </w:r>
    </w:p>
    <w:p w:rsidR="00C06068" w:rsidRPr="001A41B4" w:rsidRDefault="00C06068" w:rsidP="00C06068">
      <w:pPr>
        <w:pStyle w:val="SingleTxt"/>
        <w:spacing w:after="0" w:line="120" w:lineRule="exact"/>
        <w:rPr>
          <w:i/>
          <w:sz w:val="10"/>
          <w:lang w:val="fr-FR"/>
        </w:rPr>
      </w:pPr>
    </w:p>
    <w:p w:rsidR="00C06068" w:rsidRPr="001A41B4" w:rsidRDefault="00C06068" w:rsidP="00C06068">
      <w:pPr>
        <w:pStyle w:val="SingleTxt"/>
        <w:spacing w:after="0" w:line="120" w:lineRule="exact"/>
        <w:rPr>
          <w:i/>
          <w:sz w:val="10"/>
          <w:lang w:val="fr-FR"/>
        </w:rPr>
      </w:pPr>
    </w:p>
    <w:p w:rsidR="00C06068" w:rsidRPr="00521891" w:rsidRDefault="00C06068" w:rsidP="00C06068">
      <w:pPr>
        <w:pStyle w:val="SingleTxt"/>
        <w:rPr>
          <w:lang w:val="fr-FR"/>
        </w:rPr>
      </w:pPr>
      <w:r w:rsidRPr="00521891">
        <w:rPr>
          <w:lang w:val="fr-FR"/>
        </w:rPr>
        <w:t>(</w:t>
      </w:r>
      <w:r w:rsidRPr="00CA4846">
        <w:rPr>
          <w:i/>
          <w:lang w:val="fr-FR"/>
        </w:rPr>
        <w:t>Objet de la recommandation dans le paragraphe 33</w:t>
      </w:r>
      <w:r w:rsidRPr="00521891">
        <w:rPr>
          <w:lang w:val="fr-FR"/>
        </w:rPr>
        <w:t>)</w:t>
      </w:r>
    </w:p>
    <w:p w:rsidR="00C06068" w:rsidRPr="00CA4846" w:rsidRDefault="00C06068" w:rsidP="00C06068">
      <w:pPr>
        <w:pStyle w:val="SingleTxt"/>
        <w:rPr>
          <w:i/>
          <w:lang w:val="fr-FR"/>
        </w:rPr>
      </w:pPr>
      <w:r>
        <w:rPr>
          <w:bCs/>
          <w:lang w:val="fr-FR"/>
        </w:rPr>
        <w:tab/>
      </w:r>
      <w:r w:rsidRPr="00CA4846">
        <w:rPr>
          <w:bCs/>
          <w:i/>
          <w:lang w:val="fr-FR"/>
        </w:rPr>
        <w:t>Le Comité demande instamment à l’État partie de veiller à faire de la promotion de l’égalité des sexes une composante explicite de ses plans et programmes de développement aux niveaux national et local, notamment ceux qui visent à atténuer la pauvreté et à assurer un développement durable. Il l’engage aussi à prêter une attention particulière aux besoins des femmes rurales et des femmes chefs de famille, en veillant à ce qu’elles soient associées à la prise des décisions et aient pleinement accès au crédit. Il prie également l’État partie de prendre des mesures volontaristes pour faire en sorte que les femmes rurales aient accès à des services de santé, à l’éducation, à une eau salubre, à l’électricité, à la terre et à des projets rémunérateurs. Il lui recommande de concevoir et de mettre en œuvre des stratégies et programmes de développement rural qui tiennent compte des sexospécificités en veillant à associer pleinement les femmes des zones rurales à ces processus</w:t>
      </w:r>
      <w:r w:rsidRPr="00CA4846">
        <w:rPr>
          <w:i/>
          <w:lang w:val="fr-FR"/>
        </w:rPr>
        <w:t>.</w:t>
      </w:r>
    </w:p>
    <w:p w:rsidR="00C06068" w:rsidRPr="00CA4846" w:rsidRDefault="00C06068" w:rsidP="00C06068">
      <w:pPr>
        <w:pStyle w:val="SingleTxt"/>
        <w:spacing w:after="0" w:line="120" w:lineRule="exact"/>
        <w:rPr>
          <w:b/>
          <w:i/>
          <w:sz w:val="10"/>
          <w:lang w:val="fr-FR"/>
        </w:rPr>
      </w:pPr>
      <w:bookmarkStart w:id="111" w:name="_Toc376709337"/>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Accès des femmes aux crédits</w:t>
      </w:r>
      <w:bookmarkEnd w:id="111"/>
    </w:p>
    <w:p w:rsidR="00C06068" w:rsidRPr="001A41B4"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Pour faciliter l</w:t>
      </w:r>
      <w:r>
        <w:rPr>
          <w:lang w:val="fr-FR"/>
        </w:rPr>
        <w:t>’</w:t>
      </w:r>
      <w:r w:rsidRPr="00521891">
        <w:rPr>
          <w:lang w:val="fr-FR"/>
        </w:rPr>
        <w:t>accès des femmes aux crédits, le Ministère des finances et du budget par le biais de coordination nationale de la microfinance (CNMF), service rattaché à la Direction générale du Trésor a entrepris certaines mesures notamment la promotion du produit crédit avec éducation (CAE), en faveur des femmes très vulnérables. Le CAE dispense des formations aux associations et/ou groupements féminins dans les domaines de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La santé maternelle, infa</w:t>
      </w:r>
      <w:r>
        <w:rPr>
          <w:lang w:val="fr-FR"/>
        </w:rPr>
        <w:t>ntile, planification familiale, etc.;</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La gestion des revenus du ménage;</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L</w:t>
      </w:r>
      <w:r>
        <w:rPr>
          <w:lang w:val="fr-FR"/>
        </w:rPr>
        <w:t>’</w:t>
      </w:r>
      <w:r w:rsidRPr="00521891">
        <w:rPr>
          <w:lang w:val="fr-FR"/>
        </w:rPr>
        <w:t>éducation des enfants;</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Et la gestion des AGR.</w:t>
      </w:r>
    </w:p>
    <w:p w:rsidR="00C06068" w:rsidRPr="00521891" w:rsidRDefault="00C06068" w:rsidP="00C06068">
      <w:pPr>
        <w:pStyle w:val="SingleTxt"/>
        <w:numPr>
          <w:ilvl w:val="0"/>
          <w:numId w:val="10"/>
        </w:numPr>
        <w:rPr>
          <w:lang w:val="fr-FR"/>
        </w:rPr>
      </w:pPr>
      <w:r w:rsidRPr="00521891">
        <w:rPr>
          <w:lang w:val="fr-FR"/>
        </w:rPr>
        <w:t>Dans le tableau ci-dessous est détaillé le montant des appuis effectués par la CNMF pour vulgariser le produit microfinance ciblant exclusivement les femmes.</w:t>
      </w:r>
    </w:p>
    <w:p w:rsidR="00C06068" w:rsidRPr="00521891" w:rsidRDefault="00C06068" w:rsidP="00C06068">
      <w:pPr>
        <w:pStyle w:val="SingleTxt"/>
        <w:numPr>
          <w:ilvl w:val="0"/>
          <w:numId w:val="10"/>
        </w:numPr>
        <w:rPr>
          <w:lang w:val="fr-FR"/>
        </w:rPr>
      </w:pPr>
      <w:r>
        <w:rPr>
          <w:lang w:val="fr-FR"/>
        </w:rPr>
        <w:t>Ces appuis ont été mené</w:t>
      </w:r>
      <w:r w:rsidRPr="00521891">
        <w:rPr>
          <w:lang w:val="fr-FR"/>
        </w:rPr>
        <w:t>s de 2006 à 2007 et les conventions de partenariats y afférentes ont pris fin en 2009.</w:t>
      </w:r>
    </w:p>
    <w:p w:rsidR="00C06068" w:rsidRPr="00521891" w:rsidRDefault="00C06068" w:rsidP="00C06068">
      <w:pPr>
        <w:pStyle w:val="SingleTxt"/>
        <w:numPr>
          <w:ilvl w:val="0"/>
          <w:numId w:val="10"/>
        </w:numPr>
        <w:rPr>
          <w:lang w:val="fr-FR"/>
        </w:rPr>
      </w:pPr>
      <w:r w:rsidRPr="00521891">
        <w:rPr>
          <w:lang w:val="fr-FR"/>
        </w:rPr>
        <w:t>Après cette période, toutes les IMF concernées ont continué à offrir le crédit CAE à leur</w:t>
      </w:r>
      <w:r>
        <w:rPr>
          <w:lang w:val="fr-FR"/>
        </w:rPr>
        <w:t>s</w:t>
      </w:r>
      <w:r w:rsidRPr="00521891">
        <w:rPr>
          <w:lang w:val="fr-FR"/>
        </w:rPr>
        <w:t xml:space="preserve"> clients/membres avec leur</w:t>
      </w:r>
      <w:r>
        <w:rPr>
          <w:lang w:val="fr-FR"/>
        </w:rPr>
        <w:t>s</w:t>
      </w:r>
      <w:r w:rsidRPr="00521891">
        <w:rPr>
          <w:lang w:val="fr-FR"/>
        </w:rPr>
        <w:t xml:space="preserve"> propres fonds, du moins cel</w:t>
      </w:r>
      <w:r>
        <w:rPr>
          <w:lang w:val="fr-FR"/>
        </w:rPr>
        <w:t>les qui sont encore en activité</w:t>
      </w:r>
      <w:r w:rsidRPr="00521891">
        <w:rPr>
          <w:lang w:val="fr-FR"/>
        </w:rPr>
        <w:t>. Il est également à noter que les institutions de microfinance OTIV, ZL et TIAVO offrent le crédit CAE à leur</w:t>
      </w:r>
      <w:r>
        <w:rPr>
          <w:lang w:val="fr-FR"/>
        </w:rPr>
        <w:t>s</w:t>
      </w:r>
      <w:r w:rsidRPr="00521891">
        <w:rPr>
          <w:lang w:val="fr-FR"/>
        </w:rPr>
        <w:t xml:space="preserve"> membres.</w:t>
      </w:r>
    </w:p>
    <w:p w:rsidR="00C06068" w:rsidRPr="00521891" w:rsidRDefault="00C06068" w:rsidP="00C06068">
      <w:pPr>
        <w:pStyle w:val="SingleTxt"/>
        <w:numPr>
          <w:ilvl w:val="0"/>
          <w:numId w:val="10"/>
        </w:numPr>
        <w:rPr>
          <w:lang w:val="fr-FR"/>
        </w:rPr>
      </w:pPr>
      <w:r w:rsidRPr="00521891">
        <w:rPr>
          <w:lang w:val="fr-FR"/>
        </w:rPr>
        <w:t>Enfin, pour le cas de Volamahasoa, le produit CAE est un de leur</w:t>
      </w:r>
      <w:r>
        <w:rPr>
          <w:lang w:val="fr-FR"/>
        </w:rPr>
        <w:t>s</w:t>
      </w:r>
      <w:r w:rsidRPr="00521891">
        <w:rPr>
          <w:lang w:val="fr-FR"/>
        </w:rPr>
        <w:t xml:space="preserve"> produit</w:t>
      </w:r>
      <w:r>
        <w:rPr>
          <w:lang w:val="fr-FR"/>
        </w:rPr>
        <w:t>s</w:t>
      </w:r>
      <w:r w:rsidRPr="00521891">
        <w:rPr>
          <w:lang w:val="fr-FR"/>
        </w:rPr>
        <w:t xml:space="preserve"> phare</w:t>
      </w:r>
      <w:r>
        <w:rPr>
          <w:lang w:val="fr-FR"/>
        </w:rPr>
        <w:t>s</w:t>
      </w:r>
      <w:r w:rsidRPr="00521891">
        <w:rPr>
          <w:lang w:val="fr-FR"/>
        </w:rPr>
        <w:t xml:space="preserve"> mais il n</w:t>
      </w:r>
      <w:r>
        <w:rPr>
          <w:lang w:val="fr-FR"/>
        </w:rPr>
        <w:t>’</w:t>
      </w:r>
      <w:r w:rsidRPr="00521891">
        <w:rPr>
          <w:lang w:val="fr-FR"/>
        </w:rPr>
        <w:t>est pas exclusivement réservé aux femmes.</w:t>
      </w:r>
    </w:p>
    <w:p w:rsidR="00C06068" w:rsidRPr="00D07AB6" w:rsidRDefault="00C06068" w:rsidP="00C06068">
      <w:pPr>
        <w:pStyle w:val="SingleTxt"/>
        <w:spacing w:after="0" w:line="120" w:lineRule="exact"/>
        <w:rPr>
          <w:b/>
          <w:sz w:val="10"/>
          <w:lang w:val="fr-FR"/>
        </w:rPr>
      </w:pPr>
      <w:bookmarkStart w:id="112" w:name="_Toc377129323"/>
    </w:p>
    <w:p w:rsidR="00C06068" w:rsidRPr="00D07AB6"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D07AB6">
        <w:rPr>
          <w:b w:val="0"/>
          <w:lang w:val="fr-FR"/>
        </w:rPr>
        <w:t>Tableau 37</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Appuis financiers de la CNMF pour la vulgarisation du produit CAE (financement PNUD)</w:t>
      </w:r>
      <w:bookmarkEnd w:id="112"/>
    </w:p>
    <w:p w:rsidR="00C06068" w:rsidRPr="00D07AB6" w:rsidRDefault="00C06068" w:rsidP="00C06068">
      <w:pPr>
        <w:pStyle w:val="SingleTxt"/>
        <w:spacing w:after="0" w:line="120" w:lineRule="exact"/>
        <w:rPr>
          <w:sz w:val="10"/>
          <w:lang w:val="fr-FR"/>
        </w:rPr>
      </w:pPr>
    </w:p>
    <w:p w:rsidR="00C06068" w:rsidRPr="00D07AB6"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1739"/>
        <w:gridCol w:w="1662"/>
        <w:gridCol w:w="1465"/>
        <w:gridCol w:w="1467"/>
        <w:gridCol w:w="1037"/>
      </w:tblGrid>
      <w:tr w:rsidR="00C06068" w:rsidRPr="00FC6584" w:rsidTr="007F3574">
        <w:trPr>
          <w:trHeight w:val="240"/>
          <w:tblHeader/>
        </w:trPr>
        <w:tc>
          <w:tcPr>
            <w:tcW w:w="1739" w:type="dxa"/>
            <w:vMerge w:val="restart"/>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Institutions</w:t>
            </w:r>
          </w:p>
        </w:tc>
        <w:tc>
          <w:tcPr>
            <w:tcW w:w="1662" w:type="dxa"/>
            <w:vMerge w:val="restart"/>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Régions</w:t>
            </w:r>
          </w:p>
        </w:tc>
        <w:tc>
          <w:tcPr>
            <w:tcW w:w="1465" w:type="dxa"/>
            <w:vMerge w:val="restart"/>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Date</w:t>
            </w:r>
          </w:p>
        </w:tc>
        <w:tc>
          <w:tcPr>
            <w:tcW w:w="2504" w:type="dxa"/>
            <w:gridSpan w:val="2"/>
            <w:tcBorders>
              <w:top w:val="single" w:sz="4" w:space="0" w:color="auto"/>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Montant</w:t>
            </w:r>
          </w:p>
        </w:tc>
      </w:tr>
      <w:tr w:rsidR="00C06068" w:rsidRPr="00FC6584" w:rsidTr="007F3574">
        <w:trPr>
          <w:trHeight w:val="240"/>
          <w:tblHeader/>
        </w:trPr>
        <w:tc>
          <w:tcPr>
            <w:tcW w:w="1739" w:type="dxa"/>
            <w:vMerge/>
            <w:tcBorders>
              <w:top w:val="single" w:sz="12"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662" w:type="dxa"/>
            <w:vMerge/>
            <w:tcBorders>
              <w:top w:val="single" w:sz="12"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465" w:type="dxa"/>
            <w:vMerge/>
            <w:tcBorders>
              <w:top w:val="single" w:sz="12"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46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MGA</w:t>
            </w:r>
          </w:p>
        </w:tc>
        <w:tc>
          <w:tcPr>
            <w:tcW w:w="103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USD</w:t>
            </w:r>
          </w:p>
        </w:tc>
      </w:tr>
      <w:tr w:rsidR="00C06068" w:rsidRPr="00FC6584" w:rsidTr="007F3574">
        <w:trPr>
          <w:trHeight w:val="240"/>
        </w:trPr>
        <w:tc>
          <w:tcPr>
            <w:tcW w:w="1739" w:type="dxa"/>
            <w:vMerge w:val="restart"/>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OTIV Alaotra</w:t>
            </w:r>
          </w:p>
        </w:tc>
        <w:tc>
          <w:tcPr>
            <w:tcW w:w="1662" w:type="dxa"/>
            <w:vMerge w:val="restart"/>
            <w:tcBorders>
              <w:top w:val="single" w:sz="12"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Alaotra</w:t>
            </w:r>
          </w:p>
        </w:tc>
        <w:tc>
          <w:tcPr>
            <w:tcW w:w="1465"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juin 2006</w:t>
            </w:r>
          </w:p>
        </w:tc>
        <w:tc>
          <w:tcPr>
            <w:tcW w:w="146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140 000 000</w:t>
            </w:r>
          </w:p>
        </w:tc>
        <w:tc>
          <w:tcPr>
            <w:tcW w:w="1037" w:type="dxa"/>
            <w:tcBorders>
              <w:top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64 113</w:t>
            </w:r>
          </w:p>
        </w:tc>
      </w:tr>
      <w:tr w:rsidR="00C06068" w:rsidRPr="00FC6584" w:rsidTr="007F3574">
        <w:trPr>
          <w:trHeight w:val="240"/>
        </w:trPr>
        <w:tc>
          <w:tcPr>
            <w:tcW w:w="1739" w:type="dxa"/>
            <w:vMerge/>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662" w:type="dxa"/>
            <w:vMerge/>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novembre 2007</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24 000 000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13 615</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OTIV Antananarivo</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Analamanga</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juin 2006</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304 000 000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139 216</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OTIV Diana</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Diana</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juin 2006</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98 557 000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45 143</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Haingonala</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Amoron</w:t>
            </w:r>
            <w:r>
              <w:rPr>
                <w:sz w:val="17"/>
                <w:lang w:val="fr-FR"/>
              </w:rPr>
              <w:t>’</w:t>
            </w:r>
            <w:r w:rsidRPr="00256056">
              <w:rPr>
                <w:sz w:val="17"/>
                <w:lang w:val="fr-FR"/>
              </w:rPr>
              <w:t>i Mania</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juin 2006</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202 200 000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92 597</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ODDER</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Anosy</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octobre 2006</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208 420 000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97 885</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AECA</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Boeny</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novembre 2007</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70 000 000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39 712</w:t>
            </w:r>
          </w:p>
        </w:tc>
      </w:tr>
      <w:tr w:rsidR="00C06068" w:rsidRPr="00FC6584" w:rsidTr="007F3574">
        <w:trPr>
          <w:trHeight w:val="240"/>
        </w:trPr>
        <w:tc>
          <w:tcPr>
            <w:tcW w:w="173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OTIV SAVA</w:t>
            </w:r>
          </w:p>
        </w:tc>
        <w:tc>
          <w:tcPr>
            <w:tcW w:w="1662"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SAVA</w:t>
            </w:r>
          </w:p>
        </w:tc>
        <w:tc>
          <w:tcPr>
            <w:tcW w:w="146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256056">
              <w:rPr>
                <w:sz w:val="17"/>
                <w:lang w:val="fr-FR"/>
              </w:rPr>
              <w:t>novembre 2007</w:t>
            </w:r>
          </w:p>
        </w:tc>
        <w:tc>
          <w:tcPr>
            <w:tcW w:w="146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40 000 000</w:t>
            </w:r>
          </w:p>
        </w:tc>
        <w:tc>
          <w:tcPr>
            <w:tcW w:w="103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22 692</w:t>
            </w:r>
          </w:p>
        </w:tc>
      </w:tr>
      <w:tr w:rsidR="00C06068" w:rsidRPr="00FC6584" w:rsidTr="007F3574">
        <w:trPr>
          <w:trHeight w:val="240"/>
        </w:trPr>
        <w:tc>
          <w:tcPr>
            <w:tcW w:w="1739"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CECAM</w:t>
            </w:r>
          </w:p>
        </w:tc>
        <w:tc>
          <w:tcPr>
            <w:tcW w:w="1662"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256056">
              <w:rPr>
                <w:sz w:val="17"/>
                <w:lang w:val="fr-FR"/>
              </w:rPr>
              <w:t>Bongolava</w:t>
            </w:r>
          </w:p>
        </w:tc>
        <w:tc>
          <w:tcPr>
            <w:tcW w:w="1465"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256056">
              <w:rPr>
                <w:sz w:val="17"/>
                <w:lang w:val="fr-FR"/>
              </w:rPr>
              <w:t>novembre 2007</w:t>
            </w:r>
          </w:p>
        </w:tc>
        <w:tc>
          <w:tcPr>
            <w:tcW w:w="146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66 000 000</w:t>
            </w:r>
          </w:p>
        </w:tc>
        <w:tc>
          <w:tcPr>
            <w:tcW w:w="1037"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37 443</w:t>
            </w:r>
          </w:p>
        </w:tc>
      </w:tr>
      <w:tr w:rsidR="00C06068" w:rsidRPr="00D07AB6" w:rsidTr="007F3574">
        <w:trPr>
          <w:trHeight w:val="240"/>
        </w:trPr>
        <w:tc>
          <w:tcPr>
            <w:tcW w:w="4866" w:type="dxa"/>
            <w:gridSpan w:val="3"/>
            <w:tcBorders>
              <w:top w:val="single" w:sz="4" w:space="0" w:color="auto"/>
              <w:bottom w:val="single" w:sz="12" w:space="0" w:color="auto"/>
            </w:tcBorders>
            <w:shd w:val="clear" w:color="auto" w:fill="auto"/>
          </w:tcPr>
          <w:p w:rsidR="00C06068" w:rsidRPr="00D07AB6" w:rsidRDefault="00C06068" w:rsidP="007F3574">
            <w:pPr>
              <w:tabs>
                <w:tab w:val="left" w:pos="288"/>
                <w:tab w:val="left" w:pos="576"/>
                <w:tab w:val="left" w:pos="864"/>
                <w:tab w:val="left" w:pos="1152"/>
              </w:tabs>
              <w:suppressAutoHyphens/>
              <w:spacing w:before="81" w:after="81" w:line="210" w:lineRule="exact"/>
              <w:ind w:right="43"/>
              <w:rPr>
                <w:b/>
                <w:sz w:val="17"/>
                <w:szCs w:val="17"/>
                <w:lang w:val="fr-FR"/>
              </w:rPr>
            </w:pPr>
            <w:r>
              <w:rPr>
                <w:b/>
                <w:sz w:val="17"/>
                <w:szCs w:val="17"/>
                <w:lang w:val="fr-FR"/>
              </w:rPr>
              <w:tab/>
            </w:r>
            <w:r w:rsidRPr="00D07AB6">
              <w:rPr>
                <w:b/>
                <w:sz w:val="17"/>
                <w:szCs w:val="17"/>
                <w:lang w:val="fr-FR"/>
              </w:rPr>
              <w:t>Total</w:t>
            </w:r>
          </w:p>
        </w:tc>
        <w:tc>
          <w:tcPr>
            <w:tcW w:w="1467" w:type="dxa"/>
            <w:tcBorders>
              <w:top w:val="single" w:sz="4" w:space="0" w:color="auto"/>
              <w:bottom w:val="single" w:sz="12" w:space="0" w:color="auto"/>
            </w:tcBorders>
            <w:shd w:val="clear" w:color="auto" w:fill="auto"/>
            <w:vAlign w:val="bottom"/>
          </w:tcPr>
          <w:p w:rsidR="00C06068" w:rsidRPr="00D07AB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D07AB6">
              <w:rPr>
                <w:b/>
                <w:sz w:val="17"/>
                <w:lang w:val="fr-FR"/>
              </w:rPr>
              <w:t>1 153 197 000</w:t>
            </w:r>
          </w:p>
        </w:tc>
        <w:tc>
          <w:tcPr>
            <w:tcW w:w="1037" w:type="dxa"/>
            <w:tcBorders>
              <w:top w:val="single" w:sz="4" w:space="0" w:color="auto"/>
              <w:bottom w:val="single" w:sz="12" w:space="0" w:color="auto"/>
            </w:tcBorders>
            <w:shd w:val="clear" w:color="auto" w:fill="auto"/>
            <w:vAlign w:val="bottom"/>
          </w:tcPr>
          <w:p w:rsidR="00C06068" w:rsidRPr="00D07AB6"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D07AB6">
              <w:rPr>
                <w:b/>
                <w:sz w:val="17"/>
                <w:lang w:val="fr-FR"/>
              </w:rPr>
              <w:t>552 415</w:t>
            </w:r>
          </w:p>
        </w:tc>
      </w:tr>
    </w:tbl>
    <w:p w:rsidR="00C06068" w:rsidRPr="007470B9" w:rsidRDefault="00C06068" w:rsidP="00C06068">
      <w:pPr>
        <w:pStyle w:val="SingleTxt"/>
        <w:spacing w:after="0" w:line="120" w:lineRule="exact"/>
        <w:rPr>
          <w:sz w:val="10"/>
          <w:lang w:val="fr-FR"/>
        </w:rPr>
      </w:pPr>
    </w:p>
    <w:p w:rsidR="00C06068" w:rsidRPr="00C92DDA" w:rsidRDefault="00C06068" w:rsidP="00C06068">
      <w:pPr>
        <w:pStyle w:val="SingleTxt"/>
        <w:spacing w:after="0" w:line="120" w:lineRule="exact"/>
        <w:rPr>
          <w:sz w:val="10"/>
          <w:lang w:val="fr-FR"/>
        </w:rPr>
      </w:pPr>
    </w:p>
    <w:p w:rsidR="00C06068" w:rsidRPr="00D07AB6"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4203"/>
        <w:gridCol w:w="3167"/>
      </w:tblGrid>
      <w:tr w:rsidR="00C06068" w:rsidRPr="00FC6584" w:rsidTr="007F3574">
        <w:trPr>
          <w:trHeight w:val="240"/>
          <w:tblHeader/>
        </w:trPr>
        <w:tc>
          <w:tcPr>
            <w:tcW w:w="7370" w:type="dxa"/>
            <w:gridSpan w:val="2"/>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Portée</w:t>
            </w:r>
          </w:p>
        </w:tc>
      </w:tr>
      <w:tr w:rsidR="00C06068" w:rsidRPr="00FC6584" w:rsidTr="007F3574">
        <w:trPr>
          <w:trHeight w:val="240"/>
        </w:trPr>
        <w:tc>
          <w:tcPr>
            <w:tcW w:w="4203"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femmes bénéficiaires de crédits</w:t>
            </w:r>
          </w:p>
        </w:tc>
        <w:tc>
          <w:tcPr>
            <w:tcW w:w="3167" w:type="dxa"/>
            <w:tcBorders>
              <w:top w:val="single" w:sz="12"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25 000</w:t>
            </w:r>
          </w:p>
        </w:tc>
      </w:tr>
      <w:tr w:rsidR="00C06068" w:rsidRPr="00FC6584" w:rsidTr="007F3574">
        <w:trPr>
          <w:trHeight w:val="240"/>
        </w:trPr>
        <w:tc>
          <w:tcPr>
            <w:tcW w:w="4203"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Montant moyen de crédit octroyé</w:t>
            </w:r>
          </w:p>
        </w:tc>
        <w:tc>
          <w:tcPr>
            <w:tcW w:w="3167" w:type="dxa"/>
            <w:tcBorders>
              <w:bottom w:val="single" w:sz="12" w:space="0" w:color="auto"/>
            </w:tcBorders>
            <w:shd w:val="clear" w:color="auto" w:fill="auto"/>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163 100 ariary</w:t>
            </w:r>
          </w:p>
        </w:tc>
      </w:tr>
    </w:tbl>
    <w:p w:rsidR="00C06068" w:rsidRPr="00D07AB6"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D07AB6">
        <w:rPr>
          <w:i/>
          <w:lang w:val="fr-FR"/>
        </w:rPr>
        <w:t>Source</w:t>
      </w:r>
      <w:r w:rsidRPr="00917E2F">
        <w:rPr>
          <w:lang w:val="fr-FR"/>
        </w:rPr>
        <w:t> :</w:t>
      </w:r>
      <w:r w:rsidRPr="00521891">
        <w:rPr>
          <w:lang w:val="fr-FR"/>
        </w:rPr>
        <w:t xml:space="preserve"> Ministère des finances et du budget</w:t>
      </w:r>
      <w:r>
        <w:rPr>
          <w:lang w:val="fr-FR"/>
        </w:rPr>
        <w:t>.</w:t>
      </w:r>
    </w:p>
    <w:p w:rsidR="00C06068" w:rsidRPr="00D07AB6"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D07AB6"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spacing w:after="160"/>
        <w:rPr>
          <w:lang w:val="fr-FR"/>
        </w:rPr>
      </w:pPr>
      <w:r w:rsidRPr="00521891">
        <w:rPr>
          <w:lang w:val="fr-FR"/>
        </w:rPr>
        <w:t>Pour l</w:t>
      </w:r>
      <w:r>
        <w:rPr>
          <w:lang w:val="fr-FR"/>
        </w:rPr>
        <w:t>’</w:t>
      </w:r>
      <w:r w:rsidRPr="00521891">
        <w:rPr>
          <w:lang w:val="fr-FR"/>
        </w:rPr>
        <w:t>ensemble du secteur, ci-après l</w:t>
      </w:r>
      <w:r>
        <w:rPr>
          <w:lang w:val="fr-FR"/>
        </w:rPr>
        <w:t>’</w:t>
      </w:r>
      <w:r w:rsidRPr="00521891">
        <w:rPr>
          <w:lang w:val="fr-FR"/>
        </w:rPr>
        <w:t>évolution du pourcentage des femmes membres et/ou clients des institutions de microfinance (IMF) et autres catégories d</w:t>
      </w:r>
      <w:r>
        <w:rPr>
          <w:lang w:val="fr-FR"/>
        </w:rPr>
        <w:t>’</w:t>
      </w:r>
      <w:r w:rsidRPr="00521891">
        <w:rPr>
          <w:lang w:val="fr-FR"/>
        </w:rPr>
        <w:t>établissement de crédit exerçant des activités de microfinance.</w:t>
      </w:r>
    </w:p>
    <w:p w:rsidR="00C06068" w:rsidRPr="00D07AB6"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113" w:name="_Toc377129324"/>
      <w:r w:rsidRPr="00D07AB6">
        <w:rPr>
          <w:b w:val="0"/>
          <w:lang w:val="fr-FR"/>
        </w:rPr>
        <w:t>Tableau 38</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Pourcentage des femmes membres et/ou clients des IMF et des établissements de crédit</w:t>
      </w:r>
      <w:bookmarkEnd w:id="113"/>
    </w:p>
    <w:p w:rsidR="00C06068" w:rsidRPr="00D07AB6" w:rsidRDefault="00C06068" w:rsidP="00C06068">
      <w:pPr>
        <w:pStyle w:val="SingleTxt"/>
        <w:spacing w:after="0" w:line="120" w:lineRule="exact"/>
        <w:rPr>
          <w:sz w:val="10"/>
          <w:lang w:val="fr-FR"/>
        </w:rPr>
      </w:pPr>
    </w:p>
    <w:p w:rsidR="00C06068" w:rsidRPr="00D07AB6" w:rsidRDefault="00C06068" w:rsidP="00C06068">
      <w:pPr>
        <w:pStyle w:val="SingleTxt"/>
        <w:spacing w:after="0" w:line="120" w:lineRule="exact"/>
        <w:rPr>
          <w:sz w:val="10"/>
          <w:lang w:val="fr-FR"/>
        </w:rPr>
      </w:pPr>
    </w:p>
    <w:tbl>
      <w:tblPr>
        <w:tblW w:w="9864" w:type="dxa"/>
        <w:tblCellMar>
          <w:left w:w="0" w:type="dxa"/>
          <w:right w:w="0" w:type="dxa"/>
        </w:tblCellMar>
        <w:tblLook w:val="04A0"/>
      </w:tblPr>
      <w:tblGrid>
        <w:gridCol w:w="3591"/>
        <w:gridCol w:w="896"/>
        <w:gridCol w:w="896"/>
        <w:gridCol w:w="896"/>
        <w:gridCol w:w="896"/>
        <w:gridCol w:w="896"/>
        <w:gridCol w:w="896"/>
        <w:gridCol w:w="897"/>
      </w:tblGrid>
      <w:tr w:rsidR="00C06068" w:rsidRPr="00FC6584" w:rsidTr="007F3574">
        <w:tc>
          <w:tcPr>
            <w:tcW w:w="3591"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Déc. 2008</w:t>
            </w: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Déc. 2009</w:t>
            </w: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Déc.</w:t>
            </w:r>
            <w:r>
              <w:rPr>
                <w:i/>
                <w:sz w:val="14"/>
                <w:lang w:val="fr-FR"/>
              </w:rPr>
              <w:t xml:space="preserve"> </w:t>
            </w:r>
            <w:r w:rsidRPr="00FC6584">
              <w:rPr>
                <w:i/>
                <w:sz w:val="14"/>
                <w:lang w:val="fr-FR"/>
              </w:rPr>
              <w:t>2010</w:t>
            </w: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Déc. 2011</w:t>
            </w: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Déc. 2012</w:t>
            </w:r>
          </w:p>
        </w:tc>
        <w:tc>
          <w:tcPr>
            <w:tcW w:w="896"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Mars 2013</w:t>
            </w:r>
          </w:p>
        </w:tc>
        <w:tc>
          <w:tcPr>
            <w:tcW w:w="897"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Juin 2013</w:t>
            </w:r>
          </w:p>
        </w:tc>
      </w:tr>
      <w:tr w:rsidR="00C06068" w:rsidRPr="00FC6584" w:rsidTr="007F3574">
        <w:tc>
          <w:tcPr>
            <w:tcW w:w="3591"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points de service</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638</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652</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700</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739</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784</w:t>
            </w:r>
          </w:p>
        </w:tc>
        <w:tc>
          <w:tcPr>
            <w:tcW w:w="896"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789</w:t>
            </w:r>
          </w:p>
        </w:tc>
        <w:tc>
          <w:tcPr>
            <w:tcW w:w="897"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803</w:t>
            </w:r>
          </w:p>
        </w:tc>
      </w:tr>
      <w:tr w:rsidR="00C06068" w:rsidRPr="00FC6584" w:rsidTr="007F3574">
        <w:tc>
          <w:tcPr>
            <w:tcW w:w="3591"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Taux de pénétration des ménages</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13,9</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16,1</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17,5</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19,5</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22,69</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23,13</w:t>
            </w:r>
          </w:p>
        </w:tc>
        <w:tc>
          <w:tcPr>
            <w:tcW w:w="89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23,69</w:t>
            </w:r>
          </w:p>
        </w:tc>
      </w:tr>
      <w:tr w:rsidR="00C06068" w:rsidRPr="00FC6584" w:rsidTr="007F3574">
        <w:tc>
          <w:tcPr>
            <w:tcW w:w="3591"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membres et/ou clients</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529 774</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629 302</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733 864</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844 340</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984 683</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1 010 537</w:t>
            </w:r>
          </w:p>
        </w:tc>
        <w:tc>
          <w:tcPr>
            <w:tcW w:w="89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1 042 421</w:t>
            </w:r>
          </w:p>
        </w:tc>
      </w:tr>
      <w:tr w:rsidR="00C06068" w:rsidRPr="00FC6584" w:rsidTr="007F3574">
        <w:tc>
          <w:tcPr>
            <w:tcW w:w="3591"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Nombre de femmes membres et/ou clients</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228 120</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285 388</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340 586</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387 636</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452 166</w:t>
            </w:r>
          </w:p>
        </w:tc>
        <w:tc>
          <w:tcPr>
            <w:tcW w:w="89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465 554</w:t>
            </w:r>
          </w:p>
        </w:tc>
        <w:tc>
          <w:tcPr>
            <w:tcW w:w="89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483 579</w:t>
            </w:r>
          </w:p>
        </w:tc>
      </w:tr>
      <w:tr w:rsidR="00C06068" w:rsidRPr="00FC6584" w:rsidTr="007F3574">
        <w:tc>
          <w:tcPr>
            <w:tcW w:w="3591"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Pourcentage</w:t>
            </w:r>
            <w:r w:rsidRPr="00917E2F">
              <w:rPr>
                <w:sz w:val="17"/>
                <w:lang w:val="fr-FR"/>
              </w:rPr>
              <w:t xml:space="preserve"> de femmes membres et/ou clients</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43,06</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45,35</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46,41</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45,91</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45,92</w:t>
            </w:r>
          </w:p>
        </w:tc>
        <w:tc>
          <w:tcPr>
            <w:tcW w:w="89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46,07</w:t>
            </w:r>
          </w:p>
        </w:tc>
        <w:tc>
          <w:tcPr>
            <w:tcW w:w="897"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46,39</w:t>
            </w:r>
          </w:p>
        </w:tc>
      </w:tr>
    </w:tbl>
    <w:p w:rsidR="00C06068" w:rsidRPr="00D07AB6" w:rsidRDefault="00C06068" w:rsidP="00C06068">
      <w:pPr>
        <w:pStyle w:val="SingleTxt"/>
        <w:spacing w:after="0" w:line="120" w:lineRule="exact"/>
        <w:rPr>
          <w:i/>
          <w:sz w:val="10"/>
          <w:lang w:val="fr-FR"/>
        </w:rPr>
      </w:pPr>
    </w:p>
    <w:p w:rsidR="00C06068" w:rsidRDefault="00C06068" w:rsidP="00C06068">
      <w:pPr>
        <w:pStyle w:val="FootnoteText"/>
        <w:tabs>
          <w:tab w:val="right" w:pos="216"/>
          <w:tab w:val="left" w:pos="288"/>
          <w:tab w:val="right" w:pos="576"/>
          <w:tab w:val="left" w:pos="648"/>
        </w:tabs>
        <w:ind w:left="288" w:hanging="288"/>
        <w:rPr>
          <w:lang w:val="fr-FR"/>
        </w:rPr>
      </w:pPr>
      <w:r w:rsidRPr="00345AC1">
        <w:rPr>
          <w:i/>
          <w:lang w:val="fr-FR"/>
        </w:rPr>
        <w:t>Source</w:t>
      </w:r>
      <w:r w:rsidRPr="00917E2F">
        <w:rPr>
          <w:lang w:val="fr-FR"/>
        </w:rPr>
        <w:t> :</w:t>
      </w:r>
      <w:r w:rsidRPr="00521891">
        <w:rPr>
          <w:lang w:val="fr-FR"/>
        </w:rPr>
        <w:t xml:space="preserve"> </w:t>
      </w:r>
      <w:hyperlink r:id="rId21" w:history="1">
        <w:r w:rsidRPr="007470B9">
          <w:rPr>
            <w:rStyle w:val="Hyperlink"/>
            <w:lang w:val="fr-FR"/>
          </w:rPr>
          <w:t>www.madamicrofinance.mg</w:t>
        </w:r>
      </w:hyperlink>
      <w:r w:rsidRPr="00521891">
        <w:rPr>
          <w:lang w:val="fr-FR"/>
        </w:rPr>
        <w:t xml:space="preserve"> (fiches de suivi des IMF parvenues au niveau de la CNMF)</w:t>
      </w:r>
      <w:r>
        <w:rPr>
          <w:lang w:val="fr-FR"/>
        </w:rPr>
        <w:t>.</w:t>
      </w:r>
    </w:p>
    <w:p w:rsidR="00C06068" w:rsidRPr="00521891" w:rsidRDefault="00C06068" w:rsidP="00C06068">
      <w:pPr>
        <w:pStyle w:val="SingleTxt"/>
        <w:numPr>
          <w:ilvl w:val="0"/>
          <w:numId w:val="10"/>
        </w:numPr>
        <w:rPr>
          <w:lang w:val="fr-FR"/>
        </w:rPr>
      </w:pPr>
      <w:r w:rsidRPr="00521891">
        <w:rPr>
          <w:lang w:val="fr-FR"/>
        </w:rPr>
        <w:t>Il es</w:t>
      </w:r>
      <w:r>
        <w:rPr>
          <w:lang w:val="fr-FR"/>
        </w:rPr>
        <w:t>t ressorti du tableau ci-dessus</w:t>
      </w:r>
      <w:r w:rsidRPr="00521891">
        <w:rPr>
          <w:lang w:val="fr-FR"/>
        </w:rPr>
        <w:t xml:space="preserve"> qu</w:t>
      </w:r>
      <w:r>
        <w:rPr>
          <w:lang w:val="fr-FR"/>
        </w:rPr>
        <w:t>’</w:t>
      </w:r>
      <w:r w:rsidRPr="00521891">
        <w:rPr>
          <w:lang w:val="fr-FR"/>
        </w:rPr>
        <w:t>on a enregistré une augmentation du pourcentage de femmes touchées par les services de microfinance allant de 43,06 % en 2008 à 46,39 % en juin 2013.</w:t>
      </w:r>
    </w:p>
    <w:p w:rsidR="00C06068" w:rsidRPr="00521891" w:rsidRDefault="00C06068" w:rsidP="00C06068">
      <w:pPr>
        <w:pStyle w:val="SingleTxt"/>
        <w:numPr>
          <w:ilvl w:val="0"/>
          <w:numId w:val="10"/>
        </w:numPr>
        <w:rPr>
          <w:lang w:val="fr-FR"/>
        </w:rPr>
      </w:pPr>
      <w:r w:rsidRPr="00521891">
        <w:rPr>
          <w:lang w:val="fr-FR"/>
        </w:rPr>
        <w:t>En outre, l</w:t>
      </w:r>
      <w:r>
        <w:rPr>
          <w:lang w:val="fr-FR"/>
        </w:rPr>
        <w:t>’</w:t>
      </w:r>
      <w:r w:rsidRPr="00521891">
        <w:rPr>
          <w:lang w:val="fr-FR"/>
        </w:rPr>
        <w:t>actuelle stratégie nationale de la finance inclusive (SNFI) 2013-2017 validée en décembre 2012 par les acteurs du secteur de la microfinance incluant le Ministère des finances et du budget, le Ministère de l</w:t>
      </w:r>
      <w:r>
        <w:rPr>
          <w:lang w:val="fr-FR"/>
        </w:rPr>
        <w:t>’</w:t>
      </w:r>
      <w:r w:rsidRPr="00521891">
        <w:rPr>
          <w:lang w:val="fr-FR"/>
        </w:rPr>
        <w:t xml:space="preserve">agriculture, les partenaires techniques et financiers </w:t>
      </w:r>
      <w:r>
        <w:rPr>
          <w:lang w:val="fr-FR"/>
        </w:rPr>
        <w:t>(Banque m</w:t>
      </w:r>
      <w:r w:rsidRPr="00521891">
        <w:rPr>
          <w:lang w:val="fr-FR"/>
        </w:rPr>
        <w:t>ondiale, FIDA, AFD, UNCDF/</w:t>
      </w:r>
      <w:r>
        <w:rPr>
          <w:lang w:val="fr-FR"/>
        </w:rPr>
        <w:br/>
      </w:r>
      <w:r w:rsidRPr="00521891">
        <w:rPr>
          <w:lang w:val="fr-FR"/>
        </w:rPr>
        <w:t>PNUD, UE</w:t>
      </w:r>
      <w:r>
        <w:rPr>
          <w:lang w:val="fr-FR"/>
        </w:rPr>
        <w:t>, etc.</w:t>
      </w:r>
      <w:r w:rsidRPr="00521891">
        <w:rPr>
          <w:lang w:val="fr-FR"/>
        </w:rPr>
        <w:t>) l</w:t>
      </w:r>
      <w:r>
        <w:rPr>
          <w:lang w:val="fr-FR"/>
        </w:rPr>
        <w:t>’</w:t>
      </w:r>
      <w:r w:rsidRPr="00521891">
        <w:rPr>
          <w:lang w:val="fr-FR"/>
        </w:rPr>
        <w:t>Association professionnelle des institutions de microfinance, l</w:t>
      </w:r>
      <w:r>
        <w:rPr>
          <w:lang w:val="fr-FR"/>
        </w:rPr>
        <w:t>’</w:t>
      </w:r>
      <w:r w:rsidRPr="00521891">
        <w:rPr>
          <w:lang w:val="fr-FR"/>
        </w:rPr>
        <w:t xml:space="preserve">Association professionnelle des banques, le Comité des assurances de Madagascar, les institutions de </w:t>
      </w:r>
      <w:r>
        <w:rPr>
          <w:lang w:val="fr-FR"/>
        </w:rPr>
        <w:t>microfinance</w:t>
      </w:r>
      <w:r w:rsidRPr="00521891">
        <w:rPr>
          <w:lang w:val="fr-FR"/>
        </w:rPr>
        <w:t>, les institutions bancaires de microfinance, réitère l</w:t>
      </w:r>
      <w:r>
        <w:rPr>
          <w:lang w:val="fr-FR"/>
        </w:rPr>
        <w:t>’</w:t>
      </w:r>
      <w:r w:rsidRPr="00521891">
        <w:rPr>
          <w:lang w:val="fr-FR"/>
        </w:rPr>
        <w:t>importance de l</w:t>
      </w:r>
      <w:r>
        <w:rPr>
          <w:lang w:val="fr-FR"/>
        </w:rPr>
        <w:t>’</w:t>
      </w:r>
      <w:r w:rsidRPr="00521891">
        <w:rPr>
          <w:lang w:val="fr-FR"/>
        </w:rPr>
        <w:t>accès des femmes aux services financiers et de microfinance.</w:t>
      </w:r>
    </w:p>
    <w:p w:rsidR="00C06068" w:rsidRPr="00521891" w:rsidRDefault="00C06068" w:rsidP="00C06068">
      <w:pPr>
        <w:pStyle w:val="SingleTxt"/>
        <w:numPr>
          <w:ilvl w:val="0"/>
          <w:numId w:val="10"/>
        </w:numPr>
        <w:rPr>
          <w:lang w:val="fr-FR"/>
        </w:rPr>
      </w:pPr>
      <w:r w:rsidRPr="00521891">
        <w:rPr>
          <w:lang w:val="fr-FR"/>
        </w:rPr>
        <w:t>Pour ce faire, afin de mettre en œuvre les activités prévues, les acteurs du secteur de la microfinance ont validé la budgétisation de la SNFI le 23 octobre 2013, et l</w:t>
      </w:r>
      <w:r>
        <w:rPr>
          <w:lang w:val="fr-FR"/>
        </w:rPr>
        <w:t>’</w:t>
      </w:r>
      <w:r w:rsidRPr="00521891">
        <w:rPr>
          <w:lang w:val="fr-FR"/>
        </w:rPr>
        <w:t>UNCDF/PNUD va allouer des fonds pour la période de 2013 à 2015.</w:t>
      </w:r>
    </w:p>
    <w:p w:rsidR="00C06068" w:rsidRPr="00C92DDA" w:rsidRDefault="00C06068" w:rsidP="00C06068">
      <w:pPr>
        <w:pStyle w:val="SingleTxt"/>
        <w:numPr>
          <w:ilvl w:val="0"/>
          <w:numId w:val="10"/>
        </w:numPr>
        <w:rPr>
          <w:lang w:val="fr-FR"/>
        </w:rPr>
      </w:pPr>
      <w:r w:rsidRPr="00521891">
        <w:rPr>
          <w:lang w:val="fr-FR"/>
        </w:rPr>
        <w:t>D</w:t>
      </w:r>
      <w:r>
        <w:rPr>
          <w:lang w:val="fr-FR"/>
        </w:rPr>
        <w:t>’</w:t>
      </w:r>
      <w:r w:rsidRPr="00521891">
        <w:rPr>
          <w:lang w:val="fr-FR"/>
        </w:rPr>
        <w:t xml:space="preserve">ici </w:t>
      </w:r>
      <w:r>
        <w:rPr>
          <w:lang w:val="fr-FR"/>
        </w:rPr>
        <w:t xml:space="preserve">à </w:t>
      </w:r>
      <w:r w:rsidRPr="00C92DDA">
        <w:rPr>
          <w:lang w:val="fr-FR"/>
        </w:rPr>
        <w:t xml:space="preserve">2017, la Stratégie nationale de la finance inclusive (SNFI) vise </w:t>
      </w:r>
      <w:r>
        <w:rPr>
          <w:lang w:val="fr-FR"/>
        </w:rPr>
        <w:t xml:space="preserve">à </w:t>
      </w:r>
      <w:r w:rsidRPr="00C92DDA">
        <w:rPr>
          <w:lang w:val="fr-FR"/>
        </w:rPr>
        <w:t>toucher plus d</w:t>
      </w:r>
      <w:r>
        <w:rPr>
          <w:lang w:val="fr-FR"/>
        </w:rPr>
        <w:t>’</w:t>
      </w:r>
      <w:r w:rsidRPr="00C92DDA">
        <w:rPr>
          <w:lang w:val="fr-FR"/>
        </w:rPr>
        <w:t>un million de femmes bénéficiaires.</w:t>
      </w:r>
    </w:p>
    <w:p w:rsidR="00C06068" w:rsidRPr="00D07AB6" w:rsidRDefault="00C06068" w:rsidP="00C06068">
      <w:pPr>
        <w:pStyle w:val="SingleTxt"/>
        <w:spacing w:after="0" w:line="120" w:lineRule="exact"/>
        <w:rPr>
          <w:b/>
          <w:sz w:val="10"/>
          <w:lang w:val="fr-FR"/>
        </w:rPr>
      </w:pPr>
      <w:bookmarkStart w:id="114" w:name="_Toc376709338"/>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Accès des femmes rurales aux services de santé adéquats</w:t>
      </w:r>
      <w:bookmarkEnd w:id="114"/>
    </w:p>
    <w:p w:rsidR="00C06068" w:rsidRPr="00D07AB6"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Depuis 2008, l</w:t>
      </w:r>
      <w:r>
        <w:rPr>
          <w:lang w:val="fr-FR"/>
        </w:rPr>
        <w:t>’</w:t>
      </w:r>
      <w:r w:rsidRPr="00521891">
        <w:rPr>
          <w:lang w:val="fr-FR"/>
        </w:rPr>
        <w:t>État dispose d</w:t>
      </w:r>
      <w:r>
        <w:rPr>
          <w:lang w:val="fr-FR"/>
        </w:rPr>
        <w:t>’</w:t>
      </w:r>
      <w:r w:rsidRPr="00521891">
        <w:rPr>
          <w:lang w:val="fr-FR"/>
        </w:rPr>
        <w:t>une politique nationale de santé communautaire. Les programmes de santé</w:t>
      </w:r>
      <w:r>
        <w:rPr>
          <w:lang w:val="fr-FR"/>
        </w:rPr>
        <w:t>,</w:t>
      </w:r>
      <w:r w:rsidRPr="00521891">
        <w:rPr>
          <w:lang w:val="fr-FR"/>
        </w:rPr>
        <w:t xml:space="preserve"> notamment la promotion de la survie du couple mère-nouveau-né a été renforcée par l</w:t>
      </w:r>
      <w:r>
        <w:rPr>
          <w:lang w:val="fr-FR"/>
        </w:rPr>
        <w:t>’</w:t>
      </w:r>
      <w:r w:rsidRPr="00521891">
        <w:rPr>
          <w:lang w:val="fr-FR"/>
        </w:rPr>
        <w:t xml:space="preserve">implication de la communauté à tous les niveaux du processus de planification. Suivant </w:t>
      </w:r>
      <w:r>
        <w:rPr>
          <w:lang w:val="fr-FR"/>
        </w:rPr>
        <w:t>l’a</w:t>
      </w:r>
      <w:r w:rsidRPr="00521891">
        <w:rPr>
          <w:lang w:val="fr-FR"/>
        </w:rPr>
        <w:t>rrêté interministériel n</w:t>
      </w:r>
      <w:r w:rsidRPr="00521891">
        <w:rPr>
          <w:vertAlign w:val="superscript"/>
          <w:lang w:val="fr-FR"/>
        </w:rPr>
        <w:t>o</w:t>
      </w:r>
      <w:r>
        <w:rPr>
          <w:vertAlign w:val="superscript"/>
          <w:lang w:val="fr-FR"/>
        </w:rPr>
        <w:t> </w:t>
      </w:r>
      <w:r w:rsidRPr="00521891">
        <w:rPr>
          <w:lang w:val="fr-FR"/>
        </w:rPr>
        <w:t xml:space="preserve">8014/2009 du </w:t>
      </w:r>
      <w:r>
        <w:rPr>
          <w:lang w:val="fr-FR"/>
        </w:rPr>
        <w:t>2 </w:t>
      </w:r>
      <w:r w:rsidRPr="00521891">
        <w:rPr>
          <w:lang w:val="fr-FR"/>
        </w:rPr>
        <w:t>septembre 2009 fixant la création, l</w:t>
      </w:r>
      <w:r>
        <w:rPr>
          <w:lang w:val="fr-FR"/>
        </w:rPr>
        <w:t>’</w:t>
      </w:r>
      <w:r w:rsidRPr="00521891">
        <w:rPr>
          <w:lang w:val="fr-FR"/>
        </w:rPr>
        <w:t xml:space="preserve">organisation, le fonctionnement et les attributions du comité de santé au niveau des communes et des Fokontany, une structure responsable du développement de la santé communautaire dénommée </w:t>
      </w:r>
      <w:r>
        <w:rPr>
          <w:lang w:val="fr-FR"/>
        </w:rPr>
        <w:t>« </w:t>
      </w:r>
      <w:r w:rsidRPr="00521891">
        <w:rPr>
          <w:lang w:val="fr-FR"/>
        </w:rPr>
        <w:t xml:space="preserve">Comité de </w:t>
      </w:r>
      <w:r>
        <w:rPr>
          <w:lang w:val="fr-FR"/>
        </w:rPr>
        <w:t>s</w:t>
      </w:r>
      <w:r w:rsidRPr="00521891">
        <w:rPr>
          <w:lang w:val="fr-FR"/>
        </w:rPr>
        <w:t>anté</w:t>
      </w:r>
      <w:r>
        <w:rPr>
          <w:lang w:val="fr-FR"/>
        </w:rPr>
        <w:t> »</w:t>
      </w:r>
      <w:r w:rsidRPr="00521891">
        <w:rPr>
          <w:lang w:val="fr-FR"/>
        </w:rPr>
        <w:t xml:space="preserve"> a été créé</w:t>
      </w:r>
      <w:r>
        <w:rPr>
          <w:lang w:val="fr-FR"/>
        </w:rPr>
        <w:t>e</w:t>
      </w:r>
      <w:r w:rsidRPr="00521891">
        <w:rPr>
          <w:lang w:val="fr-FR"/>
        </w:rPr>
        <w:t xml:space="preserve"> au niveau commune et Fokontany. Elle est la principale interface entre le système de santé et la communauté, elle est placée sous tutelle technique du Département ministériel chargé de la santé.</w:t>
      </w:r>
    </w:p>
    <w:p w:rsidR="00C06068" w:rsidRPr="00521891" w:rsidRDefault="00C06068" w:rsidP="00C06068">
      <w:pPr>
        <w:pStyle w:val="SingleTxt"/>
        <w:numPr>
          <w:ilvl w:val="0"/>
          <w:numId w:val="10"/>
        </w:numPr>
        <w:rPr>
          <w:lang w:val="fr-FR"/>
        </w:rPr>
      </w:pPr>
      <w:r>
        <w:rPr>
          <w:lang w:val="fr-FR"/>
        </w:rPr>
        <w:t>À</w:t>
      </w:r>
      <w:r w:rsidRPr="00521891">
        <w:rPr>
          <w:lang w:val="fr-FR"/>
        </w:rPr>
        <w:t xml:space="preserve"> Madagascar, 79,7 %</w:t>
      </w:r>
      <w:r>
        <w:rPr>
          <w:lang w:val="fr-FR"/>
        </w:rPr>
        <w:t xml:space="preserve"> de la population vi</w:t>
      </w:r>
      <w:r w:rsidRPr="00521891">
        <w:rPr>
          <w:lang w:val="fr-FR"/>
        </w:rPr>
        <w:t xml:space="preserve">t en milieu rural. La majorité de la population </w:t>
      </w:r>
      <w:r>
        <w:rPr>
          <w:lang w:val="fr-FR"/>
        </w:rPr>
        <w:t xml:space="preserve">a </w:t>
      </w:r>
      <w:r w:rsidRPr="00521891">
        <w:rPr>
          <w:lang w:val="fr-FR"/>
        </w:rPr>
        <w:t>des problèmes d</w:t>
      </w:r>
      <w:r>
        <w:rPr>
          <w:lang w:val="fr-FR"/>
        </w:rPr>
        <w:t>’</w:t>
      </w:r>
      <w:r w:rsidRPr="00521891">
        <w:rPr>
          <w:lang w:val="fr-FR"/>
        </w:rPr>
        <w:t>accès à des services de santé, 50 % des CSB sont enclavés et 65 %</w:t>
      </w:r>
      <w:r>
        <w:rPr>
          <w:lang w:val="fr-FR"/>
        </w:rPr>
        <w:t xml:space="preserve"> de la population réside</w:t>
      </w:r>
      <w:r w:rsidRPr="00521891">
        <w:rPr>
          <w:lang w:val="fr-FR"/>
        </w:rPr>
        <w:t xml:space="preserve"> en dehors d</w:t>
      </w:r>
      <w:r>
        <w:rPr>
          <w:lang w:val="fr-FR"/>
        </w:rPr>
        <w:t>’</w:t>
      </w:r>
      <w:r w:rsidRPr="00521891">
        <w:rPr>
          <w:lang w:val="fr-FR"/>
        </w:rPr>
        <w:t xml:space="preserve">un rayon de </w:t>
      </w:r>
      <w:r>
        <w:rPr>
          <w:lang w:val="fr-FR"/>
        </w:rPr>
        <w:t xml:space="preserve">5 </w:t>
      </w:r>
      <w:r w:rsidRPr="00521891">
        <w:rPr>
          <w:lang w:val="fr-FR"/>
        </w:rPr>
        <w:t>k</w:t>
      </w:r>
      <w:r>
        <w:rPr>
          <w:lang w:val="fr-FR"/>
        </w:rPr>
        <w:t>ilomètres</w:t>
      </w:r>
      <w:r w:rsidRPr="00521891">
        <w:rPr>
          <w:lang w:val="fr-FR"/>
        </w:rPr>
        <w:t xml:space="preserve"> du lieu d</w:t>
      </w:r>
      <w:r>
        <w:rPr>
          <w:lang w:val="fr-FR"/>
        </w:rPr>
        <w:t>’</w:t>
      </w:r>
      <w:r w:rsidRPr="00521891">
        <w:rPr>
          <w:lang w:val="fr-FR"/>
        </w:rPr>
        <w:t>implantation des formations sanitaires, constituant un frein à la fréquentation des formations sanitaires. Depuis la crise de 2009, la fonctionnalité de certains centres de santé de base a été interrompue, voire des centres de santé de base ont été fermés pour différentes causes notamment l</w:t>
      </w:r>
      <w:r>
        <w:rPr>
          <w:lang w:val="fr-FR"/>
        </w:rPr>
        <w:t>’</w:t>
      </w:r>
      <w:r w:rsidRPr="00521891">
        <w:rPr>
          <w:lang w:val="fr-FR"/>
        </w:rPr>
        <w:t>insécurité, l</w:t>
      </w:r>
      <w:r>
        <w:rPr>
          <w:lang w:val="fr-FR"/>
        </w:rPr>
        <w:t>’</w:t>
      </w:r>
      <w:r w:rsidRPr="00521891">
        <w:rPr>
          <w:lang w:val="fr-FR"/>
        </w:rPr>
        <w:t>exode des agents de santé vers des zones plus urbanisées.</w:t>
      </w:r>
    </w:p>
    <w:p w:rsidR="00C06068" w:rsidRPr="00521891" w:rsidRDefault="00C06068" w:rsidP="00C06068">
      <w:pPr>
        <w:pStyle w:val="SingleTxt"/>
        <w:numPr>
          <w:ilvl w:val="0"/>
          <w:numId w:val="10"/>
        </w:numPr>
        <w:rPr>
          <w:lang w:val="fr-FR"/>
        </w:rPr>
      </w:pPr>
      <w:r w:rsidRPr="00521891">
        <w:rPr>
          <w:lang w:val="fr-FR"/>
        </w:rPr>
        <w:t>En conséquence, l</w:t>
      </w:r>
      <w:r>
        <w:rPr>
          <w:lang w:val="fr-FR"/>
        </w:rPr>
        <w:t>’</w:t>
      </w:r>
      <w:r w:rsidRPr="00521891">
        <w:rPr>
          <w:lang w:val="fr-FR"/>
        </w:rPr>
        <w:t>utilisation des services de santé est en faveur des zones urbanisées. Devant le faible niveau d</w:t>
      </w:r>
      <w:r>
        <w:rPr>
          <w:lang w:val="fr-FR"/>
        </w:rPr>
        <w:t>’</w:t>
      </w:r>
      <w:r w:rsidRPr="00521891">
        <w:rPr>
          <w:lang w:val="fr-FR"/>
        </w:rPr>
        <w:t>accès des femmes rurales à des soins appropriés à la grossesse, et la pratique de l</w:t>
      </w:r>
      <w:r>
        <w:rPr>
          <w:lang w:val="fr-FR"/>
        </w:rPr>
        <w:t>’</w:t>
      </w:r>
      <w:r w:rsidRPr="00521891">
        <w:rPr>
          <w:lang w:val="fr-FR"/>
        </w:rPr>
        <w:t>accouchement dans une formation sanitaire, des efforts ont été déployés pour améliorer cette situation.</w:t>
      </w:r>
    </w:p>
    <w:p w:rsidR="00C06068" w:rsidRPr="00D07AB6" w:rsidRDefault="00C06068" w:rsidP="00C06068">
      <w:pPr>
        <w:pStyle w:val="SingleTxt"/>
        <w:spacing w:after="0" w:line="120" w:lineRule="exact"/>
        <w:rPr>
          <w:b/>
          <w:sz w:val="10"/>
          <w:lang w:val="fr-FR"/>
        </w:rPr>
      </w:pPr>
      <w:bookmarkStart w:id="115" w:name="_Toc377129325"/>
    </w:p>
    <w:p w:rsidR="00C06068" w:rsidRPr="00D07AB6"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D07AB6">
        <w:rPr>
          <w:b w:val="0"/>
          <w:lang w:val="fr-FR"/>
        </w:rPr>
        <w:t>Tableau 39</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Tendance de la fonctionnalité des centres de santé de base</w:t>
      </w:r>
      <w:bookmarkEnd w:id="115"/>
      <w:r w:rsidRPr="00521891">
        <w:rPr>
          <w:lang w:val="fr-FR"/>
        </w:rPr>
        <w:t xml:space="preserve"> </w:t>
      </w:r>
    </w:p>
    <w:p w:rsidR="00C06068" w:rsidRPr="00D07AB6" w:rsidRDefault="00C06068" w:rsidP="00C06068">
      <w:pPr>
        <w:pStyle w:val="SingleTxt"/>
        <w:keepNext/>
        <w:keepLines/>
        <w:spacing w:after="0" w:line="120" w:lineRule="exact"/>
        <w:rPr>
          <w:sz w:val="10"/>
          <w:lang w:val="fr-FR"/>
        </w:rPr>
      </w:pPr>
    </w:p>
    <w:p w:rsidR="00C06068" w:rsidRPr="00D07AB6" w:rsidRDefault="00C06068" w:rsidP="00C06068">
      <w:pPr>
        <w:pStyle w:val="SingleTxt"/>
        <w:keepNext/>
        <w:keepLines/>
        <w:spacing w:after="0" w:line="120" w:lineRule="exact"/>
        <w:rPr>
          <w:sz w:val="10"/>
          <w:lang w:val="fr-FR"/>
        </w:rPr>
      </w:pPr>
    </w:p>
    <w:tbl>
      <w:tblPr>
        <w:tblW w:w="8604" w:type="dxa"/>
        <w:tblInd w:w="1260" w:type="dxa"/>
        <w:tblLayout w:type="fixed"/>
        <w:tblCellMar>
          <w:left w:w="0" w:type="dxa"/>
          <w:right w:w="0" w:type="dxa"/>
        </w:tblCellMar>
        <w:tblLook w:val="04A0"/>
      </w:tblPr>
      <w:tblGrid>
        <w:gridCol w:w="629"/>
        <w:gridCol w:w="1171"/>
        <w:gridCol w:w="1080"/>
        <w:gridCol w:w="1350"/>
        <w:gridCol w:w="990"/>
        <w:gridCol w:w="747"/>
        <w:gridCol w:w="660"/>
        <w:gridCol w:w="993"/>
        <w:gridCol w:w="984"/>
      </w:tblGrid>
      <w:tr w:rsidR="00C06068" w:rsidRPr="00FC6584" w:rsidTr="007F3574">
        <w:trPr>
          <w:trHeight w:val="151"/>
        </w:trPr>
        <w:tc>
          <w:tcPr>
            <w:tcW w:w="629" w:type="dxa"/>
            <w:vMerge w:val="restart"/>
            <w:tcBorders>
              <w:top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1171" w:type="dxa"/>
            <w:vMerge w:val="restart"/>
            <w:tcBorders>
              <w:top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r w:rsidRPr="00FC6584">
              <w:rPr>
                <w:i/>
                <w:sz w:val="14"/>
                <w:lang w:val="fr-FR"/>
              </w:rPr>
              <w:t xml:space="preserve"> total CSB</w:t>
            </w:r>
          </w:p>
        </w:tc>
        <w:tc>
          <w:tcPr>
            <w:tcW w:w="1080" w:type="dxa"/>
            <w:vMerge w:val="restart"/>
            <w:tcBorders>
              <w:top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CSB fonctionnel</w:t>
            </w:r>
          </w:p>
        </w:tc>
        <w:tc>
          <w:tcPr>
            <w:tcW w:w="1350" w:type="dxa"/>
            <w:vMerge w:val="restart"/>
            <w:tcBorders>
              <w:top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CSB non fonctionnel</w:t>
            </w:r>
          </w:p>
        </w:tc>
        <w:tc>
          <w:tcPr>
            <w:tcW w:w="3390" w:type="dxa"/>
            <w:gridSpan w:val="4"/>
            <w:tcBorders>
              <w:top w:val="single" w:sz="4" w:space="0" w:color="auto"/>
              <w:bottom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Causes de non</w:t>
            </w:r>
            <w:r>
              <w:rPr>
                <w:i/>
                <w:sz w:val="14"/>
                <w:lang w:val="fr-FR"/>
              </w:rPr>
              <w:t>-</w:t>
            </w:r>
            <w:r w:rsidRPr="00FC6584">
              <w:rPr>
                <w:i/>
                <w:sz w:val="14"/>
                <w:lang w:val="fr-FR"/>
              </w:rPr>
              <w:t>fonctionnalité</w:t>
            </w:r>
          </w:p>
        </w:tc>
        <w:tc>
          <w:tcPr>
            <w:tcW w:w="984" w:type="dxa"/>
            <w:vMerge w:val="restart"/>
            <w:tcBorders>
              <w:top w:val="single" w:sz="4"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CSB ré</w:t>
            </w:r>
            <w:r w:rsidRPr="00FC6584">
              <w:rPr>
                <w:i/>
                <w:sz w:val="14"/>
                <w:lang w:val="fr-FR"/>
              </w:rPr>
              <w:t>ouverts</w:t>
            </w:r>
          </w:p>
        </w:tc>
      </w:tr>
      <w:tr w:rsidR="00C06068" w:rsidRPr="00FC6584" w:rsidTr="007F3574">
        <w:trPr>
          <w:trHeight w:val="150"/>
        </w:trPr>
        <w:tc>
          <w:tcPr>
            <w:tcW w:w="629" w:type="dxa"/>
            <w:vMerge/>
            <w:tcBorders>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p>
        </w:tc>
        <w:tc>
          <w:tcPr>
            <w:tcW w:w="1171" w:type="dxa"/>
            <w:vMerge/>
            <w:tcBorders>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p>
        </w:tc>
        <w:tc>
          <w:tcPr>
            <w:tcW w:w="1080" w:type="dxa"/>
            <w:vMerge/>
            <w:tcBorders>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p>
        </w:tc>
        <w:tc>
          <w:tcPr>
            <w:tcW w:w="1350" w:type="dxa"/>
            <w:vMerge/>
            <w:tcBorders>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p>
        </w:tc>
        <w:tc>
          <w:tcPr>
            <w:tcW w:w="99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990"/>
              </w:tabs>
              <w:suppressAutoHyphens/>
              <w:spacing w:before="80" w:after="80" w:line="160" w:lineRule="exact"/>
              <w:ind w:right="43"/>
              <w:jc w:val="right"/>
              <w:rPr>
                <w:i/>
                <w:sz w:val="14"/>
                <w:lang w:val="fr-FR"/>
              </w:rPr>
            </w:pPr>
            <w:r w:rsidRPr="00FC6584">
              <w:rPr>
                <w:i/>
                <w:sz w:val="14"/>
                <w:lang w:val="fr-FR"/>
              </w:rPr>
              <w:t>Infrastructure</w:t>
            </w:r>
          </w:p>
        </w:tc>
        <w:tc>
          <w:tcPr>
            <w:tcW w:w="747"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Personnel</w:t>
            </w:r>
          </w:p>
        </w:tc>
        <w:tc>
          <w:tcPr>
            <w:tcW w:w="660"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Insécurité</w:t>
            </w:r>
          </w:p>
        </w:tc>
        <w:tc>
          <w:tcPr>
            <w:tcW w:w="993" w:type="dxa"/>
            <w:tcBorders>
              <w:top w:val="single" w:sz="4" w:space="0" w:color="auto"/>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Non précisée</w:t>
            </w:r>
          </w:p>
        </w:tc>
        <w:tc>
          <w:tcPr>
            <w:tcW w:w="984" w:type="dxa"/>
            <w:vMerge/>
            <w:tcBorders>
              <w:bottom w:val="single" w:sz="12" w:space="0" w:color="auto"/>
            </w:tcBorders>
            <w:shd w:val="clear" w:color="auto" w:fill="auto"/>
            <w:vAlign w:val="bottom"/>
          </w:tcPr>
          <w:p w:rsidR="00C06068" w:rsidRPr="00FC6584" w:rsidRDefault="00C06068" w:rsidP="007F3574">
            <w:pPr>
              <w:keepNext/>
              <w:keepLines/>
              <w:tabs>
                <w:tab w:val="left" w:pos="288"/>
                <w:tab w:val="left" w:pos="576"/>
                <w:tab w:val="left" w:pos="864"/>
                <w:tab w:val="left" w:pos="1152"/>
              </w:tabs>
              <w:suppressAutoHyphens/>
              <w:spacing w:before="80" w:after="80" w:line="160" w:lineRule="exact"/>
              <w:ind w:right="43"/>
              <w:rPr>
                <w:i/>
                <w:sz w:val="14"/>
                <w:lang w:val="fr-FR"/>
              </w:rPr>
            </w:pPr>
          </w:p>
        </w:tc>
      </w:tr>
      <w:tr w:rsidR="00C06068" w:rsidRPr="00FC6584" w:rsidTr="007F3574">
        <w:tc>
          <w:tcPr>
            <w:tcW w:w="629" w:type="dxa"/>
            <w:tcBorders>
              <w:top w:val="single" w:sz="12" w:space="0" w:color="auto"/>
            </w:tcBorders>
            <w:shd w:val="clear" w:color="auto" w:fill="auto"/>
          </w:tcPr>
          <w:p w:rsidR="00C06068" w:rsidRPr="00917E2F" w:rsidRDefault="00C06068" w:rsidP="007F3574">
            <w:pPr>
              <w:keepNext/>
              <w:keepLines/>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2009</w:t>
            </w:r>
          </w:p>
        </w:tc>
        <w:tc>
          <w:tcPr>
            <w:tcW w:w="1171" w:type="dxa"/>
            <w:tcBorders>
              <w:top w:val="single" w:sz="12" w:space="0" w:color="auto"/>
            </w:tcBorders>
            <w:shd w:val="clear" w:color="auto" w:fill="auto"/>
            <w:vAlign w:val="bottom"/>
          </w:tcPr>
          <w:p w:rsidR="00C06068" w:rsidRPr="00D07AB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D07AB6">
              <w:rPr>
                <w:sz w:val="17"/>
                <w:lang w:val="fr-FR"/>
              </w:rPr>
              <w:t>2</w:t>
            </w:r>
            <w:r>
              <w:rPr>
                <w:sz w:val="17"/>
                <w:lang w:val="fr-FR"/>
              </w:rPr>
              <w:t xml:space="preserve"> </w:t>
            </w:r>
            <w:r w:rsidRPr="00D07AB6">
              <w:rPr>
                <w:sz w:val="17"/>
                <w:lang w:val="fr-FR"/>
              </w:rPr>
              <w:t>436</w:t>
            </w:r>
          </w:p>
        </w:tc>
        <w:tc>
          <w:tcPr>
            <w:tcW w:w="1080"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r>
              <w:rPr>
                <w:sz w:val="17"/>
                <w:lang w:val="fr-FR"/>
              </w:rPr>
              <w:t xml:space="preserve"> </w:t>
            </w:r>
            <w:r w:rsidRPr="00256056">
              <w:rPr>
                <w:sz w:val="17"/>
                <w:lang w:val="fr-FR"/>
              </w:rPr>
              <w:t>311</w:t>
            </w:r>
          </w:p>
        </w:tc>
        <w:tc>
          <w:tcPr>
            <w:tcW w:w="1350"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125</w:t>
            </w:r>
          </w:p>
        </w:tc>
        <w:tc>
          <w:tcPr>
            <w:tcW w:w="990"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w:t>
            </w:r>
          </w:p>
        </w:tc>
        <w:tc>
          <w:tcPr>
            <w:tcW w:w="747"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82</w:t>
            </w:r>
          </w:p>
        </w:tc>
        <w:tc>
          <w:tcPr>
            <w:tcW w:w="660"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w:t>
            </w:r>
          </w:p>
        </w:tc>
        <w:tc>
          <w:tcPr>
            <w:tcW w:w="993"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w:t>
            </w:r>
          </w:p>
        </w:tc>
        <w:tc>
          <w:tcPr>
            <w:tcW w:w="984" w:type="dxa"/>
            <w:tcBorders>
              <w:top w:val="single" w:sz="12" w:space="0" w:color="auto"/>
            </w:tcBorders>
            <w:shd w:val="clear" w:color="auto" w:fill="auto"/>
            <w:vAlign w:val="bottom"/>
          </w:tcPr>
          <w:p w:rsidR="00C06068" w:rsidRPr="00256056" w:rsidRDefault="00C06068" w:rsidP="007F3574">
            <w:pPr>
              <w:keepNext/>
              <w:keepLines/>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ND</w:t>
            </w:r>
          </w:p>
        </w:tc>
      </w:tr>
      <w:tr w:rsidR="00C06068" w:rsidRPr="00FC6584" w:rsidTr="007F3574">
        <w:tc>
          <w:tcPr>
            <w:tcW w:w="62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2010</w:t>
            </w:r>
          </w:p>
        </w:tc>
        <w:tc>
          <w:tcPr>
            <w:tcW w:w="1171" w:type="dxa"/>
            <w:shd w:val="clear" w:color="auto" w:fill="auto"/>
            <w:vAlign w:val="bottom"/>
          </w:tcPr>
          <w:p w:rsidR="00C06068" w:rsidRPr="00D07AB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07AB6">
              <w:rPr>
                <w:sz w:val="17"/>
                <w:lang w:val="fr-FR"/>
              </w:rPr>
              <w:t>2</w:t>
            </w:r>
            <w:r>
              <w:rPr>
                <w:sz w:val="17"/>
                <w:lang w:val="fr-FR"/>
              </w:rPr>
              <w:t xml:space="preserve"> </w:t>
            </w:r>
            <w:r w:rsidRPr="00D07AB6">
              <w:rPr>
                <w:sz w:val="17"/>
                <w:lang w:val="fr-FR"/>
              </w:rPr>
              <w:t>458</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r>
              <w:rPr>
                <w:sz w:val="17"/>
                <w:lang w:val="fr-FR"/>
              </w:rPr>
              <w:t xml:space="preserve"> </w:t>
            </w:r>
            <w:r w:rsidRPr="00256056">
              <w:rPr>
                <w:sz w:val="17"/>
                <w:lang w:val="fr-FR"/>
              </w:rPr>
              <w:t>244</w:t>
            </w:r>
          </w:p>
        </w:tc>
        <w:tc>
          <w:tcPr>
            <w:tcW w:w="135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214</w:t>
            </w:r>
          </w:p>
        </w:tc>
        <w:tc>
          <w:tcPr>
            <w:tcW w:w="9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32</w:t>
            </w:r>
          </w:p>
        </w:tc>
        <w:tc>
          <w:tcPr>
            <w:tcW w:w="74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158</w:t>
            </w:r>
          </w:p>
        </w:tc>
        <w:tc>
          <w:tcPr>
            <w:tcW w:w="6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w:t>
            </w:r>
          </w:p>
        </w:tc>
        <w:tc>
          <w:tcPr>
            <w:tcW w:w="99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54</w:t>
            </w:r>
          </w:p>
        </w:tc>
        <w:tc>
          <w:tcPr>
            <w:tcW w:w="9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16</w:t>
            </w:r>
          </w:p>
        </w:tc>
      </w:tr>
      <w:tr w:rsidR="00C06068" w:rsidRPr="00FC6584" w:rsidTr="007F3574">
        <w:tc>
          <w:tcPr>
            <w:tcW w:w="629"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2011</w:t>
            </w:r>
          </w:p>
        </w:tc>
        <w:tc>
          <w:tcPr>
            <w:tcW w:w="1171" w:type="dxa"/>
            <w:shd w:val="clear" w:color="auto" w:fill="auto"/>
            <w:vAlign w:val="bottom"/>
          </w:tcPr>
          <w:p w:rsidR="00C06068" w:rsidRPr="00D07AB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07AB6">
              <w:rPr>
                <w:sz w:val="17"/>
                <w:lang w:val="fr-FR"/>
              </w:rPr>
              <w:t>2</w:t>
            </w:r>
            <w:r>
              <w:rPr>
                <w:sz w:val="17"/>
                <w:lang w:val="fr-FR"/>
              </w:rPr>
              <w:t xml:space="preserve"> </w:t>
            </w:r>
            <w:r w:rsidRPr="00D07AB6">
              <w:rPr>
                <w:sz w:val="17"/>
                <w:lang w:val="fr-FR"/>
              </w:rPr>
              <w:t>485</w:t>
            </w:r>
          </w:p>
        </w:tc>
        <w:tc>
          <w:tcPr>
            <w:tcW w:w="108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r>
              <w:rPr>
                <w:sz w:val="17"/>
                <w:lang w:val="fr-FR"/>
              </w:rPr>
              <w:t xml:space="preserve"> </w:t>
            </w:r>
            <w:r w:rsidRPr="00256056">
              <w:rPr>
                <w:sz w:val="17"/>
                <w:lang w:val="fr-FR"/>
              </w:rPr>
              <w:t>412</w:t>
            </w:r>
          </w:p>
        </w:tc>
        <w:tc>
          <w:tcPr>
            <w:tcW w:w="135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w:t>
            </w:r>
          </w:p>
        </w:tc>
        <w:tc>
          <w:tcPr>
            <w:tcW w:w="99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w:t>
            </w:r>
          </w:p>
        </w:tc>
        <w:tc>
          <w:tcPr>
            <w:tcW w:w="74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45</w:t>
            </w:r>
          </w:p>
        </w:tc>
        <w:tc>
          <w:tcPr>
            <w:tcW w:w="66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w:t>
            </w:r>
          </w:p>
        </w:tc>
        <w:tc>
          <w:tcPr>
            <w:tcW w:w="99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w:t>
            </w:r>
          </w:p>
        </w:tc>
        <w:tc>
          <w:tcPr>
            <w:tcW w:w="98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85</w:t>
            </w:r>
          </w:p>
        </w:tc>
      </w:tr>
      <w:tr w:rsidR="00C06068" w:rsidRPr="00FC6584" w:rsidTr="007F3574">
        <w:tc>
          <w:tcPr>
            <w:tcW w:w="629"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2012</w:t>
            </w:r>
          </w:p>
        </w:tc>
        <w:tc>
          <w:tcPr>
            <w:tcW w:w="1171" w:type="dxa"/>
            <w:tcBorders>
              <w:bottom w:val="single" w:sz="12" w:space="0" w:color="auto"/>
            </w:tcBorders>
            <w:shd w:val="clear" w:color="auto" w:fill="auto"/>
            <w:vAlign w:val="bottom"/>
          </w:tcPr>
          <w:p w:rsidR="00C06068" w:rsidRPr="00D07AB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D07AB6">
              <w:rPr>
                <w:sz w:val="17"/>
                <w:lang w:val="fr-FR"/>
              </w:rPr>
              <w:t>2</w:t>
            </w:r>
            <w:r>
              <w:rPr>
                <w:sz w:val="17"/>
                <w:lang w:val="fr-FR"/>
              </w:rPr>
              <w:t xml:space="preserve"> </w:t>
            </w:r>
            <w:r w:rsidRPr="00D07AB6">
              <w:rPr>
                <w:sz w:val="17"/>
                <w:lang w:val="fr-FR"/>
              </w:rPr>
              <w:t>544</w:t>
            </w:r>
          </w:p>
        </w:tc>
        <w:tc>
          <w:tcPr>
            <w:tcW w:w="108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w:t>
            </w:r>
            <w:r>
              <w:rPr>
                <w:sz w:val="17"/>
                <w:lang w:val="fr-FR"/>
              </w:rPr>
              <w:t xml:space="preserve"> </w:t>
            </w:r>
            <w:r w:rsidRPr="00256056">
              <w:rPr>
                <w:sz w:val="17"/>
                <w:lang w:val="fr-FR"/>
              </w:rPr>
              <w:t>357</w:t>
            </w:r>
          </w:p>
        </w:tc>
        <w:tc>
          <w:tcPr>
            <w:tcW w:w="135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187</w:t>
            </w:r>
          </w:p>
        </w:tc>
        <w:tc>
          <w:tcPr>
            <w:tcW w:w="99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59</w:t>
            </w:r>
          </w:p>
        </w:tc>
        <w:tc>
          <w:tcPr>
            <w:tcW w:w="747"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121</w:t>
            </w:r>
          </w:p>
        </w:tc>
        <w:tc>
          <w:tcPr>
            <w:tcW w:w="66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w:t>
            </w:r>
          </w:p>
        </w:tc>
        <w:tc>
          <w:tcPr>
            <w:tcW w:w="993"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 </w:t>
            </w:r>
          </w:p>
        </w:tc>
        <w:tc>
          <w:tcPr>
            <w:tcW w:w="984"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73</w:t>
            </w:r>
          </w:p>
        </w:tc>
      </w:tr>
    </w:tbl>
    <w:p w:rsidR="00C06068" w:rsidRPr="00D07AB6"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EA0F4E">
        <w:rPr>
          <w:i/>
          <w:lang w:val="fr-FR"/>
        </w:rPr>
        <w:t>Source</w:t>
      </w:r>
      <w:r w:rsidRPr="00917E2F">
        <w:rPr>
          <w:lang w:val="fr-FR"/>
        </w:rPr>
        <w:t> :</w:t>
      </w:r>
      <w:r w:rsidRPr="00521891">
        <w:rPr>
          <w:lang w:val="fr-FR"/>
        </w:rPr>
        <w:t xml:space="preserve"> Ministère de la santé publique</w:t>
      </w:r>
      <w:r>
        <w:rPr>
          <w:lang w:val="fr-FR"/>
        </w:rPr>
        <w:t>.</w:t>
      </w: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Des efforts ont été fournis pour remettre en fonction les centres de santé de base fermés à</w:t>
      </w:r>
      <w:r>
        <w:rPr>
          <w:lang w:val="fr-FR"/>
        </w:rPr>
        <w:t xml:space="preserve"> travers le redéploiement et</w:t>
      </w:r>
      <w:r w:rsidRPr="00521891">
        <w:rPr>
          <w:lang w:val="fr-FR"/>
        </w:rPr>
        <w:t xml:space="preserve"> le recrutement de personnel technique sur le budget de l</w:t>
      </w:r>
      <w:r>
        <w:rPr>
          <w:lang w:val="fr-FR"/>
        </w:rPr>
        <w:t>’</w:t>
      </w:r>
      <w:r w:rsidRPr="00521891">
        <w:rPr>
          <w:lang w:val="fr-FR"/>
        </w:rPr>
        <w:t xml:space="preserve">État. Des partenaires techniques et financiers, notamment </w:t>
      </w:r>
      <w:r>
        <w:rPr>
          <w:lang w:val="fr-FR"/>
        </w:rPr>
        <w:t>l’</w:t>
      </w:r>
      <w:r w:rsidRPr="00521891">
        <w:rPr>
          <w:lang w:val="fr-FR"/>
        </w:rPr>
        <w:t xml:space="preserve">UNICEF, </w:t>
      </w:r>
      <w:r>
        <w:rPr>
          <w:lang w:val="fr-FR"/>
        </w:rPr>
        <w:t>le FNUAP</w:t>
      </w:r>
      <w:r w:rsidRPr="00521891">
        <w:rPr>
          <w:lang w:val="fr-FR"/>
        </w:rPr>
        <w:t xml:space="preserve"> et le fonds GAVI ont apporté leur contribution dans le renforcement et la remise en fonction des centres de santé de base fermés à travers le recrutement sous contrat d</w:t>
      </w:r>
      <w:r>
        <w:rPr>
          <w:lang w:val="fr-FR"/>
        </w:rPr>
        <w:t>’</w:t>
      </w:r>
      <w:r w:rsidRPr="00521891">
        <w:rPr>
          <w:lang w:val="fr-FR"/>
        </w:rPr>
        <w:t>infirmiers(ères) et de sages-femmes.</w:t>
      </w:r>
    </w:p>
    <w:p w:rsidR="00C06068" w:rsidRPr="00EA0F4E" w:rsidRDefault="00C06068" w:rsidP="00C06068">
      <w:pPr>
        <w:pStyle w:val="SingleTxt"/>
        <w:spacing w:after="0" w:line="120" w:lineRule="exact"/>
        <w:rPr>
          <w:b/>
          <w:sz w:val="10"/>
          <w:lang w:val="fr-FR"/>
        </w:rPr>
      </w:pPr>
      <w:bookmarkStart w:id="116" w:name="_Toc377129326"/>
    </w:p>
    <w:p w:rsidR="00C06068" w:rsidRPr="00EA0F4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EA0F4E">
        <w:rPr>
          <w:b w:val="0"/>
          <w:lang w:val="fr-FR"/>
        </w:rPr>
        <w:t>Tableau 40</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Tendance de recrutement et de contractualisation de médecins </w:t>
      </w:r>
      <w:r>
        <w:rPr>
          <w:lang w:val="fr-FR"/>
        </w:rPr>
        <w:br/>
      </w:r>
      <w:r w:rsidRPr="00521891">
        <w:rPr>
          <w:lang w:val="fr-FR"/>
        </w:rPr>
        <w:t>et de paramédicaux</w:t>
      </w:r>
      <w:bookmarkEnd w:id="116"/>
    </w:p>
    <w:p w:rsidR="00C06068" w:rsidRPr="00EA0F4E" w:rsidRDefault="00C06068" w:rsidP="00C06068">
      <w:pPr>
        <w:pStyle w:val="SingleTxt"/>
        <w:spacing w:after="0" w:line="120" w:lineRule="exact"/>
        <w:rPr>
          <w:sz w:val="10"/>
          <w:lang w:val="fr-FR"/>
        </w:rPr>
      </w:pPr>
    </w:p>
    <w:p w:rsidR="00C06068" w:rsidRPr="00EA0F4E" w:rsidRDefault="00C06068" w:rsidP="00C06068">
      <w:pPr>
        <w:pStyle w:val="SingleTxt"/>
        <w:spacing w:after="0" w:line="120" w:lineRule="exact"/>
        <w:rPr>
          <w:sz w:val="10"/>
          <w:lang w:val="fr-FR"/>
        </w:rPr>
      </w:pPr>
    </w:p>
    <w:tbl>
      <w:tblPr>
        <w:tblW w:w="8550" w:type="dxa"/>
        <w:tblInd w:w="1260" w:type="dxa"/>
        <w:tblBorders>
          <w:top w:val="single" w:sz="4" w:space="0" w:color="auto"/>
        </w:tblBorders>
        <w:tblCellMar>
          <w:left w:w="0" w:type="dxa"/>
          <w:right w:w="0" w:type="dxa"/>
        </w:tblCellMar>
        <w:tblLook w:val="04A0"/>
      </w:tblPr>
      <w:tblGrid>
        <w:gridCol w:w="932"/>
        <w:gridCol w:w="2494"/>
        <w:gridCol w:w="2912"/>
        <w:gridCol w:w="2260"/>
      </w:tblGrid>
      <w:tr w:rsidR="00C06068" w:rsidRPr="00FC6584" w:rsidTr="007F3574">
        <w:trPr>
          <w:trHeight w:val="240"/>
          <w:tblHeader/>
        </w:trPr>
        <w:tc>
          <w:tcPr>
            <w:tcW w:w="916" w:type="dxa"/>
            <w:vMerge w:val="restart"/>
            <w:tcBorders>
              <w:top w:val="single" w:sz="4" w:space="0" w:color="auto"/>
              <w:bottom w:val="single" w:sz="4"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5390" w:type="dxa"/>
            <w:gridSpan w:val="2"/>
            <w:tcBorders>
              <w:top w:val="single" w:sz="4" w:space="0" w:color="auto"/>
              <w:bottom w:val="single" w:sz="4"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État</w:t>
            </w:r>
          </w:p>
        </w:tc>
        <w:tc>
          <w:tcPr>
            <w:tcW w:w="2244" w:type="dxa"/>
            <w:vMerge w:val="restart"/>
            <w:tcBorders>
              <w:top w:val="single" w:sz="4" w:space="0" w:color="auto"/>
              <w:bottom w:val="single" w:sz="4"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Total des agents de santé mis </w:t>
            </w:r>
            <w:r>
              <w:rPr>
                <w:i/>
                <w:sz w:val="14"/>
                <w:lang w:val="fr-FR"/>
              </w:rPr>
              <w:br/>
            </w:r>
            <w:r w:rsidRPr="00FC6584">
              <w:rPr>
                <w:i/>
                <w:sz w:val="14"/>
                <w:lang w:val="fr-FR"/>
              </w:rPr>
              <w:t xml:space="preserve">sous </w:t>
            </w:r>
            <w:r>
              <w:rPr>
                <w:i/>
                <w:sz w:val="14"/>
                <w:lang w:val="fr-FR"/>
              </w:rPr>
              <w:t>c</w:t>
            </w:r>
            <w:r w:rsidRPr="00FC6584">
              <w:rPr>
                <w:i/>
                <w:sz w:val="14"/>
                <w:lang w:val="fr-FR"/>
              </w:rPr>
              <w:t>ont</w:t>
            </w:r>
            <w:r>
              <w:rPr>
                <w:i/>
                <w:sz w:val="14"/>
                <w:lang w:val="fr-FR"/>
              </w:rPr>
              <w:t>rats par les p</w:t>
            </w:r>
            <w:r w:rsidRPr="00FC6584">
              <w:rPr>
                <w:i/>
                <w:sz w:val="14"/>
                <w:lang w:val="fr-FR"/>
              </w:rPr>
              <w:t>artenaires</w:t>
            </w:r>
          </w:p>
        </w:tc>
      </w:tr>
      <w:tr w:rsidR="00C06068" w:rsidRPr="00FC6584" w:rsidTr="007F3574">
        <w:trPr>
          <w:trHeight w:val="240"/>
          <w:tblHeader/>
        </w:trPr>
        <w:tc>
          <w:tcPr>
            <w:tcW w:w="916" w:type="dxa"/>
            <w:vMerge/>
            <w:tcBorders>
              <w:top w:val="single" w:sz="12" w:space="0" w:color="auto"/>
              <w:bottom w:val="single" w:sz="4"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2478" w:type="dxa"/>
            <w:tcBorders>
              <w:top w:val="single" w:sz="4" w:space="0" w:color="auto"/>
              <w:bottom w:val="single" w:sz="4"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r w:rsidRPr="00FC6584">
              <w:rPr>
                <w:i/>
                <w:sz w:val="14"/>
                <w:lang w:val="fr-FR"/>
              </w:rPr>
              <w:t xml:space="preserve"> de postes budgétaires </w:t>
            </w:r>
            <w:r>
              <w:rPr>
                <w:i/>
                <w:sz w:val="14"/>
                <w:lang w:val="fr-FR"/>
              </w:rPr>
              <w:br/>
            </w:r>
            <w:r w:rsidRPr="00FC6584">
              <w:rPr>
                <w:i/>
                <w:sz w:val="14"/>
                <w:lang w:val="fr-FR"/>
              </w:rPr>
              <w:t>alloués pour la santé</w:t>
            </w:r>
          </w:p>
        </w:tc>
        <w:tc>
          <w:tcPr>
            <w:tcW w:w="2912" w:type="dxa"/>
            <w:tcBorders>
              <w:top w:val="single" w:sz="4" w:space="0" w:color="auto"/>
              <w:bottom w:val="single" w:sz="4"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w:t>
            </w:r>
            <w:r w:rsidRPr="00FC6584">
              <w:rPr>
                <w:i/>
                <w:sz w:val="14"/>
                <w:lang w:val="fr-FR"/>
              </w:rPr>
              <w:t xml:space="preserve"> de postes budgétaires destinés </w:t>
            </w:r>
            <w:r>
              <w:rPr>
                <w:i/>
                <w:sz w:val="14"/>
                <w:lang w:val="fr-FR"/>
              </w:rPr>
              <w:br/>
              <w:t xml:space="preserve">au </w:t>
            </w:r>
            <w:r w:rsidRPr="00FC6584">
              <w:rPr>
                <w:i/>
                <w:sz w:val="14"/>
                <w:lang w:val="fr-FR"/>
              </w:rPr>
              <w:t>recrutement de personnel technique</w:t>
            </w:r>
          </w:p>
        </w:tc>
        <w:tc>
          <w:tcPr>
            <w:tcW w:w="2244" w:type="dxa"/>
            <w:vMerge/>
            <w:tcBorders>
              <w:top w:val="single" w:sz="12" w:space="0" w:color="auto"/>
              <w:bottom w:val="single" w:sz="4"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r>
      <w:tr w:rsidR="00C06068" w:rsidRPr="00FC6584" w:rsidTr="007F3574">
        <w:trPr>
          <w:trHeight w:val="240"/>
        </w:trPr>
        <w:tc>
          <w:tcPr>
            <w:tcW w:w="916" w:type="dxa"/>
            <w:tcBorders>
              <w:top w:val="single" w:sz="4" w:space="0" w:color="auto"/>
            </w:tcBorders>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bookmarkStart w:id="117" w:name="insstart" w:colFirst="2" w:colLast="2"/>
            <w:r w:rsidRPr="00917E2F">
              <w:rPr>
                <w:sz w:val="17"/>
                <w:lang w:val="fr-FR"/>
              </w:rPr>
              <w:t>2009</w:t>
            </w:r>
          </w:p>
        </w:tc>
        <w:tc>
          <w:tcPr>
            <w:tcW w:w="2478" w:type="dxa"/>
            <w:tcBorders>
              <w:top w:val="single" w:sz="4"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144</w:t>
            </w:r>
          </w:p>
        </w:tc>
        <w:tc>
          <w:tcPr>
            <w:tcW w:w="2912" w:type="dxa"/>
            <w:tcBorders>
              <w:top w:val="single" w:sz="4"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862 (médecins et paramédicaux)</w:t>
            </w:r>
          </w:p>
        </w:tc>
        <w:tc>
          <w:tcPr>
            <w:tcW w:w="2244" w:type="dxa"/>
            <w:tcBorders>
              <w:top w:val="single" w:sz="4"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C06068" w:rsidRPr="00FC6584" w:rsidTr="007F3574">
        <w:trPr>
          <w:trHeight w:val="240"/>
        </w:trPr>
        <w:tc>
          <w:tcPr>
            <w:tcW w:w="916" w:type="dxa"/>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2010</w:t>
            </w:r>
          </w:p>
        </w:tc>
        <w:tc>
          <w:tcPr>
            <w:tcW w:w="2478"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360</w:t>
            </w:r>
          </w:p>
        </w:tc>
        <w:tc>
          <w:tcPr>
            <w:tcW w:w="2912" w:type="dxa"/>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w:t>
            </w:r>
            <w:r>
              <w:rPr>
                <w:sz w:val="17"/>
                <w:lang w:val="fr-FR"/>
              </w:rPr>
              <w:t> </w:t>
            </w:r>
            <w:r w:rsidRPr="00256056">
              <w:rPr>
                <w:sz w:val="17"/>
                <w:lang w:val="fr-FR"/>
              </w:rPr>
              <w:t>060 (médecins et paramédicaux)</w:t>
            </w:r>
          </w:p>
        </w:tc>
        <w:tc>
          <w:tcPr>
            <w:tcW w:w="2244"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207</w:t>
            </w:r>
          </w:p>
        </w:tc>
      </w:tr>
      <w:bookmarkEnd w:id="117"/>
      <w:tr w:rsidR="00C06068" w:rsidRPr="00FC6584" w:rsidTr="007F3574">
        <w:trPr>
          <w:trHeight w:val="240"/>
        </w:trPr>
        <w:tc>
          <w:tcPr>
            <w:tcW w:w="916" w:type="dxa"/>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2011</w:t>
            </w:r>
          </w:p>
        </w:tc>
        <w:tc>
          <w:tcPr>
            <w:tcW w:w="2478"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2912" w:type="dxa"/>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380 paramédicaux</w:t>
            </w:r>
          </w:p>
        </w:tc>
        <w:tc>
          <w:tcPr>
            <w:tcW w:w="2244"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231</w:t>
            </w:r>
          </w:p>
        </w:tc>
      </w:tr>
      <w:tr w:rsidR="00C06068" w:rsidRPr="00FC6584" w:rsidTr="007F3574">
        <w:trPr>
          <w:trHeight w:val="240"/>
        </w:trPr>
        <w:tc>
          <w:tcPr>
            <w:tcW w:w="916" w:type="dxa"/>
            <w:tcBorders>
              <w:bottom w:val="single" w:sz="12" w:space="0" w:color="auto"/>
            </w:tcBorders>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2012</w:t>
            </w:r>
          </w:p>
        </w:tc>
        <w:tc>
          <w:tcPr>
            <w:tcW w:w="2478"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2912" w:type="dxa"/>
            <w:tcBorders>
              <w:bottom w:val="single" w:sz="12" w:space="0" w:color="auto"/>
            </w:tcBorders>
            <w:shd w:val="clear" w:color="auto" w:fill="auto"/>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281 paramédicaux</w:t>
            </w:r>
          </w:p>
        </w:tc>
        <w:tc>
          <w:tcPr>
            <w:tcW w:w="2244"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215</w:t>
            </w:r>
          </w:p>
        </w:tc>
      </w:tr>
    </w:tbl>
    <w:p w:rsidR="00C06068" w:rsidRPr="00EA0F4E"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EA0F4E">
        <w:rPr>
          <w:i/>
          <w:lang w:val="fr-FR"/>
        </w:rPr>
        <w:t>Source</w:t>
      </w:r>
      <w:r w:rsidRPr="00917E2F">
        <w:rPr>
          <w:lang w:val="fr-FR"/>
        </w:rPr>
        <w:t> :</w:t>
      </w:r>
      <w:r w:rsidRPr="00521891">
        <w:rPr>
          <w:lang w:val="fr-FR"/>
        </w:rPr>
        <w:t xml:space="preserve"> Ministère de la santé publique</w:t>
      </w:r>
      <w:r>
        <w:rPr>
          <w:lang w:val="fr-FR"/>
        </w:rPr>
        <w:t>.</w:t>
      </w: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Par ailleurs, dans le cadre de la mise en route du programme de survie de la mère et du nouveau-né, a été institutionnalisée et tenue 2 fois par an sur tout le territoire depuis 2006, la Semaine de la santé de la mère et de l</w:t>
      </w:r>
      <w:r>
        <w:rPr>
          <w:lang w:val="fr-FR"/>
        </w:rPr>
        <w:t>’</w:t>
      </w:r>
      <w:r w:rsidRPr="00521891">
        <w:rPr>
          <w:lang w:val="fr-FR"/>
        </w:rPr>
        <w:t>enfant (SSME). Cette stratégie vise au renforcement de l</w:t>
      </w:r>
      <w:r>
        <w:rPr>
          <w:lang w:val="fr-FR"/>
        </w:rPr>
        <w:t>’</w:t>
      </w:r>
      <w:r w:rsidRPr="00521891">
        <w:rPr>
          <w:lang w:val="fr-FR"/>
        </w:rPr>
        <w:t>offre et de l</w:t>
      </w:r>
      <w:r>
        <w:rPr>
          <w:lang w:val="fr-FR"/>
        </w:rPr>
        <w:t>’</w:t>
      </w:r>
      <w:r w:rsidRPr="00521891">
        <w:rPr>
          <w:lang w:val="fr-FR"/>
        </w:rPr>
        <w:t>utilisation des services de santé de base par un paquet intégré de services incluant la vaccination, la prévention du</w:t>
      </w:r>
      <w:r>
        <w:rPr>
          <w:lang w:val="fr-FR"/>
        </w:rPr>
        <w:t xml:space="preserve"> paludisme, la consultation pré</w:t>
      </w:r>
      <w:r w:rsidRPr="00521891">
        <w:rPr>
          <w:lang w:val="fr-FR"/>
        </w:rPr>
        <w:t>natale et counseling et dépistage du VIH/</w:t>
      </w:r>
      <w:r>
        <w:rPr>
          <w:lang w:val="fr-FR"/>
        </w:rPr>
        <w:t>s</w:t>
      </w:r>
      <w:r w:rsidRPr="00521891">
        <w:rPr>
          <w:lang w:val="fr-FR"/>
        </w:rPr>
        <w:t>ida, le planning familial, la</w:t>
      </w:r>
      <w:r>
        <w:rPr>
          <w:lang w:val="fr-FR"/>
        </w:rPr>
        <w:t xml:space="preserve"> nutrition (supplémentation en v</w:t>
      </w:r>
      <w:r w:rsidRPr="00521891">
        <w:rPr>
          <w:lang w:val="fr-FR"/>
        </w:rPr>
        <w:t>it</w:t>
      </w:r>
      <w:r>
        <w:rPr>
          <w:lang w:val="fr-FR"/>
        </w:rPr>
        <w:t>amine</w:t>
      </w:r>
      <w:r w:rsidRPr="00521891">
        <w:rPr>
          <w:lang w:val="fr-FR"/>
        </w:rPr>
        <w:t xml:space="preserve"> A, déparasitage, dépistage de la malnutrition, supplémentation en FAF). </w:t>
      </w:r>
      <w:r>
        <w:rPr>
          <w:lang w:val="fr-FR"/>
        </w:rPr>
        <w:t xml:space="preserve">À </w:t>
      </w:r>
      <w:r w:rsidRPr="00521891">
        <w:rPr>
          <w:lang w:val="fr-FR"/>
        </w:rPr>
        <w:t>chaque édition, la gamme de service</w:t>
      </w:r>
      <w:r>
        <w:rPr>
          <w:lang w:val="fr-FR"/>
        </w:rPr>
        <w:t>s</w:t>
      </w:r>
      <w:r w:rsidRPr="00521891">
        <w:rPr>
          <w:lang w:val="fr-FR"/>
        </w:rPr>
        <w:t xml:space="preserve"> offert</w:t>
      </w:r>
      <w:r>
        <w:rPr>
          <w:lang w:val="fr-FR"/>
        </w:rPr>
        <w:t>s</w:t>
      </w:r>
      <w:r w:rsidRPr="00521891">
        <w:rPr>
          <w:lang w:val="fr-FR"/>
        </w:rPr>
        <w:t xml:space="preserve"> est définie selon les priorités de la période. La SSME cible en priorité les mères et les enfants des zones les moins accessibles et les moins desservies par les services de routine et vise à rejoindre au moins 90 % des populations. Cette stratégie a permis de renforcer et d</w:t>
      </w:r>
      <w:r>
        <w:rPr>
          <w:lang w:val="fr-FR"/>
        </w:rPr>
        <w:t>’</w:t>
      </w:r>
      <w:r w:rsidRPr="00521891">
        <w:rPr>
          <w:lang w:val="fr-FR"/>
        </w:rPr>
        <w:t>intégrer des stratégies efficaces pour atteindre les cibles dans les zones les plus reculées représentant 40 % de la population. Elle offre des services gratuits</w:t>
      </w:r>
      <w:r>
        <w:rPr>
          <w:lang w:val="fr-FR"/>
        </w:rPr>
        <w:t>,</w:t>
      </w:r>
      <w:r w:rsidRPr="00521891">
        <w:rPr>
          <w:lang w:val="fr-FR"/>
        </w:rPr>
        <w:t xml:space="preserve"> que ce soit en stratégie fixe, avancé</w:t>
      </w:r>
      <w:r>
        <w:rPr>
          <w:lang w:val="fr-FR"/>
        </w:rPr>
        <w:t>e</w:t>
      </w:r>
      <w:r w:rsidRPr="00521891">
        <w:rPr>
          <w:lang w:val="fr-FR"/>
        </w:rPr>
        <w:t xml:space="preserve"> ou mobile.</w:t>
      </w:r>
    </w:p>
    <w:p w:rsidR="00C06068" w:rsidRPr="00EA0F4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118" w:name="_Toc377129327"/>
      <w:r>
        <w:rPr>
          <w:lang w:val="fr-FR"/>
        </w:rPr>
        <w:tab/>
      </w:r>
      <w:r>
        <w:rPr>
          <w:lang w:val="fr-FR"/>
        </w:rPr>
        <w:tab/>
      </w:r>
      <w:r w:rsidRPr="00EA0F4E">
        <w:rPr>
          <w:b w:val="0"/>
          <w:lang w:val="fr-FR"/>
        </w:rPr>
        <w:t>Tableau 41</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 xml:space="preserve">Tendance de la couverture des paquets de services offerts au cours de </w:t>
      </w:r>
      <w:r>
        <w:rPr>
          <w:lang w:val="fr-FR"/>
        </w:rPr>
        <w:t xml:space="preserve">la </w:t>
      </w:r>
      <w:r w:rsidRPr="00521891">
        <w:rPr>
          <w:lang w:val="fr-FR"/>
        </w:rPr>
        <w:t>SSME</w:t>
      </w:r>
      <w:bookmarkEnd w:id="118"/>
    </w:p>
    <w:p w:rsidR="00C06068" w:rsidRDefault="00C06068" w:rsidP="00C06068">
      <w:pPr>
        <w:pStyle w:val="SingleTxt"/>
        <w:spacing w:after="0" w:line="120" w:lineRule="exact"/>
        <w:rPr>
          <w:sz w:val="10"/>
          <w:lang w:val="fr-FR"/>
        </w:rPr>
      </w:pPr>
    </w:p>
    <w:p w:rsidR="00C06068" w:rsidRDefault="00C06068" w:rsidP="00C06068">
      <w:pPr>
        <w:pStyle w:val="SingleTxt"/>
        <w:spacing w:after="0" w:line="120" w:lineRule="exact"/>
        <w:rPr>
          <w:sz w:val="10"/>
          <w:lang w:val="fr-FR"/>
        </w:rPr>
      </w:pPr>
    </w:p>
    <w:tbl>
      <w:tblPr>
        <w:tblW w:w="8582" w:type="dxa"/>
        <w:tblInd w:w="1260" w:type="dxa"/>
        <w:tblLayout w:type="fixed"/>
        <w:tblCellMar>
          <w:left w:w="0" w:type="dxa"/>
          <w:right w:w="0" w:type="dxa"/>
        </w:tblCellMar>
        <w:tblLook w:val="0000"/>
      </w:tblPr>
      <w:tblGrid>
        <w:gridCol w:w="3537"/>
        <w:gridCol w:w="666"/>
        <w:gridCol w:w="657"/>
        <w:gridCol w:w="99"/>
        <w:gridCol w:w="630"/>
        <w:gridCol w:w="621"/>
        <w:gridCol w:w="99"/>
        <w:gridCol w:w="558"/>
        <w:gridCol w:w="603"/>
        <w:gridCol w:w="63"/>
        <w:gridCol w:w="504"/>
        <w:gridCol w:w="545"/>
      </w:tblGrid>
      <w:tr w:rsidR="00C06068" w:rsidRPr="00C92DDA" w:rsidTr="007F3574">
        <w:tblPrEx>
          <w:tblCellMar>
            <w:top w:w="0" w:type="dxa"/>
            <w:bottom w:w="0" w:type="dxa"/>
          </w:tblCellMar>
        </w:tblPrEx>
        <w:trPr>
          <w:tblHeader/>
        </w:trPr>
        <w:tc>
          <w:tcPr>
            <w:tcW w:w="3537" w:type="dxa"/>
            <w:tcBorders>
              <w:top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323" w:type="dxa"/>
            <w:gridSpan w:val="2"/>
            <w:tcBorders>
              <w:top w:val="single" w:sz="4" w:space="0" w:color="auto"/>
              <w:bottom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2009</w:t>
            </w:r>
          </w:p>
        </w:tc>
        <w:tc>
          <w:tcPr>
            <w:tcW w:w="99" w:type="dxa"/>
            <w:tcBorders>
              <w:top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251" w:type="dxa"/>
            <w:gridSpan w:val="2"/>
            <w:tcBorders>
              <w:top w:val="single" w:sz="4" w:space="0" w:color="auto"/>
              <w:bottom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2010</w:t>
            </w:r>
          </w:p>
        </w:tc>
        <w:tc>
          <w:tcPr>
            <w:tcW w:w="99" w:type="dxa"/>
            <w:tcBorders>
              <w:top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161" w:type="dxa"/>
            <w:gridSpan w:val="2"/>
            <w:tcBorders>
              <w:top w:val="single" w:sz="4" w:space="0" w:color="auto"/>
              <w:bottom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2011</w:t>
            </w:r>
          </w:p>
        </w:tc>
        <w:tc>
          <w:tcPr>
            <w:tcW w:w="63" w:type="dxa"/>
            <w:tcBorders>
              <w:top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1049" w:type="dxa"/>
            <w:gridSpan w:val="2"/>
            <w:tcBorders>
              <w:top w:val="single" w:sz="4" w:space="0" w:color="auto"/>
              <w:bottom w:val="single" w:sz="4"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2012</w:t>
            </w:r>
          </w:p>
        </w:tc>
      </w:tr>
      <w:tr w:rsidR="00C06068" w:rsidRPr="00C92DDA" w:rsidTr="007F3574">
        <w:tblPrEx>
          <w:tblCellMar>
            <w:top w:w="0" w:type="dxa"/>
            <w:bottom w:w="0" w:type="dxa"/>
          </w:tblCellMar>
        </w:tblPrEx>
        <w:trPr>
          <w:tblHeader/>
        </w:trPr>
        <w:tc>
          <w:tcPr>
            <w:tcW w:w="3537"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C92DDA">
              <w:rPr>
                <w:i/>
                <w:sz w:val="14"/>
                <w:lang w:val="fr-FR"/>
              </w:rPr>
              <w:t>Couverture (pourcentage)</w:t>
            </w:r>
          </w:p>
        </w:tc>
        <w:tc>
          <w:tcPr>
            <w:tcW w:w="666"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Avril</w:t>
            </w:r>
          </w:p>
        </w:tc>
        <w:tc>
          <w:tcPr>
            <w:tcW w:w="657"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Octobre</w:t>
            </w:r>
          </w:p>
        </w:tc>
        <w:tc>
          <w:tcPr>
            <w:tcW w:w="99"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c>
          <w:tcPr>
            <w:tcW w:w="630"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Avril</w:t>
            </w:r>
          </w:p>
        </w:tc>
        <w:tc>
          <w:tcPr>
            <w:tcW w:w="621"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Octobre</w:t>
            </w:r>
          </w:p>
        </w:tc>
        <w:tc>
          <w:tcPr>
            <w:tcW w:w="99"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c>
          <w:tcPr>
            <w:tcW w:w="558"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Avril</w:t>
            </w:r>
          </w:p>
        </w:tc>
        <w:tc>
          <w:tcPr>
            <w:tcW w:w="603"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Octobre</w:t>
            </w:r>
          </w:p>
        </w:tc>
        <w:tc>
          <w:tcPr>
            <w:tcW w:w="63"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c>
          <w:tcPr>
            <w:tcW w:w="504"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Avril</w:t>
            </w:r>
          </w:p>
        </w:tc>
        <w:tc>
          <w:tcPr>
            <w:tcW w:w="545" w:type="dxa"/>
            <w:tcBorders>
              <w:top w:val="single" w:sz="4" w:space="0" w:color="auto"/>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Octobre</w:t>
            </w:r>
          </w:p>
        </w:tc>
      </w:tr>
      <w:tr w:rsidR="00C06068" w:rsidRPr="00C92DDA" w:rsidTr="007F3574">
        <w:tblPrEx>
          <w:tblCellMar>
            <w:top w:w="0" w:type="dxa"/>
            <w:bottom w:w="0" w:type="dxa"/>
          </w:tblCellMar>
        </w:tblPrEx>
        <w:trPr>
          <w:trHeight w:hRule="exact" w:val="115"/>
          <w:tblHeader/>
        </w:trPr>
        <w:tc>
          <w:tcPr>
            <w:tcW w:w="3537"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rPr>
                <w:sz w:val="17"/>
                <w:lang w:val="fr-FR"/>
              </w:rPr>
            </w:pPr>
          </w:p>
        </w:tc>
        <w:tc>
          <w:tcPr>
            <w:tcW w:w="666"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57"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9"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21"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9"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03"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5" w:type="dxa"/>
            <w:tcBorders>
              <w:top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Supplémentation en </w:t>
            </w:r>
            <w:r>
              <w:rPr>
                <w:sz w:val="17"/>
                <w:lang w:val="fr-FR"/>
              </w:rPr>
              <w:t xml:space="preserve">vitamine </w:t>
            </w:r>
            <w:r w:rsidRPr="00917E2F">
              <w:rPr>
                <w:sz w:val="17"/>
                <w:lang w:val="fr-FR"/>
              </w:rPr>
              <w:t xml:space="preserve">A chez les enfants </w:t>
            </w:r>
            <w:r>
              <w:rPr>
                <w:sz w:val="17"/>
                <w:lang w:val="fr-FR"/>
              </w:rPr>
              <w:t xml:space="preserve">de </w:t>
            </w:r>
            <w:r w:rsidRPr="00917E2F">
              <w:rPr>
                <w:sz w:val="17"/>
                <w:lang w:val="fr-FR"/>
              </w:rPr>
              <w:t>6 à 59 mois</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98</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91</w:t>
            </w:r>
          </w:p>
        </w:tc>
        <w:tc>
          <w:tcPr>
            <w:tcW w:w="60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98</w:t>
            </w: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96</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Déparasitage </w:t>
            </w:r>
            <w:r>
              <w:rPr>
                <w:sz w:val="17"/>
                <w:lang w:val="fr-FR"/>
              </w:rPr>
              <w:t xml:space="preserve">des </w:t>
            </w:r>
            <w:r w:rsidRPr="00917E2F">
              <w:rPr>
                <w:sz w:val="17"/>
                <w:lang w:val="fr-FR"/>
              </w:rPr>
              <w:t xml:space="preserve">enfants </w:t>
            </w:r>
            <w:r>
              <w:rPr>
                <w:sz w:val="17"/>
                <w:lang w:val="fr-FR"/>
              </w:rPr>
              <w:t xml:space="preserve">de </w:t>
            </w:r>
            <w:r w:rsidRPr="00917E2F">
              <w:rPr>
                <w:sz w:val="17"/>
                <w:lang w:val="fr-FR"/>
              </w:rPr>
              <w:t>12 à 59 mois</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97</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99</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96</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92</w:t>
            </w:r>
          </w:p>
        </w:tc>
        <w:tc>
          <w:tcPr>
            <w:tcW w:w="60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96</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Déparasitage des FE &gt; 4</w:t>
            </w:r>
            <w:r>
              <w:rPr>
                <w:sz w:val="17"/>
                <w:lang w:val="fr-FR"/>
              </w:rPr>
              <w:t xml:space="preserve"> </w:t>
            </w:r>
            <w:r w:rsidRPr="00917E2F">
              <w:rPr>
                <w:sz w:val="17"/>
                <w:lang w:val="fr-FR"/>
              </w:rPr>
              <w:t>mois de grossesse</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39</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53</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51</w:t>
            </w:r>
          </w:p>
        </w:tc>
        <w:tc>
          <w:tcPr>
            <w:tcW w:w="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54</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52</w:t>
            </w:r>
          </w:p>
        </w:tc>
        <w:tc>
          <w:tcPr>
            <w:tcW w:w="60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56</w:t>
            </w: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50</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48</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Dépistage de la </w:t>
            </w:r>
            <w:r>
              <w:rPr>
                <w:sz w:val="17"/>
                <w:lang w:val="fr-FR"/>
              </w:rPr>
              <w:t>malnutrition aiguë</w:t>
            </w:r>
            <w:r w:rsidRPr="00917E2F">
              <w:rPr>
                <w:sz w:val="17"/>
                <w:lang w:val="fr-FR"/>
              </w:rPr>
              <w:t xml:space="preserve"> des enfants de 6 à 59 mois</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59</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81</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92</w:t>
            </w:r>
          </w:p>
        </w:tc>
        <w:tc>
          <w:tcPr>
            <w:tcW w:w="621"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95</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67</w:t>
            </w:r>
          </w:p>
        </w:tc>
        <w:tc>
          <w:tcPr>
            <w:tcW w:w="603"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87</w:t>
            </w: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85</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92</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Supplémentation en FAF chez les FE</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57"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21"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0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100</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Dépistage du </w:t>
            </w:r>
            <w:r w:rsidRPr="00917E2F">
              <w:rPr>
                <w:sz w:val="17"/>
                <w:lang w:val="fr-FR"/>
              </w:rPr>
              <w:t>VIH chez les FE</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57</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63</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21"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0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70</w:t>
            </w:r>
          </w:p>
        </w:tc>
        <w:tc>
          <w:tcPr>
            <w:tcW w:w="54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52</w:t>
            </w:r>
          </w:p>
        </w:tc>
      </w:tr>
      <w:tr w:rsidR="00C06068" w:rsidRPr="00C92DDA" w:rsidTr="007F3574">
        <w:tblPrEx>
          <w:tblCellMar>
            <w:top w:w="0" w:type="dxa"/>
            <w:bottom w:w="0" w:type="dxa"/>
          </w:tblCellMar>
        </w:tblPrEx>
        <w:tc>
          <w:tcPr>
            <w:tcW w:w="3537"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Administration en TP1 et TP2 chez les FE</w:t>
            </w:r>
          </w:p>
        </w:tc>
        <w:tc>
          <w:tcPr>
            <w:tcW w:w="666"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33</w:t>
            </w:r>
          </w:p>
        </w:tc>
        <w:tc>
          <w:tcPr>
            <w:tcW w:w="657"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25</w:t>
            </w: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21"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99"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0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5" w:type="dxa"/>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r w:rsidR="00C06068" w:rsidRPr="00C92DDA" w:rsidTr="007F3574">
        <w:tblPrEx>
          <w:tblCellMar>
            <w:top w:w="0" w:type="dxa"/>
            <w:bottom w:w="0" w:type="dxa"/>
          </w:tblCellMar>
        </w:tblPrEx>
        <w:tc>
          <w:tcPr>
            <w:tcW w:w="3537"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Planification familiale (recrutement de NU)</w:t>
            </w:r>
          </w:p>
        </w:tc>
        <w:tc>
          <w:tcPr>
            <w:tcW w:w="666"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34 154</w:t>
            </w:r>
          </w:p>
        </w:tc>
        <w:tc>
          <w:tcPr>
            <w:tcW w:w="657"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21 347</w:t>
            </w:r>
          </w:p>
        </w:tc>
        <w:tc>
          <w:tcPr>
            <w:tcW w:w="99"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0"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21"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10 751</w:t>
            </w:r>
          </w:p>
        </w:tc>
        <w:tc>
          <w:tcPr>
            <w:tcW w:w="99"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58"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03"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63"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545" w:type="dxa"/>
            <w:tcBorders>
              <w:bottom w:val="single" w:sz="12" w:space="0" w:color="auto"/>
            </w:tcBorders>
            <w:shd w:val="clear" w:color="auto" w:fill="auto"/>
            <w:vAlign w:val="bottom"/>
          </w:tcPr>
          <w:p w:rsidR="00C06068" w:rsidRPr="00C92DDA"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r>
    </w:tbl>
    <w:p w:rsidR="00C06068" w:rsidRDefault="00C06068" w:rsidP="00C06068">
      <w:pPr>
        <w:pStyle w:val="SingleTxt"/>
        <w:spacing w:after="0" w:line="120" w:lineRule="exact"/>
        <w:rPr>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EA0F4E">
        <w:rPr>
          <w:i/>
          <w:lang w:val="fr-FR"/>
        </w:rPr>
        <w:t>Source</w:t>
      </w:r>
      <w:r w:rsidRPr="00917E2F">
        <w:rPr>
          <w:lang w:val="fr-FR"/>
        </w:rPr>
        <w:t> :</w:t>
      </w:r>
      <w:r w:rsidRPr="00521891">
        <w:rPr>
          <w:lang w:val="fr-FR"/>
        </w:rPr>
        <w:t xml:space="preserve"> Ministère de la santé publique</w:t>
      </w:r>
      <w:r>
        <w:rPr>
          <w:lang w:val="fr-FR"/>
        </w:rPr>
        <w:t>.</w:t>
      </w: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A0F4E"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Malgré les efforts déployés, l</w:t>
      </w:r>
      <w:r>
        <w:rPr>
          <w:lang w:val="fr-FR"/>
        </w:rPr>
        <w:t>’</w:t>
      </w:r>
      <w:r w:rsidRPr="00521891">
        <w:rPr>
          <w:lang w:val="fr-FR"/>
        </w:rPr>
        <w:t>accès des femmes aux services de santé reste limité pour les femmes rurales. Les obstacles ont été identifiés tant au niveau urbain que rural dont entre autres l</w:t>
      </w:r>
      <w:r>
        <w:rPr>
          <w:lang w:val="fr-FR"/>
        </w:rPr>
        <w:t>’</w:t>
      </w:r>
      <w:r w:rsidRPr="00521891">
        <w:rPr>
          <w:lang w:val="fr-FR"/>
        </w:rPr>
        <w:t>autorisation du mari d</w:t>
      </w:r>
      <w:r>
        <w:rPr>
          <w:lang w:val="fr-FR"/>
        </w:rPr>
        <w:t>’</w:t>
      </w:r>
      <w:r w:rsidRPr="00521891">
        <w:rPr>
          <w:lang w:val="fr-FR"/>
        </w:rPr>
        <w:t>aller se faire soigner.</w:t>
      </w:r>
    </w:p>
    <w:p w:rsidR="00C06068" w:rsidRPr="00EA0F4E" w:rsidRDefault="00C06068" w:rsidP="00C06068">
      <w:pPr>
        <w:pStyle w:val="SingleTxt"/>
        <w:spacing w:after="0" w:line="120" w:lineRule="exact"/>
        <w:rPr>
          <w:b/>
          <w:sz w:val="10"/>
          <w:lang w:val="fr-FR"/>
        </w:rPr>
      </w:pPr>
      <w:bookmarkStart w:id="119" w:name="_Toc377129328"/>
    </w:p>
    <w:p w:rsidR="00C06068" w:rsidRPr="00EA0F4E"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EA0F4E">
        <w:rPr>
          <w:b w:val="0"/>
          <w:lang w:val="fr-FR"/>
        </w:rPr>
        <w:t>Tableau 42</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21891">
        <w:rPr>
          <w:lang w:val="fr-FR"/>
        </w:rPr>
        <w:t>Problèmes d</w:t>
      </w:r>
      <w:r>
        <w:rPr>
          <w:lang w:val="fr-FR"/>
        </w:rPr>
        <w:t>’</w:t>
      </w:r>
      <w:r w:rsidRPr="00521891">
        <w:rPr>
          <w:lang w:val="fr-FR"/>
        </w:rPr>
        <w:t>accès aux soins des femmes de 15 à 49 ans selon le milieu de résidence</w:t>
      </w:r>
      <w:bookmarkEnd w:id="119"/>
    </w:p>
    <w:p w:rsidR="00C06068" w:rsidRPr="00EA0F4E" w:rsidRDefault="00C06068" w:rsidP="00C06068">
      <w:pPr>
        <w:pStyle w:val="SingleTxt"/>
        <w:spacing w:after="0" w:line="120" w:lineRule="exact"/>
        <w:rPr>
          <w:sz w:val="10"/>
          <w:lang w:val="fr-FR"/>
        </w:rPr>
      </w:pPr>
    </w:p>
    <w:p w:rsidR="00C06068" w:rsidRPr="00EA0F4E" w:rsidRDefault="00C06068" w:rsidP="00C06068">
      <w:pPr>
        <w:pStyle w:val="SingleTxt"/>
        <w:spacing w:after="0" w:line="120" w:lineRule="exact"/>
        <w:rPr>
          <w:sz w:val="10"/>
          <w:lang w:val="fr-FR"/>
        </w:rPr>
      </w:pPr>
    </w:p>
    <w:tbl>
      <w:tblPr>
        <w:tblW w:w="9846" w:type="dxa"/>
        <w:tblBorders>
          <w:top w:val="single" w:sz="4" w:space="0" w:color="auto"/>
        </w:tblBorders>
        <w:tblLayout w:type="fixed"/>
        <w:tblCellMar>
          <w:left w:w="0" w:type="dxa"/>
          <w:right w:w="0" w:type="dxa"/>
        </w:tblCellMar>
        <w:tblLook w:val="04A0"/>
      </w:tblPr>
      <w:tblGrid>
        <w:gridCol w:w="1324"/>
        <w:gridCol w:w="946"/>
        <w:gridCol w:w="947"/>
        <w:gridCol w:w="947"/>
        <w:gridCol w:w="947"/>
        <w:gridCol w:w="947"/>
        <w:gridCol w:w="947"/>
        <w:gridCol w:w="947"/>
        <w:gridCol w:w="947"/>
        <w:gridCol w:w="947"/>
      </w:tblGrid>
      <w:tr w:rsidR="00C06068" w:rsidRPr="00FC6584" w:rsidTr="007F3574">
        <w:trPr>
          <w:trHeight w:val="240"/>
          <w:tblHeader/>
        </w:trPr>
        <w:tc>
          <w:tcPr>
            <w:tcW w:w="1324" w:type="dxa"/>
            <w:vMerge w:val="restart"/>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Milieu de résidence</w:t>
            </w:r>
          </w:p>
        </w:tc>
        <w:tc>
          <w:tcPr>
            <w:tcW w:w="8522" w:type="dxa"/>
            <w:gridSpan w:val="9"/>
            <w:tcBorders>
              <w:top w:val="single" w:sz="4" w:space="0" w:color="auto"/>
              <w:bottom w:val="single" w:sz="4" w:space="0" w:color="auto"/>
            </w:tcBorders>
            <w:shd w:val="clear" w:color="auto" w:fill="auto"/>
            <w:noWrap/>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Problèmes d</w:t>
            </w:r>
            <w:r>
              <w:rPr>
                <w:i/>
                <w:sz w:val="14"/>
                <w:lang w:val="fr-FR"/>
              </w:rPr>
              <w:t>’</w:t>
            </w:r>
            <w:r w:rsidRPr="00FC6584">
              <w:rPr>
                <w:i/>
                <w:sz w:val="14"/>
                <w:lang w:val="fr-FR"/>
              </w:rPr>
              <w:t>accès aux soins de santé</w:t>
            </w:r>
          </w:p>
        </w:tc>
      </w:tr>
      <w:tr w:rsidR="00C06068" w:rsidRPr="00FC6584" w:rsidTr="007F3574">
        <w:trPr>
          <w:cantSplit/>
          <w:trHeight w:val="613"/>
          <w:tblHeader/>
        </w:trPr>
        <w:tc>
          <w:tcPr>
            <w:tcW w:w="1324" w:type="dxa"/>
            <w:vMerge/>
            <w:tcBorders>
              <w:top w:val="single" w:sz="12"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946"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Avoir la permission d</w:t>
            </w:r>
            <w:r>
              <w:rPr>
                <w:i/>
                <w:sz w:val="14"/>
                <w:lang w:val="fr-FR"/>
              </w:rPr>
              <w:t>’</w:t>
            </w:r>
            <w:r w:rsidRPr="00FC6584">
              <w:rPr>
                <w:i/>
                <w:sz w:val="14"/>
                <w:lang w:val="fr-FR"/>
              </w:rPr>
              <w:t>aller se faire soigner</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Avoir l</w:t>
            </w:r>
            <w:r>
              <w:rPr>
                <w:i/>
                <w:sz w:val="14"/>
                <w:lang w:val="fr-FR"/>
              </w:rPr>
              <w:t>’</w:t>
            </w:r>
            <w:r w:rsidRPr="00FC6584">
              <w:rPr>
                <w:i/>
                <w:sz w:val="14"/>
                <w:lang w:val="fr-FR"/>
              </w:rPr>
              <w:t>argent pour le traitement</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Distance </w:t>
            </w:r>
            <w:r>
              <w:rPr>
                <w:i/>
                <w:sz w:val="14"/>
                <w:lang w:val="fr-FR"/>
              </w:rPr>
              <w:br/>
              <w:t xml:space="preserve">du </w:t>
            </w:r>
            <w:r w:rsidRPr="00FC6584">
              <w:rPr>
                <w:i/>
                <w:sz w:val="14"/>
                <w:lang w:val="fr-FR"/>
              </w:rPr>
              <w:t xml:space="preserve">service </w:t>
            </w:r>
            <w:r>
              <w:rPr>
                <w:i/>
                <w:sz w:val="14"/>
                <w:lang w:val="fr-FR"/>
              </w:rPr>
              <w:br/>
            </w:r>
            <w:r w:rsidRPr="00FC6584">
              <w:rPr>
                <w:i/>
                <w:sz w:val="14"/>
                <w:lang w:val="fr-FR"/>
              </w:rPr>
              <w:t>de santé</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Avoir </w:t>
            </w:r>
            <w:r>
              <w:rPr>
                <w:i/>
                <w:sz w:val="14"/>
                <w:lang w:val="fr-FR"/>
              </w:rPr>
              <w:br/>
            </w:r>
            <w:r w:rsidRPr="00FC6584">
              <w:rPr>
                <w:i/>
                <w:sz w:val="14"/>
                <w:lang w:val="fr-FR"/>
              </w:rPr>
              <w:t xml:space="preserve">à prendre </w:t>
            </w:r>
            <w:r>
              <w:rPr>
                <w:i/>
                <w:sz w:val="14"/>
                <w:lang w:val="fr-FR"/>
              </w:rPr>
              <w:br/>
            </w:r>
            <w:r w:rsidRPr="00FC6584">
              <w:rPr>
                <w:i/>
                <w:sz w:val="14"/>
                <w:lang w:val="fr-FR"/>
              </w:rPr>
              <w:t xml:space="preserve">un moyen </w:t>
            </w:r>
            <w:r>
              <w:rPr>
                <w:i/>
                <w:sz w:val="14"/>
                <w:lang w:val="fr-FR"/>
              </w:rPr>
              <w:br/>
            </w:r>
            <w:r w:rsidRPr="00FC6584">
              <w:rPr>
                <w:i/>
                <w:sz w:val="14"/>
                <w:lang w:val="fr-FR"/>
              </w:rPr>
              <w:t>de transport</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Ne pas vouloir </w:t>
            </w:r>
            <w:r>
              <w:rPr>
                <w:i/>
                <w:sz w:val="14"/>
                <w:lang w:val="fr-FR"/>
              </w:rPr>
              <w:br/>
            </w:r>
            <w:r w:rsidRPr="00FC6584">
              <w:rPr>
                <w:i/>
                <w:sz w:val="14"/>
                <w:lang w:val="fr-FR"/>
              </w:rPr>
              <w:t>y aller seule</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 xml:space="preserve">Crainte que </w:t>
            </w:r>
            <w:r>
              <w:rPr>
                <w:i/>
                <w:sz w:val="14"/>
                <w:lang w:val="fr-FR"/>
              </w:rPr>
              <w:br/>
            </w:r>
            <w:r w:rsidRPr="00FC6584">
              <w:rPr>
                <w:i/>
                <w:sz w:val="14"/>
                <w:lang w:val="fr-FR"/>
              </w:rPr>
              <w:t>le prestataire ne soit pas une femme</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Crainte qu</w:t>
            </w:r>
            <w:r>
              <w:rPr>
                <w:i/>
                <w:sz w:val="14"/>
                <w:lang w:val="fr-FR"/>
              </w:rPr>
              <w:t>’</w:t>
            </w:r>
            <w:r w:rsidRPr="00FC6584">
              <w:rPr>
                <w:i/>
                <w:sz w:val="14"/>
                <w:lang w:val="fr-FR"/>
              </w:rPr>
              <w:t xml:space="preserve">un prestataire </w:t>
            </w:r>
            <w:r>
              <w:rPr>
                <w:i/>
                <w:sz w:val="14"/>
                <w:lang w:val="fr-FR"/>
              </w:rPr>
              <w:br/>
            </w:r>
            <w:r w:rsidRPr="00FC6584">
              <w:rPr>
                <w:i/>
                <w:sz w:val="14"/>
                <w:lang w:val="fr-FR"/>
              </w:rPr>
              <w:t>ne soit pas disponible</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Crainte qu</w:t>
            </w:r>
            <w:r>
              <w:rPr>
                <w:i/>
                <w:sz w:val="14"/>
                <w:lang w:val="fr-FR"/>
              </w:rPr>
              <w:t>’</w:t>
            </w:r>
            <w:r w:rsidRPr="00FC6584">
              <w:rPr>
                <w:i/>
                <w:sz w:val="14"/>
                <w:lang w:val="fr-FR"/>
              </w:rPr>
              <w:t>aucun médicament ne soit disponible</w:t>
            </w:r>
          </w:p>
        </w:tc>
        <w:tc>
          <w:tcPr>
            <w:tcW w:w="947" w:type="dxa"/>
            <w:tcBorders>
              <w:top w:val="single" w:sz="4" w:space="0" w:color="auto"/>
              <w:bottom w:val="single" w:sz="12" w:space="0" w:color="auto"/>
            </w:tcBorders>
            <w:shd w:val="clear" w:color="auto" w:fill="auto"/>
            <w:vAlign w:val="bottom"/>
            <w:hideMark/>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Au moins un des problèmes pour l</w:t>
            </w:r>
            <w:r>
              <w:rPr>
                <w:i/>
                <w:sz w:val="14"/>
                <w:lang w:val="fr-FR"/>
              </w:rPr>
              <w:t>’</w:t>
            </w:r>
            <w:r w:rsidRPr="00FC6584">
              <w:rPr>
                <w:i/>
                <w:sz w:val="14"/>
                <w:lang w:val="fr-FR"/>
              </w:rPr>
              <w:t xml:space="preserve">accès aux soins </w:t>
            </w:r>
            <w:r>
              <w:rPr>
                <w:i/>
                <w:sz w:val="14"/>
                <w:lang w:val="fr-FR"/>
              </w:rPr>
              <w:br/>
            </w:r>
            <w:r w:rsidRPr="00FC6584">
              <w:rPr>
                <w:i/>
                <w:sz w:val="14"/>
                <w:lang w:val="fr-FR"/>
              </w:rPr>
              <w:t>de santé</w:t>
            </w:r>
          </w:p>
        </w:tc>
      </w:tr>
      <w:tr w:rsidR="00C06068" w:rsidRPr="00FC6584" w:rsidTr="007F3574">
        <w:trPr>
          <w:trHeight w:val="240"/>
        </w:trPr>
        <w:tc>
          <w:tcPr>
            <w:tcW w:w="1324" w:type="dxa"/>
            <w:tcBorders>
              <w:top w:val="single" w:sz="12" w:space="0" w:color="auto"/>
            </w:tcBorders>
            <w:shd w:val="clear" w:color="auto" w:fill="auto"/>
            <w:hideMark/>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 xml:space="preserve">Capitale </w:t>
            </w:r>
          </w:p>
        </w:tc>
        <w:tc>
          <w:tcPr>
            <w:tcW w:w="946"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15,1</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46,1</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27,8</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23,7</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27</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17,2</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36,1</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39,6</w:t>
            </w:r>
          </w:p>
        </w:tc>
        <w:tc>
          <w:tcPr>
            <w:tcW w:w="947" w:type="dxa"/>
            <w:tcBorders>
              <w:top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74,3</w:t>
            </w:r>
          </w:p>
        </w:tc>
      </w:tr>
      <w:tr w:rsidR="00C06068" w:rsidRPr="00FC6584" w:rsidTr="007F3574">
        <w:trPr>
          <w:trHeight w:val="240"/>
        </w:trPr>
        <w:tc>
          <w:tcPr>
            <w:tcW w:w="1324" w:type="dxa"/>
            <w:shd w:val="clear" w:color="auto" w:fill="auto"/>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 xml:space="preserve">Autres </w:t>
            </w:r>
            <w:r>
              <w:rPr>
                <w:sz w:val="17"/>
                <w:lang w:val="fr-FR"/>
              </w:rPr>
              <w:t>v</w:t>
            </w:r>
            <w:r w:rsidRPr="00917E2F">
              <w:rPr>
                <w:sz w:val="17"/>
                <w:lang w:val="fr-FR"/>
              </w:rPr>
              <w:t xml:space="preserve">illes </w:t>
            </w:r>
          </w:p>
        </w:tc>
        <w:tc>
          <w:tcPr>
            <w:tcW w:w="946"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9,7</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46,1</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18,6</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14,4</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20</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10,4</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31,9</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32,5</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67,1</w:t>
            </w:r>
          </w:p>
        </w:tc>
      </w:tr>
      <w:tr w:rsidR="00C06068" w:rsidRPr="00FC6584" w:rsidTr="007F3574">
        <w:trPr>
          <w:trHeight w:val="240"/>
        </w:trPr>
        <w:tc>
          <w:tcPr>
            <w:tcW w:w="1324" w:type="dxa"/>
            <w:shd w:val="clear" w:color="auto" w:fill="auto"/>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Ensemble u</w:t>
            </w:r>
            <w:r w:rsidRPr="00917E2F">
              <w:rPr>
                <w:sz w:val="17"/>
                <w:lang w:val="fr-FR"/>
              </w:rPr>
              <w:t xml:space="preserve">rbain </w:t>
            </w:r>
          </w:p>
        </w:tc>
        <w:tc>
          <w:tcPr>
            <w:tcW w:w="946"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11,6</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46,1</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21,9</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17,8</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22,5</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12,9</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33,4</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35,1</w:t>
            </w:r>
          </w:p>
        </w:tc>
        <w:tc>
          <w:tcPr>
            <w:tcW w:w="947" w:type="dxa"/>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69,7</w:t>
            </w:r>
          </w:p>
        </w:tc>
      </w:tr>
      <w:tr w:rsidR="00C06068" w:rsidRPr="00FC6584" w:rsidTr="007F3574">
        <w:trPr>
          <w:trHeight w:val="240"/>
        </w:trPr>
        <w:tc>
          <w:tcPr>
            <w:tcW w:w="1324" w:type="dxa"/>
            <w:tcBorders>
              <w:bottom w:val="single" w:sz="12" w:space="0" w:color="auto"/>
            </w:tcBorders>
            <w:shd w:val="clear" w:color="auto" w:fill="auto"/>
            <w:noWrap/>
            <w:hideMark/>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Rural</w:t>
            </w:r>
          </w:p>
        </w:tc>
        <w:tc>
          <w:tcPr>
            <w:tcW w:w="946"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15,7</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56,9</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46</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34,2</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29,6</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17,6</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44,1</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44,9</w:t>
            </w:r>
          </w:p>
        </w:tc>
        <w:tc>
          <w:tcPr>
            <w:tcW w:w="947" w:type="dxa"/>
            <w:tcBorders>
              <w:bottom w:val="single" w:sz="12" w:space="0" w:color="auto"/>
            </w:tcBorders>
            <w:shd w:val="clear" w:color="auto" w:fill="auto"/>
            <w:noWrap/>
            <w:vAlign w:val="bottom"/>
            <w:hideMark/>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76,9</w:t>
            </w:r>
          </w:p>
        </w:tc>
      </w:tr>
    </w:tbl>
    <w:p w:rsidR="00C06068" w:rsidRPr="009F69A5" w:rsidRDefault="00C06068" w:rsidP="00C06068">
      <w:pPr>
        <w:pStyle w:val="SingleTxt"/>
        <w:spacing w:after="0" w:line="120" w:lineRule="exact"/>
        <w:rPr>
          <w:i/>
          <w:sz w:val="10"/>
          <w:lang w:val="fr-FR"/>
        </w:rPr>
      </w:pPr>
    </w:p>
    <w:p w:rsidR="00C06068" w:rsidRDefault="00C06068" w:rsidP="00C06068">
      <w:pPr>
        <w:pStyle w:val="FootnoteText"/>
        <w:tabs>
          <w:tab w:val="right" w:pos="216"/>
          <w:tab w:val="left" w:pos="288"/>
          <w:tab w:val="right" w:pos="576"/>
          <w:tab w:val="left" w:pos="648"/>
        </w:tabs>
        <w:ind w:left="288" w:hanging="288"/>
        <w:rPr>
          <w:lang w:val="fr-FR"/>
        </w:rPr>
      </w:pPr>
      <w:r w:rsidRPr="009F69A5">
        <w:rPr>
          <w:i/>
          <w:lang w:val="fr-FR"/>
        </w:rPr>
        <w:t>Source</w:t>
      </w:r>
      <w:r w:rsidRPr="00917E2F">
        <w:rPr>
          <w:lang w:val="fr-FR"/>
        </w:rPr>
        <w:t> :</w:t>
      </w:r>
      <w:r w:rsidRPr="00521891">
        <w:rPr>
          <w:lang w:val="fr-FR"/>
        </w:rPr>
        <w:t xml:space="preserve"> Enquête démographique et de santé 2008-2009</w:t>
      </w:r>
      <w:r>
        <w:rPr>
          <w:lang w:val="fr-FR"/>
        </w:rPr>
        <w:t>.</w:t>
      </w:r>
    </w:p>
    <w:p w:rsidR="00C06068" w:rsidRPr="001C5AFA"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1C5AFA" w:rsidRDefault="00C06068" w:rsidP="00C06068">
      <w:pPr>
        <w:pStyle w:val="FootnoteText"/>
        <w:tabs>
          <w:tab w:val="right" w:pos="216"/>
          <w:tab w:val="left" w:pos="288"/>
          <w:tab w:val="right" w:pos="576"/>
          <w:tab w:val="left" w:pos="648"/>
        </w:tabs>
        <w:spacing w:line="120" w:lineRule="exact"/>
        <w:ind w:left="288" w:hanging="288"/>
        <w:rPr>
          <w:sz w:val="10"/>
          <w:lang w:val="fr-FR"/>
        </w:rPr>
      </w:pPr>
    </w:p>
    <w:p w:rsidR="00C06068" w:rsidRPr="00521891" w:rsidRDefault="00C06068" w:rsidP="00C06068">
      <w:pPr>
        <w:pStyle w:val="SingleTxt"/>
        <w:numPr>
          <w:ilvl w:val="0"/>
          <w:numId w:val="10"/>
        </w:numPr>
        <w:rPr>
          <w:lang w:val="fr-FR"/>
        </w:rPr>
      </w:pPr>
      <w:r w:rsidRPr="00521891">
        <w:rPr>
          <w:lang w:val="fr-FR"/>
        </w:rPr>
        <w:t xml:space="preserve">Depuis 2013, pour une durée de 3 ans, en vue de réduire la vulnérabilité des populations les plus démunies et les plus affectées par la crise, le </w:t>
      </w:r>
      <w:r w:rsidRPr="00521891">
        <w:rPr>
          <w:bCs/>
          <w:lang w:val="fr-FR"/>
        </w:rPr>
        <w:t>P</w:t>
      </w:r>
      <w:r w:rsidRPr="00521891">
        <w:rPr>
          <w:lang w:val="fr-FR"/>
        </w:rPr>
        <w:t>rogramme d</w:t>
      </w:r>
      <w:r>
        <w:rPr>
          <w:lang w:val="fr-FR"/>
        </w:rPr>
        <w:t>’</w:t>
      </w:r>
      <w:r w:rsidRPr="00521891">
        <w:rPr>
          <w:bCs/>
          <w:lang w:val="fr-FR"/>
        </w:rPr>
        <w:t>a</w:t>
      </w:r>
      <w:r w:rsidRPr="00521891">
        <w:rPr>
          <w:lang w:val="fr-FR"/>
        </w:rPr>
        <w:t xml:space="preserve">ppui aux </w:t>
      </w:r>
      <w:r w:rsidRPr="00521891">
        <w:rPr>
          <w:bCs/>
          <w:lang w:val="fr-FR"/>
        </w:rPr>
        <w:t>s</w:t>
      </w:r>
      <w:r w:rsidRPr="00521891">
        <w:rPr>
          <w:lang w:val="fr-FR"/>
        </w:rPr>
        <w:t xml:space="preserve">ecteurs </w:t>
      </w:r>
      <w:r w:rsidRPr="00521891">
        <w:rPr>
          <w:bCs/>
          <w:lang w:val="fr-FR"/>
        </w:rPr>
        <w:t>so</w:t>
      </w:r>
      <w:r w:rsidRPr="00521891">
        <w:rPr>
          <w:lang w:val="fr-FR"/>
        </w:rPr>
        <w:t xml:space="preserve">ciaux de </w:t>
      </w:r>
      <w:r w:rsidRPr="00521891">
        <w:rPr>
          <w:bCs/>
          <w:lang w:val="fr-FR"/>
        </w:rPr>
        <w:t>ba</w:t>
      </w:r>
      <w:r w:rsidRPr="00521891">
        <w:rPr>
          <w:lang w:val="fr-FR"/>
        </w:rPr>
        <w:t>se dans le secteur santé ou projet PASSOBA</w:t>
      </w:r>
      <w:r>
        <w:rPr>
          <w:lang w:val="fr-FR"/>
        </w:rPr>
        <w:t>-</w:t>
      </w:r>
      <w:r w:rsidRPr="00521891">
        <w:rPr>
          <w:lang w:val="fr-FR"/>
        </w:rPr>
        <w:t xml:space="preserve"> </w:t>
      </w:r>
      <w:r>
        <w:rPr>
          <w:lang w:val="fr-FR"/>
        </w:rPr>
        <w:t>s</w:t>
      </w:r>
      <w:r w:rsidRPr="00521891">
        <w:rPr>
          <w:lang w:val="fr-FR"/>
        </w:rPr>
        <w:t xml:space="preserve">anté a été mis en œuvre dans </w:t>
      </w:r>
      <w:r>
        <w:rPr>
          <w:lang w:val="fr-FR"/>
        </w:rPr>
        <w:t>cinq</w:t>
      </w:r>
      <w:r w:rsidRPr="00521891">
        <w:rPr>
          <w:lang w:val="fr-FR"/>
        </w:rPr>
        <w:t xml:space="preserve"> régions (Analanjirofo, Anosy, Atsimo Andrefana, Menabe, SAVA). Le budget alloué d</w:t>
      </w:r>
      <w:r>
        <w:rPr>
          <w:lang w:val="fr-FR"/>
        </w:rPr>
        <w:t>’</w:t>
      </w:r>
      <w:r w:rsidRPr="00521891">
        <w:rPr>
          <w:lang w:val="fr-FR"/>
        </w:rPr>
        <w:t>un montant de 22 millions d</w:t>
      </w:r>
      <w:r>
        <w:rPr>
          <w:lang w:val="fr-FR"/>
        </w:rPr>
        <w:t>’e</w:t>
      </w:r>
      <w:r w:rsidRPr="00521891">
        <w:rPr>
          <w:lang w:val="fr-FR"/>
        </w:rPr>
        <w:t>uros est financé conjointement par l</w:t>
      </w:r>
      <w:r>
        <w:rPr>
          <w:lang w:val="fr-FR"/>
        </w:rPr>
        <w:t>’</w:t>
      </w:r>
      <w:r w:rsidRPr="00521891">
        <w:rPr>
          <w:lang w:val="fr-FR"/>
        </w:rPr>
        <w:t>UNICEF et l</w:t>
      </w:r>
      <w:r>
        <w:rPr>
          <w:lang w:val="fr-FR"/>
        </w:rPr>
        <w:t>’</w:t>
      </w:r>
      <w:r w:rsidRPr="00521891">
        <w:rPr>
          <w:lang w:val="fr-FR"/>
        </w:rPr>
        <w:t xml:space="preserve">Union </w:t>
      </w:r>
      <w:r>
        <w:rPr>
          <w:lang w:val="fr-FR"/>
        </w:rPr>
        <w:t>e</w:t>
      </w:r>
      <w:r w:rsidRPr="00521891">
        <w:rPr>
          <w:lang w:val="fr-FR"/>
        </w:rPr>
        <w:t xml:space="preserve">uropéenne. Une extension de ce projet au niveau de </w:t>
      </w:r>
      <w:r>
        <w:rPr>
          <w:lang w:val="fr-FR"/>
        </w:rPr>
        <w:t xml:space="preserve">quatre </w:t>
      </w:r>
      <w:r w:rsidRPr="00521891">
        <w:rPr>
          <w:lang w:val="fr-FR"/>
        </w:rPr>
        <w:t>autres régions est prévue à partir de 2014. Les stratégies d</w:t>
      </w:r>
      <w:r>
        <w:rPr>
          <w:lang w:val="fr-FR"/>
        </w:rPr>
        <w:t>’</w:t>
      </w:r>
      <w:r w:rsidRPr="00521891">
        <w:rPr>
          <w:lang w:val="fr-FR"/>
        </w:rPr>
        <w:t>approche sont basées sur :</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Amélioration de l</w:t>
      </w:r>
      <w:r>
        <w:rPr>
          <w:lang w:val="fr-FR"/>
        </w:rPr>
        <w:t>’</w:t>
      </w:r>
      <w:r w:rsidRPr="00521891">
        <w:rPr>
          <w:lang w:val="fr-FR"/>
        </w:rPr>
        <w:t xml:space="preserve">accessibilité géographique à des formations sanitaires opérationnelles à travers une politique de recrutements conforme aux prescriptions du Ministère en charge de la </w:t>
      </w:r>
      <w:r>
        <w:rPr>
          <w:lang w:val="fr-FR"/>
        </w:rPr>
        <w:t>s</w:t>
      </w:r>
      <w:r w:rsidRPr="00521891">
        <w:rPr>
          <w:lang w:val="fr-FR"/>
        </w:rPr>
        <w:t>anté qui en assure la pérennité, entre autres :</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Pr>
          <w:lang w:val="fr-FR"/>
        </w:rPr>
        <w:tab/>
        <w:t>–</w:t>
      </w:r>
      <w:r>
        <w:rPr>
          <w:lang w:val="fr-FR"/>
        </w:rPr>
        <w:tab/>
      </w:r>
      <w:r w:rsidRPr="00521891">
        <w:rPr>
          <w:lang w:val="fr-FR"/>
        </w:rPr>
        <w:t>Recrutement du personnel contractuel nécessaire au fonctionnement de</w:t>
      </w:r>
      <w:r>
        <w:rPr>
          <w:lang w:val="fr-FR"/>
        </w:rPr>
        <w:t>s formations sanitaires ciblées;</w:t>
      </w:r>
    </w:p>
    <w:p w:rsidR="00C06068" w:rsidRPr="00521891" w:rsidRDefault="00C06068" w:rsidP="00C0606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fr-FR"/>
        </w:rPr>
      </w:pPr>
      <w:r>
        <w:rPr>
          <w:lang w:val="fr-FR"/>
        </w:rPr>
        <w:tab/>
        <w:t>–</w:t>
      </w:r>
      <w:r>
        <w:rPr>
          <w:lang w:val="fr-FR"/>
        </w:rPr>
        <w:tab/>
      </w:r>
      <w:r w:rsidRPr="00521891">
        <w:rPr>
          <w:lang w:val="fr-FR"/>
        </w:rPr>
        <w:t>Financement de l</w:t>
      </w:r>
      <w:r>
        <w:rPr>
          <w:lang w:val="fr-FR"/>
        </w:rPr>
        <w:t>’</w:t>
      </w:r>
      <w:r w:rsidRPr="00521891">
        <w:rPr>
          <w:lang w:val="fr-FR"/>
        </w:rPr>
        <w:t>installation d</w:t>
      </w:r>
      <w:r>
        <w:rPr>
          <w:lang w:val="fr-FR"/>
        </w:rPr>
        <w:t>’</w:t>
      </w:r>
      <w:r w:rsidRPr="00521891">
        <w:rPr>
          <w:lang w:val="fr-FR"/>
        </w:rPr>
        <w:t>un personnel adapté dans les formations sanitaires des zones enclavées, par la mobilisation d</w:t>
      </w:r>
      <w:r>
        <w:rPr>
          <w:lang w:val="fr-FR"/>
        </w:rPr>
        <w:t>’</w:t>
      </w:r>
      <w:r w:rsidRPr="00521891">
        <w:rPr>
          <w:lang w:val="fr-FR"/>
        </w:rPr>
        <w:t>un kit d</w:t>
      </w:r>
      <w:r>
        <w:rPr>
          <w:lang w:val="fr-FR"/>
        </w:rPr>
        <w:t>’</w:t>
      </w:r>
      <w:r w:rsidRPr="00521891">
        <w:rPr>
          <w:lang w:val="fr-FR"/>
        </w:rPr>
        <w:t>installation et de mesures incitatives en cohérence avec le plan de développement des ressources humaines du Ministère de la santé</w:t>
      </w:r>
      <w:r>
        <w:rPr>
          <w:lang w:val="fr-FR"/>
        </w:rPr>
        <w:t>;</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Renforcement de la couverture et de la qualité des prestations fournies au niveau des CSB à travers un appui technique et financier des structures décentralisées et déconcentrées opérant dans le secteur santé selon leurs niveaux de compétence</w:t>
      </w:r>
      <w:r>
        <w:rPr>
          <w:lang w:val="fr-FR"/>
        </w:rPr>
        <w:t>;</w:t>
      </w:r>
    </w:p>
    <w:p w:rsidR="00C06068"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Amélioration de la gestion des intrants pharmaceutiques nécessaires au fonctionnement des formations sanitaires de base et du</w:t>
      </w:r>
      <w:r>
        <w:rPr>
          <w:lang w:val="fr-FR"/>
        </w:rPr>
        <w:t xml:space="preserve"> premier</w:t>
      </w:r>
      <w:r w:rsidRPr="00521891">
        <w:rPr>
          <w:lang w:val="fr-FR"/>
        </w:rPr>
        <w:t xml:space="preserve"> niveau de référence.</w:t>
      </w:r>
    </w:p>
    <w:p w:rsidR="00C06068" w:rsidRPr="00346135" w:rsidRDefault="00C06068" w:rsidP="00C06068">
      <w:pPr>
        <w:pStyle w:val="SingleTxt"/>
        <w:tabs>
          <w:tab w:val="right" w:pos="1685"/>
        </w:tabs>
        <w:spacing w:after="0" w:line="120" w:lineRule="exact"/>
        <w:ind w:left="1742" w:hanging="475"/>
        <w:rPr>
          <w:sz w:val="10"/>
          <w:lang w:val="fr-FR"/>
        </w:rPr>
      </w:pPr>
    </w:p>
    <w:p w:rsidR="00C06068" w:rsidRPr="00521891"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0" w:name="_Toc376709339"/>
      <w:r w:rsidRPr="00521891">
        <w:rPr>
          <w:lang w:val="fr-FR"/>
        </w:rPr>
        <w:tab/>
        <w:t>3.</w:t>
      </w:r>
      <w:r w:rsidRPr="00521891">
        <w:rPr>
          <w:lang w:val="fr-FR"/>
        </w:rPr>
        <w:tab/>
        <w:t>Accès des femmes rurales à l</w:t>
      </w:r>
      <w:r>
        <w:rPr>
          <w:lang w:val="fr-FR"/>
        </w:rPr>
        <w:t>’</w:t>
      </w:r>
      <w:r w:rsidRPr="00521891">
        <w:rPr>
          <w:lang w:val="fr-FR"/>
        </w:rPr>
        <w:t>éducation</w:t>
      </w:r>
      <w:bookmarkEnd w:id="120"/>
    </w:p>
    <w:p w:rsidR="00C06068" w:rsidRPr="009F69A5" w:rsidRDefault="00C06068" w:rsidP="00C06068">
      <w:pPr>
        <w:pStyle w:val="SingleTxt"/>
        <w:tabs>
          <w:tab w:val="clear" w:pos="1742"/>
        </w:tabs>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 xml:space="preserve">Pour donner effet à la recommandation </w:t>
      </w:r>
      <w:r>
        <w:rPr>
          <w:lang w:val="fr-FR"/>
        </w:rPr>
        <w:t xml:space="preserve">du </w:t>
      </w:r>
      <w:r w:rsidRPr="00521891">
        <w:rPr>
          <w:lang w:val="fr-FR"/>
        </w:rPr>
        <w:t>paragraphe 33, des actions d</w:t>
      </w:r>
      <w:r>
        <w:rPr>
          <w:lang w:val="fr-FR"/>
        </w:rPr>
        <w:t>’</w:t>
      </w:r>
      <w:r w:rsidRPr="00521891">
        <w:rPr>
          <w:lang w:val="fr-FR"/>
        </w:rPr>
        <w:t>alphabétisation et de scolarisation ont été menées pour faciliter l</w:t>
      </w:r>
      <w:r>
        <w:rPr>
          <w:lang w:val="fr-FR"/>
        </w:rPr>
        <w:t>’</w:t>
      </w:r>
      <w:r w:rsidRPr="00521891">
        <w:rPr>
          <w:lang w:val="fr-FR"/>
        </w:rPr>
        <w:t>accès des femmes rurales à l</w:t>
      </w:r>
      <w:r>
        <w:rPr>
          <w:lang w:val="fr-FR"/>
        </w:rPr>
        <w:t>’</w:t>
      </w:r>
      <w:r w:rsidRPr="00521891">
        <w:rPr>
          <w:lang w:val="fr-FR"/>
        </w:rPr>
        <w:t>éducation.</w:t>
      </w:r>
    </w:p>
    <w:p w:rsidR="00C06068" w:rsidRPr="00521891" w:rsidRDefault="00C06068" w:rsidP="00C06068">
      <w:pPr>
        <w:pStyle w:val="SingleTxt"/>
        <w:numPr>
          <w:ilvl w:val="0"/>
          <w:numId w:val="10"/>
        </w:numPr>
        <w:rPr>
          <w:lang w:val="fr-FR"/>
        </w:rPr>
      </w:pPr>
      <w:r>
        <w:rPr>
          <w:lang w:val="fr-FR"/>
        </w:rPr>
        <w:t xml:space="preserve">Si, </w:t>
      </w:r>
      <w:r w:rsidRPr="00521891">
        <w:rPr>
          <w:lang w:val="fr-FR"/>
        </w:rPr>
        <w:t>en 2001, le taux d</w:t>
      </w:r>
      <w:r>
        <w:rPr>
          <w:lang w:val="fr-FR"/>
        </w:rPr>
        <w:t>’</w:t>
      </w:r>
      <w:r w:rsidRPr="00521891">
        <w:rPr>
          <w:lang w:val="fr-FR"/>
        </w:rPr>
        <w:t>alphabétisation des femmes de 15 ans et plus</w:t>
      </w:r>
      <w:r>
        <w:rPr>
          <w:lang w:val="fr-FR"/>
        </w:rPr>
        <w:t xml:space="preserve"> était</w:t>
      </w:r>
      <w:r w:rsidRPr="00521891">
        <w:rPr>
          <w:lang w:val="fr-FR"/>
        </w:rPr>
        <w:t xml:space="preserve"> de 50,3 %, en 2004</w:t>
      </w:r>
      <w:r>
        <w:rPr>
          <w:lang w:val="fr-FR"/>
        </w:rPr>
        <w:t>,</w:t>
      </w:r>
      <w:r w:rsidRPr="00521891">
        <w:rPr>
          <w:lang w:val="fr-FR"/>
        </w:rPr>
        <w:t xml:space="preserve"> il est passé à 55,5 %</w:t>
      </w:r>
      <w:r>
        <w:rPr>
          <w:lang w:val="fr-FR"/>
        </w:rPr>
        <w:t xml:space="preserve"> et en 2010 à</w:t>
      </w:r>
      <w:r w:rsidRPr="00521891">
        <w:rPr>
          <w:lang w:val="fr-FR"/>
        </w:rPr>
        <w:t xml:space="preserve"> 68 %.</w:t>
      </w:r>
    </w:p>
    <w:p w:rsidR="00C06068" w:rsidRPr="00521891" w:rsidRDefault="00C06068" w:rsidP="00C06068">
      <w:pPr>
        <w:pStyle w:val="SingleTxt"/>
        <w:numPr>
          <w:ilvl w:val="0"/>
          <w:numId w:val="10"/>
        </w:numPr>
        <w:rPr>
          <w:lang w:val="fr-FR"/>
        </w:rPr>
      </w:pPr>
      <w:r w:rsidRPr="00521891">
        <w:rPr>
          <w:lang w:val="fr-FR"/>
        </w:rPr>
        <w:t>Pour les cycles scolaires formels, le taux d</w:t>
      </w:r>
      <w:r>
        <w:rPr>
          <w:lang w:val="fr-FR"/>
        </w:rPr>
        <w:t>’</w:t>
      </w:r>
      <w:r w:rsidRPr="00521891">
        <w:rPr>
          <w:lang w:val="fr-FR"/>
        </w:rPr>
        <w:t>accès des filles rurales</w:t>
      </w:r>
      <w:r>
        <w:rPr>
          <w:lang w:val="fr-FR"/>
        </w:rPr>
        <w:t xml:space="preserve"> était</w:t>
      </w:r>
      <w:r w:rsidRPr="00521891">
        <w:rPr>
          <w:lang w:val="fr-FR"/>
        </w:rPr>
        <w:t xml:space="preserve"> inférieur à </w:t>
      </w:r>
      <w:r>
        <w:rPr>
          <w:lang w:val="fr-FR"/>
        </w:rPr>
        <w:t xml:space="preserve">celui des filles </w:t>
      </w:r>
      <w:r w:rsidRPr="00521891">
        <w:rPr>
          <w:lang w:val="fr-FR"/>
        </w:rPr>
        <w:t>urbaine</w:t>
      </w:r>
      <w:r>
        <w:rPr>
          <w:lang w:val="fr-FR"/>
        </w:rPr>
        <w:t xml:space="preserve">s, </w:t>
      </w:r>
      <w:r w:rsidRPr="00521891">
        <w:rPr>
          <w:lang w:val="fr-FR"/>
        </w:rPr>
        <w:t xml:space="preserve">sauf pour le cas du cycle </w:t>
      </w:r>
      <w:r>
        <w:rPr>
          <w:lang w:val="fr-FR"/>
        </w:rPr>
        <w:t>primaire, suivant le tableau ci</w:t>
      </w:r>
      <w:r>
        <w:rPr>
          <w:lang w:val="fr-FR"/>
        </w:rPr>
        <w:noBreakHyphen/>
      </w:r>
      <w:r w:rsidRPr="00521891">
        <w:rPr>
          <w:lang w:val="fr-FR"/>
        </w:rPr>
        <w:t>après</w:t>
      </w:r>
      <w:r>
        <w:rPr>
          <w:lang w:val="fr-FR"/>
        </w:rPr>
        <w:t>.</w:t>
      </w:r>
    </w:p>
    <w:p w:rsidR="00C06068" w:rsidRPr="009F69A5" w:rsidRDefault="00C06068" w:rsidP="00C06068">
      <w:pPr>
        <w:pStyle w:val="SingleTxt"/>
        <w:spacing w:after="0" w:line="120" w:lineRule="exact"/>
        <w:rPr>
          <w:b/>
          <w:sz w:val="10"/>
          <w:lang w:val="fr-FR"/>
        </w:rPr>
      </w:pPr>
      <w:bookmarkStart w:id="121" w:name="_Toc377129329"/>
    </w:p>
    <w:p w:rsidR="00C06068" w:rsidRPr="009F69A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9F69A5">
        <w:rPr>
          <w:b w:val="0"/>
          <w:lang w:val="fr-FR"/>
        </w:rPr>
        <w:t>Tableau 43</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Nombre de filles pour 100 garçons scolarisées par niveau d</w:t>
      </w:r>
      <w:r>
        <w:rPr>
          <w:lang w:val="fr-FR"/>
        </w:rPr>
        <w:t>’</w:t>
      </w:r>
      <w:r w:rsidRPr="00521891">
        <w:rPr>
          <w:lang w:val="fr-FR"/>
        </w:rPr>
        <w:t>éducation</w:t>
      </w:r>
      <w:bookmarkEnd w:id="121"/>
    </w:p>
    <w:p w:rsidR="00C06068" w:rsidRPr="009F69A5" w:rsidRDefault="00C06068" w:rsidP="00C06068">
      <w:pPr>
        <w:pStyle w:val="SingleTxt"/>
        <w:spacing w:after="0" w:line="120" w:lineRule="exact"/>
        <w:rPr>
          <w:sz w:val="10"/>
          <w:lang w:val="fr-FR"/>
        </w:rPr>
      </w:pPr>
    </w:p>
    <w:p w:rsidR="00C06068" w:rsidRPr="009F69A5" w:rsidRDefault="00C06068" w:rsidP="00C06068">
      <w:pPr>
        <w:pStyle w:val="SingleTxt"/>
        <w:spacing w:after="0" w:line="120" w:lineRule="exact"/>
        <w:rPr>
          <w:sz w:val="10"/>
          <w:lang w:val="fr-FR"/>
        </w:rPr>
      </w:pPr>
    </w:p>
    <w:tbl>
      <w:tblPr>
        <w:tblW w:w="7370" w:type="dxa"/>
        <w:tblInd w:w="1260" w:type="dxa"/>
        <w:tblBorders>
          <w:top w:val="single" w:sz="4" w:space="0" w:color="auto"/>
        </w:tblBorders>
        <w:tblCellMar>
          <w:left w:w="0" w:type="dxa"/>
          <w:right w:w="0" w:type="dxa"/>
        </w:tblCellMar>
        <w:tblLook w:val="04A0"/>
      </w:tblPr>
      <w:tblGrid>
        <w:gridCol w:w="2068"/>
        <w:gridCol w:w="1739"/>
        <w:gridCol w:w="1638"/>
        <w:gridCol w:w="1925"/>
      </w:tblGrid>
      <w:tr w:rsidR="00C06068" w:rsidRPr="00FC6584" w:rsidTr="007F3574">
        <w:trPr>
          <w:trHeight w:val="240"/>
          <w:tblHeader/>
        </w:trPr>
        <w:tc>
          <w:tcPr>
            <w:tcW w:w="206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739"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Urbain</w:t>
            </w:r>
          </w:p>
        </w:tc>
        <w:tc>
          <w:tcPr>
            <w:tcW w:w="1638"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Rural</w:t>
            </w:r>
          </w:p>
        </w:tc>
        <w:tc>
          <w:tcPr>
            <w:tcW w:w="1925"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Ensemble</w:t>
            </w:r>
          </w:p>
        </w:tc>
      </w:tr>
      <w:tr w:rsidR="00C06068" w:rsidRPr="00FC6584" w:rsidTr="007F3574">
        <w:trPr>
          <w:trHeight w:val="240"/>
        </w:trPr>
        <w:tc>
          <w:tcPr>
            <w:tcW w:w="2068"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Primaire</w:t>
            </w:r>
          </w:p>
        </w:tc>
        <w:tc>
          <w:tcPr>
            <w:tcW w:w="1739"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90,2</w:t>
            </w:r>
          </w:p>
        </w:tc>
        <w:tc>
          <w:tcPr>
            <w:tcW w:w="163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99,9</w:t>
            </w:r>
          </w:p>
        </w:tc>
        <w:tc>
          <w:tcPr>
            <w:tcW w:w="1925"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98,0</w:t>
            </w:r>
          </w:p>
        </w:tc>
      </w:tr>
      <w:tr w:rsidR="00C06068" w:rsidRPr="00FC6584" w:rsidTr="007F3574">
        <w:trPr>
          <w:trHeight w:val="240"/>
        </w:trPr>
        <w:tc>
          <w:tcPr>
            <w:tcW w:w="206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Secondaire 1</w:t>
            </w:r>
            <w:r w:rsidRPr="00076F4A">
              <w:rPr>
                <w:sz w:val="17"/>
                <w:vertAlign w:val="superscript"/>
                <w:lang w:val="fr-FR"/>
              </w:rPr>
              <w:t>er</w:t>
            </w:r>
            <w:r>
              <w:rPr>
                <w:sz w:val="17"/>
                <w:lang w:val="fr-FR"/>
              </w:rPr>
              <w:t> </w:t>
            </w:r>
            <w:r w:rsidRPr="00917E2F">
              <w:rPr>
                <w:sz w:val="17"/>
                <w:lang w:val="fr-FR"/>
              </w:rPr>
              <w:t xml:space="preserve">cycle </w:t>
            </w:r>
          </w:p>
        </w:tc>
        <w:tc>
          <w:tcPr>
            <w:tcW w:w="173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97,0</w:t>
            </w:r>
          </w:p>
        </w:tc>
        <w:tc>
          <w:tcPr>
            <w:tcW w:w="16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86,5</w:t>
            </w:r>
          </w:p>
        </w:tc>
        <w:tc>
          <w:tcPr>
            <w:tcW w:w="19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89,9</w:t>
            </w:r>
          </w:p>
        </w:tc>
      </w:tr>
      <w:tr w:rsidR="00C06068" w:rsidRPr="00FC6584" w:rsidTr="007F3574">
        <w:trPr>
          <w:trHeight w:val="240"/>
        </w:trPr>
        <w:tc>
          <w:tcPr>
            <w:tcW w:w="2068" w:type="dxa"/>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Pr>
                <w:sz w:val="17"/>
                <w:lang w:val="fr-FR"/>
              </w:rPr>
              <w:t>Secondaire 2</w:t>
            </w:r>
            <w:r w:rsidRPr="00076F4A">
              <w:rPr>
                <w:sz w:val="17"/>
                <w:vertAlign w:val="superscript"/>
                <w:lang w:val="fr-FR"/>
              </w:rPr>
              <w:t>e</w:t>
            </w:r>
            <w:r>
              <w:rPr>
                <w:sz w:val="17"/>
                <w:lang w:val="fr-FR"/>
              </w:rPr>
              <w:t> </w:t>
            </w:r>
            <w:r w:rsidRPr="00917E2F">
              <w:rPr>
                <w:sz w:val="17"/>
                <w:lang w:val="fr-FR"/>
              </w:rPr>
              <w:t>cycle</w:t>
            </w:r>
          </w:p>
        </w:tc>
        <w:tc>
          <w:tcPr>
            <w:tcW w:w="1739"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90,9</w:t>
            </w:r>
          </w:p>
        </w:tc>
        <w:tc>
          <w:tcPr>
            <w:tcW w:w="1638"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89,3</w:t>
            </w:r>
          </w:p>
        </w:tc>
        <w:tc>
          <w:tcPr>
            <w:tcW w:w="1925" w:type="dxa"/>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90,3</w:t>
            </w:r>
          </w:p>
        </w:tc>
      </w:tr>
      <w:tr w:rsidR="00C06068" w:rsidRPr="00FC6584" w:rsidTr="007F3574">
        <w:trPr>
          <w:trHeight w:val="240"/>
        </w:trPr>
        <w:tc>
          <w:tcPr>
            <w:tcW w:w="2068"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Supérieur</w:t>
            </w:r>
          </w:p>
        </w:tc>
        <w:tc>
          <w:tcPr>
            <w:tcW w:w="1739"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134,5</w:t>
            </w:r>
          </w:p>
        </w:tc>
        <w:tc>
          <w:tcPr>
            <w:tcW w:w="1638"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Nss</w:t>
            </w:r>
          </w:p>
        </w:tc>
        <w:tc>
          <w:tcPr>
            <w:tcW w:w="1925"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119,2</w:t>
            </w:r>
          </w:p>
        </w:tc>
      </w:tr>
      <w:tr w:rsidR="00C06068" w:rsidRPr="00076F4A" w:rsidTr="007F3574">
        <w:trPr>
          <w:trHeight w:val="240"/>
        </w:trPr>
        <w:tc>
          <w:tcPr>
            <w:tcW w:w="2068" w:type="dxa"/>
            <w:tcBorders>
              <w:top w:val="single" w:sz="4" w:space="0" w:color="auto"/>
              <w:bottom w:val="single" w:sz="12" w:space="0" w:color="auto"/>
            </w:tcBorders>
            <w:shd w:val="clear" w:color="auto" w:fill="auto"/>
          </w:tcPr>
          <w:p w:rsidR="00C06068" w:rsidRPr="00076F4A"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076F4A">
              <w:rPr>
                <w:b/>
                <w:sz w:val="17"/>
                <w:lang w:val="fr-FR"/>
              </w:rPr>
              <w:t>Ensemble</w:t>
            </w:r>
          </w:p>
        </w:tc>
        <w:tc>
          <w:tcPr>
            <w:tcW w:w="1739" w:type="dxa"/>
            <w:tcBorders>
              <w:top w:val="single" w:sz="4" w:space="0" w:color="auto"/>
              <w:bottom w:val="single" w:sz="12" w:space="0" w:color="auto"/>
            </w:tcBorders>
            <w:shd w:val="clear" w:color="auto" w:fill="auto"/>
            <w:vAlign w:val="bottom"/>
          </w:tcPr>
          <w:p w:rsidR="00C06068" w:rsidRPr="00076F4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076F4A">
              <w:rPr>
                <w:b/>
                <w:sz w:val="17"/>
                <w:lang w:val="fr-FR"/>
              </w:rPr>
              <w:t>92,5</w:t>
            </w:r>
          </w:p>
        </w:tc>
        <w:tc>
          <w:tcPr>
            <w:tcW w:w="1638" w:type="dxa"/>
            <w:tcBorders>
              <w:top w:val="single" w:sz="4" w:space="0" w:color="auto"/>
              <w:bottom w:val="single" w:sz="12" w:space="0" w:color="auto"/>
            </w:tcBorders>
            <w:shd w:val="clear" w:color="auto" w:fill="auto"/>
            <w:vAlign w:val="bottom"/>
          </w:tcPr>
          <w:p w:rsidR="00C06068" w:rsidRPr="00076F4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076F4A">
              <w:rPr>
                <w:b/>
                <w:sz w:val="17"/>
                <w:lang w:val="fr-FR"/>
              </w:rPr>
              <w:t>97,5</w:t>
            </w:r>
          </w:p>
        </w:tc>
        <w:tc>
          <w:tcPr>
            <w:tcW w:w="1925" w:type="dxa"/>
            <w:tcBorders>
              <w:top w:val="single" w:sz="4" w:space="0" w:color="auto"/>
              <w:bottom w:val="single" w:sz="12" w:space="0" w:color="auto"/>
            </w:tcBorders>
            <w:shd w:val="clear" w:color="auto" w:fill="auto"/>
            <w:vAlign w:val="bottom"/>
          </w:tcPr>
          <w:p w:rsidR="00C06068" w:rsidRPr="00076F4A"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076F4A">
              <w:rPr>
                <w:b/>
                <w:sz w:val="17"/>
                <w:lang w:val="fr-FR"/>
              </w:rPr>
              <w:t>96,3</w:t>
            </w:r>
          </w:p>
        </w:tc>
      </w:tr>
    </w:tbl>
    <w:p w:rsidR="00C06068" w:rsidRPr="009F69A5"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9F69A5">
        <w:rPr>
          <w:i/>
          <w:lang w:val="fr-FR"/>
        </w:rPr>
        <w:t>Source</w:t>
      </w:r>
      <w:r w:rsidRPr="00917E2F">
        <w:rPr>
          <w:lang w:val="fr-FR"/>
        </w:rPr>
        <w:t> :</w:t>
      </w:r>
      <w:r w:rsidRPr="00521891">
        <w:rPr>
          <w:lang w:val="fr-FR"/>
        </w:rPr>
        <w:t xml:space="preserve"> INSTAT/EPM 2010 (Nss :</w:t>
      </w:r>
      <w:r>
        <w:rPr>
          <w:lang w:val="fr-FR"/>
        </w:rPr>
        <w:t xml:space="preserve"> n</w:t>
      </w:r>
      <w:r w:rsidRPr="00521891">
        <w:rPr>
          <w:lang w:val="fr-FR"/>
        </w:rPr>
        <w:t>on statistiquement significatif)</w:t>
      </w:r>
      <w:r>
        <w:rPr>
          <w:lang w:val="fr-FR"/>
        </w:rPr>
        <w:t>.</w:t>
      </w:r>
    </w:p>
    <w:p w:rsidR="00C06068" w:rsidRPr="00346135"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076F4A"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w:t>
      </w:r>
      <w:r>
        <w:rPr>
          <w:lang w:val="fr-FR"/>
        </w:rPr>
        <w:t>’</w:t>
      </w:r>
      <w:r w:rsidRPr="00521891">
        <w:rPr>
          <w:lang w:val="fr-FR"/>
        </w:rPr>
        <w:t>accès à l</w:t>
      </w:r>
      <w:r>
        <w:rPr>
          <w:lang w:val="fr-FR"/>
        </w:rPr>
        <w:t>’</w:t>
      </w:r>
      <w:r w:rsidRPr="00521891">
        <w:rPr>
          <w:lang w:val="fr-FR"/>
        </w:rPr>
        <w:t>éducation des filles rurales, dans les zones enclavées, est limité par l</w:t>
      </w:r>
      <w:r>
        <w:rPr>
          <w:lang w:val="fr-FR"/>
        </w:rPr>
        <w:t>’</w:t>
      </w:r>
      <w:r w:rsidRPr="00521891">
        <w:rPr>
          <w:lang w:val="fr-FR"/>
        </w:rPr>
        <w:t>éloignement de l</w:t>
      </w:r>
      <w:r>
        <w:rPr>
          <w:lang w:val="fr-FR"/>
        </w:rPr>
        <w:t>’</w:t>
      </w:r>
      <w:r w:rsidRPr="00521891">
        <w:rPr>
          <w:lang w:val="fr-FR"/>
        </w:rPr>
        <w:t>école par rapport aux lieux d</w:t>
      </w:r>
      <w:r>
        <w:rPr>
          <w:lang w:val="fr-FR"/>
        </w:rPr>
        <w:t>’habitation</w:t>
      </w:r>
      <w:r w:rsidRPr="00521891">
        <w:rPr>
          <w:lang w:val="fr-FR"/>
        </w:rPr>
        <w:t xml:space="preserve"> des élèves. Pour faciliter l</w:t>
      </w:r>
      <w:r>
        <w:rPr>
          <w:lang w:val="fr-FR"/>
        </w:rPr>
        <w:t>’</w:t>
      </w:r>
      <w:r w:rsidRPr="00521891">
        <w:rPr>
          <w:lang w:val="fr-FR"/>
        </w:rPr>
        <w:t>accès des filles rurales à l</w:t>
      </w:r>
      <w:r>
        <w:rPr>
          <w:lang w:val="fr-FR"/>
        </w:rPr>
        <w:t>’</w:t>
      </w:r>
      <w:r w:rsidRPr="00521891">
        <w:rPr>
          <w:lang w:val="fr-FR"/>
        </w:rPr>
        <w:t>éducation, des établissements confessionnels dans certaines grandes villes sont dotés d</w:t>
      </w:r>
      <w:r>
        <w:rPr>
          <w:lang w:val="fr-FR"/>
        </w:rPr>
        <w:t>’</w:t>
      </w:r>
      <w:r w:rsidRPr="00521891">
        <w:rPr>
          <w:lang w:val="fr-FR"/>
        </w:rPr>
        <w:t>internat</w:t>
      </w:r>
      <w:r>
        <w:rPr>
          <w:lang w:val="fr-FR"/>
        </w:rPr>
        <w:t>s</w:t>
      </w:r>
      <w:r w:rsidRPr="00521891">
        <w:rPr>
          <w:lang w:val="fr-FR"/>
        </w:rPr>
        <w:t xml:space="preserve"> pour jeunes filles.</w:t>
      </w:r>
    </w:p>
    <w:p w:rsidR="00C06068" w:rsidRPr="00346135" w:rsidRDefault="00C06068" w:rsidP="00C06068">
      <w:pPr>
        <w:pStyle w:val="SingleTxt"/>
        <w:keepNext/>
        <w:keepLines/>
        <w:numPr>
          <w:ilvl w:val="0"/>
          <w:numId w:val="10"/>
        </w:numPr>
        <w:rPr>
          <w:lang w:val="fr-FR"/>
        </w:rPr>
      </w:pPr>
      <w:r w:rsidRPr="00521891">
        <w:rPr>
          <w:lang w:val="fr-FR"/>
        </w:rPr>
        <w:t>Le tableau</w:t>
      </w:r>
      <w:r>
        <w:rPr>
          <w:lang w:val="fr-FR"/>
        </w:rPr>
        <w:t xml:space="preserve"> ci-après </w:t>
      </w:r>
      <w:r w:rsidRPr="00346135">
        <w:rPr>
          <w:lang w:val="fr-FR"/>
        </w:rPr>
        <w:t>retrace l</w:t>
      </w:r>
      <w:r>
        <w:rPr>
          <w:lang w:val="fr-FR"/>
        </w:rPr>
        <w:t>’</w:t>
      </w:r>
      <w:r w:rsidRPr="00346135">
        <w:rPr>
          <w:lang w:val="fr-FR"/>
        </w:rPr>
        <w:t>évolution du taux d</w:t>
      </w:r>
      <w:r>
        <w:rPr>
          <w:lang w:val="fr-FR"/>
        </w:rPr>
        <w:t>’</w:t>
      </w:r>
      <w:r w:rsidRPr="00346135">
        <w:rPr>
          <w:lang w:val="fr-FR"/>
        </w:rPr>
        <w:t>alphabéti</w:t>
      </w:r>
      <w:r>
        <w:rPr>
          <w:lang w:val="fr-FR"/>
        </w:rPr>
        <w:t>sation de 2005 à </w:t>
      </w:r>
      <w:r w:rsidRPr="00346135">
        <w:rPr>
          <w:lang w:val="fr-FR"/>
        </w:rPr>
        <w:t>2010.</w:t>
      </w:r>
    </w:p>
    <w:p w:rsidR="00C06068" w:rsidRPr="009F69A5" w:rsidRDefault="00C06068" w:rsidP="00C06068">
      <w:pPr>
        <w:pStyle w:val="SingleTxt"/>
        <w:keepNext/>
        <w:keepLines/>
        <w:spacing w:after="0" w:line="120" w:lineRule="exact"/>
        <w:rPr>
          <w:b/>
          <w:sz w:val="10"/>
          <w:lang w:val="fr-FR"/>
        </w:rPr>
      </w:pPr>
      <w:bookmarkStart w:id="122" w:name="_Toc377129330"/>
    </w:p>
    <w:p w:rsidR="00C06068" w:rsidRPr="009F69A5"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9F69A5">
        <w:rPr>
          <w:b w:val="0"/>
          <w:lang w:val="fr-FR"/>
        </w:rPr>
        <w:t>Tableau 44</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21891">
        <w:rPr>
          <w:lang w:val="fr-FR"/>
        </w:rPr>
        <w:t>Taux d</w:t>
      </w:r>
      <w:r>
        <w:rPr>
          <w:lang w:val="fr-FR"/>
        </w:rPr>
        <w:t>’</w:t>
      </w:r>
      <w:r w:rsidRPr="00521891">
        <w:rPr>
          <w:lang w:val="fr-FR"/>
        </w:rPr>
        <w:t xml:space="preserve">alphabétisation des individus âgés de </w:t>
      </w:r>
      <w:r>
        <w:rPr>
          <w:lang w:val="fr-FR"/>
        </w:rPr>
        <w:t>15 ans et plus, selon le milieu</w:t>
      </w:r>
      <w:r w:rsidRPr="00521891">
        <w:rPr>
          <w:lang w:val="fr-FR"/>
        </w:rPr>
        <w:t xml:space="preserve"> </w:t>
      </w:r>
      <w:r>
        <w:rPr>
          <w:lang w:val="fr-FR"/>
        </w:rPr>
        <w:br/>
      </w:r>
      <w:r w:rsidRPr="00521891">
        <w:rPr>
          <w:lang w:val="fr-FR"/>
        </w:rPr>
        <w:t>et selon le genre</w:t>
      </w:r>
      <w:bookmarkEnd w:id="122"/>
    </w:p>
    <w:p w:rsidR="00C06068" w:rsidRPr="009F69A5" w:rsidRDefault="00C06068" w:rsidP="00C06068">
      <w:pPr>
        <w:pStyle w:val="SingleTxt"/>
        <w:spacing w:after="0" w:line="120" w:lineRule="exact"/>
        <w:rPr>
          <w:sz w:val="10"/>
          <w:lang w:val="fr-FR"/>
        </w:rPr>
      </w:pPr>
    </w:p>
    <w:p w:rsidR="00C06068" w:rsidRPr="009F69A5" w:rsidRDefault="00C06068" w:rsidP="00C06068">
      <w:pPr>
        <w:pStyle w:val="SingleTxt"/>
        <w:spacing w:after="0" w:line="120" w:lineRule="exact"/>
        <w:rPr>
          <w:sz w:val="10"/>
          <w:lang w:val="fr-FR"/>
        </w:rPr>
      </w:pPr>
    </w:p>
    <w:tbl>
      <w:tblPr>
        <w:tblW w:w="7290" w:type="dxa"/>
        <w:tblInd w:w="1260" w:type="dxa"/>
        <w:tblBorders>
          <w:top w:val="single" w:sz="4" w:space="0" w:color="auto"/>
        </w:tblBorders>
        <w:tblCellMar>
          <w:left w:w="0" w:type="dxa"/>
          <w:right w:w="0" w:type="dxa"/>
        </w:tblCellMar>
        <w:tblLook w:val="04A0"/>
      </w:tblPr>
      <w:tblGrid>
        <w:gridCol w:w="1332"/>
        <w:gridCol w:w="1170"/>
        <w:gridCol w:w="1044"/>
        <w:gridCol w:w="243"/>
        <w:gridCol w:w="1161"/>
        <w:gridCol w:w="1062"/>
        <w:gridCol w:w="1278"/>
      </w:tblGrid>
      <w:tr w:rsidR="00C06068" w:rsidRPr="00FC6584" w:rsidTr="007F3574">
        <w:trPr>
          <w:tblHeader/>
        </w:trPr>
        <w:tc>
          <w:tcPr>
            <w:tcW w:w="1332" w:type="dxa"/>
            <w:vMerge w:val="restart"/>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r w:rsidRPr="00FC6584">
              <w:rPr>
                <w:i/>
                <w:sz w:val="14"/>
                <w:lang w:val="fr-FR"/>
              </w:rPr>
              <w:t>Année</w:t>
            </w:r>
          </w:p>
        </w:tc>
        <w:tc>
          <w:tcPr>
            <w:tcW w:w="2214" w:type="dxa"/>
            <w:gridSpan w:val="2"/>
            <w:tcBorders>
              <w:top w:val="single" w:sz="4" w:space="0" w:color="auto"/>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Milieu</w:t>
            </w:r>
          </w:p>
        </w:tc>
        <w:tc>
          <w:tcPr>
            <w:tcW w:w="243" w:type="dxa"/>
            <w:tcBorders>
              <w:top w:val="single" w:sz="4" w:space="0" w:color="auto"/>
              <w:bottom w:val="nil"/>
            </w:tcBorders>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p>
        </w:tc>
        <w:tc>
          <w:tcPr>
            <w:tcW w:w="2223" w:type="dxa"/>
            <w:gridSpan w:val="2"/>
            <w:tcBorders>
              <w:top w:val="single" w:sz="4" w:space="0" w:color="auto"/>
              <w:bottom w:val="single" w:sz="4"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center"/>
              <w:rPr>
                <w:i/>
                <w:sz w:val="14"/>
                <w:lang w:val="fr-FR"/>
              </w:rPr>
            </w:pPr>
            <w:r w:rsidRPr="00FC6584">
              <w:rPr>
                <w:i/>
                <w:sz w:val="14"/>
                <w:lang w:val="fr-FR"/>
              </w:rPr>
              <w:t>Genre</w:t>
            </w:r>
          </w:p>
        </w:tc>
        <w:tc>
          <w:tcPr>
            <w:tcW w:w="1278" w:type="dxa"/>
            <w:tcBorders>
              <w:top w:val="single" w:sz="4" w:space="0" w:color="auto"/>
              <w:bottom w:val="nil"/>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r>
      <w:tr w:rsidR="00C06068" w:rsidRPr="00FC6584" w:rsidTr="007F3574">
        <w:trPr>
          <w:tblHeader/>
        </w:trPr>
        <w:tc>
          <w:tcPr>
            <w:tcW w:w="1332" w:type="dxa"/>
            <w:vMerge/>
            <w:tcBorders>
              <w:top w:val="single" w:sz="12"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117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Urbain</w:t>
            </w:r>
          </w:p>
        </w:tc>
        <w:tc>
          <w:tcPr>
            <w:tcW w:w="1044"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Rural</w:t>
            </w:r>
          </w:p>
        </w:tc>
        <w:tc>
          <w:tcPr>
            <w:tcW w:w="243" w:type="dxa"/>
            <w:tcBorders>
              <w:top w:val="nil"/>
              <w:bottom w:val="single" w:sz="12" w:space="0" w:color="auto"/>
            </w:tcBorders>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p>
        </w:tc>
        <w:tc>
          <w:tcPr>
            <w:tcW w:w="1161"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Hommes</w:t>
            </w:r>
          </w:p>
        </w:tc>
        <w:tc>
          <w:tcPr>
            <w:tcW w:w="1062"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Femmes</w:t>
            </w:r>
          </w:p>
        </w:tc>
        <w:tc>
          <w:tcPr>
            <w:tcW w:w="1278" w:type="dxa"/>
            <w:tcBorders>
              <w:top w:val="nil"/>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Ensemble</w:t>
            </w:r>
          </w:p>
        </w:tc>
      </w:tr>
      <w:tr w:rsidR="00C06068" w:rsidRPr="00FC6584" w:rsidTr="007F3574">
        <w:trPr>
          <w:tblHeader/>
        </w:trPr>
        <w:tc>
          <w:tcPr>
            <w:tcW w:w="1332"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2005</w:t>
            </w:r>
          </w:p>
        </w:tc>
        <w:tc>
          <w:tcPr>
            <w:tcW w:w="117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75,9 %</w:t>
            </w:r>
          </w:p>
        </w:tc>
        <w:tc>
          <w:tcPr>
            <w:tcW w:w="1044"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58,9 %</w:t>
            </w:r>
          </w:p>
        </w:tc>
        <w:tc>
          <w:tcPr>
            <w:tcW w:w="243" w:type="dxa"/>
            <w:tcBorders>
              <w:top w:val="single" w:sz="12" w:space="0" w:color="auto"/>
            </w:tcBorders>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p>
        </w:tc>
        <w:tc>
          <w:tcPr>
            <w:tcW w:w="1161"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66,8 %</w:t>
            </w:r>
          </w:p>
        </w:tc>
        <w:tc>
          <w:tcPr>
            <w:tcW w:w="1062"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59,3 %</w:t>
            </w:r>
          </w:p>
        </w:tc>
        <w:tc>
          <w:tcPr>
            <w:tcW w:w="1278"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62,9 %</w:t>
            </w:r>
          </w:p>
        </w:tc>
      </w:tr>
      <w:tr w:rsidR="00C06068" w:rsidRPr="00FC6584" w:rsidTr="007F3574">
        <w:trPr>
          <w:tblHeader/>
        </w:trPr>
        <w:tc>
          <w:tcPr>
            <w:tcW w:w="1332" w:type="dxa"/>
            <w:tcBorders>
              <w:bottom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40" w:line="210" w:lineRule="exact"/>
              <w:ind w:right="43"/>
              <w:rPr>
                <w:sz w:val="17"/>
                <w:lang w:val="fr-FR"/>
              </w:rPr>
            </w:pPr>
            <w:r w:rsidRPr="00917E2F">
              <w:rPr>
                <w:sz w:val="17"/>
                <w:lang w:val="fr-FR"/>
              </w:rPr>
              <w:t>2010</w:t>
            </w:r>
          </w:p>
        </w:tc>
        <w:tc>
          <w:tcPr>
            <w:tcW w:w="1170"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83,7 %</w:t>
            </w:r>
          </w:p>
        </w:tc>
        <w:tc>
          <w:tcPr>
            <w:tcW w:w="1044"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67,8 %</w:t>
            </w:r>
          </w:p>
        </w:tc>
        <w:tc>
          <w:tcPr>
            <w:tcW w:w="243" w:type="dxa"/>
            <w:tcBorders>
              <w:bottom w:val="single" w:sz="12" w:space="0" w:color="auto"/>
            </w:tcBorders>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p>
        </w:tc>
        <w:tc>
          <w:tcPr>
            <w:tcW w:w="1161"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74,9 %</w:t>
            </w:r>
          </w:p>
        </w:tc>
        <w:tc>
          <w:tcPr>
            <w:tcW w:w="1062"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68,0 %</w:t>
            </w:r>
          </w:p>
        </w:tc>
        <w:tc>
          <w:tcPr>
            <w:tcW w:w="1278" w:type="dxa"/>
            <w:tcBorders>
              <w:bottom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40" w:line="210" w:lineRule="exact"/>
              <w:ind w:right="43"/>
              <w:jc w:val="right"/>
              <w:rPr>
                <w:sz w:val="17"/>
                <w:lang w:val="fr-FR"/>
              </w:rPr>
            </w:pPr>
            <w:r w:rsidRPr="00256056">
              <w:rPr>
                <w:sz w:val="17"/>
                <w:lang w:val="fr-FR"/>
              </w:rPr>
              <w:t>71,4 %</w:t>
            </w:r>
          </w:p>
        </w:tc>
      </w:tr>
    </w:tbl>
    <w:p w:rsidR="00C06068" w:rsidRPr="00E200B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E200B0">
        <w:rPr>
          <w:i/>
          <w:lang w:val="fr-FR"/>
        </w:rPr>
        <w:t>Source</w:t>
      </w:r>
      <w:r w:rsidRPr="00917E2F">
        <w:rPr>
          <w:lang w:val="fr-FR"/>
        </w:rPr>
        <w:t> :</w:t>
      </w:r>
      <w:r w:rsidRPr="00521891">
        <w:rPr>
          <w:lang w:val="fr-FR"/>
        </w:rPr>
        <w:t xml:space="preserve"> INSTAT/EPM 2005 et 2010</w:t>
      </w:r>
      <w:r>
        <w:rPr>
          <w:lang w:val="fr-FR"/>
        </w:rPr>
        <w:t>.</w:t>
      </w:r>
    </w:p>
    <w:p w:rsidR="00C06068" w:rsidRPr="00E200B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200B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521891" w:rsidRDefault="00C06068" w:rsidP="00C06068">
      <w:pPr>
        <w:pStyle w:val="SingleTxt"/>
        <w:numPr>
          <w:ilvl w:val="0"/>
          <w:numId w:val="10"/>
        </w:numPr>
        <w:rPr>
          <w:lang w:val="fr-FR"/>
        </w:rPr>
      </w:pPr>
      <w:r w:rsidRPr="00521891">
        <w:rPr>
          <w:lang w:val="fr-FR"/>
        </w:rPr>
        <w:t>Le taux d</w:t>
      </w:r>
      <w:r>
        <w:rPr>
          <w:lang w:val="fr-FR"/>
        </w:rPr>
        <w:t>’</w:t>
      </w:r>
      <w:r w:rsidRPr="00521891">
        <w:rPr>
          <w:lang w:val="fr-FR"/>
        </w:rPr>
        <w:t>alphabétisation en général est passé de 62,9 % à 71,4 %, soit une amélioration de 8,5 points. Le taux d</w:t>
      </w:r>
      <w:r>
        <w:rPr>
          <w:lang w:val="fr-FR"/>
        </w:rPr>
        <w:t>’</w:t>
      </w:r>
      <w:r w:rsidRPr="00521891">
        <w:rPr>
          <w:lang w:val="fr-FR"/>
        </w:rPr>
        <w:t>alphabétisation des femmes est passé de 59,3 % à 68,0 %, soit une amélioration de 8,7 points.</w:t>
      </w:r>
    </w:p>
    <w:p w:rsidR="00C06068" w:rsidRPr="00521891" w:rsidRDefault="00C06068" w:rsidP="00C06068">
      <w:pPr>
        <w:pStyle w:val="SingleTxt"/>
        <w:numPr>
          <w:ilvl w:val="0"/>
          <w:numId w:val="10"/>
        </w:numPr>
        <w:rPr>
          <w:lang w:val="fr-FR"/>
        </w:rPr>
      </w:pPr>
      <w:r w:rsidRPr="00521891">
        <w:rPr>
          <w:lang w:val="fr-FR"/>
        </w:rPr>
        <w:t>Le milieu rural connait une augmentation de 8,9 point</w:t>
      </w:r>
      <w:r>
        <w:rPr>
          <w:lang w:val="fr-FR"/>
        </w:rPr>
        <w:t>s et le milieu urbain de 7,8 </w:t>
      </w:r>
      <w:r w:rsidRPr="00521891">
        <w:rPr>
          <w:lang w:val="fr-FR"/>
        </w:rPr>
        <w:t>points.</w:t>
      </w:r>
    </w:p>
    <w:p w:rsidR="00C06068" w:rsidRPr="00521891" w:rsidRDefault="00C06068" w:rsidP="00C06068">
      <w:pPr>
        <w:pStyle w:val="SingleTxt"/>
        <w:numPr>
          <w:ilvl w:val="0"/>
          <w:numId w:val="10"/>
        </w:numPr>
        <w:rPr>
          <w:lang w:val="fr-FR"/>
        </w:rPr>
      </w:pPr>
      <w:r w:rsidRPr="00521891">
        <w:rPr>
          <w:lang w:val="fr-FR"/>
        </w:rPr>
        <w:t>Ces chiffres confirment des avancées de l</w:t>
      </w:r>
      <w:r>
        <w:rPr>
          <w:lang w:val="fr-FR"/>
        </w:rPr>
        <w:t>’</w:t>
      </w:r>
      <w:r w:rsidRPr="00521891">
        <w:rPr>
          <w:lang w:val="fr-FR"/>
        </w:rPr>
        <w:t>alphabétisation en faveur des femmes rurales.</w:t>
      </w:r>
    </w:p>
    <w:p w:rsidR="00C06068" w:rsidRPr="00E200B0" w:rsidRDefault="00C06068" w:rsidP="00C06068">
      <w:pPr>
        <w:pStyle w:val="SingleTxt"/>
        <w:spacing w:after="0" w:line="120" w:lineRule="exact"/>
        <w:rPr>
          <w:b/>
          <w:sz w:val="10"/>
          <w:lang w:val="fr-FR"/>
        </w:rPr>
      </w:pPr>
      <w:bookmarkStart w:id="123" w:name="_Toc376709340"/>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4.</w:t>
      </w:r>
      <w:r w:rsidRPr="00521891">
        <w:rPr>
          <w:lang w:val="fr-FR"/>
        </w:rPr>
        <w:tab/>
        <w:t>Mise en œuvre de l</w:t>
      </w:r>
      <w:r>
        <w:rPr>
          <w:lang w:val="fr-FR"/>
        </w:rPr>
        <w:t>’</w:t>
      </w:r>
      <w:r w:rsidRPr="00521891">
        <w:rPr>
          <w:lang w:val="fr-FR"/>
        </w:rPr>
        <w:t>article 13</w:t>
      </w:r>
      <w:r>
        <w:rPr>
          <w:lang w:val="fr-FR"/>
        </w:rPr>
        <w:t xml:space="preserve"> </w:t>
      </w:r>
      <w:r w:rsidRPr="00521891">
        <w:rPr>
          <w:lang w:val="fr-FR"/>
        </w:rPr>
        <w:t>c</w:t>
      </w:r>
      <w:r>
        <w:rPr>
          <w:lang w:val="fr-FR"/>
        </w:rPr>
        <w:t>)</w:t>
      </w:r>
      <w:r w:rsidRPr="00521891">
        <w:rPr>
          <w:lang w:val="fr-FR"/>
        </w:rPr>
        <w:t xml:space="preserve"> : le droit de participer aux activités </w:t>
      </w:r>
      <w:r>
        <w:rPr>
          <w:lang w:val="fr-FR"/>
        </w:rPr>
        <w:br/>
      </w:r>
      <w:r w:rsidRPr="00521891">
        <w:rPr>
          <w:lang w:val="fr-FR"/>
        </w:rPr>
        <w:t>récréatives, aux sports et à tous les aspects de la vie culturelle</w:t>
      </w:r>
      <w:bookmarkEnd w:id="123"/>
    </w:p>
    <w:p w:rsidR="00C06068" w:rsidRPr="00E200B0"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loi n</w:t>
      </w:r>
      <w:r w:rsidRPr="00521891">
        <w:rPr>
          <w:vertAlign w:val="superscript"/>
          <w:lang w:val="fr-FR"/>
        </w:rPr>
        <w:t>o</w:t>
      </w:r>
      <w:r>
        <w:rPr>
          <w:vertAlign w:val="superscript"/>
          <w:lang w:val="fr-FR"/>
        </w:rPr>
        <w:t> </w:t>
      </w:r>
      <w:r w:rsidRPr="00521891">
        <w:rPr>
          <w:lang w:val="fr-FR"/>
        </w:rPr>
        <w:t>2004/028 du 9</w:t>
      </w:r>
      <w:r>
        <w:rPr>
          <w:lang w:val="fr-FR"/>
        </w:rPr>
        <w:t> </w:t>
      </w:r>
      <w:r w:rsidRPr="00521891">
        <w:rPr>
          <w:lang w:val="fr-FR"/>
        </w:rPr>
        <w:t xml:space="preserve">septembre 2004 portant politique nationale de la jeunesse, stipule en son article 3 que </w:t>
      </w:r>
      <w:r>
        <w:rPr>
          <w:lang w:val="fr-FR"/>
        </w:rPr>
        <w:t>« </w:t>
      </w:r>
      <w:r w:rsidRPr="00521891">
        <w:rPr>
          <w:lang w:val="fr-FR"/>
        </w:rPr>
        <w:t>La politique nationale de la jeunesse cerne tout jeune sans distinction de sexe, de classe sociale, de religion, d</w:t>
      </w:r>
      <w:r>
        <w:rPr>
          <w:lang w:val="fr-FR"/>
        </w:rPr>
        <w:t>’</w:t>
      </w:r>
      <w:r w:rsidRPr="00521891">
        <w:rPr>
          <w:lang w:val="fr-FR"/>
        </w:rPr>
        <w:t>affiliation politique ni de handicap physique ou mental</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De 2011 à 2012, le Ministère en charge de la jeunesse a renforcé les centres et infrastructures de jeunesse :</w:t>
      </w:r>
    </w:p>
    <w:p w:rsidR="00C06068" w:rsidRPr="00521891" w:rsidRDefault="00C06068" w:rsidP="00C06068">
      <w:pPr>
        <w:pStyle w:val="SingleTxt"/>
        <w:tabs>
          <w:tab w:val="right" w:pos="1685"/>
        </w:tabs>
        <w:ind w:left="1742" w:hanging="475"/>
        <w:rPr>
          <w:lang w:val="fr-FR"/>
        </w:rPr>
      </w:pPr>
      <w:r>
        <w:rPr>
          <w:lang w:val="fr-FR"/>
        </w:rPr>
        <w:tab/>
        <w:t>•</w:t>
      </w:r>
      <w:r>
        <w:rPr>
          <w:lang w:val="fr-FR"/>
        </w:rPr>
        <w:tab/>
        <w:t>31/</w:t>
      </w:r>
      <w:r w:rsidRPr="00521891">
        <w:rPr>
          <w:lang w:val="fr-FR"/>
        </w:rPr>
        <w:t>42 maisons de jeunes rendues fonctionnelles dans les chefs-lieux de district pour les jeunes scolarisés ou non, leur permettant d</w:t>
      </w:r>
      <w:r>
        <w:rPr>
          <w:lang w:val="fr-FR"/>
        </w:rPr>
        <w:t>’</w:t>
      </w:r>
      <w:r w:rsidRPr="00521891">
        <w:rPr>
          <w:lang w:val="fr-FR"/>
        </w:rPr>
        <w:t>avoir accès à des activités socioculturelles et de loisirs;</w:t>
      </w:r>
    </w:p>
    <w:p w:rsidR="00C06068" w:rsidRPr="00521891" w:rsidRDefault="00C06068" w:rsidP="00C06068">
      <w:pPr>
        <w:pStyle w:val="SingleTxt"/>
        <w:tabs>
          <w:tab w:val="right" w:pos="1685"/>
        </w:tabs>
        <w:ind w:left="1742" w:hanging="475"/>
        <w:rPr>
          <w:lang w:val="fr-FR"/>
        </w:rPr>
      </w:pPr>
      <w:r>
        <w:rPr>
          <w:lang w:val="fr-FR"/>
        </w:rPr>
        <w:tab/>
        <w:t>•</w:t>
      </w:r>
      <w:r>
        <w:rPr>
          <w:lang w:val="fr-FR"/>
        </w:rPr>
        <w:tab/>
        <w:t>31 maisons de</w:t>
      </w:r>
      <w:r w:rsidRPr="00521891">
        <w:rPr>
          <w:lang w:val="fr-FR"/>
        </w:rPr>
        <w:t xml:space="preserve"> jeunes réhabilitées en matière d</w:t>
      </w:r>
      <w:r>
        <w:rPr>
          <w:lang w:val="fr-FR"/>
        </w:rPr>
        <w:t>’</w:t>
      </w:r>
      <w:r w:rsidRPr="00521891">
        <w:rPr>
          <w:lang w:val="fr-FR"/>
        </w:rPr>
        <w:t>infrastructures sportives avec l</w:t>
      </w:r>
      <w:r>
        <w:rPr>
          <w:lang w:val="fr-FR"/>
        </w:rPr>
        <w:t>’</w:t>
      </w:r>
      <w:r w:rsidRPr="00521891">
        <w:rPr>
          <w:lang w:val="fr-FR"/>
        </w:rPr>
        <w:t>appui du FNUAP et de l</w:t>
      </w:r>
      <w:r>
        <w:rPr>
          <w:lang w:val="fr-FR"/>
        </w:rPr>
        <w:t>’</w:t>
      </w:r>
      <w:r w:rsidRPr="00521891">
        <w:rPr>
          <w:lang w:val="fr-FR"/>
        </w:rPr>
        <w:t>UNICEF;</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25 kiosques d</w:t>
      </w:r>
      <w:r>
        <w:rPr>
          <w:lang w:val="fr-FR"/>
        </w:rPr>
        <w:t>’information mis</w:t>
      </w:r>
      <w:r w:rsidRPr="00521891">
        <w:rPr>
          <w:lang w:val="fr-FR"/>
        </w:rPr>
        <w:t xml:space="preserve"> en place dans 25 communes rurales dans les régions de Sava, Diana, Alaotra Mangoro, Atsinanana avec l</w:t>
      </w:r>
      <w:r>
        <w:rPr>
          <w:lang w:val="fr-FR"/>
        </w:rPr>
        <w:t>’</w:t>
      </w:r>
      <w:r w:rsidRPr="00521891">
        <w:rPr>
          <w:lang w:val="fr-FR"/>
        </w:rPr>
        <w:t>appui de l</w:t>
      </w:r>
      <w:r>
        <w:rPr>
          <w:lang w:val="fr-FR"/>
        </w:rPr>
        <w:t>’</w:t>
      </w:r>
      <w:r w:rsidRPr="00521891">
        <w:rPr>
          <w:lang w:val="fr-FR"/>
        </w:rPr>
        <w:t>UNICEF;</w:t>
      </w:r>
    </w:p>
    <w:p w:rsidR="00C06068" w:rsidRPr="00521891" w:rsidRDefault="00C06068" w:rsidP="00C06068">
      <w:pPr>
        <w:pStyle w:val="SingleTxt"/>
        <w:tabs>
          <w:tab w:val="right" w:pos="1685"/>
        </w:tabs>
        <w:ind w:left="1742" w:hanging="475"/>
        <w:rPr>
          <w:lang w:val="fr-FR"/>
        </w:rPr>
      </w:pPr>
      <w:r>
        <w:rPr>
          <w:lang w:val="fr-FR"/>
        </w:rPr>
        <w:tab/>
        <w:t>•</w:t>
      </w:r>
      <w:r>
        <w:rPr>
          <w:lang w:val="fr-FR"/>
        </w:rPr>
        <w:tab/>
        <w:t>20 maisons de</w:t>
      </w:r>
      <w:r w:rsidRPr="00521891">
        <w:rPr>
          <w:lang w:val="fr-FR"/>
        </w:rPr>
        <w:t xml:space="preserve"> jeunes dotées d</w:t>
      </w:r>
      <w:r>
        <w:rPr>
          <w:lang w:val="fr-FR"/>
        </w:rPr>
        <w:t>’I</w:t>
      </w:r>
      <w:r w:rsidRPr="00521891">
        <w:rPr>
          <w:lang w:val="fr-FR"/>
        </w:rPr>
        <w:t xml:space="preserve">nternet gratuit en collaboration avec </w:t>
      </w:r>
      <w:r>
        <w:rPr>
          <w:lang w:val="fr-FR"/>
        </w:rPr>
        <w:t>« </w:t>
      </w:r>
      <w:r w:rsidRPr="00521891">
        <w:rPr>
          <w:lang w:val="fr-FR"/>
        </w:rPr>
        <w:t>Orange Madagascar</w:t>
      </w:r>
      <w:r>
        <w:rPr>
          <w:lang w:val="fr-FR"/>
        </w:rPr>
        <w:t> »</w:t>
      </w:r>
      <w:r w:rsidRPr="00521891">
        <w:rPr>
          <w:lang w:val="fr-FR"/>
        </w:rPr>
        <w:t>.</w:t>
      </w:r>
    </w:p>
    <w:p w:rsidR="00C06068" w:rsidRDefault="00C06068" w:rsidP="00C06068">
      <w:pPr>
        <w:pStyle w:val="SingleTxt"/>
        <w:keepNext/>
        <w:keepLines/>
        <w:numPr>
          <w:ilvl w:val="0"/>
          <w:numId w:val="10"/>
        </w:numPr>
        <w:rPr>
          <w:lang w:val="fr-FR"/>
        </w:rPr>
      </w:pPr>
      <w:r w:rsidRPr="00521891">
        <w:rPr>
          <w:lang w:val="fr-FR"/>
        </w:rPr>
        <w:t xml:space="preserve">Le tableau ci-après retrace </w:t>
      </w:r>
      <w:r>
        <w:rPr>
          <w:lang w:val="fr-FR"/>
        </w:rPr>
        <w:t>la fréquentation des maisons de</w:t>
      </w:r>
      <w:r w:rsidRPr="00521891">
        <w:rPr>
          <w:lang w:val="fr-FR"/>
        </w:rPr>
        <w:t xml:space="preserve"> jeunes sur 25 sites.</w:t>
      </w:r>
    </w:p>
    <w:p w:rsidR="00C06068" w:rsidRPr="00481DFA" w:rsidRDefault="00C06068" w:rsidP="00C06068">
      <w:pPr>
        <w:pStyle w:val="SingleTxt"/>
        <w:keepNext/>
        <w:keepLines/>
        <w:spacing w:after="0" w:line="120" w:lineRule="exact"/>
        <w:rPr>
          <w:sz w:val="10"/>
          <w:lang w:val="fr-FR"/>
        </w:rPr>
      </w:pPr>
    </w:p>
    <w:p w:rsidR="00C06068" w:rsidRPr="00E200B0"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bookmarkStart w:id="124" w:name="_Toc377129331"/>
      <w:r>
        <w:rPr>
          <w:lang w:val="fr-FR"/>
        </w:rPr>
        <w:tab/>
      </w:r>
      <w:r>
        <w:rPr>
          <w:lang w:val="fr-FR"/>
        </w:rPr>
        <w:tab/>
      </w:r>
      <w:r w:rsidRPr="00E200B0">
        <w:rPr>
          <w:b w:val="0"/>
          <w:lang w:val="fr-FR"/>
        </w:rPr>
        <w:t>Tableau 45</w:t>
      </w: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Fréquentation des maisons de</w:t>
      </w:r>
      <w:r w:rsidRPr="00521891">
        <w:rPr>
          <w:lang w:val="fr-FR"/>
        </w:rPr>
        <w:t xml:space="preserve"> jeunes par les jeunes de 10 à 24 ans</w:t>
      </w:r>
      <w:bookmarkEnd w:id="124"/>
    </w:p>
    <w:p w:rsidR="00C06068" w:rsidRPr="00E200B0" w:rsidRDefault="00C06068" w:rsidP="00C06068">
      <w:pPr>
        <w:pStyle w:val="SingleTxt"/>
        <w:keepNext/>
        <w:keepLines/>
        <w:spacing w:after="0" w:line="120" w:lineRule="exact"/>
        <w:rPr>
          <w:sz w:val="10"/>
          <w:lang w:val="fr-FR"/>
        </w:rPr>
      </w:pPr>
    </w:p>
    <w:p w:rsidR="00C06068" w:rsidRPr="00E200B0" w:rsidRDefault="00C06068" w:rsidP="00C06068">
      <w:pPr>
        <w:pStyle w:val="SingleTxt"/>
        <w:keepNext/>
        <w:keepLines/>
        <w:spacing w:after="0" w:line="120" w:lineRule="exact"/>
        <w:rPr>
          <w:sz w:val="10"/>
          <w:lang w:val="fr-FR"/>
        </w:rPr>
      </w:pPr>
    </w:p>
    <w:tbl>
      <w:tblPr>
        <w:tblW w:w="7380" w:type="dxa"/>
        <w:tblInd w:w="1260" w:type="dxa"/>
        <w:tblBorders>
          <w:top w:val="single" w:sz="4" w:space="0" w:color="auto"/>
        </w:tblBorders>
        <w:tblCellMar>
          <w:left w:w="0" w:type="dxa"/>
          <w:right w:w="0" w:type="dxa"/>
        </w:tblCellMar>
        <w:tblLook w:val="04A0"/>
      </w:tblPr>
      <w:tblGrid>
        <w:gridCol w:w="3420"/>
        <w:gridCol w:w="990"/>
        <w:gridCol w:w="990"/>
        <w:gridCol w:w="990"/>
        <w:gridCol w:w="990"/>
      </w:tblGrid>
      <w:tr w:rsidR="00C06068" w:rsidRPr="00FC6584" w:rsidTr="007F3574">
        <w:trPr>
          <w:trHeight w:val="240"/>
          <w:tblHeader/>
        </w:trPr>
        <w:tc>
          <w:tcPr>
            <w:tcW w:w="342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rPr>
                <w:i/>
                <w:sz w:val="14"/>
                <w:lang w:val="fr-FR"/>
              </w:rPr>
            </w:pPr>
          </w:p>
        </w:tc>
        <w:tc>
          <w:tcPr>
            <w:tcW w:w="9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2009</w:t>
            </w:r>
          </w:p>
        </w:tc>
        <w:tc>
          <w:tcPr>
            <w:tcW w:w="9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2010</w:t>
            </w:r>
          </w:p>
        </w:tc>
        <w:tc>
          <w:tcPr>
            <w:tcW w:w="9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2011</w:t>
            </w:r>
          </w:p>
        </w:tc>
        <w:tc>
          <w:tcPr>
            <w:tcW w:w="990" w:type="dxa"/>
            <w:tcBorders>
              <w:top w:val="single" w:sz="4" w:space="0" w:color="auto"/>
              <w:bottom w:val="single" w:sz="12" w:space="0" w:color="auto"/>
            </w:tcBorders>
            <w:shd w:val="clear" w:color="auto" w:fill="auto"/>
            <w:vAlign w:val="bottom"/>
          </w:tcPr>
          <w:p w:rsidR="00C06068" w:rsidRPr="00FC6584" w:rsidRDefault="00C06068" w:rsidP="007F3574">
            <w:pPr>
              <w:tabs>
                <w:tab w:val="left" w:pos="288"/>
                <w:tab w:val="left" w:pos="576"/>
                <w:tab w:val="left" w:pos="864"/>
                <w:tab w:val="left" w:pos="1152"/>
              </w:tabs>
              <w:suppressAutoHyphens/>
              <w:spacing w:before="80" w:after="80" w:line="160" w:lineRule="exact"/>
              <w:ind w:right="43"/>
              <w:jc w:val="right"/>
              <w:rPr>
                <w:i/>
                <w:sz w:val="14"/>
                <w:lang w:val="fr-FR"/>
              </w:rPr>
            </w:pPr>
            <w:r w:rsidRPr="00FC6584">
              <w:rPr>
                <w:i/>
                <w:sz w:val="14"/>
                <w:lang w:val="fr-FR"/>
              </w:rPr>
              <w:t>2012</w:t>
            </w:r>
          </w:p>
        </w:tc>
      </w:tr>
      <w:tr w:rsidR="00C06068" w:rsidRPr="00FC6584" w:rsidTr="007F3574">
        <w:trPr>
          <w:trHeight w:val="240"/>
        </w:trPr>
        <w:tc>
          <w:tcPr>
            <w:tcW w:w="3420" w:type="dxa"/>
            <w:tcBorders>
              <w:top w:val="single" w:sz="12"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80" w:after="40" w:line="210" w:lineRule="exact"/>
              <w:ind w:right="43"/>
              <w:rPr>
                <w:sz w:val="17"/>
                <w:lang w:val="fr-FR"/>
              </w:rPr>
            </w:pPr>
            <w:r w:rsidRPr="00917E2F">
              <w:rPr>
                <w:sz w:val="17"/>
                <w:lang w:val="fr-FR"/>
              </w:rPr>
              <w:t>Garçons</w:t>
            </w:r>
          </w:p>
        </w:tc>
        <w:tc>
          <w:tcPr>
            <w:tcW w:w="9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p>
        </w:tc>
        <w:tc>
          <w:tcPr>
            <w:tcW w:w="9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32 136</w:t>
            </w:r>
          </w:p>
        </w:tc>
        <w:tc>
          <w:tcPr>
            <w:tcW w:w="9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32 424</w:t>
            </w:r>
          </w:p>
        </w:tc>
        <w:tc>
          <w:tcPr>
            <w:tcW w:w="990" w:type="dxa"/>
            <w:tcBorders>
              <w:top w:val="single" w:sz="12"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80" w:after="40" w:line="210" w:lineRule="exact"/>
              <w:ind w:right="43"/>
              <w:jc w:val="right"/>
              <w:rPr>
                <w:sz w:val="17"/>
                <w:lang w:val="fr-FR"/>
              </w:rPr>
            </w:pPr>
            <w:r w:rsidRPr="00256056">
              <w:rPr>
                <w:sz w:val="17"/>
                <w:lang w:val="fr-FR"/>
              </w:rPr>
              <w:t>70 085</w:t>
            </w:r>
          </w:p>
        </w:tc>
      </w:tr>
      <w:tr w:rsidR="00C06068" w:rsidRPr="00FC6584" w:rsidTr="007F3574">
        <w:trPr>
          <w:trHeight w:val="240"/>
        </w:trPr>
        <w:tc>
          <w:tcPr>
            <w:tcW w:w="3420" w:type="dxa"/>
            <w:tcBorders>
              <w:bottom w:val="single" w:sz="4" w:space="0" w:color="auto"/>
            </w:tcBorders>
            <w:shd w:val="clear" w:color="auto" w:fill="auto"/>
          </w:tcPr>
          <w:p w:rsidR="00C06068" w:rsidRPr="00917E2F" w:rsidRDefault="00C06068" w:rsidP="007F3574">
            <w:pPr>
              <w:tabs>
                <w:tab w:val="left" w:pos="288"/>
                <w:tab w:val="left" w:pos="576"/>
                <w:tab w:val="left" w:pos="864"/>
                <w:tab w:val="left" w:pos="1152"/>
              </w:tabs>
              <w:suppressAutoHyphens/>
              <w:spacing w:before="40" w:after="81" w:line="210" w:lineRule="exact"/>
              <w:ind w:right="43"/>
              <w:rPr>
                <w:sz w:val="17"/>
                <w:lang w:val="fr-FR"/>
              </w:rPr>
            </w:pPr>
            <w:r w:rsidRPr="00917E2F">
              <w:rPr>
                <w:sz w:val="17"/>
                <w:lang w:val="fr-FR"/>
              </w:rPr>
              <w:t>Filles</w:t>
            </w:r>
          </w:p>
        </w:tc>
        <w:tc>
          <w:tcPr>
            <w:tcW w:w="9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p>
        </w:tc>
        <w:tc>
          <w:tcPr>
            <w:tcW w:w="9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11 711</w:t>
            </w:r>
          </w:p>
        </w:tc>
        <w:tc>
          <w:tcPr>
            <w:tcW w:w="9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15 772</w:t>
            </w:r>
          </w:p>
        </w:tc>
        <w:tc>
          <w:tcPr>
            <w:tcW w:w="990" w:type="dxa"/>
            <w:tcBorders>
              <w:bottom w:val="single" w:sz="4" w:space="0" w:color="auto"/>
            </w:tcBorders>
            <w:shd w:val="clear" w:color="auto" w:fill="auto"/>
            <w:vAlign w:val="bottom"/>
          </w:tcPr>
          <w:p w:rsidR="00C06068" w:rsidRPr="00256056" w:rsidRDefault="00C06068" w:rsidP="007F3574">
            <w:pPr>
              <w:tabs>
                <w:tab w:val="left" w:pos="288"/>
                <w:tab w:val="left" w:pos="576"/>
                <w:tab w:val="left" w:pos="864"/>
                <w:tab w:val="left" w:pos="1152"/>
              </w:tabs>
              <w:suppressAutoHyphens/>
              <w:spacing w:before="40" w:after="81" w:line="210" w:lineRule="exact"/>
              <w:ind w:right="43"/>
              <w:jc w:val="right"/>
              <w:rPr>
                <w:sz w:val="17"/>
                <w:lang w:val="fr-FR"/>
              </w:rPr>
            </w:pPr>
            <w:r w:rsidRPr="00256056">
              <w:rPr>
                <w:sz w:val="17"/>
                <w:lang w:val="fr-FR"/>
              </w:rPr>
              <w:t>29 321</w:t>
            </w:r>
          </w:p>
        </w:tc>
      </w:tr>
      <w:tr w:rsidR="00C06068" w:rsidRPr="00E200B0" w:rsidTr="007F3574">
        <w:trPr>
          <w:trHeight w:val="240"/>
        </w:trPr>
        <w:tc>
          <w:tcPr>
            <w:tcW w:w="3420" w:type="dxa"/>
            <w:tcBorders>
              <w:top w:val="single" w:sz="4" w:space="0" w:color="auto"/>
              <w:bottom w:val="single" w:sz="12" w:space="0" w:color="auto"/>
            </w:tcBorders>
            <w:shd w:val="clear" w:color="auto" w:fill="auto"/>
          </w:tcPr>
          <w:p w:rsidR="00C06068" w:rsidRPr="00E200B0" w:rsidRDefault="00C06068" w:rsidP="007F3574">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Pr="00E200B0">
              <w:rPr>
                <w:b/>
                <w:sz w:val="17"/>
                <w:lang w:val="fr-FR"/>
              </w:rPr>
              <w:t>Total</w:t>
            </w:r>
          </w:p>
        </w:tc>
        <w:tc>
          <w:tcPr>
            <w:tcW w:w="990" w:type="dxa"/>
            <w:tcBorders>
              <w:top w:val="single" w:sz="4" w:space="0" w:color="auto"/>
              <w:bottom w:val="single" w:sz="12" w:space="0" w:color="auto"/>
            </w:tcBorders>
            <w:shd w:val="clear" w:color="auto" w:fill="auto"/>
            <w:vAlign w:val="bottom"/>
          </w:tcPr>
          <w:p w:rsidR="00C06068" w:rsidRPr="00E200B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E200B0">
              <w:rPr>
                <w:b/>
                <w:sz w:val="17"/>
                <w:lang w:val="fr-FR"/>
              </w:rPr>
              <w:t>86 982</w:t>
            </w:r>
          </w:p>
        </w:tc>
        <w:tc>
          <w:tcPr>
            <w:tcW w:w="990" w:type="dxa"/>
            <w:tcBorders>
              <w:top w:val="single" w:sz="4" w:space="0" w:color="auto"/>
              <w:bottom w:val="single" w:sz="12" w:space="0" w:color="auto"/>
            </w:tcBorders>
            <w:shd w:val="clear" w:color="auto" w:fill="auto"/>
            <w:vAlign w:val="bottom"/>
          </w:tcPr>
          <w:p w:rsidR="00C06068" w:rsidRPr="00E200B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E200B0">
              <w:rPr>
                <w:b/>
                <w:sz w:val="17"/>
                <w:lang w:val="fr-FR"/>
              </w:rPr>
              <w:t>43 857</w:t>
            </w:r>
          </w:p>
        </w:tc>
        <w:tc>
          <w:tcPr>
            <w:tcW w:w="990" w:type="dxa"/>
            <w:tcBorders>
              <w:top w:val="single" w:sz="4" w:space="0" w:color="auto"/>
              <w:bottom w:val="single" w:sz="12" w:space="0" w:color="auto"/>
            </w:tcBorders>
            <w:shd w:val="clear" w:color="auto" w:fill="auto"/>
            <w:vAlign w:val="bottom"/>
          </w:tcPr>
          <w:p w:rsidR="00C06068" w:rsidRPr="00E200B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E200B0">
              <w:rPr>
                <w:b/>
                <w:sz w:val="17"/>
                <w:lang w:val="fr-FR"/>
              </w:rPr>
              <w:t>48 186</w:t>
            </w:r>
          </w:p>
        </w:tc>
        <w:tc>
          <w:tcPr>
            <w:tcW w:w="990" w:type="dxa"/>
            <w:tcBorders>
              <w:top w:val="single" w:sz="4" w:space="0" w:color="auto"/>
              <w:bottom w:val="single" w:sz="12" w:space="0" w:color="auto"/>
            </w:tcBorders>
            <w:shd w:val="clear" w:color="auto" w:fill="auto"/>
            <w:vAlign w:val="bottom"/>
          </w:tcPr>
          <w:p w:rsidR="00C06068" w:rsidRPr="00E200B0" w:rsidRDefault="00C06068" w:rsidP="007F3574">
            <w:pPr>
              <w:tabs>
                <w:tab w:val="left" w:pos="288"/>
                <w:tab w:val="left" w:pos="576"/>
                <w:tab w:val="left" w:pos="864"/>
                <w:tab w:val="left" w:pos="1152"/>
              </w:tabs>
              <w:suppressAutoHyphens/>
              <w:spacing w:before="81" w:after="81" w:line="210" w:lineRule="exact"/>
              <w:ind w:right="43"/>
              <w:jc w:val="right"/>
              <w:rPr>
                <w:b/>
                <w:sz w:val="17"/>
                <w:lang w:val="fr-FR"/>
              </w:rPr>
            </w:pPr>
            <w:r w:rsidRPr="00E200B0">
              <w:rPr>
                <w:b/>
                <w:sz w:val="17"/>
                <w:lang w:val="fr-FR"/>
              </w:rPr>
              <w:t>99 406</w:t>
            </w:r>
          </w:p>
        </w:tc>
      </w:tr>
    </w:tbl>
    <w:p w:rsidR="00C06068" w:rsidRPr="00E200B0" w:rsidRDefault="00C06068" w:rsidP="00C06068">
      <w:pPr>
        <w:pStyle w:val="SingleTxt"/>
        <w:spacing w:after="0" w:line="120" w:lineRule="exact"/>
        <w:rPr>
          <w:i/>
          <w:sz w:val="10"/>
          <w:lang w:val="fr-FR"/>
        </w:rPr>
      </w:pPr>
    </w:p>
    <w:p w:rsidR="00C06068" w:rsidRDefault="00C06068" w:rsidP="00C06068">
      <w:pPr>
        <w:pStyle w:val="FootnoteText"/>
        <w:tabs>
          <w:tab w:val="right" w:pos="1476"/>
          <w:tab w:val="left" w:pos="1548"/>
          <w:tab w:val="right" w:pos="1836"/>
          <w:tab w:val="left" w:pos="1908"/>
        </w:tabs>
        <w:ind w:left="1548" w:right="1267" w:hanging="288"/>
        <w:rPr>
          <w:lang w:val="fr-FR"/>
        </w:rPr>
      </w:pPr>
      <w:r w:rsidRPr="00E200B0">
        <w:rPr>
          <w:i/>
          <w:lang w:val="fr-FR"/>
        </w:rPr>
        <w:t>Source</w:t>
      </w:r>
      <w:r w:rsidRPr="00917E2F">
        <w:rPr>
          <w:lang w:val="fr-FR"/>
        </w:rPr>
        <w:t> :</w:t>
      </w:r>
      <w:r w:rsidRPr="00521891">
        <w:rPr>
          <w:lang w:val="fr-FR"/>
        </w:rPr>
        <w:t xml:space="preserve"> Ministère de la jeunesse </w:t>
      </w:r>
      <w:r>
        <w:rPr>
          <w:lang w:val="fr-FR"/>
        </w:rPr>
        <w:t xml:space="preserve">et </w:t>
      </w:r>
      <w:r w:rsidRPr="00521891">
        <w:rPr>
          <w:lang w:val="fr-FR"/>
        </w:rPr>
        <w:t>de</w:t>
      </w:r>
      <w:r>
        <w:rPr>
          <w:lang w:val="fr-FR"/>
        </w:rPr>
        <w:t>s</w:t>
      </w:r>
      <w:r w:rsidRPr="00521891">
        <w:rPr>
          <w:lang w:val="fr-FR"/>
        </w:rPr>
        <w:t xml:space="preserve"> loisirs</w:t>
      </w:r>
      <w:r>
        <w:rPr>
          <w:lang w:val="fr-FR"/>
        </w:rPr>
        <w:t>.</w:t>
      </w:r>
    </w:p>
    <w:p w:rsidR="00C06068" w:rsidRPr="00E200B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200B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Pr="00E200B0" w:rsidRDefault="00C06068" w:rsidP="00C06068">
      <w:pPr>
        <w:pStyle w:val="FootnoteText"/>
        <w:tabs>
          <w:tab w:val="right" w:pos="1476"/>
          <w:tab w:val="left" w:pos="1548"/>
          <w:tab w:val="right" w:pos="1836"/>
          <w:tab w:val="left" w:pos="1908"/>
        </w:tabs>
        <w:spacing w:line="120" w:lineRule="exact"/>
        <w:ind w:left="1548" w:right="1267" w:hanging="288"/>
        <w:rPr>
          <w:sz w:val="10"/>
          <w:lang w:val="fr-FR"/>
        </w:rPr>
      </w:pP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5" w:name="_Toc376709341"/>
      <w:r w:rsidRPr="00521891">
        <w:rPr>
          <w:lang w:val="fr-FR"/>
        </w:rPr>
        <w:tab/>
        <w:t>5.</w:t>
      </w:r>
      <w:r w:rsidRPr="00521891">
        <w:rPr>
          <w:lang w:val="fr-FR"/>
        </w:rPr>
        <w:tab/>
        <w:t>Participation des jeunes filles aux activités sportives</w:t>
      </w:r>
      <w:bookmarkEnd w:id="125"/>
    </w:p>
    <w:p w:rsidR="00C06068" w:rsidRPr="00E200B0" w:rsidRDefault="00C06068" w:rsidP="00C06068">
      <w:pPr>
        <w:pStyle w:val="SingleTxt"/>
        <w:spacing w:after="0" w:line="120" w:lineRule="exact"/>
        <w:rPr>
          <w:sz w:val="10"/>
          <w:lang w:val="fr-FR"/>
        </w:rPr>
      </w:pP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En 2011, respect des règlements sur la parité fille</w:t>
      </w:r>
      <w:r>
        <w:rPr>
          <w:lang w:val="fr-FR"/>
        </w:rPr>
        <w:t>s</w:t>
      </w:r>
      <w:r w:rsidRPr="00521891">
        <w:rPr>
          <w:lang w:val="fr-FR"/>
        </w:rPr>
        <w:t xml:space="preserve"> et garçon</w:t>
      </w:r>
      <w:r>
        <w:rPr>
          <w:lang w:val="fr-FR"/>
        </w:rPr>
        <w:t>s</w:t>
      </w:r>
      <w:r w:rsidRPr="00521891">
        <w:rPr>
          <w:lang w:val="fr-FR"/>
        </w:rPr>
        <w:t xml:space="preserve"> en nombre égal lors de la participation aux </w:t>
      </w:r>
      <w:r>
        <w:rPr>
          <w:lang w:val="fr-FR"/>
        </w:rPr>
        <w:t>j</w:t>
      </w:r>
      <w:r w:rsidRPr="00521891">
        <w:rPr>
          <w:lang w:val="fr-FR"/>
        </w:rPr>
        <w:t>eux des îles de l</w:t>
      </w:r>
      <w:r>
        <w:rPr>
          <w:lang w:val="fr-FR"/>
        </w:rPr>
        <w:t>’o</w:t>
      </w:r>
      <w:r w:rsidRPr="00521891">
        <w:rPr>
          <w:lang w:val="fr-FR"/>
        </w:rPr>
        <w:t>céan Indien</w:t>
      </w:r>
      <w:r>
        <w:rPr>
          <w:lang w:val="fr-FR"/>
        </w:rPr>
        <w:t>.</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 xml:space="preserve">Compétitions sportives annuelles </w:t>
      </w:r>
      <w:r>
        <w:rPr>
          <w:lang w:val="fr-FR"/>
        </w:rPr>
        <w:t>« </w:t>
      </w:r>
      <w:r w:rsidRPr="00521891">
        <w:rPr>
          <w:lang w:val="fr-FR"/>
        </w:rPr>
        <w:t>spécial junior</w:t>
      </w:r>
      <w:r>
        <w:rPr>
          <w:lang w:val="fr-FR"/>
        </w:rPr>
        <w:t> »</w:t>
      </w:r>
      <w:r w:rsidRPr="00521891">
        <w:rPr>
          <w:lang w:val="fr-FR"/>
        </w:rPr>
        <w:t xml:space="preserve"> dénommées </w:t>
      </w:r>
      <w:r>
        <w:rPr>
          <w:lang w:val="fr-FR"/>
        </w:rPr>
        <w:t>c</w:t>
      </w:r>
      <w:r w:rsidRPr="00521891">
        <w:rPr>
          <w:lang w:val="fr-FR"/>
        </w:rPr>
        <w:t>oupe du Président, pour les garçons et pour les filles, organisées par le Ministère du sport</w:t>
      </w:r>
      <w:r>
        <w:rPr>
          <w:lang w:val="fr-FR"/>
        </w:rPr>
        <w:t>.</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 xml:space="preserve">Manifestations sportives de </w:t>
      </w:r>
      <w:r>
        <w:rPr>
          <w:lang w:val="fr-FR"/>
        </w:rPr>
        <w:t>« </w:t>
      </w:r>
      <w:r w:rsidRPr="00521891">
        <w:rPr>
          <w:lang w:val="fr-FR"/>
        </w:rPr>
        <w:t>Kitra Fokontany</w:t>
      </w:r>
      <w:r>
        <w:rPr>
          <w:lang w:val="fr-FR"/>
        </w:rPr>
        <w:t> »</w:t>
      </w:r>
      <w:r w:rsidRPr="00521891">
        <w:rPr>
          <w:lang w:val="fr-FR"/>
        </w:rPr>
        <w:t xml:space="preserve">, foot à </w:t>
      </w:r>
      <w:r>
        <w:rPr>
          <w:lang w:val="fr-FR"/>
        </w:rPr>
        <w:t>sept</w:t>
      </w:r>
      <w:r w:rsidRPr="00521891">
        <w:rPr>
          <w:lang w:val="fr-FR"/>
        </w:rPr>
        <w:t xml:space="preserve"> pour garçons et filles, basket, volley-ball, chaque année avec les Fokontany</w:t>
      </w:r>
      <w:r>
        <w:rPr>
          <w:lang w:val="fr-FR"/>
        </w:rPr>
        <w:t>.</w:t>
      </w:r>
    </w:p>
    <w:p w:rsidR="00C06068" w:rsidRPr="00521891"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 xml:space="preserve">Concours initiés par des structures privées, annuellement : concours de chants </w:t>
      </w:r>
      <w:r>
        <w:rPr>
          <w:lang w:val="fr-FR"/>
        </w:rPr>
        <w:t>pazzapa (RTA) et</w:t>
      </w:r>
      <w:r w:rsidRPr="00521891">
        <w:rPr>
          <w:lang w:val="fr-FR"/>
        </w:rPr>
        <w:t xml:space="preserve"> de slam (Alliance </w:t>
      </w:r>
      <w:r>
        <w:rPr>
          <w:lang w:val="fr-FR"/>
        </w:rPr>
        <w:t>f</w:t>
      </w:r>
      <w:r w:rsidRPr="00521891">
        <w:rPr>
          <w:lang w:val="fr-FR"/>
        </w:rPr>
        <w:t>rançaise)</w:t>
      </w:r>
      <w:r>
        <w:rPr>
          <w:lang w:val="fr-FR"/>
        </w:rPr>
        <w:t>.</w:t>
      </w:r>
    </w:p>
    <w:p w:rsidR="00C06068" w:rsidRDefault="00C06068" w:rsidP="00C06068">
      <w:pPr>
        <w:pStyle w:val="SingleTxt"/>
        <w:tabs>
          <w:tab w:val="right" w:pos="1685"/>
        </w:tabs>
        <w:ind w:left="1742" w:hanging="475"/>
        <w:rPr>
          <w:lang w:val="fr-FR"/>
        </w:rPr>
      </w:pPr>
      <w:r>
        <w:rPr>
          <w:lang w:val="fr-FR"/>
        </w:rPr>
        <w:tab/>
        <w:t>•</w:t>
      </w:r>
      <w:r>
        <w:rPr>
          <w:lang w:val="fr-FR"/>
        </w:rPr>
        <w:tab/>
      </w:r>
      <w:r w:rsidRPr="00521891">
        <w:rPr>
          <w:lang w:val="fr-FR"/>
        </w:rPr>
        <w:t>Participation des femmes dans l</w:t>
      </w:r>
      <w:r>
        <w:rPr>
          <w:lang w:val="fr-FR"/>
        </w:rPr>
        <w:t>’</w:t>
      </w:r>
      <w:r w:rsidRPr="00521891">
        <w:rPr>
          <w:lang w:val="fr-FR"/>
        </w:rPr>
        <w:t>art oratoire dont l</w:t>
      </w:r>
      <w:r>
        <w:rPr>
          <w:lang w:val="fr-FR"/>
        </w:rPr>
        <w:t>’</w:t>
      </w:r>
      <w:r w:rsidRPr="00521891">
        <w:rPr>
          <w:lang w:val="fr-FR"/>
        </w:rPr>
        <w:t>association nationale est menée par une femme. Les femmes peuvent tenir le discours durant les mariages ou autres évènements, ce qui n</w:t>
      </w:r>
      <w:r>
        <w:rPr>
          <w:lang w:val="fr-FR"/>
        </w:rPr>
        <w:t>’était pas le cas auparavant.</w:t>
      </w:r>
    </w:p>
    <w:p w:rsidR="00C06068" w:rsidRPr="00E200B0" w:rsidRDefault="00C06068" w:rsidP="00C06068">
      <w:pPr>
        <w:pStyle w:val="SingleTxt"/>
        <w:tabs>
          <w:tab w:val="right" w:pos="1685"/>
        </w:tabs>
        <w:spacing w:after="0" w:line="120" w:lineRule="exact"/>
        <w:ind w:left="1742" w:hanging="475"/>
        <w:rPr>
          <w:sz w:val="10"/>
          <w:lang w:val="fr-FR"/>
        </w:rPr>
      </w:pPr>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6" w:name="_Toc376709342"/>
      <w:r w:rsidRPr="00521891">
        <w:rPr>
          <w:lang w:val="fr-FR"/>
        </w:rPr>
        <w:tab/>
        <w:t>6.</w:t>
      </w:r>
      <w:r w:rsidRPr="00521891">
        <w:rPr>
          <w:lang w:val="fr-FR"/>
        </w:rPr>
        <w:tab/>
        <w:t>Animations/formations</w:t>
      </w:r>
      <w:bookmarkEnd w:id="126"/>
    </w:p>
    <w:p w:rsidR="00C06068" w:rsidRPr="00E200B0"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Avec l</w:t>
      </w:r>
      <w:r>
        <w:rPr>
          <w:lang w:val="fr-FR"/>
        </w:rPr>
        <w:t>’</w:t>
      </w:r>
      <w:r w:rsidRPr="00521891">
        <w:rPr>
          <w:lang w:val="fr-FR"/>
        </w:rPr>
        <w:t>appui de l</w:t>
      </w:r>
      <w:r>
        <w:rPr>
          <w:lang w:val="fr-FR"/>
        </w:rPr>
        <w:t>’</w:t>
      </w:r>
      <w:r w:rsidRPr="00521891">
        <w:rPr>
          <w:lang w:val="fr-FR"/>
        </w:rPr>
        <w:t>UNICEF, 400 jeunes reporters de 13 à 18 ans dont 200 filles et 200 garçons ont été recrutés et formés auprès des collèges, des lycées et des associations religieuses, sportives, artistiques, clubs pour assurer des émissions radio dans leur localité.</w:t>
      </w:r>
    </w:p>
    <w:p w:rsidR="00C06068" w:rsidRPr="00521891" w:rsidRDefault="00C06068" w:rsidP="00C06068">
      <w:pPr>
        <w:pStyle w:val="SingleTxt"/>
        <w:numPr>
          <w:ilvl w:val="0"/>
          <w:numId w:val="10"/>
        </w:numPr>
        <w:rPr>
          <w:lang w:val="fr-FR"/>
        </w:rPr>
      </w:pPr>
      <w:r>
        <w:rPr>
          <w:lang w:val="fr-FR"/>
        </w:rPr>
        <w:t xml:space="preserve">Entre 2011 et </w:t>
      </w:r>
      <w:r w:rsidRPr="00521891">
        <w:rPr>
          <w:lang w:val="fr-FR"/>
        </w:rPr>
        <w:t>2012, 238 encadreurs sportifs dont 37 femmes ont été formés à l</w:t>
      </w:r>
      <w:r>
        <w:rPr>
          <w:lang w:val="fr-FR"/>
        </w:rPr>
        <w:t>’A</w:t>
      </w:r>
      <w:r w:rsidRPr="00521891">
        <w:rPr>
          <w:lang w:val="fr-FR"/>
        </w:rPr>
        <w:t>cadémie nationale des sports.</w:t>
      </w:r>
    </w:p>
    <w:p w:rsidR="00C06068" w:rsidRPr="00521891" w:rsidRDefault="00C06068" w:rsidP="00C06068">
      <w:pPr>
        <w:pStyle w:val="SingleTxt"/>
        <w:numPr>
          <w:ilvl w:val="0"/>
          <w:numId w:val="10"/>
        </w:numPr>
        <w:rPr>
          <w:lang w:val="fr-FR"/>
        </w:rPr>
      </w:pPr>
      <w:r>
        <w:rPr>
          <w:lang w:val="fr-FR"/>
        </w:rPr>
        <w:t xml:space="preserve">Entre 2011 et </w:t>
      </w:r>
      <w:r w:rsidRPr="00521891">
        <w:rPr>
          <w:lang w:val="fr-FR"/>
        </w:rPr>
        <w:t>2013, 56 cadres et dirigeants d</w:t>
      </w:r>
      <w:r>
        <w:rPr>
          <w:lang w:val="fr-FR"/>
        </w:rPr>
        <w:t>’</w:t>
      </w:r>
      <w:r w:rsidRPr="00521891">
        <w:rPr>
          <w:lang w:val="fr-FR"/>
        </w:rPr>
        <w:t>ac</w:t>
      </w:r>
      <w:r>
        <w:rPr>
          <w:lang w:val="fr-FR"/>
        </w:rPr>
        <w:t>tivités de jeunesse dont 20 </w:t>
      </w:r>
      <w:r w:rsidRPr="00521891">
        <w:rPr>
          <w:lang w:val="fr-FR"/>
        </w:rPr>
        <w:t>femmes ont été formés à l</w:t>
      </w:r>
      <w:r>
        <w:rPr>
          <w:lang w:val="fr-FR"/>
        </w:rPr>
        <w:t>’</w:t>
      </w:r>
      <w:r w:rsidRPr="00521891">
        <w:rPr>
          <w:lang w:val="fr-FR"/>
        </w:rPr>
        <w:t>Institut national de la jeunesse.</w:t>
      </w:r>
    </w:p>
    <w:p w:rsidR="00C06068" w:rsidRPr="00E200B0" w:rsidRDefault="00C06068" w:rsidP="00C06068">
      <w:pPr>
        <w:pStyle w:val="SingleTxt"/>
        <w:spacing w:after="0" w:line="120" w:lineRule="exact"/>
        <w:rPr>
          <w:b/>
          <w:sz w:val="10"/>
          <w:lang w:val="fr-FR"/>
        </w:rPr>
      </w:pPr>
      <w:bookmarkStart w:id="127" w:name="_Toc376709343"/>
    </w:p>
    <w:p w:rsidR="00C06068" w:rsidRPr="00E200B0" w:rsidRDefault="00C06068" w:rsidP="00C06068">
      <w:pPr>
        <w:pStyle w:val="SingleTxt"/>
        <w:spacing w:after="0" w:line="120" w:lineRule="exact"/>
        <w:rPr>
          <w:b/>
          <w:sz w:val="10"/>
          <w:lang w:val="fr-FR"/>
        </w:rPr>
      </w:pPr>
    </w:p>
    <w:p w:rsidR="00C06068"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14 de la Convention : faire </w:t>
      </w:r>
      <w:r>
        <w:rPr>
          <w:lang w:val="fr-FR"/>
        </w:rPr>
        <w:br/>
      </w:r>
      <w:r w:rsidRPr="00521891">
        <w:rPr>
          <w:lang w:val="fr-FR"/>
        </w:rPr>
        <w:t>de la promotion de l</w:t>
      </w:r>
      <w:r>
        <w:rPr>
          <w:lang w:val="fr-FR"/>
        </w:rPr>
        <w:t>’</w:t>
      </w:r>
      <w:r w:rsidRPr="00521891">
        <w:rPr>
          <w:lang w:val="fr-FR"/>
        </w:rPr>
        <w:t xml:space="preserve">égalité des sexes une composante </w:t>
      </w:r>
      <w:r>
        <w:rPr>
          <w:lang w:val="fr-FR"/>
        </w:rPr>
        <w:br/>
      </w:r>
      <w:r w:rsidRPr="00521891">
        <w:rPr>
          <w:lang w:val="fr-FR"/>
        </w:rPr>
        <w:t xml:space="preserve">explicite des plans et programmes de développement </w:t>
      </w:r>
      <w:r>
        <w:rPr>
          <w:lang w:val="fr-FR"/>
        </w:rPr>
        <w:br/>
      </w:r>
      <w:r w:rsidRPr="00521891">
        <w:rPr>
          <w:lang w:val="fr-FR"/>
        </w:rPr>
        <w:t>national et local</w:t>
      </w:r>
      <w:bookmarkEnd w:id="127"/>
    </w:p>
    <w:p w:rsidR="00C06068" w:rsidRPr="00E200B0" w:rsidRDefault="00C06068" w:rsidP="00C06068">
      <w:pPr>
        <w:pStyle w:val="SingleTxt"/>
        <w:keepNext/>
        <w:keepLines/>
        <w:spacing w:after="0" w:line="120" w:lineRule="exact"/>
        <w:rPr>
          <w:sz w:val="10"/>
          <w:lang w:val="fr-FR"/>
        </w:rPr>
      </w:pPr>
    </w:p>
    <w:p w:rsidR="00C06068" w:rsidRPr="00E200B0" w:rsidRDefault="00C06068" w:rsidP="00C06068">
      <w:pPr>
        <w:pStyle w:val="SingleTxt"/>
        <w:keepNext/>
        <w:keepLines/>
        <w:spacing w:after="0" w:line="120" w:lineRule="exact"/>
        <w:rPr>
          <w:sz w:val="10"/>
          <w:lang w:val="fr-FR"/>
        </w:rPr>
      </w:pPr>
    </w:p>
    <w:p w:rsidR="00C06068" w:rsidRPr="00521891" w:rsidRDefault="00C06068" w:rsidP="00C06068">
      <w:pPr>
        <w:pStyle w:val="SingleTxt"/>
        <w:keepNext/>
        <w:keepLines/>
        <w:rPr>
          <w:lang w:val="fr-FR"/>
        </w:rPr>
      </w:pPr>
      <w:r w:rsidRPr="00521891">
        <w:rPr>
          <w:lang w:val="fr-FR"/>
        </w:rPr>
        <w:t>(</w:t>
      </w:r>
      <w:r w:rsidRPr="00CA4846">
        <w:rPr>
          <w:i/>
          <w:lang w:val="fr-FR"/>
        </w:rPr>
        <w:t>Objet de la recommandation dans le paragraphe 33</w:t>
      </w:r>
      <w:r w:rsidRPr="00521891">
        <w:rPr>
          <w:lang w:val="fr-FR"/>
        </w:rPr>
        <w:t>)</w:t>
      </w:r>
    </w:p>
    <w:p w:rsidR="00C06068" w:rsidRPr="00CA4846" w:rsidRDefault="00C06068" w:rsidP="00C06068">
      <w:pPr>
        <w:pStyle w:val="SingleTxt"/>
        <w:rPr>
          <w:i/>
          <w:lang w:val="fr-FR"/>
        </w:rPr>
      </w:pPr>
      <w:r>
        <w:rPr>
          <w:bCs/>
          <w:lang w:val="fr-FR"/>
        </w:rPr>
        <w:tab/>
      </w:r>
      <w:r w:rsidRPr="00CA4846">
        <w:rPr>
          <w:bCs/>
          <w:i/>
          <w:lang w:val="fr-FR"/>
        </w:rPr>
        <w:t>Le Comité demande instamment à l’État partie de veiller à faire de la promotion de l’égalité des sexes une composante explicite de ses plans et programmes de développement aux niveaux national et local, notamment ceux qui visent à atténuer la pauvreté et à assurer un développement durable. Il l’engage aussi à prêter une attention particulière aux besoins des femmes rurales et des femmes chefs de famille, en veillant à ce qu’elles soient associées à la prise des décisions et aient pleinement accès au crédit. Il prie également l’État partie de prendre des mesures volontaristes pour faire en sorte que les femmes rurales aient accès à des services de santé, à l’éducation, à une eau salubre, à l’électricité, à la terre et à des projets rémunérateurs. Il lui recommande de concevoir et de mettre en œuvre des stratégies et programmes de développement rural qui tiennent compte des sexospécificités en veillant à associer pleinement les femmes des zones rurales à ces processus</w:t>
      </w:r>
      <w:r w:rsidRPr="00CA4846">
        <w:rPr>
          <w:i/>
          <w:lang w:val="fr-FR"/>
        </w:rPr>
        <w:t>.</w:t>
      </w:r>
    </w:p>
    <w:p w:rsidR="00C06068" w:rsidRPr="00521891" w:rsidRDefault="00C06068" w:rsidP="00C06068">
      <w:pPr>
        <w:pStyle w:val="SingleTxt"/>
        <w:numPr>
          <w:ilvl w:val="0"/>
          <w:numId w:val="10"/>
        </w:numPr>
        <w:rPr>
          <w:lang w:val="fr-FR"/>
        </w:rPr>
      </w:pPr>
      <w:r w:rsidRPr="00521891">
        <w:rPr>
          <w:lang w:val="fr-FR"/>
        </w:rPr>
        <w:t>Certaines informations sur l</w:t>
      </w:r>
      <w:r>
        <w:rPr>
          <w:lang w:val="fr-FR"/>
        </w:rPr>
        <w:t>’</w:t>
      </w:r>
      <w:r w:rsidRPr="00521891">
        <w:rPr>
          <w:lang w:val="fr-FR"/>
        </w:rPr>
        <w:t>application de l</w:t>
      </w:r>
      <w:r>
        <w:rPr>
          <w:lang w:val="fr-FR"/>
        </w:rPr>
        <w:t>’</w:t>
      </w:r>
      <w:r w:rsidRPr="00521891">
        <w:rPr>
          <w:lang w:val="fr-FR"/>
        </w:rPr>
        <w:t>article 14 ont été fournies et détaillées lors de la mise en œuvre de la recommandation n</w:t>
      </w:r>
      <w:r w:rsidRPr="00521891">
        <w:rPr>
          <w:vertAlign w:val="superscript"/>
          <w:lang w:val="fr-FR"/>
        </w:rPr>
        <w:t>o</w:t>
      </w:r>
      <w:r>
        <w:rPr>
          <w:vertAlign w:val="superscript"/>
          <w:lang w:val="fr-FR"/>
        </w:rPr>
        <w:t> </w:t>
      </w:r>
      <w:r w:rsidRPr="00521891">
        <w:rPr>
          <w:lang w:val="fr-FR"/>
        </w:rPr>
        <w:t>33, notamment en ce qui concerne l</w:t>
      </w:r>
      <w:r>
        <w:rPr>
          <w:lang w:val="fr-FR"/>
        </w:rPr>
        <w:t>’</w:t>
      </w:r>
      <w:r w:rsidRPr="00521891">
        <w:rPr>
          <w:lang w:val="fr-FR"/>
        </w:rPr>
        <w:t>accès des femmes rurales au service dans le domaine de la santé, de l</w:t>
      </w:r>
      <w:r>
        <w:rPr>
          <w:lang w:val="fr-FR"/>
        </w:rPr>
        <w:t>’</w:t>
      </w:r>
      <w:r w:rsidRPr="00521891">
        <w:rPr>
          <w:lang w:val="fr-FR"/>
        </w:rPr>
        <w:t>éducation et de la formation et d</w:t>
      </w:r>
      <w:r>
        <w:rPr>
          <w:lang w:val="fr-FR"/>
        </w:rPr>
        <w:t>’</w:t>
      </w:r>
      <w:r w:rsidRPr="00521891">
        <w:rPr>
          <w:lang w:val="fr-FR"/>
        </w:rPr>
        <w:t>accès aux crédits et d</w:t>
      </w:r>
      <w:r>
        <w:rPr>
          <w:lang w:val="fr-FR"/>
        </w:rPr>
        <w:t>’</w:t>
      </w:r>
      <w:r w:rsidRPr="00521891">
        <w:rPr>
          <w:lang w:val="fr-FR"/>
        </w:rPr>
        <w:t>aides agricoles.</w:t>
      </w:r>
    </w:p>
    <w:p w:rsidR="00C06068" w:rsidRPr="00521891" w:rsidRDefault="00C06068" w:rsidP="00C06068">
      <w:pPr>
        <w:pStyle w:val="SingleTxt"/>
        <w:numPr>
          <w:ilvl w:val="0"/>
          <w:numId w:val="10"/>
        </w:numPr>
        <w:rPr>
          <w:lang w:val="fr-FR"/>
        </w:rPr>
      </w:pPr>
      <w:r w:rsidRPr="00521891">
        <w:rPr>
          <w:lang w:val="fr-FR"/>
        </w:rPr>
        <w:t>La participation effective des femmes rurales à l</w:t>
      </w:r>
      <w:r>
        <w:rPr>
          <w:lang w:val="fr-FR"/>
        </w:rPr>
        <w:t>’</w:t>
      </w:r>
      <w:r w:rsidRPr="00521891">
        <w:rPr>
          <w:lang w:val="fr-FR"/>
        </w:rPr>
        <w:t>élaboration et à l</w:t>
      </w:r>
      <w:r>
        <w:rPr>
          <w:lang w:val="fr-FR"/>
        </w:rPr>
        <w:t>’</w:t>
      </w:r>
      <w:r w:rsidRPr="00521891">
        <w:rPr>
          <w:lang w:val="fr-FR"/>
        </w:rPr>
        <w:t>exécution des plans de développement à tous les échelons se heurte à des obstacles d</w:t>
      </w:r>
      <w:r>
        <w:rPr>
          <w:lang w:val="fr-FR"/>
        </w:rPr>
        <w:t>’</w:t>
      </w:r>
      <w:r w:rsidRPr="00521891">
        <w:rPr>
          <w:lang w:val="fr-FR"/>
        </w:rPr>
        <w:t>ordre culturel tendant à considérer que la conception, l</w:t>
      </w:r>
      <w:r>
        <w:rPr>
          <w:lang w:val="fr-FR"/>
        </w:rPr>
        <w:t>’</w:t>
      </w:r>
      <w:r w:rsidRPr="00521891">
        <w:rPr>
          <w:lang w:val="fr-FR"/>
        </w:rPr>
        <w:t>élaboration et l</w:t>
      </w:r>
      <w:r>
        <w:rPr>
          <w:lang w:val="fr-FR"/>
        </w:rPr>
        <w:t>’</w:t>
      </w:r>
      <w:r w:rsidRPr="00521891">
        <w:rPr>
          <w:lang w:val="fr-FR"/>
        </w:rPr>
        <w:t xml:space="preserve">exécution de plans de développement communal sont réservées aux hommes. </w:t>
      </w:r>
      <w:r>
        <w:rPr>
          <w:lang w:val="fr-FR"/>
        </w:rPr>
        <w:t>À</w:t>
      </w:r>
      <w:r w:rsidRPr="00521891">
        <w:rPr>
          <w:lang w:val="fr-FR"/>
        </w:rPr>
        <w:t xml:space="preserve"> noter toutefois que dans certaines régions, notamment dans le </w:t>
      </w:r>
      <w:r>
        <w:rPr>
          <w:lang w:val="fr-FR"/>
        </w:rPr>
        <w:t>s</w:t>
      </w:r>
      <w:r w:rsidRPr="00521891">
        <w:rPr>
          <w:lang w:val="fr-FR"/>
        </w:rPr>
        <w:t>ud-est, les groupements de femmes érigés en coopératives commencent à s</w:t>
      </w:r>
      <w:r>
        <w:rPr>
          <w:lang w:val="fr-FR"/>
        </w:rPr>
        <w:t>’</w:t>
      </w:r>
      <w:r w:rsidRPr="00521891">
        <w:rPr>
          <w:lang w:val="fr-FR"/>
        </w:rPr>
        <w:t xml:space="preserve">intéresser à la gestion des affaires de développement en </w:t>
      </w:r>
      <w:r>
        <w:rPr>
          <w:lang w:val="fr-FR"/>
        </w:rPr>
        <w:t>participant aux assemblées des F</w:t>
      </w:r>
      <w:r w:rsidRPr="00521891">
        <w:rPr>
          <w:lang w:val="fr-FR"/>
        </w:rPr>
        <w:t>okontany lors de la détermination des plans locaux de développement et à toutes les activités de la communauté.</w:t>
      </w:r>
    </w:p>
    <w:p w:rsidR="00C06068" w:rsidRPr="00521891" w:rsidRDefault="00C06068" w:rsidP="00C06068">
      <w:pPr>
        <w:pStyle w:val="SingleTxt"/>
        <w:numPr>
          <w:ilvl w:val="0"/>
          <w:numId w:val="10"/>
        </w:numPr>
        <w:rPr>
          <w:lang w:val="fr-FR"/>
        </w:rPr>
      </w:pPr>
      <w:r w:rsidRPr="00521891">
        <w:rPr>
          <w:lang w:val="fr-FR"/>
        </w:rPr>
        <w:t>En l</w:t>
      </w:r>
      <w:r>
        <w:rPr>
          <w:lang w:val="fr-FR"/>
        </w:rPr>
        <w:t>’</w:t>
      </w:r>
      <w:r w:rsidRPr="00521891">
        <w:rPr>
          <w:lang w:val="fr-FR"/>
        </w:rPr>
        <w:t>état actuel, les femmes rurales ne bénéficient pas directement de programmes de sécurité sociale.</w:t>
      </w:r>
    </w:p>
    <w:p w:rsidR="00C06068" w:rsidRPr="00E200B0" w:rsidRDefault="00C06068" w:rsidP="00C06068">
      <w:pPr>
        <w:pStyle w:val="SingleTxt"/>
        <w:spacing w:after="0" w:line="120" w:lineRule="exact"/>
        <w:rPr>
          <w:b/>
          <w:sz w:val="10"/>
          <w:lang w:val="fr-FR"/>
        </w:rPr>
      </w:pPr>
      <w:bookmarkStart w:id="128" w:name="_Toc376709344"/>
    </w:p>
    <w:p w:rsidR="00C06068" w:rsidRPr="00E200B0" w:rsidRDefault="00C06068" w:rsidP="00C06068">
      <w:pPr>
        <w:pStyle w:val="SingleTxt"/>
        <w:spacing w:after="0" w:line="120" w:lineRule="exact"/>
        <w:rPr>
          <w:b/>
          <w:sz w:val="10"/>
          <w:lang w:val="fr-FR"/>
        </w:rPr>
      </w:pPr>
    </w:p>
    <w:p w:rsidR="00C06068"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r>
      <w:r w:rsidRPr="00521891">
        <w:rPr>
          <w:lang w:val="fr-FR"/>
        </w:rPr>
        <w:tab/>
      </w:r>
      <w:r>
        <w:rPr>
          <w:lang w:val="fr-FR"/>
        </w:rPr>
        <w:t xml:space="preserve">Application de l’article </w:t>
      </w:r>
      <w:r w:rsidRPr="00521891">
        <w:rPr>
          <w:lang w:val="fr-FR"/>
        </w:rPr>
        <w:t xml:space="preserve">15 de la Convention : égalité </w:t>
      </w:r>
      <w:r>
        <w:rPr>
          <w:lang w:val="fr-FR"/>
        </w:rPr>
        <w:br/>
      </w:r>
      <w:r w:rsidRPr="00521891">
        <w:rPr>
          <w:lang w:val="fr-FR"/>
        </w:rPr>
        <w:t>de l</w:t>
      </w:r>
      <w:r>
        <w:rPr>
          <w:lang w:val="fr-FR"/>
        </w:rPr>
        <w:t>’</w:t>
      </w:r>
      <w:r w:rsidRPr="00521891">
        <w:rPr>
          <w:lang w:val="fr-FR"/>
        </w:rPr>
        <w:t>homme et de la femme devant la loi</w:t>
      </w:r>
      <w:bookmarkEnd w:id="128"/>
    </w:p>
    <w:p w:rsidR="00C06068" w:rsidRPr="00E200B0" w:rsidRDefault="00C06068" w:rsidP="00C06068">
      <w:pPr>
        <w:pStyle w:val="SingleTxt"/>
        <w:spacing w:after="0" w:line="120" w:lineRule="exact"/>
        <w:rPr>
          <w:sz w:val="10"/>
          <w:lang w:val="fr-FR"/>
        </w:rPr>
      </w:pPr>
    </w:p>
    <w:p w:rsidR="00C06068" w:rsidRPr="00E200B0"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Les informations fournies dans le précèdent rapport concernant la capacité juridique de contracter, de choisir la résidence commune et d</w:t>
      </w:r>
      <w:r>
        <w:rPr>
          <w:lang w:val="fr-FR"/>
        </w:rPr>
        <w:t>’</w:t>
      </w:r>
      <w:r w:rsidRPr="00521891">
        <w:rPr>
          <w:lang w:val="fr-FR"/>
        </w:rPr>
        <w:t>administrer les biens communs demeurent valables.</w:t>
      </w:r>
    </w:p>
    <w:p w:rsidR="00C06068" w:rsidRPr="00E200B0" w:rsidRDefault="00C06068" w:rsidP="00C06068">
      <w:pPr>
        <w:pStyle w:val="SingleTxt"/>
        <w:spacing w:after="0" w:line="120" w:lineRule="exact"/>
        <w:rPr>
          <w:b/>
          <w:sz w:val="10"/>
          <w:lang w:val="fr-FR"/>
        </w:rPr>
      </w:pPr>
      <w:bookmarkStart w:id="129" w:name="_Toc376709345"/>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L</w:t>
      </w:r>
      <w:r>
        <w:rPr>
          <w:lang w:val="fr-FR"/>
        </w:rPr>
        <w:t>’</w:t>
      </w:r>
      <w:r w:rsidRPr="00521891">
        <w:rPr>
          <w:lang w:val="fr-FR"/>
        </w:rPr>
        <w:t>égalité homme</w:t>
      </w:r>
      <w:r>
        <w:rPr>
          <w:lang w:val="fr-FR"/>
        </w:rPr>
        <w:t>s-</w:t>
      </w:r>
      <w:r w:rsidRPr="00521891">
        <w:rPr>
          <w:lang w:val="fr-FR"/>
        </w:rPr>
        <w:t>femme</w:t>
      </w:r>
      <w:r>
        <w:rPr>
          <w:lang w:val="fr-FR"/>
        </w:rPr>
        <w:t>s</w:t>
      </w:r>
      <w:r w:rsidRPr="00521891">
        <w:rPr>
          <w:lang w:val="fr-FR"/>
        </w:rPr>
        <w:t xml:space="preserve"> devant la loi</w:t>
      </w:r>
      <w:bookmarkEnd w:id="129"/>
    </w:p>
    <w:p w:rsidR="00C06068" w:rsidRPr="00E200B0"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La reconnaissance de l</w:t>
      </w:r>
      <w:r>
        <w:rPr>
          <w:lang w:val="fr-FR"/>
        </w:rPr>
        <w:t>’</w:t>
      </w:r>
      <w:r w:rsidRPr="00521891">
        <w:rPr>
          <w:lang w:val="fr-FR"/>
        </w:rPr>
        <w:t>égalité de tous devant la loi, sans distinction de sexe, est reprise à l</w:t>
      </w:r>
      <w:r>
        <w:rPr>
          <w:lang w:val="fr-FR"/>
        </w:rPr>
        <w:t>’</w:t>
      </w:r>
      <w:r w:rsidRPr="00521891">
        <w:rPr>
          <w:lang w:val="fr-FR"/>
        </w:rPr>
        <w:t>article 6</w:t>
      </w:r>
      <w:r>
        <w:rPr>
          <w:lang w:val="fr-FR"/>
        </w:rPr>
        <w:t>,</w:t>
      </w:r>
      <w:r w:rsidRPr="00521891">
        <w:rPr>
          <w:lang w:val="fr-FR"/>
        </w:rPr>
        <w:t xml:space="preserve"> alinéa 2</w:t>
      </w:r>
      <w:r>
        <w:rPr>
          <w:lang w:val="fr-FR"/>
        </w:rPr>
        <w:t>, de la Constitution en c</w:t>
      </w:r>
      <w:r w:rsidRPr="00521891">
        <w:rPr>
          <w:lang w:val="fr-FR"/>
        </w:rPr>
        <w:t xml:space="preserve">es termes : </w:t>
      </w:r>
      <w:r>
        <w:rPr>
          <w:lang w:val="fr-FR"/>
        </w:rPr>
        <w:t>« </w:t>
      </w:r>
      <w:r w:rsidRPr="00521891">
        <w:rPr>
          <w:lang w:val="fr-FR"/>
        </w:rPr>
        <w:t>Tous les individus sont égaux en droit et jouissent des mêmes libertés fondamentales protégées par la loi sans discrimination fondée sur le sexe, le degré d</w:t>
      </w:r>
      <w:r>
        <w:rPr>
          <w:lang w:val="fr-FR"/>
        </w:rPr>
        <w:t>’</w:t>
      </w:r>
      <w:r w:rsidRPr="00521891">
        <w:rPr>
          <w:lang w:val="fr-FR"/>
        </w:rPr>
        <w:t>instruction, la fortune, l</w:t>
      </w:r>
      <w:r>
        <w:rPr>
          <w:lang w:val="fr-FR"/>
        </w:rPr>
        <w:t>’</w:t>
      </w:r>
      <w:r w:rsidRPr="00521891">
        <w:rPr>
          <w:lang w:val="fr-FR"/>
        </w:rPr>
        <w:t>origine, la croyance religieuse ou l</w:t>
      </w:r>
      <w:r>
        <w:rPr>
          <w:lang w:val="fr-FR"/>
        </w:rPr>
        <w:t>’</w:t>
      </w:r>
      <w:r w:rsidRPr="00521891">
        <w:rPr>
          <w:lang w:val="fr-FR"/>
        </w:rPr>
        <w:t>opinion</w:t>
      </w:r>
      <w:r>
        <w:rPr>
          <w:lang w:val="fr-FR"/>
        </w:rPr>
        <w:t> »</w:t>
      </w:r>
      <w:r w:rsidRPr="00521891">
        <w:rPr>
          <w:lang w:val="fr-FR"/>
        </w:rPr>
        <w:t>.</w:t>
      </w:r>
    </w:p>
    <w:p w:rsidR="00C06068" w:rsidRPr="00521891" w:rsidRDefault="00C06068" w:rsidP="00C06068">
      <w:pPr>
        <w:pStyle w:val="SingleTxt"/>
        <w:numPr>
          <w:ilvl w:val="0"/>
          <w:numId w:val="10"/>
        </w:numPr>
        <w:rPr>
          <w:lang w:val="fr-FR"/>
        </w:rPr>
      </w:pPr>
      <w:r w:rsidRPr="00521891">
        <w:rPr>
          <w:lang w:val="fr-FR"/>
        </w:rPr>
        <w:t>Il en découle que la femme, au même titre que l</w:t>
      </w:r>
      <w:r>
        <w:rPr>
          <w:lang w:val="fr-FR"/>
        </w:rPr>
        <w:t>’</w:t>
      </w:r>
      <w:r w:rsidRPr="00521891">
        <w:rPr>
          <w:lang w:val="fr-FR"/>
        </w:rPr>
        <w:t>homme, est dotée de la capacité de choisir la résidence commune et d</w:t>
      </w:r>
      <w:r>
        <w:rPr>
          <w:lang w:val="fr-FR"/>
        </w:rPr>
        <w:t>’</w:t>
      </w:r>
      <w:r w:rsidRPr="00521891">
        <w:rPr>
          <w:lang w:val="fr-FR"/>
        </w:rPr>
        <w:t>être traitée de</w:t>
      </w:r>
      <w:r>
        <w:rPr>
          <w:lang w:val="fr-FR"/>
        </w:rPr>
        <w:t xml:space="preserve"> la même manière devant les t</w:t>
      </w:r>
      <w:r w:rsidRPr="00521891">
        <w:rPr>
          <w:lang w:val="fr-FR"/>
        </w:rPr>
        <w:t>ribunaux et bénéficie des mêmes protections à tous les stades de la procédure sans restriction fondée sur le sexe.</w:t>
      </w:r>
    </w:p>
    <w:p w:rsidR="00C06068" w:rsidRDefault="00C06068" w:rsidP="00C06068">
      <w:pPr>
        <w:pStyle w:val="SingleTxt"/>
        <w:numPr>
          <w:ilvl w:val="0"/>
          <w:numId w:val="10"/>
        </w:numPr>
        <w:rPr>
          <w:lang w:val="fr-FR"/>
        </w:rPr>
      </w:pPr>
      <w:r w:rsidRPr="00521891">
        <w:rPr>
          <w:lang w:val="fr-FR"/>
        </w:rPr>
        <w:t>Par ailleurs, elle est également dotée de la même capacité que l</w:t>
      </w:r>
      <w:r>
        <w:rPr>
          <w:lang w:val="fr-FR"/>
        </w:rPr>
        <w:t>’</w:t>
      </w:r>
      <w:r w:rsidRPr="00521891">
        <w:rPr>
          <w:lang w:val="fr-FR"/>
        </w:rPr>
        <w:t>homme en matière de conclusions de contrat, d</w:t>
      </w:r>
      <w:r>
        <w:rPr>
          <w:lang w:val="fr-FR"/>
        </w:rPr>
        <w:t>’</w:t>
      </w:r>
      <w:r w:rsidRPr="00521891">
        <w:rPr>
          <w:lang w:val="fr-FR"/>
        </w:rPr>
        <w:t>administration des biens et du droit de circuler librement.</w:t>
      </w:r>
    </w:p>
    <w:p w:rsidR="00C06068" w:rsidRPr="00481DFA" w:rsidRDefault="00C06068" w:rsidP="00C06068">
      <w:pPr>
        <w:pStyle w:val="SingleTxt"/>
        <w:spacing w:after="0" w:line="120" w:lineRule="exact"/>
        <w:rPr>
          <w:sz w:val="10"/>
          <w:lang w:val="fr-FR"/>
        </w:rPr>
      </w:pPr>
    </w:p>
    <w:p w:rsidR="00C06068" w:rsidRPr="00481DFA" w:rsidRDefault="00C06068" w:rsidP="00C06068">
      <w:pPr>
        <w:pStyle w:val="SingleTxt"/>
        <w:spacing w:after="0" w:line="120" w:lineRule="exact"/>
        <w:rPr>
          <w:sz w:val="10"/>
          <w:lang w:val="fr-FR"/>
        </w:rPr>
      </w:pPr>
    </w:p>
    <w:p w:rsidR="00C06068" w:rsidRDefault="00C06068" w:rsidP="00C06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0" w:name="_Toc376709346"/>
      <w:r w:rsidRPr="00521891">
        <w:rPr>
          <w:lang w:val="fr-FR"/>
        </w:rPr>
        <w:tab/>
      </w:r>
      <w:r w:rsidRPr="00521891">
        <w:rPr>
          <w:lang w:val="fr-FR"/>
        </w:rPr>
        <w:tab/>
      </w:r>
      <w:r>
        <w:rPr>
          <w:lang w:val="fr-FR"/>
        </w:rPr>
        <w:t xml:space="preserve">Application de l’article </w:t>
      </w:r>
      <w:r w:rsidRPr="00521891">
        <w:rPr>
          <w:lang w:val="fr-FR"/>
        </w:rPr>
        <w:t xml:space="preserve">16 de la Convention : élimination </w:t>
      </w:r>
      <w:r>
        <w:rPr>
          <w:lang w:val="fr-FR"/>
        </w:rPr>
        <w:br/>
        <w:t xml:space="preserve">de </w:t>
      </w:r>
      <w:r w:rsidRPr="00521891">
        <w:rPr>
          <w:lang w:val="fr-FR"/>
        </w:rPr>
        <w:t>la discrimination à l</w:t>
      </w:r>
      <w:r>
        <w:rPr>
          <w:lang w:val="fr-FR"/>
        </w:rPr>
        <w:t>’</w:t>
      </w:r>
      <w:r w:rsidRPr="00521891">
        <w:rPr>
          <w:lang w:val="fr-FR"/>
        </w:rPr>
        <w:t xml:space="preserve">égard des femmes </w:t>
      </w:r>
      <w:r>
        <w:rPr>
          <w:lang w:val="fr-FR"/>
        </w:rPr>
        <w:br/>
      </w:r>
      <w:r w:rsidRPr="00521891">
        <w:rPr>
          <w:lang w:val="fr-FR"/>
        </w:rPr>
        <w:t>dans toutes les questions découlant du mariage</w:t>
      </w:r>
      <w:bookmarkEnd w:id="130"/>
    </w:p>
    <w:p w:rsidR="00C06068" w:rsidRPr="00345AC1" w:rsidRDefault="00C06068" w:rsidP="00C06068">
      <w:pPr>
        <w:pStyle w:val="SingleTxt"/>
        <w:spacing w:after="0" w:line="120" w:lineRule="exact"/>
        <w:rPr>
          <w:sz w:val="10"/>
          <w:lang w:val="fr-FR"/>
        </w:rPr>
      </w:pPr>
    </w:p>
    <w:p w:rsidR="00C06068" w:rsidRPr="00345AC1" w:rsidRDefault="00C06068" w:rsidP="00C06068">
      <w:pPr>
        <w:pStyle w:val="SingleTxt"/>
        <w:spacing w:after="0" w:line="120" w:lineRule="exact"/>
        <w:rPr>
          <w:sz w:val="10"/>
          <w:lang w:val="fr-FR"/>
        </w:rPr>
      </w:pPr>
    </w:p>
    <w:p w:rsidR="00C06068" w:rsidRPr="00521891" w:rsidRDefault="00C06068" w:rsidP="00C06068">
      <w:pPr>
        <w:pStyle w:val="SingleTxt"/>
        <w:rPr>
          <w:lang w:val="fr-FR"/>
        </w:rPr>
      </w:pPr>
      <w:r w:rsidRPr="00521891">
        <w:rPr>
          <w:lang w:val="fr-FR"/>
        </w:rPr>
        <w:t>(</w:t>
      </w:r>
      <w:r w:rsidRPr="00CA4846">
        <w:rPr>
          <w:i/>
          <w:lang w:val="fr-FR"/>
        </w:rPr>
        <w:t>Objet de la recommandation dans le paragraphe 37</w:t>
      </w:r>
      <w:r w:rsidRPr="00521891">
        <w:rPr>
          <w:lang w:val="fr-FR"/>
        </w:rPr>
        <w:t>)</w:t>
      </w:r>
    </w:p>
    <w:p w:rsidR="00C06068" w:rsidRPr="00CA4846" w:rsidRDefault="00C06068" w:rsidP="00C06068">
      <w:pPr>
        <w:pStyle w:val="SingleTxt"/>
        <w:rPr>
          <w:i/>
          <w:lang w:val="fr-FR"/>
        </w:rPr>
      </w:pPr>
      <w:r>
        <w:rPr>
          <w:lang w:val="fr-FR"/>
        </w:rPr>
        <w:tab/>
      </w:r>
      <w:r w:rsidRPr="00CA4846">
        <w:rPr>
          <w:i/>
          <w:lang w:val="fr-FR"/>
        </w:rPr>
        <w:t>Le Comité demande instamment à l’État partie d’harmoniser le droit civil et coutumier avec l’article 16 de la Convention et d’abroger l’interdiction qui est faite à la femme de se remarier avant l’expiration d’un délai de six mois. Il lui demande également de mettre en œuvre des mesures visant à éliminer la polygamie, conformément à sa recommandation générale n</w:t>
      </w:r>
      <w:r w:rsidRPr="00CA4846">
        <w:rPr>
          <w:i/>
          <w:vertAlign w:val="superscript"/>
          <w:lang w:val="fr-FR"/>
        </w:rPr>
        <w:t>o </w:t>
      </w:r>
      <w:r w:rsidRPr="00CA4846">
        <w:rPr>
          <w:i/>
          <w:lang w:val="fr-FR"/>
        </w:rPr>
        <w:t>21 sur l’égalité dans le mariage et les relations familiales. Il lui recommande de se pencher sérieusement sur la situation des femmes dans les unions de fait ainsi que sur celle des enfants issus de telles unions et de veiller à ce que les unes et les autres bénéficient d’une protection juridique adéquate.</w:t>
      </w:r>
    </w:p>
    <w:p w:rsidR="00C06068" w:rsidRPr="00345AC1" w:rsidRDefault="00C06068" w:rsidP="00C06068">
      <w:pPr>
        <w:pStyle w:val="SingleTxt"/>
        <w:spacing w:after="0" w:line="120" w:lineRule="exact"/>
        <w:rPr>
          <w:b/>
          <w:sz w:val="10"/>
          <w:lang w:val="fr-FR"/>
        </w:rPr>
      </w:pPr>
      <w:bookmarkStart w:id="131" w:name="_Toc376709347"/>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1.</w:t>
      </w:r>
      <w:r w:rsidRPr="00521891">
        <w:rPr>
          <w:lang w:val="fr-FR"/>
        </w:rPr>
        <w:tab/>
        <w:t>Harmonisation du droit civil et coutumier en matière de mariage</w:t>
      </w:r>
      <w:bookmarkEnd w:id="131"/>
    </w:p>
    <w:p w:rsidR="00C06068" w:rsidRPr="00345AC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Pr>
          <w:lang w:val="fr-FR"/>
        </w:rPr>
        <w:t>À</w:t>
      </w:r>
      <w:r w:rsidRPr="00521891">
        <w:rPr>
          <w:lang w:val="fr-FR"/>
        </w:rPr>
        <w:t xml:space="preserve"> Madagascar, il existe deux types de mariage</w:t>
      </w:r>
      <w:r>
        <w:rPr>
          <w:lang w:val="fr-FR"/>
        </w:rPr>
        <w:t>s</w:t>
      </w:r>
      <w:r w:rsidRPr="00521891">
        <w:rPr>
          <w:lang w:val="fr-FR"/>
        </w:rPr>
        <w:t> : le mariage civil et le mariage traditionnel. La loi n</w:t>
      </w:r>
      <w:r w:rsidRPr="00521891">
        <w:rPr>
          <w:vertAlign w:val="superscript"/>
          <w:lang w:val="fr-FR"/>
        </w:rPr>
        <w:t>o</w:t>
      </w:r>
      <w:r>
        <w:rPr>
          <w:vertAlign w:val="superscript"/>
          <w:lang w:val="fr-FR"/>
        </w:rPr>
        <w:t> </w:t>
      </w:r>
      <w:r w:rsidRPr="00521891">
        <w:rPr>
          <w:lang w:val="fr-FR"/>
        </w:rPr>
        <w:t>2007-022 du 20 août 2007 relative au mariage et aux régimes matrimoniaux dispose en son article 29 que le mariage peut également être célébré suivant les traditions. En conformité à la Convention et pour la mise en œuvre de la recommandation n</w:t>
      </w:r>
      <w:r w:rsidRPr="00521891">
        <w:rPr>
          <w:vertAlign w:val="superscript"/>
          <w:lang w:val="fr-FR"/>
        </w:rPr>
        <w:t>o</w:t>
      </w:r>
      <w:r>
        <w:rPr>
          <w:vertAlign w:val="superscript"/>
          <w:lang w:val="fr-FR"/>
        </w:rPr>
        <w:t> </w:t>
      </w:r>
      <w:r w:rsidRPr="00521891">
        <w:rPr>
          <w:lang w:val="fr-FR"/>
        </w:rPr>
        <w:t>37, cette loi prévoit l</w:t>
      </w:r>
      <w:r>
        <w:rPr>
          <w:lang w:val="fr-FR"/>
        </w:rPr>
        <w:t>’</w:t>
      </w:r>
      <w:r w:rsidRPr="00521891">
        <w:rPr>
          <w:lang w:val="fr-FR"/>
        </w:rPr>
        <w:t>enregistrement du mariage traditionnel auprès de l</w:t>
      </w:r>
      <w:r>
        <w:rPr>
          <w:lang w:val="fr-FR"/>
        </w:rPr>
        <w:t>’o</w:t>
      </w:r>
      <w:r w:rsidRPr="00521891">
        <w:rPr>
          <w:lang w:val="fr-FR"/>
        </w:rPr>
        <w:t>fficier d</w:t>
      </w:r>
      <w:r>
        <w:rPr>
          <w:lang w:val="fr-FR"/>
        </w:rPr>
        <w:t>’</w:t>
      </w:r>
      <w:r w:rsidRPr="00521891">
        <w:rPr>
          <w:lang w:val="fr-FR"/>
        </w:rPr>
        <w:t>état civil qui en dresse immédiatement l</w:t>
      </w:r>
      <w:r>
        <w:rPr>
          <w:lang w:val="fr-FR"/>
        </w:rPr>
        <w:t>’</w:t>
      </w:r>
      <w:r w:rsidRPr="00521891">
        <w:rPr>
          <w:lang w:val="fr-FR"/>
        </w:rPr>
        <w:t>acte de mariage. Cet enregistrement confère à l</w:t>
      </w:r>
      <w:r>
        <w:rPr>
          <w:lang w:val="fr-FR"/>
        </w:rPr>
        <w:t>’</w:t>
      </w:r>
      <w:r w:rsidRPr="00521891">
        <w:rPr>
          <w:lang w:val="fr-FR"/>
        </w:rPr>
        <w:t>épouse et à l</w:t>
      </w:r>
      <w:r>
        <w:rPr>
          <w:lang w:val="fr-FR"/>
        </w:rPr>
        <w:t>’</w:t>
      </w:r>
      <w:r w:rsidRPr="00521891">
        <w:rPr>
          <w:lang w:val="fr-FR"/>
        </w:rPr>
        <w:t>enfant le statut légitime pour bénéficier au mêm</w:t>
      </w:r>
      <w:r>
        <w:rPr>
          <w:lang w:val="fr-FR"/>
        </w:rPr>
        <w:t>e titre que les autres enfants d</w:t>
      </w:r>
      <w:r w:rsidRPr="00521891">
        <w:rPr>
          <w:lang w:val="fr-FR"/>
        </w:rPr>
        <w:t>es mêmes droits découlant du mariage.</w:t>
      </w:r>
    </w:p>
    <w:p w:rsidR="00C06068" w:rsidRPr="00521891" w:rsidRDefault="00C06068" w:rsidP="00C06068">
      <w:pPr>
        <w:pStyle w:val="SingleTxt"/>
        <w:numPr>
          <w:ilvl w:val="0"/>
          <w:numId w:val="10"/>
        </w:numPr>
        <w:rPr>
          <w:lang w:val="fr-FR"/>
        </w:rPr>
      </w:pPr>
      <w:r w:rsidRPr="00521891">
        <w:rPr>
          <w:lang w:val="fr-FR"/>
        </w:rPr>
        <w:t>Cette légalisation du mariage traditionnel a été conçue en vue de conférer aux enfants nés d</w:t>
      </w:r>
      <w:r>
        <w:rPr>
          <w:lang w:val="fr-FR"/>
        </w:rPr>
        <w:t>’</w:t>
      </w:r>
      <w:r w:rsidRPr="00521891">
        <w:rPr>
          <w:lang w:val="fr-FR"/>
        </w:rPr>
        <w:t>une union de fait le statut d</w:t>
      </w:r>
      <w:r>
        <w:rPr>
          <w:lang w:val="fr-FR"/>
        </w:rPr>
        <w:t>’</w:t>
      </w:r>
      <w:r w:rsidRPr="00521891">
        <w:rPr>
          <w:lang w:val="fr-FR"/>
        </w:rPr>
        <w:t>enfants légitimes; ce qui est fréquent en milieu rural à cause de l</w:t>
      </w:r>
      <w:r>
        <w:rPr>
          <w:lang w:val="fr-FR"/>
        </w:rPr>
        <w:t>’</w:t>
      </w:r>
      <w:r w:rsidRPr="00521891">
        <w:rPr>
          <w:lang w:val="fr-FR"/>
        </w:rPr>
        <w:t>éloignement des centres d</w:t>
      </w:r>
      <w:r>
        <w:rPr>
          <w:lang w:val="fr-FR"/>
        </w:rPr>
        <w:t>’</w:t>
      </w:r>
      <w:r w:rsidRPr="00521891">
        <w:rPr>
          <w:lang w:val="fr-FR"/>
        </w:rPr>
        <w:t>état civil.</w:t>
      </w:r>
    </w:p>
    <w:p w:rsidR="00C06068" w:rsidRPr="00345AC1" w:rsidRDefault="00C06068" w:rsidP="00C06068">
      <w:pPr>
        <w:pStyle w:val="SingleTxt"/>
        <w:spacing w:after="0" w:line="120" w:lineRule="exact"/>
        <w:rPr>
          <w:b/>
          <w:sz w:val="10"/>
          <w:lang w:val="fr-FR"/>
        </w:rPr>
      </w:pPr>
      <w:bookmarkStart w:id="132" w:name="_Toc376709348"/>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2.</w:t>
      </w:r>
      <w:r w:rsidRPr="00521891">
        <w:rPr>
          <w:lang w:val="fr-FR"/>
        </w:rPr>
        <w:tab/>
        <w:t xml:space="preserve">Interdiction faite à la femme de se remarier avant expiration du délai </w:t>
      </w:r>
      <w:r>
        <w:rPr>
          <w:lang w:val="fr-FR"/>
        </w:rPr>
        <w:br/>
      </w:r>
      <w:r w:rsidRPr="00521891">
        <w:rPr>
          <w:lang w:val="fr-FR"/>
        </w:rPr>
        <w:t>de six mois</w:t>
      </w:r>
      <w:bookmarkEnd w:id="132"/>
    </w:p>
    <w:p w:rsidR="00C06068" w:rsidRPr="00345AC1" w:rsidRDefault="00C06068" w:rsidP="00C06068">
      <w:pPr>
        <w:pStyle w:val="SingleTxt"/>
        <w:spacing w:after="0" w:line="120" w:lineRule="exact"/>
        <w:rPr>
          <w:sz w:val="10"/>
          <w:lang w:val="fr-FR"/>
        </w:rPr>
      </w:pPr>
    </w:p>
    <w:p w:rsidR="00C06068" w:rsidRPr="00521891" w:rsidRDefault="00C06068" w:rsidP="00C06068">
      <w:pPr>
        <w:pStyle w:val="SingleTxt"/>
        <w:numPr>
          <w:ilvl w:val="0"/>
          <w:numId w:val="10"/>
        </w:numPr>
        <w:rPr>
          <w:lang w:val="fr-FR"/>
        </w:rPr>
      </w:pPr>
      <w:r w:rsidRPr="00521891">
        <w:rPr>
          <w:lang w:val="fr-FR"/>
        </w:rPr>
        <w:t>Il est à préciser que cette interdiction a été retenue pour éviter la confusion de paternité en cas de conception d</w:t>
      </w:r>
      <w:r>
        <w:rPr>
          <w:lang w:val="fr-FR"/>
        </w:rPr>
        <w:t>’</w:t>
      </w:r>
      <w:r w:rsidRPr="00521891">
        <w:rPr>
          <w:lang w:val="fr-FR"/>
        </w:rPr>
        <w:t>enfant dans ce délai, étant donné qu</w:t>
      </w:r>
      <w:r>
        <w:rPr>
          <w:lang w:val="fr-FR"/>
        </w:rPr>
        <w:t>’</w:t>
      </w:r>
      <w:r w:rsidRPr="00521891">
        <w:rPr>
          <w:lang w:val="fr-FR"/>
        </w:rPr>
        <w:t xml:space="preserve">à </w:t>
      </w:r>
      <w:r>
        <w:rPr>
          <w:lang w:val="fr-FR"/>
        </w:rPr>
        <w:t xml:space="preserve">Madagascar, le recours au test </w:t>
      </w:r>
      <w:r w:rsidRPr="00521891">
        <w:rPr>
          <w:lang w:val="fr-FR"/>
        </w:rPr>
        <w:t>ADN pour déterminer la paternité n</w:t>
      </w:r>
      <w:r>
        <w:rPr>
          <w:lang w:val="fr-FR"/>
        </w:rPr>
        <w:t>’</w:t>
      </w:r>
      <w:r w:rsidRPr="00521891">
        <w:rPr>
          <w:lang w:val="fr-FR"/>
        </w:rPr>
        <w:t>est pas encore accessible à tous.</w:t>
      </w:r>
    </w:p>
    <w:p w:rsidR="00C06068" w:rsidRPr="00346135" w:rsidRDefault="00C06068" w:rsidP="00C06068">
      <w:pPr>
        <w:pStyle w:val="SingleTxt"/>
        <w:spacing w:after="0" w:line="120" w:lineRule="exact"/>
        <w:rPr>
          <w:sz w:val="10"/>
          <w:lang w:val="fr-FR"/>
        </w:rPr>
      </w:pPr>
      <w:bookmarkStart w:id="133" w:name="_Toc376709349"/>
    </w:p>
    <w:p w:rsidR="00C06068" w:rsidRDefault="00C06068" w:rsidP="00C06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1891">
        <w:rPr>
          <w:lang w:val="fr-FR"/>
        </w:rPr>
        <w:tab/>
        <w:t>3.</w:t>
      </w:r>
      <w:r w:rsidRPr="00521891">
        <w:rPr>
          <w:lang w:val="fr-FR"/>
        </w:rPr>
        <w:tab/>
        <w:t>L</w:t>
      </w:r>
      <w:r>
        <w:rPr>
          <w:lang w:val="fr-FR"/>
        </w:rPr>
        <w:t>’</w:t>
      </w:r>
      <w:r w:rsidRPr="00521891">
        <w:rPr>
          <w:lang w:val="fr-FR"/>
        </w:rPr>
        <w:t>élimination de la polygamie</w:t>
      </w:r>
      <w:bookmarkEnd w:id="133"/>
    </w:p>
    <w:p w:rsidR="00C06068" w:rsidRPr="00345AC1" w:rsidRDefault="00C06068" w:rsidP="00C06068">
      <w:pPr>
        <w:pStyle w:val="SingleTxt"/>
        <w:keepNext/>
        <w:keepLines/>
        <w:spacing w:after="0" w:line="120" w:lineRule="exact"/>
        <w:rPr>
          <w:sz w:val="10"/>
          <w:lang w:val="fr-FR"/>
        </w:rPr>
      </w:pPr>
    </w:p>
    <w:p w:rsidR="00C06068" w:rsidRDefault="00C06068" w:rsidP="00C06068">
      <w:pPr>
        <w:pStyle w:val="SingleTxt"/>
        <w:numPr>
          <w:ilvl w:val="0"/>
          <w:numId w:val="10"/>
        </w:numPr>
        <w:rPr>
          <w:lang w:val="fr-FR"/>
        </w:rPr>
      </w:pPr>
      <w:r w:rsidRPr="00521891">
        <w:rPr>
          <w:lang w:val="fr-FR"/>
        </w:rPr>
        <w:t>La loi interdit la polygamie, cependant certains ressortissants malagasy de religion musulmane sont des polygames. L</w:t>
      </w:r>
      <w:r>
        <w:rPr>
          <w:lang w:val="fr-FR"/>
        </w:rPr>
        <w:t>’</w:t>
      </w:r>
      <w:r w:rsidRPr="00521891">
        <w:rPr>
          <w:lang w:val="fr-FR"/>
        </w:rPr>
        <w:t>élimination de la polygamie se heurte à la pratique religieuse musulmane.</w:t>
      </w:r>
    </w:p>
    <w:p w:rsidR="001D5A4C" w:rsidRPr="00C06068" w:rsidRDefault="00C06068" w:rsidP="00C06068">
      <w:pPr>
        <w:pStyle w:val="SingleTxt"/>
        <w:spacing w:after="0" w:line="240" w:lineRule="auto"/>
      </w:pPr>
      <w:r>
        <w:rPr>
          <w:noProof/>
          <w:w w:val="100"/>
          <w:lang w:val="fr-FR" w:eastAsia="fr-FR"/>
        </w:rPr>
        <w:pict>
          <v:line id="_x0000_s1033" style="position:absolute;left:0;text-align:left;z-index:8;mso-position-horizontal-relative:page" from="270pt,24pt" to="342pt,24pt" strokeweight=".25pt">
            <w10:wrap anchorx="page"/>
          </v:line>
        </w:pict>
      </w:r>
    </w:p>
    <w:sectPr w:rsidR="001D5A4C" w:rsidRPr="00C06068" w:rsidSect="001D5A4C">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23T00:38:00Z" w:initials="Start">
    <w:p w:rsidR="001D5A4C" w:rsidRDefault="001D5A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NO&gt;&gt;N1429601F&lt;&lt;ODS JOB NO&gt;&gt;</w:t>
      </w:r>
    </w:p>
    <w:p w:rsidR="001D5A4C" w:rsidRDefault="001D5A4C">
      <w:pPr>
        <w:pStyle w:val="CommentText"/>
      </w:pPr>
      <w:r>
        <w:t>&lt;&lt;ODS DOC SYMBOL1&gt;&gt;CEDAW/C/MDG/6-7&lt;&lt;ODS DOC SYMBOL1&gt;&gt;</w:t>
      </w:r>
    </w:p>
    <w:p w:rsidR="001D5A4C" w:rsidRDefault="001D5A4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A0" w:rsidRDefault="003608A0" w:rsidP="00F3330B">
      <w:pPr>
        <w:spacing w:line="240" w:lineRule="auto"/>
      </w:pPr>
      <w:r>
        <w:separator/>
      </w:r>
    </w:p>
  </w:endnote>
  <w:endnote w:type="continuationSeparator" w:id="0">
    <w:p w:rsidR="003608A0" w:rsidRDefault="003608A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D5A4C" w:rsidRPr="003A6420" w:rsidTr="001D5A4C">
      <w:tblPrEx>
        <w:tblCellMar>
          <w:top w:w="0" w:type="dxa"/>
          <w:bottom w:w="0" w:type="dxa"/>
        </w:tblCellMar>
      </w:tblPrEx>
      <w:tc>
        <w:tcPr>
          <w:tcW w:w="4995" w:type="dxa"/>
          <w:shd w:val="clear" w:color="auto" w:fill="auto"/>
        </w:tcPr>
        <w:p w:rsidR="001D5A4C" w:rsidRPr="008523CE" w:rsidRDefault="001D5A4C" w:rsidP="001D5A4C">
          <w:pPr>
            <w:pStyle w:val="Footer"/>
            <w:jc w:val="right"/>
            <w:rPr>
              <w:b w:val="0"/>
              <w:w w:val="103"/>
              <w:sz w:val="14"/>
              <w:szCs w:val="22"/>
            </w:rPr>
          </w:pPr>
          <w:fldSimple w:instr=" DOCVARIABLE &quot;FooterJN&quot; \* MERGEFORMAT ">
            <w:r w:rsidR="00C06068" w:rsidRPr="008523CE">
              <w:rPr>
                <w:b w:val="0"/>
                <w:w w:val="103"/>
                <w:sz w:val="14"/>
                <w:szCs w:val="22"/>
              </w:rPr>
              <w:t>14-03052</w:t>
            </w:r>
          </w:fldSimple>
        </w:p>
      </w:tc>
      <w:tc>
        <w:tcPr>
          <w:tcW w:w="4995" w:type="dxa"/>
          <w:shd w:val="clear" w:color="auto" w:fill="auto"/>
        </w:tcPr>
        <w:p w:rsidR="001D5A4C" w:rsidRPr="008523CE" w:rsidRDefault="001D5A4C" w:rsidP="001D5A4C">
          <w:pPr>
            <w:pStyle w:val="Footer"/>
            <w:rPr>
              <w:w w:val="103"/>
              <w:szCs w:val="22"/>
            </w:rPr>
          </w:pPr>
          <w:r w:rsidRPr="008523CE">
            <w:rPr>
              <w:w w:val="103"/>
              <w:szCs w:val="22"/>
            </w:rPr>
            <w:fldChar w:fldCharType="begin"/>
          </w:r>
          <w:r w:rsidRPr="008523CE">
            <w:rPr>
              <w:w w:val="103"/>
              <w:szCs w:val="22"/>
            </w:rPr>
            <w:instrText xml:space="preserve"> PAGE  \* Arabic  \* MERGEFORMAT </w:instrText>
          </w:r>
          <w:r w:rsidRPr="008523CE">
            <w:rPr>
              <w:w w:val="103"/>
              <w:szCs w:val="22"/>
            </w:rPr>
            <w:fldChar w:fldCharType="separate"/>
          </w:r>
          <w:r w:rsidR="00674479" w:rsidRPr="008523CE">
            <w:rPr>
              <w:noProof/>
              <w:w w:val="103"/>
              <w:szCs w:val="22"/>
            </w:rPr>
            <w:t>2</w:t>
          </w:r>
          <w:r w:rsidRPr="008523CE">
            <w:rPr>
              <w:w w:val="103"/>
              <w:szCs w:val="22"/>
            </w:rPr>
            <w:fldChar w:fldCharType="end"/>
          </w:r>
          <w:r w:rsidRPr="008523CE">
            <w:rPr>
              <w:w w:val="103"/>
              <w:szCs w:val="22"/>
            </w:rPr>
            <w:t>/</w:t>
          </w:r>
          <w:fldSimple w:instr=" NUMPAGES  \* Arabic  \* MERGEFORMAT ">
            <w:r w:rsidR="00674479" w:rsidRPr="008523CE">
              <w:rPr>
                <w:noProof/>
                <w:w w:val="103"/>
                <w:szCs w:val="22"/>
              </w:rPr>
              <w:t>2</w:t>
            </w:r>
          </w:fldSimple>
        </w:p>
      </w:tc>
    </w:tr>
  </w:tbl>
  <w:p w:rsidR="001D5A4C" w:rsidRPr="001D5A4C" w:rsidRDefault="001D5A4C" w:rsidP="001D5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D5A4C" w:rsidRPr="003A6420" w:rsidTr="001D5A4C">
      <w:tblPrEx>
        <w:tblCellMar>
          <w:top w:w="0" w:type="dxa"/>
          <w:bottom w:w="0" w:type="dxa"/>
        </w:tblCellMar>
      </w:tblPrEx>
      <w:tc>
        <w:tcPr>
          <w:tcW w:w="4995" w:type="dxa"/>
          <w:shd w:val="clear" w:color="auto" w:fill="auto"/>
        </w:tcPr>
        <w:p w:rsidR="001D5A4C" w:rsidRPr="008523CE" w:rsidRDefault="001D5A4C" w:rsidP="001D5A4C">
          <w:pPr>
            <w:pStyle w:val="Footer"/>
            <w:jc w:val="right"/>
            <w:rPr>
              <w:w w:val="103"/>
              <w:szCs w:val="22"/>
            </w:rPr>
          </w:pPr>
          <w:r w:rsidRPr="008523CE">
            <w:rPr>
              <w:w w:val="103"/>
              <w:szCs w:val="22"/>
            </w:rPr>
            <w:fldChar w:fldCharType="begin"/>
          </w:r>
          <w:r w:rsidRPr="008523CE">
            <w:rPr>
              <w:w w:val="103"/>
              <w:szCs w:val="22"/>
            </w:rPr>
            <w:instrText xml:space="preserve"> PAGE  \* Arabic  \* MERGEFORMAT </w:instrText>
          </w:r>
          <w:r w:rsidRPr="008523CE">
            <w:rPr>
              <w:w w:val="103"/>
              <w:szCs w:val="22"/>
            </w:rPr>
            <w:fldChar w:fldCharType="separate"/>
          </w:r>
          <w:r w:rsidR="00313148" w:rsidRPr="008523CE">
            <w:rPr>
              <w:noProof/>
              <w:w w:val="103"/>
              <w:szCs w:val="22"/>
            </w:rPr>
            <w:t>83</w:t>
          </w:r>
          <w:r w:rsidRPr="008523CE">
            <w:rPr>
              <w:w w:val="103"/>
              <w:szCs w:val="22"/>
            </w:rPr>
            <w:fldChar w:fldCharType="end"/>
          </w:r>
          <w:r w:rsidRPr="008523CE">
            <w:rPr>
              <w:w w:val="103"/>
              <w:szCs w:val="22"/>
            </w:rPr>
            <w:t>/</w:t>
          </w:r>
          <w:fldSimple w:instr=" NUMPAGES  \* Arabic  \* MERGEFORMAT ">
            <w:r w:rsidR="00313148" w:rsidRPr="008523CE">
              <w:rPr>
                <w:noProof/>
                <w:w w:val="103"/>
                <w:szCs w:val="22"/>
              </w:rPr>
              <w:t>83</w:t>
            </w:r>
          </w:fldSimple>
        </w:p>
      </w:tc>
      <w:tc>
        <w:tcPr>
          <w:tcW w:w="4995" w:type="dxa"/>
          <w:shd w:val="clear" w:color="auto" w:fill="auto"/>
        </w:tcPr>
        <w:p w:rsidR="001D5A4C" w:rsidRPr="008523CE" w:rsidRDefault="001D5A4C" w:rsidP="001D5A4C">
          <w:pPr>
            <w:pStyle w:val="Footer"/>
            <w:rPr>
              <w:b w:val="0"/>
              <w:w w:val="103"/>
              <w:sz w:val="14"/>
              <w:szCs w:val="22"/>
            </w:rPr>
          </w:pPr>
          <w:fldSimple w:instr=" DOCVARIABLE &quot;FooterJN&quot; \* MERGEFORMAT ">
            <w:r w:rsidR="00C06068" w:rsidRPr="008523CE">
              <w:rPr>
                <w:b w:val="0"/>
                <w:w w:val="103"/>
                <w:sz w:val="14"/>
                <w:szCs w:val="22"/>
              </w:rPr>
              <w:t>14-03052</w:t>
            </w:r>
          </w:fldSimple>
        </w:p>
      </w:tc>
    </w:tr>
  </w:tbl>
  <w:p w:rsidR="001D5A4C" w:rsidRPr="001D5A4C" w:rsidRDefault="001D5A4C" w:rsidP="001D5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4C" w:rsidRDefault="001D5A4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6-7&amp;Size =1&amp;Lang = F"/>
          <w10:wrap anchorx="page" anchory="page"/>
        </v:shape>
      </w:pict>
    </w:r>
  </w:p>
  <w:tbl>
    <w:tblPr>
      <w:tblW w:w="0" w:type="auto"/>
      <w:tblLayout w:type="fixed"/>
      <w:tblCellMar>
        <w:left w:w="70" w:type="dxa"/>
        <w:right w:w="70" w:type="dxa"/>
      </w:tblCellMar>
      <w:tblLook w:val="0000"/>
    </w:tblPr>
    <w:tblGrid>
      <w:gridCol w:w="4995"/>
      <w:gridCol w:w="3686"/>
    </w:tblGrid>
    <w:tr w:rsidR="001D5A4C" w:rsidRPr="003A6420" w:rsidTr="001D5A4C">
      <w:tblPrEx>
        <w:tblCellMar>
          <w:top w:w="0" w:type="dxa"/>
          <w:bottom w:w="0" w:type="dxa"/>
        </w:tblCellMar>
      </w:tblPrEx>
      <w:tc>
        <w:tcPr>
          <w:tcW w:w="4995" w:type="dxa"/>
        </w:tcPr>
        <w:p w:rsidR="001D5A4C" w:rsidRPr="008523CE" w:rsidRDefault="001D5A4C" w:rsidP="001D5A4C">
          <w:pPr>
            <w:pStyle w:val="Footer"/>
            <w:rPr>
              <w:b w:val="0"/>
              <w:sz w:val="20"/>
              <w:szCs w:val="22"/>
            </w:rPr>
          </w:pPr>
          <w:fldSimple w:instr=" DOCVARIABLE &quot;jobn&quot; \* MERGEFORMAT ">
            <w:r w:rsidR="00C06068" w:rsidRPr="008523CE">
              <w:rPr>
                <w:b w:val="0"/>
                <w:sz w:val="20"/>
                <w:szCs w:val="22"/>
              </w:rPr>
              <w:t>14-03052 (F)</w:t>
            </w:r>
          </w:fldSimple>
          <w:r w:rsidR="005E76F8" w:rsidRPr="008523CE">
            <w:rPr>
              <w:b w:val="0"/>
              <w:sz w:val="20"/>
              <w:szCs w:val="22"/>
            </w:rPr>
            <w:t xml:space="preserve">    010514    22</w:t>
          </w:r>
          <w:r w:rsidRPr="008523CE">
            <w:rPr>
              <w:b w:val="0"/>
              <w:sz w:val="20"/>
              <w:szCs w:val="22"/>
            </w:rPr>
            <w:t>0514</w:t>
          </w:r>
        </w:p>
        <w:p w:rsidR="001D5A4C" w:rsidRPr="008523CE" w:rsidRDefault="001D5A4C" w:rsidP="001D5A4C">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C06068" w:rsidRPr="008523CE">
              <w:rPr>
                <w:rFonts w:ascii="Barcode 3 of 9 by request" w:hAnsi="Barcode 3 of 9 by request"/>
                <w:b w:val="0"/>
                <w:spacing w:val="0"/>
                <w:w w:val="100"/>
                <w:sz w:val="24"/>
                <w:szCs w:val="22"/>
              </w:rPr>
              <w:t>*1403052*</w:t>
            </w:r>
          </w:fldSimple>
        </w:p>
      </w:tc>
      <w:tc>
        <w:tcPr>
          <w:tcW w:w="3686" w:type="dxa"/>
        </w:tcPr>
        <w:p w:rsidR="001D5A4C" w:rsidRPr="008523CE" w:rsidRDefault="001D5A4C" w:rsidP="001D5A4C">
          <w:pPr>
            <w:pStyle w:val="Footer"/>
            <w:spacing w:line="240" w:lineRule="atLeast"/>
            <w:jc w:val="right"/>
            <w:rPr>
              <w:b w:val="0"/>
              <w:sz w:val="20"/>
              <w:szCs w:val="22"/>
            </w:rPr>
          </w:pPr>
          <w:r w:rsidRPr="008523CE">
            <w:rPr>
              <w:b w:val="0"/>
              <w:sz w:val="20"/>
              <w:szCs w:val="22"/>
            </w:rPr>
            <w:pict>
              <v:shape id="_x0000_i1032" type="#_x0000_t75" style="width:87pt;height:18pt">
                <v:imagedata r:id="rId2" o:title="recycle_French"/>
              </v:shape>
            </w:pict>
          </w:r>
        </w:p>
      </w:tc>
    </w:tr>
  </w:tbl>
  <w:p w:rsidR="001D5A4C" w:rsidRPr="001D5A4C" w:rsidRDefault="001D5A4C" w:rsidP="001D5A4C">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A0" w:rsidRPr="00313148" w:rsidRDefault="003608A0" w:rsidP="00313148">
      <w:pPr>
        <w:pStyle w:val="Footer"/>
        <w:spacing w:after="80"/>
        <w:ind w:left="792"/>
        <w:rPr>
          <w:sz w:val="16"/>
        </w:rPr>
      </w:pPr>
      <w:r w:rsidRPr="00313148">
        <w:rPr>
          <w:sz w:val="16"/>
        </w:rPr>
        <w:t>__________________</w:t>
      </w:r>
    </w:p>
  </w:footnote>
  <w:footnote w:type="continuationSeparator" w:id="0">
    <w:p w:rsidR="003608A0" w:rsidRPr="00313148" w:rsidRDefault="003608A0" w:rsidP="00313148">
      <w:pPr>
        <w:pStyle w:val="Footer"/>
        <w:spacing w:after="80"/>
        <w:ind w:left="792"/>
        <w:rPr>
          <w:sz w:val="16"/>
        </w:rPr>
      </w:pPr>
      <w:r w:rsidRPr="00313148">
        <w:rPr>
          <w:sz w:val="16"/>
        </w:rPr>
        <w:t>__________________</w:t>
      </w:r>
    </w:p>
  </w:footnote>
  <w:footnote w:id="1">
    <w:p w:rsidR="00C06068" w:rsidRPr="0081752A" w:rsidRDefault="00C06068" w:rsidP="00313148">
      <w:pPr>
        <w:pStyle w:val="FootnoteText"/>
        <w:tabs>
          <w:tab w:val="right" w:pos="1195"/>
          <w:tab w:val="left" w:pos="1267"/>
          <w:tab w:val="left" w:pos="1742"/>
          <w:tab w:val="left" w:pos="2218"/>
          <w:tab w:val="left" w:pos="2693"/>
        </w:tabs>
        <w:ind w:left="1267" w:right="1260" w:hanging="432"/>
        <w:rPr>
          <w:lang w:val="fr-FR"/>
        </w:rPr>
      </w:pPr>
      <w:r w:rsidRPr="0081752A">
        <w:rPr>
          <w:rStyle w:val="FootnoteReference"/>
          <w:sz w:val="17"/>
          <w:szCs w:val="17"/>
          <w:lang w:val="fr-FR"/>
        </w:rPr>
        <w:tab/>
      </w:r>
      <w:r w:rsidRPr="0081752A">
        <w:rPr>
          <w:rStyle w:val="FootnoteReference"/>
          <w:sz w:val="17"/>
          <w:szCs w:val="17"/>
          <w:vertAlign w:val="baseline"/>
          <w:lang w:val="fr-FR"/>
        </w:rPr>
        <w:t>*</w:t>
      </w:r>
      <w:r w:rsidRPr="0081752A">
        <w:rPr>
          <w:rStyle w:val="FootnoteReference"/>
          <w:sz w:val="17"/>
          <w:szCs w:val="17"/>
          <w:lang w:val="fr-FR"/>
        </w:rPr>
        <w:tab/>
      </w:r>
      <w:r w:rsidRPr="0081752A">
        <w:rPr>
          <w:szCs w:val="17"/>
          <w:lang w:val="fr-FR"/>
        </w:rPr>
        <w:t>L</w:t>
      </w:r>
      <w:r w:rsidRPr="0049230B">
        <w:rPr>
          <w:sz w:val="20"/>
          <w:lang w:val="fr-CH"/>
        </w:rPr>
        <w:t>e présent document n</w:t>
      </w:r>
      <w:r>
        <w:rPr>
          <w:sz w:val="20"/>
          <w:lang w:val="fr-CH"/>
        </w:rPr>
        <w:t>’</w:t>
      </w:r>
      <w:r w:rsidRPr="0049230B">
        <w:rPr>
          <w:sz w:val="20"/>
          <w:lang w:val="fr-CH"/>
        </w:rPr>
        <w:t>a pas été revu par les services d</w:t>
      </w:r>
      <w:r>
        <w:rPr>
          <w:sz w:val="20"/>
          <w:lang w:val="fr-CH"/>
        </w:rPr>
        <w:t>’</w:t>
      </w:r>
      <w:r w:rsidRPr="0049230B">
        <w:rPr>
          <w:sz w:val="20"/>
          <w:lang w:val="fr-CH"/>
        </w:rPr>
        <w:t>édition.</w:t>
      </w:r>
    </w:p>
  </w:footnote>
  <w:footnote w:id="2">
    <w:p w:rsidR="00C06068" w:rsidRPr="00F9179F" w:rsidRDefault="00C06068" w:rsidP="00313148">
      <w:pPr>
        <w:pStyle w:val="FootnoteText"/>
        <w:tabs>
          <w:tab w:val="right" w:pos="1195"/>
          <w:tab w:val="left" w:pos="1267"/>
          <w:tab w:val="left" w:pos="1742"/>
          <w:tab w:val="left" w:pos="2218"/>
          <w:tab w:val="left" w:pos="2693"/>
        </w:tabs>
        <w:ind w:left="1267" w:right="1260" w:hanging="432"/>
        <w:rPr>
          <w:lang w:val="fr-CH"/>
        </w:rPr>
      </w:pPr>
      <w:r w:rsidRPr="00F9179F">
        <w:rPr>
          <w:rStyle w:val="FootnoteReference"/>
          <w:lang w:val="fr-CH"/>
        </w:rPr>
        <w:tab/>
      </w:r>
      <w:r w:rsidRPr="00144A6D">
        <w:rPr>
          <w:rStyle w:val="FootnoteReference"/>
          <w:sz w:val="20"/>
          <w:vertAlign w:val="baseline"/>
          <w:lang w:val="fr-CH"/>
        </w:rPr>
        <w:t>**</w:t>
      </w:r>
      <w:r w:rsidRPr="00F9179F">
        <w:rPr>
          <w:rStyle w:val="FootnoteReference"/>
          <w:sz w:val="20"/>
          <w:lang w:val="fr-CH"/>
        </w:rPr>
        <w:tab/>
      </w:r>
      <w:r w:rsidRPr="00F9179F">
        <w:rPr>
          <w:lang w:val="fr-CH"/>
        </w:rPr>
        <w:t>Les annexes sont disponibles dans les archives du secrétariat du Comité.</w:t>
      </w:r>
    </w:p>
  </w:footnote>
  <w:footnote w:id="3">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sidRPr="00F9179F">
        <w:rPr>
          <w:lang w:val="fr-CH"/>
        </w:rPr>
        <w:tab/>
      </w:r>
      <w:r w:rsidRPr="00C32145">
        <w:rPr>
          <w:i/>
          <w:lang w:val="fr-CH"/>
        </w:rPr>
        <w:t>Source</w:t>
      </w:r>
      <w:r>
        <w:rPr>
          <w:lang w:val="fr-CH"/>
        </w:rPr>
        <w:t> :</w:t>
      </w:r>
      <w:r w:rsidRPr="00F9179F">
        <w:rPr>
          <w:lang w:val="fr-CH"/>
        </w:rPr>
        <w:t xml:space="preserve"> INSTAT/Rapport national sur le développement humain (RNDH) 2010</w:t>
      </w:r>
      <w:r>
        <w:rPr>
          <w:lang w:val="fr-CH"/>
        </w:rPr>
        <w:t>.</w:t>
      </w:r>
    </w:p>
  </w:footnote>
  <w:footnote w:id="4">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Feuille de route le 17 septembre 2011</w:t>
      </w:r>
      <w:r>
        <w:rPr>
          <w:lang w:val="fr-CH"/>
        </w:rPr>
        <w:t>.</w:t>
      </w:r>
    </w:p>
  </w:footnote>
  <w:footnote w:id="5">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t>Art.</w:t>
      </w:r>
      <w:r w:rsidRPr="00F9179F">
        <w:rPr>
          <w:lang w:val="fr-CH"/>
        </w:rPr>
        <w:t xml:space="preserve"> 3 de l</w:t>
      </w:r>
      <w:r>
        <w:rPr>
          <w:lang w:val="fr-CH"/>
        </w:rPr>
        <w:t>’ordonnance n</w:t>
      </w:r>
      <w:r w:rsidRPr="008763DE">
        <w:rPr>
          <w:vertAlign w:val="superscript"/>
          <w:lang w:val="fr-CH"/>
        </w:rPr>
        <w:t>o</w:t>
      </w:r>
      <w:r>
        <w:rPr>
          <w:lang w:val="fr-CH"/>
        </w:rPr>
        <w:t> </w:t>
      </w:r>
      <w:r w:rsidRPr="00F9179F">
        <w:rPr>
          <w:lang w:val="fr-CH"/>
        </w:rPr>
        <w:t>2012-004.</w:t>
      </w:r>
    </w:p>
  </w:footnote>
  <w:footnote w:id="6">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t>Art.</w:t>
      </w:r>
      <w:r w:rsidRPr="00F9179F">
        <w:rPr>
          <w:lang w:val="fr-CH"/>
        </w:rPr>
        <w:t xml:space="preserve"> 8 de la Constitution</w:t>
      </w:r>
      <w:r>
        <w:rPr>
          <w:lang w:val="fr-CH"/>
        </w:rPr>
        <w:t> :</w:t>
      </w:r>
      <w:r w:rsidRPr="00F9179F">
        <w:rPr>
          <w:lang w:val="fr-CH"/>
        </w:rPr>
        <w:t xml:space="preserve"> «</w:t>
      </w:r>
      <w:r>
        <w:rPr>
          <w:lang w:val="fr-CH"/>
        </w:rPr>
        <w:t> </w:t>
      </w:r>
      <w:r w:rsidRPr="00F9179F">
        <w:rPr>
          <w:lang w:val="fr-CH"/>
        </w:rPr>
        <w:t>Nul ne peut être soumis à la torture ni à des peines ou traitements cruels, inhumains ou dégradants</w:t>
      </w:r>
      <w:r>
        <w:rPr>
          <w:lang w:val="fr-CH"/>
        </w:rPr>
        <w:t> </w:t>
      </w:r>
      <w:r w:rsidRPr="00F9179F">
        <w:rPr>
          <w:lang w:val="fr-CH"/>
        </w:rPr>
        <w:t>».</w:t>
      </w:r>
    </w:p>
  </w:footnote>
  <w:footnote w:id="7">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t>Art.</w:t>
      </w:r>
      <w:r w:rsidRPr="00F9179F">
        <w:rPr>
          <w:lang w:val="fr-CH"/>
        </w:rPr>
        <w:t xml:space="preserve"> 3 de la Constitution</w:t>
      </w:r>
      <w:r>
        <w:rPr>
          <w:lang w:val="fr-CH"/>
        </w:rPr>
        <w:t> :</w:t>
      </w:r>
      <w:r w:rsidRPr="00F9179F">
        <w:rPr>
          <w:lang w:val="fr-CH"/>
        </w:rPr>
        <w:t xml:space="preserve"> «</w:t>
      </w:r>
      <w:r>
        <w:rPr>
          <w:lang w:val="fr-CH"/>
        </w:rPr>
        <w:t> </w:t>
      </w:r>
      <w:r w:rsidRPr="00F9179F">
        <w:rPr>
          <w:lang w:val="fr-CH"/>
        </w:rPr>
        <w:t>La République de Madagascar est un État reposant sur un système de collectivités territoriales décentralisées composées de communes, de régions et des provinces dont les compétences et les principes d</w:t>
      </w:r>
      <w:r>
        <w:rPr>
          <w:lang w:val="fr-CH"/>
        </w:rPr>
        <w:t>’</w:t>
      </w:r>
      <w:r w:rsidRPr="00F9179F">
        <w:rPr>
          <w:lang w:val="fr-CH"/>
        </w:rPr>
        <w:t>autonomie administrative et financière sont garantis par la Constitution et définis par la loi</w:t>
      </w:r>
      <w:r>
        <w:rPr>
          <w:lang w:val="fr-CH"/>
        </w:rPr>
        <w:t> </w:t>
      </w:r>
      <w:r w:rsidRPr="00F9179F">
        <w:rPr>
          <w:lang w:val="fr-CH"/>
        </w:rPr>
        <w:t>»</w:t>
      </w:r>
      <w:r>
        <w:rPr>
          <w:lang w:val="fr-CH"/>
        </w:rPr>
        <w:t>.</w:t>
      </w:r>
    </w:p>
  </w:footnote>
  <w:footnote w:id="8">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t xml:space="preserve">Loi </w:t>
      </w:r>
      <w:r w:rsidRPr="00F9179F">
        <w:rPr>
          <w:lang w:val="fr-CH"/>
        </w:rPr>
        <w:t>n</w:t>
      </w:r>
      <w:r w:rsidRPr="00270F4D">
        <w:rPr>
          <w:vertAlign w:val="superscript"/>
          <w:lang w:val="fr-CH"/>
        </w:rPr>
        <w:t>o</w:t>
      </w:r>
      <w:r w:rsidRPr="00F9179F">
        <w:rPr>
          <w:lang w:val="fr-CH"/>
        </w:rPr>
        <w:t xml:space="preserve"> 2007-023 du 20 août 2007 sur les droits et la protection des enfants</w:t>
      </w:r>
      <w:r>
        <w:rPr>
          <w:lang w:val="fr-CH"/>
        </w:rPr>
        <w:t> :</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r>
      <w:r>
        <w:rPr>
          <w:lang w:val="fr-CH"/>
        </w:rPr>
        <w:tab/>
      </w:r>
      <w:r w:rsidRPr="00F9179F">
        <w:rPr>
          <w:lang w:val="fr-CH"/>
        </w:rPr>
        <w:t>Art</w:t>
      </w:r>
      <w:r>
        <w:rPr>
          <w:lang w:val="fr-CH"/>
        </w:rPr>
        <w:t>.</w:t>
      </w:r>
      <w:r w:rsidRPr="00F9179F">
        <w:rPr>
          <w:lang w:val="fr-CH"/>
        </w:rPr>
        <w:t xml:space="preserve"> 15 – «</w:t>
      </w:r>
      <w:r>
        <w:rPr>
          <w:lang w:val="fr-CH"/>
        </w:rPr>
        <w:t> </w:t>
      </w:r>
      <w:r w:rsidRPr="00F9179F">
        <w:rPr>
          <w:lang w:val="fr-CH"/>
        </w:rPr>
        <w:t>L</w:t>
      </w:r>
      <w:r>
        <w:rPr>
          <w:lang w:val="fr-CH"/>
        </w:rPr>
        <w:t>’</w:t>
      </w:r>
      <w:r w:rsidRPr="00F9179F">
        <w:rPr>
          <w:lang w:val="fr-CH"/>
        </w:rPr>
        <w:t>autorité parentale appartient aux père et mère pour protéger l</w:t>
      </w:r>
      <w:r>
        <w:rPr>
          <w:lang w:val="fr-CH"/>
        </w:rPr>
        <w:t>’</w:t>
      </w:r>
      <w:r w:rsidRPr="00F9179F">
        <w:rPr>
          <w:lang w:val="fr-CH"/>
        </w:rPr>
        <w:t>enfant dans sa sécurité, son intégrité physique ou morale et son éducation</w:t>
      </w:r>
      <w:r>
        <w:rPr>
          <w:lang w:val="fr-CH"/>
        </w:rPr>
        <w:t> </w:t>
      </w:r>
      <w:r w:rsidRPr="00F9179F">
        <w:rPr>
          <w:lang w:val="fr-CH"/>
        </w:rPr>
        <w:t>».</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r>
      <w:r>
        <w:rPr>
          <w:lang w:val="fr-CH"/>
        </w:rPr>
        <w:tab/>
        <w:t>Art.</w:t>
      </w:r>
      <w:r w:rsidRPr="00F9179F">
        <w:rPr>
          <w:lang w:val="fr-CH"/>
        </w:rPr>
        <w:t xml:space="preserve"> 16 – «</w:t>
      </w:r>
      <w:r>
        <w:rPr>
          <w:lang w:val="fr-CH"/>
        </w:rPr>
        <w:t> </w:t>
      </w:r>
      <w:r w:rsidRPr="00F9179F">
        <w:rPr>
          <w:lang w:val="fr-CH"/>
        </w:rPr>
        <w:t>L</w:t>
      </w:r>
      <w:r>
        <w:rPr>
          <w:lang w:val="fr-CH"/>
        </w:rPr>
        <w:t>’</w:t>
      </w:r>
      <w:r w:rsidRPr="00F9179F">
        <w:rPr>
          <w:lang w:val="fr-CH"/>
        </w:rPr>
        <w:t>autorité parentale est exercée en commun par les deux parents s</w:t>
      </w:r>
      <w:r>
        <w:rPr>
          <w:lang w:val="fr-CH"/>
        </w:rPr>
        <w:t>’</w:t>
      </w:r>
      <w:r w:rsidRPr="00F9179F">
        <w:rPr>
          <w:lang w:val="fr-CH"/>
        </w:rPr>
        <w:t>ils sont mariés</w:t>
      </w:r>
      <w:r>
        <w:rPr>
          <w:lang w:val="fr-CH"/>
        </w:rPr>
        <w:t> </w:t>
      </w:r>
      <w:r w:rsidRPr="00F9179F">
        <w:rPr>
          <w:lang w:val="fr-CH"/>
        </w:rPr>
        <w:t>».</w:t>
      </w:r>
    </w:p>
  </w:footnote>
  <w:footnote w:id="9">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Art</w:t>
      </w:r>
      <w:r>
        <w:rPr>
          <w:lang w:val="fr-CH"/>
        </w:rPr>
        <w:t>.</w:t>
      </w:r>
      <w:r w:rsidRPr="00F9179F">
        <w:rPr>
          <w:lang w:val="fr-CH"/>
        </w:rPr>
        <w:t xml:space="preserve"> 312 </w:t>
      </w:r>
      <w:r w:rsidRPr="007E1949">
        <w:rPr>
          <w:i/>
          <w:lang w:val="fr-CH"/>
        </w:rPr>
        <w:t>bis</w:t>
      </w:r>
      <w:r w:rsidRPr="00F9179F">
        <w:rPr>
          <w:lang w:val="fr-CH"/>
        </w:rPr>
        <w:t xml:space="preserve"> (</w:t>
      </w:r>
      <w:r>
        <w:rPr>
          <w:lang w:val="fr-CH"/>
        </w:rPr>
        <w:t xml:space="preserve">loi </w:t>
      </w:r>
      <w:r w:rsidRPr="00F9179F">
        <w:rPr>
          <w:lang w:val="fr-CH"/>
        </w:rPr>
        <w:t>n</w:t>
      </w:r>
      <w:r w:rsidRPr="00270F4D">
        <w:rPr>
          <w:vertAlign w:val="superscript"/>
          <w:lang w:val="fr-CH"/>
        </w:rPr>
        <w:t>o</w:t>
      </w:r>
      <w:r>
        <w:rPr>
          <w:lang w:val="fr-CH"/>
        </w:rPr>
        <w:t xml:space="preserve"> 2000-021 du 28 novembre 20</w:t>
      </w:r>
      <w:r w:rsidRPr="00F9179F">
        <w:rPr>
          <w:lang w:val="fr-CH"/>
        </w:rPr>
        <w:t>00) – «</w:t>
      </w:r>
      <w:r>
        <w:rPr>
          <w:lang w:val="fr-CH"/>
        </w:rPr>
        <w:t> </w:t>
      </w:r>
      <w:r w:rsidRPr="00F9179F">
        <w:rPr>
          <w:lang w:val="fr-CH"/>
        </w:rPr>
        <w:t>Quiconque aura volontairement fait des blessures ou porté des coups à une femme enceinte en état de grossesse apparente ou connue de l</w:t>
      </w:r>
      <w:r>
        <w:rPr>
          <w:lang w:val="fr-CH"/>
        </w:rPr>
        <w:t>’</w:t>
      </w:r>
      <w:r w:rsidRPr="00F9179F">
        <w:rPr>
          <w:lang w:val="fr-CH"/>
        </w:rPr>
        <w:t>auteur, sera puni de deux ans à cinq ans d</w:t>
      </w:r>
      <w:r>
        <w:rPr>
          <w:lang w:val="fr-CH"/>
        </w:rPr>
        <w:t>’</w:t>
      </w:r>
      <w:r w:rsidRPr="00F9179F">
        <w:rPr>
          <w:lang w:val="fr-CH"/>
        </w:rPr>
        <w:t>emprisonnement et de 100</w:t>
      </w:r>
      <w:r>
        <w:rPr>
          <w:lang w:val="fr-CH"/>
        </w:rPr>
        <w:t> </w:t>
      </w:r>
      <w:r w:rsidRPr="00F9179F">
        <w:rPr>
          <w:lang w:val="fr-CH"/>
        </w:rPr>
        <w:t>000</w:t>
      </w:r>
      <w:r>
        <w:rPr>
          <w:lang w:val="fr-CH"/>
        </w:rPr>
        <w:t xml:space="preserve"> a</w:t>
      </w:r>
      <w:r w:rsidRPr="00F9179F">
        <w:rPr>
          <w:lang w:val="fr-CH"/>
        </w:rPr>
        <w:t>riary à 400</w:t>
      </w:r>
      <w:r>
        <w:rPr>
          <w:lang w:val="fr-CH"/>
        </w:rPr>
        <w:t> </w:t>
      </w:r>
      <w:r w:rsidRPr="00F9179F">
        <w:rPr>
          <w:lang w:val="fr-CH"/>
        </w:rPr>
        <w:t>000</w:t>
      </w:r>
      <w:r>
        <w:rPr>
          <w:lang w:val="fr-CH"/>
        </w:rPr>
        <w:t xml:space="preserve"> a</w:t>
      </w:r>
      <w:r w:rsidRPr="00F9179F">
        <w:rPr>
          <w:lang w:val="fr-CH"/>
        </w:rPr>
        <w:t>riary d</w:t>
      </w:r>
      <w:r>
        <w:rPr>
          <w:lang w:val="fr-CH"/>
        </w:rPr>
        <w:t>’</w:t>
      </w:r>
      <w:r w:rsidRPr="00F9179F">
        <w:rPr>
          <w:lang w:val="fr-CH"/>
        </w:rPr>
        <w:t>amende si les blessures et les coups n</w:t>
      </w:r>
      <w:r>
        <w:rPr>
          <w:lang w:val="fr-CH"/>
        </w:rPr>
        <w:t>’</w:t>
      </w:r>
      <w:r w:rsidRPr="00F9179F">
        <w:rPr>
          <w:lang w:val="fr-CH"/>
        </w:rPr>
        <w:t>ont occasionné aucune maladie ou incapacité de travail personnel de l</w:t>
      </w:r>
      <w:r>
        <w:rPr>
          <w:lang w:val="fr-CH"/>
        </w:rPr>
        <w:t>’</w:t>
      </w:r>
      <w:r w:rsidRPr="00F9179F">
        <w:rPr>
          <w:lang w:val="fr-CH"/>
        </w:rPr>
        <w:t>espèce mentionnée à l</w:t>
      </w:r>
      <w:r>
        <w:rPr>
          <w:lang w:val="fr-CH"/>
        </w:rPr>
        <w:t>’</w:t>
      </w:r>
      <w:r w:rsidRPr="00F9179F">
        <w:rPr>
          <w:lang w:val="fr-CH"/>
        </w:rPr>
        <w:t>article 309</w:t>
      </w:r>
      <w:r>
        <w:rPr>
          <w:lang w:val="fr-CH"/>
        </w:rPr>
        <w:t> </w:t>
      </w:r>
      <w:r w:rsidRPr="00F9179F">
        <w:rPr>
          <w:lang w:val="fr-CH"/>
        </w:rPr>
        <w:t>»</w:t>
      </w:r>
      <w:r>
        <w:rPr>
          <w:lang w:val="fr-CH"/>
        </w:rPr>
        <w:t>.</w:t>
      </w:r>
    </w:p>
  </w:footnote>
  <w:footnote w:id="10">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Numéro vert 147</w:t>
      </w:r>
      <w:r>
        <w:rPr>
          <w:lang w:val="fr-CH"/>
        </w:rPr>
        <w:t>.</w:t>
      </w:r>
    </w:p>
  </w:footnote>
  <w:footnote w:id="11">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345AC1">
        <w:rPr>
          <w:i/>
          <w:lang w:val="fr-CH"/>
        </w:rPr>
        <w:t>Source</w:t>
      </w:r>
      <w:r>
        <w:rPr>
          <w:lang w:val="fr-CH"/>
        </w:rPr>
        <w:t> : Focus/BIT/CTM, « </w:t>
      </w:r>
      <w:r w:rsidRPr="00F9179F">
        <w:rPr>
          <w:lang w:val="fr-CH"/>
        </w:rPr>
        <w:t>Renforcement des cap</w:t>
      </w:r>
      <w:r>
        <w:rPr>
          <w:lang w:val="fr-CH"/>
        </w:rPr>
        <w:t>acités des femmes syndicalistes »,</w:t>
      </w:r>
      <w:r w:rsidRPr="00F9179F">
        <w:rPr>
          <w:lang w:val="fr-CH"/>
        </w:rPr>
        <w:t xml:space="preserve"> 2004</w:t>
      </w:r>
      <w:r>
        <w:rPr>
          <w:lang w:val="fr-CH"/>
        </w:rPr>
        <w:t>.</w:t>
      </w:r>
    </w:p>
  </w:footnote>
  <w:footnote w:id="12">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t>Voir</w:t>
      </w:r>
      <w:r w:rsidRPr="00F9179F">
        <w:rPr>
          <w:lang w:val="fr-CH"/>
        </w:rPr>
        <w:t xml:space="preserve"> détails en annexe (</w:t>
      </w:r>
      <w:r>
        <w:rPr>
          <w:lang w:val="fr-CH"/>
        </w:rPr>
        <w:t>a</w:t>
      </w:r>
      <w:r w:rsidRPr="00F9179F">
        <w:rPr>
          <w:lang w:val="fr-CH"/>
        </w:rPr>
        <w:t>nnexe 5)</w:t>
      </w:r>
      <w:r>
        <w:rPr>
          <w:lang w:val="fr-CH"/>
        </w:rPr>
        <w:t>.</w:t>
      </w:r>
    </w:p>
  </w:footnote>
  <w:footnote w:id="13">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6452D7">
        <w:rPr>
          <w:i/>
          <w:lang w:val="fr-CH"/>
        </w:rPr>
        <w:t>Source</w:t>
      </w:r>
      <w:r>
        <w:rPr>
          <w:lang w:val="fr-CH"/>
        </w:rPr>
        <w:t> :</w:t>
      </w:r>
      <w:r w:rsidRPr="00F9179F">
        <w:rPr>
          <w:lang w:val="fr-CH"/>
        </w:rPr>
        <w:t xml:space="preserve"> Baromètre Madagascar 2012</w:t>
      </w:r>
      <w:r>
        <w:rPr>
          <w:lang w:val="fr-CH"/>
        </w:rPr>
        <w:t>.</w:t>
      </w:r>
    </w:p>
  </w:footnote>
  <w:footnote w:id="14">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Focus/PNUD (2002). Perceptions du vécu et aspirations des femmes et des hommes relatives aux relations de genres –</w:t>
      </w:r>
      <w:r>
        <w:rPr>
          <w:lang w:val="fr-CH"/>
        </w:rPr>
        <w:t xml:space="preserve"> </w:t>
      </w:r>
      <w:r w:rsidRPr="00F9179F">
        <w:rPr>
          <w:lang w:val="fr-CH"/>
        </w:rPr>
        <w:t>RNDH Madagascar-2003.</w:t>
      </w:r>
    </w:p>
  </w:footnote>
  <w:footnote w:id="15">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 xml:space="preserve">Action </w:t>
      </w:r>
      <w:r>
        <w:rPr>
          <w:lang w:val="fr-CH"/>
        </w:rPr>
        <w:t>s</w:t>
      </w:r>
      <w:r w:rsidRPr="00F9179F">
        <w:rPr>
          <w:lang w:val="fr-CH"/>
        </w:rPr>
        <w:t>colaire d</w:t>
      </w:r>
      <w:r>
        <w:rPr>
          <w:lang w:val="fr-CH"/>
        </w:rPr>
        <w:t>’a</w:t>
      </w:r>
      <w:r w:rsidRPr="00F9179F">
        <w:rPr>
          <w:lang w:val="fr-CH"/>
        </w:rPr>
        <w:t xml:space="preserve">ppoint pour Malgaches </w:t>
      </w:r>
      <w:r>
        <w:rPr>
          <w:lang w:val="fr-CH"/>
        </w:rPr>
        <w:t>a</w:t>
      </w:r>
      <w:r w:rsidRPr="00F9179F">
        <w:rPr>
          <w:lang w:val="fr-CH"/>
        </w:rPr>
        <w:t>dolescents</w:t>
      </w:r>
      <w:r>
        <w:rPr>
          <w:lang w:val="fr-CH"/>
        </w:rPr>
        <w:t>.</w:t>
      </w:r>
    </w:p>
  </w:footnote>
  <w:footnote w:id="16">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F9179F">
        <w:rPr>
          <w:lang w:val="fr-CH"/>
        </w:rPr>
        <w:t>Au sens du BIT, un chômeur est défini comme tout individu</w:t>
      </w:r>
      <w:r>
        <w:rPr>
          <w:lang w:val="fr-CH"/>
        </w:rPr>
        <w:t> :</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t>–</w:t>
      </w:r>
      <w:r>
        <w:rPr>
          <w:lang w:val="fr-CH"/>
        </w:rPr>
        <w:tab/>
        <w:t xml:space="preserve">En âge de travailler (cinq </w:t>
      </w:r>
      <w:r w:rsidRPr="00F9179F">
        <w:rPr>
          <w:lang w:val="fr-CH"/>
        </w:rPr>
        <w:t>ans et plus),</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t>–</w:t>
      </w:r>
      <w:r w:rsidRPr="00F9179F">
        <w:rPr>
          <w:lang w:val="fr-CH"/>
        </w:rPr>
        <w:tab/>
        <w:t>Dépourvu d</w:t>
      </w:r>
      <w:r>
        <w:rPr>
          <w:lang w:val="fr-CH"/>
        </w:rPr>
        <w:t>’</w:t>
      </w:r>
      <w:r w:rsidRPr="00F9179F">
        <w:rPr>
          <w:lang w:val="fr-CH"/>
        </w:rPr>
        <w:t>emploi au cours des sept derniers jours,</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t>–</w:t>
      </w:r>
      <w:r w:rsidRPr="00F9179F">
        <w:rPr>
          <w:lang w:val="fr-CH"/>
        </w:rPr>
        <w:tab/>
        <w:t>À la recherche active d</w:t>
      </w:r>
      <w:r>
        <w:rPr>
          <w:lang w:val="fr-CH"/>
        </w:rPr>
        <w:t>’</w:t>
      </w:r>
      <w:r w:rsidRPr="00F9179F">
        <w:rPr>
          <w:lang w:val="fr-CH"/>
        </w:rPr>
        <w:t>emploi,</w:t>
      </w:r>
    </w:p>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Pr>
          <w:lang w:val="fr-CH"/>
        </w:rPr>
        <w:tab/>
        <w:t>–</w:t>
      </w:r>
      <w:r w:rsidRPr="00F9179F">
        <w:rPr>
          <w:lang w:val="fr-CH"/>
        </w:rPr>
        <w:tab/>
        <w:t>Disponible à travailler</w:t>
      </w:r>
      <w:r>
        <w:rPr>
          <w:lang w:val="fr-CH"/>
        </w:rPr>
        <w:t>.</w:t>
      </w:r>
    </w:p>
  </w:footnote>
  <w:footnote w:id="17">
    <w:p w:rsidR="00C06068" w:rsidRPr="00F9179F"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sidRPr="00F9179F">
        <w:rPr>
          <w:lang w:val="fr-CH"/>
        </w:rPr>
        <w:tab/>
      </w:r>
      <w:r>
        <w:rPr>
          <w:lang w:val="fr-CH"/>
        </w:rPr>
        <w:t>Loi n</w:t>
      </w:r>
      <w:r w:rsidRPr="00F938C7">
        <w:rPr>
          <w:vertAlign w:val="superscript"/>
          <w:lang w:val="fr-CH"/>
        </w:rPr>
        <w:t>o</w:t>
      </w:r>
      <w:r>
        <w:rPr>
          <w:lang w:val="fr-CH"/>
        </w:rPr>
        <w:t> </w:t>
      </w:r>
      <w:r w:rsidRPr="00F9179F">
        <w:rPr>
          <w:lang w:val="fr-CH"/>
        </w:rPr>
        <w:t>2011-002 du 15 juillet 2011 portant Code de la santé</w:t>
      </w:r>
      <w:r>
        <w:rPr>
          <w:lang w:val="fr-CH"/>
        </w:rPr>
        <w:t>.</w:t>
      </w:r>
    </w:p>
  </w:footnote>
  <w:footnote w:id="18">
    <w:p w:rsidR="00C06068" w:rsidRPr="00D81921"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C91CD9">
        <w:rPr>
          <w:i/>
          <w:lang w:val="fr-CH"/>
        </w:rPr>
        <w:t>Source</w:t>
      </w:r>
      <w:r>
        <w:rPr>
          <w:lang w:val="fr-CH"/>
        </w:rPr>
        <w:t> :</w:t>
      </w:r>
      <w:r w:rsidRPr="00D81921">
        <w:rPr>
          <w:lang w:val="fr-CH"/>
        </w:rPr>
        <w:t xml:space="preserve"> Enquête démographique et de santé 2008-2009</w:t>
      </w:r>
      <w:r>
        <w:rPr>
          <w:lang w:val="fr-CH"/>
        </w:rPr>
        <w:t>.</w:t>
      </w:r>
    </w:p>
  </w:footnote>
  <w:footnote w:id="19">
    <w:p w:rsidR="00C06068" w:rsidRPr="00D81921"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1A41B4">
        <w:rPr>
          <w:i/>
          <w:lang w:val="fr-CH"/>
        </w:rPr>
        <w:t>Source</w:t>
      </w:r>
      <w:r>
        <w:rPr>
          <w:lang w:val="fr-CH"/>
        </w:rPr>
        <w:t> :</w:t>
      </w:r>
      <w:r w:rsidRPr="00D81921">
        <w:rPr>
          <w:lang w:val="fr-CH"/>
        </w:rPr>
        <w:t xml:space="preserve"> Enquête démographique et de santé (EDS) 2008-2009</w:t>
      </w:r>
      <w:r>
        <w:rPr>
          <w:lang w:val="fr-CH"/>
        </w:rPr>
        <w:t>.</w:t>
      </w:r>
    </w:p>
  </w:footnote>
  <w:footnote w:id="20">
    <w:p w:rsidR="00C06068" w:rsidRPr="00D81921" w:rsidRDefault="00C06068" w:rsidP="00313148">
      <w:pPr>
        <w:pStyle w:val="FootnoteText"/>
        <w:widowControl w:val="0"/>
        <w:tabs>
          <w:tab w:val="right" w:pos="1195"/>
          <w:tab w:val="left" w:pos="1267"/>
          <w:tab w:val="left" w:pos="1742"/>
          <w:tab w:val="left" w:pos="2218"/>
          <w:tab w:val="left" w:pos="2693"/>
        </w:tabs>
        <w:ind w:left="1267" w:right="1260" w:hanging="432"/>
        <w:rPr>
          <w:lang w:val="fr-CH"/>
        </w:rPr>
      </w:pPr>
      <w:r w:rsidRPr="0081752A">
        <w:rPr>
          <w:lang w:val="fr-FR"/>
        </w:rPr>
        <w:tab/>
      </w:r>
      <w:r>
        <w:rPr>
          <w:rStyle w:val="FootnoteReference"/>
        </w:rPr>
        <w:footnoteRef/>
      </w:r>
      <w:r>
        <w:rPr>
          <w:lang w:val="fr-CH"/>
        </w:rPr>
        <w:tab/>
      </w:r>
      <w:r w:rsidRPr="001A41B4">
        <w:rPr>
          <w:i/>
          <w:lang w:val="fr-CH"/>
        </w:rPr>
        <w:t>Source</w:t>
      </w:r>
      <w:r>
        <w:rPr>
          <w:lang w:val="fr-CH"/>
        </w:rPr>
        <w:t> :</w:t>
      </w:r>
      <w:r w:rsidRPr="00D81921">
        <w:rPr>
          <w:lang w:val="fr-CH"/>
        </w:rPr>
        <w:t xml:space="preserve"> Enquête démographique et de santé (EDS) 2008-2009</w:t>
      </w:r>
      <w:r>
        <w:rPr>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1D5A4C" w:rsidRPr="003A6420" w:rsidTr="001D5A4C">
      <w:tblPrEx>
        <w:tblCellMar>
          <w:top w:w="0" w:type="dxa"/>
          <w:bottom w:w="0" w:type="dxa"/>
        </w:tblCellMar>
      </w:tblPrEx>
      <w:trPr>
        <w:trHeight w:hRule="exact" w:val="864"/>
      </w:trPr>
      <w:tc>
        <w:tcPr>
          <w:tcW w:w="4838" w:type="dxa"/>
          <w:shd w:val="clear" w:color="auto" w:fill="auto"/>
          <w:vAlign w:val="bottom"/>
        </w:tcPr>
        <w:p w:rsidR="001D5A4C" w:rsidRPr="008523CE" w:rsidRDefault="001D5A4C" w:rsidP="001D5A4C">
          <w:pPr>
            <w:pStyle w:val="Header"/>
            <w:spacing w:after="80"/>
            <w:rPr>
              <w:b/>
              <w:szCs w:val="22"/>
            </w:rPr>
          </w:pPr>
          <w:fldSimple w:instr=" DOCVARIABLE &quot;sss1&quot; \* MERGEFORMAT ">
            <w:r w:rsidR="00C06068" w:rsidRPr="008523CE">
              <w:rPr>
                <w:b/>
                <w:szCs w:val="22"/>
              </w:rPr>
              <w:t>CEDAW/C/MDG/6-7</w:t>
            </w:r>
          </w:fldSimple>
        </w:p>
      </w:tc>
      <w:tc>
        <w:tcPr>
          <w:tcW w:w="4995" w:type="dxa"/>
          <w:shd w:val="clear" w:color="auto" w:fill="auto"/>
          <w:vAlign w:val="bottom"/>
        </w:tcPr>
        <w:p w:rsidR="001D5A4C" w:rsidRPr="008523CE" w:rsidRDefault="001D5A4C" w:rsidP="001D5A4C">
          <w:pPr>
            <w:pStyle w:val="Header"/>
            <w:rPr>
              <w:szCs w:val="22"/>
            </w:rPr>
          </w:pPr>
        </w:p>
      </w:tc>
    </w:tr>
  </w:tbl>
  <w:p w:rsidR="001D5A4C" w:rsidRPr="001D5A4C" w:rsidRDefault="001D5A4C" w:rsidP="001D5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1D5A4C" w:rsidRPr="003A6420" w:rsidTr="001D5A4C">
      <w:tblPrEx>
        <w:tblCellMar>
          <w:top w:w="0" w:type="dxa"/>
          <w:bottom w:w="0" w:type="dxa"/>
        </w:tblCellMar>
      </w:tblPrEx>
      <w:trPr>
        <w:trHeight w:hRule="exact" w:val="864"/>
      </w:trPr>
      <w:tc>
        <w:tcPr>
          <w:tcW w:w="4838" w:type="dxa"/>
          <w:shd w:val="clear" w:color="auto" w:fill="auto"/>
          <w:vAlign w:val="bottom"/>
        </w:tcPr>
        <w:p w:rsidR="001D5A4C" w:rsidRPr="008523CE" w:rsidRDefault="001D5A4C" w:rsidP="001D5A4C">
          <w:pPr>
            <w:pStyle w:val="Header"/>
            <w:rPr>
              <w:szCs w:val="22"/>
            </w:rPr>
          </w:pPr>
        </w:p>
      </w:tc>
      <w:tc>
        <w:tcPr>
          <w:tcW w:w="4995" w:type="dxa"/>
          <w:shd w:val="clear" w:color="auto" w:fill="auto"/>
          <w:vAlign w:val="bottom"/>
        </w:tcPr>
        <w:p w:rsidR="001D5A4C" w:rsidRPr="008523CE" w:rsidRDefault="001D5A4C" w:rsidP="001D5A4C">
          <w:pPr>
            <w:pStyle w:val="Header"/>
            <w:spacing w:after="80"/>
            <w:jc w:val="right"/>
            <w:rPr>
              <w:b/>
              <w:szCs w:val="22"/>
            </w:rPr>
          </w:pPr>
          <w:fldSimple w:instr=" DOCVARIABLE &quot;sss1&quot; \* MERGEFORMAT ">
            <w:r w:rsidR="00C06068" w:rsidRPr="008523CE">
              <w:rPr>
                <w:b/>
                <w:szCs w:val="22"/>
              </w:rPr>
              <w:t>CEDAW/C/MDG/6-7</w:t>
            </w:r>
          </w:fldSimple>
        </w:p>
      </w:tc>
    </w:tr>
  </w:tbl>
  <w:p w:rsidR="001D5A4C" w:rsidRPr="001D5A4C" w:rsidRDefault="001D5A4C" w:rsidP="001D5A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D5A4C" w:rsidRPr="003A6420" w:rsidTr="001D5A4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D5A4C" w:rsidRPr="008523CE" w:rsidRDefault="001D5A4C" w:rsidP="001D5A4C">
          <w:pPr>
            <w:pStyle w:val="Header"/>
            <w:spacing w:after="120"/>
            <w:rPr>
              <w:szCs w:val="22"/>
            </w:rPr>
          </w:pPr>
        </w:p>
      </w:tc>
      <w:tc>
        <w:tcPr>
          <w:tcW w:w="2059" w:type="dxa"/>
          <w:tcBorders>
            <w:bottom w:val="single" w:sz="4" w:space="0" w:color="auto"/>
          </w:tcBorders>
          <w:shd w:val="clear" w:color="auto" w:fill="auto"/>
          <w:vAlign w:val="bottom"/>
        </w:tcPr>
        <w:p w:rsidR="001D5A4C" w:rsidRPr="003A6420" w:rsidRDefault="001D5A4C" w:rsidP="001D5A4C">
          <w:pPr>
            <w:pStyle w:val="HCH"/>
            <w:spacing w:after="80"/>
            <w:rPr>
              <w:b w:val="0"/>
              <w:color w:val="010000"/>
              <w:spacing w:val="2"/>
              <w:w w:val="96"/>
            </w:rPr>
          </w:pPr>
          <w:r w:rsidRPr="003A6420">
            <w:rPr>
              <w:b w:val="0"/>
              <w:color w:val="010000"/>
              <w:spacing w:val="2"/>
              <w:w w:val="96"/>
            </w:rPr>
            <w:t>Nations Unies</w:t>
          </w:r>
        </w:p>
      </w:tc>
      <w:tc>
        <w:tcPr>
          <w:tcW w:w="58" w:type="dxa"/>
          <w:tcBorders>
            <w:bottom w:val="single" w:sz="4" w:space="0" w:color="auto"/>
          </w:tcBorders>
          <w:shd w:val="clear" w:color="auto" w:fill="auto"/>
          <w:vAlign w:val="bottom"/>
        </w:tcPr>
        <w:p w:rsidR="001D5A4C" w:rsidRPr="008523CE" w:rsidRDefault="001D5A4C" w:rsidP="001D5A4C">
          <w:pPr>
            <w:pStyle w:val="Header"/>
            <w:spacing w:after="120"/>
            <w:rPr>
              <w:szCs w:val="22"/>
            </w:rPr>
          </w:pPr>
        </w:p>
      </w:tc>
      <w:tc>
        <w:tcPr>
          <w:tcW w:w="6523" w:type="dxa"/>
          <w:gridSpan w:val="3"/>
          <w:tcBorders>
            <w:bottom w:val="single" w:sz="4" w:space="0" w:color="auto"/>
          </w:tcBorders>
          <w:shd w:val="clear" w:color="auto" w:fill="auto"/>
          <w:vAlign w:val="bottom"/>
        </w:tcPr>
        <w:p w:rsidR="001D5A4C" w:rsidRPr="003A6420" w:rsidRDefault="001D5A4C" w:rsidP="001D5A4C">
          <w:pPr>
            <w:spacing w:after="80" w:line="240" w:lineRule="auto"/>
            <w:jc w:val="right"/>
            <w:rPr>
              <w:position w:val="-4"/>
            </w:rPr>
          </w:pPr>
          <w:r w:rsidRPr="003A6420">
            <w:rPr>
              <w:position w:val="-4"/>
              <w:sz w:val="40"/>
            </w:rPr>
            <w:t>CEDAW</w:t>
          </w:r>
          <w:r w:rsidRPr="003A6420">
            <w:rPr>
              <w:position w:val="-4"/>
            </w:rPr>
            <w:t>/C/MDG/6-7</w:t>
          </w:r>
        </w:p>
      </w:tc>
    </w:tr>
    <w:tr w:rsidR="001D5A4C" w:rsidRPr="00C06068" w:rsidTr="001D5A4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D5A4C" w:rsidRPr="008523CE" w:rsidRDefault="001D5A4C" w:rsidP="001D5A4C">
          <w:pPr>
            <w:pStyle w:val="Header"/>
            <w:spacing w:before="880"/>
            <w:ind w:left="-72"/>
            <w:rPr>
              <w:szCs w:val="22"/>
            </w:rPr>
          </w:pPr>
          <w:r w:rsidRPr="008523CE">
            <w:rPr>
              <w:szCs w:val="22"/>
            </w:rPr>
            <w:t xml:space="preserve">  </w:t>
          </w:r>
          <w:r w:rsidRPr="008523CE">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6.5pt">
                <v:imagedata r:id="rId1" o:title="_unlogo"/>
              </v:shape>
            </w:pict>
          </w:r>
        </w:p>
        <w:p w:rsidR="001D5A4C" w:rsidRPr="008523CE" w:rsidRDefault="001D5A4C" w:rsidP="001D5A4C">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1D5A4C" w:rsidRPr="00C06068" w:rsidRDefault="001D5A4C" w:rsidP="001D5A4C">
          <w:pPr>
            <w:pStyle w:val="XLarge"/>
            <w:spacing w:before="109" w:line="330" w:lineRule="exact"/>
            <w:rPr>
              <w:sz w:val="34"/>
              <w:lang w:val="fr-FR"/>
            </w:rPr>
          </w:pPr>
          <w:r w:rsidRPr="00C06068">
            <w:rPr>
              <w:sz w:val="34"/>
              <w:lang w:val="fr-FR"/>
            </w:rPr>
            <w:t>Convention sur l’élimination</w:t>
          </w:r>
          <w:r w:rsidRPr="00C06068">
            <w:rPr>
              <w:sz w:val="34"/>
              <w:lang w:val="fr-FR"/>
            </w:rPr>
            <w:br/>
            <w:t>de toutes les formes</w:t>
          </w:r>
          <w:r w:rsidRPr="00C06068">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1D5A4C" w:rsidRPr="008523CE" w:rsidRDefault="001D5A4C" w:rsidP="001D5A4C">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1D5A4C" w:rsidRPr="00C06068" w:rsidRDefault="001D5A4C" w:rsidP="001D5A4C">
          <w:pPr>
            <w:pStyle w:val="Distribution"/>
            <w:rPr>
              <w:color w:val="000000"/>
              <w:lang w:val="fr-FR"/>
            </w:rPr>
          </w:pPr>
          <w:r w:rsidRPr="00C06068">
            <w:rPr>
              <w:color w:val="000000"/>
              <w:lang w:val="fr-FR"/>
            </w:rPr>
            <w:t>Distr. générale</w:t>
          </w:r>
        </w:p>
        <w:p w:rsidR="001D5A4C" w:rsidRPr="00C06068" w:rsidRDefault="001D5A4C" w:rsidP="001D5A4C">
          <w:pPr>
            <w:pStyle w:val="Publication"/>
            <w:rPr>
              <w:color w:val="000000"/>
              <w:lang w:val="fr-FR"/>
            </w:rPr>
          </w:pPr>
          <w:r w:rsidRPr="00C06068">
            <w:rPr>
              <w:color w:val="000000"/>
              <w:lang w:val="fr-FR"/>
            </w:rPr>
            <w:t>10 avril 2014</w:t>
          </w:r>
        </w:p>
        <w:p w:rsidR="001D5A4C" w:rsidRPr="00C06068" w:rsidRDefault="001D5A4C" w:rsidP="001D5A4C">
          <w:pPr>
            <w:rPr>
              <w:lang w:val="fr-FR"/>
            </w:rPr>
          </w:pPr>
        </w:p>
        <w:p w:rsidR="001D5A4C" w:rsidRPr="00C06068" w:rsidRDefault="001D5A4C" w:rsidP="001D5A4C">
          <w:pPr>
            <w:pStyle w:val="Original"/>
            <w:rPr>
              <w:color w:val="000000"/>
              <w:lang w:val="fr-FR"/>
            </w:rPr>
          </w:pPr>
          <w:r w:rsidRPr="00C06068">
            <w:rPr>
              <w:color w:val="000000"/>
              <w:lang w:val="fr-FR"/>
            </w:rPr>
            <w:t>Original : français</w:t>
          </w:r>
        </w:p>
      </w:tc>
    </w:tr>
  </w:tbl>
  <w:p w:rsidR="001D5A4C" w:rsidRPr="00C06068" w:rsidRDefault="001D5A4C" w:rsidP="001D5A4C">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6C5160"/>
    <w:multiLevelType w:val="singleLevel"/>
    <w:tmpl w:val="3A0E7C68"/>
    <w:lvl w:ilvl="0">
      <w:start w:val="284"/>
      <w:numFmt w:val="decimal"/>
      <w:lvlRestart w:val="0"/>
      <w:lvlText w:val="%1."/>
      <w:lvlJc w:val="left"/>
      <w:pPr>
        <w:tabs>
          <w:tab w:val="num" w:pos="1742"/>
        </w:tabs>
        <w:ind w:left="1267"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FE67E88"/>
    <w:multiLevelType w:val="singleLevel"/>
    <w:tmpl w:val="28989E94"/>
    <w:lvl w:ilvl="0">
      <w:start w:val="8"/>
      <w:numFmt w:val="decimal"/>
      <w:lvlRestart w:val="0"/>
      <w:lvlText w:val="%1."/>
      <w:lvlJc w:val="left"/>
      <w:pPr>
        <w:tabs>
          <w:tab w:val="num" w:pos="1742"/>
        </w:tabs>
        <w:ind w:left="1267" w:firstLine="0"/>
      </w:pPr>
      <w:rPr>
        <w:w w:val="100"/>
      </w:rPr>
    </w:lvl>
  </w:abstractNum>
  <w:abstractNum w:abstractNumId="5">
    <w:nsid w:val="318B69A5"/>
    <w:multiLevelType w:val="singleLevel"/>
    <w:tmpl w:val="25BC05D0"/>
    <w:lvl w:ilvl="0">
      <w:start w:val="217"/>
      <w:numFmt w:val="decimal"/>
      <w:lvlRestart w:val="0"/>
      <w:lvlText w:val="%1."/>
      <w:lvlJc w:val="left"/>
      <w:pPr>
        <w:tabs>
          <w:tab w:val="num" w:pos="1742"/>
        </w:tabs>
        <w:ind w:left="1267" w:firstLine="0"/>
      </w:pPr>
      <w:rPr>
        <w:w w:val="100"/>
      </w:rPr>
    </w:lvl>
  </w:abstractNum>
  <w:abstractNum w:abstractNumId="6">
    <w:nsid w:val="483A0AE2"/>
    <w:multiLevelType w:val="multilevel"/>
    <w:tmpl w:val="CF7ECBF8"/>
    <w:name w:val="TOC"/>
    <w:lvl w:ilvl="0">
      <w:start w:val="1"/>
      <w:numFmt w:val="upperRoman"/>
      <w:lvlText w:val="%1."/>
      <w:lvlJc w:val="right"/>
      <w:pPr>
        <w:tabs>
          <w:tab w:val="num" w:pos="1512"/>
        </w:tabs>
        <w:ind w:left="1512" w:hanging="216"/>
      </w:pPr>
    </w:lvl>
    <w:lvl w:ilvl="1">
      <w:start w:val="1"/>
      <w:numFmt w:val="upperLetter"/>
      <w:lvlText w:val="%2."/>
      <w:lvlJc w:val="left"/>
      <w:pPr>
        <w:tabs>
          <w:tab w:val="num" w:pos="1944"/>
        </w:tabs>
        <w:ind w:left="1944" w:hanging="432"/>
      </w:pPr>
    </w:lvl>
    <w:lvl w:ilvl="2">
      <w:start w:val="1"/>
      <w:numFmt w:val="decimal"/>
      <w:lvlText w:val="%3."/>
      <w:lvlJc w:val="left"/>
      <w:pPr>
        <w:tabs>
          <w:tab w:val="num" w:pos="2376"/>
        </w:tabs>
        <w:ind w:left="2376" w:hanging="432"/>
      </w:pPr>
    </w:lvl>
    <w:lvl w:ilvl="3">
      <w:start w:val="1"/>
      <w:numFmt w:val="lowerLetter"/>
      <w:lvlText w:val="%4)"/>
      <w:lvlJc w:val="left"/>
      <w:pPr>
        <w:tabs>
          <w:tab w:val="num" w:pos="2808"/>
        </w:tabs>
        <w:ind w:left="2808" w:hanging="432"/>
      </w:pPr>
    </w:lvl>
    <w:lvl w:ilvl="4">
      <w:start w:val="1"/>
      <w:numFmt w:val="lowerRoman"/>
      <w:lvlText w:val="%5)"/>
      <w:lvlJc w:val="left"/>
      <w:pPr>
        <w:tabs>
          <w:tab w:val="num" w:pos="3240"/>
        </w:tabs>
        <w:ind w:left="3240" w:hanging="432"/>
      </w:pPr>
    </w:lvl>
    <w:lvl w:ilvl="5">
      <w:start w:val="1"/>
      <w:numFmt w:val="lowerLetter"/>
      <w:lvlText w:val="%6."/>
      <w:lvlJc w:val="left"/>
      <w:pPr>
        <w:tabs>
          <w:tab w:val="num" w:pos="3672"/>
        </w:tabs>
        <w:ind w:left="3672" w:hanging="432"/>
      </w:pPr>
    </w:lvl>
    <w:lvl w:ilvl="6">
      <w:start w:val="1"/>
      <w:numFmt w:val="lowerRoman"/>
      <w:lvlText w:val="%7."/>
      <w:lvlJc w:val="left"/>
      <w:pPr>
        <w:tabs>
          <w:tab w:val="num" w:pos="4104"/>
        </w:tabs>
        <w:ind w:left="4104" w:hanging="432"/>
      </w:pPr>
    </w:lvl>
    <w:lvl w:ilvl="7">
      <w:start w:val="1"/>
      <w:numFmt w:val="none"/>
      <w:suff w:val="nothing"/>
      <w:lvlText w:val=""/>
      <w:lvlJc w:val="left"/>
      <w:pPr>
        <w:ind w:left="216" w:firstLine="0"/>
      </w:pPr>
    </w:lvl>
    <w:lvl w:ilvl="8">
      <w:start w:val="1"/>
      <w:numFmt w:val="none"/>
      <w:suff w:val="nothing"/>
      <w:lvlText w:val=""/>
      <w:lvlJc w:val="left"/>
      <w:pPr>
        <w:ind w:left="216" w:firstLine="0"/>
      </w:pPr>
    </w:lvl>
  </w:abstractNum>
  <w:abstractNum w:abstractNumId="7">
    <w:nsid w:val="58DD67D6"/>
    <w:multiLevelType w:val="singleLevel"/>
    <w:tmpl w:val="0266821A"/>
    <w:lvl w:ilvl="0">
      <w:start w:val="1"/>
      <w:numFmt w:val="decimal"/>
      <w:lvlRestart w:val="0"/>
      <w:lvlText w:val="%1."/>
      <w:lvlJc w:val="left"/>
      <w:pPr>
        <w:tabs>
          <w:tab w:val="num" w:pos="1742"/>
        </w:tabs>
        <w:ind w:left="1267" w:firstLine="0"/>
      </w:pPr>
      <w:rPr>
        <w:w w:val="100"/>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4B516E"/>
    <w:multiLevelType w:val="singleLevel"/>
    <w:tmpl w:val="C2801F8E"/>
    <w:lvl w:ilvl="0">
      <w:start w:val="1"/>
      <w:numFmt w:val="decimal"/>
      <w:lvlRestart w:val="0"/>
      <w:lvlText w:val="%1."/>
      <w:lvlJc w:val="left"/>
      <w:pPr>
        <w:tabs>
          <w:tab w:val="num" w:pos="1742"/>
        </w:tabs>
        <w:ind w:left="1267" w:firstLine="0"/>
      </w:pPr>
      <w:rPr>
        <w:w w:val="100"/>
      </w:rPr>
    </w:lvl>
  </w:abstractNum>
  <w:num w:numId="1">
    <w:abstractNumId w:val="3"/>
  </w:num>
  <w:num w:numId="2">
    <w:abstractNumId w:val="2"/>
  </w:num>
  <w:num w:numId="3">
    <w:abstractNumId w:val="0"/>
  </w:num>
  <w:num w:numId="4">
    <w:abstractNumId w:val="8"/>
  </w:num>
  <w:num w:numId="5">
    <w:abstractNumId w:val="6"/>
  </w:num>
  <w:num w:numId="6">
    <w:abstractNumId w:val="9"/>
  </w:num>
  <w:num w:numId="7">
    <w:abstractNumId w:val="1"/>
  </w:num>
  <w:num w:numId="8">
    <w:abstractNumId w:val="7"/>
    <w:lvlOverride w:ilvl="0">
      <w:lvl w:ilvl="0">
        <w:start w:val="8"/>
        <w:numFmt w:val="decimal"/>
        <w:lvlRestart w:val="0"/>
        <w:lvlText w:val="%1."/>
        <w:lvlJc w:val="left"/>
        <w:pPr>
          <w:tabs>
            <w:tab w:val="num" w:pos="1742"/>
          </w:tabs>
          <w:ind w:left="1267" w:firstLine="0"/>
        </w:pPr>
        <w:rPr>
          <w:w w:val="100"/>
        </w:rPr>
      </w:lvl>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052*"/>
    <w:docVar w:name="CreationDt" w:val="23/05/2014 00:38:34"/>
    <w:docVar w:name="DocCategory" w:val="Doc"/>
    <w:docVar w:name="DocType" w:val="Final"/>
    <w:docVar w:name="FooterJN" w:val="14-03052"/>
    <w:docVar w:name="jobn" w:val="14-03052 (F)"/>
    <w:docVar w:name="jobnDT" w:val="14-03052 (F)   230514"/>
    <w:docVar w:name="jobnDTDT" w:val="14-03052 (F)   230514   230514"/>
    <w:docVar w:name="JobNo" w:val="1403052F"/>
    <w:docVar w:name="JobNo2" w:val="1429601F"/>
    <w:docVar w:name="OandT" w:val=" "/>
    <w:docVar w:name="sss1" w:val="CEDAW/C/MDG/6-7"/>
    <w:docVar w:name="sss2" w:val="-"/>
    <w:docVar w:name="Symbol1" w:val="CEDAW/C/MDG/6-7"/>
    <w:docVar w:name="Symbol2" w:val="-"/>
  </w:docVars>
  <w:rsids>
    <w:rsidRoot w:val="008B2251"/>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D44E3"/>
    <w:rsid w:val="000E1ABE"/>
    <w:rsid w:val="000F04A8"/>
    <w:rsid w:val="000F1B8A"/>
    <w:rsid w:val="000F299A"/>
    <w:rsid w:val="000F36A0"/>
    <w:rsid w:val="000F53E9"/>
    <w:rsid w:val="0010575E"/>
    <w:rsid w:val="0011255C"/>
    <w:rsid w:val="00116149"/>
    <w:rsid w:val="001256F6"/>
    <w:rsid w:val="00126FB2"/>
    <w:rsid w:val="0013186C"/>
    <w:rsid w:val="00132A45"/>
    <w:rsid w:val="0014233F"/>
    <w:rsid w:val="00144DE1"/>
    <w:rsid w:val="00145A1F"/>
    <w:rsid w:val="001466A3"/>
    <w:rsid w:val="00147051"/>
    <w:rsid w:val="00151710"/>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D5A4C"/>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3148"/>
    <w:rsid w:val="00316628"/>
    <w:rsid w:val="003235C7"/>
    <w:rsid w:val="00326270"/>
    <w:rsid w:val="00332A87"/>
    <w:rsid w:val="003342DF"/>
    <w:rsid w:val="00337015"/>
    <w:rsid w:val="00340736"/>
    <w:rsid w:val="003559A7"/>
    <w:rsid w:val="003608A0"/>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A6420"/>
    <w:rsid w:val="003B411E"/>
    <w:rsid w:val="003B60DA"/>
    <w:rsid w:val="003B668A"/>
    <w:rsid w:val="003C222D"/>
    <w:rsid w:val="003C6DDA"/>
    <w:rsid w:val="003E1642"/>
    <w:rsid w:val="003E3E2D"/>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E5562"/>
    <w:rsid w:val="005E76F8"/>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4479"/>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574"/>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23CE"/>
    <w:rsid w:val="008555BA"/>
    <w:rsid w:val="00856155"/>
    <w:rsid w:val="008579A6"/>
    <w:rsid w:val="00861D7A"/>
    <w:rsid w:val="00863E44"/>
    <w:rsid w:val="008703DB"/>
    <w:rsid w:val="008710A1"/>
    <w:rsid w:val="00875E49"/>
    <w:rsid w:val="0088158E"/>
    <w:rsid w:val="008829F3"/>
    <w:rsid w:val="00890EF0"/>
    <w:rsid w:val="00891ADA"/>
    <w:rsid w:val="008962D4"/>
    <w:rsid w:val="008A4C0E"/>
    <w:rsid w:val="008B2251"/>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06068"/>
    <w:rsid w:val="00C13C81"/>
    <w:rsid w:val="00C14A5C"/>
    <w:rsid w:val="00C14B0A"/>
    <w:rsid w:val="00C269B9"/>
    <w:rsid w:val="00C26CD3"/>
    <w:rsid w:val="00C3047B"/>
    <w:rsid w:val="00C35E4D"/>
    <w:rsid w:val="00C436F7"/>
    <w:rsid w:val="00C45692"/>
    <w:rsid w:val="00C56EFE"/>
    <w:rsid w:val="00C60C0B"/>
    <w:rsid w:val="00C66382"/>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6556"/>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Title" w:uiPriority="10" w:unhideWhenUsed="0" w:qFormat="1"/>
    <w:lsdException w:name="Default Paragraph Font" w:uiPriority="1"/>
    <w:lsdException w:name="Subtitle" w:uiPriority="11" w:unhideWhenUsed="0"/>
    <w:lsdException w:name="FollowedHyperlink" w:uiPriority="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uiPriority w:val="9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9"/>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link w:val="NoSpacingChar"/>
    <w:uiPriority w:val="1"/>
    <w:qFormat/>
    <w:rsid w:val="000055FB"/>
    <w:rPr>
      <w:sz w:val="22"/>
      <w:szCs w:val="22"/>
    </w:rPr>
  </w:style>
  <w:style w:type="character" w:customStyle="1" w:styleId="Heading1Char">
    <w:name w:val="Heading 1 Char"/>
    <w:link w:val="Heading1"/>
    <w:uiPriority w:val="9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uiPriority w:val="99"/>
    <w:unhideWhenUsed/>
    <w:rsid w:val="00D8335C"/>
    <w:pPr>
      <w:spacing w:line="210" w:lineRule="exact"/>
    </w:pPr>
    <w:rPr>
      <w:spacing w:val="5"/>
      <w:w w:val="104"/>
      <w:sz w:val="17"/>
      <w:szCs w:val="20"/>
      <w:lang/>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uiPriority w:val="99"/>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link w:val="ListParagraphChar"/>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lang/>
    </w:rPr>
  </w:style>
  <w:style w:type="character" w:customStyle="1" w:styleId="EndnoteTextChar">
    <w:name w:val="Endnote Text Char"/>
    <w:link w:val="EndnoteText"/>
    <w:uiPriority w:val="99"/>
    <w:rsid w:val="00F3330B"/>
    <w:rPr>
      <w:rFonts w:ascii="Times New Roman" w:hAnsi="Times New Roman"/>
      <w:spacing w:val="4"/>
      <w:w w:val="103"/>
      <w:kern w:val="14"/>
      <w:sz w:val="17"/>
    </w:rPr>
  </w:style>
  <w:style w:type="character" w:styleId="CommentReference">
    <w:name w:val="annotation reference"/>
    <w:uiPriority w:val="99"/>
    <w:semiHidden/>
    <w:unhideWhenUsed/>
    <w:rsid w:val="001D5A4C"/>
    <w:rPr>
      <w:sz w:val="16"/>
      <w:szCs w:val="16"/>
    </w:rPr>
  </w:style>
  <w:style w:type="paragraph" w:styleId="CommentText">
    <w:name w:val="annotation text"/>
    <w:basedOn w:val="Normal"/>
    <w:link w:val="CommentTextChar"/>
    <w:uiPriority w:val="99"/>
    <w:semiHidden/>
    <w:unhideWhenUsed/>
    <w:rsid w:val="001D5A4C"/>
    <w:rPr>
      <w:szCs w:val="20"/>
      <w:lang/>
    </w:rPr>
  </w:style>
  <w:style w:type="character" w:customStyle="1" w:styleId="CommentTextChar">
    <w:name w:val="Comment Text Char"/>
    <w:link w:val="CommentText"/>
    <w:uiPriority w:val="99"/>
    <w:semiHidden/>
    <w:rsid w:val="001D5A4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1D5A4C"/>
    <w:rPr>
      <w:b/>
      <w:bCs/>
    </w:rPr>
  </w:style>
  <w:style w:type="character" w:customStyle="1" w:styleId="CommentSubjectChar">
    <w:name w:val="Comment Subject Char"/>
    <w:link w:val="CommentSubject"/>
    <w:uiPriority w:val="99"/>
    <w:semiHidden/>
    <w:rsid w:val="001D5A4C"/>
    <w:rPr>
      <w:rFonts w:ascii="Times New Roman" w:hAnsi="Times New Roman"/>
      <w:b/>
      <w:bCs/>
      <w:spacing w:val="4"/>
      <w:w w:val="103"/>
      <w:kern w:val="14"/>
    </w:rPr>
  </w:style>
  <w:style w:type="paragraph" w:customStyle="1" w:styleId="SingleTxtG">
    <w:name w:val="_ Single Txt_G"/>
    <w:basedOn w:val="Normal"/>
    <w:rsid w:val="00C06068"/>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C0606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C0606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styleId="PageNumber">
    <w:name w:val="page number"/>
    <w:aliases w:val="7_G"/>
    <w:rsid w:val="00C06068"/>
    <w:rPr>
      <w:rFonts w:ascii="Times New Roman" w:hAnsi="Times New Roman"/>
      <w:b/>
      <w:sz w:val="18"/>
    </w:rPr>
  </w:style>
  <w:style w:type="paragraph" w:customStyle="1" w:styleId="SMG">
    <w:name w:val="__S_M_G"/>
    <w:basedOn w:val="Normal"/>
    <w:next w:val="Normal"/>
    <w:rsid w:val="00C0606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C0606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C06068"/>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EndnoteReference">
    <w:name w:val="endnote reference"/>
    <w:aliases w:val="1_G"/>
    <w:uiPriority w:val="99"/>
    <w:rsid w:val="00C06068"/>
    <w:rPr>
      <w:rFonts w:ascii="Times New Roman" w:hAnsi="Times New Roman"/>
      <w:sz w:val="18"/>
      <w:vertAlign w:val="superscript"/>
    </w:rPr>
  </w:style>
  <w:style w:type="character" w:styleId="FootnoteReference">
    <w:name w:val="footnote reference"/>
    <w:aliases w:val="4_G,Char Char1 Char Char Char Char,ftref,Fußnotenzeichen_Raxen,Footnotes refss,Error-Fußnotenzeichen5,Error-Fußnotenzeichen6,Error-Fußnotenzeichen3,Footnote Refernece"/>
    <w:uiPriority w:val="99"/>
    <w:rsid w:val="00C06068"/>
    <w:rPr>
      <w:rFonts w:ascii="Times New Roman" w:hAnsi="Times New Roman"/>
      <w:sz w:val="18"/>
      <w:vertAlign w:val="superscript"/>
    </w:rPr>
  </w:style>
  <w:style w:type="paragraph" w:customStyle="1" w:styleId="XLargeG">
    <w:name w:val="__XLarge_G"/>
    <w:basedOn w:val="Normal"/>
    <w:next w:val="Normal"/>
    <w:rsid w:val="00C0606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H56G">
    <w:name w:val="_ H_5/6_G"/>
    <w:basedOn w:val="Normal"/>
    <w:next w:val="Normal"/>
    <w:rsid w:val="00C0606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H1G">
    <w:name w:val="_ H_1_G"/>
    <w:basedOn w:val="Normal"/>
    <w:next w:val="Normal"/>
    <w:rsid w:val="00C0606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C0606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C0606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Bullet1G">
    <w:name w:val="_Bullet 1_G"/>
    <w:basedOn w:val="Normal"/>
    <w:rsid w:val="00C06068"/>
    <w:pPr>
      <w:numPr>
        <w:numId w:val="3"/>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uiPriority w:val="99"/>
    <w:rsid w:val="00C06068"/>
    <w:rPr>
      <w:color w:val="0000FF"/>
      <w:u w:val="none"/>
    </w:rPr>
  </w:style>
  <w:style w:type="paragraph" w:customStyle="1" w:styleId="Bullet2G">
    <w:name w:val="_Bullet 2_G"/>
    <w:basedOn w:val="Normal"/>
    <w:rsid w:val="00C06068"/>
    <w:pPr>
      <w:numPr>
        <w:numId w:val="4"/>
      </w:numPr>
      <w:suppressAutoHyphens/>
      <w:spacing w:after="120" w:line="240" w:lineRule="atLeast"/>
      <w:ind w:right="1134"/>
      <w:jc w:val="both"/>
    </w:pPr>
    <w:rPr>
      <w:rFonts w:eastAsia="Times New Roman"/>
      <w:spacing w:val="0"/>
      <w:w w:val="100"/>
      <w:kern w:val="0"/>
      <w:szCs w:val="20"/>
      <w:lang w:val="en-GB"/>
    </w:rPr>
  </w:style>
  <w:style w:type="table" w:styleId="TableGrid">
    <w:name w:val="Table Grid"/>
    <w:basedOn w:val="TableNormal"/>
    <w:uiPriority w:val="59"/>
    <w:rsid w:val="00C06068"/>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C06068"/>
    <w:rPr>
      <w:color w:val="0000FF"/>
      <w:u w:val="none"/>
    </w:rPr>
  </w:style>
  <w:style w:type="numbering" w:customStyle="1" w:styleId="Aucuneliste1">
    <w:name w:val="Aucune liste1"/>
    <w:next w:val="NoList"/>
    <w:uiPriority w:val="99"/>
    <w:semiHidden/>
    <w:unhideWhenUsed/>
    <w:rsid w:val="00C06068"/>
  </w:style>
  <w:style w:type="character" w:customStyle="1" w:styleId="NoSpacingChar">
    <w:name w:val="No Spacing Char"/>
    <w:link w:val="NoSpacing"/>
    <w:uiPriority w:val="1"/>
    <w:locked/>
    <w:rsid w:val="00C06068"/>
    <w:rPr>
      <w:sz w:val="22"/>
      <w:szCs w:val="22"/>
      <w:lang w:val="en-US" w:eastAsia="en-US" w:bidi="ar-SA"/>
    </w:rPr>
  </w:style>
  <w:style w:type="paragraph" w:customStyle="1" w:styleId="Default">
    <w:name w:val="Default"/>
    <w:rsid w:val="00C06068"/>
    <w:pPr>
      <w:autoSpaceDE w:val="0"/>
      <w:autoSpaceDN w:val="0"/>
      <w:adjustRightInd w:val="0"/>
    </w:pPr>
    <w:rPr>
      <w:rFonts w:ascii="Arial" w:eastAsia="Times New Roman" w:hAnsi="Arial" w:cs="Arial"/>
      <w:color w:val="000000"/>
      <w:sz w:val="24"/>
      <w:szCs w:val="24"/>
      <w:lang w:val="fr-FR"/>
    </w:rPr>
  </w:style>
  <w:style w:type="paragraph" w:customStyle="1" w:styleId="OMSA">
    <w:name w:val="O&amp;M&amp;S&amp;A"/>
    <w:basedOn w:val="Normal"/>
    <w:rsid w:val="00C06068"/>
    <w:pPr>
      <w:widowControl w:val="0"/>
      <w:spacing w:line="240" w:lineRule="auto"/>
      <w:jc w:val="both"/>
    </w:pPr>
    <w:rPr>
      <w:rFonts w:ascii="Century Gothic" w:eastAsia="MS Mincho" w:hAnsi="Century Gothic"/>
      <w:b/>
      <w:color w:val="0000FF"/>
      <w:spacing w:val="0"/>
      <w:w w:val="100"/>
      <w:kern w:val="2"/>
      <w:sz w:val="28"/>
      <w:szCs w:val="28"/>
      <w:u w:val="single"/>
      <w:lang w:val="fr-FR" w:eastAsia="ja-JP"/>
    </w:rPr>
  </w:style>
  <w:style w:type="paragraph" w:customStyle="1" w:styleId="Marge">
    <w:name w:val="Marge"/>
    <w:basedOn w:val="Normal"/>
    <w:rsid w:val="00C06068"/>
    <w:pPr>
      <w:tabs>
        <w:tab w:val="left" w:pos="567"/>
      </w:tabs>
      <w:snapToGrid w:val="0"/>
      <w:spacing w:after="240" w:line="240" w:lineRule="auto"/>
      <w:jc w:val="both"/>
    </w:pPr>
    <w:rPr>
      <w:rFonts w:ascii="Arial" w:eastAsia="Times New Roman" w:hAnsi="Arial"/>
      <w:spacing w:val="0"/>
      <w:w w:val="100"/>
      <w:kern w:val="0"/>
      <w:sz w:val="22"/>
      <w:szCs w:val="24"/>
      <w:lang w:val="fr-FR"/>
    </w:rPr>
  </w:style>
  <w:style w:type="paragraph" w:styleId="NormalWeb">
    <w:name w:val="Normal (Web)"/>
    <w:basedOn w:val="Normal"/>
    <w:uiPriority w:val="99"/>
    <w:rsid w:val="00C06068"/>
    <w:pPr>
      <w:spacing w:before="100" w:beforeAutospacing="1" w:after="100" w:afterAutospacing="1" w:line="240" w:lineRule="auto"/>
    </w:pPr>
    <w:rPr>
      <w:rFonts w:ascii="Calibri" w:eastAsia="Times New Roman" w:hAnsi="Calibri"/>
      <w:spacing w:val="0"/>
      <w:w w:val="100"/>
      <w:kern w:val="0"/>
      <w:sz w:val="24"/>
      <w:szCs w:val="24"/>
      <w:lang w:val="fr-FR" w:eastAsia="fr-FR"/>
    </w:rPr>
  </w:style>
  <w:style w:type="paragraph" w:customStyle="1" w:styleId="Style6">
    <w:name w:val="Style6"/>
    <w:basedOn w:val="Normal"/>
    <w:uiPriority w:val="99"/>
    <w:rsid w:val="00C06068"/>
    <w:pPr>
      <w:widowControl w:val="0"/>
      <w:autoSpaceDE w:val="0"/>
      <w:autoSpaceDN w:val="0"/>
      <w:adjustRightInd w:val="0"/>
      <w:spacing w:line="292" w:lineRule="exact"/>
      <w:ind w:firstLine="725"/>
      <w:jc w:val="both"/>
    </w:pPr>
    <w:rPr>
      <w:rFonts w:ascii="Calibri" w:eastAsia="Times New Roman" w:hAnsi="Calibri"/>
      <w:spacing w:val="0"/>
      <w:w w:val="100"/>
      <w:kern w:val="0"/>
      <w:sz w:val="24"/>
      <w:szCs w:val="24"/>
      <w:lang w:val="fr-FR" w:eastAsia="fr-FR"/>
    </w:rPr>
  </w:style>
  <w:style w:type="paragraph" w:customStyle="1" w:styleId="Style9">
    <w:name w:val="Style9"/>
    <w:basedOn w:val="Normal"/>
    <w:uiPriority w:val="99"/>
    <w:rsid w:val="00C06068"/>
    <w:pPr>
      <w:widowControl w:val="0"/>
      <w:autoSpaceDE w:val="0"/>
      <w:autoSpaceDN w:val="0"/>
      <w:adjustRightInd w:val="0"/>
      <w:spacing w:line="293" w:lineRule="exact"/>
      <w:ind w:hanging="360"/>
    </w:pPr>
    <w:rPr>
      <w:rFonts w:ascii="Calibri" w:eastAsia="Times New Roman" w:hAnsi="Calibri"/>
      <w:spacing w:val="0"/>
      <w:w w:val="100"/>
      <w:kern w:val="0"/>
      <w:sz w:val="24"/>
      <w:szCs w:val="24"/>
      <w:lang w:val="fr-FR" w:eastAsia="fr-FR"/>
    </w:rPr>
  </w:style>
  <w:style w:type="character" w:customStyle="1" w:styleId="FontStyle26">
    <w:name w:val="Font Style26"/>
    <w:uiPriority w:val="99"/>
    <w:rsid w:val="00C06068"/>
    <w:rPr>
      <w:rFonts w:ascii="Calibri" w:hAnsi="Calibri" w:cs="Calibri"/>
      <w:b/>
      <w:bCs/>
      <w:sz w:val="24"/>
      <w:szCs w:val="24"/>
    </w:rPr>
  </w:style>
  <w:style w:type="character" w:customStyle="1" w:styleId="FontStyle27">
    <w:name w:val="Font Style27"/>
    <w:uiPriority w:val="99"/>
    <w:rsid w:val="00C06068"/>
    <w:rPr>
      <w:rFonts w:ascii="Calibri" w:hAnsi="Calibri" w:cs="Calibri"/>
      <w:sz w:val="24"/>
      <w:szCs w:val="24"/>
    </w:rPr>
  </w:style>
  <w:style w:type="table" w:styleId="LightList-Accent5">
    <w:name w:val="Light List Accent 5"/>
    <w:basedOn w:val="TableNormal"/>
    <w:uiPriority w:val="61"/>
    <w:rsid w:val="00C06068"/>
    <w:rPr>
      <w:rFonts w:eastAsia="Times New Roman"/>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rvts16">
    <w:name w:val="rvts16"/>
    <w:rsid w:val="00C06068"/>
    <w:rPr>
      <w:rFonts w:cs="Times New Roman"/>
    </w:rPr>
  </w:style>
  <w:style w:type="paragraph" w:customStyle="1" w:styleId="rvps3">
    <w:name w:val="rvps3"/>
    <w:basedOn w:val="Normal"/>
    <w:rsid w:val="00C06068"/>
    <w:pPr>
      <w:spacing w:before="100" w:beforeAutospacing="1" w:after="100" w:afterAutospacing="1" w:line="240" w:lineRule="auto"/>
    </w:pPr>
    <w:rPr>
      <w:rFonts w:ascii="Calibri" w:eastAsia="Times New Roman" w:hAnsi="Calibri"/>
      <w:spacing w:val="0"/>
      <w:w w:val="100"/>
      <w:kern w:val="0"/>
      <w:sz w:val="24"/>
      <w:szCs w:val="24"/>
      <w:lang w:val="fr-FR" w:eastAsia="fr-FR"/>
    </w:rPr>
  </w:style>
  <w:style w:type="paragraph" w:styleId="BodyTextIndent">
    <w:name w:val="Body Text Indent"/>
    <w:basedOn w:val="Normal"/>
    <w:link w:val="BodyTextIndentChar"/>
    <w:uiPriority w:val="99"/>
    <w:unhideWhenUsed/>
    <w:rsid w:val="00C06068"/>
    <w:pPr>
      <w:spacing w:after="120" w:line="240" w:lineRule="auto"/>
      <w:ind w:left="283"/>
    </w:pPr>
    <w:rPr>
      <w:rFonts w:eastAsia="SimSun"/>
      <w:spacing w:val="0"/>
      <w:w w:val="100"/>
      <w:kern w:val="0"/>
      <w:sz w:val="24"/>
      <w:szCs w:val="24"/>
      <w:lang/>
    </w:rPr>
  </w:style>
  <w:style w:type="character" w:customStyle="1" w:styleId="BodyTextIndentChar">
    <w:name w:val="Body Text Indent Char"/>
    <w:link w:val="BodyTextIndent"/>
    <w:uiPriority w:val="99"/>
    <w:rsid w:val="00C06068"/>
    <w:rPr>
      <w:rFonts w:ascii="Times New Roman" w:eastAsia="SimSun" w:hAnsi="Times New Roman"/>
      <w:sz w:val="24"/>
      <w:szCs w:val="24"/>
    </w:rPr>
  </w:style>
  <w:style w:type="character" w:customStyle="1" w:styleId="ListParagraphChar">
    <w:name w:val="List Paragraph Char"/>
    <w:link w:val="ListParagraph"/>
    <w:uiPriority w:val="34"/>
    <w:locked/>
    <w:rsid w:val="00C06068"/>
    <w:rPr>
      <w:rFonts w:ascii="Times New Roman" w:hAnsi="Times New Roman"/>
      <w:spacing w:val="4"/>
      <w:w w:val="103"/>
      <w:kern w:val="14"/>
      <w:szCs w:val="22"/>
      <w:lang w:val="en-US" w:eastAsia="en-US"/>
    </w:rPr>
  </w:style>
  <w:style w:type="paragraph" w:styleId="BodyText">
    <w:name w:val="Body Text"/>
    <w:basedOn w:val="Normal"/>
    <w:link w:val="BodyTextChar"/>
    <w:uiPriority w:val="99"/>
    <w:unhideWhenUsed/>
    <w:rsid w:val="00C06068"/>
    <w:pPr>
      <w:spacing w:before="60" w:line="220" w:lineRule="atLeast"/>
      <w:ind w:firstLine="709"/>
      <w:jc w:val="both"/>
    </w:pPr>
    <w:rPr>
      <w:rFonts w:ascii="Calibri" w:eastAsia="Times New Roman" w:hAnsi="Calibri"/>
      <w:spacing w:val="0"/>
      <w:w w:val="100"/>
      <w:kern w:val="0"/>
      <w:sz w:val="24"/>
      <w:lang/>
    </w:rPr>
  </w:style>
  <w:style w:type="character" w:customStyle="1" w:styleId="BodyTextChar">
    <w:name w:val="Body Text Char"/>
    <w:link w:val="BodyText"/>
    <w:uiPriority w:val="99"/>
    <w:rsid w:val="00C06068"/>
    <w:rPr>
      <w:rFonts w:eastAsia="Times New Roman"/>
      <w:sz w:val="24"/>
      <w:szCs w:val="22"/>
      <w:lang w:eastAsia="en-US"/>
    </w:rPr>
  </w:style>
  <w:style w:type="paragraph" w:styleId="Title">
    <w:name w:val="Title"/>
    <w:basedOn w:val="Normal"/>
    <w:link w:val="TitleChar"/>
    <w:uiPriority w:val="10"/>
    <w:qFormat/>
    <w:rsid w:val="00C06068"/>
    <w:pPr>
      <w:spacing w:line="240" w:lineRule="auto"/>
      <w:jc w:val="center"/>
    </w:pPr>
    <w:rPr>
      <w:rFonts w:ascii="Calibri" w:eastAsia="Times New Roman" w:hAnsi="Calibri"/>
      <w:spacing w:val="0"/>
      <w:w w:val="100"/>
      <w:kern w:val="0"/>
      <w:sz w:val="32"/>
      <w:szCs w:val="24"/>
      <w:lang/>
    </w:rPr>
  </w:style>
  <w:style w:type="character" w:customStyle="1" w:styleId="TitleChar">
    <w:name w:val="Title Char"/>
    <w:link w:val="Title"/>
    <w:uiPriority w:val="10"/>
    <w:rsid w:val="00C06068"/>
    <w:rPr>
      <w:rFonts w:eastAsia="Times New Roman"/>
      <w:sz w:val="32"/>
      <w:szCs w:val="24"/>
    </w:rPr>
  </w:style>
  <w:style w:type="paragraph" w:customStyle="1" w:styleId="yiv1946918489msolistparagraph">
    <w:name w:val="yiv1946918489msolistparagraph"/>
    <w:basedOn w:val="Normal"/>
    <w:rsid w:val="00C06068"/>
    <w:pPr>
      <w:spacing w:before="100" w:beforeAutospacing="1" w:after="100" w:afterAutospacing="1" w:line="240" w:lineRule="auto"/>
    </w:pPr>
    <w:rPr>
      <w:rFonts w:ascii="Calibri" w:eastAsia="Times New Roman" w:hAnsi="Calibri"/>
      <w:spacing w:val="0"/>
      <w:w w:val="100"/>
      <w:kern w:val="0"/>
      <w:sz w:val="24"/>
      <w:szCs w:val="24"/>
      <w:lang w:val="fr-FR" w:eastAsia="fr-FR"/>
    </w:rPr>
  </w:style>
  <w:style w:type="paragraph" w:styleId="Caption">
    <w:name w:val="caption"/>
    <w:aliases w:val="Caption Char Char,Légende Car Car Car,Légende Car1 Car1 Car Car Car Car Car Car,Légende Car Car Car1 Car Car Car Car Car Car,Légende Car1 Car Car Car Car Car Car Car Car Car,Légende Car Car,Légende Car Car Car Car Car Car,Légende Car"/>
    <w:basedOn w:val="Normal"/>
    <w:next w:val="Normal"/>
    <w:link w:val="CaptionChar"/>
    <w:uiPriority w:val="35"/>
    <w:qFormat/>
    <w:rsid w:val="00C06068"/>
    <w:pPr>
      <w:spacing w:before="120" w:after="120" w:line="240" w:lineRule="auto"/>
      <w:jc w:val="center"/>
    </w:pPr>
    <w:rPr>
      <w:rFonts w:ascii="Calibri" w:eastAsia="Times New Roman" w:hAnsi="Calibri"/>
      <w:b/>
      <w:bCs/>
      <w:spacing w:val="0"/>
      <w:w w:val="100"/>
      <w:kern w:val="0"/>
      <w:sz w:val="24"/>
      <w:szCs w:val="24"/>
      <w:lang/>
    </w:rPr>
  </w:style>
  <w:style w:type="character" w:customStyle="1" w:styleId="CaptionChar">
    <w:name w:val="Caption Char"/>
    <w:aliases w:val="Caption Char Char Char,Légende Car Car Car Char,Légende Car1 Car1 Car Car Car Car Car Car Char,Légende Car Car Car1 Car Car Car Car Car Car Char,Légende Car1 Car Car Car Car Car Car Car Car Car Char,Légende Car Car Char,Légende Car Char"/>
    <w:link w:val="Caption"/>
    <w:uiPriority w:val="35"/>
    <w:locked/>
    <w:rsid w:val="00C06068"/>
    <w:rPr>
      <w:rFonts w:eastAsia="Times New Roman"/>
      <w:b/>
      <w:bCs/>
      <w:sz w:val="24"/>
      <w:szCs w:val="24"/>
    </w:rPr>
  </w:style>
  <w:style w:type="paragraph" w:customStyle="1" w:styleId="Style10">
    <w:name w:val="Style10"/>
    <w:basedOn w:val="Normal"/>
    <w:uiPriority w:val="99"/>
    <w:rsid w:val="00C06068"/>
    <w:pPr>
      <w:widowControl w:val="0"/>
      <w:autoSpaceDE w:val="0"/>
      <w:autoSpaceDN w:val="0"/>
      <w:adjustRightInd w:val="0"/>
      <w:spacing w:line="300" w:lineRule="exact"/>
      <w:ind w:firstLine="725"/>
    </w:pPr>
    <w:rPr>
      <w:rFonts w:ascii="Calibri" w:eastAsia="Times New Roman" w:hAnsi="Calibri"/>
      <w:spacing w:val="0"/>
      <w:w w:val="100"/>
      <w:kern w:val="0"/>
      <w:sz w:val="24"/>
      <w:szCs w:val="24"/>
      <w:lang w:val="fr-FR" w:eastAsia="fr-FR"/>
    </w:rPr>
  </w:style>
  <w:style w:type="paragraph" w:customStyle="1" w:styleId="xl75">
    <w:name w:val="xl75"/>
    <w:basedOn w:val="Normal"/>
    <w:rsid w:val="00C06068"/>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ahoma" w:eastAsia="Times New Roman" w:hAnsi="Tahoma" w:cs="Tahoma"/>
      <w:b/>
      <w:bCs/>
      <w:color w:val="000000"/>
      <w:spacing w:val="0"/>
      <w:w w:val="100"/>
      <w:kern w:val="0"/>
      <w:szCs w:val="20"/>
      <w:lang w:val="fr-FR" w:eastAsia="fr-FR"/>
    </w:rPr>
  </w:style>
  <w:style w:type="paragraph" w:styleId="TOC1">
    <w:name w:val="toc 1"/>
    <w:basedOn w:val="Normal"/>
    <w:next w:val="Normal"/>
    <w:autoRedefine/>
    <w:uiPriority w:val="39"/>
    <w:unhideWhenUsed/>
    <w:rsid w:val="00C06068"/>
    <w:pPr>
      <w:spacing w:line="240" w:lineRule="auto"/>
    </w:pPr>
    <w:rPr>
      <w:rFonts w:eastAsia="Times New Roman"/>
      <w:spacing w:val="0"/>
      <w:w w:val="100"/>
      <w:kern w:val="0"/>
      <w:sz w:val="24"/>
      <w:szCs w:val="24"/>
      <w:lang w:val="fr-FR" w:eastAsia="fr-FR"/>
    </w:rPr>
  </w:style>
  <w:style w:type="paragraph" w:styleId="TOC3">
    <w:name w:val="toc 3"/>
    <w:basedOn w:val="Normal"/>
    <w:next w:val="Normal"/>
    <w:autoRedefine/>
    <w:uiPriority w:val="39"/>
    <w:unhideWhenUsed/>
    <w:rsid w:val="00C06068"/>
    <w:pPr>
      <w:spacing w:line="240" w:lineRule="auto"/>
      <w:ind w:left="480"/>
    </w:pPr>
    <w:rPr>
      <w:rFonts w:eastAsia="Times New Roman"/>
      <w:spacing w:val="0"/>
      <w:w w:val="100"/>
      <w:kern w:val="0"/>
      <w:sz w:val="24"/>
      <w:szCs w:val="24"/>
      <w:lang w:val="fr-FR" w:eastAsia="fr-FR"/>
    </w:rPr>
  </w:style>
  <w:style w:type="paragraph" w:styleId="TableofFigures">
    <w:name w:val="table of figures"/>
    <w:basedOn w:val="Normal"/>
    <w:next w:val="Normal"/>
    <w:uiPriority w:val="99"/>
    <w:unhideWhenUsed/>
    <w:rsid w:val="00C06068"/>
    <w:pPr>
      <w:spacing w:line="240" w:lineRule="auto"/>
    </w:pPr>
    <w:rPr>
      <w:rFonts w:eastAsia="Times New Roman"/>
      <w:spacing w:val="0"/>
      <w:w w:val="100"/>
      <w:kern w:val="0"/>
      <w:sz w:val="24"/>
      <w:szCs w:val="24"/>
      <w:lang w:val="fr-FR" w:eastAsia="fr-FR"/>
    </w:rPr>
  </w:style>
  <w:style w:type="paragraph" w:styleId="TOC2">
    <w:name w:val="toc 2"/>
    <w:basedOn w:val="Normal"/>
    <w:next w:val="Normal"/>
    <w:autoRedefine/>
    <w:uiPriority w:val="39"/>
    <w:unhideWhenUsed/>
    <w:rsid w:val="00C06068"/>
    <w:pPr>
      <w:spacing w:after="100" w:line="276" w:lineRule="auto"/>
      <w:ind w:left="220"/>
    </w:pPr>
    <w:rPr>
      <w:rFonts w:ascii="Calibri" w:eastAsia="Times New Roman" w:hAnsi="Calibri"/>
      <w:spacing w:val="0"/>
      <w:w w:val="100"/>
      <w:kern w:val="0"/>
      <w:sz w:val="22"/>
      <w:lang w:val="fr-FR"/>
    </w:rPr>
  </w:style>
  <w:style w:type="character" w:customStyle="1" w:styleId="st">
    <w:name w:val="st"/>
    <w:rsid w:val="00C06068"/>
  </w:style>
  <w:style w:type="character" w:styleId="Emphasis">
    <w:name w:val="Emphasis"/>
    <w:uiPriority w:val="20"/>
    <w:qFormat/>
    <w:rsid w:val="00C06068"/>
    <w:rPr>
      <w:i/>
      <w:iCs/>
    </w:rPr>
  </w:style>
  <w:style w:type="numbering" w:customStyle="1" w:styleId="Aucuneliste11">
    <w:name w:val="Aucune liste11"/>
    <w:next w:val="NoList"/>
    <w:uiPriority w:val="99"/>
    <w:semiHidden/>
    <w:unhideWhenUsed/>
    <w:rsid w:val="00C06068"/>
  </w:style>
  <w:style w:type="paragraph" w:styleId="BodyText2">
    <w:name w:val="Body Text 2"/>
    <w:basedOn w:val="Normal"/>
    <w:link w:val="BodyText2Char"/>
    <w:uiPriority w:val="99"/>
    <w:rsid w:val="00C06068"/>
    <w:pPr>
      <w:overflowPunct w:val="0"/>
      <w:autoSpaceDE w:val="0"/>
      <w:autoSpaceDN w:val="0"/>
      <w:adjustRightInd w:val="0"/>
      <w:spacing w:line="240" w:lineRule="auto"/>
      <w:jc w:val="both"/>
      <w:textAlignment w:val="baseline"/>
    </w:pPr>
    <w:rPr>
      <w:rFonts w:eastAsia="SimSun"/>
      <w:spacing w:val="0"/>
      <w:w w:val="100"/>
      <w:kern w:val="0"/>
      <w:szCs w:val="20"/>
      <w:lang/>
    </w:rPr>
  </w:style>
  <w:style w:type="character" w:customStyle="1" w:styleId="BodyText2Char">
    <w:name w:val="Body Text 2 Char"/>
    <w:link w:val="BodyText2"/>
    <w:uiPriority w:val="99"/>
    <w:rsid w:val="00C06068"/>
    <w:rPr>
      <w:rFonts w:ascii="Times New Roman" w:eastAsia="SimSun" w:hAnsi="Times New Roman"/>
    </w:rPr>
  </w:style>
  <w:style w:type="paragraph" w:styleId="BodyText3">
    <w:name w:val="Body Text 3"/>
    <w:basedOn w:val="Normal"/>
    <w:link w:val="BodyText3Char"/>
    <w:uiPriority w:val="99"/>
    <w:rsid w:val="00C06068"/>
    <w:pPr>
      <w:overflowPunct w:val="0"/>
      <w:autoSpaceDE w:val="0"/>
      <w:autoSpaceDN w:val="0"/>
      <w:adjustRightInd w:val="0"/>
      <w:spacing w:before="4" w:after="4" w:line="240" w:lineRule="auto"/>
      <w:jc w:val="both"/>
      <w:textAlignment w:val="baseline"/>
    </w:pPr>
    <w:rPr>
      <w:rFonts w:eastAsia="SimSun"/>
      <w:color w:val="000000"/>
      <w:spacing w:val="0"/>
      <w:w w:val="100"/>
      <w:kern w:val="0"/>
      <w:szCs w:val="20"/>
      <w:lang/>
    </w:rPr>
  </w:style>
  <w:style w:type="character" w:customStyle="1" w:styleId="BodyText3Char">
    <w:name w:val="Body Text 3 Char"/>
    <w:link w:val="BodyText3"/>
    <w:uiPriority w:val="99"/>
    <w:rsid w:val="00C06068"/>
    <w:rPr>
      <w:rFonts w:ascii="Times New Roman" w:eastAsia="SimSun" w:hAnsi="Times New Roman"/>
      <w:color w:val="000000"/>
    </w:rPr>
  </w:style>
  <w:style w:type="paragraph" w:styleId="BodyTextIndent2">
    <w:name w:val="Body Text Indent 2"/>
    <w:basedOn w:val="Normal"/>
    <w:link w:val="BodyTextIndent2Char"/>
    <w:uiPriority w:val="99"/>
    <w:rsid w:val="00C06068"/>
    <w:pPr>
      <w:overflowPunct w:val="0"/>
      <w:autoSpaceDE w:val="0"/>
      <w:autoSpaceDN w:val="0"/>
      <w:adjustRightInd w:val="0"/>
      <w:spacing w:line="240" w:lineRule="auto"/>
      <w:ind w:hanging="11"/>
      <w:jc w:val="both"/>
      <w:textAlignment w:val="baseline"/>
    </w:pPr>
    <w:rPr>
      <w:rFonts w:eastAsia="SimSun"/>
      <w:spacing w:val="0"/>
      <w:w w:val="100"/>
      <w:kern w:val="0"/>
      <w:szCs w:val="20"/>
      <w:lang/>
    </w:rPr>
  </w:style>
  <w:style w:type="character" w:customStyle="1" w:styleId="BodyTextIndent2Char">
    <w:name w:val="Body Text Indent 2 Char"/>
    <w:link w:val="BodyTextIndent2"/>
    <w:uiPriority w:val="99"/>
    <w:rsid w:val="00C06068"/>
    <w:rPr>
      <w:rFonts w:ascii="Times New Roman" w:eastAsia="SimSun" w:hAnsi="Times New Roman"/>
    </w:rPr>
  </w:style>
  <w:style w:type="paragraph" w:styleId="BodyTextIndent3">
    <w:name w:val="Body Text Indent 3"/>
    <w:basedOn w:val="Normal"/>
    <w:link w:val="BodyTextIndent3Char"/>
    <w:uiPriority w:val="99"/>
    <w:rsid w:val="00C06068"/>
    <w:pPr>
      <w:overflowPunct w:val="0"/>
      <w:autoSpaceDE w:val="0"/>
      <w:autoSpaceDN w:val="0"/>
      <w:adjustRightInd w:val="0"/>
      <w:spacing w:line="240" w:lineRule="auto"/>
      <w:ind w:left="312" w:hanging="312"/>
      <w:jc w:val="both"/>
      <w:textAlignment w:val="baseline"/>
    </w:pPr>
    <w:rPr>
      <w:rFonts w:eastAsia="SimSun"/>
      <w:spacing w:val="0"/>
      <w:w w:val="100"/>
      <w:kern w:val="0"/>
      <w:szCs w:val="20"/>
      <w:lang/>
    </w:rPr>
  </w:style>
  <w:style w:type="character" w:customStyle="1" w:styleId="BodyTextIndent3Char">
    <w:name w:val="Body Text Indent 3 Char"/>
    <w:link w:val="BodyTextIndent3"/>
    <w:uiPriority w:val="99"/>
    <w:rsid w:val="00C06068"/>
    <w:rPr>
      <w:rFonts w:ascii="Times New Roman" w:eastAsia="SimSun" w:hAnsi="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madamicrofinance.m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25647</Words>
  <Characters>146189</Characters>
  <Application>Microsoft Office Outlook</Application>
  <DocSecurity>4</DocSecurity>
  <Lines>1218</Lines>
  <Paragraphs>342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171494</CharactersWithSpaces>
  <SharedDoc>false</SharedDoc>
  <HLinks>
    <vt:vector size="6" baseType="variant">
      <vt:variant>
        <vt:i4>6357029</vt:i4>
      </vt:variant>
      <vt:variant>
        <vt:i4>0</vt:i4>
      </vt:variant>
      <vt:variant>
        <vt:i4>0</vt:i4>
      </vt:variant>
      <vt:variant>
        <vt:i4>5</vt:i4>
      </vt:variant>
      <vt:variant>
        <vt:lpwstr>http://www.madamicrofinance.mg/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Estelle Gagnon</dc:creator>
  <cp:keywords/>
  <dc:description/>
  <cp:lastModifiedBy>Test</cp:lastModifiedBy>
  <cp:revision>7</cp:revision>
  <cp:lastPrinted>2014-05-22T22:41:00Z</cp:lastPrinted>
  <dcterms:created xsi:type="dcterms:W3CDTF">2014-05-22T22:37:00Z</dcterms:created>
  <dcterms:modified xsi:type="dcterms:W3CDTF">2014-05-22T22:58:00Z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1403052F</vt:lpwstr>
  </property>
  <property fmtid="{D5CDD505-2E9C-101B-9397-08002B2CF9AE}" pid="3" name="ODSRefJobNo">
    <vt:lpwstr>1429601F</vt:lpwstr>
  </property>
  <property fmtid="{D5CDD505-2E9C-101B-9397-08002B2CF9AE}" pid="4" name="Symbol1">
    <vt:lpwstr>CEDAW/C/MDG/6-7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avril 2014</vt:lpwstr>
  </property>
  <property fmtid="{D5CDD505-2E9C-101B-9397-08002B2CF9AE}" pid="9" name="Original">
    <vt:lpwstr>français</vt:lpwstr>
  </property>
  <property fmtid="{D5CDD505-2E9C-101B-9397-08002B2CF9AE}" pid="10" name="Release Date">
    <vt:lpwstr>230514</vt:lpwstr>
  </property>
  <property fmtid="{D5CDD505-2E9C-101B-9397-08002B2CF9AE}" pid="11" name="Comment">
    <vt:lpwstr/>
  </property>
  <property fmtid="{D5CDD505-2E9C-101B-9397-08002B2CF9AE}" pid="12" name="DraftPages">
    <vt:lpwstr> 83</vt:lpwstr>
  </property>
  <property fmtid="{D5CDD505-2E9C-101B-9397-08002B2CF9AE}" pid="13" name="Operator">
    <vt:lpwstr>CGE/ega</vt:lpwstr>
  </property>
</Properties>
</file>