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0F38B7" w:rsidRPr="000F38B7" w:rsidTr="00521A41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0F38B7" w:rsidRPr="000F38B7" w:rsidRDefault="000F38B7" w:rsidP="000F38B7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F38B7" w:rsidRPr="000F38B7" w:rsidRDefault="000F38B7" w:rsidP="000F38B7">
            <w:pPr>
              <w:spacing w:after="80" w:line="300" w:lineRule="exact"/>
              <w:rPr>
                <w:sz w:val="28"/>
              </w:rPr>
            </w:pPr>
            <w:r w:rsidRPr="000F38B7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0F38B7" w:rsidRPr="000F38B7" w:rsidRDefault="00F53F13" w:rsidP="00F53F13">
            <w:pPr>
              <w:jc w:val="right"/>
            </w:pPr>
            <w:r w:rsidRPr="00F53F13">
              <w:rPr>
                <w:sz w:val="40"/>
              </w:rPr>
              <w:t>CEDAW</w:t>
            </w:r>
            <w:r>
              <w:t>/C/MDG/CO/5/Add.2</w:t>
            </w:r>
          </w:p>
        </w:tc>
      </w:tr>
      <w:tr w:rsidR="000F38B7" w:rsidRPr="000F38B7" w:rsidTr="000F38B7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0F38B7" w:rsidRPr="000F38B7" w:rsidRDefault="000F38B7" w:rsidP="000F38B7">
            <w:pPr>
              <w:spacing w:before="120"/>
              <w:jc w:val="center"/>
            </w:pPr>
            <w:r w:rsidRPr="000F38B7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F38B7" w:rsidRPr="000F38B7" w:rsidRDefault="000F38B7" w:rsidP="000F38B7">
            <w:pPr>
              <w:spacing w:before="120" w:line="380" w:lineRule="exact"/>
              <w:rPr>
                <w:b/>
                <w:sz w:val="34"/>
                <w:szCs w:val="34"/>
              </w:rPr>
            </w:pPr>
            <w:r w:rsidRPr="000F38B7">
              <w:rPr>
                <w:b/>
                <w:sz w:val="34"/>
                <w:szCs w:val="34"/>
              </w:rPr>
              <w:t>Convention sur l</w:t>
            </w:r>
            <w:r w:rsidR="009E1BA1">
              <w:rPr>
                <w:b/>
                <w:sz w:val="34"/>
                <w:szCs w:val="34"/>
              </w:rPr>
              <w:t>’</w:t>
            </w:r>
            <w:r w:rsidRPr="000F38B7">
              <w:rPr>
                <w:b/>
                <w:sz w:val="34"/>
                <w:szCs w:val="34"/>
              </w:rPr>
              <w:t>élimination</w:t>
            </w:r>
            <w:r>
              <w:rPr>
                <w:b/>
                <w:sz w:val="34"/>
                <w:szCs w:val="34"/>
              </w:rPr>
              <w:br/>
            </w:r>
            <w:r w:rsidRPr="000F38B7">
              <w:rPr>
                <w:b/>
                <w:sz w:val="34"/>
                <w:szCs w:val="34"/>
              </w:rPr>
              <w:t>de toutes les formes</w:t>
            </w:r>
            <w:r>
              <w:rPr>
                <w:b/>
                <w:sz w:val="34"/>
                <w:szCs w:val="34"/>
              </w:rPr>
              <w:br/>
            </w:r>
            <w:r w:rsidRPr="000F38B7">
              <w:rPr>
                <w:b/>
                <w:sz w:val="34"/>
                <w:szCs w:val="34"/>
              </w:rPr>
              <w:t>de discrimination</w:t>
            </w:r>
            <w:r>
              <w:rPr>
                <w:b/>
                <w:sz w:val="34"/>
                <w:szCs w:val="34"/>
              </w:rPr>
              <w:t xml:space="preserve"> </w:t>
            </w:r>
            <w:r w:rsidRPr="000F38B7">
              <w:rPr>
                <w:b/>
                <w:sz w:val="34"/>
                <w:szCs w:val="34"/>
              </w:rPr>
              <w:t>à l</w:t>
            </w:r>
            <w:r w:rsidR="009E1BA1">
              <w:rPr>
                <w:b/>
                <w:sz w:val="34"/>
                <w:szCs w:val="34"/>
              </w:rPr>
              <w:t>’</w:t>
            </w:r>
            <w:r w:rsidRPr="000F38B7">
              <w:rPr>
                <w:b/>
                <w:sz w:val="34"/>
                <w:szCs w:val="34"/>
              </w:rPr>
              <w:t>égard</w:t>
            </w:r>
            <w:r>
              <w:rPr>
                <w:b/>
                <w:sz w:val="34"/>
                <w:szCs w:val="34"/>
              </w:rPr>
              <w:br/>
            </w:r>
            <w:r w:rsidRPr="000F38B7">
              <w:rPr>
                <w:b/>
                <w:sz w:val="34"/>
                <w:szCs w:val="34"/>
              </w:rPr>
              <w:t>des femmes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53F13" w:rsidRDefault="00F53F13" w:rsidP="000F38B7">
            <w:pPr>
              <w:spacing w:before="240"/>
            </w:pPr>
            <w:r>
              <w:t>Distr. générale</w:t>
            </w:r>
          </w:p>
          <w:p w:rsidR="00DC160A" w:rsidRDefault="00F53F13" w:rsidP="00F53F13">
            <w:pPr>
              <w:spacing w:line="240" w:lineRule="exact"/>
            </w:pPr>
            <w:r>
              <w:t>13 décembre 2011</w:t>
            </w:r>
          </w:p>
          <w:p w:rsidR="009E1BA1" w:rsidRDefault="009E1BA1" w:rsidP="00F53F13">
            <w:pPr>
              <w:spacing w:line="240" w:lineRule="exact"/>
            </w:pPr>
          </w:p>
          <w:p w:rsidR="000F38B7" w:rsidRPr="000F38B7" w:rsidRDefault="00F53F13" w:rsidP="00F53F13">
            <w:pPr>
              <w:spacing w:line="240" w:lineRule="exact"/>
            </w:pPr>
            <w:r>
              <w:t>Original: français</w:t>
            </w:r>
          </w:p>
        </w:tc>
      </w:tr>
    </w:tbl>
    <w:p w:rsidR="00521A41" w:rsidRPr="00C577A3" w:rsidRDefault="00521A41" w:rsidP="00521A41">
      <w:pPr>
        <w:spacing w:before="120"/>
        <w:rPr>
          <w:b/>
          <w:sz w:val="24"/>
          <w:szCs w:val="24"/>
          <w:lang w:val="fr-FR"/>
        </w:rPr>
      </w:pPr>
      <w:r w:rsidRPr="00C577A3">
        <w:rPr>
          <w:b/>
          <w:sz w:val="24"/>
          <w:szCs w:val="24"/>
          <w:lang w:val="fr-FR"/>
        </w:rPr>
        <w:t>Comité pour l</w:t>
      </w:r>
      <w:r w:rsidR="009E1BA1">
        <w:rPr>
          <w:b/>
          <w:sz w:val="24"/>
          <w:szCs w:val="24"/>
          <w:lang w:val="fr-FR"/>
        </w:rPr>
        <w:t>’</w:t>
      </w:r>
      <w:r w:rsidRPr="00C577A3">
        <w:rPr>
          <w:b/>
          <w:sz w:val="24"/>
          <w:szCs w:val="24"/>
          <w:lang w:val="fr-FR"/>
        </w:rPr>
        <w:t>é</w:t>
      </w:r>
      <w:r w:rsidR="00C577A3" w:rsidRPr="00C577A3">
        <w:rPr>
          <w:b/>
          <w:sz w:val="24"/>
          <w:szCs w:val="24"/>
          <w:lang w:val="fr-FR"/>
        </w:rPr>
        <w:t>limination de la discrimination</w:t>
      </w:r>
      <w:r w:rsidR="00C577A3" w:rsidRPr="00C577A3">
        <w:rPr>
          <w:b/>
          <w:sz w:val="24"/>
          <w:szCs w:val="24"/>
          <w:lang w:val="fr-FR"/>
        </w:rPr>
        <w:br/>
      </w:r>
      <w:r w:rsidRPr="00C577A3">
        <w:rPr>
          <w:b/>
          <w:sz w:val="24"/>
          <w:szCs w:val="24"/>
          <w:lang w:val="fr-FR"/>
        </w:rPr>
        <w:t>à l</w:t>
      </w:r>
      <w:r w:rsidR="009E1BA1">
        <w:rPr>
          <w:b/>
          <w:sz w:val="24"/>
          <w:szCs w:val="24"/>
          <w:lang w:val="fr-FR"/>
        </w:rPr>
        <w:t>’</w:t>
      </w:r>
      <w:r w:rsidRPr="00C577A3">
        <w:rPr>
          <w:b/>
          <w:sz w:val="24"/>
          <w:szCs w:val="24"/>
          <w:lang w:val="fr-FR"/>
        </w:rPr>
        <w:t>égard des femmes</w:t>
      </w:r>
    </w:p>
    <w:p w:rsidR="00521A41" w:rsidRPr="00E54CB0" w:rsidRDefault="00521A41" w:rsidP="00C577A3">
      <w:pPr>
        <w:pStyle w:val="H23"/>
        <w:ind w:right="1260"/>
        <w:rPr>
          <w:lang w:val="en-US"/>
        </w:rPr>
      </w:pPr>
      <w:r w:rsidRPr="00E54CB0">
        <w:rPr>
          <w:lang w:val="en-US"/>
        </w:rPr>
        <w:t>Cinquante et unième session</w:t>
      </w:r>
    </w:p>
    <w:p w:rsidR="00521A41" w:rsidRPr="00AB0013" w:rsidRDefault="00521A41" w:rsidP="00C577A3">
      <w:pPr>
        <w:pStyle w:val="H23"/>
        <w:keepNext w:val="0"/>
        <w:ind w:right="1260"/>
        <w:rPr>
          <w:b w:val="0"/>
          <w:lang w:val="en-US"/>
        </w:rPr>
      </w:pPr>
      <w:r w:rsidRPr="00AB0013">
        <w:rPr>
          <w:b w:val="0"/>
          <w:lang w:val="en-US"/>
        </w:rPr>
        <w:t>13 février-2 mars 2012</w:t>
      </w:r>
    </w:p>
    <w:p w:rsidR="00521A41" w:rsidRDefault="00AB0013" w:rsidP="00AB0013">
      <w:pPr>
        <w:pStyle w:val="HChG"/>
      </w:pPr>
      <w:r>
        <w:tab/>
      </w:r>
      <w:r>
        <w:tab/>
      </w:r>
      <w:r w:rsidR="00521A41">
        <w:t>Observations finales du Comité pour l</w:t>
      </w:r>
      <w:r w:rsidR="009E1BA1">
        <w:t>’</w:t>
      </w:r>
      <w:r w:rsidR="00521A41">
        <w:t>élimination de la</w:t>
      </w:r>
      <w:r>
        <w:t> </w:t>
      </w:r>
      <w:r w:rsidR="00521A41">
        <w:t>discrimination à l</w:t>
      </w:r>
      <w:r w:rsidR="009E1BA1">
        <w:t>’</w:t>
      </w:r>
      <w:r w:rsidR="00521A41">
        <w:t>égard des femmes: Madagascar</w:t>
      </w:r>
    </w:p>
    <w:p w:rsidR="00521A41" w:rsidRDefault="00AB0013" w:rsidP="00C577A3">
      <w:pPr>
        <w:pStyle w:val="H23"/>
        <w:keepNext w:val="0"/>
      </w:pPr>
      <w:r>
        <w:tab/>
      </w:r>
      <w:r>
        <w:tab/>
      </w:r>
      <w:r w:rsidR="00521A41">
        <w:t>Additif</w:t>
      </w:r>
    </w:p>
    <w:p w:rsidR="001C6663" w:rsidRDefault="00AB0013" w:rsidP="00AB0013">
      <w:pPr>
        <w:pStyle w:val="HChG"/>
      </w:pPr>
      <w:r>
        <w:tab/>
      </w:r>
      <w:r>
        <w:tab/>
      </w:r>
      <w:r w:rsidR="00521A41">
        <w:t>Réponses de Madagascar aux recommandations de suivi formulées dans les observations finales du Comité consécutives à l</w:t>
      </w:r>
      <w:r w:rsidR="009E1BA1">
        <w:t>’</w:t>
      </w:r>
      <w:r w:rsidR="00521A41">
        <w:t xml:space="preserve">examen du </w:t>
      </w:r>
      <w:r w:rsidR="00225892">
        <w:t xml:space="preserve">cinquième rapport périodique </w:t>
      </w:r>
      <w:r w:rsidR="00225892" w:rsidRPr="00225892">
        <w:t>de</w:t>
      </w:r>
      <w:r w:rsidR="00225892">
        <w:t> </w:t>
      </w:r>
      <w:r w:rsidR="00521A41" w:rsidRPr="00225892">
        <w:t>l</w:t>
      </w:r>
      <w:r w:rsidR="009E1BA1">
        <w:t>’</w:t>
      </w:r>
      <w:r w:rsidR="00521A41" w:rsidRPr="00225892">
        <w:t>État</w:t>
      </w:r>
      <w:r w:rsidR="00521A41">
        <w:t xml:space="preserve"> partie (CEDAW/C/MDG/CO/5)</w:t>
      </w:r>
    </w:p>
    <w:p w:rsidR="00C577A3" w:rsidRDefault="00C577A3" w:rsidP="00C577A3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Réponse au paragraphe 19 des observations finales de l</w:t>
      </w:r>
      <w:r w:rsidR="009E1BA1">
        <w:rPr>
          <w:lang w:val="fr-FR"/>
        </w:rPr>
        <w:t>’</w:t>
      </w:r>
      <w:r>
        <w:rPr>
          <w:lang w:val="fr-FR"/>
        </w:rPr>
        <w:t>État partie</w:t>
      </w:r>
    </w:p>
    <w:p w:rsidR="00225892" w:rsidRPr="00DB7719" w:rsidRDefault="00225892" w:rsidP="00C577A3">
      <w:pPr>
        <w:pStyle w:val="SingleTxtG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</w:r>
      <w:r w:rsidRPr="00DB7719">
        <w:rPr>
          <w:lang w:val="fr-FR"/>
        </w:rPr>
        <w:t>Le Gouvernement malgache, p</w:t>
      </w:r>
      <w:r w:rsidR="00C577A3">
        <w:rPr>
          <w:lang w:val="fr-FR"/>
        </w:rPr>
        <w:t>ar le biais du Ministère de la j</w:t>
      </w:r>
      <w:r w:rsidRPr="00DB7719">
        <w:rPr>
          <w:lang w:val="fr-FR"/>
        </w:rPr>
        <w:t>ustice, a pris des mesures qui sont à la fois à titre de prévention et de protection des femmes et des filles contre les violences.</w:t>
      </w:r>
    </w:p>
    <w:p w:rsidR="00225892" w:rsidRPr="00DB7719" w:rsidRDefault="00225892" w:rsidP="00225892">
      <w:pPr>
        <w:pStyle w:val="SingleTxtG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</w:r>
      <w:r w:rsidRPr="00DB7719">
        <w:rPr>
          <w:lang w:val="fr-FR"/>
        </w:rPr>
        <w:t>Parmi ces mesures, on peut citer la production et la diffusion de film</w:t>
      </w:r>
      <w:r>
        <w:rPr>
          <w:lang w:val="fr-FR"/>
        </w:rPr>
        <w:t>s</w:t>
      </w:r>
      <w:r w:rsidRPr="00DB7719">
        <w:rPr>
          <w:lang w:val="fr-FR"/>
        </w:rPr>
        <w:t xml:space="preserve"> éducatif</w:t>
      </w:r>
      <w:r>
        <w:rPr>
          <w:lang w:val="fr-FR"/>
        </w:rPr>
        <w:t>s</w:t>
      </w:r>
      <w:r w:rsidRPr="00DB7719">
        <w:rPr>
          <w:lang w:val="fr-FR"/>
        </w:rPr>
        <w:t xml:space="preserve"> et la vulgarisation des textes déjà applicables, ainsi que l</w:t>
      </w:r>
      <w:r w:rsidR="009E1BA1">
        <w:rPr>
          <w:lang w:val="fr-FR"/>
        </w:rPr>
        <w:t>’</w:t>
      </w:r>
      <w:r w:rsidRPr="00DB7719">
        <w:rPr>
          <w:lang w:val="fr-FR"/>
        </w:rPr>
        <w:t>élaboration de supports de sensibilisation.</w:t>
      </w:r>
    </w:p>
    <w:p w:rsidR="00225892" w:rsidRPr="00DB7719" w:rsidRDefault="00225892" w:rsidP="00225892">
      <w:pPr>
        <w:pStyle w:val="SingleTxtG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  <w:t>L</w:t>
      </w:r>
      <w:r w:rsidRPr="00DB7719">
        <w:rPr>
          <w:lang w:val="fr-FR"/>
        </w:rPr>
        <w:t>e support audiovisuel fait apparaître les différentes formes de traite des pers</w:t>
      </w:r>
      <w:r>
        <w:rPr>
          <w:lang w:val="fr-FR"/>
        </w:rPr>
        <w:t>onnes et, plus particulièrement</w:t>
      </w:r>
      <w:r w:rsidRPr="00DB7719">
        <w:rPr>
          <w:lang w:val="fr-FR"/>
        </w:rPr>
        <w:t>, des femmes et des enfants. Le</w:t>
      </w:r>
      <w:r>
        <w:rPr>
          <w:lang w:val="fr-FR"/>
        </w:rPr>
        <w:t>s</w:t>
      </w:r>
      <w:r w:rsidRPr="00DB7719">
        <w:rPr>
          <w:lang w:val="fr-FR"/>
        </w:rPr>
        <w:t xml:space="preserve"> film</w:t>
      </w:r>
      <w:r>
        <w:rPr>
          <w:lang w:val="fr-FR"/>
        </w:rPr>
        <w:t>s</w:t>
      </w:r>
      <w:r w:rsidRPr="00DB7719">
        <w:rPr>
          <w:lang w:val="fr-FR"/>
        </w:rPr>
        <w:t xml:space="preserve"> éducatif</w:t>
      </w:r>
      <w:r>
        <w:rPr>
          <w:lang w:val="fr-FR"/>
        </w:rPr>
        <w:t>s</w:t>
      </w:r>
      <w:r w:rsidRPr="00DB7719">
        <w:rPr>
          <w:lang w:val="fr-FR"/>
        </w:rPr>
        <w:t xml:space="preserve"> </w:t>
      </w:r>
      <w:r>
        <w:rPr>
          <w:lang w:val="fr-FR"/>
        </w:rPr>
        <w:t>ont</w:t>
      </w:r>
      <w:r w:rsidRPr="00DB7719">
        <w:rPr>
          <w:lang w:val="fr-FR"/>
        </w:rPr>
        <w:t xml:space="preserve"> été produit</w:t>
      </w:r>
      <w:r>
        <w:rPr>
          <w:lang w:val="fr-FR"/>
        </w:rPr>
        <w:t>s</w:t>
      </w:r>
      <w:r w:rsidRPr="00DB7719">
        <w:rPr>
          <w:lang w:val="fr-FR"/>
        </w:rPr>
        <w:t xml:space="preserve"> </w:t>
      </w:r>
      <w:r>
        <w:rPr>
          <w:lang w:val="fr-FR"/>
        </w:rPr>
        <w:t>avec</w:t>
      </w:r>
      <w:r w:rsidRPr="00DB7719">
        <w:rPr>
          <w:lang w:val="fr-FR"/>
        </w:rPr>
        <w:t xml:space="preserve"> l</w:t>
      </w:r>
      <w:r w:rsidR="009E1BA1">
        <w:rPr>
          <w:lang w:val="fr-FR"/>
        </w:rPr>
        <w:t>’</w:t>
      </w:r>
      <w:r w:rsidRPr="00DB7719">
        <w:rPr>
          <w:lang w:val="fr-FR"/>
        </w:rPr>
        <w:t xml:space="preserve">appui du </w:t>
      </w:r>
      <w:r w:rsidRPr="00031629">
        <w:rPr>
          <w:lang w:val="fr-FR"/>
        </w:rPr>
        <w:t>Programme des Nations Unies pour le développement (</w:t>
      </w:r>
      <w:r w:rsidRPr="00DB7719">
        <w:rPr>
          <w:lang w:val="fr-FR"/>
        </w:rPr>
        <w:t>PNUD</w:t>
      </w:r>
      <w:r>
        <w:rPr>
          <w:lang w:val="fr-FR"/>
        </w:rPr>
        <w:t>)</w:t>
      </w:r>
      <w:r w:rsidRPr="00DB7719">
        <w:rPr>
          <w:lang w:val="fr-FR"/>
        </w:rPr>
        <w:t>.</w:t>
      </w:r>
    </w:p>
    <w:p w:rsidR="00225892" w:rsidRPr="00DB7719" w:rsidRDefault="00225892" w:rsidP="00225892">
      <w:pPr>
        <w:pStyle w:val="SingleTxtG"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</w:r>
      <w:r w:rsidRPr="00DB7719">
        <w:rPr>
          <w:lang w:val="fr-FR"/>
        </w:rPr>
        <w:t>Le premier film</w:t>
      </w:r>
      <w:r>
        <w:rPr>
          <w:lang w:val="fr-FR"/>
        </w:rPr>
        <w:t>,</w:t>
      </w:r>
      <w:r w:rsidRPr="00DB7719">
        <w:rPr>
          <w:lang w:val="fr-FR"/>
        </w:rPr>
        <w:t xml:space="preserve"> intitulé </w:t>
      </w:r>
      <w:r w:rsidRPr="00457955">
        <w:rPr>
          <w:i/>
          <w:lang w:val="fr-FR"/>
        </w:rPr>
        <w:t>AINA</w:t>
      </w:r>
      <w:r>
        <w:rPr>
          <w:lang w:val="fr-FR"/>
        </w:rPr>
        <w:t>,</w:t>
      </w:r>
      <w:r w:rsidRPr="00DB7719">
        <w:rPr>
          <w:lang w:val="fr-FR"/>
        </w:rPr>
        <w:t xml:space="preserve"> a été diffusé sur la chaîne nationale. Il relate les différentes formes de </w:t>
      </w:r>
      <w:r>
        <w:rPr>
          <w:lang w:val="fr-FR"/>
        </w:rPr>
        <w:t xml:space="preserve">la </w:t>
      </w:r>
      <w:r w:rsidRPr="00DB7719">
        <w:rPr>
          <w:lang w:val="fr-FR"/>
        </w:rPr>
        <w:t>violence contre les femmes, y compris les violences conjugales réprimées par le droit commun. Il s</w:t>
      </w:r>
      <w:r w:rsidR="009E1BA1">
        <w:rPr>
          <w:lang w:val="fr-FR"/>
        </w:rPr>
        <w:t>’</w:t>
      </w:r>
      <w:r w:rsidRPr="00DB7719">
        <w:rPr>
          <w:lang w:val="fr-FR"/>
        </w:rPr>
        <w:t xml:space="preserve">agit de </w:t>
      </w:r>
      <w:r w:rsidR="00457955">
        <w:rPr>
          <w:lang w:val="fr-FR"/>
        </w:rPr>
        <w:t>sensibiliser les acteurs de la justice et la p</w:t>
      </w:r>
      <w:r w:rsidRPr="00DB7719">
        <w:rPr>
          <w:lang w:val="fr-FR"/>
        </w:rPr>
        <w:t xml:space="preserve">opulation </w:t>
      </w:r>
      <w:r>
        <w:rPr>
          <w:lang w:val="fr-FR"/>
        </w:rPr>
        <w:t>à</w:t>
      </w:r>
      <w:r w:rsidRPr="00DB7719">
        <w:rPr>
          <w:lang w:val="fr-FR"/>
        </w:rPr>
        <w:t xml:space="preserve"> l</w:t>
      </w:r>
      <w:r w:rsidR="009E1BA1">
        <w:rPr>
          <w:lang w:val="fr-FR"/>
        </w:rPr>
        <w:t>’</w:t>
      </w:r>
      <w:r w:rsidRPr="00DB7719">
        <w:rPr>
          <w:lang w:val="fr-FR"/>
        </w:rPr>
        <w:t>incrimination du viol</w:t>
      </w:r>
      <w:r>
        <w:rPr>
          <w:lang w:val="fr-FR"/>
        </w:rPr>
        <w:t xml:space="preserve"> </w:t>
      </w:r>
      <w:r w:rsidRPr="00DB7719">
        <w:rPr>
          <w:lang w:val="fr-FR"/>
        </w:rPr>
        <w:t>conjugal</w:t>
      </w:r>
      <w:r>
        <w:rPr>
          <w:lang w:val="fr-FR"/>
        </w:rPr>
        <w:t xml:space="preserve">, en les informant sur les </w:t>
      </w:r>
      <w:r w:rsidRPr="00DB7719">
        <w:rPr>
          <w:lang w:val="fr-FR"/>
        </w:rPr>
        <w:t>texte</w:t>
      </w:r>
      <w:r>
        <w:rPr>
          <w:lang w:val="fr-FR"/>
        </w:rPr>
        <w:t xml:space="preserve">s relatifs au </w:t>
      </w:r>
      <w:r w:rsidRPr="00DB7719">
        <w:rPr>
          <w:lang w:val="fr-FR"/>
        </w:rPr>
        <w:t xml:space="preserve">viol, ainsi que </w:t>
      </w:r>
      <w:r>
        <w:rPr>
          <w:lang w:val="fr-FR"/>
        </w:rPr>
        <w:t xml:space="preserve">sur </w:t>
      </w:r>
      <w:r w:rsidRPr="00DB7719">
        <w:rPr>
          <w:lang w:val="fr-FR"/>
        </w:rPr>
        <w:t>la procédu</w:t>
      </w:r>
      <w:r w:rsidR="00457955">
        <w:rPr>
          <w:lang w:val="fr-FR"/>
        </w:rPr>
        <w:t>re à suivre pour la saisine du t</w:t>
      </w:r>
      <w:r w:rsidRPr="00DB7719">
        <w:rPr>
          <w:lang w:val="fr-FR"/>
        </w:rPr>
        <w:t>ribunal, la manière de conduire le procès et l</w:t>
      </w:r>
      <w:r w:rsidR="009E1BA1">
        <w:rPr>
          <w:lang w:val="fr-FR"/>
        </w:rPr>
        <w:t>’</w:t>
      </w:r>
      <w:r w:rsidRPr="00DB7719">
        <w:rPr>
          <w:lang w:val="fr-FR"/>
        </w:rPr>
        <w:t>indemnisation des victimes.</w:t>
      </w:r>
    </w:p>
    <w:p w:rsidR="00225892" w:rsidRPr="00DB7719" w:rsidRDefault="00225892" w:rsidP="00225892">
      <w:pPr>
        <w:pStyle w:val="SingleTxtG"/>
        <w:rPr>
          <w:lang w:val="fr-FR"/>
        </w:rPr>
      </w:pPr>
      <w:r>
        <w:rPr>
          <w:lang w:val="fr-FR"/>
        </w:rPr>
        <w:t>5.</w:t>
      </w:r>
      <w:r>
        <w:rPr>
          <w:lang w:val="fr-FR"/>
        </w:rPr>
        <w:tab/>
      </w:r>
      <w:r w:rsidRPr="00DB7719">
        <w:rPr>
          <w:lang w:val="fr-FR"/>
        </w:rPr>
        <w:t xml:space="preserve">Le deuxième film intitulé </w:t>
      </w:r>
      <w:r w:rsidRPr="00457955">
        <w:rPr>
          <w:i/>
          <w:lang w:val="fr-FR"/>
        </w:rPr>
        <w:t>FANDRIKA</w:t>
      </w:r>
      <w:r w:rsidRPr="00DB7719">
        <w:rPr>
          <w:lang w:val="fr-FR"/>
        </w:rPr>
        <w:t xml:space="preserve">, par contre, insiste </w:t>
      </w:r>
      <w:r>
        <w:rPr>
          <w:lang w:val="fr-FR"/>
        </w:rPr>
        <w:t xml:space="preserve">lui </w:t>
      </w:r>
      <w:r w:rsidRPr="00DB7719">
        <w:rPr>
          <w:lang w:val="fr-FR"/>
        </w:rPr>
        <w:t xml:space="preserve">sur la traite des femmes et des filles. Il </w:t>
      </w:r>
      <w:r>
        <w:rPr>
          <w:lang w:val="fr-FR"/>
        </w:rPr>
        <w:t>parle des</w:t>
      </w:r>
      <w:r w:rsidRPr="00DB7719">
        <w:rPr>
          <w:lang w:val="fr-FR"/>
        </w:rPr>
        <w:t xml:space="preserve"> texte</w:t>
      </w:r>
      <w:r>
        <w:rPr>
          <w:lang w:val="fr-FR"/>
        </w:rPr>
        <w:t>s</w:t>
      </w:r>
      <w:r w:rsidRPr="00DB7719">
        <w:rPr>
          <w:lang w:val="fr-FR"/>
        </w:rPr>
        <w:t xml:space="preserve"> et </w:t>
      </w:r>
      <w:r>
        <w:rPr>
          <w:lang w:val="fr-FR"/>
        </w:rPr>
        <w:t xml:space="preserve">de </w:t>
      </w:r>
      <w:r w:rsidRPr="00DB7719">
        <w:rPr>
          <w:lang w:val="fr-FR"/>
        </w:rPr>
        <w:t>la procédure applicable</w:t>
      </w:r>
      <w:r w:rsidR="00457955">
        <w:rPr>
          <w:lang w:val="fr-FR"/>
        </w:rPr>
        <w:t>s</w:t>
      </w:r>
      <w:r w:rsidRPr="00DB7719">
        <w:rPr>
          <w:lang w:val="fr-FR"/>
        </w:rPr>
        <w:t xml:space="preserve">, </w:t>
      </w:r>
      <w:r>
        <w:rPr>
          <w:lang w:val="fr-FR"/>
        </w:rPr>
        <w:t xml:space="preserve">de </w:t>
      </w:r>
      <w:r w:rsidRPr="00DB7719">
        <w:rPr>
          <w:lang w:val="fr-FR"/>
        </w:rPr>
        <w:t>l</w:t>
      </w:r>
      <w:r w:rsidR="009E1BA1">
        <w:rPr>
          <w:lang w:val="fr-FR"/>
        </w:rPr>
        <w:t>’</w:t>
      </w:r>
      <w:r w:rsidRPr="00DB7719">
        <w:rPr>
          <w:lang w:val="fr-FR"/>
        </w:rPr>
        <w:t>obligation légale de signalement</w:t>
      </w:r>
      <w:r>
        <w:rPr>
          <w:lang w:val="fr-FR"/>
        </w:rPr>
        <w:t xml:space="preserve"> et de</w:t>
      </w:r>
      <w:r w:rsidRPr="00DB7719">
        <w:rPr>
          <w:lang w:val="fr-FR"/>
        </w:rPr>
        <w:t xml:space="preserve"> la capacité des mineurs victimes à intenter une action civile pour réclamer réparation.</w:t>
      </w:r>
    </w:p>
    <w:p w:rsidR="00225892" w:rsidRPr="00DB7719" w:rsidRDefault="00225892" w:rsidP="00C7664B">
      <w:pPr>
        <w:pStyle w:val="SingleTxtG"/>
        <w:keepNext/>
        <w:rPr>
          <w:lang w:val="fr-FR"/>
        </w:rPr>
      </w:pPr>
      <w:r>
        <w:rPr>
          <w:lang w:val="fr-FR"/>
        </w:rPr>
        <w:t>6.</w:t>
      </w:r>
      <w:r>
        <w:rPr>
          <w:lang w:val="fr-FR"/>
        </w:rPr>
        <w:tab/>
      </w:r>
      <w:r w:rsidRPr="00DB7719">
        <w:rPr>
          <w:lang w:val="fr-FR"/>
        </w:rPr>
        <w:t>Des nouvelles lois relatives aux violences à l</w:t>
      </w:r>
      <w:r w:rsidR="009E1BA1">
        <w:rPr>
          <w:lang w:val="fr-FR"/>
        </w:rPr>
        <w:t>’</w:t>
      </w:r>
      <w:r>
        <w:rPr>
          <w:lang w:val="fr-FR"/>
        </w:rPr>
        <w:t xml:space="preserve">encontre </w:t>
      </w:r>
      <w:r w:rsidRPr="00DB7719">
        <w:rPr>
          <w:lang w:val="fr-FR"/>
        </w:rPr>
        <w:t>des femmes sont élaborées. On peut citer</w:t>
      </w:r>
      <w:r>
        <w:rPr>
          <w:lang w:val="fr-FR"/>
        </w:rPr>
        <w:t>:</w:t>
      </w:r>
    </w:p>
    <w:p w:rsidR="00225892" w:rsidRPr="00DB7719" w:rsidRDefault="00225892" w:rsidP="00DC160A">
      <w:pPr>
        <w:pStyle w:val="Bullet1G"/>
        <w:rPr>
          <w:lang w:val="fr-FR"/>
        </w:rPr>
      </w:pPr>
      <w:r w:rsidRPr="00DB7719">
        <w:rPr>
          <w:lang w:val="fr-FR"/>
        </w:rPr>
        <w:t xml:space="preserve">La </w:t>
      </w:r>
      <w:r w:rsidRPr="00DB7719">
        <w:rPr>
          <w:b/>
          <w:lang w:val="fr-FR"/>
        </w:rPr>
        <w:t xml:space="preserve">loi </w:t>
      </w:r>
      <w:r w:rsidR="00B45D0B" w:rsidRPr="00B45D0B">
        <w:rPr>
          <w:rFonts w:eastAsia="MS Mincho"/>
          <w:b/>
          <w:lang w:val="fr-FR"/>
        </w:rPr>
        <w:t>n</w:t>
      </w:r>
      <w:r w:rsidR="00B45D0B" w:rsidRPr="00B45D0B">
        <w:rPr>
          <w:rFonts w:eastAsia="MS Mincho"/>
          <w:b/>
          <w:vertAlign w:val="superscript"/>
          <w:lang w:val="fr-FR"/>
        </w:rPr>
        <w:t>o</w:t>
      </w:r>
      <w:r w:rsidR="00B45D0B">
        <w:rPr>
          <w:b/>
          <w:lang w:val="fr-FR"/>
        </w:rPr>
        <w:t xml:space="preserve"> </w:t>
      </w:r>
      <w:r w:rsidRPr="00DB7719">
        <w:rPr>
          <w:b/>
          <w:lang w:val="fr-FR"/>
        </w:rPr>
        <w:t xml:space="preserve">2000-021 </w:t>
      </w:r>
      <w:r w:rsidRPr="00DB7719">
        <w:rPr>
          <w:lang w:val="fr-FR"/>
        </w:rPr>
        <w:t>modifiant et complétant certaines dispositions du</w:t>
      </w:r>
      <w:r>
        <w:rPr>
          <w:lang w:val="fr-FR"/>
        </w:rPr>
        <w:t xml:space="preserve"> </w:t>
      </w:r>
      <w:r w:rsidRPr="00DB7719">
        <w:rPr>
          <w:lang w:val="fr-FR"/>
        </w:rPr>
        <w:t xml:space="preserve">Code </w:t>
      </w:r>
      <w:r w:rsidR="003357BE">
        <w:rPr>
          <w:lang w:val="fr-FR"/>
        </w:rPr>
        <w:t>p</w:t>
      </w:r>
      <w:r w:rsidRPr="00DB7719">
        <w:rPr>
          <w:lang w:val="fr-FR"/>
        </w:rPr>
        <w:t>énal relati</w:t>
      </w:r>
      <w:r>
        <w:rPr>
          <w:lang w:val="fr-FR"/>
        </w:rPr>
        <w:t xml:space="preserve">ves </w:t>
      </w:r>
      <w:r w:rsidRPr="00DB7719">
        <w:rPr>
          <w:lang w:val="fr-FR"/>
        </w:rPr>
        <w:t xml:space="preserve">aux violences </w:t>
      </w:r>
      <w:r>
        <w:rPr>
          <w:lang w:val="fr-FR"/>
        </w:rPr>
        <w:t>contre</w:t>
      </w:r>
      <w:r w:rsidRPr="00DB7719">
        <w:rPr>
          <w:lang w:val="fr-FR"/>
        </w:rPr>
        <w:t xml:space="preserve"> les femmes et aux infractions </w:t>
      </w:r>
      <w:r>
        <w:rPr>
          <w:lang w:val="fr-FR"/>
        </w:rPr>
        <w:t>aux</w:t>
      </w:r>
      <w:r w:rsidRPr="00DB7719">
        <w:rPr>
          <w:lang w:val="fr-FR"/>
        </w:rPr>
        <w:t xml:space="preserve"> mœurs. Cette loi réprime les infractions</w:t>
      </w:r>
      <w:r>
        <w:rPr>
          <w:lang w:val="fr-FR"/>
        </w:rPr>
        <w:t>,</w:t>
      </w:r>
      <w:r w:rsidRPr="00DB7719">
        <w:rPr>
          <w:lang w:val="fr-FR"/>
        </w:rPr>
        <w:t xml:space="preserve"> telles que les coups et blessures volontaires (CBV) porté</w:t>
      </w:r>
      <w:r>
        <w:rPr>
          <w:lang w:val="fr-FR"/>
        </w:rPr>
        <w:t>s à d</w:t>
      </w:r>
      <w:r w:rsidRPr="00DB7719">
        <w:rPr>
          <w:lang w:val="fr-FR"/>
        </w:rPr>
        <w:t>es personnes ou mères légitimes ou naturel</w:t>
      </w:r>
      <w:r>
        <w:rPr>
          <w:lang w:val="fr-FR"/>
        </w:rPr>
        <w:t>le</w:t>
      </w:r>
      <w:r w:rsidRPr="00DB7719">
        <w:rPr>
          <w:lang w:val="fr-FR"/>
        </w:rPr>
        <w:t xml:space="preserve">s à son conjoint et </w:t>
      </w:r>
      <w:r>
        <w:rPr>
          <w:lang w:val="fr-FR"/>
        </w:rPr>
        <w:t xml:space="preserve">ceux </w:t>
      </w:r>
      <w:r w:rsidRPr="00DB7719">
        <w:rPr>
          <w:lang w:val="fr-FR"/>
        </w:rPr>
        <w:t>porté</w:t>
      </w:r>
      <w:r>
        <w:rPr>
          <w:lang w:val="fr-FR"/>
        </w:rPr>
        <w:t>s</w:t>
      </w:r>
      <w:r w:rsidRPr="00DB7719">
        <w:rPr>
          <w:lang w:val="fr-FR"/>
        </w:rPr>
        <w:t xml:space="preserve"> à une femme en état de grossesse, l</w:t>
      </w:r>
      <w:r w:rsidR="009E1BA1">
        <w:rPr>
          <w:lang w:val="fr-FR"/>
        </w:rPr>
        <w:t>’</w:t>
      </w:r>
      <w:r w:rsidRPr="00DB7719">
        <w:rPr>
          <w:lang w:val="fr-FR"/>
        </w:rPr>
        <w:t>attentat à la pudeur et, enfin, le harcèlement sexuel</w:t>
      </w:r>
      <w:r>
        <w:rPr>
          <w:lang w:val="fr-FR"/>
        </w:rPr>
        <w:t>;</w:t>
      </w:r>
    </w:p>
    <w:p w:rsidR="00225892" w:rsidRPr="00DB7719" w:rsidRDefault="00225892" w:rsidP="00DC160A">
      <w:pPr>
        <w:pStyle w:val="Bullet1G"/>
        <w:rPr>
          <w:lang w:val="fr-FR"/>
        </w:rPr>
      </w:pPr>
      <w:r w:rsidRPr="00DB7719">
        <w:rPr>
          <w:lang w:val="fr-FR"/>
        </w:rPr>
        <w:t xml:space="preserve">La </w:t>
      </w:r>
      <w:r w:rsidRPr="00C7664B">
        <w:rPr>
          <w:b/>
          <w:lang w:val="fr-FR"/>
        </w:rPr>
        <w:t xml:space="preserve">loi </w:t>
      </w:r>
      <w:r w:rsidR="00B45D0B" w:rsidRPr="00B45D0B">
        <w:rPr>
          <w:rFonts w:eastAsia="MS Mincho"/>
          <w:b/>
          <w:lang w:val="fr-FR"/>
        </w:rPr>
        <w:t>n</w:t>
      </w:r>
      <w:r w:rsidR="00B45D0B" w:rsidRPr="00B45D0B">
        <w:rPr>
          <w:rFonts w:eastAsia="MS Mincho"/>
          <w:b/>
          <w:vertAlign w:val="superscript"/>
          <w:lang w:val="fr-FR"/>
        </w:rPr>
        <w:t>o</w:t>
      </w:r>
      <w:r w:rsidRPr="00C7664B">
        <w:rPr>
          <w:b/>
          <w:lang w:val="fr-FR"/>
        </w:rPr>
        <w:t xml:space="preserve"> 2007-038</w:t>
      </w:r>
      <w:r w:rsidRPr="00DB7719">
        <w:rPr>
          <w:lang w:val="fr-FR"/>
        </w:rPr>
        <w:t xml:space="preserve"> modifiant et complétant </w:t>
      </w:r>
      <w:r w:rsidR="003357BE">
        <w:rPr>
          <w:lang w:val="fr-FR"/>
        </w:rPr>
        <w:t>certaines dispositions du Code p</w:t>
      </w:r>
      <w:r w:rsidRPr="00DB7719">
        <w:rPr>
          <w:lang w:val="fr-FR"/>
        </w:rPr>
        <w:t>énal sur la lutte contre la traite des personnes et le tourisme sexuel.</w:t>
      </w:r>
    </w:p>
    <w:p w:rsidR="00225892" w:rsidRPr="00DB7719" w:rsidRDefault="00225892" w:rsidP="003357BE">
      <w:pPr>
        <w:pStyle w:val="H1G"/>
        <w:rPr>
          <w:lang w:val="fr-FR"/>
        </w:rPr>
      </w:pPr>
      <w:r>
        <w:rPr>
          <w:lang w:val="fr-FR"/>
        </w:rPr>
        <w:tab/>
      </w:r>
      <w:r w:rsidRPr="00DB7719">
        <w:rPr>
          <w:lang w:val="fr-FR"/>
        </w:rPr>
        <w:tab/>
      </w:r>
      <w:r>
        <w:rPr>
          <w:lang w:val="fr-FR"/>
        </w:rPr>
        <w:t xml:space="preserve">Réponse au paragraphe </w:t>
      </w:r>
      <w:r w:rsidRPr="00DB7719">
        <w:rPr>
          <w:lang w:val="fr-FR"/>
        </w:rPr>
        <w:t>21</w:t>
      </w:r>
    </w:p>
    <w:p w:rsidR="00225892" w:rsidRPr="00DB7719" w:rsidRDefault="003357BE" w:rsidP="00225892">
      <w:pPr>
        <w:pStyle w:val="SingleTxtG"/>
        <w:rPr>
          <w:lang w:val="fr-FR"/>
        </w:rPr>
      </w:pPr>
      <w:r>
        <w:rPr>
          <w:lang w:val="fr-FR"/>
        </w:rPr>
        <w:t>7.</w:t>
      </w:r>
      <w:r w:rsidR="00225892">
        <w:rPr>
          <w:lang w:val="fr-FR"/>
        </w:rPr>
        <w:tab/>
      </w:r>
      <w:r w:rsidR="00225892" w:rsidRPr="00DB7719">
        <w:rPr>
          <w:lang w:val="fr-FR"/>
        </w:rPr>
        <w:t>Les nouvelles lois sus</w:t>
      </w:r>
      <w:r w:rsidR="00225892">
        <w:rPr>
          <w:lang w:val="fr-FR"/>
        </w:rPr>
        <w:t>dites</w:t>
      </w:r>
      <w:r w:rsidR="00225892" w:rsidRPr="00DB7719">
        <w:rPr>
          <w:lang w:val="fr-FR"/>
        </w:rPr>
        <w:t xml:space="preserve"> ont déjà reçu une application effective. Elles renferment aussi les peines applicables aux auteurs d</w:t>
      </w:r>
      <w:r w:rsidR="009E1BA1">
        <w:rPr>
          <w:lang w:val="fr-FR"/>
        </w:rPr>
        <w:t>’</w:t>
      </w:r>
      <w:r w:rsidR="00225892" w:rsidRPr="00DB7719">
        <w:rPr>
          <w:lang w:val="fr-FR"/>
        </w:rPr>
        <w:t>actes de violence</w:t>
      </w:r>
      <w:r w:rsidR="00225892">
        <w:rPr>
          <w:lang w:val="fr-FR"/>
        </w:rPr>
        <w:t xml:space="preserve"> commis</w:t>
      </w:r>
      <w:r w:rsidR="00225892" w:rsidRPr="00DB7719">
        <w:rPr>
          <w:lang w:val="fr-FR"/>
        </w:rPr>
        <w:t xml:space="preserve"> à l</w:t>
      </w:r>
      <w:r w:rsidR="009E1BA1">
        <w:rPr>
          <w:lang w:val="fr-FR"/>
        </w:rPr>
        <w:t>’</w:t>
      </w:r>
      <w:r w:rsidR="00225892" w:rsidRPr="00DB7719">
        <w:rPr>
          <w:lang w:val="fr-FR"/>
        </w:rPr>
        <w:t>égard des femmes et des filles.</w:t>
      </w:r>
    </w:p>
    <w:p w:rsidR="00225892" w:rsidRPr="00DB7719" w:rsidRDefault="00225892" w:rsidP="00225892">
      <w:pPr>
        <w:pStyle w:val="SingleTxtG"/>
        <w:rPr>
          <w:lang w:val="fr-FR"/>
        </w:rPr>
      </w:pPr>
      <w:r>
        <w:rPr>
          <w:lang w:val="fr-FR"/>
        </w:rPr>
        <w:t>8.</w:t>
      </w:r>
      <w:r>
        <w:rPr>
          <w:lang w:val="fr-FR"/>
        </w:rPr>
        <w:tab/>
      </w:r>
      <w:r w:rsidRPr="00DB7719">
        <w:rPr>
          <w:lang w:val="fr-FR"/>
        </w:rPr>
        <w:t>Il a été o</w:t>
      </w:r>
      <w:r w:rsidR="003357BE">
        <w:rPr>
          <w:lang w:val="fr-FR"/>
        </w:rPr>
        <w:t>rganisé par le Ministère de la j</w:t>
      </w:r>
      <w:r w:rsidRPr="00DB7719">
        <w:rPr>
          <w:lang w:val="fr-FR"/>
        </w:rPr>
        <w:t>ustice, en partenariat avec l</w:t>
      </w:r>
      <w:r w:rsidR="009E1BA1">
        <w:rPr>
          <w:lang w:val="fr-FR"/>
        </w:rPr>
        <w:t>’</w:t>
      </w:r>
      <w:r w:rsidRPr="00DB7719">
        <w:rPr>
          <w:lang w:val="fr-FR"/>
        </w:rPr>
        <w:t>UNICEF, le PNUD, le FNUAP et l</w:t>
      </w:r>
      <w:r>
        <w:rPr>
          <w:lang w:val="fr-FR"/>
        </w:rPr>
        <w:t>e</w:t>
      </w:r>
      <w:r w:rsidRPr="00DB7719">
        <w:rPr>
          <w:lang w:val="fr-FR"/>
        </w:rPr>
        <w:t xml:space="preserve"> Haut</w:t>
      </w:r>
      <w:r>
        <w:rPr>
          <w:lang w:val="fr-FR"/>
        </w:rPr>
        <w:t>-</w:t>
      </w:r>
      <w:r w:rsidRPr="00DB7719">
        <w:rPr>
          <w:lang w:val="fr-FR"/>
        </w:rPr>
        <w:t xml:space="preserve">Commissariat aux </w:t>
      </w:r>
      <w:r>
        <w:rPr>
          <w:lang w:val="fr-FR"/>
        </w:rPr>
        <w:t>d</w:t>
      </w:r>
      <w:r w:rsidRPr="00DB7719">
        <w:rPr>
          <w:lang w:val="fr-FR"/>
        </w:rPr>
        <w:t>roits de l</w:t>
      </w:r>
      <w:r w:rsidR="009E1BA1">
        <w:rPr>
          <w:lang w:val="fr-FR"/>
        </w:rPr>
        <w:t>’</w:t>
      </w:r>
      <w:r>
        <w:rPr>
          <w:lang w:val="fr-FR"/>
        </w:rPr>
        <w:t>h</w:t>
      </w:r>
      <w:r w:rsidRPr="00DB7719">
        <w:rPr>
          <w:lang w:val="fr-FR"/>
        </w:rPr>
        <w:t xml:space="preserve">omme, une série de formations </w:t>
      </w:r>
      <w:r>
        <w:rPr>
          <w:lang w:val="fr-FR"/>
        </w:rPr>
        <w:t xml:space="preserve">portant </w:t>
      </w:r>
      <w:r w:rsidRPr="00DB7719">
        <w:rPr>
          <w:lang w:val="fr-FR"/>
        </w:rPr>
        <w:t>sur la mise en œuvre des nouvelles lois</w:t>
      </w:r>
      <w:r>
        <w:rPr>
          <w:lang w:val="fr-FR"/>
        </w:rPr>
        <w:t xml:space="preserve"> à l</w:t>
      </w:r>
      <w:r w:rsidR="009E1BA1">
        <w:rPr>
          <w:lang w:val="fr-FR"/>
        </w:rPr>
        <w:t>’</w:t>
      </w:r>
      <w:r>
        <w:rPr>
          <w:lang w:val="fr-FR"/>
        </w:rPr>
        <w:t xml:space="preserve">intention </w:t>
      </w:r>
      <w:r w:rsidRPr="00DB7719">
        <w:rPr>
          <w:lang w:val="fr-FR"/>
        </w:rPr>
        <w:t xml:space="preserve">des responsables </w:t>
      </w:r>
      <w:r>
        <w:rPr>
          <w:lang w:val="fr-FR"/>
        </w:rPr>
        <w:t xml:space="preserve">chargés de </w:t>
      </w:r>
      <w:r w:rsidRPr="00DB7719">
        <w:rPr>
          <w:lang w:val="fr-FR"/>
        </w:rPr>
        <w:t>l</w:t>
      </w:r>
      <w:r w:rsidR="009E1BA1">
        <w:rPr>
          <w:lang w:val="fr-FR"/>
        </w:rPr>
        <w:t>’</w:t>
      </w:r>
      <w:r w:rsidRPr="00DB7719">
        <w:rPr>
          <w:lang w:val="fr-FR"/>
        </w:rPr>
        <w:t xml:space="preserve">application des lois: </w:t>
      </w:r>
    </w:p>
    <w:p w:rsidR="00225892" w:rsidRPr="00DB7719" w:rsidRDefault="00225892" w:rsidP="00225892">
      <w:pPr>
        <w:pStyle w:val="Bullet1G"/>
        <w:rPr>
          <w:lang w:val="fr-FR"/>
        </w:rPr>
      </w:pPr>
      <w:r w:rsidRPr="00DB7719">
        <w:rPr>
          <w:lang w:val="fr-FR"/>
        </w:rPr>
        <w:t>Du 14 au 17 septembre 2009 à Mantasoa sur le thème «Droits de l</w:t>
      </w:r>
      <w:r w:rsidR="009E1BA1">
        <w:rPr>
          <w:lang w:val="fr-FR"/>
        </w:rPr>
        <w:t>’</w:t>
      </w:r>
      <w:r w:rsidR="003357BE">
        <w:rPr>
          <w:lang w:val="fr-FR"/>
        </w:rPr>
        <w:t>h</w:t>
      </w:r>
      <w:r w:rsidRPr="00DB7719">
        <w:rPr>
          <w:lang w:val="fr-FR"/>
        </w:rPr>
        <w:t>omme dans l</w:t>
      </w:r>
      <w:r w:rsidR="009E1BA1">
        <w:rPr>
          <w:lang w:val="fr-FR"/>
        </w:rPr>
        <w:t>’</w:t>
      </w:r>
      <w:r w:rsidRPr="00DB7719">
        <w:rPr>
          <w:lang w:val="fr-FR"/>
        </w:rPr>
        <w:t>administration de la justice incluant l</w:t>
      </w:r>
      <w:r w:rsidR="009E1BA1">
        <w:rPr>
          <w:lang w:val="fr-FR"/>
        </w:rPr>
        <w:t>’</w:t>
      </w:r>
      <w:r w:rsidRPr="00DB7719">
        <w:rPr>
          <w:lang w:val="fr-FR"/>
        </w:rPr>
        <w:t>application de la CEDEF»</w:t>
      </w:r>
      <w:r>
        <w:rPr>
          <w:lang w:val="fr-FR"/>
        </w:rPr>
        <w:t>;</w:t>
      </w:r>
    </w:p>
    <w:p w:rsidR="00225892" w:rsidRPr="00DB7719" w:rsidRDefault="00225892" w:rsidP="00DC160A">
      <w:pPr>
        <w:pStyle w:val="Bullet1G"/>
        <w:rPr>
          <w:lang w:val="fr-FR"/>
        </w:rPr>
      </w:pPr>
      <w:r w:rsidRPr="00DB7719">
        <w:rPr>
          <w:lang w:val="fr-FR"/>
        </w:rPr>
        <w:t>Du 1</w:t>
      </w:r>
      <w:r w:rsidRPr="00DC160A">
        <w:rPr>
          <w:vertAlign w:val="superscript"/>
          <w:lang w:val="fr-FR"/>
        </w:rPr>
        <w:t>er</w:t>
      </w:r>
      <w:r w:rsidR="00CE4332">
        <w:rPr>
          <w:lang w:val="fr-FR"/>
        </w:rPr>
        <w:t xml:space="preserve"> au </w:t>
      </w:r>
      <w:r w:rsidRPr="00DB7719">
        <w:rPr>
          <w:lang w:val="fr-FR"/>
        </w:rPr>
        <w:t>5 décembre 2009 à Tuléar</w:t>
      </w:r>
      <w:r>
        <w:rPr>
          <w:lang w:val="fr-FR"/>
        </w:rPr>
        <w:t>;</w:t>
      </w:r>
      <w:r w:rsidRPr="00DB7719">
        <w:rPr>
          <w:lang w:val="fr-FR"/>
        </w:rPr>
        <w:t xml:space="preserve"> </w:t>
      </w:r>
    </w:p>
    <w:p w:rsidR="00225892" w:rsidRPr="00DB7719" w:rsidRDefault="00DC160A" w:rsidP="00225892">
      <w:pPr>
        <w:pStyle w:val="Bullet1G"/>
        <w:rPr>
          <w:lang w:val="fr-FR"/>
        </w:rPr>
      </w:pPr>
      <w:r>
        <w:rPr>
          <w:lang w:val="fr-FR"/>
        </w:rPr>
        <w:t xml:space="preserve">Du 6 au </w:t>
      </w:r>
      <w:r w:rsidR="00225892" w:rsidRPr="00DB7719">
        <w:rPr>
          <w:lang w:val="fr-FR"/>
        </w:rPr>
        <w:t>9 décembre 2009 à Antsiranana</w:t>
      </w:r>
      <w:r w:rsidR="00225892">
        <w:rPr>
          <w:lang w:val="fr-FR"/>
        </w:rPr>
        <w:t>;</w:t>
      </w:r>
    </w:p>
    <w:p w:rsidR="00225892" w:rsidRPr="00DB7719" w:rsidRDefault="00225892" w:rsidP="00DC160A">
      <w:pPr>
        <w:pStyle w:val="Bullet1G"/>
        <w:tabs>
          <w:tab w:val="clear" w:pos="1701"/>
        </w:tabs>
        <w:rPr>
          <w:lang w:val="fr-FR"/>
        </w:rPr>
      </w:pPr>
      <w:r w:rsidRPr="00DB7719">
        <w:rPr>
          <w:lang w:val="fr-FR"/>
        </w:rPr>
        <w:t>Formation à l</w:t>
      </w:r>
      <w:r w:rsidR="009E1BA1">
        <w:rPr>
          <w:lang w:val="fr-FR"/>
        </w:rPr>
        <w:t>’</w:t>
      </w:r>
      <w:r w:rsidR="00DC160A">
        <w:rPr>
          <w:lang w:val="fr-FR"/>
        </w:rPr>
        <w:t>É</w:t>
      </w:r>
      <w:r w:rsidRPr="00DB7719">
        <w:rPr>
          <w:lang w:val="fr-FR"/>
        </w:rPr>
        <w:t xml:space="preserve">cole </w:t>
      </w:r>
      <w:r w:rsidR="007F10CC">
        <w:rPr>
          <w:lang w:val="fr-FR"/>
        </w:rPr>
        <w:t>n</w:t>
      </w:r>
      <w:r w:rsidRPr="00DB7719">
        <w:rPr>
          <w:lang w:val="fr-FR"/>
        </w:rPr>
        <w:t xml:space="preserve">ationale de la </w:t>
      </w:r>
      <w:r w:rsidR="007F10CC">
        <w:rPr>
          <w:lang w:val="fr-FR"/>
        </w:rPr>
        <w:t>magistrature et des g</w:t>
      </w:r>
      <w:r w:rsidRPr="00DB7719">
        <w:rPr>
          <w:lang w:val="fr-FR"/>
        </w:rPr>
        <w:t>reffes.</w:t>
      </w:r>
    </w:p>
    <w:p w:rsidR="00EE2974" w:rsidRDefault="00DC160A" w:rsidP="00B81C5A">
      <w:pPr>
        <w:pStyle w:val="SingleTxtG"/>
        <w:rPr>
          <w:lang w:val="fr-FR"/>
        </w:rPr>
      </w:pPr>
      <w:r>
        <w:rPr>
          <w:lang w:val="fr-FR"/>
        </w:rPr>
        <w:t>9.</w:t>
      </w:r>
      <w:r>
        <w:rPr>
          <w:lang w:val="fr-FR"/>
        </w:rPr>
        <w:tab/>
      </w:r>
      <w:r w:rsidR="00225892" w:rsidRPr="00DB7719">
        <w:rPr>
          <w:lang w:val="fr-FR"/>
        </w:rPr>
        <w:t xml:space="preserve">Il y a aussi </w:t>
      </w:r>
      <w:r w:rsidR="00225892">
        <w:rPr>
          <w:lang w:val="fr-FR"/>
        </w:rPr>
        <w:t xml:space="preserve">eu </w:t>
      </w:r>
      <w:r w:rsidR="00225892" w:rsidRPr="00DB7719">
        <w:rPr>
          <w:lang w:val="fr-FR"/>
        </w:rPr>
        <w:t>la création au niveau de certaines juridictions d</w:t>
      </w:r>
      <w:r w:rsidR="009E1BA1">
        <w:rPr>
          <w:lang w:val="fr-FR"/>
        </w:rPr>
        <w:t>’</w:t>
      </w:r>
      <w:r w:rsidR="00225892">
        <w:rPr>
          <w:lang w:val="fr-FR"/>
        </w:rPr>
        <w:t>une</w:t>
      </w:r>
      <w:r w:rsidR="00225892" w:rsidRPr="00DB7719">
        <w:rPr>
          <w:lang w:val="fr-FR"/>
        </w:rPr>
        <w:t xml:space="preserve"> </w:t>
      </w:r>
      <w:r w:rsidR="00225892" w:rsidRPr="007F10CC">
        <w:rPr>
          <w:lang w:val="fr-FR"/>
        </w:rPr>
        <w:t>«</w:t>
      </w:r>
      <w:r w:rsidR="00225892" w:rsidRPr="00DB7719">
        <w:rPr>
          <w:b/>
          <w:lang w:val="fr-FR"/>
        </w:rPr>
        <w:t>Trano Aro Zo</w:t>
      </w:r>
      <w:r w:rsidR="00225892" w:rsidRPr="007F10CC">
        <w:rPr>
          <w:lang w:val="fr-FR"/>
        </w:rPr>
        <w:t>»</w:t>
      </w:r>
      <w:r w:rsidR="00225892">
        <w:rPr>
          <w:b/>
          <w:lang w:val="fr-FR"/>
        </w:rPr>
        <w:t>,</w:t>
      </w:r>
      <w:r w:rsidR="00225892" w:rsidRPr="00DB7719">
        <w:rPr>
          <w:b/>
          <w:lang w:val="fr-FR"/>
        </w:rPr>
        <w:t xml:space="preserve"> </w:t>
      </w:r>
      <w:r w:rsidR="00225892" w:rsidRPr="00DB7719">
        <w:rPr>
          <w:lang w:val="fr-FR"/>
        </w:rPr>
        <w:t xml:space="preserve">qui </w:t>
      </w:r>
      <w:r w:rsidR="00225892">
        <w:rPr>
          <w:lang w:val="fr-FR"/>
        </w:rPr>
        <w:t>informe</w:t>
      </w:r>
      <w:r w:rsidR="00225892" w:rsidRPr="00DB7719">
        <w:rPr>
          <w:lang w:val="fr-FR"/>
        </w:rPr>
        <w:t xml:space="preserve"> gratuitement </w:t>
      </w:r>
      <w:r w:rsidR="00225892">
        <w:rPr>
          <w:lang w:val="fr-FR"/>
        </w:rPr>
        <w:t>les</w:t>
      </w:r>
      <w:r w:rsidR="00225892" w:rsidRPr="00DB7719">
        <w:rPr>
          <w:lang w:val="fr-FR"/>
        </w:rPr>
        <w:t xml:space="preserve"> justiciables</w:t>
      </w:r>
      <w:r w:rsidR="00225892">
        <w:rPr>
          <w:lang w:val="fr-FR"/>
        </w:rPr>
        <w:t xml:space="preserve">, notamment sur </w:t>
      </w:r>
      <w:r w:rsidR="00225892" w:rsidRPr="00DB7719">
        <w:rPr>
          <w:lang w:val="fr-FR"/>
        </w:rPr>
        <w:t>les procédures à suivre pour saisir les autorités compétentes.</w:t>
      </w:r>
    </w:p>
    <w:p w:rsidR="007F10CC" w:rsidRPr="007F10CC" w:rsidRDefault="007F10CC" w:rsidP="009E1BA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F10CC" w:rsidRPr="007F10CC" w:rsidSect="00F53F1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C80" w:rsidRDefault="00C42C80"/>
  </w:endnote>
  <w:endnote w:type="continuationSeparator" w:id="0">
    <w:p w:rsidR="00C42C80" w:rsidRDefault="00C42C80"/>
  </w:endnote>
  <w:endnote w:type="continuationNotice" w:id="1">
    <w:p w:rsidR="00C42C80" w:rsidRPr="00EE2974" w:rsidRDefault="00C42C80" w:rsidP="00EE2974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F13" w:rsidRPr="00F53F13" w:rsidRDefault="00F53F13" w:rsidP="00F53F13">
    <w:pPr>
      <w:pStyle w:val="Footer"/>
      <w:tabs>
        <w:tab w:val="right" w:pos="9638"/>
      </w:tabs>
    </w:pPr>
    <w:r w:rsidRPr="00F53F13">
      <w:rPr>
        <w:b/>
        <w:sz w:val="18"/>
      </w:rPr>
      <w:fldChar w:fldCharType="begin"/>
    </w:r>
    <w:r w:rsidRPr="00F53F13">
      <w:rPr>
        <w:b/>
        <w:sz w:val="18"/>
      </w:rPr>
      <w:instrText xml:space="preserve"> PAGE  \* MERGEFORMAT </w:instrText>
    </w:r>
    <w:r w:rsidRPr="00F53F13">
      <w:rPr>
        <w:b/>
        <w:sz w:val="18"/>
      </w:rPr>
      <w:fldChar w:fldCharType="separate"/>
    </w:r>
    <w:r w:rsidR="00CE4332">
      <w:rPr>
        <w:b/>
        <w:noProof/>
        <w:sz w:val="18"/>
      </w:rPr>
      <w:t>2</w:t>
    </w:r>
    <w:r w:rsidRPr="00F53F13">
      <w:rPr>
        <w:b/>
        <w:sz w:val="18"/>
      </w:rPr>
      <w:fldChar w:fldCharType="end"/>
    </w:r>
    <w:r>
      <w:rPr>
        <w:b/>
        <w:sz w:val="18"/>
      </w:rPr>
      <w:tab/>
    </w:r>
    <w:r>
      <w:t>GE.11-47740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F13" w:rsidRPr="00F53F13" w:rsidRDefault="00F53F13" w:rsidP="00F53F13">
    <w:pPr>
      <w:pStyle w:val="Footer"/>
      <w:tabs>
        <w:tab w:val="right" w:pos="9638"/>
      </w:tabs>
      <w:rPr>
        <w:b/>
        <w:sz w:val="18"/>
      </w:rPr>
    </w:pPr>
    <w:r>
      <w:t>GE.11-47740</w:t>
    </w:r>
    <w:r>
      <w:tab/>
    </w:r>
    <w:r w:rsidRPr="00F53F13">
      <w:rPr>
        <w:b/>
        <w:sz w:val="18"/>
      </w:rPr>
      <w:fldChar w:fldCharType="begin"/>
    </w:r>
    <w:r w:rsidRPr="00F53F13">
      <w:rPr>
        <w:b/>
        <w:sz w:val="18"/>
      </w:rPr>
      <w:instrText xml:space="preserve"> PAGE  \* MERGEFORMAT </w:instrText>
    </w:r>
    <w:r w:rsidRPr="00F53F13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F53F1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066" w:rsidRPr="00F53F13" w:rsidRDefault="00F53F13">
    <w:pPr>
      <w:pStyle w:val="Footer"/>
      <w:rPr>
        <w:sz w:val="20"/>
      </w:rPr>
    </w:pPr>
    <w:r>
      <w:rPr>
        <w:sz w:val="20"/>
      </w:rPr>
      <w:t>GE.</w:t>
    </w:r>
    <w:r w:rsidR="00EA7066" w:rsidRPr="00A50BD5">
      <w:rPr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95.4pt;margin-top:-8.05pt;width:86.95pt;height:18.35pt;z-index:1;mso-position-horizontal-relative:text;mso-position-vertical-relative:text">
          <v:imagedata r:id="rId1" o:title="recycle_French"/>
        </v:shape>
      </w:pict>
    </w:r>
    <w:r>
      <w:rPr>
        <w:sz w:val="20"/>
      </w:rPr>
      <w:t>11-47740  (F)</w:t>
    </w:r>
    <w:r w:rsidR="00457955">
      <w:rPr>
        <w:sz w:val="20"/>
      </w:rPr>
      <w:t xml:space="preserve">    191211    191211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C80" w:rsidRPr="000B175B" w:rsidRDefault="00C42C8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42C80" w:rsidRPr="00FC68B7" w:rsidRDefault="00C42C8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42C80" w:rsidRPr="00EE2974" w:rsidRDefault="00C42C80" w:rsidP="00EE2974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F13" w:rsidRPr="00F53F13" w:rsidRDefault="00F53F13">
    <w:pPr>
      <w:pStyle w:val="Header"/>
    </w:pPr>
    <w:r>
      <w:t>CEDAW/C/MDG/CO/5/Add.2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F13" w:rsidRPr="00F53F13" w:rsidRDefault="00F53F13" w:rsidP="00F53F13">
    <w:pPr>
      <w:pStyle w:val="Header"/>
      <w:jc w:val="right"/>
    </w:pPr>
    <w:r>
      <w:t>CEDAW/C/MDG/CO/5/Add.2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E253887"/>
    <w:multiLevelType w:val="hybridMultilevel"/>
    <w:tmpl w:val="497EC7CC"/>
    <w:lvl w:ilvl="0" w:tplc="FAE4B376">
      <w:start w:val="1"/>
      <w:numFmt w:val="bullet"/>
      <w:pStyle w:val="Bullet1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A12325"/>
    <w:multiLevelType w:val="hybridMultilevel"/>
    <w:tmpl w:val="FF0E5B48"/>
    <w:lvl w:ilvl="0" w:tplc="6D5E22D8">
      <w:start w:val="1"/>
      <w:numFmt w:val="bullet"/>
      <w:pStyle w:val="EndnoteTex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F612B70"/>
    <w:multiLevelType w:val="hybridMultilevel"/>
    <w:tmpl w:val="23582CD2"/>
    <w:lvl w:ilvl="0" w:tplc="F2D0B8EC">
      <w:start w:val="1"/>
      <w:numFmt w:val="bullet"/>
      <w:lvlText w:val=""/>
      <w:lvlJc w:val="left"/>
      <w:pPr>
        <w:tabs>
          <w:tab w:val="num" w:pos="1418"/>
        </w:tabs>
        <w:ind w:left="1134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A00C5E">
      <w:start w:val="1"/>
      <w:numFmt w:val="bullet"/>
      <w:lvlText w:val=""/>
      <w:lvlJc w:val="left"/>
      <w:pPr>
        <w:tabs>
          <w:tab w:val="num" w:pos="1418"/>
        </w:tabs>
        <w:ind w:left="1134" w:firstLine="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1"/>
  </w:num>
  <w:num w:numId="18">
    <w:abstractNumId w:val="18"/>
  </w:num>
  <w:num w:numId="1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A" w:vendorID="64" w:dllVersion="131078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7066"/>
    <w:rsid w:val="00002A7D"/>
    <w:rsid w:val="000038A8"/>
    <w:rsid w:val="00006790"/>
    <w:rsid w:val="00027624"/>
    <w:rsid w:val="00034BE1"/>
    <w:rsid w:val="00044871"/>
    <w:rsid w:val="00050F6B"/>
    <w:rsid w:val="000678CD"/>
    <w:rsid w:val="0007091A"/>
    <w:rsid w:val="00072C8C"/>
    <w:rsid w:val="00081CE0"/>
    <w:rsid w:val="00084D30"/>
    <w:rsid w:val="00087744"/>
    <w:rsid w:val="00090320"/>
    <w:rsid w:val="000931C0"/>
    <w:rsid w:val="000A2E09"/>
    <w:rsid w:val="000B175B"/>
    <w:rsid w:val="000B33CE"/>
    <w:rsid w:val="000B3A0F"/>
    <w:rsid w:val="000C16CE"/>
    <w:rsid w:val="000C7963"/>
    <w:rsid w:val="000D5CE6"/>
    <w:rsid w:val="000E0415"/>
    <w:rsid w:val="000E2FF9"/>
    <w:rsid w:val="000E3DCF"/>
    <w:rsid w:val="000F38B7"/>
    <w:rsid w:val="000F56E2"/>
    <w:rsid w:val="000F7715"/>
    <w:rsid w:val="000F7B6F"/>
    <w:rsid w:val="000F7B76"/>
    <w:rsid w:val="0011765F"/>
    <w:rsid w:val="00126F57"/>
    <w:rsid w:val="00147FD4"/>
    <w:rsid w:val="00156B99"/>
    <w:rsid w:val="00166124"/>
    <w:rsid w:val="00166158"/>
    <w:rsid w:val="0018490B"/>
    <w:rsid w:val="00184DDA"/>
    <w:rsid w:val="001900CD"/>
    <w:rsid w:val="001A0452"/>
    <w:rsid w:val="001A3FA6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25892"/>
    <w:rsid w:val="0023098D"/>
    <w:rsid w:val="00232575"/>
    <w:rsid w:val="002373AF"/>
    <w:rsid w:val="00247258"/>
    <w:rsid w:val="00247D90"/>
    <w:rsid w:val="00257CAC"/>
    <w:rsid w:val="002974E9"/>
    <w:rsid w:val="002A7F94"/>
    <w:rsid w:val="002B109A"/>
    <w:rsid w:val="002C2837"/>
    <w:rsid w:val="002C6D45"/>
    <w:rsid w:val="002D06FB"/>
    <w:rsid w:val="002D6E53"/>
    <w:rsid w:val="002E3E4B"/>
    <w:rsid w:val="002F046D"/>
    <w:rsid w:val="00301764"/>
    <w:rsid w:val="003225DB"/>
    <w:rsid w:val="003229D8"/>
    <w:rsid w:val="003357BE"/>
    <w:rsid w:val="00336C97"/>
    <w:rsid w:val="00342432"/>
    <w:rsid w:val="00352D4B"/>
    <w:rsid w:val="0035638C"/>
    <w:rsid w:val="003709D8"/>
    <w:rsid w:val="00380A9A"/>
    <w:rsid w:val="003812A1"/>
    <w:rsid w:val="003A46BB"/>
    <w:rsid w:val="003A4EC7"/>
    <w:rsid w:val="003A7295"/>
    <w:rsid w:val="003B1F60"/>
    <w:rsid w:val="003C2CC4"/>
    <w:rsid w:val="003D4B23"/>
    <w:rsid w:val="003E278A"/>
    <w:rsid w:val="00413520"/>
    <w:rsid w:val="004325CB"/>
    <w:rsid w:val="00440A07"/>
    <w:rsid w:val="004506F7"/>
    <w:rsid w:val="00451982"/>
    <w:rsid w:val="00457955"/>
    <w:rsid w:val="00462880"/>
    <w:rsid w:val="00476F24"/>
    <w:rsid w:val="00494310"/>
    <w:rsid w:val="004951FF"/>
    <w:rsid w:val="004C4252"/>
    <w:rsid w:val="004C55B0"/>
    <w:rsid w:val="004C6B7B"/>
    <w:rsid w:val="004E517A"/>
    <w:rsid w:val="004F6BA0"/>
    <w:rsid w:val="00503BEA"/>
    <w:rsid w:val="00516A1F"/>
    <w:rsid w:val="00521A41"/>
    <w:rsid w:val="00533616"/>
    <w:rsid w:val="00535ABA"/>
    <w:rsid w:val="0053768B"/>
    <w:rsid w:val="005420F2"/>
    <w:rsid w:val="0054285C"/>
    <w:rsid w:val="00546224"/>
    <w:rsid w:val="0056237B"/>
    <w:rsid w:val="0057650D"/>
    <w:rsid w:val="00584173"/>
    <w:rsid w:val="00595520"/>
    <w:rsid w:val="005A3211"/>
    <w:rsid w:val="005A3A2D"/>
    <w:rsid w:val="005A4018"/>
    <w:rsid w:val="005A44B9"/>
    <w:rsid w:val="005B1BA0"/>
    <w:rsid w:val="005B3DB3"/>
    <w:rsid w:val="005B4DBF"/>
    <w:rsid w:val="005D15CA"/>
    <w:rsid w:val="005F3066"/>
    <w:rsid w:val="005F3E61"/>
    <w:rsid w:val="00604DDD"/>
    <w:rsid w:val="00605704"/>
    <w:rsid w:val="006115CC"/>
    <w:rsid w:val="00611FC4"/>
    <w:rsid w:val="006176FB"/>
    <w:rsid w:val="00630FCB"/>
    <w:rsid w:val="00636011"/>
    <w:rsid w:val="00640B26"/>
    <w:rsid w:val="00641130"/>
    <w:rsid w:val="006770B2"/>
    <w:rsid w:val="006940E1"/>
    <w:rsid w:val="006A3C72"/>
    <w:rsid w:val="006A7392"/>
    <w:rsid w:val="006B03A1"/>
    <w:rsid w:val="006B67D9"/>
    <w:rsid w:val="006C5535"/>
    <w:rsid w:val="006D0196"/>
    <w:rsid w:val="006D0589"/>
    <w:rsid w:val="006D34A4"/>
    <w:rsid w:val="006E564B"/>
    <w:rsid w:val="006E7154"/>
    <w:rsid w:val="007003CD"/>
    <w:rsid w:val="0070701E"/>
    <w:rsid w:val="007070A5"/>
    <w:rsid w:val="0071067D"/>
    <w:rsid w:val="0072632A"/>
    <w:rsid w:val="007358E8"/>
    <w:rsid w:val="00736ECE"/>
    <w:rsid w:val="0074533B"/>
    <w:rsid w:val="007643BC"/>
    <w:rsid w:val="0076548B"/>
    <w:rsid w:val="00767EA7"/>
    <w:rsid w:val="00776A28"/>
    <w:rsid w:val="007959FE"/>
    <w:rsid w:val="007A0CF1"/>
    <w:rsid w:val="007B6BA5"/>
    <w:rsid w:val="007C3390"/>
    <w:rsid w:val="007C42D8"/>
    <w:rsid w:val="007C4F4B"/>
    <w:rsid w:val="007D7362"/>
    <w:rsid w:val="007F10CC"/>
    <w:rsid w:val="007F5CE2"/>
    <w:rsid w:val="007F6611"/>
    <w:rsid w:val="00810BAC"/>
    <w:rsid w:val="008175E9"/>
    <w:rsid w:val="008242D7"/>
    <w:rsid w:val="0082577B"/>
    <w:rsid w:val="00860685"/>
    <w:rsid w:val="00866893"/>
    <w:rsid w:val="00866F02"/>
    <w:rsid w:val="00867D18"/>
    <w:rsid w:val="008701A6"/>
    <w:rsid w:val="00871F9A"/>
    <w:rsid w:val="00871FD5"/>
    <w:rsid w:val="0088172E"/>
    <w:rsid w:val="00881EFA"/>
    <w:rsid w:val="008838DF"/>
    <w:rsid w:val="008979B1"/>
    <w:rsid w:val="008A41D9"/>
    <w:rsid w:val="008A6B25"/>
    <w:rsid w:val="008A6C4F"/>
    <w:rsid w:val="008A7B48"/>
    <w:rsid w:val="008B389E"/>
    <w:rsid w:val="008B7964"/>
    <w:rsid w:val="008D045E"/>
    <w:rsid w:val="008D3F25"/>
    <w:rsid w:val="008D4D82"/>
    <w:rsid w:val="008E0E46"/>
    <w:rsid w:val="008E47FA"/>
    <w:rsid w:val="008E7116"/>
    <w:rsid w:val="008F143B"/>
    <w:rsid w:val="008F3882"/>
    <w:rsid w:val="008F4B7C"/>
    <w:rsid w:val="00913AB7"/>
    <w:rsid w:val="009265B3"/>
    <w:rsid w:val="00926E47"/>
    <w:rsid w:val="00947162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D01C0"/>
    <w:rsid w:val="009D6A08"/>
    <w:rsid w:val="009E0A16"/>
    <w:rsid w:val="009E1BA1"/>
    <w:rsid w:val="009E7970"/>
    <w:rsid w:val="009F2EAC"/>
    <w:rsid w:val="009F57E3"/>
    <w:rsid w:val="00A10F4F"/>
    <w:rsid w:val="00A11067"/>
    <w:rsid w:val="00A1704A"/>
    <w:rsid w:val="00A425EB"/>
    <w:rsid w:val="00A50BD5"/>
    <w:rsid w:val="00A65B63"/>
    <w:rsid w:val="00A72F22"/>
    <w:rsid w:val="00A733BC"/>
    <w:rsid w:val="00A748A6"/>
    <w:rsid w:val="00A76A69"/>
    <w:rsid w:val="00A879A4"/>
    <w:rsid w:val="00AB0013"/>
    <w:rsid w:val="00AB2A4A"/>
    <w:rsid w:val="00AC0F2C"/>
    <w:rsid w:val="00AC502A"/>
    <w:rsid w:val="00AF58C1"/>
    <w:rsid w:val="00B06643"/>
    <w:rsid w:val="00B15055"/>
    <w:rsid w:val="00B30179"/>
    <w:rsid w:val="00B33A88"/>
    <w:rsid w:val="00B37B15"/>
    <w:rsid w:val="00B45C02"/>
    <w:rsid w:val="00B45D0B"/>
    <w:rsid w:val="00B51C59"/>
    <w:rsid w:val="00B53C63"/>
    <w:rsid w:val="00B567C4"/>
    <w:rsid w:val="00B72A1E"/>
    <w:rsid w:val="00B81C5A"/>
    <w:rsid w:val="00B81E12"/>
    <w:rsid w:val="00BA339B"/>
    <w:rsid w:val="00BA6E3F"/>
    <w:rsid w:val="00BC021A"/>
    <w:rsid w:val="00BC1E7E"/>
    <w:rsid w:val="00BC74E9"/>
    <w:rsid w:val="00BE36A9"/>
    <w:rsid w:val="00BE618E"/>
    <w:rsid w:val="00BE7BEC"/>
    <w:rsid w:val="00BF0A5A"/>
    <w:rsid w:val="00BF0E37"/>
    <w:rsid w:val="00BF0E63"/>
    <w:rsid w:val="00BF12A3"/>
    <w:rsid w:val="00BF16D7"/>
    <w:rsid w:val="00BF2373"/>
    <w:rsid w:val="00C044E2"/>
    <w:rsid w:val="00C048CB"/>
    <w:rsid w:val="00C066F3"/>
    <w:rsid w:val="00C13D9F"/>
    <w:rsid w:val="00C42C80"/>
    <w:rsid w:val="00C463DD"/>
    <w:rsid w:val="00C577A3"/>
    <w:rsid w:val="00C745C3"/>
    <w:rsid w:val="00C7664B"/>
    <w:rsid w:val="00C97DDF"/>
    <w:rsid w:val="00CA24A4"/>
    <w:rsid w:val="00CB348D"/>
    <w:rsid w:val="00CC4EDE"/>
    <w:rsid w:val="00CD318B"/>
    <w:rsid w:val="00CD46F5"/>
    <w:rsid w:val="00CE4332"/>
    <w:rsid w:val="00CE4A8F"/>
    <w:rsid w:val="00CF071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7526D"/>
    <w:rsid w:val="00D87200"/>
    <w:rsid w:val="00D973C4"/>
    <w:rsid w:val="00D978C6"/>
    <w:rsid w:val="00DA0956"/>
    <w:rsid w:val="00DA357F"/>
    <w:rsid w:val="00DA3E12"/>
    <w:rsid w:val="00DB2D60"/>
    <w:rsid w:val="00DC160A"/>
    <w:rsid w:val="00DC18AD"/>
    <w:rsid w:val="00DD469C"/>
    <w:rsid w:val="00DE591A"/>
    <w:rsid w:val="00DF19DD"/>
    <w:rsid w:val="00DF7CAE"/>
    <w:rsid w:val="00E15023"/>
    <w:rsid w:val="00E225DF"/>
    <w:rsid w:val="00E423C0"/>
    <w:rsid w:val="00E450D1"/>
    <w:rsid w:val="00E54CB0"/>
    <w:rsid w:val="00E6414C"/>
    <w:rsid w:val="00E7260F"/>
    <w:rsid w:val="00E77B38"/>
    <w:rsid w:val="00E8702D"/>
    <w:rsid w:val="00E916A9"/>
    <w:rsid w:val="00E916DE"/>
    <w:rsid w:val="00E96630"/>
    <w:rsid w:val="00EA7066"/>
    <w:rsid w:val="00ED18DC"/>
    <w:rsid w:val="00ED6201"/>
    <w:rsid w:val="00ED7A2A"/>
    <w:rsid w:val="00EE2974"/>
    <w:rsid w:val="00EF1D7F"/>
    <w:rsid w:val="00F0137E"/>
    <w:rsid w:val="00F035E5"/>
    <w:rsid w:val="00F17B25"/>
    <w:rsid w:val="00F21786"/>
    <w:rsid w:val="00F3742B"/>
    <w:rsid w:val="00F53F13"/>
    <w:rsid w:val="00F56D63"/>
    <w:rsid w:val="00F609A9"/>
    <w:rsid w:val="00F75677"/>
    <w:rsid w:val="00F80C99"/>
    <w:rsid w:val="00F867EC"/>
    <w:rsid w:val="00F91B2B"/>
    <w:rsid w:val="00FB205F"/>
    <w:rsid w:val="00FC03CD"/>
    <w:rsid w:val="00FC0646"/>
    <w:rsid w:val="00FC509F"/>
    <w:rsid w:val="00FC68B7"/>
    <w:rsid w:val="00FD3520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FD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H23">
    <w:name w:val="_ H_2/3"/>
    <w:basedOn w:val="Normal"/>
    <w:next w:val="Normal"/>
    <w:rsid w:val="00E54CB0"/>
    <w:pPr>
      <w:keepNext/>
      <w:keepLines/>
      <w:spacing w:line="240" w:lineRule="exact"/>
      <w:outlineLvl w:val="1"/>
    </w:pPr>
    <w:rPr>
      <w:b/>
      <w:spacing w:val="2"/>
      <w:w w:val="103"/>
      <w:kern w:val="14"/>
      <w:lang w:val="fr-CA"/>
    </w:rPr>
  </w:style>
  <w:style w:type="paragraph" w:styleId="EndnoteText">
    <w:name w:val="endnote text"/>
    <w:aliases w:val="2_G"/>
    <w:basedOn w:val="FootnoteText"/>
    <w:rsid w:val="007B6BA5"/>
  </w:style>
  <w:style w:type="paragraph" w:customStyle="1" w:styleId="H56G">
    <w:name w:val="_ H_5/6_G"/>
    <w:basedOn w:val="Normal"/>
    <w:next w:val="Normal"/>
    <w:rsid w:val="000C16C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Bullet1G">
    <w:name w:val="_Bullet 1_G"/>
    <w:basedOn w:val="Normal"/>
    <w:rsid w:val="000C7963"/>
    <w:pPr>
      <w:numPr>
        <w:numId w:val="17"/>
      </w:numPr>
      <w:spacing w:after="120"/>
      <w:ind w:right="1134"/>
      <w:jc w:val="both"/>
    </w:pPr>
  </w:style>
  <w:style w:type="character" w:styleId="Hyperlink">
    <w:name w:val="Hyperlink"/>
    <w:semiHidden/>
    <w:rsid w:val="00F035E5"/>
    <w:rPr>
      <w:color w:val="auto"/>
      <w:u w:val="none"/>
    </w:rPr>
  </w:style>
  <w:style w:type="paragraph" w:styleId="Footer">
    <w:name w:val="footer"/>
    <w:aliases w:val="3_G"/>
    <w:basedOn w:val="Normal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Bullet2G">
    <w:name w:val="_Bullet 2_G"/>
    <w:basedOn w:val="Normal"/>
    <w:rsid w:val="000C7963"/>
    <w:pPr>
      <w:numPr>
        <w:numId w:val="18"/>
      </w:numPr>
      <w:spacing w:after="120"/>
      <w:ind w:right="1134"/>
      <w:jc w:val="both"/>
    </w:pPr>
  </w:style>
  <w:style w:type="table" w:styleId="TableGrid">
    <w:name w:val="Table Grid"/>
    <w:basedOn w:val="TableNormal"/>
    <w:semiHidden/>
    <w:rsid w:val="00F035E5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semiHidden/>
    <w:rsid w:val="00F035E5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TEMPLATES\CEDA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CEDAW</Template>
  <TotalTime>0</TotalTime>
  <Pages>2</Pages>
  <Words>580</Words>
  <Characters>3190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CEDAW/C/MDG/CO/5/Add.2</vt:lpstr>
    </vt:vector>
  </TitlesOfParts>
  <Company>CSD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CEDAW/C/MDG/CO/5/Add.2</dc:title>
  <dc:subject>final</dc:subject>
  <dc:creator>Nath. V</dc:creator>
  <cp:keywords/>
  <dc:description/>
  <cp:lastModifiedBy>Moret-Var</cp:lastModifiedBy>
  <cp:revision>2</cp:revision>
  <cp:lastPrinted>2010-04-12T14:43:00Z</cp:lastPrinted>
  <dcterms:created xsi:type="dcterms:W3CDTF">2011-12-19T11:00:00Z</dcterms:created>
  <dcterms:modified xsi:type="dcterms:W3CDTF">2011-12-19T11:00:00Z</dcterms:modified>
</cp:coreProperties>
</file>