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Предсессионная рабочая группа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Тридцать пятая сессия</w:t>
      </w:r>
    </w:p>
    <w:p w:rsidR="00000000" w:rsidRDefault="0000000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15 мая — 2 июня 2006 года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Перечень тем и вопросов в связи с рассмотрением периодических докладов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Малави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ab/>
        <w:t>Предсессионная рабочая группа рассмотрела сводные второй, третий, четвертый и пятый периодические доклады Малави (CEDAW/C/MWI/2–5).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Конституция, законодательство и статус Конвенции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1.</w:t>
      </w:r>
      <w:r>
        <w:tab/>
        <w:t>Согласно докладу, в Конституции содержится положение о недискрим</w:t>
      </w:r>
      <w:r>
        <w:t>и</w:t>
      </w:r>
      <w:r>
        <w:t>нации, однако эта норма не получила конкретного законодательного или суде</w:t>
      </w:r>
      <w:r>
        <w:t>б</w:t>
      </w:r>
      <w:r>
        <w:t>ного определения. В докладе также упоминается, что проводимая правовая р</w:t>
      </w:r>
      <w:r>
        <w:t>е</w:t>
      </w:r>
      <w:r>
        <w:t>форма может привести к принятию более четких норм, касающихся ликвид</w:t>
      </w:r>
      <w:r>
        <w:t>а</w:t>
      </w:r>
      <w:r>
        <w:t>ции всех форм дискриминации в отношении женщин (см. пункт 1.5). Просьба представить информацию о масштабах проводимой правовой реформы и о том, предусматривает ли она пересмотр всех законов с целью обеспечения их соо</w:t>
      </w:r>
      <w:r>
        <w:t>т</w:t>
      </w:r>
      <w:r>
        <w:t>ветствия положениям Конвенции, а также включение определения дискрим</w:t>
      </w:r>
      <w:r>
        <w:t>и</w:t>
      </w:r>
      <w:r>
        <w:t>нации в соответствующие законы согласно статье 1 Конвенции. Просьба также уточнить последствия этой реформы для обычного права, в особенности для таких аспектов, как полигамия и различные формы насилия в отношении же</w:t>
      </w:r>
      <w:r>
        <w:t>н</w:t>
      </w:r>
      <w:r>
        <w:t>щин (см. пункт 1.4.2).</w:t>
      </w:r>
    </w:p>
    <w:p w:rsidR="00000000" w:rsidRDefault="00000000">
      <w:pPr>
        <w:pStyle w:val="SingleTxt"/>
      </w:pPr>
      <w:r>
        <w:t>2.</w:t>
      </w:r>
      <w:r>
        <w:tab/>
        <w:t>В 1991 году Малави сняла свои оговорки в отношении положений Ко</w:t>
      </w:r>
      <w:r>
        <w:t>н</w:t>
      </w:r>
      <w:r>
        <w:t>венции, касающихся традиционных обычаев и практики. Однако, несмотря на содержащееся в Конституции требование, никакого закона об отмене подобной пагубной культурной практики принято не было (пункт 6.6.1). Укажите препя</w:t>
      </w:r>
      <w:r>
        <w:t>т</w:t>
      </w:r>
      <w:r>
        <w:t>ствия, мешающие принятию такого закона, и усилия, направленные на их пр</w:t>
      </w:r>
      <w:r>
        <w:t>е</w:t>
      </w:r>
      <w:r>
        <w:t>одоление.</w:t>
      </w:r>
    </w:p>
    <w:p w:rsidR="00000000" w:rsidRDefault="00000000">
      <w:pPr>
        <w:pStyle w:val="SingleTxt"/>
      </w:pPr>
      <w:r>
        <w:t>3.</w:t>
      </w:r>
      <w:r>
        <w:tab/>
        <w:t>В докладе отмечается, что Конституция разрешает браки в детском во</w:t>
      </w:r>
      <w:r>
        <w:t>з</w:t>
      </w:r>
      <w:r>
        <w:t>расте и что это положение противоречит статье 19 закона о браке, в соответс</w:t>
      </w:r>
      <w:r>
        <w:t>т</w:t>
      </w:r>
      <w:r>
        <w:t>вии с которой минимальный брачный возраст составляет 21 год (пункт 16.3.2). Какие планируется принять меры по обеспечению соблюдения закона о бр</w:t>
      </w:r>
      <w:r>
        <w:t>а</w:t>
      </w:r>
      <w:r>
        <w:t>ке?</w:t>
      </w:r>
    </w:p>
    <w:p w:rsidR="00000000" w:rsidRDefault="00000000">
      <w:pPr>
        <w:pStyle w:val="SingleTxt"/>
      </w:pPr>
      <w:r>
        <w:t>4.</w:t>
      </w:r>
      <w:r>
        <w:tab/>
        <w:t>В докладе отмечается, что судьи Высокого суда основывают свои решения скорее на традициях, а не на международной правозащитной практике, и что жители Малави больше доверяют традиционному правосудию (пункт 2.6.8). Просьба указать, какие принимаются меры по пропаганде среди представит</w:t>
      </w:r>
      <w:r>
        <w:t>е</w:t>
      </w:r>
      <w:r>
        <w:t>лей судебных органов, сельских старейшин и вождей принципов равенства мужчин и женщин и прав человека женщин.</w:t>
      </w:r>
    </w:p>
    <w:p w:rsidR="00000000" w:rsidRDefault="00000000">
      <w:pPr>
        <w:pStyle w:val="SingleTxt"/>
      </w:pPr>
      <w:r>
        <w:t>5.</w:t>
      </w:r>
      <w:r>
        <w:tab/>
        <w:t>В докладе упоминается, что в настоящее время предпринимаются усилия по разработке закона о равенстве мужчин и женщин (пункт 6.5). Просьба пре</w:t>
      </w:r>
      <w:r>
        <w:t>д</w:t>
      </w:r>
      <w:r>
        <w:t xml:space="preserve">ставить дополнительную информацию о содержании этого закона, а также о его статусе и сроках его принятия. </w:t>
      </w:r>
    </w:p>
    <w:p w:rsidR="00000000" w:rsidRDefault="00000000">
      <w:pPr>
        <w:pStyle w:val="SingleTxt"/>
      </w:pPr>
      <w:r>
        <w:t>6.</w:t>
      </w:r>
      <w:r>
        <w:tab/>
        <w:t>Согласно докладу, в 2000 году была провозглашена национальная полит</w:t>
      </w:r>
      <w:r>
        <w:t>и</w:t>
      </w:r>
      <w:r>
        <w:t>ка обеспечения равенства мужчин и женщин, и в настоящее время она нах</w:t>
      </w:r>
      <w:r>
        <w:t>о</w:t>
      </w:r>
      <w:r>
        <w:t>дится на этапе окончательной доработки (пункт 2.5.3). Просьба представить информацию о результативности этой политики и указать препятствия, во</w:t>
      </w:r>
      <w:r>
        <w:t>з</w:t>
      </w:r>
      <w:r>
        <w:t>никшие в ходе ее практического осуществления, а также меры, предпринятые с целью их преодоления. В своем ответе укажите, будет ли принята новая наци</w:t>
      </w:r>
      <w:r>
        <w:t>о</w:t>
      </w:r>
      <w:r>
        <w:t xml:space="preserve">нальная политика по обеспечению равенства мужчин и женщин и будет ли она осуществляться. </w:t>
      </w:r>
    </w:p>
    <w:p w:rsidR="00000000" w:rsidRDefault="00000000">
      <w:pPr>
        <w:pStyle w:val="SingleTxt"/>
      </w:pPr>
      <w:r>
        <w:t>7.</w:t>
      </w:r>
      <w:r>
        <w:tab/>
        <w:t>В докладе упоминается, что четвертым инструментом по осуществлению равенства мужчин и женщин является документ по стратегии сокращения ма</w:t>
      </w:r>
      <w:r>
        <w:t>с</w:t>
      </w:r>
      <w:r>
        <w:t>штабов нищеты (пункт 2.5.4). Просьба указать, отражены ли в документе по стратегии сокращения масштабов нищеты положения Конвенция и цели в о</w:t>
      </w:r>
      <w:r>
        <w:t>б</w:t>
      </w:r>
      <w:r>
        <w:t>ласти развития, сформулированные в Декларации тысячелетия (ЦРДТ), и ук</w:t>
      </w:r>
      <w:r>
        <w:t>а</w:t>
      </w:r>
      <w:r>
        <w:t>жите, каким образом в этом документе отражены приоритеты женщин. Вкл</w:t>
      </w:r>
      <w:r>
        <w:t>ю</w:t>
      </w:r>
      <w:r>
        <w:t>чите в свой ответ информацию об имеющихся механизмах контроля и оценки хода осущест</w:t>
      </w:r>
      <w:r>
        <w:t>в</w:t>
      </w:r>
      <w:r>
        <w:t>ления программ и стратегий, реализуемых в интересах женщин.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по улучшению положения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8.</w:t>
      </w:r>
      <w:r>
        <w:tab/>
        <w:t>В докладе отмечается, что министерство по делам женщин и обществе</w:t>
      </w:r>
      <w:r>
        <w:t>н</w:t>
      </w:r>
      <w:r>
        <w:t>ных служб является линейным министерством, которое не может принимать какие-либо меры принуждения, в отличие от центральных министерств (пункт 2.5.6), и что оно сталкивается с многочисленными организационными проблемами, включая низкий уровень финансирования (пункт 4.4.9). Просьба представить информацию об усилиях и мерах, направленных на повышение статуса этого министерства, а также на обеспечение наличия людских и ф</w:t>
      </w:r>
      <w:r>
        <w:t>и</w:t>
      </w:r>
      <w:r>
        <w:t xml:space="preserve">нансовых ресурсов, необходимых для его эффективного функционирования. </w:t>
      </w:r>
    </w:p>
    <w:p w:rsidR="00000000" w:rsidRDefault="00000000">
      <w:pPr>
        <w:pStyle w:val="SingleTxt"/>
      </w:pPr>
      <w:r>
        <w:t>9.</w:t>
      </w:r>
      <w:r>
        <w:tab/>
        <w:t>В докладе отмечается, что в Комиссии по правам человека был создан к</w:t>
      </w:r>
      <w:r>
        <w:t>о</w:t>
      </w:r>
      <w:r>
        <w:t>митет по правам женщин, однако он в недостаточной степени финансируется, а план действий комиссии на 2001 год не предусматривает конкретного осущес</w:t>
      </w:r>
      <w:r>
        <w:t>т</w:t>
      </w:r>
      <w:r>
        <w:t>вления международных стандартов, касающихся равноправия женщин (пункт 2.6.5). Кроме того, Национальная комиссия по вопросам доверия между мужчинами и женщинами испытывает нехватку институциональной поддер</w:t>
      </w:r>
      <w:r>
        <w:t>ж</w:t>
      </w:r>
      <w:r>
        <w:t>ки. Просьба представить информацию о предпринимаемых усилиях в по</w:t>
      </w:r>
      <w:r>
        <w:t>д</w:t>
      </w:r>
      <w:r>
        <w:t>держку правозащитного механизма и механизма защиты прав женщин на пол</w:t>
      </w:r>
      <w:r>
        <w:t>и</w:t>
      </w:r>
      <w:r>
        <w:t xml:space="preserve">тическом и финансовом уровнях. </w:t>
      </w: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Стереотипы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10.</w:t>
      </w:r>
      <w:r>
        <w:tab/>
        <w:t>Просьба представить информацию о результатах осуществления иници</w:t>
      </w:r>
      <w:r>
        <w:t>а</w:t>
      </w:r>
      <w:r>
        <w:t>тив, перечисленных в разделе 5.4, в целях преодоления пагубных и негативных соци</w:t>
      </w:r>
      <w:r>
        <w:t>о</w:t>
      </w:r>
      <w:r>
        <w:t xml:space="preserve">культурных моделей, а также о новых мерах по ликвидации стереотипов. 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11.</w:t>
      </w:r>
      <w:r>
        <w:tab/>
        <w:t>Согласно докладу, правительство совместно со своими заинтересованн</w:t>
      </w:r>
      <w:r>
        <w:t>ы</w:t>
      </w:r>
      <w:r>
        <w:t>ми сторонами в настоящее время работает над подготовкой закона о насилии в семье, в котором устанавливается уголовное наказание за изнасилование жены и за другие преступления сексуального характера (пункт 6.5.3). Просьба пре</w:t>
      </w:r>
      <w:r>
        <w:t>д</w:t>
      </w:r>
      <w:r>
        <w:t>ставить дополнительную подробную информацию о содержании этого закон</w:t>
      </w:r>
      <w:r>
        <w:t>о</w:t>
      </w:r>
      <w:r>
        <w:t>проекта, в том числе о мерах наказания, предусмотренных в отношении прав</w:t>
      </w:r>
      <w:r>
        <w:t>о</w:t>
      </w:r>
      <w:r>
        <w:t>нарушителей, и указать его статус и сроки принятия.</w:t>
      </w:r>
    </w:p>
    <w:p w:rsidR="00000000" w:rsidRDefault="00000000">
      <w:pPr>
        <w:pStyle w:val="SingleTxt"/>
      </w:pPr>
      <w:r>
        <w:t>12.</w:t>
      </w:r>
      <w:r>
        <w:tab/>
        <w:t>Учитывая сохранение многих форм насилия в отношении женщин (пер</w:t>
      </w:r>
      <w:r>
        <w:t>е</w:t>
      </w:r>
      <w:r>
        <w:t>численных а разделе 6.6 и сексуальной эксплуатации девочек в школах, пункт 6.5.2), просьба указать, намеревается ли правительство принять всеоб</w:t>
      </w:r>
      <w:r>
        <w:t>ъ</w:t>
      </w:r>
      <w:r>
        <w:t>емлющий план и стратегию по борьбе на систематической основе со всеми формами насилия в отношении женщин и девочек, включая сбор данных о н</w:t>
      </w:r>
      <w:r>
        <w:t>а</w:t>
      </w:r>
      <w:r>
        <w:t>силии в отношении женщин.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Торговля людьми и эксплуатация проституции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13.</w:t>
      </w:r>
      <w:r>
        <w:tab/>
        <w:t>Согласно докладу, завершение рассмотрения дел, которые были напра</w:t>
      </w:r>
      <w:r>
        <w:t>в</w:t>
      </w:r>
      <w:r>
        <w:t>лены в суды, не представилось возможным ввиду отсутствия правовой основы для вынесения обвинительных приговоров, и в парламент был представлен н</w:t>
      </w:r>
      <w:r>
        <w:t>о</w:t>
      </w:r>
      <w:r>
        <w:t>вый закон о борьбе с торговлей людьми (пункт 6.3.3). Просьба представить информацию о содержании разрабатываемого закона, в том числе о мерах н</w:t>
      </w:r>
      <w:r>
        <w:t>а</w:t>
      </w:r>
      <w:r>
        <w:t>казания в отношении лиц, занимающихся торговлей людьми, о его статусе и сроках его принятия, а также о любых планах осуществления всеобъемлющей стратегии по борьбе с торговлей же</w:t>
      </w:r>
      <w:r>
        <w:t>н</w:t>
      </w:r>
      <w:r>
        <w:t>щинами.</w:t>
      </w:r>
    </w:p>
    <w:p w:rsidR="00000000" w:rsidRDefault="00000000">
      <w:pPr>
        <w:pStyle w:val="SingleTxt"/>
      </w:pPr>
      <w:r>
        <w:t>14.</w:t>
      </w:r>
      <w:r>
        <w:tab/>
        <w:t>В докладе упоминается, что, хотя проституция не считается уголовным правонарушением, работницы секс-индустрии подвергаются злоупотреблен</w:t>
      </w:r>
      <w:r>
        <w:t>и</w:t>
      </w:r>
      <w:r>
        <w:t>ям, включая изнасилование, и не пользуются полной и равной защитой закона (пункты 6.4.4 и 6.4.5). Просьба указать, какие в настоящее время принимаются меры по защите этой группы женщин.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Политическая и общественная жизнь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15.</w:t>
      </w:r>
      <w:r>
        <w:tab/>
        <w:t>Несмотря на то, что государство подписало Декларацию по гендерным вопросам и развитию Сообщества по вопросам развития стран юга Африки, в которой предусматривается, что женщины должны занимать 30 процентов должностей руководящих работников, оно не установило квот с целью ускор</w:t>
      </w:r>
      <w:r>
        <w:t>е</w:t>
      </w:r>
      <w:r>
        <w:t>ния процесса реализации таких мер. Каковы планы правительства на будущее в отношении применения временных специальных мер в соответствии с пун</w:t>
      </w:r>
      <w:r>
        <w:t>к</w:t>
      </w:r>
      <w:r>
        <w:t>том 1 статьи 4 Конвенции и общей рекомендации 25?</w:t>
      </w:r>
    </w:p>
    <w:p w:rsidR="00000000" w:rsidRDefault="00000000">
      <w:pPr>
        <w:pStyle w:val="SingleTxt"/>
      </w:pPr>
      <w:r>
        <w:t>16.</w:t>
      </w:r>
      <w:r>
        <w:tab/>
        <w:t>Какие меры в настоящее время принимаются для увеличения числа же</w:t>
      </w:r>
      <w:r>
        <w:t>н</w:t>
      </w:r>
      <w:r>
        <w:t>щин, занятых на всех уровнях дипломатической службы, а также на междун</w:t>
      </w:r>
      <w:r>
        <w:t>а</w:t>
      </w:r>
      <w:r>
        <w:t>ро</w:t>
      </w:r>
      <w:r>
        <w:t>д</w:t>
      </w:r>
      <w:r>
        <w:t>ном уровне?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Гражданство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17.</w:t>
      </w:r>
      <w:r>
        <w:tab/>
        <w:t>В законе о гражданстве и законе об иммиграции содержатся положения, противоречащие статье 9 Конвенции, а также Конституции Малави. Каким о</w:t>
      </w:r>
      <w:r>
        <w:t>б</w:t>
      </w:r>
      <w:r>
        <w:t>разом правительство планирует устранить это противоречие?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18.</w:t>
      </w:r>
      <w:r>
        <w:tab/>
        <w:t>В докладе признается, что в сфере образования сохраняется неравенство между мужчинами и женщинами, в том что касается поступления, возможн</w:t>
      </w:r>
      <w:r>
        <w:t>о</w:t>
      </w:r>
      <w:r>
        <w:t>сти продолжать обучение, преподавания и успехов в учебе (пункт 10.7), и что «большие надежды возлагаются на применение документов по стратегии с</w:t>
      </w:r>
      <w:r>
        <w:t>о</w:t>
      </w:r>
      <w:r>
        <w:t>кращения масштабов нищеты». Просьба уточнить, какие конкретные меры предусмотрены в этом документе по стратегии с целью решения проблем, с к</w:t>
      </w:r>
      <w:r>
        <w:t>о</w:t>
      </w:r>
      <w:r>
        <w:t>торыми сталкиваются учащиеся девочки и которые перечислены в пун</w:t>
      </w:r>
      <w:r>
        <w:t>к</w:t>
      </w:r>
      <w:r>
        <w:t>те 10.6.2, в целях поощрения их поступления и расширения возможности пр</w:t>
      </w:r>
      <w:r>
        <w:t>о</w:t>
      </w:r>
      <w:r>
        <w:t>должать об</w:t>
      </w:r>
      <w:r>
        <w:t>у</w:t>
      </w:r>
      <w:r>
        <w:t>чение в школах.</w:t>
      </w:r>
    </w:p>
    <w:p w:rsidR="00000000" w:rsidRDefault="00000000">
      <w:pPr>
        <w:pStyle w:val="SingleTxt"/>
      </w:pPr>
      <w:r>
        <w:t>19.</w:t>
      </w:r>
      <w:r>
        <w:tab/>
        <w:t>В докладе упоминается, что, хотя в 1992 году правительством была у</w:t>
      </w:r>
      <w:r>
        <w:t>т</w:t>
      </w:r>
      <w:r>
        <w:t>верждена инициатива «Учебная программа с гендерной точки зрения», в соо</w:t>
      </w:r>
      <w:r>
        <w:t>т</w:t>
      </w:r>
      <w:r>
        <w:t>ветствии с которой в программе начального образования и при подготовке пр</w:t>
      </w:r>
      <w:r>
        <w:t>е</w:t>
      </w:r>
      <w:r>
        <w:t>подавателей учитывались гендерные аспекты, большинство учителей не пр</w:t>
      </w:r>
      <w:r>
        <w:t>о</w:t>
      </w:r>
      <w:r>
        <w:t>шло соответствующей подготовки (пункт 10.4.1). Просьба указать, что препя</w:t>
      </w:r>
      <w:r>
        <w:t>т</w:t>
      </w:r>
      <w:r>
        <w:t>ствует осуществлению такой профессиональной подготовки учителей и какие меры планируется принять с целью преодоления этих препятствий.</w:t>
      </w:r>
    </w:p>
    <w:p w:rsidR="00000000" w:rsidRDefault="00000000">
      <w:pPr>
        <w:pStyle w:val="SingleTxt"/>
      </w:pPr>
      <w:r>
        <w:t>20.</w:t>
      </w:r>
      <w:r>
        <w:tab/>
        <w:t xml:space="preserve">Просьба представить информацию о планах правительства относительно разработки стратегий по обеспечению гендерного равенства в области набора учащихся и назначения на должности в учебных заведениях на всех уровнях. 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21.</w:t>
      </w:r>
      <w:r>
        <w:tab/>
        <w:t>Просьба представить информацию о численности и условиях работы женщин в неформальном секторе. Просьба также указать, какие осуществл</w:t>
      </w:r>
      <w:r>
        <w:t>я</w:t>
      </w:r>
      <w:r>
        <w:t>ются меры в целях закрепления экономических прав этой группы женщин.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22.</w:t>
      </w:r>
      <w:r>
        <w:tab/>
        <w:t>Согласно докладу, «помимо недостаточного числа медицинских учрежд</w:t>
      </w:r>
      <w:r>
        <w:t>е</w:t>
      </w:r>
      <w:r>
        <w:t>ний малавийские женщины сталкиваются с такими проблемами, как доступ к медицинским учреждениям, обслуживанию и медицинским товарам (…), а доступ осложняется из</w:t>
      </w:r>
      <w:r>
        <w:noBreakHyphen/>
        <w:t>за неэффективности транспортной системы и нехватки ресурсов» (пункт 12.3.3). В нем также упоминается, что дискриминация явл</w:t>
      </w:r>
      <w:r>
        <w:t>я</w:t>
      </w:r>
      <w:r>
        <w:t>ется широко распространенной практикой в сфере здравоохранения, и от нее страдают неимущие слои населения и в особенности женщины (пункт 12.4.1). Просьба указать, какие планируется принять меры с целью устранения пр</w:t>
      </w:r>
      <w:r>
        <w:t>о</w:t>
      </w:r>
      <w:r>
        <w:t>блем, связанных с доступом женщин к услугам в области здравоохранения, включая профессиональную подготовку медицинского персонала, и ликвид</w:t>
      </w:r>
      <w:r>
        <w:t>а</w:t>
      </w:r>
      <w:r>
        <w:t>ции всех форм дискриминации в отношении женщин в системе здравоохран</w:t>
      </w:r>
      <w:r>
        <w:t>е</w:t>
      </w:r>
      <w:r>
        <w:t>ния.</w:t>
      </w:r>
    </w:p>
    <w:p w:rsidR="00000000" w:rsidRDefault="00000000">
      <w:pPr>
        <w:pStyle w:val="SingleTxt"/>
      </w:pPr>
      <w:r>
        <w:t>23.</w:t>
      </w:r>
      <w:r>
        <w:tab/>
        <w:t>Согласно статистическим данным, представленным в докладе, в период с 1987 по 2000 год коэффициент материнской смертности вырос с 620 смертей на каждые 100 000 родов до 1120 смертей (пункт 12.13.1). Просьба представить более поздние данные, если они имеются, а также информацию о причинах т</w:t>
      </w:r>
      <w:r>
        <w:t>а</w:t>
      </w:r>
      <w:r>
        <w:t>кого повышения этого показателя и принятых мерах по исправлению полож</w:t>
      </w:r>
      <w:r>
        <w:t>е</w:t>
      </w:r>
      <w:r>
        <w:t xml:space="preserve">ния в этой области. </w:t>
      </w:r>
    </w:p>
    <w:p w:rsidR="00000000" w:rsidRDefault="00000000">
      <w:pPr>
        <w:pStyle w:val="SingleTxt"/>
      </w:pPr>
      <w:r>
        <w:t>24.</w:t>
      </w:r>
      <w:r>
        <w:tab/>
        <w:t>В докладе отмечается, что в возрастной категории от 15 до 24 лет же</w:t>
      </w:r>
      <w:r>
        <w:t>н</w:t>
      </w:r>
      <w:r>
        <w:t>щин, заражающихся ВИЧ, в 4–6 раз больше, чем мужчин этой же возрастной категории (пункт 12.14.1). В докладе далее отмечается, что женщины хуже о</w:t>
      </w:r>
      <w:r>
        <w:t>с</w:t>
      </w:r>
      <w:r>
        <w:t>ведо</w:t>
      </w:r>
      <w:r>
        <w:t>м</w:t>
      </w:r>
      <w:r>
        <w:t>лены о проблеме ВИЧ и СПИДа (пункт 12.14.4) и что ВИЧ-инфицированные женщины в гораздо большей степени подвергаются осужд</w:t>
      </w:r>
      <w:r>
        <w:t>е</w:t>
      </w:r>
      <w:r>
        <w:t>нию, чем мужчины (пункт 12.14.10). Просьба указать, разрабатывается ли вс</w:t>
      </w:r>
      <w:r>
        <w:t>е</w:t>
      </w:r>
      <w:r>
        <w:t>объемлющий план борьбы с ВИЧ/СПИДом, включая любые конкретные меры по решению проблем, с которыми сталкиваются женщины в этой области.</w:t>
      </w:r>
    </w:p>
    <w:p w:rsidR="00000000" w:rsidRDefault="00000000">
      <w:pPr>
        <w:pStyle w:val="SingleTxt"/>
      </w:pPr>
      <w:r>
        <w:t>25.</w:t>
      </w:r>
      <w:r>
        <w:tab/>
        <w:t>Просьба представить информацию о масштабах недоедания среди же</w:t>
      </w:r>
      <w:r>
        <w:t>н</w:t>
      </w:r>
      <w:r>
        <w:t>щин и девочек с разбивкой по возрастным группам и указать, имеются ли пл</w:t>
      </w:r>
      <w:r>
        <w:t>а</w:t>
      </w:r>
      <w:r>
        <w:t>ны осуществления конкретных программ по решению этой проблемы. В этот ответ просьба включить информацию о последствиях нынешнего продовольс</w:t>
      </w:r>
      <w:r>
        <w:t>т</w:t>
      </w:r>
      <w:r>
        <w:t>венного кризиса и засухи для здоровья женщин и девочек и о предпринима</w:t>
      </w:r>
      <w:r>
        <w:t>е</w:t>
      </w:r>
      <w:r>
        <w:t>мых усилиях по смягчению таких последствий.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 и экономика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26.</w:t>
      </w:r>
      <w:r>
        <w:tab/>
        <w:t>Согласно докладу, среди женщин и детей более высокий уровень бедн</w:t>
      </w:r>
      <w:r>
        <w:t>о</w:t>
      </w:r>
      <w:r>
        <w:t>сти отмечен в сельских районах (пункт 14.2.2). Просьба указать, предусмотр</w:t>
      </w:r>
      <w:r>
        <w:t>е</w:t>
      </w:r>
      <w:r>
        <w:t>ны ли в рамках документа по стратегии сокращения масштабов нищеты пр</w:t>
      </w:r>
      <w:r>
        <w:t>о</w:t>
      </w:r>
      <w:r>
        <w:t>граммы оказания помощи сельским женщинам, а также то, в какой степени сельские женщины могут принимать участие в разработке документа по такой страт</w:t>
      </w:r>
      <w:r>
        <w:t>е</w:t>
      </w:r>
      <w:r>
        <w:t>гии.</w:t>
      </w:r>
    </w:p>
    <w:p w:rsidR="00000000" w:rsidRDefault="00000000">
      <w:pPr>
        <w:pStyle w:val="SingleTxt"/>
      </w:pPr>
      <w:r>
        <w:t>27.</w:t>
      </w:r>
      <w:r>
        <w:tab/>
        <w:t>Ввиду нынешней засухи и возникшего продовольственного кризиса, просьба указать меры по оказанию помощи женщинам, поскольку они в бол</w:t>
      </w:r>
      <w:r>
        <w:t>ь</w:t>
      </w:r>
      <w:r>
        <w:t>шей степени страдают в кризисной ситуации. В частности, просьба указать, какие осуществляются меры по обеспечению равного доступа женщин к нео</w:t>
      </w:r>
      <w:r>
        <w:t>т</w:t>
      </w:r>
      <w:r>
        <w:t>ложной гуманитарной помощи, а также по обеспечению устойчивого развития сел</w:t>
      </w:r>
      <w:r>
        <w:t>ь</w:t>
      </w:r>
      <w:r>
        <w:t>ских районов в долгосрочной перспективе.</w:t>
      </w:r>
    </w:p>
    <w:p w:rsidR="00000000" w:rsidRDefault="00000000">
      <w:pPr>
        <w:pStyle w:val="SingleTxt"/>
      </w:pPr>
      <w:r>
        <w:t>28.</w:t>
      </w:r>
      <w:r>
        <w:tab/>
        <w:t>Из доклада явствует, что, несмотря на достигнутые успехи правового х</w:t>
      </w:r>
      <w:r>
        <w:t>а</w:t>
      </w:r>
      <w:r>
        <w:t>рактера в обеспечении доступа женщин к земле и кредитам, женщины по</w:t>
      </w:r>
      <w:r>
        <w:noBreakHyphen/>
        <w:t>прежнему сталкиваются с другими препятствиями (к числу которых отн</w:t>
      </w:r>
      <w:r>
        <w:t>о</w:t>
      </w:r>
      <w:r>
        <w:t>сятся, например, то, что средства производства находятся преимущественно в руках мужчин, низкий уровень самосознания среди женщин, отсутствие у женщин возможностей для получения кредитов и правоспособности для ос</w:t>
      </w:r>
      <w:r>
        <w:t>у</w:t>
      </w:r>
      <w:r>
        <w:t>ществления операций с земельными ресурсами и низкий уровень грамотн</w:t>
      </w:r>
      <w:r>
        <w:t>о</w:t>
      </w:r>
      <w:r>
        <w:t>сти). Просьба указать, какие принимаются меры по преодолению этих препя</w:t>
      </w:r>
      <w:r>
        <w:t>т</w:t>
      </w:r>
      <w:r>
        <w:t>ствий.</w:t>
      </w:r>
    </w:p>
    <w:p w:rsidR="00000000" w:rsidRDefault="00000000">
      <w:pPr>
        <w:pStyle w:val="SingleTxt"/>
      </w:pPr>
      <w:r>
        <w:t>29.</w:t>
      </w:r>
      <w:r>
        <w:tab/>
        <w:t>Согласно докладу, одной из серьезных проблем остается проблема лиш</w:t>
      </w:r>
      <w:r>
        <w:t>е</w:t>
      </w:r>
      <w:r>
        <w:t>ния права собственности. Просьба указать, какие предпринимаются усилия по преодолению этой проблемы, включая меры по обеспечению эффективного осуществления закона о завещаниях и наследовании.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Браки и семейные отношения</w:t>
      </w:r>
    </w:p>
    <w:p w:rsidR="00000000" w:rsidRDefault="00000000">
      <w:pPr>
        <w:pStyle w:val="SingleTxt"/>
        <w:keepNext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30.</w:t>
      </w:r>
      <w:r>
        <w:tab/>
        <w:t>В докладе упоминается, что существующая в Малави система брачных отношений предусматривает различные формы брака, вследствие чего возн</w:t>
      </w:r>
      <w:r>
        <w:t>и</w:t>
      </w:r>
      <w:r>
        <w:t>кает дискриминация в осуществлении прав женщин. Просьба указать, какие были приняты меры по обеспечению соблюдения прав женщин в различных формах брака.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</w:t>
      </w:r>
    </w:p>
    <w:p w:rsidR="00000000" w:rsidRDefault="00000000">
      <w:pPr>
        <w:pStyle w:val="SingleTxt"/>
        <w:spacing w:after="0" w:line="120" w:lineRule="exact"/>
        <w:rPr>
          <w:sz w:val="10"/>
        </w:rPr>
      </w:pPr>
    </w:p>
    <w:p w:rsidR="00000000" w:rsidRDefault="00000000">
      <w:pPr>
        <w:pStyle w:val="SingleTxt"/>
      </w:pPr>
      <w:r>
        <w:t>31.</w:t>
      </w:r>
      <w:r>
        <w:tab/>
        <w:t>Малави является страной, в которой имеются беженцы. Просьба предст</w:t>
      </w:r>
      <w:r>
        <w:t>а</w:t>
      </w:r>
      <w:r>
        <w:t>вить информацию о положении женщин-беженцев. В частности, просьба ук</w:t>
      </w:r>
      <w:r>
        <w:t>а</w:t>
      </w:r>
      <w:r>
        <w:t>зать, ведется ли правительством расследование случаев торговли женщинами-беженцами и их контрабандного ввоза. Просьба также указать, пользуются ли женщины-беженцы равным доступом к национальным судам для подачи зая</w:t>
      </w:r>
      <w:r>
        <w:t>в</w:t>
      </w:r>
      <w:r>
        <w:t>лений о сексуальном насилии и насилии по признаку пола. Просьба также ук</w:t>
      </w:r>
      <w:r>
        <w:t>а</w:t>
      </w:r>
      <w:r>
        <w:t>зать, планирует ли правительство снять сформулированные им оговорки к Ко</w:t>
      </w:r>
      <w:r>
        <w:t>н</w:t>
      </w:r>
      <w:r>
        <w:t>венции 1951 года и внести поправки в действующий закон о беженцах, с тем чтобы позволить беженцам, в особенности женщинам-беженцам, в полной м</w:t>
      </w:r>
      <w:r>
        <w:t>е</w:t>
      </w:r>
      <w:r>
        <w:t>ре интегрироваться и завершить процесс правовой интеграции путем натурал</w:t>
      </w:r>
      <w:r>
        <w:t>и</w:t>
      </w:r>
      <w:r>
        <w:t>зации в Малави.</w:t>
      </w:r>
    </w:p>
    <w:p w:rsidR="00000000" w:rsidRDefault="00000000">
      <w:pPr>
        <w:pStyle w:val="SingleTxt"/>
        <w:spacing w:after="0" w:line="240" w:lineRule="auto"/>
      </w:pPr>
      <w:r>
        <w:rPr>
          <w:w w:val="100"/>
        </w:rPr>
        <w:pict>
          <v:line id="_x0000_s2050" style="position:absolute;left:0;text-align:left;z-index:1;mso-position-horizontal:absolute;mso-position-horizontal-relative:text;mso-position-vertical:absolute;mso-position-vertical-relative:text" from="210.25pt,30pt" to="282.25pt,30pt" o:allowincell="f" strokeweight=".25pt"/>
        </w:pict>
      </w: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NO&gt;&gt;N0624241R&lt;&lt;ODS JOB NO&gt;&gt;</w:t>
      </w:r>
    </w:p>
    <w:p w:rsidR="00000000" w:rsidRDefault="00000000">
      <w:pPr>
        <w:pStyle w:val="CommentText"/>
      </w:pPr>
      <w:r>
        <w:t>&lt;&lt;ODS DOC SYMBOL1&gt;&gt;CEDAW/C/MWI/Q/5&lt;&lt;ODS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06-24241 (R)    060306    060306</w:t>
    </w:r>
  </w:p>
  <w:p w:rsidR="00000000" w:rsidRDefault="00000000">
    <w:pPr>
      <w:pStyle w:val="Footer"/>
      <w:spacing w:before="120" w:line="240" w:lineRule="exact"/>
      <w:rPr>
        <w:rFonts w:ascii="Barcode 3 of 9 by request" w:hAnsi="Barcode 3 of 9 by request"/>
        <w:b w:val="0"/>
        <w:spacing w:val="4"/>
        <w:w w:val="103"/>
        <w:sz w:val="24"/>
      </w:rPr>
    </w:pPr>
    <w:r>
      <w:rPr>
        <w:rFonts w:ascii="Barcode 3 of 9 by request" w:hAnsi="Barcode 3 of 9 by request"/>
        <w:b w:val="0"/>
        <w:spacing w:val="4"/>
        <w:w w:val="103"/>
        <w:sz w:val="24"/>
      </w:rPr>
      <w:t>*0624241*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28.8pt;width:7in;height:50.4pt;z-index:2;mso-position-horizontal:absolute;mso-position-horizontal-relative:text;mso-position-vertical:absolute;mso-position-vertical-relative:page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CEDAW/C/MWI/Q/5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28.8pt;width:7in;height:50.4pt;z-index:1;mso-position-horizontal:absolute;mso-position-horizontal-relative:text;mso-position-vertical:absolute;mso-position-vertical-relative:page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CEDAW/C/MWI/Q/5</w:t>
                      </w:r>
                    </w:p>
                  </w:tc>
                </w:tr>
              </w:tbl>
              <w:p w:rsidR="00000000" w:rsidRDefault="00000000"/>
            </w:txbxContent>
          </v:textbox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/C/MWI/Q/5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9 February 2006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B16AA8"/>
    <w:multiLevelType w:val="multilevel"/>
    <w:tmpl w:val="19820D8E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abstractNum w:abstractNumId="6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>
    <w:nsid w:val="5FF27F2B"/>
    <w:multiLevelType w:val="multilevel"/>
    <w:tmpl w:val="68AAAA24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-32406"/>
        </w:tabs>
        <w:ind w:left="-32766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312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4176"/>
        </w:tabs>
        <w:ind w:left="3888" w:hanging="432"/>
      </w:pPr>
    </w:lvl>
    <w:lvl w:ilvl="7">
      <w:start w:val="1"/>
      <w:numFmt w:val="none"/>
      <w:lvlText w:val=""/>
      <w:lvlJc w:val="left"/>
      <w:pPr>
        <w:tabs>
          <w:tab w:val="num" w:pos="4248"/>
        </w:tabs>
        <w:ind w:left="3888" w:firstLine="0"/>
      </w:pPr>
    </w:lvl>
    <w:lvl w:ilvl="8">
      <w:start w:val="1"/>
      <w:numFmt w:val="none"/>
      <w:suff w:val="nothing"/>
      <w:lvlText w:val=""/>
      <w:lvlJc w:val="left"/>
      <w:pPr>
        <w:ind w:left="3888" w:firstLine="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06/03/2006 17:54:26"/>
    <w:docVar w:name="DocCategory" w:val="Doc"/>
    <w:docVar w:name="DocType" w:val="Final"/>
    <w:docVar w:name="JobNo" w:val="0624241R"/>
    <w:docVar w:name="OandT" w:val=" "/>
    <w:docVar w:name="Symbol1" w:val="CEDAW/C/MWI/Q/5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AnnexHdg">
    <w:name w:val="Annex Hdg"/>
    <w:basedOn w:val="Normal"/>
    <w:pPr>
      <w:keepNext/>
      <w:keepLines/>
      <w:suppressAutoHyphens/>
      <w:spacing w:after="120" w:line="240" w:lineRule="auto"/>
      <w:jc w:val="center"/>
    </w:pPr>
    <w:rPr>
      <w:b/>
      <w:noProof/>
      <w:spacing w:val="0"/>
      <w:w w:val="100"/>
      <w:sz w:val="18"/>
    </w:rPr>
  </w:style>
  <w:style w:type="paragraph" w:customStyle="1" w:styleId="AnnexeHdg">
    <w:name w:val="Annexe Hdg"/>
    <w:basedOn w:val="Normal"/>
    <w:pPr>
      <w:keepNext/>
      <w:keepLines/>
      <w:spacing w:after="120" w:line="240" w:lineRule="auto"/>
      <w:jc w:val="center"/>
    </w:pPr>
    <w:rPr>
      <w:b/>
      <w:i/>
      <w:spacing w:val="0"/>
      <w:w w:val="100"/>
      <w:lang w:val="fr-FR"/>
    </w:rPr>
  </w:style>
  <w:style w:type="paragraph" w:customStyle="1" w:styleId="Annexital">
    <w:name w:val="Annex ital"/>
    <w:basedOn w:val="Normal"/>
    <w:autoRedefine/>
    <w:pPr>
      <w:keepNext/>
      <w:spacing w:after="100" w:line="220" w:lineRule="exact"/>
    </w:pPr>
    <w:rPr>
      <w:i/>
      <w:sz w:val="18"/>
      <w:lang w:val="en-GB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2049</Words>
  <Characters>11684</Characters>
  <Application>Microsoft Office Word</Application>
  <DocSecurity>4</DocSecurity>
  <Lines>97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14348</CharactersWithSpaces>
  <SharedDoc>false</SharedDoc>
  <HLinks>
    <vt:vector size="6" baseType="variant">
      <vt:variant>
        <vt:i4>4522087</vt:i4>
      </vt:variant>
      <vt:variant>
        <vt:i4>29600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Tatyana Nikitina</dc:creator>
  <cp:keywords/>
  <dc:description/>
  <cp:lastModifiedBy>Svetlana.Evseeva</cp:lastModifiedBy>
  <cp:revision>4</cp:revision>
  <cp:lastPrinted>2006-03-06T20:52:00Z</cp:lastPrinted>
  <dcterms:created xsi:type="dcterms:W3CDTF">2006-03-06T20:52:00Z</dcterms:created>
  <dcterms:modified xsi:type="dcterms:W3CDTF">2006-03-06T21:12:00Z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0624241</vt:lpwstr>
  </property>
  <property fmtid="{D5CDD505-2E9C-101B-9397-08002B2CF9AE}" pid="3" name="Symbol1">
    <vt:lpwstr>CEDAW/C/MWI/Q/5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6</vt:lpwstr>
  </property>
  <property fmtid="{D5CDD505-2E9C-101B-9397-08002B2CF9AE}" pid="8" name="Operator">
    <vt:lpwstr>EVSEEVA</vt:lpwstr>
  </property>
</Properties>
</file>