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07688" w14:paraId="11F0DBD0" w14:textId="77777777" w:rsidTr="00C0146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B25890A" w14:textId="77777777" w:rsidR="00307688" w:rsidRPr="007233F9" w:rsidRDefault="00307688" w:rsidP="007233F9">
            <w:pPr>
              <w:pStyle w:val="SingleTxtG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A06F616" w14:textId="77777777" w:rsidR="00307688" w:rsidRPr="00B97172" w:rsidRDefault="00307688" w:rsidP="00C01462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81B7F56" w14:textId="77777777" w:rsidR="00307688" w:rsidRPr="002E51B7" w:rsidRDefault="007A34C9" w:rsidP="007A34C9">
            <w:pPr>
              <w:suppressAutoHyphens w:val="0"/>
              <w:spacing w:after="20"/>
              <w:jc w:val="right"/>
            </w:pPr>
            <w:r w:rsidRPr="007A34C9">
              <w:rPr>
                <w:sz w:val="40"/>
              </w:rPr>
              <w:t>CERD</w:t>
            </w:r>
            <w:r>
              <w:t>/C/THA/Q/4-8</w:t>
            </w:r>
          </w:p>
        </w:tc>
      </w:tr>
      <w:tr w:rsidR="00307688" w14:paraId="79373F27" w14:textId="77777777" w:rsidTr="00C0146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02D7EAC" w14:textId="77777777" w:rsidR="00307688" w:rsidRDefault="00307688" w:rsidP="00C01462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61941A3" wp14:editId="61F7C7BB">
                  <wp:extent cx="709295" cy="589915"/>
                  <wp:effectExtent l="0" t="0" r="0" b="635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0432874" w14:textId="24051D98" w:rsidR="00307688" w:rsidRDefault="00307688" w:rsidP="00863BE0">
            <w:pPr>
              <w:spacing w:before="120" w:line="380" w:lineRule="exact"/>
            </w:pPr>
            <w:r w:rsidRPr="000B4EF7">
              <w:rPr>
                <w:b/>
                <w:sz w:val="34"/>
                <w:szCs w:val="40"/>
              </w:rPr>
              <w:t>International Convention on</w:t>
            </w:r>
            <w:r>
              <w:rPr>
                <w:b/>
                <w:sz w:val="34"/>
                <w:szCs w:val="40"/>
              </w:rPr>
              <w:br/>
              <w:t>the Elimination of A</w:t>
            </w:r>
            <w:r w:rsidRPr="000B4EF7">
              <w:rPr>
                <w:b/>
                <w:sz w:val="34"/>
                <w:szCs w:val="40"/>
              </w:rPr>
              <w:t>ll Forms</w:t>
            </w:r>
            <w:r>
              <w:rPr>
                <w:b/>
                <w:sz w:val="34"/>
                <w:szCs w:val="40"/>
              </w:rPr>
              <w:br/>
            </w:r>
            <w:r w:rsidRPr="000B4EF7">
              <w:rPr>
                <w:b/>
                <w:sz w:val="34"/>
                <w:szCs w:val="40"/>
              </w:rPr>
              <w:t>of Racial Discrimination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B73BECF" w14:textId="77777777" w:rsidR="00307688" w:rsidRDefault="007A34C9" w:rsidP="007A34C9">
            <w:pPr>
              <w:spacing w:before="240"/>
            </w:pPr>
            <w:r>
              <w:t>Distr.: General</w:t>
            </w:r>
          </w:p>
          <w:p w14:paraId="626BEEC7" w14:textId="77777777" w:rsidR="007A34C9" w:rsidRDefault="007A34C9" w:rsidP="007A34C9">
            <w:pPr>
              <w:suppressAutoHyphens w:val="0"/>
            </w:pPr>
            <w:r>
              <w:t>28 September 2021</w:t>
            </w:r>
          </w:p>
          <w:p w14:paraId="61B4317E" w14:textId="77777777" w:rsidR="007A34C9" w:rsidRDefault="007A34C9" w:rsidP="007A34C9">
            <w:pPr>
              <w:suppressAutoHyphens w:val="0"/>
            </w:pPr>
          </w:p>
          <w:p w14:paraId="6815D92B" w14:textId="77777777" w:rsidR="007A34C9" w:rsidRDefault="007A34C9" w:rsidP="007A34C9">
            <w:pPr>
              <w:suppressAutoHyphens w:val="0"/>
            </w:pPr>
            <w:r>
              <w:t>Original: English</w:t>
            </w:r>
          </w:p>
          <w:p w14:paraId="58DB8983" w14:textId="3135303D" w:rsidR="007A34C9" w:rsidRDefault="007A34C9" w:rsidP="007A34C9">
            <w:pPr>
              <w:suppressAutoHyphens w:val="0"/>
            </w:pPr>
            <w:r w:rsidRPr="007170F5">
              <w:t>English, French and Spanish only</w:t>
            </w:r>
          </w:p>
        </w:tc>
      </w:tr>
    </w:tbl>
    <w:p w14:paraId="30724CA6" w14:textId="77777777" w:rsidR="007A34C9" w:rsidRPr="008124B9" w:rsidRDefault="007A34C9" w:rsidP="007A34C9">
      <w:pPr>
        <w:spacing w:before="120"/>
        <w:rPr>
          <w:b/>
          <w:bCs/>
          <w:sz w:val="24"/>
          <w:szCs w:val="24"/>
          <w:lang w:val="en-US"/>
        </w:rPr>
      </w:pPr>
      <w:r w:rsidRPr="007170F5">
        <w:rPr>
          <w:b/>
          <w:bCs/>
          <w:sz w:val="24"/>
          <w:szCs w:val="24"/>
          <w:lang w:val="en-US"/>
        </w:rPr>
        <w:t>Committee on the Elimination of Racial Discrimination</w:t>
      </w:r>
    </w:p>
    <w:p w14:paraId="2BF3397D" w14:textId="77777777" w:rsidR="007A34C9" w:rsidRPr="008124B9" w:rsidRDefault="007A34C9" w:rsidP="007A34C9">
      <w:pPr>
        <w:rPr>
          <w:b/>
          <w:bCs/>
          <w:lang w:val="en-US"/>
        </w:rPr>
      </w:pPr>
      <w:r>
        <w:rPr>
          <w:rFonts w:eastAsia="Arial Unicode MS" w:cs="Arial Unicode MS"/>
          <w:b/>
          <w:bCs/>
          <w:lang w:val="en-US"/>
        </w:rPr>
        <w:t>105</w:t>
      </w:r>
      <w:r w:rsidRPr="009B368F">
        <w:rPr>
          <w:rFonts w:eastAsia="Arial Unicode MS" w:cs="Arial Unicode MS"/>
          <w:b/>
          <w:bCs/>
          <w:lang w:val="en-US"/>
        </w:rPr>
        <w:t>th</w:t>
      </w:r>
      <w:r>
        <w:rPr>
          <w:rFonts w:eastAsia="Arial Unicode MS" w:cs="Arial Unicode MS"/>
          <w:b/>
          <w:bCs/>
          <w:lang w:val="en-US"/>
        </w:rPr>
        <w:t xml:space="preserve"> </w:t>
      </w:r>
      <w:r w:rsidRPr="00303987">
        <w:rPr>
          <w:rFonts w:eastAsia="Arial Unicode MS" w:cs="Arial Unicode MS"/>
          <w:b/>
          <w:bCs/>
          <w:lang w:val="en-US"/>
        </w:rPr>
        <w:t>session</w:t>
      </w:r>
    </w:p>
    <w:p w14:paraId="2CF13396" w14:textId="77777777" w:rsidR="007A34C9" w:rsidRPr="008124B9" w:rsidRDefault="007A34C9" w:rsidP="007A34C9">
      <w:pPr>
        <w:rPr>
          <w:lang w:val="en-US"/>
        </w:rPr>
      </w:pPr>
      <w:r>
        <w:rPr>
          <w:rFonts w:eastAsia="Arial Unicode MS" w:cs="Arial Unicode MS"/>
          <w:lang w:val="en-US"/>
        </w:rPr>
        <w:t>15 November–3 December 2021</w:t>
      </w:r>
    </w:p>
    <w:p w14:paraId="3C54C20B" w14:textId="77777777" w:rsidR="007A34C9" w:rsidRPr="008124B9" w:rsidRDefault="007A34C9" w:rsidP="007A34C9">
      <w:pPr>
        <w:rPr>
          <w:lang w:val="en-US"/>
        </w:rPr>
      </w:pPr>
      <w:r w:rsidRPr="00303987">
        <w:rPr>
          <w:rFonts w:eastAsia="Arial Unicode MS" w:cs="Arial Unicode MS"/>
          <w:lang w:val="en-US"/>
        </w:rPr>
        <w:t>It</w:t>
      </w:r>
      <w:r>
        <w:rPr>
          <w:rFonts w:eastAsia="Arial Unicode MS" w:cs="Arial Unicode MS"/>
          <w:lang w:val="en-US"/>
        </w:rPr>
        <w:t>em 4</w:t>
      </w:r>
      <w:r w:rsidRPr="00303987">
        <w:rPr>
          <w:rFonts w:eastAsia="Arial Unicode MS" w:cs="Arial Unicode MS"/>
          <w:lang w:val="en-US"/>
        </w:rPr>
        <w:t xml:space="preserve"> of the provisional agenda</w:t>
      </w:r>
    </w:p>
    <w:p w14:paraId="1AA4F933" w14:textId="734D081D" w:rsidR="007A34C9" w:rsidRPr="008124B9" w:rsidRDefault="007A34C9" w:rsidP="007A34C9">
      <w:pPr>
        <w:rPr>
          <w:b/>
          <w:bCs/>
          <w:lang w:val="en-US"/>
        </w:rPr>
      </w:pPr>
      <w:r w:rsidRPr="008124B9">
        <w:rPr>
          <w:b/>
        </w:rPr>
        <w:t>Consideration of reports, comments and information submitted</w:t>
      </w:r>
      <w:r>
        <w:rPr>
          <w:b/>
        </w:rPr>
        <w:br/>
      </w:r>
      <w:r w:rsidRPr="008124B9">
        <w:rPr>
          <w:b/>
        </w:rPr>
        <w:t>by States parties under article 9 of the Convention</w:t>
      </w:r>
    </w:p>
    <w:p w14:paraId="45F8E98D" w14:textId="77777777" w:rsidR="007A34C9" w:rsidRPr="00303987" w:rsidRDefault="007A34C9" w:rsidP="007A34C9">
      <w:pPr>
        <w:pStyle w:val="HChG"/>
      </w:pPr>
      <w:r w:rsidRPr="00303987">
        <w:rPr>
          <w:rFonts w:eastAsia="Arial Unicode MS" w:cs="Arial Unicode MS"/>
        </w:rPr>
        <w:tab/>
      </w:r>
      <w:r w:rsidRPr="00303987">
        <w:rPr>
          <w:rFonts w:eastAsia="Arial Unicode MS" w:cs="Arial Unicode MS"/>
        </w:rPr>
        <w:tab/>
      </w:r>
      <w:r>
        <w:rPr>
          <w:rFonts w:eastAsia="Arial Unicode MS" w:cs="Arial Unicode MS"/>
        </w:rPr>
        <w:t>L</w:t>
      </w:r>
      <w:r w:rsidRPr="00303987">
        <w:rPr>
          <w:rFonts w:eastAsia="Arial Unicode MS" w:cs="Arial Unicode MS"/>
        </w:rPr>
        <w:t xml:space="preserve">ist of themes in relation to the combined fourth to eighth </w:t>
      </w:r>
      <w:r>
        <w:rPr>
          <w:rFonts w:eastAsia="Arial Unicode MS" w:cs="Arial Unicode MS"/>
        </w:rPr>
        <w:t xml:space="preserve">periodic </w:t>
      </w:r>
      <w:r w:rsidRPr="00303987">
        <w:rPr>
          <w:rFonts w:eastAsia="Arial Unicode MS" w:cs="Arial Unicode MS"/>
        </w:rPr>
        <w:t>reports of Thailand</w:t>
      </w:r>
    </w:p>
    <w:p w14:paraId="79249FC2" w14:textId="77777777" w:rsidR="007A34C9" w:rsidRPr="00303987" w:rsidRDefault="007A34C9" w:rsidP="007A34C9">
      <w:pPr>
        <w:pStyle w:val="H1G"/>
      </w:pPr>
      <w:r w:rsidRPr="00303987">
        <w:rPr>
          <w:rFonts w:eastAsia="Arial Unicode MS" w:cs="Arial Unicode MS"/>
        </w:rPr>
        <w:tab/>
      </w:r>
      <w:r w:rsidRPr="00303987">
        <w:rPr>
          <w:rFonts w:eastAsia="Arial Unicode MS" w:cs="Arial Unicode MS"/>
        </w:rPr>
        <w:tab/>
        <w:t>Note by the Country Rapporteur</w:t>
      </w:r>
      <w:r w:rsidRPr="00863BE0">
        <w:rPr>
          <w:rStyle w:val="FootnoteReference"/>
          <w:rFonts w:eastAsia="Arial Unicode MS"/>
          <w:b w:val="0"/>
          <w:bCs/>
          <w:sz w:val="20"/>
          <w:vertAlign w:val="baseline"/>
        </w:rPr>
        <w:footnoteReference w:customMarkFollows="1" w:id="1"/>
        <w:t>*</w:t>
      </w:r>
    </w:p>
    <w:p w14:paraId="0D11D801" w14:textId="435C3612" w:rsidR="007A34C9" w:rsidRPr="00303987" w:rsidRDefault="009F316A" w:rsidP="009F316A">
      <w:pPr>
        <w:pStyle w:val="SingleTxtG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701"/>
          <w:tab w:val="clear" w:pos="2268"/>
        </w:tabs>
      </w:pPr>
      <w:r w:rsidRPr="00303987">
        <w:t>1.</w:t>
      </w:r>
      <w:r w:rsidRPr="00303987">
        <w:tab/>
      </w:r>
      <w:r w:rsidR="007A34C9" w:rsidRPr="00303987">
        <w:t>The Committee on the Elimination of Racial Discrimination decided at its seventy-sixth session (A/65/18, para. 85) that the Country Rapporteur would send to the State party concerned a short list of themes with a view to guiding and focusing the dialogue between the State party’s delegation and the Committee during the consideration of the State party’s report. The present document contains a list of such themes. It is not an exhaustive list; other issues may also be raised in the course of the dialogue. No written replies are required.</w:t>
      </w:r>
    </w:p>
    <w:p w14:paraId="00986207" w14:textId="6D3D2DB4" w:rsidR="007A34C9" w:rsidRPr="00303987" w:rsidRDefault="007A34C9" w:rsidP="007A34C9">
      <w:pPr>
        <w:pStyle w:val="H23G"/>
      </w:pPr>
      <w:r w:rsidRPr="00303987">
        <w:rPr>
          <w:rFonts w:eastAsia="Arial Unicode MS" w:cs="Arial Unicode MS"/>
        </w:rPr>
        <w:tab/>
      </w:r>
      <w:r w:rsidRPr="00303987">
        <w:rPr>
          <w:rFonts w:eastAsia="Arial Unicode MS" w:cs="Arial Unicode MS"/>
        </w:rPr>
        <w:tab/>
        <w:t xml:space="preserve">The Convention in domestic law and the institutional and policy framework for its implementation (arts. </w:t>
      </w:r>
      <w:r w:rsidRPr="00303987">
        <w:rPr>
          <w:rFonts w:eastAsia="Arial Unicode MS" w:cs="Arial Unicode MS"/>
          <w:u w:color="FF0000"/>
        </w:rPr>
        <w:t>1</w:t>
      </w:r>
      <w:r w:rsidRPr="00303987">
        <w:rPr>
          <w:rFonts w:eastAsia="Arial Unicode MS" w:cs="Arial Unicode MS"/>
        </w:rPr>
        <w:t xml:space="preserve">, </w:t>
      </w:r>
      <w:r w:rsidRPr="00303987">
        <w:rPr>
          <w:rFonts w:eastAsia="Arial Unicode MS" w:cs="Arial Unicode MS"/>
          <w:u w:color="FF0000"/>
        </w:rPr>
        <w:t>2, 4, 6 and 7</w:t>
      </w:r>
      <w:r w:rsidRPr="00303987">
        <w:rPr>
          <w:rFonts w:eastAsia="Arial Unicode MS" w:cs="Arial Unicode MS"/>
        </w:rPr>
        <w:t>)</w:t>
      </w:r>
    </w:p>
    <w:p w14:paraId="70F55AD7" w14:textId="05590688" w:rsidR="007A34C9" w:rsidRDefault="009F316A" w:rsidP="009F316A">
      <w:pPr>
        <w:pStyle w:val="SingleTxtG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701"/>
          <w:tab w:val="clear" w:pos="2268"/>
        </w:tabs>
      </w:pPr>
      <w:r>
        <w:t>2.</w:t>
      </w:r>
      <w:r>
        <w:tab/>
      </w:r>
      <w:r w:rsidR="007A34C9" w:rsidRPr="008124B9">
        <w:t>Data on the ethnic composition of the population, including minority groups, non-citizens and indigenous peoples, based on the criterion of self-identification (CERD/C/THA/CO/</w:t>
      </w:r>
      <w:r w:rsidR="007A34C9" w:rsidRPr="00984D81">
        <w:rPr>
          <w:u w:color="FF0000"/>
        </w:rPr>
        <w:t>1-3</w:t>
      </w:r>
      <w:r w:rsidR="007A34C9" w:rsidRPr="008124B9">
        <w:t>, para.</w:t>
      </w:r>
      <w:r w:rsidR="00736DCC">
        <w:t xml:space="preserve"> </w:t>
      </w:r>
      <w:r w:rsidR="007A34C9" w:rsidRPr="008124B9">
        <w:t>15; CERD/C/</w:t>
      </w:r>
      <w:r w:rsidR="007A34C9" w:rsidRPr="00984D81">
        <w:rPr>
          <w:u w:color="FF0000"/>
        </w:rPr>
        <w:t>THA</w:t>
      </w:r>
      <w:r w:rsidR="007A34C9" w:rsidRPr="008124B9">
        <w:t>/</w:t>
      </w:r>
      <w:r w:rsidR="007A34C9" w:rsidRPr="00984D81">
        <w:rPr>
          <w:u w:color="FF0000"/>
        </w:rPr>
        <w:t>4-8</w:t>
      </w:r>
      <w:r w:rsidR="007A34C9" w:rsidRPr="008124B9">
        <w:t>, paras.</w:t>
      </w:r>
      <w:r w:rsidR="00736DCC">
        <w:t xml:space="preserve"> </w:t>
      </w:r>
      <w:r w:rsidR="007A34C9" w:rsidRPr="00984D81">
        <w:rPr>
          <w:u w:color="FF0000"/>
        </w:rPr>
        <w:t>31</w:t>
      </w:r>
      <w:r w:rsidR="007A34C9">
        <w:rPr>
          <w:u w:color="FF0000"/>
        </w:rPr>
        <w:t>–</w:t>
      </w:r>
      <w:r w:rsidR="007A34C9" w:rsidRPr="00984D81">
        <w:rPr>
          <w:u w:color="FF0000"/>
        </w:rPr>
        <w:t>32</w:t>
      </w:r>
      <w:r w:rsidR="007A34C9" w:rsidRPr="008124B9">
        <w:t>).</w:t>
      </w:r>
    </w:p>
    <w:p w14:paraId="0FAAE212" w14:textId="50025A8F" w:rsidR="007A34C9" w:rsidRPr="00984D81" w:rsidRDefault="009F316A" w:rsidP="009F316A">
      <w:pPr>
        <w:pStyle w:val="SingleTxtG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701"/>
          <w:tab w:val="clear" w:pos="2268"/>
        </w:tabs>
      </w:pPr>
      <w:r w:rsidRPr="00984D81">
        <w:t>3.</w:t>
      </w:r>
      <w:r w:rsidRPr="00984D81">
        <w:tab/>
      </w:r>
      <w:r w:rsidR="007A34C9" w:rsidRPr="00303987">
        <w:t xml:space="preserve">Information on progress made in further incorporating the provisions of the Convention in the domestic legal order </w:t>
      </w:r>
      <w:r w:rsidR="007A34C9" w:rsidRPr="008124B9">
        <w:t>(CERD/C/THA/CO/</w:t>
      </w:r>
      <w:r w:rsidR="007A34C9" w:rsidRPr="00984D81">
        <w:rPr>
          <w:u w:color="FF0000"/>
        </w:rPr>
        <w:t>1-3</w:t>
      </w:r>
      <w:r w:rsidR="007A34C9" w:rsidRPr="008124B9">
        <w:t xml:space="preserve">, para. </w:t>
      </w:r>
      <w:r w:rsidR="007A34C9" w:rsidRPr="00984D81">
        <w:rPr>
          <w:u w:color="FF0000"/>
        </w:rPr>
        <w:t>7</w:t>
      </w:r>
      <w:r w:rsidR="007A34C9" w:rsidRPr="008124B9">
        <w:t>; CERD/C/</w:t>
      </w:r>
      <w:r w:rsidR="007A34C9" w:rsidRPr="00984D81">
        <w:rPr>
          <w:u w:color="FF0000"/>
        </w:rPr>
        <w:t>THA</w:t>
      </w:r>
      <w:r w:rsidR="007A34C9" w:rsidRPr="008124B9">
        <w:t>/</w:t>
      </w:r>
      <w:r w:rsidR="007A34C9" w:rsidRPr="00984D81">
        <w:rPr>
          <w:u w:color="FF0000"/>
        </w:rPr>
        <w:t>4-8</w:t>
      </w:r>
      <w:r w:rsidR="007A34C9" w:rsidRPr="008124B9">
        <w:t>, paras.</w:t>
      </w:r>
      <w:r w:rsidR="00863BE0">
        <w:t xml:space="preserve"> </w:t>
      </w:r>
      <w:r w:rsidR="007A34C9" w:rsidRPr="008124B9">
        <w:t>8</w:t>
      </w:r>
      <w:r w:rsidR="007A34C9">
        <w:t>–</w:t>
      </w:r>
      <w:r w:rsidR="007A34C9" w:rsidRPr="008124B9">
        <w:t>13).</w:t>
      </w:r>
    </w:p>
    <w:p w14:paraId="29AF8436" w14:textId="3B809C8B" w:rsidR="007A34C9" w:rsidRDefault="009F316A" w:rsidP="009F316A">
      <w:pPr>
        <w:pStyle w:val="SingleTxtG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701"/>
          <w:tab w:val="clear" w:pos="2268"/>
        </w:tabs>
      </w:pPr>
      <w:r>
        <w:t>4.</w:t>
      </w:r>
      <w:r>
        <w:tab/>
      </w:r>
      <w:r w:rsidR="007A34C9" w:rsidRPr="00303987">
        <w:t xml:space="preserve">Information on the adoption of legal provisions defining and prohibiting </w:t>
      </w:r>
      <w:r w:rsidR="007A34C9">
        <w:t xml:space="preserve">multiple and intersectional </w:t>
      </w:r>
      <w:r w:rsidR="007A34C9" w:rsidRPr="00303987">
        <w:t xml:space="preserve">discrimination in the State party </w:t>
      </w:r>
      <w:r w:rsidR="007A34C9" w:rsidRPr="008124B9">
        <w:t>(CERD/C/THA/CO/</w:t>
      </w:r>
      <w:r w:rsidR="007A34C9" w:rsidRPr="00984D81">
        <w:rPr>
          <w:u w:color="FF0000"/>
        </w:rPr>
        <w:t>1-3</w:t>
      </w:r>
      <w:r w:rsidR="007A34C9" w:rsidRPr="008124B9">
        <w:t xml:space="preserve">, para. </w:t>
      </w:r>
      <w:r w:rsidR="007A34C9" w:rsidRPr="00984D81">
        <w:rPr>
          <w:u w:color="FF0000"/>
        </w:rPr>
        <w:t>9</w:t>
      </w:r>
      <w:r w:rsidR="007A34C9" w:rsidRPr="008124B9">
        <w:t>; CERD/C/</w:t>
      </w:r>
      <w:r w:rsidR="007A34C9" w:rsidRPr="00984D81">
        <w:rPr>
          <w:u w:color="FF0000"/>
        </w:rPr>
        <w:t>THA</w:t>
      </w:r>
      <w:r w:rsidR="007A34C9" w:rsidRPr="008124B9">
        <w:t>/</w:t>
      </w:r>
      <w:r w:rsidR="007A34C9" w:rsidRPr="00984D81">
        <w:rPr>
          <w:u w:color="FF0000"/>
        </w:rPr>
        <w:t>4-8</w:t>
      </w:r>
      <w:r w:rsidR="007A34C9" w:rsidRPr="008124B9">
        <w:t>, paras. 15</w:t>
      </w:r>
      <w:r w:rsidR="007A34C9">
        <w:t>–</w:t>
      </w:r>
      <w:r w:rsidR="007A34C9" w:rsidRPr="008124B9">
        <w:t>16).</w:t>
      </w:r>
    </w:p>
    <w:p w14:paraId="4D6FE3E2" w14:textId="5C6C22D1" w:rsidR="007A34C9" w:rsidRPr="00984D81" w:rsidRDefault="009F316A" w:rsidP="009F316A">
      <w:pPr>
        <w:pStyle w:val="SingleTxtG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701"/>
          <w:tab w:val="clear" w:pos="2268"/>
        </w:tabs>
      </w:pPr>
      <w:r w:rsidRPr="00984D81">
        <w:t>5.</w:t>
      </w:r>
      <w:r w:rsidRPr="00984D81">
        <w:tab/>
      </w:r>
      <w:r w:rsidR="007A34C9" w:rsidRPr="008124B9">
        <w:t>Information on measures taken to incorporate into the Criminal Code the offen</w:t>
      </w:r>
      <w:r w:rsidR="007A34C9">
        <w:t>c</w:t>
      </w:r>
      <w:r w:rsidR="007A34C9" w:rsidRPr="008124B9">
        <w:t>es prescribed in article 4</w:t>
      </w:r>
      <w:r w:rsidR="007A34C9">
        <w:t xml:space="preserve"> of the Convention</w:t>
      </w:r>
      <w:r w:rsidR="007A34C9" w:rsidRPr="008124B9">
        <w:t xml:space="preserve">, and </w:t>
      </w:r>
      <w:r w:rsidR="007A34C9">
        <w:t xml:space="preserve">on </w:t>
      </w:r>
      <w:r w:rsidR="007A34C9" w:rsidRPr="008124B9">
        <w:t xml:space="preserve">their </w:t>
      </w:r>
      <w:r w:rsidR="007A34C9">
        <w:t>application</w:t>
      </w:r>
      <w:r w:rsidR="007A34C9" w:rsidRPr="008124B9">
        <w:t xml:space="preserve">, after the withdrawal of the reservation to </w:t>
      </w:r>
      <w:r w:rsidR="007A34C9">
        <w:t>article</w:t>
      </w:r>
      <w:r w:rsidR="00736DCC">
        <w:t xml:space="preserve"> </w:t>
      </w:r>
      <w:r w:rsidR="007A34C9" w:rsidRPr="008124B9">
        <w:t>4 (CERD/C/THA/CO/</w:t>
      </w:r>
      <w:r w:rsidR="007A34C9" w:rsidRPr="00984D81">
        <w:rPr>
          <w:u w:color="FF0000"/>
        </w:rPr>
        <w:t>1-3</w:t>
      </w:r>
      <w:r w:rsidR="007A34C9">
        <w:t>, para.</w:t>
      </w:r>
      <w:r w:rsidR="00736DCC">
        <w:t xml:space="preserve"> </w:t>
      </w:r>
      <w:r w:rsidR="007A34C9" w:rsidRPr="00984D81">
        <w:rPr>
          <w:u w:color="FF0000"/>
        </w:rPr>
        <w:t>11</w:t>
      </w:r>
      <w:r w:rsidR="007A34C9" w:rsidRPr="008124B9">
        <w:t>; CERD/C/</w:t>
      </w:r>
      <w:r w:rsidR="007A34C9" w:rsidRPr="00984D81">
        <w:rPr>
          <w:u w:color="FF0000"/>
        </w:rPr>
        <w:t>THA</w:t>
      </w:r>
      <w:r w:rsidR="007A34C9" w:rsidRPr="008124B9">
        <w:t>/</w:t>
      </w:r>
      <w:r w:rsidR="007A34C9" w:rsidRPr="00984D81">
        <w:rPr>
          <w:u w:color="FF0000"/>
        </w:rPr>
        <w:t>4-8</w:t>
      </w:r>
      <w:r w:rsidR="007A34C9">
        <w:t>, para.</w:t>
      </w:r>
      <w:r w:rsidR="00736DCC">
        <w:t xml:space="preserve"> </w:t>
      </w:r>
      <w:r w:rsidR="007A34C9" w:rsidRPr="008124B9">
        <w:t>20).</w:t>
      </w:r>
      <w:r w:rsidR="007A34C9" w:rsidRPr="00984D81">
        <w:rPr>
          <w:vertAlign w:val="superscript"/>
        </w:rPr>
        <w:t xml:space="preserve"> </w:t>
      </w:r>
    </w:p>
    <w:p w14:paraId="58862DE4" w14:textId="3E945ACC" w:rsidR="007A34C9" w:rsidRPr="008124B9" w:rsidRDefault="009F316A" w:rsidP="009F316A">
      <w:pPr>
        <w:pStyle w:val="SingleTxtG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701"/>
          <w:tab w:val="clear" w:pos="2268"/>
        </w:tabs>
      </w:pPr>
      <w:r w:rsidRPr="008124B9">
        <w:t>6.</w:t>
      </w:r>
      <w:r w:rsidRPr="008124B9">
        <w:tab/>
      </w:r>
      <w:r w:rsidR="007A34C9" w:rsidRPr="008124B9">
        <w:t>E</w:t>
      </w:r>
      <w:r w:rsidR="007A34C9" w:rsidRPr="00303987">
        <w:t>xamples of cases in which the provisions of the Convention have been applied by domestic courts</w:t>
      </w:r>
      <w:r w:rsidR="007A34C9" w:rsidRPr="008124B9">
        <w:t>; detailed information on measures taken to raise public awareness of the Convention and</w:t>
      </w:r>
      <w:r w:rsidR="007A34C9">
        <w:t>,</w:t>
      </w:r>
      <w:r w:rsidR="007A34C9" w:rsidRPr="008124B9">
        <w:t xml:space="preserve"> </w:t>
      </w:r>
      <w:r w:rsidR="007A34C9">
        <w:t xml:space="preserve">in particular, on </w:t>
      </w:r>
      <w:r w:rsidR="007A34C9" w:rsidRPr="008124B9">
        <w:t xml:space="preserve">how ethnic minority groups </w:t>
      </w:r>
      <w:r w:rsidR="007A34C9">
        <w:t xml:space="preserve">and indigenous peoples </w:t>
      </w:r>
      <w:r w:rsidR="007A34C9" w:rsidRPr="008124B9">
        <w:t>can access legal remedies (CERD/C/THA/CO/</w:t>
      </w:r>
      <w:r w:rsidR="007A34C9" w:rsidRPr="00984D81">
        <w:rPr>
          <w:u w:color="FF0000"/>
        </w:rPr>
        <w:t>1-3</w:t>
      </w:r>
      <w:r w:rsidR="007A34C9">
        <w:t>, para.</w:t>
      </w:r>
      <w:r w:rsidR="00736DCC">
        <w:t xml:space="preserve"> </w:t>
      </w:r>
      <w:r w:rsidR="007A34C9" w:rsidRPr="00984D81">
        <w:rPr>
          <w:u w:color="FF0000"/>
        </w:rPr>
        <w:t>12</w:t>
      </w:r>
      <w:r w:rsidR="007A34C9" w:rsidRPr="008124B9">
        <w:t>; CERD/C/</w:t>
      </w:r>
      <w:r w:rsidR="007A34C9" w:rsidRPr="00984D81">
        <w:rPr>
          <w:u w:color="FF0000"/>
        </w:rPr>
        <w:t>THA</w:t>
      </w:r>
      <w:r w:rsidR="007A34C9" w:rsidRPr="008124B9">
        <w:t>/</w:t>
      </w:r>
      <w:r w:rsidR="007A34C9" w:rsidRPr="00984D81">
        <w:rPr>
          <w:u w:color="FF0000"/>
        </w:rPr>
        <w:t>4-8</w:t>
      </w:r>
      <w:r w:rsidR="007A34C9" w:rsidRPr="008124B9">
        <w:t>, paras.</w:t>
      </w:r>
      <w:r w:rsidR="00736DCC">
        <w:t xml:space="preserve"> </w:t>
      </w:r>
      <w:r w:rsidR="007A34C9" w:rsidRPr="008124B9">
        <w:t>21</w:t>
      </w:r>
      <w:r w:rsidR="007A34C9">
        <w:t>–</w:t>
      </w:r>
      <w:r w:rsidR="007A34C9" w:rsidRPr="008124B9">
        <w:t>23).</w:t>
      </w:r>
    </w:p>
    <w:p w14:paraId="1ACC8AA1" w14:textId="489EBE10" w:rsidR="007A34C9" w:rsidRPr="008124B9" w:rsidRDefault="007A34C9" w:rsidP="007A34C9">
      <w:pPr>
        <w:pStyle w:val="H23G"/>
      </w:pPr>
      <w:r>
        <w:lastRenderedPageBreak/>
        <w:tab/>
      </w:r>
      <w:r>
        <w:tab/>
      </w:r>
      <w:r w:rsidRPr="008124B9">
        <w:t>Situation of ethnic minorities and indigenous peoples (art. 5)</w:t>
      </w:r>
    </w:p>
    <w:p w14:paraId="33EF0B78" w14:textId="27D8ADE8" w:rsidR="007A34C9" w:rsidRDefault="009F316A" w:rsidP="009F316A">
      <w:pPr>
        <w:pStyle w:val="SingleTxtG"/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701"/>
          <w:tab w:val="clear" w:pos="2268"/>
        </w:tabs>
      </w:pPr>
      <w:r>
        <w:t>7.</w:t>
      </w:r>
      <w:r>
        <w:tab/>
      </w:r>
      <w:r w:rsidR="007A34C9" w:rsidRPr="008124B9">
        <w:t xml:space="preserve">Measures taken to accord equal civil and political rights to all citizens irrespective of the mode of acquisition of citizenship, in particular </w:t>
      </w:r>
      <w:r w:rsidR="007A34C9">
        <w:t xml:space="preserve">the </w:t>
      </w:r>
      <w:r w:rsidR="007A34C9" w:rsidRPr="008124B9">
        <w:t>right to stand for elections (CERD/C/THA/CO/</w:t>
      </w:r>
      <w:r w:rsidR="007A34C9" w:rsidRPr="00984D81">
        <w:rPr>
          <w:u w:color="FF0000"/>
        </w:rPr>
        <w:t>1-3</w:t>
      </w:r>
      <w:r w:rsidR="007A34C9" w:rsidRPr="008124B9">
        <w:t>, para.</w:t>
      </w:r>
      <w:r w:rsidR="00736DCC">
        <w:t xml:space="preserve"> </w:t>
      </w:r>
      <w:r w:rsidR="007A34C9" w:rsidRPr="00984D81">
        <w:rPr>
          <w:u w:color="FF0000"/>
        </w:rPr>
        <w:t>13</w:t>
      </w:r>
      <w:r w:rsidR="007A34C9" w:rsidRPr="008124B9">
        <w:t>;</w:t>
      </w:r>
      <w:r w:rsidR="007A34C9">
        <w:t xml:space="preserve"> </w:t>
      </w:r>
      <w:r w:rsidR="007A34C9" w:rsidRPr="008124B9">
        <w:t>CERD/C/</w:t>
      </w:r>
      <w:r w:rsidR="007A34C9" w:rsidRPr="00984D81">
        <w:rPr>
          <w:u w:color="FF0000"/>
        </w:rPr>
        <w:t>THA</w:t>
      </w:r>
      <w:r w:rsidR="007A34C9" w:rsidRPr="008124B9">
        <w:t>/</w:t>
      </w:r>
      <w:r w:rsidR="007A34C9" w:rsidRPr="00984D81">
        <w:rPr>
          <w:u w:color="FF0000"/>
        </w:rPr>
        <w:t>4-8</w:t>
      </w:r>
      <w:r w:rsidR="007A34C9" w:rsidRPr="008124B9">
        <w:t>, para.</w:t>
      </w:r>
      <w:r w:rsidR="00736DCC">
        <w:t xml:space="preserve"> </w:t>
      </w:r>
      <w:r w:rsidR="007A34C9" w:rsidRPr="008124B9">
        <w:t>24).</w:t>
      </w:r>
      <w:r w:rsidR="007A34C9">
        <w:t xml:space="preserve"> P</w:t>
      </w:r>
      <w:r w:rsidR="007A34C9" w:rsidRPr="008124B9">
        <w:t xml:space="preserve">rogress made in reviewing national laws, including laws </w:t>
      </w:r>
      <w:r w:rsidR="007A34C9">
        <w:t xml:space="preserve">on </w:t>
      </w:r>
      <w:r w:rsidR="007A34C9" w:rsidRPr="008124B9">
        <w:t>land</w:t>
      </w:r>
      <w:r w:rsidR="007A34C9">
        <w:t xml:space="preserve"> </w:t>
      </w:r>
      <w:r w:rsidR="007A34C9" w:rsidRPr="008124B9">
        <w:t>tenure, forests, and natural resource management</w:t>
      </w:r>
      <w:r w:rsidR="007A34C9">
        <w:t>,</w:t>
      </w:r>
      <w:r w:rsidR="007A34C9" w:rsidRPr="008124B9">
        <w:t xml:space="preserve"> to ensure respect for the right to free</w:t>
      </w:r>
      <w:r w:rsidR="007A34C9">
        <w:t>,</w:t>
      </w:r>
      <w:r w:rsidR="007A34C9" w:rsidRPr="008124B9">
        <w:t xml:space="preserve"> prior and informed consent in decisions affecting ethnic groups and indigenous peoples; information on measures taken to implement such laws and related policies (CERD/C/THA/CO/</w:t>
      </w:r>
      <w:r w:rsidR="007A34C9" w:rsidRPr="00984D81">
        <w:rPr>
          <w:u w:color="FF0000"/>
        </w:rPr>
        <w:t>1-3</w:t>
      </w:r>
      <w:r w:rsidR="007A34C9" w:rsidRPr="008124B9">
        <w:t>, para.</w:t>
      </w:r>
      <w:r w:rsidR="00736DCC">
        <w:t xml:space="preserve"> </w:t>
      </w:r>
      <w:r w:rsidR="007A34C9" w:rsidRPr="00984D81">
        <w:rPr>
          <w:u w:color="FF0000"/>
        </w:rPr>
        <w:t>16</w:t>
      </w:r>
      <w:r w:rsidR="007A34C9" w:rsidRPr="008124B9">
        <w:t>; CERD/C/</w:t>
      </w:r>
      <w:r w:rsidR="007A34C9" w:rsidRPr="00984D81">
        <w:rPr>
          <w:u w:color="FF0000"/>
        </w:rPr>
        <w:t>THA</w:t>
      </w:r>
      <w:r w:rsidR="007A34C9" w:rsidRPr="008124B9">
        <w:t>/</w:t>
      </w:r>
      <w:r w:rsidR="007A34C9" w:rsidRPr="00984D81">
        <w:rPr>
          <w:u w:color="FF0000"/>
        </w:rPr>
        <w:t>4-8</w:t>
      </w:r>
      <w:r w:rsidR="007A34C9" w:rsidRPr="008124B9">
        <w:t>, paras.</w:t>
      </w:r>
      <w:r w:rsidR="00736DCC">
        <w:t xml:space="preserve"> </w:t>
      </w:r>
      <w:r w:rsidR="007A34C9" w:rsidRPr="008124B9">
        <w:t>33</w:t>
      </w:r>
      <w:r w:rsidR="007A34C9">
        <w:t>–</w:t>
      </w:r>
      <w:r w:rsidR="007A34C9" w:rsidRPr="008124B9">
        <w:t>36).</w:t>
      </w:r>
    </w:p>
    <w:p w14:paraId="7497D148" w14:textId="28037628" w:rsidR="007A34C9" w:rsidRDefault="009F316A" w:rsidP="009F316A">
      <w:pPr>
        <w:pStyle w:val="SingleTxtG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701"/>
          <w:tab w:val="clear" w:pos="2268"/>
        </w:tabs>
      </w:pPr>
      <w:r>
        <w:t>8.</w:t>
      </w:r>
      <w:r>
        <w:tab/>
      </w:r>
      <w:r w:rsidR="007A34C9">
        <w:t>Information on measures taken to address civil, political, economic, social and cultural rights violations against ethnic minority groups and indigenous peoples as a result of or with the involvement of transnational business entities and their business operations; information on accountability and remediation measures taken to that end.</w:t>
      </w:r>
    </w:p>
    <w:p w14:paraId="7F44BD6D" w14:textId="667EC2C9" w:rsidR="007A34C9" w:rsidRDefault="009F316A" w:rsidP="009F316A">
      <w:pPr>
        <w:pStyle w:val="SingleTxtG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701"/>
          <w:tab w:val="clear" w:pos="2268"/>
        </w:tabs>
      </w:pPr>
      <w:r>
        <w:t>9.</w:t>
      </w:r>
      <w:r>
        <w:tab/>
      </w:r>
      <w:r w:rsidR="007A34C9" w:rsidRPr="008124B9">
        <w:t>Information on special measures</w:t>
      </w:r>
      <w:r w:rsidR="007A34C9">
        <w:t xml:space="preserve"> implemented</w:t>
      </w:r>
      <w:r w:rsidR="007A34C9" w:rsidRPr="008124B9">
        <w:t xml:space="preserve"> for ethnic minority groups and indigenous peoples</w:t>
      </w:r>
      <w:r w:rsidR="007A34C9">
        <w:t>,</w:t>
      </w:r>
      <w:r w:rsidR="007A34C9" w:rsidRPr="008124B9">
        <w:t xml:space="preserve"> and</w:t>
      </w:r>
      <w:r w:rsidR="007A34C9">
        <w:t xml:space="preserve"> on</w:t>
      </w:r>
      <w:r w:rsidR="007A34C9" w:rsidRPr="008124B9">
        <w:t xml:space="preserve"> their outcomes; </w:t>
      </w:r>
      <w:r w:rsidR="007A34C9">
        <w:t xml:space="preserve">disaggregated </w:t>
      </w:r>
      <w:r w:rsidR="007A34C9" w:rsidRPr="008124B9">
        <w:t xml:space="preserve">data </w:t>
      </w:r>
      <w:r w:rsidR="007A34C9">
        <w:t>o</w:t>
      </w:r>
      <w:r w:rsidR="007A34C9" w:rsidRPr="008124B9">
        <w:t>n the enjoyment of economic</w:t>
      </w:r>
      <w:r w:rsidR="007A34C9">
        <w:t>,</w:t>
      </w:r>
      <w:r w:rsidR="007A34C9" w:rsidRPr="008124B9">
        <w:t xml:space="preserve"> social and cultural rights by ethnic groups and indigenous peoples (CERD/C/THA/CO/</w:t>
      </w:r>
      <w:r w:rsidR="007A34C9" w:rsidRPr="00984D81">
        <w:rPr>
          <w:u w:color="FF0000"/>
        </w:rPr>
        <w:t>1-3</w:t>
      </w:r>
      <w:r w:rsidR="007A34C9" w:rsidRPr="008124B9">
        <w:t>, para.</w:t>
      </w:r>
      <w:r w:rsidR="00736DCC">
        <w:t xml:space="preserve"> </w:t>
      </w:r>
      <w:r w:rsidR="007A34C9" w:rsidRPr="00984D81">
        <w:rPr>
          <w:u w:color="FF0000"/>
        </w:rPr>
        <w:t>17</w:t>
      </w:r>
      <w:r w:rsidR="007A34C9" w:rsidRPr="008124B9">
        <w:t>; CERD/C/</w:t>
      </w:r>
      <w:r w:rsidR="007A34C9" w:rsidRPr="00984D81">
        <w:rPr>
          <w:u w:color="FF0000"/>
        </w:rPr>
        <w:t>THA</w:t>
      </w:r>
      <w:r w:rsidR="007A34C9" w:rsidRPr="008124B9">
        <w:t>/</w:t>
      </w:r>
      <w:r w:rsidR="007A34C9" w:rsidRPr="00984D81">
        <w:rPr>
          <w:u w:color="FF0000"/>
        </w:rPr>
        <w:t>4-8</w:t>
      </w:r>
      <w:r w:rsidR="007A34C9" w:rsidRPr="008124B9">
        <w:t>, paras.</w:t>
      </w:r>
      <w:r w:rsidR="00736DCC">
        <w:t xml:space="preserve"> </w:t>
      </w:r>
      <w:r w:rsidR="007A34C9" w:rsidRPr="008124B9">
        <w:t>37</w:t>
      </w:r>
      <w:r w:rsidR="007A34C9">
        <w:t>–</w:t>
      </w:r>
      <w:r w:rsidR="007A34C9" w:rsidRPr="008124B9">
        <w:t>41).</w:t>
      </w:r>
    </w:p>
    <w:p w14:paraId="0B23EB9F" w14:textId="7A8BF68F" w:rsidR="007A34C9" w:rsidRDefault="009F316A" w:rsidP="009F316A">
      <w:pPr>
        <w:pStyle w:val="SingleTxtG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701"/>
          <w:tab w:val="clear" w:pos="2268"/>
        </w:tabs>
      </w:pPr>
      <w:r>
        <w:t>10.</w:t>
      </w:r>
      <w:r>
        <w:tab/>
      </w:r>
      <w:r w:rsidR="007A34C9" w:rsidRPr="008124B9">
        <w:t>Information on measures taken to protect ethnic and indigenous languages, including efforts made and resources allocated for the teaching of ethnic and indigenous languages in schools (CERD/C/THA/CO/</w:t>
      </w:r>
      <w:r w:rsidR="007A34C9" w:rsidRPr="00984D81">
        <w:rPr>
          <w:u w:color="FF0000"/>
        </w:rPr>
        <w:t>1-3</w:t>
      </w:r>
      <w:r w:rsidR="007A34C9" w:rsidRPr="008124B9">
        <w:t>, para.</w:t>
      </w:r>
      <w:r w:rsidR="00736DCC">
        <w:t xml:space="preserve"> </w:t>
      </w:r>
      <w:r w:rsidR="007A34C9" w:rsidRPr="00984D81">
        <w:rPr>
          <w:u w:color="FF0000"/>
        </w:rPr>
        <w:t>18</w:t>
      </w:r>
      <w:r w:rsidR="007A34C9" w:rsidRPr="008124B9">
        <w:t>; CERD/C/</w:t>
      </w:r>
      <w:r w:rsidR="007A34C9" w:rsidRPr="00984D81">
        <w:rPr>
          <w:u w:color="FF0000"/>
        </w:rPr>
        <w:t>THA</w:t>
      </w:r>
      <w:r w:rsidR="007A34C9" w:rsidRPr="008124B9">
        <w:t>/</w:t>
      </w:r>
      <w:r w:rsidR="007A34C9" w:rsidRPr="00984D81">
        <w:rPr>
          <w:u w:color="FF0000"/>
        </w:rPr>
        <w:t>4-8</w:t>
      </w:r>
      <w:r w:rsidR="007A34C9" w:rsidRPr="008124B9">
        <w:t>, paras. 42</w:t>
      </w:r>
      <w:r w:rsidR="007A34C9">
        <w:t>–</w:t>
      </w:r>
      <w:r w:rsidR="007A34C9" w:rsidRPr="008124B9">
        <w:t>43).</w:t>
      </w:r>
    </w:p>
    <w:p w14:paraId="7C12F153" w14:textId="276C231E" w:rsidR="007A34C9" w:rsidRDefault="009F316A" w:rsidP="009F316A">
      <w:pPr>
        <w:pStyle w:val="SingleTxtG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701"/>
          <w:tab w:val="clear" w:pos="2268"/>
        </w:tabs>
      </w:pPr>
      <w:r>
        <w:t>11.</w:t>
      </w:r>
      <w:r>
        <w:tab/>
      </w:r>
      <w:r w:rsidR="007A34C9" w:rsidRPr="008124B9">
        <w:t>Information on measures taken to eliminate negative stereotypes about ethnic groups and raise awareness among media professionals (CERD/C/THA/CO/</w:t>
      </w:r>
      <w:r w:rsidR="007A34C9" w:rsidRPr="00984D81">
        <w:rPr>
          <w:u w:color="FF0000"/>
        </w:rPr>
        <w:t>1-3</w:t>
      </w:r>
      <w:r w:rsidR="007A34C9" w:rsidRPr="008124B9">
        <w:t>, para.</w:t>
      </w:r>
      <w:r w:rsidR="00736DCC">
        <w:t xml:space="preserve"> </w:t>
      </w:r>
      <w:r w:rsidR="007A34C9" w:rsidRPr="00984D81">
        <w:rPr>
          <w:u w:color="FF0000"/>
        </w:rPr>
        <w:t>19</w:t>
      </w:r>
      <w:r w:rsidR="007A34C9" w:rsidRPr="008124B9">
        <w:t>; CERD/C/</w:t>
      </w:r>
      <w:r w:rsidR="007A34C9" w:rsidRPr="00984D81">
        <w:rPr>
          <w:u w:color="FF0000"/>
        </w:rPr>
        <w:t>THA</w:t>
      </w:r>
      <w:r w:rsidR="007A34C9" w:rsidRPr="008124B9">
        <w:t>/</w:t>
      </w:r>
      <w:r w:rsidR="007A34C9" w:rsidRPr="00984D81">
        <w:rPr>
          <w:u w:color="FF0000"/>
        </w:rPr>
        <w:t>4-8</w:t>
      </w:r>
      <w:r w:rsidR="007A34C9" w:rsidRPr="008124B9">
        <w:t>, paras.</w:t>
      </w:r>
      <w:r w:rsidR="00736DCC">
        <w:t xml:space="preserve"> </w:t>
      </w:r>
      <w:r w:rsidR="007A34C9" w:rsidRPr="008124B9">
        <w:t>44</w:t>
      </w:r>
      <w:r w:rsidR="007A34C9">
        <w:t>–</w:t>
      </w:r>
      <w:r w:rsidR="007A34C9" w:rsidRPr="008124B9">
        <w:t>45).</w:t>
      </w:r>
    </w:p>
    <w:p w14:paraId="7DC0F0B0" w14:textId="57A9C80B" w:rsidR="007A34C9" w:rsidRDefault="009F316A" w:rsidP="009F316A">
      <w:pPr>
        <w:pStyle w:val="SingleTxtG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701"/>
          <w:tab w:val="clear" w:pos="2268"/>
        </w:tabs>
      </w:pPr>
      <w:r>
        <w:t>12.</w:t>
      </w:r>
      <w:r>
        <w:tab/>
      </w:r>
      <w:r w:rsidR="007A34C9">
        <w:t xml:space="preserve">Information on measures taken to address </w:t>
      </w:r>
      <w:r w:rsidR="007A34C9" w:rsidRPr="00770AD8">
        <w:t>acts of violence, threats, inti</w:t>
      </w:r>
      <w:r w:rsidR="007A34C9">
        <w:t xml:space="preserve">midation and reprisals against </w:t>
      </w:r>
      <w:r w:rsidR="007A34C9" w:rsidRPr="00770AD8">
        <w:t>human rights defender</w:t>
      </w:r>
      <w:r w:rsidR="007A34C9">
        <w:t>s.</w:t>
      </w:r>
    </w:p>
    <w:p w14:paraId="6DDE93BC" w14:textId="051026B6" w:rsidR="007A34C9" w:rsidRDefault="009F316A" w:rsidP="009F316A">
      <w:pPr>
        <w:pStyle w:val="SingleTxtG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701"/>
          <w:tab w:val="clear" w:pos="2268"/>
        </w:tabs>
      </w:pPr>
      <w:r>
        <w:t>13.</w:t>
      </w:r>
      <w:r>
        <w:tab/>
      </w:r>
      <w:r w:rsidR="007A34C9" w:rsidRPr="00984D81">
        <w:t>Information on measures to investigate allegations on the collection of DNA samples and the use of facial recognition technologies by police and military officers to racially profile Muslim</w:t>
      </w:r>
      <w:r w:rsidR="007A34C9">
        <w:t xml:space="preserve"> </w:t>
      </w:r>
      <w:r w:rsidR="007A34C9" w:rsidRPr="00984D81">
        <w:t xml:space="preserve">Malay citizens in the </w:t>
      </w:r>
      <w:r w:rsidR="007A34C9">
        <w:t>s</w:t>
      </w:r>
      <w:r w:rsidR="007A34C9" w:rsidRPr="00984D81">
        <w:t xml:space="preserve">outhern </w:t>
      </w:r>
      <w:r w:rsidR="007A34C9">
        <w:t>b</w:t>
      </w:r>
      <w:r w:rsidR="007A34C9" w:rsidRPr="00984D81">
        <w:t xml:space="preserve">order </w:t>
      </w:r>
      <w:r w:rsidR="007A34C9">
        <w:t>p</w:t>
      </w:r>
      <w:r w:rsidR="007A34C9" w:rsidRPr="00984D81">
        <w:t xml:space="preserve">rovinces. Information on allegations of a new discriminatory policy applied only to Thai citizens in the </w:t>
      </w:r>
      <w:r w:rsidR="007A34C9">
        <w:t>s</w:t>
      </w:r>
      <w:r w:rsidR="007A34C9" w:rsidRPr="00984D81">
        <w:t xml:space="preserve">outhern </w:t>
      </w:r>
      <w:r w:rsidR="007A34C9">
        <w:t>b</w:t>
      </w:r>
      <w:r w:rsidR="007A34C9" w:rsidRPr="00984D81">
        <w:t xml:space="preserve">order </w:t>
      </w:r>
      <w:r w:rsidR="007A34C9">
        <w:t>p</w:t>
      </w:r>
      <w:r w:rsidR="007A34C9" w:rsidRPr="00984D81">
        <w:t>rovinces, where citizens are primarily of Muslim</w:t>
      </w:r>
      <w:r w:rsidR="007A34C9">
        <w:t xml:space="preserve"> </w:t>
      </w:r>
      <w:r w:rsidR="007A34C9" w:rsidRPr="00984D81">
        <w:t>Malay ethnic</w:t>
      </w:r>
      <w:r w:rsidR="007A34C9">
        <w:t xml:space="preserve"> origin,</w:t>
      </w:r>
      <w:r w:rsidR="007A34C9" w:rsidRPr="00984D81">
        <w:t xml:space="preserve"> </w:t>
      </w:r>
      <w:r w:rsidR="007A34C9">
        <w:t xml:space="preserve">that </w:t>
      </w:r>
      <w:r w:rsidR="007A34C9" w:rsidRPr="00984D81">
        <w:t>forc</w:t>
      </w:r>
      <w:r w:rsidR="007A34C9">
        <w:t>es</w:t>
      </w:r>
      <w:r w:rsidR="007A34C9" w:rsidRPr="00984D81">
        <w:t xml:space="preserve"> users to register their </w:t>
      </w:r>
      <w:r w:rsidR="008508B8" w:rsidRPr="00984D81">
        <w:t>cell phon</w:t>
      </w:r>
      <w:r w:rsidR="008508B8">
        <w:t>es’</w:t>
      </w:r>
      <w:r w:rsidR="007A34C9" w:rsidRPr="00984D81">
        <w:t xml:space="preserve"> SIM cards using facial recognition technology to confirm their identities.</w:t>
      </w:r>
    </w:p>
    <w:p w14:paraId="0ED6809F" w14:textId="237971D1" w:rsidR="007A34C9" w:rsidRPr="008124B9" w:rsidRDefault="009F316A" w:rsidP="009F316A">
      <w:pPr>
        <w:pStyle w:val="SingleTxtG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701"/>
          <w:tab w:val="clear" w:pos="2268"/>
        </w:tabs>
      </w:pPr>
      <w:r w:rsidRPr="008124B9">
        <w:t>14.</w:t>
      </w:r>
      <w:r w:rsidRPr="008124B9">
        <w:tab/>
      </w:r>
      <w:r w:rsidR="007A34C9" w:rsidRPr="008124B9">
        <w:t xml:space="preserve">Updated information on legislative and other measures taken to address </w:t>
      </w:r>
      <w:r w:rsidR="007A34C9">
        <w:t xml:space="preserve">hate crimes, torture and ill-treatment, enforced disappearances and other forms of </w:t>
      </w:r>
      <w:r w:rsidR="007A34C9" w:rsidRPr="008124B9">
        <w:t xml:space="preserve">discrimination against </w:t>
      </w:r>
      <w:r w:rsidR="007A34C9">
        <w:t>Malays</w:t>
      </w:r>
      <w:r w:rsidR="007A34C9" w:rsidRPr="00984D81">
        <w:rPr>
          <w:bCs/>
        </w:rPr>
        <w:t xml:space="preserve">, paying particular attention to </w:t>
      </w:r>
      <w:r w:rsidR="007A34C9" w:rsidRPr="008124B9">
        <w:t>Malay women (CERD/C/THA/CO/</w:t>
      </w:r>
      <w:r w:rsidR="007A34C9" w:rsidRPr="00984D81">
        <w:rPr>
          <w:u w:color="FF0000"/>
        </w:rPr>
        <w:t>1-3</w:t>
      </w:r>
      <w:r w:rsidR="007A34C9" w:rsidRPr="008124B9">
        <w:t>, para.</w:t>
      </w:r>
      <w:r w:rsidR="00736DCC">
        <w:t xml:space="preserve"> </w:t>
      </w:r>
      <w:r w:rsidR="007A34C9" w:rsidRPr="00984D81">
        <w:rPr>
          <w:u w:color="FF0000"/>
        </w:rPr>
        <w:t>20</w:t>
      </w:r>
      <w:r w:rsidR="007A34C9" w:rsidRPr="008124B9">
        <w:t>; CERD/C/</w:t>
      </w:r>
      <w:r w:rsidR="007A34C9" w:rsidRPr="00984D81">
        <w:rPr>
          <w:u w:color="FF0000"/>
        </w:rPr>
        <w:t>THA</w:t>
      </w:r>
      <w:r w:rsidR="007A34C9" w:rsidRPr="008124B9">
        <w:t>/</w:t>
      </w:r>
      <w:r w:rsidR="007A34C9" w:rsidRPr="00984D81">
        <w:rPr>
          <w:u w:color="FF0000"/>
        </w:rPr>
        <w:t>4-8</w:t>
      </w:r>
      <w:r w:rsidR="007A34C9" w:rsidRPr="008124B9">
        <w:t>, paras.</w:t>
      </w:r>
      <w:r w:rsidR="00736DCC">
        <w:t xml:space="preserve"> </w:t>
      </w:r>
      <w:r w:rsidR="007A34C9" w:rsidRPr="008124B9">
        <w:t>46</w:t>
      </w:r>
      <w:r w:rsidR="007A34C9">
        <w:t>–</w:t>
      </w:r>
      <w:r w:rsidR="007A34C9" w:rsidRPr="008124B9">
        <w:t>58).</w:t>
      </w:r>
    </w:p>
    <w:p w14:paraId="561107D6" w14:textId="77777777" w:rsidR="007A34C9" w:rsidRPr="008124B9" w:rsidRDefault="007A34C9" w:rsidP="007A34C9">
      <w:pPr>
        <w:pStyle w:val="H23G"/>
      </w:pPr>
      <w:r>
        <w:tab/>
      </w:r>
      <w:r>
        <w:tab/>
      </w:r>
      <w:r w:rsidRPr="008124B9">
        <w:t>Situation of non-citizens, migrants, asylum seekers, refugees and stateless</w:t>
      </w:r>
      <w:r>
        <w:t xml:space="preserve"> </w:t>
      </w:r>
      <w:r w:rsidRPr="008124B9">
        <w:t>persons (art.</w:t>
      </w:r>
      <w:r>
        <w:t xml:space="preserve"> </w:t>
      </w:r>
      <w:r w:rsidRPr="008124B9">
        <w:t>5</w:t>
      </w:r>
      <w:r>
        <w:t>)</w:t>
      </w:r>
    </w:p>
    <w:p w14:paraId="66667FCC" w14:textId="4E3A0909" w:rsidR="007A34C9" w:rsidRDefault="009F316A" w:rsidP="009F316A">
      <w:pPr>
        <w:pStyle w:val="SingleTxtG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701"/>
          <w:tab w:val="clear" w:pos="2268"/>
        </w:tabs>
      </w:pPr>
      <w:r>
        <w:t>15.</w:t>
      </w:r>
      <w:r>
        <w:tab/>
      </w:r>
      <w:r w:rsidR="007A34C9" w:rsidRPr="008124B9">
        <w:t xml:space="preserve">Information on the impact of </w:t>
      </w:r>
      <w:r w:rsidR="007A34C9" w:rsidRPr="00303987">
        <w:t xml:space="preserve">measures taken to improve </w:t>
      </w:r>
      <w:r w:rsidR="007A34C9">
        <w:t>human rights protection</w:t>
      </w:r>
      <w:r w:rsidR="007A34C9" w:rsidRPr="00303987">
        <w:t xml:space="preserve"> for migrant workers</w:t>
      </w:r>
      <w:r w:rsidR="007A34C9">
        <w:t xml:space="preserve"> </w:t>
      </w:r>
      <w:r w:rsidR="007A34C9" w:rsidRPr="008124B9">
        <w:t>(CERD/C/THA/CO/</w:t>
      </w:r>
      <w:r w:rsidR="007A34C9" w:rsidRPr="00984D81">
        <w:rPr>
          <w:u w:color="FF0000"/>
        </w:rPr>
        <w:t>1-3</w:t>
      </w:r>
      <w:r w:rsidR="007A34C9" w:rsidRPr="008124B9">
        <w:t xml:space="preserve">, para. </w:t>
      </w:r>
      <w:r w:rsidR="007A34C9" w:rsidRPr="00984D81">
        <w:rPr>
          <w:u w:color="FF0000"/>
        </w:rPr>
        <w:t>22</w:t>
      </w:r>
      <w:r w:rsidR="007A34C9" w:rsidRPr="008124B9">
        <w:t>; CERD/C/</w:t>
      </w:r>
      <w:r w:rsidR="007A34C9" w:rsidRPr="00984D81">
        <w:rPr>
          <w:u w:color="FF0000"/>
        </w:rPr>
        <w:t>THA</w:t>
      </w:r>
      <w:r w:rsidR="007A34C9" w:rsidRPr="008124B9">
        <w:t>/</w:t>
      </w:r>
      <w:r w:rsidR="007A34C9" w:rsidRPr="00984D81">
        <w:rPr>
          <w:u w:color="FF0000"/>
        </w:rPr>
        <w:t>4-8</w:t>
      </w:r>
      <w:r w:rsidR="007A34C9" w:rsidRPr="008124B9">
        <w:t>, paras. 64</w:t>
      </w:r>
      <w:r w:rsidR="007A34C9">
        <w:t>–</w:t>
      </w:r>
      <w:r w:rsidR="007A34C9" w:rsidRPr="008124B9">
        <w:t>71).</w:t>
      </w:r>
    </w:p>
    <w:p w14:paraId="054193E6" w14:textId="78DCEB41" w:rsidR="007A34C9" w:rsidRDefault="009F316A" w:rsidP="009F316A">
      <w:pPr>
        <w:pStyle w:val="SingleTxtG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701"/>
          <w:tab w:val="clear" w:pos="2268"/>
        </w:tabs>
      </w:pPr>
      <w:r>
        <w:t>16.</w:t>
      </w:r>
      <w:r>
        <w:tab/>
      </w:r>
      <w:r w:rsidR="007A34C9" w:rsidRPr="008124B9">
        <w:t>Updated information on measures taken to prevent human trafficking</w:t>
      </w:r>
      <w:r w:rsidR="007A34C9">
        <w:t>, and on their impact, including concrete data</w:t>
      </w:r>
      <w:r w:rsidR="007A34C9" w:rsidRPr="008124B9">
        <w:t xml:space="preserve"> (CERD/C/THA/CO/</w:t>
      </w:r>
      <w:r w:rsidR="007A34C9" w:rsidRPr="00984D81">
        <w:rPr>
          <w:u w:color="FF0000"/>
        </w:rPr>
        <w:t>1-3</w:t>
      </w:r>
      <w:r w:rsidR="007A34C9" w:rsidRPr="008124B9">
        <w:t xml:space="preserve">, para. </w:t>
      </w:r>
      <w:r w:rsidR="007A34C9" w:rsidRPr="00984D81">
        <w:rPr>
          <w:u w:color="FF0000"/>
        </w:rPr>
        <w:t>24</w:t>
      </w:r>
      <w:r w:rsidR="007A34C9" w:rsidRPr="008124B9">
        <w:t>; CERD/C/</w:t>
      </w:r>
      <w:r w:rsidR="007A34C9" w:rsidRPr="00984D81">
        <w:rPr>
          <w:u w:color="FF0000"/>
        </w:rPr>
        <w:t>THA</w:t>
      </w:r>
      <w:r w:rsidR="007A34C9" w:rsidRPr="008124B9">
        <w:t>/</w:t>
      </w:r>
      <w:r w:rsidR="007A34C9" w:rsidRPr="00984D81">
        <w:rPr>
          <w:u w:color="FF0000"/>
        </w:rPr>
        <w:t>4-8</w:t>
      </w:r>
      <w:r w:rsidR="007A34C9" w:rsidRPr="008124B9">
        <w:t>, paras.</w:t>
      </w:r>
      <w:r w:rsidR="00736DCC">
        <w:t xml:space="preserve"> </w:t>
      </w:r>
      <w:r w:rsidR="007A34C9" w:rsidRPr="008124B9">
        <w:t>73</w:t>
      </w:r>
      <w:r w:rsidR="007A34C9">
        <w:t>–</w:t>
      </w:r>
      <w:r w:rsidR="007A34C9" w:rsidRPr="008124B9">
        <w:t>90).</w:t>
      </w:r>
    </w:p>
    <w:p w14:paraId="3FD3896A" w14:textId="1CD029B6" w:rsidR="007A34C9" w:rsidRDefault="009F316A" w:rsidP="009F316A">
      <w:pPr>
        <w:pStyle w:val="SingleTxtG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701"/>
          <w:tab w:val="clear" w:pos="2268"/>
        </w:tabs>
      </w:pPr>
      <w:r>
        <w:t>17.</w:t>
      </w:r>
      <w:r>
        <w:tab/>
      </w:r>
      <w:r w:rsidR="007A34C9" w:rsidRPr="008124B9">
        <w:t>Updated information on measures taken to adopt legislation and procedures for the protection of refugees and asylum seekers and to prevent any further expulsion of Rohingyas seeking asylum (CERD/C/THA/CO/</w:t>
      </w:r>
      <w:r w:rsidR="007A34C9" w:rsidRPr="00984D81">
        <w:rPr>
          <w:u w:color="FF0000"/>
        </w:rPr>
        <w:t>1-3</w:t>
      </w:r>
      <w:r w:rsidR="007A34C9" w:rsidRPr="008124B9">
        <w:t xml:space="preserve">, para. </w:t>
      </w:r>
      <w:r w:rsidR="007A34C9" w:rsidRPr="00984D81">
        <w:rPr>
          <w:u w:color="FF0000"/>
        </w:rPr>
        <w:t>25</w:t>
      </w:r>
      <w:r w:rsidR="007A34C9" w:rsidRPr="008124B9">
        <w:t>; CERD/C/</w:t>
      </w:r>
      <w:r w:rsidR="007A34C9" w:rsidRPr="00984D81">
        <w:rPr>
          <w:u w:color="FF0000"/>
        </w:rPr>
        <w:t>THA</w:t>
      </w:r>
      <w:r w:rsidR="007A34C9" w:rsidRPr="008124B9">
        <w:t>/</w:t>
      </w:r>
      <w:r w:rsidR="007A34C9" w:rsidRPr="00984D81">
        <w:rPr>
          <w:u w:color="FF0000"/>
        </w:rPr>
        <w:t>4-8</w:t>
      </w:r>
      <w:r w:rsidR="007A34C9" w:rsidRPr="008124B9">
        <w:t>, paras. 91</w:t>
      </w:r>
      <w:r w:rsidR="007A34C9">
        <w:t>–</w:t>
      </w:r>
      <w:r w:rsidR="007A34C9" w:rsidRPr="008124B9">
        <w:t>95).</w:t>
      </w:r>
    </w:p>
    <w:p w14:paraId="314B7D74" w14:textId="2787B8FA" w:rsidR="007A34C9" w:rsidRDefault="009F316A" w:rsidP="009F316A">
      <w:pPr>
        <w:pStyle w:val="SingleTxtG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701"/>
          <w:tab w:val="clear" w:pos="2268"/>
        </w:tabs>
      </w:pPr>
      <w:r>
        <w:t>18.</w:t>
      </w:r>
      <w:r>
        <w:tab/>
      </w:r>
      <w:r w:rsidR="007A34C9">
        <w:t>U</w:t>
      </w:r>
      <w:r w:rsidR="007A34C9" w:rsidRPr="008124B9">
        <w:t>pdated information on progress made in reducing and preventing statelessness</w:t>
      </w:r>
      <w:r w:rsidR="007A34C9">
        <w:t xml:space="preserve">, including measures taken to facilitate the birth registration of stateless children and </w:t>
      </w:r>
      <w:r w:rsidR="007A34C9" w:rsidRPr="008124B9">
        <w:t>the naturalization procedure for stateless persons.</w:t>
      </w:r>
    </w:p>
    <w:p w14:paraId="2E0C7128" w14:textId="77777777" w:rsidR="00736DCC" w:rsidRDefault="00736DCC">
      <w:pPr>
        <w:suppressAutoHyphens w:val="0"/>
        <w:spacing w:after="200" w:line="276" w:lineRule="auto"/>
        <w:rPr>
          <w:rFonts w:eastAsia="SimSun"/>
          <w:lang w:eastAsia="zh-CN"/>
        </w:rPr>
      </w:pPr>
      <w:r>
        <w:br w:type="page"/>
      </w:r>
    </w:p>
    <w:p w14:paraId="38188BBB" w14:textId="60228651" w:rsidR="007A34C9" w:rsidRPr="008124B9" w:rsidRDefault="009F316A" w:rsidP="009F316A">
      <w:pPr>
        <w:pStyle w:val="SingleTxtG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701"/>
          <w:tab w:val="clear" w:pos="2268"/>
        </w:tabs>
      </w:pPr>
      <w:r w:rsidRPr="008124B9">
        <w:lastRenderedPageBreak/>
        <w:t>19.</w:t>
      </w:r>
      <w:r w:rsidRPr="008124B9">
        <w:tab/>
      </w:r>
      <w:r w:rsidR="007A34C9" w:rsidRPr="00F26064">
        <w:t>Information on the impact of the coronavirus disease (COVID-19) pandemic on the persons most vulnerable to discrimination and the different groups protected by the Convention, including</w:t>
      </w:r>
      <w:r w:rsidR="007A34C9" w:rsidRPr="005513C5">
        <w:t xml:space="preserve"> </w:t>
      </w:r>
      <w:r w:rsidR="007A34C9" w:rsidRPr="008124B9">
        <w:t>ethnic minority groups</w:t>
      </w:r>
      <w:r w:rsidR="007A34C9">
        <w:t xml:space="preserve">, </w:t>
      </w:r>
      <w:r w:rsidR="007A34C9" w:rsidRPr="008124B9">
        <w:t>indigenous peoples</w:t>
      </w:r>
      <w:r w:rsidR="007A34C9">
        <w:t xml:space="preserve"> and</w:t>
      </w:r>
      <w:r w:rsidR="007A34C9" w:rsidRPr="00F26064">
        <w:t xml:space="preserve"> non-citizens. Include measures taken: </w:t>
      </w:r>
      <w:r w:rsidR="007A34C9">
        <w:t>(</w:t>
      </w:r>
      <w:r w:rsidR="007A34C9" w:rsidRPr="00F26064">
        <w:t xml:space="preserve">a) to protect them against the effects of the COVID-19 pandemic; </w:t>
      </w:r>
      <w:r w:rsidR="007A34C9">
        <w:t>(</w:t>
      </w:r>
      <w:r w:rsidR="007A34C9" w:rsidRPr="00F26064">
        <w:t>b) to protect them against discriminatory acts, and to counter hate speech and stigmatization in connection with the COVID</w:t>
      </w:r>
      <w:r w:rsidR="007A34C9">
        <w:t>-</w:t>
      </w:r>
      <w:r w:rsidR="007A34C9" w:rsidRPr="00F26064">
        <w:t xml:space="preserve">19 pandemic; </w:t>
      </w:r>
      <w:r w:rsidR="007A34C9">
        <w:t>and (</w:t>
      </w:r>
      <w:r w:rsidR="007A34C9" w:rsidRPr="00F26064">
        <w:t>c) to mitigate the socioeconomic impact of the COVID-19 pandemic on such persons and groups.</w:t>
      </w:r>
    </w:p>
    <w:p w14:paraId="20B54E71" w14:textId="77777777" w:rsidR="007A34C9" w:rsidRDefault="007A34C9" w:rsidP="007A34C9">
      <w:pPr>
        <w:pStyle w:val="SingleTxtG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A34C9" w:rsidSect="00CB1FB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2E007" w14:textId="77777777" w:rsidR="00BF2F24" w:rsidRPr="00A0297D" w:rsidRDefault="00BF2F24" w:rsidP="00A0297D">
      <w:pPr>
        <w:pStyle w:val="Footer"/>
      </w:pPr>
    </w:p>
  </w:endnote>
  <w:endnote w:type="continuationSeparator" w:id="0">
    <w:p w14:paraId="068B519F" w14:textId="77777777" w:rsidR="00BF2F24" w:rsidRPr="00A0297D" w:rsidRDefault="00BF2F24" w:rsidP="00A0297D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1ABE4" w14:textId="003CFF2F" w:rsidR="007A34C9" w:rsidRDefault="007A34C9" w:rsidP="00EF28CD">
    <w:pPr>
      <w:pStyle w:val="Footer"/>
      <w:tabs>
        <w:tab w:val="right" w:pos="9638"/>
      </w:tabs>
    </w:pPr>
    <w:r w:rsidRPr="007A34C9">
      <w:rPr>
        <w:b/>
        <w:bCs/>
        <w:sz w:val="18"/>
      </w:rPr>
      <w:fldChar w:fldCharType="begin"/>
    </w:r>
    <w:r w:rsidRPr="007A34C9">
      <w:rPr>
        <w:b/>
        <w:bCs/>
        <w:sz w:val="18"/>
      </w:rPr>
      <w:instrText xml:space="preserve"> PAGE  \* MERGEFORMAT </w:instrText>
    </w:r>
    <w:r w:rsidRPr="007A34C9">
      <w:rPr>
        <w:b/>
        <w:bCs/>
        <w:sz w:val="18"/>
      </w:rPr>
      <w:fldChar w:fldCharType="separate"/>
    </w:r>
    <w:r w:rsidR="005A25A9">
      <w:rPr>
        <w:b/>
        <w:bCs/>
        <w:noProof/>
        <w:sz w:val="18"/>
      </w:rPr>
      <w:t>2</w:t>
    </w:r>
    <w:r w:rsidRPr="007A34C9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40296" w14:textId="57F1382C" w:rsidR="007A34C9" w:rsidRDefault="007A34C9" w:rsidP="007A34C9">
    <w:pPr>
      <w:pStyle w:val="Footer"/>
      <w:tabs>
        <w:tab w:val="right" w:pos="9638"/>
      </w:tabs>
    </w:pPr>
    <w:r>
      <w:tab/>
    </w:r>
    <w:r w:rsidRPr="007A34C9">
      <w:rPr>
        <w:b/>
        <w:bCs/>
        <w:sz w:val="18"/>
      </w:rPr>
      <w:fldChar w:fldCharType="begin"/>
    </w:r>
    <w:r w:rsidRPr="007A34C9">
      <w:rPr>
        <w:b/>
        <w:bCs/>
        <w:sz w:val="18"/>
      </w:rPr>
      <w:instrText xml:space="preserve"> PAGE  \* MERGEFORMAT </w:instrText>
    </w:r>
    <w:r w:rsidRPr="007A34C9">
      <w:rPr>
        <w:b/>
        <w:bCs/>
        <w:sz w:val="18"/>
      </w:rPr>
      <w:fldChar w:fldCharType="separate"/>
    </w:r>
    <w:r w:rsidR="005A25A9">
      <w:rPr>
        <w:b/>
        <w:bCs/>
        <w:noProof/>
        <w:sz w:val="18"/>
      </w:rPr>
      <w:t>3</w:t>
    </w:r>
    <w:r w:rsidRPr="007A34C9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C025D" w14:textId="12D1359D" w:rsidR="009F316A" w:rsidRDefault="009F316A" w:rsidP="009F316A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0F489CB" wp14:editId="3056F3BC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0271FE" w14:textId="7591D9A3" w:rsidR="009F316A" w:rsidRPr="009F316A" w:rsidRDefault="009F316A" w:rsidP="009F316A">
    <w:pPr>
      <w:pStyle w:val="Footer"/>
      <w:ind w:right="1134"/>
      <w:rPr>
        <w:sz w:val="20"/>
      </w:rPr>
    </w:pPr>
    <w:r>
      <w:rPr>
        <w:sz w:val="20"/>
      </w:rPr>
      <w:t>GE.21-13730(E)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890A830" wp14:editId="5A4F0BB5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15421" w14:textId="77777777" w:rsidR="00BF2F24" w:rsidRPr="00A0297D" w:rsidRDefault="00BF2F24" w:rsidP="00A0297D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19AB6E17" w14:textId="77777777" w:rsidR="00BF2F24" w:rsidRPr="00A0297D" w:rsidRDefault="00BF2F24" w:rsidP="00A0297D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16F7F82C" w14:textId="77777777" w:rsidR="007A34C9" w:rsidRPr="009B368F" w:rsidRDefault="007A34C9" w:rsidP="007A34C9">
      <w:pPr>
        <w:pStyle w:val="FootnoteText"/>
        <w:rPr>
          <w:highlight w:val="green"/>
        </w:rPr>
      </w:pPr>
      <w:r>
        <w:rPr>
          <w:rStyle w:val="FootnoteReference"/>
        </w:rPr>
        <w:tab/>
      </w:r>
      <w:r w:rsidRPr="00736DCC">
        <w:rPr>
          <w:rStyle w:val="FootnoteReference"/>
          <w:sz w:val="20"/>
          <w:vertAlign w:val="baseline"/>
        </w:rPr>
        <w:t>*</w:t>
      </w:r>
      <w:r w:rsidRPr="00736DCC">
        <w:rPr>
          <w:rStyle w:val="FootnoteReference"/>
          <w:sz w:val="20"/>
          <w:vertAlign w:val="baseline"/>
        </w:rPr>
        <w:tab/>
      </w:r>
      <w:r w:rsidRPr="00CA4D21">
        <w:rPr>
          <w:color w:val="000000"/>
          <w:shd w:val="clear" w:color="auto" w:fill="FFFFFF"/>
          <w:lang w:val="en-US"/>
        </w:rPr>
        <w:t>Agreement was reached to publish the present document after the standard publication date owing to circumstances beyond the submitter’s control.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1737F" w14:textId="77777777" w:rsidR="007A34C9" w:rsidRDefault="007A34C9" w:rsidP="007A34C9">
    <w:pPr>
      <w:pStyle w:val="Header"/>
    </w:pPr>
    <w:r>
      <w:t>CERD/C/THA/Q/4-8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202BA" w14:textId="77777777" w:rsidR="007A34C9" w:rsidRDefault="007A34C9" w:rsidP="007A34C9">
    <w:pPr>
      <w:pStyle w:val="Header"/>
      <w:jc w:val="right"/>
    </w:pPr>
    <w:r>
      <w:t>CERD/C/THA/Q/4-8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5D00B7B"/>
    <w:multiLevelType w:val="hybridMultilevel"/>
    <w:tmpl w:val="B4166588"/>
    <w:lvl w:ilvl="0" w:tplc="DC10EA8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F24"/>
    <w:rsid w:val="00021C97"/>
    <w:rsid w:val="00046E92"/>
    <w:rsid w:val="000550F8"/>
    <w:rsid w:val="001C3218"/>
    <w:rsid w:val="00247E2C"/>
    <w:rsid w:val="002D6C53"/>
    <w:rsid w:val="002F5595"/>
    <w:rsid w:val="00307688"/>
    <w:rsid w:val="00334F6A"/>
    <w:rsid w:val="00342AC8"/>
    <w:rsid w:val="003B4550"/>
    <w:rsid w:val="00461253"/>
    <w:rsid w:val="004758B8"/>
    <w:rsid w:val="005042C2"/>
    <w:rsid w:val="00557F19"/>
    <w:rsid w:val="005A25A9"/>
    <w:rsid w:val="00671529"/>
    <w:rsid w:val="007233F9"/>
    <w:rsid w:val="007268F9"/>
    <w:rsid w:val="00735147"/>
    <w:rsid w:val="00736DCC"/>
    <w:rsid w:val="007A34C9"/>
    <w:rsid w:val="007C52B0"/>
    <w:rsid w:val="008508B8"/>
    <w:rsid w:val="00863BE0"/>
    <w:rsid w:val="00883988"/>
    <w:rsid w:val="008E0F96"/>
    <w:rsid w:val="009411B4"/>
    <w:rsid w:val="009D0139"/>
    <w:rsid w:val="009F316A"/>
    <w:rsid w:val="009F5CDC"/>
    <w:rsid w:val="00A0297D"/>
    <w:rsid w:val="00A775CF"/>
    <w:rsid w:val="00A8196B"/>
    <w:rsid w:val="00B06045"/>
    <w:rsid w:val="00B65189"/>
    <w:rsid w:val="00BF2F24"/>
    <w:rsid w:val="00C01462"/>
    <w:rsid w:val="00C35A27"/>
    <w:rsid w:val="00CB1FB9"/>
    <w:rsid w:val="00D70FE1"/>
    <w:rsid w:val="00DA7116"/>
    <w:rsid w:val="00DE532E"/>
    <w:rsid w:val="00E02C2B"/>
    <w:rsid w:val="00ED6C48"/>
    <w:rsid w:val="00EF28CD"/>
    <w:rsid w:val="00F65F5D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30C4CE76"/>
  <w15:docId w15:val="{10BB69CE-EED6-4A3D-AFF5-E457FA63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3F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DE532E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307688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8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7A34C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E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F5BC7-4BF1-4E69-8810-0A39B0AF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0</TotalTime>
  <Pages>3</Pages>
  <Words>954</Words>
  <Characters>5720</Characters>
  <Application>Microsoft Office Word</Application>
  <DocSecurity>0</DocSecurity>
  <Lines>101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CERD/C/THA/Q/4-8</vt:lpstr>
    </vt:vector>
  </TitlesOfParts>
  <Company>DCM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CERD/C/THA/Q/4-8</dc:title>
  <dc:subject>2113730</dc:subject>
  <dc:creator>pae</dc:creator>
  <cp:keywords/>
  <dc:description>formatted text</dc:description>
  <cp:lastModifiedBy>Don MARTIN</cp:lastModifiedBy>
  <cp:revision>2</cp:revision>
  <dcterms:created xsi:type="dcterms:W3CDTF">2021-09-28T11:17:00Z</dcterms:created>
  <dcterms:modified xsi:type="dcterms:W3CDTF">2021-09-28T11:17:00Z</dcterms:modified>
</cp:coreProperties>
</file>