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DC" w:rsidRDefault="00C92EDC" w:rsidP="00C92EDC">
      <w:pPr>
        <w:spacing w:line="60" w:lineRule="exact"/>
        <w:rPr>
          <w:color w:val="010000"/>
          <w:sz w:val="6"/>
        </w:rPr>
        <w:sectPr w:rsidR="00C92EDC" w:rsidSect="00C92ED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742" w:right="1195" w:bottom="1898" w:left="1195" w:header="576" w:footer="1030" w:gutter="0"/>
          <w:pgNumType w:start="1"/>
          <w:cols w:space="720"/>
          <w:noEndnote/>
          <w:titlePg/>
          <w:docGrid w:linePitch="360"/>
        </w:sectPr>
      </w:pPr>
      <w:r>
        <w:rPr>
          <w:rStyle w:val="CommentReference"/>
        </w:rPr>
        <w:commentReference w:id="0"/>
      </w:r>
    </w:p>
    <w:p w:rsidR="00190845" w:rsidRPr="00190845" w:rsidRDefault="00190845" w:rsidP="001908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190845">
        <w:t>Комитет по ликвидации дискриминации</w:t>
      </w:r>
      <w:r w:rsidRPr="00190845">
        <w:br/>
        <w:t>в отношении женщин</w:t>
      </w:r>
    </w:p>
    <w:p w:rsidR="00190845" w:rsidRPr="00190845" w:rsidRDefault="00190845" w:rsidP="00190845">
      <w:pPr>
        <w:rPr>
          <w:b/>
        </w:rPr>
      </w:pPr>
      <w:r w:rsidRPr="00190845">
        <w:rPr>
          <w:b/>
        </w:rPr>
        <w:t>Шестьдесят первая сессия</w:t>
      </w:r>
    </w:p>
    <w:p w:rsidR="00190845" w:rsidRPr="00190845" w:rsidRDefault="00190845" w:rsidP="00190845">
      <w:r w:rsidRPr="00190845">
        <w:t xml:space="preserve">6–24 июля 2015 года </w:t>
      </w:r>
    </w:p>
    <w:p w:rsidR="00190845" w:rsidRPr="00190845" w:rsidRDefault="00190845" w:rsidP="00190845">
      <w:r w:rsidRPr="00190845">
        <w:t>Пункт 4 предварительной повестки дня</w:t>
      </w:r>
      <w:r w:rsidRPr="00E91216">
        <w:rPr>
          <w:rStyle w:val="FootnoteReference"/>
        </w:rPr>
        <w:footnoteReference w:customMarkFollows="1" w:id="1"/>
        <w:t>*</w:t>
      </w:r>
    </w:p>
    <w:p w:rsidR="00190845" w:rsidRDefault="00190845" w:rsidP="00190845">
      <w:r w:rsidRPr="00190845">
        <w:rPr>
          <w:b/>
        </w:rPr>
        <w:t xml:space="preserve">Рассмотрение докладов, представляемых </w:t>
      </w:r>
      <w:r>
        <w:rPr>
          <w:b/>
        </w:rPr>
        <w:br/>
      </w:r>
      <w:r w:rsidRPr="00190845">
        <w:rPr>
          <w:b/>
        </w:rPr>
        <w:t>государствами-участниками в соответствии</w:t>
      </w:r>
      <w:r>
        <w:rPr>
          <w:b/>
        </w:rPr>
        <w:br/>
      </w:r>
      <w:r w:rsidRPr="00190845">
        <w:rPr>
          <w:b/>
        </w:rPr>
        <w:t>со статьей</w:t>
      </w:r>
      <w:r>
        <w:rPr>
          <w:b/>
        </w:rPr>
        <w:t> </w:t>
      </w:r>
      <w:r w:rsidRPr="00190845">
        <w:rPr>
          <w:b/>
        </w:rPr>
        <w:t xml:space="preserve">18 Конвенции о ликвидации всех форм </w:t>
      </w:r>
      <w:r>
        <w:rPr>
          <w:b/>
        </w:rPr>
        <w:br/>
      </w:r>
      <w:r w:rsidRPr="00190845">
        <w:rPr>
          <w:b/>
        </w:rPr>
        <w:t>дискриминации в отношении женщин</w:t>
      </w:r>
      <w:r w:rsidRPr="00190845">
        <w:t xml:space="preserve"> </w:t>
      </w:r>
    </w:p>
    <w:p w:rsidR="00190845" w:rsidRPr="00190845" w:rsidRDefault="00190845" w:rsidP="00190845">
      <w:pPr>
        <w:spacing w:line="120" w:lineRule="exact"/>
        <w:rPr>
          <w:sz w:val="10"/>
        </w:rPr>
      </w:pPr>
    </w:p>
    <w:p w:rsidR="00190845" w:rsidRDefault="00190845" w:rsidP="00190845">
      <w:pPr>
        <w:spacing w:line="120" w:lineRule="exact"/>
        <w:rPr>
          <w:sz w:val="10"/>
        </w:rPr>
      </w:pPr>
    </w:p>
    <w:p w:rsidR="00190845" w:rsidRPr="00190845" w:rsidRDefault="00190845" w:rsidP="00190845">
      <w:pPr>
        <w:spacing w:line="120" w:lineRule="exact"/>
        <w:rPr>
          <w:sz w:val="10"/>
        </w:rPr>
      </w:pPr>
    </w:p>
    <w:p w:rsidR="00190845" w:rsidRDefault="00190845" w:rsidP="0019084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90845">
        <w:t xml:space="preserve">Перечень тем и вопросов в связи с рассмотрением объединенных четвертого и пятого периодических докладов Хорватии </w:t>
      </w:r>
    </w:p>
    <w:p w:rsidR="00190845" w:rsidRPr="00190845" w:rsidRDefault="00190845" w:rsidP="00190845">
      <w:pPr>
        <w:pStyle w:val="SingleTxt"/>
        <w:spacing w:after="0" w:line="120" w:lineRule="exact"/>
        <w:rPr>
          <w:sz w:val="10"/>
        </w:rPr>
      </w:pPr>
    </w:p>
    <w:p w:rsidR="00190845" w:rsidRPr="00190845" w:rsidRDefault="00190845" w:rsidP="00190845">
      <w:pPr>
        <w:pStyle w:val="SingleTxt"/>
        <w:spacing w:after="0" w:line="120" w:lineRule="exact"/>
        <w:rPr>
          <w:sz w:val="10"/>
        </w:rPr>
      </w:pPr>
    </w:p>
    <w:p w:rsidR="00190845" w:rsidRDefault="00190845" w:rsidP="001908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90845">
        <w:tab/>
      </w:r>
      <w:r w:rsidRPr="00190845">
        <w:rPr>
          <w:lang w:val="en-US"/>
        </w:rPr>
        <w:t xml:space="preserve">Добавление </w:t>
      </w:r>
    </w:p>
    <w:p w:rsidR="00190845" w:rsidRPr="00190845" w:rsidRDefault="00190845" w:rsidP="00190845">
      <w:pPr>
        <w:pStyle w:val="SingleTxt"/>
        <w:spacing w:after="0" w:line="120" w:lineRule="exact"/>
        <w:rPr>
          <w:sz w:val="10"/>
        </w:rPr>
      </w:pPr>
    </w:p>
    <w:p w:rsidR="00190845" w:rsidRPr="00190845" w:rsidRDefault="00190845" w:rsidP="00190845">
      <w:pPr>
        <w:pStyle w:val="SingleTxt"/>
        <w:spacing w:after="0" w:line="120" w:lineRule="exact"/>
        <w:rPr>
          <w:sz w:val="10"/>
        </w:rPr>
      </w:pPr>
    </w:p>
    <w:p w:rsidR="00190845" w:rsidRDefault="00190845" w:rsidP="0019084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90845">
        <w:rPr>
          <w:lang w:val="en-US"/>
        </w:rPr>
        <w:tab/>
      </w:r>
      <w:r w:rsidRPr="00190845">
        <w:t>Ответы Хорватии</w:t>
      </w:r>
      <w:r w:rsidRPr="00E91216">
        <w:rPr>
          <w:rStyle w:val="FootnoteReference"/>
          <w:b w:val="0"/>
          <w:sz w:val="20"/>
        </w:rPr>
        <w:footnoteReference w:customMarkFollows="1" w:id="2"/>
        <w:t>**</w:t>
      </w:r>
    </w:p>
    <w:p w:rsidR="00190845" w:rsidRPr="00190845" w:rsidRDefault="00190845" w:rsidP="00190845">
      <w:pPr>
        <w:pStyle w:val="SingleTxt"/>
        <w:spacing w:after="0" w:line="120" w:lineRule="exact"/>
        <w:rPr>
          <w:sz w:val="10"/>
        </w:rPr>
      </w:pPr>
    </w:p>
    <w:p w:rsidR="00190845" w:rsidRPr="00190845" w:rsidRDefault="00190845" w:rsidP="00190845">
      <w:pPr>
        <w:pStyle w:val="SingleTxt"/>
        <w:spacing w:after="0" w:line="120" w:lineRule="exact"/>
        <w:rPr>
          <w:sz w:val="10"/>
        </w:rPr>
      </w:pPr>
    </w:p>
    <w:p w:rsidR="00190845" w:rsidRPr="00190845" w:rsidRDefault="00190845" w:rsidP="00190845">
      <w:pPr>
        <w:pStyle w:val="SingleTxt"/>
        <w:jc w:val="right"/>
      </w:pPr>
      <w:r w:rsidRPr="00190845">
        <w:t>[Дата получения: 23 февраля 2015 года]</w:t>
      </w:r>
    </w:p>
    <w:p w:rsidR="00190845" w:rsidRPr="00190845" w:rsidRDefault="00190845" w:rsidP="00C92EDC">
      <w:pPr>
        <w:pStyle w:val="SingleTxt"/>
      </w:pPr>
    </w:p>
    <w:p w:rsidR="0029434A" w:rsidRDefault="00190845" w:rsidP="00BA1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BA168A">
        <w:tab/>
      </w:r>
      <w:r w:rsidR="00BA168A">
        <w:tab/>
      </w:r>
      <w:r w:rsidR="0029434A" w:rsidRPr="007347DD">
        <w:t>Общий контекст</w:t>
      </w:r>
    </w:p>
    <w:p w:rsidR="00BA168A" w:rsidRPr="00BA168A" w:rsidRDefault="00BA168A" w:rsidP="00BA168A">
      <w:pPr>
        <w:pStyle w:val="SingleTxt"/>
        <w:spacing w:after="0" w:line="120" w:lineRule="exact"/>
        <w:rPr>
          <w:sz w:val="10"/>
        </w:rPr>
      </w:pPr>
    </w:p>
    <w:p w:rsidR="0029434A" w:rsidRPr="00BA168A" w:rsidRDefault="0029434A" w:rsidP="00BA168A">
      <w:pPr>
        <w:pStyle w:val="SingleTxt"/>
        <w:rPr>
          <w:b/>
        </w:rPr>
      </w:pPr>
      <w:r w:rsidRPr="007347DD">
        <w:t>1.</w:t>
      </w:r>
      <w:r w:rsidR="00BA168A">
        <w:tab/>
      </w:r>
      <w:r w:rsidRPr="00BA168A">
        <w:rPr>
          <w:b/>
        </w:rPr>
        <w:t>Данный доклад государства-участника должен был быть представлен в октябре 2009 года, но был получен в сентябре 2013 года. Просьба объя</w:t>
      </w:r>
      <w:r w:rsidRPr="00BA168A">
        <w:rPr>
          <w:b/>
        </w:rPr>
        <w:t>с</w:t>
      </w:r>
      <w:r w:rsidRPr="00BA168A">
        <w:rPr>
          <w:b/>
        </w:rPr>
        <w:t>нить причины задержки с представлением доклада, который, как указ</w:t>
      </w:r>
      <w:r w:rsidRPr="00BA168A">
        <w:rPr>
          <w:b/>
        </w:rPr>
        <w:t>ы</w:t>
      </w:r>
      <w:r w:rsidRPr="00BA168A">
        <w:rPr>
          <w:b/>
        </w:rPr>
        <w:t>вается во введении к нему, охватывает события, произошедшие в период с 2005 по 2010 годы (</w:t>
      </w:r>
      <w:hyperlink r:id="rId14" w:history="1">
        <w:r w:rsidRPr="00CF4575">
          <w:rPr>
            <w:rStyle w:val="Hyperlink"/>
            <w:rFonts w:eastAsia="Times New Roman"/>
            <w:b/>
            <w:spacing w:val="0"/>
            <w:w w:val="100"/>
            <w:kern w:val="0"/>
          </w:rPr>
          <w:t>CEDAW/C/HRV/4-5</w:t>
        </w:r>
      </w:hyperlink>
      <w:r w:rsidRPr="00BA168A">
        <w:rPr>
          <w:b/>
        </w:rPr>
        <w:t>, пункт 2). Просьба представить о</w:t>
      </w:r>
      <w:r w:rsidRPr="00BA168A">
        <w:rPr>
          <w:b/>
        </w:rPr>
        <w:t>б</w:t>
      </w:r>
      <w:r w:rsidRPr="00BA168A">
        <w:rPr>
          <w:b/>
        </w:rPr>
        <w:t>новленную информацию и данные, касающиеся хода осуществления Ко</w:t>
      </w:r>
      <w:r w:rsidRPr="00BA168A">
        <w:rPr>
          <w:b/>
        </w:rPr>
        <w:t>н</w:t>
      </w:r>
      <w:r w:rsidRPr="00BA168A">
        <w:rPr>
          <w:b/>
        </w:rPr>
        <w:t>венции. Просьба также представить информацию об участии неправ</w:t>
      </w:r>
      <w:r w:rsidRPr="00BA168A">
        <w:rPr>
          <w:b/>
        </w:rPr>
        <w:t>и</w:t>
      </w:r>
      <w:r w:rsidRPr="00BA168A">
        <w:rPr>
          <w:b/>
        </w:rPr>
        <w:t>тельственных организаций, в частности женских организаций, в подг</w:t>
      </w:r>
      <w:r w:rsidRPr="00BA168A">
        <w:rPr>
          <w:b/>
        </w:rPr>
        <w:t>о</w:t>
      </w:r>
      <w:r w:rsidRPr="00BA168A">
        <w:rPr>
          <w:b/>
        </w:rPr>
        <w:t>товке настоящего доклада и о характере и масштабах проводившихся с ними консультаций.</w:t>
      </w:r>
    </w:p>
    <w:p w:rsidR="0029434A" w:rsidRPr="007347DD" w:rsidRDefault="00BA168A" w:rsidP="00BA168A">
      <w:pPr>
        <w:pStyle w:val="SingleTxt"/>
      </w:pPr>
      <w:r>
        <w:tab/>
      </w:r>
      <w:r w:rsidR="0029434A" w:rsidRPr="007347DD">
        <w:t xml:space="preserve">Задержка с представлением сводного четвертого и пятого </w:t>
      </w:r>
      <w:r w:rsidR="0029434A">
        <w:t xml:space="preserve">объединенных </w:t>
      </w:r>
      <w:r w:rsidR="0029434A" w:rsidRPr="007347DD">
        <w:t>периодическ</w:t>
      </w:r>
      <w:r w:rsidR="0029434A">
        <w:t>их</w:t>
      </w:r>
      <w:r w:rsidR="0029434A" w:rsidRPr="007347DD">
        <w:t xml:space="preserve"> доклад</w:t>
      </w:r>
      <w:r w:rsidR="0029434A">
        <w:t>ов</w:t>
      </w:r>
      <w:r w:rsidR="0029434A" w:rsidRPr="007347DD">
        <w:t xml:space="preserve"> Республики Хорватия (далее</w:t>
      </w:r>
      <w:r w:rsidR="003B6FF9">
        <w:t xml:space="preserve"> — </w:t>
      </w:r>
      <w:r w:rsidR="0029434A" w:rsidRPr="007347DD">
        <w:t>РХ) является резул</w:t>
      </w:r>
      <w:r w:rsidR="0029434A" w:rsidRPr="007347DD">
        <w:t>ь</w:t>
      </w:r>
      <w:r w:rsidR="0029434A" w:rsidRPr="007347DD">
        <w:t>татом обязательства подготовить большое число докладов для различных ме</w:t>
      </w:r>
      <w:r w:rsidR="0029434A" w:rsidRPr="007347DD">
        <w:t>ж</w:t>
      </w:r>
      <w:r w:rsidR="0029434A" w:rsidRPr="007347DD">
        <w:t>дународных организаций, в том числе для других органов и комитетов Орган</w:t>
      </w:r>
      <w:r w:rsidR="0029434A" w:rsidRPr="007347DD">
        <w:t>и</w:t>
      </w:r>
      <w:r w:rsidR="0029434A" w:rsidRPr="007347DD">
        <w:t>зации Объединенных Наций (далее</w:t>
      </w:r>
      <w:r w:rsidR="003B6FF9">
        <w:t xml:space="preserve"> — </w:t>
      </w:r>
      <w:r w:rsidR="0029434A" w:rsidRPr="007347DD">
        <w:t>ООН), осуществления приоритетных мероприятий, касающихся выполнения обязательств в рамках присоединения Республики Хорватия к Европейскому союзу (далее</w:t>
      </w:r>
      <w:r w:rsidR="003B6FF9">
        <w:t xml:space="preserve"> — </w:t>
      </w:r>
      <w:r w:rsidR="0029434A" w:rsidRPr="007347DD">
        <w:t>ЕС), и некоторых пр</w:t>
      </w:r>
      <w:r w:rsidR="0029434A" w:rsidRPr="007347DD">
        <w:t>и</w:t>
      </w:r>
      <w:r w:rsidR="0029434A" w:rsidRPr="007347DD">
        <w:t>чин процедурного характера.</w:t>
      </w:r>
    </w:p>
    <w:p w:rsidR="0029434A" w:rsidRPr="007347DD" w:rsidRDefault="00BA168A" w:rsidP="00BA168A">
      <w:pPr>
        <w:pStyle w:val="SingleTxt"/>
      </w:pPr>
      <w:r>
        <w:tab/>
      </w:r>
      <w:r w:rsidR="0029434A" w:rsidRPr="007347DD">
        <w:t>Неправительственные организации не принимали участия в подготовке настоящего доклада, поскольку они, как правило, представляют отдельные н</w:t>
      </w:r>
      <w:r w:rsidR="0029434A" w:rsidRPr="007347DD">
        <w:t>е</w:t>
      </w:r>
      <w:r w:rsidR="0029434A" w:rsidRPr="007347DD">
        <w:t>официальные доклады. Вместе с тем, в представленном докладе говорится о последствиях различных мер и государственной политики в отношении гра</w:t>
      </w:r>
      <w:r w:rsidR="0029434A" w:rsidRPr="007347DD">
        <w:t>ж</w:t>
      </w:r>
      <w:r w:rsidR="0029434A" w:rsidRPr="007347DD">
        <w:t>дан и о результатах многочисленных проектов и мероприятий, осуществле</w:t>
      </w:r>
      <w:r w:rsidR="0029434A" w:rsidRPr="007347DD">
        <w:t>н</w:t>
      </w:r>
      <w:r w:rsidR="0029434A" w:rsidRPr="007347DD">
        <w:t>ных НПО по отдельности или в сотрудничестве с органами государственного управл</w:t>
      </w:r>
      <w:r w:rsidR="0029434A" w:rsidRPr="007347DD">
        <w:t>е</w:t>
      </w:r>
      <w:r w:rsidR="0029434A" w:rsidRPr="007347DD">
        <w:t>ния.</w:t>
      </w:r>
    </w:p>
    <w:p w:rsidR="0029434A" w:rsidRPr="007347DD" w:rsidRDefault="00BA168A" w:rsidP="00BA168A">
      <w:pPr>
        <w:pStyle w:val="SingleTxt"/>
      </w:pPr>
      <w:r>
        <w:tab/>
      </w:r>
      <w:r w:rsidR="0029434A" w:rsidRPr="007347DD">
        <w:t>Доклад открыт для широкого ознакомления в режиме онлайн на хорва</w:t>
      </w:r>
      <w:r w:rsidR="0029434A" w:rsidRPr="007347DD">
        <w:t>т</w:t>
      </w:r>
      <w:r w:rsidR="0029434A" w:rsidRPr="007347DD">
        <w:t xml:space="preserve">ском и английском языках. </w:t>
      </w:r>
    </w:p>
    <w:p w:rsidR="0029434A" w:rsidRPr="007347DD" w:rsidRDefault="00BA168A" w:rsidP="00BA168A">
      <w:pPr>
        <w:pStyle w:val="SingleTxt"/>
      </w:pPr>
      <w:r>
        <w:tab/>
      </w:r>
      <w:r w:rsidR="0029434A" w:rsidRPr="007347DD">
        <w:t>Ниже приводится краткий обзор последних данных об осуществлении КЛДЖ.</w:t>
      </w:r>
    </w:p>
    <w:p w:rsidR="0029434A" w:rsidRPr="007347DD" w:rsidRDefault="00BA168A" w:rsidP="00BA168A">
      <w:pPr>
        <w:pStyle w:val="SingleTxt"/>
      </w:pPr>
      <w:r>
        <w:tab/>
      </w:r>
      <w:r w:rsidR="0029434A" w:rsidRPr="007347DD">
        <w:t>Осуществление Конвенции Организации Объединенных Наций о ликв</w:t>
      </w:r>
      <w:r w:rsidR="0029434A" w:rsidRPr="007347DD">
        <w:t>и</w:t>
      </w:r>
      <w:r w:rsidR="0029434A" w:rsidRPr="007347DD">
        <w:t>дации всех форм дискриминации в отношении женщин в соответствии со ст</w:t>
      </w:r>
      <w:r w:rsidR="0029434A" w:rsidRPr="007347DD">
        <w:t>а</w:t>
      </w:r>
      <w:r w:rsidR="0029434A" w:rsidRPr="007347DD">
        <w:t>тьями</w:t>
      </w:r>
      <w:r w:rsidR="003B6FF9">
        <w:t> </w:t>
      </w:r>
      <w:r w:rsidR="0029434A" w:rsidRPr="007347DD">
        <w:t>1</w:t>
      </w:r>
      <w:r w:rsidR="003B6FF9">
        <w:t>–</w:t>
      </w:r>
      <w:r w:rsidR="0029434A" w:rsidRPr="007347DD">
        <w:t>16</w:t>
      </w:r>
    </w:p>
    <w:p w:rsidR="0029434A" w:rsidRPr="007347DD" w:rsidRDefault="0029434A" w:rsidP="003B6FF9">
      <w:pPr>
        <w:pStyle w:val="SingleTxt"/>
        <w:tabs>
          <w:tab w:val="clear" w:pos="2218"/>
          <w:tab w:val="left" w:pos="2304"/>
        </w:tabs>
      </w:pPr>
      <w:r w:rsidRPr="007347DD">
        <w:rPr>
          <w:b/>
        </w:rPr>
        <w:t>Статья 1.</w:t>
      </w:r>
      <w:r w:rsidR="00BA168A">
        <w:rPr>
          <w:b/>
        </w:rPr>
        <w:tab/>
      </w:r>
      <w:r w:rsidRPr="007347DD">
        <w:rPr>
          <w:i/>
        </w:rPr>
        <w:t xml:space="preserve">Национальная </w:t>
      </w:r>
      <w:r>
        <w:rPr>
          <w:i/>
        </w:rPr>
        <w:t>стратегия</w:t>
      </w:r>
      <w:r w:rsidRPr="007347DD">
        <w:rPr>
          <w:i/>
        </w:rPr>
        <w:t xml:space="preserve"> по обеспечению гендерного равенства на 2011</w:t>
      </w:r>
      <w:r w:rsidR="003B6FF9">
        <w:rPr>
          <w:i/>
        </w:rPr>
        <w:t>–</w:t>
      </w:r>
      <w:r w:rsidRPr="007347DD">
        <w:rPr>
          <w:i/>
        </w:rPr>
        <w:t>2015</w:t>
      </w:r>
      <w:r w:rsidR="003B6FF9">
        <w:rPr>
          <w:i/>
        </w:rPr>
        <w:t> </w:t>
      </w:r>
      <w:r w:rsidRPr="007347DD">
        <w:rPr>
          <w:i/>
        </w:rPr>
        <w:t>годы</w:t>
      </w:r>
      <w:r w:rsidRPr="007347DD">
        <w:rPr>
          <w:b/>
        </w:rPr>
        <w:t xml:space="preserve"> </w:t>
      </w:r>
      <w:r w:rsidRPr="007347DD">
        <w:t>(далее</w:t>
      </w:r>
      <w:r w:rsidR="003B6FF9">
        <w:t xml:space="preserve"> — </w:t>
      </w:r>
      <w:r w:rsidRPr="007347DD">
        <w:rPr>
          <w:i/>
        </w:rPr>
        <w:t xml:space="preserve">Национальная </w:t>
      </w:r>
      <w:r>
        <w:rPr>
          <w:i/>
        </w:rPr>
        <w:t>стратегия</w:t>
      </w:r>
      <w:r w:rsidRPr="007347DD">
        <w:t>),</w:t>
      </w:r>
      <w:r w:rsidRPr="007347DD">
        <w:rPr>
          <w:b/>
        </w:rPr>
        <w:t xml:space="preserve"> </w:t>
      </w:r>
      <w:r w:rsidRPr="007347DD">
        <w:t>которая была принята парламентом Хорватии в июле 2011 года, была определена в качестве основ</w:t>
      </w:r>
      <w:r w:rsidRPr="007347DD">
        <w:t>о</w:t>
      </w:r>
      <w:r w:rsidRPr="007347DD">
        <w:t>полагающего стратегического документа Республики Хорватия, принятого в целях ликвидации дискриминации в отношении женщин и установления по</w:t>
      </w:r>
      <w:r w:rsidRPr="007347DD">
        <w:t>д</w:t>
      </w:r>
      <w:r w:rsidRPr="007347DD">
        <w:t>линного равенства между мужчинами и женщинами путем реализации полит</w:t>
      </w:r>
      <w:r w:rsidRPr="007347DD">
        <w:t>и</w:t>
      </w:r>
      <w:r w:rsidRPr="007347DD">
        <w:t>ки по обеспечению равных возможностей.</w:t>
      </w:r>
    </w:p>
    <w:p w:rsidR="0029434A" w:rsidRPr="007347DD" w:rsidRDefault="0029434A" w:rsidP="003B6FF9">
      <w:pPr>
        <w:pStyle w:val="SingleTxt"/>
        <w:tabs>
          <w:tab w:val="clear" w:pos="2218"/>
          <w:tab w:val="left" w:pos="2322"/>
        </w:tabs>
      </w:pPr>
      <w:r w:rsidRPr="007347DD">
        <w:rPr>
          <w:b/>
        </w:rPr>
        <w:t>Статья 2.</w:t>
      </w:r>
      <w:r w:rsidR="00BA168A">
        <w:rPr>
          <w:b/>
        </w:rPr>
        <w:tab/>
      </w:r>
      <w:r w:rsidRPr="007347DD">
        <w:t>Был принят ряд новых законов, а в некоторые законы были внесены поправки, а именно: Закон о труде (2014 год), Закон о семье (2014 год), Закон о бесплатной юридической помощи (2014 год), Закон о гражданских союзах о</w:t>
      </w:r>
      <w:r w:rsidRPr="007347DD">
        <w:t>д</w:t>
      </w:r>
      <w:r w:rsidRPr="007347DD">
        <w:t>нополых пар (2014 год), Уголовный кодекс (2011 год), Закон о выборах в мес</w:t>
      </w:r>
      <w:r w:rsidRPr="007347DD">
        <w:t>т</w:t>
      </w:r>
      <w:r w:rsidRPr="007347DD">
        <w:t>ные органы власти (2012 год), Закон о социальном обеспечении (2013 год), З</w:t>
      </w:r>
      <w:r w:rsidRPr="007347DD">
        <w:t>а</w:t>
      </w:r>
      <w:r w:rsidRPr="007347DD">
        <w:t xml:space="preserve">кон о выборах представителей в хорватский </w:t>
      </w:r>
      <w:r>
        <w:t>сабор</w:t>
      </w:r>
      <w:r w:rsidRPr="007347DD">
        <w:t xml:space="preserve"> (2015 год), Закон о борьбе с дискриминацией (2012 год), Закон о государственных реестрах (2013 год), З</w:t>
      </w:r>
      <w:r w:rsidRPr="007347DD">
        <w:t>а</w:t>
      </w:r>
      <w:r w:rsidRPr="007347DD">
        <w:t xml:space="preserve">кон о пособиях по беременности и </w:t>
      </w:r>
      <w:r>
        <w:t xml:space="preserve">по </w:t>
      </w:r>
      <w:r w:rsidRPr="007347DD">
        <w:t>уходу</w:t>
      </w:r>
      <w:r>
        <w:t xml:space="preserve"> за ребенком</w:t>
      </w:r>
      <w:r w:rsidRPr="007347DD">
        <w:t xml:space="preserve"> (2014 год), Закон об иностранцах (2013 год), Закон об уголовном судопроизводстве (2013 год) и З</w:t>
      </w:r>
      <w:r w:rsidRPr="007347DD">
        <w:t>а</w:t>
      </w:r>
      <w:r w:rsidRPr="007347DD">
        <w:t>кон о пенсионном страховании (2013 год). Были приняты Закон о службе в В</w:t>
      </w:r>
      <w:r w:rsidRPr="007347DD">
        <w:t>о</w:t>
      </w:r>
      <w:r w:rsidRPr="007347DD">
        <w:t xml:space="preserve">оруженных силах Республики Хорватия и Закон об обороне (2013 год), </w:t>
      </w:r>
      <w:r>
        <w:t xml:space="preserve">в </w:t>
      </w:r>
      <w:r w:rsidRPr="007347DD">
        <w:t>кот</w:t>
      </w:r>
      <w:r w:rsidRPr="007347DD">
        <w:t>о</w:t>
      </w:r>
      <w:r w:rsidRPr="007347DD">
        <w:t>ры</w:t>
      </w:r>
      <w:r>
        <w:t>х</w:t>
      </w:r>
      <w:r w:rsidRPr="007347DD">
        <w:t xml:space="preserve"> да</w:t>
      </w:r>
      <w:r>
        <w:t>е</w:t>
      </w:r>
      <w:r w:rsidRPr="007347DD">
        <w:t>т</w:t>
      </w:r>
      <w:r>
        <w:t>ся</w:t>
      </w:r>
      <w:r w:rsidRPr="007347DD">
        <w:t xml:space="preserve"> определение лингвистических стандартов в области обороны и бе</w:t>
      </w:r>
      <w:r w:rsidRPr="007347DD">
        <w:t>з</w:t>
      </w:r>
      <w:r w:rsidRPr="007347DD">
        <w:t>опасности в соответствии с гендерной терминологией.</w:t>
      </w:r>
    </w:p>
    <w:p w:rsidR="0029434A" w:rsidRPr="007347DD" w:rsidRDefault="0029434A" w:rsidP="003B6FF9">
      <w:pPr>
        <w:pStyle w:val="SingleTxt"/>
        <w:tabs>
          <w:tab w:val="clear" w:pos="2218"/>
          <w:tab w:val="left" w:pos="2295"/>
        </w:tabs>
      </w:pPr>
      <w:r w:rsidRPr="007347DD">
        <w:rPr>
          <w:b/>
        </w:rPr>
        <w:t>Статья 3.</w:t>
      </w:r>
      <w:r w:rsidR="003B6FF9">
        <w:rPr>
          <w:lang w:val="en-US"/>
        </w:rPr>
        <w:tab/>
      </w:r>
      <w:r w:rsidRPr="007347DD">
        <w:t xml:space="preserve">Были приняты новые стратегические документы, содержащие меры для расширения прав и возможностей и улучшения положения женщин, в частности: </w:t>
      </w:r>
      <w:r w:rsidRPr="007347DD">
        <w:rPr>
          <w:i/>
        </w:rPr>
        <w:t>Национальная стратегия защиты от насилия в семье на период 2011</w:t>
      </w:r>
      <w:r w:rsidR="003B6FF9" w:rsidRPr="003B6FF9">
        <w:rPr>
          <w:i/>
        </w:rPr>
        <w:t>–</w:t>
      </w:r>
      <w:r w:rsidRPr="007347DD">
        <w:rPr>
          <w:i/>
        </w:rPr>
        <w:t>2016 годов, Стратегия развития предпринимательства среди женщин в Хорватии на период 2014</w:t>
      </w:r>
      <w:r w:rsidR="003B6FF9" w:rsidRPr="003B6FF9">
        <w:rPr>
          <w:i/>
        </w:rPr>
        <w:t>–</w:t>
      </w:r>
      <w:r w:rsidRPr="007347DD">
        <w:rPr>
          <w:i/>
        </w:rPr>
        <w:t xml:space="preserve">2020 годов, Национальная программа </w:t>
      </w:r>
      <w:r>
        <w:rPr>
          <w:i/>
        </w:rPr>
        <w:t xml:space="preserve">в области </w:t>
      </w:r>
      <w:r w:rsidRPr="007347DD">
        <w:rPr>
          <w:i/>
        </w:rPr>
        <w:t>з</w:t>
      </w:r>
      <w:r w:rsidRPr="007347DD">
        <w:rPr>
          <w:i/>
        </w:rPr>
        <w:t>а</w:t>
      </w:r>
      <w:r w:rsidRPr="007347DD">
        <w:rPr>
          <w:i/>
        </w:rPr>
        <w:t>щиты и поощрения прав человека на период 2013</w:t>
      </w:r>
      <w:r w:rsidR="003B6FF9" w:rsidRPr="003B6FF9">
        <w:rPr>
          <w:i/>
        </w:rPr>
        <w:t>–</w:t>
      </w:r>
      <w:r w:rsidRPr="007347DD">
        <w:rPr>
          <w:i/>
        </w:rPr>
        <w:t>2016 годов, Национальный план по борьбе с торговлей людьми на период 2012</w:t>
      </w:r>
      <w:r w:rsidR="003B6FF9" w:rsidRPr="003B6FF9">
        <w:rPr>
          <w:i/>
        </w:rPr>
        <w:t>–</w:t>
      </w:r>
      <w:r w:rsidRPr="007347DD">
        <w:rPr>
          <w:i/>
        </w:rPr>
        <w:t>2015 год</w:t>
      </w:r>
      <w:r>
        <w:rPr>
          <w:i/>
        </w:rPr>
        <w:t>ов</w:t>
      </w:r>
      <w:r w:rsidRPr="007347DD">
        <w:rPr>
          <w:i/>
        </w:rPr>
        <w:t>, Национал</w:t>
      </w:r>
      <w:r w:rsidRPr="007347DD">
        <w:rPr>
          <w:i/>
        </w:rPr>
        <w:t>ь</w:t>
      </w:r>
      <w:r w:rsidRPr="007347DD">
        <w:rPr>
          <w:i/>
        </w:rPr>
        <w:t>ная стратегия по интеграции рома на период 2013</w:t>
      </w:r>
      <w:r w:rsidR="003B6FF9" w:rsidRPr="003B6FF9">
        <w:rPr>
          <w:i/>
        </w:rPr>
        <w:t>–</w:t>
      </w:r>
      <w:r w:rsidRPr="007347DD">
        <w:rPr>
          <w:i/>
        </w:rPr>
        <w:t>2020 годов, Стратегия по борьбе с бедностью и социальной изоляцией в Республике Хорватия на п</w:t>
      </w:r>
      <w:r w:rsidRPr="007347DD">
        <w:rPr>
          <w:i/>
        </w:rPr>
        <w:t>е</w:t>
      </w:r>
      <w:r w:rsidRPr="007347DD">
        <w:rPr>
          <w:i/>
        </w:rPr>
        <w:t>риод 2014</w:t>
      </w:r>
      <w:r w:rsidR="003B6FF9" w:rsidRPr="003B6FF9">
        <w:rPr>
          <w:i/>
        </w:rPr>
        <w:t>–</w:t>
      </w:r>
      <w:r w:rsidRPr="007347DD">
        <w:rPr>
          <w:i/>
        </w:rPr>
        <w:t xml:space="preserve">2020 годов, Стратегия развития </w:t>
      </w:r>
      <w:r>
        <w:rPr>
          <w:i/>
        </w:rPr>
        <w:t xml:space="preserve">сети </w:t>
      </w:r>
      <w:r w:rsidRPr="007347DD">
        <w:rPr>
          <w:i/>
        </w:rPr>
        <w:t>социального обеспечения в Ре</w:t>
      </w:r>
      <w:r w:rsidRPr="007347DD">
        <w:rPr>
          <w:i/>
        </w:rPr>
        <w:t>с</w:t>
      </w:r>
      <w:r w:rsidRPr="007347DD">
        <w:rPr>
          <w:i/>
        </w:rPr>
        <w:t>публике Хорватия на период 2011</w:t>
      </w:r>
      <w:r w:rsidR="003B6FF9" w:rsidRPr="003B6FF9">
        <w:rPr>
          <w:i/>
        </w:rPr>
        <w:t>–</w:t>
      </w:r>
      <w:r w:rsidRPr="007347DD">
        <w:rPr>
          <w:i/>
        </w:rPr>
        <w:t xml:space="preserve">2016 годов, Национальный план </w:t>
      </w:r>
      <w:r>
        <w:rPr>
          <w:i/>
        </w:rPr>
        <w:t>по расшир</w:t>
      </w:r>
      <w:r>
        <w:rPr>
          <w:i/>
        </w:rPr>
        <w:t>е</w:t>
      </w:r>
      <w:r>
        <w:rPr>
          <w:i/>
        </w:rPr>
        <w:t xml:space="preserve">нию </w:t>
      </w:r>
      <w:r w:rsidRPr="007347DD">
        <w:rPr>
          <w:i/>
        </w:rPr>
        <w:t>занятости на период 2011</w:t>
      </w:r>
      <w:r w:rsidR="003B6FF9" w:rsidRPr="003B6FF9">
        <w:rPr>
          <w:i/>
        </w:rPr>
        <w:t>–</w:t>
      </w:r>
      <w:r w:rsidRPr="007347DD">
        <w:rPr>
          <w:i/>
        </w:rPr>
        <w:t xml:space="preserve">2013 годов, Национальная стратегия </w:t>
      </w:r>
      <w:r>
        <w:rPr>
          <w:i/>
        </w:rPr>
        <w:t>разв</w:t>
      </w:r>
      <w:r>
        <w:rPr>
          <w:i/>
        </w:rPr>
        <w:t>и</w:t>
      </w:r>
      <w:r>
        <w:rPr>
          <w:i/>
        </w:rPr>
        <w:t xml:space="preserve">тия здравоохранения </w:t>
      </w:r>
      <w:r w:rsidRPr="007347DD">
        <w:rPr>
          <w:i/>
        </w:rPr>
        <w:t>на период 2012</w:t>
      </w:r>
      <w:r w:rsidR="003B6FF9" w:rsidRPr="003B6FF9">
        <w:rPr>
          <w:i/>
        </w:rPr>
        <w:t>–</w:t>
      </w:r>
      <w:r w:rsidRPr="007347DD">
        <w:rPr>
          <w:i/>
        </w:rPr>
        <w:t>2020 годов, Национальный план действий по осуществлению резолюции</w:t>
      </w:r>
      <w:r w:rsidR="003B6FF9">
        <w:rPr>
          <w:i/>
          <w:lang w:val="en-US"/>
        </w:rPr>
        <w:t> </w:t>
      </w:r>
      <w:r w:rsidRPr="007347DD">
        <w:rPr>
          <w:i/>
        </w:rPr>
        <w:t>1325 (2000) Совета Безопасности Организации Объединенных Наций о женщинах, мире и безопасности и связанных с ней р</w:t>
      </w:r>
      <w:r w:rsidRPr="007347DD">
        <w:rPr>
          <w:i/>
        </w:rPr>
        <w:t>е</w:t>
      </w:r>
      <w:r w:rsidRPr="007347DD">
        <w:rPr>
          <w:i/>
        </w:rPr>
        <w:t>золюций на период 2011</w:t>
      </w:r>
      <w:r w:rsidR="003B6FF9" w:rsidRPr="003B6FF9">
        <w:rPr>
          <w:i/>
        </w:rPr>
        <w:t>–</w:t>
      </w:r>
      <w:r w:rsidRPr="007347DD">
        <w:rPr>
          <w:i/>
        </w:rPr>
        <w:t xml:space="preserve">2014 годов и </w:t>
      </w:r>
      <w:r>
        <w:rPr>
          <w:i/>
        </w:rPr>
        <w:t>Миграционная п</w:t>
      </w:r>
      <w:r w:rsidRPr="007347DD">
        <w:rPr>
          <w:i/>
        </w:rPr>
        <w:t>олитика на период 2013</w:t>
      </w:r>
      <w:r w:rsidR="003B6FF9" w:rsidRPr="003B6FF9">
        <w:rPr>
          <w:i/>
        </w:rPr>
        <w:t>–</w:t>
      </w:r>
      <w:r w:rsidRPr="007347DD">
        <w:rPr>
          <w:i/>
        </w:rPr>
        <w:t>2015 годов</w:t>
      </w:r>
      <w:r w:rsidRPr="007347DD">
        <w:t>. В конце 2014 года Управление по правам человека и правам наци</w:t>
      </w:r>
      <w:r w:rsidRPr="007347DD">
        <w:t>о</w:t>
      </w:r>
      <w:r w:rsidRPr="007347DD">
        <w:t>нальных меньшинств (далее</w:t>
      </w:r>
      <w:r w:rsidR="003B6FF9">
        <w:t xml:space="preserve"> — </w:t>
      </w:r>
      <w:r w:rsidRPr="007347DD">
        <w:t>УПЧНМ) учредило рабочую группу по разр</w:t>
      </w:r>
      <w:r w:rsidRPr="007347DD">
        <w:t>а</w:t>
      </w:r>
      <w:r w:rsidRPr="007347DD">
        <w:t xml:space="preserve">ботке нового </w:t>
      </w:r>
      <w:r w:rsidRPr="007347DD">
        <w:rPr>
          <w:i/>
        </w:rPr>
        <w:t>национального плана действий по борьбе с дискриминацией на период 2015</w:t>
      </w:r>
      <w:r w:rsidR="003B6FF9">
        <w:rPr>
          <w:i/>
        </w:rPr>
        <w:t>–</w:t>
      </w:r>
      <w:r w:rsidRPr="007347DD">
        <w:rPr>
          <w:i/>
        </w:rPr>
        <w:t>2020 годов</w:t>
      </w:r>
      <w:r w:rsidRPr="007347DD">
        <w:t>.</w:t>
      </w:r>
    </w:p>
    <w:p w:rsidR="0029434A" w:rsidRPr="007347DD" w:rsidRDefault="0029434A" w:rsidP="003B6FF9">
      <w:pPr>
        <w:pStyle w:val="SingleTxt"/>
        <w:tabs>
          <w:tab w:val="clear" w:pos="2218"/>
          <w:tab w:val="left" w:pos="2295"/>
        </w:tabs>
      </w:pPr>
      <w:r w:rsidRPr="007347DD">
        <w:rPr>
          <w:b/>
        </w:rPr>
        <w:t>Статья 4.</w:t>
      </w:r>
      <w:r w:rsidR="003B6FF9">
        <w:rPr>
          <w:b/>
        </w:rPr>
        <w:tab/>
      </w:r>
      <w:r w:rsidRPr="007347DD">
        <w:t>Информацию о содействии обеспечению гендерного равенства с помощью временных спец</w:t>
      </w:r>
      <w:r w:rsidRPr="007347DD">
        <w:t>и</w:t>
      </w:r>
      <w:r w:rsidRPr="007347DD">
        <w:t>альных мер см. в ответах на вопрос 6.</w:t>
      </w:r>
    </w:p>
    <w:p w:rsidR="0029434A" w:rsidRPr="007347DD" w:rsidRDefault="0029434A" w:rsidP="003B6FF9">
      <w:pPr>
        <w:pStyle w:val="SingleTxt"/>
        <w:tabs>
          <w:tab w:val="clear" w:pos="2218"/>
          <w:tab w:val="left" w:pos="2304"/>
        </w:tabs>
      </w:pPr>
      <w:r w:rsidRPr="007347DD">
        <w:rPr>
          <w:b/>
        </w:rPr>
        <w:t>Статья 5.</w:t>
      </w:r>
      <w:r w:rsidR="003B6FF9">
        <w:rPr>
          <w:b/>
        </w:rPr>
        <w:tab/>
      </w:r>
      <w:r>
        <w:t>С</w:t>
      </w:r>
      <w:r w:rsidRPr="007347DD">
        <w:t xml:space="preserve"> 2013 года Управление по вопросам рав</w:t>
      </w:r>
      <w:r>
        <w:t>енства</w:t>
      </w:r>
      <w:r w:rsidRPr="007347DD">
        <w:t xml:space="preserve"> мужчин и женщин при правительстве Республики Хорватия (далее</w:t>
      </w:r>
      <w:r w:rsidR="003B6FF9">
        <w:t xml:space="preserve"> — </w:t>
      </w:r>
      <w:r w:rsidRPr="007347DD">
        <w:t>УРМЖ), совместно с асс</w:t>
      </w:r>
      <w:r w:rsidRPr="007347DD">
        <w:t>о</w:t>
      </w:r>
      <w:r w:rsidRPr="007347DD">
        <w:t xml:space="preserve">циациями </w:t>
      </w:r>
      <w:r w:rsidR="003B6FF9">
        <w:t>«</w:t>
      </w:r>
      <w:r w:rsidRPr="007347DD">
        <w:t>Женская комната</w:t>
      </w:r>
      <w:r w:rsidR="003B6FF9">
        <w:t xml:space="preserve">» — </w:t>
      </w:r>
      <w:r w:rsidRPr="007347DD">
        <w:t>Центр сексуальных прав, и ЦЭСИ</w:t>
      </w:r>
      <w:r w:rsidR="003B6FF9">
        <w:t xml:space="preserve"> — </w:t>
      </w:r>
      <w:r w:rsidRPr="007347DD">
        <w:t xml:space="preserve">Центр просвещения, консультирования и исследований, осуществляет двухгодичный проект по проведению кампании </w:t>
      </w:r>
      <w:r w:rsidR="003B6FF9">
        <w:t>«</w:t>
      </w:r>
      <w:r w:rsidRPr="007347DD">
        <w:t>Я выступаю против насилия</w:t>
      </w:r>
      <w:r w:rsidR="003B6FF9">
        <w:t>»</w:t>
      </w:r>
      <w:r w:rsidRPr="007347DD">
        <w:t xml:space="preserve"> (“My Voice against Violence”), совместно финансируемый Европейской комиссией на осн</w:t>
      </w:r>
      <w:r w:rsidRPr="007347DD">
        <w:t>о</w:t>
      </w:r>
      <w:r w:rsidRPr="007347DD">
        <w:t>ве тендера, опубликованного Программой занятости и социальной солидарн</w:t>
      </w:r>
      <w:r w:rsidRPr="007347DD">
        <w:t>о</w:t>
      </w:r>
      <w:r w:rsidRPr="007347DD">
        <w:t>сти Европейского сообщества</w:t>
      </w:r>
      <w:r w:rsidR="003B6FF9">
        <w:t> — «</w:t>
      </w:r>
      <w:r w:rsidRPr="007347DD">
        <w:t>ПРОГРЕСС</w:t>
      </w:r>
      <w:r w:rsidR="003B6FF9">
        <w:t>»</w:t>
      </w:r>
      <w:r w:rsidRPr="007347DD">
        <w:t>. Главная цель этого проекта з</w:t>
      </w:r>
      <w:r w:rsidRPr="007347DD">
        <w:t>а</w:t>
      </w:r>
      <w:r w:rsidRPr="007347DD">
        <w:t>ключается в повышении уровня осведомленности о том, что любой вид нас</w:t>
      </w:r>
      <w:r w:rsidRPr="007347DD">
        <w:t>и</w:t>
      </w:r>
      <w:r w:rsidRPr="007347DD">
        <w:t xml:space="preserve">лия в отношении женщин и девочек является неприемлемым, в том числе насилие в семье, и демонстрации четкой позиции </w:t>
      </w:r>
      <w:r w:rsidR="003B6FF9">
        <w:t>«</w:t>
      </w:r>
      <w:r w:rsidRPr="007347DD">
        <w:t>нулевой терпимости</w:t>
      </w:r>
      <w:r w:rsidR="003B6FF9">
        <w:t>»</w:t>
      </w:r>
      <w:r w:rsidRPr="007347DD">
        <w:t xml:space="preserve"> в о</w:t>
      </w:r>
      <w:r w:rsidRPr="007347DD">
        <w:t>т</w:t>
      </w:r>
      <w:r w:rsidRPr="007347DD">
        <w:t>ношении всех форм насилия по гендерному признаку.</w:t>
      </w:r>
    </w:p>
    <w:p w:rsidR="0029434A" w:rsidRPr="007347DD" w:rsidRDefault="00BA168A" w:rsidP="00BA168A">
      <w:pPr>
        <w:pStyle w:val="SingleTxt"/>
      </w:pPr>
      <w:r>
        <w:tab/>
      </w:r>
      <w:r w:rsidR="0029434A" w:rsidRPr="007347DD">
        <w:t xml:space="preserve">Была продолжена реализация национальной профилактической кампании под названием </w:t>
      </w:r>
      <w:r w:rsidR="003B6FF9">
        <w:t>«</w:t>
      </w:r>
      <w:r w:rsidR="0029434A" w:rsidRPr="007347DD">
        <w:t>Жизнь без насилия</w:t>
      </w:r>
      <w:r w:rsidR="003B6FF9">
        <w:t>»</w:t>
      </w:r>
      <w:r w:rsidR="0029434A" w:rsidRPr="007347DD">
        <w:t>, организованной министерством внутре</w:t>
      </w:r>
      <w:r w:rsidR="0029434A" w:rsidRPr="007347DD">
        <w:t>н</w:t>
      </w:r>
      <w:r w:rsidR="0029434A" w:rsidRPr="007347DD">
        <w:t>них дел (далее</w:t>
      </w:r>
      <w:r w:rsidR="003B6FF9">
        <w:t xml:space="preserve"> — </w:t>
      </w:r>
      <w:r w:rsidR="0029434A" w:rsidRPr="007347DD">
        <w:t>МВД) в сотрудничестве с Программой развития Организ</w:t>
      </w:r>
      <w:r w:rsidR="0029434A" w:rsidRPr="007347DD">
        <w:t>а</w:t>
      </w:r>
      <w:r w:rsidR="0029434A" w:rsidRPr="007347DD">
        <w:t>ции Объединенных Наций (далее</w:t>
      </w:r>
      <w:r w:rsidR="003B6FF9">
        <w:t xml:space="preserve"> — </w:t>
      </w:r>
      <w:r w:rsidR="0029434A" w:rsidRPr="007347DD">
        <w:t>ПРООН) и министерством образования, науки и спорта (далее</w:t>
      </w:r>
      <w:r w:rsidR="003B6FF9">
        <w:t xml:space="preserve"> — </w:t>
      </w:r>
      <w:r w:rsidR="0029434A" w:rsidRPr="007347DD">
        <w:t>МОНС) для учащихся начальных и средних школ, учит</w:t>
      </w:r>
      <w:r w:rsidR="0029434A" w:rsidRPr="007347DD">
        <w:t>е</w:t>
      </w:r>
      <w:r w:rsidR="0029434A" w:rsidRPr="007347DD">
        <w:t>лей и родителей.</w:t>
      </w:r>
    </w:p>
    <w:p w:rsidR="0029434A" w:rsidRPr="007347DD" w:rsidRDefault="00BA168A" w:rsidP="00BA168A">
      <w:pPr>
        <w:pStyle w:val="SingleTxt"/>
        <w:rPr>
          <w:b/>
          <w:bCs/>
        </w:rPr>
      </w:pPr>
      <w:r>
        <w:tab/>
      </w:r>
      <w:r w:rsidR="0029434A" w:rsidRPr="007347DD">
        <w:t>В январе 2013 года РХ подписала Конвенцию Совета Европы о предо</w:t>
      </w:r>
      <w:r w:rsidR="0029434A" w:rsidRPr="007347DD">
        <w:t>т</w:t>
      </w:r>
      <w:r w:rsidR="0029434A" w:rsidRPr="007347DD">
        <w:t>вращении насилия в отношении женщин и насилия в семье и борьбе с ним. Правительство РХ в 2011 году приняло Протокол о процедурах в случаях се</w:t>
      </w:r>
      <w:r w:rsidR="0029434A" w:rsidRPr="007347DD">
        <w:t>к</w:t>
      </w:r>
      <w:r w:rsidR="0029434A" w:rsidRPr="007347DD">
        <w:t>суального насилия и в 2012 году</w:t>
      </w:r>
      <w:r w:rsidR="003B6FF9">
        <w:t xml:space="preserve"> — </w:t>
      </w:r>
      <w:r w:rsidR="0029434A" w:rsidRPr="007347DD">
        <w:t>Протокол о процедурах в случаях престу</w:t>
      </w:r>
      <w:r w:rsidR="0029434A" w:rsidRPr="007347DD">
        <w:t>п</w:t>
      </w:r>
      <w:r w:rsidR="0029434A" w:rsidRPr="007347DD">
        <w:t xml:space="preserve">лений на почве ненависти. </w:t>
      </w:r>
    </w:p>
    <w:p w:rsidR="0029434A" w:rsidRPr="007347DD" w:rsidRDefault="0029434A" w:rsidP="003B6FF9">
      <w:pPr>
        <w:pStyle w:val="SingleTxt"/>
        <w:tabs>
          <w:tab w:val="clear" w:pos="2218"/>
          <w:tab w:val="left" w:pos="2313"/>
        </w:tabs>
        <w:rPr>
          <w:b/>
        </w:rPr>
      </w:pPr>
      <w:r w:rsidRPr="007347DD">
        <w:rPr>
          <w:b/>
        </w:rPr>
        <w:t>Статья 6.</w:t>
      </w:r>
      <w:r w:rsidR="00BA168A">
        <w:rPr>
          <w:b/>
        </w:rPr>
        <w:tab/>
      </w:r>
      <w:r w:rsidRPr="007347DD">
        <w:t>См. ответы на вопросы 12 и 13.</w:t>
      </w:r>
    </w:p>
    <w:p w:rsidR="0029434A" w:rsidRPr="007347DD" w:rsidRDefault="0029434A" w:rsidP="003B6FF9">
      <w:pPr>
        <w:pStyle w:val="SingleTxt"/>
        <w:tabs>
          <w:tab w:val="clear" w:pos="2218"/>
          <w:tab w:val="left" w:pos="2313"/>
        </w:tabs>
      </w:pPr>
      <w:r w:rsidRPr="007347DD">
        <w:rPr>
          <w:b/>
        </w:rPr>
        <w:t>Статья 7.</w:t>
      </w:r>
      <w:r w:rsidR="00BA168A">
        <w:rPr>
          <w:b/>
        </w:rPr>
        <w:tab/>
      </w:r>
      <w:r w:rsidRPr="007347DD">
        <w:t>Перед парламентскими выборами в 2011 году и выборами в мес</w:t>
      </w:r>
      <w:r w:rsidRPr="007347DD">
        <w:t>т</w:t>
      </w:r>
      <w:r w:rsidRPr="007347DD">
        <w:t>ные органы власти в 2013 году УРМЖ провело кампании за увеличение доли женщин в списках кандидатов и публично призвало к осуществлению полож</w:t>
      </w:r>
      <w:r w:rsidRPr="007347DD">
        <w:t>е</w:t>
      </w:r>
      <w:r w:rsidRPr="007347DD">
        <w:t xml:space="preserve">ний </w:t>
      </w:r>
      <w:r w:rsidRPr="007347DD">
        <w:rPr>
          <w:i/>
        </w:rPr>
        <w:t>Закона о рав</w:t>
      </w:r>
      <w:r>
        <w:rPr>
          <w:i/>
        </w:rPr>
        <w:t xml:space="preserve">енстве </w:t>
      </w:r>
      <w:r w:rsidRPr="007347DD">
        <w:rPr>
          <w:i/>
        </w:rPr>
        <w:t>мужчин и женщин</w:t>
      </w:r>
      <w:r w:rsidRPr="007347DD">
        <w:t>, который предусматривает, что п</w:t>
      </w:r>
      <w:r w:rsidRPr="007347DD">
        <w:t>о</w:t>
      </w:r>
      <w:r w:rsidRPr="007347DD">
        <w:t>литические партии должны обеспечивать равное представительство женщин и мужчин в избирательных списках. УРМЖ было одним из партнеров организ</w:t>
      </w:r>
      <w:r w:rsidRPr="007347DD">
        <w:t>а</w:t>
      </w:r>
      <w:r w:rsidRPr="007347DD">
        <w:t xml:space="preserve">ции </w:t>
      </w:r>
      <w:r w:rsidR="003B6FF9">
        <w:t>«</w:t>
      </w:r>
      <w:r w:rsidRPr="007347DD">
        <w:t>Оупен медиа груп</w:t>
      </w:r>
      <w:r w:rsidR="003B6FF9">
        <w:t>»</w:t>
      </w:r>
      <w:r w:rsidRPr="007347DD">
        <w:t xml:space="preserve"> при проведении кампании в средствах массовой и</w:t>
      </w:r>
      <w:r w:rsidRPr="007347DD">
        <w:t>н</w:t>
      </w:r>
      <w:r w:rsidRPr="007347DD">
        <w:t>формации о необходимости голосования в ходе выборов в Европейский парл</w:t>
      </w:r>
      <w:r w:rsidRPr="007347DD">
        <w:t>а</w:t>
      </w:r>
      <w:r w:rsidRPr="007347DD">
        <w:t xml:space="preserve">мент (ЕП) </w:t>
      </w:r>
      <w:r w:rsidR="003B6FF9">
        <w:t>«</w:t>
      </w:r>
      <w:r w:rsidRPr="007347DD">
        <w:t>Используй свое право для принятия решения</w:t>
      </w:r>
      <w:r w:rsidR="003B6FF9">
        <w:t>»</w:t>
      </w:r>
      <w:r w:rsidRPr="007347DD">
        <w:t>, которая осущест</w:t>
      </w:r>
      <w:r w:rsidRPr="007347DD">
        <w:t>в</w:t>
      </w:r>
      <w:r w:rsidRPr="007347DD">
        <w:t>лялась по линии совместного финансиров</w:t>
      </w:r>
      <w:r w:rsidRPr="007347DD">
        <w:t>а</w:t>
      </w:r>
      <w:r w:rsidRPr="007347DD">
        <w:t>ния с EP.</w:t>
      </w:r>
    </w:p>
    <w:p w:rsidR="0029434A" w:rsidRPr="007347DD" w:rsidRDefault="00BA168A" w:rsidP="00BA168A">
      <w:pPr>
        <w:pStyle w:val="SingleTxt"/>
      </w:pPr>
      <w:r>
        <w:tab/>
      </w:r>
      <w:r w:rsidR="0029434A" w:rsidRPr="007347DD">
        <w:t xml:space="preserve">В результате осуществления одной из мер в рамках </w:t>
      </w:r>
      <w:r w:rsidR="0029434A" w:rsidRPr="007347DD">
        <w:rPr>
          <w:i/>
        </w:rPr>
        <w:t xml:space="preserve">Национальной </w:t>
      </w:r>
      <w:r w:rsidR="0029434A">
        <w:rPr>
          <w:i/>
        </w:rPr>
        <w:t>стр</w:t>
      </w:r>
      <w:r w:rsidR="0029434A">
        <w:rPr>
          <w:i/>
        </w:rPr>
        <w:t>а</w:t>
      </w:r>
      <w:r w:rsidR="0029434A">
        <w:rPr>
          <w:i/>
        </w:rPr>
        <w:t>тегии</w:t>
      </w:r>
      <w:r w:rsidR="0029434A" w:rsidRPr="007347DD">
        <w:t xml:space="preserve"> в 2013 году была создана система гендерного мониторинга всего объема статистических данных о процедуре выборов, которая доступна для общ</w:t>
      </w:r>
      <w:r w:rsidR="0029434A" w:rsidRPr="007347DD">
        <w:t>е</w:t>
      </w:r>
      <w:r w:rsidR="0029434A" w:rsidRPr="007347DD">
        <w:t>ственности на веб-сайте Государственной избирательной комиссии. Для д</w:t>
      </w:r>
      <w:r w:rsidR="0029434A" w:rsidRPr="007347DD">
        <w:t>о</w:t>
      </w:r>
      <w:r w:rsidR="0029434A" w:rsidRPr="007347DD">
        <w:t xml:space="preserve">полнительной информации см. ответы на вопросы 14. </w:t>
      </w:r>
    </w:p>
    <w:p w:rsidR="0029434A" w:rsidRPr="007347DD" w:rsidRDefault="0029434A" w:rsidP="003B6FF9">
      <w:pPr>
        <w:pStyle w:val="SingleTxt"/>
        <w:tabs>
          <w:tab w:val="clear" w:pos="2218"/>
          <w:tab w:val="left" w:pos="2286"/>
        </w:tabs>
      </w:pPr>
      <w:r w:rsidRPr="007347DD">
        <w:rPr>
          <w:b/>
        </w:rPr>
        <w:t>Статья 8.</w:t>
      </w:r>
      <w:r w:rsidR="00BA168A">
        <w:rPr>
          <w:b/>
        </w:rPr>
        <w:tab/>
      </w:r>
      <w:r w:rsidRPr="007347DD">
        <w:t>В рамках участия в международных и региональных организациях и форумах и в оказании РХ помощи в целях развития третьим странам, особенно в усилиях, прилагаемых в области образования и расширения экономических прав и возможностей женщин в Афганистане, был инициирован учет генде</w:t>
      </w:r>
      <w:r w:rsidRPr="007347DD">
        <w:t>р</w:t>
      </w:r>
      <w:r w:rsidRPr="007347DD">
        <w:t>ной проблематики во всех внешнеполитических мероприятиях. Министерство иностранных и европейских дел (далее</w:t>
      </w:r>
      <w:r w:rsidR="003B6FF9">
        <w:t xml:space="preserve"> — </w:t>
      </w:r>
      <w:r w:rsidRPr="007347DD">
        <w:t>МИЕД) предложило и поддержало кандидатуры всех заинтересованных женщин-дипломатов и других женщин Хорватии на руководящие и другие должности в международных организациях. Для п</w:t>
      </w:r>
      <w:r w:rsidRPr="007347DD">
        <w:t>о</w:t>
      </w:r>
      <w:r w:rsidRPr="007347DD">
        <w:t>вторного избрания в Консультативный комитет по административным и бюджетным вопросам Организации Объединенных Наций была поддержана кандидатура старшего дипломата женского пола. Кандидатура старшего д</w:t>
      </w:r>
      <w:r w:rsidRPr="007347DD">
        <w:t>и</w:t>
      </w:r>
      <w:r w:rsidRPr="007347DD">
        <w:t>пломата женского пола получила поддержку на выборах для заполнения рук</w:t>
      </w:r>
      <w:r w:rsidRPr="007347DD">
        <w:t>о</w:t>
      </w:r>
      <w:r w:rsidRPr="007347DD">
        <w:t>водящей должн</w:t>
      </w:r>
      <w:r w:rsidRPr="007347DD">
        <w:t>о</w:t>
      </w:r>
      <w:r w:rsidRPr="007347DD">
        <w:t>сти в Центре ОБСЕ по предотвращению конфликтов. МИЕД и Постоянное представительство Республики Хорватия при Организации Об</w:t>
      </w:r>
      <w:r w:rsidRPr="007347DD">
        <w:t>ъ</w:t>
      </w:r>
      <w:r w:rsidRPr="007347DD">
        <w:t>единенных Наций также активно поддерживали работу одной из хорватских женщин-дипломатов старшего ранга в Комитете Организации Объединенных Наций по ликвидации дискриминации в отношении женщин. Женщина-дипломат и помощник министра заняла должность пре</w:t>
      </w:r>
      <w:r w:rsidRPr="007347DD">
        <w:t>д</w:t>
      </w:r>
      <w:r w:rsidRPr="007347DD">
        <w:t>седателя руководящего органа Многонациональной консультативной группы РАКВИАК, уникальной международной организации по обеспечению стабильности и безопасности в регионе. В рамках миссий по наблюдению ОБСЕ МИЕД направило двух же</w:t>
      </w:r>
      <w:r w:rsidRPr="007347DD">
        <w:t>н</w:t>
      </w:r>
      <w:r w:rsidRPr="007347DD">
        <w:t>щин-дипломатов для наблюдения за выборами в Армении и Албании. Женщ</w:t>
      </w:r>
      <w:r w:rsidRPr="007347DD">
        <w:t>и</w:t>
      </w:r>
      <w:r w:rsidRPr="007347DD">
        <w:t>ны составляют 40 процентов во всех семи постоянных делегациях хорватского парламе</w:t>
      </w:r>
      <w:r w:rsidRPr="007347DD">
        <w:t>н</w:t>
      </w:r>
      <w:r w:rsidRPr="007347DD">
        <w:t>та в международных парламентских организациях.</w:t>
      </w:r>
    </w:p>
    <w:p w:rsidR="0029434A" w:rsidRPr="007347DD" w:rsidRDefault="0029434A" w:rsidP="003B6FF9">
      <w:pPr>
        <w:pStyle w:val="SingleTxt"/>
        <w:tabs>
          <w:tab w:val="clear" w:pos="2218"/>
          <w:tab w:val="left" w:pos="2286"/>
        </w:tabs>
      </w:pPr>
      <w:r w:rsidRPr="007347DD">
        <w:rPr>
          <w:b/>
        </w:rPr>
        <w:t>Статья 9.</w:t>
      </w:r>
      <w:r w:rsidR="00BA168A">
        <w:rPr>
          <w:b/>
        </w:rPr>
        <w:tab/>
      </w:r>
      <w:r w:rsidRPr="007347DD">
        <w:rPr>
          <w:i/>
        </w:rPr>
        <w:t>Миграционная политика на период 2013</w:t>
      </w:r>
      <w:r w:rsidR="003B6FF9">
        <w:rPr>
          <w:i/>
        </w:rPr>
        <w:t>–</w:t>
      </w:r>
      <w:r w:rsidRPr="007347DD">
        <w:rPr>
          <w:i/>
        </w:rPr>
        <w:t>2015 годов</w:t>
      </w:r>
      <w:r w:rsidRPr="007347DD">
        <w:t xml:space="preserve"> </w:t>
      </w:r>
      <w:r>
        <w:t>предусматрив</w:t>
      </w:r>
      <w:r>
        <w:t>а</w:t>
      </w:r>
      <w:r>
        <w:t xml:space="preserve">ет предоставление специальных мер </w:t>
      </w:r>
      <w:r w:rsidRPr="007347DD">
        <w:t>защит</w:t>
      </w:r>
      <w:r>
        <w:t>ы</w:t>
      </w:r>
      <w:r w:rsidRPr="007347DD">
        <w:t>, направлен</w:t>
      </w:r>
      <w:r>
        <w:t>ных</w:t>
      </w:r>
      <w:r w:rsidRPr="007347DD">
        <w:t xml:space="preserve">, в частности, на </w:t>
      </w:r>
      <w:r>
        <w:t xml:space="preserve">обеспечение </w:t>
      </w:r>
      <w:r w:rsidRPr="007347DD">
        <w:t>защит</w:t>
      </w:r>
      <w:r>
        <w:t>ы</w:t>
      </w:r>
      <w:r w:rsidRPr="007347DD">
        <w:t xml:space="preserve"> категорий лиц, находящихся под </w:t>
      </w:r>
      <w:r>
        <w:t>угро</w:t>
      </w:r>
      <w:r w:rsidRPr="007347DD">
        <w:t>зой, в том числе жертв торговли людьми и жертв организованных преступных групп, береме</w:t>
      </w:r>
      <w:r w:rsidRPr="007347DD">
        <w:t>н</w:t>
      </w:r>
      <w:r w:rsidRPr="007347DD">
        <w:t>ных женщин, женщин, имеющих несовершеннолетних детей, и гомосексуал</w:t>
      </w:r>
      <w:r w:rsidRPr="007347DD">
        <w:t>и</w:t>
      </w:r>
      <w:r w:rsidRPr="007347DD">
        <w:t>стов. Была создана постоянная комиссия по вопросам интеграции иностранцев в хорватское общество и был принят План действий в целях ликвидации пр</w:t>
      </w:r>
      <w:r w:rsidRPr="007347DD">
        <w:t>е</w:t>
      </w:r>
      <w:r w:rsidRPr="007347DD">
        <w:t xml:space="preserve">пятствий на пути интеграции иностранцев. В 2013 году </w:t>
      </w:r>
      <w:r>
        <w:t>с просьбой о пред</w:t>
      </w:r>
      <w:r>
        <w:t>о</w:t>
      </w:r>
      <w:r>
        <w:t>ставлении убежища обратились</w:t>
      </w:r>
      <w:r w:rsidRPr="007347DD">
        <w:t xml:space="preserve"> 1088 </w:t>
      </w:r>
      <w:r>
        <w:t xml:space="preserve">человек, включая 117 женщин. </w:t>
      </w:r>
      <w:r w:rsidRPr="007347DD">
        <w:t>В общей сложности в том же году были одобрены семь ходатайств о предоставлении убежища (4 мужчины и 3 женщины), а также 17 заявлений о предоставлении вспомогательной защиты (10 мужчин и 7 женщин).</w:t>
      </w:r>
    </w:p>
    <w:p w:rsidR="0029434A" w:rsidRPr="007347DD" w:rsidRDefault="0029434A" w:rsidP="003B6FF9">
      <w:pPr>
        <w:pStyle w:val="SingleTxt"/>
        <w:tabs>
          <w:tab w:val="clear" w:pos="2218"/>
          <w:tab w:val="left" w:pos="2430"/>
        </w:tabs>
      </w:pPr>
      <w:r w:rsidRPr="007347DD">
        <w:rPr>
          <w:b/>
        </w:rPr>
        <w:t>Статья 10.</w:t>
      </w:r>
      <w:r w:rsidR="003B6FF9">
        <w:rPr>
          <w:b/>
        </w:rPr>
        <w:tab/>
      </w:r>
      <w:r w:rsidRPr="007347DD">
        <w:t>В 2013 году были утверждены новые «Требования к содержанию учебников», более четко определяющие этические, лингвистические и худож</w:t>
      </w:r>
      <w:r w:rsidRPr="007347DD">
        <w:t>е</w:t>
      </w:r>
      <w:r w:rsidRPr="007347DD">
        <w:t>ственные стандарты в начальной и средней школе в соответствии с принцип</w:t>
      </w:r>
      <w:r w:rsidRPr="007347DD">
        <w:t>а</w:t>
      </w:r>
      <w:r w:rsidRPr="007347DD">
        <w:t>ми гендерного равенства. Был отмечен прогресс в отношении удаления стере</w:t>
      </w:r>
      <w:r w:rsidRPr="007347DD">
        <w:t>о</w:t>
      </w:r>
      <w:r w:rsidRPr="007347DD">
        <w:t>типов из текстов и художественных и графических изображений, а также в о</w:t>
      </w:r>
      <w:r w:rsidRPr="007347DD">
        <w:t>т</w:t>
      </w:r>
      <w:r w:rsidRPr="007347DD">
        <w:t>ношении использования в обучении нейтральных с гендерной точки зрения или учитывающих гендерный аспект формулировок.</w:t>
      </w:r>
    </w:p>
    <w:p w:rsidR="0029434A" w:rsidRPr="007347DD" w:rsidRDefault="00BA168A" w:rsidP="00BA168A">
      <w:pPr>
        <w:pStyle w:val="SingleTxt"/>
      </w:pPr>
      <w:r>
        <w:tab/>
      </w:r>
      <w:r w:rsidR="0029434A" w:rsidRPr="007347DD">
        <w:t>В 2012 году была принята Программа обучения основам гражданственн</w:t>
      </w:r>
      <w:r w:rsidR="0029434A" w:rsidRPr="007347DD">
        <w:t>о</w:t>
      </w:r>
      <w:r w:rsidR="0029434A" w:rsidRPr="007347DD">
        <w:t>сти и началось ее экспериментальное осуществление на основе решения мин</w:t>
      </w:r>
      <w:r w:rsidR="0029434A" w:rsidRPr="007347DD">
        <w:t>и</w:t>
      </w:r>
      <w:r w:rsidR="0029434A" w:rsidRPr="007347DD">
        <w:t>стра об экспериментальном осуществлении и контроле за ходом осуществл</w:t>
      </w:r>
      <w:r w:rsidR="0029434A" w:rsidRPr="007347DD">
        <w:t>е</w:t>
      </w:r>
      <w:r w:rsidR="0029434A" w:rsidRPr="007347DD">
        <w:t>ния Программы обучения основам гражданственности в 12 начальных и сре</w:t>
      </w:r>
      <w:r w:rsidR="0029434A" w:rsidRPr="007347DD">
        <w:t>д</w:t>
      </w:r>
      <w:r w:rsidR="0029434A" w:rsidRPr="007347DD">
        <w:t>них школах в 2012/13 и 2013/14 учебных годах. Для преподавателей начальной и средней школы был проведен ряд различных видов мероприятий по профе</w:t>
      </w:r>
      <w:r w:rsidR="0029434A" w:rsidRPr="007347DD">
        <w:t>с</w:t>
      </w:r>
      <w:r w:rsidR="0029434A" w:rsidRPr="007347DD">
        <w:t>сиональной подготовке в области гражданского воспитания. В 2014 году в начальных и средних школах началось междисциплинарное осуществление программы гра</w:t>
      </w:r>
      <w:r w:rsidR="0029434A" w:rsidRPr="007347DD">
        <w:t>ж</w:t>
      </w:r>
      <w:r w:rsidR="0029434A" w:rsidRPr="007347DD">
        <w:t>данского воспитания.</w:t>
      </w:r>
    </w:p>
    <w:p w:rsidR="0029434A" w:rsidRPr="007347DD" w:rsidRDefault="00BA168A" w:rsidP="00BA168A">
      <w:pPr>
        <w:pStyle w:val="SingleTxt"/>
      </w:pPr>
      <w:r>
        <w:tab/>
      </w:r>
      <w:r w:rsidR="0029434A" w:rsidRPr="007347DD">
        <w:t>В 2013 и 2014 годах Агентством образования и профессиональной подг</w:t>
      </w:r>
      <w:r w:rsidR="0029434A" w:rsidRPr="007347DD">
        <w:t>о</w:t>
      </w:r>
      <w:r w:rsidR="0029434A" w:rsidRPr="007347DD">
        <w:t>товки учителей Хорватии было организовано специальное обучение для учит</w:t>
      </w:r>
      <w:r w:rsidR="0029434A" w:rsidRPr="007347DD">
        <w:t>е</w:t>
      </w:r>
      <w:r w:rsidR="0029434A" w:rsidRPr="007347DD">
        <w:t xml:space="preserve">лей по вопросам гендерного равенства. </w:t>
      </w:r>
    </w:p>
    <w:p w:rsidR="0029434A" w:rsidRPr="007347DD" w:rsidRDefault="00BA168A" w:rsidP="00BA168A">
      <w:pPr>
        <w:pStyle w:val="SingleTxt"/>
      </w:pPr>
      <w:r>
        <w:tab/>
      </w:r>
      <w:r w:rsidR="0029434A" w:rsidRPr="007347DD">
        <w:t xml:space="preserve">Набирающая силу тенденция в области образования женщин </w:t>
      </w:r>
      <w:r w:rsidR="0029434A">
        <w:t>сохраня</w:t>
      </w:r>
      <w:r w:rsidR="0029434A" w:rsidRPr="007347DD">
        <w:t xml:space="preserve">ется. Доля женщин, обучающихся (56,8 процента) и завершающих </w:t>
      </w:r>
      <w:r w:rsidR="0029434A">
        <w:t>программы пр</w:t>
      </w:r>
      <w:r w:rsidR="0029434A">
        <w:t>о</w:t>
      </w:r>
      <w:r w:rsidR="0029434A">
        <w:t xml:space="preserve">фессиональной подготовки и </w:t>
      </w:r>
      <w:r w:rsidR="0029434A" w:rsidRPr="007347DD">
        <w:t>обучени</w:t>
      </w:r>
      <w:r w:rsidR="0029434A">
        <w:t>я</w:t>
      </w:r>
      <w:r w:rsidR="0029434A" w:rsidRPr="007347DD">
        <w:t xml:space="preserve"> в университетах (58,9 процента в 2013/14 учебном году), значительно больше, чем доля мужчин в общем числе зачи</w:t>
      </w:r>
      <w:r w:rsidR="0029434A" w:rsidRPr="007347DD">
        <w:t>с</w:t>
      </w:r>
      <w:r w:rsidR="0029434A" w:rsidRPr="007347DD">
        <w:t>ленных студентов и выпускников университетов. Доля женщин, имеющих степень магистра, в 2013 году увеличилась с 55,6 процента до 57,9 процента, а доля женщин, имеющих докторскую степень, увеличилось с 51,1 процента в 2010</w:t>
      </w:r>
      <w:r w:rsidR="003B6FF9">
        <w:t> </w:t>
      </w:r>
      <w:r w:rsidR="0029434A" w:rsidRPr="007347DD">
        <w:t xml:space="preserve">году до 54,7 процента в 2013 году. </w:t>
      </w:r>
    </w:p>
    <w:p w:rsidR="0029434A" w:rsidRPr="007347DD" w:rsidRDefault="0029434A" w:rsidP="003B6FF9">
      <w:pPr>
        <w:pStyle w:val="SingleTxt"/>
        <w:tabs>
          <w:tab w:val="clear" w:pos="1742"/>
          <w:tab w:val="clear" w:pos="2218"/>
          <w:tab w:val="clear" w:pos="2693"/>
          <w:tab w:val="left" w:pos="2394"/>
        </w:tabs>
      </w:pPr>
      <w:r w:rsidRPr="007347DD">
        <w:rPr>
          <w:b/>
        </w:rPr>
        <w:t>Статья 11.</w:t>
      </w:r>
      <w:r w:rsidR="00BA168A">
        <w:rPr>
          <w:b/>
        </w:rPr>
        <w:tab/>
      </w:r>
      <w:r w:rsidRPr="007347DD">
        <w:t>Вступая в ЕС РХ поддержала осуществление активной полит</w:t>
      </w:r>
      <w:r w:rsidRPr="007347DD">
        <w:t>и</w:t>
      </w:r>
      <w:r w:rsidRPr="007347DD">
        <w:t xml:space="preserve">ки в сфере занятости, </w:t>
      </w:r>
      <w:r>
        <w:t xml:space="preserve">ориентированной </w:t>
      </w:r>
      <w:r w:rsidRPr="007347DD">
        <w:t>на безработных лиц, в том числе женщин, испытывающих трудности с выходом на рынок труда. Хорватская служба зан</w:t>
      </w:r>
      <w:r w:rsidRPr="007347DD">
        <w:t>я</w:t>
      </w:r>
      <w:r w:rsidRPr="007347DD">
        <w:t>тости (далее</w:t>
      </w:r>
      <w:r w:rsidR="003B6FF9">
        <w:t xml:space="preserve"> — </w:t>
      </w:r>
      <w:r w:rsidRPr="007347DD">
        <w:t>ХСЗ) введет в действие специальный пакет мер, в том числе меры по поощрению занятости, в отношении женщин. В январе 2015 года было опубликовано открытое приглашение подавать заявки на получение этого пак</w:t>
      </w:r>
      <w:r w:rsidRPr="007347DD">
        <w:t>е</w:t>
      </w:r>
      <w:r w:rsidRPr="007347DD">
        <w:t xml:space="preserve">та. Стимулирование занятости осуществляется на основе </w:t>
      </w:r>
      <w:r w:rsidRPr="007347DD">
        <w:rPr>
          <w:i/>
        </w:rPr>
        <w:t xml:space="preserve">Национального плана по </w:t>
      </w:r>
      <w:r>
        <w:rPr>
          <w:i/>
        </w:rPr>
        <w:t>расширению</w:t>
      </w:r>
      <w:r w:rsidRPr="007347DD">
        <w:rPr>
          <w:i/>
        </w:rPr>
        <w:t xml:space="preserve"> занятости на период 2011</w:t>
      </w:r>
      <w:r w:rsidR="003B6FF9">
        <w:rPr>
          <w:i/>
        </w:rPr>
        <w:t>–</w:t>
      </w:r>
      <w:r w:rsidRPr="007347DD">
        <w:rPr>
          <w:i/>
        </w:rPr>
        <w:t>2013 годов</w:t>
      </w:r>
      <w:r w:rsidRPr="007347DD">
        <w:t>, разработанного в соо</w:t>
      </w:r>
      <w:r w:rsidRPr="007347DD">
        <w:t>т</w:t>
      </w:r>
      <w:r w:rsidRPr="007347DD">
        <w:t xml:space="preserve">ветствие с </w:t>
      </w:r>
      <w:r w:rsidRPr="007347DD">
        <w:rPr>
          <w:i/>
        </w:rPr>
        <w:t>Совместной оценкой приоритетных направлений политики Евр</w:t>
      </w:r>
      <w:r w:rsidRPr="007347DD">
        <w:rPr>
          <w:i/>
        </w:rPr>
        <w:t>о</w:t>
      </w:r>
      <w:r w:rsidRPr="007347DD">
        <w:rPr>
          <w:i/>
        </w:rPr>
        <w:t>пейской комиссии в области занятости (СОП)</w:t>
      </w:r>
      <w:r w:rsidRPr="007347DD">
        <w:t xml:space="preserve"> и руководящими принципами </w:t>
      </w:r>
      <w:r w:rsidRPr="007347DD">
        <w:rPr>
          <w:i/>
        </w:rPr>
        <w:t>Европейской стратегии обеспечения занятости</w:t>
      </w:r>
      <w:r w:rsidRPr="007347DD">
        <w:t xml:space="preserve">. В рамках </w:t>
      </w:r>
      <w:r w:rsidRPr="007347DD">
        <w:rPr>
          <w:i/>
        </w:rPr>
        <w:t>Оперативной пр</w:t>
      </w:r>
      <w:r w:rsidRPr="007347DD">
        <w:rPr>
          <w:i/>
        </w:rPr>
        <w:t>о</w:t>
      </w:r>
      <w:r w:rsidRPr="007347DD">
        <w:rPr>
          <w:i/>
        </w:rPr>
        <w:t xml:space="preserve">граммы </w:t>
      </w:r>
      <w:r w:rsidR="003B6FF9">
        <w:rPr>
          <w:i/>
        </w:rPr>
        <w:t>«</w:t>
      </w:r>
      <w:r w:rsidRPr="007347DD">
        <w:rPr>
          <w:i/>
        </w:rPr>
        <w:t>Развитие людских ресурсов</w:t>
      </w:r>
      <w:r w:rsidR="003B6FF9">
        <w:rPr>
          <w:i/>
        </w:rPr>
        <w:t>»</w:t>
      </w:r>
      <w:r w:rsidRPr="007347DD">
        <w:rPr>
          <w:i/>
        </w:rPr>
        <w:t xml:space="preserve"> на период 2007</w:t>
      </w:r>
      <w:r w:rsidR="003B6FF9">
        <w:rPr>
          <w:i/>
        </w:rPr>
        <w:t>–</w:t>
      </w:r>
      <w:r w:rsidRPr="007347DD">
        <w:rPr>
          <w:i/>
        </w:rPr>
        <w:t>2013 годов</w:t>
      </w:r>
      <w:r w:rsidRPr="007347DD">
        <w:t>, в качестве основы для использования фондов ЕС на этапе, предшествующем вступлению, особое внимание уделялось потребностям групп населения, пострадавших в результате высокого уровня безработицы, к которым, в частности, относятся женщины. Целый ряд проектов, которые финансировались на основе этой Оп</w:t>
      </w:r>
      <w:r w:rsidRPr="007347DD">
        <w:t>е</w:t>
      </w:r>
      <w:r w:rsidRPr="007347DD">
        <w:t xml:space="preserve">ративной программы, включал женщин в качестве конечных пользователей, а программа субсидирования под названием </w:t>
      </w:r>
      <w:r w:rsidR="003B6FF9">
        <w:t>«</w:t>
      </w:r>
      <w:r w:rsidRPr="007347DD">
        <w:t>Женщины на рынке труда</w:t>
      </w:r>
      <w:r w:rsidR="003B6FF9">
        <w:t>»</w:t>
      </w:r>
      <w:r w:rsidRPr="007347DD">
        <w:t>, в ра</w:t>
      </w:r>
      <w:r w:rsidRPr="007347DD">
        <w:t>м</w:t>
      </w:r>
      <w:r w:rsidRPr="007347DD">
        <w:t xml:space="preserve">ках меры под названием </w:t>
      </w:r>
      <w:r w:rsidR="003B6FF9">
        <w:t>«</w:t>
      </w:r>
      <w:r w:rsidRPr="007347DD">
        <w:t>Создание поддержки в области социальной интегр</w:t>
      </w:r>
      <w:r w:rsidRPr="007347DD">
        <w:t>а</w:t>
      </w:r>
      <w:r w:rsidRPr="007347DD">
        <w:t>ции и занятости находящихся в неблагоприятном положении и маргинализир</w:t>
      </w:r>
      <w:r w:rsidRPr="007347DD">
        <w:t>о</w:t>
      </w:r>
      <w:r w:rsidRPr="007347DD">
        <w:t>ванных групп</w:t>
      </w:r>
      <w:r w:rsidR="003B6FF9">
        <w:t>»</w:t>
      </w:r>
      <w:r w:rsidRPr="007347DD">
        <w:t>, охватывала несколько крупных проектов.</w:t>
      </w:r>
    </w:p>
    <w:p w:rsidR="0029434A" w:rsidRPr="007347DD" w:rsidRDefault="00BA168A" w:rsidP="00BA168A">
      <w:pPr>
        <w:pStyle w:val="SingleTxt"/>
      </w:pPr>
      <w:r>
        <w:tab/>
      </w:r>
      <w:r w:rsidR="0029434A" w:rsidRPr="007347DD">
        <w:t xml:space="preserve">В новой Оперативной программе </w:t>
      </w:r>
      <w:r w:rsidR="003B6FF9">
        <w:t>«</w:t>
      </w:r>
      <w:r w:rsidR="0029434A" w:rsidRPr="007347DD">
        <w:t>Эффективные людские ресурсы на п</w:t>
      </w:r>
      <w:r w:rsidR="0029434A" w:rsidRPr="007347DD">
        <w:t>е</w:t>
      </w:r>
      <w:r w:rsidR="0029434A" w:rsidRPr="007347DD">
        <w:t>риод 2014</w:t>
      </w:r>
      <w:r w:rsidR="003B6FF9">
        <w:t>–</w:t>
      </w:r>
      <w:r w:rsidR="0029434A" w:rsidRPr="007347DD">
        <w:t>2020 годов</w:t>
      </w:r>
      <w:r w:rsidR="003B6FF9">
        <w:t>»</w:t>
      </w:r>
      <w:r w:rsidR="0029434A" w:rsidRPr="007347DD">
        <w:t>, финансируемой в основном за счет Европейского с</w:t>
      </w:r>
      <w:r w:rsidR="0029434A" w:rsidRPr="007347DD">
        <w:t>о</w:t>
      </w:r>
      <w:r w:rsidR="0029434A" w:rsidRPr="007347DD">
        <w:t>циального фонда, женщины включены в большинство инвестиционных при</w:t>
      </w:r>
      <w:r w:rsidR="0029434A" w:rsidRPr="007347DD">
        <w:t>о</w:t>
      </w:r>
      <w:r w:rsidR="0029434A" w:rsidRPr="007347DD">
        <w:t xml:space="preserve">ритетов в качестве специальной группы пользователей, в частности в </w:t>
      </w:r>
      <w:r w:rsidR="0029434A">
        <w:t>рамках проектов, направленных на обеспечение</w:t>
      </w:r>
      <w:r w:rsidR="0029434A" w:rsidRPr="007347DD">
        <w:t xml:space="preserve"> самостоятельной занятости безрабо</w:t>
      </w:r>
      <w:r w:rsidR="0029434A" w:rsidRPr="007347DD">
        <w:t>т</w:t>
      </w:r>
      <w:r w:rsidR="0029434A" w:rsidRPr="007347DD">
        <w:t>ных и борьб</w:t>
      </w:r>
      <w:r w:rsidR="0029434A">
        <w:t>у</w:t>
      </w:r>
      <w:r w:rsidR="0029434A" w:rsidRPr="007347DD">
        <w:t xml:space="preserve"> с нищетой и всеми фо</w:t>
      </w:r>
      <w:r w:rsidR="0029434A" w:rsidRPr="007347DD">
        <w:t>р</w:t>
      </w:r>
      <w:r w:rsidR="0029434A" w:rsidRPr="007347DD">
        <w:t xml:space="preserve">мами дискриминации. </w:t>
      </w:r>
    </w:p>
    <w:p w:rsidR="0029434A" w:rsidRPr="007347DD" w:rsidRDefault="00BA168A" w:rsidP="00BA168A">
      <w:pPr>
        <w:pStyle w:val="SingleTxt"/>
      </w:pPr>
      <w:r>
        <w:tab/>
      </w:r>
      <w:r w:rsidR="0029434A" w:rsidRPr="007347DD">
        <w:t xml:space="preserve">Новый </w:t>
      </w:r>
      <w:r w:rsidR="0029434A" w:rsidRPr="007347DD">
        <w:rPr>
          <w:i/>
        </w:rPr>
        <w:t>Закон о труде</w:t>
      </w:r>
      <w:r w:rsidR="0029434A" w:rsidRPr="007347DD">
        <w:t xml:space="preserve"> содержит ранее принятые концепции, такие, напр</w:t>
      </w:r>
      <w:r w:rsidR="0029434A" w:rsidRPr="007347DD">
        <w:t>и</w:t>
      </w:r>
      <w:r w:rsidR="0029434A" w:rsidRPr="007347DD">
        <w:t>мер, как запрещение прямой и косвенной дискриминации, обязательство о ра</w:t>
      </w:r>
      <w:r w:rsidR="0029434A" w:rsidRPr="007347DD">
        <w:t>в</w:t>
      </w:r>
      <w:r w:rsidR="0029434A" w:rsidRPr="007347DD">
        <w:t>ной оплате труда мужчин и женщин за труд равной ценности, защита человеч</w:t>
      </w:r>
      <w:r w:rsidR="0029434A" w:rsidRPr="007347DD">
        <w:t>е</w:t>
      </w:r>
      <w:r w:rsidR="0029434A" w:rsidRPr="007347DD">
        <w:t>ского достоинства женщин от сексуальных домогательств, бремя доказывания в трудовых спорах и защита беременных женщин и кормящих матерей. Работ</w:t>
      </w:r>
      <w:r w:rsidR="0029434A" w:rsidRPr="007347DD">
        <w:t>о</w:t>
      </w:r>
      <w:r w:rsidR="0029434A" w:rsidRPr="007347DD">
        <w:t xml:space="preserve">датели, нанимающие, по меньшей мере, 20 работников, должны </w:t>
      </w:r>
      <w:r w:rsidR="0029434A">
        <w:t xml:space="preserve">утверждать нормативные документы, предусматривающие </w:t>
      </w:r>
      <w:r w:rsidR="0029434A" w:rsidRPr="007347DD">
        <w:t>меры по защите от дискримин</w:t>
      </w:r>
      <w:r w:rsidR="0029434A" w:rsidRPr="007347DD">
        <w:t>а</w:t>
      </w:r>
      <w:r w:rsidR="0029434A" w:rsidRPr="007347DD">
        <w:t>ции. Запрещается запрашивать у работников данные, которые не имеют неп</w:t>
      </w:r>
      <w:r w:rsidR="0029434A" w:rsidRPr="007347DD">
        <w:t>о</w:t>
      </w:r>
      <w:r w:rsidR="0029434A" w:rsidRPr="007347DD">
        <w:t>средственного отношения к сфере трудовых отношений, прекращать действие р</w:t>
      </w:r>
      <w:r w:rsidR="0029434A" w:rsidRPr="007347DD">
        <w:t>а</w:t>
      </w:r>
      <w:r w:rsidR="0029434A" w:rsidRPr="007347DD">
        <w:t>бочего контракта в период беременности, отпуск</w:t>
      </w:r>
      <w:r w:rsidR="0029434A">
        <w:t>а</w:t>
      </w:r>
      <w:r w:rsidR="0029434A" w:rsidRPr="007347DD">
        <w:t xml:space="preserve"> по беременности и родам, отпуск</w:t>
      </w:r>
      <w:r w:rsidR="0029434A">
        <w:t>а</w:t>
      </w:r>
      <w:r w:rsidR="0029434A" w:rsidRPr="007347DD">
        <w:t xml:space="preserve"> для отца и отпуск</w:t>
      </w:r>
      <w:r w:rsidR="0029434A">
        <w:t>а</w:t>
      </w:r>
      <w:r w:rsidR="0029434A" w:rsidRPr="007347DD">
        <w:t xml:space="preserve"> в связи с усыновлением/удочерением</w:t>
      </w:r>
      <w:r w:rsidR="0029434A">
        <w:t xml:space="preserve"> </w:t>
      </w:r>
      <w:r w:rsidR="0029434A" w:rsidRPr="007347DD">
        <w:t xml:space="preserve">и в </w:t>
      </w:r>
      <w:r w:rsidR="0029434A">
        <w:t>период</w:t>
      </w:r>
      <w:r w:rsidR="0029434A" w:rsidRPr="007347DD">
        <w:t xml:space="preserve"> работы на условиях неполного рабочего </w:t>
      </w:r>
      <w:r w:rsidR="0029434A">
        <w:t>дня</w:t>
      </w:r>
      <w:r w:rsidR="0029434A" w:rsidRPr="007347DD">
        <w:t xml:space="preserve"> в связи с возросшей необходим</w:t>
      </w:r>
      <w:r w:rsidR="0029434A" w:rsidRPr="007347DD">
        <w:t>о</w:t>
      </w:r>
      <w:r w:rsidR="0029434A" w:rsidRPr="007347DD">
        <w:t>стью ухода за детьми. К более серьезным нарушениям, которые наказываются штрафом, относится тре</w:t>
      </w:r>
      <w:r w:rsidR="0029434A">
        <w:t>б</w:t>
      </w:r>
      <w:r w:rsidR="0029434A" w:rsidRPr="007347DD">
        <w:t>ование к работникам представить информацию, кот</w:t>
      </w:r>
      <w:r w:rsidR="0029434A" w:rsidRPr="007347DD">
        <w:t>о</w:t>
      </w:r>
      <w:r w:rsidR="0029434A" w:rsidRPr="007347DD">
        <w:t>рая не имеет прямого отношения к занятости, и отказ предоставить после во</w:t>
      </w:r>
      <w:r w:rsidR="0029434A" w:rsidRPr="007347DD">
        <w:t>з</w:t>
      </w:r>
      <w:r w:rsidR="0029434A" w:rsidRPr="007347DD">
        <w:t>вращения ту же должность, которую данное лицо занимало до того, как оно воспользовалось правом на отпуск по беременности и родам, отпуск отцу и в с</w:t>
      </w:r>
      <w:r w:rsidR="0029434A">
        <w:t>вязи с усыновлением/удочерением;</w:t>
      </w:r>
      <w:r w:rsidR="0029434A" w:rsidRPr="007347DD">
        <w:t xml:space="preserve"> еще более серьезны</w:t>
      </w:r>
      <w:r w:rsidR="0029434A">
        <w:t>ми</w:t>
      </w:r>
      <w:r w:rsidR="0029434A" w:rsidRPr="007347DD">
        <w:t xml:space="preserve"> нарушения</w:t>
      </w:r>
      <w:r w:rsidR="0029434A">
        <w:t>ми я</w:t>
      </w:r>
      <w:r w:rsidR="0029434A">
        <w:t>в</w:t>
      </w:r>
      <w:r w:rsidR="0029434A">
        <w:t>ляются</w:t>
      </w:r>
      <w:r w:rsidR="0029434A" w:rsidRPr="007347DD">
        <w:t xml:space="preserve"> отказ в трудоустройстве, расторжение трудового договора по причине беременности и предложение заключить скорректированный трудовой дог</w:t>
      </w:r>
      <w:r w:rsidR="0029434A" w:rsidRPr="007347DD">
        <w:t>о</w:t>
      </w:r>
      <w:r w:rsidR="0029434A" w:rsidRPr="007347DD">
        <w:t xml:space="preserve">вор </w:t>
      </w:r>
      <w:r w:rsidR="0029434A">
        <w:t>на</w:t>
      </w:r>
      <w:r w:rsidR="0029434A" w:rsidRPr="007347DD">
        <w:t xml:space="preserve"> неблагоприятных условиях по причине беременности, родов и грудного вскармливания. </w:t>
      </w:r>
    </w:p>
    <w:p w:rsidR="0029434A" w:rsidRPr="007347DD" w:rsidRDefault="00BA168A" w:rsidP="00BA168A">
      <w:pPr>
        <w:pStyle w:val="SingleTxt"/>
      </w:pPr>
      <w:r>
        <w:rPr>
          <w:i/>
        </w:rPr>
        <w:tab/>
      </w:r>
      <w:r w:rsidR="0029434A" w:rsidRPr="007347DD">
        <w:rPr>
          <w:i/>
        </w:rPr>
        <w:t>Руковод</w:t>
      </w:r>
      <w:r w:rsidR="0029434A">
        <w:rPr>
          <w:i/>
        </w:rPr>
        <w:t xml:space="preserve">ство по </w:t>
      </w:r>
      <w:r w:rsidR="0029434A" w:rsidRPr="007347DD">
        <w:rPr>
          <w:i/>
        </w:rPr>
        <w:t>разработк</w:t>
      </w:r>
      <w:r w:rsidR="0029434A">
        <w:rPr>
          <w:i/>
        </w:rPr>
        <w:t>е</w:t>
      </w:r>
      <w:r w:rsidR="0029434A" w:rsidRPr="007347DD">
        <w:rPr>
          <w:i/>
        </w:rPr>
        <w:t xml:space="preserve"> и осуществлени</w:t>
      </w:r>
      <w:r w:rsidR="0029434A">
        <w:rPr>
          <w:i/>
        </w:rPr>
        <w:t>ю</w:t>
      </w:r>
      <w:r w:rsidR="0029434A" w:rsidRPr="007347DD">
        <w:rPr>
          <w:i/>
        </w:rPr>
        <w:t xml:space="preserve"> активной политики в сфере занятости в Республике Хорватия в период 2015</w:t>
      </w:r>
      <w:r w:rsidR="003B6FF9">
        <w:rPr>
          <w:i/>
        </w:rPr>
        <w:t>–</w:t>
      </w:r>
      <w:r w:rsidR="0029434A" w:rsidRPr="007347DD">
        <w:rPr>
          <w:i/>
        </w:rPr>
        <w:t xml:space="preserve">2017 годов </w:t>
      </w:r>
      <w:r w:rsidR="0029434A" w:rsidRPr="007347DD">
        <w:t>был</w:t>
      </w:r>
      <w:r w:rsidR="0029434A">
        <w:t>о</w:t>
      </w:r>
      <w:r w:rsidR="0029434A" w:rsidRPr="007347DD">
        <w:t xml:space="preserve"> принят</w:t>
      </w:r>
      <w:r w:rsidR="0029434A">
        <w:t>о</w:t>
      </w:r>
      <w:r w:rsidR="0029434A" w:rsidRPr="007347DD">
        <w:t xml:space="preserve"> правительством в декабре 2014 года на основе анализа ситуации и рекоменд</w:t>
      </w:r>
      <w:r w:rsidR="0029434A" w:rsidRPr="007347DD">
        <w:t>а</w:t>
      </w:r>
      <w:r w:rsidR="0029434A" w:rsidRPr="007347DD">
        <w:t xml:space="preserve">ций ЕК. Одной из основных целей первоочередного порядка в отношении </w:t>
      </w:r>
      <w:r w:rsidR="0029434A">
        <w:t>п</w:t>
      </w:r>
      <w:r w:rsidR="0029434A">
        <w:t>о</w:t>
      </w:r>
      <w:r w:rsidR="0029434A">
        <w:t>вышения</w:t>
      </w:r>
      <w:r w:rsidR="0029434A" w:rsidRPr="007347DD">
        <w:t xml:space="preserve"> уровня занятости является, в частности, расширение участия женщин в рынке труда за счет стимулирования занятости, общественных работ, образ</w:t>
      </w:r>
      <w:r w:rsidR="0029434A" w:rsidRPr="007347DD">
        <w:t>о</w:t>
      </w:r>
      <w:r w:rsidR="0029434A" w:rsidRPr="007347DD">
        <w:t>вания, консультативной помощи, поддержки для женщин-предпринимателей и за счет обеспечения равенства между мужчинами и женщинами в сфере обр</w:t>
      </w:r>
      <w:r w:rsidR="0029434A" w:rsidRPr="007347DD">
        <w:t>а</w:t>
      </w:r>
      <w:r w:rsidR="0029434A" w:rsidRPr="007347DD">
        <w:t>зования и занятости и предоставления ухода за детьми и ухода за престарел</w:t>
      </w:r>
      <w:r w:rsidR="0029434A" w:rsidRPr="007347DD">
        <w:t>ы</w:t>
      </w:r>
      <w:r w:rsidR="0029434A" w:rsidRPr="007347DD">
        <w:t>ми в целях обеспечения баланса между профессиональной и личной жизнью. Были также определены меры поддержки для женщин, работа</w:t>
      </w:r>
      <w:r w:rsidR="0029434A" w:rsidRPr="007347DD">
        <w:t>ю</w:t>
      </w:r>
      <w:r w:rsidR="0029434A" w:rsidRPr="007347DD">
        <w:t>щих неполный рабочий день и половину дня из-за семейных и аналогичных обязательств.</w:t>
      </w:r>
      <w:r w:rsidR="0029434A" w:rsidRPr="007347DD">
        <w:rPr>
          <w:i/>
        </w:rPr>
        <w:t xml:space="preserve"> </w:t>
      </w:r>
    </w:p>
    <w:p w:rsidR="0029434A" w:rsidRPr="007347DD" w:rsidRDefault="0029434A" w:rsidP="003B6FF9">
      <w:pPr>
        <w:pStyle w:val="SingleTxt"/>
        <w:tabs>
          <w:tab w:val="clear" w:pos="2218"/>
          <w:tab w:val="left" w:pos="2412"/>
        </w:tabs>
      </w:pPr>
      <w:r w:rsidRPr="007347DD">
        <w:rPr>
          <w:b/>
        </w:rPr>
        <w:t>Статья 12.</w:t>
      </w:r>
      <w:r w:rsidR="00BA168A">
        <w:rPr>
          <w:b/>
        </w:rPr>
        <w:tab/>
      </w:r>
      <w:r w:rsidRPr="007347DD">
        <w:t>С 2006 года министерством здравоохранения (далее</w:t>
      </w:r>
      <w:r w:rsidR="003B6FF9">
        <w:t xml:space="preserve"> — </w:t>
      </w:r>
      <w:r w:rsidRPr="007347DD">
        <w:t>МЗ) ос</w:t>
      </w:r>
      <w:r w:rsidRPr="007347DD">
        <w:t>у</w:t>
      </w:r>
      <w:r w:rsidRPr="007347DD">
        <w:t>ществляется Национальная программа ранней диагностики рака молочной ж</w:t>
      </w:r>
      <w:r w:rsidRPr="007347DD">
        <w:t>е</w:t>
      </w:r>
      <w:r w:rsidRPr="007347DD">
        <w:t xml:space="preserve">лезы. В 2012 году началось осуществление Национальной программы ранней диагностики рака шейки матки. В целях повышения осведомленности женщин о важности раннего выявления рака молочной железы ежегодно отмечается День нарцисса, а проведение Дня мимозы </w:t>
      </w:r>
      <w:r>
        <w:t xml:space="preserve">призвано </w:t>
      </w:r>
      <w:r w:rsidRPr="007347DD">
        <w:t>подчерк</w:t>
      </w:r>
      <w:r>
        <w:t>нуть</w:t>
      </w:r>
      <w:r w:rsidRPr="007347DD">
        <w:t xml:space="preserve"> важное знач</w:t>
      </w:r>
      <w:r w:rsidRPr="007347DD">
        <w:t>е</w:t>
      </w:r>
      <w:r w:rsidRPr="007347DD">
        <w:t>ние раннего обнаружения рака шейки матки.</w:t>
      </w:r>
    </w:p>
    <w:p w:rsidR="0029434A" w:rsidRPr="007347DD" w:rsidRDefault="0029434A" w:rsidP="003B6FF9">
      <w:pPr>
        <w:pStyle w:val="SingleTxt"/>
        <w:tabs>
          <w:tab w:val="clear" w:pos="2693"/>
          <w:tab w:val="left" w:pos="2430"/>
        </w:tabs>
      </w:pPr>
      <w:r w:rsidRPr="007347DD">
        <w:rPr>
          <w:b/>
        </w:rPr>
        <w:t>Статья 13.</w:t>
      </w:r>
      <w:r w:rsidR="00BA168A">
        <w:rPr>
          <w:b/>
        </w:rPr>
        <w:tab/>
      </w:r>
      <w:r w:rsidRPr="007347DD">
        <w:t xml:space="preserve">В период с 2010 по 2013 годы на развитие предпринимательских навыков у женщин из фондов Европейского союза и государственного бюджета было выделено в общей сложности 547 млн. хорватских кун. Министерство, отвечающее за предпринимательство, предоставило финансовую поддержку на основе отдельного проекта </w:t>
      </w:r>
      <w:r w:rsidR="003B6FF9" w:rsidRPr="003B6FF9">
        <w:rPr>
          <w:i/>
        </w:rPr>
        <w:t>«</w:t>
      </w:r>
      <w:r w:rsidRPr="007347DD">
        <w:rPr>
          <w:i/>
        </w:rPr>
        <w:t>Предпринимательство среди женщин</w:t>
      </w:r>
      <w:r w:rsidR="003B6FF9">
        <w:rPr>
          <w:i/>
        </w:rPr>
        <w:t>»</w:t>
      </w:r>
      <w:r w:rsidRPr="007347DD">
        <w:t>, в рамках которого в период с 2009 по 2012 годы в общей сложности было одобрено 2</w:t>
      </w:r>
      <w:r>
        <w:t>540</w:t>
      </w:r>
      <w:r w:rsidR="003B6FF9">
        <w:t> </w:t>
      </w:r>
      <w:r>
        <w:t xml:space="preserve">заявлений на общую сумму 33 </w:t>
      </w:r>
      <w:r w:rsidRPr="007347DD">
        <w:t>776</w:t>
      </w:r>
      <w:r>
        <w:t xml:space="preserve"> </w:t>
      </w:r>
      <w:r w:rsidRPr="007347DD">
        <w:t>130.00 хорватских кун. В 2013 году в рамках программы грантов женщины-предприниматели, если они владели коммерческой структурой более чем на 51 процент, могли получить дополн</w:t>
      </w:r>
      <w:r w:rsidRPr="007347DD">
        <w:t>и</w:t>
      </w:r>
      <w:r w:rsidRPr="007347DD">
        <w:t xml:space="preserve">тельные 15 пунктов. Помимо проекта </w:t>
      </w:r>
      <w:r w:rsidR="003B6FF9" w:rsidRPr="003B6FF9">
        <w:rPr>
          <w:i/>
        </w:rPr>
        <w:t>«</w:t>
      </w:r>
      <w:r w:rsidRPr="007347DD">
        <w:rPr>
          <w:i/>
        </w:rPr>
        <w:t>Предпринимательство среди же</w:t>
      </w:r>
      <w:r w:rsidRPr="007347DD">
        <w:rPr>
          <w:i/>
        </w:rPr>
        <w:t>н</w:t>
      </w:r>
      <w:r w:rsidRPr="007347DD">
        <w:rPr>
          <w:i/>
        </w:rPr>
        <w:t>щин</w:t>
      </w:r>
      <w:r w:rsidR="003B6FF9">
        <w:rPr>
          <w:i/>
        </w:rPr>
        <w:t>»</w:t>
      </w:r>
      <w:r w:rsidRPr="007347DD">
        <w:t>, женщины-предприниматели участвовали также во всех других стим</w:t>
      </w:r>
      <w:r w:rsidRPr="007347DD">
        <w:t>у</w:t>
      </w:r>
      <w:r w:rsidRPr="007347DD">
        <w:t>лирующих проектах для малых и средних предприятий, и в период с 2009 по 2013 годы в об</w:t>
      </w:r>
      <w:r>
        <w:t>щей сложности было утверждено 7</w:t>
      </w:r>
      <w:r w:rsidRPr="007347DD">
        <w:t>325 проектов, предложенных женщинами (39</w:t>
      </w:r>
      <w:r w:rsidR="003B6FF9">
        <w:t>,</w:t>
      </w:r>
      <w:r w:rsidRPr="007347DD">
        <w:t>06 процента). В 2014 году в общей сложности было утверждено 509 прое</w:t>
      </w:r>
      <w:r w:rsidRPr="007347DD">
        <w:t>к</w:t>
      </w:r>
      <w:r w:rsidRPr="007347DD">
        <w:t>тов, предложенных женщинами (33,2 процента), на общую сумму 19</w:t>
      </w:r>
      <w:r w:rsidR="003B6FF9">
        <w:t> </w:t>
      </w:r>
      <w:r w:rsidRPr="007347DD">
        <w:t>721</w:t>
      </w:r>
      <w:r w:rsidR="003B6FF9">
        <w:t> </w:t>
      </w:r>
      <w:r w:rsidRPr="007347DD">
        <w:t>743,00</w:t>
      </w:r>
      <w:r w:rsidR="003B6FF9">
        <w:t> </w:t>
      </w:r>
      <w:r w:rsidRPr="007347DD">
        <w:t>орватских кун.</w:t>
      </w:r>
    </w:p>
    <w:p w:rsidR="0029434A" w:rsidRPr="007347DD" w:rsidRDefault="00BA168A" w:rsidP="00BA168A">
      <w:pPr>
        <w:pStyle w:val="SingleTxt"/>
      </w:pPr>
      <w:r>
        <w:tab/>
      </w:r>
      <w:r w:rsidR="0029434A" w:rsidRPr="007347DD">
        <w:t>Кроме того, была также реализована мера по содействию обеспечению доступа женщин к финансовым ресурсам за счет средств специальной и льго</w:t>
      </w:r>
      <w:r w:rsidR="0029434A" w:rsidRPr="007347DD">
        <w:t>т</w:t>
      </w:r>
      <w:r w:rsidR="0029434A" w:rsidRPr="007347DD">
        <w:t>ной кредитной линии, открытой Хорватским банком реко</w:t>
      </w:r>
      <w:r w:rsidR="0029434A" w:rsidRPr="007347DD">
        <w:t>н</w:t>
      </w:r>
      <w:r w:rsidR="0029434A" w:rsidRPr="007347DD">
        <w:t>струкции и развития (далее</w:t>
      </w:r>
      <w:r w:rsidR="003B6FF9">
        <w:t xml:space="preserve"> — </w:t>
      </w:r>
      <w:r w:rsidR="0029434A" w:rsidRPr="007347DD">
        <w:t>ХБРР), и эта мера была признана в качестве одного из примеров п</w:t>
      </w:r>
      <w:r w:rsidR="0029434A" w:rsidRPr="007347DD">
        <w:t>е</w:t>
      </w:r>
      <w:r w:rsidR="0029434A" w:rsidRPr="007347DD">
        <w:t>редовой практики Европейским институтом по вопросам гендерного раве</w:t>
      </w:r>
      <w:r w:rsidR="0029434A" w:rsidRPr="007347DD">
        <w:t>н</w:t>
      </w:r>
      <w:r w:rsidR="0029434A" w:rsidRPr="007347DD">
        <w:t xml:space="preserve">ства (ЕИГР). Министерство </w:t>
      </w:r>
      <w:r w:rsidR="0029434A">
        <w:t xml:space="preserve">по вопросам </w:t>
      </w:r>
      <w:r w:rsidR="0029434A" w:rsidRPr="007347DD">
        <w:t>предпринимательства (далее</w:t>
      </w:r>
      <w:r w:rsidR="003B6FF9">
        <w:t xml:space="preserve"> — </w:t>
      </w:r>
      <w:r w:rsidR="0029434A" w:rsidRPr="007347DD">
        <w:t>МП) обе</w:t>
      </w:r>
      <w:r w:rsidR="0029434A" w:rsidRPr="007347DD">
        <w:t>с</w:t>
      </w:r>
      <w:r w:rsidR="0029434A" w:rsidRPr="007347DD">
        <w:t>печило средства для субсидирования процентных ставок, а хорватское Агентство МСП, инноваций и инвестиций (далее</w:t>
      </w:r>
      <w:r w:rsidR="003B6FF9">
        <w:t xml:space="preserve"> — </w:t>
      </w:r>
      <w:r w:rsidR="0029434A" w:rsidRPr="007347DD">
        <w:t>ХАМАГ ИНВЕСТ) пред</w:t>
      </w:r>
      <w:r w:rsidR="0029434A" w:rsidRPr="007347DD">
        <w:t>о</w:t>
      </w:r>
      <w:r w:rsidR="0029434A" w:rsidRPr="007347DD">
        <w:t>ставило государственные гарантии</w:t>
      </w:r>
      <w:r w:rsidR="0029434A">
        <w:t xml:space="preserve"> в соответствии с утвержденными</w:t>
      </w:r>
      <w:r w:rsidR="0029434A" w:rsidRPr="007347DD">
        <w:t xml:space="preserve"> програ</w:t>
      </w:r>
      <w:r w:rsidR="0029434A" w:rsidRPr="007347DD">
        <w:t>м</w:t>
      </w:r>
      <w:r w:rsidR="0029434A" w:rsidRPr="007347DD">
        <w:t>м</w:t>
      </w:r>
      <w:r w:rsidR="0029434A">
        <w:t>ами</w:t>
      </w:r>
      <w:r w:rsidR="0029434A" w:rsidRPr="007347DD">
        <w:t xml:space="preserve"> гарантий. За период с 2011 года, когда МП и ХБРР заключили </w:t>
      </w:r>
      <w:r w:rsidR="0029434A" w:rsidRPr="007347DD">
        <w:rPr>
          <w:i/>
        </w:rPr>
        <w:t>с</w:t>
      </w:r>
      <w:r w:rsidR="0029434A" w:rsidRPr="007347DD">
        <w:rPr>
          <w:i/>
        </w:rPr>
        <w:t>о</w:t>
      </w:r>
      <w:r w:rsidR="0029434A" w:rsidRPr="007347DD">
        <w:rPr>
          <w:i/>
        </w:rPr>
        <w:t>глашение о деловом сотрудничестве в области осуществления льготного финансиров</w:t>
      </w:r>
      <w:r w:rsidR="0029434A" w:rsidRPr="007347DD">
        <w:rPr>
          <w:i/>
        </w:rPr>
        <w:t>а</w:t>
      </w:r>
      <w:r w:rsidR="0029434A" w:rsidRPr="007347DD">
        <w:rPr>
          <w:i/>
        </w:rPr>
        <w:t>ния предпринимательства среди женщин</w:t>
      </w:r>
      <w:r w:rsidR="0029434A" w:rsidRPr="007347DD">
        <w:t>, и до конца 2013 года было утве</w:t>
      </w:r>
      <w:r w:rsidR="0029434A" w:rsidRPr="007347DD">
        <w:t>р</w:t>
      </w:r>
      <w:r w:rsidR="0029434A" w:rsidRPr="007347DD">
        <w:t>ждено в общей сложности 223 проекта стоимостью 106</w:t>
      </w:r>
      <w:r w:rsidR="0029434A">
        <w:t xml:space="preserve"> </w:t>
      </w:r>
      <w:r w:rsidR="0029434A" w:rsidRPr="007347DD">
        <w:t>312</w:t>
      </w:r>
      <w:r w:rsidR="0029434A">
        <w:t xml:space="preserve"> </w:t>
      </w:r>
      <w:r w:rsidR="0029434A" w:rsidRPr="007347DD">
        <w:t>438.57 хо</w:t>
      </w:r>
      <w:r w:rsidR="0029434A" w:rsidRPr="007347DD">
        <w:t>р</w:t>
      </w:r>
      <w:r w:rsidR="0029434A" w:rsidRPr="007347DD">
        <w:t xml:space="preserve">ватских кун . В январе 2012 года ХБРР и Европейский банк реконструкции и развития заключили соглашение о сотрудничестве в рамках проекта </w:t>
      </w:r>
      <w:r w:rsidR="003B6FF9" w:rsidRPr="003B6FF9">
        <w:rPr>
          <w:i/>
        </w:rPr>
        <w:t>«</w:t>
      </w:r>
      <w:r w:rsidR="0029434A" w:rsidRPr="007347DD">
        <w:rPr>
          <w:i/>
        </w:rPr>
        <w:t>Предпринимател</w:t>
      </w:r>
      <w:r w:rsidR="0029434A" w:rsidRPr="007347DD">
        <w:rPr>
          <w:i/>
        </w:rPr>
        <w:t>ь</w:t>
      </w:r>
      <w:r w:rsidR="0029434A" w:rsidRPr="007347DD">
        <w:rPr>
          <w:i/>
        </w:rPr>
        <w:t>ство среди женщин</w:t>
      </w:r>
      <w:r w:rsidR="003B6FF9">
        <w:rPr>
          <w:i/>
        </w:rPr>
        <w:t>»</w:t>
      </w:r>
      <w:r w:rsidR="0029434A" w:rsidRPr="007347DD">
        <w:t>, направленного на обмен информацией о потребностях потенциальных пользователей и проблемах, с которыми сталкиваются женщ</w:t>
      </w:r>
      <w:r w:rsidR="0029434A" w:rsidRPr="007347DD">
        <w:t>и</w:t>
      </w:r>
      <w:r w:rsidR="0029434A" w:rsidRPr="007347DD">
        <w:t>ны-предприниматели, а также на содействие предпринимательству среди же</w:t>
      </w:r>
      <w:r w:rsidR="0029434A" w:rsidRPr="007347DD">
        <w:t>н</w:t>
      </w:r>
      <w:r w:rsidR="0029434A" w:rsidRPr="007347DD">
        <w:t xml:space="preserve">щин с помощью банков-партнеров. </w:t>
      </w:r>
    </w:p>
    <w:p w:rsidR="0029434A" w:rsidRPr="007347DD" w:rsidRDefault="00BA168A" w:rsidP="00BA168A">
      <w:pPr>
        <w:pStyle w:val="SingleTxt"/>
      </w:pPr>
      <w:r>
        <w:tab/>
      </w:r>
      <w:r w:rsidR="0029434A" w:rsidRPr="007347DD">
        <w:t xml:space="preserve">ХАМАГ ИНВЕСТ до середины 2012 года осуществляло </w:t>
      </w:r>
      <w:r w:rsidR="0029434A" w:rsidRPr="007347DD">
        <w:rPr>
          <w:i/>
        </w:rPr>
        <w:t>Программу г</w:t>
      </w:r>
      <w:r w:rsidR="0029434A" w:rsidRPr="007347DD">
        <w:rPr>
          <w:i/>
        </w:rPr>
        <w:t>а</w:t>
      </w:r>
      <w:r w:rsidR="0029434A" w:rsidRPr="007347DD">
        <w:rPr>
          <w:i/>
        </w:rPr>
        <w:t>рантий для женщин-предпринимателей</w:t>
      </w:r>
      <w:r w:rsidR="0029434A" w:rsidRPr="007347DD">
        <w:t>, которая предусматривала гарантии для женщин на сумму до 700</w:t>
      </w:r>
      <w:r w:rsidR="0029434A">
        <w:t xml:space="preserve"> </w:t>
      </w:r>
      <w:r w:rsidR="0029434A" w:rsidRPr="007347DD">
        <w:t>000.00 хорватских кун с платой за кредитный л</w:t>
      </w:r>
      <w:r w:rsidR="0029434A" w:rsidRPr="007347DD">
        <w:t>и</w:t>
      </w:r>
      <w:r w:rsidR="0029434A" w:rsidRPr="007347DD">
        <w:t xml:space="preserve">мит в размере 0,75 процента, и в рамках этой программы в общей сложности были утверждены 11 гарантий. Гарантии женщинам представлялись также в рамках других программ, в частности, в рамках программы </w:t>
      </w:r>
      <w:r w:rsidR="003B6FF9" w:rsidRPr="003B6FF9">
        <w:rPr>
          <w:i/>
        </w:rPr>
        <w:t>«</w:t>
      </w:r>
      <w:r w:rsidR="0029434A" w:rsidRPr="007347DD">
        <w:rPr>
          <w:i/>
        </w:rPr>
        <w:t>Новые предпр</w:t>
      </w:r>
      <w:r w:rsidR="0029434A" w:rsidRPr="007347DD">
        <w:rPr>
          <w:i/>
        </w:rPr>
        <w:t>и</w:t>
      </w:r>
      <w:r w:rsidR="0029434A" w:rsidRPr="007347DD">
        <w:rPr>
          <w:i/>
        </w:rPr>
        <w:t>ниматели</w:t>
      </w:r>
      <w:r w:rsidR="003B6FF9">
        <w:rPr>
          <w:i/>
        </w:rPr>
        <w:t>»</w:t>
      </w:r>
      <w:r w:rsidR="0029434A" w:rsidRPr="007347DD">
        <w:t>, причем размер платы был уменьшен до минимальных 0,25 проце</w:t>
      </w:r>
      <w:r w:rsidR="0029434A" w:rsidRPr="007347DD">
        <w:t>н</w:t>
      </w:r>
      <w:r w:rsidR="0029434A" w:rsidRPr="007347DD">
        <w:t>та гарантии. В рамках этой программы в общей сложности было предоставл</w:t>
      </w:r>
      <w:r w:rsidR="0029434A" w:rsidRPr="007347DD">
        <w:t>е</w:t>
      </w:r>
      <w:r w:rsidR="0029434A" w:rsidRPr="007347DD">
        <w:t>но 50 гарантий, что обеспечило 48 млн. хорватских кун в виде новых инвест</w:t>
      </w:r>
      <w:r w:rsidR="0029434A" w:rsidRPr="007347DD">
        <w:t>и</w:t>
      </w:r>
      <w:r w:rsidR="0029434A" w:rsidRPr="007347DD">
        <w:t>ций для женщин-предпринимателей.</w:t>
      </w:r>
    </w:p>
    <w:p w:rsidR="0029434A" w:rsidRPr="007347DD" w:rsidRDefault="00BA168A" w:rsidP="00BA168A">
      <w:pPr>
        <w:pStyle w:val="SingleTxt"/>
        <w:rPr>
          <w:b/>
          <w:bCs/>
        </w:rPr>
      </w:pPr>
      <w:r>
        <w:tab/>
      </w:r>
      <w:r w:rsidR="0029434A" w:rsidRPr="007347DD">
        <w:t>МП, УРМЖ и ХСЗ осуществили многочисленные другие мероприятия, направленные на содействие развитию предпринимательства среди женщин в сотрудничестве с местными партнерами, организациями гражданского общ</w:t>
      </w:r>
      <w:r w:rsidR="0029434A" w:rsidRPr="007347DD">
        <w:t>е</w:t>
      </w:r>
      <w:r w:rsidR="0029434A" w:rsidRPr="007347DD">
        <w:t xml:space="preserve">ства и другими институтами. Были реализованы следующие проекты: </w:t>
      </w:r>
      <w:r w:rsidR="003B6FF9" w:rsidRPr="003B6FF9">
        <w:rPr>
          <w:i/>
        </w:rPr>
        <w:t>«</w:t>
      </w:r>
      <w:r w:rsidR="0029434A" w:rsidRPr="007347DD">
        <w:rPr>
          <w:i/>
        </w:rPr>
        <w:t>Я та</w:t>
      </w:r>
      <w:r w:rsidR="0029434A" w:rsidRPr="007347DD">
        <w:rPr>
          <w:i/>
        </w:rPr>
        <w:t>к</w:t>
      </w:r>
      <w:r w:rsidR="0029434A" w:rsidRPr="007347DD">
        <w:rPr>
          <w:i/>
        </w:rPr>
        <w:t>же могу стать женщиной-предпринимателем</w:t>
      </w:r>
      <w:r w:rsidR="003B6FF9">
        <w:rPr>
          <w:i/>
        </w:rPr>
        <w:t>»</w:t>
      </w:r>
      <w:r w:rsidR="0029434A" w:rsidRPr="007347DD">
        <w:rPr>
          <w:i/>
        </w:rPr>
        <w:t xml:space="preserve">, </w:t>
      </w:r>
      <w:r w:rsidR="003B6FF9">
        <w:rPr>
          <w:i/>
        </w:rPr>
        <w:t>«</w:t>
      </w:r>
      <w:r w:rsidR="0029434A" w:rsidRPr="007347DD">
        <w:rPr>
          <w:i/>
        </w:rPr>
        <w:t>Актуализация потенциала женщин в области предпринимательства, науки и политики в Республике Хо</w:t>
      </w:r>
      <w:r w:rsidR="0029434A" w:rsidRPr="007347DD">
        <w:rPr>
          <w:i/>
        </w:rPr>
        <w:t>р</w:t>
      </w:r>
      <w:r w:rsidR="0029434A" w:rsidRPr="007347DD">
        <w:rPr>
          <w:i/>
        </w:rPr>
        <w:t>ватия</w:t>
      </w:r>
      <w:r w:rsidR="003B6FF9">
        <w:rPr>
          <w:i/>
        </w:rPr>
        <w:t>»,</w:t>
      </w:r>
      <w:r w:rsidR="0029434A" w:rsidRPr="007347DD">
        <w:rPr>
          <w:i/>
        </w:rPr>
        <w:t xml:space="preserve"> </w:t>
      </w:r>
      <w:r w:rsidR="003B6FF9">
        <w:rPr>
          <w:i/>
        </w:rPr>
        <w:t>«</w:t>
      </w:r>
      <w:r w:rsidR="0029434A" w:rsidRPr="007347DD">
        <w:rPr>
          <w:i/>
        </w:rPr>
        <w:t>Быть предпри</w:t>
      </w:r>
      <w:r w:rsidR="0029434A">
        <w:rPr>
          <w:i/>
        </w:rPr>
        <w:t>имчивым</w:t>
      </w:r>
      <w:r w:rsidR="003B6FF9">
        <w:rPr>
          <w:i/>
        </w:rPr>
        <w:t xml:space="preserve"> — </w:t>
      </w:r>
      <w:r w:rsidR="0029434A" w:rsidRPr="007347DD">
        <w:rPr>
          <w:i/>
        </w:rPr>
        <w:t>быть конкурентоспособным</w:t>
      </w:r>
      <w:r w:rsidR="003B6FF9">
        <w:rPr>
          <w:i/>
        </w:rPr>
        <w:t>»</w:t>
      </w:r>
      <w:r w:rsidR="0029434A" w:rsidRPr="007347DD">
        <w:rPr>
          <w:i/>
        </w:rPr>
        <w:t xml:space="preserve">, </w:t>
      </w:r>
      <w:r w:rsidR="003B6FF9">
        <w:rPr>
          <w:i/>
        </w:rPr>
        <w:t>«</w:t>
      </w:r>
      <w:r w:rsidR="0029434A" w:rsidRPr="007347DD">
        <w:rPr>
          <w:i/>
        </w:rPr>
        <w:t>Женщины нетрадиционных женских профессий</w:t>
      </w:r>
      <w:r w:rsidR="003B6FF9">
        <w:rPr>
          <w:i/>
        </w:rPr>
        <w:t>»</w:t>
      </w:r>
      <w:r w:rsidR="0029434A" w:rsidRPr="007347DD">
        <w:rPr>
          <w:i/>
        </w:rPr>
        <w:t xml:space="preserve"> и </w:t>
      </w:r>
      <w:r w:rsidR="003B6FF9">
        <w:rPr>
          <w:i/>
        </w:rPr>
        <w:t>«</w:t>
      </w:r>
      <w:r w:rsidR="0029434A" w:rsidRPr="007347DD">
        <w:rPr>
          <w:i/>
        </w:rPr>
        <w:t>Европейская сеть послов женского предпр</w:t>
      </w:r>
      <w:r w:rsidR="0029434A" w:rsidRPr="007347DD">
        <w:rPr>
          <w:i/>
        </w:rPr>
        <w:t>и</w:t>
      </w:r>
      <w:r w:rsidR="0029434A" w:rsidRPr="007347DD">
        <w:rPr>
          <w:i/>
        </w:rPr>
        <w:t>нимательства</w:t>
      </w:r>
      <w:r w:rsidR="003B6FF9">
        <w:rPr>
          <w:i/>
        </w:rPr>
        <w:t>»</w:t>
      </w:r>
      <w:r w:rsidR="0029434A" w:rsidRPr="007347DD">
        <w:t xml:space="preserve"> и другие.</w:t>
      </w:r>
    </w:p>
    <w:p w:rsidR="0029434A" w:rsidRPr="007347DD" w:rsidRDefault="00BA168A" w:rsidP="00BA168A">
      <w:pPr>
        <w:pStyle w:val="SingleTxt"/>
      </w:pPr>
      <w:r>
        <w:tab/>
      </w:r>
      <w:r w:rsidR="0029434A" w:rsidRPr="007347DD">
        <w:t>Хорватский олимпийский комитет (далее</w:t>
      </w:r>
      <w:r w:rsidR="003B6FF9">
        <w:t xml:space="preserve"> — </w:t>
      </w:r>
      <w:r w:rsidR="0029434A" w:rsidRPr="007347DD">
        <w:t>ХОК) принял рекоменд</w:t>
      </w:r>
      <w:r w:rsidR="0029434A" w:rsidRPr="007347DD">
        <w:t>а</w:t>
      </w:r>
      <w:r w:rsidR="0029434A" w:rsidRPr="007347DD">
        <w:t>цию для осуществления мер в рамках национальной политики обеспечения генде</w:t>
      </w:r>
      <w:r w:rsidR="0029434A" w:rsidRPr="007347DD">
        <w:t>р</w:t>
      </w:r>
      <w:r w:rsidR="0029434A" w:rsidRPr="007347DD">
        <w:t>ного равенства на 2011</w:t>
      </w:r>
      <w:r w:rsidR="003B6FF9">
        <w:t>–</w:t>
      </w:r>
      <w:r w:rsidR="0029434A" w:rsidRPr="007347DD">
        <w:t>2015 годы, а Комиссия по делам женского спорта ХОК приняла План действий по осуществлению национальной политики обеспеч</w:t>
      </w:r>
      <w:r w:rsidR="0029434A" w:rsidRPr="007347DD">
        <w:t>е</w:t>
      </w:r>
      <w:r w:rsidR="0029434A" w:rsidRPr="007347DD">
        <w:t>ния гендерного равенства на период 2013</w:t>
      </w:r>
      <w:r w:rsidR="003B6FF9">
        <w:t>–</w:t>
      </w:r>
      <w:r w:rsidR="0029434A" w:rsidRPr="007347DD">
        <w:t>2014 годов. УРМЖ перевело и опу</w:t>
      </w:r>
      <w:r w:rsidR="0029434A" w:rsidRPr="007347DD">
        <w:t>б</w:t>
      </w:r>
      <w:r w:rsidR="0029434A" w:rsidRPr="007347DD">
        <w:t xml:space="preserve">ликовало Руководство Совета Европы по передовой практике </w:t>
      </w:r>
      <w:r w:rsidR="003B6FF9">
        <w:t>«</w:t>
      </w:r>
      <w:r w:rsidR="0029434A" w:rsidRPr="007347DD">
        <w:t>Гендерное р</w:t>
      </w:r>
      <w:r w:rsidR="0029434A" w:rsidRPr="007347DD">
        <w:t>а</w:t>
      </w:r>
      <w:r w:rsidR="0029434A" w:rsidRPr="007347DD">
        <w:t>венство в спорте</w:t>
      </w:r>
      <w:r w:rsidR="003B6FF9">
        <w:t xml:space="preserve"> — </w:t>
      </w:r>
      <w:r w:rsidR="0029434A" w:rsidRPr="007347DD">
        <w:t>доступ для девочек и женщин к занятиям спортом</w:t>
      </w:r>
      <w:r w:rsidR="003B6FF9">
        <w:t>»</w:t>
      </w:r>
      <w:r w:rsidR="0029434A" w:rsidRPr="007347DD">
        <w:t>, кот</w:t>
      </w:r>
      <w:r w:rsidR="0029434A" w:rsidRPr="007347DD">
        <w:t>о</w:t>
      </w:r>
      <w:r w:rsidR="0029434A" w:rsidRPr="007347DD">
        <w:t xml:space="preserve">рое распространяли на семинарах для женщин-координаторов в спорте. </w:t>
      </w:r>
    </w:p>
    <w:p w:rsidR="0029434A" w:rsidRPr="007347DD" w:rsidRDefault="0029434A" w:rsidP="003B6FF9">
      <w:pPr>
        <w:pStyle w:val="SingleTxt"/>
        <w:tabs>
          <w:tab w:val="clear" w:pos="2693"/>
          <w:tab w:val="left" w:pos="2511"/>
        </w:tabs>
      </w:pPr>
      <w:r w:rsidRPr="007347DD">
        <w:rPr>
          <w:b/>
        </w:rPr>
        <w:t>Статья 14.</w:t>
      </w:r>
      <w:r w:rsidR="00BA168A">
        <w:rPr>
          <w:b/>
        </w:rPr>
        <w:tab/>
      </w:r>
      <w:r w:rsidRPr="007347DD">
        <w:t>См. ответы на вопрос 18.</w:t>
      </w:r>
    </w:p>
    <w:p w:rsidR="0029434A" w:rsidRDefault="0029434A" w:rsidP="003B6FF9">
      <w:pPr>
        <w:pStyle w:val="SingleTxt"/>
        <w:tabs>
          <w:tab w:val="clear" w:pos="2693"/>
          <w:tab w:val="left" w:pos="2529"/>
        </w:tabs>
      </w:pPr>
      <w:r w:rsidRPr="007347DD">
        <w:rPr>
          <w:b/>
        </w:rPr>
        <w:t>Статья 15.</w:t>
      </w:r>
      <w:r w:rsidR="00BA168A">
        <w:rPr>
          <w:b/>
        </w:rPr>
        <w:tab/>
      </w:r>
      <w:r w:rsidRPr="007347DD">
        <w:t>См. ответы на вопрос 10.</w:t>
      </w:r>
    </w:p>
    <w:p w:rsidR="00BA168A" w:rsidRPr="00BA168A" w:rsidRDefault="00BA168A" w:rsidP="00BA168A">
      <w:pPr>
        <w:pStyle w:val="SingleTxt"/>
        <w:spacing w:after="0" w:line="120" w:lineRule="exact"/>
        <w:rPr>
          <w:sz w:val="10"/>
        </w:rPr>
      </w:pPr>
    </w:p>
    <w:p w:rsidR="0029434A" w:rsidRDefault="0029434A" w:rsidP="00BA1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47DD">
        <w:tab/>
      </w:r>
      <w:r w:rsidRPr="007347DD">
        <w:tab/>
        <w:t xml:space="preserve">Законодательная и институциональная база для доступа к правосудию </w:t>
      </w:r>
    </w:p>
    <w:p w:rsidR="00BA168A" w:rsidRPr="00BA168A" w:rsidRDefault="00BA168A" w:rsidP="00BA168A">
      <w:pPr>
        <w:pStyle w:val="SingleTxt"/>
        <w:spacing w:after="0" w:line="120" w:lineRule="exact"/>
        <w:rPr>
          <w:sz w:val="10"/>
        </w:rPr>
      </w:pPr>
    </w:p>
    <w:p w:rsidR="0029434A" w:rsidRPr="00BA168A" w:rsidRDefault="0029434A" w:rsidP="00BA168A">
      <w:pPr>
        <w:pStyle w:val="SingleTxt"/>
        <w:rPr>
          <w:b/>
        </w:rPr>
      </w:pPr>
      <w:r w:rsidRPr="007347DD">
        <w:t>2.</w:t>
      </w:r>
      <w:r w:rsidRPr="007347DD">
        <w:tab/>
      </w:r>
      <w:r w:rsidRPr="00BA168A">
        <w:rPr>
          <w:b/>
        </w:rPr>
        <w:t>Просьба представить более подробную информацию о процедурах, применяемых в целях оперативного, последовательного и эффективного осуществления, мониторинга и обеспечения соблюдения антидискримин</w:t>
      </w:r>
      <w:r w:rsidRPr="00BA168A">
        <w:rPr>
          <w:b/>
        </w:rPr>
        <w:t>а</w:t>
      </w:r>
      <w:r w:rsidRPr="00BA168A">
        <w:rPr>
          <w:b/>
        </w:rPr>
        <w:t>ционного законодательства (пункт 13), включая Закон о борьбе с дискр</w:t>
      </w:r>
      <w:r w:rsidRPr="00BA168A">
        <w:rPr>
          <w:b/>
        </w:rPr>
        <w:t>и</w:t>
      </w:r>
      <w:r w:rsidRPr="00BA168A">
        <w:rPr>
          <w:b/>
        </w:rPr>
        <w:t>минацией, З</w:t>
      </w:r>
      <w:r w:rsidRPr="00BA168A">
        <w:rPr>
          <w:b/>
        </w:rPr>
        <w:t>а</w:t>
      </w:r>
      <w:r w:rsidRPr="00BA168A">
        <w:rPr>
          <w:b/>
        </w:rPr>
        <w:t xml:space="preserve">кон о равенстве мужчин и женщин и Закон о труде. </w:t>
      </w:r>
    </w:p>
    <w:p w:rsidR="0029434A" w:rsidRPr="007347DD" w:rsidRDefault="00BA168A" w:rsidP="00BA168A">
      <w:pPr>
        <w:pStyle w:val="SingleTxt"/>
      </w:pPr>
      <w:r>
        <w:tab/>
      </w:r>
      <w:r w:rsidR="0029434A" w:rsidRPr="007347DD">
        <w:t xml:space="preserve">УПЧНМ, которое контролирует осуществление </w:t>
      </w:r>
      <w:r w:rsidR="0029434A" w:rsidRPr="007347DD">
        <w:rPr>
          <w:i/>
        </w:rPr>
        <w:t>Закона о борьбе с дискр</w:t>
      </w:r>
      <w:r w:rsidR="0029434A" w:rsidRPr="007347DD">
        <w:rPr>
          <w:i/>
        </w:rPr>
        <w:t>и</w:t>
      </w:r>
      <w:r w:rsidR="0029434A" w:rsidRPr="007347DD">
        <w:rPr>
          <w:i/>
        </w:rPr>
        <w:t>минацией</w:t>
      </w:r>
      <w:r w:rsidR="0029434A" w:rsidRPr="007347DD">
        <w:t xml:space="preserve">, в сотрудничестве с Омбудсменом и </w:t>
      </w:r>
      <w:r w:rsidR="0029434A">
        <w:t>юридической</w:t>
      </w:r>
      <w:r w:rsidR="0029434A" w:rsidRPr="007347DD">
        <w:t xml:space="preserve"> академией, в п</w:t>
      </w:r>
      <w:r w:rsidR="0029434A" w:rsidRPr="007347DD">
        <w:t>о</w:t>
      </w:r>
      <w:r w:rsidR="0029434A" w:rsidRPr="007347DD">
        <w:t>следние несколько лет организовало серию семинаров-практ</w:t>
      </w:r>
      <w:r w:rsidR="0029434A">
        <w:t>икумов, семинаров и конференций,</w:t>
      </w:r>
      <w:r w:rsidR="0029434A" w:rsidRPr="007347DD">
        <w:t xml:space="preserve"> направленных на повышение осведомленности работников государственно-административных органов, судей, государственных прокур</w:t>
      </w:r>
      <w:r w:rsidR="0029434A" w:rsidRPr="007347DD">
        <w:t>о</w:t>
      </w:r>
      <w:r w:rsidR="0029434A" w:rsidRPr="007347DD">
        <w:t>ров и других заинтересованных сторон о различных видах дискриминации, включая дискриминацию по признаку пола. Основное внимание в ходе обуч</w:t>
      </w:r>
      <w:r w:rsidR="0029434A" w:rsidRPr="007347DD">
        <w:t>е</w:t>
      </w:r>
      <w:r w:rsidR="0029434A" w:rsidRPr="007347DD">
        <w:t>ния уделялось мерам по борьбе с дискриминацией и осуществлению антиди</w:t>
      </w:r>
      <w:r w:rsidR="0029434A" w:rsidRPr="007347DD">
        <w:t>с</w:t>
      </w:r>
      <w:r w:rsidR="0029434A" w:rsidRPr="007347DD">
        <w:t>криминационного законодательства. Омбудсмен</w:t>
      </w:r>
      <w:r w:rsidR="0029434A">
        <w:t>ом был</w:t>
      </w:r>
      <w:r w:rsidR="0029434A" w:rsidRPr="007347DD">
        <w:t xml:space="preserve"> предлож</w:t>
      </w:r>
      <w:r w:rsidR="0029434A">
        <w:t>ен</w:t>
      </w:r>
      <w:r w:rsidR="0029434A" w:rsidRPr="007347DD">
        <w:t xml:space="preserve"> улучше</w:t>
      </w:r>
      <w:r w:rsidR="0029434A" w:rsidRPr="007347DD">
        <w:t>н</w:t>
      </w:r>
      <w:r w:rsidR="0029434A" w:rsidRPr="007347DD">
        <w:t xml:space="preserve">ный вариант </w:t>
      </w:r>
      <w:r w:rsidR="0029434A" w:rsidRPr="007347DD">
        <w:rPr>
          <w:i/>
        </w:rPr>
        <w:t xml:space="preserve">форм для статистического контроля за </w:t>
      </w:r>
      <w:r w:rsidR="0029434A">
        <w:rPr>
          <w:i/>
        </w:rPr>
        <w:t xml:space="preserve">рассмотрением в </w:t>
      </w:r>
      <w:r w:rsidR="0029434A" w:rsidRPr="007347DD">
        <w:rPr>
          <w:i/>
        </w:rPr>
        <w:t>суде дел, связанны</w:t>
      </w:r>
      <w:r w:rsidR="0029434A">
        <w:rPr>
          <w:i/>
        </w:rPr>
        <w:t>х</w:t>
      </w:r>
      <w:r w:rsidR="0029434A" w:rsidRPr="007347DD">
        <w:rPr>
          <w:i/>
        </w:rPr>
        <w:t xml:space="preserve"> с дискриминацией и обусловленны</w:t>
      </w:r>
      <w:r w:rsidR="0029434A">
        <w:rPr>
          <w:i/>
        </w:rPr>
        <w:t>х</w:t>
      </w:r>
      <w:r w:rsidR="0029434A" w:rsidRPr="007347DD">
        <w:rPr>
          <w:i/>
        </w:rPr>
        <w:t xml:space="preserve"> ею</w:t>
      </w:r>
      <w:r w:rsidR="0029434A" w:rsidRPr="007347DD">
        <w:t>, что помогло укрепить контроль за судебными делами. Согласно докладу Омбудсмена, число суде</w:t>
      </w:r>
      <w:r w:rsidR="0029434A" w:rsidRPr="007347DD">
        <w:t>б</w:t>
      </w:r>
      <w:r w:rsidR="0029434A" w:rsidRPr="007347DD">
        <w:t xml:space="preserve">ных разбирательств, возбужденных в </w:t>
      </w:r>
      <w:r w:rsidR="0029434A">
        <w:t xml:space="preserve">связи с </w:t>
      </w:r>
      <w:r w:rsidR="0029434A" w:rsidRPr="007347DD">
        <w:t>дискриминаци</w:t>
      </w:r>
      <w:r w:rsidR="0029434A">
        <w:t>ей</w:t>
      </w:r>
      <w:r w:rsidR="0029434A" w:rsidRPr="007347DD">
        <w:t xml:space="preserve"> по признаку п</w:t>
      </w:r>
      <w:r w:rsidR="0029434A" w:rsidRPr="007347DD">
        <w:t>о</w:t>
      </w:r>
      <w:r w:rsidR="0029434A" w:rsidRPr="007347DD">
        <w:t>ла, увелич</w:t>
      </w:r>
      <w:r w:rsidR="0029434A" w:rsidRPr="007347DD">
        <w:t>и</w:t>
      </w:r>
      <w:r w:rsidR="0029434A" w:rsidRPr="007347DD">
        <w:t xml:space="preserve">лось с четырех разбирательств в 2010 году до более 22 в 2011 году и 43 в 2012 году, </w:t>
      </w:r>
      <w:r w:rsidR="0029434A">
        <w:t>а в</w:t>
      </w:r>
      <w:r w:rsidR="0029434A" w:rsidRPr="007347DD">
        <w:t xml:space="preserve"> 2013 году </w:t>
      </w:r>
      <w:r w:rsidR="0029434A">
        <w:t xml:space="preserve">составило </w:t>
      </w:r>
      <w:r w:rsidR="0029434A" w:rsidRPr="007347DD">
        <w:t>62 разбирательств</w:t>
      </w:r>
      <w:r w:rsidR="0029434A">
        <w:t>а</w:t>
      </w:r>
      <w:r w:rsidR="0029434A" w:rsidRPr="007347DD">
        <w:t>. Несмотря на то, что это в основном мелкие правонарушения, а не гражданское судопроизво</w:t>
      </w:r>
      <w:r w:rsidR="0029434A" w:rsidRPr="007347DD">
        <w:t>д</w:t>
      </w:r>
      <w:r w:rsidR="0029434A" w:rsidRPr="007347DD">
        <w:t>ство, граждане во все большей степени признают дискриминацию, они в бол</w:t>
      </w:r>
      <w:r w:rsidR="0029434A" w:rsidRPr="007347DD">
        <w:t>ь</w:t>
      </w:r>
      <w:r w:rsidR="0029434A" w:rsidRPr="007347DD">
        <w:t>шей степени склонны подавать судебные иски, и наблюдается рост доверия к эффективн</w:t>
      </w:r>
      <w:r w:rsidR="0029434A" w:rsidRPr="007347DD">
        <w:t>о</w:t>
      </w:r>
      <w:r w:rsidR="0029434A" w:rsidRPr="007347DD">
        <w:t xml:space="preserve">сти системы в плане защиты от дискриминации. </w:t>
      </w:r>
    </w:p>
    <w:p w:rsidR="0029434A" w:rsidRPr="007347DD" w:rsidRDefault="00BA168A" w:rsidP="00BA168A">
      <w:pPr>
        <w:pStyle w:val="SingleTxt"/>
      </w:pPr>
      <w:r>
        <w:tab/>
      </w:r>
      <w:r w:rsidR="0029434A" w:rsidRPr="007347DD">
        <w:t xml:space="preserve">Принятию нового </w:t>
      </w:r>
      <w:r w:rsidR="0029434A" w:rsidRPr="007347DD">
        <w:rPr>
          <w:i/>
        </w:rPr>
        <w:t>Закона о труде</w:t>
      </w:r>
      <w:r w:rsidR="0029434A" w:rsidRPr="007347DD">
        <w:t xml:space="preserve"> в 2014 году предшествовало внесение поправок в 2011, 2012 и 2013 годах. Контроль за соблюдением </w:t>
      </w:r>
      <w:r w:rsidR="0029434A" w:rsidRPr="007347DD">
        <w:rPr>
          <w:i/>
        </w:rPr>
        <w:t>Закона о труде</w:t>
      </w:r>
      <w:r w:rsidR="0029434A" w:rsidRPr="007347DD">
        <w:t xml:space="preserve"> и законодательства, принятого во исполнение этого Закона, а также других з</w:t>
      </w:r>
      <w:r w:rsidR="0029434A" w:rsidRPr="007347DD">
        <w:t>а</w:t>
      </w:r>
      <w:r w:rsidR="0029434A" w:rsidRPr="007347DD">
        <w:t>конов и положений, касающихся отношений между работодателями и наемн</w:t>
      </w:r>
      <w:r w:rsidR="0029434A" w:rsidRPr="007347DD">
        <w:t>ы</w:t>
      </w:r>
      <w:r w:rsidR="0029434A" w:rsidRPr="007347DD">
        <w:t xml:space="preserve">ми работниками, осуществляется центральным органом государственного управления, отвечающим за инспекцию труда. </w:t>
      </w:r>
    </w:p>
    <w:p w:rsidR="0029434A" w:rsidRPr="007347DD" w:rsidRDefault="00BA168A" w:rsidP="00BA168A">
      <w:pPr>
        <w:pStyle w:val="SingleTxt"/>
      </w:pPr>
      <w:r>
        <w:tab/>
      </w:r>
      <w:r w:rsidR="0029434A" w:rsidRPr="007347DD">
        <w:t xml:space="preserve">В ходе своих проверок в период с 2011 по 2014 годы Инспекция труда </w:t>
      </w:r>
      <w:r w:rsidR="0029434A">
        <w:t xml:space="preserve">констатировала уменьшение </w:t>
      </w:r>
      <w:r w:rsidR="0029434A" w:rsidRPr="007347DD">
        <w:t>различи</w:t>
      </w:r>
      <w:r w:rsidR="0029434A">
        <w:t>й</w:t>
      </w:r>
      <w:r w:rsidR="0029434A" w:rsidRPr="007347DD">
        <w:t xml:space="preserve"> между пострадавшими мужчинами и женщинами с точки зрения нарушения положений </w:t>
      </w:r>
      <w:r w:rsidR="0029434A" w:rsidRPr="007347DD">
        <w:rPr>
          <w:i/>
        </w:rPr>
        <w:t>Закона о труде</w:t>
      </w:r>
      <w:r w:rsidR="0029434A" w:rsidRPr="007347DD">
        <w:t>, касающихся сверхурочной работы и еженедельных периодов отдыха. Доля женщин в общей численности работников, которые работали сверхурочно, сократилось с 63,3</w:t>
      </w:r>
      <w:r w:rsidR="003B6FF9">
        <w:t> </w:t>
      </w:r>
      <w:r w:rsidR="0029434A" w:rsidRPr="007347DD">
        <w:t>процента в 2013 году до 54,8 процента в 2014 году. Доля женщин среди работников, которым было отказано в праве на еженедельный период отдыха</w:t>
      </w:r>
      <w:r w:rsidR="0029434A">
        <w:t>,</w:t>
      </w:r>
      <w:r w:rsidR="0029434A" w:rsidRPr="007347DD">
        <w:t xml:space="preserve"> сократилась с 77,6 процента в 2013 году до 48,5 процента в 2014 году. Данные о гигиене труда и безопасности на рабочем месте свидетельствуют о том, что в период с 2011 по 2014 годы защита женщин на рабочем месте значительно улучшилась, и отмечено меньше случаев незаконной практики со стороны р</w:t>
      </w:r>
      <w:r w:rsidR="0029434A" w:rsidRPr="007347DD">
        <w:t>а</w:t>
      </w:r>
      <w:r w:rsidR="0029434A" w:rsidRPr="007347DD">
        <w:t>ботодателей. Данные о надзоре и процедурах инспекторов труда см. в прил</w:t>
      </w:r>
      <w:r w:rsidR="0029434A" w:rsidRPr="007347DD">
        <w:t>о</w:t>
      </w:r>
      <w:r w:rsidR="0029434A" w:rsidRPr="007347DD">
        <w:t xml:space="preserve">жении I, таблицы 1 и 2. </w:t>
      </w:r>
    </w:p>
    <w:p w:rsidR="0029434A" w:rsidRPr="007347DD" w:rsidRDefault="00BA168A" w:rsidP="00BA168A">
      <w:pPr>
        <w:pStyle w:val="SingleTxt"/>
      </w:pPr>
      <w:r>
        <w:tab/>
      </w:r>
      <w:r w:rsidR="0029434A" w:rsidRPr="007347DD">
        <w:t xml:space="preserve">В целях повышения эффективности осуществления </w:t>
      </w:r>
      <w:r w:rsidR="0029434A" w:rsidRPr="007347DD">
        <w:rPr>
          <w:i/>
        </w:rPr>
        <w:t>Закона о труде</w:t>
      </w:r>
      <w:r w:rsidR="0029434A" w:rsidRPr="007347DD">
        <w:t xml:space="preserve"> на р</w:t>
      </w:r>
      <w:r w:rsidR="0029434A" w:rsidRPr="007347DD">
        <w:t>е</w:t>
      </w:r>
      <w:r w:rsidR="0029434A" w:rsidRPr="007347DD">
        <w:t>гулярной основе проводятся ра</w:t>
      </w:r>
      <w:r w:rsidR="0029434A" w:rsidRPr="007347DD">
        <w:t>з</w:t>
      </w:r>
      <w:r w:rsidR="0029434A" w:rsidRPr="007347DD">
        <w:t xml:space="preserve">личные консультации и семинары. </w:t>
      </w:r>
    </w:p>
    <w:p w:rsidR="0029434A" w:rsidRPr="007347DD" w:rsidRDefault="00BA168A" w:rsidP="00BA168A">
      <w:pPr>
        <w:pStyle w:val="SingleTxt"/>
      </w:pPr>
      <w:r>
        <w:tab/>
      </w:r>
      <w:r w:rsidR="0029434A" w:rsidRPr="007347DD">
        <w:t xml:space="preserve">Более эффективное осуществление </w:t>
      </w:r>
      <w:r w:rsidR="0029434A" w:rsidRPr="007347DD">
        <w:rPr>
          <w:i/>
        </w:rPr>
        <w:t>Закон</w:t>
      </w:r>
      <w:r w:rsidR="0029434A">
        <w:rPr>
          <w:i/>
        </w:rPr>
        <w:t>а</w:t>
      </w:r>
      <w:r w:rsidR="0029434A" w:rsidRPr="007347DD">
        <w:rPr>
          <w:i/>
        </w:rPr>
        <w:t xml:space="preserve"> о рав</w:t>
      </w:r>
      <w:r w:rsidR="0029434A">
        <w:rPr>
          <w:i/>
        </w:rPr>
        <w:t xml:space="preserve">енстве </w:t>
      </w:r>
      <w:r w:rsidR="0029434A" w:rsidRPr="007347DD">
        <w:rPr>
          <w:i/>
        </w:rPr>
        <w:t>мужчин и женщин</w:t>
      </w:r>
      <w:r w:rsidR="0029434A" w:rsidRPr="007347DD">
        <w:t xml:space="preserve"> предусматривает осуществление постоянной деятельности, направленной на ознакомление общественности с его положениями и профессиональную подг</w:t>
      </w:r>
      <w:r w:rsidR="0029434A" w:rsidRPr="007347DD">
        <w:t>о</w:t>
      </w:r>
      <w:r w:rsidR="0029434A" w:rsidRPr="007347DD">
        <w:t>товку гражданских служащих и других компетентных заинтересованных ст</w:t>
      </w:r>
      <w:r w:rsidR="0029434A" w:rsidRPr="007347DD">
        <w:t>о</w:t>
      </w:r>
      <w:r w:rsidR="0029434A" w:rsidRPr="007347DD">
        <w:t>рон. Для этой цели Государственная школа государственного управления рег</w:t>
      </w:r>
      <w:r w:rsidR="0029434A" w:rsidRPr="007347DD">
        <w:t>у</w:t>
      </w:r>
      <w:r w:rsidR="0029434A" w:rsidRPr="007347DD">
        <w:t>лярно организует семинары и лекции. В целях более эффективного осущест</w:t>
      </w:r>
      <w:r w:rsidR="0029434A" w:rsidRPr="007347DD">
        <w:t>в</w:t>
      </w:r>
      <w:r w:rsidR="0029434A" w:rsidRPr="007347DD">
        <w:t>ления данного Закона были объявлены поправки в части, касающейся ускор</w:t>
      </w:r>
      <w:r w:rsidR="0029434A" w:rsidRPr="007347DD">
        <w:t>е</w:t>
      </w:r>
      <w:r w:rsidR="0029434A" w:rsidRPr="007347DD">
        <w:t>ния достижения более сбалансированной представленности мужчин и женщин в области принятия политических решений, о чем говорится в ответе на в</w:t>
      </w:r>
      <w:r w:rsidR="0029434A" w:rsidRPr="007347DD">
        <w:t>о</w:t>
      </w:r>
      <w:r w:rsidR="0029434A" w:rsidRPr="007347DD">
        <w:t>прос</w:t>
      </w:r>
      <w:r w:rsidR="003B6FF9">
        <w:t> </w:t>
      </w:r>
      <w:r w:rsidR="0029434A" w:rsidRPr="007347DD">
        <w:t xml:space="preserve">14. Кроме того, необходимо укреплять институциональные механизмы обеспечения гендерного равенства на национальном и местном уровнях. </w:t>
      </w:r>
    </w:p>
    <w:p w:rsidR="0029434A" w:rsidRPr="00BA168A" w:rsidRDefault="0029434A" w:rsidP="00BA168A">
      <w:pPr>
        <w:pStyle w:val="SingleTxt"/>
        <w:rPr>
          <w:b/>
        </w:rPr>
      </w:pPr>
      <w:r w:rsidRPr="007347DD">
        <w:t>3.</w:t>
      </w:r>
      <w:r w:rsidRPr="007347DD">
        <w:tab/>
      </w:r>
      <w:r w:rsidRPr="00BA168A">
        <w:rPr>
          <w:b/>
        </w:rPr>
        <w:t>Просьба указать, каким образом государство-участник повышает осведомленность и информированность женщин</w:t>
      </w:r>
      <w:r w:rsidR="003B6FF9">
        <w:rPr>
          <w:b/>
        </w:rPr>
        <w:t xml:space="preserve"> — </w:t>
      </w:r>
      <w:r w:rsidRPr="00BA168A">
        <w:rPr>
          <w:b/>
        </w:rPr>
        <w:t>особенно тех из них, которые относятся к группам, находящимся в наиболее неблагоприятном положении, таким как женщины, проживающие в сельских районах, же</w:t>
      </w:r>
      <w:r w:rsidRPr="00BA168A">
        <w:rPr>
          <w:b/>
        </w:rPr>
        <w:t>н</w:t>
      </w:r>
      <w:r w:rsidRPr="00BA168A">
        <w:rPr>
          <w:b/>
        </w:rPr>
        <w:t>щины из числа национальных меньшинств, в первую очередь женщины народности рома, женщины-мигранты и пожилые женщины</w:t>
      </w:r>
      <w:r w:rsidR="003B6FF9">
        <w:rPr>
          <w:b/>
        </w:rPr>
        <w:t xml:space="preserve"> — </w:t>
      </w:r>
      <w:r w:rsidRPr="00BA168A">
        <w:rPr>
          <w:b/>
        </w:rPr>
        <w:t>об их пр</w:t>
      </w:r>
      <w:r w:rsidRPr="00BA168A">
        <w:rPr>
          <w:b/>
        </w:rPr>
        <w:t>а</w:t>
      </w:r>
      <w:r w:rsidRPr="00BA168A">
        <w:rPr>
          <w:b/>
        </w:rPr>
        <w:t>вах, закрепленных в Конвенции, Факультативном протоколе к ней и соо</w:t>
      </w:r>
      <w:r w:rsidRPr="00BA168A">
        <w:rPr>
          <w:b/>
        </w:rPr>
        <w:t>т</w:t>
      </w:r>
      <w:r w:rsidRPr="00BA168A">
        <w:rPr>
          <w:b/>
        </w:rPr>
        <w:t>ветствующих национальных законах.</w:t>
      </w:r>
    </w:p>
    <w:p w:rsidR="0029434A" w:rsidRPr="007347DD" w:rsidRDefault="00BA168A" w:rsidP="00BA168A">
      <w:pPr>
        <w:pStyle w:val="SingleTxt"/>
      </w:pPr>
      <w:r>
        <w:tab/>
      </w:r>
      <w:r w:rsidR="0029434A" w:rsidRPr="007347DD">
        <w:t>В целях повышения осведомленности и расширения знаний сельских женщин УРМЖ в 2012 году предложило тендер на получение финансовой п</w:t>
      </w:r>
      <w:r w:rsidR="0029434A" w:rsidRPr="007347DD">
        <w:t>о</w:t>
      </w:r>
      <w:r w:rsidR="0029434A" w:rsidRPr="007347DD">
        <w:t xml:space="preserve">мощи для осуществления проектов ассоциаций под названием </w:t>
      </w:r>
      <w:r w:rsidR="003B6FF9" w:rsidRPr="003B6FF9">
        <w:rPr>
          <w:i/>
        </w:rPr>
        <w:t>«</w:t>
      </w:r>
      <w:r w:rsidR="0029434A" w:rsidRPr="007347DD">
        <w:rPr>
          <w:i/>
        </w:rPr>
        <w:t>Повышение осведомле</w:t>
      </w:r>
      <w:r w:rsidR="0029434A" w:rsidRPr="007347DD">
        <w:rPr>
          <w:i/>
        </w:rPr>
        <w:t>н</w:t>
      </w:r>
      <w:r w:rsidR="0029434A" w:rsidRPr="007347DD">
        <w:rPr>
          <w:i/>
        </w:rPr>
        <w:t>ности населения в сельских районах о Законе о равенстве мужчин и женщин</w:t>
      </w:r>
      <w:r w:rsidR="003B6FF9">
        <w:rPr>
          <w:i/>
        </w:rPr>
        <w:t>»</w:t>
      </w:r>
      <w:r w:rsidR="0029434A" w:rsidRPr="007347DD">
        <w:t xml:space="preserve"> и предоставило помощь в объеме 200 000 хорватских кун для 10</w:t>
      </w:r>
      <w:r w:rsidR="003B6FF9">
        <w:t> </w:t>
      </w:r>
      <w:r w:rsidR="0029434A" w:rsidRPr="007347DD">
        <w:t>предложений по проектам НПО.</w:t>
      </w:r>
    </w:p>
    <w:p w:rsidR="0029434A" w:rsidRPr="007347DD" w:rsidRDefault="00BA168A" w:rsidP="00BA168A">
      <w:pPr>
        <w:pStyle w:val="SingleTxt"/>
        <w:rPr>
          <w:i/>
          <w:iCs/>
        </w:rPr>
      </w:pPr>
      <w:r>
        <w:tab/>
      </w:r>
      <w:r w:rsidR="0029434A" w:rsidRPr="007347DD">
        <w:t xml:space="preserve">УРМЖ постоянно печатает, пропагандирует и распространяет наиболее важные международные и национальные документы по вопросам гендерного равенства, включая КЛДЖ. Содействие осуществлению КЛДЖ и </w:t>
      </w:r>
      <w:r w:rsidR="0029434A" w:rsidRPr="007347DD">
        <w:rPr>
          <w:i/>
        </w:rPr>
        <w:t>Пекинской платформы действий</w:t>
      </w:r>
      <w:r w:rsidR="0029434A" w:rsidRPr="007347DD">
        <w:t xml:space="preserve"> включено в </w:t>
      </w:r>
      <w:r w:rsidR="0029434A" w:rsidRPr="007347DD">
        <w:rPr>
          <w:i/>
        </w:rPr>
        <w:t xml:space="preserve">Национальную </w:t>
      </w:r>
      <w:r w:rsidR="0029434A">
        <w:rPr>
          <w:i/>
        </w:rPr>
        <w:t xml:space="preserve">стратегию </w:t>
      </w:r>
      <w:r w:rsidR="0029434A" w:rsidRPr="007347DD">
        <w:t>в качестве о</w:t>
      </w:r>
      <w:r w:rsidR="0029434A" w:rsidRPr="007347DD">
        <w:t>т</w:t>
      </w:r>
      <w:r w:rsidR="0029434A" w:rsidRPr="007347DD">
        <w:t>дельной меры. В период с 2011 по 2014 годы среди членов парламента, рабо</w:t>
      </w:r>
      <w:r w:rsidR="0029434A" w:rsidRPr="007347DD">
        <w:t>т</w:t>
      </w:r>
      <w:r w:rsidR="0029434A" w:rsidRPr="007347DD">
        <w:t>ников министерств, правительственных учреждений, местных комиссий по в</w:t>
      </w:r>
      <w:r w:rsidR="0029434A" w:rsidRPr="007347DD">
        <w:t>о</w:t>
      </w:r>
      <w:r w:rsidR="0029434A" w:rsidRPr="007347DD">
        <w:t>просам гендерного равенства, неправительственных организаций, учебных з</w:t>
      </w:r>
      <w:r w:rsidR="0029434A" w:rsidRPr="007347DD">
        <w:t>а</w:t>
      </w:r>
      <w:r w:rsidR="0029434A" w:rsidRPr="007347DD">
        <w:t xml:space="preserve">ведений, </w:t>
      </w:r>
      <w:r w:rsidR="0029434A">
        <w:t xml:space="preserve">слушателей </w:t>
      </w:r>
      <w:r w:rsidR="0029434A" w:rsidRPr="007347DD">
        <w:t>Государственной школ</w:t>
      </w:r>
      <w:r w:rsidR="0029434A">
        <w:t xml:space="preserve">ы </w:t>
      </w:r>
      <w:r w:rsidR="0029434A" w:rsidRPr="007347DD">
        <w:t xml:space="preserve">государственного управления, а также </w:t>
      </w:r>
      <w:r w:rsidR="0029434A">
        <w:t xml:space="preserve">среди участников </w:t>
      </w:r>
      <w:r w:rsidR="0029434A" w:rsidRPr="007347DD">
        <w:t>различных других семинар</w:t>
      </w:r>
      <w:r w:rsidR="0029434A">
        <w:t>ов</w:t>
      </w:r>
      <w:r w:rsidR="0029434A" w:rsidRPr="007347DD">
        <w:t xml:space="preserve"> были распространены сотни </w:t>
      </w:r>
      <w:r w:rsidR="0029434A">
        <w:t xml:space="preserve">печатных </w:t>
      </w:r>
      <w:r w:rsidR="0029434A" w:rsidRPr="007347DD">
        <w:t>экземпляров Конвенции о ликвидации всех форм дискримин</w:t>
      </w:r>
      <w:r w:rsidR="0029434A" w:rsidRPr="007347DD">
        <w:t>а</w:t>
      </w:r>
      <w:r w:rsidR="0029434A" w:rsidRPr="007347DD">
        <w:t>ции в отношении женщин. УРМЖ предоставило организационную и финанс</w:t>
      </w:r>
      <w:r w:rsidR="0029434A" w:rsidRPr="007347DD">
        <w:t>о</w:t>
      </w:r>
      <w:r w:rsidR="0029434A" w:rsidRPr="007347DD">
        <w:t xml:space="preserve">вую поддержку для публикации подборки работ Института социальных наук Иво Пилара </w:t>
      </w:r>
      <w:r w:rsidR="003B6FF9">
        <w:t>«</w:t>
      </w:r>
      <w:r w:rsidR="0029434A" w:rsidRPr="007347DD">
        <w:t>Права человека женщин</w:t>
      </w:r>
      <w:r w:rsidR="003B6FF9">
        <w:t xml:space="preserve"> — </w:t>
      </w:r>
      <w:r w:rsidR="0029434A" w:rsidRPr="007347DD">
        <w:t>развитие событий на междунаро</w:t>
      </w:r>
      <w:r w:rsidR="0029434A" w:rsidRPr="007347DD">
        <w:t>д</w:t>
      </w:r>
      <w:r w:rsidR="0029434A" w:rsidRPr="007347DD">
        <w:t>ном и национальном уровнях через 30 лет после принятия Конвенции о ликв</w:t>
      </w:r>
      <w:r w:rsidR="0029434A" w:rsidRPr="007347DD">
        <w:t>и</w:t>
      </w:r>
      <w:r w:rsidR="0029434A" w:rsidRPr="007347DD">
        <w:t>дации всех форм дискриминации в отношении женщин</w:t>
      </w:r>
      <w:r w:rsidR="003B6FF9">
        <w:t>»</w:t>
      </w:r>
      <w:r w:rsidR="0029434A" w:rsidRPr="007347DD">
        <w:t xml:space="preserve">. Тысячи экземпляров </w:t>
      </w:r>
      <w:r w:rsidR="0029434A" w:rsidRPr="007347DD">
        <w:rPr>
          <w:i/>
        </w:rPr>
        <w:t>Наци</w:t>
      </w:r>
      <w:r w:rsidR="0029434A" w:rsidRPr="007347DD">
        <w:rPr>
          <w:i/>
        </w:rPr>
        <w:t>о</w:t>
      </w:r>
      <w:r w:rsidR="0029434A" w:rsidRPr="007347DD">
        <w:rPr>
          <w:i/>
        </w:rPr>
        <w:t xml:space="preserve">нальной </w:t>
      </w:r>
      <w:r w:rsidR="0029434A">
        <w:rPr>
          <w:i/>
        </w:rPr>
        <w:t>стратегии</w:t>
      </w:r>
      <w:r w:rsidR="0029434A" w:rsidRPr="007347DD">
        <w:t>, которая была переведена на английский язык и язык Бра</w:t>
      </w:r>
      <w:r w:rsidR="0029434A" w:rsidRPr="007347DD">
        <w:t>й</w:t>
      </w:r>
      <w:r w:rsidR="0029434A" w:rsidRPr="007347DD">
        <w:t>ля, регулярно распространяются среди широкого круга заинтересованных ст</w:t>
      </w:r>
      <w:r w:rsidR="0029434A" w:rsidRPr="007347DD">
        <w:t>о</w:t>
      </w:r>
      <w:r w:rsidR="0029434A" w:rsidRPr="007347DD">
        <w:t xml:space="preserve">рон. Также распространяются десятки тысяч </w:t>
      </w:r>
      <w:r w:rsidR="0029434A">
        <w:t>брошюр</w:t>
      </w:r>
      <w:r w:rsidR="0029434A" w:rsidRPr="007347DD">
        <w:t xml:space="preserve"> с текстом </w:t>
      </w:r>
      <w:r w:rsidR="0029434A" w:rsidRPr="007347DD">
        <w:rPr>
          <w:i/>
        </w:rPr>
        <w:t>Закона о р</w:t>
      </w:r>
      <w:r w:rsidR="0029434A" w:rsidRPr="007347DD">
        <w:rPr>
          <w:i/>
        </w:rPr>
        <w:t>а</w:t>
      </w:r>
      <w:r w:rsidR="0029434A" w:rsidRPr="007347DD">
        <w:rPr>
          <w:i/>
        </w:rPr>
        <w:t>венстве мужчин и женщин</w:t>
      </w:r>
      <w:r w:rsidR="0029434A" w:rsidRPr="007347DD">
        <w:t xml:space="preserve">. </w:t>
      </w:r>
    </w:p>
    <w:p w:rsidR="0029434A" w:rsidRPr="007347DD" w:rsidRDefault="00BA168A" w:rsidP="00BA168A">
      <w:pPr>
        <w:pStyle w:val="SingleTxt"/>
        <w:rPr>
          <w:i/>
          <w:iCs/>
        </w:rPr>
      </w:pPr>
      <w:r>
        <w:tab/>
      </w:r>
      <w:r w:rsidR="0029434A" w:rsidRPr="007347DD">
        <w:t>Особое внимание уделяется поощрению европейских гендерных страт</w:t>
      </w:r>
      <w:r w:rsidR="0029434A" w:rsidRPr="007347DD">
        <w:t>е</w:t>
      </w:r>
      <w:r w:rsidR="0029434A" w:rsidRPr="007347DD">
        <w:t xml:space="preserve">гий. Для этой цели в 2011 году была переведена на хорватский язык и начала распространяться </w:t>
      </w:r>
      <w:r w:rsidR="0029434A" w:rsidRPr="007347DD">
        <w:rPr>
          <w:i/>
        </w:rPr>
        <w:t>Стратегия Европейской комиссии по обеспечению раве</w:t>
      </w:r>
      <w:r w:rsidR="0029434A" w:rsidRPr="007347DD">
        <w:rPr>
          <w:i/>
        </w:rPr>
        <w:t>н</w:t>
      </w:r>
      <w:r w:rsidR="0029434A" w:rsidRPr="007347DD">
        <w:rPr>
          <w:i/>
        </w:rPr>
        <w:t>ства между женщинами и мужчинами на период 2010</w:t>
      </w:r>
      <w:r w:rsidR="003B6FF9">
        <w:rPr>
          <w:i/>
        </w:rPr>
        <w:t>–</w:t>
      </w:r>
      <w:r w:rsidR="0029434A" w:rsidRPr="007347DD">
        <w:rPr>
          <w:i/>
        </w:rPr>
        <w:t>2015 годов</w:t>
      </w:r>
      <w:r w:rsidR="0029434A" w:rsidRPr="007347DD">
        <w:t>, а также Стратегия Совета Европы по обеспечению гендерного равенства на 2014</w:t>
      </w:r>
      <w:r w:rsidR="003B6FF9">
        <w:t>–</w:t>
      </w:r>
      <w:r w:rsidR="0029434A" w:rsidRPr="007347DD">
        <w:t>2017</w:t>
      </w:r>
      <w:r w:rsidR="003B6FF9">
        <w:t> </w:t>
      </w:r>
      <w:r w:rsidR="0029434A" w:rsidRPr="007347DD">
        <w:t xml:space="preserve">годы. </w:t>
      </w:r>
    </w:p>
    <w:p w:rsidR="0029434A" w:rsidRPr="007347DD" w:rsidRDefault="00BA168A" w:rsidP="00BA168A">
      <w:pPr>
        <w:pStyle w:val="SingleTxt"/>
      </w:pPr>
      <w:r>
        <w:tab/>
      </w:r>
      <w:r w:rsidR="0029434A" w:rsidRPr="007347DD">
        <w:t>В 2013 году УРМЖ опубликовало также на хорватском и английском яз</w:t>
      </w:r>
      <w:r w:rsidR="0029434A" w:rsidRPr="007347DD">
        <w:t>ы</w:t>
      </w:r>
      <w:r w:rsidR="0029434A" w:rsidRPr="007347DD">
        <w:t xml:space="preserve">ках сборник документов </w:t>
      </w:r>
      <w:r w:rsidR="003B6FF9" w:rsidRPr="003B6FF9">
        <w:rPr>
          <w:i/>
        </w:rPr>
        <w:t>«</w:t>
      </w:r>
      <w:r w:rsidR="0029434A" w:rsidRPr="007347DD">
        <w:rPr>
          <w:i/>
        </w:rPr>
        <w:t>Женщины в миростроительстве: доступ к правос</w:t>
      </w:r>
      <w:r w:rsidR="0029434A" w:rsidRPr="007347DD">
        <w:rPr>
          <w:i/>
        </w:rPr>
        <w:t>у</w:t>
      </w:r>
      <w:r w:rsidR="0029434A" w:rsidRPr="007347DD">
        <w:rPr>
          <w:i/>
        </w:rPr>
        <w:t>дию для женщин в постконфликтных странах</w:t>
      </w:r>
      <w:r w:rsidR="003B6FF9">
        <w:rPr>
          <w:i/>
        </w:rPr>
        <w:t>»</w:t>
      </w:r>
      <w:r w:rsidR="0029434A" w:rsidRPr="007347DD">
        <w:t xml:space="preserve">, </w:t>
      </w:r>
      <w:r w:rsidR="0029434A">
        <w:t xml:space="preserve">составленный </w:t>
      </w:r>
      <w:r w:rsidR="0029434A" w:rsidRPr="007347DD">
        <w:t>на основе мат</w:t>
      </w:r>
      <w:r w:rsidR="0029434A" w:rsidRPr="007347DD">
        <w:t>е</w:t>
      </w:r>
      <w:r w:rsidR="0029434A" w:rsidRPr="007347DD">
        <w:t>риалов региональной конференции с таким же названием, проходившей в З</w:t>
      </w:r>
      <w:r w:rsidR="0029434A" w:rsidRPr="007347DD">
        <w:t>а</w:t>
      </w:r>
      <w:r w:rsidR="0029434A" w:rsidRPr="007347DD">
        <w:t>гребе годом ранее. Была также опубликована и распространена вызвавшая зн</w:t>
      </w:r>
      <w:r w:rsidR="0029434A" w:rsidRPr="007347DD">
        <w:t>а</w:t>
      </w:r>
      <w:r w:rsidR="0029434A" w:rsidRPr="007347DD">
        <w:t xml:space="preserve">чительный интерес в странах региона научная монография </w:t>
      </w:r>
      <w:r w:rsidR="003B6FF9" w:rsidRPr="003B6FF9">
        <w:rPr>
          <w:i/>
        </w:rPr>
        <w:t>«</w:t>
      </w:r>
      <w:r w:rsidR="0029434A" w:rsidRPr="007347DD">
        <w:rPr>
          <w:i/>
        </w:rPr>
        <w:t>Гендерное раве</w:t>
      </w:r>
      <w:r w:rsidR="0029434A" w:rsidRPr="007347DD">
        <w:rPr>
          <w:i/>
        </w:rPr>
        <w:t>н</w:t>
      </w:r>
      <w:r w:rsidR="0029434A" w:rsidRPr="007347DD">
        <w:rPr>
          <w:i/>
        </w:rPr>
        <w:t>ство и дискриминация в Хорватии</w:t>
      </w:r>
      <w:r w:rsidR="003B6FF9">
        <w:rPr>
          <w:i/>
        </w:rPr>
        <w:t>»</w:t>
      </w:r>
      <w:r w:rsidR="0029434A" w:rsidRPr="007347DD">
        <w:t>, написанная на основе результатов перв</w:t>
      </w:r>
      <w:r w:rsidR="0029434A" w:rsidRPr="007347DD">
        <w:t>о</w:t>
      </w:r>
      <w:r w:rsidR="0029434A" w:rsidRPr="007347DD">
        <w:t>го научного исследования по вопросу об отношениях, восприятиях и опыте в о</w:t>
      </w:r>
      <w:r w:rsidR="0029434A" w:rsidRPr="007347DD">
        <w:t>б</w:t>
      </w:r>
      <w:r w:rsidR="0029434A" w:rsidRPr="007347DD">
        <w:t>ласти дискрим</w:t>
      </w:r>
      <w:r w:rsidR="0029434A" w:rsidRPr="007347DD">
        <w:t>и</w:t>
      </w:r>
      <w:r w:rsidR="0029434A" w:rsidRPr="007347DD">
        <w:t>нации по признаку пола в РХ.</w:t>
      </w:r>
    </w:p>
    <w:p w:rsidR="0029434A" w:rsidRPr="007347DD" w:rsidRDefault="00BA168A" w:rsidP="00BA168A">
      <w:pPr>
        <w:pStyle w:val="SingleTxt"/>
      </w:pPr>
      <w:r>
        <w:tab/>
      </w:r>
      <w:r w:rsidR="0029434A" w:rsidRPr="007347DD">
        <w:t xml:space="preserve">В рамках осуществлявшегося в 2014 году проекта </w:t>
      </w:r>
      <w:r w:rsidR="003B6FF9" w:rsidRPr="003B6FF9">
        <w:rPr>
          <w:i/>
        </w:rPr>
        <w:t>«</w:t>
      </w:r>
      <w:r w:rsidR="0029434A" w:rsidRPr="007347DD">
        <w:rPr>
          <w:i/>
        </w:rPr>
        <w:t>Я выступаю против насилия</w:t>
      </w:r>
      <w:r w:rsidR="003B6FF9">
        <w:rPr>
          <w:i/>
        </w:rPr>
        <w:t>»</w:t>
      </w:r>
      <w:r w:rsidR="0029434A" w:rsidRPr="007347DD">
        <w:t xml:space="preserve"> УРМЖ опубликовало, распространило и продолжает распространять в переводе на хорватский язык текст </w:t>
      </w:r>
      <w:r w:rsidR="0029434A" w:rsidRPr="007347DD">
        <w:rPr>
          <w:i/>
        </w:rPr>
        <w:t>Конвенции Совета Европы о предотвр</w:t>
      </w:r>
      <w:r w:rsidR="0029434A" w:rsidRPr="007347DD">
        <w:rPr>
          <w:i/>
        </w:rPr>
        <w:t>а</w:t>
      </w:r>
      <w:r w:rsidR="0029434A" w:rsidRPr="007347DD">
        <w:rPr>
          <w:i/>
        </w:rPr>
        <w:t>щении насилия в отношении женщин и бытового насилия и борьбе с ним</w:t>
      </w:r>
      <w:r w:rsidR="0029434A" w:rsidRPr="007347DD">
        <w:t xml:space="preserve"> и Протокола в отношении действий в случаях сексуального насилия, а также б</w:t>
      </w:r>
      <w:r w:rsidR="0029434A" w:rsidRPr="007347DD">
        <w:t>ы</w:t>
      </w:r>
      <w:r w:rsidR="0029434A" w:rsidRPr="007347DD">
        <w:t xml:space="preserve">ла опубликована брошюра под названием </w:t>
      </w:r>
      <w:r w:rsidR="003B6FF9" w:rsidRPr="003B6FF9">
        <w:rPr>
          <w:i/>
        </w:rPr>
        <w:t>«</w:t>
      </w:r>
      <w:r w:rsidR="0029434A" w:rsidRPr="007347DD">
        <w:rPr>
          <w:i/>
        </w:rPr>
        <w:t>Руководящие принципы для подг</w:t>
      </w:r>
      <w:r w:rsidR="0029434A" w:rsidRPr="007347DD">
        <w:rPr>
          <w:i/>
        </w:rPr>
        <w:t>о</w:t>
      </w:r>
      <w:r w:rsidR="0029434A" w:rsidRPr="007347DD">
        <w:rPr>
          <w:i/>
        </w:rPr>
        <w:t>товки сообщений средствами массовой информации о случаях бытового нас</w:t>
      </w:r>
      <w:r w:rsidR="0029434A" w:rsidRPr="007347DD">
        <w:rPr>
          <w:i/>
        </w:rPr>
        <w:t>и</w:t>
      </w:r>
      <w:r w:rsidR="0029434A" w:rsidRPr="007347DD">
        <w:rPr>
          <w:i/>
        </w:rPr>
        <w:t>лия</w:t>
      </w:r>
      <w:r w:rsidR="003B6FF9">
        <w:rPr>
          <w:i/>
        </w:rPr>
        <w:t>»</w:t>
      </w:r>
      <w:r w:rsidR="0029434A" w:rsidRPr="007347DD">
        <w:t>. Министерство социальной политики и по делам молодежи (далее - МСПМ) регулярно обновляет и распространяет адресный справочник учр</w:t>
      </w:r>
      <w:r w:rsidR="0029434A" w:rsidRPr="007347DD">
        <w:t>е</w:t>
      </w:r>
      <w:r w:rsidR="0029434A" w:rsidRPr="007347DD">
        <w:t>ждений, организ</w:t>
      </w:r>
      <w:r w:rsidR="0029434A" w:rsidRPr="007347DD">
        <w:t>а</w:t>
      </w:r>
      <w:r w:rsidR="0029434A" w:rsidRPr="007347DD">
        <w:t>ций и других заведений, оказывающих помощь, поддержку и защиту потерпевшим от насилия. В начале этого года по случаю 20-й годовщ</w:t>
      </w:r>
      <w:r w:rsidR="0029434A" w:rsidRPr="007347DD">
        <w:t>и</w:t>
      </w:r>
      <w:r w:rsidR="0029434A" w:rsidRPr="007347DD">
        <w:t xml:space="preserve">ны принятия Пекинской декларации и Платформы действий УРМЖ </w:t>
      </w:r>
      <w:r w:rsidR="0029434A">
        <w:t>издало</w:t>
      </w:r>
      <w:r w:rsidR="0029434A" w:rsidRPr="007347DD">
        <w:t xml:space="preserve"> брошюру с текстом Пекинской декл</w:t>
      </w:r>
      <w:r w:rsidR="0029434A" w:rsidRPr="007347DD">
        <w:t>а</w:t>
      </w:r>
      <w:r w:rsidR="0029434A" w:rsidRPr="007347DD">
        <w:t xml:space="preserve">рации тиражом 1500 экземпляров. </w:t>
      </w:r>
    </w:p>
    <w:p w:rsidR="0029434A" w:rsidRPr="007347DD" w:rsidRDefault="00BA168A" w:rsidP="00BA168A">
      <w:pPr>
        <w:pStyle w:val="SingleTxt"/>
      </w:pPr>
      <w:r>
        <w:tab/>
      </w:r>
      <w:r w:rsidR="0029434A" w:rsidRPr="007347DD">
        <w:t>Органы государственного управления, учреждения по вопросам гендерн</w:t>
      </w:r>
      <w:r w:rsidR="0029434A" w:rsidRPr="007347DD">
        <w:t>о</w:t>
      </w:r>
      <w:r w:rsidR="0029434A" w:rsidRPr="007347DD">
        <w:t xml:space="preserve">го равенства и организации гражданского общества </w:t>
      </w:r>
      <w:r w:rsidR="0029434A">
        <w:t>на национальном и мес</w:t>
      </w:r>
      <w:r w:rsidR="0029434A">
        <w:t>т</w:t>
      </w:r>
      <w:r w:rsidR="0029434A">
        <w:t>ном уровнях</w:t>
      </w:r>
      <w:r w:rsidR="0029434A" w:rsidRPr="007347DD">
        <w:t xml:space="preserve"> провели много конференций, целевых семинаров, </w:t>
      </w:r>
      <w:r w:rsidR="0029434A">
        <w:t>дискуссий</w:t>
      </w:r>
      <w:r w:rsidR="0029434A" w:rsidRPr="007347DD">
        <w:t xml:space="preserve"> </w:t>
      </w:r>
      <w:r w:rsidR="003B6FF9">
        <w:t>«</w:t>
      </w:r>
      <w:r w:rsidR="0029434A" w:rsidRPr="007347DD">
        <w:t>за круглым столом</w:t>
      </w:r>
      <w:r w:rsidR="003B6FF9">
        <w:t>»</w:t>
      </w:r>
      <w:r w:rsidR="0029434A" w:rsidRPr="007347DD">
        <w:t xml:space="preserve"> и других мероприятий в целях повышения уровня информ</w:t>
      </w:r>
      <w:r w:rsidR="0029434A" w:rsidRPr="007347DD">
        <w:t>и</w:t>
      </w:r>
      <w:r w:rsidR="0029434A" w:rsidRPr="007347DD">
        <w:t xml:space="preserve">рованности населения, в частности уязвимых групп женщин, о его правах. Каждый год УПЧНМ организует семинары на тему </w:t>
      </w:r>
      <w:r w:rsidR="003B6FF9">
        <w:t>«</w:t>
      </w:r>
      <w:r w:rsidR="0029434A" w:rsidRPr="007347DD">
        <w:t>Образование и професс</w:t>
      </w:r>
      <w:r w:rsidR="0029434A" w:rsidRPr="007347DD">
        <w:t>и</w:t>
      </w:r>
      <w:r w:rsidR="0029434A" w:rsidRPr="007347DD">
        <w:t>ональная подготовка молодых представителей национальных меньшинств</w:t>
      </w:r>
      <w:r w:rsidR="003B6FF9">
        <w:t>»</w:t>
      </w:r>
      <w:r w:rsidR="0029434A" w:rsidRPr="007347DD">
        <w:t xml:space="preserve">, </w:t>
      </w:r>
      <w:r w:rsidR="0029434A">
        <w:t xml:space="preserve">посвященные, </w:t>
      </w:r>
      <w:r w:rsidR="0029434A" w:rsidRPr="007347DD">
        <w:t>в</w:t>
      </w:r>
      <w:r w:rsidR="0029434A">
        <w:t xml:space="preserve"> том числе, </w:t>
      </w:r>
      <w:r w:rsidR="0029434A" w:rsidRPr="007347DD">
        <w:t>положени</w:t>
      </w:r>
      <w:r w:rsidR="0029434A">
        <w:t>ю</w:t>
      </w:r>
      <w:r w:rsidR="0029434A" w:rsidRPr="007347DD">
        <w:t xml:space="preserve"> </w:t>
      </w:r>
      <w:r w:rsidR="0029434A">
        <w:t>женщин из числа</w:t>
      </w:r>
      <w:r w:rsidR="0029434A" w:rsidRPr="007347DD">
        <w:t xml:space="preserve"> национальных мен</w:t>
      </w:r>
      <w:r w:rsidR="0029434A" w:rsidRPr="007347DD">
        <w:t>ь</w:t>
      </w:r>
      <w:r w:rsidR="0029434A" w:rsidRPr="007347DD">
        <w:t xml:space="preserve">шинств </w:t>
      </w:r>
      <w:r w:rsidR="0029434A">
        <w:t>и ознакомлению</w:t>
      </w:r>
      <w:r w:rsidR="0029434A" w:rsidRPr="007347DD">
        <w:t xml:space="preserve"> с Конвенцией о ликвидации всех форм дискримин</w:t>
      </w:r>
      <w:r w:rsidR="0029434A" w:rsidRPr="007347DD">
        <w:t>а</w:t>
      </w:r>
      <w:r w:rsidR="0029434A" w:rsidRPr="007347DD">
        <w:t xml:space="preserve">ции в отношении женщин и </w:t>
      </w:r>
      <w:r w:rsidR="0029434A" w:rsidRPr="007347DD">
        <w:rPr>
          <w:i/>
        </w:rPr>
        <w:t xml:space="preserve">Национальной </w:t>
      </w:r>
      <w:r w:rsidR="0029434A">
        <w:rPr>
          <w:i/>
        </w:rPr>
        <w:t>стратегией</w:t>
      </w:r>
      <w:r w:rsidR="0029434A" w:rsidRPr="007347DD">
        <w:t xml:space="preserve">. </w:t>
      </w:r>
    </w:p>
    <w:p w:rsidR="0029434A" w:rsidRPr="007347DD" w:rsidRDefault="00BA168A" w:rsidP="00BA168A">
      <w:pPr>
        <w:pStyle w:val="SingleTxt"/>
      </w:pPr>
      <w:r>
        <w:tab/>
      </w:r>
      <w:r w:rsidR="0029434A" w:rsidRPr="007347DD">
        <w:t>Органы государственного управления и правительственные учреждения оказывают финансовую по</w:t>
      </w:r>
      <w:r w:rsidR="0029434A">
        <w:t>ддержку проектам НПО, работающих</w:t>
      </w:r>
      <w:r w:rsidR="0029434A" w:rsidRPr="007347DD">
        <w:t xml:space="preserve"> в области обеспеч</w:t>
      </w:r>
      <w:r w:rsidR="0029434A" w:rsidRPr="007347DD">
        <w:t>е</w:t>
      </w:r>
      <w:r w:rsidR="0029434A" w:rsidRPr="007347DD">
        <w:t>ния гендерного равенства, в том числе ассоциациям женщин из числа представителей национальных меньшинств. Более подробный обзор меропри</w:t>
      </w:r>
      <w:r w:rsidR="0029434A" w:rsidRPr="007347DD">
        <w:t>я</w:t>
      </w:r>
      <w:r w:rsidR="0029434A" w:rsidRPr="007347DD">
        <w:t>тий, направленных на улучшение положения женщин народности рома, же</w:t>
      </w:r>
      <w:r w:rsidR="0029434A" w:rsidRPr="007347DD">
        <w:t>н</w:t>
      </w:r>
      <w:r w:rsidR="0029434A" w:rsidRPr="007347DD">
        <w:t xml:space="preserve">щин в сельских районах и пожилых женщин, </w:t>
      </w:r>
      <w:r w:rsidR="0029434A">
        <w:t>приводится</w:t>
      </w:r>
      <w:r w:rsidR="0029434A" w:rsidRPr="007347DD">
        <w:t xml:space="preserve"> в ответах на вопр</w:t>
      </w:r>
      <w:r w:rsidR="0029434A" w:rsidRPr="007347DD">
        <w:t>о</w:t>
      </w:r>
      <w:r w:rsidR="0029434A" w:rsidRPr="007347DD">
        <w:t>сы</w:t>
      </w:r>
      <w:r w:rsidR="003B6FF9">
        <w:t> </w:t>
      </w:r>
      <w:r w:rsidR="0029434A" w:rsidRPr="007347DD">
        <w:t>18, 19 и 20.</w:t>
      </w:r>
    </w:p>
    <w:p w:rsidR="0029434A" w:rsidRDefault="00BA168A" w:rsidP="00BA168A">
      <w:pPr>
        <w:pStyle w:val="SingleTxt"/>
      </w:pPr>
      <w:r>
        <w:tab/>
      </w:r>
      <w:r w:rsidR="0029434A" w:rsidRPr="007347DD">
        <w:t>В целях расширения прав и возможностей женщин-инвалидов, было установлено постоянное сотрудничество между УРМЖ и Союзом ассоциаций инвалидов Хорватии (САИХ), который начиная с 2012 года в с</w:t>
      </w:r>
      <w:r w:rsidR="0029434A" w:rsidRPr="007347DD">
        <w:t>о</w:t>
      </w:r>
      <w:r w:rsidR="0029434A" w:rsidRPr="007347DD">
        <w:t xml:space="preserve">трудничестве с УРМЖ, городом Загреб и УПЧНМ регулярно проводит кампанию </w:t>
      </w:r>
      <w:r w:rsidR="003B6FF9">
        <w:t>«</w:t>
      </w:r>
      <w:r w:rsidR="0029434A" w:rsidRPr="007347DD">
        <w:t>Белая ле</w:t>
      </w:r>
      <w:r w:rsidR="0029434A" w:rsidRPr="007347DD">
        <w:t>н</w:t>
      </w:r>
      <w:r w:rsidR="0029434A" w:rsidRPr="007347DD">
        <w:t>та</w:t>
      </w:r>
      <w:r w:rsidR="003B6FF9">
        <w:t>»</w:t>
      </w:r>
      <w:r w:rsidR="0029434A" w:rsidRPr="007347DD">
        <w:t>.</w:t>
      </w:r>
    </w:p>
    <w:p w:rsidR="00BA168A" w:rsidRPr="00BA168A" w:rsidRDefault="00BA168A" w:rsidP="00BA168A">
      <w:pPr>
        <w:pStyle w:val="SingleTxt"/>
        <w:spacing w:after="0" w:line="120" w:lineRule="exact"/>
        <w:rPr>
          <w:sz w:val="10"/>
        </w:rPr>
      </w:pPr>
    </w:p>
    <w:p w:rsidR="0029434A" w:rsidRDefault="0029434A" w:rsidP="00BA1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47DD">
        <w:tab/>
      </w:r>
      <w:r w:rsidRPr="007347DD">
        <w:tab/>
        <w:t>Национальный механизм по улучшению положения женщин</w:t>
      </w:r>
    </w:p>
    <w:p w:rsidR="00BA168A" w:rsidRPr="00BA168A" w:rsidRDefault="00BA168A" w:rsidP="00BA168A">
      <w:pPr>
        <w:pStyle w:val="SingleTxt"/>
        <w:spacing w:after="0" w:line="120" w:lineRule="exact"/>
        <w:rPr>
          <w:sz w:val="10"/>
        </w:rPr>
      </w:pPr>
    </w:p>
    <w:p w:rsidR="0029434A" w:rsidRPr="00BA168A" w:rsidRDefault="0029434A" w:rsidP="00BA168A">
      <w:pPr>
        <w:pStyle w:val="SingleTxt"/>
        <w:rPr>
          <w:b/>
        </w:rPr>
      </w:pPr>
      <w:r w:rsidRPr="007347DD">
        <w:t>4.</w:t>
      </w:r>
      <w:r w:rsidRPr="007347DD">
        <w:tab/>
      </w:r>
      <w:r w:rsidRPr="00BA168A">
        <w:rPr>
          <w:b/>
        </w:rPr>
        <w:t xml:space="preserve">С учетом того, что в докладе отмечается, что </w:t>
      </w:r>
      <w:r w:rsidR="003B6FF9">
        <w:rPr>
          <w:b/>
        </w:rPr>
        <w:t>«</w:t>
      </w:r>
      <w:r w:rsidRPr="00BA168A">
        <w:rPr>
          <w:b/>
        </w:rPr>
        <w:t>вследствие экономич</w:t>
      </w:r>
      <w:r w:rsidRPr="00BA168A">
        <w:rPr>
          <w:b/>
        </w:rPr>
        <w:t>е</w:t>
      </w:r>
      <w:r w:rsidRPr="00BA168A">
        <w:rPr>
          <w:b/>
        </w:rPr>
        <w:t>ского спада и сокращения общего объема государственного бюджета</w:t>
      </w:r>
      <w:r w:rsidR="003B6FF9">
        <w:rPr>
          <w:b/>
        </w:rPr>
        <w:t>»</w:t>
      </w:r>
      <w:r w:rsidRPr="00BA168A">
        <w:rPr>
          <w:b/>
        </w:rPr>
        <w:t xml:space="preserve"> б</w:t>
      </w:r>
      <w:r w:rsidRPr="00BA168A">
        <w:rPr>
          <w:b/>
        </w:rPr>
        <w:t>ы</w:t>
      </w:r>
      <w:r w:rsidRPr="00BA168A">
        <w:rPr>
          <w:b/>
        </w:rPr>
        <w:t>ли уменьшены объемы финансовых ресурсов, выделяемых Управлению по вопросам равенства мужчин и женщин (пункт 15), просьба представить обновленную информацию о людских и финансовых ресурсах, которыми располагают Управление по вопросам равенства мужчин и женщин, Ка</w:t>
      </w:r>
      <w:r w:rsidRPr="00BA168A">
        <w:rPr>
          <w:b/>
        </w:rPr>
        <w:t>н</w:t>
      </w:r>
      <w:r w:rsidRPr="00BA168A">
        <w:rPr>
          <w:b/>
        </w:rPr>
        <w:t>целярия омбудсмена по вопросам гендерного равенства и облас</w:t>
      </w:r>
      <w:r w:rsidRPr="00BA168A">
        <w:rPr>
          <w:b/>
        </w:rPr>
        <w:t>т</w:t>
      </w:r>
      <w:r w:rsidRPr="00BA168A">
        <w:rPr>
          <w:b/>
        </w:rPr>
        <w:t>ные/местные комиссии по вопросам равенства мужчин и женщин (пункт</w:t>
      </w:r>
      <w:r w:rsidR="003B6FF9">
        <w:rPr>
          <w:b/>
        </w:rPr>
        <w:t> </w:t>
      </w:r>
      <w:r w:rsidRPr="00BA168A">
        <w:rPr>
          <w:b/>
        </w:rPr>
        <w:t>85). Просьба пояснить, с помощью каких механизмов обеспечив</w:t>
      </w:r>
      <w:r w:rsidRPr="00BA168A">
        <w:rPr>
          <w:b/>
        </w:rPr>
        <w:t>а</w:t>
      </w:r>
      <w:r w:rsidRPr="00BA168A">
        <w:rPr>
          <w:b/>
        </w:rPr>
        <w:t>ется координация усилий указанных органов на разли</w:t>
      </w:r>
      <w:r w:rsidRPr="00BA168A">
        <w:rPr>
          <w:b/>
        </w:rPr>
        <w:t>ч</w:t>
      </w:r>
      <w:r w:rsidRPr="00BA168A">
        <w:rPr>
          <w:b/>
        </w:rPr>
        <w:t xml:space="preserve">ных уровнях. </w:t>
      </w:r>
    </w:p>
    <w:p w:rsidR="0029434A" w:rsidRPr="007347DD" w:rsidRDefault="00BA168A" w:rsidP="00BA168A">
      <w:pPr>
        <w:pStyle w:val="SingleTxt"/>
      </w:pPr>
      <w:r>
        <w:tab/>
      </w:r>
      <w:r w:rsidR="0029434A" w:rsidRPr="007347DD">
        <w:t>В Управлении по вопросам равенства мужчин и женщин в настоящее вр</w:t>
      </w:r>
      <w:r w:rsidR="0029434A" w:rsidRPr="007347DD">
        <w:t>е</w:t>
      </w:r>
      <w:r w:rsidR="0029434A" w:rsidRPr="007347DD">
        <w:t>мя работают шесть человек (включая директора), т.е. на одного сотрудника меньше, чем в 2010 году. Объем средств, выделяемых из государственного бюджета на деятельность Управления по вопросам рав</w:t>
      </w:r>
      <w:r w:rsidR="0029434A">
        <w:t>енства мужчин и же</w:t>
      </w:r>
      <w:r w:rsidR="0029434A">
        <w:t>н</w:t>
      </w:r>
      <w:r w:rsidR="0029434A">
        <w:t>щи</w:t>
      </w:r>
      <w:r w:rsidR="0029434A" w:rsidRPr="007347DD">
        <w:t>н, был сокращен: бюджет Управления в 2010 году составил 2 450 000 хо</w:t>
      </w:r>
      <w:r w:rsidR="0029434A" w:rsidRPr="007347DD">
        <w:t>р</w:t>
      </w:r>
      <w:r w:rsidR="0029434A" w:rsidRPr="007347DD">
        <w:t>ватских кун, а в 2014 году равнялся 1</w:t>
      </w:r>
      <w:r w:rsidR="0029434A">
        <w:t xml:space="preserve"> </w:t>
      </w:r>
      <w:r w:rsidR="0029434A" w:rsidRPr="007347DD">
        <w:t>802</w:t>
      </w:r>
      <w:r w:rsidR="0029434A">
        <w:t xml:space="preserve"> </w:t>
      </w:r>
      <w:r w:rsidR="0029434A" w:rsidRPr="007347DD">
        <w:t>134 хорватских кун.</w:t>
      </w:r>
    </w:p>
    <w:p w:rsidR="0029434A" w:rsidRPr="007347DD" w:rsidRDefault="00BA168A" w:rsidP="00BA168A">
      <w:pPr>
        <w:pStyle w:val="SingleTxt"/>
      </w:pPr>
      <w:r>
        <w:tab/>
      </w:r>
      <w:r w:rsidR="0029434A" w:rsidRPr="007347DD">
        <w:t>Объем средств, выделяемых из государственного бюджета на деятел</w:t>
      </w:r>
      <w:r w:rsidR="0029434A" w:rsidRPr="007347DD">
        <w:t>ь</w:t>
      </w:r>
      <w:r w:rsidR="0029434A" w:rsidRPr="007347DD">
        <w:t>ность Омбудсмена по вопросам гендерного равенства, также уменьшился: в 2011</w:t>
      </w:r>
      <w:r w:rsidR="003B6FF9">
        <w:t> </w:t>
      </w:r>
      <w:r w:rsidR="0029434A" w:rsidRPr="007347DD">
        <w:t>году он составлял 2</w:t>
      </w:r>
      <w:r w:rsidR="0029434A">
        <w:t xml:space="preserve"> </w:t>
      </w:r>
      <w:r w:rsidR="0029434A" w:rsidRPr="007347DD">
        <w:t>915</w:t>
      </w:r>
      <w:r w:rsidR="0029434A">
        <w:t xml:space="preserve"> </w:t>
      </w:r>
      <w:r w:rsidR="0029434A" w:rsidRPr="007347DD">
        <w:t>602 хорватских кун, а в 2014 году</w:t>
      </w:r>
      <w:r w:rsidR="003B6FF9">
        <w:t xml:space="preserve"> — </w:t>
      </w:r>
      <w:r w:rsidR="0029434A" w:rsidRPr="007347DD">
        <w:t>2</w:t>
      </w:r>
      <w:r w:rsidR="003B6FF9">
        <w:rPr>
          <w:lang w:val="en-US"/>
        </w:rPr>
        <w:t> </w:t>
      </w:r>
      <w:r w:rsidR="0029434A" w:rsidRPr="007347DD">
        <w:t>529</w:t>
      </w:r>
      <w:r w:rsidR="003B6FF9">
        <w:rPr>
          <w:lang w:val="en-US"/>
        </w:rPr>
        <w:t> </w:t>
      </w:r>
      <w:r w:rsidR="0029434A" w:rsidRPr="007347DD">
        <w:t>805</w:t>
      </w:r>
      <w:r w:rsidR="003B6FF9">
        <w:rPr>
          <w:lang w:val="en-US"/>
        </w:rPr>
        <w:t> </w:t>
      </w:r>
      <w:r w:rsidR="0029434A" w:rsidRPr="007347DD">
        <w:t>хорватских кун. В Канцелярии омбудсмена работает 11 человек</w:t>
      </w:r>
      <w:r w:rsidR="003B6FF9">
        <w:t xml:space="preserve"> — </w:t>
      </w:r>
      <w:r w:rsidR="0029434A" w:rsidRPr="007347DD">
        <w:t>девять гражданских служащих плюс омбудсмен и его заместитель, и од</w:t>
      </w:r>
      <w:r w:rsidR="0029434A">
        <w:t>и</w:t>
      </w:r>
      <w:r w:rsidR="0029434A" w:rsidRPr="007347DD">
        <w:t xml:space="preserve">н </w:t>
      </w:r>
      <w:r w:rsidR="0029434A">
        <w:t>с</w:t>
      </w:r>
      <w:r w:rsidR="0029434A">
        <w:t>о</w:t>
      </w:r>
      <w:r w:rsidR="0029434A">
        <w:t xml:space="preserve">трудник занимается вопросами </w:t>
      </w:r>
      <w:r w:rsidR="0029434A" w:rsidRPr="007347DD">
        <w:t>профессиональн</w:t>
      </w:r>
      <w:r w:rsidR="0029434A">
        <w:t>ой</w:t>
      </w:r>
      <w:r w:rsidR="0029434A" w:rsidRPr="007347DD">
        <w:t xml:space="preserve"> подготовк</w:t>
      </w:r>
      <w:r w:rsidR="0029434A">
        <w:t>и</w:t>
      </w:r>
      <w:r w:rsidR="0029434A" w:rsidRPr="007347DD">
        <w:t xml:space="preserve"> в качестве внешнего консультанта. В обоих подразделениях есть должности, </w:t>
      </w:r>
      <w:r w:rsidR="0029434A">
        <w:t>предусмо</w:t>
      </w:r>
      <w:r w:rsidR="0029434A">
        <w:t>т</w:t>
      </w:r>
      <w:r w:rsidR="0029434A">
        <w:t xml:space="preserve">ренные </w:t>
      </w:r>
      <w:r w:rsidR="0029434A" w:rsidRPr="007347DD">
        <w:t>внутренн</w:t>
      </w:r>
      <w:r w:rsidR="0029434A" w:rsidRPr="007347DD">
        <w:t>и</w:t>
      </w:r>
      <w:r w:rsidR="0029434A">
        <w:t>ми</w:t>
      </w:r>
      <w:r w:rsidR="0029434A" w:rsidRPr="007347DD">
        <w:t xml:space="preserve"> акт</w:t>
      </w:r>
      <w:r w:rsidR="0029434A">
        <w:t>ами</w:t>
      </w:r>
      <w:r w:rsidR="0029434A" w:rsidRPr="007347DD">
        <w:t>, которые остаются вакантными.</w:t>
      </w:r>
    </w:p>
    <w:p w:rsidR="0029434A" w:rsidRPr="007347DD" w:rsidRDefault="00BA168A" w:rsidP="00BA168A">
      <w:pPr>
        <w:pStyle w:val="SingleTxt"/>
      </w:pPr>
      <w:r>
        <w:tab/>
      </w:r>
      <w:r w:rsidR="0029434A" w:rsidRPr="007347DD">
        <w:t>Местные и региональные организации самоуправления устанавливают и выделяют средства на функционирование окружных и горо</w:t>
      </w:r>
      <w:r w:rsidR="0029434A" w:rsidRPr="007347DD">
        <w:t>д</w:t>
      </w:r>
      <w:r w:rsidR="0029434A" w:rsidRPr="007347DD">
        <w:t>ских/</w:t>
      </w:r>
      <w:r w:rsidR="003B6FF9">
        <w:br/>
      </w:r>
      <w:r w:rsidR="0029434A" w:rsidRPr="007347DD">
        <w:t>муниципальных комиссий по вопросам гендерного равенства в соотве</w:t>
      </w:r>
      <w:r w:rsidR="0029434A" w:rsidRPr="007347DD">
        <w:t>т</w:t>
      </w:r>
      <w:r w:rsidR="0029434A" w:rsidRPr="007347DD">
        <w:t xml:space="preserve">ствии с обязательством, изложенным в статье 28 </w:t>
      </w:r>
      <w:r w:rsidR="0029434A" w:rsidRPr="007347DD">
        <w:rPr>
          <w:i/>
        </w:rPr>
        <w:t>Закона о равенстве мужчин и же</w:t>
      </w:r>
      <w:r w:rsidR="0029434A" w:rsidRPr="007347DD">
        <w:rPr>
          <w:i/>
        </w:rPr>
        <w:t>н</w:t>
      </w:r>
      <w:r w:rsidR="0029434A" w:rsidRPr="007347DD">
        <w:rPr>
          <w:i/>
        </w:rPr>
        <w:t>щин</w:t>
      </w:r>
      <w:r w:rsidR="0029434A" w:rsidRPr="007347DD">
        <w:t>. Годовые финансовые обязательства в связи с деятельностью коми</w:t>
      </w:r>
      <w:r w:rsidR="0029434A" w:rsidRPr="007347DD">
        <w:t>с</w:t>
      </w:r>
      <w:r w:rsidR="0029434A" w:rsidRPr="007347DD">
        <w:t xml:space="preserve">сий не являются идентичными и единообразными для всех округов, они разнятся в пределах от 2000 хорватских кун до 250 000 хорватских кун. </w:t>
      </w:r>
      <w:r w:rsidR="0029434A">
        <w:t>В</w:t>
      </w:r>
      <w:r w:rsidR="0029434A" w:rsidRPr="007347DD">
        <w:t xml:space="preserve"> последние н</w:t>
      </w:r>
      <w:r w:rsidR="0029434A" w:rsidRPr="007347DD">
        <w:t>е</w:t>
      </w:r>
      <w:r w:rsidR="0029434A" w:rsidRPr="007347DD">
        <w:t xml:space="preserve">сколько лет </w:t>
      </w:r>
      <w:r w:rsidR="0029434A">
        <w:t xml:space="preserve">объем </w:t>
      </w:r>
      <w:r w:rsidR="0029434A" w:rsidRPr="007347DD">
        <w:t>выделяемы</w:t>
      </w:r>
      <w:r w:rsidR="0029434A">
        <w:t>х</w:t>
      </w:r>
      <w:r w:rsidR="0029434A" w:rsidRPr="007347DD">
        <w:t xml:space="preserve"> средств </w:t>
      </w:r>
      <w:r w:rsidR="0029434A">
        <w:t>возрос</w:t>
      </w:r>
      <w:r w:rsidR="0029434A" w:rsidRPr="007347DD">
        <w:t>. УРМЖ и Организация по коо</w:t>
      </w:r>
      <w:r w:rsidR="0029434A" w:rsidRPr="007347DD">
        <w:t>р</w:t>
      </w:r>
      <w:r w:rsidR="0029434A" w:rsidRPr="007347DD">
        <w:t>динации деятельности окружных комиссий по вопросам гендерного раве</w:t>
      </w:r>
      <w:r w:rsidR="0029434A" w:rsidRPr="007347DD">
        <w:t>н</w:t>
      </w:r>
      <w:r w:rsidR="0029434A" w:rsidRPr="007347DD">
        <w:t>ства, созданная УРМЖ, постоянно требуют более эффективного и более последов</w:t>
      </w:r>
      <w:r w:rsidR="0029434A" w:rsidRPr="007347DD">
        <w:t>а</w:t>
      </w:r>
      <w:r w:rsidR="0029434A" w:rsidRPr="007347DD">
        <w:t xml:space="preserve">тельного осуществления </w:t>
      </w:r>
      <w:r w:rsidR="0029434A" w:rsidRPr="007347DD">
        <w:rPr>
          <w:i/>
        </w:rPr>
        <w:t>Закона о равенстве мужчин и женщин</w:t>
      </w:r>
      <w:r w:rsidR="0029434A" w:rsidRPr="007347DD">
        <w:t xml:space="preserve"> и </w:t>
      </w:r>
      <w:r w:rsidR="0029434A">
        <w:t>выделения больших</w:t>
      </w:r>
      <w:r w:rsidR="0029434A" w:rsidRPr="007347DD">
        <w:t xml:space="preserve"> </w:t>
      </w:r>
      <w:r w:rsidR="0029434A">
        <w:t xml:space="preserve">объемов </w:t>
      </w:r>
      <w:r w:rsidR="0029434A" w:rsidRPr="007347DD">
        <w:t>средств для о</w:t>
      </w:r>
      <w:r w:rsidR="0029434A">
        <w:t>бластных</w:t>
      </w:r>
      <w:r w:rsidR="0029434A" w:rsidRPr="007347DD">
        <w:t xml:space="preserve"> бюджетов на деятельность ук</w:t>
      </w:r>
      <w:r w:rsidR="0029434A" w:rsidRPr="007347DD">
        <w:t>а</w:t>
      </w:r>
      <w:r w:rsidR="0029434A" w:rsidRPr="007347DD">
        <w:t xml:space="preserve">занных комиссий. </w:t>
      </w:r>
    </w:p>
    <w:p w:rsidR="0029434A" w:rsidRPr="00BA168A" w:rsidRDefault="00BA168A" w:rsidP="00BA168A">
      <w:pPr>
        <w:pStyle w:val="SingleTxt"/>
        <w:rPr>
          <w:b/>
        </w:rPr>
      </w:pPr>
      <w:r>
        <w:tab/>
      </w:r>
      <w:r w:rsidR="0029434A" w:rsidRPr="007347DD">
        <w:t>5.</w:t>
      </w:r>
      <w:r w:rsidR="0029434A" w:rsidRPr="007347DD">
        <w:tab/>
      </w:r>
      <w:r w:rsidR="0029434A" w:rsidRPr="00BA168A">
        <w:rPr>
          <w:b/>
        </w:rPr>
        <w:t>Согласно Закону о равенстве мужчин и женщин органы госуда</w:t>
      </w:r>
      <w:r w:rsidR="0029434A" w:rsidRPr="00BA168A">
        <w:rPr>
          <w:b/>
        </w:rPr>
        <w:t>р</w:t>
      </w:r>
      <w:r w:rsidR="0029434A" w:rsidRPr="00BA168A">
        <w:rPr>
          <w:b/>
        </w:rPr>
        <w:t>ственного управления и юридические лица с мажоритарной долей участия государства обязаны разрабатывать и утверждать планы действий по п</w:t>
      </w:r>
      <w:r w:rsidR="0029434A" w:rsidRPr="00BA168A">
        <w:rPr>
          <w:b/>
        </w:rPr>
        <w:t>о</w:t>
      </w:r>
      <w:r w:rsidR="0029434A" w:rsidRPr="00BA168A">
        <w:rPr>
          <w:b/>
        </w:rPr>
        <w:t>ощрению гендерного равенства. В нем также предлагается органам мес</w:t>
      </w:r>
      <w:r w:rsidR="0029434A" w:rsidRPr="00BA168A">
        <w:rPr>
          <w:b/>
        </w:rPr>
        <w:t>т</w:t>
      </w:r>
      <w:r w:rsidR="0029434A" w:rsidRPr="00BA168A">
        <w:rPr>
          <w:b/>
        </w:rPr>
        <w:t>ного и реги</w:t>
      </w:r>
      <w:r w:rsidR="0029434A" w:rsidRPr="00BA168A">
        <w:rPr>
          <w:b/>
        </w:rPr>
        <w:t>о</w:t>
      </w:r>
      <w:r w:rsidR="0029434A" w:rsidRPr="00BA168A">
        <w:rPr>
          <w:b/>
        </w:rPr>
        <w:t>нального самоуправления, юридическим лицам, наделенным государственными полномочиями, и другим юридическим лицам вкл</w:t>
      </w:r>
      <w:r w:rsidR="0029434A" w:rsidRPr="00BA168A">
        <w:rPr>
          <w:b/>
        </w:rPr>
        <w:t>ю</w:t>
      </w:r>
      <w:r w:rsidR="0029434A" w:rsidRPr="00BA168A">
        <w:rPr>
          <w:b/>
        </w:rPr>
        <w:t>чать в свои внутренние нормативные документы антидискриминацио</w:t>
      </w:r>
      <w:r w:rsidR="0029434A" w:rsidRPr="00BA168A">
        <w:rPr>
          <w:b/>
        </w:rPr>
        <w:t>н</w:t>
      </w:r>
      <w:r w:rsidR="0029434A" w:rsidRPr="00BA168A">
        <w:rPr>
          <w:b/>
        </w:rPr>
        <w:t>ные положения по достижению гендерного равенства (пункт 90). Просьба представить дополнительную информацию об осуществлении указанных положений Закона о равенстве мужчин и женщин. Просьба также предст</w:t>
      </w:r>
      <w:r w:rsidR="0029434A" w:rsidRPr="00BA168A">
        <w:rPr>
          <w:b/>
        </w:rPr>
        <w:t>а</w:t>
      </w:r>
      <w:r w:rsidR="0029434A" w:rsidRPr="00BA168A">
        <w:rPr>
          <w:b/>
        </w:rPr>
        <w:t>вить обновленную информацию о прогрессе, достигнутом в осуществл</w:t>
      </w:r>
      <w:r w:rsidR="0029434A" w:rsidRPr="00BA168A">
        <w:rPr>
          <w:b/>
        </w:rPr>
        <w:t>е</w:t>
      </w:r>
      <w:r w:rsidR="0029434A" w:rsidRPr="00BA168A">
        <w:rPr>
          <w:b/>
        </w:rPr>
        <w:t>нии Национальной стратегии обеспечения равенства мужчин и женщин на период 2011</w:t>
      </w:r>
      <w:r w:rsidR="003B6FF9">
        <w:rPr>
          <w:b/>
        </w:rPr>
        <w:t>–</w:t>
      </w:r>
      <w:r w:rsidR="0029434A" w:rsidRPr="00BA168A">
        <w:rPr>
          <w:b/>
        </w:rPr>
        <w:t xml:space="preserve">2015 годов, и о намеченных в ней задачах. </w:t>
      </w:r>
    </w:p>
    <w:p w:rsidR="0029434A" w:rsidRPr="007347DD" w:rsidRDefault="00BA168A" w:rsidP="00BA168A">
      <w:pPr>
        <w:pStyle w:val="SingleTxt"/>
      </w:pPr>
      <w:r>
        <w:tab/>
      </w:r>
      <w:r w:rsidR="0029434A" w:rsidRPr="007347DD">
        <w:t>Планы действий в целях поощрения и обеспечения гендерного равенства принимаются органами госуда</w:t>
      </w:r>
      <w:r w:rsidR="0029434A" w:rsidRPr="007347DD">
        <w:t>р</w:t>
      </w:r>
      <w:r w:rsidR="0029434A" w:rsidRPr="007347DD">
        <w:t>ственного управления и юридическими лицами, где государство является основным собственником, на срок в четыре года на основе одобрения со стороны УРМЖ. УРМЖ подготовило Руководящие при</w:t>
      </w:r>
      <w:r w:rsidR="0029434A" w:rsidRPr="007347DD">
        <w:t>н</w:t>
      </w:r>
      <w:r w:rsidR="0029434A" w:rsidRPr="007347DD">
        <w:t>ципы для разработки планов действий. После определения конкретных целей в планах действий намечаются пути осуществления с указанием конкретных м</w:t>
      </w:r>
      <w:r w:rsidR="0029434A" w:rsidRPr="007347DD">
        <w:t>е</w:t>
      </w:r>
      <w:r w:rsidR="0029434A" w:rsidRPr="007347DD">
        <w:t>роприятий, сроков и компетентных органов, методов контроля за ходом ос</w:t>
      </w:r>
      <w:r w:rsidR="0029434A" w:rsidRPr="007347DD">
        <w:t>у</w:t>
      </w:r>
      <w:r w:rsidR="0029434A" w:rsidRPr="007347DD">
        <w:t xml:space="preserve">ществления и составляется план осуществления мер из </w:t>
      </w:r>
      <w:r w:rsidR="0029434A" w:rsidRPr="007347DD">
        <w:rPr>
          <w:i/>
        </w:rPr>
        <w:t>Национальной страт</w:t>
      </w:r>
      <w:r w:rsidR="0029434A" w:rsidRPr="007347DD">
        <w:rPr>
          <w:i/>
        </w:rPr>
        <w:t>е</w:t>
      </w:r>
      <w:r w:rsidR="0029434A" w:rsidRPr="007347DD">
        <w:rPr>
          <w:i/>
        </w:rPr>
        <w:t>гии</w:t>
      </w:r>
      <w:r w:rsidR="0029434A" w:rsidRPr="007347DD">
        <w:t>, входящих в компетенцию органов, принимающих план действий. План действий также включает в себя учебную программу по вопросам гендерного равенства для гражданских служащих</w:t>
      </w:r>
      <w:r w:rsidR="0029434A">
        <w:t>,</w:t>
      </w:r>
      <w:r w:rsidR="0029434A" w:rsidRPr="007347DD">
        <w:t xml:space="preserve"> перечень прав</w:t>
      </w:r>
      <w:r w:rsidR="0029434A">
        <w:t xml:space="preserve"> и</w:t>
      </w:r>
      <w:r w:rsidR="0029434A" w:rsidRPr="007347DD">
        <w:t xml:space="preserve"> обязанн</w:t>
      </w:r>
      <w:r w:rsidR="0029434A" w:rsidRPr="007347DD">
        <w:t>о</w:t>
      </w:r>
      <w:r w:rsidR="0029434A" w:rsidRPr="007347DD">
        <w:t xml:space="preserve">стей и </w:t>
      </w:r>
      <w:r w:rsidR="0029434A">
        <w:t>методы</w:t>
      </w:r>
      <w:r w:rsidR="0029434A" w:rsidRPr="007347DD">
        <w:t xml:space="preserve"> работы координаторов по вопросам гендерного равенства.</w:t>
      </w:r>
    </w:p>
    <w:p w:rsidR="0029434A" w:rsidRPr="007347DD" w:rsidRDefault="00BA168A" w:rsidP="00BA168A">
      <w:pPr>
        <w:pStyle w:val="SingleTxt"/>
      </w:pPr>
      <w:r>
        <w:tab/>
      </w:r>
      <w:r w:rsidR="0029434A" w:rsidRPr="007347DD">
        <w:t>В зависимости от сферы охвата деятельности и компетенции органов го</w:t>
      </w:r>
      <w:r w:rsidR="0029434A" w:rsidRPr="007347DD">
        <w:t>с</w:t>
      </w:r>
      <w:r w:rsidR="0029434A" w:rsidRPr="007347DD">
        <w:t>ударственного управления в округах, план действий этих органов содержит ц</w:t>
      </w:r>
      <w:r w:rsidR="0029434A" w:rsidRPr="007347DD">
        <w:t>е</w:t>
      </w:r>
      <w:r w:rsidR="0029434A" w:rsidRPr="007347DD">
        <w:t>ли по обеспечению контроля за осуществлением организациями местного и р</w:t>
      </w:r>
      <w:r w:rsidR="0029434A" w:rsidRPr="007347DD">
        <w:t>е</w:t>
      </w:r>
      <w:r w:rsidR="0029434A" w:rsidRPr="007347DD">
        <w:t>гионального самоуправления, юридическими лицами, наделенными госуда</w:t>
      </w:r>
      <w:r w:rsidR="0029434A" w:rsidRPr="007347DD">
        <w:t>р</w:t>
      </w:r>
      <w:r w:rsidR="0029434A" w:rsidRPr="007347DD">
        <w:t>ственными полномочиями</w:t>
      </w:r>
      <w:r w:rsidR="0029434A">
        <w:t>,</w:t>
      </w:r>
      <w:r w:rsidR="0029434A" w:rsidRPr="007347DD">
        <w:t xml:space="preserve"> и другими юридическими лицами и предприятиями, в которых занято более 25 человек, юридического обязательства включать в свои подзаконные акты по борьбе с дискриминацией правовые положения и меры для обеспечения гендерного равенства.</w:t>
      </w:r>
    </w:p>
    <w:p w:rsidR="0029434A" w:rsidRPr="007347DD" w:rsidRDefault="00BA168A" w:rsidP="00BA168A">
      <w:pPr>
        <w:pStyle w:val="SingleTxt"/>
      </w:pPr>
      <w:r>
        <w:tab/>
      </w:r>
      <w:r w:rsidR="0029434A" w:rsidRPr="007347DD">
        <w:t>Большинство министерств и других органов государственного управления (в общей сложности 51) приняли план действий по поощрению и введению гендерного равенства. Поскольку структура собственности принадлежащих государству юридических лиц (59 юридических лиц) постоянно меняется на протяжении всего процесса приватизации, а также с учетом того, что некот</w:t>
      </w:r>
      <w:r w:rsidR="0029434A" w:rsidRPr="007347DD">
        <w:t>о</w:t>
      </w:r>
      <w:r w:rsidR="0029434A" w:rsidRPr="007347DD">
        <w:t>рые из них объявили о своем банкротстве, на данный момент планы действий приняли 10</w:t>
      </w:r>
      <w:r w:rsidR="003B6FF9">
        <w:t> </w:t>
      </w:r>
      <w:r w:rsidR="0029434A" w:rsidRPr="007347DD">
        <w:t>крупнейших юридических лиц. УРМЖ считает, что планы де</w:t>
      </w:r>
      <w:r w:rsidR="0029434A" w:rsidRPr="007347DD">
        <w:t>й</w:t>
      </w:r>
      <w:r w:rsidR="0029434A" w:rsidRPr="007347DD">
        <w:t>ств</w:t>
      </w:r>
      <w:r w:rsidR="0029434A">
        <w:t>ий оказались весьма эффективным</w:t>
      </w:r>
      <w:r w:rsidR="0029434A" w:rsidRPr="007347DD">
        <w:t xml:space="preserve"> инструмент</w:t>
      </w:r>
      <w:r w:rsidR="0029434A">
        <w:t>о</w:t>
      </w:r>
      <w:r w:rsidR="0029434A" w:rsidRPr="007347DD">
        <w:t>м учета гендерной пробл</w:t>
      </w:r>
      <w:r w:rsidR="0029434A" w:rsidRPr="007347DD">
        <w:t>е</w:t>
      </w:r>
      <w:r w:rsidR="0029434A" w:rsidRPr="007347DD">
        <w:t>матики, с одной стороны, и, с другой стороны, привели к принятию новых ценных правовых актов с конкретной практической пользой, таких как пр</w:t>
      </w:r>
      <w:r w:rsidR="0029434A" w:rsidRPr="007347DD">
        <w:t>о</w:t>
      </w:r>
      <w:r w:rsidR="0029434A" w:rsidRPr="007347DD">
        <w:t>граммный док</w:t>
      </w:r>
      <w:r w:rsidR="0029434A" w:rsidRPr="007347DD">
        <w:t>у</w:t>
      </w:r>
      <w:r w:rsidR="0029434A" w:rsidRPr="007347DD">
        <w:t xml:space="preserve">мент </w:t>
      </w:r>
      <w:r w:rsidR="003B6FF9">
        <w:t>«</w:t>
      </w:r>
      <w:r w:rsidR="0029434A" w:rsidRPr="007347DD">
        <w:t>Учет гендерной проблематики в министерстве обороны и вооруженных силах Республики Хорватия</w:t>
      </w:r>
      <w:r w:rsidR="003B6FF9">
        <w:t>»</w:t>
      </w:r>
      <w:r w:rsidR="0029434A" w:rsidRPr="007347DD">
        <w:t xml:space="preserve"> и документ </w:t>
      </w:r>
      <w:r w:rsidR="003B6FF9">
        <w:t>«</w:t>
      </w:r>
      <w:r w:rsidR="0029434A" w:rsidRPr="007347DD">
        <w:t>Инструкция по и</w:t>
      </w:r>
      <w:r w:rsidR="0029434A" w:rsidRPr="007347DD">
        <w:t>с</w:t>
      </w:r>
      <w:r w:rsidR="0029434A" w:rsidRPr="007347DD">
        <w:t>пользованию нейтральных в гендерном отношении языковых формулировок в министерстве строительства и территориального планиров</w:t>
      </w:r>
      <w:r w:rsidR="0029434A" w:rsidRPr="007347DD">
        <w:t>а</w:t>
      </w:r>
      <w:r w:rsidR="0029434A" w:rsidRPr="007347DD">
        <w:t>ния</w:t>
      </w:r>
      <w:r w:rsidR="003B6FF9">
        <w:t>»</w:t>
      </w:r>
      <w:r w:rsidR="0029434A" w:rsidRPr="007347DD">
        <w:t>.</w:t>
      </w:r>
    </w:p>
    <w:p w:rsidR="0029434A" w:rsidRPr="007347DD" w:rsidRDefault="00BA168A" w:rsidP="00BA168A">
      <w:pPr>
        <w:pStyle w:val="SingleTxt"/>
        <w:rPr>
          <w:i/>
          <w:iCs/>
        </w:rPr>
      </w:pPr>
      <w:r>
        <w:tab/>
      </w:r>
      <w:r w:rsidR="0029434A" w:rsidRPr="007347DD">
        <w:t xml:space="preserve">Стратегическая цель </w:t>
      </w:r>
      <w:r w:rsidR="0029434A" w:rsidRPr="007347DD">
        <w:rPr>
          <w:i/>
        </w:rPr>
        <w:t>Национальной стратегии</w:t>
      </w:r>
      <w:r w:rsidR="0029434A" w:rsidRPr="007347DD">
        <w:t xml:space="preserve"> соответствует Конвенции о ликвидации всех форм дискриминации в отношении женщин. Запрашива</w:t>
      </w:r>
      <w:r w:rsidR="0029434A" w:rsidRPr="007347DD">
        <w:t>е</w:t>
      </w:r>
      <w:r w:rsidR="0029434A" w:rsidRPr="007347DD">
        <w:t>мую информацию см. в ответах, касающихся применения Конвенции о ликв</w:t>
      </w:r>
      <w:r w:rsidR="0029434A" w:rsidRPr="007347DD">
        <w:t>и</w:t>
      </w:r>
      <w:r w:rsidR="0029434A" w:rsidRPr="007347DD">
        <w:t>дации всех форм дискриминации в отношении женщин, и в ответах на допо</w:t>
      </w:r>
      <w:r w:rsidR="0029434A" w:rsidRPr="007347DD">
        <w:t>л</w:t>
      </w:r>
      <w:r w:rsidR="0029434A" w:rsidRPr="007347DD">
        <w:t>нительные в</w:t>
      </w:r>
      <w:r w:rsidR="0029434A" w:rsidRPr="007347DD">
        <w:t>о</w:t>
      </w:r>
      <w:r w:rsidR="0029434A" w:rsidRPr="007347DD">
        <w:t xml:space="preserve">просы и проблемы. </w:t>
      </w:r>
    </w:p>
    <w:p w:rsidR="0029434A" w:rsidRPr="007347DD" w:rsidRDefault="00BA168A" w:rsidP="00BA168A">
      <w:pPr>
        <w:pStyle w:val="SingleTxt"/>
        <w:rPr>
          <w:i/>
        </w:rPr>
      </w:pPr>
      <w:r>
        <w:rPr>
          <w:i/>
        </w:rPr>
        <w:tab/>
      </w:r>
      <w:r w:rsidR="0029434A" w:rsidRPr="007347DD">
        <w:rPr>
          <w:i/>
        </w:rPr>
        <w:t xml:space="preserve">Национальная стратегия </w:t>
      </w:r>
      <w:r w:rsidR="0029434A" w:rsidRPr="007347DD">
        <w:t>состоит из семи основных направлени</w:t>
      </w:r>
      <w:r w:rsidR="0029434A">
        <w:t>й</w:t>
      </w:r>
      <w:r w:rsidR="0029434A" w:rsidRPr="007347DD">
        <w:t xml:space="preserve"> де</w:t>
      </w:r>
      <w:r w:rsidR="0029434A" w:rsidRPr="007347DD">
        <w:t>я</w:t>
      </w:r>
      <w:r w:rsidR="0029434A" w:rsidRPr="007347DD">
        <w:t>тельности, и в соответствии с ней РХ обязана учитывать гендерную проблем</w:t>
      </w:r>
      <w:r w:rsidR="0029434A" w:rsidRPr="007347DD">
        <w:t>а</w:t>
      </w:r>
      <w:r w:rsidR="0029434A" w:rsidRPr="007347DD">
        <w:t>тику на всех направлениях политики с помощью большого числа мер в след</w:t>
      </w:r>
      <w:r w:rsidR="0029434A" w:rsidRPr="007347DD">
        <w:t>у</w:t>
      </w:r>
      <w:r w:rsidR="0029434A" w:rsidRPr="007347DD">
        <w:t>ющих областях: 1) содействие соблюдению прав человека и обеспечению ге</w:t>
      </w:r>
      <w:r w:rsidR="0029434A" w:rsidRPr="007347DD">
        <w:t>н</w:t>
      </w:r>
      <w:r w:rsidR="0029434A" w:rsidRPr="007347DD">
        <w:t xml:space="preserve">дерного равенства; 2) создание равных возможностей на рынке труда; 3) </w:t>
      </w:r>
      <w:r w:rsidR="0029434A">
        <w:t>с</w:t>
      </w:r>
      <w:r w:rsidR="0029434A">
        <w:t>о</w:t>
      </w:r>
      <w:r w:rsidR="0029434A">
        <w:t>вершенств</w:t>
      </w:r>
      <w:r w:rsidR="0029434A">
        <w:t>о</w:t>
      </w:r>
      <w:r w:rsidR="0029434A">
        <w:t xml:space="preserve">вание методов </w:t>
      </w:r>
      <w:r w:rsidR="0029434A" w:rsidRPr="007347DD">
        <w:t xml:space="preserve">внедрения </w:t>
      </w:r>
      <w:r w:rsidR="0029434A">
        <w:t xml:space="preserve">гендерных аспектов в сферу </w:t>
      </w:r>
      <w:r w:rsidR="0029434A" w:rsidRPr="007347DD">
        <w:t>образовани</w:t>
      </w:r>
      <w:r w:rsidR="0029434A">
        <w:t>я и профессиональной подготовки; 4) пропаганда</w:t>
      </w:r>
      <w:r w:rsidR="0029434A" w:rsidRPr="007347DD">
        <w:t xml:space="preserve"> более сбалансированного уч</w:t>
      </w:r>
      <w:r w:rsidR="0029434A" w:rsidRPr="007347DD">
        <w:t>а</w:t>
      </w:r>
      <w:r w:rsidR="0029434A" w:rsidRPr="007347DD">
        <w:t>стия женщин и мужчин в принятии решений в политической и общественной жизни; 5) ликвидация всех форм насилия в отношении женщин; 6) содействие международному сотрудничеству и обеспечению гендерного равенства за пр</w:t>
      </w:r>
      <w:r w:rsidR="0029434A" w:rsidRPr="007347DD">
        <w:t>е</w:t>
      </w:r>
      <w:r w:rsidR="0029434A" w:rsidRPr="007347DD">
        <w:t>делами Хорватии; и 7) дальнейшее укрепление институциональных механи</w:t>
      </w:r>
      <w:r w:rsidR="0029434A" w:rsidRPr="007347DD">
        <w:t>з</w:t>
      </w:r>
      <w:r w:rsidR="0029434A" w:rsidRPr="007347DD">
        <w:t>мов и м</w:t>
      </w:r>
      <w:r w:rsidR="0029434A" w:rsidRPr="007347DD">
        <w:t>е</w:t>
      </w:r>
      <w:r w:rsidR="0029434A" w:rsidRPr="007347DD">
        <w:t>тодов осуществления.</w:t>
      </w:r>
      <w:r w:rsidR="0029434A" w:rsidRPr="007347DD">
        <w:rPr>
          <w:i/>
        </w:rPr>
        <w:t xml:space="preserve"> </w:t>
      </w:r>
    </w:p>
    <w:p w:rsidR="0029434A" w:rsidRPr="007347DD" w:rsidRDefault="00BA168A" w:rsidP="00BA168A">
      <w:pPr>
        <w:pStyle w:val="SingleTxt"/>
      </w:pPr>
      <w:r>
        <w:tab/>
      </w:r>
      <w:r w:rsidR="0029434A" w:rsidRPr="007347DD">
        <w:t xml:space="preserve">В </w:t>
      </w:r>
      <w:r w:rsidR="0029434A" w:rsidRPr="007347DD">
        <w:rPr>
          <w:i/>
        </w:rPr>
        <w:t>Законе о равенстве мужчин и женщин</w:t>
      </w:r>
      <w:r w:rsidR="0029434A" w:rsidRPr="007347DD">
        <w:t xml:space="preserve"> говорится, что УРМЖ должно представлять правительству Республики Хорватия полугодовые доклады о ходе осуществления </w:t>
      </w:r>
      <w:r w:rsidR="0029434A" w:rsidRPr="007347DD">
        <w:rPr>
          <w:i/>
        </w:rPr>
        <w:t>Национальной стратегии</w:t>
      </w:r>
      <w:r w:rsidR="0029434A" w:rsidRPr="007347DD">
        <w:t>, разработка и контроль за осущест</w:t>
      </w:r>
      <w:r w:rsidR="0029434A" w:rsidRPr="007347DD">
        <w:t>в</w:t>
      </w:r>
      <w:r w:rsidR="0029434A" w:rsidRPr="007347DD">
        <w:t>лением которой находятся в его компетенции. В июле 2004 года УРМЖ пре</w:t>
      </w:r>
      <w:r w:rsidR="0029434A" w:rsidRPr="007347DD">
        <w:t>д</w:t>
      </w:r>
      <w:r w:rsidR="0029434A" w:rsidRPr="007347DD">
        <w:t xml:space="preserve">ставило правительству РХ общий докладе о ходе осуществления разработанной в 2011 году </w:t>
      </w:r>
      <w:r w:rsidR="0029434A" w:rsidRPr="007347DD">
        <w:rPr>
          <w:i/>
        </w:rPr>
        <w:t>Национальной стратегии обеспечения равенства мужчин и же</w:t>
      </w:r>
      <w:r w:rsidR="0029434A" w:rsidRPr="007347DD">
        <w:rPr>
          <w:i/>
        </w:rPr>
        <w:t>н</w:t>
      </w:r>
      <w:r w:rsidR="0029434A" w:rsidRPr="007347DD">
        <w:rPr>
          <w:i/>
        </w:rPr>
        <w:t>щин на 2011</w:t>
      </w:r>
      <w:r w:rsidR="003B6FF9">
        <w:rPr>
          <w:i/>
        </w:rPr>
        <w:t>–</w:t>
      </w:r>
      <w:r w:rsidR="0029434A" w:rsidRPr="007347DD">
        <w:rPr>
          <w:i/>
        </w:rPr>
        <w:t xml:space="preserve"> 2015 годы</w:t>
      </w:r>
      <w:r w:rsidR="0029434A" w:rsidRPr="007347DD">
        <w:t xml:space="preserve"> за период с 2011 по 2013 годы. Доклад был подгото</w:t>
      </w:r>
      <w:r w:rsidR="0029434A" w:rsidRPr="007347DD">
        <w:t>в</w:t>
      </w:r>
      <w:r w:rsidR="0029434A" w:rsidRPr="007347DD">
        <w:t>лен на основе замечаний, представленных компетентными министерствами и другими орг</w:t>
      </w:r>
      <w:r w:rsidR="0029434A" w:rsidRPr="007347DD">
        <w:t>а</w:t>
      </w:r>
      <w:r w:rsidR="0029434A" w:rsidRPr="007347DD">
        <w:t>нами государственного управления и окружными комиссиями по вопросам гендерного равенства.</w:t>
      </w:r>
    </w:p>
    <w:p w:rsidR="0029434A" w:rsidRPr="007347DD" w:rsidRDefault="00BA168A" w:rsidP="00BA168A">
      <w:pPr>
        <w:pStyle w:val="SingleTxt"/>
        <w:rPr>
          <w:b/>
          <w:bCs/>
        </w:rPr>
      </w:pPr>
      <w:r>
        <w:tab/>
      </w:r>
      <w:r w:rsidR="0029434A" w:rsidRPr="007347DD">
        <w:t xml:space="preserve">Анализ хода осуществления всех 94 мер в рамках </w:t>
      </w:r>
      <w:r w:rsidR="0029434A" w:rsidRPr="007347DD">
        <w:rPr>
          <w:i/>
        </w:rPr>
        <w:t>Национальной страт</w:t>
      </w:r>
      <w:r w:rsidR="0029434A" w:rsidRPr="007347DD">
        <w:rPr>
          <w:i/>
        </w:rPr>
        <w:t>е</w:t>
      </w:r>
      <w:r w:rsidR="0029434A" w:rsidRPr="007347DD">
        <w:rPr>
          <w:i/>
        </w:rPr>
        <w:t xml:space="preserve">гии </w:t>
      </w:r>
      <w:r w:rsidR="0029434A" w:rsidRPr="007347DD">
        <w:t>показал, что большинство мер были осуществлены в установленные сроки. Т</w:t>
      </w:r>
      <w:r w:rsidR="0029434A" w:rsidRPr="007347DD">
        <w:t>а</w:t>
      </w:r>
      <w:r w:rsidR="0029434A" w:rsidRPr="007347DD">
        <w:t>кая высокая степень осуществления предполагает значительное участие всех компетентных заинтересованных сторон, в частности, органов государственн</w:t>
      </w:r>
      <w:r w:rsidR="0029434A" w:rsidRPr="007347DD">
        <w:t>о</w:t>
      </w:r>
      <w:r w:rsidR="0029434A" w:rsidRPr="007347DD">
        <w:t>го управления и местных комиссий по вопросам гендерного равенства, которые во многих случаях осуществляли свои стратегии в сотрудничестве с организ</w:t>
      </w:r>
      <w:r w:rsidR="0029434A" w:rsidRPr="007347DD">
        <w:t>а</w:t>
      </w:r>
      <w:r w:rsidR="0029434A" w:rsidRPr="007347DD">
        <w:t>циями гражданского общества. Данные из упомянутого выше доклада свид</w:t>
      </w:r>
      <w:r w:rsidR="0029434A" w:rsidRPr="007347DD">
        <w:t>е</w:t>
      </w:r>
      <w:r w:rsidR="0029434A" w:rsidRPr="007347DD">
        <w:t xml:space="preserve">тельствуют о значительной заинтересованности общества в осуществлении </w:t>
      </w:r>
      <w:r w:rsidR="0029434A" w:rsidRPr="007347DD">
        <w:rPr>
          <w:i/>
        </w:rPr>
        <w:t>Национальной стратегии</w:t>
      </w:r>
      <w:r w:rsidR="0029434A" w:rsidRPr="007347DD">
        <w:t>, поскольку как на национальном, так и на местном уровне имел место целый ряд о</w:t>
      </w:r>
      <w:r w:rsidR="0029434A" w:rsidRPr="007347DD">
        <w:t>б</w:t>
      </w:r>
      <w:r w:rsidR="0029434A" w:rsidRPr="007347DD">
        <w:t xml:space="preserve">суждений, касающихся различных аспектов и областей </w:t>
      </w:r>
      <w:r w:rsidR="0029434A" w:rsidRPr="007347DD">
        <w:rPr>
          <w:i/>
        </w:rPr>
        <w:t>Национальной стратегии</w:t>
      </w:r>
      <w:r w:rsidR="0029434A" w:rsidRPr="007347DD">
        <w:t>. Международные орг</w:t>
      </w:r>
      <w:r w:rsidR="0029434A" w:rsidRPr="007347DD">
        <w:t>а</w:t>
      </w:r>
      <w:r w:rsidR="0029434A" w:rsidRPr="007347DD">
        <w:t xml:space="preserve">низации, в частности органы ЕС, также проявили значительный интерес к осуществлению </w:t>
      </w:r>
      <w:r w:rsidR="0029434A" w:rsidRPr="007347DD">
        <w:rPr>
          <w:i/>
        </w:rPr>
        <w:t>Наци</w:t>
      </w:r>
      <w:r w:rsidR="0029434A" w:rsidRPr="007347DD">
        <w:rPr>
          <w:i/>
        </w:rPr>
        <w:t>о</w:t>
      </w:r>
      <w:r w:rsidR="0029434A" w:rsidRPr="007347DD">
        <w:rPr>
          <w:i/>
        </w:rPr>
        <w:t>нальной стратегии</w:t>
      </w:r>
      <w:r w:rsidR="0029434A" w:rsidRPr="007347DD">
        <w:t>. К значительным достижениям за этот период можно отн</w:t>
      </w:r>
      <w:r w:rsidR="0029434A" w:rsidRPr="007347DD">
        <w:t>е</w:t>
      </w:r>
      <w:r w:rsidR="0029434A" w:rsidRPr="007347DD">
        <w:t>сти принятие нескольких новых важных стратегических документов и других актов в области обеспечения гендерного равенства и расширения прав и во</w:t>
      </w:r>
      <w:r w:rsidR="0029434A" w:rsidRPr="007347DD">
        <w:t>з</w:t>
      </w:r>
      <w:r w:rsidR="0029434A" w:rsidRPr="007347DD">
        <w:t xml:space="preserve">можностей женщин в соответствии с обязательствами по осуществлению мер в рамках </w:t>
      </w:r>
      <w:r w:rsidR="0029434A" w:rsidRPr="007347DD">
        <w:rPr>
          <w:i/>
        </w:rPr>
        <w:t>Национальной стратегии</w:t>
      </w:r>
      <w:r w:rsidR="0029434A" w:rsidRPr="007347DD">
        <w:t xml:space="preserve"> и целый ряд действий, направленных на п</w:t>
      </w:r>
      <w:r w:rsidR="0029434A" w:rsidRPr="007347DD">
        <w:t>о</w:t>
      </w:r>
      <w:r w:rsidR="0029434A" w:rsidRPr="007347DD">
        <w:t>вышение уровня информированности общественности о недопустимости ди</w:t>
      </w:r>
      <w:r w:rsidR="0029434A" w:rsidRPr="007347DD">
        <w:t>с</w:t>
      </w:r>
      <w:r w:rsidR="0029434A" w:rsidRPr="007347DD">
        <w:t xml:space="preserve">криминации в отношении женщин. </w:t>
      </w:r>
    </w:p>
    <w:p w:rsidR="0029434A" w:rsidRPr="007347DD" w:rsidRDefault="00BA168A" w:rsidP="00BA168A">
      <w:pPr>
        <w:pStyle w:val="SingleTxt"/>
        <w:rPr>
          <w:b/>
          <w:bCs/>
        </w:rPr>
      </w:pPr>
      <w:r>
        <w:tab/>
      </w:r>
      <w:r w:rsidR="0029434A" w:rsidRPr="007347DD">
        <w:t>Помимо многочисленных кампаний, направленных на повышение уровня информированности общественности о необходимости более оперативного учета гендерной проблематики, например, в отношении более широкого уч</w:t>
      </w:r>
      <w:r w:rsidR="0029434A" w:rsidRPr="007347DD">
        <w:t>а</w:t>
      </w:r>
      <w:r w:rsidR="0029434A" w:rsidRPr="007347DD">
        <w:t>стия женщин в политической жизни</w:t>
      </w:r>
      <w:r w:rsidR="0029434A">
        <w:t>,</w:t>
      </w:r>
      <w:r w:rsidR="0029434A" w:rsidRPr="007347DD">
        <w:t xml:space="preserve"> и борьбы с насилием в отношении же</w:t>
      </w:r>
      <w:r w:rsidR="0029434A" w:rsidRPr="007347DD">
        <w:t>н</w:t>
      </w:r>
      <w:r w:rsidR="0029434A" w:rsidRPr="007347DD">
        <w:t xml:space="preserve">щин, было также организовано много других целевых мероприятий, </w:t>
      </w:r>
      <w:r w:rsidR="0029434A">
        <w:t>ориент</w:t>
      </w:r>
      <w:r w:rsidR="0029434A">
        <w:t>и</w:t>
      </w:r>
      <w:r w:rsidR="0029434A">
        <w:t>рова</w:t>
      </w:r>
      <w:r w:rsidR="0029434A" w:rsidRPr="007347DD">
        <w:t xml:space="preserve">нных на отдельные </w:t>
      </w:r>
      <w:r w:rsidR="0029434A">
        <w:t>группы</w:t>
      </w:r>
      <w:r w:rsidR="0029434A" w:rsidRPr="007347DD">
        <w:t xml:space="preserve"> женского населения. Конкретная практическая польза заключается в том, что окружные комиссии по вопросам гендерного р</w:t>
      </w:r>
      <w:r w:rsidR="0029434A" w:rsidRPr="007347DD">
        <w:t>а</w:t>
      </w:r>
      <w:r w:rsidR="0029434A" w:rsidRPr="007347DD">
        <w:t xml:space="preserve">венства впервые подготовили планы действий для осуществления мер в рамках </w:t>
      </w:r>
      <w:r w:rsidR="0029434A" w:rsidRPr="007347DD">
        <w:rPr>
          <w:i/>
        </w:rPr>
        <w:t>Национальной стратегии</w:t>
      </w:r>
      <w:r w:rsidR="0029434A" w:rsidRPr="007347DD">
        <w:t xml:space="preserve"> на местном уровне, которые были приняты окру</w:t>
      </w:r>
      <w:r w:rsidR="0029434A" w:rsidRPr="007347DD">
        <w:t>ж</w:t>
      </w:r>
      <w:r w:rsidR="0029434A" w:rsidRPr="007347DD">
        <w:t>ными собраниями. С базами данных всех прин</w:t>
      </w:r>
      <w:r w:rsidR="0029434A" w:rsidRPr="007347DD">
        <w:t>я</w:t>
      </w:r>
      <w:r w:rsidR="0029434A" w:rsidRPr="007347DD">
        <w:t>тых местных планов действий и обзорной информацией о деятельности местных комиссий можно ознак</w:t>
      </w:r>
      <w:r w:rsidR="0029434A" w:rsidRPr="007347DD">
        <w:t>о</w:t>
      </w:r>
      <w:r w:rsidR="0029434A" w:rsidRPr="007347DD">
        <w:t xml:space="preserve">миться на веб-сайте Управления. </w:t>
      </w:r>
    </w:p>
    <w:p w:rsidR="0029434A" w:rsidRDefault="00BA168A" w:rsidP="00BA168A">
      <w:pPr>
        <w:pStyle w:val="SingleTxt"/>
      </w:pPr>
      <w:r>
        <w:tab/>
      </w:r>
      <w:r w:rsidR="0029434A" w:rsidRPr="007347DD">
        <w:t>Объем средств, выделенных из государственного бюджета на цели де</w:t>
      </w:r>
      <w:r w:rsidR="0029434A" w:rsidRPr="007347DD">
        <w:t>я</w:t>
      </w:r>
      <w:r w:rsidR="0029434A" w:rsidRPr="007347DD">
        <w:t>тельности в области расширения прав и возможностей женщин и на поощрение принципа гендерного равенства, с трудом поддается оценке. Управление по в</w:t>
      </w:r>
      <w:r w:rsidR="0029434A" w:rsidRPr="007347DD">
        <w:t>о</w:t>
      </w:r>
      <w:r w:rsidR="0029434A" w:rsidRPr="007347DD">
        <w:t>просам равенства мужчин и женщин часто просят ответить на вопрос о целях разработки различных международных докладов. Несмотря на то, что все о</w:t>
      </w:r>
      <w:r w:rsidR="0029434A" w:rsidRPr="007347DD">
        <w:t>р</w:t>
      </w:r>
      <w:r w:rsidR="0029434A" w:rsidRPr="007347DD">
        <w:t>ганы государственного управления и местные и региональные организации с</w:t>
      </w:r>
      <w:r w:rsidR="0029434A" w:rsidRPr="007347DD">
        <w:t>а</w:t>
      </w:r>
      <w:r w:rsidR="0029434A" w:rsidRPr="007347DD">
        <w:t xml:space="preserve">моуправления, отвечающие за осуществление мер, предусмотренных в рамках </w:t>
      </w:r>
      <w:r w:rsidR="0029434A" w:rsidRPr="007347DD">
        <w:rPr>
          <w:i/>
        </w:rPr>
        <w:t>Национальной стратегии</w:t>
      </w:r>
      <w:r w:rsidR="0029434A" w:rsidRPr="007347DD">
        <w:t>, должны обеспечивать все необходимые средства, большинство органов государственного управления в своем годовом бюджете не имеют для этого отдельной статьи, и финансовые средства, чаще всего, в</w:t>
      </w:r>
      <w:r w:rsidR="0029434A" w:rsidRPr="007347DD">
        <w:t>ы</w:t>
      </w:r>
      <w:r w:rsidR="0029434A" w:rsidRPr="007347DD">
        <w:t>деляются в рамках их регулярной деятельности в соответствии с объемом р</w:t>
      </w:r>
      <w:r w:rsidR="0029434A" w:rsidRPr="007347DD">
        <w:t>а</w:t>
      </w:r>
      <w:r w:rsidR="0029434A" w:rsidRPr="007347DD">
        <w:t>боты. Средства из государственного бюджета (и из местных бюджетов) выд</w:t>
      </w:r>
      <w:r w:rsidR="0029434A" w:rsidRPr="007347DD">
        <w:t>е</w:t>
      </w:r>
      <w:r w:rsidR="0029434A" w:rsidRPr="007347DD">
        <w:t>ляются также на цели осуществления других дополнительных национальных стратегий и на финансирование многочисленных проектов организаций гра</w:t>
      </w:r>
      <w:r w:rsidR="0029434A" w:rsidRPr="007347DD">
        <w:t>ж</w:t>
      </w:r>
      <w:r w:rsidR="0029434A" w:rsidRPr="007347DD">
        <w:t xml:space="preserve">данского общества, </w:t>
      </w:r>
      <w:r w:rsidR="0029434A">
        <w:t>занимающихся вопросами</w:t>
      </w:r>
      <w:r w:rsidR="0029434A" w:rsidRPr="007347DD">
        <w:t xml:space="preserve"> гендерного равенства. Повыш</w:t>
      </w:r>
      <w:r w:rsidR="0029434A" w:rsidRPr="007347DD">
        <w:t>е</w:t>
      </w:r>
      <w:r w:rsidR="0029434A" w:rsidRPr="007347DD">
        <w:t xml:space="preserve">ние эффективности осуществления и контроля за осуществлением </w:t>
      </w:r>
      <w:r w:rsidR="0029434A" w:rsidRPr="007347DD">
        <w:rPr>
          <w:i/>
        </w:rPr>
        <w:t>Национал</w:t>
      </w:r>
      <w:r w:rsidR="0029434A" w:rsidRPr="007347DD">
        <w:rPr>
          <w:i/>
        </w:rPr>
        <w:t>ь</w:t>
      </w:r>
      <w:r w:rsidR="0029434A" w:rsidRPr="007347DD">
        <w:rPr>
          <w:i/>
        </w:rPr>
        <w:t>ной стратегии</w:t>
      </w:r>
      <w:r w:rsidR="0029434A" w:rsidRPr="007347DD">
        <w:t xml:space="preserve"> требует укрепления финансового и административного поте</w:t>
      </w:r>
      <w:r w:rsidR="0029434A" w:rsidRPr="007347DD">
        <w:t>н</w:t>
      </w:r>
      <w:r w:rsidR="0029434A" w:rsidRPr="007347DD">
        <w:t>циала всех институциональных механизмов обесп</w:t>
      </w:r>
      <w:r w:rsidR="0029434A" w:rsidRPr="007347DD">
        <w:t>е</w:t>
      </w:r>
      <w:r w:rsidR="0029434A" w:rsidRPr="007347DD">
        <w:t xml:space="preserve">чения гендерного равенства. </w:t>
      </w:r>
    </w:p>
    <w:p w:rsidR="00BA168A" w:rsidRPr="00BA168A" w:rsidRDefault="00BA168A" w:rsidP="00BA168A">
      <w:pPr>
        <w:pStyle w:val="SingleTxt"/>
        <w:spacing w:after="0" w:line="120" w:lineRule="exact"/>
        <w:rPr>
          <w:sz w:val="10"/>
        </w:rPr>
      </w:pPr>
    </w:p>
    <w:p w:rsidR="0029434A" w:rsidRDefault="0029434A" w:rsidP="00BA1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47DD">
        <w:tab/>
      </w:r>
      <w:r w:rsidRPr="007347DD">
        <w:tab/>
        <w:t>Временные специальные меры</w:t>
      </w:r>
    </w:p>
    <w:p w:rsidR="00BA168A" w:rsidRPr="00BA168A" w:rsidRDefault="00BA168A" w:rsidP="00BA168A">
      <w:pPr>
        <w:pStyle w:val="SingleTxt"/>
        <w:spacing w:after="0" w:line="120" w:lineRule="exact"/>
        <w:rPr>
          <w:sz w:val="10"/>
        </w:rPr>
      </w:pPr>
    </w:p>
    <w:p w:rsidR="0029434A" w:rsidRPr="00BA168A" w:rsidRDefault="0029434A" w:rsidP="00BA168A">
      <w:pPr>
        <w:pStyle w:val="SingleTxt"/>
        <w:rPr>
          <w:b/>
        </w:rPr>
      </w:pPr>
      <w:r w:rsidRPr="007347DD">
        <w:t>6.</w:t>
      </w:r>
      <w:r w:rsidRPr="007347DD">
        <w:tab/>
      </w:r>
      <w:r w:rsidRPr="00BA168A">
        <w:rPr>
          <w:b/>
        </w:rPr>
        <w:t>В дополнение к содержащейся в докладе информации относительно временных специальных мер, направленных на повышение уровня зан</w:t>
      </w:r>
      <w:r w:rsidRPr="00BA168A">
        <w:rPr>
          <w:b/>
        </w:rPr>
        <w:t>я</w:t>
      </w:r>
      <w:r w:rsidRPr="00BA168A">
        <w:rPr>
          <w:b/>
        </w:rPr>
        <w:t>тости женщин посредством поощрения женского предпринимательства (пункты 96, 180 и 181), просьба представить другие конкретные примеры временных специальных мер, осуществляемых в целях ускорения проце</w:t>
      </w:r>
      <w:r w:rsidRPr="00BA168A">
        <w:rPr>
          <w:b/>
        </w:rPr>
        <w:t>с</w:t>
      </w:r>
      <w:r w:rsidRPr="00BA168A">
        <w:rPr>
          <w:b/>
        </w:rPr>
        <w:t>са достижения фактического равенства мужчин и женщин в других обл</w:t>
      </w:r>
      <w:r w:rsidRPr="00BA168A">
        <w:rPr>
          <w:b/>
        </w:rPr>
        <w:t>а</w:t>
      </w:r>
      <w:r w:rsidRPr="00BA168A">
        <w:rPr>
          <w:b/>
        </w:rPr>
        <w:t>стях, охватываемых Конвенцией, в которых женщины недостаточно пре</w:t>
      </w:r>
      <w:r w:rsidRPr="00BA168A">
        <w:rPr>
          <w:b/>
        </w:rPr>
        <w:t>д</w:t>
      </w:r>
      <w:r w:rsidRPr="00BA168A">
        <w:rPr>
          <w:b/>
        </w:rPr>
        <w:t>ставлены или находятся в неблагоприятном положении, а также информ</w:t>
      </w:r>
      <w:r w:rsidRPr="00BA168A">
        <w:rPr>
          <w:b/>
        </w:rPr>
        <w:t>а</w:t>
      </w:r>
      <w:r w:rsidRPr="00BA168A">
        <w:rPr>
          <w:b/>
        </w:rPr>
        <w:t xml:space="preserve">цию о результатах осуществления этих мер. </w:t>
      </w:r>
    </w:p>
    <w:p w:rsidR="0029434A" w:rsidRPr="007347DD" w:rsidRDefault="00BA168A" w:rsidP="00BA168A">
      <w:pPr>
        <w:pStyle w:val="SingleTxt"/>
      </w:pPr>
      <w:r>
        <w:tab/>
      </w:r>
      <w:r w:rsidR="0029434A" w:rsidRPr="007347DD">
        <w:t xml:space="preserve">Начиная с 2013 года новые специальные меры для поощрения женского предпринимательства применяются в рамках программы </w:t>
      </w:r>
      <w:r w:rsidR="003B6FF9">
        <w:t>«</w:t>
      </w:r>
      <w:r w:rsidR="0029434A" w:rsidRPr="007347DD">
        <w:t>Импульс МСП</w:t>
      </w:r>
      <w:r w:rsidR="003B6FF9">
        <w:t>»</w:t>
      </w:r>
      <w:r w:rsidR="0029434A" w:rsidRPr="007347DD">
        <w:t>, в соответствии с которой женщины-предприниматели могут получать дополн</w:t>
      </w:r>
      <w:r w:rsidR="0029434A" w:rsidRPr="007347DD">
        <w:t>и</w:t>
      </w:r>
      <w:r w:rsidR="0029434A" w:rsidRPr="007347DD">
        <w:t>тельные 15 пунктов в системе субсидий, предоставляемых МПР, если их доля в а</w:t>
      </w:r>
      <w:r w:rsidR="0029434A" w:rsidRPr="007347DD">
        <w:t>к</w:t>
      </w:r>
      <w:r w:rsidR="0029434A" w:rsidRPr="007347DD">
        <w:t>тивах предприятия составляет более 51 процента.</w:t>
      </w:r>
    </w:p>
    <w:p w:rsidR="0029434A" w:rsidRPr="007347DD" w:rsidRDefault="00BA168A" w:rsidP="00BA168A">
      <w:pPr>
        <w:pStyle w:val="SingleTxt"/>
      </w:pPr>
      <w:r>
        <w:tab/>
      </w:r>
      <w:r w:rsidR="0029434A" w:rsidRPr="007347DD">
        <w:t>С 2001</w:t>
      </w:r>
      <w:r w:rsidR="003B6FF9">
        <w:t> </w:t>
      </w:r>
      <w:r w:rsidR="0029434A" w:rsidRPr="007347DD">
        <w:t xml:space="preserve">года применяется положение </w:t>
      </w:r>
      <w:r w:rsidR="0029434A" w:rsidRPr="007347DD">
        <w:rPr>
          <w:i/>
        </w:rPr>
        <w:t>Закона о политических партиях</w:t>
      </w:r>
      <w:r w:rsidR="0029434A" w:rsidRPr="007347DD">
        <w:t>, предусматривающее выплату на 10 процентов более высокой компенсации п</w:t>
      </w:r>
      <w:r w:rsidR="0029434A" w:rsidRPr="007347DD">
        <w:t>о</w:t>
      </w:r>
      <w:r w:rsidR="0029434A" w:rsidRPr="007347DD">
        <w:t xml:space="preserve">литическим партиям за каждого избранного члена парламента и за каждого члена советов муниципалитетов и собраний городов и округов недостаточно представленного пола. </w:t>
      </w:r>
    </w:p>
    <w:p w:rsidR="0029434A" w:rsidRPr="007347DD" w:rsidRDefault="00BA168A" w:rsidP="00BA168A">
      <w:pPr>
        <w:pStyle w:val="SingleTxt"/>
      </w:pPr>
      <w:r>
        <w:tab/>
      </w:r>
      <w:r w:rsidR="0029434A" w:rsidRPr="007347DD">
        <w:t xml:space="preserve">Принятый в 2012 году новый </w:t>
      </w:r>
      <w:r w:rsidR="0029434A" w:rsidRPr="007347DD">
        <w:rPr>
          <w:i/>
        </w:rPr>
        <w:t>Закон о выборах в местные органы власти</w:t>
      </w:r>
      <w:r w:rsidR="0029434A" w:rsidRPr="007347DD">
        <w:t xml:space="preserve"> содержит положение, обязывающее инициатора выдвижения кандидата прин</w:t>
      </w:r>
      <w:r w:rsidR="0029434A" w:rsidRPr="007347DD">
        <w:t>и</w:t>
      </w:r>
      <w:r w:rsidR="0029434A" w:rsidRPr="007347DD">
        <w:t xml:space="preserve">мать во внимание гендерный баланс в списках кандидатов в соответствии с </w:t>
      </w:r>
      <w:r w:rsidR="0029434A" w:rsidRPr="007347DD">
        <w:rPr>
          <w:i/>
        </w:rPr>
        <w:t>З</w:t>
      </w:r>
      <w:r w:rsidR="0029434A" w:rsidRPr="007347DD">
        <w:rPr>
          <w:i/>
        </w:rPr>
        <w:t>а</w:t>
      </w:r>
      <w:r w:rsidR="0029434A" w:rsidRPr="007347DD">
        <w:rPr>
          <w:i/>
        </w:rPr>
        <w:t>коном о равенстве мужчин и женщин</w:t>
      </w:r>
      <w:r w:rsidR="0029434A" w:rsidRPr="007347DD">
        <w:t>, в котором начиная с 2008 года устано</w:t>
      </w:r>
      <w:r w:rsidR="0029434A" w:rsidRPr="007347DD">
        <w:t>в</w:t>
      </w:r>
      <w:r w:rsidR="0029434A" w:rsidRPr="007347DD">
        <w:t xml:space="preserve">лены квоты для представительства лиц каждого пола в избирательных списках на уровне не менее 40 процентов. Новый </w:t>
      </w:r>
      <w:r w:rsidR="0029434A" w:rsidRPr="007347DD">
        <w:rPr>
          <w:i/>
        </w:rPr>
        <w:t>Закон о внесении поправок в Закон о выборах представителей в хорватский сабор</w:t>
      </w:r>
      <w:r w:rsidR="0029434A" w:rsidRPr="007347DD">
        <w:t>, принятый в феврале 2015 года, содержит положение о том, что списки кандидатов, которые не соответствуют вышеупомян</w:t>
      </w:r>
      <w:r w:rsidR="0029434A" w:rsidRPr="007347DD">
        <w:t>у</w:t>
      </w:r>
      <w:r w:rsidR="0029434A" w:rsidRPr="007347DD">
        <w:t>тым требованиям, не будут считаться действительными.</w:t>
      </w:r>
    </w:p>
    <w:p w:rsidR="0029434A" w:rsidRDefault="00BA168A" w:rsidP="00BA168A">
      <w:pPr>
        <w:pStyle w:val="SingleTxt"/>
      </w:pPr>
      <w:r>
        <w:tab/>
      </w:r>
      <w:r w:rsidR="0029434A" w:rsidRPr="007347DD">
        <w:t xml:space="preserve">Положения </w:t>
      </w:r>
      <w:r w:rsidR="0029434A" w:rsidRPr="007347DD">
        <w:rPr>
          <w:i/>
        </w:rPr>
        <w:t>Закона о труде</w:t>
      </w:r>
      <w:r w:rsidR="0029434A" w:rsidRPr="007347DD">
        <w:t xml:space="preserve">, </w:t>
      </w:r>
      <w:r w:rsidR="0029434A" w:rsidRPr="007347DD">
        <w:rPr>
          <w:i/>
        </w:rPr>
        <w:t>Закона о пособиях по беременности и по ух</w:t>
      </w:r>
      <w:r w:rsidR="0029434A" w:rsidRPr="007347DD">
        <w:rPr>
          <w:i/>
        </w:rPr>
        <w:t>о</w:t>
      </w:r>
      <w:r w:rsidR="0029434A" w:rsidRPr="007347DD">
        <w:rPr>
          <w:i/>
        </w:rPr>
        <w:t>ду за ребенком</w:t>
      </w:r>
      <w:r w:rsidR="0029434A" w:rsidRPr="007347DD">
        <w:t xml:space="preserve"> и другие связанные с этим законы предписывают особые меры по защите материнских и родительских прав. </w:t>
      </w:r>
    </w:p>
    <w:p w:rsidR="00BA168A" w:rsidRPr="00BA168A" w:rsidRDefault="00BA168A" w:rsidP="00BA168A">
      <w:pPr>
        <w:pStyle w:val="SingleTxt"/>
        <w:spacing w:after="0" w:line="120" w:lineRule="exact"/>
        <w:rPr>
          <w:sz w:val="10"/>
        </w:rPr>
      </w:pPr>
    </w:p>
    <w:p w:rsidR="0029434A" w:rsidRDefault="0029434A" w:rsidP="00BA1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47DD">
        <w:tab/>
      </w:r>
      <w:r w:rsidRPr="007347DD">
        <w:tab/>
        <w:t xml:space="preserve">Стереотипы </w:t>
      </w:r>
    </w:p>
    <w:p w:rsidR="00BA168A" w:rsidRPr="00BA168A" w:rsidRDefault="00BA168A" w:rsidP="00BA168A">
      <w:pPr>
        <w:pStyle w:val="SingleTxt"/>
        <w:spacing w:after="0" w:line="120" w:lineRule="exact"/>
        <w:rPr>
          <w:sz w:val="10"/>
        </w:rPr>
      </w:pPr>
    </w:p>
    <w:p w:rsidR="0029434A" w:rsidRPr="00BA168A" w:rsidRDefault="0029434A" w:rsidP="00BA168A">
      <w:pPr>
        <w:pStyle w:val="SingleTxt"/>
        <w:rPr>
          <w:b/>
        </w:rPr>
      </w:pPr>
      <w:r w:rsidRPr="007347DD">
        <w:t>7.</w:t>
      </w:r>
      <w:r w:rsidRPr="007347DD">
        <w:tab/>
      </w:r>
      <w:r w:rsidRPr="00BA168A">
        <w:rPr>
          <w:b/>
        </w:rPr>
        <w:t>В представленном Омбудсменом по вопросам гендерного равенства ежегодном докладе за 2012 год указывается, что в средствах массовой и</w:t>
      </w:r>
      <w:r w:rsidRPr="00BA168A">
        <w:rPr>
          <w:b/>
        </w:rPr>
        <w:t>н</w:t>
      </w:r>
      <w:r w:rsidRPr="00BA168A">
        <w:rPr>
          <w:b/>
        </w:rPr>
        <w:t>формации сохраняются дискриминация по признаку пола и гендерные стереотипы, а женщины по-прежнему представляются в качестве секс</w:t>
      </w:r>
      <w:r w:rsidRPr="00BA168A">
        <w:rPr>
          <w:b/>
        </w:rPr>
        <w:t>у</w:t>
      </w:r>
      <w:r w:rsidRPr="00BA168A">
        <w:rPr>
          <w:b/>
        </w:rPr>
        <w:t>альных объектов. Просьба представить обновленную информацию о м</w:t>
      </w:r>
      <w:r w:rsidRPr="00BA168A">
        <w:rPr>
          <w:b/>
        </w:rPr>
        <w:t>е</w:t>
      </w:r>
      <w:r w:rsidRPr="00BA168A">
        <w:rPr>
          <w:b/>
        </w:rPr>
        <w:t>рах, принимаемых в целях искоренения стереотипного изображения же</w:t>
      </w:r>
      <w:r w:rsidRPr="00BA168A">
        <w:rPr>
          <w:b/>
        </w:rPr>
        <w:t>н</w:t>
      </w:r>
      <w:r w:rsidRPr="00BA168A">
        <w:rPr>
          <w:b/>
        </w:rPr>
        <w:t xml:space="preserve">щин в средствах массовой информации и рекламной продукции. </w:t>
      </w:r>
    </w:p>
    <w:p w:rsidR="0029434A" w:rsidRPr="007347DD" w:rsidRDefault="00BA168A" w:rsidP="00BA168A">
      <w:pPr>
        <w:pStyle w:val="SingleTxt"/>
      </w:pPr>
      <w:r>
        <w:tab/>
      </w:r>
      <w:r w:rsidR="0029434A" w:rsidRPr="007347DD">
        <w:t xml:space="preserve">Искоренение гендерных стереотипов и учет гендерной проблематики в средствах массовой информации были включены в качестве отдельных целей в рамках </w:t>
      </w:r>
      <w:r w:rsidR="0029434A" w:rsidRPr="00004D8F">
        <w:rPr>
          <w:i/>
        </w:rPr>
        <w:t>Национальной стратегии</w:t>
      </w:r>
      <w:r w:rsidR="0029434A" w:rsidRPr="007347DD">
        <w:t>. Хорватское радио и телевидение (далее</w:t>
      </w:r>
      <w:r w:rsidR="003B6FF9">
        <w:t xml:space="preserve"> — </w:t>
      </w:r>
      <w:r w:rsidR="0029434A" w:rsidRPr="007347DD">
        <w:t>ХРТ) приняло План действий по вопросам гендерного равенства. В 2011</w:t>
      </w:r>
      <w:r w:rsidR="003B6FF9">
        <w:t> </w:t>
      </w:r>
      <w:r w:rsidR="0029434A" w:rsidRPr="007347DD">
        <w:t>году ХРТ провело исследование по вопросу об отношении его сотрудников к проп</w:t>
      </w:r>
      <w:r w:rsidR="0029434A" w:rsidRPr="007347DD">
        <w:t>а</w:t>
      </w:r>
      <w:r w:rsidR="0029434A" w:rsidRPr="007347DD">
        <w:t>ганде гендерного равенства в содержании программ. В 2011 году центр пр</w:t>
      </w:r>
      <w:r w:rsidR="0029434A" w:rsidRPr="007347DD">
        <w:t>о</w:t>
      </w:r>
      <w:r w:rsidR="0029434A" w:rsidRPr="007347DD">
        <w:t>фессиональной подготовки ХРТ провел несколько циклов учебных меропри</w:t>
      </w:r>
      <w:r w:rsidR="0029434A" w:rsidRPr="007347DD">
        <w:t>я</w:t>
      </w:r>
      <w:r w:rsidR="0029434A" w:rsidRPr="007347DD">
        <w:t>тий по вопросам равенства полов, в том числе по вопросу о необходимости и</w:t>
      </w:r>
      <w:r w:rsidR="0029434A" w:rsidRPr="007347DD">
        <w:t>с</w:t>
      </w:r>
      <w:r w:rsidR="0029434A" w:rsidRPr="007347DD">
        <w:t>пользовать нейтральные в гендерном отношении языковые формулировки. В 2012 и 2013 годах в сотрудничестве с Канцелярией Омбудсмена по вопросам гендерного равенства центр профессиональной подготовки ХРТ и Академия ХРТ организовали учебные практикумы для редакторов и журналистов по в</w:t>
      </w:r>
      <w:r w:rsidR="0029434A" w:rsidRPr="007347DD">
        <w:t>о</w:t>
      </w:r>
      <w:r w:rsidR="0029434A" w:rsidRPr="007347DD">
        <w:t>просу о необходимости искоренения гендерных стереотипов в средствах ма</w:t>
      </w:r>
      <w:r w:rsidR="0029434A" w:rsidRPr="007347DD">
        <w:t>с</w:t>
      </w:r>
      <w:r w:rsidR="0029434A" w:rsidRPr="007347DD">
        <w:t>совой информации, в ходе которых основное внимание было уделено следу</w:t>
      </w:r>
      <w:r w:rsidR="0029434A" w:rsidRPr="007347DD">
        <w:t>ю</w:t>
      </w:r>
      <w:r w:rsidR="0029434A" w:rsidRPr="007347DD">
        <w:t xml:space="preserve">щим темам: </w:t>
      </w:r>
      <w:r w:rsidR="003B6FF9">
        <w:t>«</w:t>
      </w:r>
      <w:r w:rsidR="0029434A" w:rsidRPr="007347DD">
        <w:t>Аспекты гендерного равенства в программах ХРТ</w:t>
      </w:r>
      <w:r w:rsidR="003B6FF9">
        <w:t>»</w:t>
      </w:r>
      <w:r w:rsidR="0029434A" w:rsidRPr="007347DD">
        <w:t xml:space="preserve"> и </w:t>
      </w:r>
      <w:r w:rsidR="003B6FF9">
        <w:t>«</w:t>
      </w:r>
      <w:r w:rsidR="0029434A" w:rsidRPr="007347DD">
        <w:t>Что может сделать ХРТ в качестве государственной службы для пропаганды гендерной проблематики в средствах массовой информации</w:t>
      </w:r>
      <w:r w:rsidR="003B6FF9">
        <w:t>»</w:t>
      </w:r>
      <w:r w:rsidR="0029434A" w:rsidRPr="007347DD">
        <w:t>. В сотрудничестве с Упра</w:t>
      </w:r>
      <w:r w:rsidR="0029434A" w:rsidRPr="007347DD">
        <w:t>в</w:t>
      </w:r>
      <w:r w:rsidR="0029434A" w:rsidRPr="007347DD">
        <w:t>лением по вопросам прав человека и прав национальных меньшинств для жу</w:t>
      </w:r>
      <w:r w:rsidR="0029434A" w:rsidRPr="007347DD">
        <w:t>р</w:t>
      </w:r>
      <w:r w:rsidR="0029434A" w:rsidRPr="007347DD">
        <w:t xml:space="preserve">налистов и редакторов был организован семинар-практикум на тему </w:t>
      </w:r>
      <w:r w:rsidR="003B6FF9">
        <w:t>«</w:t>
      </w:r>
      <w:r w:rsidR="0029434A" w:rsidRPr="007347DD">
        <w:t>Защита и поощрение прав человека</w:t>
      </w:r>
      <w:r w:rsidR="003B6FF9">
        <w:t>»</w:t>
      </w:r>
      <w:r w:rsidR="0029434A" w:rsidRPr="007347DD">
        <w:t>. ХРТ регулярно представляет в Управление по в</w:t>
      </w:r>
      <w:r w:rsidR="0029434A" w:rsidRPr="007347DD">
        <w:t>о</w:t>
      </w:r>
      <w:r w:rsidR="0029434A" w:rsidRPr="007347DD">
        <w:t>просам равенства мужчин и женщин промежуточные доклады о передачах, пропагандирующих равенство мужчин и женщин</w:t>
      </w:r>
      <w:r w:rsidR="0029434A">
        <w:t>,</w:t>
      </w:r>
      <w:r w:rsidR="0029434A" w:rsidRPr="007347DD">
        <w:t xml:space="preserve"> и отчитывается об использ</w:t>
      </w:r>
      <w:r w:rsidR="0029434A" w:rsidRPr="007347DD">
        <w:t>о</w:t>
      </w:r>
      <w:r w:rsidR="0029434A" w:rsidRPr="007347DD">
        <w:t>вании эфирного времени для трансляции объявлений, представляющих общий интерес, о выделении средств на подготовку передач с учетом гендерных а</w:t>
      </w:r>
      <w:r w:rsidR="0029434A" w:rsidRPr="007347DD">
        <w:t>с</w:t>
      </w:r>
      <w:r w:rsidR="0029434A" w:rsidRPr="007347DD">
        <w:t>пектов и о трансляции независимо подготовленных материалов с учетом ге</w:t>
      </w:r>
      <w:r w:rsidR="0029434A" w:rsidRPr="007347DD">
        <w:t>н</w:t>
      </w:r>
      <w:r w:rsidR="0029434A" w:rsidRPr="007347DD">
        <w:t>дерных аспектов. В рамках Агентства по электронным средствам массовой и</w:t>
      </w:r>
      <w:r w:rsidR="0029434A" w:rsidRPr="007347DD">
        <w:t>н</w:t>
      </w:r>
      <w:r w:rsidR="0029434A" w:rsidRPr="007347DD">
        <w:t>формации были получены дополнительные финансовые средства благодаря помощи Фонда по поощрению плюрализма и разнообразия средств информ</w:t>
      </w:r>
      <w:r w:rsidR="0029434A" w:rsidRPr="007347DD">
        <w:t>а</w:t>
      </w:r>
      <w:r w:rsidR="0029434A" w:rsidRPr="007347DD">
        <w:t xml:space="preserve">ции, финансовые средства которого используются для пропаганды радио- и/или телевизионных передач на местном уровне в рамках </w:t>
      </w:r>
      <w:r w:rsidR="0029434A">
        <w:t>раздела</w:t>
      </w:r>
      <w:r w:rsidR="0029434A" w:rsidRPr="007347DD">
        <w:t xml:space="preserve"> </w:t>
      </w:r>
      <w:r w:rsidR="003B6FF9">
        <w:t>«</w:t>
      </w:r>
      <w:r w:rsidR="0029434A">
        <w:t>п</w:t>
      </w:r>
      <w:r w:rsidR="0029434A" w:rsidRPr="007347DD">
        <w:t>овыш</w:t>
      </w:r>
      <w:r w:rsidR="0029434A" w:rsidRPr="007347DD">
        <w:t>е</w:t>
      </w:r>
      <w:r w:rsidR="0029434A" w:rsidRPr="007347DD">
        <w:t>ние уровня осведомленности по вопросам гендерного равенства</w:t>
      </w:r>
      <w:r w:rsidR="003B6FF9">
        <w:t>»</w:t>
      </w:r>
      <w:r w:rsidR="0029434A" w:rsidRPr="007347DD">
        <w:t>. Это привело к увеличению числа телевизионных передач с содержанием, учитывающим ге</w:t>
      </w:r>
      <w:r w:rsidR="0029434A" w:rsidRPr="007347DD">
        <w:t>н</w:t>
      </w:r>
      <w:r w:rsidR="0029434A" w:rsidRPr="007347DD">
        <w:t>дерные аспекты, по сравнению с передачами других категорий, с 5,14 пр</w:t>
      </w:r>
      <w:r w:rsidR="0029434A" w:rsidRPr="007347DD">
        <w:t>о</w:t>
      </w:r>
      <w:r w:rsidR="0029434A" w:rsidRPr="007347DD">
        <w:t>цента в 2011 году до 8,77 процента в 2012 году и 9,52 процента в 2013 году. Доля р</w:t>
      </w:r>
      <w:r w:rsidR="0029434A" w:rsidRPr="007347DD">
        <w:t>а</w:t>
      </w:r>
      <w:r w:rsidR="0029434A" w:rsidRPr="007347DD">
        <w:t>диопередач, учитывающих гендерные аспекты, по сравнению с другими пер</w:t>
      </w:r>
      <w:r w:rsidR="0029434A" w:rsidRPr="007347DD">
        <w:t>е</w:t>
      </w:r>
      <w:r w:rsidR="0029434A" w:rsidRPr="007347DD">
        <w:t>дачами увеличилась с 6,15 процента до 7 процентов в 2012 году и 9,59 проце</w:t>
      </w:r>
      <w:r w:rsidR="0029434A" w:rsidRPr="007347DD">
        <w:t>н</w:t>
      </w:r>
      <w:r w:rsidR="0029434A" w:rsidRPr="007347DD">
        <w:t xml:space="preserve">та в 2013 году. </w:t>
      </w:r>
    </w:p>
    <w:p w:rsidR="0029434A" w:rsidRPr="007347DD" w:rsidRDefault="00BA168A" w:rsidP="00BA168A">
      <w:pPr>
        <w:pStyle w:val="SingleTxt"/>
      </w:pPr>
      <w:r>
        <w:tab/>
      </w:r>
      <w:r w:rsidR="0029434A" w:rsidRPr="007347DD">
        <w:t xml:space="preserve">УРМЖ перевело на хорватский язык и издало </w:t>
      </w:r>
      <w:r w:rsidR="0029434A">
        <w:t xml:space="preserve">тиражом </w:t>
      </w:r>
      <w:r w:rsidR="0029434A" w:rsidRPr="007347DD">
        <w:t xml:space="preserve">1000 экземпляров справочник Руководящего комитета Совета Европы по вопросам равенства между женщинами и мужчинами (РКГР) </w:t>
      </w:r>
      <w:r w:rsidR="003B6FF9" w:rsidRPr="003B6FF9">
        <w:rPr>
          <w:i/>
        </w:rPr>
        <w:t>«</w:t>
      </w:r>
      <w:r w:rsidR="0029434A" w:rsidRPr="007347DD">
        <w:rPr>
          <w:i/>
        </w:rPr>
        <w:t>Женщины и журналисты прежде всего!</w:t>
      </w:r>
      <w:r w:rsidR="003B6FF9">
        <w:rPr>
          <w:i/>
        </w:rPr>
        <w:t>»</w:t>
      </w:r>
      <w:r w:rsidR="0029434A" w:rsidRPr="007347DD">
        <w:t>, подготовленн</w:t>
      </w:r>
      <w:r w:rsidR="0029434A">
        <w:t>ый</w:t>
      </w:r>
      <w:r w:rsidR="0029434A" w:rsidRPr="007347DD">
        <w:t xml:space="preserve"> Джоук Гермес. Эта публикация официально </w:t>
      </w:r>
      <w:r w:rsidR="0029434A">
        <w:t xml:space="preserve">вышла в свет </w:t>
      </w:r>
      <w:r w:rsidR="0029434A" w:rsidRPr="007347DD">
        <w:t xml:space="preserve">в марте 2013 года и </w:t>
      </w:r>
      <w:r w:rsidR="0029434A">
        <w:t xml:space="preserve">была </w:t>
      </w:r>
      <w:r w:rsidR="0029434A" w:rsidRPr="007347DD">
        <w:t xml:space="preserve">широко распространена. </w:t>
      </w:r>
      <w:r w:rsidR="0029434A" w:rsidRPr="007347DD">
        <w:rPr>
          <w:i/>
        </w:rPr>
        <w:t>Резолюция 1751 (2010) Парламентской ассамблеи Совета Европы о борьбе с гендерными стереот</w:t>
      </w:r>
      <w:r w:rsidR="0029434A" w:rsidRPr="007347DD">
        <w:rPr>
          <w:i/>
        </w:rPr>
        <w:t>и</w:t>
      </w:r>
      <w:r w:rsidR="0029434A" w:rsidRPr="007347DD">
        <w:rPr>
          <w:i/>
        </w:rPr>
        <w:t>пами в средствах массовой информации</w:t>
      </w:r>
      <w:r w:rsidR="0029434A" w:rsidRPr="007347DD">
        <w:t xml:space="preserve"> и </w:t>
      </w:r>
      <w:r w:rsidR="0029434A" w:rsidRPr="007347DD">
        <w:rPr>
          <w:i/>
        </w:rPr>
        <w:t>рекомендация Rec.1 (2013) Комит</w:t>
      </w:r>
      <w:r w:rsidR="0029434A" w:rsidRPr="007347DD">
        <w:rPr>
          <w:i/>
        </w:rPr>
        <w:t>е</w:t>
      </w:r>
      <w:r w:rsidR="0029434A" w:rsidRPr="007347DD">
        <w:rPr>
          <w:i/>
        </w:rPr>
        <w:t>та министров государствам-членам по вопросам гендерного равенства и средств массовой информации</w:t>
      </w:r>
      <w:r w:rsidR="0029434A" w:rsidRPr="007347DD">
        <w:t xml:space="preserve"> были переведены и размещены на веб-сайте Управления </w:t>
      </w:r>
      <w:r w:rsidR="0029434A">
        <w:t xml:space="preserve">по вопросам </w:t>
      </w:r>
      <w:r w:rsidR="0029434A" w:rsidRPr="007347DD">
        <w:t>равенства</w:t>
      </w:r>
      <w:r w:rsidR="0029434A">
        <w:t xml:space="preserve"> мужчин и женщин</w:t>
      </w:r>
      <w:r w:rsidR="0029434A" w:rsidRPr="007347DD">
        <w:t>. За период с 2011 года и до конца 2014 года Управление по вопросам равенства мужчин и женщин п</w:t>
      </w:r>
      <w:r w:rsidR="0029434A" w:rsidRPr="007347DD">
        <w:t>о</w:t>
      </w:r>
      <w:r w:rsidR="0029434A" w:rsidRPr="007347DD">
        <w:t>лучило в общей сложности 23 жалобы от частных лиц и НПО, касающиеся дискриминации по признаку пола и дискриминации по признаку сексуальной ориентации в средствах массовой информации и рекламных объявлениях средств массовой и</w:t>
      </w:r>
      <w:r w:rsidR="0029434A" w:rsidRPr="007347DD">
        <w:t>н</w:t>
      </w:r>
      <w:r w:rsidR="0029434A" w:rsidRPr="007347DD">
        <w:t>формации. В соответствии с юридическим обязательством Управления по вопросам равенства мужчин и женщин все жалобы препрово</w:t>
      </w:r>
      <w:r w:rsidR="0029434A" w:rsidRPr="007347DD">
        <w:t>ж</w:t>
      </w:r>
      <w:r w:rsidR="0029434A" w:rsidRPr="007347DD">
        <w:t>даются на рассмотрение Омбудсмена по вопросам гендерного равенства, кот</w:t>
      </w:r>
      <w:r w:rsidR="0029434A" w:rsidRPr="007347DD">
        <w:t>о</w:t>
      </w:r>
      <w:r w:rsidR="0029434A" w:rsidRPr="007347DD">
        <w:t>рый разбирает жалобы в отношении материалов средств массовой информации и информир</w:t>
      </w:r>
      <w:r w:rsidR="0029434A" w:rsidRPr="007347DD">
        <w:t>у</w:t>
      </w:r>
      <w:r w:rsidR="0029434A" w:rsidRPr="007347DD">
        <w:t xml:space="preserve">ет общественность и хорватский парламент о нарушениях </w:t>
      </w:r>
      <w:r w:rsidR="0029434A" w:rsidRPr="0078735A">
        <w:rPr>
          <w:i/>
        </w:rPr>
        <w:t>Закона о равенстве мужчин и женщин</w:t>
      </w:r>
      <w:r w:rsidR="0029434A" w:rsidRPr="007347DD">
        <w:t xml:space="preserve"> и других национальных и международных норм в этой области, используя публичные заявления и публикуя анализы и </w:t>
      </w:r>
      <w:r w:rsidR="0029434A">
        <w:t>р</w:t>
      </w:r>
      <w:r w:rsidR="0029434A">
        <w:t>е</w:t>
      </w:r>
      <w:r w:rsidR="0029434A">
        <w:t xml:space="preserve">зультаты </w:t>
      </w:r>
      <w:r w:rsidR="0029434A" w:rsidRPr="007347DD">
        <w:t>обследований. Некоторые окружные комиссии по вопросам гендерн</w:t>
      </w:r>
      <w:r w:rsidR="0029434A" w:rsidRPr="007347DD">
        <w:t>о</w:t>
      </w:r>
      <w:r w:rsidR="0029434A" w:rsidRPr="007347DD">
        <w:t>го равенства организовывали семинары-практикумы и встречи с представит</w:t>
      </w:r>
      <w:r w:rsidR="0029434A" w:rsidRPr="007347DD">
        <w:t>е</w:t>
      </w:r>
      <w:r w:rsidR="0029434A" w:rsidRPr="007347DD">
        <w:t>лями средств массовой информации и активно рекомендовали местным ради</w:t>
      </w:r>
      <w:r w:rsidR="0029434A" w:rsidRPr="007347DD">
        <w:t>о</w:t>
      </w:r>
      <w:r w:rsidR="0029434A" w:rsidRPr="007347DD">
        <w:t>станциям включать в программы материалы о гендерном равенстве.</w:t>
      </w:r>
    </w:p>
    <w:p w:rsidR="0029434A" w:rsidRPr="007347DD" w:rsidRDefault="0029434A" w:rsidP="00BA168A">
      <w:pPr>
        <w:pStyle w:val="SingleTxt"/>
      </w:pPr>
      <w:r w:rsidRPr="007347DD">
        <w:t>8.</w:t>
      </w:r>
      <w:r w:rsidRPr="007347DD">
        <w:tab/>
      </w:r>
      <w:r w:rsidRPr="00BA168A">
        <w:rPr>
          <w:b/>
        </w:rPr>
        <w:t>Просьба предоставить более подробную информацию о конкретных мерах, осуществляемых в целях содействия равному распределению с</w:t>
      </w:r>
      <w:r w:rsidRPr="00BA168A">
        <w:rPr>
          <w:b/>
        </w:rPr>
        <w:t>е</w:t>
      </w:r>
      <w:r w:rsidRPr="00BA168A">
        <w:rPr>
          <w:b/>
        </w:rPr>
        <w:t>мейных обязанностей между женщинами и мужчинами, в том числе о м</w:t>
      </w:r>
      <w:r w:rsidRPr="00BA168A">
        <w:rPr>
          <w:b/>
        </w:rPr>
        <w:t>е</w:t>
      </w:r>
      <w:r w:rsidRPr="00BA168A">
        <w:rPr>
          <w:b/>
        </w:rPr>
        <w:t>рах, принятых в целях увеличения числа отцов, использующих отпуск по уходу за ребенком, а также данные о числе матерей и отцов, использующих отпуск по уходу за ребенком как право на неполную рабочую занятость (пункт 164)</w:t>
      </w:r>
      <w:r w:rsidRPr="007347DD">
        <w:t xml:space="preserve">. </w:t>
      </w:r>
    </w:p>
    <w:p w:rsidR="0029434A" w:rsidRPr="007347DD" w:rsidRDefault="00BA168A" w:rsidP="00BA168A">
      <w:pPr>
        <w:pStyle w:val="SingleTxt"/>
      </w:pPr>
      <w:r>
        <w:tab/>
      </w:r>
      <w:r w:rsidR="0029434A" w:rsidRPr="007347DD">
        <w:t xml:space="preserve">В 2013 году </w:t>
      </w:r>
      <w:r w:rsidR="0029434A" w:rsidRPr="007347DD">
        <w:rPr>
          <w:i/>
        </w:rPr>
        <w:t>Закон о пособиях по беременности и по уходу за ребенком</w:t>
      </w:r>
      <w:r w:rsidR="0029434A" w:rsidRPr="007347DD">
        <w:t xml:space="preserve"> был приведен в соответствие с директивами ЕС и в него были внесены попра</w:t>
      </w:r>
      <w:r w:rsidR="0029434A" w:rsidRPr="007347DD">
        <w:t>в</w:t>
      </w:r>
      <w:r w:rsidR="0029434A" w:rsidRPr="007347DD">
        <w:t>ки с целью включения в них более комплексной защиты материнства, с тем чтобы способствовать совмещению семейных и профессиональных обязанн</w:t>
      </w:r>
      <w:r w:rsidR="0029434A" w:rsidRPr="007347DD">
        <w:t>о</w:t>
      </w:r>
      <w:r w:rsidR="0029434A" w:rsidRPr="007347DD">
        <w:t xml:space="preserve">стей, повысить рождаемость и обеспечить </w:t>
      </w:r>
      <w:r w:rsidR="0029434A">
        <w:t xml:space="preserve">отцам </w:t>
      </w:r>
      <w:r w:rsidR="0029434A" w:rsidRPr="007347DD">
        <w:t>возможность участвовать в раннем воспитании и образовании детей. Женщины и мужчины имеют равные права в отношении отпуска по уходу за ребенком продолжительностью не м</w:t>
      </w:r>
      <w:r w:rsidR="0029434A" w:rsidRPr="007347DD">
        <w:t>е</w:t>
      </w:r>
      <w:r w:rsidR="0029434A" w:rsidRPr="007347DD">
        <w:t>нее четырех месяцев, которые, как правило, не подлежат передаче другому р</w:t>
      </w:r>
      <w:r w:rsidR="0029434A" w:rsidRPr="007347DD">
        <w:t>о</w:t>
      </w:r>
      <w:r w:rsidR="0029434A" w:rsidRPr="007347DD">
        <w:t>дителю. Увеличение минимальной продолжительности отпуска по уходу за р</w:t>
      </w:r>
      <w:r w:rsidR="0029434A" w:rsidRPr="007347DD">
        <w:t>е</w:t>
      </w:r>
      <w:r w:rsidR="0029434A" w:rsidRPr="007347DD">
        <w:t>бенком с трех до четырех месяцев для всех работающих по найму и самозан</w:t>
      </w:r>
      <w:r w:rsidR="0029434A" w:rsidRPr="007347DD">
        <w:t>я</w:t>
      </w:r>
      <w:r w:rsidR="0029434A" w:rsidRPr="007347DD">
        <w:t>тых родителей и невозможность передачи двух из четырех месяцев отпу</w:t>
      </w:r>
      <w:r w:rsidR="0029434A" w:rsidRPr="007347DD">
        <w:t>с</w:t>
      </w:r>
      <w:r w:rsidR="0029434A" w:rsidRPr="007347DD">
        <w:t>ка по уходу за ребенком другому родителю, чаще всего матери ребенка, является стимулом для большинства отцов посвятить часть своего времени своей с</w:t>
      </w:r>
      <w:r w:rsidR="0029434A" w:rsidRPr="007347DD">
        <w:t>е</w:t>
      </w:r>
      <w:r w:rsidR="0029434A" w:rsidRPr="007347DD">
        <w:t>мье параллельно с</w:t>
      </w:r>
      <w:r w:rsidR="0029434A">
        <w:t xml:space="preserve"> исполнением</w:t>
      </w:r>
      <w:r w:rsidR="0029434A" w:rsidRPr="007347DD">
        <w:t xml:space="preserve"> свои</w:t>
      </w:r>
      <w:r w:rsidR="0029434A">
        <w:t>х</w:t>
      </w:r>
      <w:r w:rsidR="0029434A" w:rsidRPr="007347DD">
        <w:t xml:space="preserve"> профессиональ</w:t>
      </w:r>
      <w:r w:rsidR="0029434A">
        <w:t>ных обязанностей.</w:t>
      </w:r>
      <w:r w:rsidR="0029434A" w:rsidRPr="007347DD">
        <w:t xml:space="preserve"> Отцов д</w:t>
      </w:r>
      <w:r w:rsidR="0029434A" w:rsidRPr="007347DD">
        <w:t>о</w:t>
      </w:r>
      <w:r w:rsidR="0029434A" w:rsidRPr="007347DD">
        <w:t>полнительно поощряют к тому, чтобы они участвовали в уходе за детьми, предоста</w:t>
      </w:r>
      <w:r w:rsidR="0029434A" w:rsidRPr="007347DD">
        <w:t>в</w:t>
      </w:r>
      <w:r w:rsidR="0029434A" w:rsidRPr="007347DD">
        <w:t xml:space="preserve">ляя им еще два месяца оплачиваемого отпуска по уходу за ребенком. </w:t>
      </w:r>
    </w:p>
    <w:p w:rsidR="0029434A" w:rsidRPr="007347DD" w:rsidRDefault="00BA168A" w:rsidP="00BA168A">
      <w:pPr>
        <w:pStyle w:val="SingleTxt"/>
      </w:pPr>
      <w:r>
        <w:tab/>
      </w:r>
      <w:r w:rsidR="0029434A" w:rsidRPr="007347DD">
        <w:t>По данным Хорватского фонда медицинского страхования (далее</w:t>
      </w:r>
      <w:r w:rsidR="003B6FF9">
        <w:t xml:space="preserve"> — </w:t>
      </w:r>
      <w:r w:rsidR="0029434A" w:rsidRPr="007347DD">
        <w:t>ХФМС), число отцов, использующих отпуск по уходу за ребенком, увеличив</w:t>
      </w:r>
      <w:r w:rsidR="0029434A" w:rsidRPr="007347DD">
        <w:t>а</w:t>
      </w:r>
      <w:r w:rsidR="0029434A" w:rsidRPr="007347DD">
        <w:t>ется: в 2011 году отпуск для отца использовали приблизительно 1754 отцов, а в 2012 году так поступили в общей сложности 1952 отца, в 2013 году уже 2023, а в 2014 году в общей сложности 2036 отцов использовали отпуск по уходу за ребенком для отца.</w:t>
      </w:r>
    </w:p>
    <w:p w:rsidR="0029434A" w:rsidRDefault="00BA168A" w:rsidP="00BA168A">
      <w:pPr>
        <w:pStyle w:val="SingleTxt"/>
      </w:pPr>
      <w:r>
        <w:tab/>
      </w:r>
      <w:r w:rsidR="0029434A" w:rsidRPr="007347DD">
        <w:t>Статистика по числу родителей, которые использовали право на отпуск по б</w:t>
      </w:r>
      <w:r w:rsidR="0029434A" w:rsidRPr="007347DD">
        <w:t>е</w:t>
      </w:r>
      <w:r w:rsidR="0029434A" w:rsidRPr="007347DD">
        <w:t>ременности и родам и отпуск для отца в качестве права на работу неполный рабочий день, выглядит следующим образом: в 2011 году таким правом во</w:t>
      </w:r>
      <w:r w:rsidR="0029434A" w:rsidRPr="007347DD">
        <w:t>с</w:t>
      </w:r>
      <w:r w:rsidR="0029434A" w:rsidRPr="007347DD">
        <w:t>пользовались 29 отцов и 420 матерей, в 2012</w:t>
      </w:r>
      <w:r w:rsidR="004E4FFA">
        <w:t xml:space="preserve"> </w:t>
      </w:r>
      <w:r w:rsidR="0029434A" w:rsidRPr="007347DD">
        <w:t>году</w:t>
      </w:r>
      <w:r w:rsidR="003B6FF9">
        <w:t xml:space="preserve"> — </w:t>
      </w:r>
      <w:r w:rsidR="0029434A" w:rsidRPr="007347DD">
        <w:t>34 отца и 471 мать, в 2013</w:t>
      </w:r>
      <w:r w:rsidR="003B6FF9">
        <w:t> </w:t>
      </w:r>
      <w:r w:rsidR="0029434A" w:rsidRPr="007347DD">
        <w:t>году</w:t>
      </w:r>
      <w:r w:rsidR="003B6FF9">
        <w:t xml:space="preserve"> — </w:t>
      </w:r>
      <w:r w:rsidR="0029434A" w:rsidRPr="007347DD">
        <w:t>54 отца и 646 матерей, и в 2014 году</w:t>
      </w:r>
      <w:r w:rsidR="003B6FF9">
        <w:t xml:space="preserve"> — </w:t>
      </w:r>
      <w:r w:rsidR="0029434A" w:rsidRPr="007347DD">
        <w:t>90 отцов и 857 матерей, что означает, что матери и отцы все в большей степени знакомятся с такими возможностями и все шире их используют.</w:t>
      </w:r>
    </w:p>
    <w:p w:rsidR="00BA168A" w:rsidRPr="00BA168A" w:rsidRDefault="00BA168A" w:rsidP="00BA168A">
      <w:pPr>
        <w:pStyle w:val="SingleTxt"/>
        <w:spacing w:after="0" w:line="120" w:lineRule="exact"/>
        <w:rPr>
          <w:sz w:val="10"/>
        </w:rPr>
      </w:pPr>
    </w:p>
    <w:p w:rsidR="0029434A" w:rsidRDefault="0029434A" w:rsidP="00BA1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47DD">
        <w:tab/>
      </w:r>
      <w:r w:rsidRPr="007347DD">
        <w:tab/>
        <w:t>Насилие в отношении женщин</w:t>
      </w:r>
    </w:p>
    <w:p w:rsidR="00BA168A" w:rsidRPr="00BA168A" w:rsidRDefault="00BA168A" w:rsidP="00BA168A">
      <w:pPr>
        <w:pStyle w:val="SingleTxt"/>
        <w:spacing w:after="0" w:line="120" w:lineRule="exact"/>
        <w:rPr>
          <w:sz w:val="10"/>
        </w:rPr>
      </w:pPr>
    </w:p>
    <w:p w:rsidR="0029434A" w:rsidRPr="00BA168A" w:rsidRDefault="0029434A" w:rsidP="00BA168A">
      <w:pPr>
        <w:pStyle w:val="SingleTxt"/>
        <w:rPr>
          <w:b/>
        </w:rPr>
      </w:pPr>
      <w:r w:rsidRPr="007347DD">
        <w:t>9.</w:t>
      </w:r>
      <w:r w:rsidRPr="007347DD">
        <w:tab/>
      </w:r>
      <w:r w:rsidRPr="00BA168A">
        <w:rPr>
          <w:b/>
        </w:rPr>
        <w:t>Просьба представить обновленную информацию о масштабах распр</w:t>
      </w:r>
      <w:r w:rsidRPr="00BA168A">
        <w:rPr>
          <w:b/>
        </w:rPr>
        <w:t>о</w:t>
      </w:r>
      <w:r w:rsidRPr="00BA168A">
        <w:rPr>
          <w:b/>
        </w:rPr>
        <w:t>странения всех форм гендерного насилия в отношении женщин. Просьба представить информацию о зарегистрированных случаях бытового нас</w:t>
      </w:r>
      <w:r w:rsidRPr="00BA168A">
        <w:rPr>
          <w:b/>
        </w:rPr>
        <w:t>и</w:t>
      </w:r>
      <w:r w:rsidRPr="00BA168A">
        <w:rPr>
          <w:b/>
        </w:rPr>
        <w:t xml:space="preserve">лия, сексуального насилия и изнасилования, о взаимоотношениях между жертвой и правонарушителем, проведенных расследованиях, судебных разбирательствах и вынесенных обвинительных приговорах. </w:t>
      </w:r>
    </w:p>
    <w:p w:rsidR="0029434A" w:rsidRPr="007347DD" w:rsidRDefault="00BA168A" w:rsidP="00BA168A">
      <w:pPr>
        <w:pStyle w:val="SingleTxt"/>
      </w:pPr>
      <w:r>
        <w:tab/>
      </w:r>
      <w:r w:rsidR="0029434A" w:rsidRPr="007347DD">
        <w:t>МЮ, МСПМ, Государственная прокуратура и МВД осуществляют сбор данных о бытовом насилии в соответствии с Указом о содержании обязател</w:t>
      </w:r>
      <w:r w:rsidR="0029434A" w:rsidRPr="007347DD">
        <w:t>ь</w:t>
      </w:r>
      <w:r w:rsidR="0029434A" w:rsidRPr="007347DD">
        <w:t>ных отчетов и докладов, методах сбора, обработки и архивирования статист</w:t>
      </w:r>
      <w:r w:rsidR="0029434A" w:rsidRPr="007347DD">
        <w:t>и</w:t>
      </w:r>
      <w:r w:rsidR="0029434A" w:rsidRPr="007347DD">
        <w:t>ческих данных об осуществлении Закона о защите от насилия в семье (ОВ №</w:t>
      </w:r>
      <w:r w:rsidR="003B6FF9">
        <w:t> </w:t>
      </w:r>
      <w:r w:rsidR="0029434A" w:rsidRPr="007347DD">
        <w:t>105/11). В таблицах 3, 4 и 5 в приложении 2 приводится статистический о</w:t>
      </w:r>
      <w:r w:rsidR="0029434A" w:rsidRPr="007347DD">
        <w:t>б</w:t>
      </w:r>
      <w:r w:rsidR="0029434A" w:rsidRPr="007347DD">
        <w:t xml:space="preserve">зор запрошенных данных о </w:t>
      </w:r>
      <w:r w:rsidR="0029434A">
        <w:t>случаях</w:t>
      </w:r>
      <w:r w:rsidR="0029434A" w:rsidRPr="007347DD">
        <w:t xml:space="preserve"> насилия в отношении женщин по признаку п</w:t>
      </w:r>
      <w:r w:rsidR="0029434A" w:rsidRPr="007347DD">
        <w:t>о</w:t>
      </w:r>
      <w:r w:rsidR="0029434A" w:rsidRPr="007347DD">
        <w:t>ла.</w:t>
      </w:r>
    </w:p>
    <w:p w:rsidR="0029434A" w:rsidRPr="007347DD" w:rsidRDefault="00BA168A" w:rsidP="00BA168A">
      <w:pPr>
        <w:pStyle w:val="SingleTxt"/>
      </w:pPr>
      <w:r>
        <w:tab/>
      </w:r>
      <w:r w:rsidR="0029434A" w:rsidRPr="007347DD">
        <w:t>Что касается случаев изнасилования, то следует упомянуть о том, что в 2013 и 2014 годах все изнасилов</w:t>
      </w:r>
      <w:r w:rsidR="0029434A" w:rsidRPr="007347DD">
        <w:t>а</w:t>
      </w:r>
      <w:r w:rsidR="0029434A" w:rsidRPr="007347DD">
        <w:t>ния были совершены мужчинами, а из общего числа насильников виновными в 39 зарегистрированных случаях изнасилов</w:t>
      </w:r>
      <w:r w:rsidR="0029434A" w:rsidRPr="007347DD">
        <w:t>а</w:t>
      </w:r>
      <w:r w:rsidR="0029434A" w:rsidRPr="007347DD">
        <w:t>ния, 6 покушениях на изнасилование и 116 случаях сексуальных посягательств оказ</w:t>
      </w:r>
      <w:r w:rsidR="0029434A" w:rsidRPr="007347DD">
        <w:t>а</w:t>
      </w:r>
      <w:r w:rsidR="0029434A" w:rsidRPr="007347DD">
        <w:t>лись сексуальные партнеры.</w:t>
      </w:r>
    </w:p>
    <w:p w:rsidR="0029434A" w:rsidRPr="007347DD" w:rsidRDefault="00BA168A" w:rsidP="00BA168A">
      <w:pPr>
        <w:pStyle w:val="SingleTxt"/>
      </w:pPr>
      <w:r>
        <w:tab/>
      </w:r>
      <w:r w:rsidR="0029434A" w:rsidRPr="007347DD">
        <w:t>В 2011 году за совершение уголовного преступления бытового насилия были вынесены следующие приговоры: в 61 случае - реальный срок тюремного заключения, в 162 случаях</w:t>
      </w:r>
      <w:r w:rsidR="003B6FF9">
        <w:t xml:space="preserve"> — </w:t>
      </w:r>
      <w:r w:rsidR="0029434A" w:rsidRPr="007347DD">
        <w:t>тюремное заключение, отсроченное исполнен</w:t>
      </w:r>
      <w:r w:rsidR="0029434A" w:rsidRPr="007347DD">
        <w:t>и</w:t>
      </w:r>
      <w:r w:rsidR="0029434A" w:rsidRPr="007347DD">
        <w:t>ем, в 28 случаях</w:t>
      </w:r>
      <w:r w:rsidR="003B6FF9">
        <w:t xml:space="preserve"> — </w:t>
      </w:r>
      <w:r w:rsidR="0029434A" w:rsidRPr="007347DD">
        <w:t>штраф, в 6 случаях</w:t>
      </w:r>
      <w:r w:rsidR="003B6FF9">
        <w:t xml:space="preserve"> — </w:t>
      </w:r>
      <w:r w:rsidR="0029434A" w:rsidRPr="007347DD">
        <w:t>принудительное помещение в мед</w:t>
      </w:r>
      <w:r w:rsidR="0029434A" w:rsidRPr="007347DD">
        <w:t>и</w:t>
      </w:r>
      <w:r w:rsidR="0029434A" w:rsidRPr="007347DD">
        <w:t>цинское учреждение, в 7 случаях было вынесено решение в пользу ответч</w:t>
      </w:r>
      <w:r w:rsidR="0029434A" w:rsidRPr="007347DD">
        <w:t>и</w:t>
      </w:r>
      <w:r w:rsidR="0029434A" w:rsidRPr="007347DD">
        <w:t>ка, в 38 случаях дело было закрыто по обстоятельствам дела, в 23 случаях с</w:t>
      </w:r>
      <w:r w:rsidR="0029434A" w:rsidRPr="007347DD">
        <w:t>у</w:t>
      </w:r>
      <w:r w:rsidR="0029434A" w:rsidRPr="007347DD">
        <w:t>дебное разбирательство было приостановлено, в 9 случаях состоялась передача дела и в 4 случаях была применена воспитательная мера в виде усиленного ухода и надзора. Что касается взаимоотношений между жертвой и преступником, то наиболее часто виновным оказывался супруг жертвы (321), отец (89), партнер в гражданском союзе (45), дочь (29), мать (28) или лицо, состоящее в других о</w:t>
      </w:r>
      <w:r w:rsidR="0029434A" w:rsidRPr="007347DD">
        <w:t>т</w:t>
      </w:r>
      <w:r w:rsidR="0029434A" w:rsidRPr="007347DD">
        <w:t>ношениях с жертвой (32).</w:t>
      </w:r>
    </w:p>
    <w:p w:rsidR="0029434A" w:rsidRPr="007347DD" w:rsidRDefault="0029434A" w:rsidP="0029434A">
      <w:pPr>
        <w:pStyle w:val="SingleTxtG"/>
        <w:spacing w:line="240" w:lineRule="exact"/>
        <w:ind w:left="1267" w:right="1267"/>
        <w:jc w:val="left"/>
        <w:rPr>
          <w:b/>
          <w:bCs/>
          <w:lang w:val="ru-RU"/>
        </w:rPr>
      </w:pPr>
      <w:r w:rsidRPr="007347DD">
        <w:rPr>
          <w:lang w:val="ru-RU"/>
        </w:rPr>
        <w:t>10.</w:t>
      </w:r>
      <w:r w:rsidRPr="007347DD">
        <w:rPr>
          <w:lang w:val="ru-RU"/>
        </w:rPr>
        <w:tab/>
      </w:r>
      <w:r w:rsidRPr="007347DD">
        <w:rPr>
          <w:b/>
          <w:bCs/>
          <w:lang w:val="ru-RU"/>
        </w:rPr>
        <w:t xml:space="preserve">Просьба представить информацию о сохраняющихся препятствиях на пути осуществления нового Закона о семье (2014 год), нового Уголовного кодекса (2013 год), Закона о защите от насилия в семье (2009 год) и Закона о бесплатной юридической помощи (2008 год). Просьба включить, в частности, информацию о мерах, принимаемых государством-участником для обеспечения того, чтобы во всех областях страны женщины, которые сталкиваются с насилием по признаку пола, имели возможность обратиться за необходимой им поддержкой и помощью, в том числе в виде правовой помощи или помещения в приют. Просьба также указать, проводятся ли какие-либо мероприятия в области профессиональной подготовки и усиления потенциала сотрудников правоохранительных органов, в том числе сотрудников полиции и судей, медицинских работников и чиновников государственных учреждений, призванных содействовать осуществлению этих законов, четкому выявлению правонарушителей и своевременному предоставлению защиты женщинам, которые подвергаются насилию, с тем чтобы обеспечить их безопасность. Какие меры принимаются государством-участником для того, чтобы гарантировать своевременную и эффективную защиту жертв, в том числе после завершения уголовного судопроизводства, и привлечение виновных к ответственности? </w:t>
      </w:r>
    </w:p>
    <w:p w:rsidR="0029434A" w:rsidRPr="007347DD" w:rsidRDefault="00BA168A" w:rsidP="00BA168A">
      <w:pPr>
        <w:pStyle w:val="SingleTxt"/>
      </w:pPr>
      <w:r>
        <w:tab/>
      </w:r>
      <w:r w:rsidR="0029434A" w:rsidRPr="007347DD">
        <w:t>Что касается осуществления Закона о семье, принятого в 2014 году, то следует отметить, что в январе 2015 года Конституционный суд принял реш</w:t>
      </w:r>
      <w:r w:rsidR="0029434A" w:rsidRPr="007347DD">
        <w:t>е</w:t>
      </w:r>
      <w:r w:rsidR="0029434A" w:rsidRPr="007347DD">
        <w:t>ние о начале работы по изучению вопроса о соответствии Закона о семье п</w:t>
      </w:r>
      <w:r w:rsidR="0029434A" w:rsidRPr="007347DD">
        <w:t>о</w:t>
      </w:r>
      <w:r w:rsidR="0029434A" w:rsidRPr="007347DD">
        <w:t>ложениям Конституции. В связи с этим решением было временно приостано</w:t>
      </w:r>
      <w:r w:rsidR="0029434A" w:rsidRPr="007347DD">
        <w:t>в</w:t>
      </w:r>
      <w:r w:rsidR="0029434A" w:rsidRPr="007347DD">
        <w:t>лено применение всех отдельных законов и решений, принятых на основе З</w:t>
      </w:r>
      <w:r w:rsidR="0029434A" w:rsidRPr="007347DD">
        <w:t>а</w:t>
      </w:r>
      <w:r w:rsidR="0029434A" w:rsidRPr="007347DD">
        <w:t>кона о семье, до принятия окончательного р</w:t>
      </w:r>
      <w:r w:rsidR="0029434A" w:rsidRPr="007347DD">
        <w:t>е</w:t>
      </w:r>
      <w:r w:rsidR="0029434A" w:rsidRPr="007347DD">
        <w:t>шения Конституционного суда, и, кроме того, в этом решении было указано, что до принятия решения Констит</w:t>
      </w:r>
      <w:r w:rsidR="0029434A" w:rsidRPr="007347DD">
        <w:t>у</w:t>
      </w:r>
      <w:r w:rsidR="0029434A" w:rsidRPr="007347DD">
        <w:t>ционного суда будет применяться Закон о семье 2003 года. Министерство с</w:t>
      </w:r>
      <w:r w:rsidR="0029434A" w:rsidRPr="007347DD">
        <w:t>о</w:t>
      </w:r>
      <w:r w:rsidR="0029434A" w:rsidRPr="007347DD">
        <w:t xml:space="preserve">циальной политики и молодежи представило новый проект текста </w:t>
      </w:r>
      <w:r w:rsidR="0029434A" w:rsidRPr="00D12012">
        <w:rPr>
          <w:i/>
        </w:rPr>
        <w:t>Закона о с</w:t>
      </w:r>
      <w:r w:rsidR="0029434A" w:rsidRPr="00D12012">
        <w:rPr>
          <w:i/>
        </w:rPr>
        <w:t>е</w:t>
      </w:r>
      <w:r w:rsidR="0029434A" w:rsidRPr="00D12012">
        <w:rPr>
          <w:i/>
        </w:rPr>
        <w:t>мье</w:t>
      </w:r>
      <w:r w:rsidR="0029434A" w:rsidRPr="007347DD">
        <w:t xml:space="preserve"> для открытого обсуждения в начале февраля 2015 года для подготовки окончател</w:t>
      </w:r>
      <w:r w:rsidR="0029434A" w:rsidRPr="007347DD">
        <w:t>ь</w:t>
      </w:r>
      <w:r w:rsidR="0029434A" w:rsidRPr="007347DD">
        <w:t>ного варианта Закона.</w:t>
      </w:r>
    </w:p>
    <w:p w:rsidR="0029434A" w:rsidRPr="007347DD" w:rsidRDefault="00BA168A" w:rsidP="00BA168A">
      <w:pPr>
        <w:pStyle w:val="SingleTxt"/>
      </w:pPr>
      <w:r>
        <w:tab/>
      </w:r>
      <w:r w:rsidR="0029434A" w:rsidRPr="007347DD">
        <w:t xml:space="preserve">Новый </w:t>
      </w:r>
      <w:r w:rsidR="0029434A" w:rsidRPr="007347DD">
        <w:rPr>
          <w:i/>
        </w:rPr>
        <w:t>Уголовный кодекс</w:t>
      </w:r>
      <w:r w:rsidR="0029434A" w:rsidRPr="007347DD">
        <w:t>, который вступил в силу 1 января 2013 года, с</w:t>
      </w:r>
      <w:r w:rsidR="0029434A" w:rsidRPr="007347DD">
        <w:t>о</w:t>
      </w:r>
      <w:r w:rsidR="0029434A" w:rsidRPr="007347DD">
        <w:t>держит, среди прочего, положения о различных видах уголовных преступл</w:t>
      </w:r>
      <w:r w:rsidR="0029434A" w:rsidRPr="007347DD">
        <w:t>е</w:t>
      </w:r>
      <w:r w:rsidR="0029434A" w:rsidRPr="007347DD">
        <w:t xml:space="preserve">ний, затрагивающих женщин или в основном женщин, в том числе о </w:t>
      </w:r>
      <w:r w:rsidR="0029434A">
        <w:t>мерах наказания</w:t>
      </w:r>
      <w:r w:rsidR="0029434A" w:rsidRPr="007347DD">
        <w:t xml:space="preserve"> в связи с различными формами гендерного насилия. Совершение уголовного преступления в отношении члена семьи рассматривается в </w:t>
      </w:r>
      <w:r w:rsidR="0029434A">
        <w:t>конте</w:t>
      </w:r>
      <w:r w:rsidR="0029434A">
        <w:t>к</w:t>
      </w:r>
      <w:r w:rsidR="0029434A">
        <w:t xml:space="preserve">сте </w:t>
      </w:r>
      <w:r w:rsidR="0029434A" w:rsidRPr="007347DD">
        <w:t>ряд</w:t>
      </w:r>
      <w:r w:rsidR="0029434A">
        <w:t>а</w:t>
      </w:r>
      <w:r w:rsidR="0029434A" w:rsidRPr="007347DD">
        <w:t xml:space="preserve"> уголовных преступлений в качестве квалифицированной формы уг</w:t>
      </w:r>
      <w:r w:rsidR="0029434A" w:rsidRPr="007347DD">
        <w:t>о</w:t>
      </w:r>
      <w:r w:rsidR="0029434A" w:rsidRPr="007347DD">
        <w:t>ловного преступления с элементами насилия, и в этом случае в отношении в</w:t>
      </w:r>
      <w:r w:rsidR="0029434A" w:rsidRPr="007347DD">
        <w:t>и</w:t>
      </w:r>
      <w:r w:rsidR="0029434A" w:rsidRPr="007347DD">
        <w:t>новных предусмотрены более серьезные наказания.</w:t>
      </w:r>
    </w:p>
    <w:p w:rsidR="0029434A" w:rsidRPr="007347DD" w:rsidRDefault="00BA168A" w:rsidP="00BA168A">
      <w:pPr>
        <w:pStyle w:val="SingleTxt"/>
      </w:pPr>
      <w:r>
        <w:tab/>
      </w:r>
      <w:r w:rsidR="0029434A" w:rsidRPr="007347DD">
        <w:t>В 2013 году министерством юстиции была учреждена рабочая группа для контроля за выполнением этого закона и для внесения предложений о попра</w:t>
      </w:r>
      <w:r w:rsidR="0029434A" w:rsidRPr="007347DD">
        <w:t>в</w:t>
      </w:r>
      <w:r w:rsidR="0029434A" w:rsidRPr="007347DD">
        <w:t xml:space="preserve">ках к нему. В 2014 году МЮ инициировало процедуру внесения поправок в </w:t>
      </w:r>
      <w:r w:rsidR="0029434A" w:rsidRPr="007347DD">
        <w:rPr>
          <w:i/>
        </w:rPr>
        <w:t>Уголовный кодекс</w:t>
      </w:r>
      <w:r w:rsidR="0029434A" w:rsidRPr="007347DD">
        <w:t>, которая все еще находится на рассмотрении. Предусматр</w:t>
      </w:r>
      <w:r w:rsidR="0029434A" w:rsidRPr="007347DD">
        <w:t>и</w:t>
      </w:r>
      <w:r w:rsidR="0029434A" w:rsidRPr="007347DD">
        <w:t>вается введение новых положений уголовного права, в частности касающихся эмоциональных злоупотреблений и унижения в семье. По сравнению с пред</w:t>
      </w:r>
      <w:r w:rsidR="0029434A" w:rsidRPr="007347DD">
        <w:t>ы</w:t>
      </w:r>
      <w:r w:rsidR="0029434A" w:rsidRPr="007347DD">
        <w:t>дущим Уголовным кодексом было расширено определение семьи, а в целях укрепления позиций жертв была предусмотрена возможность возбуждения разбирательства ex officio в случае совершения уголовного преступления, с</w:t>
      </w:r>
      <w:r w:rsidR="0029434A" w:rsidRPr="007347DD">
        <w:t>о</w:t>
      </w:r>
      <w:r w:rsidR="0029434A" w:rsidRPr="007347DD">
        <w:t>пряженного с причинением телесных поврежд</w:t>
      </w:r>
      <w:r w:rsidR="0029434A" w:rsidRPr="007347DD">
        <w:t>е</w:t>
      </w:r>
      <w:r w:rsidR="0029434A" w:rsidRPr="007347DD">
        <w:t xml:space="preserve">ний или угрозой. </w:t>
      </w:r>
    </w:p>
    <w:p w:rsidR="0029434A" w:rsidRPr="007347DD" w:rsidRDefault="00BA168A" w:rsidP="00BA168A">
      <w:pPr>
        <w:pStyle w:val="SingleTxt"/>
      </w:pPr>
      <w:r>
        <w:tab/>
      </w:r>
      <w:r w:rsidR="0029434A" w:rsidRPr="007347DD">
        <w:t xml:space="preserve">Анализ существующей системы правовой помощи продемонстрировал необходимость реформы, и в 2014 году был принят новый </w:t>
      </w:r>
      <w:r w:rsidR="0029434A" w:rsidRPr="007347DD">
        <w:rPr>
          <w:i/>
        </w:rPr>
        <w:t>Закон о бесплатной юрид</w:t>
      </w:r>
      <w:r w:rsidR="0029434A" w:rsidRPr="007347DD">
        <w:rPr>
          <w:i/>
        </w:rPr>
        <w:t>и</w:t>
      </w:r>
      <w:r w:rsidR="0029434A" w:rsidRPr="007347DD">
        <w:rPr>
          <w:i/>
        </w:rPr>
        <w:t>ческой помощи</w:t>
      </w:r>
      <w:r w:rsidR="0029434A" w:rsidRPr="007347DD">
        <w:t>. Закон признает необходимость обеспечения надлежащей защиты наиболее уязвимых групп и поощряет и обеспечивает предоставление юридической помощи экономически и социально неблагополучным группам граждан. Одно из наиболее важных новшеств Закона заключается в том, что в нем содержится специальное положение о предоставлении вторичной правовой помощи жертве без установления финансового положения в том случае, если лицо, ставшее жертвой уголовного преступления в форме насилия, в ходе ра</w:t>
      </w:r>
      <w:r w:rsidR="0029434A" w:rsidRPr="007347DD">
        <w:t>з</w:t>
      </w:r>
      <w:r w:rsidR="0029434A" w:rsidRPr="007347DD">
        <w:t>бирательства решает осуществить право на компенсацию ущерба, причиненн</w:t>
      </w:r>
      <w:r w:rsidR="0029434A" w:rsidRPr="007347DD">
        <w:t>о</w:t>
      </w:r>
      <w:r w:rsidR="0029434A" w:rsidRPr="007347DD">
        <w:t>го в результате совершения данного уголовного преступления. В тех случаях, когда финансовое положение устанавливается, финансовое положение лица, совершившего акт бытового наси</w:t>
      </w:r>
      <w:r w:rsidR="0029434A">
        <w:t>лия, не принимается во внимание</w:t>
      </w:r>
      <w:r w:rsidR="0029434A" w:rsidRPr="007347DD">
        <w:t>, если заяв</w:t>
      </w:r>
      <w:r w:rsidR="0029434A" w:rsidRPr="007347DD">
        <w:t>и</w:t>
      </w:r>
      <w:r w:rsidR="0029434A" w:rsidRPr="007347DD">
        <w:t>тель является жертвой такого насилия. Новый Закон расширил круг получат</w:t>
      </w:r>
      <w:r w:rsidR="0029434A" w:rsidRPr="007347DD">
        <w:t>е</w:t>
      </w:r>
      <w:r w:rsidR="0029434A" w:rsidRPr="007347DD">
        <w:t>лей бесплатной юридической помощи и характер правовых вопросов, в отн</w:t>
      </w:r>
      <w:r w:rsidR="0029434A" w:rsidRPr="007347DD">
        <w:t>о</w:t>
      </w:r>
      <w:r w:rsidR="0029434A" w:rsidRPr="007347DD">
        <w:t>шении которых испрашивается помощь, была изменена проверка наличия средств для оказания п</w:t>
      </w:r>
      <w:r w:rsidR="0029434A" w:rsidRPr="007347DD">
        <w:t>о</w:t>
      </w:r>
      <w:r w:rsidR="0029434A" w:rsidRPr="007347DD">
        <w:t>мощи бенефициарам, в дополнение к адвокатам, НПО и юридическим клиникам, была введена возможность оказания юридической помощи учреждениями государственного управления, бенефициары перви</w:t>
      </w:r>
      <w:r w:rsidR="0029434A" w:rsidRPr="007347DD">
        <w:t>ч</w:t>
      </w:r>
      <w:r w:rsidR="0029434A" w:rsidRPr="007347DD">
        <w:t>ной правовой помощи были освобождены от проверки наличия средств, и в круг получателей первичной помощи были включены иностранцы с постоянным видом на жительство, дети, не имеющие хорватского гражданства и находящ</w:t>
      </w:r>
      <w:r w:rsidR="0029434A" w:rsidRPr="007347DD">
        <w:t>и</w:t>
      </w:r>
      <w:r w:rsidR="0029434A" w:rsidRPr="007347DD">
        <w:t>еся в Республике Хорватия без сопровождения взрослых, и представители сп</w:t>
      </w:r>
      <w:r w:rsidR="0029434A" w:rsidRPr="007347DD">
        <w:t>е</w:t>
      </w:r>
      <w:r w:rsidR="0029434A" w:rsidRPr="007347DD">
        <w:t>циальных групп. Расходы на устных переводчиков для мигрантов и представ</w:t>
      </w:r>
      <w:r w:rsidR="0029434A" w:rsidRPr="007347DD">
        <w:t>и</w:t>
      </w:r>
      <w:r w:rsidR="0029434A" w:rsidRPr="007347DD">
        <w:t>телей народности рома в с</w:t>
      </w:r>
      <w:r w:rsidR="0029434A" w:rsidRPr="007347DD">
        <w:t>у</w:t>
      </w:r>
      <w:r w:rsidR="0029434A" w:rsidRPr="007347DD">
        <w:t>дебном разбирательстве покрываются, и бесплатная юридическая помощь может также финансироваться за счет местных (реги</w:t>
      </w:r>
      <w:r w:rsidR="0029434A" w:rsidRPr="007347DD">
        <w:t>о</w:t>
      </w:r>
      <w:r w:rsidR="0029434A" w:rsidRPr="007347DD">
        <w:t xml:space="preserve">нальных) организаций самоуправления и пожертвований. </w:t>
      </w:r>
    </w:p>
    <w:p w:rsidR="0029434A" w:rsidRPr="007347DD" w:rsidRDefault="00BA168A" w:rsidP="00BA168A">
      <w:pPr>
        <w:pStyle w:val="SingleTxt"/>
      </w:pPr>
      <w:r>
        <w:tab/>
      </w:r>
      <w:r w:rsidR="0029434A" w:rsidRPr="007347DD">
        <w:t xml:space="preserve">Одной из новых проблем в области осуществления </w:t>
      </w:r>
      <w:r w:rsidR="0029434A" w:rsidRPr="007347DD">
        <w:rPr>
          <w:i/>
        </w:rPr>
        <w:t>Закона о защите от насилия в семье</w:t>
      </w:r>
      <w:r w:rsidR="0029434A" w:rsidRPr="007347DD">
        <w:t xml:space="preserve"> является необходимость обеспечения его последовательного применения, в частности в отношении применения санкций в связи с насил</w:t>
      </w:r>
      <w:r w:rsidR="0029434A" w:rsidRPr="007347DD">
        <w:t>ь</w:t>
      </w:r>
      <w:r w:rsidR="0029434A" w:rsidRPr="007347DD">
        <w:t>ственными действиями экономического и эмоционального характера, поскол</w:t>
      </w:r>
      <w:r w:rsidR="0029434A" w:rsidRPr="007347DD">
        <w:t>ь</w:t>
      </w:r>
      <w:r w:rsidR="0029434A" w:rsidRPr="007347DD">
        <w:t>ку существующее прецедентное право не содержит никаких данных о суде</w:t>
      </w:r>
      <w:r w:rsidR="0029434A" w:rsidRPr="007347DD">
        <w:t>б</w:t>
      </w:r>
      <w:r w:rsidR="0029434A" w:rsidRPr="007347DD">
        <w:t xml:space="preserve">ных разбирательствах, возбужденных исключительно в связи с этими видами </w:t>
      </w:r>
      <w:r w:rsidR="0029434A">
        <w:t>нарушений</w:t>
      </w:r>
      <w:r w:rsidR="0029434A" w:rsidRPr="007347DD">
        <w:t>. Кроме того, необходимы дополнительные информацио</w:t>
      </w:r>
      <w:r w:rsidR="0029434A" w:rsidRPr="007347DD">
        <w:t>н</w:t>
      </w:r>
      <w:r w:rsidR="0029434A" w:rsidRPr="007347DD">
        <w:t>но-просветительские мероприятия, направленные на</w:t>
      </w:r>
      <w:r w:rsidR="004E4FFA">
        <w:t xml:space="preserve"> </w:t>
      </w:r>
      <w:r w:rsidR="0029434A" w:rsidRPr="007347DD">
        <w:t>информирование потерпе</w:t>
      </w:r>
      <w:r w:rsidR="0029434A" w:rsidRPr="007347DD">
        <w:t>в</w:t>
      </w:r>
      <w:r w:rsidR="0029434A" w:rsidRPr="007347DD">
        <w:t xml:space="preserve">ших об их правах, с тем чтобы они сообщали обо всех формах насилия. Одним из приоритетных направлений остается проведение учебных мероприятий для специалистов в данной области. </w:t>
      </w:r>
    </w:p>
    <w:p w:rsidR="0029434A" w:rsidRPr="007347DD" w:rsidRDefault="00BA168A" w:rsidP="00BA168A">
      <w:pPr>
        <w:pStyle w:val="SingleTxt"/>
      </w:pPr>
      <w:r>
        <w:tab/>
      </w:r>
      <w:r w:rsidR="0029434A">
        <w:t>В</w:t>
      </w:r>
      <w:r w:rsidR="0029434A" w:rsidRPr="007347DD">
        <w:t xml:space="preserve"> 2012 и 2013 годах </w:t>
      </w:r>
      <w:r w:rsidR="0029434A">
        <w:t>были приняты п</w:t>
      </w:r>
      <w:r w:rsidR="0029434A" w:rsidRPr="007347DD">
        <w:t xml:space="preserve">оправки к </w:t>
      </w:r>
      <w:r w:rsidR="0029434A" w:rsidRPr="007347DD">
        <w:rPr>
          <w:i/>
        </w:rPr>
        <w:t>Закону об уголовном суд</w:t>
      </w:r>
      <w:r w:rsidR="0029434A" w:rsidRPr="007347DD">
        <w:rPr>
          <w:i/>
        </w:rPr>
        <w:t>о</w:t>
      </w:r>
      <w:r w:rsidR="0029434A" w:rsidRPr="007347DD">
        <w:rPr>
          <w:i/>
        </w:rPr>
        <w:t>производстве</w:t>
      </w:r>
      <w:r w:rsidR="0029434A" w:rsidRPr="007347DD">
        <w:t xml:space="preserve"> были приняты в целях о</w:t>
      </w:r>
      <w:r w:rsidR="0029434A">
        <w:t>казания потерпевшим</w:t>
      </w:r>
      <w:r w:rsidR="0029434A" w:rsidRPr="007347DD">
        <w:t xml:space="preserve"> своевременной и эффективной помощи и </w:t>
      </w:r>
      <w:r w:rsidR="0029434A">
        <w:t xml:space="preserve">обеспечения их </w:t>
      </w:r>
      <w:r w:rsidR="0029434A" w:rsidRPr="007347DD">
        <w:t xml:space="preserve">защиты и, </w:t>
      </w:r>
      <w:r w:rsidR="0029434A">
        <w:t>тем самым</w:t>
      </w:r>
      <w:r w:rsidR="0029434A" w:rsidRPr="007347DD">
        <w:t xml:space="preserve">, улучшения их защиты в ходе уголовного судопроизводства. </w:t>
      </w:r>
      <w:r w:rsidR="0029434A">
        <w:t>Лица, получившие</w:t>
      </w:r>
      <w:r w:rsidR="0029434A" w:rsidRPr="007347DD">
        <w:t xml:space="preserve"> тяжки</w:t>
      </w:r>
      <w:r w:rsidR="0029434A">
        <w:t>е</w:t>
      </w:r>
      <w:r w:rsidR="0029434A" w:rsidRPr="007347DD">
        <w:t xml:space="preserve"> теле</w:t>
      </w:r>
      <w:r w:rsidR="0029434A" w:rsidRPr="007347DD">
        <w:t>с</w:t>
      </w:r>
      <w:r w:rsidR="0029434A" w:rsidRPr="007347DD">
        <w:t>ны</w:t>
      </w:r>
      <w:r w:rsidR="0029434A">
        <w:t>е</w:t>
      </w:r>
      <w:r w:rsidR="0029434A" w:rsidRPr="007347DD">
        <w:t xml:space="preserve"> повреждени</w:t>
      </w:r>
      <w:r w:rsidR="0029434A">
        <w:t>я,</w:t>
      </w:r>
      <w:r w:rsidR="0029434A" w:rsidRPr="007347DD">
        <w:t xml:space="preserve"> и лица, состоянию здоровья которых был причинен серье</w:t>
      </w:r>
      <w:r w:rsidR="0029434A" w:rsidRPr="007347DD">
        <w:t>з</w:t>
      </w:r>
      <w:r w:rsidR="0029434A" w:rsidRPr="007347DD">
        <w:t>ный ущерб в результате уголовного преступления, имеют определенные права в соответствии с Законом о денежном возмещении жертвам уголовных пр</w:t>
      </w:r>
      <w:r w:rsidR="0029434A" w:rsidRPr="007347DD">
        <w:t>е</w:t>
      </w:r>
      <w:r w:rsidR="0029434A" w:rsidRPr="007347DD">
        <w:t>ступлений, который вступил в силу 1 июля 2013 года.</w:t>
      </w:r>
    </w:p>
    <w:p w:rsidR="0029434A" w:rsidRPr="007347DD" w:rsidRDefault="00BA168A" w:rsidP="00BA168A">
      <w:pPr>
        <w:pStyle w:val="SingleTxt"/>
        <w:rPr>
          <w:iCs/>
        </w:rPr>
      </w:pPr>
      <w:r>
        <w:tab/>
      </w:r>
      <w:r w:rsidR="0029434A" w:rsidRPr="007347DD">
        <w:t>В 2013 году министерство юстиции (МЮ) учредило Комиссию по ос</w:t>
      </w:r>
      <w:r w:rsidR="0029434A" w:rsidRPr="007347DD">
        <w:t>у</w:t>
      </w:r>
      <w:r w:rsidR="0029434A" w:rsidRPr="007347DD">
        <w:t>ществлению, контролю и надзору за приведением в исполнение превентивной меры обязательного психосоциального лечения и был создан национальный контактный центр для жертв уголовных преступлений и мелких правонаруш</w:t>
      </w:r>
      <w:r w:rsidR="0029434A" w:rsidRPr="007347DD">
        <w:t>е</w:t>
      </w:r>
      <w:r w:rsidR="0029434A" w:rsidRPr="007347DD">
        <w:t>ний, предоставляющий</w:t>
      </w:r>
      <w:r w:rsidR="004E4FFA">
        <w:t xml:space="preserve"> </w:t>
      </w:r>
      <w:r w:rsidR="0029434A" w:rsidRPr="007347DD">
        <w:t>бесплатные услуги пользователям. В том же году МЮ приняло Постановление о порядке исполнения превентивных мер судебного приказа относительно совместного хозяйства (ОВ № 76/13) и утвердило Ста</w:t>
      </w:r>
      <w:r w:rsidR="0029434A" w:rsidRPr="007347DD">
        <w:t>н</w:t>
      </w:r>
      <w:r w:rsidR="0029434A" w:rsidRPr="007347DD">
        <w:t>дартные оперативные процедуры, используемые полицией</w:t>
      </w:r>
      <w:r w:rsidR="004E4FFA">
        <w:t xml:space="preserve"> </w:t>
      </w:r>
      <w:r w:rsidR="0029434A" w:rsidRPr="007347DD">
        <w:t>в случаях насилия в с</w:t>
      </w:r>
      <w:r w:rsidR="0029434A" w:rsidRPr="007347DD">
        <w:t>е</w:t>
      </w:r>
      <w:r w:rsidR="0029434A" w:rsidRPr="007347DD">
        <w:t>мье.</w:t>
      </w:r>
    </w:p>
    <w:p w:rsidR="0029434A" w:rsidRPr="007347DD" w:rsidRDefault="00BA168A" w:rsidP="00BA168A">
      <w:pPr>
        <w:pStyle w:val="SingleTxt"/>
      </w:pPr>
      <w:r>
        <w:tab/>
      </w:r>
      <w:r w:rsidR="0029434A" w:rsidRPr="007347DD">
        <w:t>В РХ в настоящее время имеется 19 приютов для женщин</w:t>
      </w:r>
      <w:r w:rsidR="003B6FF9">
        <w:t>-</w:t>
      </w:r>
      <w:r w:rsidR="0029434A" w:rsidRPr="007347DD">
        <w:t>жертв нас</w:t>
      </w:r>
      <w:r w:rsidR="0029434A" w:rsidRPr="007347DD">
        <w:t>и</w:t>
      </w:r>
      <w:r w:rsidR="0029434A" w:rsidRPr="007347DD">
        <w:t>лия в семье и один специализированный центр для женщин, ставших жертвами се</w:t>
      </w:r>
      <w:r w:rsidR="0029434A" w:rsidRPr="007347DD">
        <w:t>к</w:t>
      </w:r>
      <w:r w:rsidR="0029434A" w:rsidRPr="007347DD">
        <w:t>суального насилия. В период 2011</w:t>
      </w:r>
      <w:r w:rsidR="003B6FF9">
        <w:t>–</w:t>
      </w:r>
      <w:r w:rsidR="0029434A" w:rsidRPr="007347DD">
        <w:t>2014 годов МСПМ выделило в общей сло</w:t>
      </w:r>
      <w:r w:rsidR="0029434A" w:rsidRPr="007347DD">
        <w:t>ж</w:t>
      </w:r>
      <w:r w:rsidR="0029434A" w:rsidRPr="007347DD">
        <w:t>ности 25</w:t>
      </w:r>
      <w:r w:rsidR="0029434A">
        <w:t xml:space="preserve"> 280 575,</w:t>
      </w:r>
      <w:r w:rsidR="0029434A" w:rsidRPr="007347DD">
        <w:t>11 хорватских кун на цели оказания поддержки ассоци</w:t>
      </w:r>
      <w:r w:rsidR="0029434A" w:rsidRPr="007347DD">
        <w:t>а</w:t>
      </w:r>
      <w:r w:rsidR="0029434A" w:rsidRPr="007347DD">
        <w:t xml:space="preserve">циям, центрам и учреждениям, занимающимся вопросами оказания помощи лицам, пострадавшим от насилия, </w:t>
      </w:r>
      <w:r w:rsidR="0029434A">
        <w:t>в том числе</w:t>
      </w:r>
      <w:r w:rsidR="0029434A" w:rsidRPr="007347DD">
        <w:t xml:space="preserve"> приютам для женщин и консультацио</w:t>
      </w:r>
      <w:r w:rsidR="0029434A" w:rsidRPr="007347DD">
        <w:t>н</w:t>
      </w:r>
      <w:r w:rsidR="0029434A" w:rsidRPr="007347DD">
        <w:t>ным центрам</w:t>
      </w:r>
      <w:r w:rsidR="0029434A">
        <w:t xml:space="preserve"> </w:t>
      </w:r>
      <w:r w:rsidR="0029434A" w:rsidRPr="007347DD">
        <w:t>было выделено</w:t>
      </w:r>
      <w:r w:rsidR="0029434A">
        <w:t xml:space="preserve"> в общей сложности 8 327 478,</w:t>
      </w:r>
      <w:r w:rsidR="0029434A" w:rsidRPr="007347DD">
        <w:t>90 хорва</w:t>
      </w:r>
      <w:r w:rsidR="0029434A" w:rsidRPr="007347DD">
        <w:t>т</w:t>
      </w:r>
      <w:r w:rsidR="0029434A" w:rsidRPr="007347DD">
        <w:t xml:space="preserve">ских кун. </w:t>
      </w:r>
    </w:p>
    <w:p w:rsidR="0029434A" w:rsidRPr="007347DD" w:rsidRDefault="00BA168A" w:rsidP="00BA168A">
      <w:pPr>
        <w:pStyle w:val="SingleTxt"/>
      </w:pPr>
      <w:r>
        <w:tab/>
      </w:r>
      <w:r w:rsidR="0029434A" w:rsidRPr="007347DD">
        <w:t>НПО, которые одновременно предоставляют услуги в области психосоц</w:t>
      </w:r>
      <w:r w:rsidR="0029434A" w:rsidRPr="007347DD">
        <w:t>и</w:t>
      </w:r>
      <w:r w:rsidR="0029434A" w:rsidRPr="007347DD">
        <w:t xml:space="preserve">альной и правовой помощи, обслуживают также </w:t>
      </w:r>
      <w:r w:rsidR="003B6FF9">
        <w:t>«</w:t>
      </w:r>
      <w:r w:rsidR="0029434A" w:rsidRPr="007347DD">
        <w:t>телефоны доверия</w:t>
      </w:r>
      <w:r w:rsidR="003B6FF9">
        <w:t>»</w:t>
      </w:r>
      <w:r w:rsidR="0029434A" w:rsidRPr="007347DD">
        <w:t xml:space="preserve"> для же</w:t>
      </w:r>
      <w:r w:rsidR="0029434A" w:rsidRPr="007347DD">
        <w:t>н</w:t>
      </w:r>
      <w:r w:rsidR="0029434A" w:rsidRPr="007347DD">
        <w:t xml:space="preserve">щин и детей, ставших жертвами любых форм насилия (например, </w:t>
      </w:r>
      <w:r w:rsidR="003B6FF9">
        <w:t>«</w:t>
      </w:r>
      <w:r w:rsidR="0029434A" w:rsidRPr="007347DD">
        <w:t>телефон д</w:t>
      </w:r>
      <w:r w:rsidR="0029434A" w:rsidRPr="007347DD">
        <w:t>о</w:t>
      </w:r>
      <w:r w:rsidR="0029434A" w:rsidRPr="007347DD">
        <w:t>верия</w:t>
      </w:r>
      <w:r w:rsidR="003B6FF9">
        <w:t>»</w:t>
      </w:r>
      <w:r w:rsidR="0029434A" w:rsidRPr="007347DD">
        <w:t xml:space="preserve"> для женщин-инвалидов, ставших жертвами насилия). Консультацио</w:t>
      </w:r>
      <w:r w:rsidR="0029434A" w:rsidRPr="007347DD">
        <w:t>н</w:t>
      </w:r>
      <w:r w:rsidR="0029434A" w:rsidRPr="007347DD">
        <w:t>ные услуги предоставляются также семейными центрами, медицинскими и другими учреждениями.</w:t>
      </w:r>
    </w:p>
    <w:p w:rsidR="0029434A" w:rsidRDefault="00BA168A" w:rsidP="00BA168A">
      <w:pPr>
        <w:pStyle w:val="SingleTxt"/>
      </w:pPr>
      <w:r>
        <w:tab/>
      </w:r>
      <w:r w:rsidR="0029434A" w:rsidRPr="007347DD">
        <w:t>МЮ, Юридическая академия, МВД, Полицейская академия, МС, МСПМ, в сотрудничестве с ассоциациями и другими основными заинтересованными сторонами, систематически организуют различные виды подготовки для своих специалистов в целях предоставления защиты и помощи потерпевшим, опт</w:t>
      </w:r>
      <w:r w:rsidR="0029434A" w:rsidRPr="007347DD">
        <w:t>и</w:t>
      </w:r>
      <w:r w:rsidR="0029434A" w:rsidRPr="007347DD">
        <w:t xml:space="preserve">мального осуществления законов и эффективного </w:t>
      </w:r>
      <w:r w:rsidR="0029434A">
        <w:t>выявления</w:t>
      </w:r>
      <w:r w:rsidR="0029434A" w:rsidRPr="007347DD">
        <w:t xml:space="preserve"> и преследования в судебном порядке лиц, совершающих такие деяния. В Юридической акад</w:t>
      </w:r>
      <w:r w:rsidR="0029434A" w:rsidRPr="007347DD">
        <w:t>е</w:t>
      </w:r>
      <w:r w:rsidR="0029434A" w:rsidRPr="007347DD">
        <w:t>мии на регулярной основе организуются мероприятия по обучению методам</w:t>
      </w:r>
      <w:r w:rsidR="004E4FFA">
        <w:t xml:space="preserve"> </w:t>
      </w:r>
      <w:r w:rsidR="0029434A" w:rsidRPr="007347DD">
        <w:t xml:space="preserve">оказания помощи жертвам насилия и однодневные семинары на тему </w:t>
      </w:r>
      <w:r w:rsidR="003B6FF9">
        <w:t>«</w:t>
      </w:r>
      <w:r w:rsidR="0029434A" w:rsidRPr="007347DD">
        <w:t>Нас</w:t>
      </w:r>
      <w:r w:rsidR="0029434A" w:rsidRPr="007347DD">
        <w:t>и</w:t>
      </w:r>
      <w:r w:rsidR="0029434A" w:rsidRPr="007347DD">
        <w:t>лие в семье</w:t>
      </w:r>
      <w:r w:rsidR="003B6FF9">
        <w:t>»</w:t>
      </w:r>
      <w:r w:rsidR="0029434A" w:rsidRPr="007347DD">
        <w:t xml:space="preserve"> для представителей</w:t>
      </w:r>
      <w:r w:rsidR="0029434A">
        <w:t xml:space="preserve"> судебных органов. В 2012 году О</w:t>
      </w:r>
      <w:r w:rsidR="0029434A" w:rsidRPr="007347DD">
        <w:t>мбудсмен по в</w:t>
      </w:r>
      <w:r w:rsidR="0029434A" w:rsidRPr="007347DD">
        <w:t>о</w:t>
      </w:r>
      <w:r w:rsidR="0029434A" w:rsidRPr="007347DD">
        <w:t>просам гендерного равенства заключил с Полицейской академией соглаш</w:t>
      </w:r>
      <w:r w:rsidR="0029434A" w:rsidRPr="007347DD">
        <w:t>е</w:t>
      </w:r>
      <w:r w:rsidR="0029434A" w:rsidRPr="007347DD">
        <w:t>ние о сотрудничестве в области осуществления профессиональной подготовки с</w:t>
      </w:r>
      <w:r w:rsidR="0029434A" w:rsidRPr="007347DD">
        <w:t>о</w:t>
      </w:r>
      <w:r w:rsidR="0029434A" w:rsidRPr="007347DD">
        <w:t>трудников полиции и учащихся полицейского колледжа. Были организованы многочисленные учебные занятия для окружных групп по предупреждению и пресечению насилия в семье, а также для р</w:t>
      </w:r>
      <w:r w:rsidR="0029434A" w:rsidRPr="007347DD">
        <w:t>а</w:t>
      </w:r>
      <w:r w:rsidR="0029434A" w:rsidRPr="007347DD">
        <w:t>ботников полиции и медико-санитарных служб, работников центров социального обеспечения и т. д.</w:t>
      </w:r>
    </w:p>
    <w:p w:rsidR="00BA168A" w:rsidRPr="00BA168A" w:rsidRDefault="00BA168A" w:rsidP="00BA168A">
      <w:pPr>
        <w:pStyle w:val="SingleTxt"/>
        <w:spacing w:after="0" w:line="120" w:lineRule="exact"/>
        <w:rPr>
          <w:sz w:val="10"/>
        </w:rPr>
      </w:pPr>
    </w:p>
    <w:p w:rsidR="0029434A" w:rsidRDefault="0029434A" w:rsidP="00BA1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47DD">
        <w:tab/>
      </w:r>
      <w:r w:rsidRPr="007347DD">
        <w:tab/>
        <w:t>Женщины в постконфликтной ситуации</w:t>
      </w:r>
    </w:p>
    <w:p w:rsidR="00BA168A" w:rsidRPr="00BA168A" w:rsidRDefault="00BA168A" w:rsidP="00BA168A">
      <w:pPr>
        <w:pStyle w:val="SingleTxt"/>
        <w:spacing w:after="0" w:line="120" w:lineRule="exact"/>
        <w:rPr>
          <w:sz w:val="10"/>
        </w:rPr>
      </w:pPr>
    </w:p>
    <w:p w:rsidR="0029434A" w:rsidRPr="00BA168A" w:rsidRDefault="0029434A" w:rsidP="00BA168A">
      <w:pPr>
        <w:pStyle w:val="SingleTxt"/>
        <w:rPr>
          <w:b/>
        </w:rPr>
      </w:pPr>
      <w:r w:rsidRPr="007347DD">
        <w:t>11.</w:t>
      </w:r>
      <w:r w:rsidRPr="007347DD">
        <w:tab/>
      </w:r>
      <w:r w:rsidRPr="00BA168A">
        <w:rPr>
          <w:b/>
        </w:rPr>
        <w:t>Просьба указать, какие меры были приняты государством-участником для обеспечения того, чтобы женщины, которые стали жер</w:t>
      </w:r>
      <w:r w:rsidRPr="00BA168A">
        <w:rPr>
          <w:b/>
        </w:rPr>
        <w:t>т</w:t>
      </w:r>
      <w:r w:rsidRPr="00BA168A">
        <w:rPr>
          <w:b/>
        </w:rPr>
        <w:t>вами насилия во время войны, в частности сексуального насилия, имели доступ к правосудию и механизмам возмещения ущерба, в том числе пс</w:t>
      </w:r>
      <w:r w:rsidRPr="00BA168A">
        <w:rPr>
          <w:b/>
        </w:rPr>
        <w:t>и</w:t>
      </w:r>
      <w:r w:rsidRPr="00BA168A">
        <w:rPr>
          <w:b/>
        </w:rPr>
        <w:t>хологической, медицинской и иной помощи, и могли рассчитывать на в</w:t>
      </w:r>
      <w:r w:rsidRPr="00BA168A">
        <w:rPr>
          <w:b/>
        </w:rPr>
        <w:t>ы</w:t>
      </w:r>
      <w:r w:rsidRPr="00BA168A">
        <w:rPr>
          <w:b/>
        </w:rPr>
        <w:t>плату компенсации. Просьба также указать, какие меры принимаются государством-участником в целях ликвидации последствий военных де</w:t>
      </w:r>
      <w:r w:rsidRPr="00BA168A">
        <w:rPr>
          <w:b/>
        </w:rPr>
        <w:t>й</w:t>
      </w:r>
      <w:r w:rsidRPr="00BA168A">
        <w:rPr>
          <w:b/>
        </w:rPr>
        <w:t>ствий для психического здоровья мужчин — п</w:t>
      </w:r>
      <w:r w:rsidRPr="00BA168A">
        <w:rPr>
          <w:b/>
        </w:rPr>
        <w:t>о</w:t>
      </w:r>
      <w:r w:rsidRPr="00BA168A">
        <w:rPr>
          <w:b/>
        </w:rPr>
        <w:t>следствий, которые, по-видимому, являются одним из факторов, влияющих на рост числа жен</w:t>
      </w:r>
      <w:r w:rsidRPr="00BA168A">
        <w:rPr>
          <w:b/>
        </w:rPr>
        <w:t>о</w:t>
      </w:r>
      <w:r w:rsidRPr="00BA168A">
        <w:rPr>
          <w:b/>
        </w:rPr>
        <w:t xml:space="preserve">убийств. </w:t>
      </w:r>
    </w:p>
    <w:p w:rsidR="0029434A" w:rsidRPr="007347DD" w:rsidRDefault="00BA168A" w:rsidP="00BA168A">
      <w:pPr>
        <w:pStyle w:val="SingleTxt"/>
      </w:pPr>
      <w:r>
        <w:tab/>
      </w:r>
      <w:r w:rsidR="0029434A" w:rsidRPr="007347DD">
        <w:t>Была начата процедура принятия предложенного министерством по делам ветеранов (далее</w:t>
      </w:r>
      <w:r w:rsidR="003B6FF9">
        <w:t xml:space="preserve"> — </w:t>
      </w:r>
      <w:r w:rsidR="0029434A" w:rsidRPr="007347DD">
        <w:t xml:space="preserve">МВ) </w:t>
      </w:r>
      <w:r w:rsidR="0029434A" w:rsidRPr="007347DD">
        <w:rPr>
          <w:i/>
        </w:rPr>
        <w:t>Закона о правах лиц, подвергнувшихся сексуальному насилию в ходе Отечественной войны</w:t>
      </w:r>
      <w:r w:rsidR="0029434A" w:rsidRPr="007347DD">
        <w:t>. В нем дается опред</w:t>
      </w:r>
      <w:r w:rsidR="0029434A" w:rsidRPr="007347DD">
        <w:t>е</w:t>
      </w:r>
      <w:r w:rsidR="0029434A" w:rsidRPr="007347DD">
        <w:t>ление сексуального насилия в ходе Отечественной войны, регулируются вопросы, касающиеся прав жертв этой формы насилия, и меры по обеспечению осуществления этих прав, предусматриваются меры по укреплению сотрудничества между комп</w:t>
      </w:r>
      <w:r w:rsidR="0029434A" w:rsidRPr="007347DD">
        <w:t>е</w:t>
      </w:r>
      <w:r w:rsidR="0029434A" w:rsidRPr="007347DD">
        <w:t>тентными учреждениями в области уголовного преследования, меры, напра</w:t>
      </w:r>
      <w:r w:rsidR="0029434A" w:rsidRPr="007347DD">
        <w:t>в</w:t>
      </w:r>
      <w:r w:rsidR="0029434A" w:rsidRPr="007347DD">
        <w:t>ленные на восстановление достоинства жертв и повышение качества их жизни за счет обеспечения психосоциальной, медицинской и финансовой помощи. Окончательный вариант этого закона будет представлен на рассмотрение па</w:t>
      </w:r>
      <w:r w:rsidR="0029434A" w:rsidRPr="007347DD">
        <w:t>р</w:t>
      </w:r>
      <w:r w:rsidR="0029434A" w:rsidRPr="007347DD">
        <w:t xml:space="preserve">ламента Хорватии в марте 2015 года. </w:t>
      </w:r>
    </w:p>
    <w:p w:rsidR="0029434A" w:rsidRPr="007347DD" w:rsidRDefault="00BA168A" w:rsidP="00BA168A">
      <w:pPr>
        <w:pStyle w:val="SingleTxt"/>
      </w:pPr>
      <w:r>
        <w:tab/>
      </w:r>
      <w:r w:rsidR="0029434A" w:rsidRPr="007347DD">
        <w:t xml:space="preserve">В мае 2014 года в Загребе проходила региональная конференция </w:t>
      </w:r>
      <w:r w:rsidR="003B6FF9">
        <w:t>«</w:t>
      </w:r>
      <w:r w:rsidR="0029434A" w:rsidRPr="007347DD">
        <w:t>Секс</w:t>
      </w:r>
      <w:r w:rsidR="0029434A" w:rsidRPr="007347DD">
        <w:t>у</w:t>
      </w:r>
      <w:r w:rsidR="0029434A" w:rsidRPr="007347DD">
        <w:t>альное насилие в условиях вооруженного конфликта: отправление правосудия в отношении злоупотреблений в прошлом и предупреждение злоупотреблений в б</w:t>
      </w:r>
      <w:r w:rsidR="0029434A" w:rsidRPr="007347DD">
        <w:t>у</w:t>
      </w:r>
      <w:r w:rsidR="0029434A" w:rsidRPr="007347DD">
        <w:t>дущем</w:t>
      </w:r>
      <w:r w:rsidR="003B6FF9">
        <w:t>»</w:t>
      </w:r>
      <w:r w:rsidR="0029434A" w:rsidRPr="007347DD">
        <w:t>, которая была организована МВ при поддержке ПРООН.</w:t>
      </w:r>
    </w:p>
    <w:p w:rsidR="0029434A" w:rsidRPr="007347DD" w:rsidRDefault="00BA168A" w:rsidP="00BA168A">
      <w:pPr>
        <w:pStyle w:val="SingleTxt"/>
      </w:pPr>
      <w:r>
        <w:tab/>
      </w:r>
      <w:r w:rsidR="0029434A" w:rsidRPr="007347DD">
        <w:t xml:space="preserve">В 2012 году в Загребе проходила региональная конференция </w:t>
      </w:r>
      <w:r w:rsidR="003B6FF9">
        <w:t>«</w:t>
      </w:r>
      <w:r w:rsidR="0029434A" w:rsidRPr="007347DD">
        <w:t>Женщины в миростроительстве: доступ женщин к правосудию в странах, переживших ко</w:t>
      </w:r>
      <w:r w:rsidR="0029434A" w:rsidRPr="007347DD">
        <w:t>н</w:t>
      </w:r>
      <w:r w:rsidR="0029434A" w:rsidRPr="007347DD">
        <w:t>фликт</w:t>
      </w:r>
      <w:r w:rsidR="003B6FF9">
        <w:t>»</w:t>
      </w:r>
      <w:r w:rsidR="0029434A" w:rsidRPr="007347DD">
        <w:t xml:space="preserve">, организованная ассоциацией </w:t>
      </w:r>
      <w:r w:rsidR="003B6FF9">
        <w:t>«</w:t>
      </w:r>
      <w:r w:rsidR="0029434A" w:rsidRPr="007347DD">
        <w:t>Региональное женское лобби за мир, безопасность и справедливость в Юго-Восточной Европе</w:t>
      </w:r>
      <w:r w:rsidR="003B6FF9">
        <w:t>»</w:t>
      </w:r>
      <w:r w:rsidR="0029434A" w:rsidRPr="007347DD">
        <w:t xml:space="preserve"> при поддержке структуры </w:t>
      </w:r>
      <w:r w:rsidR="003B6FF9">
        <w:t>«</w:t>
      </w:r>
      <w:r w:rsidR="0029434A" w:rsidRPr="007347DD">
        <w:t>ООН-женщины</w:t>
      </w:r>
      <w:r w:rsidR="003B6FF9">
        <w:t>»</w:t>
      </w:r>
      <w:r w:rsidR="0029434A" w:rsidRPr="007347DD">
        <w:t>, УРМЖ и ассамблеи города Загреб. На этой ко</w:t>
      </w:r>
      <w:r w:rsidR="0029434A" w:rsidRPr="007347DD">
        <w:t>н</w:t>
      </w:r>
      <w:r w:rsidR="0029434A" w:rsidRPr="007347DD">
        <w:t>ференции основное внимание было уделено нормативно-правовой базе, кот</w:t>
      </w:r>
      <w:r w:rsidR="0029434A" w:rsidRPr="007347DD">
        <w:t>о</w:t>
      </w:r>
      <w:r w:rsidR="0029434A" w:rsidRPr="007347DD">
        <w:t>рая позволит осуществлять судебное преследование за сексуальные преступл</w:t>
      </w:r>
      <w:r w:rsidR="0029434A" w:rsidRPr="007347DD">
        <w:t>е</w:t>
      </w:r>
      <w:r w:rsidR="0029434A" w:rsidRPr="007347DD">
        <w:t>ния, совершенные во время Отечественной войны, как за военные преступл</w:t>
      </w:r>
      <w:r w:rsidR="0029434A" w:rsidRPr="007347DD">
        <w:t>е</w:t>
      </w:r>
      <w:r w:rsidR="0029434A" w:rsidRPr="007347DD">
        <w:t>ния, и обесп</w:t>
      </w:r>
      <w:r w:rsidR="0029434A" w:rsidRPr="007347DD">
        <w:t>е</w:t>
      </w:r>
      <w:r w:rsidR="0029434A" w:rsidRPr="007347DD">
        <w:t xml:space="preserve">чит некоторый вид моральной и иной компенсации жертвам. </w:t>
      </w:r>
    </w:p>
    <w:p w:rsidR="0029434A" w:rsidRDefault="00BA168A" w:rsidP="00BA168A">
      <w:pPr>
        <w:pStyle w:val="SingleTxt"/>
      </w:pPr>
      <w:r>
        <w:tab/>
      </w:r>
      <w:r w:rsidR="0029434A" w:rsidRPr="007347DD">
        <w:t>В январе 2014 года правительство РХ приняло новую Национальную пр</w:t>
      </w:r>
      <w:r w:rsidR="0029434A" w:rsidRPr="007347DD">
        <w:t>о</w:t>
      </w:r>
      <w:r w:rsidR="0029434A" w:rsidRPr="007347DD">
        <w:t>грамму по оказанию психосоциальной и медицинской помощи участникам и жертвам Отечественной войны и Второй мировой войны, а также лицам, во</w:t>
      </w:r>
      <w:r w:rsidR="0029434A" w:rsidRPr="007347DD">
        <w:t>з</w:t>
      </w:r>
      <w:r w:rsidR="0029434A" w:rsidRPr="007347DD">
        <w:t>вращающимся из миссий по поддержанию мира. По сравнению с предыдущ</w:t>
      </w:r>
      <w:r w:rsidR="0029434A" w:rsidRPr="007347DD">
        <w:t>и</w:t>
      </w:r>
      <w:r w:rsidR="0029434A" w:rsidRPr="007347DD">
        <w:t xml:space="preserve">ми программами, были расширены категории </w:t>
      </w:r>
      <w:r w:rsidR="0029434A">
        <w:t>бенефициаров</w:t>
      </w:r>
      <w:r w:rsidR="0029434A" w:rsidRPr="007347DD">
        <w:t xml:space="preserve">, с тем чтобы включить </w:t>
      </w:r>
      <w:r w:rsidR="0029434A">
        <w:t xml:space="preserve">в них </w:t>
      </w:r>
      <w:r w:rsidR="0029434A" w:rsidRPr="007347DD">
        <w:t>жертв и свидетелей изнасилования и сексуального надруг</w:t>
      </w:r>
      <w:r w:rsidR="0029434A" w:rsidRPr="007347DD">
        <w:t>а</w:t>
      </w:r>
      <w:r w:rsidR="0029434A" w:rsidRPr="007347DD">
        <w:t>тельства в ходе Отечественной войны, жертв и свидетелей военных преступл</w:t>
      </w:r>
      <w:r w:rsidR="0029434A" w:rsidRPr="007347DD">
        <w:t>е</w:t>
      </w:r>
      <w:r w:rsidR="0029434A" w:rsidRPr="007347DD">
        <w:t>ний, солдат-инвалидов и членов их семей, гражданских жертв Отечественной войны и другие категории. Центры социально-психологической помощи при министерстве по делам ветеранов составляют основу системы по оказанию с</w:t>
      </w:r>
      <w:r w:rsidR="0029434A" w:rsidRPr="007347DD">
        <w:t>о</w:t>
      </w:r>
      <w:r w:rsidR="0029434A" w:rsidRPr="007347DD">
        <w:t>циально-психологической поддержки лицам, пострадавшим в результате во</w:t>
      </w:r>
      <w:r w:rsidR="0029434A" w:rsidRPr="007347DD">
        <w:t>й</w:t>
      </w:r>
      <w:r w:rsidR="0029434A" w:rsidRPr="007347DD">
        <w:t>ны, и служат местом, где жертвы сексуального насилия, совершенного во вр</w:t>
      </w:r>
      <w:r w:rsidR="0029434A" w:rsidRPr="007347DD">
        <w:t>е</w:t>
      </w:r>
      <w:r w:rsidR="0029434A" w:rsidRPr="007347DD">
        <w:t>мя войны, могут найти всю необходимую информацию о процедурах подгото</w:t>
      </w:r>
      <w:r w:rsidR="0029434A" w:rsidRPr="007347DD">
        <w:t>в</w:t>
      </w:r>
      <w:r w:rsidR="0029434A" w:rsidRPr="007347DD">
        <w:t xml:space="preserve">ки </w:t>
      </w:r>
      <w:r w:rsidR="0029434A">
        <w:t>ходатайств</w:t>
      </w:r>
      <w:r w:rsidR="0029434A" w:rsidRPr="007347DD">
        <w:t xml:space="preserve"> о получении статуса жертвы, и где они могут ознакомиться со своими правами и получить психологическую поддержку, с тем чтобы помочь им примириться с тем, что они являются жертвами сексуального насилия. В центрах социально-психологической помощи в каждом округе работают эк</w:t>
      </w:r>
      <w:r w:rsidR="0029434A" w:rsidRPr="007347DD">
        <w:t>с</w:t>
      </w:r>
      <w:r w:rsidR="0029434A" w:rsidRPr="007347DD">
        <w:t>перты в различных областях</w:t>
      </w:r>
      <w:r w:rsidR="003B6FF9">
        <w:t xml:space="preserve"> — </w:t>
      </w:r>
      <w:r w:rsidR="0029434A" w:rsidRPr="007347DD">
        <w:t>психологи, социальные работники, юристы и другие эк</w:t>
      </w:r>
      <w:r w:rsidR="0029434A" w:rsidRPr="007347DD">
        <w:t>с</w:t>
      </w:r>
      <w:r w:rsidR="0029434A" w:rsidRPr="007347DD">
        <w:t>перты,</w:t>
      </w:r>
      <w:r w:rsidR="003B6FF9">
        <w:t xml:space="preserve"> — </w:t>
      </w:r>
      <w:r w:rsidR="0029434A" w:rsidRPr="007347DD">
        <w:t>которые оказывают</w:t>
      </w:r>
      <w:r w:rsidR="0029434A">
        <w:t xml:space="preserve"> консультативную и</w:t>
      </w:r>
      <w:r w:rsidR="0029434A" w:rsidRPr="007347DD">
        <w:t xml:space="preserve"> социально-психологическую помощь жертвам стационарно (находясь на службе в пом</w:t>
      </w:r>
      <w:r w:rsidR="0029434A" w:rsidRPr="007347DD">
        <w:t>е</w:t>
      </w:r>
      <w:r w:rsidR="0029434A" w:rsidRPr="007347DD">
        <w:t>щениях центра) и с помощью мобильных средств (посещения домов и семей бенефициаров). В качестве самостоятельных больничных отделений для оказ</w:t>
      </w:r>
      <w:r w:rsidR="0029434A" w:rsidRPr="007347DD">
        <w:t>а</w:t>
      </w:r>
      <w:r w:rsidR="0029434A" w:rsidRPr="007347DD">
        <w:t>ния психиатрической помощи и предоставления пользователям различных пр</w:t>
      </w:r>
      <w:r w:rsidR="0029434A" w:rsidRPr="007347DD">
        <w:t>о</w:t>
      </w:r>
      <w:r w:rsidR="0029434A" w:rsidRPr="007347DD">
        <w:t>грамм терапии были созданы национальные центры психологических травм и региональные центры психологических травм. Лицо, страдающее посттравм</w:t>
      </w:r>
      <w:r w:rsidR="0029434A" w:rsidRPr="007347DD">
        <w:t>а</w:t>
      </w:r>
      <w:r w:rsidR="0029434A" w:rsidRPr="007347DD">
        <w:t>тическим стрессовым расстройством (ПСР) или аналогичным психологич</w:t>
      </w:r>
      <w:r w:rsidR="0029434A" w:rsidRPr="007347DD">
        <w:t>е</w:t>
      </w:r>
      <w:r w:rsidR="0029434A" w:rsidRPr="007347DD">
        <w:t>ским расстройством, может одновременно продолжить свое лечение в больн</w:t>
      </w:r>
      <w:r w:rsidR="0029434A" w:rsidRPr="007347DD">
        <w:t>и</w:t>
      </w:r>
      <w:r w:rsidR="0029434A" w:rsidRPr="007347DD">
        <w:t>це. Такие методы лечения дают положительные результаты. В декабре 2014 г</w:t>
      </w:r>
      <w:r w:rsidR="0029434A" w:rsidRPr="007347DD">
        <w:t>о</w:t>
      </w:r>
      <w:r w:rsidR="0029434A" w:rsidRPr="007347DD">
        <w:t>да в состав</w:t>
      </w:r>
      <w:r w:rsidR="0029434A">
        <w:t>е</w:t>
      </w:r>
      <w:r w:rsidR="0029434A" w:rsidRPr="007347DD">
        <w:t xml:space="preserve"> больницы общего профиля Забок начала функционировать хорва</w:t>
      </w:r>
      <w:r w:rsidR="0029434A" w:rsidRPr="007347DD">
        <w:t>т</w:t>
      </w:r>
      <w:r w:rsidR="0029434A" w:rsidRPr="007347DD">
        <w:t>ская больница ветеранов, которая стала первым специализированным учр</w:t>
      </w:r>
      <w:r w:rsidR="0029434A" w:rsidRPr="007347DD">
        <w:t>е</w:t>
      </w:r>
      <w:r w:rsidR="0029434A" w:rsidRPr="007347DD">
        <w:t>ждением для лечения ветеранов войны и конкретных заболеваний, которыми страдают представители этой группы населения.</w:t>
      </w:r>
    </w:p>
    <w:p w:rsidR="00BA168A" w:rsidRPr="00BA168A" w:rsidRDefault="00BA168A" w:rsidP="00BA168A">
      <w:pPr>
        <w:pStyle w:val="SingleTxt"/>
        <w:spacing w:after="0" w:line="120" w:lineRule="exact"/>
        <w:rPr>
          <w:sz w:val="10"/>
        </w:rPr>
      </w:pPr>
    </w:p>
    <w:p w:rsidR="0029434A" w:rsidRDefault="0029434A" w:rsidP="00BA1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47DD">
        <w:tab/>
      </w:r>
      <w:r w:rsidRPr="007347DD">
        <w:tab/>
        <w:t xml:space="preserve">Торговля женщинами и эксплуатация проституции </w:t>
      </w:r>
    </w:p>
    <w:p w:rsidR="00BA168A" w:rsidRPr="00BA168A" w:rsidRDefault="00BA168A" w:rsidP="00BA168A">
      <w:pPr>
        <w:pStyle w:val="SingleTxt"/>
        <w:spacing w:after="0" w:line="120" w:lineRule="exact"/>
        <w:rPr>
          <w:sz w:val="10"/>
        </w:rPr>
      </w:pPr>
    </w:p>
    <w:p w:rsidR="0029434A" w:rsidRPr="00BA168A" w:rsidRDefault="0029434A" w:rsidP="00BA168A">
      <w:pPr>
        <w:pStyle w:val="SingleTxt"/>
        <w:rPr>
          <w:b/>
        </w:rPr>
      </w:pPr>
      <w:r w:rsidRPr="007347DD">
        <w:t>12.</w:t>
      </w:r>
      <w:r w:rsidRPr="007347DD">
        <w:tab/>
      </w:r>
      <w:r w:rsidRPr="00BA168A">
        <w:rPr>
          <w:b/>
        </w:rPr>
        <w:t>Просьба дать оценку эффективности национальных планов действий по борьбе с торговлей людьми (пункт 67) и представить обновленную и</w:t>
      </w:r>
      <w:r w:rsidRPr="00BA168A">
        <w:rPr>
          <w:b/>
        </w:rPr>
        <w:t>н</w:t>
      </w:r>
      <w:r w:rsidRPr="00BA168A">
        <w:rPr>
          <w:b/>
        </w:rPr>
        <w:t>формацию о мерах, принимаемых в целях предотвращения торговли же</w:t>
      </w:r>
      <w:r w:rsidRPr="00BA168A">
        <w:rPr>
          <w:b/>
        </w:rPr>
        <w:t>н</w:t>
      </w:r>
      <w:r w:rsidRPr="00BA168A">
        <w:rPr>
          <w:b/>
        </w:rPr>
        <w:t xml:space="preserve">щинами и повышения уровня защиты, предоставляемой жертвам. </w:t>
      </w:r>
    </w:p>
    <w:p w:rsidR="0029434A" w:rsidRPr="007347DD" w:rsidRDefault="00BA168A" w:rsidP="00BA168A">
      <w:pPr>
        <w:pStyle w:val="SingleTxt"/>
        <w:rPr>
          <w:i/>
          <w:iCs/>
        </w:rPr>
      </w:pPr>
      <w:r>
        <w:tab/>
      </w:r>
      <w:r w:rsidR="0029434A" w:rsidRPr="007347DD">
        <w:t xml:space="preserve">В 2012 году правительство РХ приняло </w:t>
      </w:r>
      <w:r w:rsidR="0029434A" w:rsidRPr="007347DD">
        <w:rPr>
          <w:i/>
        </w:rPr>
        <w:t>Национальный план по борьбе с торговлей людьми на период 2012</w:t>
      </w:r>
      <w:r w:rsidR="003B6FF9">
        <w:rPr>
          <w:i/>
        </w:rPr>
        <w:t>–</w:t>
      </w:r>
      <w:r w:rsidR="0029434A" w:rsidRPr="007347DD">
        <w:rPr>
          <w:i/>
        </w:rPr>
        <w:t>2015 годов</w:t>
      </w:r>
      <w:r w:rsidR="0029434A" w:rsidRPr="007347DD">
        <w:t>. Его осуществление оценивае</w:t>
      </w:r>
      <w:r w:rsidR="0029434A" w:rsidRPr="007347DD">
        <w:t>т</w:t>
      </w:r>
      <w:r w:rsidR="0029434A" w:rsidRPr="007347DD">
        <w:t>ся как очень успешное и привело к созданию прочной системы борьбы с торго</w:t>
      </w:r>
      <w:r w:rsidR="0029434A" w:rsidRPr="007347DD">
        <w:t>в</w:t>
      </w:r>
      <w:r w:rsidR="0029434A" w:rsidRPr="007347DD">
        <w:t>лей людьми с у</w:t>
      </w:r>
      <w:r w:rsidR="0029434A">
        <w:t xml:space="preserve">пором на </w:t>
      </w:r>
      <w:r w:rsidR="0029434A" w:rsidRPr="007347DD">
        <w:t>профилактик</w:t>
      </w:r>
      <w:r w:rsidR="0029434A">
        <w:t>у</w:t>
      </w:r>
      <w:r w:rsidR="0029434A" w:rsidRPr="007347DD">
        <w:t xml:space="preserve"> и реабилитаци</w:t>
      </w:r>
      <w:r w:rsidR="0029434A">
        <w:t>ю</w:t>
      </w:r>
      <w:r w:rsidR="0029434A" w:rsidRPr="007347DD">
        <w:t xml:space="preserve"> жертв. В Плане особое внимание </w:t>
      </w:r>
      <w:r w:rsidR="0029434A">
        <w:t xml:space="preserve">уделено </w:t>
      </w:r>
      <w:r w:rsidR="0029434A" w:rsidRPr="007347DD">
        <w:t>дальнейше</w:t>
      </w:r>
      <w:r w:rsidR="0029434A">
        <w:t>му</w:t>
      </w:r>
      <w:r w:rsidR="0029434A" w:rsidRPr="007347DD">
        <w:t xml:space="preserve"> укреплени</w:t>
      </w:r>
      <w:r w:rsidR="0029434A">
        <w:t>ю</w:t>
      </w:r>
      <w:r w:rsidR="0029434A" w:rsidRPr="007347DD">
        <w:t xml:space="preserve"> сотрудничества между органами государственной прокуратуры и МВД, улучшени</w:t>
      </w:r>
      <w:r w:rsidR="0029434A">
        <w:t>ю</w:t>
      </w:r>
      <w:r w:rsidR="0029434A" w:rsidRPr="007347DD">
        <w:t xml:space="preserve"> методов идентификации жертв торговли людьми и защит</w:t>
      </w:r>
      <w:r w:rsidR="0029434A">
        <w:t>е</w:t>
      </w:r>
      <w:r w:rsidR="0029434A" w:rsidRPr="007347DD">
        <w:t xml:space="preserve"> их основополагающих интересов. Предупр</w:t>
      </w:r>
      <w:r w:rsidR="0029434A" w:rsidRPr="007347DD">
        <w:t>е</w:t>
      </w:r>
      <w:r w:rsidR="0029434A" w:rsidRPr="007347DD">
        <w:t>ждению этого уголовного преступления посвящены соответствующие полож</w:t>
      </w:r>
      <w:r w:rsidR="0029434A" w:rsidRPr="007347DD">
        <w:t>е</w:t>
      </w:r>
      <w:r w:rsidR="0029434A" w:rsidRPr="007347DD">
        <w:t xml:space="preserve">ния </w:t>
      </w:r>
      <w:r w:rsidR="0029434A" w:rsidRPr="007347DD">
        <w:rPr>
          <w:i/>
        </w:rPr>
        <w:t>Уголовного кодекса, Закона о внесении поправок в Закон об уголовном с</w:t>
      </w:r>
      <w:r w:rsidR="0029434A" w:rsidRPr="007347DD">
        <w:rPr>
          <w:i/>
        </w:rPr>
        <w:t>у</w:t>
      </w:r>
      <w:r w:rsidR="0029434A" w:rsidRPr="007347DD">
        <w:rPr>
          <w:i/>
        </w:rPr>
        <w:t>допроизводстве, Закон об иностранцах, Закона об убежище</w:t>
      </w:r>
      <w:r w:rsidR="0029434A" w:rsidRPr="007347DD">
        <w:t xml:space="preserve"> и других закон</w:t>
      </w:r>
      <w:r w:rsidR="0029434A" w:rsidRPr="007347DD">
        <w:t>о</w:t>
      </w:r>
      <w:r w:rsidR="0029434A" w:rsidRPr="007347DD">
        <w:t xml:space="preserve">дательных актов. </w:t>
      </w:r>
    </w:p>
    <w:p w:rsidR="0029434A" w:rsidRPr="007347DD" w:rsidRDefault="00BA168A" w:rsidP="00BA168A">
      <w:pPr>
        <w:pStyle w:val="SingleTxt"/>
      </w:pPr>
      <w:r>
        <w:tab/>
      </w:r>
      <w:r w:rsidR="0029434A" w:rsidRPr="007347DD">
        <w:t>В соответствии с официальными данными, предоставленными МВД, большинство жертв составляют женщины, и торговля людьми зачастую тесно связана с сексуальной эксплуатацией. В 2011 году было зарегистрировано в общей сложности 14 жертв торговли людьми, в 2012 году</w:t>
      </w:r>
      <w:r w:rsidR="003B6FF9">
        <w:t xml:space="preserve"> — </w:t>
      </w:r>
      <w:r w:rsidR="0029434A" w:rsidRPr="007347DD">
        <w:t>12, а в 2013 г</w:t>
      </w:r>
      <w:r w:rsidR="0029434A" w:rsidRPr="007347DD">
        <w:t>о</w:t>
      </w:r>
      <w:r w:rsidR="0029434A" w:rsidRPr="007347DD">
        <w:t>ду</w:t>
      </w:r>
      <w:r w:rsidR="003B6FF9">
        <w:t xml:space="preserve"> — </w:t>
      </w:r>
      <w:r w:rsidR="0029434A" w:rsidRPr="007347DD">
        <w:t>всего 4 жертвы. Республика Хорватия является одним из основных тра</w:t>
      </w:r>
      <w:r w:rsidR="0029434A" w:rsidRPr="007347DD">
        <w:t>н</w:t>
      </w:r>
      <w:r w:rsidR="0029434A" w:rsidRPr="007347DD">
        <w:t>зитных маршрутов на пути в страны Западной Европы и, в контексте то</w:t>
      </w:r>
      <w:r w:rsidR="0029434A" w:rsidRPr="007347DD">
        <w:t>р</w:t>
      </w:r>
      <w:r w:rsidR="0029434A" w:rsidRPr="007347DD">
        <w:t>говли женщинами, является главным образом страной транзита. МВД сотру</w:t>
      </w:r>
      <w:r w:rsidR="0029434A" w:rsidRPr="007347DD">
        <w:t>д</w:t>
      </w:r>
      <w:r w:rsidR="0029434A" w:rsidRPr="007347DD">
        <w:t>ничает с Интерполом, Европолом и Центром СЕЛЕК посредством участия в деятельн</w:t>
      </w:r>
      <w:r w:rsidR="0029434A" w:rsidRPr="007347DD">
        <w:t>о</w:t>
      </w:r>
      <w:r w:rsidR="0029434A" w:rsidRPr="007347DD">
        <w:t>сти рабочих групп по борьбе с незаконным ввозом людей и торговлей людьми, с тем чтобы добиться более эффективного обмена данными и укрепления ме</w:t>
      </w:r>
      <w:r w:rsidR="0029434A" w:rsidRPr="007347DD">
        <w:t>ж</w:t>
      </w:r>
      <w:r w:rsidR="0029434A" w:rsidRPr="007347DD">
        <w:t>дународного и регионального сотрудничества между органами п</w:t>
      </w:r>
      <w:r w:rsidR="0029434A" w:rsidRPr="007347DD">
        <w:t>о</w:t>
      </w:r>
      <w:r w:rsidR="0029434A" w:rsidRPr="007347DD">
        <w:t>лиции.</w:t>
      </w:r>
    </w:p>
    <w:p w:rsidR="0029434A" w:rsidRPr="007347DD" w:rsidRDefault="00BA168A" w:rsidP="00BA168A">
      <w:pPr>
        <w:pStyle w:val="SingleTxt"/>
      </w:pPr>
      <w:r>
        <w:tab/>
      </w:r>
      <w:r w:rsidR="0029434A" w:rsidRPr="007347DD">
        <w:t>ПETРА</w:t>
      </w:r>
      <w:r w:rsidR="003B6FF9">
        <w:t xml:space="preserve"> — </w:t>
      </w:r>
      <w:r w:rsidR="0029434A" w:rsidRPr="007347DD">
        <w:t>сеть неправительственных организаций по предотвращению и ликвидации торговли женщинами в целях сексуальной эксплуатации, активно работает в области борьбы с торговлей женщинами и детьми, с уделением ос</w:t>
      </w:r>
      <w:r w:rsidR="0029434A" w:rsidRPr="007347DD">
        <w:t>о</w:t>
      </w:r>
      <w:r w:rsidR="0029434A" w:rsidRPr="007347DD">
        <w:t>бого внимания сексуальной эксплуатации. Помимо многочисленных меропри</w:t>
      </w:r>
      <w:r w:rsidR="0029434A" w:rsidRPr="007347DD">
        <w:t>я</w:t>
      </w:r>
      <w:r w:rsidR="0029434A" w:rsidRPr="007347DD">
        <w:t xml:space="preserve">тий по оказанию прямой помощи жертвам торговли людьми, превентивных инициатив, предложения поправок к законодательству и деятельности в рамках осуществления национальных планов по борьбе с торговлей людьми, эта сеть активно участвует в работе Национального комитета по борьбе с торговлей людьми и обеспечивает функционирование </w:t>
      </w:r>
      <w:r w:rsidR="003B6FF9">
        <w:t>«</w:t>
      </w:r>
      <w:r w:rsidR="0029434A" w:rsidRPr="007347DD">
        <w:t>горячей линии</w:t>
      </w:r>
      <w:r w:rsidR="003B6FF9">
        <w:t>»</w:t>
      </w:r>
      <w:r w:rsidR="0029434A" w:rsidRPr="007347DD">
        <w:t xml:space="preserve"> по оказанию п</w:t>
      </w:r>
      <w:r w:rsidR="0029434A" w:rsidRPr="007347DD">
        <w:t>о</w:t>
      </w:r>
      <w:r w:rsidR="0029434A" w:rsidRPr="007347DD">
        <w:t xml:space="preserve">мощи жертвам такой торговли. </w:t>
      </w:r>
    </w:p>
    <w:p w:rsidR="0029434A" w:rsidRPr="00BA168A" w:rsidRDefault="0029434A" w:rsidP="00BA168A">
      <w:pPr>
        <w:pStyle w:val="SingleTxt"/>
        <w:rPr>
          <w:b/>
        </w:rPr>
      </w:pPr>
      <w:r w:rsidRPr="007347DD">
        <w:t>13.</w:t>
      </w:r>
      <w:r w:rsidRPr="007347DD">
        <w:tab/>
      </w:r>
      <w:r w:rsidRPr="00BA168A">
        <w:rPr>
          <w:b/>
        </w:rPr>
        <w:t>Просьба представить информацию относительно распространенности проституции в государстве-участнике, а также о стратегиях и мерах, кот</w:t>
      </w:r>
      <w:r w:rsidRPr="00BA168A">
        <w:rPr>
          <w:b/>
        </w:rPr>
        <w:t>о</w:t>
      </w:r>
      <w:r w:rsidRPr="00BA168A">
        <w:rPr>
          <w:b/>
        </w:rPr>
        <w:t>рые были разработаны и осуществляются в целях профилактики секс</w:t>
      </w:r>
      <w:r w:rsidRPr="00BA168A">
        <w:rPr>
          <w:b/>
        </w:rPr>
        <w:t>у</w:t>
      </w:r>
      <w:r w:rsidRPr="00BA168A">
        <w:rPr>
          <w:b/>
        </w:rPr>
        <w:t>альной эк</w:t>
      </w:r>
      <w:r w:rsidRPr="00BA168A">
        <w:rPr>
          <w:b/>
        </w:rPr>
        <w:t>с</w:t>
      </w:r>
      <w:r w:rsidRPr="00BA168A">
        <w:rPr>
          <w:b/>
        </w:rPr>
        <w:t>плуатации женщин и девочек. Кроме того, просьба представить информацию о мерах, которые предполагается принять и/или которые уже были приняты в целях оказания поддержки женщинам, решившим п</w:t>
      </w:r>
      <w:r w:rsidRPr="00BA168A">
        <w:rPr>
          <w:b/>
        </w:rPr>
        <w:t>о</w:t>
      </w:r>
      <w:r w:rsidRPr="00BA168A">
        <w:rPr>
          <w:b/>
        </w:rPr>
        <w:t>рвать с проституцией. Просьба также сообщить, были ли приняты какие-либо меры, призванные обеспечить недопущение эксплуатации простит</w:t>
      </w:r>
      <w:r w:rsidRPr="00BA168A">
        <w:rPr>
          <w:b/>
        </w:rPr>
        <w:t>у</w:t>
      </w:r>
      <w:r w:rsidRPr="00BA168A">
        <w:rPr>
          <w:b/>
        </w:rPr>
        <w:t>ции и торговли женщинами, в том числе уменьшение спроса на простит</w:t>
      </w:r>
      <w:r w:rsidRPr="00BA168A">
        <w:rPr>
          <w:b/>
        </w:rPr>
        <w:t>у</w:t>
      </w:r>
      <w:r w:rsidRPr="00BA168A">
        <w:rPr>
          <w:b/>
        </w:rPr>
        <w:t>цию.</w:t>
      </w:r>
    </w:p>
    <w:p w:rsidR="0029434A" w:rsidRPr="007347DD" w:rsidRDefault="00BA168A" w:rsidP="00BA168A">
      <w:pPr>
        <w:pStyle w:val="SingleTxt"/>
      </w:pPr>
      <w:r>
        <w:tab/>
      </w:r>
      <w:r w:rsidR="0029434A" w:rsidRPr="007347DD">
        <w:t xml:space="preserve">Проблема проституции регулируется </w:t>
      </w:r>
      <w:r w:rsidR="0029434A" w:rsidRPr="007347DD">
        <w:rPr>
          <w:i/>
        </w:rPr>
        <w:t>Уголовным кодексом</w:t>
      </w:r>
      <w:r w:rsidR="0029434A" w:rsidRPr="007347DD">
        <w:t>. В нем пред</w:t>
      </w:r>
      <w:r w:rsidR="0029434A" w:rsidRPr="007347DD">
        <w:t>у</w:t>
      </w:r>
      <w:r w:rsidR="0029434A" w:rsidRPr="007347DD">
        <w:t>смотр</w:t>
      </w:r>
      <w:r w:rsidR="0029434A" w:rsidRPr="007347DD">
        <w:t>е</w:t>
      </w:r>
      <w:r w:rsidR="0029434A" w:rsidRPr="007347DD">
        <w:t>но наказание за уголовные преступления в области проституции в виде тюре</w:t>
      </w:r>
      <w:r w:rsidR="0029434A" w:rsidRPr="007347DD">
        <w:t>м</w:t>
      </w:r>
      <w:r w:rsidR="0029434A" w:rsidRPr="007347DD">
        <w:t>ного заключения на срок от шести месяцев до пяти лет для лиц, которые в целях извлечения прибыли или других выгод, занимаются сводничеством, подстрекательством или побуждением других лиц к оказанию сексуальных услуг или организуют оказание таких услуг или помогают другим лицам орг</w:t>
      </w:r>
      <w:r w:rsidR="0029434A" w:rsidRPr="007347DD">
        <w:t>а</w:t>
      </w:r>
      <w:r w:rsidR="0029434A" w:rsidRPr="007347DD">
        <w:t>низовать оказание сексуальных услуг. В тех случаях, когда для целей прост</w:t>
      </w:r>
      <w:r w:rsidR="0029434A" w:rsidRPr="007347DD">
        <w:t>и</w:t>
      </w:r>
      <w:r w:rsidR="0029434A" w:rsidRPr="007347DD">
        <w:t>туции используются сила, угрозы, обман, мошенничество, злоупотреблени</w:t>
      </w:r>
      <w:r w:rsidR="0029434A">
        <w:t>е</w:t>
      </w:r>
      <w:r w:rsidR="0029434A" w:rsidRPr="007347DD">
        <w:t xml:space="preserve"> властью или затруднительным или зависимым положением, применяется нак</w:t>
      </w:r>
      <w:r w:rsidR="0029434A" w:rsidRPr="007347DD">
        <w:t>а</w:t>
      </w:r>
      <w:r w:rsidR="0029434A" w:rsidRPr="007347DD">
        <w:t>зание в виде 10 лет тюремного заключения. Такой же приговор выносится л</w:t>
      </w:r>
      <w:r w:rsidR="0029434A" w:rsidRPr="007347DD">
        <w:t>и</w:t>
      </w:r>
      <w:r w:rsidR="0029434A" w:rsidRPr="007347DD">
        <w:t>цам, пользующимся этими услугами, если они знали или должны или могли знать о вышеупомянутых обстоятельствах. Реклама проституции наказывается лиш</w:t>
      </w:r>
      <w:r w:rsidR="0029434A" w:rsidRPr="007347DD">
        <w:t>е</w:t>
      </w:r>
      <w:r w:rsidR="0029434A" w:rsidRPr="007347DD">
        <w:t xml:space="preserve">нием свободы на срок до трех лет. </w:t>
      </w:r>
    </w:p>
    <w:p w:rsidR="0029434A" w:rsidRDefault="00BA168A" w:rsidP="00BA168A">
      <w:pPr>
        <w:pStyle w:val="SingleTxt"/>
      </w:pPr>
      <w:r>
        <w:tab/>
      </w:r>
      <w:r w:rsidR="0029434A" w:rsidRPr="007347DD">
        <w:t>Органами государственного управления, ассоциациями и в сотруднич</w:t>
      </w:r>
      <w:r w:rsidR="0029434A" w:rsidRPr="007347DD">
        <w:t>е</w:t>
      </w:r>
      <w:r w:rsidR="0029434A" w:rsidRPr="007347DD">
        <w:t xml:space="preserve">стве с международными организациями и учреждениями были организованы и </w:t>
      </w:r>
      <w:r w:rsidR="0029434A">
        <w:t xml:space="preserve">осуществлялись </w:t>
      </w:r>
      <w:r w:rsidR="0029434A" w:rsidRPr="007347DD">
        <w:t>различные проекты и общественные кампании в целях пов</w:t>
      </w:r>
      <w:r w:rsidR="0029434A" w:rsidRPr="007347DD">
        <w:t>ы</w:t>
      </w:r>
      <w:r w:rsidR="0029434A" w:rsidRPr="007347DD">
        <w:t>шения уровня осведомленности общества и основных заинтересованных ст</w:t>
      </w:r>
      <w:r w:rsidR="0029434A" w:rsidRPr="007347DD">
        <w:t>о</w:t>
      </w:r>
      <w:r w:rsidR="0029434A" w:rsidRPr="007347DD">
        <w:t xml:space="preserve">рон </w:t>
      </w:r>
      <w:r w:rsidR="0029434A">
        <w:t>относительно проблемы</w:t>
      </w:r>
      <w:r w:rsidR="0029434A" w:rsidRPr="007347DD">
        <w:t xml:space="preserve"> торговли женщинами и девочками и необходим</w:t>
      </w:r>
      <w:r w:rsidR="0029434A" w:rsidRPr="007347DD">
        <w:t>о</w:t>
      </w:r>
      <w:r w:rsidR="0029434A" w:rsidRPr="007347DD">
        <w:t>сти предупреждения и пресечения торговли людьми и проституции. 18 октября регулярно отмечается День борьбы с торговлей людьми. Переводятся, издаю</w:t>
      </w:r>
      <w:r w:rsidR="0029434A" w:rsidRPr="007347DD">
        <w:t>т</w:t>
      </w:r>
      <w:r w:rsidR="0029434A" w:rsidRPr="007347DD">
        <w:t>ся и распространяются соответствующие документы и учебные материалы, о</w:t>
      </w:r>
      <w:r w:rsidR="0029434A" w:rsidRPr="007347DD">
        <w:t>р</w:t>
      </w:r>
      <w:r w:rsidR="0029434A" w:rsidRPr="007347DD">
        <w:t>ганизовываются программы профессиональной подготовки для учащихся и широкой общественности. На регулярной основе выделяются финансовые средства на реализацию проектов НПО, касающихся рассматриваемой пробл</w:t>
      </w:r>
      <w:r w:rsidR="0029434A" w:rsidRPr="007347DD">
        <w:t>е</w:t>
      </w:r>
      <w:r w:rsidR="0029434A" w:rsidRPr="007347DD">
        <w:t xml:space="preserve">мы. </w:t>
      </w:r>
    </w:p>
    <w:p w:rsidR="00BA168A" w:rsidRPr="00BA168A" w:rsidRDefault="00BA168A" w:rsidP="00BA168A">
      <w:pPr>
        <w:pStyle w:val="SingleTxt"/>
        <w:spacing w:after="0" w:line="120" w:lineRule="exact"/>
        <w:rPr>
          <w:sz w:val="10"/>
        </w:rPr>
      </w:pPr>
    </w:p>
    <w:p w:rsidR="0029434A" w:rsidRDefault="0029434A" w:rsidP="00BA1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47DD">
        <w:tab/>
      </w:r>
      <w:r w:rsidRPr="007347DD">
        <w:tab/>
        <w:t xml:space="preserve">Участие в политической и общественной жизни </w:t>
      </w:r>
    </w:p>
    <w:p w:rsidR="00BA168A" w:rsidRPr="00BA168A" w:rsidRDefault="00BA168A" w:rsidP="00BA168A">
      <w:pPr>
        <w:pStyle w:val="SingleTxt"/>
        <w:spacing w:after="0" w:line="120" w:lineRule="exact"/>
        <w:rPr>
          <w:sz w:val="10"/>
        </w:rPr>
      </w:pPr>
    </w:p>
    <w:p w:rsidR="0029434A" w:rsidRPr="00BA168A" w:rsidRDefault="0029434A" w:rsidP="00BA168A">
      <w:pPr>
        <w:pStyle w:val="SingleTxt"/>
        <w:rPr>
          <w:b/>
        </w:rPr>
      </w:pPr>
      <w:r w:rsidRPr="007347DD">
        <w:t>14.</w:t>
      </w:r>
      <w:r w:rsidRPr="007347DD">
        <w:tab/>
      </w:r>
      <w:r w:rsidRPr="00BA168A">
        <w:rPr>
          <w:b/>
        </w:rPr>
        <w:t>Просьба представить обновленную информацию об участии женщин в политической и общественной жизни, в том числе в мероприятиях, пр</w:t>
      </w:r>
      <w:r w:rsidRPr="00BA168A">
        <w:rPr>
          <w:b/>
        </w:rPr>
        <w:t>о</w:t>
      </w:r>
      <w:r w:rsidRPr="00BA168A">
        <w:rPr>
          <w:b/>
        </w:rPr>
        <w:t>водившихся в рамках последних выборов в общенациональные, окружные и местные органы власти. Просьба сообщить, какие меры были приняты для решения задач, связанных с повышением уровня представленности женщин на назначаемых старших руководящих должностях в сферах о</w:t>
      </w:r>
      <w:r w:rsidRPr="00BA168A">
        <w:rPr>
          <w:b/>
        </w:rPr>
        <w:t>б</w:t>
      </w:r>
      <w:r w:rsidRPr="00BA168A">
        <w:rPr>
          <w:b/>
        </w:rPr>
        <w:t>щественной, политической и экономической жизни. Просьба сообщить, какие меры были приняты в целях предоставления женщинам более ш</w:t>
      </w:r>
      <w:r w:rsidRPr="00BA168A">
        <w:rPr>
          <w:b/>
        </w:rPr>
        <w:t>и</w:t>
      </w:r>
      <w:r w:rsidRPr="00BA168A">
        <w:rPr>
          <w:b/>
        </w:rPr>
        <w:t>роких возможностей в плане назначения на высокие должности в сфере дипломатической службы (пункт 137).</w:t>
      </w:r>
    </w:p>
    <w:p w:rsidR="0029434A" w:rsidRPr="007347DD" w:rsidRDefault="00BA168A" w:rsidP="00BA168A">
      <w:pPr>
        <w:pStyle w:val="SingleTxt"/>
      </w:pPr>
      <w:r>
        <w:tab/>
      </w:r>
      <w:r w:rsidR="0029434A" w:rsidRPr="007347DD">
        <w:t>В ходе президентских выборов в январе 2015 года избиратели впервые выбрали на пост президента женщину. Президент Республики Хорватия г-жа Колинда Грабар-Китарович ранее занимала посты министра иностранных дел и е</w:t>
      </w:r>
      <w:r w:rsidR="0029434A" w:rsidRPr="007347DD">
        <w:t>в</w:t>
      </w:r>
      <w:r w:rsidR="0029434A" w:rsidRPr="007347DD">
        <w:t>ропейской интеграции, посла Хорватии в Соединенных Штатах Америки, а с 2011 года она являлась помощником Генерального секретаря Организации С</w:t>
      </w:r>
      <w:r w:rsidR="0029434A" w:rsidRPr="007347DD">
        <w:t>е</w:t>
      </w:r>
      <w:r w:rsidR="0029434A" w:rsidRPr="007347DD">
        <w:t xml:space="preserve">вероатлантического договора (НАТО) по вопросам общественной дипломатии. </w:t>
      </w:r>
    </w:p>
    <w:p w:rsidR="0029434A" w:rsidRPr="007347DD" w:rsidRDefault="00BA168A" w:rsidP="00BA168A">
      <w:pPr>
        <w:pStyle w:val="SingleTxt"/>
      </w:pPr>
      <w:r>
        <w:tab/>
      </w:r>
      <w:r w:rsidR="0029434A" w:rsidRPr="007347DD">
        <w:t>В 2014 году в ходе выборов членов хорватской делегации в Европейском па</w:t>
      </w:r>
      <w:r w:rsidR="0029434A" w:rsidRPr="007347DD">
        <w:t>р</w:t>
      </w:r>
      <w:r w:rsidR="0029434A" w:rsidRPr="007347DD">
        <w:t>ламенте женщины составили 45 процентов от общего числа делегатов, в то время как в 2013 году на их долю приходилось 50 процентов состава делег</w:t>
      </w:r>
      <w:r w:rsidR="0029434A" w:rsidRPr="007347DD">
        <w:t>а</w:t>
      </w:r>
      <w:r w:rsidR="0029434A" w:rsidRPr="007347DD">
        <w:t xml:space="preserve">ции. </w:t>
      </w:r>
    </w:p>
    <w:p w:rsidR="0029434A" w:rsidRPr="007347DD" w:rsidRDefault="00BA168A" w:rsidP="00BA168A">
      <w:pPr>
        <w:pStyle w:val="SingleTxt"/>
      </w:pPr>
      <w:r>
        <w:tab/>
      </w:r>
      <w:r w:rsidR="0029434A" w:rsidRPr="007347DD">
        <w:t>В хорватском парламенте, который был избран в конце 2011 года, на сег</w:t>
      </w:r>
      <w:r w:rsidR="0029434A" w:rsidRPr="007347DD">
        <w:t>о</w:t>
      </w:r>
      <w:r w:rsidR="0029434A" w:rsidRPr="007347DD">
        <w:t>дняшний день женщины составляют 26 процентов от общего числа парламе</w:t>
      </w:r>
      <w:r w:rsidR="0029434A" w:rsidRPr="007347DD">
        <w:t>н</w:t>
      </w:r>
      <w:r w:rsidR="0029434A" w:rsidRPr="007347DD">
        <w:t>тариев, что соответствует доле женщин в составе предыдущего парламента и представляет 5-процентное увеличение по числу кандидатов, включенных в списки, по сравнению с выборами 2007 года. В рамках парламентской камп</w:t>
      </w:r>
      <w:r w:rsidR="0029434A" w:rsidRPr="007347DD">
        <w:t>а</w:t>
      </w:r>
      <w:r w:rsidR="0029434A" w:rsidRPr="007347DD">
        <w:t>нии в 2011 году УРМЖ оказало финансовую, посредством организации откр</w:t>
      </w:r>
      <w:r w:rsidR="0029434A" w:rsidRPr="007347DD">
        <w:t>ы</w:t>
      </w:r>
      <w:r w:rsidR="0029434A" w:rsidRPr="007347DD">
        <w:t>тых тендеров, поддержку в осуществлении пяти проектов неправительстве</w:t>
      </w:r>
      <w:r w:rsidR="0029434A" w:rsidRPr="007347DD">
        <w:t>н</w:t>
      </w:r>
      <w:r w:rsidR="0029434A" w:rsidRPr="007347DD">
        <w:t>ных учр</w:t>
      </w:r>
      <w:r w:rsidR="0029434A" w:rsidRPr="007347DD">
        <w:t>е</w:t>
      </w:r>
      <w:r w:rsidR="0029434A" w:rsidRPr="007347DD">
        <w:t>ждений, касающихся поощрения равного представительства мужчин и женщин в па</w:t>
      </w:r>
      <w:r w:rsidR="0029434A" w:rsidRPr="007347DD">
        <w:t>р</w:t>
      </w:r>
      <w:r w:rsidR="0029434A" w:rsidRPr="007347DD">
        <w:t>ламенте Хорватии.</w:t>
      </w:r>
    </w:p>
    <w:p w:rsidR="0029434A" w:rsidRPr="007347DD" w:rsidRDefault="00BA168A" w:rsidP="00BA168A">
      <w:pPr>
        <w:pStyle w:val="SingleTxt"/>
      </w:pPr>
      <w:r>
        <w:tab/>
      </w:r>
      <w:r w:rsidR="0029434A" w:rsidRPr="007347DD">
        <w:t>В период 2009</w:t>
      </w:r>
      <w:r w:rsidR="003B6FF9">
        <w:t>–</w:t>
      </w:r>
      <w:r w:rsidR="0029434A" w:rsidRPr="007347DD">
        <w:t>2011 годов премьером-министром Республики Хорватия также была женщина. В нынешнем правительстве РХ две должности замест</w:t>
      </w:r>
      <w:r w:rsidR="0029434A" w:rsidRPr="007347DD">
        <w:t>и</w:t>
      </w:r>
      <w:r w:rsidR="0029434A" w:rsidRPr="007347DD">
        <w:t>теля премьер-министра занимают женщины, на их долю приходится 20 пр</w:t>
      </w:r>
      <w:r w:rsidR="0029434A" w:rsidRPr="007347DD">
        <w:t>о</w:t>
      </w:r>
      <w:r w:rsidR="0029434A" w:rsidRPr="007347DD">
        <w:t>центов состава кабинета министров, 25 процентов должностей заместителя министра и 50 процентов должностей помощника министра, половина от о</w:t>
      </w:r>
      <w:r w:rsidR="0029434A" w:rsidRPr="007347DD">
        <w:t>б</w:t>
      </w:r>
      <w:r w:rsidR="0029434A" w:rsidRPr="007347DD">
        <w:t>щего числа генеральных секретарей различных министерств</w:t>
      </w:r>
      <w:r w:rsidR="003B6FF9">
        <w:t xml:space="preserve"> — </w:t>
      </w:r>
      <w:r w:rsidR="0029434A" w:rsidRPr="007347DD">
        <w:t>также женщ</w:t>
      </w:r>
      <w:r w:rsidR="0029434A" w:rsidRPr="007347DD">
        <w:t>и</w:t>
      </w:r>
      <w:r w:rsidR="0029434A" w:rsidRPr="007347DD">
        <w:t>ны. Генеральным секретарем правительства Хорватии является женщина. В 2014 году правительство РХ назначило женщин на 67 процентов должностей в различных комиссиях, комитетах и рабочих группах и на 40 процентов дол</w:t>
      </w:r>
      <w:r w:rsidR="0029434A" w:rsidRPr="007347DD">
        <w:t>ж</w:t>
      </w:r>
      <w:r w:rsidR="0029434A" w:rsidRPr="007347DD">
        <w:t>ностей в руководящих советах и правлениях учреждений и организаций анал</w:t>
      </w:r>
      <w:r w:rsidR="0029434A" w:rsidRPr="007347DD">
        <w:t>о</w:t>
      </w:r>
      <w:r w:rsidR="0029434A" w:rsidRPr="007347DD">
        <w:t>гичного профиля.</w:t>
      </w:r>
    </w:p>
    <w:p w:rsidR="0029434A" w:rsidRPr="007347DD" w:rsidRDefault="00BA168A" w:rsidP="00BA168A">
      <w:pPr>
        <w:pStyle w:val="SingleTxt"/>
      </w:pPr>
      <w:r>
        <w:tab/>
      </w:r>
      <w:r w:rsidR="0029434A" w:rsidRPr="007347DD">
        <w:t>Число кандидатов-женщин на выборах в местные органы власти в 2013</w:t>
      </w:r>
      <w:r w:rsidR="003B6FF9">
        <w:t> </w:t>
      </w:r>
      <w:r w:rsidR="0029434A" w:rsidRPr="007347DD">
        <w:t>году несколько увеличилось, с 24,5 процента на выборах в местные орг</w:t>
      </w:r>
      <w:r w:rsidR="0029434A" w:rsidRPr="007347DD">
        <w:t>а</w:t>
      </w:r>
      <w:r w:rsidR="0029434A" w:rsidRPr="007347DD">
        <w:t>ны власти в 2009 году до 28,4 процента в 2013 году.</w:t>
      </w:r>
    </w:p>
    <w:p w:rsidR="0029434A" w:rsidRPr="007347DD" w:rsidRDefault="00BA168A" w:rsidP="00BA168A">
      <w:pPr>
        <w:pStyle w:val="SingleTxt"/>
      </w:pPr>
      <w:r>
        <w:tab/>
      </w:r>
      <w:r w:rsidR="0029434A" w:rsidRPr="007347DD">
        <w:t>Общая доля женщин, избранных членами в городские и муниципальные советы и окружные ассамблеи по сравнению с предыдущими выборами увел</w:t>
      </w:r>
      <w:r w:rsidR="0029434A" w:rsidRPr="007347DD">
        <w:t>и</w:t>
      </w:r>
      <w:r w:rsidR="0029434A" w:rsidRPr="007347DD">
        <w:t>чилась незначительно, с 17,5 процента до 28,2 процента. На выборах 2013 года 20,7</w:t>
      </w:r>
      <w:r w:rsidR="003B6FF9">
        <w:t> </w:t>
      </w:r>
      <w:r w:rsidR="0029434A" w:rsidRPr="007347DD">
        <w:t>процента избранных членов совета составляли женщины, причем женщ</w:t>
      </w:r>
      <w:r w:rsidR="0029434A" w:rsidRPr="007347DD">
        <w:t>и</w:t>
      </w:r>
      <w:r w:rsidR="0029434A" w:rsidRPr="007347DD">
        <w:t>ны составляли 23,1 процента в городских советах и 15,7 процента в муниц</w:t>
      </w:r>
      <w:r w:rsidR="0029434A" w:rsidRPr="007347DD">
        <w:t>и</w:t>
      </w:r>
      <w:r w:rsidR="0029434A" w:rsidRPr="007347DD">
        <w:t>пальных советах.</w:t>
      </w:r>
    </w:p>
    <w:p w:rsidR="0029434A" w:rsidRPr="007347DD" w:rsidRDefault="00BA168A" w:rsidP="00BA168A">
      <w:pPr>
        <w:pStyle w:val="SingleTxt"/>
      </w:pPr>
      <w:r>
        <w:tab/>
      </w:r>
      <w:r w:rsidR="0029434A" w:rsidRPr="007347DD">
        <w:t>В 2009 и 2013 годах префектом округа была избрана только одна женщина (всего избирались префекты 21 округа). Значительное увеличение было отм</w:t>
      </w:r>
      <w:r w:rsidR="0029434A" w:rsidRPr="007347DD">
        <w:t>е</w:t>
      </w:r>
      <w:r w:rsidR="0029434A" w:rsidRPr="007347DD">
        <w:t>чено на уровне заместителей префекта округа, с 17,5 процента в 2009 году до 26,2 процента в 2013 году. Наблюдалось незначительное увеличение числа женщин-мэров, с 4,7 процента в 2009 году до 8,6 процента в 2013 году, вице-мэров</w:t>
      </w:r>
      <w:r w:rsidR="003B6FF9">
        <w:t xml:space="preserve"> — </w:t>
      </w:r>
      <w:r w:rsidR="0029434A" w:rsidRPr="007347DD">
        <w:t>с 22,2 процента до 25,6 процента, глав муниципалитетов</w:t>
      </w:r>
      <w:r w:rsidR="003B6FF9">
        <w:t xml:space="preserve"> — </w:t>
      </w:r>
      <w:r w:rsidR="0029434A" w:rsidRPr="007347DD">
        <w:t>с 4,9 пр</w:t>
      </w:r>
      <w:r w:rsidR="0029434A" w:rsidRPr="007347DD">
        <w:t>о</w:t>
      </w:r>
      <w:r w:rsidR="0029434A" w:rsidRPr="007347DD">
        <w:t>цента до 6,5 процента и заместителей глав муниципалитетов</w:t>
      </w:r>
      <w:r w:rsidR="003B6FF9">
        <w:t xml:space="preserve"> — </w:t>
      </w:r>
      <w:r w:rsidR="0029434A" w:rsidRPr="007347DD">
        <w:t>с 13,1 проце</w:t>
      </w:r>
      <w:r w:rsidR="0029434A" w:rsidRPr="007347DD">
        <w:t>н</w:t>
      </w:r>
      <w:r w:rsidR="0029434A" w:rsidRPr="007347DD">
        <w:t>та до 17,7 процента.</w:t>
      </w:r>
    </w:p>
    <w:p w:rsidR="0029434A" w:rsidRPr="007347DD" w:rsidRDefault="00BA168A" w:rsidP="00BA168A">
      <w:pPr>
        <w:pStyle w:val="SingleTxt"/>
      </w:pPr>
      <w:r>
        <w:tab/>
      </w:r>
      <w:r w:rsidR="0029434A" w:rsidRPr="007347DD">
        <w:t>В МИЕД женщины преобладают в категории должностных лиц и на др</w:t>
      </w:r>
      <w:r w:rsidR="0029434A" w:rsidRPr="007347DD">
        <w:t>у</w:t>
      </w:r>
      <w:r w:rsidR="0029434A" w:rsidRPr="007347DD">
        <w:t>гих руководящих должностях. Помимо министра, женщины занимают должн</w:t>
      </w:r>
      <w:r w:rsidR="0029434A" w:rsidRPr="007347DD">
        <w:t>о</w:t>
      </w:r>
      <w:r w:rsidR="0029434A" w:rsidRPr="007347DD">
        <w:t>сти трех помощников министра, генерального секретаря, на их долю приходи</w:t>
      </w:r>
      <w:r w:rsidR="0029434A" w:rsidRPr="007347DD">
        <w:t>т</w:t>
      </w:r>
      <w:r w:rsidR="0029434A" w:rsidRPr="007347DD">
        <w:t>ся 60 процентов должностей руководителя сектора и 32 процента должностей руководителя службы. В МИЕД женщины составляют большинство среди д</w:t>
      </w:r>
      <w:r w:rsidR="0029434A" w:rsidRPr="007347DD">
        <w:t>и</w:t>
      </w:r>
      <w:r w:rsidR="0029434A" w:rsidRPr="007347DD">
        <w:t>пломатов низкого, среднего и высокого дипломатического ранга, но не на с</w:t>
      </w:r>
      <w:r w:rsidR="0029434A" w:rsidRPr="007347DD">
        <w:t>а</w:t>
      </w:r>
      <w:r w:rsidR="0029434A" w:rsidRPr="007347DD">
        <w:t>мом высоком дипломатическом уровне: женщины занимают 45</w:t>
      </w:r>
      <w:r w:rsidR="003B6FF9">
        <w:t> </w:t>
      </w:r>
      <w:r w:rsidR="0029434A" w:rsidRPr="007347DD">
        <w:t>процентов должностей советника-посланника и 20 процентов должностей посла. Женщ</w:t>
      </w:r>
      <w:r w:rsidR="0029434A" w:rsidRPr="007347DD">
        <w:t>и</w:t>
      </w:r>
      <w:r w:rsidR="0029434A" w:rsidRPr="007347DD">
        <w:t>ны недопредставлены в качестве глав дипломатических представительств, н</w:t>
      </w:r>
      <w:r w:rsidR="0029434A" w:rsidRPr="007347DD">
        <w:t>е</w:t>
      </w:r>
      <w:r w:rsidR="0029434A" w:rsidRPr="007347DD">
        <w:t>смотря на то, что за последние несколько лет число женщин-послов увелич</w:t>
      </w:r>
      <w:r w:rsidR="0029434A" w:rsidRPr="007347DD">
        <w:t>и</w:t>
      </w:r>
      <w:r w:rsidR="0029434A" w:rsidRPr="007347DD">
        <w:t>лось. В 2011 году 10 процентов послов были женщинами, в 2012 году эта доля возросла до 12 процентов, а в 2013 году доля женщин-послов увеличилась до 17</w:t>
      </w:r>
      <w:r w:rsidR="003B6FF9">
        <w:t> </w:t>
      </w:r>
      <w:r w:rsidR="0029434A" w:rsidRPr="007347DD">
        <w:t>процентов. На конец 2014 года женщины составляли 23 процента среди п</w:t>
      </w:r>
      <w:r w:rsidR="0029434A" w:rsidRPr="007347DD">
        <w:t>о</w:t>
      </w:r>
      <w:r w:rsidR="0029434A" w:rsidRPr="007347DD">
        <w:t>слов Республики Хорватия и 42 процента</w:t>
      </w:r>
      <w:r w:rsidR="003B6FF9">
        <w:t xml:space="preserve"> — </w:t>
      </w:r>
      <w:r w:rsidR="0029434A" w:rsidRPr="007347DD">
        <w:t>среди</w:t>
      </w:r>
      <w:r w:rsidR="004E4FFA">
        <w:t xml:space="preserve"> </w:t>
      </w:r>
      <w:r w:rsidR="0029434A" w:rsidRPr="007347DD">
        <w:t>ген</w:t>
      </w:r>
      <w:r w:rsidR="0029434A" w:rsidRPr="007347DD">
        <w:t>е</w:t>
      </w:r>
      <w:r w:rsidR="0029434A" w:rsidRPr="007347DD">
        <w:t>ральных консулов.</w:t>
      </w:r>
    </w:p>
    <w:p w:rsidR="0029434A" w:rsidRPr="007347DD" w:rsidRDefault="00BA168A" w:rsidP="00BA168A">
      <w:pPr>
        <w:pStyle w:val="SingleTxt"/>
      </w:pPr>
      <w:r>
        <w:tab/>
      </w:r>
      <w:r w:rsidR="0029434A" w:rsidRPr="007347DD">
        <w:t>Руководитель УРМЖ в октябре 2014 года выступил с лекцией на тему р</w:t>
      </w:r>
      <w:r w:rsidR="0029434A" w:rsidRPr="007347DD">
        <w:t>а</w:t>
      </w:r>
      <w:r w:rsidR="0029434A" w:rsidRPr="007347DD">
        <w:t>венства мужчин и женщин перед учащимися годичного курса для молодых д</w:t>
      </w:r>
      <w:r w:rsidR="0029434A" w:rsidRPr="007347DD">
        <w:t>и</w:t>
      </w:r>
      <w:r w:rsidR="0029434A" w:rsidRPr="007347DD">
        <w:t xml:space="preserve">пломатов в Дипломатической академии МИЕД. </w:t>
      </w:r>
    </w:p>
    <w:p w:rsidR="0029434A" w:rsidRPr="007347DD" w:rsidRDefault="00BA168A" w:rsidP="00BA168A">
      <w:pPr>
        <w:pStyle w:val="SingleTxt"/>
      </w:pPr>
      <w:r>
        <w:tab/>
      </w:r>
      <w:r w:rsidR="0029434A" w:rsidRPr="007347DD">
        <w:t>В государственных компаниях (59</w:t>
      </w:r>
      <w:r w:rsidR="003B6FF9">
        <w:t> </w:t>
      </w:r>
      <w:r w:rsidR="0029434A" w:rsidRPr="007347DD">
        <w:t>компаний) 19,4</w:t>
      </w:r>
      <w:r w:rsidR="003B6FF9">
        <w:t> </w:t>
      </w:r>
      <w:r w:rsidR="0029434A" w:rsidRPr="007347DD">
        <w:t>процента членов наблюдательного совета являются женщинами, и женщины составляют 15 пр</w:t>
      </w:r>
      <w:r w:rsidR="0029434A" w:rsidRPr="007347DD">
        <w:t>о</w:t>
      </w:r>
      <w:r w:rsidR="0029434A" w:rsidRPr="007347DD">
        <w:t>центов председателей наблюдательных советов. Женщины составляют 16,4</w:t>
      </w:r>
      <w:r w:rsidR="003B6FF9">
        <w:t> </w:t>
      </w:r>
      <w:r w:rsidR="0029434A" w:rsidRPr="007347DD">
        <w:t>процента среди членов правлений, а в 12 процентах компаний женщины занимают дол</w:t>
      </w:r>
      <w:r w:rsidR="0029434A" w:rsidRPr="007347DD">
        <w:t>ж</w:t>
      </w:r>
      <w:r w:rsidR="0029434A" w:rsidRPr="007347DD">
        <w:t>ность главы правления.</w:t>
      </w:r>
    </w:p>
    <w:p w:rsidR="0029434A" w:rsidRDefault="00BA168A" w:rsidP="00BA168A">
      <w:pPr>
        <w:pStyle w:val="SingleTxt"/>
      </w:pPr>
      <w:r>
        <w:tab/>
      </w:r>
      <w:r w:rsidR="0029434A" w:rsidRPr="007347DD">
        <w:t>С октября 2013 года Канцелярия Омбудсмена по вопросам гендерного р</w:t>
      </w:r>
      <w:r w:rsidR="0029434A" w:rsidRPr="007347DD">
        <w:t>а</w:t>
      </w:r>
      <w:r w:rsidR="0029434A" w:rsidRPr="007347DD">
        <w:t xml:space="preserve">венства осуществляет рассчитанный на два года и финансируемый по линии Программы сообщества в интересах занятости и социальной солидарности ПРОГРЕСС проект под названием </w:t>
      </w:r>
      <w:r w:rsidR="003B6FF9">
        <w:t>«</w:t>
      </w:r>
      <w:r w:rsidR="0029434A" w:rsidRPr="007347DD">
        <w:t>Устранение стеклянного лабиринта: раве</w:t>
      </w:r>
      <w:r w:rsidR="0029434A" w:rsidRPr="007347DD">
        <w:t>н</w:t>
      </w:r>
      <w:r w:rsidR="0029434A" w:rsidRPr="007347DD">
        <w:t>ство возможностей в плане доступа к экономическим должностям, связа</w:t>
      </w:r>
      <w:r w:rsidR="0029434A" w:rsidRPr="007347DD">
        <w:t>н</w:t>
      </w:r>
      <w:r w:rsidR="0029434A" w:rsidRPr="007347DD">
        <w:t>ным с принятием решений, в Хорватии</w:t>
      </w:r>
      <w:r w:rsidR="003B6FF9">
        <w:t>»</w:t>
      </w:r>
      <w:r w:rsidR="0029434A" w:rsidRPr="007347DD">
        <w:t>. Партнерами по проекту являются министе</w:t>
      </w:r>
      <w:r w:rsidR="0029434A" w:rsidRPr="007347DD">
        <w:t>р</w:t>
      </w:r>
      <w:r w:rsidR="0029434A" w:rsidRPr="007347DD">
        <w:t>ство труда и пенсионн</w:t>
      </w:r>
      <w:r w:rsidR="0029434A">
        <w:t>ой</w:t>
      </w:r>
      <w:r w:rsidR="0029434A" w:rsidRPr="007347DD">
        <w:t xml:space="preserve"> систем</w:t>
      </w:r>
      <w:r w:rsidR="0029434A">
        <w:t>ы</w:t>
      </w:r>
      <w:r w:rsidR="0029434A" w:rsidRPr="007347DD">
        <w:t>, хорватская ассоциация работодателей, И</w:t>
      </w:r>
      <w:r w:rsidR="0029434A" w:rsidRPr="007347DD">
        <w:t>н</w:t>
      </w:r>
      <w:r w:rsidR="0029434A" w:rsidRPr="007347DD">
        <w:t xml:space="preserve">ститут по развитию рынка труда и </w:t>
      </w:r>
      <w:r w:rsidR="003B6FF9">
        <w:t>«</w:t>
      </w:r>
      <w:r w:rsidR="0029434A" w:rsidRPr="007347DD">
        <w:t>ДиМ</w:t>
      </w:r>
      <w:r w:rsidR="003B6FF9">
        <w:t xml:space="preserve">» — </w:t>
      </w:r>
      <w:r w:rsidR="0029434A" w:rsidRPr="007347DD">
        <w:t>Ассоциация за гражданское обр</w:t>
      </w:r>
      <w:r w:rsidR="0029434A" w:rsidRPr="007347DD">
        <w:t>а</w:t>
      </w:r>
      <w:r w:rsidR="0029434A" w:rsidRPr="007347DD">
        <w:t>зование и социальное развитие. Стоимость этого проекта составляет</w:t>
      </w:r>
      <w:r w:rsidR="0029434A">
        <w:t xml:space="preserve"> 250</w:t>
      </w:r>
      <w:r w:rsidR="003B6FF9">
        <w:t> </w:t>
      </w:r>
      <w:r w:rsidR="0029434A" w:rsidRPr="007347DD">
        <w:t>000</w:t>
      </w:r>
      <w:r w:rsidR="003B6FF9">
        <w:t> </w:t>
      </w:r>
      <w:r w:rsidR="0029434A" w:rsidRPr="007347DD">
        <w:t>евро.</w:t>
      </w:r>
    </w:p>
    <w:p w:rsidR="00BA168A" w:rsidRPr="00BA168A" w:rsidRDefault="00BA168A" w:rsidP="00BA168A">
      <w:pPr>
        <w:pStyle w:val="SingleTxt"/>
        <w:spacing w:after="0" w:line="120" w:lineRule="exact"/>
        <w:rPr>
          <w:sz w:val="10"/>
        </w:rPr>
      </w:pPr>
    </w:p>
    <w:p w:rsidR="0029434A" w:rsidRDefault="0029434A" w:rsidP="00BA1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47DD">
        <w:tab/>
      </w:r>
      <w:r w:rsidRPr="007347DD">
        <w:tab/>
        <w:t>Образование</w:t>
      </w:r>
    </w:p>
    <w:p w:rsidR="00BA168A" w:rsidRPr="00BA168A" w:rsidRDefault="00BA168A" w:rsidP="00BA168A">
      <w:pPr>
        <w:pStyle w:val="SingleTxt"/>
        <w:spacing w:after="0" w:line="120" w:lineRule="exact"/>
        <w:rPr>
          <w:sz w:val="10"/>
        </w:rPr>
      </w:pPr>
    </w:p>
    <w:p w:rsidR="0029434A" w:rsidRPr="00BA168A" w:rsidRDefault="0029434A" w:rsidP="00BA168A">
      <w:pPr>
        <w:pStyle w:val="SingleTxt"/>
        <w:rPr>
          <w:b/>
        </w:rPr>
      </w:pPr>
      <w:r w:rsidRPr="007347DD">
        <w:t>15.</w:t>
      </w:r>
      <w:r w:rsidRPr="007347DD">
        <w:tab/>
      </w:r>
      <w:r w:rsidRPr="00BA168A">
        <w:rPr>
          <w:b/>
        </w:rPr>
        <w:t xml:space="preserve">Просьба представить обновленную информацию о мерах, принятых для устранения </w:t>
      </w:r>
      <w:r w:rsidR="003B6FF9">
        <w:rPr>
          <w:b/>
        </w:rPr>
        <w:t>«</w:t>
      </w:r>
      <w:r w:rsidRPr="00BA168A">
        <w:rPr>
          <w:b/>
        </w:rPr>
        <w:t>значительных гендерных различий, [которые] существ</w:t>
      </w:r>
      <w:r w:rsidRPr="00BA168A">
        <w:rPr>
          <w:b/>
        </w:rPr>
        <w:t>у</w:t>
      </w:r>
      <w:r w:rsidRPr="00BA168A">
        <w:rPr>
          <w:b/>
        </w:rPr>
        <w:t>ют на уровне зачисления в средние школы</w:t>
      </w:r>
      <w:r w:rsidR="003B6FF9">
        <w:rPr>
          <w:b/>
        </w:rPr>
        <w:t>»</w:t>
      </w:r>
      <w:r w:rsidRPr="00BA168A">
        <w:rPr>
          <w:b/>
        </w:rPr>
        <w:t xml:space="preserve"> (пункт 141). Просьба также представить информацию о том, какие усилия предпринимаются госуда</w:t>
      </w:r>
      <w:r w:rsidRPr="00BA168A">
        <w:rPr>
          <w:b/>
        </w:rPr>
        <w:t>р</w:t>
      </w:r>
      <w:r w:rsidRPr="00BA168A">
        <w:rPr>
          <w:b/>
        </w:rPr>
        <w:t>ством-участником в целях предоставления женщинам и мужчинам более разнообразных возможностей с точки зрения получения образования и трудоустройства, а также в целях решения проблемы недопредставленн</w:t>
      </w:r>
      <w:r w:rsidRPr="00BA168A">
        <w:rPr>
          <w:b/>
        </w:rPr>
        <w:t>о</w:t>
      </w:r>
      <w:r w:rsidRPr="00BA168A">
        <w:rPr>
          <w:b/>
        </w:rPr>
        <w:t>сти женщин среди штатных преп</w:t>
      </w:r>
      <w:r w:rsidRPr="00BA168A">
        <w:rPr>
          <w:b/>
        </w:rPr>
        <w:t>о</w:t>
      </w:r>
      <w:r w:rsidRPr="00BA168A">
        <w:rPr>
          <w:b/>
        </w:rPr>
        <w:t>давателей.</w:t>
      </w:r>
    </w:p>
    <w:p w:rsidR="0029434A" w:rsidRPr="007347DD" w:rsidRDefault="00BA168A" w:rsidP="00BA168A">
      <w:pPr>
        <w:pStyle w:val="SingleTxt"/>
      </w:pPr>
      <w:r>
        <w:tab/>
      </w:r>
      <w:r w:rsidR="0029434A" w:rsidRPr="007347DD">
        <w:t>Постановление МНОС об элементах и критериях отбора кандидатов для зачисления в средние школы в 2012/2013 учебном году включало в себя пункт, устанавливающий критерий для зачисления в учебные программы средней школы в соответствии с Национальной стратегией. В постановлении пред</w:t>
      </w:r>
      <w:r w:rsidR="0029434A" w:rsidRPr="007347DD">
        <w:t>у</w:t>
      </w:r>
      <w:r w:rsidR="0029434A" w:rsidRPr="007347DD">
        <w:t>сматривалось, что в том случае, если 80 или более процентов кандидатов одн</w:t>
      </w:r>
      <w:r w:rsidR="0029434A" w:rsidRPr="007347DD">
        <w:t>о</w:t>
      </w:r>
      <w:r w:rsidR="0029434A" w:rsidRPr="007347DD">
        <w:t>го и того же пола подают заявление о зачислении их на определенный курс профессиональной подготовки, то кандидат противоположного пола получает еще два пункта в дополнение к числу пунктов, установленных в ходе процесса оценки, и окончательная расстановка кандидатов должна учитывать дополн</w:t>
      </w:r>
      <w:r w:rsidR="0029434A" w:rsidRPr="007347DD">
        <w:t>и</w:t>
      </w:r>
      <w:r w:rsidR="0029434A" w:rsidRPr="007347DD">
        <w:t>тельные пункты для представителей недостаточно представленного пола. В 2013/2014 учебном году это решение было отменено в связи с тем, что МНОС пришло к выводу, что вышеупомянутый критерий не является достаточно э</w:t>
      </w:r>
      <w:r w:rsidR="0029434A" w:rsidRPr="007347DD">
        <w:t>ф</w:t>
      </w:r>
      <w:r w:rsidR="0029434A" w:rsidRPr="007347DD">
        <w:t>фективным.</w:t>
      </w:r>
    </w:p>
    <w:p w:rsidR="0029434A" w:rsidRPr="007347DD" w:rsidRDefault="00BA168A" w:rsidP="00BA168A">
      <w:pPr>
        <w:pStyle w:val="SingleTxt"/>
        <w:rPr>
          <w:b/>
          <w:bCs/>
        </w:rPr>
      </w:pPr>
      <w:r>
        <w:tab/>
      </w:r>
      <w:r w:rsidR="0029434A" w:rsidRPr="007347DD">
        <w:t xml:space="preserve">В 2012 году ХСЗ выпустила четвертую версию программного обеспечения </w:t>
      </w:r>
      <w:r w:rsidR="003B6FF9">
        <w:t>«</w:t>
      </w:r>
      <w:r w:rsidR="0029434A" w:rsidRPr="007347DD">
        <w:t>Мой выбор</w:t>
      </w:r>
      <w:r w:rsidR="003B6FF9">
        <w:t>»</w:t>
      </w:r>
      <w:r w:rsidR="0029434A" w:rsidRPr="007347DD">
        <w:t>, дополненную новыми профессиями и названиями с учетом ге</w:t>
      </w:r>
      <w:r w:rsidR="0029434A" w:rsidRPr="007347DD">
        <w:t>н</w:t>
      </w:r>
      <w:r w:rsidR="0029434A" w:rsidRPr="007347DD">
        <w:t>дерного фактора. В целях предоставления информации по вопросам зачисл</w:t>
      </w:r>
      <w:r w:rsidR="0029434A" w:rsidRPr="007347DD">
        <w:t>е</w:t>
      </w:r>
      <w:r w:rsidR="0029434A" w:rsidRPr="007347DD">
        <w:t xml:space="preserve">ния в средние школы ХСЗ ежегодно готовит пять региональных брошюр под названием </w:t>
      </w:r>
      <w:r w:rsidR="003B6FF9">
        <w:t>«</w:t>
      </w:r>
      <w:r w:rsidR="0029434A" w:rsidRPr="007347DD">
        <w:t xml:space="preserve">Куда </w:t>
      </w:r>
      <w:r w:rsidR="0029434A">
        <w:t xml:space="preserve">пойти </w:t>
      </w:r>
      <w:r w:rsidR="0029434A" w:rsidRPr="007347DD">
        <w:t>после начальной школы?</w:t>
      </w:r>
      <w:r w:rsidR="003B6FF9">
        <w:t>»</w:t>
      </w:r>
      <w:r w:rsidR="0029434A" w:rsidRPr="007347DD">
        <w:t>. Все разделы учебной пр</w:t>
      </w:r>
      <w:r w:rsidR="0029434A" w:rsidRPr="007347DD">
        <w:t>о</w:t>
      </w:r>
      <w:r w:rsidR="0029434A" w:rsidRPr="007347DD">
        <w:t>граммы содержат названия профессий с учетом гендерного фактора и, таким образом, п</w:t>
      </w:r>
      <w:r w:rsidR="0029434A">
        <w:t xml:space="preserve">ропагандируют идею </w:t>
      </w:r>
      <w:r w:rsidR="0029434A" w:rsidRPr="007347DD">
        <w:t>равенств</w:t>
      </w:r>
      <w:r w:rsidR="0029434A">
        <w:t>а</w:t>
      </w:r>
      <w:r w:rsidR="0029434A" w:rsidRPr="007347DD">
        <w:t xml:space="preserve"> мужчин и женщин среди учащихся. Новое издание брошюры содержит новые рисунки с изображением женщин, выполняющих традиционно женские работы, и изображения мужчин, выпо</w:t>
      </w:r>
      <w:r w:rsidR="0029434A" w:rsidRPr="007347DD">
        <w:t>л</w:t>
      </w:r>
      <w:r w:rsidR="0029434A" w:rsidRPr="007347DD">
        <w:t>няющих традиционно женские работы. Подход с учетом гендерных факторов применяется в регулярных мероприятиях ХСЗ по профориентации для прин</w:t>
      </w:r>
      <w:r w:rsidR="0029434A" w:rsidRPr="007347DD">
        <w:t>я</w:t>
      </w:r>
      <w:r w:rsidR="0029434A" w:rsidRPr="007347DD">
        <w:t>тия решения по вопросу о профессии, а также путем представления нетрад</w:t>
      </w:r>
      <w:r w:rsidR="0029434A" w:rsidRPr="007347DD">
        <w:t>и</w:t>
      </w:r>
      <w:r w:rsidR="0029434A" w:rsidRPr="007347DD">
        <w:t>ционных для конкретного пола профессий в ходе ярмарок вакансий. В 2013 г</w:t>
      </w:r>
      <w:r w:rsidR="0029434A" w:rsidRPr="007347DD">
        <w:t>о</w:t>
      </w:r>
      <w:r w:rsidR="0029434A" w:rsidRPr="007347DD">
        <w:t xml:space="preserve">ду в рамках проекта Хорватской службы занятости </w:t>
      </w:r>
      <w:r w:rsidR="003B6FF9">
        <w:t>«</w:t>
      </w:r>
      <w:r w:rsidR="0029434A" w:rsidRPr="007347DD">
        <w:t>Услуги клиентам: руково</w:t>
      </w:r>
      <w:r w:rsidR="0029434A" w:rsidRPr="007347DD">
        <w:t>д</w:t>
      </w:r>
      <w:r w:rsidR="0029434A" w:rsidRPr="007347DD">
        <w:t>ство по улучшению карьерного роста в течение всей жизни и поддержка в о</w:t>
      </w:r>
      <w:r w:rsidR="0029434A" w:rsidRPr="007347DD">
        <w:t>б</w:t>
      </w:r>
      <w:r w:rsidR="0029434A" w:rsidRPr="007347DD">
        <w:t>ласти информационно-коммуникационных технологий</w:t>
      </w:r>
      <w:r w:rsidR="003B6FF9">
        <w:t>»</w:t>
      </w:r>
      <w:r w:rsidR="0029434A" w:rsidRPr="007347DD">
        <w:t xml:space="preserve"> были открыты в о</w:t>
      </w:r>
      <w:r w:rsidR="0029434A" w:rsidRPr="007347DD">
        <w:t>б</w:t>
      </w:r>
      <w:r w:rsidR="0029434A" w:rsidRPr="007347DD">
        <w:t>щей сложности восемь центров для распространения информации и консультиров</w:t>
      </w:r>
      <w:r w:rsidR="0029434A" w:rsidRPr="007347DD">
        <w:t>а</w:t>
      </w:r>
      <w:r w:rsidR="0029434A" w:rsidRPr="007347DD">
        <w:t>ния по вопросам развития карьеры, где учащиеся начальных школ могут пол</w:t>
      </w:r>
      <w:r w:rsidR="0029434A" w:rsidRPr="007347DD">
        <w:t>у</w:t>
      </w:r>
      <w:r w:rsidR="0029434A" w:rsidRPr="007347DD">
        <w:t>чить любую информацию, которая им необходима для того, чтобы определит</w:t>
      </w:r>
      <w:r w:rsidR="0029434A" w:rsidRPr="007347DD">
        <w:t>ь</w:t>
      </w:r>
      <w:r w:rsidR="0029434A" w:rsidRPr="007347DD">
        <w:t>ся с выбором средней школы, с особым упором на повышение уровня инфо</w:t>
      </w:r>
      <w:r w:rsidR="0029434A" w:rsidRPr="007347DD">
        <w:t>р</w:t>
      </w:r>
      <w:r w:rsidR="0029434A" w:rsidRPr="007347DD">
        <w:t xml:space="preserve">мированности о равенстве мужчин и женщин. </w:t>
      </w:r>
    </w:p>
    <w:p w:rsidR="0029434A" w:rsidRDefault="00BA168A" w:rsidP="00BA168A">
      <w:pPr>
        <w:pStyle w:val="SingleTxt"/>
      </w:pPr>
      <w:r>
        <w:tab/>
      </w:r>
      <w:r w:rsidR="0029434A" w:rsidRPr="007347DD">
        <w:t>МНОС было подчеркнуто, что всем ученым в системе университетского образования обеспечиваются равные условия труда и продвижения по службе, независимо от их пола, и их прием на работу и продвижение по службе зависят исключительно от качества их научной и преподавательской работы. Критерии оценки учебных и научно-исследовательских мероприятий в процессе выборов на должности преподавателей в университетах определяются Советом рект</w:t>
      </w:r>
      <w:r w:rsidR="0029434A" w:rsidRPr="007347DD">
        <w:t>о</w:t>
      </w:r>
      <w:r w:rsidR="0029434A" w:rsidRPr="007347DD">
        <w:t>ров, с согласия Национального совета по науке, высшему образованию и те</w:t>
      </w:r>
      <w:r w:rsidR="0029434A" w:rsidRPr="007347DD">
        <w:t>х</w:t>
      </w:r>
      <w:r w:rsidR="0029434A" w:rsidRPr="007347DD">
        <w:t>нологическому развитию. Отбор работников осуществляется университетами на основе открытого конкурса. Доля женщин в качестве штатных преподават</w:t>
      </w:r>
      <w:r w:rsidR="0029434A" w:rsidRPr="007347DD">
        <w:t>е</w:t>
      </w:r>
      <w:r w:rsidR="0029434A" w:rsidRPr="007347DD">
        <w:t>лей в высших учебных заведениях возросла с 26,4 процента в 2010 году до 29,6</w:t>
      </w:r>
      <w:r w:rsidR="003B6FF9">
        <w:t> </w:t>
      </w:r>
      <w:r w:rsidR="0029434A" w:rsidRPr="007347DD">
        <w:t xml:space="preserve">процента в 2014 году. </w:t>
      </w:r>
    </w:p>
    <w:p w:rsidR="00BA168A" w:rsidRPr="00BA168A" w:rsidRDefault="00BA168A" w:rsidP="00BA168A">
      <w:pPr>
        <w:pStyle w:val="SingleTxt"/>
        <w:spacing w:after="0" w:line="120" w:lineRule="exact"/>
        <w:rPr>
          <w:sz w:val="10"/>
        </w:rPr>
      </w:pPr>
    </w:p>
    <w:p w:rsidR="0029434A" w:rsidRDefault="0029434A" w:rsidP="00BA1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47DD">
        <w:tab/>
      </w:r>
      <w:r w:rsidRPr="007347DD">
        <w:tab/>
        <w:t>Занятость</w:t>
      </w:r>
    </w:p>
    <w:p w:rsidR="00BA168A" w:rsidRPr="00BA168A" w:rsidRDefault="00BA168A" w:rsidP="00BA168A">
      <w:pPr>
        <w:pStyle w:val="SingleTxt"/>
        <w:spacing w:after="0" w:line="120" w:lineRule="exact"/>
        <w:rPr>
          <w:sz w:val="10"/>
        </w:rPr>
      </w:pPr>
    </w:p>
    <w:p w:rsidR="0029434A" w:rsidRPr="00BA168A" w:rsidRDefault="0029434A" w:rsidP="00BA168A">
      <w:pPr>
        <w:pStyle w:val="SingleTxt"/>
        <w:rPr>
          <w:b/>
        </w:rPr>
      </w:pPr>
      <w:r w:rsidRPr="007347DD">
        <w:t>16.</w:t>
      </w:r>
      <w:r w:rsidRPr="007347DD">
        <w:tab/>
      </w:r>
      <w:r w:rsidRPr="00BA168A">
        <w:rPr>
          <w:b/>
        </w:rPr>
        <w:t>Просьба представить информацию о конкретных мерах, принятых для решения таких проблем, как сохраняющаяся профессиональная с</w:t>
      </w:r>
      <w:r w:rsidRPr="00BA168A">
        <w:rPr>
          <w:b/>
        </w:rPr>
        <w:t>е</w:t>
      </w:r>
      <w:r w:rsidRPr="00BA168A">
        <w:rPr>
          <w:b/>
        </w:rPr>
        <w:t>грегация между мужчинами и женщинами на рынке труда, преоблад</w:t>
      </w:r>
      <w:r w:rsidRPr="00BA168A">
        <w:rPr>
          <w:b/>
        </w:rPr>
        <w:t>а</w:t>
      </w:r>
      <w:r w:rsidRPr="00BA168A">
        <w:rPr>
          <w:b/>
        </w:rPr>
        <w:t>ние женщин среди безработного населения и разрыв в уровне оплаты труда женщин и мужчин (пункт 155). Просьба включить обновленные данные относительно принятия законов, предусматривающих введение одинак</w:t>
      </w:r>
      <w:r w:rsidRPr="00BA168A">
        <w:rPr>
          <w:b/>
        </w:rPr>
        <w:t>о</w:t>
      </w:r>
      <w:r w:rsidRPr="00BA168A">
        <w:rPr>
          <w:b/>
        </w:rPr>
        <w:t>вого обязательного возраста выхода на пенсию для женщин и мужчин (пункт 162).</w:t>
      </w:r>
    </w:p>
    <w:p w:rsidR="0029434A" w:rsidRPr="007347DD" w:rsidRDefault="00BA168A" w:rsidP="00BA168A">
      <w:pPr>
        <w:pStyle w:val="SingleTxt"/>
      </w:pPr>
      <w:r>
        <w:tab/>
      </w:r>
      <w:r w:rsidR="0029434A" w:rsidRPr="007347DD">
        <w:t>В результате экономического кризиса, затронувшего в основном те сект</w:t>
      </w:r>
      <w:r w:rsidR="0029434A" w:rsidRPr="007347DD">
        <w:t>о</w:t>
      </w:r>
      <w:r w:rsidR="0029434A" w:rsidRPr="007347DD">
        <w:t>ра, где большинство работников составляют мужчины, доля мужчин в общем числе занятых сократилась, а доля женщин увеличилась с 45,1 процента в 2008</w:t>
      </w:r>
      <w:r w:rsidR="003B6FF9">
        <w:t> </w:t>
      </w:r>
      <w:r w:rsidR="0029434A" w:rsidRPr="007347DD">
        <w:t>году до 46,5 процента в 2013 году. Доля зарегистрированных безрабо</w:t>
      </w:r>
      <w:r w:rsidR="0029434A" w:rsidRPr="007347DD">
        <w:t>т</w:t>
      </w:r>
      <w:r w:rsidR="0029434A" w:rsidRPr="007347DD">
        <w:t>ных женщин сократилась с 62,2 процента в 2008 году до 52,7 процента в 2013 году. В целях поощрения занятости женщин ХСЗ осуществляет активную п</w:t>
      </w:r>
      <w:r w:rsidR="0029434A" w:rsidRPr="007347DD">
        <w:t>о</w:t>
      </w:r>
      <w:r w:rsidR="0029434A" w:rsidRPr="007347DD">
        <w:t>литику в сфере занятости, причем показатель участия женщин вырос с 55,3 процента в 2011</w:t>
      </w:r>
      <w:r w:rsidR="003B6FF9">
        <w:t> </w:t>
      </w:r>
      <w:r w:rsidR="0029434A" w:rsidRPr="007347DD">
        <w:t>году до 59,4 процента в 2014 году. В 2013 году был введен пакет мер, направленных на поощрение занятости женщин с помощью программ индив</w:t>
      </w:r>
      <w:r w:rsidR="0029434A" w:rsidRPr="007347DD">
        <w:t>и</w:t>
      </w:r>
      <w:r w:rsidR="0029434A" w:rsidRPr="007347DD">
        <w:t>дуализированных общественных работ в области ухода и с помощью мер по поощрению гибких форм работы. В целях расширения возможностей труд</w:t>
      </w:r>
      <w:r w:rsidR="0029434A" w:rsidRPr="007347DD">
        <w:t>о</w:t>
      </w:r>
      <w:r w:rsidR="0029434A" w:rsidRPr="007347DD">
        <w:t>устройства и интеграции на рынке труда в период 2011</w:t>
      </w:r>
      <w:r w:rsidR="003B6FF9">
        <w:t>–</w:t>
      </w:r>
      <w:r w:rsidR="0029434A" w:rsidRPr="007347DD">
        <w:t>2014 годов ХСЗ был организован целый ряд мероприятий, в том числе: групповое информир</w:t>
      </w:r>
      <w:r w:rsidR="0029434A" w:rsidRPr="007347DD">
        <w:t>о</w:t>
      </w:r>
      <w:r w:rsidR="0029434A" w:rsidRPr="007347DD">
        <w:t>вание, где доля женщин в 2014 году увеличилась с 49,2 процента до 57,6 процента, индивидуальное консультирование (53</w:t>
      </w:r>
      <w:r w:rsidR="003B6FF9">
        <w:t> </w:t>
      </w:r>
      <w:r w:rsidR="0029434A" w:rsidRPr="007347DD">
        <w:t>процента женщин), индивидуальное консультирование в целях разработки индивидуальных программ поиска раб</w:t>
      </w:r>
      <w:r w:rsidR="0029434A" w:rsidRPr="007347DD">
        <w:t>о</w:t>
      </w:r>
      <w:r w:rsidR="0029434A" w:rsidRPr="007347DD">
        <w:t>ты (увеличение представленности женщин с 30,1</w:t>
      </w:r>
      <w:r w:rsidR="003B6FF9">
        <w:t> </w:t>
      </w:r>
      <w:r w:rsidR="0029434A" w:rsidRPr="007347DD">
        <w:t>процента в 2011</w:t>
      </w:r>
      <w:r w:rsidR="003B6FF9">
        <w:t> </w:t>
      </w:r>
      <w:r w:rsidR="0029434A" w:rsidRPr="007347DD">
        <w:t>году до 44</w:t>
      </w:r>
      <w:r w:rsidR="003B6FF9">
        <w:t> </w:t>
      </w:r>
      <w:r w:rsidR="0029434A" w:rsidRPr="007347DD">
        <w:t>процентов в 2014 году) и семинар-практикум по подготовке к выходу на р</w:t>
      </w:r>
      <w:r w:rsidR="0029434A" w:rsidRPr="007347DD">
        <w:t>ы</w:t>
      </w:r>
      <w:r w:rsidR="0029434A" w:rsidRPr="007347DD">
        <w:t>нок труда и развитию карьеры, где доля женщин изменилась с 61,4 процента в 2011 году до 55 процентов в 2014 году.</w:t>
      </w:r>
    </w:p>
    <w:p w:rsidR="0029434A" w:rsidRPr="007347DD" w:rsidRDefault="00BA168A" w:rsidP="00BA168A">
      <w:pPr>
        <w:pStyle w:val="SingleTxt"/>
      </w:pPr>
      <w:r>
        <w:tab/>
      </w:r>
      <w:r w:rsidR="0029434A" w:rsidRPr="007347DD">
        <w:t>По данным Хорватского бюро статистики, разница между женщинами и мужчинами в том, что касается средней начисленной месячной заработной платы, в 2013 году достигла 10,6 процента. Проведенное Загребским инстит</w:t>
      </w:r>
      <w:r w:rsidR="0029434A" w:rsidRPr="007347DD">
        <w:t>у</w:t>
      </w:r>
      <w:r w:rsidR="0029434A" w:rsidRPr="007347DD">
        <w:t xml:space="preserve">том экономики исследование </w:t>
      </w:r>
      <w:r w:rsidR="003B6FF9">
        <w:t>«</w:t>
      </w:r>
      <w:r w:rsidR="0029434A" w:rsidRPr="007347DD">
        <w:t>Анализ заработной платы в государственном и частном секторах в Хорватии</w:t>
      </w:r>
      <w:r w:rsidR="003B6FF9">
        <w:t>»</w:t>
      </w:r>
      <w:r w:rsidR="0029434A" w:rsidRPr="007347DD">
        <w:t xml:space="preserve"> показало, что мужчины, в среднем, за один час работы зарабатывают на 10,9 процента больше во всех секторах (государстве</w:t>
      </w:r>
      <w:r w:rsidR="0029434A" w:rsidRPr="007347DD">
        <w:t>н</w:t>
      </w:r>
      <w:r w:rsidR="0029434A" w:rsidRPr="007347DD">
        <w:t>ном, частном и в государственных компаниях). Даже в государственном сект</w:t>
      </w:r>
      <w:r w:rsidR="0029434A" w:rsidRPr="007347DD">
        <w:t>о</w:t>
      </w:r>
      <w:r w:rsidR="0029434A" w:rsidRPr="007347DD">
        <w:t>ре, несмотря на тот факт, что в этом секторе трудится более 65 процентов от общего числа занятых, наблюдается разница в 13,3 процента в пользу мужчин, что м</w:t>
      </w:r>
      <w:r w:rsidR="0029434A" w:rsidRPr="007347DD">
        <w:t>о</w:t>
      </w:r>
      <w:r w:rsidR="0029434A" w:rsidRPr="007347DD">
        <w:t>жет быть результатом более значительной представленности мужчин на руководящих должностях. Наибольшая разница в оплате труда женщин и му</w:t>
      </w:r>
      <w:r w:rsidR="0029434A" w:rsidRPr="007347DD">
        <w:t>ж</w:t>
      </w:r>
      <w:r w:rsidR="0029434A" w:rsidRPr="007347DD">
        <w:t>чин отмечается в частном секторе (16,5 процента), а наименьшая</w:t>
      </w:r>
      <w:r w:rsidR="003B6FF9">
        <w:t xml:space="preserve"> — </w:t>
      </w:r>
      <w:r w:rsidR="0029434A" w:rsidRPr="007347DD">
        <w:t>в госуда</w:t>
      </w:r>
      <w:r w:rsidR="0029434A" w:rsidRPr="007347DD">
        <w:t>р</w:t>
      </w:r>
      <w:r w:rsidR="0029434A" w:rsidRPr="007347DD">
        <w:t xml:space="preserve">ственных компаниях (6,2 процента). В соответствии с </w:t>
      </w:r>
      <w:r w:rsidR="0029434A" w:rsidRPr="007347DD">
        <w:rPr>
          <w:i/>
        </w:rPr>
        <w:t>Национальной страт</w:t>
      </w:r>
      <w:r w:rsidR="0029434A" w:rsidRPr="007347DD">
        <w:rPr>
          <w:i/>
        </w:rPr>
        <w:t>е</w:t>
      </w:r>
      <w:r w:rsidR="0029434A" w:rsidRPr="007347DD">
        <w:rPr>
          <w:i/>
        </w:rPr>
        <w:t>гией</w:t>
      </w:r>
      <w:r w:rsidR="0029434A" w:rsidRPr="007347DD">
        <w:t xml:space="preserve"> начиная с 2011 года в РХ отмечается День равной оплаты труда.</w:t>
      </w:r>
    </w:p>
    <w:p w:rsidR="0029434A" w:rsidRDefault="00BA168A" w:rsidP="00BA168A">
      <w:pPr>
        <w:pStyle w:val="SingleTxt"/>
      </w:pPr>
      <w:r>
        <w:tab/>
      </w:r>
      <w:r w:rsidR="0029434A" w:rsidRPr="007347DD">
        <w:t>С 1 января 2014 года в РХ действует новый Закон о пенсионном страхов</w:t>
      </w:r>
      <w:r w:rsidR="0029434A" w:rsidRPr="007347DD">
        <w:t>а</w:t>
      </w:r>
      <w:r w:rsidR="0029434A" w:rsidRPr="007347DD">
        <w:t>нии, устанавливающий единый возраст выхода на пенсию, который составляет 65 лет для выхода на пенсию по старости и 60 лет для досрочного выхода на пенсию. Период 2014</w:t>
      </w:r>
      <w:r w:rsidR="003B6FF9">
        <w:t>–</w:t>
      </w:r>
      <w:r w:rsidR="0029434A" w:rsidRPr="007347DD">
        <w:t>2030 годов будет переходным периодом для женщин, в течение которого возраст выхода на пенсию для женщин будет увеличиваться на 3 месяца в год. В 2030 году с точки зрения трудового стажа и возраста же</w:t>
      </w:r>
      <w:r w:rsidR="0029434A" w:rsidRPr="007347DD">
        <w:t>н</w:t>
      </w:r>
      <w:r w:rsidR="0029434A" w:rsidRPr="007347DD">
        <w:t>щины и мужчины будут выходить на пенсию на равных условиях. В 2031</w:t>
      </w:r>
      <w:r w:rsidR="003B6FF9">
        <w:t> </w:t>
      </w:r>
      <w:r w:rsidR="0029434A" w:rsidRPr="007347DD">
        <w:t>году начнется новый переходный период, в ходе которого возраст выхода на пенсию по старости для женщин и мужчин будет увеличен до 67 лет и будет постепе</w:t>
      </w:r>
      <w:r w:rsidR="0029434A" w:rsidRPr="007347DD">
        <w:t>н</w:t>
      </w:r>
      <w:r w:rsidR="0029434A" w:rsidRPr="007347DD">
        <w:t xml:space="preserve">но увеличиваться для обоих полов на 3 месяца в год. </w:t>
      </w:r>
    </w:p>
    <w:p w:rsidR="00BA168A" w:rsidRPr="00BA168A" w:rsidRDefault="00BA168A" w:rsidP="00BA168A">
      <w:pPr>
        <w:pStyle w:val="SingleTxt"/>
        <w:spacing w:after="0" w:line="120" w:lineRule="exact"/>
        <w:rPr>
          <w:sz w:val="10"/>
        </w:rPr>
      </w:pPr>
    </w:p>
    <w:p w:rsidR="0029434A" w:rsidRDefault="0029434A" w:rsidP="00BA1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47DD">
        <w:tab/>
      </w:r>
      <w:r w:rsidRPr="007347DD">
        <w:tab/>
        <w:t>Здравоохранение</w:t>
      </w:r>
    </w:p>
    <w:p w:rsidR="00BA168A" w:rsidRPr="00BA168A" w:rsidRDefault="00BA168A" w:rsidP="00BA168A">
      <w:pPr>
        <w:pStyle w:val="SingleTxt"/>
        <w:spacing w:after="0" w:line="120" w:lineRule="exact"/>
        <w:rPr>
          <w:sz w:val="10"/>
        </w:rPr>
      </w:pPr>
    </w:p>
    <w:p w:rsidR="0029434A" w:rsidRPr="00BA168A" w:rsidRDefault="0029434A" w:rsidP="00BA168A">
      <w:pPr>
        <w:pStyle w:val="SingleTxt"/>
        <w:rPr>
          <w:b/>
        </w:rPr>
      </w:pPr>
      <w:r w:rsidRPr="007347DD">
        <w:t>17.</w:t>
      </w:r>
      <w:r w:rsidRPr="007347DD">
        <w:tab/>
      </w:r>
      <w:r w:rsidRPr="00BA168A">
        <w:rPr>
          <w:b/>
        </w:rPr>
        <w:t>Просьба представить обновленную информацию о мерах, принятых в ц</w:t>
      </w:r>
      <w:r w:rsidRPr="00BA168A">
        <w:rPr>
          <w:b/>
        </w:rPr>
        <w:t>е</w:t>
      </w:r>
      <w:r w:rsidRPr="00BA168A">
        <w:rPr>
          <w:b/>
        </w:rPr>
        <w:t>лях включения в школьные программы составленных с учетом возраста учащихся учебных курсов по вопросам сексуального и репродуктивного здоровья и соответствующих прав, в том числе по вопросам ответственн</w:t>
      </w:r>
      <w:r w:rsidRPr="00BA168A">
        <w:rPr>
          <w:b/>
        </w:rPr>
        <w:t>о</w:t>
      </w:r>
      <w:r w:rsidRPr="00BA168A">
        <w:rPr>
          <w:b/>
        </w:rPr>
        <w:t>го сексуального поведения, и мерах по содействию более широкому и</w:t>
      </w:r>
      <w:r w:rsidRPr="00BA168A">
        <w:rPr>
          <w:b/>
        </w:rPr>
        <w:t>с</w:t>
      </w:r>
      <w:r w:rsidRPr="00BA168A">
        <w:rPr>
          <w:b/>
        </w:rPr>
        <w:t>пользованию против</w:t>
      </w:r>
      <w:r w:rsidRPr="00BA168A">
        <w:rPr>
          <w:b/>
        </w:rPr>
        <w:t>о</w:t>
      </w:r>
      <w:r w:rsidRPr="00BA168A">
        <w:rPr>
          <w:b/>
        </w:rPr>
        <w:t>зачаточных средств и профилактике передающихся половым путем заболеваний (пункт 154). Просьба также представить и</w:t>
      </w:r>
      <w:r w:rsidRPr="00BA168A">
        <w:rPr>
          <w:b/>
        </w:rPr>
        <w:t>н</w:t>
      </w:r>
      <w:r w:rsidRPr="00BA168A">
        <w:rPr>
          <w:b/>
        </w:rPr>
        <w:t>формацию о мерах, принимаемых в целях расширения доступа к против</w:t>
      </w:r>
      <w:r w:rsidRPr="00BA168A">
        <w:rPr>
          <w:b/>
        </w:rPr>
        <w:t>о</w:t>
      </w:r>
      <w:r w:rsidRPr="00BA168A">
        <w:rPr>
          <w:b/>
        </w:rPr>
        <w:t>зачаточным средствам и повыш</w:t>
      </w:r>
      <w:r w:rsidRPr="00BA168A">
        <w:rPr>
          <w:b/>
        </w:rPr>
        <w:t>е</w:t>
      </w:r>
      <w:r w:rsidRPr="00BA168A">
        <w:rPr>
          <w:b/>
        </w:rPr>
        <w:t>ния их доступности. Кроме того, просьба пояснить, какие меры принимаются государством-участником в связи с угрозами безопасности медицинских учреждений, занимающихся на з</w:t>
      </w:r>
      <w:r w:rsidRPr="00BA168A">
        <w:rPr>
          <w:b/>
        </w:rPr>
        <w:t>а</w:t>
      </w:r>
      <w:r w:rsidRPr="00BA168A">
        <w:rPr>
          <w:b/>
        </w:rPr>
        <w:t>конных основаниях проведением безопасных абортов, исходящими от групп, придерживающихся неоконсервативных взглядов, и в связи с огр</w:t>
      </w:r>
      <w:r w:rsidRPr="00BA168A">
        <w:rPr>
          <w:b/>
        </w:rPr>
        <w:t>а</w:t>
      </w:r>
      <w:r w:rsidRPr="00BA168A">
        <w:rPr>
          <w:b/>
        </w:rPr>
        <w:t>ничением доступа к услугам по искусственному прерыванию беременн</w:t>
      </w:r>
      <w:r w:rsidRPr="00BA168A">
        <w:rPr>
          <w:b/>
        </w:rPr>
        <w:t>о</w:t>
      </w:r>
      <w:r w:rsidRPr="00BA168A">
        <w:rPr>
          <w:b/>
        </w:rPr>
        <w:t>сти вследствие принимаемых все большим числом таких учреждений р</w:t>
      </w:r>
      <w:r w:rsidRPr="00BA168A">
        <w:rPr>
          <w:b/>
        </w:rPr>
        <w:t>е</w:t>
      </w:r>
      <w:r w:rsidRPr="00BA168A">
        <w:rPr>
          <w:b/>
        </w:rPr>
        <w:t>шений проводить аборты только по медицинским показаниям и роста числа медицинских работников, отказывающихся проводить такие опер</w:t>
      </w:r>
      <w:r w:rsidRPr="00BA168A">
        <w:rPr>
          <w:b/>
        </w:rPr>
        <w:t>а</w:t>
      </w:r>
      <w:r w:rsidRPr="00BA168A">
        <w:rPr>
          <w:b/>
        </w:rPr>
        <w:t>ции по религиозным или иным соображениям.</w:t>
      </w:r>
    </w:p>
    <w:p w:rsidR="0029434A" w:rsidRPr="007347DD" w:rsidRDefault="00BA168A" w:rsidP="00BA168A">
      <w:pPr>
        <w:pStyle w:val="SingleTxt"/>
      </w:pPr>
      <w:r>
        <w:tab/>
      </w:r>
      <w:r w:rsidR="0029434A" w:rsidRPr="007347DD">
        <w:t>Темы просвещения и прав в области сексуального и репродуктивного зд</w:t>
      </w:r>
      <w:r w:rsidR="0029434A" w:rsidRPr="007347DD">
        <w:t>о</w:t>
      </w:r>
      <w:r w:rsidR="0029434A" w:rsidRPr="007347DD">
        <w:t xml:space="preserve">ровья включены в </w:t>
      </w:r>
      <w:r w:rsidR="0029434A" w:rsidRPr="007347DD">
        <w:rPr>
          <w:i/>
        </w:rPr>
        <w:t>учебную программу медико-санитарного просвещения для начальных и средних школ</w:t>
      </w:r>
      <w:r w:rsidR="0029434A" w:rsidRPr="007347DD">
        <w:t xml:space="preserve"> (Официальный вестник, № 106/2013). Раздел по в</w:t>
      </w:r>
      <w:r w:rsidR="0029434A" w:rsidRPr="007347DD">
        <w:t>о</w:t>
      </w:r>
      <w:r w:rsidR="0029434A" w:rsidRPr="007347DD">
        <w:t>просам сексуального и гендерного равенства и ответственного сексуального поведения включает в себя цель, заключающуюся в поощрении ответственного сексуального поведения, использования противозачаточных средств для предотвращ</w:t>
      </w:r>
      <w:r w:rsidR="0029434A" w:rsidRPr="007347DD">
        <w:t>е</w:t>
      </w:r>
      <w:r w:rsidR="0029434A" w:rsidRPr="007347DD">
        <w:t>ния нежелательной беременности и распространения заболеваний, передаваемых половым путем. Он дополняется учительскими пособиями для учителей по вопросам медико-санитарного просвещения. Начиная с 2013/14</w:t>
      </w:r>
      <w:r w:rsidR="003B6FF9">
        <w:t> </w:t>
      </w:r>
      <w:r w:rsidR="0029434A" w:rsidRPr="007347DD">
        <w:t>учебного года учебная программа в области здравоохранения в начальных и средних школах рассчитана на 10</w:t>
      </w:r>
      <w:r w:rsidR="003B6FF9">
        <w:t>–</w:t>
      </w:r>
      <w:r w:rsidR="0029434A" w:rsidRPr="007347DD">
        <w:t>12 часов преподавания в кла</w:t>
      </w:r>
      <w:r w:rsidR="0029434A" w:rsidRPr="007347DD">
        <w:t>с</w:t>
      </w:r>
      <w:r w:rsidR="0029434A" w:rsidRPr="007347DD">
        <w:t xml:space="preserve">се. С 2012 года ведется </w:t>
      </w:r>
      <w:r w:rsidR="0029434A">
        <w:t>обучение</w:t>
      </w:r>
      <w:r w:rsidR="0029434A" w:rsidRPr="007347DD">
        <w:t xml:space="preserve"> преподавателей методам осуществления да</w:t>
      </w:r>
      <w:r w:rsidR="0029434A" w:rsidRPr="007347DD">
        <w:t>н</w:t>
      </w:r>
      <w:r w:rsidR="0029434A" w:rsidRPr="007347DD">
        <w:t>ной учебной программы. Основное внимание в рамках учебной программы в части, касающейся обеспечения равенства мужчин и женщин, уделяется вопр</w:t>
      </w:r>
      <w:r w:rsidR="0029434A" w:rsidRPr="007347DD">
        <w:t>о</w:t>
      </w:r>
      <w:r w:rsidR="0029434A" w:rsidRPr="007347DD">
        <w:t>сам психического, сексуального и физического насилия над учащимися, пред</w:t>
      </w:r>
      <w:r w:rsidR="0029434A" w:rsidRPr="007347DD">
        <w:t>у</w:t>
      </w:r>
      <w:r w:rsidR="0029434A" w:rsidRPr="007347DD">
        <w:t>преждения издевательства со стороны сверстников, признанию различий и о</w:t>
      </w:r>
      <w:r w:rsidR="0029434A" w:rsidRPr="007347DD">
        <w:t>т</w:t>
      </w:r>
      <w:r w:rsidR="0029434A" w:rsidRPr="007347DD">
        <w:t>ветственного сексуал</w:t>
      </w:r>
      <w:r w:rsidR="0029434A" w:rsidRPr="007347DD">
        <w:t>ь</w:t>
      </w:r>
      <w:r w:rsidR="0029434A" w:rsidRPr="007347DD">
        <w:t xml:space="preserve">ного поведения и здорового образа жизни. </w:t>
      </w:r>
    </w:p>
    <w:p w:rsidR="0029434A" w:rsidRPr="007347DD" w:rsidRDefault="00BA168A" w:rsidP="00BA168A">
      <w:pPr>
        <w:pStyle w:val="SingleTxt"/>
      </w:pPr>
      <w:r>
        <w:tab/>
      </w:r>
      <w:r w:rsidR="0029434A" w:rsidRPr="007347DD">
        <w:t>В апреле 2011 года была принята</w:t>
      </w:r>
      <w:r w:rsidR="0029434A" w:rsidRPr="007347DD">
        <w:rPr>
          <w:i/>
        </w:rPr>
        <w:t xml:space="preserve"> Хорватская национальная программа по предупреждению ВИЧ/СПИДа на 2011</w:t>
      </w:r>
      <w:r w:rsidR="003B6FF9">
        <w:rPr>
          <w:i/>
        </w:rPr>
        <w:t>–</w:t>
      </w:r>
      <w:r w:rsidR="0029434A" w:rsidRPr="007347DD">
        <w:rPr>
          <w:i/>
        </w:rPr>
        <w:t>2015 годы</w:t>
      </w:r>
      <w:r w:rsidR="0029434A" w:rsidRPr="007347DD">
        <w:t>. МЗ финансирует деятел</w:t>
      </w:r>
      <w:r w:rsidR="0029434A" w:rsidRPr="007347DD">
        <w:t>ь</w:t>
      </w:r>
      <w:r w:rsidR="0029434A" w:rsidRPr="007347DD">
        <w:t>ность 10 центров по бесплатному и анонимному тестированию на ВИЧ и ко</w:t>
      </w:r>
      <w:r w:rsidR="0029434A" w:rsidRPr="007347DD">
        <w:t>н</w:t>
      </w:r>
      <w:r w:rsidR="0029434A" w:rsidRPr="007347DD">
        <w:t>сультированию. Консультативный центр по борьбе с ВИЧ предоставляет инд</w:t>
      </w:r>
      <w:r w:rsidR="0029434A" w:rsidRPr="007347DD">
        <w:t>и</w:t>
      </w:r>
      <w:r w:rsidR="0029434A" w:rsidRPr="007347DD">
        <w:t>видуальные консультационные услуги по вопросам ВИЧ/СПИДа (способы ра</w:t>
      </w:r>
      <w:r w:rsidR="0029434A" w:rsidRPr="007347DD">
        <w:t>с</w:t>
      </w:r>
      <w:r w:rsidR="0029434A" w:rsidRPr="007347DD">
        <w:t>пространения, риски, оценка личной опасности для пользователей), консульт</w:t>
      </w:r>
      <w:r w:rsidR="0029434A" w:rsidRPr="007347DD">
        <w:t>а</w:t>
      </w:r>
      <w:r w:rsidR="0029434A" w:rsidRPr="007347DD">
        <w:t>ции в отношении других заболеваний, передаваемых половым путем, и отве</w:t>
      </w:r>
      <w:r w:rsidR="0029434A" w:rsidRPr="007347DD">
        <w:t>т</w:t>
      </w:r>
      <w:r w:rsidR="0029434A" w:rsidRPr="007347DD">
        <w:t>ственного сексуального поведения, тестирование на ВИЧ, гепатит В, С и сиф</w:t>
      </w:r>
      <w:r w:rsidR="0029434A" w:rsidRPr="007347DD">
        <w:t>и</w:t>
      </w:r>
      <w:r w:rsidR="0029434A" w:rsidRPr="007347DD">
        <w:t>лис, оказывает помощь в лечении и поддержке и распространяет учебные м</w:t>
      </w:r>
      <w:r w:rsidR="0029434A" w:rsidRPr="007347DD">
        <w:t>а</w:t>
      </w:r>
      <w:r w:rsidR="0029434A" w:rsidRPr="007347DD">
        <w:t>териалы и презервативы. Программы и проекты в области охраны репроду</w:t>
      </w:r>
      <w:r w:rsidR="0029434A" w:rsidRPr="007347DD">
        <w:t>к</w:t>
      </w:r>
      <w:r w:rsidR="0029434A" w:rsidRPr="007347DD">
        <w:t>тивного здоровья совместно финансируются и осуществляются в сотруднич</w:t>
      </w:r>
      <w:r w:rsidR="0029434A" w:rsidRPr="007347DD">
        <w:t>е</w:t>
      </w:r>
      <w:r w:rsidR="0029434A" w:rsidRPr="007347DD">
        <w:t>стве с организациями гражданского общества и другими юридическими лиц</w:t>
      </w:r>
      <w:r w:rsidR="0029434A" w:rsidRPr="007347DD">
        <w:t>а</w:t>
      </w:r>
      <w:r w:rsidR="0029434A" w:rsidRPr="007347DD">
        <w:t>ми. Был проведен ряд учебных занятий, теле- и радиопередач, лекций и общ</w:t>
      </w:r>
      <w:r w:rsidR="0029434A" w:rsidRPr="007347DD">
        <w:t>е</w:t>
      </w:r>
      <w:r w:rsidR="0029434A" w:rsidRPr="007347DD">
        <w:t xml:space="preserve">ственных дискуссий, направленных на поощрение сексуального здоровья и профилактики заболеваний, а также на обеспечение своевременного лечения заболевших. </w:t>
      </w:r>
    </w:p>
    <w:p w:rsidR="0029434A" w:rsidRPr="007347DD" w:rsidRDefault="00BA168A" w:rsidP="00BA168A">
      <w:pPr>
        <w:pStyle w:val="SingleTxt"/>
      </w:pPr>
      <w:r>
        <w:tab/>
      </w:r>
      <w:r w:rsidR="0029434A" w:rsidRPr="007347DD">
        <w:t>Хорватский национальный институт общественного здравоохранения (д</w:t>
      </w:r>
      <w:r w:rsidR="0029434A" w:rsidRPr="007347DD">
        <w:t>а</w:t>
      </w:r>
      <w:r w:rsidR="0029434A" w:rsidRPr="007347DD">
        <w:t>лее</w:t>
      </w:r>
      <w:r w:rsidR="003B6FF9">
        <w:t xml:space="preserve"> — </w:t>
      </w:r>
      <w:r w:rsidR="0029434A" w:rsidRPr="007347DD">
        <w:t>ХНИОЗ) в 2011 году организовал просветительскую кампанию в обл</w:t>
      </w:r>
      <w:r w:rsidR="0029434A" w:rsidRPr="007347DD">
        <w:t>а</w:t>
      </w:r>
      <w:r w:rsidR="0029434A" w:rsidRPr="007347DD">
        <w:t xml:space="preserve">сти здравоохранения под названием </w:t>
      </w:r>
      <w:r w:rsidR="003B6FF9">
        <w:t>«</w:t>
      </w:r>
      <w:r w:rsidR="0029434A" w:rsidRPr="007347DD">
        <w:t>Знание побеждает</w:t>
      </w:r>
      <w:r w:rsidR="003B6FF9">
        <w:t>»</w:t>
      </w:r>
      <w:r w:rsidR="0029434A" w:rsidRPr="007347DD">
        <w:t xml:space="preserve">, в рамках которой в сети Facebook была создана новая страница </w:t>
      </w:r>
      <w:r w:rsidR="003B6FF9" w:rsidRPr="003B6FF9">
        <w:t>“</w:t>
      </w:r>
      <w:r w:rsidR="0029434A" w:rsidRPr="007347DD">
        <w:t>CroAids</w:t>
      </w:r>
      <w:r w:rsidR="003B6FF9" w:rsidRPr="003B6FF9">
        <w:t>”</w:t>
      </w:r>
      <w:r w:rsidR="0029434A" w:rsidRPr="007347DD">
        <w:t>. В сотрудничестве с т</w:t>
      </w:r>
      <w:r w:rsidR="0029434A" w:rsidRPr="007347DD">
        <w:t>е</w:t>
      </w:r>
      <w:r w:rsidR="0029434A" w:rsidRPr="007347DD">
        <w:t>матической группой Организации Объединенных Наций по ВИЧ/СПИДу и при содействии со стороны МЗ ХНИОЗ в 2012 году по случаю Всемирного дня борьбы со СПИДом организовал в сети Facebook просветительск</w:t>
      </w:r>
      <w:r w:rsidR="0029434A">
        <w:t xml:space="preserve">ий конкурс </w:t>
      </w:r>
      <w:r w:rsidR="0029434A" w:rsidRPr="007347DD">
        <w:t xml:space="preserve">для учащихся под названием </w:t>
      </w:r>
      <w:r w:rsidR="003B6FF9">
        <w:t>«</w:t>
      </w:r>
      <w:r w:rsidR="0029434A" w:rsidRPr="007347DD">
        <w:t>Знание побеждает</w:t>
      </w:r>
      <w:r w:rsidR="003B6FF9">
        <w:t xml:space="preserve"> — </w:t>
      </w:r>
      <w:r w:rsidR="0029434A" w:rsidRPr="007347DD">
        <w:t>присоединяйся к нам!</w:t>
      </w:r>
      <w:r w:rsidR="003B6FF9">
        <w:t>»</w:t>
      </w:r>
      <w:r w:rsidR="0029434A" w:rsidRPr="007347DD">
        <w:t xml:space="preserve">, </w:t>
      </w:r>
      <w:r w:rsidR="0029434A">
        <w:t xml:space="preserve">призванный содействовать </w:t>
      </w:r>
      <w:r w:rsidR="0029434A" w:rsidRPr="007347DD">
        <w:t>просвещени</w:t>
      </w:r>
      <w:r w:rsidR="0029434A">
        <w:t>ю</w:t>
      </w:r>
      <w:r w:rsidR="0029434A" w:rsidRPr="007347DD">
        <w:t xml:space="preserve"> молод</w:t>
      </w:r>
      <w:r w:rsidR="0029434A">
        <w:t xml:space="preserve">ых людей </w:t>
      </w:r>
      <w:r w:rsidR="0029434A" w:rsidRPr="007347DD">
        <w:t xml:space="preserve">и </w:t>
      </w:r>
      <w:r w:rsidR="0029434A">
        <w:t xml:space="preserve">налаживанию </w:t>
      </w:r>
      <w:r w:rsidR="0029434A" w:rsidRPr="007347DD">
        <w:t>о</w:t>
      </w:r>
      <w:r w:rsidR="0029434A" w:rsidRPr="007347DD">
        <w:t>б</w:t>
      </w:r>
      <w:r w:rsidR="0029434A" w:rsidRPr="007347DD">
        <w:t>щени</w:t>
      </w:r>
      <w:r w:rsidR="0029434A">
        <w:t>я</w:t>
      </w:r>
      <w:r w:rsidR="0029434A" w:rsidRPr="007347DD">
        <w:t xml:space="preserve"> </w:t>
      </w:r>
      <w:r w:rsidR="0029434A">
        <w:t xml:space="preserve">между </w:t>
      </w:r>
      <w:r w:rsidR="0029434A" w:rsidRPr="007347DD">
        <w:t xml:space="preserve">ними по </w:t>
      </w:r>
      <w:r w:rsidR="0029434A">
        <w:t>таким связанным с В</w:t>
      </w:r>
      <w:r w:rsidR="0029434A" w:rsidRPr="007347DD">
        <w:t>ИЧ/СПИД</w:t>
      </w:r>
      <w:r w:rsidR="0029434A">
        <w:t>ом вопросам, как</w:t>
      </w:r>
      <w:r w:rsidR="0029434A" w:rsidRPr="007347DD">
        <w:t xml:space="preserve"> проф</w:t>
      </w:r>
      <w:r w:rsidR="0029434A" w:rsidRPr="007347DD">
        <w:t>и</w:t>
      </w:r>
      <w:r w:rsidR="0029434A" w:rsidRPr="007347DD">
        <w:t>лактика, коллегиальное обучение, ответственное сексуальное поведение, т</w:t>
      </w:r>
      <w:r w:rsidR="0029434A" w:rsidRPr="007347DD">
        <w:t>е</w:t>
      </w:r>
      <w:r w:rsidR="0029434A" w:rsidRPr="007347DD">
        <w:t xml:space="preserve">стирование и раннее обнаружение инфекции и лечение. </w:t>
      </w:r>
    </w:p>
    <w:p w:rsidR="0029434A" w:rsidRPr="007347DD" w:rsidRDefault="00BA168A" w:rsidP="00BA168A">
      <w:pPr>
        <w:pStyle w:val="SingleTxt"/>
      </w:pPr>
      <w:r>
        <w:tab/>
      </w:r>
      <w:r w:rsidR="0029434A" w:rsidRPr="007347DD">
        <w:t>Противозачаточные средства включены в перечень лекарственных преп</w:t>
      </w:r>
      <w:r w:rsidR="0029434A" w:rsidRPr="007347DD">
        <w:t>а</w:t>
      </w:r>
      <w:r w:rsidR="0029434A" w:rsidRPr="007347DD">
        <w:t>ратов Хорватского фонда медицинского страхования (ХФМС) и поэтому явл</w:t>
      </w:r>
      <w:r w:rsidR="0029434A" w:rsidRPr="007347DD">
        <w:t>я</w:t>
      </w:r>
      <w:r w:rsidR="0029434A" w:rsidRPr="007347DD">
        <w:t>ются доступными. Они отпускаются по рецепту врача, что позволяет ос</w:t>
      </w:r>
      <w:r w:rsidR="0029434A" w:rsidRPr="007347DD">
        <w:t>у</w:t>
      </w:r>
      <w:r w:rsidR="0029434A" w:rsidRPr="007347DD">
        <w:t>ществлять контроль за их использованием.</w:t>
      </w:r>
    </w:p>
    <w:p w:rsidR="0029434A" w:rsidRPr="007347DD" w:rsidRDefault="00BA168A" w:rsidP="00BA168A">
      <w:pPr>
        <w:pStyle w:val="SingleTxt"/>
      </w:pPr>
      <w:r>
        <w:tab/>
      </w:r>
      <w:r w:rsidR="0029434A" w:rsidRPr="007347DD">
        <w:t>МЗ изучило ситуацию в больницах, предлагающих акушерско-гинекологические услуги, и установило, что 5 из 27 таких учреждений отказ</w:t>
      </w:r>
      <w:r w:rsidR="0029434A" w:rsidRPr="007347DD">
        <w:t>ы</w:t>
      </w:r>
      <w:r w:rsidR="0029434A" w:rsidRPr="007347DD">
        <w:t>вались</w:t>
      </w:r>
      <w:r w:rsidR="004E4FFA">
        <w:t xml:space="preserve"> </w:t>
      </w:r>
      <w:r w:rsidR="0029434A" w:rsidRPr="007347DD">
        <w:t>предоставлять услуги по искусственному прерыванию беременности по просьбе пациента</w:t>
      </w:r>
      <w:r w:rsidR="0029434A">
        <w:t>, ссылаясь на</w:t>
      </w:r>
      <w:r w:rsidR="0029434A" w:rsidRPr="007347DD">
        <w:t xml:space="preserve"> моральны</w:t>
      </w:r>
      <w:r w:rsidR="0029434A">
        <w:t>е</w:t>
      </w:r>
      <w:r w:rsidR="0029434A" w:rsidRPr="007347DD">
        <w:t xml:space="preserve"> соображения. В ноябре 2014 года министерство напр</w:t>
      </w:r>
      <w:r w:rsidR="0029434A" w:rsidRPr="007347DD">
        <w:t>а</w:t>
      </w:r>
      <w:r w:rsidR="0029434A" w:rsidRPr="007347DD">
        <w:t>вило письмо во все больницы, оказывающие акушерско-гинекологические услуги, с просьбой принять все меры к тому, чтобы там, где это не было еще обеспечено, пациенты как можно скорее смогли осуществлять право на аборт, поскольку все больницы в сети государственного медицинского обслуживания, оказывающие гинекологические услуги, должны обеспечивать предоставление услуг в области прекращения беременности, и организация этой услуги находится в компетенции директора или попечителя больницы. Больницам было предложено подготовить стандартизированные процедуры, охватывающие весь процесс, с момента обращения пациента за этой услугой и до его освобождения из больницы, и разместить соответствующую информ</w:t>
      </w:r>
      <w:r w:rsidR="0029434A" w:rsidRPr="007347DD">
        <w:t>а</w:t>
      </w:r>
      <w:r w:rsidR="0029434A" w:rsidRPr="007347DD">
        <w:t>цию в Интернете с указанием стоимости этих услуг. В соответствии с возл</w:t>
      </w:r>
      <w:r w:rsidR="0029434A" w:rsidRPr="007347DD">
        <w:t>о</w:t>
      </w:r>
      <w:r w:rsidR="0029434A" w:rsidRPr="007347DD">
        <w:t xml:space="preserve">женными на нее полномочиями и положениями </w:t>
      </w:r>
      <w:r w:rsidR="0029434A" w:rsidRPr="007347DD">
        <w:rPr>
          <w:i/>
        </w:rPr>
        <w:t>Закона о здравоохранении</w:t>
      </w:r>
      <w:r w:rsidR="0029434A" w:rsidRPr="007347DD">
        <w:t xml:space="preserve"> м</w:t>
      </w:r>
      <w:r w:rsidR="0029434A" w:rsidRPr="007347DD">
        <w:t>е</w:t>
      </w:r>
      <w:r w:rsidR="0029434A" w:rsidRPr="007347DD">
        <w:t>дицинская инспекция намерена обследовать в 2015 году все стационарные м</w:t>
      </w:r>
      <w:r w:rsidR="0029434A" w:rsidRPr="007347DD">
        <w:t>е</w:t>
      </w:r>
      <w:r w:rsidR="0029434A" w:rsidRPr="007347DD">
        <w:t>дицинские учреждения, имеющие специальные отделения акушерства и гин</w:t>
      </w:r>
      <w:r w:rsidR="0029434A" w:rsidRPr="007347DD">
        <w:t>е</w:t>
      </w:r>
      <w:r w:rsidR="0029434A" w:rsidRPr="007347DD">
        <w:t>кологии. Основное внимание в ходе обследования будет уделяться методам проведения аборта по просьбе пациента.</w:t>
      </w:r>
    </w:p>
    <w:p w:rsidR="0029434A" w:rsidRPr="007347DD" w:rsidRDefault="00BA168A" w:rsidP="00BA168A">
      <w:pPr>
        <w:pStyle w:val="SingleTxt"/>
      </w:pPr>
      <w:r>
        <w:tab/>
      </w:r>
      <w:r w:rsidR="0029434A" w:rsidRPr="007347DD">
        <w:t>Что касается осуществления статьи 20 Закона о медицинских работниках (Официальный вестник, №№ 121/03 и 117/08), регулирующего право на отказ по моральным соображениям, то МЗ издало инструкцию для всех больниц, оказывающих акушерско-гинекологические услуги, в соответствии с которой гинеколог, который отказывается проводить аборт по моральным соображен</w:t>
      </w:r>
      <w:r w:rsidR="0029434A" w:rsidRPr="007347DD">
        <w:t>и</w:t>
      </w:r>
      <w:r w:rsidR="0029434A" w:rsidRPr="007347DD">
        <w:t>ям, после уведомления пациента должен сделать соответствующую запись в своем заключении специалиста и в документации медицинского учр</w:t>
      </w:r>
      <w:r w:rsidR="0029434A" w:rsidRPr="007347DD">
        <w:t>е</w:t>
      </w:r>
      <w:r w:rsidR="0029434A" w:rsidRPr="007347DD">
        <w:t>ждения и должен направить пациента другому специалисту в этой области той же бол</w:t>
      </w:r>
      <w:r w:rsidR="0029434A" w:rsidRPr="007347DD">
        <w:t>ь</w:t>
      </w:r>
      <w:r w:rsidR="0029434A" w:rsidRPr="007347DD">
        <w:t>ницы.</w:t>
      </w:r>
    </w:p>
    <w:p w:rsidR="0029434A" w:rsidRDefault="00BA168A" w:rsidP="00BA168A">
      <w:pPr>
        <w:pStyle w:val="SingleTxt"/>
      </w:pPr>
      <w:r>
        <w:tab/>
      </w:r>
      <w:r w:rsidR="0029434A" w:rsidRPr="007347DD">
        <w:t>Больницы должны вести учет медико-санитарных работников, которые использовали свое право на отказ по моральным соображениям, и регулярно информировать об этом правление/совет попечителей этого учреждения. Были также подчеркнуты юридическое обязательство информировать ХФМС о пр</w:t>
      </w:r>
      <w:r w:rsidR="0029434A" w:rsidRPr="007347DD">
        <w:t>е</w:t>
      </w:r>
      <w:r w:rsidR="0029434A" w:rsidRPr="007347DD">
        <w:t>рывание беременности, а также обязанность врачей, которые находятся в пр</w:t>
      </w:r>
      <w:r w:rsidR="0029434A" w:rsidRPr="007347DD">
        <w:t>о</w:t>
      </w:r>
      <w:r w:rsidR="0029434A" w:rsidRPr="007347DD">
        <w:t>цессе специализации в области гинекологии или акушерства, выполнять уче</w:t>
      </w:r>
      <w:r w:rsidR="0029434A" w:rsidRPr="007347DD">
        <w:t>б</w:t>
      </w:r>
      <w:r w:rsidR="0029434A" w:rsidRPr="007347DD">
        <w:t>ный план программы специализации. МЗ продолжает следить за осуществл</w:t>
      </w:r>
      <w:r w:rsidR="0029434A" w:rsidRPr="007347DD">
        <w:t>е</w:t>
      </w:r>
      <w:r w:rsidR="0029434A" w:rsidRPr="007347DD">
        <w:t>нием выш</w:t>
      </w:r>
      <w:r w:rsidR="0029434A" w:rsidRPr="007347DD">
        <w:t>е</w:t>
      </w:r>
      <w:r w:rsidR="0029434A" w:rsidRPr="007347DD">
        <w:t>упомянутых юридических положений и, в случае их несоблюдения, будет пр</w:t>
      </w:r>
      <w:r w:rsidR="0029434A" w:rsidRPr="007347DD">
        <w:t>и</w:t>
      </w:r>
      <w:r w:rsidR="0029434A" w:rsidRPr="007347DD">
        <w:t xml:space="preserve">нимать меры в рамках своей компетенции. </w:t>
      </w:r>
    </w:p>
    <w:p w:rsidR="00BA168A" w:rsidRPr="00BA168A" w:rsidRDefault="00BA168A" w:rsidP="00BA168A">
      <w:pPr>
        <w:pStyle w:val="SingleTxt"/>
        <w:spacing w:after="0" w:line="120" w:lineRule="exact"/>
        <w:rPr>
          <w:sz w:val="10"/>
        </w:rPr>
      </w:pPr>
    </w:p>
    <w:p w:rsidR="0029434A" w:rsidRDefault="0029434A" w:rsidP="00BA1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47DD">
        <w:tab/>
      </w:r>
      <w:r w:rsidRPr="007347DD">
        <w:tab/>
        <w:t>Сельские женщины</w:t>
      </w:r>
    </w:p>
    <w:p w:rsidR="00BA168A" w:rsidRPr="00BA168A" w:rsidRDefault="00BA168A" w:rsidP="00BA168A">
      <w:pPr>
        <w:pStyle w:val="SingleTxt"/>
        <w:spacing w:after="0" w:line="120" w:lineRule="exact"/>
        <w:rPr>
          <w:sz w:val="10"/>
        </w:rPr>
      </w:pPr>
    </w:p>
    <w:p w:rsidR="0029434A" w:rsidRPr="00BA168A" w:rsidRDefault="0029434A" w:rsidP="00BA168A">
      <w:pPr>
        <w:pStyle w:val="SingleTxt"/>
        <w:rPr>
          <w:b/>
        </w:rPr>
      </w:pPr>
      <w:r w:rsidRPr="007347DD">
        <w:t>18.</w:t>
      </w:r>
      <w:r w:rsidRPr="007347DD">
        <w:tab/>
      </w:r>
      <w:r w:rsidRPr="00BA168A">
        <w:rPr>
          <w:b/>
        </w:rPr>
        <w:t>Просьба представить информацию о мерах, принимаемых с целью изменения традиционных и социальных моделей, отдающих предпочтение мужчинам в качестве руководителей сельскохозяйственных ферм, пре</w:t>
      </w:r>
      <w:r w:rsidRPr="00BA168A">
        <w:rPr>
          <w:b/>
        </w:rPr>
        <w:t>д</w:t>
      </w:r>
      <w:r w:rsidRPr="00BA168A">
        <w:rPr>
          <w:b/>
        </w:rPr>
        <w:t>приятий кустарного промысла, компаний и кооперативов (пункт 190). Просьба указать усилия, прилагаемые в целях информирования и расш</w:t>
      </w:r>
      <w:r w:rsidRPr="00BA168A">
        <w:rPr>
          <w:b/>
        </w:rPr>
        <w:t>и</w:t>
      </w:r>
      <w:r w:rsidRPr="00BA168A">
        <w:rPr>
          <w:b/>
        </w:rPr>
        <w:t>рения прав и возможностей сельских женщин, с тем чтобы они могли тр</w:t>
      </w:r>
      <w:r w:rsidRPr="00BA168A">
        <w:rPr>
          <w:b/>
        </w:rPr>
        <w:t>е</w:t>
      </w:r>
      <w:r w:rsidRPr="00BA168A">
        <w:rPr>
          <w:b/>
        </w:rPr>
        <w:t>бовать осуществления своих прав, например, имущественных прав.</w:t>
      </w:r>
    </w:p>
    <w:p w:rsidR="0029434A" w:rsidRPr="007347DD" w:rsidRDefault="00BA168A" w:rsidP="00BA168A">
      <w:pPr>
        <w:pStyle w:val="SingleTxt"/>
        <w:rPr>
          <w:i/>
          <w:iCs/>
        </w:rPr>
      </w:pPr>
      <w:r>
        <w:tab/>
      </w:r>
      <w:r w:rsidR="0029434A" w:rsidRPr="007347DD">
        <w:t>Органами государственного управления, учреждениями по вопросам ге</w:t>
      </w:r>
      <w:r w:rsidR="0029434A" w:rsidRPr="007347DD">
        <w:t>н</w:t>
      </w:r>
      <w:r w:rsidR="0029434A" w:rsidRPr="007347DD">
        <w:t>дерн</w:t>
      </w:r>
      <w:r w:rsidR="0029434A" w:rsidRPr="007347DD">
        <w:t>о</w:t>
      </w:r>
      <w:r w:rsidR="0029434A" w:rsidRPr="007347DD">
        <w:t>го равенства и организациями гражданского общества на национальном и местном уровнях были организованы конференции, семинары и другие мер</w:t>
      </w:r>
      <w:r w:rsidR="0029434A" w:rsidRPr="007347DD">
        <w:t>о</w:t>
      </w:r>
      <w:r w:rsidR="0029434A" w:rsidRPr="007347DD">
        <w:t>приятия, направленные на расширение прав и возможностей женщин в сел</w:t>
      </w:r>
      <w:r w:rsidR="0029434A" w:rsidRPr="007347DD">
        <w:t>ь</w:t>
      </w:r>
      <w:r w:rsidR="0029434A" w:rsidRPr="007347DD">
        <w:t xml:space="preserve">ских районах. В рамках проекта </w:t>
      </w:r>
      <w:r w:rsidR="003B6FF9">
        <w:t>«</w:t>
      </w:r>
      <w:r w:rsidR="0029434A" w:rsidRPr="007347DD">
        <w:t>Статус и роль женщин в сельских районах</w:t>
      </w:r>
      <w:r w:rsidR="003B6FF9">
        <w:t>»</w:t>
      </w:r>
      <w:r w:rsidR="0029434A" w:rsidRPr="007347DD">
        <w:t xml:space="preserve"> министерством сельского хозяйства было проведено обследование в отнош</w:t>
      </w:r>
      <w:r w:rsidR="0029434A" w:rsidRPr="007347DD">
        <w:t>е</w:t>
      </w:r>
      <w:r w:rsidR="0029434A" w:rsidRPr="007347DD">
        <w:t>нии статуса, осведомленности и потребностей сельских женщин в Хорватии. В 2012 году результаты этого обследования были опубликованы и распростран</w:t>
      </w:r>
      <w:r w:rsidR="0029434A" w:rsidRPr="007347DD">
        <w:t>е</w:t>
      </w:r>
      <w:r w:rsidR="0029434A" w:rsidRPr="007347DD">
        <w:t>ны в публик</w:t>
      </w:r>
      <w:r w:rsidR="0029434A" w:rsidRPr="007347DD">
        <w:t>а</w:t>
      </w:r>
      <w:r w:rsidR="0029434A" w:rsidRPr="007347DD">
        <w:t xml:space="preserve">ции, озаглавленной </w:t>
      </w:r>
      <w:r w:rsidR="003B6FF9">
        <w:t>«</w:t>
      </w:r>
      <w:r w:rsidR="0029434A" w:rsidRPr="007347DD">
        <w:t>101 вопрос в отношении женщин в сельских районах</w:t>
      </w:r>
      <w:r w:rsidR="003B6FF9">
        <w:t xml:space="preserve"> — </w:t>
      </w:r>
      <w:r w:rsidR="0029434A" w:rsidRPr="007347DD">
        <w:t>результаты, касающиеся статуса, уровня информированности и п</w:t>
      </w:r>
      <w:r w:rsidR="0029434A" w:rsidRPr="007347DD">
        <w:t>о</w:t>
      </w:r>
      <w:r w:rsidR="0029434A" w:rsidRPr="007347DD">
        <w:t>требностей сельских женщин в Республике Хорватия</w:t>
      </w:r>
      <w:r w:rsidR="003B6FF9">
        <w:t>"</w:t>
      </w:r>
      <w:r w:rsidR="0029434A" w:rsidRPr="007347DD">
        <w:t>. В 2011 году была орг</w:t>
      </w:r>
      <w:r w:rsidR="0029434A" w:rsidRPr="007347DD">
        <w:t>а</w:t>
      </w:r>
      <w:r w:rsidR="0029434A" w:rsidRPr="007347DD">
        <w:t xml:space="preserve">низована вторая международная конференция на тему </w:t>
      </w:r>
      <w:r w:rsidR="003B6FF9">
        <w:t>«</w:t>
      </w:r>
      <w:r w:rsidR="0029434A" w:rsidRPr="007347DD">
        <w:t>Расширение возможн</w:t>
      </w:r>
      <w:r w:rsidR="0029434A" w:rsidRPr="007347DD">
        <w:t>о</w:t>
      </w:r>
      <w:r w:rsidR="0029434A" w:rsidRPr="007347DD">
        <w:t>стей трудоустро</w:t>
      </w:r>
      <w:r w:rsidR="0029434A" w:rsidRPr="007347DD">
        <w:t>й</w:t>
      </w:r>
      <w:r w:rsidR="0029434A" w:rsidRPr="007347DD">
        <w:t>ства для женщин в сельских районах</w:t>
      </w:r>
      <w:r w:rsidR="003B6FF9">
        <w:t>»</w:t>
      </w:r>
      <w:r w:rsidR="0029434A" w:rsidRPr="007347DD">
        <w:t>.</w:t>
      </w:r>
    </w:p>
    <w:p w:rsidR="0029434A" w:rsidRPr="007347DD" w:rsidRDefault="00BA168A" w:rsidP="00BA168A">
      <w:pPr>
        <w:pStyle w:val="SingleTxt"/>
        <w:rPr>
          <w:i/>
          <w:iCs/>
        </w:rPr>
      </w:pPr>
      <w:r>
        <w:tab/>
      </w:r>
      <w:r w:rsidR="0029434A" w:rsidRPr="007347DD">
        <w:t xml:space="preserve">В министерстве была создана рабочая группа с целью сбора информации о положении женщин в сельских районах и в настоящее время ведется работа над </w:t>
      </w:r>
      <w:r w:rsidR="0029434A" w:rsidRPr="007347DD">
        <w:rPr>
          <w:i/>
        </w:rPr>
        <w:t>планом действий по развитию и укреплению роли и положения женщин в сельских районах</w:t>
      </w:r>
      <w:r w:rsidR="0029434A" w:rsidRPr="007347DD">
        <w:t>. Кроме того, планируется включить в него меры, направле</w:t>
      </w:r>
      <w:r w:rsidR="0029434A" w:rsidRPr="007347DD">
        <w:t>н</w:t>
      </w:r>
      <w:r w:rsidR="0029434A" w:rsidRPr="007347DD">
        <w:t>ные на преодоление неравенства в структуре собственности экономических и сельскохозяйственных объектов. В 2013 году были организованы три практ</w:t>
      </w:r>
      <w:r w:rsidR="0029434A" w:rsidRPr="007347DD">
        <w:t>и</w:t>
      </w:r>
      <w:r w:rsidR="0029434A" w:rsidRPr="007347DD">
        <w:t>кума, призванные содействовать обеспечению широкого общественного о</w:t>
      </w:r>
      <w:r w:rsidR="0029434A" w:rsidRPr="007347DD">
        <w:t>б</w:t>
      </w:r>
      <w:r w:rsidR="0029434A" w:rsidRPr="007347DD">
        <w:t>суждения, и сельские женщины приняли активное участие в разработке соо</w:t>
      </w:r>
      <w:r w:rsidR="0029434A" w:rsidRPr="007347DD">
        <w:t>т</w:t>
      </w:r>
      <w:r w:rsidR="0029434A" w:rsidRPr="007347DD">
        <w:t xml:space="preserve">ветствующих мер. </w:t>
      </w:r>
      <w:r w:rsidR="0029434A" w:rsidRPr="007347DD">
        <w:rPr>
          <w:i/>
        </w:rPr>
        <w:t>Программа развития сельских районов Республики Хорв</w:t>
      </w:r>
      <w:r w:rsidR="0029434A" w:rsidRPr="007347DD">
        <w:rPr>
          <w:i/>
        </w:rPr>
        <w:t>а</w:t>
      </w:r>
      <w:r w:rsidR="0029434A" w:rsidRPr="007347DD">
        <w:rPr>
          <w:i/>
        </w:rPr>
        <w:t>тия на период 2014</w:t>
      </w:r>
      <w:r w:rsidR="003B6FF9">
        <w:rPr>
          <w:i/>
        </w:rPr>
        <w:t>–</w:t>
      </w:r>
      <w:r w:rsidR="0029434A" w:rsidRPr="007347DD">
        <w:rPr>
          <w:i/>
        </w:rPr>
        <w:t>2020 годов</w:t>
      </w:r>
      <w:r w:rsidR="0029434A" w:rsidRPr="007347DD">
        <w:t>, которая, как ожидается, будет принята Евр</w:t>
      </w:r>
      <w:r w:rsidR="0029434A" w:rsidRPr="007347DD">
        <w:t>о</w:t>
      </w:r>
      <w:r w:rsidR="0029434A" w:rsidRPr="007347DD">
        <w:t>пейской комиссией, в качестве сквозного вопроса включает проблему раве</w:t>
      </w:r>
      <w:r w:rsidR="0029434A" w:rsidRPr="007347DD">
        <w:t>н</w:t>
      </w:r>
      <w:r w:rsidR="0029434A" w:rsidRPr="007347DD">
        <w:t xml:space="preserve">ства между мужчинами и женщинами, а </w:t>
      </w:r>
      <w:r w:rsidR="0029434A" w:rsidRPr="007347DD">
        <w:rPr>
          <w:i/>
        </w:rPr>
        <w:t>Стратегия в области развития же</w:t>
      </w:r>
      <w:r w:rsidR="0029434A" w:rsidRPr="007347DD">
        <w:rPr>
          <w:i/>
        </w:rPr>
        <w:t>н</w:t>
      </w:r>
      <w:r w:rsidR="0029434A" w:rsidRPr="007347DD">
        <w:rPr>
          <w:i/>
        </w:rPr>
        <w:t>ского предпринимательства в Республике Хорватия на период 2014</w:t>
      </w:r>
      <w:r w:rsidR="003B6FF9">
        <w:rPr>
          <w:i/>
        </w:rPr>
        <w:t>–</w:t>
      </w:r>
      <w:r w:rsidR="0029434A" w:rsidRPr="007347DD">
        <w:rPr>
          <w:i/>
        </w:rPr>
        <w:t>2020</w:t>
      </w:r>
      <w:r w:rsidR="0029434A" w:rsidRPr="007347DD">
        <w:t xml:space="preserve"> </w:t>
      </w:r>
      <w:r w:rsidR="0029434A" w:rsidRPr="007347DD">
        <w:rPr>
          <w:i/>
        </w:rPr>
        <w:t>г</w:t>
      </w:r>
      <w:r w:rsidR="0029434A" w:rsidRPr="007347DD">
        <w:rPr>
          <w:i/>
        </w:rPr>
        <w:t>о</w:t>
      </w:r>
      <w:r w:rsidR="0029434A" w:rsidRPr="007347DD">
        <w:rPr>
          <w:i/>
        </w:rPr>
        <w:t>дов</w:t>
      </w:r>
      <w:r w:rsidR="003B6FF9">
        <w:rPr>
          <w:i/>
        </w:rPr>
        <w:t xml:space="preserve"> — </w:t>
      </w:r>
      <w:r w:rsidR="0029434A" w:rsidRPr="007347DD">
        <w:t>меры, направленные на развитие предпринимательской деятельности женщин в сел</w:t>
      </w:r>
      <w:r w:rsidR="0029434A" w:rsidRPr="007347DD">
        <w:t>ь</w:t>
      </w:r>
      <w:r w:rsidR="0029434A" w:rsidRPr="007347DD">
        <w:t xml:space="preserve">ских районах. </w:t>
      </w:r>
    </w:p>
    <w:p w:rsidR="0029434A" w:rsidRDefault="00BA168A" w:rsidP="00BA168A">
      <w:pPr>
        <w:pStyle w:val="SingleTxt"/>
      </w:pPr>
      <w:r>
        <w:tab/>
      </w:r>
      <w:r w:rsidR="0029434A" w:rsidRPr="007347DD">
        <w:t>В 2012 и 2013 годах учреждения по вопросам гендерного равенства и м</w:t>
      </w:r>
      <w:r w:rsidR="0029434A" w:rsidRPr="007347DD">
        <w:t>и</w:t>
      </w:r>
      <w:r w:rsidR="0029434A" w:rsidRPr="007347DD">
        <w:t xml:space="preserve">нистерство сельского хозяйства принимали активное участие в реализации подготовленного региональным центром по вопросам гендерного равенства проекта под названием </w:t>
      </w:r>
      <w:r w:rsidR="003B6FF9">
        <w:t>«</w:t>
      </w:r>
      <w:r w:rsidR="0029434A" w:rsidRPr="007347DD">
        <w:t>Женщины Юго-Восточной Европы в сети по вопр</w:t>
      </w:r>
      <w:r w:rsidR="0029434A" w:rsidRPr="007347DD">
        <w:t>о</w:t>
      </w:r>
      <w:r w:rsidR="0029434A" w:rsidRPr="007347DD">
        <w:t>сам развития сельских районов</w:t>
      </w:r>
      <w:r w:rsidR="003B6FF9">
        <w:t>»</w:t>
      </w:r>
      <w:r w:rsidR="0029434A" w:rsidRPr="007347DD">
        <w:t xml:space="preserve"> (</w:t>
      </w:r>
      <w:r w:rsidR="003B6FF9" w:rsidRPr="003B6FF9">
        <w:t>“</w:t>
      </w:r>
      <w:r w:rsidR="0029434A" w:rsidRPr="007347DD">
        <w:t>SEE WORD"), а также проекта «Гендерное р</w:t>
      </w:r>
      <w:r w:rsidR="0029434A" w:rsidRPr="007347DD">
        <w:t>а</w:t>
      </w:r>
      <w:r w:rsidR="0029434A" w:rsidRPr="007347DD">
        <w:t>венство в развитии сельских районов</w:t>
      </w:r>
      <w:r w:rsidR="003B6FF9">
        <w:t xml:space="preserve"> — </w:t>
      </w:r>
      <w:r w:rsidR="0029434A" w:rsidRPr="007347DD">
        <w:t>расширение прав и возможностей женщин в сельском обществе (проект GARD)» Организации за гражданские инициативы</w:t>
      </w:r>
      <w:r w:rsidR="003B6FF9">
        <w:t xml:space="preserve"> — </w:t>
      </w:r>
      <w:r w:rsidR="0029434A" w:rsidRPr="007347DD">
        <w:t>ОГИ. В ноябре 2014 года в Задаре Омбудсменом по вопросам гендерного равенства в сотрудничестве с Региональным центром по вопросам гендерного равенства, ПРООН и посольствами Австрии и Франции в РХ был проведен пе</w:t>
      </w:r>
      <w:r w:rsidR="0029434A" w:rsidRPr="007347DD">
        <w:t>р</w:t>
      </w:r>
      <w:r w:rsidR="0029434A" w:rsidRPr="007347DD">
        <w:t>вый из серии запланированных форумов по вопросам расширения прав и возможностей женщин в городских и сельских районах РХ, озаглавле</w:t>
      </w:r>
      <w:r w:rsidR="0029434A" w:rsidRPr="007347DD">
        <w:t>н</w:t>
      </w:r>
      <w:r w:rsidR="0029434A" w:rsidRPr="007347DD">
        <w:t xml:space="preserve">ный </w:t>
      </w:r>
      <w:r w:rsidR="003B6FF9">
        <w:t>«</w:t>
      </w:r>
      <w:r w:rsidR="0029434A" w:rsidRPr="007347DD">
        <w:t>Самореализация через собрания и беседы</w:t>
      </w:r>
      <w:r w:rsidR="003B6FF9">
        <w:t>»</w:t>
      </w:r>
      <w:r w:rsidR="0029434A" w:rsidRPr="007347DD">
        <w:t>. Цель этой инициативы с</w:t>
      </w:r>
      <w:r w:rsidR="0029434A" w:rsidRPr="007347DD">
        <w:t>о</w:t>
      </w:r>
      <w:r w:rsidR="0029434A" w:rsidRPr="007347DD">
        <w:t>стоит в создании сети предпринимателей на местном уровне и установлении связей между округами в целях обмена опытом и раскрытия имеющегося в распоряжении местных общин потенциала.</w:t>
      </w:r>
    </w:p>
    <w:p w:rsidR="00BA168A" w:rsidRPr="00BA168A" w:rsidRDefault="00BA168A" w:rsidP="00BA168A">
      <w:pPr>
        <w:pStyle w:val="SingleTxt"/>
        <w:spacing w:after="0" w:line="120" w:lineRule="exact"/>
        <w:rPr>
          <w:sz w:val="10"/>
        </w:rPr>
      </w:pPr>
    </w:p>
    <w:p w:rsidR="0029434A" w:rsidRDefault="0029434A" w:rsidP="00BA1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47DD">
        <w:tab/>
      </w:r>
      <w:r w:rsidRPr="007347DD">
        <w:tab/>
        <w:t>Группы женщин, находящиеся в неблагоприятном положении</w:t>
      </w:r>
    </w:p>
    <w:p w:rsidR="00BA168A" w:rsidRPr="00BA168A" w:rsidRDefault="00BA168A" w:rsidP="00BA168A">
      <w:pPr>
        <w:pStyle w:val="SingleTxt"/>
        <w:spacing w:after="0" w:line="120" w:lineRule="exact"/>
        <w:rPr>
          <w:sz w:val="10"/>
        </w:rPr>
      </w:pPr>
    </w:p>
    <w:p w:rsidR="0029434A" w:rsidRPr="007347DD" w:rsidRDefault="0029434A" w:rsidP="00BA168A">
      <w:pPr>
        <w:pStyle w:val="SingleTxt"/>
      </w:pPr>
      <w:r w:rsidRPr="007347DD">
        <w:t>19.</w:t>
      </w:r>
      <w:r w:rsidRPr="007347DD">
        <w:tab/>
      </w:r>
      <w:r w:rsidRPr="00BA168A">
        <w:rPr>
          <w:b/>
        </w:rPr>
        <w:t>Просьба представить более подробную информацию о ходе осущест</w:t>
      </w:r>
      <w:r w:rsidRPr="00BA168A">
        <w:rPr>
          <w:b/>
        </w:rPr>
        <w:t>в</w:t>
      </w:r>
      <w:r w:rsidRPr="00BA168A">
        <w:rPr>
          <w:b/>
        </w:rPr>
        <w:t>ления плана действий в рамках Десятилетия интеграции рома (пункт 35). Прос</w:t>
      </w:r>
      <w:r w:rsidRPr="00BA168A">
        <w:rPr>
          <w:b/>
        </w:rPr>
        <w:t>ь</w:t>
      </w:r>
      <w:r w:rsidRPr="00BA168A">
        <w:rPr>
          <w:b/>
        </w:rPr>
        <w:t>ба также предоставить более подробную информацию о конкретных мерах, принимаемых в целях борьбы с широко распространенной дискр</w:t>
      </w:r>
      <w:r w:rsidRPr="00BA168A">
        <w:rPr>
          <w:b/>
        </w:rPr>
        <w:t>и</w:t>
      </w:r>
      <w:r w:rsidRPr="00BA168A">
        <w:rPr>
          <w:b/>
        </w:rPr>
        <w:t>минацией в отношении девочек и женщин из числа рома, в частности в сферах образования, трудоустройства и доступа к системе здравоохран</w:t>
      </w:r>
      <w:r w:rsidRPr="00BA168A">
        <w:rPr>
          <w:b/>
        </w:rPr>
        <w:t>е</w:t>
      </w:r>
      <w:r w:rsidRPr="00BA168A">
        <w:rPr>
          <w:b/>
        </w:rPr>
        <w:t>ния</w:t>
      </w:r>
      <w:r w:rsidRPr="007347DD">
        <w:t xml:space="preserve">. </w:t>
      </w:r>
    </w:p>
    <w:p w:rsidR="0029434A" w:rsidRPr="007347DD" w:rsidRDefault="00BA168A" w:rsidP="00BA168A">
      <w:pPr>
        <w:pStyle w:val="SingleTxt"/>
      </w:pPr>
      <w:r>
        <w:tab/>
      </w:r>
      <w:r w:rsidR="0029434A" w:rsidRPr="007347DD">
        <w:t>В отчетный период на регулярной основе осуществлялись мероприятия общего и адресного характера, предусмотренные Национальной программой в интересах рома на период 2003</w:t>
      </w:r>
      <w:r w:rsidR="003B6FF9">
        <w:t>–</w:t>
      </w:r>
      <w:r w:rsidR="0029434A" w:rsidRPr="007347DD">
        <w:t>2013 годов и Десятилетием по осуществл</w:t>
      </w:r>
      <w:r w:rsidR="0029434A" w:rsidRPr="007347DD">
        <w:t>е</w:t>
      </w:r>
      <w:r w:rsidR="0029434A" w:rsidRPr="007347DD">
        <w:t>нию планов действий по интеграции рома (2005</w:t>
      </w:r>
      <w:r w:rsidR="003B6FF9">
        <w:t>–</w:t>
      </w:r>
      <w:r w:rsidR="0029434A" w:rsidRPr="007347DD">
        <w:t>2012 годы). В ноябре 2012 года правительство Хорватии утвердило Национальную стратегию по интеграции рома на период 2013</w:t>
      </w:r>
      <w:r w:rsidR="003B6FF9">
        <w:t>–</w:t>
      </w:r>
      <w:r w:rsidR="0029434A" w:rsidRPr="007347DD">
        <w:t>2020 годов (далее</w:t>
      </w:r>
      <w:r w:rsidR="003B6FF9">
        <w:t xml:space="preserve"> — </w:t>
      </w:r>
      <w:r w:rsidR="0029434A" w:rsidRPr="007347DD">
        <w:t>НСИР), а в начале 2013 года, в д</w:t>
      </w:r>
      <w:r w:rsidR="0029434A" w:rsidRPr="007347DD">
        <w:t>о</w:t>
      </w:r>
      <w:r w:rsidR="0029434A" w:rsidRPr="007347DD">
        <w:t>полнение к ней</w:t>
      </w:r>
      <w:r w:rsidR="003B6FF9">
        <w:t xml:space="preserve"> — </w:t>
      </w:r>
      <w:r w:rsidR="0029434A" w:rsidRPr="007347DD">
        <w:t>План действий по осуществлению НСИР в период 2013</w:t>
      </w:r>
      <w:r w:rsidR="003B6FF9">
        <w:t>–</w:t>
      </w:r>
      <w:r w:rsidR="0029434A" w:rsidRPr="007347DD">
        <w:t>2015</w:t>
      </w:r>
      <w:r w:rsidR="003B6FF9">
        <w:t> </w:t>
      </w:r>
      <w:r w:rsidR="0029434A" w:rsidRPr="007347DD">
        <w:t xml:space="preserve">годов. Как отмечается в исследовании </w:t>
      </w:r>
      <w:r w:rsidR="003B6FF9">
        <w:t>«</w:t>
      </w:r>
      <w:r w:rsidR="0029434A" w:rsidRPr="007347DD">
        <w:t>Страновой доклад по Хорватии: расширение прав и возможностей женщин из числа рома в рамках осуществл</w:t>
      </w:r>
      <w:r w:rsidR="0029434A" w:rsidRPr="007347DD">
        <w:t>е</w:t>
      </w:r>
      <w:r w:rsidR="0029434A" w:rsidRPr="007347DD">
        <w:t>ния разработанных европейскими странами национальных стратегий интегр</w:t>
      </w:r>
      <w:r w:rsidR="0029434A" w:rsidRPr="007347DD">
        <w:t>а</w:t>
      </w:r>
      <w:r w:rsidR="0029434A" w:rsidRPr="007347DD">
        <w:t>ции рома (2013 год)</w:t>
      </w:r>
      <w:r w:rsidR="003B6FF9">
        <w:t>»</w:t>
      </w:r>
      <w:r w:rsidR="0029434A" w:rsidRPr="007347DD">
        <w:t>, в НСИР обеспечение гендерного равенства справедливо квалифицируется как многосекторальный вопрос. В докладе Европейского ф</w:t>
      </w:r>
      <w:r w:rsidR="0029434A" w:rsidRPr="007347DD">
        <w:t>о</w:t>
      </w:r>
      <w:r w:rsidR="0029434A" w:rsidRPr="007347DD">
        <w:t xml:space="preserve">рума цыган-рома и кочевых народов за 2015 год, озаглавленном </w:t>
      </w:r>
      <w:r w:rsidR="003B6FF9">
        <w:t>«</w:t>
      </w:r>
      <w:r w:rsidR="0029434A" w:rsidRPr="007347DD">
        <w:t>Оценка учета гендерной проблематики в национальных стратегиях интеграции рома</w:t>
      </w:r>
      <w:r w:rsidR="003B6FF9">
        <w:t>»</w:t>
      </w:r>
      <w:r w:rsidR="0029434A" w:rsidRPr="007347DD">
        <w:t>, в к</w:t>
      </w:r>
      <w:r w:rsidR="0029434A" w:rsidRPr="007347DD">
        <w:t>о</w:t>
      </w:r>
      <w:r w:rsidR="0029434A" w:rsidRPr="007347DD">
        <w:t>тором содержится анализ положения дел в сфере учета гендерных аспектов в национальных страт</w:t>
      </w:r>
      <w:r w:rsidR="0029434A" w:rsidRPr="007347DD">
        <w:t>е</w:t>
      </w:r>
      <w:r w:rsidR="0029434A" w:rsidRPr="007347DD">
        <w:t>гиях интеграции рома, осуществляемых государствами-членами ЕС, Хорватия прив</w:t>
      </w:r>
      <w:r w:rsidR="0029434A" w:rsidRPr="007347DD">
        <w:t>о</w:t>
      </w:r>
      <w:r w:rsidR="0029434A" w:rsidRPr="007347DD">
        <w:t xml:space="preserve">дится в качестве положительного примера. </w:t>
      </w:r>
    </w:p>
    <w:p w:rsidR="0029434A" w:rsidRPr="007347DD" w:rsidRDefault="00BA168A" w:rsidP="00BA168A">
      <w:pPr>
        <w:pStyle w:val="SingleTxt"/>
      </w:pPr>
      <w:r>
        <w:tab/>
      </w:r>
      <w:r w:rsidR="0029434A" w:rsidRPr="007347DD">
        <w:t>Результаты ряда последних обследований, таких, например, как обслед</w:t>
      </w:r>
      <w:r w:rsidR="0029434A" w:rsidRPr="007347DD">
        <w:t>о</w:t>
      </w:r>
      <w:r w:rsidR="0029434A" w:rsidRPr="007347DD">
        <w:t>вания, проводившиеся АОП, Всемирным банком и ПРООН в 2011 году и в п</w:t>
      </w:r>
      <w:r w:rsidR="0029434A" w:rsidRPr="007347DD">
        <w:t>о</w:t>
      </w:r>
      <w:r w:rsidR="0029434A" w:rsidRPr="007347DD">
        <w:t>следующий период, свидетельствуют о том, что, хотя разрыв между женщин</w:t>
      </w:r>
      <w:r w:rsidR="0029434A" w:rsidRPr="007347DD">
        <w:t>а</w:t>
      </w:r>
      <w:r w:rsidR="0029434A" w:rsidRPr="007347DD">
        <w:t>ми рома и другими женщинами сократился, существенные различия между ними сохраняются. В сфере образования прилагаются решительные усилия в целях интеграции детей рома в дошкольные виды деятельности, обеспечения стипенди</w:t>
      </w:r>
      <w:r w:rsidR="0029434A" w:rsidRPr="007347DD">
        <w:t>я</w:t>
      </w:r>
      <w:r w:rsidR="0029434A" w:rsidRPr="007347DD">
        <w:t>ми всех учащихся средних школ и студентов университетов, а также подготовки учителей и других сотрудников сферы образования. В сфере зан</w:t>
      </w:r>
      <w:r w:rsidR="0029434A" w:rsidRPr="007347DD">
        <w:t>я</w:t>
      </w:r>
      <w:r w:rsidR="0029434A" w:rsidRPr="007347DD">
        <w:t>тости особое внимание уделяется вопросам повышения конкурентоспособн</w:t>
      </w:r>
      <w:r w:rsidR="0029434A" w:rsidRPr="007347DD">
        <w:t>о</w:t>
      </w:r>
      <w:r w:rsidR="0029434A" w:rsidRPr="007347DD">
        <w:t>сти и расширения возможностей для трудоустройства, а также проблеме чре</w:t>
      </w:r>
      <w:r w:rsidR="0029434A" w:rsidRPr="007347DD">
        <w:t>з</w:t>
      </w:r>
      <w:r w:rsidR="0029434A" w:rsidRPr="007347DD">
        <w:t>вычайно низкого уровня участия женщин в предпринимательской деятельн</w:t>
      </w:r>
      <w:r w:rsidR="0029434A" w:rsidRPr="007347DD">
        <w:t>о</w:t>
      </w:r>
      <w:r w:rsidR="0029434A" w:rsidRPr="007347DD">
        <w:t>сти, в то время как в области здравоохранения на основе сотрудничества с местными НПО рома налажено оказание консультативных услуг, ориентир</w:t>
      </w:r>
      <w:r w:rsidR="0029434A" w:rsidRPr="007347DD">
        <w:t>о</w:t>
      </w:r>
      <w:r w:rsidR="0029434A" w:rsidRPr="007347DD">
        <w:t>ванных, в частности, на поддержание здоровья женщин рома. В настоящее время министерство здравоохранения разрабатывает экспериментальную пр</w:t>
      </w:r>
      <w:r w:rsidR="0029434A" w:rsidRPr="007347DD">
        <w:t>о</w:t>
      </w:r>
      <w:r w:rsidR="0029434A" w:rsidRPr="007347DD">
        <w:t>грамму, предусматривающую подготовку посредников по вопросам здрав</w:t>
      </w:r>
      <w:r w:rsidR="0029434A" w:rsidRPr="007347DD">
        <w:t>о</w:t>
      </w:r>
      <w:r w:rsidR="0029434A" w:rsidRPr="007347DD">
        <w:t>охранения из числа рома. Прилагаются целенаправленные усилия по борьбе с дискриминацией, торговлей людьми, ранними браками, а также в целях обе</w:t>
      </w:r>
      <w:r w:rsidR="0029434A" w:rsidRPr="007347DD">
        <w:t>с</w:t>
      </w:r>
      <w:r w:rsidR="0029434A" w:rsidRPr="007347DD">
        <w:t>печения участия женщин в процессах принятия решений. Кроме того, важно отметить, что в настоящее время гендерным вопросам уделяется должное вн</w:t>
      </w:r>
      <w:r w:rsidR="0029434A" w:rsidRPr="007347DD">
        <w:t>и</w:t>
      </w:r>
      <w:r w:rsidR="0029434A" w:rsidRPr="007347DD">
        <w:t>мание при ра</w:t>
      </w:r>
      <w:r w:rsidR="0029434A" w:rsidRPr="007347DD">
        <w:t>з</w:t>
      </w:r>
      <w:r w:rsidR="0029434A" w:rsidRPr="007347DD">
        <w:t>работке планов действий по интеграции рома на местном уровне.</w:t>
      </w:r>
    </w:p>
    <w:p w:rsidR="0029434A" w:rsidRPr="007347DD" w:rsidRDefault="00BA168A" w:rsidP="00BA168A">
      <w:pPr>
        <w:pStyle w:val="SingleTxt"/>
      </w:pPr>
      <w:r>
        <w:tab/>
      </w:r>
      <w:r w:rsidR="0029434A" w:rsidRPr="007347DD">
        <w:t>Министерство по вопросам науки, образования и спорта предоставляет стипендии для учащихся средних школ и студентов университетов из числа рома. В 2010/11 учебном году стипендии были предоставлены 364 учащимся средних школ, в том числе 185 учащимся-девочкам, и 26 студентам высших учебных заведений, 16 из которых</w:t>
      </w:r>
      <w:r w:rsidR="003B6FF9">
        <w:t xml:space="preserve"> — </w:t>
      </w:r>
      <w:r w:rsidR="0029434A" w:rsidRPr="007347DD">
        <w:t>женщины. В 2011/12 учебном году ст</w:t>
      </w:r>
      <w:r w:rsidR="0029434A" w:rsidRPr="007347DD">
        <w:t>и</w:t>
      </w:r>
      <w:r w:rsidR="0029434A" w:rsidRPr="007347DD">
        <w:t>пендии были предоставлены 421 учащемуся средних школ, в том числе 201</w:t>
      </w:r>
      <w:r w:rsidR="003B6FF9">
        <w:t> </w:t>
      </w:r>
      <w:r w:rsidR="0029434A" w:rsidRPr="007347DD">
        <w:t>учащимся-девочкам, и 29 студентам высших учебных заведений, 19 из к</w:t>
      </w:r>
      <w:r w:rsidR="0029434A" w:rsidRPr="007347DD">
        <w:t>о</w:t>
      </w:r>
      <w:r w:rsidR="0029434A" w:rsidRPr="007347DD">
        <w:t>торых</w:t>
      </w:r>
      <w:r w:rsidR="003B6FF9">
        <w:t xml:space="preserve"> — </w:t>
      </w:r>
      <w:r w:rsidR="0029434A" w:rsidRPr="007347DD">
        <w:t>женщины. В 2012/13 учебном году стипендии были предоставлены 480 учащимся средних школ, в том числе 194 учащимся-девочкам, и 23 студе</w:t>
      </w:r>
      <w:r w:rsidR="0029434A" w:rsidRPr="007347DD">
        <w:t>н</w:t>
      </w:r>
      <w:r w:rsidR="0029434A" w:rsidRPr="007347DD">
        <w:t>там высших учебных заведений, 16 из которых - женщины. Выделение студе</w:t>
      </w:r>
      <w:r w:rsidR="0029434A" w:rsidRPr="007347DD">
        <w:t>н</w:t>
      </w:r>
      <w:r w:rsidR="0029434A" w:rsidRPr="007347DD">
        <w:t>там стипендий и мест в студенческих общежитиях способствовало увеличению числа учащихся рома, как мужчин, так и женщин, успешно закончивших сре</w:t>
      </w:r>
      <w:r w:rsidR="0029434A" w:rsidRPr="007347DD">
        <w:t>д</w:t>
      </w:r>
      <w:r w:rsidR="0029434A" w:rsidRPr="007347DD">
        <w:t>нюю школу. С 2010/11 учебного года ведется сбор данных о числе учащихся из чи</w:t>
      </w:r>
      <w:r w:rsidR="0029434A" w:rsidRPr="007347DD">
        <w:t>с</w:t>
      </w:r>
      <w:r w:rsidR="0029434A" w:rsidRPr="007347DD">
        <w:t xml:space="preserve">ла рома, которым оказывается специальная помощь в изучении хорватского языка в соответствии со статьей 43 </w:t>
      </w:r>
      <w:r w:rsidR="0029434A" w:rsidRPr="007347DD">
        <w:rPr>
          <w:i/>
        </w:rPr>
        <w:t>Закона об обучении в начальной и средней школе</w:t>
      </w:r>
      <w:r w:rsidR="0029434A" w:rsidRPr="007347DD">
        <w:t>. На начало 2012/13 учебного года специальная помощь в изучении хо</w:t>
      </w:r>
      <w:r w:rsidR="0029434A" w:rsidRPr="007347DD">
        <w:t>р</w:t>
      </w:r>
      <w:r w:rsidR="0029434A" w:rsidRPr="007347DD">
        <w:t>ватского языка оказывалась в общей сложности 681 учащемуся, в том числе 336 девочкам, а на начало 2013/14 учебного года помощь оказывалась 511 уч</w:t>
      </w:r>
      <w:r w:rsidR="0029434A" w:rsidRPr="007347DD">
        <w:t>а</w:t>
      </w:r>
      <w:r w:rsidR="0029434A" w:rsidRPr="007347DD">
        <w:t>щимся, включая 260 девочек. В большинстве школ в штате сотрудников им</w:t>
      </w:r>
      <w:r w:rsidR="0029434A" w:rsidRPr="007347DD">
        <w:t>е</w:t>
      </w:r>
      <w:r w:rsidR="0029434A" w:rsidRPr="007347DD">
        <w:t>ются помощники учителей из числа рома</w:t>
      </w:r>
      <w:r w:rsidR="003B6FF9">
        <w:t xml:space="preserve"> — </w:t>
      </w:r>
      <w:r w:rsidR="0029434A" w:rsidRPr="007347DD">
        <w:t>в общей сложности 26 человек, включая 11 женщин; они оказывают учителям содействие в проведении вн</w:t>
      </w:r>
      <w:r w:rsidR="0029434A" w:rsidRPr="007347DD">
        <w:t>е</w:t>
      </w:r>
      <w:r w:rsidR="0029434A" w:rsidRPr="007347DD">
        <w:t>классных мероприятий, призванных помочь детям справиться с домашним з</w:t>
      </w:r>
      <w:r w:rsidR="0029434A" w:rsidRPr="007347DD">
        <w:t>а</w:t>
      </w:r>
      <w:r w:rsidR="0029434A" w:rsidRPr="007347DD">
        <w:t>данием и другими видами школьной работы.</w:t>
      </w:r>
    </w:p>
    <w:p w:rsidR="0029434A" w:rsidRPr="007347DD" w:rsidRDefault="00BA168A" w:rsidP="00BA168A">
      <w:pPr>
        <w:pStyle w:val="SingleTxt"/>
      </w:pPr>
      <w:r>
        <w:tab/>
      </w:r>
      <w:r w:rsidR="0029434A" w:rsidRPr="007347DD">
        <w:t>В целях создания условий, способствующих расширению возможностей трудоустройства, Хорватская служба занятости (ХСЗ) распространяет на всех представителей народности рома действие разрабатываемых ею мер общего характера, как и мер, специально принимаемых в интересах представителей этого национального меньшинства. В 2013 году в общей сложности 6719 пре</w:t>
      </w:r>
      <w:r w:rsidR="0029434A" w:rsidRPr="007347DD">
        <w:t>д</w:t>
      </w:r>
      <w:r w:rsidR="0029434A" w:rsidRPr="007347DD">
        <w:t>ставителей народности рома, в том числе 3139 женщин, приняли участие в м</w:t>
      </w:r>
      <w:r w:rsidR="0029434A" w:rsidRPr="007347DD">
        <w:t>е</w:t>
      </w:r>
      <w:r w:rsidR="0029434A" w:rsidRPr="007347DD">
        <w:t>роприятиях по расширению прав и возможностей, призванных оказать им с</w:t>
      </w:r>
      <w:r w:rsidR="0029434A" w:rsidRPr="007347DD">
        <w:t>о</w:t>
      </w:r>
      <w:r w:rsidR="0029434A" w:rsidRPr="007347DD">
        <w:t>действие в выходе на рынок труда (таких как обмен информацией в рамках группы, консультирование на индивидуальной основе, консультирование на групповой о</w:t>
      </w:r>
      <w:r w:rsidR="0029434A" w:rsidRPr="007347DD">
        <w:t>с</w:t>
      </w:r>
      <w:r w:rsidR="0029434A" w:rsidRPr="007347DD">
        <w:t>нове с целью привития навыков поиска работы), в то время как в 2012 году в такого рода мероприятиях приняли участие в общей сложности 8023 человек, включая 3609 женщин. В 2013 году общее число представителей рома, занятых на открытом рынке труда (за исключением лиц, охваченных м</w:t>
      </w:r>
      <w:r w:rsidR="0029434A" w:rsidRPr="007347DD">
        <w:t>е</w:t>
      </w:r>
      <w:r w:rsidR="0029434A" w:rsidRPr="007347DD">
        <w:t>рами по стимулированию занятости), составило 226</w:t>
      </w:r>
      <w:r w:rsidR="003B6FF9">
        <w:t> </w:t>
      </w:r>
      <w:r w:rsidR="0029434A" w:rsidRPr="007347DD">
        <w:t>человек, включая 114</w:t>
      </w:r>
      <w:r w:rsidR="003B6FF9">
        <w:t> </w:t>
      </w:r>
      <w:r w:rsidR="0029434A" w:rsidRPr="007347DD">
        <w:t xml:space="preserve">женщин. В 2013 году мерами в рамках </w:t>
      </w:r>
      <w:r w:rsidR="0029434A" w:rsidRPr="007347DD">
        <w:rPr>
          <w:i/>
        </w:rPr>
        <w:t>Национального плана действий по обеспечению занятости на период 2011</w:t>
      </w:r>
      <w:r w:rsidR="003B6FF9">
        <w:rPr>
          <w:i/>
        </w:rPr>
        <w:t>–</w:t>
      </w:r>
      <w:r w:rsidR="0029434A" w:rsidRPr="007347DD">
        <w:rPr>
          <w:i/>
        </w:rPr>
        <w:t>2013</w:t>
      </w:r>
      <w:r w:rsidR="003B6FF9">
        <w:rPr>
          <w:i/>
        </w:rPr>
        <w:t> </w:t>
      </w:r>
      <w:r w:rsidR="0029434A" w:rsidRPr="007347DD">
        <w:rPr>
          <w:i/>
        </w:rPr>
        <w:t>годов</w:t>
      </w:r>
      <w:r w:rsidR="0029434A" w:rsidRPr="007347DD">
        <w:t xml:space="preserve"> было охвачено в общей сложности 757 представителей народности рома, включая 255 женщин, в то время как в 2012 году такими мерами было охвачено 664 человек, включая 216</w:t>
      </w:r>
      <w:r w:rsidR="003B6FF9">
        <w:t> </w:t>
      </w:r>
      <w:r w:rsidR="0029434A" w:rsidRPr="007347DD">
        <w:t>женщин, а в 2011 году</w:t>
      </w:r>
      <w:r w:rsidR="003B6FF9">
        <w:t xml:space="preserve"> — </w:t>
      </w:r>
      <w:r w:rsidR="0029434A" w:rsidRPr="007347DD">
        <w:t>542 человека, включая 151 женщину. В общей сложности 114 женщин из числа рома приняли участие в проводившихся в 2013 году 19 семинарах-практикумах, посвященных активным методам поиска работы, что представляет собой увеличение по сравнению с 2012 годом, когда было проведено 12 семинаров, в которых приняли участие 107 женщин из чи</w:t>
      </w:r>
      <w:r w:rsidR="0029434A" w:rsidRPr="007347DD">
        <w:t>с</w:t>
      </w:r>
      <w:r w:rsidR="0029434A" w:rsidRPr="007347DD">
        <w:t>ла рома.</w:t>
      </w:r>
    </w:p>
    <w:p w:rsidR="0029434A" w:rsidRPr="007347DD" w:rsidRDefault="00BA168A" w:rsidP="00BA168A">
      <w:pPr>
        <w:pStyle w:val="SingleTxt"/>
      </w:pPr>
      <w:r>
        <w:tab/>
      </w:r>
      <w:r w:rsidR="0029434A" w:rsidRPr="007347DD">
        <w:t>В целях ликвидации дискриминации компетентные органы власти на р</w:t>
      </w:r>
      <w:r w:rsidR="0029434A" w:rsidRPr="007347DD">
        <w:t>е</w:t>
      </w:r>
      <w:r w:rsidR="0029434A" w:rsidRPr="007347DD">
        <w:t>гулярной основе выделяют финансовые средства для реализации проектов, разрабатываемых организациями гражданского общества, занимающимися в</w:t>
      </w:r>
      <w:r w:rsidR="0029434A" w:rsidRPr="007347DD">
        <w:t>о</w:t>
      </w:r>
      <w:r w:rsidR="0029434A" w:rsidRPr="007347DD">
        <w:t>просами защиты прав человека представителей национального меньшинства рома, уделяя при этом особое внимание программам и проектам, направле</w:t>
      </w:r>
      <w:r w:rsidR="0029434A" w:rsidRPr="007347DD">
        <w:t>н</w:t>
      </w:r>
      <w:r w:rsidR="0029434A" w:rsidRPr="007347DD">
        <w:t>ным на укрепление и повышение информированности женщин рома относ</w:t>
      </w:r>
      <w:r w:rsidR="0029434A" w:rsidRPr="007347DD">
        <w:t>и</w:t>
      </w:r>
      <w:r w:rsidR="0029434A" w:rsidRPr="007347DD">
        <w:t>тельно прав человека и гендерного равенства. См. ответы на вопрос 3.</w:t>
      </w:r>
    </w:p>
    <w:p w:rsidR="0029434A" w:rsidRPr="00BA168A" w:rsidRDefault="0029434A" w:rsidP="00BA168A">
      <w:pPr>
        <w:pStyle w:val="SingleTxt"/>
        <w:rPr>
          <w:b/>
        </w:rPr>
      </w:pPr>
      <w:r w:rsidRPr="00BA168A">
        <w:rPr>
          <w:b/>
        </w:rPr>
        <w:t>20.</w:t>
      </w:r>
      <w:r w:rsidRPr="00BA168A">
        <w:rPr>
          <w:b/>
        </w:rPr>
        <w:tab/>
        <w:t>С учетом того, что показатель числа людей, находящихся на грани нищеты, в государстве-участнике наиболее высок среди женщин пожилого возраста (пункт 178), просьба представить обновленную информацию о мерах, направленных на борьбу с нищетой и социальной изоляцией пож</w:t>
      </w:r>
      <w:r w:rsidRPr="00BA168A">
        <w:rPr>
          <w:b/>
        </w:rPr>
        <w:t>и</w:t>
      </w:r>
      <w:r w:rsidRPr="00BA168A">
        <w:rPr>
          <w:b/>
        </w:rPr>
        <w:t>лых женщин, ос</w:t>
      </w:r>
      <w:r w:rsidRPr="00BA168A">
        <w:rPr>
          <w:b/>
        </w:rPr>
        <w:t>о</w:t>
      </w:r>
      <w:r w:rsidRPr="00BA168A">
        <w:rPr>
          <w:b/>
        </w:rPr>
        <w:t>бенно одиноких (пункт 72).</w:t>
      </w:r>
    </w:p>
    <w:p w:rsidR="0029434A" w:rsidRPr="007347DD" w:rsidRDefault="00BA168A" w:rsidP="00BA168A">
      <w:pPr>
        <w:pStyle w:val="SingleTxt"/>
      </w:pPr>
      <w:r>
        <w:tab/>
      </w:r>
      <w:r w:rsidR="0029434A" w:rsidRPr="007347DD">
        <w:t>Одинокие, престарелые лица на протяжении многих лет принимают уч</w:t>
      </w:r>
      <w:r w:rsidR="0029434A" w:rsidRPr="007347DD">
        <w:t>а</w:t>
      </w:r>
      <w:r w:rsidR="0029434A" w:rsidRPr="007347DD">
        <w:t xml:space="preserve">стие в программах </w:t>
      </w:r>
      <w:r w:rsidR="003B6FF9">
        <w:t>«</w:t>
      </w:r>
      <w:r w:rsidR="0029434A" w:rsidRPr="007347DD">
        <w:t>Уход за пожилыми на дому</w:t>
      </w:r>
      <w:r w:rsidR="003B6FF9">
        <w:t>»</w:t>
      </w:r>
      <w:r w:rsidR="0029434A" w:rsidRPr="007347DD">
        <w:t xml:space="preserve"> и </w:t>
      </w:r>
      <w:r w:rsidR="003B6FF9">
        <w:t>«</w:t>
      </w:r>
      <w:r w:rsidR="0029434A" w:rsidRPr="007347DD">
        <w:t>Дневное пребывание и ок</w:t>
      </w:r>
      <w:r w:rsidR="0029434A" w:rsidRPr="007347DD">
        <w:t>а</w:t>
      </w:r>
      <w:r w:rsidR="0029434A" w:rsidRPr="007347DD">
        <w:t>зание пожилым людям помощи по дому</w:t>
      </w:r>
      <w:r w:rsidR="003B6FF9">
        <w:t>»</w:t>
      </w:r>
      <w:r w:rsidR="0029434A" w:rsidRPr="007347DD">
        <w:t>, осуществляемых соответствующ</w:t>
      </w:r>
      <w:r w:rsidR="0029434A" w:rsidRPr="007347DD">
        <w:t>и</w:t>
      </w:r>
      <w:r w:rsidR="0029434A" w:rsidRPr="007347DD">
        <w:t>ми учреждениями и организациями гражданского общества на основе согл</w:t>
      </w:r>
      <w:r w:rsidR="0029434A" w:rsidRPr="007347DD">
        <w:t>а</w:t>
      </w:r>
      <w:r w:rsidR="0029434A" w:rsidRPr="007347DD">
        <w:t>шений о сотрудничестве, заключаемых между местными и региональными органами самоуправления и соответствующим министерством. В 2012 году амбулато</w:t>
      </w:r>
      <w:r w:rsidR="0029434A" w:rsidRPr="007347DD">
        <w:t>р</w:t>
      </w:r>
      <w:r w:rsidR="0029434A" w:rsidRPr="007347DD">
        <w:t>ными услугами по линии этих программ были охвачены в общей сложности 15</w:t>
      </w:r>
      <w:r w:rsidR="003B6FF9">
        <w:t> </w:t>
      </w:r>
      <w:r w:rsidR="0029434A" w:rsidRPr="007347DD">
        <w:t>500</w:t>
      </w:r>
      <w:r w:rsidR="003B6FF9">
        <w:t> </w:t>
      </w:r>
      <w:r w:rsidR="0029434A" w:rsidRPr="007347DD">
        <w:t>пожилых людей, 74 процента из числа которых составляли женщины. В рамках указанных программ активно пропагандируется политика обе</w:t>
      </w:r>
      <w:r w:rsidR="0029434A" w:rsidRPr="007347DD">
        <w:t>с</w:t>
      </w:r>
      <w:r w:rsidR="0029434A" w:rsidRPr="007347DD">
        <w:t>печения занятости местного населения, прежде всего групп, обладающих меньшими возможностями для трудоустройства и занимающихся поиском работы в теч</w:t>
      </w:r>
      <w:r w:rsidR="0029434A" w:rsidRPr="007347DD">
        <w:t>е</w:t>
      </w:r>
      <w:r w:rsidR="0029434A" w:rsidRPr="007347DD">
        <w:t>ние длительного периода времени, включая пожилых женщин, а также лиц с низким уровнем квалификации. Среди 1045 сотрудников, предоставляющих услуги для пожилых людей, женщины составляют 82 процента.</w:t>
      </w:r>
    </w:p>
    <w:p w:rsidR="0029434A" w:rsidRPr="007347DD" w:rsidRDefault="00BA168A" w:rsidP="00BA168A">
      <w:pPr>
        <w:pStyle w:val="SingleTxt"/>
      </w:pPr>
      <w:r>
        <w:tab/>
      </w:r>
      <w:r w:rsidR="0029434A" w:rsidRPr="007347DD">
        <w:t xml:space="preserve">В рамках программы </w:t>
      </w:r>
      <w:r w:rsidR="003B6FF9">
        <w:t>«</w:t>
      </w:r>
      <w:r w:rsidR="0029434A" w:rsidRPr="007347DD">
        <w:t>Формирование и расширение сети социальных услуг, предоставляемых организациями гражданского общества (2010</w:t>
      </w:r>
      <w:r w:rsidR="003B6FF9">
        <w:t>–</w:t>
      </w:r>
      <w:r w:rsidR="0029434A" w:rsidRPr="007347DD">
        <w:t>2013 и 2011</w:t>
      </w:r>
      <w:r w:rsidR="003B6FF9">
        <w:t>–</w:t>
      </w:r>
      <w:r w:rsidR="0029434A" w:rsidRPr="007347DD">
        <w:t>2014 годы)</w:t>
      </w:r>
      <w:r w:rsidR="003B6FF9">
        <w:t>»</w:t>
      </w:r>
      <w:r w:rsidR="0029434A" w:rsidRPr="007347DD">
        <w:t>, МСПМ оказывало поддержку в осуществлении ряда прое</w:t>
      </w:r>
      <w:r w:rsidR="0029434A" w:rsidRPr="007347DD">
        <w:t>к</w:t>
      </w:r>
      <w:r w:rsidR="0029434A" w:rsidRPr="007347DD">
        <w:t>тов по развитию социальных услуг, напрямую способствующих созданию с</w:t>
      </w:r>
      <w:r w:rsidR="0029434A" w:rsidRPr="007347DD">
        <w:t>о</w:t>
      </w:r>
      <w:r w:rsidR="0029434A" w:rsidRPr="007347DD">
        <w:t>ответствующей сети услуг на уровне местных общин и обеспечению охвата ими определенных групп населения (лица пожилого возраста, жертвы насилия и бездомные), с особым упором на доступность таких услуг для жителей сел</w:t>
      </w:r>
      <w:r w:rsidR="0029434A" w:rsidRPr="007347DD">
        <w:t>ь</w:t>
      </w:r>
      <w:r w:rsidR="0029434A" w:rsidRPr="007347DD">
        <w:t>ских, гористых и горных районов и островов.</w:t>
      </w:r>
    </w:p>
    <w:p w:rsidR="00190845" w:rsidRPr="00190845" w:rsidRDefault="00BA168A" w:rsidP="00BA168A">
      <w:pPr>
        <w:pStyle w:val="SingleTxt"/>
      </w:pPr>
      <w:r>
        <w:tab/>
      </w:r>
      <w:r w:rsidR="0029434A" w:rsidRPr="007347DD">
        <w:t xml:space="preserve">В апреле 2011 года была утверждена </w:t>
      </w:r>
      <w:r w:rsidR="0029434A" w:rsidRPr="007347DD">
        <w:rPr>
          <w:i/>
        </w:rPr>
        <w:t>Стратегия развития сети социал</w:t>
      </w:r>
      <w:r w:rsidR="0029434A" w:rsidRPr="007347DD">
        <w:rPr>
          <w:i/>
        </w:rPr>
        <w:t>ь</w:t>
      </w:r>
      <w:r w:rsidR="0029434A" w:rsidRPr="007347DD">
        <w:rPr>
          <w:i/>
        </w:rPr>
        <w:t>ного обеспечения в Республике Хорватия на 2011</w:t>
      </w:r>
      <w:r w:rsidR="003B6FF9">
        <w:rPr>
          <w:i/>
        </w:rPr>
        <w:t>–</w:t>
      </w:r>
      <w:r w:rsidR="0029434A" w:rsidRPr="007347DD">
        <w:rPr>
          <w:i/>
        </w:rPr>
        <w:t>2016 годы</w:t>
      </w:r>
      <w:r w:rsidR="0029434A" w:rsidRPr="007347DD">
        <w:t>. Она была разр</w:t>
      </w:r>
      <w:r w:rsidR="0029434A" w:rsidRPr="007347DD">
        <w:t>а</w:t>
      </w:r>
      <w:r w:rsidR="0029434A" w:rsidRPr="007347DD">
        <w:t>ботана в целях, в частности, децентрализации системы социального обеспеч</w:t>
      </w:r>
      <w:r w:rsidR="0029434A" w:rsidRPr="007347DD">
        <w:t>е</w:t>
      </w:r>
      <w:r w:rsidR="0029434A" w:rsidRPr="007347DD">
        <w:t>ния, искоренения и недопущения институционализации, внедрения ИТ в с</w:t>
      </w:r>
      <w:r w:rsidR="0029434A" w:rsidRPr="007347DD">
        <w:t>и</w:t>
      </w:r>
      <w:r w:rsidR="0029434A" w:rsidRPr="007347DD">
        <w:t>стему с</w:t>
      </w:r>
      <w:r w:rsidR="0029434A" w:rsidRPr="007347DD">
        <w:t>о</w:t>
      </w:r>
      <w:r w:rsidR="0029434A" w:rsidRPr="007347DD">
        <w:t xml:space="preserve">циального обеспечения, расширения сотрудничества с ассоциациями, расширения прав и возможностей местных общин применительно к процессу социального планирования и разработки стандартов в области контроля и оценки деятельности по предоставлению социальных услуг. В 2012 году был принят новый </w:t>
      </w:r>
      <w:r w:rsidR="0029434A" w:rsidRPr="007347DD">
        <w:rPr>
          <w:i/>
        </w:rPr>
        <w:t>Закон о социальном обеспечении</w:t>
      </w:r>
      <w:r w:rsidR="0029434A" w:rsidRPr="007347DD">
        <w:t>, направленный на создание э</w:t>
      </w:r>
      <w:r w:rsidR="0029434A" w:rsidRPr="007347DD">
        <w:t>ф</w:t>
      </w:r>
      <w:r w:rsidR="0029434A" w:rsidRPr="007347DD">
        <w:t>фективной системы, способной обеспечить удовлетворение конкретных п</w:t>
      </w:r>
      <w:r w:rsidR="0029434A" w:rsidRPr="007347DD">
        <w:t>о</w:t>
      </w:r>
      <w:r w:rsidR="0029434A" w:rsidRPr="007347DD">
        <w:t xml:space="preserve">требностей пользователей в период до завершения процесса децентрализации. В </w:t>
      </w:r>
      <w:r w:rsidR="0029434A" w:rsidRPr="007347DD">
        <w:rPr>
          <w:i/>
        </w:rPr>
        <w:t>Стратегии по борьбе с бедностью и социальной изоляцией в Республике Хорватия (2014</w:t>
      </w:r>
      <w:r w:rsidR="003B6FF9">
        <w:rPr>
          <w:i/>
        </w:rPr>
        <w:t>–</w:t>
      </w:r>
      <w:r w:rsidR="0029434A" w:rsidRPr="007347DD">
        <w:rPr>
          <w:i/>
        </w:rPr>
        <w:t>2020 годы)</w:t>
      </w:r>
      <w:r w:rsidR="0029434A" w:rsidRPr="007347DD">
        <w:t xml:space="preserve"> особый упор делается, среди прочего, на обесп</w:t>
      </w:r>
      <w:r w:rsidR="0029434A" w:rsidRPr="007347DD">
        <w:t>е</w:t>
      </w:r>
      <w:r w:rsidR="0029434A" w:rsidRPr="007347DD">
        <w:t>чение защиты и удовлетворение потребностей престарелых и пенсионеров за счет расшир</w:t>
      </w:r>
      <w:r w:rsidR="0029434A" w:rsidRPr="007347DD">
        <w:t>е</w:t>
      </w:r>
      <w:r w:rsidR="0029434A" w:rsidRPr="007347DD">
        <w:t>ния социальных, медицинских и коммунальных служб на уровне общины, на повышение качества жизни и недопущение социальной изоляции в сотрудничестве с организациями гражданского общества в качестве поставщ</w:t>
      </w:r>
      <w:r w:rsidR="0029434A" w:rsidRPr="007347DD">
        <w:t>и</w:t>
      </w:r>
      <w:r w:rsidR="0029434A" w:rsidRPr="007347DD">
        <w:t>ков услуг, а также на необходимость направления средств на развитие неблаг</w:t>
      </w:r>
      <w:r w:rsidR="0029434A" w:rsidRPr="007347DD">
        <w:t>о</w:t>
      </w:r>
      <w:r w:rsidR="0029434A" w:rsidRPr="007347DD">
        <w:t>получных районов в целях обеспечения сбалансированного регионального ра</w:t>
      </w:r>
      <w:r w:rsidR="0029434A" w:rsidRPr="007347DD">
        <w:t>з</w:t>
      </w:r>
      <w:r w:rsidR="0029434A" w:rsidRPr="007347DD">
        <w:t>вития.</w:t>
      </w:r>
    </w:p>
    <w:p w:rsidR="00697A59" w:rsidRDefault="00697A59" w:rsidP="00BA168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0E4B48">
        <w:tab/>
        <w:t>Приложение 1</w:t>
      </w:r>
    </w:p>
    <w:p w:rsidR="00BA168A" w:rsidRPr="00BA168A" w:rsidRDefault="00BA168A" w:rsidP="00BA168A">
      <w:pPr>
        <w:pStyle w:val="SingleTxt"/>
        <w:spacing w:after="0" w:line="120" w:lineRule="exact"/>
        <w:rPr>
          <w:sz w:val="10"/>
        </w:rPr>
      </w:pPr>
    </w:p>
    <w:p w:rsidR="00BA168A" w:rsidRPr="00BA168A" w:rsidRDefault="00BA168A" w:rsidP="00BA168A">
      <w:pPr>
        <w:pStyle w:val="SingleTxt"/>
        <w:spacing w:after="0" w:line="120" w:lineRule="exact"/>
        <w:rPr>
          <w:sz w:val="10"/>
        </w:rPr>
      </w:pPr>
    </w:p>
    <w:p w:rsidR="00697A59" w:rsidRPr="005179C3" w:rsidRDefault="00BA168A" w:rsidP="00BA168A">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97A59" w:rsidRPr="005179C3">
        <w:t>Таблица 1</w:t>
      </w:r>
    </w:p>
    <w:p w:rsidR="00697A59" w:rsidRDefault="00BA168A" w:rsidP="00BA1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97A59" w:rsidRPr="005179C3">
        <w:t>Доля женщин в рамках инспекций, пров</w:t>
      </w:r>
      <w:r w:rsidR="00697A59">
        <w:t>одившихся</w:t>
      </w:r>
      <w:r w:rsidR="00697A59" w:rsidRPr="005179C3">
        <w:t xml:space="preserve"> инспектором по труду</w:t>
      </w:r>
    </w:p>
    <w:p w:rsidR="00BA168A" w:rsidRDefault="00BA168A" w:rsidP="00BA168A">
      <w:pPr>
        <w:pStyle w:val="SingleTxt"/>
        <w:spacing w:after="0" w:line="120" w:lineRule="exact"/>
        <w:rPr>
          <w:sz w:val="10"/>
        </w:rPr>
      </w:pPr>
    </w:p>
    <w:p w:rsidR="004E4FFA" w:rsidRDefault="004E4FFA" w:rsidP="00BA168A">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513"/>
        <w:gridCol w:w="1134"/>
        <w:gridCol w:w="1135"/>
        <w:gridCol w:w="1135"/>
        <w:gridCol w:w="1051"/>
        <w:gridCol w:w="1219"/>
        <w:gridCol w:w="1135"/>
      </w:tblGrid>
      <w:tr w:rsidR="004E4FFA" w:rsidRPr="004E4FFA" w:rsidTr="004E4FFA">
        <w:tblPrEx>
          <w:tblCellMar>
            <w:top w:w="0" w:type="dxa"/>
            <w:bottom w:w="0" w:type="dxa"/>
          </w:tblCellMar>
        </w:tblPrEx>
        <w:trPr>
          <w:cantSplit/>
          <w:tblHeader/>
        </w:trPr>
        <w:tc>
          <w:tcPr>
            <w:tcW w:w="513" w:type="dxa"/>
            <w:tcBorders>
              <w:top w:val="single" w:sz="4" w:space="0" w:color="auto"/>
              <w:bottom w:val="single" w:sz="12" w:space="0" w:color="auto"/>
            </w:tcBorders>
            <w:shd w:val="clear" w:color="auto" w:fill="auto"/>
            <w:vAlign w:val="bottom"/>
          </w:tcPr>
          <w:p w:rsidR="004E4FFA" w:rsidRPr="004E4FFA" w:rsidRDefault="00CF4575" w:rsidP="004E4FFA">
            <w:pPr>
              <w:tabs>
                <w:tab w:val="left" w:pos="288"/>
                <w:tab w:val="left" w:pos="576"/>
                <w:tab w:val="left" w:pos="864"/>
                <w:tab w:val="left" w:pos="1152"/>
              </w:tabs>
              <w:spacing w:before="80" w:after="80" w:line="160" w:lineRule="exact"/>
              <w:ind w:right="43"/>
              <w:rPr>
                <w:i/>
                <w:sz w:val="14"/>
              </w:rPr>
            </w:pPr>
            <w:r>
              <w:rPr>
                <w:i/>
                <w:sz w:val="14"/>
              </w:rPr>
              <w:t>Год</w:t>
            </w:r>
          </w:p>
        </w:tc>
        <w:tc>
          <w:tcPr>
            <w:tcW w:w="1134" w:type="dxa"/>
            <w:tcBorders>
              <w:top w:val="single" w:sz="4" w:space="0" w:color="auto"/>
              <w:bottom w:val="single" w:sz="12" w:space="0" w:color="auto"/>
            </w:tcBorders>
            <w:shd w:val="clear" w:color="auto" w:fill="auto"/>
            <w:vAlign w:val="bottom"/>
          </w:tcPr>
          <w:p w:rsidR="004E4FFA" w:rsidRPr="004E4FFA" w:rsidRDefault="004E4FFA" w:rsidP="004E4FFA">
            <w:pPr>
              <w:suppressAutoHyphens/>
              <w:spacing w:before="81" w:after="81" w:line="160" w:lineRule="exact"/>
              <w:ind w:right="43"/>
              <w:jc w:val="right"/>
              <w:rPr>
                <w:rFonts w:eastAsia="Times New Roman"/>
                <w:i/>
                <w:spacing w:val="0"/>
                <w:w w:val="100"/>
                <w:kern w:val="0"/>
                <w:sz w:val="14"/>
                <w:szCs w:val="24"/>
              </w:rPr>
            </w:pPr>
            <w:r w:rsidRPr="004E4FFA">
              <w:rPr>
                <w:rFonts w:eastAsia="Times New Roman"/>
                <w:i/>
                <w:spacing w:val="0"/>
                <w:w w:val="100"/>
                <w:kern w:val="0"/>
                <w:sz w:val="14"/>
                <w:szCs w:val="24"/>
              </w:rPr>
              <w:t>Число инспекций, касающихся действий работодателя</w:t>
            </w:r>
          </w:p>
        </w:tc>
        <w:tc>
          <w:tcPr>
            <w:tcW w:w="1135" w:type="dxa"/>
            <w:tcBorders>
              <w:top w:val="single" w:sz="4" w:space="0" w:color="auto"/>
              <w:bottom w:val="single" w:sz="12" w:space="0" w:color="auto"/>
            </w:tcBorders>
            <w:shd w:val="clear" w:color="auto" w:fill="auto"/>
            <w:vAlign w:val="bottom"/>
          </w:tcPr>
          <w:p w:rsidR="004E4FFA" w:rsidRPr="004E4FFA" w:rsidRDefault="004E4FFA" w:rsidP="004E4FFA">
            <w:pPr>
              <w:suppressAutoHyphens/>
              <w:spacing w:before="81" w:after="81" w:line="160" w:lineRule="exact"/>
              <w:ind w:right="43"/>
              <w:jc w:val="right"/>
              <w:rPr>
                <w:rFonts w:eastAsia="Times New Roman"/>
                <w:i/>
                <w:spacing w:val="0"/>
                <w:w w:val="100"/>
                <w:kern w:val="0"/>
                <w:sz w:val="14"/>
                <w:szCs w:val="24"/>
                <w:lang w:val="en-GB"/>
              </w:rPr>
            </w:pPr>
            <w:r w:rsidRPr="004E4FFA">
              <w:rPr>
                <w:rFonts w:eastAsia="Times New Roman"/>
                <w:i/>
                <w:spacing w:val="0"/>
                <w:w w:val="100"/>
                <w:kern w:val="0"/>
                <w:sz w:val="14"/>
                <w:szCs w:val="24"/>
                <w:lang w:val="en-GB"/>
              </w:rPr>
              <w:t>Число женщин, охваченных инспекциями</w:t>
            </w:r>
          </w:p>
        </w:tc>
        <w:tc>
          <w:tcPr>
            <w:tcW w:w="1135" w:type="dxa"/>
            <w:tcBorders>
              <w:top w:val="single" w:sz="4" w:space="0" w:color="auto"/>
              <w:bottom w:val="single" w:sz="12" w:space="0" w:color="auto"/>
            </w:tcBorders>
            <w:shd w:val="clear" w:color="auto" w:fill="auto"/>
            <w:vAlign w:val="bottom"/>
          </w:tcPr>
          <w:p w:rsidR="004E4FFA" w:rsidRPr="004E4FFA" w:rsidRDefault="004E4FFA" w:rsidP="004E4FFA">
            <w:pPr>
              <w:suppressAutoHyphens/>
              <w:spacing w:before="81" w:after="81" w:line="160" w:lineRule="exact"/>
              <w:ind w:right="43"/>
              <w:jc w:val="right"/>
              <w:rPr>
                <w:rFonts w:eastAsia="Times New Roman"/>
                <w:i/>
                <w:spacing w:val="0"/>
                <w:w w:val="100"/>
                <w:kern w:val="0"/>
                <w:sz w:val="14"/>
                <w:szCs w:val="24"/>
              </w:rPr>
            </w:pPr>
            <w:r w:rsidRPr="004E4FFA">
              <w:rPr>
                <w:rFonts w:eastAsia="Times New Roman"/>
                <w:i/>
                <w:spacing w:val="0"/>
                <w:w w:val="100"/>
                <w:kern w:val="0"/>
                <w:sz w:val="14"/>
                <w:szCs w:val="24"/>
              </w:rPr>
              <w:t xml:space="preserve">Должности, сопряженные </w:t>
            </w:r>
            <w:r>
              <w:rPr>
                <w:rFonts w:eastAsia="Times New Roman"/>
                <w:i/>
                <w:spacing w:val="0"/>
                <w:w w:val="100"/>
                <w:kern w:val="0"/>
                <w:sz w:val="14"/>
                <w:szCs w:val="24"/>
              </w:rPr>
              <w:br/>
            </w:r>
            <w:r w:rsidRPr="004E4FFA">
              <w:rPr>
                <w:rFonts w:eastAsia="Times New Roman"/>
                <w:i/>
                <w:spacing w:val="0"/>
                <w:w w:val="100"/>
                <w:kern w:val="0"/>
                <w:sz w:val="14"/>
                <w:szCs w:val="24"/>
              </w:rPr>
              <w:t>с особыми условиями труда</w:t>
            </w:r>
          </w:p>
        </w:tc>
        <w:tc>
          <w:tcPr>
            <w:tcW w:w="1051" w:type="dxa"/>
            <w:tcBorders>
              <w:top w:val="single" w:sz="4" w:space="0" w:color="auto"/>
              <w:bottom w:val="single" w:sz="12" w:space="0" w:color="auto"/>
            </w:tcBorders>
            <w:shd w:val="clear" w:color="auto" w:fill="auto"/>
            <w:vAlign w:val="bottom"/>
          </w:tcPr>
          <w:p w:rsidR="004E4FFA" w:rsidRPr="004E4FFA" w:rsidRDefault="004E4FFA" w:rsidP="004E4FFA">
            <w:pPr>
              <w:suppressAutoHyphens/>
              <w:spacing w:before="81" w:after="81" w:line="160" w:lineRule="exact"/>
              <w:ind w:right="43"/>
              <w:jc w:val="right"/>
              <w:rPr>
                <w:rFonts w:eastAsia="Times New Roman"/>
                <w:i/>
                <w:spacing w:val="0"/>
                <w:w w:val="100"/>
                <w:kern w:val="0"/>
                <w:sz w:val="14"/>
                <w:szCs w:val="24"/>
              </w:rPr>
            </w:pPr>
            <w:r w:rsidRPr="004E4FFA">
              <w:rPr>
                <w:rFonts w:eastAsia="Times New Roman"/>
                <w:i/>
                <w:spacing w:val="0"/>
                <w:w w:val="100"/>
                <w:kern w:val="0"/>
                <w:sz w:val="14"/>
                <w:szCs w:val="24"/>
              </w:rPr>
              <w:t>Число женщин, получивших травму</w:t>
            </w:r>
          </w:p>
        </w:tc>
        <w:tc>
          <w:tcPr>
            <w:tcW w:w="1219" w:type="dxa"/>
            <w:tcBorders>
              <w:top w:val="single" w:sz="4" w:space="0" w:color="auto"/>
              <w:bottom w:val="single" w:sz="12" w:space="0" w:color="auto"/>
            </w:tcBorders>
            <w:shd w:val="clear" w:color="auto" w:fill="auto"/>
            <w:vAlign w:val="bottom"/>
          </w:tcPr>
          <w:p w:rsidR="004E4FFA" w:rsidRPr="004E4FFA" w:rsidRDefault="004E4FFA" w:rsidP="004E4FFA">
            <w:pPr>
              <w:suppressAutoHyphens/>
              <w:spacing w:before="81" w:after="81" w:line="160" w:lineRule="exact"/>
              <w:ind w:right="43"/>
              <w:jc w:val="right"/>
              <w:rPr>
                <w:rFonts w:eastAsia="Times New Roman"/>
                <w:i/>
                <w:spacing w:val="0"/>
                <w:w w:val="100"/>
                <w:kern w:val="0"/>
                <w:sz w:val="14"/>
                <w:szCs w:val="24"/>
              </w:rPr>
            </w:pPr>
            <w:r w:rsidRPr="004E4FFA">
              <w:rPr>
                <w:rFonts w:eastAsia="Times New Roman"/>
                <w:i/>
                <w:spacing w:val="0"/>
                <w:w w:val="100"/>
                <w:kern w:val="0"/>
                <w:sz w:val="14"/>
                <w:szCs w:val="24"/>
              </w:rPr>
              <w:t>Число женщин, страдающих профессиональными заболеваниями</w:t>
            </w:r>
          </w:p>
        </w:tc>
        <w:tc>
          <w:tcPr>
            <w:tcW w:w="1135" w:type="dxa"/>
            <w:tcBorders>
              <w:top w:val="single" w:sz="4" w:space="0" w:color="auto"/>
              <w:bottom w:val="single" w:sz="12" w:space="0" w:color="auto"/>
            </w:tcBorders>
            <w:shd w:val="clear" w:color="auto" w:fill="auto"/>
            <w:vAlign w:val="bottom"/>
          </w:tcPr>
          <w:p w:rsidR="004E4FFA" w:rsidRPr="004E4FFA" w:rsidRDefault="004E4FFA" w:rsidP="004E4FFA">
            <w:pPr>
              <w:suppressAutoHyphens/>
              <w:spacing w:before="81" w:after="81" w:line="160" w:lineRule="exact"/>
              <w:ind w:right="43"/>
              <w:jc w:val="right"/>
              <w:rPr>
                <w:rFonts w:eastAsia="Times New Roman"/>
                <w:i/>
                <w:spacing w:val="0"/>
                <w:w w:val="100"/>
                <w:kern w:val="0"/>
                <w:sz w:val="14"/>
                <w:szCs w:val="24"/>
                <w:lang w:val="en-GB"/>
              </w:rPr>
            </w:pPr>
            <w:r w:rsidRPr="004E4FFA">
              <w:rPr>
                <w:rFonts w:eastAsia="Times New Roman"/>
                <w:i/>
                <w:spacing w:val="0"/>
                <w:w w:val="100"/>
                <w:kern w:val="0"/>
                <w:sz w:val="14"/>
                <w:szCs w:val="24"/>
              </w:rPr>
              <w:t>Подозрение на профессиональное заболев</w:t>
            </w:r>
            <w:r w:rsidRPr="004E4FFA">
              <w:rPr>
                <w:rFonts w:eastAsia="Times New Roman"/>
                <w:i/>
                <w:spacing w:val="0"/>
                <w:w w:val="100"/>
                <w:kern w:val="0"/>
                <w:sz w:val="14"/>
                <w:szCs w:val="24"/>
                <w:lang w:val="en-GB"/>
              </w:rPr>
              <w:t>ание</w:t>
            </w:r>
          </w:p>
        </w:tc>
      </w:tr>
      <w:tr w:rsidR="004E4FFA" w:rsidRPr="004E4FFA" w:rsidTr="004E4FFA">
        <w:tblPrEx>
          <w:tblCellMar>
            <w:top w:w="0" w:type="dxa"/>
            <w:bottom w:w="0" w:type="dxa"/>
          </w:tblCellMar>
        </w:tblPrEx>
        <w:trPr>
          <w:cantSplit/>
          <w:trHeight w:hRule="exact" w:val="115"/>
          <w:tblHeader/>
        </w:trPr>
        <w:tc>
          <w:tcPr>
            <w:tcW w:w="513" w:type="dxa"/>
            <w:tcBorders>
              <w:top w:val="single" w:sz="12" w:space="0" w:color="auto"/>
            </w:tcBorders>
            <w:shd w:val="clear" w:color="auto" w:fill="auto"/>
            <w:vAlign w:val="bottom"/>
          </w:tcPr>
          <w:p w:rsidR="004E4FFA" w:rsidRPr="004E4FFA" w:rsidRDefault="004E4FFA" w:rsidP="004E4FFA">
            <w:pPr>
              <w:tabs>
                <w:tab w:val="left" w:pos="288"/>
                <w:tab w:val="left" w:pos="576"/>
                <w:tab w:val="left" w:pos="864"/>
                <w:tab w:val="left" w:pos="1152"/>
              </w:tabs>
              <w:spacing w:before="40" w:after="40" w:line="210" w:lineRule="exact"/>
              <w:ind w:right="43"/>
              <w:rPr>
                <w:sz w:val="17"/>
              </w:rPr>
            </w:pPr>
          </w:p>
        </w:tc>
        <w:tc>
          <w:tcPr>
            <w:tcW w:w="1134" w:type="dxa"/>
            <w:tcBorders>
              <w:top w:val="single" w:sz="12" w:space="0" w:color="auto"/>
            </w:tcBorders>
            <w:shd w:val="clear" w:color="auto" w:fill="auto"/>
            <w:vAlign w:val="bottom"/>
          </w:tcPr>
          <w:p w:rsidR="004E4FFA" w:rsidRPr="004E4FFA" w:rsidRDefault="004E4FFA" w:rsidP="004E4FFA">
            <w:pPr>
              <w:tabs>
                <w:tab w:val="left" w:pos="288"/>
                <w:tab w:val="left" w:pos="576"/>
                <w:tab w:val="left" w:pos="864"/>
                <w:tab w:val="left" w:pos="1152"/>
              </w:tabs>
              <w:spacing w:before="40" w:after="40" w:line="210" w:lineRule="exact"/>
              <w:ind w:right="43"/>
              <w:jc w:val="right"/>
              <w:rPr>
                <w:sz w:val="17"/>
              </w:rPr>
            </w:pPr>
          </w:p>
        </w:tc>
        <w:tc>
          <w:tcPr>
            <w:tcW w:w="1135" w:type="dxa"/>
            <w:tcBorders>
              <w:top w:val="single" w:sz="12" w:space="0" w:color="auto"/>
            </w:tcBorders>
            <w:shd w:val="clear" w:color="auto" w:fill="auto"/>
            <w:vAlign w:val="bottom"/>
          </w:tcPr>
          <w:p w:rsidR="004E4FFA" w:rsidRPr="004E4FFA" w:rsidRDefault="004E4FFA" w:rsidP="004E4FFA">
            <w:pPr>
              <w:tabs>
                <w:tab w:val="left" w:pos="288"/>
                <w:tab w:val="left" w:pos="576"/>
                <w:tab w:val="left" w:pos="864"/>
                <w:tab w:val="left" w:pos="1152"/>
              </w:tabs>
              <w:spacing w:before="40" w:after="40" w:line="210" w:lineRule="exact"/>
              <w:ind w:right="43"/>
              <w:jc w:val="right"/>
              <w:rPr>
                <w:sz w:val="17"/>
              </w:rPr>
            </w:pPr>
          </w:p>
        </w:tc>
        <w:tc>
          <w:tcPr>
            <w:tcW w:w="1135" w:type="dxa"/>
            <w:tcBorders>
              <w:top w:val="single" w:sz="12" w:space="0" w:color="auto"/>
            </w:tcBorders>
            <w:shd w:val="clear" w:color="auto" w:fill="auto"/>
            <w:vAlign w:val="bottom"/>
          </w:tcPr>
          <w:p w:rsidR="004E4FFA" w:rsidRPr="004E4FFA" w:rsidRDefault="004E4FFA" w:rsidP="004E4FFA">
            <w:pPr>
              <w:tabs>
                <w:tab w:val="left" w:pos="288"/>
                <w:tab w:val="left" w:pos="576"/>
                <w:tab w:val="left" w:pos="864"/>
                <w:tab w:val="left" w:pos="1152"/>
              </w:tabs>
              <w:spacing w:before="40" w:after="40" w:line="210" w:lineRule="exact"/>
              <w:ind w:right="43"/>
              <w:jc w:val="right"/>
              <w:rPr>
                <w:sz w:val="17"/>
              </w:rPr>
            </w:pPr>
          </w:p>
        </w:tc>
        <w:tc>
          <w:tcPr>
            <w:tcW w:w="1051" w:type="dxa"/>
            <w:tcBorders>
              <w:top w:val="single" w:sz="12" w:space="0" w:color="auto"/>
            </w:tcBorders>
            <w:shd w:val="clear" w:color="auto" w:fill="auto"/>
            <w:vAlign w:val="bottom"/>
          </w:tcPr>
          <w:p w:rsidR="004E4FFA" w:rsidRPr="004E4FFA" w:rsidRDefault="004E4FFA" w:rsidP="004E4FFA">
            <w:pPr>
              <w:tabs>
                <w:tab w:val="left" w:pos="288"/>
                <w:tab w:val="left" w:pos="576"/>
                <w:tab w:val="left" w:pos="864"/>
                <w:tab w:val="left" w:pos="1152"/>
              </w:tabs>
              <w:spacing w:before="40" w:after="40" w:line="210" w:lineRule="exact"/>
              <w:ind w:right="43"/>
              <w:jc w:val="right"/>
              <w:rPr>
                <w:sz w:val="17"/>
              </w:rPr>
            </w:pPr>
          </w:p>
        </w:tc>
        <w:tc>
          <w:tcPr>
            <w:tcW w:w="1219" w:type="dxa"/>
            <w:tcBorders>
              <w:top w:val="single" w:sz="12" w:space="0" w:color="auto"/>
            </w:tcBorders>
            <w:shd w:val="clear" w:color="auto" w:fill="auto"/>
            <w:vAlign w:val="bottom"/>
          </w:tcPr>
          <w:p w:rsidR="004E4FFA" w:rsidRPr="004E4FFA" w:rsidRDefault="004E4FFA" w:rsidP="004E4FFA">
            <w:pPr>
              <w:tabs>
                <w:tab w:val="left" w:pos="288"/>
                <w:tab w:val="left" w:pos="576"/>
                <w:tab w:val="left" w:pos="864"/>
                <w:tab w:val="left" w:pos="1152"/>
              </w:tabs>
              <w:spacing w:before="40" w:after="40" w:line="210" w:lineRule="exact"/>
              <w:ind w:right="43"/>
              <w:jc w:val="right"/>
              <w:rPr>
                <w:sz w:val="17"/>
              </w:rPr>
            </w:pPr>
          </w:p>
        </w:tc>
        <w:tc>
          <w:tcPr>
            <w:tcW w:w="1135" w:type="dxa"/>
            <w:tcBorders>
              <w:top w:val="single" w:sz="12" w:space="0" w:color="auto"/>
            </w:tcBorders>
            <w:shd w:val="clear" w:color="auto" w:fill="auto"/>
            <w:vAlign w:val="bottom"/>
          </w:tcPr>
          <w:p w:rsidR="004E4FFA" w:rsidRPr="004E4FFA" w:rsidRDefault="004E4FFA" w:rsidP="004E4FFA">
            <w:pPr>
              <w:tabs>
                <w:tab w:val="left" w:pos="288"/>
                <w:tab w:val="left" w:pos="576"/>
                <w:tab w:val="left" w:pos="864"/>
                <w:tab w:val="left" w:pos="1152"/>
              </w:tabs>
              <w:spacing w:before="40" w:after="40" w:line="210" w:lineRule="exact"/>
              <w:ind w:right="43"/>
              <w:jc w:val="right"/>
              <w:rPr>
                <w:sz w:val="17"/>
              </w:rPr>
            </w:pPr>
          </w:p>
        </w:tc>
      </w:tr>
      <w:tr w:rsidR="004E4FFA" w:rsidRPr="004E4FFA" w:rsidTr="004E4FFA">
        <w:tblPrEx>
          <w:tblCellMar>
            <w:top w:w="0" w:type="dxa"/>
            <w:bottom w:w="0" w:type="dxa"/>
          </w:tblCellMar>
        </w:tblPrEx>
        <w:trPr>
          <w:cantSplit/>
        </w:trPr>
        <w:tc>
          <w:tcPr>
            <w:tcW w:w="513" w:type="dxa"/>
            <w:shd w:val="clear" w:color="auto" w:fill="auto"/>
          </w:tcPr>
          <w:p w:rsidR="004E4FFA" w:rsidRPr="005179C3" w:rsidRDefault="004E4FFA" w:rsidP="004E4FFA">
            <w:pPr>
              <w:pStyle w:val="SingleTxtG"/>
              <w:suppressAutoHyphens w:val="0"/>
              <w:spacing w:before="40" w:after="40" w:line="210" w:lineRule="exact"/>
              <w:ind w:left="0" w:right="43"/>
              <w:jc w:val="left"/>
              <w:rPr>
                <w:sz w:val="16"/>
                <w:szCs w:val="16"/>
                <w:lang w:val="ru-RU"/>
              </w:rPr>
            </w:pPr>
            <w:r w:rsidRPr="005179C3">
              <w:rPr>
                <w:sz w:val="16"/>
                <w:szCs w:val="16"/>
                <w:lang w:val="ru-RU"/>
              </w:rPr>
              <w:t>2011</w:t>
            </w:r>
          </w:p>
        </w:tc>
        <w:tc>
          <w:tcPr>
            <w:tcW w:w="1134" w:type="dxa"/>
            <w:shd w:val="clear" w:color="auto" w:fill="auto"/>
            <w:vAlign w:val="bottom"/>
          </w:tcPr>
          <w:p w:rsidR="004E4FFA" w:rsidRPr="005179C3" w:rsidRDefault="004E4FFA" w:rsidP="004E4FFA">
            <w:pPr>
              <w:pStyle w:val="SingleTxtG"/>
              <w:suppressAutoHyphens w:val="0"/>
              <w:spacing w:before="40" w:after="40" w:line="210" w:lineRule="exact"/>
              <w:ind w:left="0" w:right="43"/>
              <w:jc w:val="right"/>
              <w:rPr>
                <w:sz w:val="16"/>
                <w:szCs w:val="16"/>
                <w:lang w:val="ru-RU"/>
              </w:rPr>
            </w:pPr>
            <w:r w:rsidRPr="005179C3">
              <w:rPr>
                <w:sz w:val="16"/>
                <w:szCs w:val="16"/>
                <w:lang w:val="ru-RU"/>
              </w:rPr>
              <w:t>9</w:t>
            </w:r>
            <w:r>
              <w:rPr>
                <w:sz w:val="16"/>
                <w:szCs w:val="16"/>
                <w:lang w:val="ru-RU"/>
              </w:rPr>
              <w:t> </w:t>
            </w:r>
            <w:r w:rsidRPr="005179C3">
              <w:rPr>
                <w:sz w:val="16"/>
                <w:szCs w:val="16"/>
                <w:lang w:val="ru-RU"/>
              </w:rPr>
              <w:t>486</w:t>
            </w:r>
          </w:p>
        </w:tc>
        <w:tc>
          <w:tcPr>
            <w:tcW w:w="1135" w:type="dxa"/>
            <w:shd w:val="clear" w:color="auto" w:fill="auto"/>
            <w:vAlign w:val="bottom"/>
          </w:tcPr>
          <w:p w:rsidR="004E4FFA" w:rsidRPr="005179C3" w:rsidRDefault="004E4FFA" w:rsidP="004E4FFA">
            <w:pPr>
              <w:pStyle w:val="SingleTxtG"/>
              <w:suppressAutoHyphens w:val="0"/>
              <w:spacing w:before="40" w:after="40" w:line="210" w:lineRule="exact"/>
              <w:ind w:left="0" w:right="43"/>
              <w:jc w:val="right"/>
              <w:rPr>
                <w:sz w:val="16"/>
                <w:szCs w:val="16"/>
                <w:lang w:val="ru-RU"/>
              </w:rPr>
            </w:pPr>
            <w:r w:rsidRPr="005179C3">
              <w:rPr>
                <w:sz w:val="16"/>
                <w:szCs w:val="16"/>
                <w:lang w:val="ru-RU"/>
              </w:rPr>
              <w:t>18</w:t>
            </w:r>
            <w:r>
              <w:rPr>
                <w:sz w:val="16"/>
                <w:szCs w:val="16"/>
                <w:lang w:val="ru-RU"/>
              </w:rPr>
              <w:t> </w:t>
            </w:r>
            <w:r w:rsidRPr="005179C3">
              <w:rPr>
                <w:sz w:val="16"/>
                <w:szCs w:val="16"/>
                <w:lang w:val="ru-RU"/>
              </w:rPr>
              <w:t>063</w:t>
            </w:r>
          </w:p>
        </w:tc>
        <w:tc>
          <w:tcPr>
            <w:tcW w:w="1135" w:type="dxa"/>
            <w:shd w:val="clear" w:color="auto" w:fill="auto"/>
            <w:vAlign w:val="bottom"/>
          </w:tcPr>
          <w:p w:rsidR="004E4FFA" w:rsidRPr="005179C3" w:rsidRDefault="004E4FFA" w:rsidP="004E4FFA">
            <w:pPr>
              <w:pStyle w:val="SingleTxtG"/>
              <w:suppressAutoHyphens w:val="0"/>
              <w:spacing w:before="40" w:after="40" w:line="210" w:lineRule="exact"/>
              <w:ind w:left="0" w:right="43"/>
              <w:jc w:val="right"/>
              <w:rPr>
                <w:sz w:val="16"/>
                <w:szCs w:val="16"/>
                <w:lang w:val="ru-RU"/>
              </w:rPr>
            </w:pPr>
            <w:r w:rsidRPr="005179C3">
              <w:rPr>
                <w:sz w:val="16"/>
                <w:szCs w:val="16"/>
                <w:lang w:val="ru-RU"/>
              </w:rPr>
              <w:t>2</w:t>
            </w:r>
            <w:r>
              <w:rPr>
                <w:sz w:val="16"/>
                <w:szCs w:val="16"/>
                <w:lang w:val="ru-RU"/>
              </w:rPr>
              <w:t> </w:t>
            </w:r>
            <w:r w:rsidRPr="005179C3">
              <w:rPr>
                <w:sz w:val="16"/>
                <w:szCs w:val="16"/>
                <w:lang w:val="ru-RU"/>
              </w:rPr>
              <w:t>302</w:t>
            </w:r>
          </w:p>
        </w:tc>
        <w:tc>
          <w:tcPr>
            <w:tcW w:w="1051" w:type="dxa"/>
            <w:shd w:val="clear" w:color="auto" w:fill="auto"/>
            <w:vAlign w:val="bottom"/>
          </w:tcPr>
          <w:p w:rsidR="004E4FFA" w:rsidRPr="005179C3" w:rsidRDefault="004E4FFA" w:rsidP="004E4FFA">
            <w:pPr>
              <w:pStyle w:val="SingleTxtG"/>
              <w:suppressAutoHyphens w:val="0"/>
              <w:spacing w:before="40" w:after="40" w:line="210" w:lineRule="exact"/>
              <w:ind w:left="0" w:right="43"/>
              <w:jc w:val="right"/>
              <w:rPr>
                <w:sz w:val="16"/>
                <w:szCs w:val="16"/>
                <w:lang w:val="ru-RU"/>
              </w:rPr>
            </w:pPr>
            <w:r w:rsidRPr="005179C3">
              <w:rPr>
                <w:sz w:val="16"/>
                <w:szCs w:val="16"/>
                <w:lang w:val="ru-RU"/>
              </w:rPr>
              <w:t>1</w:t>
            </w:r>
            <w:r>
              <w:rPr>
                <w:sz w:val="16"/>
                <w:szCs w:val="16"/>
                <w:lang w:val="ru-RU"/>
              </w:rPr>
              <w:t> </w:t>
            </w:r>
            <w:r w:rsidRPr="005179C3">
              <w:rPr>
                <w:sz w:val="16"/>
                <w:szCs w:val="16"/>
                <w:lang w:val="ru-RU"/>
              </w:rPr>
              <w:t>283</w:t>
            </w:r>
          </w:p>
        </w:tc>
        <w:tc>
          <w:tcPr>
            <w:tcW w:w="1219" w:type="dxa"/>
            <w:shd w:val="clear" w:color="auto" w:fill="auto"/>
            <w:vAlign w:val="bottom"/>
          </w:tcPr>
          <w:p w:rsidR="004E4FFA" w:rsidRPr="005179C3" w:rsidRDefault="004E4FFA" w:rsidP="004E4FFA">
            <w:pPr>
              <w:pStyle w:val="SingleTxtG"/>
              <w:suppressAutoHyphens w:val="0"/>
              <w:spacing w:before="40" w:after="40" w:line="210" w:lineRule="exact"/>
              <w:ind w:left="0" w:right="43"/>
              <w:jc w:val="right"/>
              <w:rPr>
                <w:sz w:val="16"/>
                <w:szCs w:val="16"/>
                <w:lang w:val="ru-RU"/>
              </w:rPr>
            </w:pPr>
            <w:r w:rsidRPr="005179C3">
              <w:rPr>
                <w:sz w:val="16"/>
                <w:szCs w:val="16"/>
                <w:lang w:val="ru-RU"/>
              </w:rPr>
              <w:t>611</w:t>
            </w:r>
          </w:p>
        </w:tc>
        <w:tc>
          <w:tcPr>
            <w:tcW w:w="1135" w:type="dxa"/>
            <w:shd w:val="clear" w:color="auto" w:fill="auto"/>
            <w:vAlign w:val="bottom"/>
          </w:tcPr>
          <w:p w:rsidR="004E4FFA" w:rsidRPr="005179C3" w:rsidRDefault="004E4FFA" w:rsidP="004E4FFA">
            <w:pPr>
              <w:pStyle w:val="SingleTxtG"/>
              <w:suppressAutoHyphens w:val="0"/>
              <w:spacing w:before="40" w:after="40" w:line="210" w:lineRule="exact"/>
              <w:ind w:left="0" w:right="43"/>
              <w:jc w:val="right"/>
              <w:rPr>
                <w:sz w:val="16"/>
                <w:szCs w:val="16"/>
                <w:lang w:val="ru-RU"/>
              </w:rPr>
            </w:pPr>
            <w:r w:rsidRPr="005179C3">
              <w:rPr>
                <w:sz w:val="16"/>
                <w:szCs w:val="16"/>
                <w:lang w:val="ru-RU"/>
              </w:rPr>
              <w:t>12</w:t>
            </w:r>
          </w:p>
        </w:tc>
      </w:tr>
      <w:tr w:rsidR="004E4FFA" w:rsidRPr="004E4FFA" w:rsidTr="004E4FFA">
        <w:tblPrEx>
          <w:tblCellMar>
            <w:top w:w="0" w:type="dxa"/>
            <w:bottom w:w="0" w:type="dxa"/>
          </w:tblCellMar>
        </w:tblPrEx>
        <w:trPr>
          <w:cantSplit/>
        </w:trPr>
        <w:tc>
          <w:tcPr>
            <w:tcW w:w="513" w:type="dxa"/>
            <w:shd w:val="clear" w:color="auto" w:fill="auto"/>
          </w:tcPr>
          <w:p w:rsidR="004E4FFA" w:rsidRPr="005179C3" w:rsidRDefault="004E4FFA" w:rsidP="004E4FFA">
            <w:pPr>
              <w:pStyle w:val="SingleTxtG"/>
              <w:suppressAutoHyphens w:val="0"/>
              <w:spacing w:before="40" w:after="40" w:line="210" w:lineRule="exact"/>
              <w:ind w:left="0" w:right="43"/>
              <w:jc w:val="left"/>
              <w:rPr>
                <w:sz w:val="16"/>
                <w:szCs w:val="16"/>
                <w:lang w:val="ru-RU"/>
              </w:rPr>
            </w:pPr>
            <w:r w:rsidRPr="005179C3">
              <w:rPr>
                <w:sz w:val="16"/>
                <w:szCs w:val="16"/>
                <w:lang w:val="ru-RU"/>
              </w:rPr>
              <w:t>2012</w:t>
            </w:r>
          </w:p>
        </w:tc>
        <w:tc>
          <w:tcPr>
            <w:tcW w:w="1134" w:type="dxa"/>
            <w:shd w:val="clear" w:color="auto" w:fill="auto"/>
            <w:vAlign w:val="bottom"/>
          </w:tcPr>
          <w:p w:rsidR="004E4FFA" w:rsidRPr="005179C3" w:rsidRDefault="004E4FFA" w:rsidP="004E4FFA">
            <w:pPr>
              <w:pStyle w:val="SingleTxtG"/>
              <w:suppressAutoHyphens w:val="0"/>
              <w:spacing w:before="40" w:after="40" w:line="210" w:lineRule="exact"/>
              <w:ind w:left="0" w:right="43"/>
              <w:jc w:val="right"/>
              <w:rPr>
                <w:sz w:val="16"/>
                <w:szCs w:val="16"/>
                <w:lang w:val="ru-RU"/>
              </w:rPr>
            </w:pPr>
            <w:r w:rsidRPr="005179C3">
              <w:rPr>
                <w:sz w:val="16"/>
                <w:szCs w:val="16"/>
                <w:lang w:val="ru-RU"/>
              </w:rPr>
              <w:t>9</w:t>
            </w:r>
            <w:r>
              <w:rPr>
                <w:sz w:val="16"/>
                <w:szCs w:val="16"/>
                <w:lang w:val="ru-RU"/>
              </w:rPr>
              <w:t> </w:t>
            </w:r>
            <w:r w:rsidRPr="005179C3">
              <w:rPr>
                <w:sz w:val="16"/>
                <w:szCs w:val="16"/>
                <w:lang w:val="ru-RU"/>
              </w:rPr>
              <w:t>417</w:t>
            </w:r>
          </w:p>
        </w:tc>
        <w:tc>
          <w:tcPr>
            <w:tcW w:w="1135" w:type="dxa"/>
            <w:shd w:val="clear" w:color="auto" w:fill="auto"/>
            <w:vAlign w:val="bottom"/>
          </w:tcPr>
          <w:p w:rsidR="004E4FFA" w:rsidRPr="005179C3" w:rsidRDefault="004E4FFA" w:rsidP="004E4FFA">
            <w:pPr>
              <w:pStyle w:val="SingleTxtG"/>
              <w:suppressAutoHyphens w:val="0"/>
              <w:spacing w:before="40" w:after="40" w:line="210" w:lineRule="exact"/>
              <w:ind w:left="0" w:right="43"/>
              <w:jc w:val="right"/>
              <w:rPr>
                <w:sz w:val="16"/>
                <w:szCs w:val="16"/>
                <w:lang w:val="ru-RU"/>
              </w:rPr>
            </w:pPr>
            <w:r w:rsidRPr="005179C3">
              <w:rPr>
                <w:sz w:val="16"/>
                <w:szCs w:val="16"/>
                <w:lang w:val="ru-RU"/>
              </w:rPr>
              <w:t>12</w:t>
            </w:r>
            <w:r>
              <w:rPr>
                <w:sz w:val="16"/>
                <w:szCs w:val="16"/>
                <w:lang w:val="ru-RU"/>
              </w:rPr>
              <w:t> </w:t>
            </w:r>
            <w:r w:rsidRPr="005179C3">
              <w:rPr>
                <w:sz w:val="16"/>
                <w:szCs w:val="16"/>
                <w:lang w:val="ru-RU"/>
              </w:rPr>
              <w:t>784</w:t>
            </w:r>
          </w:p>
        </w:tc>
        <w:tc>
          <w:tcPr>
            <w:tcW w:w="1135" w:type="dxa"/>
            <w:shd w:val="clear" w:color="auto" w:fill="auto"/>
            <w:vAlign w:val="bottom"/>
          </w:tcPr>
          <w:p w:rsidR="004E4FFA" w:rsidRPr="005179C3" w:rsidRDefault="004E4FFA" w:rsidP="004E4FFA">
            <w:pPr>
              <w:pStyle w:val="SingleTxtG"/>
              <w:suppressAutoHyphens w:val="0"/>
              <w:spacing w:before="40" w:after="40" w:line="210" w:lineRule="exact"/>
              <w:ind w:left="0" w:right="43"/>
              <w:jc w:val="right"/>
              <w:rPr>
                <w:sz w:val="16"/>
                <w:szCs w:val="16"/>
                <w:lang w:val="ru-RU"/>
              </w:rPr>
            </w:pPr>
            <w:r w:rsidRPr="005179C3">
              <w:rPr>
                <w:sz w:val="16"/>
                <w:szCs w:val="16"/>
                <w:lang w:val="ru-RU"/>
              </w:rPr>
              <w:t>5</w:t>
            </w:r>
            <w:r>
              <w:rPr>
                <w:sz w:val="16"/>
                <w:szCs w:val="16"/>
                <w:lang w:val="ru-RU"/>
              </w:rPr>
              <w:t> </w:t>
            </w:r>
            <w:r w:rsidRPr="005179C3">
              <w:rPr>
                <w:sz w:val="16"/>
                <w:szCs w:val="16"/>
                <w:lang w:val="ru-RU"/>
              </w:rPr>
              <w:t>965</w:t>
            </w:r>
          </w:p>
        </w:tc>
        <w:tc>
          <w:tcPr>
            <w:tcW w:w="1051" w:type="dxa"/>
            <w:shd w:val="clear" w:color="auto" w:fill="auto"/>
            <w:vAlign w:val="bottom"/>
          </w:tcPr>
          <w:p w:rsidR="004E4FFA" w:rsidRPr="005179C3" w:rsidRDefault="004E4FFA" w:rsidP="004E4FFA">
            <w:pPr>
              <w:pStyle w:val="SingleTxtG"/>
              <w:suppressAutoHyphens w:val="0"/>
              <w:spacing w:before="40" w:after="40" w:line="210" w:lineRule="exact"/>
              <w:ind w:left="0" w:right="43"/>
              <w:jc w:val="right"/>
              <w:rPr>
                <w:sz w:val="16"/>
                <w:szCs w:val="16"/>
                <w:lang w:val="ru-RU"/>
              </w:rPr>
            </w:pPr>
            <w:r w:rsidRPr="005179C3">
              <w:rPr>
                <w:sz w:val="16"/>
                <w:szCs w:val="16"/>
                <w:lang w:val="ru-RU"/>
              </w:rPr>
              <w:t>859</w:t>
            </w:r>
          </w:p>
        </w:tc>
        <w:tc>
          <w:tcPr>
            <w:tcW w:w="1219" w:type="dxa"/>
            <w:shd w:val="clear" w:color="auto" w:fill="auto"/>
            <w:vAlign w:val="bottom"/>
          </w:tcPr>
          <w:p w:rsidR="004E4FFA" w:rsidRPr="005179C3" w:rsidRDefault="004E4FFA" w:rsidP="004E4FFA">
            <w:pPr>
              <w:pStyle w:val="SingleTxtG"/>
              <w:suppressAutoHyphens w:val="0"/>
              <w:spacing w:before="40" w:after="40" w:line="210" w:lineRule="exact"/>
              <w:ind w:left="0" w:right="43"/>
              <w:jc w:val="right"/>
              <w:rPr>
                <w:sz w:val="16"/>
                <w:szCs w:val="16"/>
                <w:lang w:val="ru-RU"/>
              </w:rPr>
            </w:pPr>
            <w:r w:rsidRPr="005179C3">
              <w:rPr>
                <w:sz w:val="16"/>
                <w:szCs w:val="16"/>
                <w:lang w:val="ru-RU"/>
              </w:rPr>
              <w:t>22</w:t>
            </w:r>
          </w:p>
        </w:tc>
        <w:tc>
          <w:tcPr>
            <w:tcW w:w="1135" w:type="dxa"/>
            <w:shd w:val="clear" w:color="auto" w:fill="auto"/>
            <w:vAlign w:val="bottom"/>
          </w:tcPr>
          <w:p w:rsidR="004E4FFA" w:rsidRPr="005179C3" w:rsidRDefault="004E4FFA" w:rsidP="004E4FFA">
            <w:pPr>
              <w:pStyle w:val="SingleTxtG"/>
              <w:suppressAutoHyphens w:val="0"/>
              <w:spacing w:before="40" w:after="40" w:line="210" w:lineRule="exact"/>
              <w:ind w:left="0" w:right="43"/>
              <w:jc w:val="right"/>
              <w:rPr>
                <w:sz w:val="16"/>
                <w:szCs w:val="16"/>
                <w:lang w:val="ru-RU"/>
              </w:rPr>
            </w:pPr>
            <w:r w:rsidRPr="005179C3">
              <w:rPr>
                <w:sz w:val="16"/>
                <w:szCs w:val="16"/>
                <w:lang w:val="ru-RU"/>
              </w:rPr>
              <w:t>6</w:t>
            </w:r>
          </w:p>
        </w:tc>
      </w:tr>
      <w:tr w:rsidR="004E4FFA" w:rsidRPr="004E4FFA" w:rsidTr="004E4FFA">
        <w:tblPrEx>
          <w:tblCellMar>
            <w:top w:w="0" w:type="dxa"/>
            <w:bottom w:w="0" w:type="dxa"/>
          </w:tblCellMar>
        </w:tblPrEx>
        <w:trPr>
          <w:cantSplit/>
        </w:trPr>
        <w:tc>
          <w:tcPr>
            <w:tcW w:w="513" w:type="dxa"/>
            <w:shd w:val="clear" w:color="auto" w:fill="auto"/>
          </w:tcPr>
          <w:p w:rsidR="004E4FFA" w:rsidRPr="005179C3" w:rsidRDefault="004E4FFA" w:rsidP="004E4FFA">
            <w:pPr>
              <w:pStyle w:val="SingleTxtG"/>
              <w:suppressAutoHyphens w:val="0"/>
              <w:spacing w:before="40" w:after="40" w:line="210" w:lineRule="exact"/>
              <w:ind w:left="0" w:right="43"/>
              <w:jc w:val="left"/>
              <w:rPr>
                <w:sz w:val="16"/>
                <w:szCs w:val="16"/>
                <w:lang w:val="ru-RU"/>
              </w:rPr>
            </w:pPr>
            <w:r w:rsidRPr="005179C3">
              <w:rPr>
                <w:sz w:val="16"/>
                <w:szCs w:val="16"/>
                <w:lang w:val="ru-RU"/>
              </w:rPr>
              <w:t>2013</w:t>
            </w:r>
          </w:p>
        </w:tc>
        <w:tc>
          <w:tcPr>
            <w:tcW w:w="1134" w:type="dxa"/>
            <w:shd w:val="clear" w:color="auto" w:fill="auto"/>
            <w:vAlign w:val="bottom"/>
          </w:tcPr>
          <w:p w:rsidR="004E4FFA" w:rsidRPr="005179C3" w:rsidRDefault="004E4FFA" w:rsidP="004E4FFA">
            <w:pPr>
              <w:pStyle w:val="SingleTxtG"/>
              <w:suppressAutoHyphens w:val="0"/>
              <w:spacing w:before="40" w:after="40" w:line="210" w:lineRule="exact"/>
              <w:ind w:left="0" w:right="43"/>
              <w:jc w:val="right"/>
              <w:rPr>
                <w:sz w:val="16"/>
                <w:szCs w:val="16"/>
                <w:lang w:val="ru-RU"/>
              </w:rPr>
            </w:pPr>
            <w:r w:rsidRPr="005179C3">
              <w:rPr>
                <w:sz w:val="16"/>
                <w:szCs w:val="16"/>
                <w:lang w:val="ru-RU"/>
              </w:rPr>
              <w:t>9</w:t>
            </w:r>
            <w:r>
              <w:rPr>
                <w:sz w:val="16"/>
                <w:szCs w:val="16"/>
                <w:lang w:val="ru-RU"/>
              </w:rPr>
              <w:t> </w:t>
            </w:r>
            <w:r w:rsidRPr="005179C3">
              <w:rPr>
                <w:sz w:val="16"/>
                <w:szCs w:val="16"/>
                <w:lang w:val="ru-RU"/>
              </w:rPr>
              <w:t>387</w:t>
            </w:r>
          </w:p>
        </w:tc>
        <w:tc>
          <w:tcPr>
            <w:tcW w:w="1135" w:type="dxa"/>
            <w:shd w:val="clear" w:color="auto" w:fill="auto"/>
            <w:vAlign w:val="bottom"/>
          </w:tcPr>
          <w:p w:rsidR="004E4FFA" w:rsidRPr="005179C3" w:rsidRDefault="004E4FFA" w:rsidP="004E4FFA">
            <w:pPr>
              <w:pStyle w:val="SingleTxtG"/>
              <w:suppressAutoHyphens w:val="0"/>
              <w:spacing w:before="40" w:after="40" w:line="210" w:lineRule="exact"/>
              <w:ind w:left="0" w:right="43"/>
              <w:jc w:val="right"/>
              <w:rPr>
                <w:sz w:val="16"/>
                <w:szCs w:val="16"/>
                <w:lang w:val="ru-RU"/>
              </w:rPr>
            </w:pPr>
            <w:r w:rsidRPr="005179C3">
              <w:rPr>
                <w:sz w:val="16"/>
                <w:szCs w:val="16"/>
                <w:lang w:val="ru-RU"/>
              </w:rPr>
              <w:t>12</w:t>
            </w:r>
            <w:r>
              <w:rPr>
                <w:sz w:val="16"/>
                <w:szCs w:val="16"/>
                <w:lang w:val="ru-RU"/>
              </w:rPr>
              <w:t> </w:t>
            </w:r>
            <w:r w:rsidRPr="005179C3">
              <w:rPr>
                <w:sz w:val="16"/>
                <w:szCs w:val="16"/>
                <w:lang w:val="ru-RU"/>
              </w:rPr>
              <w:t>061</w:t>
            </w:r>
          </w:p>
        </w:tc>
        <w:tc>
          <w:tcPr>
            <w:tcW w:w="1135" w:type="dxa"/>
            <w:shd w:val="clear" w:color="auto" w:fill="auto"/>
            <w:vAlign w:val="bottom"/>
          </w:tcPr>
          <w:p w:rsidR="004E4FFA" w:rsidRPr="005179C3" w:rsidRDefault="004E4FFA" w:rsidP="004E4FFA">
            <w:pPr>
              <w:pStyle w:val="SingleTxtG"/>
              <w:suppressAutoHyphens w:val="0"/>
              <w:spacing w:before="40" w:after="40" w:line="210" w:lineRule="exact"/>
              <w:ind w:left="0" w:right="43"/>
              <w:jc w:val="right"/>
              <w:rPr>
                <w:sz w:val="16"/>
                <w:szCs w:val="16"/>
                <w:lang w:val="ru-RU"/>
              </w:rPr>
            </w:pPr>
            <w:r w:rsidRPr="005179C3">
              <w:rPr>
                <w:sz w:val="16"/>
                <w:szCs w:val="16"/>
                <w:lang w:val="ru-RU"/>
              </w:rPr>
              <w:t>3</w:t>
            </w:r>
            <w:r>
              <w:rPr>
                <w:sz w:val="16"/>
                <w:szCs w:val="16"/>
                <w:lang w:val="ru-RU"/>
              </w:rPr>
              <w:t> </w:t>
            </w:r>
            <w:r w:rsidRPr="005179C3">
              <w:rPr>
                <w:sz w:val="16"/>
                <w:szCs w:val="16"/>
                <w:lang w:val="ru-RU"/>
              </w:rPr>
              <w:t>669</w:t>
            </w:r>
          </w:p>
        </w:tc>
        <w:tc>
          <w:tcPr>
            <w:tcW w:w="1051" w:type="dxa"/>
            <w:shd w:val="clear" w:color="auto" w:fill="auto"/>
            <w:vAlign w:val="bottom"/>
          </w:tcPr>
          <w:p w:rsidR="004E4FFA" w:rsidRPr="005179C3" w:rsidRDefault="004E4FFA" w:rsidP="004E4FFA">
            <w:pPr>
              <w:pStyle w:val="SingleTxtG"/>
              <w:suppressAutoHyphens w:val="0"/>
              <w:spacing w:before="40" w:after="40" w:line="210" w:lineRule="exact"/>
              <w:ind w:left="0" w:right="43"/>
              <w:jc w:val="right"/>
              <w:rPr>
                <w:sz w:val="16"/>
                <w:szCs w:val="16"/>
                <w:lang w:val="ru-RU"/>
              </w:rPr>
            </w:pPr>
            <w:r w:rsidRPr="005179C3">
              <w:rPr>
                <w:sz w:val="16"/>
                <w:szCs w:val="16"/>
                <w:lang w:val="ru-RU"/>
              </w:rPr>
              <w:t>209</w:t>
            </w:r>
          </w:p>
        </w:tc>
        <w:tc>
          <w:tcPr>
            <w:tcW w:w="1219" w:type="dxa"/>
            <w:shd w:val="clear" w:color="auto" w:fill="auto"/>
            <w:vAlign w:val="bottom"/>
          </w:tcPr>
          <w:p w:rsidR="004E4FFA" w:rsidRPr="005179C3" w:rsidRDefault="004E4FFA" w:rsidP="004E4FFA">
            <w:pPr>
              <w:pStyle w:val="SingleTxtG"/>
              <w:suppressAutoHyphens w:val="0"/>
              <w:spacing w:before="40" w:after="40" w:line="210" w:lineRule="exact"/>
              <w:ind w:left="0" w:right="43"/>
              <w:jc w:val="right"/>
              <w:rPr>
                <w:sz w:val="16"/>
                <w:szCs w:val="16"/>
                <w:lang w:val="ru-RU"/>
              </w:rPr>
            </w:pPr>
            <w:r w:rsidRPr="005179C3">
              <w:rPr>
                <w:sz w:val="16"/>
                <w:szCs w:val="16"/>
                <w:lang w:val="ru-RU"/>
              </w:rPr>
              <w:t>15</w:t>
            </w:r>
          </w:p>
        </w:tc>
        <w:tc>
          <w:tcPr>
            <w:tcW w:w="1135" w:type="dxa"/>
            <w:shd w:val="clear" w:color="auto" w:fill="auto"/>
            <w:vAlign w:val="bottom"/>
          </w:tcPr>
          <w:p w:rsidR="004E4FFA" w:rsidRPr="005179C3" w:rsidRDefault="004E4FFA" w:rsidP="004E4FFA">
            <w:pPr>
              <w:pStyle w:val="SingleTxtG"/>
              <w:suppressAutoHyphens w:val="0"/>
              <w:spacing w:before="40" w:after="40" w:line="210" w:lineRule="exact"/>
              <w:ind w:left="0" w:right="43"/>
              <w:jc w:val="right"/>
              <w:rPr>
                <w:sz w:val="16"/>
                <w:szCs w:val="16"/>
                <w:lang w:val="ru-RU"/>
              </w:rPr>
            </w:pPr>
            <w:r>
              <w:rPr>
                <w:sz w:val="16"/>
                <w:szCs w:val="16"/>
                <w:lang w:val="ru-RU"/>
              </w:rPr>
              <w:t>–</w:t>
            </w:r>
          </w:p>
        </w:tc>
      </w:tr>
      <w:tr w:rsidR="004E4FFA" w:rsidRPr="004E4FFA" w:rsidTr="004E4FFA">
        <w:tblPrEx>
          <w:tblCellMar>
            <w:top w:w="0" w:type="dxa"/>
            <w:bottom w:w="0" w:type="dxa"/>
          </w:tblCellMar>
        </w:tblPrEx>
        <w:trPr>
          <w:cantSplit/>
        </w:trPr>
        <w:tc>
          <w:tcPr>
            <w:tcW w:w="513" w:type="dxa"/>
            <w:tcBorders>
              <w:bottom w:val="single" w:sz="12" w:space="0" w:color="auto"/>
            </w:tcBorders>
            <w:shd w:val="clear" w:color="auto" w:fill="auto"/>
          </w:tcPr>
          <w:p w:rsidR="004E4FFA" w:rsidRPr="005179C3" w:rsidRDefault="004E4FFA" w:rsidP="004E4FFA">
            <w:pPr>
              <w:pStyle w:val="SingleTxtG"/>
              <w:suppressAutoHyphens w:val="0"/>
              <w:spacing w:before="40" w:line="210" w:lineRule="exact"/>
              <w:ind w:left="0" w:right="43"/>
              <w:jc w:val="left"/>
              <w:rPr>
                <w:sz w:val="16"/>
                <w:szCs w:val="16"/>
                <w:lang w:val="ru-RU"/>
              </w:rPr>
            </w:pPr>
            <w:r w:rsidRPr="005179C3">
              <w:rPr>
                <w:sz w:val="16"/>
                <w:szCs w:val="16"/>
                <w:lang w:val="ru-RU"/>
              </w:rPr>
              <w:t>2014</w:t>
            </w:r>
          </w:p>
        </w:tc>
        <w:tc>
          <w:tcPr>
            <w:tcW w:w="1134" w:type="dxa"/>
            <w:tcBorders>
              <w:bottom w:val="single" w:sz="12" w:space="0" w:color="auto"/>
            </w:tcBorders>
            <w:shd w:val="clear" w:color="auto" w:fill="auto"/>
            <w:vAlign w:val="bottom"/>
          </w:tcPr>
          <w:p w:rsidR="004E4FFA" w:rsidRPr="005179C3" w:rsidRDefault="004E4FFA" w:rsidP="004E4FFA">
            <w:pPr>
              <w:pStyle w:val="SingleTxtG"/>
              <w:suppressAutoHyphens w:val="0"/>
              <w:spacing w:before="40" w:line="210" w:lineRule="exact"/>
              <w:ind w:left="0" w:right="43"/>
              <w:jc w:val="right"/>
              <w:rPr>
                <w:sz w:val="16"/>
                <w:szCs w:val="16"/>
                <w:lang w:val="ru-RU"/>
              </w:rPr>
            </w:pPr>
            <w:r w:rsidRPr="005179C3">
              <w:rPr>
                <w:sz w:val="16"/>
                <w:szCs w:val="16"/>
                <w:lang w:val="ru-RU"/>
              </w:rPr>
              <w:t>8</w:t>
            </w:r>
            <w:r>
              <w:rPr>
                <w:sz w:val="16"/>
                <w:szCs w:val="16"/>
                <w:lang w:val="ru-RU"/>
              </w:rPr>
              <w:t> </w:t>
            </w:r>
            <w:r w:rsidRPr="005179C3">
              <w:rPr>
                <w:sz w:val="16"/>
                <w:szCs w:val="16"/>
                <w:lang w:val="ru-RU"/>
              </w:rPr>
              <w:t>230</w:t>
            </w:r>
          </w:p>
        </w:tc>
        <w:tc>
          <w:tcPr>
            <w:tcW w:w="1135" w:type="dxa"/>
            <w:tcBorders>
              <w:bottom w:val="single" w:sz="12" w:space="0" w:color="auto"/>
            </w:tcBorders>
            <w:shd w:val="clear" w:color="auto" w:fill="auto"/>
            <w:vAlign w:val="bottom"/>
          </w:tcPr>
          <w:p w:rsidR="004E4FFA" w:rsidRPr="005179C3" w:rsidRDefault="004E4FFA" w:rsidP="004E4FFA">
            <w:pPr>
              <w:pStyle w:val="SingleTxtG"/>
              <w:suppressAutoHyphens w:val="0"/>
              <w:spacing w:before="40" w:line="210" w:lineRule="exact"/>
              <w:ind w:left="0" w:right="43"/>
              <w:jc w:val="right"/>
              <w:rPr>
                <w:sz w:val="16"/>
                <w:szCs w:val="16"/>
                <w:lang w:val="ru-RU"/>
              </w:rPr>
            </w:pPr>
            <w:r w:rsidRPr="005179C3">
              <w:rPr>
                <w:sz w:val="16"/>
                <w:szCs w:val="16"/>
                <w:lang w:val="ru-RU"/>
              </w:rPr>
              <w:t>15</w:t>
            </w:r>
            <w:r>
              <w:rPr>
                <w:sz w:val="16"/>
                <w:szCs w:val="16"/>
                <w:lang w:val="ru-RU"/>
              </w:rPr>
              <w:t> </w:t>
            </w:r>
            <w:r w:rsidRPr="005179C3">
              <w:rPr>
                <w:sz w:val="16"/>
                <w:szCs w:val="16"/>
                <w:lang w:val="ru-RU"/>
              </w:rPr>
              <w:t>925</w:t>
            </w:r>
          </w:p>
        </w:tc>
        <w:tc>
          <w:tcPr>
            <w:tcW w:w="1135" w:type="dxa"/>
            <w:tcBorders>
              <w:bottom w:val="single" w:sz="12" w:space="0" w:color="auto"/>
            </w:tcBorders>
            <w:shd w:val="clear" w:color="auto" w:fill="auto"/>
            <w:vAlign w:val="bottom"/>
          </w:tcPr>
          <w:p w:rsidR="004E4FFA" w:rsidRPr="005179C3" w:rsidRDefault="004E4FFA" w:rsidP="004E4FFA">
            <w:pPr>
              <w:pStyle w:val="SingleTxtG"/>
              <w:suppressAutoHyphens w:val="0"/>
              <w:spacing w:before="40" w:line="210" w:lineRule="exact"/>
              <w:ind w:left="0" w:right="43"/>
              <w:jc w:val="right"/>
              <w:rPr>
                <w:sz w:val="16"/>
                <w:szCs w:val="16"/>
                <w:lang w:val="ru-RU"/>
              </w:rPr>
            </w:pPr>
            <w:r w:rsidRPr="005179C3">
              <w:rPr>
                <w:sz w:val="16"/>
                <w:szCs w:val="16"/>
                <w:lang w:val="ru-RU"/>
              </w:rPr>
              <w:t>2</w:t>
            </w:r>
            <w:r>
              <w:rPr>
                <w:sz w:val="16"/>
                <w:szCs w:val="16"/>
                <w:lang w:val="ru-RU"/>
              </w:rPr>
              <w:t> </w:t>
            </w:r>
            <w:r w:rsidRPr="005179C3">
              <w:rPr>
                <w:sz w:val="16"/>
                <w:szCs w:val="16"/>
                <w:lang w:val="ru-RU"/>
              </w:rPr>
              <w:t>530</w:t>
            </w:r>
          </w:p>
        </w:tc>
        <w:tc>
          <w:tcPr>
            <w:tcW w:w="1051" w:type="dxa"/>
            <w:tcBorders>
              <w:bottom w:val="single" w:sz="12" w:space="0" w:color="auto"/>
            </w:tcBorders>
            <w:shd w:val="clear" w:color="auto" w:fill="auto"/>
            <w:vAlign w:val="bottom"/>
          </w:tcPr>
          <w:p w:rsidR="004E4FFA" w:rsidRPr="005179C3" w:rsidRDefault="004E4FFA" w:rsidP="004E4FFA">
            <w:pPr>
              <w:pStyle w:val="SingleTxtG"/>
              <w:suppressAutoHyphens w:val="0"/>
              <w:spacing w:before="40" w:line="210" w:lineRule="exact"/>
              <w:ind w:left="0" w:right="43"/>
              <w:jc w:val="right"/>
              <w:rPr>
                <w:sz w:val="16"/>
                <w:szCs w:val="16"/>
                <w:lang w:val="ru-RU"/>
              </w:rPr>
            </w:pPr>
            <w:r w:rsidRPr="005179C3">
              <w:rPr>
                <w:sz w:val="16"/>
                <w:szCs w:val="16"/>
                <w:lang w:val="ru-RU"/>
              </w:rPr>
              <w:t>225</w:t>
            </w:r>
          </w:p>
        </w:tc>
        <w:tc>
          <w:tcPr>
            <w:tcW w:w="1219" w:type="dxa"/>
            <w:tcBorders>
              <w:bottom w:val="single" w:sz="12" w:space="0" w:color="auto"/>
            </w:tcBorders>
            <w:shd w:val="clear" w:color="auto" w:fill="auto"/>
            <w:vAlign w:val="bottom"/>
          </w:tcPr>
          <w:p w:rsidR="004E4FFA" w:rsidRPr="005179C3" w:rsidRDefault="004E4FFA" w:rsidP="004E4FFA">
            <w:pPr>
              <w:pStyle w:val="SingleTxtG"/>
              <w:suppressAutoHyphens w:val="0"/>
              <w:spacing w:before="40" w:line="210" w:lineRule="exact"/>
              <w:ind w:left="0" w:right="43"/>
              <w:jc w:val="right"/>
              <w:rPr>
                <w:sz w:val="16"/>
                <w:szCs w:val="16"/>
                <w:lang w:val="ru-RU"/>
              </w:rPr>
            </w:pPr>
            <w:r w:rsidRPr="005179C3">
              <w:rPr>
                <w:sz w:val="16"/>
                <w:szCs w:val="16"/>
                <w:lang w:val="ru-RU"/>
              </w:rPr>
              <w:t>12</w:t>
            </w:r>
          </w:p>
        </w:tc>
        <w:tc>
          <w:tcPr>
            <w:tcW w:w="1135" w:type="dxa"/>
            <w:tcBorders>
              <w:bottom w:val="single" w:sz="12" w:space="0" w:color="auto"/>
            </w:tcBorders>
            <w:shd w:val="clear" w:color="auto" w:fill="auto"/>
            <w:vAlign w:val="bottom"/>
          </w:tcPr>
          <w:p w:rsidR="004E4FFA" w:rsidRPr="005179C3" w:rsidRDefault="004E4FFA" w:rsidP="004E4FFA">
            <w:pPr>
              <w:pStyle w:val="SingleTxtG"/>
              <w:suppressAutoHyphens w:val="0"/>
              <w:spacing w:before="40" w:line="210" w:lineRule="exact"/>
              <w:ind w:left="0" w:right="43"/>
              <w:jc w:val="right"/>
              <w:rPr>
                <w:sz w:val="16"/>
                <w:szCs w:val="16"/>
                <w:lang w:val="ru-RU"/>
              </w:rPr>
            </w:pPr>
            <w:r w:rsidRPr="005179C3">
              <w:rPr>
                <w:sz w:val="16"/>
                <w:szCs w:val="16"/>
                <w:lang w:val="ru-RU"/>
              </w:rPr>
              <w:t>1</w:t>
            </w:r>
          </w:p>
        </w:tc>
      </w:tr>
    </w:tbl>
    <w:p w:rsidR="004E4FFA" w:rsidRDefault="004E4FFA" w:rsidP="00BA168A">
      <w:pPr>
        <w:pStyle w:val="SingleTxt"/>
        <w:spacing w:after="0" w:line="120" w:lineRule="exact"/>
        <w:rPr>
          <w:sz w:val="10"/>
        </w:rPr>
      </w:pPr>
    </w:p>
    <w:p w:rsidR="00697A59" w:rsidRDefault="004E4FFA" w:rsidP="004E4FFA">
      <w:pPr>
        <w:pStyle w:val="FootnoteText"/>
        <w:tabs>
          <w:tab w:val="right" w:pos="1476"/>
          <w:tab w:val="left" w:pos="1548"/>
          <w:tab w:val="right" w:pos="1836"/>
          <w:tab w:val="left" w:pos="1908"/>
        </w:tabs>
        <w:ind w:left="1548" w:right="1267" w:hanging="288"/>
      </w:pPr>
      <w:r>
        <w:tab/>
      </w:r>
      <w:r w:rsidR="00697A59" w:rsidRPr="004E4FFA">
        <w:rPr>
          <w:i/>
        </w:rPr>
        <w:t>Источник:</w:t>
      </w:r>
      <w:r w:rsidR="00697A59" w:rsidRPr="005179C3">
        <w:t xml:space="preserve"> Министерство труда и пенсионной системы</w:t>
      </w:r>
      <w:r w:rsidR="00BA168A">
        <w:t>.</w:t>
      </w:r>
    </w:p>
    <w:p w:rsidR="00BA168A" w:rsidRPr="00BA168A" w:rsidRDefault="00BA168A" w:rsidP="00BA168A">
      <w:pPr>
        <w:pStyle w:val="SingleTxtG"/>
        <w:spacing w:after="0" w:line="120" w:lineRule="exact"/>
        <w:rPr>
          <w:bCs/>
          <w:i/>
          <w:iCs/>
          <w:sz w:val="10"/>
          <w:szCs w:val="16"/>
          <w:lang w:val="ru-RU"/>
        </w:rPr>
      </w:pPr>
    </w:p>
    <w:p w:rsidR="00BA168A" w:rsidRPr="00BA168A" w:rsidRDefault="00BA168A" w:rsidP="00BA168A">
      <w:pPr>
        <w:pStyle w:val="SingleTxtG"/>
        <w:spacing w:after="0" w:line="120" w:lineRule="exact"/>
        <w:rPr>
          <w:i/>
          <w:iCs/>
          <w:sz w:val="10"/>
          <w:szCs w:val="16"/>
          <w:lang w:val="ru-RU"/>
        </w:rPr>
      </w:pPr>
    </w:p>
    <w:p w:rsidR="00BA168A" w:rsidRPr="00BA168A" w:rsidRDefault="00BA168A" w:rsidP="00BA168A">
      <w:pPr>
        <w:pStyle w:val="SingleTxtG"/>
        <w:spacing w:after="0" w:line="120" w:lineRule="exact"/>
        <w:rPr>
          <w:i/>
          <w:iCs/>
          <w:sz w:val="10"/>
          <w:szCs w:val="16"/>
          <w:lang w:val="ru-RU"/>
        </w:rPr>
      </w:pPr>
    </w:p>
    <w:p w:rsidR="00697A59" w:rsidRPr="005179C3" w:rsidRDefault="00BA168A" w:rsidP="00BA168A">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97A59" w:rsidRPr="005179C3">
        <w:t>Таблица 2</w:t>
      </w:r>
    </w:p>
    <w:p w:rsidR="00697A59" w:rsidRDefault="00BA168A" w:rsidP="00BA1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97A59" w:rsidRPr="005179C3">
        <w:t>Инспекционные меры, принятые в отношении работодателя</w:t>
      </w:r>
    </w:p>
    <w:p w:rsidR="00BA168A" w:rsidRDefault="00BA168A" w:rsidP="00BA168A">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513"/>
        <w:gridCol w:w="1143"/>
        <w:gridCol w:w="1071"/>
        <w:gridCol w:w="1296"/>
        <w:gridCol w:w="1003"/>
        <w:gridCol w:w="1004"/>
        <w:gridCol w:w="1292"/>
      </w:tblGrid>
      <w:tr w:rsidR="002C69D9" w:rsidRPr="004E4FFA" w:rsidTr="002C69D9">
        <w:tblPrEx>
          <w:tblCellMar>
            <w:top w:w="0" w:type="dxa"/>
            <w:bottom w:w="0" w:type="dxa"/>
          </w:tblCellMar>
        </w:tblPrEx>
        <w:trPr>
          <w:cantSplit/>
          <w:tblHeader/>
        </w:trPr>
        <w:tc>
          <w:tcPr>
            <w:tcW w:w="513" w:type="dxa"/>
            <w:tcBorders>
              <w:top w:val="single" w:sz="4" w:space="0" w:color="auto"/>
              <w:bottom w:val="single" w:sz="12" w:space="0" w:color="auto"/>
            </w:tcBorders>
            <w:shd w:val="clear" w:color="auto" w:fill="auto"/>
            <w:vAlign w:val="bottom"/>
          </w:tcPr>
          <w:p w:rsidR="002C69D9" w:rsidRPr="004E4FFA" w:rsidRDefault="00CF4575" w:rsidP="00B60CA0">
            <w:pPr>
              <w:tabs>
                <w:tab w:val="left" w:pos="288"/>
                <w:tab w:val="left" w:pos="576"/>
                <w:tab w:val="left" w:pos="864"/>
                <w:tab w:val="left" w:pos="1152"/>
              </w:tabs>
              <w:spacing w:before="80" w:after="80" w:line="160" w:lineRule="exact"/>
              <w:ind w:right="43"/>
              <w:rPr>
                <w:i/>
                <w:sz w:val="14"/>
              </w:rPr>
            </w:pPr>
            <w:r>
              <w:rPr>
                <w:i/>
                <w:sz w:val="14"/>
              </w:rPr>
              <w:t>Год</w:t>
            </w:r>
          </w:p>
        </w:tc>
        <w:tc>
          <w:tcPr>
            <w:tcW w:w="1143" w:type="dxa"/>
            <w:tcBorders>
              <w:top w:val="single" w:sz="4" w:space="0" w:color="auto"/>
              <w:bottom w:val="single" w:sz="12" w:space="0" w:color="auto"/>
            </w:tcBorders>
            <w:shd w:val="clear" w:color="auto" w:fill="auto"/>
            <w:vAlign w:val="bottom"/>
          </w:tcPr>
          <w:p w:rsidR="002C69D9" w:rsidRPr="004E4FFA" w:rsidRDefault="002C69D9" w:rsidP="00B60CA0">
            <w:pPr>
              <w:tabs>
                <w:tab w:val="left" w:pos="288"/>
                <w:tab w:val="left" w:pos="576"/>
                <w:tab w:val="left" w:pos="864"/>
                <w:tab w:val="left" w:pos="1152"/>
              </w:tabs>
              <w:spacing w:before="80" w:after="80" w:line="160" w:lineRule="exact"/>
              <w:jc w:val="right"/>
              <w:rPr>
                <w:i/>
                <w:sz w:val="14"/>
              </w:rPr>
            </w:pPr>
            <w:r w:rsidRPr="004E4FFA">
              <w:rPr>
                <w:i/>
                <w:sz w:val="14"/>
              </w:rPr>
              <w:t>Число реш</w:t>
            </w:r>
            <w:r w:rsidRPr="004E4FFA">
              <w:rPr>
                <w:i/>
                <w:sz w:val="14"/>
              </w:rPr>
              <w:t>е</w:t>
            </w:r>
            <w:r w:rsidRPr="004E4FFA">
              <w:rPr>
                <w:i/>
                <w:sz w:val="14"/>
              </w:rPr>
              <w:t xml:space="preserve">ний </w:t>
            </w:r>
            <w:r>
              <w:rPr>
                <w:i/>
                <w:sz w:val="14"/>
              </w:rPr>
              <w:br/>
            </w:r>
            <w:r w:rsidRPr="004E4FFA">
              <w:rPr>
                <w:i/>
                <w:sz w:val="14"/>
              </w:rPr>
              <w:t>о необходим</w:t>
            </w:r>
            <w:r w:rsidRPr="004E4FFA">
              <w:rPr>
                <w:i/>
                <w:sz w:val="14"/>
              </w:rPr>
              <w:t>о</w:t>
            </w:r>
            <w:r w:rsidRPr="004E4FFA">
              <w:rPr>
                <w:i/>
                <w:sz w:val="14"/>
              </w:rPr>
              <w:t>сти устранения нарушений</w:t>
            </w:r>
          </w:p>
        </w:tc>
        <w:tc>
          <w:tcPr>
            <w:tcW w:w="1071" w:type="dxa"/>
            <w:tcBorders>
              <w:top w:val="single" w:sz="4" w:space="0" w:color="auto"/>
              <w:bottom w:val="single" w:sz="12" w:space="0" w:color="auto"/>
            </w:tcBorders>
            <w:shd w:val="clear" w:color="auto" w:fill="auto"/>
            <w:vAlign w:val="bottom"/>
          </w:tcPr>
          <w:p w:rsidR="002C69D9" w:rsidRPr="004E4FFA" w:rsidRDefault="002C69D9" w:rsidP="00B60CA0">
            <w:pPr>
              <w:tabs>
                <w:tab w:val="left" w:pos="288"/>
                <w:tab w:val="left" w:pos="576"/>
                <w:tab w:val="left" w:pos="864"/>
                <w:tab w:val="left" w:pos="1152"/>
              </w:tabs>
              <w:spacing w:before="80" w:after="80" w:line="160" w:lineRule="exact"/>
              <w:jc w:val="right"/>
              <w:rPr>
                <w:i/>
                <w:sz w:val="14"/>
              </w:rPr>
            </w:pPr>
            <w:r w:rsidRPr="004E4FFA">
              <w:rPr>
                <w:i/>
                <w:sz w:val="14"/>
              </w:rPr>
              <w:t xml:space="preserve">Число </w:t>
            </w:r>
            <w:r>
              <w:rPr>
                <w:i/>
                <w:sz w:val="14"/>
              </w:rPr>
              <w:br/>
            </w:r>
            <w:r w:rsidRPr="004E4FFA">
              <w:rPr>
                <w:i/>
                <w:sz w:val="14"/>
              </w:rPr>
              <w:t>различных наруш</w:t>
            </w:r>
            <w:r w:rsidRPr="004E4FFA">
              <w:rPr>
                <w:i/>
                <w:sz w:val="14"/>
              </w:rPr>
              <w:t>е</w:t>
            </w:r>
            <w:r w:rsidRPr="004E4FFA">
              <w:rPr>
                <w:i/>
                <w:sz w:val="14"/>
              </w:rPr>
              <w:t>ний</w:t>
            </w:r>
          </w:p>
        </w:tc>
        <w:tc>
          <w:tcPr>
            <w:tcW w:w="1296" w:type="dxa"/>
            <w:tcBorders>
              <w:top w:val="single" w:sz="4" w:space="0" w:color="auto"/>
              <w:bottom w:val="single" w:sz="12" w:space="0" w:color="auto"/>
            </w:tcBorders>
            <w:shd w:val="clear" w:color="auto" w:fill="auto"/>
            <w:vAlign w:val="bottom"/>
          </w:tcPr>
          <w:p w:rsidR="002C69D9" w:rsidRPr="004E4FFA" w:rsidRDefault="002C69D9" w:rsidP="00B60CA0">
            <w:pPr>
              <w:tabs>
                <w:tab w:val="left" w:pos="288"/>
                <w:tab w:val="left" w:pos="576"/>
                <w:tab w:val="left" w:pos="864"/>
                <w:tab w:val="left" w:pos="1152"/>
              </w:tabs>
              <w:spacing w:before="80" w:after="80" w:line="160" w:lineRule="exact"/>
              <w:jc w:val="right"/>
              <w:rPr>
                <w:i/>
                <w:sz w:val="14"/>
              </w:rPr>
            </w:pPr>
            <w:r w:rsidRPr="004E4FFA">
              <w:rPr>
                <w:i/>
                <w:sz w:val="14"/>
              </w:rPr>
              <w:t>Число реш</w:t>
            </w:r>
            <w:r w:rsidRPr="004E4FFA">
              <w:rPr>
                <w:i/>
                <w:sz w:val="14"/>
              </w:rPr>
              <w:t>е</w:t>
            </w:r>
            <w:r w:rsidRPr="004E4FFA">
              <w:rPr>
                <w:i/>
                <w:sz w:val="14"/>
              </w:rPr>
              <w:t xml:space="preserve">ний </w:t>
            </w:r>
            <w:r>
              <w:rPr>
                <w:i/>
                <w:sz w:val="14"/>
              </w:rPr>
              <w:br/>
            </w:r>
            <w:r w:rsidRPr="004E4FFA">
              <w:rPr>
                <w:i/>
                <w:sz w:val="14"/>
              </w:rPr>
              <w:t>о необходимости введения запр</w:t>
            </w:r>
            <w:r w:rsidRPr="004E4FFA">
              <w:rPr>
                <w:i/>
                <w:sz w:val="14"/>
              </w:rPr>
              <w:t>е</w:t>
            </w:r>
            <w:r w:rsidRPr="004E4FFA">
              <w:rPr>
                <w:i/>
                <w:sz w:val="14"/>
              </w:rPr>
              <w:t>та</w:t>
            </w:r>
          </w:p>
        </w:tc>
        <w:tc>
          <w:tcPr>
            <w:tcW w:w="1003" w:type="dxa"/>
            <w:tcBorders>
              <w:top w:val="single" w:sz="4" w:space="0" w:color="auto"/>
              <w:bottom w:val="single" w:sz="12" w:space="0" w:color="auto"/>
            </w:tcBorders>
            <w:shd w:val="clear" w:color="auto" w:fill="auto"/>
            <w:vAlign w:val="bottom"/>
          </w:tcPr>
          <w:p w:rsidR="002C69D9" w:rsidRPr="004E4FFA" w:rsidRDefault="002C69D9" w:rsidP="00B60CA0">
            <w:pPr>
              <w:tabs>
                <w:tab w:val="left" w:pos="288"/>
                <w:tab w:val="left" w:pos="576"/>
                <w:tab w:val="left" w:pos="864"/>
                <w:tab w:val="left" w:pos="1152"/>
              </w:tabs>
              <w:spacing w:before="80" w:after="80" w:line="160" w:lineRule="exact"/>
              <w:jc w:val="right"/>
              <w:rPr>
                <w:i/>
                <w:sz w:val="14"/>
              </w:rPr>
            </w:pPr>
            <w:r w:rsidRPr="004E4FFA">
              <w:rPr>
                <w:i/>
                <w:sz w:val="14"/>
              </w:rPr>
              <w:t xml:space="preserve">Число </w:t>
            </w:r>
            <w:r>
              <w:rPr>
                <w:i/>
                <w:sz w:val="14"/>
              </w:rPr>
              <w:br/>
            </w:r>
            <w:r w:rsidRPr="004E4FFA">
              <w:rPr>
                <w:i/>
                <w:sz w:val="14"/>
              </w:rPr>
              <w:t>з</w:t>
            </w:r>
            <w:r w:rsidRPr="004E4FFA">
              <w:rPr>
                <w:i/>
                <w:sz w:val="14"/>
              </w:rPr>
              <w:t>а</w:t>
            </w:r>
            <w:r w:rsidRPr="004E4FFA">
              <w:rPr>
                <w:i/>
                <w:sz w:val="14"/>
              </w:rPr>
              <w:t>претов</w:t>
            </w:r>
          </w:p>
        </w:tc>
        <w:tc>
          <w:tcPr>
            <w:tcW w:w="1004" w:type="dxa"/>
            <w:tcBorders>
              <w:top w:val="single" w:sz="4" w:space="0" w:color="auto"/>
              <w:bottom w:val="single" w:sz="12" w:space="0" w:color="auto"/>
            </w:tcBorders>
            <w:shd w:val="clear" w:color="auto" w:fill="auto"/>
            <w:vAlign w:val="bottom"/>
          </w:tcPr>
          <w:p w:rsidR="002C69D9" w:rsidRPr="004E4FFA" w:rsidRDefault="002C69D9" w:rsidP="00B60CA0">
            <w:pPr>
              <w:tabs>
                <w:tab w:val="left" w:pos="288"/>
                <w:tab w:val="left" w:pos="576"/>
                <w:tab w:val="left" w:pos="864"/>
                <w:tab w:val="left" w:pos="1152"/>
              </w:tabs>
              <w:spacing w:before="80" w:after="80" w:line="160" w:lineRule="exact"/>
              <w:jc w:val="right"/>
              <w:rPr>
                <w:i/>
                <w:sz w:val="14"/>
              </w:rPr>
            </w:pPr>
            <w:r w:rsidRPr="004E4FFA">
              <w:rPr>
                <w:i/>
                <w:sz w:val="14"/>
              </w:rPr>
              <w:t xml:space="preserve">Число </w:t>
            </w:r>
            <w:r>
              <w:rPr>
                <w:i/>
                <w:sz w:val="14"/>
              </w:rPr>
              <w:br/>
            </w:r>
            <w:r w:rsidRPr="004E4FFA">
              <w:rPr>
                <w:i/>
                <w:sz w:val="14"/>
              </w:rPr>
              <w:t>сообщ</w:t>
            </w:r>
            <w:r w:rsidRPr="004E4FFA">
              <w:rPr>
                <w:i/>
                <w:sz w:val="14"/>
              </w:rPr>
              <w:t>е</w:t>
            </w:r>
            <w:r w:rsidRPr="004E4FFA">
              <w:rPr>
                <w:i/>
                <w:sz w:val="14"/>
              </w:rPr>
              <w:t>ний</w:t>
            </w:r>
          </w:p>
        </w:tc>
        <w:tc>
          <w:tcPr>
            <w:tcW w:w="1292" w:type="dxa"/>
            <w:tcBorders>
              <w:top w:val="single" w:sz="4" w:space="0" w:color="auto"/>
              <w:bottom w:val="single" w:sz="12" w:space="0" w:color="auto"/>
            </w:tcBorders>
            <w:shd w:val="clear" w:color="auto" w:fill="auto"/>
            <w:vAlign w:val="bottom"/>
          </w:tcPr>
          <w:p w:rsidR="002C69D9" w:rsidRPr="004E4FFA" w:rsidRDefault="002C69D9" w:rsidP="00B60CA0">
            <w:pPr>
              <w:tabs>
                <w:tab w:val="left" w:pos="288"/>
                <w:tab w:val="left" w:pos="576"/>
                <w:tab w:val="left" w:pos="864"/>
                <w:tab w:val="left" w:pos="1152"/>
              </w:tabs>
              <w:spacing w:before="80" w:after="80" w:line="160" w:lineRule="exact"/>
              <w:jc w:val="right"/>
              <w:rPr>
                <w:i/>
                <w:sz w:val="14"/>
              </w:rPr>
            </w:pPr>
            <w:r w:rsidRPr="004E4FFA">
              <w:rPr>
                <w:i/>
                <w:sz w:val="14"/>
              </w:rPr>
              <w:t>Число админ</w:t>
            </w:r>
            <w:r w:rsidRPr="004E4FFA">
              <w:rPr>
                <w:i/>
                <w:sz w:val="14"/>
              </w:rPr>
              <w:t>и</w:t>
            </w:r>
            <w:r w:rsidRPr="004E4FFA">
              <w:rPr>
                <w:i/>
                <w:sz w:val="14"/>
              </w:rPr>
              <w:t xml:space="preserve">стративных </w:t>
            </w:r>
            <w:r>
              <w:rPr>
                <w:i/>
                <w:sz w:val="14"/>
              </w:rPr>
              <w:br/>
            </w:r>
            <w:r w:rsidRPr="004E4FFA">
              <w:rPr>
                <w:i/>
                <w:sz w:val="14"/>
              </w:rPr>
              <w:t>пр</w:t>
            </w:r>
            <w:r w:rsidRPr="004E4FFA">
              <w:rPr>
                <w:i/>
                <w:sz w:val="14"/>
              </w:rPr>
              <w:t>а</w:t>
            </w:r>
            <w:r w:rsidRPr="004E4FFA">
              <w:rPr>
                <w:i/>
                <w:sz w:val="14"/>
              </w:rPr>
              <w:t>вонарушений</w:t>
            </w:r>
          </w:p>
        </w:tc>
      </w:tr>
      <w:tr w:rsidR="002C69D9" w:rsidRPr="004E4FFA" w:rsidTr="002C69D9">
        <w:tblPrEx>
          <w:tblCellMar>
            <w:top w:w="0" w:type="dxa"/>
            <w:bottom w:w="0" w:type="dxa"/>
          </w:tblCellMar>
        </w:tblPrEx>
        <w:trPr>
          <w:cantSplit/>
          <w:trHeight w:hRule="exact" w:val="115"/>
          <w:tblHeader/>
        </w:trPr>
        <w:tc>
          <w:tcPr>
            <w:tcW w:w="513" w:type="dxa"/>
            <w:tcBorders>
              <w:top w:val="single" w:sz="12" w:space="0" w:color="auto"/>
            </w:tcBorders>
            <w:shd w:val="clear" w:color="auto" w:fill="auto"/>
            <w:vAlign w:val="bottom"/>
          </w:tcPr>
          <w:p w:rsidR="002C69D9" w:rsidRPr="004E4FFA" w:rsidRDefault="002C69D9" w:rsidP="00B60CA0">
            <w:pPr>
              <w:tabs>
                <w:tab w:val="left" w:pos="288"/>
                <w:tab w:val="left" w:pos="576"/>
                <w:tab w:val="left" w:pos="864"/>
                <w:tab w:val="left" w:pos="1152"/>
              </w:tabs>
              <w:spacing w:before="40" w:after="40" w:line="210" w:lineRule="exact"/>
              <w:ind w:right="43"/>
              <w:rPr>
                <w:sz w:val="17"/>
              </w:rPr>
            </w:pPr>
          </w:p>
        </w:tc>
        <w:tc>
          <w:tcPr>
            <w:tcW w:w="1143" w:type="dxa"/>
            <w:tcBorders>
              <w:top w:val="single" w:sz="12" w:space="0" w:color="auto"/>
            </w:tcBorders>
            <w:shd w:val="clear" w:color="auto" w:fill="auto"/>
            <w:vAlign w:val="bottom"/>
          </w:tcPr>
          <w:p w:rsidR="002C69D9" w:rsidRPr="004E4FFA" w:rsidRDefault="002C69D9" w:rsidP="00B60CA0">
            <w:pPr>
              <w:tabs>
                <w:tab w:val="left" w:pos="288"/>
                <w:tab w:val="left" w:pos="576"/>
                <w:tab w:val="left" w:pos="864"/>
                <w:tab w:val="left" w:pos="1152"/>
              </w:tabs>
              <w:spacing w:before="40" w:after="40" w:line="210" w:lineRule="exact"/>
              <w:ind w:right="43"/>
              <w:jc w:val="right"/>
              <w:rPr>
                <w:sz w:val="17"/>
              </w:rPr>
            </w:pPr>
          </w:p>
        </w:tc>
        <w:tc>
          <w:tcPr>
            <w:tcW w:w="1071" w:type="dxa"/>
            <w:tcBorders>
              <w:top w:val="single" w:sz="12" w:space="0" w:color="auto"/>
            </w:tcBorders>
            <w:shd w:val="clear" w:color="auto" w:fill="auto"/>
            <w:vAlign w:val="bottom"/>
          </w:tcPr>
          <w:p w:rsidR="002C69D9" w:rsidRPr="004E4FFA" w:rsidRDefault="002C69D9" w:rsidP="00B60CA0">
            <w:pPr>
              <w:tabs>
                <w:tab w:val="left" w:pos="288"/>
                <w:tab w:val="left" w:pos="576"/>
                <w:tab w:val="left" w:pos="864"/>
                <w:tab w:val="left" w:pos="1152"/>
              </w:tabs>
              <w:spacing w:before="40" w:after="40" w:line="210" w:lineRule="exact"/>
              <w:ind w:right="43"/>
              <w:jc w:val="right"/>
              <w:rPr>
                <w:sz w:val="17"/>
              </w:rPr>
            </w:pPr>
          </w:p>
        </w:tc>
        <w:tc>
          <w:tcPr>
            <w:tcW w:w="1296" w:type="dxa"/>
            <w:tcBorders>
              <w:top w:val="single" w:sz="12" w:space="0" w:color="auto"/>
            </w:tcBorders>
            <w:shd w:val="clear" w:color="auto" w:fill="auto"/>
            <w:vAlign w:val="bottom"/>
          </w:tcPr>
          <w:p w:rsidR="002C69D9" w:rsidRPr="004E4FFA" w:rsidRDefault="002C69D9" w:rsidP="00B60CA0">
            <w:pPr>
              <w:tabs>
                <w:tab w:val="left" w:pos="288"/>
                <w:tab w:val="left" w:pos="576"/>
                <w:tab w:val="left" w:pos="864"/>
                <w:tab w:val="left" w:pos="1152"/>
              </w:tabs>
              <w:spacing w:before="40" w:after="40" w:line="210" w:lineRule="exact"/>
              <w:ind w:right="43"/>
              <w:jc w:val="right"/>
              <w:rPr>
                <w:sz w:val="17"/>
              </w:rPr>
            </w:pPr>
          </w:p>
        </w:tc>
        <w:tc>
          <w:tcPr>
            <w:tcW w:w="1003" w:type="dxa"/>
            <w:tcBorders>
              <w:top w:val="single" w:sz="12" w:space="0" w:color="auto"/>
            </w:tcBorders>
            <w:shd w:val="clear" w:color="auto" w:fill="auto"/>
            <w:vAlign w:val="bottom"/>
          </w:tcPr>
          <w:p w:rsidR="002C69D9" w:rsidRPr="004E4FFA" w:rsidRDefault="002C69D9" w:rsidP="00B60CA0">
            <w:pPr>
              <w:tabs>
                <w:tab w:val="left" w:pos="288"/>
                <w:tab w:val="left" w:pos="576"/>
                <w:tab w:val="left" w:pos="864"/>
                <w:tab w:val="left" w:pos="1152"/>
              </w:tabs>
              <w:spacing w:before="40" w:after="40" w:line="210" w:lineRule="exact"/>
              <w:ind w:right="43"/>
              <w:jc w:val="right"/>
              <w:rPr>
                <w:sz w:val="17"/>
              </w:rPr>
            </w:pPr>
          </w:p>
        </w:tc>
        <w:tc>
          <w:tcPr>
            <w:tcW w:w="1004" w:type="dxa"/>
            <w:tcBorders>
              <w:top w:val="single" w:sz="12" w:space="0" w:color="auto"/>
            </w:tcBorders>
            <w:shd w:val="clear" w:color="auto" w:fill="auto"/>
            <w:vAlign w:val="bottom"/>
          </w:tcPr>
          <w:p w:rsidR="002C69D9" w:rsidRPr="004E4FFA" w:rsidRDefault="002C69D9" w:rsidP="00B60CA0">
            <w:pPr>
              <w:tabs>
                <w:tab w:val="left" w:pos="288"/>
                <w:tab w:val="left" w:pos="576"/>
                <w:tab w:val="left" w:pos="864"/>
                <w:tab w:val="left" w:pos="1152"/>
              </w:tabs>
              <w:spacing w:before="40" w:after="40" w:line="210" w:lineRule="exact"/>
              <w:ind w:right="43"/>
              <w:jc w:val="right"/>
              <w:rPr>
                <w:sz w:val="17"/>
              </w:rPr>
            </w:pPr>
          </w:p>
        </w:tc>
        <w:tc>
          <w:tcPr>
            <w:tcW w:w="1292" w:type="dxa"/>
            <w:tcBorders>
              <w:top w:val="single" w:sz="12" w:space="0" w:color="auto"/>
            </w:tcBorders>
            <w:shd w:val="clear" w:color="auto" w:fill="auto"/>
            <w:vAlign w:val="bottom"/>
          </w:tcPr>
          <w:p w:rsidR="002C69D9" w:rsidRPr="004E4FFA" w:rsidRDefault="002C69D9" w:rsidP="00B60CA0">
            <w:pPr>
              <w:tabs>
                <w:tab w:val="left" w:pos="288"/>
                <w:tab w:val="left" w:pos="576"/>
                <w:tab w:val="left" w:pos="864"/>
                <w:tab w:val="left" w:pos="1152"/>
              </w:tabs>
              <w:spacing w:before="40" w:after="40" w:line="210" w:lineRule="exact"/>
              <w:ind w:right="43"/>
              <w:jc w:val="right"/>
              <w:rPr>
                <w:sz w:val="17"/>
              </w:rPr>
            </w:pPr>
          </w:p>
        </w:tc>
      </w:tr>
      <w:tr w:rsidR="002C69D9" w:rsidRPr="004E4FFA" w:rsidTr="002C69D9">
        <w:tblPrEx>
          <w:tblCellMar>
            <w:top w:w="0" w:type="dxa"/>
            <w:bottom w:w="0" w:type="dxa"/>
          </w:tblCellMar>
        </w:tblPrEx>
        <w:trPr>
          <w:cantSplit/>
        </w:trPr>
        <w:tc>
          <w:tcPr>
            <w:tcW w:w="513" w:type="dxa"/>
            <w:shd w:val="clear" w:color="auto" w:fill="auto"/>
          </w:tcPr>
          <w:p w:rsidR="002C69D9" w:rsidRPr="005179C3" w:rsidRDefault="002C69D9" w:rsidP="00B60CA0">
            <w:pPr>
              <w:pStyle w:val="SingleTxtG"/>
              <w:suppressAutoHyphens w:val="0"/>
              <w:spacing w:before="40" w:after="40" w:line="210" w:lineRule="exact"/>
              <w:ind w:left="0" w:right="43"/>
              <w:jc w:val="left"/>
              <w:rPr>
                <w:sz w:val="16"/>
                <w:szCs w:val="16"/>
                <w:lang w:val="ru-RU"/>
              </w:rPr>
            </w:pPr>
            <w:r w:rsidRPr="005179C3">
              <w:rPr>
                <w:sz w:val="16"/>
                <w:szCs w:val="16"/>
                <w:lang w:val="ru-RU"/>
              </w:rPr>
              <w:t>2011</w:t>
            </w:r>
          </w:p>
        </w:tc>
        <w:tc>
          <w:tcPr>
            <w:tcW w:w="1143" w:type="dxa"/>
            <w:shd w:val="clear" w:color="auto" w:fill="auto"/>
            <w:vAlign w:val="bottom"/>
          </w:tcPr>
          <w:p w:rsidR="002C69D9" w:rsidRPr="005179C3" w:rsidRDefault="002C69D9" w:rsidP="00B60CA0">
            <w:pPr>
              <w:pStyle w:val="SingleTxtG"/>
              <w:suppressAutoHyphens w:val="0"/>
              <w:spacing w:before="40" w:after="40" w:line="210" w:lineRule="exact"/>
              <w:ind w:left="0" w:right="0"/>
              <w:jc w:val="right"/>
              <w:rPr>
                <w:sz w:val="18"/>
                <w:szCs w:val="18"/>
                <w:lang w:val="ru-RU"/>
              </w:rPr>
            </w:pPr>
            <w:r w:rsidRPr="005179C3">
              <w:rPr>
                <w:sz w:val="18"/>
                <w:szCs w:val="18"/>
                <w:lang w:val="ru-RU"/>
              </w:rPr>
              <w:t>66</w:t>
            </w:r>
          </w:p>
        </w:tc>
        <w:tc>
          <w:tcPr>
            <w:tcW w:w="1071" w:type="dxa"/>
            <w:shd w:val="clear" w:color="auto" w:fill="auto"/>
            <w:vAlign w:val="bottom"/>
          </w:tcPr>
          <w:p w:rsidR="002C69D9" w:rsidRPr="005179C3" w:rsidRDefault="002C69D9" w:rsidP="00B60CA0">
            <w:pPr>
              <w:pStyle w:val="SingleTxtG"/>
              <w:suppressAutoHyphens w:val="0"/>
              <w:spacing w:before="40" w:after="40" w:line="210" w:lineRule="exact"/>
              <w:ind w:left="0" w:right="0"/>
              <w:jc w:val="right"/>
              <w:rPr>
                <w:sz w:val="18"/>
                <w:szCs w:val="18"/>
                <w:lang w:val="ru-RU"/>
              </w:rPr>
            </w:pPr>
            <w:r w:rsidRPr="005179C3">
              <w:rPr>
                <w:sz w:val="18"/>
                <w:szCs w:val="18"/>
                <w:lang w:val="ru-RU"/>
              </w:rPr>
              <w:t>116</w:t>
            </w:r>
          </w:p>
        </w:tc>
        <w:tc>
          <w:tcPr>
            <w:tcW w:w="1296" w:type="dxa"/>
            <w:shd w:val="clear" w:color="auto" w:fill="auto"/>
            <w:vAlign w:val="bottom"/>
          </w:tcPr>
          <w:p w:rsidR="002C69D9" w:rsidRPr="005179C3" w:rsidRDefault="002C69D9" w:rsidP="00B60CA0">
            <w:pPr>
              <w:pStyle w:val="SingleTxtG"/>
              <w:suppressAutoHyphens w:val="0"/>
              <w:spacing w:before="40" w:after="40" w:line="210" w:lineRule="exact"/>
              <w:ind w:left="0" w:right="0"/>
              <w:jc w:val="right"/>
              <w:rPr>
                <w:sz w:val="18"/>
                <w:szCs w:val="18"/>
                <w:lang w:val="ru-RU"/>
              </w:rPr>
            </w:pPr>
            <w:r w:rsidRPr="005179C3">
              <w:rPr>
                <w:sz w:val="18"/>
                <w:szCs w:val="18"/>
                <w:lang w:val="ru-RU"/>
              </w:rPr>
              <w:t>169</w:t>
            </w:r>
          </w:p>
        </w:tc>
        <w:tc>
          <w:tcPr>
            <w:tcW w:w="1003" w:type="dxa"/>
            <w:shd w:val="clear" w:color="auto" w:fill="auto"/>
            <w:vAlign w:val="bottom"/>
          </w:tcPr>
          <w:p w:rsidR="002C69D9" w:rsidRPr="005179C3" w:rsidRDefault="002C69D9" w:rsidP="00B60CA0">
            <w:pPr>
              <w:pStyle w:val="SingleTxtG"/>
              <w:suppressAutoHyphens w:val="0"/>
              <w:spacing w:before="40" w:after="40" w:line="210" w:lineRule="exact"/>
              <w:ind w:left="0" w:right="0"/>
              <w:jc w:val="right"/>
              <w:rPr>
                <w:sz w:val="18"/>
                <w:szCs w:val="18"/>
                <w:lang w:val="ru-RU"/>
              </w:rPr>
            </w:pPr>
            <w:r w:rsidRPr="005179C3">
              <w:rPr>
                <w:sz w:val="18"/>
                <w:szCs w:val="18"/>
                <w:lang w:val="ru-RU"/>
              </w:rPr>
              <w:t>215</w:t>
            </w:r>
          </w:p>
        </w:tc>
        <w:tc>
          <w:tcPr>
            <w:tcW w:w="1004" w:type="dxa"/>
            <w:shd w:val="clear" w:color="auto" w:fill="auto"/>
            <w:vAlign w:val="bottom"/>
          </w:tcPr>
          <w:p w:rsidR="002C69D9" w:rsidRPr="005179C3" w:rsidRDefault="002C69D9" w:rsidP="00B60CA0">
            <w:pPr>
              <w:pStyle w:val="SingleTxtG"/>
              <w:suppressAutoHyphens w:val="0"/>
              <w:spacing w:before="40" w:after="40" w:line="210" w:lineRule="exact"/>
              <w:ind w:left="0" w:right="0"/>
              <w:jc w:val="right"/>
              <w:rPr>
                <w:sz w:val="18"/>
                <w:szCs w:val="18"/>
                <w:lang w:val="ru-RU"/>
              </w:rPr>
            </w:pPr>
            <w:r w:rsidRPr="005179C3">
              <w:rPr>
                <w:sz w:val="18"/>
                <w:szCs w:val="18"/>
                <w:lang w:val="ru-RU"/>
              </w:rPr>
              <w:t>217</w:t>
            </w:r>
          </w:p>
        </w:tc>
        <w:tc>
          <w:tcPr>
            <w:tcW w:w="1292" w:type="dxa"/>
            <w:shd w:val="clear" w:color="auto" w:fill="auto"/>
            <w:vAlign w:val="bottom"/>
          </w:tcPr>
          <w:p w:rsidR="002C69D9" w:rsidRPr="005179C3" w:rsidRDefault="002C69D9" w:rsidP="00B60CA0">
            <w:pPr>
              <w:pStyle w:val="SingleTxtG"/>
              <w:suppressAutoHyphens w:val="0"/>
              <w:spacing w:before="40" w:after="40" w:line="210" w:lineRule="exact"/>
              <w:ind w:left="0" w:right="0"/>
              <w:jc w:val="right"/>
              <w:rPr>
                <w:sz w:val="18"/>
                <w:szCs w:val="18"/>
                <w:lang w:val="ru-RU"/>
              </w:rPr>
            </w:pPr>
            <w:r w:rsidRPr="005179C3">
              <w:rPr>
                <w:sz w:val="18"/>
                <w:szCs w:val="18"/>
                <w:lang w:val="ru-RU"/>
              </w:rPr>
              <w:t>454</w:t>
            </w:r>
          </w:p>
        </w:tc>
      </w:tr>
      <w:tr w:rsidR="002C69D9" w:rsidRPr="004E4FFA" w:rsidTr="002C69D9">
        <w:tblPrEx>
          <w:tblCellMar>
            <w:top w:w="0" w:type="dxa"/>
            <w:bottom w:w="0" w:type="dxa"/>
          </w:tblCellMar>
        </w:tblPrEx>
        <w:trPr>
          <w:cantSplit/>
        </w:trPr>
        <w:tc>
          <w:tcPr>
            <w:tcW w:w="513" w:type="dxa"/>
            <w:shd w:val="clear" w:color="auto" w:fill="auto"/>
          </w:tcPr>
          <w:p w:rsidR="002C69D9" w:rsidRPr="005179C3" w:rsidRDefault="002C69D9" w:rsidP="00B60CA0">
            <w:pPr>
              <w:pStyle w:val="SingleTxtG"/>
              <w:suppressAutoHyphens w:val="0"/>
              <w:spacing w:before="40" w:after="40" w:line="210" w:lineRule="exact"/>
              <w:ind w:left="0" w:right="43"/>
              <w:jc w:val="left"/>
              <w:rPr>
                <w:sz w:val="16"/>
                <w:szCs w:val="16"/>
                <w:lang w:val="ru-RU"/>
              </w:rPr>
            </w:pPr>
            <w:r w:rsidRPr="005179C3">
              <w:rPr>
                <w:sz w:val="16"/>
                <w:szCs w:val="16"/>
                <w:lang w:val="ru-RU"/>
              </w:rPr>
              <w:t>2012</w:t>
            </w:r>
          </w:p>
        </w:tc>
        <w:tc>
          <w:tcPr>
            <w:tcW w:w="1143" w:type="dxa"/>
            <w:shd w:val="clear" w:color="auto" w:fill="auto"/>
            <w:vAlign w:val="bottom"/>
          </w:tcPr>
          <w:p w:rsidR="002C69D9" w:rsidRPr="005179C3" w:rsidRDefault="002C69D9" w:rsidP="00B60CA0">
            <w:pPr>
              <w:pStyle w:val="SingleTxtG"/>
              <w:suppressAutoHyphens w:val="0"/>
              <w:spacing w:before="40" w:after="40" w:line="210" w:lineRule="exact"/>
              <w:ind w:left="0" w:right="0"/>
              <w:jc w:val="right"/>
              <w:rPr>
                <w:sz w:val="18"/>
                <w:szCs w:val="18"/>
                <w:lang w:val="ru-RU"/>
              </w:rPr>
            </w:pPr>
            <w:r w:rsidRPr="005179C3">
              <w:rPr>
                <w:sz w:val="18"/>
                <w:szCs w:val="18"/>
                <w:lang w:val="ru-RU"/>
              </w:rPr>
              <w:t>50</w:t>
            </w:r>
          </w:p>
        </w:tc>
        <w:tc>
          <w:tcPr>
            <w:tcW w:w="1071" w:type="dxa"/>
            <w:shd w:val="clear" w:color="auto" w:fill="auto"/>
            <w:vAlign w:val="bottom"/>
          </w:tcPr>
          <w:p w:rsidR="002C69D9" w:rsidRPr="005179C3" w:rsidRDefault="002C69D9" w:rsidP="00B60CA0">
            <w:pPr>
              <w:pStyle w:val="SingleTxtG"/>
              <w:suppressAutoHyphens w:val="0"/>
              <w:spacing w:before="40" w:after="40" w:line="210" w:lineRule="exact"/>
              <w:ind w:left="0" w:right="0"/>
              <w:jc w:val="right"/>
              <w:rPr>
                <w:sz w:val="18"/>
                <w:szCs w:val="18"/>
                <w:lang w:val="ru-RU"/>
              </w:rPr>
            </w:pPr>
            <w:r w:rsidRPr="005179C3">
              <w:rPr>
                <w:sz w:val="18"/>
                <w:szCs w:val="18"/>
                <w:lang w:val="ru-RU"/>
              </w:rPr>
              <w:t>64</w:t>
            </w:r>
          </w:p>
        </w:tc>
        <w:tc>
          <w:tcPr>
            <w:tcW w:w="1296" w:type="dxa"/>
            <w:shd w:val="clear" w:color="auto" w:fill="auto"/>
            <w:vAlign w:val="bottom"/>
          </w:tcPr>
          <w:p w:rsidR="002C69D9" w:rsidRPr="005179C3" w:rsidRDefault="002C69D9" w:rsidP="00B60CA0">
            <w:pPr>
              <w:pStyle w:val="SingleTxtG"/>
              <w:suppressAutoHyphens w:val="0"/>
              <w:spacing w:before="40" w:after="40" w:line="210" w:lineRule="exact"/>
              <w:ind w:left="0" w:right="0"/>
              <w:jc w:val="right"/>
              <w:rPr>
                <w:sz w:val="18"/>
                <w:szCs w:val="18"/>
                <w:lang w:val="ru-RU"/>
              </w:rPr>
            </w:pPr>
            <w:r w:rsidRPr="005179C3">
              <w:rPr>
                <w:sz w:val="18"/>
                <w:szCs w:val="18"/>
                <w:lang w:val="ru-RU"/>
              </w:rPr>
              <w:t>122</w:t>
            </w:r>
          </w:p>
        </w:tc>
        <w:tc>
          <w:tcPr>
            <w:tcW w:w="1003" w:type="dxa"/>
            <w:shd w:val="clear" w:color="auto" w:fill="auto"/>
            <w:vAlign w:val="bottom"/>
          </w:tcPr>
          <w:p w:rsidR="002C69D9" w:rsidRPr="005179C3" w:rsidRDefault="002C69D9" w:rsidP="00B60CA0">
            <w:pPr>
              <w:pStyle w:val="SingleTxtG"/>
              <w:suppressAutoHyphens w:val="0"/>
              <w:spacing w:before="40" w:after="40" w:line="210" w:lineRule="exact"/>
              <w:ind w:left="0" w:right="0"/>
              <w:jc w:val="right"/>
              <w:rPr>
                <w:sz w:val="18"/>
                <w:szCs w:val="18"/>
                <w:lang w:val="ru-RU"/>
              </w:rPr>
            </w:pPr>
            <w:r w:rsidRPr="005179C3">
              <w:rPr>
                <w:sz w:val="18"/>
                <w:szCs w:val="18"/>
                <w:lang w:val="ru-RU"/>
              </w:rPr>
              <w:t>187</w:t>
            </w:r>
          </w:p>
        </w:tc>
        <w:tc>
          <w:tcPr>
            <w:tcW w:w="1004" w:type="dxa"/>
            <w:shd w:val="clear" w:color="auto" w:fill="auto"/>
            <w:vAlign w:val="bottom"/>
          </w:tcPr>
          <w:p w:rsidR="002C69D9" w:rsidRPr="005179C3" w:rsidRDefault="002C69D9" w:rsidP="00B60CA0">
            <w:pPr>
              <w:pStyle w:val="SingleTxtG"/>
              <w:suppressAutoHyphens w:val="0"/>
              <w:spacing w:before="40" w:after="40" w:line="210" w:lineRule="exact"/>
              <w:ind w:left="0" w:right="0"/>
              <w:jc w:val="right"/>
              <w:rPr>
                <w:sz w:val="18"/>
                <w:szCs w:val="18"/>
                <w:lang w:val="ru-RU"/>
              </w:rPr>
            </w:pPr>
            <w:r w:rsidRPr="005179C3">
              <w:rPr>
                <w:sz w:val="18"/>
                <w:szCs w:val="18"/>
                <w:lang w:val="ru-RU"/>
              </w:rPr>
              <w:t>132</w:t>
            </w:r>
          </w:p>
        </w:tc>
        <w:tc>
          <w:tcPr>
            <w:tcW w:w="1292" w:type="dxa"/>
            <w:shd w:val="clear" w:color="auto" w:fill="auto"/>
            <w:vAlign w:val="bottom"/>
          </w:tcPr>
          <w:p w:rsidR="002C69D9" w:rsidRPr="005179C3" w:rsidRDefault="002C69D9" w:rsidP="00B60CA0">
            <w:pPr>
              <w:pStyle w:val="SingleTxtG"/>
              <w:suppressAutoHyphens w:val="0"/>
              <w:spacing w:before="40" w:after="40" w:line="210" w:lineRule="exact"/>
              <w:ind w:left="0" w:right="0"/>
              <w:jc w:val="right"/>
              <w:rPr>
                <w:sz w:val="18"/>
                <w:szCs w:val="18"/>
                <w:lang w:val="ru-RU"/>
              </w:rPr>
            </w:pPr>
            <w:r w:rsidRPr="005179C3">
              <w:rPr>
                <w:sz w:val="18"/>
                <w:szCs w:val="18"/>
                <w:lang w:val="ru-RU"/>
              </w:rPr>
              <w:t>247</w:t>
            </w:r>
          </w:p>
        </w:tc>
      </w:tr>
      <w:tr w:rsidR="002C69D9" w:rsidRPr="004E4FFA" w:rsidTr="002C69D9">
        <w:tblPrEx>
          <w:tblCellMar>
            <w:top w:w="0" w:type="dxa"/>
            <w:bottom w:w="0" w:type="dxa"/>
          </w:tblCellMar>
        </w:tblPrEx>
        <w:trPr>
          <w:cantSplit/>
        </w:trPr>
        <w:tc>
          <w:tcPr>
            <w:tcW w:w="513" w:type="dxa"/>
            <w:shd w:val="clear" w:color="auto" w:fill="auto"/>
          </w:tcPr>
          <w:p w:rsidR="002C69D9" w:rsidRPr="005179C3" w:rsidRDefault="002C69D9" w:rsidP="00B60CA0">
            <w:pPr>
              <w:pStyle w:val="SingleTxtG"/>
              <w:suppressAutoHyphens w:val="0"/>
              <w:spacing w:before="40" w:after="40" w:line="210" w:lineRule="exact"/>
              <w:ind w:left="0" w:right="43"/>
              <w:jc w:val="left"/>
              <w:rPr>
                <w:sz w:val="16"/>
                <w:szCs w:val="16"/>
                <w:lang w:val="ru-RU"/>
              </w:rPr>
            </w:pPr>
            <w:r w:rsidRPr="005179C3">
              <w:rPr>
                <w:sz w:val="16"/>
                <w:szCs w:val="16"/>
                <w:lang w:val="ru-RU"/>
              </w:rPr>
              <w:t>2013</w:t>
            </w:r>
          </w:p>
        </w:tc>
        <w:tc>
          <w:tcPr>
            <w:tcW w:w="1143" w:type="dxa"/>
            <w:shd w:val="clear" w:color="auto" w:fill="auto"/>
            <w:vAlign w:val="bottom"/>
          </w:tcPr>
          <w:p w:rsidR="002C69D9" w:rsidRPr="005179C3" w:rsidRDefault="002C69D9" w:rsidP="00B60CA0">
            <w:pPr>
              <w:pStyle w:val="SingleTxtG"/>
              <w:suppressAutoHyphens w:val="0"/>
              <w:spacing w:before="40" w:after="40" w:line="210" w:lineRule="exact"/>
              <w:ind w:left="0" w:right="0"/>
              <w:jc w:val="right"/>
              <w:rPr>
                <w:sz w:val="18"/>
                <w:szCs w:val="18"/>
                <w:lang w:val="ru-RU"/>
              </w:rPr>
            </w:pPr>
            <w:r w:rsidRPr="005179C3">
              <w:rPr>
                <w:sz w:val="18"/>
                <w:szCs w:val="18"/>
                <w:lang w:val="ru-RU"/>
              </w:rPr>
              <w:t>37</w:t>
            </w:r>
          </w:p>
        </w:tc>
        <w:tc>
          <w:tcPr>
            <w:tcW w:w="1071" w:type="dxa"/>
            <w:shd w:val="clear" w:color="auto" w:fill="auto"/>
            <w:vAlign w:val="bottom"/>
          </w:tcPr>
          <w:p w:rsidR="002C69D9" w:rsidRPr="005179C3" w:rsidRDefault="002C69D9" w:rsidP="00B60CA0">
            <w:pPr>
              <w:pStyle w:val="SingleTxtG"/>
              <w:suppressAutoHyphens w:val="0"/>
              <w:spacing w:before="40" w:after="40" w:line="210" w:lineRule="exact"/>
              <w:ind w:left="0" w:right="0"/>
              <w:jc w:val="right"/>
              <w:rPr>
                <w:sz w:val="18"/>
                <w:szCs w:val="18"/>
                <w:lang w:val="ru-RU"/>
              </w:rPr>
            </w:pPr>
            <w:r w:rsidRPr="005179C3">
              <w:rPr>
                <w:sz w:val="18"/>
                <w:szCs w:val="18"/>
                <w:lang w:val="ru-RU"/>
              </w:rPr>
              <w:t>63</w:t>
            </w:r>
          </w:p>
        </w:tc>
        <w:tc>
          <w:tcPr>
            <w:tcW w:w="1296" w:type="dxa"/>
            <w:shd w:val="clear" w:color="auto" w:fill="auto"/>
            <w:vAlign w:val="bottom"/>
          </w:tcPr>
          <w:p w:rsidR="002C69D9" w:rsidRPr="005179C3" w:rsidRDefault="002C69D9" w:rsidP="00B60CA0">
            <w:pPr>
              <w:pStyle w:val="SingleTxtG"/>
              <w:suppressAutoHyphens w:val="0"/>
              <w:spacing w:before="40" w:after="40" w:line="210" w:lineRule="exact"/>
              <w:ind w:left="0" w:right="0"/>
              <w:jc w:val="right"/>
              <w:rPr>
                <w:sz w:val="18"/>
                <w:szCs w:val="18"/>
                <w:lang w:val="ru-RU"/>
              </w:rPr>
            </w:pPr>
            <w:r w:rsidRPr="005179C3">
              <w:rPr>
                <w:sz w:val="18"/>
                <w:szCs w:val="18"/>
                <w:lang w:val="ru-RU"/>
              </w:rPr>
              <w:t>108</w:t>
            </w:r>
          </w:p>
        </w:tc>
        <w:tc>
          <w:tcPr>
            <w:tcW w:w="1003" w:type="dxa"/>
            <w:shd w:val="clear" w:color="auto" w:fill="auto"/>
            <w:vAlign w:val="bottom"/>
          </w:tcPr>
          <w:p w:rsidR="002C69D9" w:rsidRPr="005179C3" w:rsidRDefault="002C69D9" w:rsidP="00B60CA0">
            <w:pPr>
              <w:pStyle w:val="SingleTxtG"/>
              <w:suppressAutoHyphens w:val="0"/>
              <w:spacing w:before="40" w:after="40" w:line="210" w:lineRule="exact"/>
              <w:ind w:left="0" w:right="0"/>
              <w:jc w:val="right"/>
              <w:rPr>
                <w:sz w:val="18"/>
                <w:szCs w:val="18"/>
                <w:lang w:val="ru-RU"/>
              </w:rPr>
            </w:pPr>
            <w:r w:rsidRPr="005179C3">
              <w:rPr>
                <w:sz w:val="18"/>
                <w:szCs w:val="18"/>
                <w:lang w:val="ru-RU"/>
              </w:rPr>
              <w:t>152</w:t>
            </w:r>
          </w:p>
        </w:tc>
        <w:tc>
          <w:tcPr>
            <w:tcW w:w="1004" w:type="dxa"/>
            <w:shd w:val="clear" w:color="auto" w:fill="auto"/>
            <w:vAlign w:val="bottom"/>
          </w:tcPr>
          <w:p w:rsidR="002C69D9" w:rsidRPr="005179C3" w:rsidRDefault="002C69D9" w:rsidP="00B60CA0">
            <w:pPr>
              <w:pStyle w:val="SingleTxtG"/>
              <w:suppressAutoHyphens w:val="0"/>
              <w:spacing w:before="40" w:after="40" w:line="210" w:lineRule="exact"/>
              <w:ind w:left="0" w:right="0"/>
              <w:jc w:val="right"/>
              <w:rPr>
                <w:sz w:val="18"/>
                <w:szCs w:val="18"/>
                <w:lang w:val="ru-RU"/>
              </w:rPr>
            </w:pPr>
            <w:r w:rsidRPr="005179C3">
              <w:rPr>
                <w:sz w:val="18"/>
                <w:szCs w:val="18"/>
                <w:lang w:val="ru-RU"/>
              </w:rPr>
              <w:t>84</w:t>
            </w:r>
          </w:p>
        </w:tc>
        <w:tc>
          <w:tcPr>
            <w:tcW w:w="1292" w:type="dxa"/>
            <w:shd w:val="clear" w:color="auto" w:fill="auto"/>
            <w:vAlign w:val="bottom"/>
          </w:tcPr>
          <w:p w:rsidR="002C69D9" w:rsidRPr="005179C3" w:rsidRDefault="002C69D9" w:rsidP="00B60CA0">
            <w:pPr>
              <w:pStyle w:val="SingleTxtG"/>
              <w:suppressAutoHyphens w:val="0"/>
              <w:spacing w:before="40" w:after="40" w:line="210" w:lineRule="exact"/>
              <w:ind w:left="0" w:right="0"/>
              <w:jc w:val="right"/>
              <w:rPr>
                <w:sz w:val="18"/>
                <w:szCs w:val="18"/>
                <w:lang w:val="ru-RU"/>
              </w:rPr>
            </w:pPr>
            <w:r w:rsidRPr="005179C3">
              <w:rPr>
                <w:sz w:val="18"/>
                <w:szCs w:val="18"/>
                <w:lang w:val="ru-RU"/>
              </w:rPr>
              <w:t>161</w:t>
            </w:r>
          </w:p>
        </w:tc>
      </w:tr>
      <w:tr w:rsidR="002C69D9" w:rsidRPr="004E4FFA" w:rsidTr="002C69D9">
        <w:tblPrEx>
          <w:tblCellMar>
            <w:top w:w="0" w:type="dxa"/>
            <w:bottom w:w="0" w:type="dxa"/>
          </w:tblCellMar>
        </w:tblPrEx>
        <w:trPr>
          <w:cantSplit/>
        </w:trPr>
        <w:tc>
          <w:tcPr>
            <w:tcW w:w="513" w:type="dxa"/>
            <w:tcBorders>
              <w:bottom w:val="single" w:sz="12" w:space="0" w:color="auto"/>
            </w:tcBorders>
            <w:shd w:val="clear" w:color="auto" w:fill="auto"/>
          </w:tcPr>
          <w:p w:rsidR="002C69D9" w:rsidRPr="005179C3" w:rsidRDefault="002C69D9" w:rsidP="00B60CA0">
            <w:pPr>
              <w:pStyle w:val="SingleTxtG"/>
              <w:suppressAutoHyphens w:val="0"/>
              <w:spacing w:before="40" w:line="210" w:lineRule="exact"/>
              <w:ind w:left="0" w:right="43"/>
              <w:jc w:val="left"/>
              <w:rPr>
                <w:sz w:val="16"/>
                <w:szCs w:val="16"/>
                <w:lang w:val="ru-RU"/>
              </w:rPr>
            </w:pPr>
            <w:r w:rsidRPr="005179C3">
              <w:rPr>
                <w:sz w:val="16"/>
                <w:szCs w:val="16"/>
                <w:lang w:val="ru-RU"/>
              </w:rPr>
              <w:t>2014</w:t>
            </w:r>
          </w:p>
        </w:tc>
        <w:tc>
          <w:tcPr>
            <w:tcW w:w="1143" w:type="dxa"/>
            <w:tcBorders>
              <w:bottom w:val="single" w:sz="12" w:space="0" w:color="auto"/>
            </w:tcBorders>
            <w:shd w:val="clear" w:color="auto" w:fill="auto"/>
            <w:vAlign w:val="bottom"/>
          </w:tcPr>
          <w:p w:rsidR="002C69D9" w:rsidRPr="005179C3" w:rsidRDefault="002C69D9" w:rsidP="00B60CA0">
            <w:pPr>
              <w:pStyle w:val="SingleTxtG"/>
              <w:suppressAutoHyphens w:val="0"/>
              <w:spacing w:before="40" w:after="40" w:line="220" w:lineRule="exact"/>
              <w:ind w:left="0" w:right="0"/>
              <w:jc w:val="right"/>
              <w:rPr>
                <w:sz w:val="18"/>
                <w:szCs w:val="18"/>
                <w:lang w:val="ru-RU"/>
              </w:rPr>
            </w:pPr>
            <w:r w:rsidRPr="005179C3">
              <w:rPr>
                <w:sz w:val="18"/>
                <w:szCs w:val="18"/>
                <w:lang w:val="ru-RU"/>
              </w:rPr>
              <w:t>21</w:t>
            </w:r>
          </w:p>
        </w:tc>
        <w:tc>
          <w:tcPr>
            <w:tcW w:w="1071" w:type="dxa"/>
            <w:tcBorders>
              <w:bottom w:val="single" w:sz="12" w:space="0" w:color="auto"/>
            </w:tcBorders>
            <w:shd w:val="clear" w:color="auto" w:fill="auto"/>
            <w:vAlign w:val="bottom"/>
          </w:tcPr>
          <w:p w:rsidR="002C69D9" w:rsidRPr="005179C3" w:rsidRDefault="002C69D9" w:rsidP="00B60CA0">
            <w:pPr>
              <w:pStyle w:val="SingleTxtG"/>
              <w:suppressAutoHyphens w:val="0"/>
              <w:spacing w:before="40" w:after="40" w:line="220" w:lineRule="exact"/>
              <w:ind w:left="0" w:right="0"/>
              <w:jc w:val="right"/>
              <w:rPr>
                <w:sz w:val="18"/>
                <w:szCs w:val="18"/>
                <w:lang w:val="ru-RU"/>
              </w:rPr>
            </w:pPr>
            <w:r w:rsidRPr="005179C3">
              <w:rPr>
                <w:sz w:val="18"/>
                <w:szCs w:val="18"/>
                <w:lang w:val="ru-RU"/>
              </w:rPr>
              <w:t>27</w:t>
            </w:r>
          </w:p>
        </w:tc>
        <w:tc>
          <w:tcPr>
            <w:tcW w:w="1296" w:type="dxa"/>
            <w:tcBorders>
              <w:bottom w:val="single" w:sz="12" w:space="0" w:color="auto"/>
            </w:tcBorders>
            <w:shd w:val="clear" w:color="auto" w:fill="auto"/>
            <w:vAlign w:val="bottom"/>
          </w:tcPr>
          <w:p w:rsidR="002C69D9" w:rsidRPr="005179C3" w:rsidRDefault="002C69D9" w:rsidP="00B60CA0">
            <w:pPr>
              <w:pStyle w:val="SingleTxtG"/>
              <w:suppressAutoHyphens w:val="0"/>
              <w:spacing w:before="40" w:after="40" w:line="220" w:lineRule="exact"/>
              <w:ind w:left="0" w:right="0"/>
              <w:jc w:val="right"/>
              <w:rPr>
                <w:sz w:val="18"/>
                <w:szCs w:val="18"/>
                <w:lang w:val="ru-RU"/>
              </w:rPr>
            </w:pPr>
            <w:r w:rsidRPr="005179C3">
              <w:rPr>
                <w:sz w:val="18"/>
                <w:szCs w:val="18"/>
                <w:lang w:val="ru-RU"/>
              </w:rPr>
              <w:t>35</w:t>
            </w:r>
          </w:p>
        </w:tc>
        <w:tc>
          <w:tcPr>
            <w:tcW w:w="1003" w:type="dxa"/>
            <w:tcBorders>
              <w:bottom w:val="single" w:sz="12" w:space="0" w:color="auto"/>
            </w:tcBorders>
            <w:shd w:val="clear" w:color="auto" w:fill="auto"/>
            <w:vAlign w:val="bottom"/>
          </w:tcPr>
          <w:p w:rsidR="002C69D9" w:rsidRPr="005179C3" w:rsidRDefault="002C69D9" w:rsidP="00B60CA0">
            <w:pPr>
              <w:pStyle w:val="SingleTxtG"/>
              <w:suppressAutoHyphens w:val="0"/>
              <w:spacing w:before="40" w:after="40" w:line="220" w:lineRule="exact"/>
              <w:ind w:left="0" w:right="0"/>
              <w:jc w:val="right"/>
              <w:rPr>
                <w:sz w:val="18"/>
                <w:szCs w:val="18"/>
                <w:lang w:val="ru-RU"/>
              </w:rPr>
            </w:pPr>
            <w:r w:rsidRPr="005179C3">
              <w:rPr>
                <w:sz w:val="18"/>
                <w:szCs w:val="18"/>
                <w:lang w:val="ru-RU"/>
              </w:rPr>
              <w:t>52</w:t>
            </w:r>
          </w:p>
        </w:tc>
        <w:tc>
          <w:tcPr>
            <w:tcW w:w="1004" w:type="dxa"/>
            <w:tcBorders>
              <w:bottom w:val="single" w:sz="12" w:space="0" w:color="auto"/>
            </w:tcBorders>
            <w:shd w:val="clear" w:color="auto" w:fill="auto"/>
            <w:vAlign w:val="bottom"/>
          </w:tcPr>
          <w:p w:rsidR="002C69D9" w:rsidRPr="005179C3" w:rsidRDefault="002C69D9" w:rsidP="00B60CA0">
            <w:pPr>
              <w:pStyle w:val="SingleTxtG"/>
              <w:suppressAutoHyphens w:val="0"/>
              <w:spacing w:before="40" w:after="40" w:line="220" w:lineRule="exact"/>
              <w:ind w:left="0" w:right="0"/>
              <w:jc w:val="right"/>
              <w:rPr>
                <w:sz w:val="18"/>
                <w:szCs w:val="18"/>
                <w:lang w:val="ru-RU"/>
              </w:rPr>
            </w:pPr>
            <w:r w:rsidRPr="005179C3">
              <w:rPr>
                <w:sz w:val="18"/>
                <w:szCs w:val="18"/>
                <w:lang w:val="ru-RU"/>
              </w:rPr>
              <w:t>32</w:t>
            </w:r>
          </w:p>
        </w:tc>
        <w:tc>
          <w:tcPr>
            <w:tcW w:w="1292" w:type="dxa"/>
            <w:tcBorders>
              <w:bottom w:val="single" w:sz="12" w:space="0" w:color="auto"/>
            </w:tcBorders>
            <w:shd w:val="clear" w:color="auto" w:fill="auto"/>
            <w:vAlign w:val="bottom"/>
          </w:tcPr>
          <w:p w:rsidR="002C69D9" w:rsidRPr="005179C3" w:rsidRDefault="002C69D9" w:rsidP="00B60CA0">
            <w:pPr>
              <w:pStyle w:val="SingleTxtG"/>
              <w:suppressAutoHyphens w:val="0"/>
              <w:spacing w:before="40" w:after="40" w:line="220" w:lineRule="exact"/>
              <w:ind w:left="0" w:right="0"/>
              <w:jc w:val="right"/>
              <w:rPr>
                <w:sz w:val="18"/>
                <w:szCs w:val="18"/>
                <w:lang w:val="ru-RU"/>
              </w:rPr>
            </w:pPr>
            <w:r w:rsidRPr="005179C3">
              <w:rPr>
                <w:sz w:val="18"/>
                <w:szCs w:val="18"/>
                <w:lang w:val="ru-RU"/>
              </w:rPr>
              <w:t>58</w:t>
            </w:r>
          </w:p>
        </w:tc>
      </w:tr>
    </w:tbl>
    <w:p w:rsidR="00BA168A" w:rsidRPr="00BA168A" w:rsidRDefault="00BA168A" w:rsidP="00BA168A">
      <w:pPr>
        <w:pStyle w:val="SingleTxtG"/>
        <w:spacing w:after="0" w:line="120" w:lineRule="exact"/>
        <w:rPr>
          <w:bCs/>
          <w:i/>
          <w:iCs/>
          <w:sz w:val="10"/>
          <w:szCs w:val="18"/>
          <w:lang w:val="ru-RU"/>
        </w:rPr>
      </w:pPr>
    </w:p>
    <w:p w:rsidR="00697A59" w:rsidRDefault="00697A59" w:rsidP="002C69D9">
      <w:pPr>
        <w:pStyle w:val="FootnoteText"/>
        <w:tabs>
          <w:tab w:val="right" w:pos="1476"/>
          <w:tab w:val="left" w:pos="1548"/>
          <w:tab w:val="right" w:pos="1836"/>
          <w:tab w:val="left" w:pos="1908"/>
        </w:tabs>
        <w:ind w:left="1548" w:right="1267" w:hanging="288"/>
      </w:pPr>
      <w:r w:rsidRPr="002C69D9">
        <w:rPr>
          <w:i/>
        </w:rPr>
        <w:t>Источник:</w:t>
      </w:r>
      <w:r w:rsidRPr="005179C3">
        <w:t xml:space="preserve"> Министерство труда и пенсионной системы</w:t>
      </w:r>
      <w:r w:rsidR="002C69D9">
        <w:t>.</w:t>
      </w:r>
    </w:p>
    <w:p w:rsidR="00697A59" w:rsidRPr="002C69D9" w:rsidRDefault="002C69D9" w:rsidP="002C69D9">
      <w:pPr>
        <w:pStyle w:val="FootnoteText"/>
        <w:widowControl w:val="0"/>
        <w:tabs>
          <w:tab w:val="right" w:pos="1476"/>
          <w:tab w:val="left" w:pos="1548"/>
          <w:tab w:val="right" w:pos="1836"/>
          <w:tab w:val="left" w:pos="1908"/>
        </w:tabs>
        <w:ind w:left="1548" w:right="1267" w:hanging="288"/>
      </w:pPr>
      <w:r>
        <w:tab/>
      </w:r>
      <w:r w:rsidR="00697A59" w:rsidRPr="002C69D9">
        <w:t>*</w:t>
      </w:r>
      <w:r>
        <w:tab/>
      </w:r>
      <w:r>
        <w:tab/>
      </w:r>
      <w:r w:rsidR="00697A59" w:rsidRPr="002C69D9">
        <w:t xml:space="preserve">Государственная инспекция упразднена с 1 января 2014 года, а ее функции в сфере занятости и охраны труда переданы министерству труда и пенсионной системы. </w:t>
      </w:r>
      <w:r w:rsidR="00697A59" w:rsidRPr="002C69D9">
        <w:rPr>
          <w:lang w:val="en-GB"/>
        </w:rPr>
        <w:t>Источник: Министерство труда и пенсионной системы</w:t>
      </w:r>
      <w:r>
        <w:t>.</w:t>
      </w:r>
    </w:p>
    <w:p w:rsidR="00697A59" w:rsidRPr="00697A59" w:rsidRDefault="00697A59" w:rsidP="00697A59">
      <w:pPr>
        <w:pStyle w:val="SingleTxt"/>
        <w:spacing w:after="0" w:line="120" w:lineRule="exact"/>
        <w:rPr>
          <w:sz w:val="10"/>
        </w:rPr>
      </w:pPr>
    </w:p>
    <w:p w:rsidR="00697A59" w:rsidRDefault="00BA168A" w:rsidP="00BA168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i/>
          <w:iCs/>
        </w:rPr>
        <w:br w:type="page"/>
      </w:r>
      <w:r w:rsidR="00697A59" w:rsidRPr="000E4B48">
        <w:rPr>
          <w:i/>
          <w:iCs/>
        </w:rPr>
        <w:tab/>
      </w:r>
      <w:r w:rsidR="00697A59" w:rsidRPr="000E4B48">
        <w:t>Приложение 2</w:t>
      </w:r>
    </w:p>
    <w:p w:rsidR="00BA168A" w:rsidRPr="00BA168A" w:rsidRDefault="00BA168A" w:rsidP="00BA168A">
      <w:pPr>
        <w:pStyle w:val="SingleTxt"/>
        <w:spacing w:after="0" w:line="120" w:lineRule="exact"/>
        <w:rPr>
          <w:sz w:val="10"/>
        </w:rPr>
      </w:pPr>
    </w:p>
    <w:p w:rsidR="00BA168A" w:rsidRPr="00BA168A" w:rsidRDefault="00BA168A" w:rsidP="00BA168A">
      <w:pPr>
        <w:pStyle w:val="SingleTxt"/>
        <w:spacing w:after="0" w:line="120" w:lineRule="exact"/>
        <w:rPr>
          <w:sz w:val="10"/>
        </w:rPr>
      </w:pPr>
    </w:p>
    <w:p w:rsidR="00697A59" w:rsidRPr="005179C3" w:rsidRDefault="00BA168A" w:rsidP="00BA168A">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97A59" w:rsidRPr="005179C3">
        <w:t>Таблица 1</w:t>
      </w:r>
    </w:p>
    <w:p w:rsidR="00697A59" w:rsidRDefault="00BA168A" w:rsidP="00BA1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97A59" w:rsidRPr="005179C3">
        <w:t xml:space="preserve">Число зарегистрированных в период с 2011 года по 30 июня 2014 года правонарушений, предусмотренных </w:t>
      </w:r>
      <w:r w:rsidR="00697A59" w:rsidRPr="005179C3">
        <w:rPr>
          <w:i/>
        </w:rPr>
        <w:t>Законом о защите от</w:t>
      </w:r>
      <w:r w:rsidR="004E4FFA">
        <w:rPr>
          <w:i/>
        </w:rPr>
        <w:t xml:space="preserve"> </w:t>
      </w:r>
      <w:r w:rsidR="00697A59" w:rsidRPr="005179C3">
        <w:rPr>
          <w:i/>
        </w:rPr>
        <w:t>насилия в семье</w:t>
      </w:r>
      <w:r w:rsidR="00697A59" w:rsidRPr="005179C3">
        <w:t xml:space="preserve">, уголовных преступлений, связанных с насилием в семье, и уголовных преступлений против брака, семьи и детей </w:t>
      </w:r>
    </w:p>
    <w:p w:rsidR="00BA168A" w:rsidRDefault="00BA168A" w:rsidP="00BA168A">
      <w:pPr>
        <w:pStyle w:val="SingleTxt"/>
        <w:spacing w:after="0" w:line="120" w:lineRule="exact"/>
        <w:rPr>
          <w:sz w:val="10"/>
        </w:rPr>
      </w:pPr>
    </w:p>
    <w:p w:rsidR="00CF4575" w:rsidRDefault="00CF4575" w:rsidP="00BA168A">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1143"/>
        <w:gridCol w:w="2052"/>
        <w:gridCol w:w="7"/>
        <w:gridCol w:w="2059"/>
        <w:gridCol w:w="229"/>
        <w:gridCol w:w="1830"/>
      </w:tblGrid>
      <w:tr w:rsidR="004B5987" w:rsidRPr="004B5987" w:rsidTr="004B5987">
        <w:tblPrEx>
          <w:tblCellMar>
            <w:top w:w="0" w:type="dxa"/>
            <w:bottom w:w="0" w:type="dxa"/>
          </w:tblCellMar>
        </w:tblPrEx>
        <w:trPr>
          <w:cantSplit/>
          <w:tblHeader/>
        </w:trPr>
        <w:tc>
          <w:tcPr>
            <w:tcW w:w="1143" w:type="dxa"/>
            <w:tcBorders>
              <w:top w:val="single" w:sz="4" w:space="0" w:color="auto"/>
              <w:bottom w:val="single" w:sz="12" w:space="0" w:color="auto"/>
            </w:tcBorders>
            <w:shd w:val="clear" w:color="auto" w:fill="auto"/>
            <w:vAlign w:val="bottom"/>
          </w:tcPr>
          <w:p w:rsidR="004B5987" w:rsidRPr="004B5987" w:rsidRDefault="004B5987" w:rsidP="004B5987">
            <w:pPr>
              <w:tabs>
                <w:tab w:val="left" w:pos="288"/>
                <w:tab w:val="left" w:pos="576"/>
                <w:tab w:val="left" w:pos="864"/>
                <w:tab w:val="left" w:pos="1152"/>
              </w:tabs>
              <w:spacing w:before="80" w:after="80" w:line="160" w:lineRule="exact"/>
              <w:ind w:right="40"/>
              <w:rPr>
                <w:i/>
                <w:sz w:val="14"/>
              </w:rPr>
            </w:pPr>
            <w:r>
              <w:rPr>
                <w:i/>
                <w:sz w:val="14"/>
              </w:rPr>
              <w:t>Год</w:t>
            </w:r>
          </w:p>
        </w:tc>
        <w:tc>
          <w:tcPr>
            <w:tcW w:w="2059" w:type="dxa"/>
            <w:gridSpan w:val="2"/>
            <w:tcBorders>
              <w:top w:val="single" w:sz="4" w:space="0" w:color="auto"/>
              <w:bottom w:val="single" w:sz="12" w:space="0" w:color="auto"/>
            </w:tcBorders>
            <w:shd w:val="clear" w:color="auto" w:fill="auto"/>
            <w:vAlign w:val="bottom"/>
          </w:tcPr>
          <w:p w:rsidR="004B5987" w:rsidRPr="004B5987" w:rsidRDefault="004B5987" w:rsidP="004B5987">
            <w:pPr>
              <w:tabs>
                <w:tab w:val="left" w:pos="288"/>
                <w:tab w:val="left" w:pos="576"/>
                <w:tab w:val="left" w:pos="864"/>
                <w:tab w:val="left" w:pos="1152"/>
              </w:tabs>
              <w:spacing w:before="80" w:after="80" w:line="160" w:lineRule="exact"/>
              <w:ind w:right="43"/>
              <w:jc w:val="right"/>
              <w:rPr>
                <w:i/>
                <w:sz w:val="14"/>
              </w:rPr>
            </w:pPr>
            <w:r>
              <w:rPr>
                <w:i/>
                <w:sz w:val="14"/>
              </w:rPr>
              <w:t>Правонарушения</w:t>
            </w:r>
          </w:p>
        </w:tc>
        <w:tc>
          <w:tcPr>
            <w:tcW w:w="2059" w:type="dxa"/>
            <w:tcBorders>
              <w:top w:val="single" w:sz="4" w:space="0" w:color="auto"/>
              <w:bottom w:val="single" w:sz="12" w:space="0" w:color="auto"/>
            </w:tcBorders>
            <w:shd w:val="clear" w:color="auto" w:fill="auto"/>
            <w:vAlign w:val="bottom"/>
          </w:tcPr>
          <w:p w:rsidR="004B5987" w:rsidRPr="004B5987" w:rsidRDefault="004B5987" w:rsidP="004B5987">
            <w:pPr>
              <w:tabs>
                <w:tab w:val="left" w:pos="288"/>
                <w:tab w:val="left" w:pos="576"/>
                <w:tab w:val="left" w:pos="864"/>
                <w:tab w:val="left" w:pos="1152"/>
              </w:tabs>
              <w:spacing w:before="80" w:after="80" w:line="160" w:lineRule="exact"/>
              <w:ind w:right="43"/>
              <w:jc w:val="right"/>
              <w:rPr>
                <w:i/>
                <w:sz w:val="14"/>
              </w:rPr>
            </w:pPr>
            <w:r w:rsidRPr="004B5987">
              <w:rPr>
                <w:i/>
                <w:sz w:val="14"/>
              </w:rPr>
              <w:t>Уголовные преступления,</w:t>
            </w:r>
            <w:r>
              <w:rPr>
                <w:i/>
                <w:sz w:val="14"/>
              </w:rPr>
              <w:br/>
            </w:r>
            <w:r w:rsidRPr="004B5987">
              <w:rPr>
                <w:i/>
                <w:sz w:val="14"/>
              </w:rPr>
              <w:t>св</w:t>
            </w:r>
            <w:r w:rsidRPr="004B5987">
              <w:rPr>
                <w:i/>
                <w:sz w:val="14"/>
              </w:rPr>
              <w:t>я</w:t>
            </w:r>
            <w:r w:rsidRPr="004B5987">
              <w:rPr>
                <w:i/>
                <w:sz w:val="14"/>
              </w:rPr>
              <w:t>занные с насилием в се</w:t>
            </w:r>
          </w:p>
        </w:tc>
        <w:tc>
          <w:tcPr>
            <w:tcW w:w="2059" w:type="dxa"/>
            <w:gridSpan w:val="2"/>
            <w:tcBorders>
              <w:top w:val="single" w:sz="4" w:space="0" w:color="auto"/>
              <w:bottom w:val="single" w:sz="12" w:space="0" w:color="auto"/>
            </w:tcBorders>
            <w:shd w:val="clear" w:color="auto" w:fill="auto"/>
            <w:vAlign w:val="bottom"/>
          </w:tcPr>
          <w:p w:rsidR="004B5987" w:rsidRPr="004B5987" w:rsidRDefault="004B5987" w:rsidP="004B5987">
            <w:pPr>
              <w:tabs>
                <w:tab w:val="left" w:pos="288"/>
                <w:tab w:val="left" w:pos="576"/>
                <w:tab w:val="left" w:pos="864"/>
                <w:tab w:val="left" w:pos="1152"/>
              </w:tabs>
              <w:spacing w:before="80" w:after="80" w:line="160" w:lineRule="exact"/>
              <w:ind w:right="43"/>
              <w:jc w:val="right"/>
              <w:rPr>
                <w:i/>
                <w:sz w:val="14"/>
              </w:rPr>
            </w:pPr>
            <w:r w:rsidRPr="004B5987">
              <w:rPr>
                <w:i/>
                <w:sz w:val="14"/>
              </w:rPr>
              <w:t xml:space="preserve">Уголовные преступления </w:t>
            </w:r>
            <w:r>
              <w:rPr>
                <w:i/>
                <w:sz w:val="14"/>
              </w:rPr>
              <w:br/>
            </w:r>
            <w:r w:rsidRPr="004B5987">
              <w:rPr>
                <w:i/>
                <w:sz w:val="14"/>
              </w:rPr>
              <w:t>против брака, семьи и д</w:t>
            </w:r>
            <w:r w:rsidRPr="004B5987">
              <w:rPr>
                <w:i/>
                <w:sz w:val="14"/>
              </w:rPr>
              <w:t>е</w:t>
            </w:r>
            <w:r w:rsidRPr="004B5987">
              <w:rPr>
                <w:i/>
                <w:sz w:val="14"/>
              </w:rPr>
              <w:t>тей</w:t>
            </w:r>
          </w:p>
        </w:tc>
      </w:tr>
      <w:tr w:rsidR="004B5987" w:rsidRPr="004B5987" w:rsidTr="004B5987">
        <w:tblPrEx>
          <w:tblCellMar>
            <w:top w:w="0" w:type="dxa"/>
            <w:bottom w:w="0" w:type="dxa"/>
          </w:tblCellMar>
        </w:tblPrEx>
        <w:trPr>
          <w:cantSplit/>
          <w:trHeight w:hRule="exact" w:val="115"/>
          <w:tblHeader/>
        </w:trPr>
        <w:tc>
          <w:tcPr>
            <w:tcW w:w="1143" w:type="dxa"/>
            <w:tcBorders>
              <w:top w:val="single" w:sz="12" w:space="0" w:color="auto"/>
            </w:tcBorders>
            <w:shd w:val="clear" w:color="auto" w:fill="auto"/>
            <w:vAlign w:val="bottom"/>
          </w:tcPr>
          <w:p w:rsidR="004B5987" w:rsidRPr="004B5987" w:rsidRDefault="004B5987" w:rsidP="004B5987">
            <w:pPr>
              <w:tabs>
                <w:tab w:val="left" w:pos="288"/>
                <w:tab w:val="left" w:pos="576"/>
                <w:tab w:val="left" w:pos="864"/>
                <w:tab w:val="left" w:pos="1152"/>
              </w:tabs>
              <w:spacing w:before="40" w:after="40" w:line="210" w:lineRule="exact"/>
              <w:ind w:right="40"/>
              <w:rPr>
                <w:sz w:val="17"/>
              </w:rPr>
            </w:pPr>
          </w:p>
        </w:tc>
        <w:tc>
          <w:tcPr>
            <w:tcW w:w="2052" w:type="dxa"/>
            <w:tcBorders>
              <w:top w:val="single" w:sz="12" w:space="0" w:color="auto"/>
            </w:tcBorders>
            <w:shd w:val="clear" w:color="auto" w:fill="auto"/>
            <w:vAlign w:val="bottom"/>
          </w:tcPr>
          <w:p w:rsidR="004B5987" w:rsidRPr="004B5987" w:rsidRDefault="004B5987" w:rsidP="004B5987">
            <w:pPr>
              <w:tabs>
                <w:tab w:val="left" w:pos="288"/>
                <w:tab w:val="left" w:pos="576"/>
                <w:tab w:val="left" w:pos="864"/>
                <w:tab w:val="left" w:pos="1152"/>
              </w:tabs>
              <w:spacing w:before="40" w:after="40" w:line="210" w:lineRule="exact"/>
              <w:ind w:right="43"/>
              <w:jc w:val="right"/>
              <w:rPr>
                <w:sz w:val="17"/>
              </w:rPr>
            </w:pPr>
          </w:p>
        </w:tc>
        <w:tc>
          <w:tcPr>
            <w:tcW w:w="2295" w:type="dxa"/>
            <w:gridSpan w:val="3"/>
            <w:tcBorders>
              <w:top w:val="single" w:sz="12" w:space="0" w:color="auto"/>
            </w:tcBorders>
            <w:shd w:val="clear" w:color="auto" w:fill="auto"/>
            <w:vAlign w:val="bottom"/>
          </w:tcPr>
          <w:p w:rsidR="004B5987" w:rsidRPr="004B5987" w:rsidRDefault="004B5987" w:rsidP="004B5987">
            <w:pPr>
              <w:tabs>
                <w:tab w:val="left" w:pos="288"/>
                <w:tab w:val="left" w:pos="576"/>
                <w:tab w:val="left" w:pos="864"/>
                <w:tab w:val="left" w:pos="1152"/>
              </w:tab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4B5987" w:rsidRPr="004B5987" w:rsidRDefault="004B5987" w:rsidP="004B5987">
            <w:pPr>
              <w:tabs>
                <w:tab w:val="left" w:pos="288"/>
                <w:tab w:val="left" w:pos="576"/>
                <w:tab w:val="left" w:pos="864"/>
                <w:tab w:val="left" w:pos="1152"/>
              </w:tabs>
              <w:spacing w:before="40" w:after="40" w:line="210" w:lineRule="exact"/>
              <w:ind w:right="43"/>
              <w:jc w:val="right"/>
              <w:rPr>
                <w:sz w:val="17"/>
              </w:rPr>
            </w:pPr>
          </w:p>
        </w:tc>
      </w:tr>
      <w:tr w:rsidR="004B5987" w:rsidRPr="004B5987" w:rsidTr="004B5987">
        <w:tblPrEx>
          <w:tblCellMar>
            <w:top w:w="0" w:type="dxa"/>
            <w:bottom w:w="0" w:type="dxa"/>
          </w:tblCellMar>
        </w:tblPrEx>
        <w:trPr>
          <w:cantSplit/>
        </w:trPr>
        <w:tc>
          <w:tcPr>
            <w:tcW w:w="1143" w:type="dxa"/>
            <w:shd w:val="clear" w:color="auto" w:fill="auto"/>
          </w:tcPr>
          <w:p w:rsidR="004B5987" w:rsidRPr="004B5987" w:rsidRDefault="004B5987" w:rsidP="004B5987">
            <w:pPr>
              <w:tabs>
                <w:tab w:val="left" w:pos="288"/>
                <w:tab w:val="left" w:pos="576"/>
                <w:tab w:val="left" w:pos="864"/>
                <w:tab w:val="left" w:pos="1152"/>
              </w:tabs>
              <w:spacing w:before="40" w:after="40" w:line="210" w:lineRule="exact"/>
              <w:ind w:right="40"/>
              <w:rPr>
                <w:sz w:val="17"/>
              </w:rPr>
            </w:pPr>
            <w:r w:rsidRPr="004B5987">
              <w:rPr>
                <w:sz w:val="17"/>
              </w:rPr>
              <w:t>2011</w:t>
            </w:r>
          </w:p>
        </w:tc>
        <w:tc>
          <w:tcPr>
            <w:tcW w:w="2052" w:type="dxa"/>
            <w:shd w:val="clear" w:color="auto" w:fill="auto"/>
            <w:vAlign w:val="bottom"/>
          </w:tcPr>
          <w:p w:rsidR="004B5987" w:rsidRPr="004B5987" w:rsidRDefault="004B5987" w:rsidP="004B5987">
            <w:pPr>
              <w:tabs>
                <w:tab w:val="left" w:pos="288"/>
                <w:tab w:val="left" w:pos="576"/>
                <w:tab w:val="left" w:pos="864"/>
                <w:tab w:val="left" w:pos="1152"/>
              </w:tabs>
              <w:spacing w:before="40" w:after="40" w:line="210" w:lineRule="exact"/>
              <w:ind w:right="40"/>
              <w:jc w:val="right"/>
              <w:rPr>
                <w:sz w:val="17"/>
              </w:rPr>
            </w:pPr>
            <w:r w:rsidRPr="004B5987">
              <w:rPr>
                <w:sz w:val="17"/>
              </w:rPr>
              <w:t>15</w:t>
            </w:r>
            <w:r>
              <w:rPr>
                <w:sz w:val="17"/>
              </w:rPr>
              <w:t xml:space="preserve"> </w:t>
            </w:r>
            <w:r w:rsidRPr="004B5987">
              <w:rPr>
                <w:sz w:val="17"/>
              </w:rPr>
              <w:t>015</w:t>
            </w:r>
          </w:p>
        </w:tc>
        <w:tc>
          <w:tcPr>
            <w:tcW w:w="2295" w:type="dxa"/>
            <w:gridSpan w:val="3"/>
            <w:shd w:val="clear" w:color="auto" w:fill="auto"/>
            <w:vAlign w:val="bottom"/>
          </w:tcPr>
          <w:p w:rsidR="004B5987" w:rsidRPr="004B5987" w:rsidRDefault="004B5987" w:rsidP="004B5987">
            <w:pPr>
              <w:tabs>
                <w:tab w:val="left" w:pos="288"/>
                <w:tab w:val="left" w:pos="576"/>
                <w:tab w:val="left" w:pos="864"/>
                <w:tab w:val="left" w:pos="1152"/>
              </w:tabs>
              <w:spacing w:before="40" w:after="40" w:line="210" w:lineRule="exact"/>
              <w:ind w:right="40"/>
              <w:jc w:val="right"/>
              <w:rPr>
                <w:sz w:val="17"/>
              </w:rPr>
            </w:pPr>
            <w:r w:rsidRPr="004B5987">
              <w:rPr>
                <w:sz w:val="17"/>
              </w:rPr>
              <w:t>875</w:t>
            </w:r>
          </w:p>
        </w:tc>
        <w:tc>
          <w:tcPr>
            <w:tcW w:w="1830" w:type="dxa"/>
            <w:shd w:val="clear" w:color="auto" w:fill="auto"/>
            <w:vAlign w:val="bottom"/>
          </w:tcPr>
          <w:p w:rsidR="004B5987" w:rsidRPr="004B5987" w:rsidRDefault="004B5987" w:rsidP="004B5987">
            <w:pPr>
              <w:tabs>
                <w:tab w:val="left" w:pos="288"/>
                <w:tab w:val="left" w:pos="576"/>
                <w:tab w:val="left" w:pos="864"/>
                <w:tab w:val="left" w:pos="1152"/>
              </w:tabs>
              <w:spacing w:before="40" w:after="40" w:line="210" w:lineRule="exact"/>
              <w:ind w:right="40"/>
              <w:jc w:val="right"/>
              <w:rPr>
                <w:sz w:val="17"/>
              </w:rPr>
            </w:pPr>
            <w:r w:rsidRPr="004B5987">
              <w:rPr>
                <w:sz w:val="17"/>
              </w:rPr>
              <w:t>3</w:t>
            </w:r>
            <w:r>
              <w:rPr>
                <w:sz w:val="17"/>
              </w:rPr>
              <w:t xml:space="preserve"> </w:t>
            </w:r>
            <w:r w:rsidRPr="004B5987">
              <w:rPr>
                <w:sz w:val="17"/>
              </w:rPr>
              <w:t>466</w:t>
            </w:r>
          </w:p>
        </w:tc>
      </w:tr>
      <w:tr w:rsidR="004B5987" w:rsidRPr="004B5987" w:rsidTr="004B5987">
        <w:tblPrEx>
          <w:tblCellMar>
            <w:top w:w="0" w:type="dxa"/>
            <w:bottom w:w="0" w:type="dxa"/>
          </w:tblCellMar>
        </w:tblPrEx>
        <w:trPr>
          <w:cantSplit/>
        </w:trPr>
        <w:tc>
          <w:tcPr>
            <w:tcW w:w="1143" w:type="dxa"/>
            <w:shd w:val="clear" w:color="auto" w:fill="auto"/>
          </w:tcPr>
          <w:p w:rsidR="004B5987" w:rsidRPr="004B5987" w:rsidRDefault="004B5987" w:rsidP="004B5987">
            <w:pPr>
              <w:tabs>
                <w:tab w:val="left" w:pos="288"/>
                <w:tab w:val="left" w:pos="576"/>
                <w:tab w:val="left" w:pos="864"/>
                <w:tab w:val="left" w:pos="1152"/>
              </w:tabs>
              <w:spacing w:before="40" w:after="40" w:line="210" w:lineRule="exact"/>
              <w:ind w:right="40"/>
              <w:rPr>
                <w:sz w:val="17"/>
              </w:rPr>
            </w:pPr>
            <w:r w:rsidRPr="004B5987">
              <w:rPr>
                <w:sz w:val="17"/>
              </w:rPr>
              <w:t>2012</w:t>
            </w:r>
          </w:p>
        </w:tc>
        <w:tc>
          <w:tcPr>
            <w:tcW w:w="2052" w:type="dxa"/>
            <w:shd w:val="clear" w:color="auto" w:fill="auto"/>
            <w:vAlign w:val="bottom"/>
          </w:tcPr>
          <w:p w:rsidR="004B5987" w:rsidRPr="004B5987" w:rsidRDefault="004B5987" w:rsidP="004B5987">
            <w:pPr>
              <w:tabs>
                <w:tab w:val="left" w:pos="288"/>
                <w:tab w:val="left" w:pos="576"/>
                <w:tab w:val="left" w:pos="864"/>
                <w:tab w:val="left" w:pos="1152"/>
              </w:tabs>
              <w:spacing w:before="40" w:after="40" w:line="210" w:lineRule="exact"/>
              <w:ind w:right="40"/>
              <w:jc w:val="right"/>
              <w:rPr>
                <w:sz w:val="17"/>
              </w:rPr>
            </w:pPr>
            <w:r w:rsidRPr="004B5987">
              <w:rPr>
                <w:sz w:val="17"/>
              </w:rPr>
              <w:t>14</w:t>
            </w:r>
            <w:r>
              <w:rPr>
                <w:sz w:val="17"/>
              </w:rPr>
              <w:t xml:space="preserve"> </w:t>
            </w:r>
            <w:r w:rsidRPr="004B5987">
              <w:rPr>
                <w:sz w:val="17"/>
              </w:rPr>
              <w:t>874</w:t>
            </w:r>
          </w:p>
        </w:tc>
        <w:tc>
          <w:tcPr>
            <w:tcW w:w="2295" w:type="dxa"/>
            <w:gridSpan w:val="3"/>
            <w:shd w:val="clear" w:color="auto" w:fill="auto"/>
            <w:vAlign w:val="bottom"/>
          </w:tcPr>
          <w:p w:rsidR="004B5987" w:rsidRPr="004B5987" w:rsidRDefault="004B5987" w:rsidP="004B5987">
            <w:pPr>
              <w:tabs>
                <w:tab w:val="left" w:pos="288"/>
                <w:tab w:val="left" w:pos="576"/>
                <w:tab w:val="left" w:pos="864"/>
                <w:tab w:val="left" w:pos="1152"/>
              </w:tabs>
              <w:spacing w:before="40" w:after="40" w:line="210" w:lineRule="exact"/>
              <w:ind w:right="40"/>
              <w:jc w:val="right"/>
              <w:rPr>
                <w:sz w:val="17"/>
              </w:rPr>
            </w:pPr>
            <w:r w:rsidRPr="004B5987">
              <w:rPr>
                <w:sz w:val="17"/>
              </w:rPr>
              <w:t>622</w:t>
            </w:r>
          </w:p>
        </w:tc>
        <w:tc>
          <w:tcPr>
            <w:tcW w:w="1830" w:type="dxa"/>
            <w:shd w:val="clear" w:color="auto" w:fill="auto"/>
            <w:vAlign w:val="bottom"/>
          </w:tcPr>
          <w:p w:rsidR="004B5987" w:rsidRPr="004B5987" w:rsidRDefault="004B5987" w:rsidP="004B5987">
            <w:pPr>
              <w:tabs>
                <w:tab w:val="left" w:pos="288"/>
                <w:tab w:val="left" w:pos="576"/>
                <w:tab w:val="left" w:pos="864"/>
                <w:tab w:val="left" w:pos="1152"/>
              </w:tabs>
              <w:spacing w:before="40" w:after="40" w:line="210" w:lineRule="exact"/>
              <w:ind w:right="40"/>
              <w:jc w:val="right"/>
              <w:rPr>
                <w:sz w:val="17"/>
              </w:rPr>
            </w:pPr>
            <w:r w:rsidRPr="004B5987">
              <w:rPr>
                <w:sz w:val="17"/>
              </w:rPr>
              <w:t>2</w:t>
            </w:r>
            <w:r>
              <w:rPr>
                <w:sz w:val="17"/>
              </w:rPr>
              <w:t xml:space="preserve"> </w:t>
            </w:r>
            <w:r w:rsidRPr="004B5987">
              <w:rPr>
                <w:sz w:val="17"/>
              </w:rPr>
              <w:t>563</w:t>
            </w:r>
          </w:p>
        </w:tc>
      </w:tr>
      <w:tr w:rsidR="004B5987" w:rsidRPr="004B5987" w:rsidTr="004B5987">
        <w:tblPrEx>
          <w:tblCellMar>
            <w:top w:w="0" w:type="dxa"/>
            <w:bottom w:w="0" w:type="dxa"/>
          </w:tblCellMar>
        </w:tblPrEx>
        <w:trPr>
          <w:cantSplit/>
        </w:trPr>
        <w:tc>
          <w:tcPr>
            <w:tcW w:w="1143" w:type="dxa"/>
            <w:shd w:val="clear" w:color="auto" w:fill="auto"/>
          </w:tcPr>
          <w:p w:rsidR="004B5987" w:rsidRPr="004B5987" w:rsidRDefault="004B5987" w:rsidP="004B5987">
            <w:pPr>
              <w:tabs>
                <w:tab w:val="left" w:pos="288"/>
                <w:tab w:val="left" w:pos="576"/>
                <w:tab w:val="left" w:pos="864"/>
                <w:tab w:val="left" w:pos="1152"/>
              </w:tabs>
              <w:spacing w:before="40" w:after="40" w:line="210" w:lineRule="exact"/>
              <w:ind w:right="40"/>
              <w:rPr>
                <w:sz w:val="17"/>
              </w:rPr>
            </w:pPr>
            <w:r w:rsidRPr="004B5987">
              <w:rPr>
                <w:sz w:val="17"/>
              </w:rPr>
              <w:t>2013</w:t>
            </w:r>
          </w:p>
        </w:tc>
        <w:tc>
          <w:tcPr>
            <w:tcW w:w="2052" w:type="dxa"/>
            <w:shd w:val="clear" w:color="auto" w:fill="auto"/>
            <w:vAlign w:val="bottom"/>
          </w:tcPr>
          <w:p w:rsidR="004B5987" w:rsidRPr="004B5987" w:rsidRDefault="004B5987" w:rsidP="004B5987">
            <w:pPr>
              <w:tabs>
                <w:tab w:val="left" w:pos="288"/>
                <w:tab w:val="left" w:pos="576"/>
                <w:tab w:val="left" w:pos="864"/>
                <w:tab w:val="left" w:pos="1152"/>
              </w:tabs>
              <w:spacing w:before="40" w:after="40" w:line="210" w:lineRule="exact"/>
              <w:ind w:right="40"/>
              <w:jc w:val="right"/>
              <w:rPr>
                <w:sz w:val="17"/>
              </w:rPr>
            </w:pPr>
            <w:r w:rsidRPr="004B5987">
              <w:rPr>
                <w:sz w:val="17"/>
              </w:rPr>
              <w:t>14</w:t>
            </w:r>
            <w:r>
              <w:rPr>
                <w:sz w:val="17"/>
              </w:rPr>
              <w:t xml:space="preserve"> </w:t>
            </w:r>
            <w:r w:rsidRPr="004B5987">
              <w:rPr>
                <w:sz w:val="17"/>
              </w:rPr>
              <w:t>335</w:t>
            </w:r>
          </w:p>
        </w:tc>
        <w:tc>
          <w:tcPr>
            <w:tcW w:w="2295" w:type="dxa"/>
            <w:gridSpan w:val="3"/>
            <w:shd w:val="clear" w:color="auto" w:fill="auto"/>
            <w:vAlign w:val="bottom"/>
          </w:tcPr>
          <w:p w:rsidR="004B5987" w:rsidRPr="004B5987" w:rsidRDefault="004B5987" w:rsidP="004B5987">
            <w:pPr>
              <w:tabs>
                <w:tab w:val="left" w:pos="288"/>
                <w:tab w:val="left" w:pos="576"/>
                <w:tab w:val="left" w:pos="864"/>
                <w:tab w:val="left" w:pos="1152"/>
              </w:tabs>
              <w:spacing w:before="40" w:after="40" w:line="210" w:lineRule="exact"/>
              <w:ind w:right="40"/>
              <w:jc w:val="right"/>
              <w:rPr>
                <w:sz w:val="17"/>
                <w:vertAlign w:val="superscript"/>
              </w:rPr>
            </w:pPr>
            <w:r>
              <w:rPr>
                <w:sz w:val="17"/>
              </w:rPr>
              <w:t>–</w:t>
            </w:r>
            <w:r>
              <w:rPr>
                <w:sz w:val="17"/>
                <w:vertAlign w:val="superscript"/>
              </w:rPr>
              <w:t>1</w:t>
            </w:r>
          </w:p>
        </w:tc>
        <w:tc>
          <w:tcPr>
            <w:tcW w:w="1830" w:type="dxa"/>
            <w:shd w:val="clear" w:color="auto" w:fill="auto"/>
            <w:vAlign w:val="bottom"/>
          </w:tcPr>
          <w:p w:rsidR="004B5987" w:rsidRPr="004B5987" w:rsidRDefault="004B5987" w:rsidP="004B5987">
            <w:pPr>
              <w:tabs>
                <w:tab w:val="left" w:pos="288"/>
                <w:tab w:val="left" w:pos="576"/>
                <w:tab w:val="left" w:pos="864"/>
                <w:tab w:val="left" w:pos="1152"/>
              </w:tabs>
              <w:spacing w:before="40" w:after="40" w:line="210" w:lineRule="exact"/>
              <w:ind w:right="40"/>
              <w:jc w:val="right"/>
              <w:rPr>
                <w:sz w:val="17"/>
              </w:rPr>
            </w:pPr>
            <w:r w:rsidRPr="004B5987">
              <w:rPr>
                <w:sz w:val="17"/>
              </w:rPr>
              <w:t>1</w:t>
            </w:r>
            <w:r>
              <w:rPr>
                <w:sz w:val="17"/>
              </w:rPr>
              <w:t xml:space="preserve"> </w:t>
            </w:r>
            <w:r w:rsidRPr="004B5987">
              <w:rPr>
                <w:sz w:val="17"/>
              </w:rPr>
              <w:t>874</w:t>
            </w:r>
          </w:p>
        </w:tc>
      </w:tr>
      <w:tr w:rsidR="004B5987" w:rsidRPr="004B5987" w:rsidTr="004B5987">
        <w:tblPrEx>
          <w:tblCellMar>
            <w:top w:w="0" w:type="dxa"/>
            <w:bottom w:w="0" w:type="dxa"/>
          </w:tblCellMar>
        </w:tblPrEx>
        <w:trPr>
          <w:cantSplit/>
        </w:trPr>
        <w:tc>
          <w:tcPr>
            <w:tcW w:w="1143" w:type="dxa"/>
            <w:tcBorders>
              <w:bottom w:val="single" w:sz="12" w:space="0" w:color="auto"/>
            </w:tcBorders>
            <w:shd w:val="clear" w:color="auto" w:fill="auto"/>
          </w:tcPr>
          <w:p w:rsidR="004B5987" w:rsidRPr="004B5987" w:rsidRDefault="004B5987" w:rsidP="004B5987">
            <w:pPr>
              <w:tabs>
                <w:tab w:val="left" w:pos="288"/>
                <w:tab w:val="left" w:pos="576"/>
                <w:tab w:val="left" w:pos="864"/>
                <w:tab w:val="left" w:pos="1152"/>
              </w:tabs>
              <w:spacing w:before="40" w:after="120" w:line="210" w:lineRule="exact"/>
              <w:ind w:right="43"/>
              <w:rPr>
                <w:sz w:val="17"/>
              </w:rPr>
            </w:pPr>
            <w:r w:rsidRPr="004B5987">
              <w:rPr>
                <w:sz w:val="17"/>
              </w:rPr>
              <w:t>1.1.-30.6.</w:t>
            </w:r>
            <w:r w:rsidRPr="004B5987">
              <w:rPr>
                <w:sz w:val="17"/>
              </w:rPr>
              <w:br/>
              <w:t>2014</w:t>
            </w:r>
          </w:p>
        </w:tc>
        <w:tc>
          <w:tcPr>
            <w:tcW w:w="2052" w:type="dxa"/>
            <w:tcBorders>
              <w:bottom w:val="single" w:sz="12" w:space="0" w:color="auto"/>
            </w:tcBorders>
            <w:shd w:val="clear" w:color="auto" w:fill="auto"/>
            <w:vAlign w:val="bottom"/>
          </w:tcPr>
          <w:p w:rsidR="004B5987" w:rsidRPr="004B5987" w:rsidRDefault="004B5987" w:rsidP="004B5987">
            <w:pPr>
              <w:tabs>
                <w:tab w:val="left" w:pos="288"/>
                <w:tab w:val="left" w:pos="576"/>
                <w:tab w:val="left" w:pos="864"/>
                <w:tab w:val="left" w:pos="1152"/>
              </w:tabs>
              <w:spacing w:before="40" w:after="120" w:line="210" w:lineRule="exact"/>
              <w:ind w:right="43"/>
              <w:jc w:val="right"/>
              <w:rPr>
                <w:sz w:val="17"/>
              </w:rPr>
            </w:pPr>
            <w:r w:rsidRPr="004B5987">
              <w:rPr>
                <w:sz w:val="17"/>
              </w:rPr>
              <w:t>8</w:t>
            </w:r>
            <w:r>
              <w:rPr>
                <w:sz w:val="17"/>
              </w:rPr>
              <w:t xml:space="preserve"> </w:t>
            </w:r>
            <w:r w:rsidRPr="004B5987">
              <w:rPr>
                <w:sz w:val="17"/>
              </w:rPr>
              <w:t>840</w:t>
            </w:r>
          </w:p>
        </w:tc>
        <w:tc>
          <w:tcPr>
            <w:tcW w:w="2295" w:type="dxa"/>
            <w:gridSpan w:val="3"/>
            <w:tcBorders>
              <w:bottom w:val="single" w:sz="12" w:space="0" w:color="auto"/>
            </w:tcBorders>
            <w:shd w:val="clear" w:color="auto" w:fill="auto"/>
            <w:vAlign w:val="bottom"/>
          </w:tcPr>
          <w:p w:rsidR="004B5987" w:rsidRPr="004B5987" w:rsidRDefault="004B5987" w:rsidP="004B5987">
            <w:pPr>
              <w:tabs>
                <w:tab w:val="left" w:pos="288"/>
                <w:tab w:val="left" w:pos="576"/>
                <w:tab w:val="left" w:pos="864"/>
                <w:tab w:val="left" w:pos="1152"/>
              </w:tabs>
              <w:spacing w:before="40" w:after="120" w:line="210" w:lineRule="exact"/>
              <w:ind w:right="43"/>
              <w:jc w:val="right"/>
              <w:rPr>
                <w:sz w:val="17"/>
              </w:rPr>
            </w:pPr>
            <w:r>
              <w:rPr>
                <w:sz w:val="17"/>
              </w:rPr>
              <w:t>–</w:t>
            </w:r>
          </w:p>
        </w:tc>
        <w:tc>
          <w:tcPr>
            <w:tcW w:w="1830" w:type="dxa"/>
            <w:tcBorders>
              <w:bottom w:val="single" w:sz="12" w:space="0" w:color="auto"/>
            </w:tcBorders>
            <w:shd w:val="clear" w:color="auto" w:fill="auto"/>
            <w:vAlign w:val="bottom"/>
          </w:tcPr>
          <w:p w:rsidR="004B5987" w:rsidRPr="004B5987" w:rsidRDefault="004B5987" w:rsidP="004B5987">
            <w:pPr>
              <w:tabs>
                <w:tab w:val="left" w:pos="288"/>
                <w:tab w:val="left" w:pos="576"/>
                <w:tab w:val="left" w:pos="864"/>
                <w:tab w:val="left" w:pos="1152"/>
              </w:tabs>
              <w:spacing w:before="40" w:after="120" w:line="210" w:lineRule="exact"/>
              <w:ind w:right="43"/>
              <w:jc w:val="right"/>
              <w:rPr>
                <w:sz w:val="17"/>
              </w:rPr>
            </w:pPr>
            <w:r>
              <w:rPr>
                <w:sz w:val="17"/>
              </w:rPr>
              <w:t>–</w:t>
            </w:r>
          </w:p>
        </w:tc>
      </w:tr>
    </w:tbl>
    <w:p w:rsidR="004B5987" w:rsidRDefault="004B5987" w:rsidP="00BA168A">
      <w:pPr>
        <w:pStyle w:val="SingleTxt"/>
        <w:spacing w:after="0" w:line="120" w:lineRule="exact"/>
        <w:rPr>
          <w:sz w:val="10"/>
        </w:rPr>
      </w:pPr>
    </w:p>
    <w:p w:rsidR="00697A59" w:rsidRDefault="00697A59" w:rsidP="004B5987">
      <w:pPr>
        <w:pStyle w:val="FootnoteText"/>
        <w:tabs>
          <w:tab w:val="right" w:pos="1476"/>
          <w:tab w:val="left" w:pos="1548"/>
          <w:tab w:val="right" w:pos="1836"/>
          <w:tab w:val="left" w:pos="1908"/>
        </w:tabs>
        <w:ind w:left="1548" w:right="1267" w:hanging="288"/>
      </w:pPr>
      <w:r w:rsidRPr="004B5987">
        <w:rPr>
          <w:i/>
        </w:rPr>
        <w:t>Источник:</w:t>
      </w:r>
      <w:r w:rsidRPr="005179C3">
        <w:t xml:space="preserve"> Министерство внутренних дел, 2015 год.</w:t>
      </w:r>
    </w:p>
    <w:p w:rsidR="00BA168A" w:rsidRPr="00BA168A" w:rsidRDefault="00BA168A" w:rsidP="00BA168A">
      <w:pPr>
        <w:pStyle w:val="SingleTxt"/>
        <w:spacing w:after="0" w:line="120" w:lineRule="exact"/>
        <w:rPr>
          <w:sz w:val="10"/>
        </w:rPr>
      </w:pPr>
    </w:p>
    <w:p w:rsidR="00BA168A" w:rsidRDefault="00BA168A" w:rsidP="00BA168A">
      <w:pPr>
        <w:pStyle w:val="SingleTxt"/>
        <w:spacing w:after="0" w:line="120" w:lineRule="exact"/>
        <w:rPr>
          <w:sz w:val="10"/>
        </w:rPr>
      </w:pPr>
    </w:p>
    <w:p w:rsidR="00CF4575" w:rsidRPr="00BA168A" w:rsidRDefault="00CF4575" w:rsidP="00BA168A">
      <w:pPr>
        <w:pStyle w:val="SingleTxt"/>
        <w:spacing w:after="0" w:line="120" w:lineRule="exact"/>
        <w:rPr>
          <w:sz w:val="10"/>
        </w:rPr>
      </w:pPr>
    </w:p>
    <w:p w:rsidR="00697A59" w:rsidRPr="005179C3" w:rsidRDefault="00BA168A" w:rsidP="00BA168A">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97A59" w:rsidRPr="005179C3">
        <w:t>Таблица 2</w:t>
      </w:r>
    </w:p>
    <w:p w:rsidR="00697A59" w:rsidRDefault="00BA168A" w:rsidP="00BA1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97A59" w:rsidRPr="005179C3">
        <w:t xml:space="preserve">Число зарегистрированных убийств первой и второй степени и покушений на убийство среди близких родственников и число женщин, ставших жертвами </w:t>
      </w:r>
      <w:r w:rsidR="00697A59">
        <w:t>да</w:t>
      </w:r>
      <w:r w:rsidR="00697A59" w:rsidRPr="005179C3">
        <w:t>нных уголовных преступлений</w:t>
      </w:r>
    </w:p>
    <w:p w:rsidR="00BA168A" w:rsidRPr="00BA168A" w:rsidRDefault="00BA168A" w:rsidP="00BA168A">
      <w:pPr>
        <w:pStyle w:val="SingleTxt"/>
        <w:spacing w:after="0" w:line="120" w:lineRule="exact"/>
        <w:rPr>
          <w:sz w:val="10"/>
        </w:rPr>
      </w:pPr>
    </w:p>
    <w:tbl>
      <w:tblPr>
        <w:tblW w:w="7237" w:type="dxa"/>
        <w:tblInd w:w="1269" w:type="dxa"/>
        <w:tblBorders>
          <w:top w:val="single" w:sz="4" w:space="0" w:color="auto"/>
        </w:tblBorders>
        <w:tblCellMar>
          <w:left w:w="0" w:type="dxa"/>
          <w:right w:w="0" w:type="dxa"/>
        </w:tblCellMar>
        <w:tblLook w:val="00A0"/>
      </w:tblPr>
      <w:tblGrid>
        <w:gridCol w:w="873"/>
        <w:gridCol w:w="1674"/>
        <w:gridCol w:w="1584"/>
        <w:gridCol w:w="1548"/>
        <w:gridCol w:w="1558"/>
      </w:tblGrid>
      <w:tr w:rsidR="004B5987" w:rsidRPr="00CC415D" w:rsidTr="004B5987">
        <w:trPr>
          <w:trHeight w:val="240"/>
          <w:tblHeader/>
        </w:trPr>
        <w:tc>
          <w:tcPr>
            <w:tcW w:w="873" w:type="dxa"/>
            <w:tcBorders>
              <w:top w:val="single" w:sz="4" w:space="0" w:color="auto"/>
              <w:bottom w:val="single" w:sz="12" w:space="0" w:color="auto"/>
            </w:tcBorders>
            <w:vAlign w:val="bottom"/>
          </w:tcPr>
          <w:p w:rsidR="00697A59" w:rsidRPr="004B5987" w:rsidRDefault="00697A59" w:rsidP="004B5987">
            <w:pPr>
              <w:tabs>
                <w:tab w:val="left" w:pos="288"/>
                <w:tab w:val="left" w:pos="576"/>
                <w:tab w:val="left" w:pos="864"/>
                <w:tab w:val="left" w:pos="1152"/>
              </w:tabs>
              <w:spacing w:before="80" w:after="80" w:line="160" w:lineRule="exact"/>
              <w:ind w:right="40"/>
              <w:rPr>
                <w:i/>
                <w:sz w:val="14"/>
              </w:rPr>
            </w:pPr>
            <w:r w:rsidRPr="004B5987">
              <w:rPr>
                <w:i/>
                <w:sz w:val="14"/>
              </w:rPr>
              <w:t>Год</w:t>
            </w:r>
          </w:p>
        </w:tc>
        <w:tc>
          <w:tcPr>
            <w:tcW w:w="1674" w:type="dxa"/>
            <w:tcBorders>
              <w:top w:val="single" w:sz="4" w:space="0" w:color="auto"/>
              <w:bottom w:val="single" w:sz="12" w:space="0" w:color="auto"/>
            </w:tcBorders>
            <w:vAlign w:val="bottom"/>
          </w:tcPr>
          <w:p w:rsidR="00697A59" w:rsidRPr="004B5987" w:rsidRDefault="00697A59" w:rsidP="004B5987">
            <w:pPr>
              <w:tabs>
                <w:tab w:val="left" w:pos="288"/>
                <w:tab w:val="left" w:pos="576"/>
                <w:tab w:val="left" w:pos="864"/>
                <w:tab w:val="left" w:pos="1152"/>
              </w:tabs>
              <w:spacing w:before="80" w:after="80" w:line="160" w:lineRule="exact"/>
              <w:ind w:right="40"/>
              <w:jc w:val="right"/>
              <w:rPr>
                <w:i/>
                <w:sz w:val="14"/>
              </w:rPr>
            </w:pPr>
            <w:r w:rsidRPr="004B5987">
              <w:rPr>
                <w:i/>
                <w:sz w:val="14"/>
              </w:rPr>
              <w:t>Число убийств первой и второй степени среди близких родственн</w:t>
            </w:r>
            <w:r w:rsidRPr="004B5987">
              <w:rPr>
                <w:i/>
                <w:sz w:val="14"/>
              </w:rPr>
              <w:t>и</w:t>
            </w:r>
            <w:r w:rsidRPr="004B5987">
              <w:rPr>
                <w:i/>
                <w:sz w:val="14"/>
              </w:rPr>
              <w:t>ков</w:t>
            </w:r>
          </w:p>
        </w:tc>
        <w:tc>
          <w:tcPr>
            <w:tcW w:w="1584" w:type="dxa"/>
            <w:tcBorders>
              <w:top w:val="single" w:sz="4" w:space="0" w:color="auto"/>
              <w:bottom w:val="single" w:sz="12" w:space="0" w:color="auto"/>
            </w:tcBorders>
            <w:vAlign w:val="bottom"/>
          </w:tcPr>
          <w:p w:rsidR="00697A59" w:rsidRPr="004B5987" w:rsidRDefault="00697A59" w:rsidP="004B5987">
            <w:pPr>
              <w:tabs>
                <w:tab w:val="left" w:pos="288"/>
                <w:tab w:val="left" w:pos="576"/>
                <w:tab w:val="left" w:pos="864"/>
                <w:tab w:val="left" w:pos="1152"/>
              </w:tabs>
              <w:spacing w:before="80" w:after="80" w:line="160" w:lineRule="exact"/>
              <w:ind w:right="40"/>
              <w:jc w:val="right"/>
              <w:rPr>
                <w:i/>
                <w:sz w:val="14"/>
              </w:rPr>
            </w:pPr>
            <w:r w:rsidRPr="004B5987">
              <w:rPr>
                <w:i/>
                <w:sz w:val="14"/>
              </w:rPr>
              <w:t>Число пострадавших-женщин</w:t>
            </w:r>
          </w:p>
        </w:tc>
        <w:tc>
          <w:tcPr>
            <w:tcW w:w="1548" w:type="dxa"/>
            <w:tcBorders>
              <w:top w:val="single" w:sz="4" w:space="0" w:color="auto"/>
              <w:bottom w:val="single" w:sz="12" w:space="0" w:color="auto"/>
            </w:tcBorders>
            <w:vAlign w:val="bottom"/>
          </w:tcPr>
          <w:p w:rsidR="00697A59" w:rsidRPr="004B5987" w:rsidRDefault="00697A59" w:rsidP="004B5987">
            <w:pPr>
              <w:tabs>
                <w:tab w:val="left" w:pos="288"/>
                <w:tab w:val="left" w:pos="576"/>
                <w:tab w:val="left" w:pos="864"/>
                <w:tab w:val="left" w:pos="1152"/>
              </w:tabs>
              <w:spacing w:before="80" w:after="80" w:line="160" w:lineRule="exact"/>
              <w:ind w:right="40"/>
              <w:jc w:val="right"/>
              <w:rPr>
                <w:i/>
                <w:sz w:val="14"/>
              </w:rPr>
            </w:pPr>
            <w:r w:rsidRPr="004B5987">
              <w:rPr>
                <w:i/>
                <w:sz w:val="14"/>
              </w:rPr>
              <w:t xml:space="preserve">Покушения </w:t>
            </w:r>
            <w:r w:rsidR="004B5987">
              <w:rPr>
                <w:i/>
                <w:sz w:val="14"/>
              </w:rPr>
              <w:br/>
            </w:r>
            <w:r w:rsidRPr="004B5987">
              <w:rPr>
                <w:i/>
                <w:sz w:val="14"/>
              </w:rPr>
              <w:t>на уби</w:t>
            </w:r>
            <w:r w:rsidRPr="004B5987">
              <w:rPr>
                <w:i/>
                <w:sz w:val="14"/>
              </w:rPr>
              <w:t>й</w:t>
            </w:r>
            <w:r w:rsidRPr="004B5987">
              <w:rPr>
                <w:i/>
                <w:sz w:val="14"/>
              </w:rPr>
              <w:t>ство</w:t>
            </w:r>
          </w:p>
        </w:tc>
        <w:tc>
          <w:tcPr>
            <w:tcW w:w="1558" w:type="dxa"/>
            <w:tcBorders>
              <w:top w:val="single" w:sz="4" w:space="0" w:color="auto"/>
              <w:bottom w:val="single" w:sz="12" w:space="0" w:color="auto"/>
            </w:tcBorders>
            <w:vAlign w:val="bottom"/>
          </w:tcPr>
          <w:p w:rsidR="00697A59" w:rsidRPr="004B5987" w:rsidRDefault="00697A59" w:rsidP="004B5987">
            <w:pPr>
              <w:tabs>
                <w:tab w:val="left" w:pos="288"/>
                <w:tab w:val="left" w:pos="576"/>
                <w:tab w:val="left" w:pos="864"/>
                <w:tab w:val="left" w:pos="1152"/>
              </w:tabs>
              <w:spacing w:before="80" w:after="80" w:line="160" w:lineRule="exact"/>
              <w:ind w:right="40"/>
              <w:jc w:val="right"/>
              <w:rPr>
                <w:i/>
                <w:sz w:val="14"/>
              </w:rPr>
            </w:pPr>
            <w:r w:rsidRPr="004B5987">
              <w:rPr>
                <w:i/>
                <w:sz w:val="14"/>
              </w:rPr>
              <w:t>Число</w:t>
            </w:r>
            <w:r w:rsidR="004B5987">
              <w:rPr>
                <w:i/>
                <w:sz w:val="14"/>
              </w:rPr>
              <w:t> </w:t>
            </w:r>
            <w:r w:rsidRPr="004B5987">
              <w:rPr>
                <w:i/>
                <w:sz w:val="14"/>
              </w:rPr>
              <w:t>пострадавших-женщин</w:t>
            </w:r>
          </w:p>
        </w:tc>
      </w:tr>
      <w:tr w:rsidR="004B5987" w:rsidRPr="005179C3" w:rsidTr="004B5987">
        <w:trPr>
          <w:trHeight w:val="240"/>
        </w:trPr>
        <w:tc>
          <w:tcPr>
            <w:tcW w:w="873" w:type="dxa"/>
            <w:tcBorders>
              <w:top w:val="single" w:sz="12" w:space="0" w:color="auto"/>
            </w:tcBorders>
          </w:tcPr>
          <w:p w:rsidR="00697A59" w:rsidRPr="004B5987" w:rsidRDefault="00697A59" w:rsidP="004B5987">
            <w:pPr>
              <w:tabs>
                <w:tab w:val="left" w:pos="288"/>
                <w:tab w:val="left" w:pos="576"/>
                <w:tab w:val="left" w:pos="864"/>
                <w:tab w:val="left" w:pos="1152"/>
              </w:tabs>
              <w:spacing w:before="40" w:after="40" w:line="210" w:lineRule="exact"/>
              <w:ind w:right="40"/>
              <w:rPr>
                <w:sz w:val="17"/>
              </w:rPr>
            </w:pPr>
            <w:r w:rsidRPr="004B5987">
              <w:rPr>
                <w:sz w:val="17"/>
              </w:rPr>
              <w:t>2013</w:t>
            </w:r>
          </w:p>
        </w:tc>
        <w:tc>
          <w:tcPr>
            <w:tcW w:w="1674" w:type="dxa"/>
            <w:tcBorders>
              <w:top w:val="single" w:sz="12" w:space="0" w:color="auto"/>
            </w:tcBorders>
            <w:vAlign w:val="bottom"/>
          </w:tcPr>
          <w:p w:rsidR="00697A59" w:rsidRPr="004B5987" w:rsidRDefault="00697A59" w:rsidP="004B5987">
            <w:pPr>
              <w:tabs>
                <w:tab w:val="left" w:pos="288"/>
                <w:tab w:val="left" w:pos="576"/>
                <w:tab w:val="left" w:pos="864"/>
                <w:tab w:val="left" w:pos="1152"/>
              </w:tabs>
              <w:spacing w:before="40" w:after="40" w:line="210" w:lineRule="exact"/>
              <w:ind w:right="40"/>
              <w:jc w:val="right"/>
              <w:rPr>
                <w:sz w:val="17"/>
              </w:rPr>
            </w:pPr>
            <w:r w:rsidRPr="004B5987">
              <w:rPr>
                <w:sz w:val="17"/>
              </w:rPr>
              <w:t>15</w:t>
            </w:r>
          </w:p>
        </w:tc>
        <w:tc>
          <w:tcPr>
            <w:tcW w:w="1584" w:type="dxa"/>
            <w:tcBorders>
              <w:top w:val="single" w:sz="12" w:space="0" w:color="auto"/>
            </w:tcBorders>
            <w:vAlign w:val="bottom"/>
          </w:tcPr>
          <w:p w:rsidR="00697A59" w:rsidRPr="004B5987" w:rsidRDefault="00697A59" w:rsidP="004B5987">
            <w:pPr>
              <w:tabs>
                <w:tab w:val="left" w:pos="288"/>
                <w:tab w:val="left" w:pos="576"/>
                <w:tab w:val="left" w:pos="864"/>
                <w:tab w:val="left" w:pos="1152"/>
              </w:tabs>
              <w:spacing w:before="40" w:after="40" w:line="210" w:lineRule="exact"/>
              <w:ind w:right="40"/>
              <w:jc w:val="right"/>
              <w:rPr>
                <w:sz w:val="17"/>
              </w:rPr>
            </w:pPr>
            <w:r w:rsidRPr="004B5987">
              <w:rPr>
                <w:sz w:val="17"/>
              </w:rPr>
              <w:t>11</w:t>
            </w:r>
          </w:p>
        </w:tc>
        <w:tc>
          <w:tcPr>
            <w:tcW w:w="1548" w:type="dxa"/>
            <w:tcBorders>
              <w:top w:val="single" w:sz="12" w:space="0" w:color="auto"/>
            </w:tcBorders>
            <w:vAlign w:val="bottom"/>
          </w:tcPr>
          <w:p w:rsidR="00697A59" w:rsidRPr="004B5987" w:rsidRDefault="00697A59" w:rsidP="004B5987">
            <w:pPr>
              <w:tabs>
                <w:tab w:val="left" w:pos="288"/>
                <w:tab w:val="left" w:pos="576"/>
                <w:tab w:val="left" w:pos="864"/>
                <w:tab w:val="left" w:pos="1152"/>
              </w:tabs>
              <w:spacing w:before="40" w:after="40" w:line="210" w:lineRule="exact"/>
              <w:ind w:right="40"/>
              <w:jc w:val="right"/>
              <w:rPr>
                <w:sz w:val="17"/>
              </w:rPr>
            </w:pPr>
            <w:r w:rsidRPr="004B5987">
              <w:rPr>
                <w:sz w:val="17"/>
              </w:rPr>
              <w:t>124</w:t>
            </w:r>
          </w:p>
        </w:tc>
        <w:tc>
          <w:tcPr>
            <w:tcW w:w="1558" w:type="dxa"/>
            <w:tcBorders>
              <w:top w:val="single" w:sz="12" w:space="0" w:color="auto"/>
            </w:tcBorders>
            <w:vAlign w:val="bottom"/>
          </w:tcPr>
          <w:p w:rsidR="00697A59" w:rsidRPr="004B5987" w:rsidRDefault="00697A59" w:rsidP="004B5987">
            <w:pPr>
              <w:tabs>
                <w:tab w:val="left" w:pos="288"/>
                <w:tab w:val="left" w:pos="576"/>
                <w:tab w:val="left" w:pos="864"/>
                <w:tab w:val="left" w:pos="1152"/>
              </w:tabs>
              <w:spacing w:before="40" w:after="40" w:line="210" w:lineRule="exact"/>
              <w:ind w:right="40"/>
              <w:jc w:val="right"/>
              <w:rPr>
                <w:sz w:val="17"/>
              </w:rPr>
            </w:pPr>
            <w:r w:rsidRPr="004B5987">
              <w:rPr>
                <w:sz w:val="17"/>
              </w:rPr>
              <w:t>12</w:t>
            </w:r>
          </w:p>
        </w:tc>
      </w:tr>
      <w:tr w:rsidR="004B5987" w:rsidRPr="005179C3" w:rsidTr="004B5987">
        <w:trPr>
          <w:trHeight w:val="240"/>
        </w:trPr>
        <w:tc>
          <w:tcPr>
            <w:tcW w:w="873" w:type="dxa"/>
            <w:tcBorders>
              <w:bottom w:val="single" w:sz="12" w:space="0" w:color="auto"/>
            </w:tcBorders>
          </w:tcPr>
          <w:p w:rsidR="00697A59" w:rsidRPr="004B5987" w:rsidRDefault="00697A59" w:rsidP="004B5987">
            <w:pPr>
              <w:tabs>
                <w:tab w:val="left" w:pos="288"/>
                <w:tab w:val="left" w:pos="576"/>
                <w:tab w:val="left" w:pos="864"/>
                <w:tab w:val="left" w:pos="1152"/>
              </w:tabs>
              <w:spacing w:before="40" w:after="120" w:line="210" w:lineRule="exact"/>
              <w:ind w:right="43"/>
              <w:rPr>
                <w:sz w:val="17"/>
              </w:rPr>
            </w:pPr>
            <w:r w:rsidRPr="004B5987">
              <w:rPr>
                <w:sz w:val="17"/>
              </w:rPr>
              <w:t>1.1.-30.6.</w:t>
            </w:r>
            <w:r w:rsidR="004B5987">
              <w:rPr>
                <w:sz w:val="17"/>
              </w:rPr>
              <w:br/>
            </w:r>
            <w:r w:rsidRPr="004B5987">
              <w:rPr>
                <w:sz w:val="17"/>
              </w:rPr>
              <w:t>2014</w:t>
            </w:r>
          </w:p>
        </w:tc>
        <w:tc>
          <w:tcPr>
            <w:tcW w:w="1674" w:type="dxa"/>
            <w:tcBorders>
              <w:bottom w:val="single" w:sz="12" w:space="0" w:color="auto"/>
            </w:tcBorders>
            <w:vAlign w:val="bottom"/>
          </w:tcPr>
          <w:p w:rsidR="00697A59" w:rsidRPr="004B5987" w:rsidRDefault="00697A59" w:rsidP="004B5987">
            <w:pPr>
              <w:tabs>
                <w:tab w:val="left" w:pos="288"/>
                <w:tab w:val="left" w:pos="576"/>
                <w:tab w:val="left" w:pos="864"/>
                <w:tab w:val="left" w:pos="1152"/>
              </w:tabs>
              <w:spacing w:before="40" w:after="120" w:line="210" w:lineRule="exact"/>
              <w:ind w:right="43"/>
              <w:jc w:val="right"/>
              <w:rPr>
                <w:sz w:val="17"/>
              </w:rPr>
            </w:pPr>
            <w:r w:rsidRPr="004B5987">
              <w:rPr>
                <w:sz w:val="17"/>
              </w:rPr>
              <w:t>4</w:t>
            </w:r>
          </w:p>
        </w:tc>
        <w:tc>
          <w:tcPr>
            <w:tcW w:w="1584" w:type="dxa"/>
            <w:tcBorders>
              <w:bottom w:val="single" w:sz="12" w:space="0" w:color="auto"/>
            </w:tcBorders>
            <w:vAlign w:val="bottom"/>
          </w:tcPr>
          <w:p w:rsidR="00697A59" w:rsidRPr="004B5987" w:rsidRDefault="00697A59" w:rsidP="004B5987">
            <w:pPr>
              <w:tabs>
                <w:tab w:val="left" w:pos="288"/>
                <w:tab w:val="left" w:pos="576"/>
                <w:tab w:val="left" w:pos="864"/>
                <w:tab w:val="left" w:pos="1152"/>
              </w:tabs>
              <w:spacing w:before="40" w:after="120" w:line="210" w:lineRule="exact"/>
              <w:ind w:right="43"/>
              <w:jc w:val="right"/>
              <w:rPr>
                <w:sz w:val="17"/>
              </w:rPr>
            </w:pPr>
            <w:r w:rsidRPr="004B5987">
              <w:rPr>
                <w:sz w:val="17"/>
              </w:rPr>
              <w:t>3</w:t>
            </w:r>
          </w:p>
        </w:tc>
        <w:tc>
          <w:tcPr>
            <w:tcW w:w="1548" w:type="dxa"/>
            <w:tcBorders>
              <w:bottom w:val="single" w:sz="12" w:space="0" w:color="auto"/>
            </w:tcBorders>
            <w:vAlign w:val="bottom"/>
          </w:tcPr>
          <w:p w:rsidR="00697A59" w:rsidRPr="004B5987" w:rsidRDefault="00697A59" w:rsidP="004B5987">
            <w:pPr>
              <w:tabs>
                <w:tab w:val="left" w:pos="288"/>
                <w:tab w:val="left" w:pos="576"/>
                <w:tab w:val="left" w:pos="864"/>
                <w:tab w:val="left" w:pos="1152"/>
              </w:tabs>
              <w:spacing w:before="40" w:after="120" w:line="210" w:lineRule="exact"/>
              <w:ind w:right="43"/>
              <w:jc w:val="right"/>
              <w:rPr>
                <w:sz w:val="17"/>
              </w:rPr>
            </w:pPr>
            <w:r w:rsidRPr="004B5987">
              <w:rPr>
                <w:sz w:val="17"/>
              </w:rPr>
              <w:t>6</w:t>
            </w:r>
          </w:p>
        </w:tc>
        <w:tc>
          <w:tcPr>
            <w:tcW w:w="1558" w:type="dxa"/>
            <w:tcBorders>
              <w:bottom w:val="single" w:sz="12" w:space="0" w:color="auto"/>
            </w:tcBorders>
            <w:vAlign w:val="bottom"/>
          </w:tcPr>
          <w:p w:rsidR="00697A59" w:rsidRPr="004B5987" w:rsidRDefault="00697A59" w:rsidP="004B5987">
            <w:pPr>
              <w:tabs>
                <w:tab w:val="left" w:pos="288"/>
                <w:tab w:val="left" w:pos="576"/>
                <w:tab w:val="left" w:pos="864"/>
                <w:tab w:val="left" w:pos="1152"/>
              </w:tabs>
              <w:spacing w:before="40" w:after="120" w:line="210" w:lineRule="exact"/>
              <w:ind w:right="43"/>
              <w:jc w:val="right"/>
              <w:rPr>
                <w:sz w:val="17"/>
              </w:rPr>
            </w:pPr>
            <w:r w:rsidRPr="004B5987">
              <w:rPr>
                <w:sz w:val="17"/>
              </w:rPr>
              <w:t>7</w:t>
            </w:r>
          </w:p>
        </w:tc>
      </w:tr>
    </w:tbl>
    <w:p w:rsidR="004B5987" w:rsidRPr="004B5987" w:rsidRDefault="004B5987" w:rsidP="004B5987">
      <w:pPr>
        <w:pStyle w:val="SingleTxtG"/>
        <w:spacing w:after="0" w:line="120" w:lineRule="exact"/>
        <w:rPr>
          <w:bCs/>
          <w:i/>
          <w:iCs/>
          <w:sz w:val="10"/>
          <w:szCs w:val="18"/>
          <w:lang w:val="ru-RU"/>
        </w:rPr>
      </w:pPr>
    </w:p>
    <w:p w:rsidR="00697A59" w:rsidRPr="005179C3" w:rsidRDefault="004B5987" w:rsidP="004B5987">
      <w:pPr>
        <w:pStyle w:val="FootnoteText"/>
        <w:tabs>
          <w:tab w:val="right" w:pos="1476"/>
          <w:tab w:val="left" w:pos="1548"/>
          <w:tab w:val="right" w:pos="1836"/>
          <w:tab w:val="left" w:pos="1908"/>
        </w:tabs>
        <w:ind w:left="1548" w:right="1267" w:hanging="288"/>
      </w:pPr>
      <w:r w:rsidRPr="004B5987">
        <w:rPr>
          <w:i/>
        </w:rPr>
        <w:tab/>
      </w:r>
      <w:r w:rsidR="00697A59" w:rsidRPr="004B5987">
        <w:rPr>
          <w:i/>
        </w:rPr>
        <w:t>Источник:</w:t>
      </w:r>
      <w:r w:rsidR="00697A59" w:rsidRPr="005179C3">
        <w:t xml:space="preserve"> Министерство внутренних дел, 2015 год.</w:t>
      </w:r>
    </w:p>
    <w:p w:rsidR="00BA168A" w:rsidRDefault="00BA168A" w:rsidP="00BA168A">
      <w:pPr>
        <w:pStyle w:val="SingleTxtG"/>
        <w:spacing w:after="0" w:line="120" w:lineRule="exact"/>
        <w:rPr>
          <w:sz w:val="10"/>
          <w:lang w:val="ru-RU"/>
        </w:rPr>
      </w:pPr>
    </w:p>
    <w:p w:rsidR="00CF4575" w:rsidRPr="00BA168A" w:rsidRDefault="00CF4575" w:rsidP="00BA168A">
      <w:pPr>
        <w:pStyle w:val="SingleTxtG"/>
        <w:spacing w:after="0" w:line="120" w:lineRule="exact"/>
        <w:rPr>
          <w:sz w:val="10"/>
          <w:lang w:val="ru-RU"/>
        </w:rPr>
      </w:pPr>
    </w:p>
    <w:p w:rsidR="00BA168A" w:rsidRPr="00BA168A" w:rsidRDefault="00BA168A" w:rsidP="00BA168A">
      <w:pPr>
        <w:pStyle w:val="SingleTxtG"/>
        <w:spacing w:after="0" w:line="120" w:lineRule="exact"/>
        <w:rPr>
          <w:sz w:val="10"/>
          <w:lang w:val="ru-RU"/>
        </w:rPr>
      </w:pPr>
    </w:p>
    <w:p w:rsidR="00697A59" w:rsidRPr="005179C3" w:rsidRDefault="00BA168A" w:rsidP="00BA168A">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97A59" w:rsidRPr="005179C3">
        <w:t>Таблица 3</w:t>
      </w:r>
    </w:p>
    <w:p w:rsidR="00697A59" w:rsidRDefault="00BA168A" w:rsidP="00BA1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97A59" w:rsidRPr="005179C3">
        <w:t>Число зарегистрированных случаев сексуальног</w:t>
      </w:r>
      <w:r w:rsidR="00697A59">
        <w:t>о домогательства и</w:t>
      </w:r>
      <w:r w:rsidR="00CF4575">
        <w:t> </w:t>
      </w:r>
      <w:r w:rsidR="00697A59">
        <w:t>изнасилований</w:t>
      </w:r>
      <w:r w:rsidR="00697A59" w:rsidRPr="005179C3">
        <w:t xml:space="preserve"> и число женщин, ставших жертвами указанных уголовных преступлений в период с 2011 по 2014 годы</w:t>
      </w:r>
    </w:p>
    <w:p w:rsidR="00BA168A" w:rsidRDefault="00BA168A" w:rsidP="00BA168A">
      <w:pPr>
        <w:pStyle w:val="SingleTxt"/>
        <w:spacing w:after="0" w:line="120" w:lineRule="exact"/>
        <w:rPr>
          <w:sz w:val="10"/>
        </w:rPr>
      </w:pPr>
    </w:p>
    <w:p w:rsidR="00CF4575" w:rsidRPr="00BA168A" w:rsidRDefault="00CF4575" w:rsidP="00BA168A">
      <w:pPr>
        <w:pStyle w:val="SingleTxt"/>
        <w:spacing w:after="0" w:line="120" w:lineRule="exact"/>
        <w:rPr>
          <w:sz w:val="10"/>
        </w:rPr>
      </w:pPr>
    </w:p>
    <w:tbl>
      <w:tblPr>
        <w:tblW w:w="7370" w:type="dxa"/>
        <w:tblInd w:w="1136" w:type="dxa"/>
        <w:tblBorders>
          <w:top w:val="single" w:sz="4" w:space="0" w:color="auto"/>
        </w:tblBorders>
        <w:tblCellMar>
          <w:left w:w="0" w:type="dxa"/>
          <w:right w:w="0" w:type="dxa"/>
        </w:tblCellMar>
        <w:tblLook w:val="00A0"/>
      </w:tblPr>
      <w:tblGrid>
        <w:gridCol w:w="930"/>
        <w:gridCol w:w="1687"/>
        <w:gridCol w:w="1608"/>
        <w:gridCol w:w="1537"/>
        <w:gridCol w:w="1608"/>
      </w:tblGrid>
      <w:tr w:rsidR="00697A59" w:rsidRPr="000E4B48" w:rsidTr="00BA168A">
        <w:trPr>
          <w:trHeight w:val="240"/>
          <w:tblHeader/>
        </w:trPr>
        <w:tc>
          <w:tcPr>
            <w:tcW w:w="930" w:type="dxa"/>
            <w:tcBorders>
              <w:top w:val="single" w:sz="4" w:space="0" w:color="auto"/>
              <w:bottom w:val="single" w:sz="12" w:space="0" w:color="auto"/>
            </w:tcBorders>
            <w:vAlign w:val="bottom"/>
          </w:tcPr>
          <w:p w:rsidR="00697A59" w:rsidRPr="004B5987" w:rsidRDefault="00697A59" w:rsidP="004B5987">
            <w:pPr>
              <w:tabs>
                <w:tab w:val="left" w:pos="288"/>
                <w:tab w:val="left" w:pos="576"/>
                <w:tab w:val="left" w:pos="864"/>
                <w:tab w:val="left" w:pos="1152"/>
              </w:tabs>
              <w:spacing w:before="80" w:after="80" w:line="160" w:lineRule="exact"/>
              <w:ind w:right="40"/>
              <w:rPr>
                <w:i/>
                <w:sz w:val="14"/>
              </w:rPr>
            </w:pPr>
            <w:r w:rsidRPr="004B5987">
              <w:rPr>
                <w:i/>
                <w:sz w:val="14"/>
              </w:rPr>
              <w:t>Год</w:t>
            </w:r>
          </w:p>
        </w:tc>
        <w:tc>
          <w:tcPr>
            <w:tcW w:w="1687" w:type="dxa"/>
            <w:tcBorders>
              <w:top w:val="single" w:sz="4" w:space="0" w:color="auto"/>
              <w:bottom w:val="single" w:sz="12" w:space="0" w:color="auto"/>
            </w:tcBorders>
            <w:vAlign w:val="bottom"/>
          </w:tcPr>
          <w:p w:rsidR="00697A59" w:rsidRPr="004B5987" w:rsidRDefault="00697A59" w:rsidP="004B5987">
            <w:pPr>
              <w:tabs>
                <w:tab w:val="left" w:pos="288"/>
                <w:tab w:val="left" w:pos="576"/>
                <w:tab w:val="left" w:pos="864"/>
                <w:tab w:val="left" w:pos="1152"/>
              </w:tabs>
              <w:spacing w:before="80" w:after="80" w:line="160" w:lineRule="exact"/>
              <w:ind w:right="40"/>
              <w:jc w:val="right"/>
              <w:rPr>
                <w:i/>
                <w:sz w:val="14"/>
              </w:rPr>
            </w:pPr>
            <w:r w:rsidRPr="004B5987">
              <w:rPr>
                <w:i/>
                <w:sz w:val="14"/>
              </w:rPr>
              <w:t xml:space="preserve">Сексуальные </w:t>
            </w:r>
            <w:r w:rsidR="004B5987">
              <w:rPr>
                <w:i/>
                <w:sz w:val="14"/>
              </w:rPr>
              <w:br/>
            </w:r>
            <w:r w:rsidRPr="004B5987">
              <w:rPr>
                <w:i/>
                <w:sz w:val="14"/>
              </w:rPr>
              <w:t>домог</w:t>
            </w:r>
            <w:r w:rsidRPr="004B5987">
              <w:rPr>
                <w:i/>
                <w:sz w:val="14"/>
              </w:rPr>
              <w:t>а</w:t>
            </w:r>
            <w:r w:rsidRPr="004B5987">
              <w:rPr>
                <w:i/>
                <w:sz w:val="14"/>
              </w:rPr>
              <w:t>тельства</w:t>
            </w:r>
          </w:p>
        </w:tc>
        <w:tc>
          <w:tcPr>
            <w:tcW w:w="1608" w:type="dxa"/>
            <w:tcBorders>
              <w:top w:val="single" w:sz="4" w:space="0" w:color="auto"/>
              <w:bottom w:val="single" w:sz="12" w:space="0" w:color="auto"/>
            </w:tcBorders>
            <w:vAlign w:val="bottom"/>
          </w:tcPr>
          <w:p w:rsidR="00697A59" w:rsidRPr="004B5987" w:rsidRDefault="00697A59" w:rsidP="004B5987">
            <w:pPr>
              <w:tabs>
                <w:tab w:val="left" w:pos="288"/>
                <w:tab w:val="left" w:pos="576"/>
                <w:tab w:val="left" w:pos="864"/>
                <w:tab w:val="left" w:pos="1152"/>
              </w:tabs>
              <w:spacing w:before="80" w:after="80" w:line="160" w:lineRule="exact"/>
              <w:ind w:right="40"/>
              <w:jc w:val="right"/>
              <w:rPr>
                <w:i/>
                <w:sz w:val="14"/>
              </w:rPr>
            </w:pPr>
            <w:r w:rsidRPr="004B5987">
              <w:rPr>
                <w:i/>
                <w:sz w:val="14"/>
              </w:rPr>
              <w:t>Число пострада</w:t>
            </w:r>
            <w:r w:rsidRPr="004B5987">
              <w:rPr>
                <w:i/>
                <w:sz w:val="14"/>
              </w:rPr>
              <w:t>в</w:t>
            </w:r>
            <w:r w:rsidRPr="004B5987">
              <w:rPr>
                <w:i/>
                <w:sz w:val="14"/>
              </w:rPr>
              <w:t>ших-женщин</w:t>
            </w:r>
          </w:p>
        </w:tc>
        <w:tc>
          <w:tcPr>
            <w:tcW w:w="1537" w:type="dxa"/>
            <w:tcBorders>
              <w:top w:val="single" w:sz="4" w:space="0" w:color="auto"/>
              <w:bottom w:val="single" w:sz="12" w:space="0" w:color="auto"/>
            </w:tcBorders>
            <w:vAlign w:val="bottom"/>
          </w:tcPr>
          <w:p w:rsidR="00697A59" w:rsidRPr="004B5987" w:rsidRDefault="00697A59" w:rsidP="004B5987">
            <w:pPr>
              <w:tabs>
                <w:tab w:val="left" w:pos="288"/>
                <w:tab w:val="left" w:pos="576"/>
                <w:tab w:val="left" w:pos="864"/>
                <w:tab w:val="left" w:pos="1152"/>
              </w:tabs>
              <w:spacing w:before="80" w:after="80" w:line="160" w:lineRule="exact"/>
              <w:ind w:right="40"/>
              <w:jc w:val="right"/>
              <w:rPr>
                <w:i/>
                <w:sz w:val="14"/>
              </w:rPr>
            </w:pPr>
            <w:r w:rsidRPr="004B5987">
              <w:rPr>
                <w:i/>
                <w:sz w:val="14"/>
              </w:rPr>
              <w:t>Изнасилования</w:t>
            </w:r>
          </w:p>
        </w:tc>
        <w:tc>
          <w:tcPr>
            <w:tcW w:w="1608" w:type="dxa"/>
            <w:tcBorders>
              <w:top w:val="single" w:sz="4" w:space="0" w:color="auto"/>
              <w:bottom w:val="single" w:sz="12" w:space="0" w:color="auto"/>
            </w:tcBorders>
            <w:vAlign w:val="bottom"/>
          </w:tcPr>
          <w:p w:rsidR="00697A59" w:rsidRPr="004B5987" w:rsidRDefault="00697A59" w:rsidP="004B5987">
            <w:pPr>
              <w:tabs>
                <w:tab w:val="left" w:pos="288"/>
                <w:tab w:val="left" w:pos="576"/>
                <w:tab w:val="left" w:pos="864"/>
                <w:tab w:val="left" w:pos="1152"/>
              </w:tabs>
              <w:spacing w:before="80" w:after="80" w:line="160" w:lineRule="exact"/>
              <w:ind w:right="40"/>
              <w:jc w:val="right"/>
              <w:rPr>
                <w:i/>
                <w:sz w:val="14"/>
              </w:rPr>
            </w:pPr>
            <w:r w:rsidRPr="004B5987">
              <w:rPr>
                <w:i/>
                <w:sz w:val="14"/>
              </w:rPr>
              <w:t>Число пострада</w:t>
            </w:r>
            <w:r w:rsidRPr="004B5987">
              <w:rPr>
                <w:i/>
                <w:sz w:val="14"/>
              </w:rPr>
              <w:t>в</w:t>
            </w:r>
            <w:r w:rsidRPr="004B5987">
              <w:rPr>
                <w:i/>
                <w:sz w:val="14"/>
              </w:rPr>
              <w:t>ших-женщин</w:t>
            </w:r>
          </w:p>
        </w:tc>
      </w:tr>
      <w:tr w:rsidR="00697A59" w:rsidRPr="005179C3" w:rsidTr="00BA168A">
        <w:trPr>
          <w:trHeight w:val="240"/>
        </w:trPr>
        <w:tc>
          <w:tcPr>
            <w:tcW w:w="930" w:type="dxa"/>
            <w:tcBorders>
              <w:top w:val="single" w:sz="12" w:space="0" w:color="auto"/>
            </w:tcBorders>
          </w:tcPr>
          <w:p w:rsidR="00697A59" w:rsidRPr="005179C3" w:rsidRDefault="00697A59" w:rsidP="004B5987">
            <w:pPr>
              <w:pStyle w:val="SingleTxtG"/>
              <w:suppressAutoHyphens w:val="0"/>
              <w:spacing w:before="40" w:after="40" w:line="210" w:lineRule="exact"/>
              <w:ind w:left="0" w:right="0"/>
              <w:jc w:val="left"/>
              <w:rPr>
                <w:sz w:val="18"/>
                <w:szCs w:val="18"/>
                <w:lang w:val="ru-RU"/>
              </w:rPr>
            </w:pPr>
            <w:r w:rsidRPr="005179C3">
              <w:rPr>
                <w:sz w:val="18"/>
                <w:szCs w:val="18"/>
                <w:lang w:val="ru-RU"/>
              </w:rPr>
              <w:t>2011</w:t>
            </w:r>
          </w:p>
        </w:tc>
        <w:tc>
          <w:tcPr>
            <w:tcW w:w="1687" w:type="dxa"/>
            <w:tcBorders>
              <w:top w:val="single" w:sz="12" w:space="0" w:color="auto"/>
            </w:tcBorders>
            <w:vAlign w:val="bottom"/>
          </w:tcPr>
          <w:p w:rsidR="00697A59" w:rsidRPr="005179C3" w:rsidRDefault="00697A59" w:rsidP="004B5987">
            <w:pPr>
              <w:pStyle w:val="SingleTxtG"/>
              <w:suppressAutoHyphens w:val="0"/>
              <w:spacing w:before="40" w:after="40" w:line="210" w:lineRule="exact"/>
              <w:ind w:left="113" w:right="0"/>
              <w:jc w:val="right"/>
              <w:rPr>
                <w:sz w:val="18"/>
                <w:szCs w:val="18"/>
                <w:lang w:val="ru-RU"/>
              </w:rPr>
            </w:pPr>
            <w:r w:rsidRPr="005179C3">
              <w:rPr>
                <w:sz w:val="18"/>
                <w:szCs w:val="18"/>
                <w:lang w:val="ru-RU"/>
              </w:rPr>
              <w:t>459</w:t>
            </w:r>
          </w:p>
        </w:tc>
        <w:tc>
          <w:tcPr>
            <w:tcW w:w="1608" w:type="dxa"/>
            <w:tcBorders>
              <w:top w:val="single" w:sz="12" w:space="0" w:color="auto"/>
            </w:tcBorders>
            <w:vAlign w:val="bottom"/>
          </w:tcPr>
          <w:p w:rsidR="00697A59" w:rsidRPr="005179C3" w:rsidRDefault="00697A59" w:rsidP="004B5987">
            <w:pPr>
              <w:pStyle w:val="SingleTxtG"/>
              <w:suppressAutoHyphens w:val="0"/>
              <w:spacing w:before="40" w:after="40" w:line="210" w:lineRule="exact"/>
              <w:ind w:left="113" w:right="0"/>
              <w:jc w:val="right"/>
              <w:rPr>
                <w:sz w:val="18"/>
                <w:szCs w:val="18"/>
                <w:lang w:val="ru-RU"/>
              </w:rPr>
            </w:pPr>
            <w:r w:rsidRPr="005179C3">
              <w:rPr>
                <w:sz w:val="18"/>
                <w:szCs w:val="18"/>
                <w:lang w:val="ru-RU"/>
              </w:rPr>
              <w:t>408</w:t>
            </w:r>
          </w:p>
        </w:tc>
        <w:tc>
          <w:tcPr>
            <w:tcW w:w="1537" w:type="dxa"/>
            <w:tcBorders>
              <w:top w:val="single" w:sz="12" w:space="0" w:color="auto"/>
            </w:tcBorders>
            <w:vAlign w:val="bottom"/>
          </w:tcPr>
          <w:p w:rsidR="00697A59" w:rsidRPr="005179C3" w:rsidRDefault="00697A59" w:rsidP="004B5987">
            <w:pPr>
              <w:pStyle w:val="SingleTxtG"/>
              <w:suppressAutoHyphens w:val="0"/>
              <w:spacing w:before="40" w:after="40" w:line="210" w:lineRule="exact"/>
              <w:ind w:left="113" w:right="0"/>
              <w:jc w:val="right"/>
              <w:rPr>
                <w:sz w:val="18"/>
                <w:szCs w:val="18"/>
                <w:lang w:val="ru-RU"/>
              </w:rPr>
            </w:pPr>
            <w:r w:rsidRPr="005179C3">
              <w:rPr>
                <w:sz w:val="18"/>
                <w:szCs w:val="18"/>
                <w:lang w:val="ru-RU"/>
              </w:rPr>
              <w:t>81</w:t>
            </w:r>
          </w:p>
        </w:tc>
        <w:tc>
          <w:tcPr>
            <w:tcW w:w="1608" w:type="dxa"/>
            <w:tcBorders>
              <w:top w:val="single" w:sz="12" w:space="0" w:color="auto"/>
            </w:tcBorders>
            <w:vAlign w:val="bottom"/>
          </w:tcPr>
          <w:p w:rsidR="00697A59" w:rsidRPr="005179C3" w:rsidRDefault="00697A59" w:rsidP="004B5987">
            <w:pPr>
              <w:pStyle w:val="SingleTxtG"/>
              <w:suppressAutoHyphens w:val="0"/>
              <w:spacing w:before="40" w:after="40" w:line="210" w:lineRule="exact"/>
              <w:ind w:left="113" w:right="0"/>
              <w:jc w:val="right"/>
              <w:rPr>
                <w:sz w:val="18"/>
                <w:szCs w:val="18"/>
                <w:lang w:val="ru-RU"/>
              </w:rPr>
            </w:pPr>
            <w:r w:rsidRPr="005179C3">
              <w:rPr>
                <w:sz w:val="18"/>
                <w:szCs w:val="18"/>
                <w:lang w:val="ru-RU"/>
              </w:rPr>
              <w:t>76</w:t>
            </w:r>
          </w:p>
        </w:tc>
      </w:tr>
      <w:tr w:rsidR="00697A59" w:rsidRPr="005179C3" w:rsidTr="00BA168A">
        <w:trPr>
          <w:trHeight w:val="240"/>
        </w:trPr>
        <w:tc>
          <w:tcPr>
            <w:tcW w:w="930" w:type="dxa"/>
          </w:tcPr>
          <w:p w:rsidR="00697A59" w:rsidRPr="005179C3" w:rsidRDefault="00697A59" w:rsidP="004B5987">
            <w:pPr>
              <w:pStyle w:val="SingleTxtG"/>
              <w:suppressAutoHyphens w:val="0"/>
              <w:spacing w:before="40" w:after="40" w:line="210" w:lineRule="exact"/>
              <w:ind w:left="0" w:right="0"/>
              <w:jc w:val="left"/>
              <w:rPr>
                <w:sz w:val="18"/>
                <w:szCs w:val="18"/>
                <w:lang w:val="ru-RU"/>
              </w:rPr>
            </w:pPr>
            <w:r w:rsidRPr="005179C3">
              <w:rPr>
                <w:sz w:val="18"/>
                <w:szCs w:val="18"/>
                <w:lang w:val="ru-RU"/>
              </w:rPr>
              <w:t>2012</w:t>
            </w:r>
          </w:p>
        </w:tc>
        <w:tc>
          <w:tcPr>
            <w:tcW w:w="1687" w:type="dxa"/>
            <w:vAlign w:val="bottom"/>
          </w:tcPr>
          <w:p w:rsidR="00697A59" w:rsidRPr="005179C3" w:rsidRDefault="00697A59" w:rsidP="004B5987">
            <w:pPr>
              <w:pStyle w:val="SingleTxtG"/>
              <w:suppressAutoHyphens w:val="0"/>
              <w:spacing w:before="40" w:after="40" w:line="210" w:lineRule="exact"/>
              <w:ind w:left="113" w:right="0"/>
              <w:jc w:val="right"/>
              <w:rPr>
                <w:sz w:val="18"/>
                <w:szCs w:val="18"/>
                <w:lang w:val="ru-RU"/>
              </w:rPr>
            </w:pPr>
            <w:r w:rsidRPr="005179C3">
              <w:rPr>
                <w:sz w:val="18"/>
                <w:szCs w:val="18"/>
                <w:lang w:val="ru-RU"/>
              </w:rPr>
              <w:t>367</w:t>
            </w:r>
          </w:p>
        </w:tc>
        <w:tc>
          <w:tcPr>
            <w:tcW w:w="1608" w:type="dxa"/>
            <w:vAlign w:val="bottom"/>
          </w:tcPr>
          <w:p w:rsidR="00697A59" w:rsidRPr="005179C3" w:rsidRDefault="00697A59" w:rsidP="004B5987">
            <w:pPr>
              <w:pStyle w:val="SingleTxtG"/>
              <w:suppressAutoHyphens w:val="0"/>
              <w:spacing w:before="40" w:after="40" w:line="210" w:lineRule="exact"/>
              <w:ind w:left="113" w:right="0"/>
              <w:jc w:val="right"/>
              <w:rPr>
                <w:sz w:val="18"/>
                <w:szCs w:val="18"/>
                <w:lang w:val="ru-RU"/>
              </w:rPr>
            </w:pPr>
            <w:r w:rsidRPr="005179C3">
              <w:rPr>
                <w:sz w:val="18"/>
                <w:szCs w:val="18"/>
                <w:lang w:val="ru-RU"/>
              </w:rPr>
              <w:t>317</w:t>
            </w:r>
          </w:p>
        </w:tc>
        <w:tc>
          <w:tcPr>
            <w:tcW w:w="1537" w:type="dxa"/>
            <w:vAlign w:val="bottom"/>
          </w:tcPr>
          <w:p w:rsidR="00697A59" w:rsidRPr="005179C3" w:rsidRDefault="00697A59" w:rsidP="004B5987">
            <w:pPr>
              <w:pStyle w:val="SingleTxtG"/>
              <w:suppressAutoHyphens w:val="0"/>
              <w:spacing w:before="40" w:after="40" w:line="210" w:lineRule="exact"/>
              <w:ind w:left="113" w:right="0"/>
              <w:jc w:val="right"/>
              <w:rPr>
                <w:sz w:val="18"/>
                <w:szCs w:val="18"/>
                <w:lang w:val="ru-RU"/>
              </w:rPr>
            </w:pPr>
            <w:r w:rsidRPr="005179C3">
              <w:rPr>
                <w:sz w:val="18"/>
                <w:szCs w:val="18"/>
                <w:lang w:val="ru-RU"/>
              </w:rPr>
              <w:t>89</w:t>
            </w:r>
          </w:p>
        </w:tc>
        <w:tc>
          <w:tcPr>
            <w:tcW w:w="1608" w:type="dxa"/>
            <w:vAlign w:val="bottom"/>
          </w:tcPr>
          <w:p w:rsidR="00697A59" w:rsidRPr="005179C3" w:rsidRDefault="00697A59" w:rsidP="004B5987">
            <w:pPr>
              <w:pStyle w:val="SingleTxtG"/>
              <w:suppressAutoHyphens w:val="0"/>
              <w:spacing w:before="40" w:after="40" w:line="210" w:lineRule="exact"/>
              <w:ind w:left="113" w:right="0"/>
              <w:jc w:val="right"/>
              <w:rPr>
                <w:sz w:val="18"/>
                <w:szCs w:val="18"/>
                <w:lang w:val="ru-RU"/>
              </w:rPr>
            </w:pPr>
            <w:r w:rsidRPr="005179C3">
              <w:rPr>
                <w:sz w:val="18"/>
                <w:szCs w:val="18"/>
                <w:lang w:val="ru-RU"/>
              </w:rPr>
              <w:t>88</w:t>
            </w:r>
          </w:p>
        </w:tc>
      </w:tr>
      <w:tr w:rsidR="00697A59" w:rsidRPr="005179C3" w:rsidTr="00BA168A">
        <w:trPr>
          <w:trHeight w:val="240"/>
        </w:trPr>
        <w:tc>
          <w:tcPr>
            <w:tcW w:w="930" w:type="dxa"/>
          </w:tcPr>
          <w:p w:rsidR="00697A59" w:rsidRPr="005179C3" w:rsidRDefault="00697A59" w:rsidP="004B5987">
            <w:pPr>
              <w:pStyle w:val="SingleTxtG"/>
              <w:suppressAutoHyphens w:val="0"/>
              <w:spacing w:before="40" w:after="40" w:line="210" w:lineRule="exact"/>
              <w:ind w:left="0" w:right="0"/>
              <w:jc w:val="left"/>
              <w:rPr>
                <w:sz w:val="18"/>
                <w:szCs w:val="18"/>
                <w:lang w:val="ru-RU"/>
              </w:rPr>
            </w:pPr>
            <w:r w:rsidRPr="005179C3">
              <w:rPr>
                <w:sz w:val="18"/>
                <w:szCs w:val="18"/>
                <w:lang w:val="ru-RU"/>
              </w:rPr>
              <w:t>2013</w:t>
            </w:r>
          </w:p>
        </w:tc>
        <w:tc>
          <w:tcPr>
            <w:tcW w:w="1687" w:type="dxa"/>
            <w:vAlign w:val="bottom"/>
          </w:tcPr>
          <w:p w:rsidR="00697A59" w:rsidRPr="005179C3" w:rsidRDefault="00697A59" w:rsidP="004B5987">
            <w:pPr>
              <w:pStyle w:val="SingleTxtG"/>
              <w:suppressAutoHyphens w:val="0"/>
              <w:spacing w:before="40" w:after="40" w:line="210" w:lineRule="exact"/>
              <w:ind w:left="113" w:right="0"/>
              <w:jc w:val="right"/>
              <w:rPr>
                <w:sz w:val="18"/>
                <w:szCs w:val="18"/>
                <w:lang w:val="ru-RU"/>
              </w:rPr>
            </w:pPr>
            <w:r w:rsidRPr="005179C3">
              <w:rPr>
                <w:sz w:val="18"/>
                <w:szCs w:val="18"/>
                <w:lang w:val="ru-RU"/>
              </w:rPr>
              <w:t>600</w:t>
            </w:r>
          </w:p>
        </w:tc>
        <w:tc>
          <w:tcPr>
            <w:tcW w:w="1608" w:type="dxa"/>
            <w:vAlign w:val="bottom"/>
          </w:tcPr>
          <w:p w:rsidR="00697A59" w:rsidRPr="005179C3" w:rsidRDefault="00697A59" w:rsidP="004B5987">
            <w:pPr>
              <w:pStyle w:val="SingleTxtG"/>
              <w:suppressAutoHyphens w:val="0"/>
              <w:spacing w:before="40" w:after="40" w:line="210" w:lineRule="exact"/>
              <w:ind w:left="113" w:right="0"/>
              <w:jc w:val="right"/>
              <w:rPr>
                <w:sz w:val="18"/>
                <w:szCs w:val="18"/>
                <w:lang w:val="ru-RU"/>
              </w:rPr>
            </w:pPr>
            <w:r w:rsidRPr="005179C3">
              <w:rPr>
                <w:sz w:val="18"/>
                <w:szCs w:val="18"/>
                <w:lang w:val="ru-RU"/>
              </w:rPr>
              <w:t>547</w:t>
            </w:r>
          </w:p>
        </w:tc>
        <w:tc>
          <w:tcPr>
            <w:tcW w:w="1537" w:type="dxa"/>
            <w:vAlign w:val="bottom"/>
          </w:tcPr>
          <w:p w:rsidR="00697A59" w:rsidRPr="005179C3" w:rsidRDefault="00697A59" w:rsidP="004B5987">
            <w:pPr>
              <w:pStyle w:val="SingleTxtG"/>
              <w:suppressAutoHyphens w:val="0"/>
              <w:spacing w:before="40" w:after="40" w:line="210" w:lineRule="exact"/>
              <w:ind w:left="113" w:right="0"/>
              <w:jc w:val="right"/>
              <w:rPr>
                <w:sz w:val="18"/>
                <w:szCs w:val="18"/>
                <w:lang w:val="ru-RU"/>
              </w:rPr>
            </w:pPr>
            <w:r w:rsidRPr="005179C3">
              <w:rPr>
                <w:sz w:val="18"/>
                <w:szCs w:val="18"/>
                <w:lang w:val="ru-RU"/>
              </w:rPr>
              <w:t>94</w:t>
            </w:r>
          </w:p>
        </w:tc>
        <w:tc>
          <w:tcPr>
            <w:tcW w:w="1608" w:type="dxa"/>
            <w:vAlign w:val="bottom"/>
          </w:tcPr>
          <w:p w:rsidR="00697A59" w:rsidRPr="005179C3" w:rsidRDefault="00697A59" w:rsidP="004B5987">
            <w:pPr>
              <w:pStyle w:val="SingleTxtG"/>
              <w:suppressAutoHyphens w:val="0"/>
              <w:spacing w:before="40" w:after="40" w:line="210" w:lineRule="exact"/>
              <w:ind w:left="113" w:right="0"/>
              <w:jc w:val="right"/>
              <w:rPr>
                <w:sz w:val="18"/>
                <w:szCs w:val="18"/>
                <w:lang w:val="ru-RU"/>
              </w:rPr>
            </w:pPr>
            <w:r w:rsidRPr="005179C3">
              <w:rPr>
                <w:sz w:val="18"/>
                <w:szCs w:val="18"/>
                <w:lang w:val="ru-RU"/>
              </w:rPr>
              <w:t>94</w:t>
            </w:r>
          </w:p>
        </w:tc>
      </w:tr>
      <w:tr w:rsidR="00697A59" w:rsidRPr="005179C3" w:rsidTr="00BA168A">
        <w:trPr>
          <w:trHeight w:val="240"/>
        </w:trPr>
        <w:tc>
          <w:tcPr>
            <w:tcW w:w="930" w:type="dxa"/>
            <w:tcBorders>
              <w:bottom w:val="single" w:sz="12" w:space="0" w:color="auto"/>
            </w:tcBorders>
          </w:tcPr>
          <w:p w:rsidR="00697A59" w:rsidRPr="005179C3" w:rsidRDefault="00697A59" w:rsidP="004B5987">
            <w:pPr>
              <w:pStyle w:val="SingleTxtG"/>
              <w:suppressAutoHyphens w:val="0"/>
              <w:spacing w:before="40" w:line="210" w:lineRule="exact"/>
              <w:ind w:left="0" w:right="0"/>
              <w:jc w:val="left"/>
              <w:rPr>
                <w:sz w:val="18"/>
                <w:szCs w:val="18"/>
                <w:lang w:val="ru-RU"/>
              </w:rPr>
            </w:pPr>
            <w:r w:rsidRPr="005179C3">
              <w:rPr>
                <w:sz w:val="18"/>
                <w:szCs w:val="18"/>
                <w:lang w:val="ru-RU"/>
              </w:rPr>
              <w:t>2014</w:t>
            </w:r>
          </w:p>
        </w:tc>
        <w:tc>
          <w:tcPr>
            <w:tcW w:w="1687" w:type="dxa"/>
            <w:tcBorders>
              <w:bottom w:val="single" w:sz="12" w:space="0" w:color="auto"/>
            </w:tcBorders>
            <w:vAlign w:val="bottom"/>
          </w:tcPr>
          <w:p w:rsidR="00697A59" w:rsidRPr="005179C3" w:rsidRDefault="00697A59" w:rsidP="004B5987">
            <w:pPr>
              <w:pStyle w:val="SingleTxtG"/>
              <w:suppressAutoHyphens w:val="0"/>
              <w:spacing w:before="40" w:line="210" w:lineRule="exact"/>
              <w:ind w:left="113" w:right="0"/>
              <w:jc w:val="right"/>
              <w:rPr>
                <w:sz w:val="18"/>
                <w:szCs w:val="18"/>
                <w:lang w:val="ru-RU"/>
              </w:rPr>
            </w:pPr>
            <w:r w:rsidRPr="005179C3">
              <w:rPr>
                <w:sz w:val="18"/>
                <w:szCs w:val="18"/>
                <w:lang w:val="ru-RU"/>
              </w:rPr>
              <w:t>680</w:t>
            </w:r>
          </w:p>
        </w:tc>
        <w:tc>
          <w:tcPr>
            <w:tcW w:w="1608" w:type="dxa"/>
            <w:tcBorders>
              <w:bottom w:val="single" w:sz="12" w:space="0" w:color="auto"/>
            </w:tcBorders>
            <w:vAlign w:val="bottom"/>
          </w:tcPr>
          <w:p w:rsidR="00697A59" w:rsidRPr="005179C3" w:rsidRDefault="00697A59" w:rsidP="004B5987">
            <w:pPr>
              <w:pStyle w:val="SingleTxtG"/>
              <w:suppressAutoHyphens w:val="0"/>
              <w:spacing w:before="40" w:line="210" w:lineRule="exact"/>
              <w:ind w:left="113" w:right="0"/>
              <w:jc w:val="right"/>
              <w:rPr>
                <w:sz w:val="18"/>
                <w:szCs w:val="18"/>
                <w:lang w:val="ru-RU"/>
              </w:rPr>
            </w:pPr>
            <w:r w:rsidRPr="005179C3">
              <w:rPr>
                <w:sz w:val="18"/>
                <w:szCs w:val="18"/>
                <w:lang w:val="ru-RU"/>
              </w:rPr>
              <w:t>592</w:t>
            </w:r>
          </w:p>
        </w:tc>
        <w:tc>
          <w:tcPr>
            <w:tcW w:w="1537" w:type="dxa"/>
            <w:tcBorders>
              <w:bottom w:val="single" w:sz="12" w:space="0" w:color="auto"/>
            </w:tcBorders>
            <w:vAlign w:val="bottom"/>
          </w:tcPr>
          <w:p w:rsidR="00697A59" w:rsidRPr="005179C3" w:rsidRDefault="00697A59" w:rsidP="004B5987">
            <w:pPr>
              <w:pStyle w:val="SingleTxtG"/>
              <w:suppressAutoHyphens w:val="0"/>
              <w:spacing w:before="40" w:line="210" w:lineRule="exact"/>
              <w:ind w:left="113" w:right="0"/>
              <w:jc w:val="right"/>
              <w:rPr>
                <w:sz w:val="18"/>
                <w:szCs w:val="18"/>
                <w:lang w:val="ru-RU"/>
              </w:rPr>
            </w:pPr>
            <w:r w:rsidRPr="005179C3">
              <w:rPr>
                <w:sz w:val="18"/>
                <w:szCs w:val="18"/>
                <w:lang w:val="ru-RU"/>
              </w:rPr>
              <w:t>99</w:t>
            </w:r>
          </w:p>
        </w:tc>
        <w:tc>
          <w:tcPr>
            <w:tcW w:w="1608" w:type="dxa"/>
            <w:tcBorders>
              <w:bottom w:val="single" w:sz="12" w:space="0" w:color="auto"/>
            </w:tcBorders>
            <w:vAlign w:val="bottom"/>
          </w:tcPr>
          <w:p w:rsidR="00697A59" w:rsidRPr="005179C3" w:rsidRDefault="00697A59" w:rsidP="004B5987">
            <w:pPr>
              <w:pStyle w:val="SingleTxtG"/>
              <w:suppressAutoHyphens w:val="0"/>
              <w:spacing w:before="40" w:line="210" w:lineRule="exact"/>
              <w:ind w:left="113" w:right="0"/>
              <w:jc w:val="right"/>
              <w:rPr>
                <w:sz w:val="18"/>
                <w:szCs w:val="18"/>
                <w:lang w:val="ru-RU"/>
              </w:rPr>
            </w:pPr>
            <w:r w:rsidRPr="005179C3">
              <w:rPr>
                <w:sz w:val="18"/>
                <w:szCs w:val="18"/>
                <w:lang w:val="ru-RU"/>
              </w:rPr>
              <w:t>87</w:t>
            </w:r>
          </w:p>
        </w:tc>
      </w:tr>
    </w:tbl>
    <w:p w:rsidR="00BA168A" w:rsidRPr="00BA168A" w:rsidRDefault="00BA168A" w:rsidP="00BA168A">
      <w:pPr>
        <w:pStyle w:val="SingleTxtG"/>
        <w:spacing w:after="0" w:line="120" w:lineRule="exact"/>
        <w:rPr>
          <w:bCs/>
          <w:i/>
          <w:iCs/>
          <w:sz w:val="10"/>
          <w:szCs w:val="18"/>
          <w:lang w:val="ru-RU"/>
        </w:rPr>
      </w:pPr>
    </w:p>
    <w:p w:rsidR="00697A59" w:rsidRPr="000E719B" w:rsidRDefault="00697A59" w:rsidP="00697A59">
      <w:pPr>
        <w:pStyle w:val="SingleTxtG"/>
        <w:spacing w:line="480" w:lineRule="auto"/>
        <w:rPr>
          <w:i/>
          <w:iCs/>
          <w:sz w:val="24"/>
          <w:szCs w:val="24"/>
          <w:lang w:val="ru-RU"/>
        </w:rPr>
      </w:pPr>
      <w:r w:rsidRPr="005179C3">
        <w:rPr>
          <w:bCs/>
          <w:i/>
          <w:iCs/>
          <w:sz w:val="18"/>
          <w:szCs w:val="18"/>
          <w:lang w:val="ru-RU"/>
        </w:rPr>
        <w:t>Источник: Министерство внутренних дел, 2015 год.</w:t>
      </w:r>
    </w:p>
    <w:p w:rsidR="00BA168A" w:rsidRPr="00BA168A" w:rsidRDefault="00BA168A" w:rsidP="00BA168A">
      <w:pPr>
        <w:pStyle w:val="SingleTxt"/>
        <w:spacing w:after="0" w:line="120" w:lineRule="exact"/>
        <w:rPr>
          <w:sz w:val="10"/>
        </w:rPr>
      </w:pPr>
    </w:p>
    <w:p w:rsidR="00BA168A" w:rsidRPr="00BA168A" w:rsidRDefault="00BA168A" w:rsidP="00BA168A">
      <w:pPr>
        <w:pStyle w:val="SingleTxt"/>
        <w:spacing w:after="0" w:line="120" w:lineRule="exact"/>
        <w:rPr>
          <w:sz w:val="10"/>
        </w:rPr>
      </w:pPr>
    </w:p>
    <w:p w:rsidR="00BA168A" w:rsidRPr="00BA168A" w:rsidRDefault="00BA168A" w:rsidP="00BA168A">
      <w:pPr>
        <w:pStyle w:val="SingleTxt"/>
        <w:spacing w:after="0" w:line="120" w:lineRule="exact"/>
        <w:rPr>
          <w:sz w:val="10"/>
        </w:rPr>
      </w:pPr>
    </w:p>
    <w:p w:rsidR="00697A59" w:rsidRPr="005179C3" w:rsidRDefault="00BA168A" w:rsidP="00BA168A">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97A59" w:rsidRPr="005179C3">
        <w:t>Таблица 4</w:t>
      </w:r>
    </w:p>
    <w:p w:rsidR="00697A59" w:rsidRDefault="00BA168A" w:rsidP="00BA1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97A59" w:rsidRPr="005179C3">
        <w:t xml:space="preserve">Число лиц, обвиненных в совершении актов насилия в семье, и меры наказания, вынесенные в соответствии со статьей 4 </w:t>
      </w:r>
      <w:r w:rsidR="00697A59" w:rsidRPr="005179C3">
        <w:rPr>
          <w:i/>
        </w:rPr>
        <w:t>Закона о защите от насилия в семье</w:t>
      </w:r>
      <w:r w:rsidR="00697A59" w:rsidRPr="005179C3">
        <w:t xml:space="preserve">, в период с 2012 года по 30 июня 2014 года </w:t>
      </w:r>
    </w:p>
    <w:p w:rsidR="00BA168A" w:rsidRDefault="00BA168A" w:rsidP="00BA168A">
      <w:pPr>
        <w:pStyle w:val="SingleTxt"/>
        <w:spacing w:after="0" w:line="120" w:lineRule="exact"/>
        <w:rPr>
          <w:sz w:val="10"/>
        </w:rPr>
      </w:pPr>
    </w:p>
    <w:tbl>
      <w:tblPr>
        <w:tblW w:w="8613" w:type="dxa"/>
        <w:tblInd w:w="1260" w:type="dxa"/>
        <w:tblLayout w:type="fixed"/>
        <w:tblCellMar>
          <w:left w:w="0" w:type="dxa"/>
          <w:right w:w="0" w:type="dxa"/>
        </w:tblCellMar>
        <w:tblLook w:val="0000"/>
      </w:tblPr>
      <w:tblGrid>
        <w:gridCol w:w="3681"/>
        <w:gridCol w:w="621"/>
        <w:gridCol w:w="558"/>
        <w:gridCol w:w="108"/>
        <w:gridCol w:w="495"/>
        <w:gridCol w:w="553"/>
        <w:gridCol w:w="86"/>
        <w:gridCol w:w="693"/>
        <w:gridCol w:w="639"/>
        <w:gridCol w:w="63"/>
        <w:gridCol w:w="486"/>
        <w:gridCol w:w="630"/>
      </w:tblGrid>
      <w:tr w:rsidR="004B5987" w:rsidRPr="008F5480" w:rsidTr="00CF4575">
        <w:tblPrEx>
          <w:tblCellMar>
            <w:top w:w="0" w:type="dxa"/>
            <w:bottom w:w="0" w:type="dxa"/>
          </w:tblCellMar>
        </w:tblPrEx>
        <w:trPr>
          <w:tblHeader/>
        </w:trPr>
        <w:tc>
          <w:tcPr>
            <w:tcW w:w="3681" w:type="dxa"/>
            <w:tcBorders>
              <w:top w:val="single" w:sz="4" w:space="0" w:color="auto"/>
            </w:tcBorders>
            <w:shd w:val="clear" w:color="auto" w:fill="auto"/>
            <w:vAlign w:val="bottom"/>
          </w:tcPr>
          <w:p w:rsidR="004B5987" w:rsidRPr="008F5480" w:rsidRDefault="004B5987" w:rsidP="004B5987">
            <w:pPr>
              <w:tabs>
                <w:tab w:val="left" w:pos="288"/>
                <w:tab w:val="left" w:pos="576"/>
                <w:tab w:val="left" w:pos="864"/>
                <w:tab w:val="left" w:pos="1152"/>
              </w:tabs>
              <w:spacing w:before="80" w:after="40" w:line="160" w:lineRule="exact"/>
              <w:ind w:right="40"/>
              <w:rPr>
                <w:i/>
                <w:sz w:val="14"/>
              </w:rPr>
            </w:pPr>
          </w:p>
        </w:tc>
        <w:tc>
          <w:tcPr>
            <w:tcW w:w="1179" w:type="dxa"/>
            <w:gridSpan w:val="2"/>
            <w:tcBorders>
              <w:top w:val="single" w:sz="4" w:space="0" w:color="auto"/>
              <w:bottom w:val="single" w:sz="4" w:space="0" w:color="auto"/>
            </w:tcBorders>
            <w:shd w:val="clear" w:color="auto" w:fill="auto"/>
            <w:vAlign w:val="bottom"/>
          </w:tcPr>
          <w:p w:rsidR="004B5987" w:rsidRPr="008F5480" w:rsidRDefault="004B5987" w:rsidP="004B5987">
            <w:pPr>
              <w:tabs>
                <w:tab w:val="left" w:pos="288"/>
                <w:tab w:val="left" w:pos="576"/>
                <w:tab w:val="left" w:pos="864"/>
                <w:tab w:val="left" w:pos="1152"/>
              </w:tabs>
              <w:spacing w:before="80" w:after="40" w:line="160" w:lineRule="exact"/>
              <w:ind w:right="43"/>
              <w:jc w:val="center"/>
              <w:rPr>
                <w:i/>
                <w:sz w:val="14"/>
              </w:rPr>
            </w:pPr>
            <w:r w:rsidRPr="008F5480">
              <w:rPr>
                <w:i/>
                <w:sz w:val="14"/>
              </w:rPr>
              <w:t>2012</w:t>
            </w:r>
            <w:r>
              <w:rPr>
                <w:i/>
                <w:sz w:val="14"/>
              </w:rPr>
              <w:t xml:space="preserve"> год</w:t>
            </w:r>
          </w:p>
        </w:tc>
        <w:tc>
          <w:tcPr>
            <w:tcW w:w="108" w:type="dxa"/>
            <w:tcBorders>
              <w:top w:val="single" w:sz="4" w:space="0" w:color="auto"/>
            </w:tcBorders>
            <w:shd w:val="clear" w:color="auto" w:fill="auto"/>
            <w:vAlign w:val="bottom"/>
          </w:tcPr>
          <w:p w:rsidR="004B5987" w:rsidRPr="008F5480" w:rsidRDefault="004B5987" w:rsidP="004B5987">
            <w:pPr>
              <w:tabs>
                <w:tab w:val="left" w:pos="288"/>
                <w:tab w:val="left" w:pos="576"/>
                <w:tab w:val="left" w:pos="864"/>
                <w:tab w:val="left" w:pos="1152"/>
              </w:tabs>
              <w:spacing w:before="80" w:after="40" w:line="160" w:lineRule="exact"/>
              <w:ind w:right="43"/>
              <w:jc w:val="center"/>
              <w:rPr>
                <w:i/>
                <w:sz w:val="14"/>
              </w:rPr>
            </w:pPr>
          </w:p>
        </w:tc>
        <w:tc>
          <w:tcPr>
            <w:tcW w:w="1048" w:type="dxa"/>
            <w:gridSpan w:val="2"/>
            <w:tcBorders>
              <w:top w:val="single" w:sz="4" w:space="0" w:color="auto"/>
              <w:bottom w:val="single" w:sz="4" w:space="0" w:color="auto"/>
            </w:tcBorders>
            <w:shd w:val="clear" w:color="auto" w:fill="auto"/>
            <w:vAlign w:val="bottom"/>
          </w:tcPr>
          <w:p w:rsidR="004B5987" w:rsidRPr="008F5480" w:rsidRDefault="004B5987" w:rsidP="004B5987">
            <w:pPr>
              <w:tabs>
                <w:tab w:val="left" w:pos="288"/>
                <w:tab w:val="left" w:pos="576"/>
                <w:tab w:val="left" w:pos="864"/>
                <w:tab w:val="left" w:pos="1152"/>
              </w:tabs>
              <w:spacing w:before="80" w:after="40" w:line="160" w:lineRule="exact"/>
              <w:ind w:right="43"/>
              <w:jc w:val="center"/>
              <w:rPr>
                <w:i/>
                <w:sz w:val="14"/>
              </w:rPr>
            </w:pPr>
            <w:r w:rsidRPr="008F5480">
              <w:rPr>
                <w:i/>
                <w:sz w:val="14"/>
              </w:rPr>
              <w:t>2013</w:t>
            </w:r>
            <w:r>
              <w:rPr>
                <w:i/>
                <w:sz w:val="14"/>
              </w:rPr>
              <w:t xml:space="preserve"> год</w:t>
            </w:r>
          </w:p>
        </w:tc>
        <w:tc>
          <w:tcPr>
            <w:tcW w:w="86" w:type="dxa"/>
            <w:tcBorders>
              <w:top w:val="single" w:sz="4" w:space="0" w:color="auto"/>
            </w:tcBorders>
            <w:shd w:val="clear" w:color="auto" w:fill="auto"/>
            <w:vAlign w:val="bottom"/>
          </w:tcPr>
          <w:p w:rsidR="004B5987" w:rsidRPr="008F5480" w:rsidRDefault="004B5987" w:rsidP="004B5987">
            <w:pPr>
              <w:tabs>
                <w:tab w:val="left" w:pos="288"/>
                <w:tab w:val="left" w:pos="576"/>
                <w:tab w:val="left" w:pos="864"/>
                <w:tab w:val="left" w:pos="1152"/>
              </w:tabs>
              <w:spacing w:before="80" w:after="40" w:line="160" w:lineRule="exact"/>
              <w:ind w:right="43"/>
              <w:jc w:val="center"/>
              <w:rPr>
                <w:i/>
                <w:sz w:val="14"/>
              </w:rPr>
            </w:pPr>
          </w:p>
        </w:tc>
        <w:tc>
          <w:tcPr>
            <w:tcW w:w="1332" w:type="dxa"/>
            <w:gridSpan w:val="2"/>
            <w:tcBorders>
              <w:top w:val="single" w:sz="4" w:space="0" w:color="auto"/>
              <w:bottom w:val="single" w:sz="4" w:space="0" w:color="auto"/>
            </w:tcBorders>
            <w:shd w:val="clear" w:color="auto" w:fill="auto"/>
            <w:vAlign w:val="bottom"/>
          </w:tcPr>
          <w:p w:rsidR="004B5987" w:rsidRPr="008F5480" w:rsidRDefault="004B5987" w:rsidP="004B5987">
            <w:pPr>
              <w:tabs>
                <w:tab w:val="left" w:pos="288"/>
                <w:tab w:val="left" w:pos="576"/>
                <w:tab w:val="left" w:pos="864"/>
                <w:tab w:val="left" w:pos="1152"/>
              </w:tabs>
              <w:spacing w:before="80" w:after="40" w:line="160" w:lineRule="exact"/>
              <w:ind w:right="43"/>
              <w:jc w:val="center"/>
              <w:rPr>
                <w:i/>
                <w:sz w:val="14"/>
              </w:rPr>
            </w:pPr>
            <w:r w:rsidRPr="008F5480">
              <w:rPr>
                <w:i/>
                <w:sz w:val="14"/>
              </w:rPr>
              <w:t>2014</w:t>
            </w:r>
            <w:r>
              <w:rPr>
                <w:i/>
                <w:sz w:val="14"/>
              </w:rPr>
              <w:t> год</w:t>
            </w:r>
            <w:r w:rsidRPr="008F5480">
              <w:rPr>
                <w:i/>
                <w:sz w:val="14"/>
              </w:rPr>
              <w:t xml:space="preserve"> </w:t>
            </w:r>
            <w:r w:rsidR="00A1495E">
              <w:rPr>
                <w:i/>
                <w:sz w:val="14"/>
              </w:rPr>
              <w:br/>
            </w:r>
            <w:r>
              <w:rPr>
                <w:i/>
                <w:sz w:val="14"/>
              </w:rPr>
              <w:t>(1 января–30 июня)</w:t>
            </w:r>
          </w:p>
        </w:tc>
        <w:tc>
          <w:tcPr>
            <w:tcW w:w="63" w:type="dxa"/>
            <w:tcBorders>
              <w:top w:val="single" w:sz="4" w:space="0" w:color="auto"/>
            </w:tcBorders>
            <w:shd w:val="clear" w:color="auto" w:fill="auto"/>
            <w:vAlign w:val="bottom"/>
          </w:tcPr>
          <w:p w:rsidR="004B5987" w:rsidRPr="008F5480" w:rsidRDefault="004B5987" w:rsidP="004B5987">
            <w:pPr>
              <w:tabs>
                <w:tab w:val="left" w:pos="288"/>
                <w:tab w:val="left" w:pos="576"/>
                <w:tab w:val="left" w:pos="864"/>
                <w:tab w:val="left" w:pos="1152"/>
              </w:tabs>
              <w:spacing w:before="80" w:after="40" w:line="160" w:lineRule="exact"/>
              <w:ind w:right="43"/>
              <w:jc w:val="center"/>
              <w:rPr>
                <w:i/>
                <w:sz w:val="14"/>
              </w:rPr>
            </w:pPr>
          </w:p>
        </w:tc>
        <w:tc>
          <w:tcPr>
            <w:tcW w:w="1116" w:type="dxa"/>
            <w:gridSpan w:val="2"/>
            <w:tcBorders>
              <w:top w:val="single" w:sz="4" w:space="0" w:color="auto"/>
              <w:bottom w:val="single" w:sz="4" w:space="0" w:color="auto"/>
            </w:tcBorders>
            <w:shd w:val="clear" w:color="auto" w:fill="auto"/>
            <w:vAlign w:val="bottom"/>
          </w:tcPr>
          <w:p w:rsidR="004B5987" w:rsidRPr="008F5480" w:rsidRDefault="004B5987" w:rsidP="004B5987">
            <w:pPr>
              <w:tabs>
                <w:tab w:val="left" w:pos="288"/>
                <w:tab w:val="left" w:pos="576"/>
                <w:tab w:val="left" w:pos="864"/>
                <w:tab w:val="left" w:pos="1152"/>
              </w:tabs>
              <w:spacing w:before="80" w:after="40" w:line="160" w:lineRule="exact"/>
              <w:ind w:right="43"/>
              <w:jc w:val="center"/>
              <w:rPr>
                <w:i/>
                <w:sz w:val="14"/>
              </w:rPr>
            </w:pPr>
            <w:r>
              <w:rPr>
                <w:i/>
                <w:sz w:val="14"/>
              </w:rPr>
              <w:t>Всего</w:t>
            </w:r>
          </w:p>
        </w:tc>
      </w:tr>
      <w:tr w:rsidR="00A1495E" w:rsidRPr="008F5480" w:rsidTr="00CF4575">
        <w:tblPrEx>
          <w:tblCellMar>
            <w:top w:w="0" w:type="dxa"/>
            <w:bottom w:w="0" w:type="dxa"/>
          </w:tblCellMar>
        </w:tblPrEx>
        <w:trPr>
          <w:tblHeader/>
        </w:trPr>
        <w:tc>
          <w:tcPr>
            <w:tcW w:w="3681" w:type="dxa"/>
            <w:tcBorders>
              <w:bottom w:val="single" w:sz="12" w:space="0" w:color="auto"/>
            </w:tcBorders>
            <w:shd w:val="clear" w:color="auto" w:fill="auto"/>
            <w:vAlign w:val="bottom"/>
          </w:tcPr>
          <w:p w:rsidR="004B5987" w:rsidRPr="008F5480" w:rsidRDefault="004B5987" w:rsidP="004B5987">
            <w:pPr>
              <w:spacing w:before="40" w:after="80" w:line="160" w:lineRule="exact"/>
              <w:ind w:right="43"/>
              <w:rPr>
                <w:rFonts w:eastAsia="Times New Roman"/>
                <w:i/>
                <w:spacing w:val="0"/>
                <w:w w:val="100"/>
                <w:kern w:val="0"/>
                <w:sz w:val="14"/>
                <w:szCs w:val="24"/>
              </w:rPr>
            </w:pPr>
            <w:r>
              <w:rPr>
                <w:rFonts w:eastAsia="Times New Roman"/>
                <w:i/>
                <w:spacing w:val="0"/>
                <w:w w:val="100"/>
                <w:kern w:val="0"/>
                <w:sz w:val="14"/>
                <w:szCs w:val="24"/>
              </w:rPr>
              <w:t>Пол</w:t>
            </w:r>
          </w:p>
        </w:tc>
        <w:tc>
          <w:tcPr>
            <w:tcW w:w="621" w:type="dxa"/>
            <w:tcBorders>
              <w:top w:val="single" w:sz="4" w:space="0" w:color="auto"/>
              <w:bottom w:val="single" w:sz="12" w:space="0" w:color="auto"/>
            </w:tcBorders>
            <w:shd w:val="clear" w:color="auto" w:fill="auto"/>
            <w:vAlign w:val="bottom"/>
          </w:tcPr>
          <w:p w:rsidR="004B5987" w:rsidRPr="008F5480" w:rsidRDefault="004B5987" w:rsidP="004B5987">
            <w:pPr>
              <w:spacing w:before="40" w:after="80" w:line="160" w:lineRule="exact"/>
              <w:ind w:right="43"/>
              <w:jc w:val="right"/>
              <w:rPr>
                <w:rFonts w:eastAsia="Times New Roman"/>
                <w:i/>
                <w:spacing w:val="0"/>
                <w:w w:val="100"/>
                <w:kern w:val="0"/>
                <w:sz w:val="14"/>
                <w:szCs w:val="24"/>
              </w:rPr>
            </w:pPr>
            <w:r>
              <w:rPr>
                <w:rFonts w:eastAsia="Times New Roman"/>
                <w:i/>
                <w:spacing w:val="0"/>
                <w:w w:val="100"/>
                <w:kern w:val="0"/>
                <w:sz w:val="14"/>
                <w:szCs w:val="24"/>
              </w:rPr>
              <w:t>М</w:t>
            </w:r>
          </w:p>
        </w:tc>
        <w:tc>
          <w:tcPr>
            <w:tcW w:w="558" w:type="dxa"/>
            <w:tcBorders>
              <w:top w:val="single" w:sz="4" w:space="0" w:color="auto"/>
              <w:bottom w:val="single" w:sz="12" w:space="0" w:color="auto"/>
            </w:tcBorders>
            <w:shd w:val="clear" w:color="auto" w:fill="auto"/>
            <w:vAlign w:val="bottom"/>
          </w:tcPr>
          <w:p w:rsidR="004B5987" w:rsidRPr="008F5480" w:rsidRDefault="004B5987" w:rsidP="004B5987">
            <w:pPr>
              <w:spacing w:before="40" w:after="80" w:line="160" w:lineRule="exact"/>
              <w:ind w:right="43"/>
              <w:jc w:val="right"/>
              <w:rPr>
                <w:rFonts w:eastAsia="Times New Roman"/>
                <w:i/>
                <w:spacing w:val="0"/>
                <w:w w:val="100"/>
                <w:kern w:val="0"/>
                <w:sz w:val="14"/>
                <w:szCs w:val="24"/>
              </w:rPr>
            </w:pPr>
            <w:r>
              <w:rPr>
                <w:rFonts w:eastAsia="Times New Roman"/>
                <w:i/>
                <w:spacing w:val="0"/>
                <w:w w:val="100"/>
                <w:kern w:val="0"/>
                <w:sz w:val="14"/>
                <w:szCs w:val="24"/>
              </w:rPr>
              <w:t>Ж</w:t>
            </w:r>
          </w:p>
        </w:tc>
        <w:tc>
          <w:tcPr>
            <w:tcW w:w="603" w:type="dxa"/>
            <w:gridSpan w:val="2"/>
            <w:tcBorders>
              <w:bottom w:val="single" w:sz="12" w:space="0" w:color="auto"/>
            </w:tcBorders>
            <w:shd w:val="clear" w:color="auto" w:fill="auto"/>
            <w:vAlign w:val="bottom"/>
          </w:tcPr>
          <w:p w:rsidR="004B5987" w:rsidRPr="008F5480" w:rsidRDefault="004B5987" w:rsidP="004B5987">
            <w:pPr>
              <w:spacing w:before="40" w:after="80" w:line="160" w:lineRule="exact"/>
              <w:ind w:right="43"/>
              <w:jc w:val="right"/>
              <w:rPr>
                <w:rFonts w:eastAsia="Times New Roman"/>
                <w:i/>
                <w:spacing w:val="0"/>
                <w:w w:val="100"/>
                <w:kern w:val="0"/>
                <w:sz w:val="14"/>
                <w:szCs w:val="24"/>
              </w:rPr>
            </w:pPr>
            <w:r>
              <w:rPr>
                <w:rFonts w:eastAsia="Times New Roman"/>
                <w:i/>
                <w:spacing w:val="0"/>
                <w:w w:val="100"/>
                <w:kern w:val="0"/>
                <w:sz w:val="14"/>
                <w:szCs w:val="24"/>
              </w:rPr>
              <w:t>М</w:t>
            </w:r>
          </w:p>
        </w:tc>
        <w:tc>
          <w:tcPr>
            <w:tcW w:w="553" w:type="dxa"/>
            <w:tcBorders>
              <w:bottom w:val="single" w:sz="12" w:space="0" w:color="auto"/>
            </w:tcBorders>
            <w:shd w:val="clear" w:color="auto" w:fill="auto"/>
            <w:vAlign w:val="bottom"/>
          </w:tcPr>
          <w:p w:rsidR="004B5987" w:rsidRPr="008F5480" w:rsidRDefault="004B5987" w:rsidP="004B5987">
            <w:pPr>
              <w:spacing w:before="40" w:after="80" w:line="160" w:lineRule="exact"/>
              <w:ind w:right="43"/>
              <w:jc w:val="right"/>
              <w:rPr>
                <w:rFonts w:eastAsia="Times New Roman"/>
                <w:i/>
                <w:spacing w:val="0"/>
                <w:w w:val="100"/>
                <w:kern w:val="0"/>
                <w:sz w:val="14"/>
                <w:szCs w:val="24"/>
              </w:rPr>
            </w:pPr>
            <w:r>
              <w:rPr>
                <w:rFonts w:eastAsia="Times New Roman"/>
                <w:i/>
                <w:spacing w:val="0"/>
                <w:w w:val="100"/>
                <w:kern w:val="0"/>
                <w:sz w:val="14"/>
                <w:szCs w:val="24"/>
              </w:rPr>
              <w:t>Ж</w:t>
            </w:r>
          </w:p>
        </w:tc>
        <w:tc>
          <w:tcPr>
            <w:tcW w:w="779" w:type="dxa"/>
            <w:gridSpan w:val="2"/>
            <w:tcBorders>
              <w:bottom w:val="single" w:sz="12" w:space="0" w:color="auto"/>
            </w:tcBorders>
            <w:shd w:val="clear" w:color="auto" w:fill="auto"/>
            <w:vAlign w:val="bottom"/>
          </w:tcPr>
          <w:p w:rsidR="004B5987" w:rsidRPr="008F5480" w:rsidRDefault="004B5987" w:rsidP="004B5987">
            <w:pPr>
              <w:spacing w:before="40" w:after="80" w:line="160" w:lineRule="exact"/>
              <w:ind w:right="43"/>
              <w:jc w:val="right"/>
              <w:rPr>
                <w:rFonts w:eastAsia="Times New Roman"/>
                <w:i/>
                <w:spacing w:val="0"/>
                <w:w w:val="100"/>
                <w:kern w:val="0"/>
                <w:sz w:val="14"/>
                <w:szCs w:val="24"/>
              </w:rPr>
            </w:pPr>
            <w:r>
              <w:rPr>
                <w:rFonts w:eastAsia="Times New Roman"/>
                <w:i/>
                <w:spacing w:val="0"/>
                <w:w w:val="100"/>
                <w:kern w:val="0"/>
                <w:sz w:val="14"/>
                <w:szCs w:val="24"/>
              </w:rPr>
              <w:t>М</w:t>
            </w:r>
          </w:p>
        </w:tc>
        <w:tc>
          <w:tcPr>
            <w:tcW w:w="639" w:type="dxa"/>
            <w:tcBorders>
              <w:bottom w:val="single" w:sz="12" w:space="0" w:color="auto"/>
            </w:tcBorders>
            <w:shd w:val="clear" w:color="auto" w:fill="auto"/>
            <w:vAlign w:val="bottom"/>
          </w:tcPr>
          <w:p w:rsidR="004B5987" w:rsidRPr="008F5480" w:rsidRDefault="004B5987" w:rsidP="004B5987">
            <w:pPr>
              <w:spacing w:before="40" w:after="80" w:line="160" w:lineRule="exact"/>
              <w:ind w:right="43"/>
              <w:jc w:val="right"/>
              <w:rPr>
                <w:rFonts w:eastAsia="Times New Roman"/>
                <w:i/>
                <w:spacing w:val="0"/>
                <w:w w:val="100"/>
                <w:kern w:val="0"/>
                <w:sz w:val="14"/>
                <w:szCs w:val="24"/>
              </w:rPr>
            </w:pPr>
            <w:r>
              <w:rPr>
                <w:rFonts w:eastAsia="Times New Roman"/>
                <w:i/>
                <w:spacing w:val="0"/>
                <w:w w:val="100"/>
                <w:kern w:val="0"/>
                <w:sz w:val="14"/>
                <w:szCs w:val="24"/>
              </w:rPr>
              <w:t>Ж</w:t>
            </w:r>
          </w:p>
        </w:tc>
        <w:tc>
          <w:tcPr>
            <w:tcW w:w="549" w:type="dxa"/>
            <w:gridSpan w:val="2"/>
            <w:tcBorders>
              <w:bottom w:val="single" w:sz="12" w:space="0" w:color="auto"/>
            </w:tcBorders>
            <w:shd w:val="clear" w:color="auto" w:fill="auto"/>
            <w:vAlign w:val="bottom"/>
          </w:tcPr>
          <w:p w:rsidR="004B5987" w:rsidRPr="008F5480" w:rsidRDefault="004B5987" w:rsidP="004B5987">
            <w:pPr>
              <w:spacing w:before="40" w:after="80" w:line="160" w:lineRule="exact"/>
              <w:ind w:right="43"/>
              <w:jc w:val="right"/>
              <w:rPr>
                <w:rFonts w:eastAsia="Times New Roman"/>
                <w:i/>
                <w:spacing w:val="0"/>
                <w:w w:val="100"/>
                <w:kern w:val="0"/>
                <w:sz w:val="14"/>
                <w:szCs w:val="24"/>
              </w:rPr>
            </w:pPr>
            <w:r>
              <w:rPr>
                <w:rFonts w:eastAsia="Times New Roman"/>
                <w:i/>
                <w:spacing w:val="0"/>
                <w:w w:val="100"/>
                <w:kern w:val="0"/>
                <w:sz w:val="14"/>
                <w:szCs w:val="24"/>
              </w:rPr>
              <w:t>М</w:t>
            </w:r>
          </w:p>
        </w:tc>
        <w:tc>
          <w:tcPr>
            <w:tcW w:w="630" w:type="dxa"/>
            <w:tcBorders>
              <w:bottom w:val="single" w:sz="12" w:space="0" w:color="auto"/>
            </w:tcBorders>
            <w:shd w:val="clear" w:color="auto" w:fill="auto"/>
            <w:vAlign w:val="bottom"/>
          </w:tcPr>
          <w:p w:rsidR="004B5987" w:rsidRPr="008F5480" w:rsidRDefault="004B5987" w:rsidP="004B5987">
            <w:pPr>
              <w:spacing w:before="40" w:after="80" w:line="160" w:lineRule="exact"/>
              <w:ind w:right="43"/>
              <w:jc w:val="right"/>
              <w:rPr>
                <w:rFonts w:eastAsia="Times New Roman"/>
                <w:i/>
                <w:spacing w:val="0"/>
                <w:w w:val="100"/>
                <w:kern w:val="0"/>
                <w:sz w:val="14"/>
                <w:szCs w:val="24"/>
              </w:rPr>
            </w:pPr>
            <w:r>
              <w:rPr>
                <w:rFonts w:eastAsia="Times New Roman"/>
                <w:i/>
                <w:spacing w:val="0"/>
                <w:w w:val="100"/>
                <w:kern w:val="0"/>
                <w:sz w:val="14"/>
                <w:szCs w:val="24"/>
              </w:rPr>
              <w:t>Ж</w:t>
            </w:r>
          </w:p>
        </w:tc>
      </w:tr>
      <w:tr w:rsidR="00A1495E" w:rsidRPr="008F5480" w:rsidTr="00CF4575">
        <w:tblPrEx>
          <w:tblCellMar>
            <w:top w:w="0" w:type="dxa"/>
            <w:bottom w:w="0" w:type="dxa"/>
          </w:tblCellMar>
        </w:tblPrEx>
        <w:trPr>
          <w:trHeight w:hRule="exact" w:val="115"/>
          <w:tblHeader/>
        </w:trPr>
        <w:tc>
          <w:tcPr>
            <w:tcW w:w="3681" w:type="dxa"/>
            <w:tcBorders>
              <w:top w:val="single" w:sz="12" w:space="0" w:color="auto"/>
            </w:tcBorders>
            <w:shd w:val="clear" w:color="auto" w:fill="auto"/>
            <w:vAlign w:val="bottom"/>
          </w:tcPr>
          <w:p w:rsidR="004B5987" w:rsidRPr="008F5480" w:rsidRDefault="004B5987" w:rsidP="00B60CA0">
            <w:pPr>
              <w:spacing w:before="40" w:after="40" w:line="210" w:lineRule="exact"/>
              <w:ind w:right="40"/>
              <w:rPr>
                <w:rFonts w:eastAsia="Times New Roman"/>
                <w:spacing w:val="0"/>
                <w:w w:val="100"/>
                <w:kern w:val="0"/>
                <w:sz w:val="17"/>
                <w:szCs w:val="24"/>
              </w:rPr>
            </w:pPr>
          </w:p>
        </w:tc>
        <w:tc>
          <w:tcPr>
            <w:tcW w:w="621" w:type="dxa"/>
            <w:tcBorders>
              <w:top w:val="single" w:sz="12" w:space="0" w:color="auto"/>
            </w:tcBorders>
            <w:shd w:val="clear" w:color="auto" w:fill="auto"/>
            <w:vAlign w:val="bottom"/>
          </w:tcPr>
          <w:p w:rsidR="004B5987" w:rsidRPr="008F5480" w:rsidRDefault="004B5987" w:rsidP="00B60CA0">
            <w:pPr>
              <w:spacing w:before="40" w:after="40" w:line="210" w:lineRule="exact"/>
              <w:ind w:right="40"/>
              <w:jc w:val="right"/>
              <w:rPr>
                <w:rFonts w:eastAsia="Times New Roman"/>
                <w:spacing w:val="0"/>
                <w:w w:val="100"/>
                <w:kern w:val="0"/>
                <w:sz w:val="17"/>
                <w:szCs w:val="24"/>
              </w:rPr>
            </w:pPr>
          </w:p>
        </w:tc>
        <w:tc>
          <w:tcPr>
            <w:tcW w:w="558" w:type="dxa"/>
            <w:tcBorders>
              <w:top w:val="single" w:sz="12" w:space="0" w:color="auto"/>
            </w:tcBorders>
            <w:shd w:val="clear" w:color="auto" w:fill="auto"/>
            <w:vAlign w:val="bottom"/>
          </w:tcPr>
          <w:p w:rsidR="004B5987" w:rsidRPr="008F5480" w:rsidRDefault="004B5987" w:rsidP="00B60CA0">
            <w:pPr>
              <w:spacing w:before="40" w:after="40" w:line="210" w:lineRule="exact"/>
              <w:ind w:right="40"/>
              <w:jc w:val="right"/>
              <w:rPr>
                <w:rFonts w:eastAsia="Times New Roman"/>
                <w:spacing w:val="0"/>
                <w:w w:val="100"/>
                <w:kern w:val="0"/>
                <w:sz w:val="17"/>
                <w:szCs w:val="24"/>
              </w:rPr>
            </w:pPr>
          </w:p>
        </w:tc>
        <w:tc>
          <w:tcPr>
            <w:tcW w:w="603" w:type="dxa"/>
            <w:gridSpan w:val="2"/>
            <w:tcBorders>
              <w:top w:val="single" w:sz="12" w:space="0" w:color="auto"/>
            </w:tcBorders>
            <w:shd w:val="clear" w:color="auto" w:fill="auto"/>
            <w:vAlign w:val="bottom"/>
          </w:tcPr>
          <w:p w:rsidR="004B5987" w:rsidRPr="008F5480" w:rsidRDefault="004B5987" w:rsidP="00B60CA0">
            <w:pPr>
              <w:spacing w:before="40" w:after="40" w:line="210" w:lineRule="exact"/>
              <w:ind w:right="40"/>
              <w:jc w:val="right"/>
              <w:rPr>
                <w:rFonts w:eastAsia="Times New Roman"/>
                <w:spacing w:val="0"/>
                <w:w w:val="100"/>
                <w:kern w:val="0"/>
                <w:sz w:val="17"/>
                <w:szCs w:val="24"/>
              </w:rPr>
            </w:pPr>
          </w:p>
        </w:tc>
        <w:tc>
          <w:tcPr>
            <w:tcW w:w="553" w:type="dxa"/>
            <w:tcBorders>
              <w:top w:val="single" w:sz="12" w:space="0" w:color="auto"/>
            </w:tcBorders>
            <w:shd w:val="clear" w:color="auto" w:fill="auto"/>
            <w:vAlign w:val="bottom"/>
          </w:tcPr>
          <w:p w:rsidR="004B5987" w:rsidRPr="008F5480" w:rsidRDefault="004B5987" w:rsidP="00B60CA0">
            <w:pPr>
              <w:spacing w:before="40" w:after="40" w:line="210" w:lineRule="exact"/>
              <w:ind w:right="40"/>
              <w:jc w:val="right"/>
              <w:rPr>
                <w:rFonts w:eastAsia="Times New Roman"/>
                <w:spacing w:val="0"/>
                <w:w w:val="100"/>
                <w:kern w:val="0"/>
                <w:sz w:val="17"/>
                <w:szCs w:val="24"/>
              </w:rPr>
            </w:pPr>
          </w:p>
        </w:tc>
        <w:tc>
          <w:tcPr>
            <w:tcW w:w="779" w:type="dxa"/>
            <w:gridSpan w:val="2"/>
            <w:tcBorders>
              <w:top w:val="single" w:sz="12" w:space="0" w:color="auto"/>
            </w:tcBorders>
            <w:shd w:val="clear" w:color="auto" w:fill="auto"/>
            <w:vAlign w:val="bottom"/>
          </w:tcPr>
          <w:p w:rsidR="004B5987" w:rsidRPr="008F5480" w:rsidRDefault="004B5987" w:rsidP="00B60CA0">
            <w:pPr>
              <w:spacing w:before="40" w:after="40" w:line="210" w:lineRule="exact"/>
              <w:ind w:right="40"/>
              <w:jc w:val="right"/>
              <w:rPr>
                <w:rFonts w:eastAsia="Times New Roman"/>
                <w:spacing w:val="0"/>
                <w:w w:val="100"/>
                <w:kern w:val="0"/>
                <w:sz w:val="17"/>
                <w:szCs w:val="24"/>
              </w:rPr>
            </w:pPr>
          </w:p>
        </w:tc>
        <w:tc>
          <w:tcPr>
            <w:tcW w:w="639" w:type="dxa"/>
            <w:tcBorders>
              <w:top w:val="single" w:sz="12" w:space="0" w:color="auto"/>
            </w:tcBorders>
            <w:shd w:val="clear" w:color="auto" w:fill="auto"/>
            <w:vAlign w:val="bottom"/>
          </w:tcPr>
          <w:p w:rsidR="004B5987" w:rsidRPr="008F5480" w:rsidRDefault="004B5987" w:rsidP="00B60CA0">
            <w:pPr>
              <w:spacing w:before="40" w:after="40" w:line="210" w:lineRule="exact"/>
              <w:ind w:right="40"/>
              <w:jc w:val="right"/>
              <w:rPr>
                <w:rFonts w:eastAsia="Times New Roman"/>
                <w:spacing w:val="0"/>
                <w:w w:val="100"/>
                <w:kern w:val="0"/>
                <w:sz w:val="17"/>
                <w:szCs w:val="24"/>
              </w:rPr>
            </w:pPr>
          </w:p>
        </w:tc>
        <w:tc>
          <w:tcPr>
            <w:tcW w:w="549" w:type="dxa"/>
            <w:gridSpan w:val="2"/>
            <w:tcBorders>
              <w:top w:val="single" w:sz="12" w:space="0" w:color="auto"/>
            </w:tcBorders>
            <w:shd w:val="clear" w:color="auto" w:fill="auto"/>
            <w:vAlign w:val="bottom"/>
          </w:tcPr>
          <w:p w:rsidR="004B5987" w:rsidRPr="008F5480" w:rsidRDefault="004B5987" w:rsidP="00B60CA0">
            <w:pPr>
              <w:spacing w:before="40" w:after="40" w:line="210" w:lineRule="exact"/>
              <w:ind w:right="40"/>
              <w:jc w:val="right"/>
              <w:rPr>
                <w:rFonts w:eastAsia="Times New Roman"/>
                <w:spacing w:val="0"/>
                <w:w w:val="100"/>
                <w:kern w:val="0"/>
                <w:sz w:val="17"/>
                <w:szCs w:val="24"/>
              </w:rPr>
            </w:pPr>
          </w:p>
        </w:tc>
        <w:tc>
          <w:tcPr>
            <w:tcW w:w="630" w:type="dxa"/>
            <w:tcBorders>
              <w:top w:val="single" w:sz="12" w:space="0" w:color="auto"/>
            </w:tcBorders>
            <w:shd w:val="clear" w:color="auto" w:fill="auto"/>
            <w:vAlign w:val="bottom"/>
          </w:tcPr>
          <w:p w:rsidR="004B5987" w:rsidRPr="008F5480" w:rsidRDefault="004B5987" w:rsidP="00B60CA0">
            <w:pPr>
              <w:spacing w:before="40" w:after="40" w:line="210" w:lineRule="exact"/>
              <w:ind w:right="40"/>
              <w:jc w:val="right"/>
              <w:rPr>
                <w:rFonts w:eastAsia="Times New Roman"/>
                <w:spacing w:val="0"/>
                <w:w w:val="100"/>
                <w:kern w:val="0"/>
                <w:sz w:val="17"/>
                <w:szCs w:val="24"/>
              </w:rPr>
            </w:pPr>
          </w:p>
        </w:tc>
      </w:tr>
      <w:tr w:rsidR="00A1495E" w:rsidRPr="008F5480" w:rsidTr="00CF4575">
        <w:tblPrEx>
          <w:tblCellMar>
            <w:top w:w="0" w:type="dxa"/>
            <w:bottom w:w="0" w:type="dxa"/>
          </w:tblCellMar>
        </w:tblPrEx>
        <w:tc>
          <w:tcPr>
            <w:tcW w:w="3681" w:type="dxa"/>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5179C3">
              <w:rPr>
                <w:sz w:val="16"/>
                <w:szCs w:val="16"/>
              </w:rPr>
              <w:t xml:space="preserve">Число лиц, которым были предъявлены </w:t>
            </w:r>
            <w:r w:rsidR="00CF4575">
              <w:rPr>
                <w:sz w:val="16"/>
                <w:szCs w:val="16"/>
              </w:rPr>
              <w:br/>
            </w:r>
            <w:r w:rsidRPr="005179C3">
              <w:rPr>
                <w:sz w:val="16"/>
                <w:szCs w:val="16"/>
              </w:rPr>
              <w:t>обвин</w:t>
            </w:r>
            <w:r w:rsidRPr="005179C3">
              <w:rPr>
                <w:sz w:val="16"/>
                <w:szCs w:val="16"/>
              </w:rPr>
              <w:t>е</w:t>
            </w:r>
            <w:r w:rsidRPr="005179C3">
              <w:rPr>
                <w:sz w:val="16"/>
                <w:szCs w:val="16"/>
              </w:rPr>
              <w:t>ния</w:t>
            </w:r>
          </w:p>
        </w:tc>
        <w:tc>
          <w:tcPr>
            <w:tcW w:w="621" w:type="dxa"/>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8 315</w:t>
            </w:r>
          </w:p>
        </w:tc>
        <w:tc>
          <w:tcPr>
            <w:tcW w:w="558" w:type="dxa"/>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1 515</w:t>
            </w:r>
          </w:p>
        </w:tc>
        <w:tc>
          <w:tcPr>
            <w:tcW w:w="603" w:type="dxa"/>
            <w:gridSpan w:val="2"/>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10 145</w:t>
            </w:r>
          </w:p>
        </w:tc>
        <w:tc>
          <w:tcPr>
            <w:tcW w:w="553" w:type="dxa"/>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1 897</w:t>
            </w:r>
          </w:p>
        </w:tc>
        <w:tc>
          <w:tcPr>
            <w:tcW w:w="779" w:type="dxa"/>
            <w:gridSpan w:val="2"/>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4 710</w:t>
            </w:r>
          </w:p>
        </w:tc>
        <w:tc>
          <w:tcPr>
            <w:tcW w:w="639" w:type="dxa"/>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999</w:t>
            </w:r>
          </w:p>
        </w:tc>
        <w:tc>
          <w:tcPr>
            <w:tcW w:w="549" w:type="dxa"/>
            <w:gridSpan w:val="2"/>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23 170</w:t>
            </w:r>
          </w:p>
        </w:tc>
        <w:tc>
          <w:tcPr>
            <w:tcW w:w="630" w:type="dxa"/>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4 411</w:t>
            </w:r>
          </w:p>
        </w:tc>
      </w:tr>
      <w:tr w:rsidR="00A1495E" w:rsidRPr="008F5480" w:rsidTr="00CF4575">
        <w:tblPrEx>
          <w:tblCellMar>
            <w:top w:w="0" w:type="dxa"/>
            <w:bottom w:w="0" w:type="dxa"/>
          </w:tblCellMar>
        </w:tblPrEx>
        <w:tc>
          <w:tcPr>
            <w:tcW w:w="3681" w:type="dxa"/>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rPr>
                <w:sz w:val="17"/>
              </w:rPr>
            </w:pPr>
            <w:r w:rsidRPr="005179C3">
              <w:rPr>
                <w:sz w:val="16"/>
                <w:szCs w:val="16"/>
              </w:rPr>
              <w:t>Число вынесенных мер наказания</w:t>
            </w:r>
          </w:p>
        </w:tc>
        <w:tc>
          <w:tcPr>
            <w:tcW w:w="621" w:type="dxa"/>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sz w:val="17"/>
              </w:rPr>
            </w:pPr>
          </w:p>
        </w:tc>
        <w:tc>
          <w:tcPr>
            <w:tcW w:w="558" w:type="dxa"/>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sz w:val="17"/>
              </w:rPr>
            </w:pPr>
          </w:p>
        </w:tc>
        <w:tc>
          <w:tcPr>
            <w:tcW w:w="603" w:type="dxa"/>
            <w:gridSpan w:val="2"/>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sz w:val="17"/>
              </w:rPr>
            </w:pPr>
          </w:p>
        </w:tc>
        <w:tc>
          <w:tcPr>
            <w:tcW w:w="553" w:type="dxa"/>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sz w:val="17"/>
              </w:rPr>
            </w:pPr>
          </w:p>
        </w:tc>
        <w:tc>
          <w:tcPr>
            <w:tcW w:w="779" w:type="dxa"/>
            <w:gridSpan w:val="2"/>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sz w:val="17"/>
              </w:rPr>
            </w:pPr>
          </w:p>
        </w:tc>
        <w:tc>
          <w:tcPr>
            <w:tcW w:w="639" w:type="dxa"/>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sz w:val="17"/>
              </w:rPr>
            </w:pPr>
          </w:p>
        </w:tc>
        <w:tc>
          <w:tcPr>
            <w:tcW w:w="549" w:type="dxa"/>
            <w:gridSpan w:val="2"/>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sz w:val="17"/>
              </w:rPr>
            </w:pPr>
          </w:p>
        </w:tc>
        <w:tc>
          <w:tcPr>
            <w:tcW w:w="630" w:type="dxa"/>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sz w:val="17"/>
              </w:rPr>
            </w:pPr>
          </w:p>
        </w:tc>
      </w:tr>
      <w:tr w:rsidR="00A1495E" w:rsidRPr="008F5480" w:rsidTr="00CF4575">
        <w:tblPrEx>
          <w:tblCellMar>
            <w:top w:w="0" w:type="dxa"/>
            <w:bottom w:w="0" w:type="dxa"/>
          </w:tblCellMar>
        </w:tblPrEx>
        <w:tc>
          <w:tcPr>
            <w:tcW w:w="3681" w:type="dxa"/>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5179C3">
              <w:rPr>
                <w:sz w:val="16"/>
                <w:szCs w:val="16"/>
              </w:rPr>
              <w:t>Приговоры к тюремному заключению с отсро</w:t>
            </w:r>
            <w:r w:rsidRPr="005179C3">
              <w:rPr>
                <w:sz w:val="16"/>
                <w:szCs w:val="16"/>
              </w:rPr>
              <w:t>ч</w:t>
            </w:r>
            <w:r w:rsidRPr="005179C3">
              <w:rPr>
                <w:sz w:val="16"/>
                <w:szCs w:val="16"/>
              </w:rPr>
              <w:t>кой исполнения</w:t>
            </w:r>
          </w:p>
        </w:tc>
        <w:tc>
          <w:tcPr>
            <w:tcW w:w="621" w:type="dxa"/>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2 511</w:t>
            </w:r>
          </w:p>
        </w:tc>
        <w:tc>
          <w:tcPr>
            <w:tcW w:w="558" w:type="dxa"/>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373</w:t>
            </w:r>
          </w:p>
        </w:tc>
        <w:tc>
          <w:tcPr>
            <w:tcW w:w="603" w:type="dxa"/>
            <w:gridSpan w:val="2"/>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3 405</w:t>
            </w:r>
          </w:p>
        </w:tc>
        <w:tc>
          <w:tcPr>
            <w:tcW w:w="553" w:type="dxa"/>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570</w:t>
            </w:r>
          </w:p>
        </w:tc>
        <w:tc>
          <w:tcPr>
            <w:tcW w:w="779" w:type="dxa"/>
            <w:gridSpan w:val="2"/>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1 577</w:t>
            </w:r>
          </w:p>
        </w:tc>
        <w:tc>
          <w:tcPr>
            <w:tcW w:w="639" w:type="dxa"/>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244</w:t>
            </w:r>
          </w:p>
        </w:tc>
        <w:tc>
          <w:tcPr>
            <w:tcW w:w="549" w:type="dxa"/>
            <w:gridSpan w:val="2"/>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7 493</w:t>
            </w:r>
          </w:p>
        </w:tc>
        <w:tc>
          <w:tcPr>
            <w:tcW w:w="630" w:type="dxa"/>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1 187</w:t>
            </w:r>
          </w:p>
        </w:tc>
      </w:tr>
      <w:tr w:rsidR="00A1495E" w:rsidRPr="008F5480" w:rsidTr="00CF4575">
        <w:tblPrEx>
          <w:tblCellMar>
            <w:top w:w="0" w:type="dxa"/>
            <w:bottom w:w="0" w:type="dxa"/>
          </w:tblCellMar>
        </w:tblPrEx>
        <w:tc>
          <w:tcPr>
            <w:tcW w:w="3681" w:type="dxa"/>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5179C3">
              <w:rPr>
                <w:sz w:val="16"/>
                <w:szCs w:val="16"/>
              </w:rPr>
              <w:t xml:space="preserve">Приговоры к реальным срокам тюремного </w:t>
            </w:r>
            <w:r w:rsidR="00CF4575">
              <w:rPr>
                <w:sz w:val="16"/>
                <w:szCs w:val="16"/>
              </w:rPr>
              <w:br/>
            </w:r>
            <w:r w:rsidRPr="005179C3">
              <w:rPr>
                <w:sz w:val="16"/>
                <w:szCs w:val="16"/>
              </w:rPr>
              <w:t>з</w:t>
            </w:r>
            <w:r w:rsidRPr="005179C3">
              <w:rPr>
                <w:sz w:val="16"/>
                <w:szCs w:val="16"/>
              </w:rPr>
              <w:t>а</w:t>
            </w:r>
            <w:r w:rsidRPr="005179C3">
              <w:rPr>
                <w:sz w:val="16"/>
                <w:szCs w:val="16"/>
              </w:rPr>
              <w:t>ключения</w:t>
            </w:r>
          </w:p>
        </w:tc>
        <w:tc>
          <w:tcPr>
            <w:tcW w:w="621" w:type="dxa"/>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1 225</w:t>
            </w:r>
          </w:p>
        </w:tc>
        <w:tc>
          <w:tcPr>
            <w:tcW w:w="558" w:type="dxa"/>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42</w:t>
            </w:r>
          </w:p>
        </w:tc>
        <w:tc>
          <w:tcPr>
            <w:tcW w:w="603" w:type="dxa"/>
            <w:gridSpan w:val="2"/>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1 426</w:t>
            </w:r>
          </w:p>
        </w:tc>
        <w:tc>
          <w:tcPr>
            <w:tcW w:w="553" w:type="dxa"/>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58</w:t>
            </w:r>
          </w:p>
        </w:tc>
        <w:tc>
          <w:tcPr>
            <w:tcW w:w="779" w:type="dxa"/>
            <w:gridSpan w:val="2"/>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591</w:t>
            </w:r>
          </w:p>
        </w:tc>
        <w:tc>
          <w:tcPr>
            <w:tcW w:w="639" w:type="dxa"/>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30</w:t>
            </w:r>
          </w:p>
        </w:tc>
        <w:tc>
          <w:tcPr>
            <w:tcW w:w="549" w:type="dxa"/>
            <w:gridSpan w:val="2"/>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3 242</w:t>
            </w:r>
          </w:p>
        </w:tc>
        <w:tc>
          <w:tcPr>
            <w:tcW w:w="630" w:type="dxa"/>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130</w:t>
            </w:r>
          </w:p>
        </w:tc>
      </w:tr>
      <w:tr w:rsidR="00A1495E" w:rsidRPr="008F5480" w:rsidTr="00CF4575">
        <w:tblPrEx>
          <w:tblCellMar>
            <w:top w:w="0" w:type="dxa"/>
            <w:bottom w:w="0" w:type="dxa"/>
          </w:tblCellMar>
        </w:tblPrEx>
        <w:tc>
          <w:tcPr>
            <w:tcW w:w="3681" w:type="dxa"/>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rPr>
                <w:rFonts w:eastAsia="Times New Roman"/>
                <w:spacing w:val="0"/>
                <w:w w:val="100"/>
                <w:kern w:val="0"/>
                <w:sz w:val="17"/>
                <w:szCs w:val="24"/>
              </w:rPr>
            </w:pPr>
            <w:r w:rsidRPr="005179C3">
              <w:rPr>
                <w:sz w:val="16"/>
                <w:szCs w:val="16"/>
              </w:rPr>
              <w:t>Наложение штр</w:t>
            </w:r>
            <w:r w:rsidRPr="005179C3">
              <w:rPr>
                <w:sz w:val="16"/>
                <w:szCs w:val="16"/>
              </w:rPr>
              <w:t>а</w:t>
            </w:r>
            <w:r w:rsidRPr="005179C3">
              <w:rPr>
                <w:sz w:val="16"/>
                <w:szCs w:val="16"/>
              </w:rPr>
              <w:t>фа</w:t>
            </w:r>
          </w:p>
        </w:tc>
        <w:tc>
          <w:tcPr>
            <w:tcW w:w="621" w:type="dxa"/>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4 004</w:t>
            </w:r>
          </w:p>
        </w:tc>
        <w:tc>
          <w:tcPr>
            <w:tcW w:w="558" w:type="dxa"/>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802</w:t>
            </w:r>
          </w:p>
        </w:tc>
        <w:tc>
          <w:tcPr>
            <w:tcW w:w="603" w:type="dxa"/>
            <w:gridSpan w:val="2"/>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2 245</w:t>
            </w:r>
          </w:p>
        </w:tc>
        <w:tc>
          <w:tcPr>
            <w:tcW w:w="553" w:type="dxa"/>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1 996</w:t>
            </w:r>
          </w:p>
        </w:tc>
        <w:tc>
          <w:tcPr>
            <w:tcW w:w="779" w:type="dxa"/>
            <w:gridSpan w:val="2"/>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2 267</w:t>
            </w:r>
          </w:p>
        </w:tc>
        <w:tc>
          <w:tcPr>
            <w:tcW w:w="639" w:type="dxa"/>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484</w:t>
            </w:r>
          </w:p>
        </w:tc>
        <w:tc>
          <w:tcPr>
            <w:tcW w:w="549" w:type="dxa"/>
            <w:gridSpan w:val="2"/>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8 516</w:t>
            </w:r>
          </w:p>
        </w:tc>
        <w:tc>
          <w:tcPr>
            <w:tcW w:w="630" w:type="dxa"/>
            <w:shd w:val="clear" w:color="auto" w:fill="auto"/>
            <w:vAlign w:val="bottom"/>
          </w:tcPr>
          <w:p w:rsidR="004B5987" w:rsidRPr="008F5480" w:rsidRDefault="004B5987" w:rsidP="004B5987">
            <w:pPr>
              <w:tabs>
                <w:tab w:val="left" w:pos="288"/>
                <w:tab w:val="left" w:pos="576"/>
                <w:tab w:val="left" w:pos="864"/>
                <w:tab w:val="left" w:pos="1152"/>
              </w:tabs>
              <w:spacing w:before="40" w:after="40" w:line="210" w:lineRule="exact"/>
              <w:ind w:right="40"/>
              <w:jc w:val="right"/>
              <w:rPr>
                <w:rFonts w:eastAsia="Times New Roman"/>
                <w:spacing w:val="0"/>
                <w:w w:val="100"/>
                <w:kern w:val="0"/>
                <w:sz w:val="17"/>
                <w:szCs w:val="24"/>
              </w:rPr>
            </w:pPr>
            <w:r w:rsidRPr="008F5480">
              <w:rPr>
                <w:rFonts w:eastAsia="Times New Roman"/>
                <w:spacing w:val="0"/>
                <w:w w:val="100"/>
                <w:kern w:val="0"/>
                <w:sz w:val="17"/>
                <w:szCs w:val="24"/>
              </w:rPr>
              <w:t>3 282</w:t>
            </w:r>
          </w:p>
        </w:tc>
      </w:tr>
      <w:tr w:rsidR="00A1495E" w:rsidRPr="008F5480" w:rsidTr="00CF4575">
        <w:tblPrEx>
          <w:tblCellMar>
            <w:top w:w="0" w:type="dxa"/>
            <w:bottom w:w="0" w:type="dxa"/>
          </w:tblCellMar>
        </w:tblPrEx>
        <w:tc>
          <w:tcPr>
            <w:tcW w:w="3681" w:type="dxa"/>
            <w:tcBorders>
              <w:bottom w:val="single" w:sz="12" w:space="0" w:color="auto"/>
            </w:tcBorders>
            <w:shd w:val="clear" w:color="auto" w:fill="auto"/>
            <w:vAlign w:val="bottom"/>
          </w:tcPr>
          <w:p w:rsidR="004B5987" w:rsidRPr="004B5987" w:rsidRDefault="004B5987" w:rsidP="00A1495E">
            <w:pPr>
              <w:tabs>
                <w:tab w:val="left" w:pos="288"/>
                <w:tab w:val="left" w:pos="576"/>
                <w:tab w:val="left" w:pos="864"/>
                <w:tab w:val="left" w:pos="1152"/>
              </w:tabs>
              <w:spacing w:before="40" w:after="120" w:line="210" w:lineRule="exact"/>
              <w:ind w:right="43"/>
              <w:rPr>
                <w:rFonts w:eastAsia="Times New Roman"/>
                <w:spacing w:val="0"/>
                <w:w w:val="100"/>
                <w:kern w:val="0"/>
                <w:sz w:val="17"/>
                <w:szCs w:val="24"/>
              </w:rPr>
            </w:pPr>
            <w:r w:rsidRPr="005179C3">
              <w:rPr>
                <w:sz w:val="16"/>
                <w:szCs w:val="16"/>
              </w:rPr>
              <w:t>Решение о назначении испытательного срока и мерах защ</w:t>
            </w:r>
            <w:r w:rsidRPr="005179C3">
              <w:rPr>
                <w:sz w:val="16"/>
                <w:szCs w:val="16"/>
              </w:rPr>
              <w:t>и</w:t>
            </w:r>
            <w:r w:rsidRPr="005179C3">
              <w:rPr>
                <w:sz w:val="16"/>
                <w:szCs w:val="16"/>
              </w:rPr>
              <w:t>ты</w:t>
            </w:r>
          </w:p>
        </w:tc>
        <w:tc>
          <w:tcPr>
            <w:tcW w:w="621" w:type="dxa"/>
            <w:tcBorders>
              <w:bottom w:val="single" w:sz="12" w:space="0" w:color="auto"/>
            </w:tcBorders>
            <w:shd w:val="clear" w:color="auto" w:fill="auto"/>
            <w:vAlign w:val="bottom"/>
          </w:tcPr>
          <w:p w:rsidR="004B5987" w:rsidRPr="008F5480" w:rsidRDefault="004B5987" w:rsidP="00A1495E">
            <w:pPr>
              <w:tabs>
                <w:tab w:val="left" w:pos="288"/>
                <w:tab w:val="left" w:pos="576"/>
                <w:tab w:val="left" w:pos="864"/>
                <w:tab w:val="left" w:pos="1152"/>
              </w:tabs>
              <w:spacing w:before="40" w:after="120" w:line="210" w:lineRule="exact"/>
              <w:ind w:right="43"/>
              <w:jc w:val="right"/>
              <w:rPr>
                <w:rFonts w:eastAsia="Times New Roman"/>
                <w:spacing w:val="0"/>
                <w:w w:val="100"/>
                <w:kern w:val="0"/>
                <w:sz w:val="17"/>
                <w:szCs w:val="24"/>
              </w:rPr>
            </w:pPr>
            <w:r w:rsidRPr="008F5480">
              <w:rPr>
                <w:rFonts w:eastAsia="Times New Roman"/>
                <w:spacing w:val="0"/>
                <w:w w:val="100"/>
                <w:kern w:val="0"/>
                <w:sz w:val="17"/>
                <w:szCs w:val="24"/>
              </w:rPr>
              <w:t>155</w:t>
            </w:r>
          </w:p>
        </w:tc>
        <w:tc>
          <w:tcPr>
            <w:tcW w:w="558" w:type="dxa"/>
            <w:tcBorders>
              <w:bottom w:val="single" w:sz="12" w:space="0" w:color="auto"/>
            </w:tcBorders>
            <w:shd w:val="clear" w:color="auto" w:fill="auto"/>
            <w:vAlign w:val="bottom"/>
          </w:tcPr>
          <w:p w:rsidR="004B5987" w:rsidRPr="008F5480" w:rsidRDefault="004B5987" w:rsidP="00A1495E">
            <w:pPr>
              <w:tabs>
                <w:tab w:val="left" w:pos="288"/>
                <w:tab w:val="left" w:pos="576"/>
                <w:tab w:val="left" w:pos="864"/>
                <w:tab w:val="left" w:pos="1152"/>
              </w:tabs>
              <w:spacing w:before="40" w:after="120" w:line="210" w:lineRule="exact"/>
              <w:ind w:right="43"/>
              <w:jc w:val="right"/>
              <w:rPr>
                <w:rFonts w:eastAsia="Times New Roman"/>
                <w:spacing w:val="0"/>
                <w:w w:val="100"/>
                <w:kern w:val="0"/>
                <w:sz w:val="17"/>
                <w:szCs w:val="24"/>
              </w:rPr>
            </w:pPr>
            <w:r w:rsidRPr="008F5480">
              <w:rPr>
                <w:rFonts w:eastAsia="Times New Roman"/>
                <w:spacing w:val="0"/>
                <w:w w:val="100"/>
                <w:kern w:val="0"/>
                <w:sz w:val="17"/>
                <w:szCs w:val="24"/>
              </w:rPr>
              <w:t>10</w:t>
            </w:r>
          </w:p>
        </w:tc>
        <w:tc>
          <w:tcPr>
            <w:tcW w:w="603" w:type="dxa"/>
            <w:gridSpan w:val="2"/>
            <w:tcBorders>
              <w:bottom w:val="single" w:sz="12" w:space="0" w:color="auto"/>
            </w:tcBorders>
            <w:shd w:val="clear" w:color="auto" w:fill="auto"/>
            <w:vAlign w:val="bottom"/>
          </w:tcPr>
          <w:p w:rsidR="004B5987" w:rsidRPr="008F5480" w:rsidRDefault="004B5987" w:rsidP="00A1495E">
            <w:pPr>
              <w:tabs>
                <w:tab w:val="left" w:pos="288"/>
                <w:tab w:val="left" w:pos="576"/>
                <w:tab w:val="left" w:pos="864"/>
                <w:tab w:val="left" w:pos="1152"/>
              </w:tabs>
              <w:spacing w:before="40" w:after="120" w:line="210" w:lineRule="exact"/>
              <w:ind w:right="43"/>
              <w:jc w:val="right"/>
              <w:rPr>
                <w:rFonts w:eastAsia="Times New Roman"/>
                <w:spacing w:val="0"/>
                <w:w w:val="100"/>
                <w:kern w:val="0"/>
                <w:sz w:val="17"/>
                <w:szCs w:val="24"/>
              </w:rPr>
            </w:pPr>
            <w:r w:rsidRPr="008F5480">
              <w:rPr>
                <w:rFonts w:eastAsia="Times New Roman"/>
                <w:spacing w:val="0"/>
                <w:w w:val="100"/>
                <w:kern w:val="0"/>
                <w:sz w:val="17"/>
                <w:szCs w:val="24"/>
              </w:rPr>
              <w:t>75</w:t>
            </w:r>
          </w:p>
        </w:tc>
        <w:tc>
          <w:tcPr>
            <w:tcW w:w="553" w:type="dxa"/>
            <w:tcBorders>
              <w:bottom w:val="single" w:sz="12" w:space="0" w:color="auto"/>
            </w:tcBorders>
            <w:shd w:val="clear" w:color="auto" w:fill="auto"/>
            <w:vAlign w:val="bottom"/>
          </w:tcPr>
          <w:p w:rsidR="004B5987" w:rsidRPr="008F5480" w:rsidRDefault="004B5987" w:rsidP="00A1495E">
            <w:pPr>
              <w:tabs>
                <w:tab w:val="left" w:pos="288"/>
                <w:tab w:val="left" w:pos="576"/>
                <w:tab w:val="left" w:pos="864"/>
                <w:tab w:val="left" w:pos="1152"/>
              </w:tabs>
              <w:spacing w:before="40" w:after="120" w:line="210" w:lineRule="exact"/>
              <w:ind w:right="43"/>
              <w:jc w:val="right"/>
              <w:rPr>
                <w:rFonts w:eastAsia="Times New Roman"/>
                <w:spacing w:val="0"/>
                <w:w w:val="100"/>
                <w:kern w:val="0"/>
                <w:sz w:val="17"/>
                <w:szCs w:val="24"/>
              </w:rPr>
            </w:pPr>
            <w:r w:rsidRPr="008F5480">
              <w:rPr>
                <w:rFonts w:eastAsia="Times New Roman"/>
                <w:spacing w:val="0"/>
                <w:w w:val="100"/>
                <w:kern w:val="0"/>
                <w:sz w:val="17"/>
                <w:szCs w:val="24"/>
              </w:rPr>
              <w:t>11</w:t>
            </w:r>
          </w:p>
        </w:tc>
        <w:tc>
          <w:tcPr>
            <w:tcW w:w="779" w:type="dxa"/>
            <w:gridSpan w:val="2"/>
            <w:tcBorders>
              <w:bottom w:val="single" w:sz="12" w:space="0" w:color="auto"/>
            </w:tcBorders>
            <w:shd w:val="clear" w:color="auto" w:fill="auto"/>
            <w:vAlign w:val="bottom"/>
          </w:tcPr>
          <w:p w:rsidR="004B5987" w:rsidRPr="008F5480" w:rsidRDefault="004B5987" w:rsidP="00A1495E">
            <w:pPr>
              <w:tabs>
                <w:tab w:val="left" w:pos="288"/>
                <w:tab w:val="left" w:pos="576"/>
                <w:tab w:val="left" w:pos="864"/>
                <w:tab w:val="left" w:pos="1152"/>
              </w:tabs>
              <w:spacing w:before="40" w:after="120" w:line="210" w:lineRule="exact"/>
              <w:ind w:right="43"/>
              <w:jc w:val="right"/>
              <w:rPr>
                <w:rFonts w:eastAsia="Times New Roman"/>
                <w:spacing w:val="0"/>
                <w:w w:val="100"/>
                <w:kern w:val="0"/>
                <w:sz w:val="17"/>
                <w:szCs w:val="24"/>
              </w:rPr>
            </w:pPr>
            <w:r w:rsidRPr="008F5480">
              <w:rPr>
                <w:rFonts w:eastAsia="Times New Roman"/>
                <w:spacing w:val="0"/>
                <w:w w:val="100"/>
                <w:kern w:val="0"/>
                <w:sz w:val="17"/>
                <w:szCs w:val="24"/>
              </w:rPr>
              <w:t>6</w:t>
            </w:r>
          </w:p>
        </w:tc>
        <w:tc>
          <w:tcPr>
            <w:tcW w:w="639" w:type="dxa"/>
            <w:tcBorders>
              <w:bottom w:val="single" w:sz="12" w:space="0" w:color="auto"/>
            </w:tcBorders>
            <w:shd w:val="clear" w:color="auto" w:fill="auto"/>
            <w:vAlign w:val="bottom"/>
          </w:tcPr>
          <w:p w:rsidR="004B5987" w:rsidRPr="008F5480" w:rsidRDefault="004B5987" w:rsidP="00A1495E">
            <w:pPr>
              <w:tabs>
                <w:tab w:val="left" w:pos="288"/>
                <w:tab w:val="left" w:pos="576"/>
                <w:tab w:val="left" w:pos="864"/>
                <w:tab w:val="left" w:pos="1152"/>
              </w:tabs>
              <w:spacing w:before="40" w:after="120" w:line="210" w:lineRule="exact"/>
              <w:ind w:right="43"/>
              <w:jc w:val="right"/>
              <w:rPr>
                <w:rFonts w:eastAsia="Times New Roman"/>
                <w:spacing w:val="0"/>
                <w:w w:val="100"/>
                <w:kern w:val="0"/>
                <w:sz w:val="17"/>
                <w:szCs w:val="24"/>
              </w:rPr>
            </w:pPr>
            <w:r w:rsidRPr="008F5480">
              <w:rPr>
                <w:rFonts w:eastAsia="Times New Roman"/>
                <w:spacing w:val="0"/>
                <w:w w:val="100"/>
                <w:kern w:val="0"/>
                <w:sz w:val="17"/>
                <w:szCs w:val="24"/>
              </w:rPr>
              <w:t>2</w:t>
            </w:r>
          </w:p>
        </w:tc>
        <w:tc>
          <w:tcPr>
            <w:tcW w:w="549" w:type="dxa"/>
            <w:gridSpan w:val="2"/>
            <w:tcBorders>
              <w:bottom w:val="single" w:sz="12" w:space="0" w:color="auto"/>
            </w:tcBorders>
            <w:shd w:val="clear" w:color="auto" w:fill="auto"/>
            <w:vAlign w:val="bottom"/>
          </w:tcPr>
          <w:p w:rsidR="004B5987" w:rsidRPr="008F5480" w:rsidRDefault="004B5987" w:rsidP="00A1495E">
            <w:pPr>
              <w:tabs>
                <w:tab w:val="left" w:pos="288"/>
                <w:tab w:val="left" w:pos="576"/>
                <w:tab w:val="left" w:pos="864"/>
                <w:tab w:val="left" w:pos="1152"/>
              </w:tabs>
              <w:spacing w:before="40" w:after="120" w:line="210" w:lineRule="exact"/>
              <w:ind w:right="43"/>
              <w:jc w:val="right"/>
              <w:rPr>
                <w:rFonts w:eastAsia="Times New Roman"/>
                <w:spacing w:val="0"/>
                <w:w w:val="100"/>
                <w:kern w:val="0"/>
                <w:sz w:val="17"/>
                <w:szCs w:val="24"/>
              </w:rPr>
            </w:pPr>
            <w:r w:rsidRPr="008F5480">
              <w:rPr>
                <w:rFonts w:eastAsia="Times New Roman"/>
                <w:spacing w:val="0"/>
                <w:w w:val="100"/>
                <w:kern w:val="0"/>
                <w:sz w:val="17"/>
                <w:szCs w:val="24"/>
              </w:rPr>
              <w:t>236</w:t>
            </w:r>
          </w:p>
        </w:tc>
        <w:tc>
          <w:tcPr>
            <w:tcW w:w="630" w:type="dxa"/>
            <w:tcBorders>
              <w:bottom w:val="single" w:sz="12" w:space="0" w:color="auto"/>
            </w:tcBorders>
            <w:shd w:val="clear" w:color="auto" w:fill="auto"/>
            <w:vAlign w:val="bottom"/>
          </w:tcPr>
          <w:p w:rsidR="004B5987" w:rsidRPr="008F5480" w:rsidRDefault="004B5987" w:rsidP="00A1495E">
            <w:pPr>
              <w:tabs>
                <w:tab w:val="left" w:pos="288"/>
                <w:tab w:val="left" w:pos="576"/>
                <w:tab w:val="left" w:pos="864"/>
                <w:tab w:val="left" w:pos="1152"/>
              </w:tabs>
              <w:spacing w:before="40" w:after="120" w:line="210" w:lineRule="exact"/>
              <w:ind w:right="43"/>
              <w:jc w:val="right"/>
              <w:rPr>
                <w:rFonts w:eastAsia="Times New Roman"/>
                <w:spacing w:val="0"/>
                <w:w w:val="100"/>
                <w:kern w:val="0"/>
                <w:sz w:val="17"/>
                <w:szCs w:val="24"/>
              </w:rPr>
            </w:pPr>
            <w:r w:rsidRPr="008F5480">
              <w:rPr>
                <w:rFonts w:eastAsia="Times New Roman"/>
                <w:spacing w:val="0"/>
                <w:w w:val="100"/>
                <w:kern w:val="0"/>
                <w:sz w:val="17"/>
                <w:szCs w:val="24"/>
              </w:rPr>
              <w:t>23</w:t>
            </w:r>
          </w:p>
        </w:tc>
      </w:tr>
    </w:tbl>
    <w:p w:rsidR="004B5987" w:rsidRPr="004B5987" w:rsidRDefault="004B5987" w:rsidP="004B5987">
      <w:pPr>
        <w:pStyle w:val="SingleTxt"/>
        <w:spacing w:after="0" w:line="120" w:lineRule="exact"/>
        <w:rPr>
          <w:sz w:val="10"/>
        </w:rPr>
      </w:pPr>
    </w:p>
    <w:p w:rsidR="00697A59" w:rsidRDefault="00697A59" w:rsidP="004B5987">
      <w:pPr>
        <w:pStyle w:val="FootnoteText"/>
        <w:tabs>
          <w:tab w:val="right" w:pos="1476"/>
          <w:tab w:val="left" w:pos="1548"/>
          <w:tab w:val="right" w:pos="1836"/>
          <w:tab w:val="left" w:pos="1908"/>
        </w:tabs>
        <w:ind w:left="1548" w:right="1267" w:hanging="288"/>
      </w:pPr>
      <w:r w:rsidRPr="004B5987">
        <w:rPr>
          <w:i/>
        </w:rPr>
        <w:t>Источник:</w:t>
      </w:r>
      <w:r w:rsidRPr="005179C3">
        <w:t xml:space="preserve"> Министерство юстиции, 2015 год.</w:t>
      </w:r>
    </w:p>
    <w:p w:rsidR="00697A59" w:rsidRDefault="00697A59" w:rsidP="00BA168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Cs/>
          <w:i/>
          <w:iCs/>
          <w:sz w:val="18"/>
          <w:szCs w:val="18"/>
        </w:rPr>
        <w:br w:type="page"/>
      </w:r>
      <w:r w:rsidR="00BA168A">
        <w:tab/>
      </w:r>
      <w:r w:rsidR="00BA168A">
        <w:tab/>
      </w:r>
      <w:r w:rsidRPr="00FA0D42">
        <w:t>Обзор законодательных и других актов по вопросам, касающимся равенства между мужчинами и женщинами и ликвидации дискриминации в о</w:t>
      </w:r>
      <w:r w:rsidRPr="00FA0D42">
        <w:t>т</w:t>
      </w:r>
      <w:r w:rsidRPr="00FA0D42">
        <w:t xml:space="preserve">ношении женщин </w:t>
      </w:r>
    </w:p>
    <w:p w:rsidR="00BA168A" w:rsidRDefault="00BA168A" w:rsidP="00BA168A">
      <w:pPr>
        <w:pStyle w:val="SingleTxt"/>
        <w:spacing w:after="0" w:line="120" w:lineRule="exact"/>
        <w:rPr>
          <w:sz w:val="10"/>
        </w:rPr>
      </w:pPr>
    </w:p>
    <w:p w:rsidR="00BA168A" w:rsidRPr="00BA168A" w:rsidRDefault="00BA168A" w:rsidP="00BA168A">
      <w:pPr>
        <w:pStyle w:val="SingleTxt"/>
        <w:spacing w:after="0" w:line="120" w:lineRule="exact"/>
        <w:rPr>
          <w:sz w:val="10"/>
        </w:rPr>
      </w:pPr>
    </w:p>
    <w:p w:rsidR="00697A59" w:rsidRPr="005179C3" w:rsidRDefault="00BA168A" w:rsidP="00BA168A">
      <w:pPr>
        <w:pStyle w:val="SingleTxt"/>
        <w:tabs>
          <w:tab w:val="right" w:pos="1685"/>
        </w:tabs>
        <w:ind w:left="1742" w:hanging="475"/>
      </w:pPr>
      <w:r>
        <w:tab/>
        <w:t>•</w:t>
      </w:r>
      <w:r>
        <w:tab/>
      </w:r>
      <w:r w:rsidR="00697A59" w:rsidRPr="005179C3">
        <w:t>Национальная стратегия по обеспечению гендерного равенства на период 2011</w:t>
      </w:r>
      <w:r w:rsidR="00A1495E">
        <w:t>–</w:t>
      </w:r>
      <w:r w:rsidR="00697A59" w:rsidRPr="005179C3">
        <w:t>2015 годов (ОВ № 88/11)</w:t>
      </w:r>
    </w:p>
    <w:p w:rsidR="00697A59" w:rsidRPr="005179C3" w:rsidRDefault="00BA168A" w:rsidP="00BA168A">
      <w:pPr>
        <w:pStyle w:val="SingleTxt"/>
        <w:tabs>
          <w:tab w:val="right" w:pos="1685"/>
        </w:tabs>
        <w:ind w:left="1742" w:hanging="475"/>
      </w:pPr>
      <w:r>
        <w:tab/>
        <w:t>•</w:t>
      </w:r>
      <w:r>
        <w:tab/>
      </w:r>
      <w:r w:rsidR="00697A59" w:rsidRPr="005179C3">
        <w:t>Закон о равенстве мужчин и женщин (ОВ № 82/08)</w:t>
      </w:r>
    </w:p>
    <w:p w:rsidR="00697A59" w:rsidRPr="005179C3" w:rsidRDefault="00BA168A" w:rsidP="00BA168A">
      <w:pPr>
        <w:pStyle w:val="SingleTxt"/>
        <w:tabs>
          <w:tab w:val="right" w:pos="1685"/>
        </w:tabs>
        <w:ind w:left="1742" w:hanging="475"/>
      </w:pPr>
      <w:r>
        <w:tab/>
        <w:t>•</w:t>
      </w:r>
      <w:r>
        <w:tab/>
      </w:r>
      <w:r w:rsidR="00697A59" w:rsidRPr="005179C3">
        <w:t>Закон об убежище (ОВ №№ 79/07, 88/10, 143/13)</w:t>
      </w:r>
    </w:p>
    <w:p w:rsidR="00697A59" w:rsidRPr="005179C3" w:rsidRDefault="00BA168A" w:rsidP="00BA168A">
      <w:pPr>
        <w:pStyle w:val="SingleTxt"/>
        <w:tabs>
          <w:tab w:val="right" w:pos="1685"/>
        </w:tabs>
        <w:ind w:left="1742" w:hanging="475"/>
      </w:pPr>
      <w:r>
        <w:tab/>
        <w:t>•</w:t>
      </w:r>
      <w:r>
        <w:tab/>
      </w:r>
      <w:r w:rsidR="00697A59" w:rsidRPr="005179C3">
        <w:t>Закон о бесплатной юридической помощи (ОВ № 143/13)</w:t>
      </w:r>
    </w:p>
    <w:p w:rsidR="00697A59" w:rsidRPr="005179C3" w:rsidRDefault="00BA168A" w:rsidP="00BA168A">
      <w:pPr>
        <w:pStyle w:val="SingleTxt"/>
        <w:tabs>
          <w:tab w:val="right" w:pos="1685"/>
        </w:tabs>
        <w:ind w:left="1742" w:hanging="475"/>
      </w:pPr>
      <w:r>
        <w:tab/>
      </w:r>
      <w:r w:rsidRPr="00BA168A">
        <w:t>•</w:t>
      </w:r>
      <w:r>
        <w:tab/>
      </w:r>
      <w:r w:rsidR="00697A59" w:rsidRPr="005179C3">
        <w:t xml:space="preserve">Закон о государственных реестрах (ОВ №№ 96/93 и 76/13) </w:t>
      </w:r>
    </w:p>
    <w:p w:rsidR="00697A59" w:rsidRPr="005179C3" w:rsidRDefault="00BA168A" w:rsidP="00BA168A">
      <w:pPr>
        <w:pStyle w:val="SingleTxt"/>
        <w:tabs>
          <w:tab w:val="right" w:pos="1685"/>
        </w:tabs>
        <w:ind w:left="1742" w:hanging="475"/>
      </w:pPr>
      <w:r>
        <w:tab/>
      </w:r>
      <w:r w:rsidRPr="00BA168A">
        <w:t>•</w:t>
      </w:r>
      <w:r>
        <w:tab/>
      </w:r>
      <w:r w:rsidR="00697A59" w:rsidRPr="005179C3">
        <w:t xml:space="preserve">Закон о внесении поправок в Закон об уголовном судопроизводстве </w:t>
      </w:r>
      <w:r w:rsidR="00A1495E">
        <w:br/>
      </w:r>
      <w:r w:rsidR="00697A59" w:rsidRPr="005179C3">
        <w:t>(ОВ №№ 143/12,</w:t>
      </w:r>
      <w:r w:rsidR="004E4FFA">
        <w:t xml:space="preserve"> </w:t>
      </w:r>
      <w:r w:rsidR="00697A59" w:rsidRPr="005179C3">
        <w:t xml:space="preserve">56/13, 145/13) </w:t>
      </w:r>
    </w:p>
    <w:p w:rsidR="00697A59" w:rsidRPr="005179C3" w:rsidRDefault="00BA168A" w:rsidP="00BA168A">
      <w:pPr>
        <w:pStyle w:val="SingleTxt"/>
        <w:tabs>
          <w:tab w:val="right" w:pos="1685"/>
        </w:tabs>
        <w:ind w:left="1742" w:hanging="475"/>
      </w:pPr>
      <w:r>
        <w:tab/>
      </w:r>
      <w:r w:rsidRPr="00BA168A">
        <w:t>•</w:t>
      </w:r>
      <w:r>
        <w:tab/>
      </w:r>
      <w:r w:rsidR="00697A59" w:rsidRPr="005179C3">
        <w:t>Закон о выборах представителей в Хорватский сабор (ОВ № 19/15)</w:t>
      </w:r>
    </w:p>
    <w:p w:rsidR="00697A59" w:rsidRPr="005179C3" w:rsidRDefault="00BA168A" w:rsidP="00BA168A">
      <w:pPr>
        <w:pStyle w:val="SingleTxt"/>
        <w:tabs>
          <w:tab w:val="right" w:pos="1685"/>
        </w:tabs>
        <w:ind w:left="1742" w:hanging="475"/>
      </w:pPr>
      <w:r>
        <w:tab/>
      </w:r>
      <w:r w:rsidRPr="00BA168A">
        <w:t>•</w:t>
      </w:r>
      <w:r>
        <w:tab/>
      </w:r>
      <w:r w:rsidR="00697A59" w:rsidRPr="005179C3">
        <w:t>Закон о медицинских работниках (ОВ №№ 121/03 и 117/08)</w:t>
      </w:r>
    </w:p>
    <w:p w:rsidR="00697A59" w:rsidRPr="005179C3" w:rsidRDefault="00BA168A" w:rsidP="00BA168A">
      <w:pPr>
        <w:pStyle w:val="SingleTxt"/>
        <w:tabs>
          <w:tab w:val="right" w:pos="1685"/>
        </w:tabs>
        <w:ind w:left="1742" w:hanging="475"/>
      </w:pPr>
      <w:r>
        <w:tab/>
      </w:r>
      <w:r w:rsidRPr="00BA168A">
        <w:t>•</w:t>
      </w:r>
      <w:r>
        <w:tab/>
      </w:r>
      <w:r w:rsidR="00697A59" w:rsidRPr="005179C3">
        <w:t>Закон о выборах в местные органы власти (ОВ № 144/2012)</w:t>
      </w:r>
    </w:p>
    <w:p w:rsidR="00697A59" w:rsidRPr="005179C3" w:rsidRDefault="00BA168A" w:rsidP="00BA168A">
      <w:pPr>
        <w:pStyle w:val="SingleTxt"/>
        <w:tabs>
          <w:tab w:val="right" w:pos="1685"/>
        </w:tabs>
        <w:ind w:left="1742" w:hanging="475"/>
      </w:pPr>
      <w:r>
        <w:tab/>
      </w:r>
      <w:r w:rsidRPr="00BA168A">
        <w:t>•</w:t>
      </w:r>
      <w:r>
        <w:tab/>
      </w:r>
      <w:r w:rsidR="00697A59" w:rsidRPr="005179C3">
        <w:t>Закон о пенсионном страховании (ОВ №№ 102/98, 127/00, 59/01, 109/01, 147/02, 117/03, 30/04, 177/04, 92/05, 43/07, 79/07, 35/08, 40/10, 121/10, 130/10</w:t>
      </w:r>
      <w:r w:rsidR="00A1495E">
        <w:t xml:space="preserve"> — </w:t>
      </w:r>
      <w:r w:rsidR="00697A59" w:rsidRPr="005179C3">
        <w:t>сводный текст, 61/11, 114/11, 76/12, 112/13 и 133/13)</w:t>
      </w:r>
    </w:p>
    <w:p w:rsidR="00697A59" w:rsidRPr="005179C3" w:rsidRDefault="00BA168A" w:rsidP="00BA168A">
      <w:pPr>
        <w:pStyle w:val="SingleTxt"/>
        <w:tabs>
          <w:tab w:val="right" w:pos="1685"/>
        </w:tabs>
        <w:ind w:left="1742" w:hanging="475"/>
      </w:pPr>
      <w:r>
        <w:tab/>
      </w:r>
      <w:r w:rsidRPr="00BA168A">
        <w:t>•</w:t>
      </w:r>
      <w:r>
        <w:tab/>
      </w:r>
      <w:r w:rsidR="00697A59" w:rsidRPr="005179C3">
        <w:t xml:space="preserve">Закон о денежном возмещении жертвам уголовных преступлений </w:t>
      </w:r>
      <w:r w:rsidR="00A1495E">
        <w:br/>
      </w:r>
      <w:r w:rsidR="00697A59" w:rsidRPr="005179C3">
        <w:t>(ОВ №№ 80/08 и 27/11)</w:t>
      </w:r>
    </w:p>
    <w:p w:rsidR="00697A59" w:rsidRPr="005179C3" w:rsidRDefault="00BA168A" w:rsidP="00BA168A">
      <w:pPr>
        <w:pStyle w:val="SingleTxt"/>
        <w:tabs>
          <w:tab w:val="right" w:pos="1685"/>
        </w:tabs>
        <w:ind w:left="1742" w:hanging="475"/>
      </w:pPr>
      <w:r>
        <w:tab/>
      </w:r>
      <w:r w:rsidRPr="00BA168A">
        <w:t>•</w:t>
      </w:r>
      <w:r>
        <w:tab/>
      </w:r>
      <w:r w:rsidR="00697A59" w:rsidRPr="005179C3">
        <w:t>Закон об обороне (ОВ № 73/13)</w:t>
      </w:r>
    </w:p>
    <w:p w:rsidR="00697A59" w:rsidRPr="005179C3" w:rsidRDefault="00BA168A" w:rsidP="00BA168A">
      <w:pPr>
        <w:pStyle w:val="SingleTxt"/>
        <w:tabs>
          <w:tab w:val="right" w:pos="1685"/>
        </w:tabs>
        <w:ind w:left="1742" w:hanging="475"/>
      </w:pPr>
      <w:r>
        <w:tab/>
      </w:r>
      <w:r w:rsidRPr="00BA168A">
        <w:t>•</w:t>
      </w:r>
      <w:r>
        <w:tab/>
      </w:r>
      <w:r w:rsidR="00697A59" w:rsidRPr="005179C3">
        <w:t>Закон начальном и среднем образовании (ОВ №№ 87/08, 86/09, 92/10, 105/10, 90/11, 5/12, 16/12, 86/12, 126/12, 94/13, 152/14)</w:t>
      </w:r>
    </w:p>
    <w:p w:rsidR="00697A59" w:rsidRPr="005179C3" w:rsidRDefault="00BA168A" w:rsidP="00BA168A">
      <w:pPr>
        <w:pStyle w:val="SingleTxt"/>
        <w:tabs>
          <w:tab w:val="right" w:pos="1685"/>
        </w:tabs>
        <w:ind w:left="1742" w:hanging="475"/>
      </w:pPr>
      <w:r>
        <w:tab/>
      </w:r>
      <w:r w:rsidRPr="00BA168A">
        <w:t>•</w:t>
      </w:r>
      <w:r>
        <w:tab/>
      </w:r>
      <w:r w:rsidR="00697A59" w:rsidRPr="005179C3">
        <w:t>Закон о политических партиях (ОВ № 34/01)</w:t>
      </w:r>
    </w:p>
    <w:p w:rsidR="00697A59" w:rsidRPr="005179C3" w:rsidRDefault="00BA168A" w:rsidP="00BA168A">
      <w:pPr>
        <w:pStyle w:val="SingleTxt"/>
        <w:tabs>
          <w:tab w:val="right" w:pos="1685"/>
        </w:tabs>
        <w:ind w:left="1742" w:hanging="475"/>
      </w:pPr>
      <w:r>
        <w:tab/>
      </w:r>
      <w:r w:rsidRPr="00BA168A">
        <w:t>•</w:t>
      </w:r>
      <w:r>
        <w:tab/>
      </w:r>
      <w:r w:rsidR="00697A59" w:rsidRPr="005179C3">
        <w:t>Закон о труде (ОВ № 93/14)</w:t>
      </w:r>
    </w:p>
    <w:p w:rsidR="00697A59" w:rsidRPr="005179C3" w:rsidRDefault="00BA168A" w:rsidP="00BA168A">
      <w:pPr>
        <w:pStyle w:val="SingleTxt"/>
        <w:tabs>
          <w:tab w:val="right" w:pos="1685"/>
        </w:tabs>
        <w:ind w:left="1742" w:hanging="475"/>
      </w:pPr>
      <w:r>
        <w:tab/>
      </w:r>
      <w:r w:rsidRPr="00BA168A">
        <w:t>•</w:t>
      </w:r>
      <w:r>
        <w:tab/>
      </w:r>
      <w:r w:rsidR="00697A59" w:rsidRPr="005179C3">
        <w:t>Закон о пособиях по беременности и по уходу за ребенком (ОВ №№ 34/11, 54/13, 152//14)</w:t>
      </w:r>
    </w:p>
    <w:p w:rsidR="00697A59" w:rsidRPr="005179C3" w:rsidRDefault="00BA168A" w:rsidP="00BA168A">
      <w:pPr>
        <w:pStyle w:val="SingleTxt"/>
        <w:tabs>
          <w:tab w:val="right" w:pos="1685"/>
        </w:tabs>
        <w:ind w:left="1742" w:hanging="475"/>
      </w:pPr>
      <w:r>
        <w:tab/>
      </w:r>
      <w:r w:rsidRPr="00BA168A">
        <w:t>•</w:t>
      </w:r>
      <w:r>
        <w:tab/>
      </w:r>
      <w:r w:rsidR="00697A59" w:rsidRPr="005179C3">
        <w:t xml:space="preserve">Закон о службе в Вооруженных силах Республики Хорватия (ОВ № 73/13) </w:t>
      </w:r>
    </w:p>
    <w:p w:rsidR="00697A59" w:rsidRPr="005179C3" w:rsidRDefault="00BA168A" w:rsidP="00BA168A">
      <w:pPr>
        <w:pStyle w:val="SingleTxt"/>
        <w:tabs>
          <w:tab w:val="right" w:pos="1685"/>
        </w:tabs>
        <w:ind w:left="1742" w:hanging="475"/>
      </w:pPr>
      <w:r>
        <w:tab/>
      </w:r>
      <w:r w:rsidRPr="00BA168A">
        <w:t>•</w:t>
      </w:r>
      <w:r>
        <w:tab/>
      </w:r>
      <w:r w:rsidR="00697A59" w:rsidRPr="005179C3">
        <w:t>Закон о социальном обеспечении (ОВ № 157/13)</w:t>
      </w:r>
    </w:p>
    <w:p w:rsidR="00697A59" w:rsidRPr="005179C3" w:rsidRDefault="00BA168A" w:rsidP="00BA168A">
      <w:pPr>
        <w:pStyle w:val="SingleTxt"/>
        <w:tabs>
          <w:tab w:val="right" w:pos="1685"/>
        </w:tabs>
        <w:ind w:left="1742" w:hanging="475"/>
      </w:pPr>
      <w:r>
        <w:tab/>
      </w:r>
      <w:r w:rsidRPr="00BA168A">
        <w:t>•</w:t>
      </w:r>
      <w:r>
        <w:tab/>
      </w:r>
      <w:r w:rsidR="00697A59" w:rsidRPr="005179C3">
        <w:t>Закон об иностранцах (ОВ №№ 130/11 и 74/13)</w:t>
      </w:r>
    </w:p>
    <w:p w:rsidR="00697A59" w:rsidRPr="005179C3" w:rsidRDefault="00BA168A" w:rsidP="00BA168A">
      <w:pPr>
        <w:pStyle w:val="SingleTxt"/>
        <w:tabs>
          <w:tab w:val="right" w:pos="1685"/>
        </w:tabs>
        <w:ind w:left="1742" w:hanging="475"/>
      </w:pPr>
      <w:r>
        <w:tab/>
      </w:r>
      <w:r w:rsidRPr="00BA168A">
        <w:t>•</w:t>
      </w:r>
      <w:r>
        <w:tab/>
      </w:r>
      <w:r w:rsidR="00697A59" w:rsidRPr="005179C3">
        <w:t>Закон о борьбе с дискриминацией (ОВ №№ 86/2008 и 112/2012)</w:t>
      </w:r>
    </w:p>
    <w:p w:rsidR="00697A59" w:rsidRPr="005179C3" w:rsidRDefault="00BA168A" w:rsidP="00BA168A">
      <w:pPr>
        <w:pStyle w:val="SingleTxt"/>
        <w:tabs>
          <w:tab w:val="right" w:pos="1685"/>
        </w:tabs>
        <w:ind w:left="1742" w:hanging="475"/>
      </w:pPr>
      <w:r>
        <w:tab/>
      </w:r>
      <w:r w:rsidRPr="00BA168A">
        <w:t>•</w:t>
      </w:r>
      <w:r>
        <w:tab/>
      </w:r>
      <w:r w:rsidR="00697A59" w:rsidRPr="005179C3">
        <w:t>Закон о защите от насилия в семье (ОВ № 105/11)</w:t>
      </w:r>
    </w:p>
    <w:p w:rsidR="00697A59" w:rsidRPr="005179C3" w:rsidRDefault="00BA168A" w:rsidP="00BA168A">
      <w:pPr>
        <w:pStyle w:val="SingleTxt"/>
        <w:tabs>
          <w:tab w:val="right" w:pos="1685"/>
        </w:tabs>
        <w:ind w:left="1742" w:hanging="475"/>
      </w:pPr>
      <w:r>
        <w:tab/>
      </w:r>
      <w:r w:rsidRPr="00BA168A">
        <w:t>•</w:t>
      </w:r>
      <w:r>
        <w:tab/>
      </w:r>
      <w:r w:rsidR="00697A59" w:rsidRPr="005179C3">
        <w:t>Закон о здравоохранении (ОВ №№ 150/08, 71/10, 139/10, 22/11, 84/11, 12/12, 70/12, 82/13 и 159/13)</w:t>
      </w:r>
    </w:p>
    <w:p w:rsidR="00697A59" w:rsidRPr="005179C3" w:rsidRDefault="00BA168A" w:rsidP="00BA168A">
      <w:pPr>
        <w:pStyle w:val="SingleTxt"/>
        <w:tabs>
          <w:tab w:val="right" w:pos="1685"/>
        </w:tabs>
        <w:ind w:left="1742" w:hanging="475"/>
      </w:pPr>
      <w:r>
        <w:tab/>
      </w:r>
      <w:r w:rsidRPr="00BA168A">
        <w:t>•</w:t>
      </w:r>
      <w:r>
        <w:tab/>
      </w:r>
      <w:r w:rsidR="00697A59" w:rsidRPr="005179C3">
        <w:t>Закон о гражданских союзах однополых пар (ОВ № 92/14)</w:t>
      </w:r>
    </w:p>
    <w:p w:rsidR="00697A59" w:rsidRPr="005179C3" w:rsidRDefault="00BA168A" w:rsidP="00BA168A">
      <w:pPr>
        <w:pStyle w:val="SingleTxt"/>
        <w:tabs>
          <w:tab w:val="right" w:pos="1685"/>
        </w:tabs>
        <w:ind w:left="1742" w:hanging="475"/>
      </w:pPr>
      <w:r>
        <w:tab/>
      </w:r>
      <w:r w:rsidRPr="00BA168A">
        <w:t>•</w:t>
      </w:r>
      <w:r>
        <w:tab/>
      </w:r>
      <w:r w:rsidR="00697A59" w:rsidRPr="005179C3">
        <w:t>Закон о семье (ОВ № 75/14)</w:t>
      </w:r>
    </w:p>
    <w:p w:rsidR="00697A59" w:rsidRPr="005179C3" w:rsidRDefault="00BA168A" w:rsidP="00BA168A">
      <w:pPr>
        <w:pStyle w:val="SingleTxt"/>
        <w:tabs>
          <w:tab w:val="right" w:pos="1685"/>
        </w:tabs>
        <w:ind w:left="1742" w:hanging="475"/>
      </w:pPr>
      <w:r>
        <w:tab/>
      </w:r>
      <w:r w:rsidRPr="00BA168A">
        <w:t>•</w:t>
      </w:r>
      <w:r>
        <w:tab/>
      </w:r>
      <w:r w:rsidR="00697A59" w:rsidRPr="005179C3">
        <w:t>Уголовный кодекс (ОВ №№ 125/11 и 144/12)</w:t>
      </w:r>
    </w:p>
    <w:p w:rsidR="00697A59" w:rsidRPr="005179C3" w:rsidRDefault="00BA168A" w:rsidP="00BA168A">
      <w:pPr>
        <w:pStyle w:val="SingleTxt"/>
        <w:tabs>
          <w:tab w:val="right" w:pos="1685"/>
        </w:tabs>
        <w:ind w:left="1742" w:hanging="475"/>
      </w:pPr>
      <w:r>
        <w:tab/>
      </w:r>
      <w:r w:rsidRPr="00BA168A">
        <w:t>•</w:t>
      </w:r>
      <w:r>
        <w:tab/>
      </w:r>
      <w:r w:rsidR="00697A59" w:rsidRPr="005179C3">
        <w:t xml:space="preserve">Программа просвещения по основам гражданственности </w:t>
      </w:r>
    </w:p>
    <w:p w:rsidR="00697A59" w:rsidRPr="005179C3" w:rsidRDefault="00BA168A" w:rsidP="00BA168A">
      <w:pPr>
        <w:pStyle w:val="SingleTxt"/>
        <w:tabs>
          <w:tab w:val="right" w:pos="1685"/>
        </w:tabs>
        <w:ind w:left="1742" w:hanging="475"/>
      </w:pPr>
      <w:r>
        <w:tab/>
      </w:r>
      <w:r w:rsidRPr="00BA168A">
        <w:t>•</w:t>
      </w:r>
      <w:r>
        <w:tab/>
      </w:r>
      <w:r w:rsidR="00697A59" w:rsidRPr="005179C3">
        <w:t>Программа санитарного просвещения</w:t>
      </w:r>
    </w:p>
    <w:p w:rsidR="00697A59" w:rsidRPr="005179C3" w:rsidRDefault="00BA168A" w:rsidP="00BA168A">
      <w:pPr>
        <w:pStyle w:val="SingleTxt"/>
        <w:tabs>
          <w:tab w:val="right" w:pos="1685"/>
        </w:tabs>
        <w:ind w:left="1742" w:hanging="475"/>
      </w:pPr>
      <w:r>
        <w:tab/>
      </w:r>
      <w:r w:rsidRPr="00BA168A">
        <w:t>•</w:t>
      </w:r>
      <w:r>
        <w:tab/>
      </w:r>
      <w:r w:rsidR="00697A59" w:rsidRPr="005179C3">
        <w:t>План действий по устранению препятствий на пути реализации опред</w:t>
      </w:r>
      <w:r w:rsidR="00697A59" w:rsidRPr="005179C3">
        <w:t>е</w:t>
      </w:r>
      <w:r w:rsidR="00697A59" w:rsidRPr="005179C3">
        <w:t>ленных прав в сфере интеграции иностранцев на период 2013</w:t>
      </w:r>
      <w:r w:rsidR="00A1495E">
        <w:t>–</w:t>
      </w:r>
      <w:r w:rsidR="00697A59" w:rsidRPr="005179C3">
        <w:t>2015</w:t>
      </w:r>
      <w:r w:rsidR="00A1495E">
        <w:t> </w:t>
      </w:r>
      <w:r w:rsidR="00697A59" w:rsidRPr="005179C3">
        <w:t>годов</w:t>
      </w:r>
    </w:p>
    <w:p w:rsidR="00697A59" w:rsidRPr="005179C3" w:rsidRDefault="00BA168A" w:rsidP="00BA168A">
      <w:pPr>
        <w:pStyle w:val="SingleTxt"/>
        <w:tabs>
          <w:tab w:val="right" w:pos="1685"/>
        </w:tabs>
        <w:ind w:left="1742" w:hanging="475"/>
      </w:pPr>
      <w:r>
        <w:tab/>
      </w:r>
      <w:r w:rsidRPr="00BA168A">
        <w:t>•</w:t>
      </w:r>
      <w:r>
        <w:tab/>
      </w:r>
      <w:r w:rsidR="00697A59" w:rsidRPr="005179C3">
        <w:t>Хорватская национальная программа по предупреждению ВИЧ/СПИДа на</w:t>
      </w:r>
      <w:r w:rsidR="00A1495E">
        <w:t> </w:t>
      </w:r>
      <w:r w:rsidR="00697A59" w:rsidRPr="005179C3">
        <w:t>период 2011</w:t>
      </w:r>
      <w:r w:rsidR="00A1495E">
        <w:t>–</w:t>
      </w:r>
      <w:r w:rsidR="00697A59" w:rsidRPr="005179C3">
        <w:t>2015</w:t>
      </w:r>
      <w:r w:rsidR="00A1495E">
        <w:t> </w:t>
      </w:r>
      <w:r w:rsidR="00697A59" w:rsidRPr="005179C3">
        <w:t>годов</w:t>
      </w:r>
    </w:p>
    <w:p w:rsidR="00697A59" w:rsidRPr="005179C3" w:rsidRDefault="00BA168A" w:rsidP="00BA168A">
      <w:pPr>
        <w:pStyle w:val="SingleTxt"/>
        <w:tabs>
          <w:tab w:val="right" w:pos="1685"/>
        </w:tabs>
        <w:ind w:left="1742" w:hanging="475"/>
      </w:pPr>
      <w:r>
        <w:tab/>
      </w:r>
      <w:r w:rsidRPr="00BA168A">
        <w:t>•</w:t>
      </w:r>
      <w:r>
        <w:tab/>
      </w:r>
      <w:r w:rsidR="00697A59" w:rsidRPr="005179C3">
        <w:t>Миграционная политика Республики Хорватия на период 2013</w:t>
      </w:r>
      <w:r w:rsidR="00A1495E">
        <w:t>–</w:t>
      </w:r>
      <w:r w:rsidR="00697A59" w:rsidRPr="005179C3">
        <w:t>2015 г</w:t>
      </w:r>
      <w:r w:rsidR="00697A59" w:rsidRPr="005179C3">
        <w:t>о</w:t>
      </w:r>
      <w:r w:rsidR="00697A59" w:rsidRPr="005179C3">
        <w:t>дов (ОВ № 27/13)</w:t>
      </w:r>
    </w:p>
    <w:p w:rsidR="00697A59" w:rsidRPr="005179C3" w:rsidRDefault="00BA168A" w:rsidP="00BA168A">
      <w:pPr>
        <w:pStyle w:val="SingleTxt"/>
        <w:tabs>
          <w:tab w:val="right" w:pos="1685"/>
        </w:tabs>
        <w:ind w:left="1742" w:hanging="475"/>
      </w:pPr>
      <w:r>
        <w:tab/>
      </w:r>
      <w:r w:rsidRPr="00BA168A">
        <w:t>•</w:t>
      </w:r>
      <w:r>
        <w:tab/>
      </w:r>
      <w:r w:rsidR="00697A59" w:rsidRPr="005179C3">
        <w:t>Национальная стратегия развития здравоохранения на период 2012</w:t>
      </w:r>
      <w:r w:rsidR="00A1495E">
        <w:t>–</w:t>
      </w:r>
      <w:r w:rsidR="00697A59" w:rsidRPr="005179C3">
        <w:t>2020</w:t>
      </w:r>
      <w:r w:rsidR="00A1495E">
        <w:t> </w:t>
      </w:r>
      <w:r w:rsidR="00697A59" w:rsidRPr="005179C3">
        <w:t xml:space="preserve">годов (ОВ № 116/12) </w:t>
      </w:r>
    </w:p>
    <w:p w:rsidR="00697A59" w:rsidRPr="005179C3" w:rsidRDefault="00BA168A" w:rsidP="00BA168A">
      <w:pPr>
        <w:pStyle w:val="SingleTxt"/>
        <w:tabs>
          <w:tab w:val="right" w:pos="1685"/>
        </w:tabs>
        <w:ind w:left="1742" w:hanging="475"/>
      </w:pPr>
      <w:r>
        <w:tab/>
      </w:r>
      <w:r w:rsidRPr="00BA168A">
        <w:t>•</w:t>
      </w:r>
      <w:r>
        <w:tab/>
      </w:r>
      <w:r w:rsidR="00697A59" w:rsidRPr="005179C3">
        <w:t>Национальная стратегия по интеграции рома на период 2013</w:t>
      </w:r>
      <w:r w:rsidR="00A1495E">
        <w:t>–</w:t>
      </w:r>
      <w:r w:rsidR="00697A59" w:rsidRPr="005179C3">
        <w:t>2020</w:t>
      </w:r>
      <w:r w:rsidR="00A1495E">
        <w:t> </w:t>
      </w:r>
      <w:r w:rsidR="00697A59" w:rsidRPr="005179C3">
        <w:t xml:space="preserve">годов </w:t>
      </w:r>
    </w:p>
    <w:p w:rsidR="00697A59" w:rsidRPr="005179C3" w:rsidRDefault="00BA168A" w:rsidP="00BA168A">
      <w:pPr>
        <w:pStyle w:val="SingleTxt"/>
        <w:tabs>
          <w:tab w:val="right" w:pos="1685"/>
        </w:tabs>
        <w:ind w:left="1742" w:hanging="475"/>
      </w:pPr>
      <w:r w:rsidRPr="00A1495E">
        <w:tab/>
      </w:r>
      <w:r w:rsidRPr="00BA168A">
        <w:t>•</w:t>
      </w:r>
      <w:r>
        <w:tab/>
      </w:r>
      <w:r w:rsidR="00697A59" w:rsidRPr="005179C3">
        <w:t>Национальная стратегия защиты от насилия в семье на период 2011</w:t>
      </w:r>
      <w:r w:rsidR="00A1495E">
        <w:t>–</w:t>
      </w:r>
      <w:r w:rsidR="00697A59" w:rsidRPr="005179C3">
        <w:t>2015</w:t>
      </w:r>
      <w:r w:rsidR="00A1495E">
        <w:t> </w:t>
      </w:r>
      <w:r w:rsidR="00697A59" w:rsidRPr="005179C3">
        <w:t>годов (ОВ № 20/11)</w:t>
      </w:r>
    </w:p>
    <w:p w:rsidR="00697A59" w:rsidRPr="005179C3" w:rsidRDefault="00BA168A" w:rsidP="00BA168A">
      <w:pPr>
        <w:pStyle w:val="SingleTxt"/>
        <w:tabs>
          <w:tab w:val="right" w:pos="1685"/>
        </w:tabs>
        <w:ind w:left="1742" w:hanging="475"/>
      </w:pPr>
      <w:r>
        <w:tab/>
      </w:r>
      <w:r w:rsidRPr="00BA168A">
        <w:t>•</w:t>
      </w:r>
      <w:r>
        <w:tab/>
      </w:r>
      <w:r w:rsidR="00697A59" w:rsidRPr="005179C3">
        <w:t>Национальный план действий по осуществлению резолюции 1325 (2000) Совета Безопасности по вопросу о женщинах, мире и безопасности и св</w:t>
      </w:r>
      <w:r w:rsidR="00697A59" w:rsidRPr="005179C3">
        <w:t>я</w:t>
      </w:r>
      <w:r w:rsidR="00697A59" w:rsidRPr="005179C3">
        <w:t>занных с ней резолюций на период 2011</w:t>
      </w:r>
      <w:r w:rsidR="00A1495E">
        <w:t>–</w:t>
      </w:r>
      <w:r w:rsidR="00697A59" w:rsidRPr="005179C3">
        <w:t>2014</w:t>
      </w:r>
      <w:r w:rsidR="00A1495E">
        <w:t> </w:t>
      </w:r>
      <w:r w:rsidR="00697A59" w:rsidRPr="005179C3">
        <w:t xml:space="preserve">годов </w:t>
      </w:r>
    </w:p>
    <w:p w:rsidR="00697A59" w:rsidRPr="005179C3" w:rsidRDefault="00BA168A" w:rsidP="00BA168A">
      <w:pPr>
        <w:pStyle w:val="SingleTxt"/>
        <w:tabs>
          <w:tab w:val="right" w:pos="1685"/>
        </w:tabs>
        <w:ind w:left="1742" w:hanging="475"/>
      </w:pPr>
      <w:r>
        <w:tab/>
      </w:r>
      <w:r w:rsidRPr="00BA168A">
        <w:t>•</w:t>
      </w:r>
      <w:r>
        <w:tab/>
      </w:r>
      <w:r w:rsidR="00697A59" w:rsidRPr="005179C3">
        <w:t>Национальный план по расширению занятости на период 2011</w:t>
      </w:r>
      <w:r w:rsidR="00A1495E">
        <w:t>–</w:t>
      </w:r>
      <w:r w:rsidR="00697A59" w:rsidRPr="005179C3">
        <w:t>2013</w:t>
      </w:r>
      <w:r w:rsidR="00A1495E">
        <w:t> </w:t>
      </w:r>
      <w:r w:rsidR="00697A59" w:rsidRPr="005179C3">
        <w:t>г</w:t>
      </w:r>
      <w:r w:rsidR="00697A59" w:rsidRPr="005179C3">
        <w:t>о</w:t>
      </w:r>
      <w:r w:rsidR="00697A59" w:rsidRPr="005179C3">
        <w:t>дов</w:t>
      </w:r>
    </w:p>
    <w:p w:rsidR="00697A59" w:rsidRPr="005179C3" w:rsidRDefault="00BA168A" w:rsidP="00BA168A">
      <w:pPr>
        <w:pStyle w:val="SingleTxt"/>
        <w:tabs>
          <w:tab w:val="right" w:pos="1685"/>
        </w:tabs>
        <w:ind w:left="1742" w:hanging="475"/>
      </w:pPr>
      <w:r>
        <w:tab/>
      </w:r>
      <w:r w:rsidRPr="00BA168A">
        <w:t>•</w:t>
      </w:r>
      <w:r>
        <w:tab/>
      </w:r>
      <w:r w:rsidR="00697A59" w:rsidRPr="005179C3">
        <w:t>Национальный план по борьбе с торговлей людьми на период 2012</w:t>
      </w:r>
      <w:r w:rsidR="00A1495E">
        <w:t>–</w:t>
      </w:r>
      <w:r w:rsidR="00697A59" w:rsidRPr="005179C3">
        <w:t>2015</w:t>
      </w:r>
      <w:r w:rsidR="00A1495E">
        <w:t> </w:t>
      </w:r>
      <w:r w:rsidR="00697A59" w:rsidRPr="005179C3">
        <w:t>годов</w:t>
      </w:r>
    </w:p>
    <w:p w:rsidR="00697A59" w:rsidRPr="005179C3" w:rsidRDefault="00BA168A" w:rsidP="00BA168A">
      <w:pPr>
        <w:pStyle w:val="SingleTxt"/>
        <w:tabs>
          <w:tab w:val="right" w:pos="1685"/>
        </w:tabs>
        <w:ind w:left="1742" w:hanging="475"/>
      </w:pPr>
      <w:r>
        <w:tab/>
      </w:r>
      <w:r w:rsidRPr="00BA168A">
        <w:t>•</w:t>
      </w:r>
      <w:r>
        <w:tab/>
      </w:r>
      <w:r w:rsidR="00697A59" w:rsidRPr="005179C3">
        <w:t>Национальная программа по оказанию психосоциальной и медицинской помощи участникам и жертвам Отечественной войны и Второй мировой войны, а также лицам, возвращающимся из миссий по поддерж</w:t>
      </w:r>
      <w:r w:rsidR="00697A59" w:rsidRPr="005179C3">
        <w:t>а</w:t>
      </w:r>
      <w:r w:rsidR="00697A59" w:rsidRPr="005179C3">
        <w:t>нию мира</w:t>
      </w:r>
    </w:p>
    <w:p w:rsidR="00697A59" w:rsidRPr="005179C3" w:rsidRDefault="00BA168A" w:rsidP="00BA168A">
      <w:pPr>
        <w:pStyle w:val="SingleTxt"/>
        <w:tabs>
          <w:tab w:val="right" w:pos="1685"/>
        </w:tabs>
        <w:ind w:left="1742" w:hanging="475"/>
      </w:pPr>
      <w:r>
        <w:tab/>
      </w:r>
      <w:r w:rsidRPr="00BA168A">
        <w:t>•</w:t>
      </w:r>
      <w:r>
        <w:tab/>
      </w:r>
      <w:r w:rsidR="00697A59" w:rsidRPr="005179C3">
        <w:t>Национальная программа в области защиты и поощрения прав человека на период 2013</w:t>
      </w:r>
      <w:r w:rsidR="00A1495E">
        <w:t>–</w:t>
      </w:r>
      <w:r w:rsidR="00697A59" w:rsidRPr="005179C3">
        <w:t>2016 годов</w:t>
      </w:r>
    </w:p>
    <w:p w:rsidR="00697A59" w:rsidRPr="005179C3" w:rsidRDefault="00BA168A" w:rsidP="00BA168A">
      <w:pPr>
        <w:pStyle w:val="SingleTxt"/>
        <w:tabs>
          <w:tab w:val="right" w:pos="1685"/>
        </w:tabs>
        <w:ind w:left="1742" w:hanging="475"/>
      </w:pPr>
      <w:r>
        <w:tab/>
      </w:r>
      <w:r w:rsidRPr="00BA168A">
        <w:t>•</w:t>
      </w:r>
      <w:r>
        <w:tab/>
      </w:r>
      <w:r w:rsidR="00697A59" w:rsidRPr="005179C3">
        <w:t>Программа медико-санитарного просвещения для учащихся начальных и сре</w:t>
      </w:r>
      <w:r w:rsidR="00697A59" w:rsidRPr="005179C3">
        <w:t>д</w:t>
      </w:r>
      <w:r w:rsidR="00697A59" w:rsidRPr="005179C3">
        <w:t>них школ (ОВ № 106/13)</w:t>
      </w:r>
    </w:p>
    <w:p w:rsidR="00697A59" w:rsidRPr="005179C3" w:rsidRDefault="00BA168A" w:rsidP="00BA168A">
      <w:pPr>
        <w:pStyle w:val="SingleTxt"/>
        <w:tabs>
          <w:tab w:val="right" w:pos="1685"/>
        </w:tabs>
        <w:ind w:left="1742" w:hanging="475"/>
      </w:pPr>
      <w:r>
        <w:tab/>
      </w:r>
      <w:r w:rsidRPr="00BA168A">
        <w:t>•</w:t>
      </w:r>
      <w:r>
        <w:tab/>
      </w:r>
      <w:r w:rsidR="00697A59" w:rsidRPr="005179C3">
        <w:t>Оперативная программа в области развития людских ресурсов</w:t>
      </w:r>
    </w:p>
    <w:p w:rsidR="00697A59" w:rsidRPr="005179C3" w:rsidRDefault="00BA168A" w:rsidP="00BA168A">
      <w:pPr>
        <w:pStyle w:val="SingleTxt"/>
        <w:tabs>
          <w:tab w:val="right" w:pos="1685"/>
        </w:tabs>
        <w:ind w:left="1742" w:hanging="475"/>
      </w:pPr>
      <w:r>
        <w:tab/>
      </w:r>
      <w:r w:rsidRPr="00BA168A">
        <w:t>•</w:t>
      </w:r>
      <w:r>
        <w:tab/>
      </w:r>
      <w:r w:rsidR="00697A59" w:rsidRPr="005179C3">
        <w:t>Оперативная программа</w:t>
      </w:r>
      <w:r w:rsidR="00A1495E">
        <w:t xml:space="preserve"> «</w:t>
      </w:r>
      <w:r w:rsidR="00697A59" w:rsidRPr="005179C3">
        <w:t>Формирование эффективных людских ресурсов, 2014</w:t>
      </w:r>
      <w:r w:rsidR="00A1495E">
        <w:t>–</w:t>
      </w:r>
      <w:r w:rsidR="00697A59" w:rsidRPr="005179C3">
        <w:t>2020 годы</w:t>
      </w:r>
      <w:r w:rsidR="00A1495E">
        <w:t>»</w:t>
      </w:r>
    </w:p>
    <w:p w:rsidR="00697A59" w:rsidRPr="005179C3" w:rsidRDefault="00BA168A" w:rsidP="00BA168A">
      <w:pPr>
        <w:pStyle w:val="SingleTxt"/>
        <w:tabs>
          <w:tab w:val="right" w:pos="1685"/>
        </w:tabs>
        <w:ind w:left="1742" w:hanging="475"/>
      </w:pPr>
      <w:r>
        <w:tab/>
      </w:r>
      <w:r w:rsidRPr="00BA168A">
        <w:t>•</w:t>
      </w:r>
      <w:r>
        <w:tab/>
      </w:r>
      <w:r w:rsidR="00697A59" w:rsidRPr="005179C3">
        <w:t>Постановление о порядке исполнения превентивных мер запретительного с</w:t>
      </w:r>
      <w:r w:rsidR="00697A59" w:rsidRPr="005179C3">
        <w:t>у</w:t>
      </w:r>
      <w:r w:rsidR="00697A59" w:rsidRPr="005179C3">
        <w:t xml:space="preserve">дебного приказа относительно совместного хозяйства (ОВ № 76/13) </w:t>
      </w:r>
    </w:p>
    <w:p w:rsidR="00697A59" w:rsidRPr="005179C3" w:rsidRDefault="00BA168A" w:rsidP="00BA168A">
      <w:pPr>
        <w:pStyle w:val="SingleTxt"/>
        <w:tabs>
          <w:tab w:val="right" w:pos="1685"/>
        </w:tabs>
        <w:ind w:left="1742" w:hanging="475"/>
      </w:pPr>
      <w:r>
        <w:tab/>
      </w:r>
      <w:r w:rsidRPr="00BA168A">
        <w:t>•</w:t>
      </w:r>
      <w:r>
        <w:tab/>
      </w:r>
      <w:r w:rsidR="00697A59" w:rsidRPr="005179C3">
        <w:t xml:space="preserve">Протокол о порядке рассмотрения дел о сексуальном насилии </w:t>
      </w:r>
    </w:p>
    <w:p w:rsidR="00697A59" w:rsidRPr="005179C3" w:rsidRDefault="00BA168A" w:rsidP="00BA168A">
      <w:pPr>
        <w:pStyle w:val="SingleTxt"/>
        <w:tabs>
          <w:tab w:val="right" w:pos="1685"/>
        </w:tabs>
        <w:ind w:left="1742" w:hanging="475"/>
      </w:pPr>
      <w:r>
        <w:tab/>
      </w:r>
      <w:r w:rsidRPr="00BA168A">
        <w:t>•</w:t>
      </w:r>
      <w:r>
        <w:tab/>
      </w:r>
      <w:r w:rsidR="00697A59" w:rsidRPr="005179C3">
        <w:t xml:space="preserve">Протокол о порядке рассмотрения дел, связанных с преступлениями на почве ненависти </w:t>
      </w:r>
    </w:p>
    <w:p w:rsidR="00697A59" w:rsidRPr="005179C3" w:rsidRDefault="00BA168A" w:rsidP="00BA168A">
      <w:pPr>
        <w:pStyle w:val="SingleTxt"/>
        <w:tabs>
          <w:tab w:val="right" w:pos="1685"/>
        </w:tabs>
        <w:ind w:left="1742" w:hanging="475"/>
      </w:pPr>
      <w:r>
        <w:tab/>
      </w:r>
      <w:r w:rsidRPr="00BA168A">
        <w:t>•</w:t>
      </w:r>
      <w:r>
        <w:tab/>
      </w:r>
      <w:r w:rsidR="00697A59" w:rsidRPr="005179C3">
        <w:t>Стандартные оперативные процедуры, используемые полицией в случаях насилия в семье</w:t>
      </w:r>
    </w:p>
    <w:p w:rsidR="00697A59" w:rsidRPr="005179C3" w:rsidRDefault="00BA168A" w:rsidP="00BA168A">
      <w:pPr>
        <w:pStyle w:val="SingleTxt"/>
        <w:tabs>
          <w:tab w:val="right" w:pos="1685"/>
        </w:tabs>
        <w:ind w:left="1742" w:hanging="475"/>
      </w:pPr>
      <w:r>
        <w:tab/>
      </w:r>
      <w:r w:rsidRPr="00BA168A">
        <w:t>•</w:t>
      </w:r>
      <w:r>
        <w:tab/>
      </w:r>
      <w:r w:rsidR="00697A59" w:rsidRPr="005179C3">
        <w:t>Руководство по разработке и осуществлению активной политики в сфере занятости в Республике Хорватия на период 2015</w:t>
      </w:r>
      <w:r w:rsidR="00A1495E">
        <w:t>–</w:t>
      </w:r>
      <w:r w:rsidR="00697A59" w:rsidRPr="005179C3">
        <w:t xml:space="preserve">2017 годов </w:t>
      </w:r>
    </w:p>
    <w:p w:rsidR="00697A59" w:rsidRPr="005179C3" w:rsidRDefault="00BA168A" w:rsidP="00BA168A">
      <w:pPr>
        <w:pStyle w:val="SingleTxt"/>
        <w:tabs>
          <w:tab w:val="right" w:pos="1685"/>
        </w:tabs>
        <w:ind w:left="1742" w:hanging="475"/>
      </w:pPr>
      <w:r>
        <w:tab/>
      </w:r>
      <w:r w:rsidRPr="00BA168A">
        <w:t>•</w:t>
      </w:r>
      <w:r>
        <w:tab/>
      </w:r>
      <w:r w:rsidR="00697A59" w:rsidRPr="005179C3">
        <w:t>Стратегия по борьбе с бедностью и социальной изоляцией в Республике Хорватия на период 2014</w:t>
      </w:r>
      <w:r w:rsidR="00A1495E">
        <w:t>–</w:t>
      </w:r>
      <w:r w:rsidR="00697A59" w:rsidRPr="005179C3">
        <w:t>2020 г</w:t>
      </w:r>
      <w:r w:rsidR="00697A59" w:rsidRPr="005179C3">
        <w:t>о</w:t>
      </w:r>
      <w:r w:rsidR="00697A59" w:rsidRPr="005179C3">
        <w:t>дов</w:t>
      </w:r>
    </w:p>
    <w:p w:rsidR="00697A59" w:rsidRPr="005179C3" w:rsidRDefault="00BA168A" w:rsidP="00BA168A">
      <w:pPr>
        <w:pStyle w:val="SingleTxt"/>
        <w:tabs>
          <w:tab w:val="right" w:pos="1685"/>
        </w:tabs>
        <w:ind w:left="1742" w:hanging="475"/>
      </w:pPr>
      <w:r>
        <w:tab/>
      </w:r>
      <w:r w:rsidRPr="00BA168A">
        <w:t>•</w:t>
      </w:r>
      <w:r>
        <w:tab/>
      </w:r>
      <w:r w:rsidR="00697A59" w:rsidRPr="005179C3">
        <w:t xml:space="preserve">Стратегия </w:t>
      </w:r>
      <w:r w:rsidR="00697A59">
        <w:t xml:space="preserve">по </w:t>
      </w:r>
      <w:r w:rsidR="00697A59" w:rsidRPr="005179C3">
        <w:t>развити</w:t>
      </w:r>
      <w:r w:rsidR="00697A59">
        <w:t>ю</w:t>
      </w:r>
      <w:r w:rsidR="00697A59" w:rsidRPr="005179C3">
        <w:t xml:space="preserve"> предпринимательства в Республике Хорватия на</w:t>
      </w:r>
      <w:r w:rsidR="00A1495E">
        <w:t> </w:t>
      </w:r>
      <w:r w:rsidR="00697A59">
        <w:t xml:space="preserve">период </w:t>
      </w:r>
      <w:r w:rsidR="00697A59" w:rsidRPr="005179C3">
        <w:t>2014</w:t>
      </w:r>
      <w:r w:rsidR="00A1495E">
        <w:t>–</w:t>
      </w:r>
      <w:r w:rsidR="00697A59" w:rsidRPr="005179C3">
        <w:t>2020 год</w:t>
      </w:r>
      <w:r w:rsidR="00697A59">
        <w:t>ов</w:t>
      </w:r>
    </w:p>
    <w:p w:rsidR="00697A59" w:rsidRPr="005179C3" w:rsidRDefault="00BA168A" w:rsidP="00BA168A">
      <w:pPr>
        <w:pStyle w:val="SingleTxt"/>
        <w:tabs>
          <w:tab w:val="right" w:pos="1685"/>
        </w:tabs>
        <w:ind w:left="1742" w:hanging="475"/>
      </w:pPr>
      <w:r>
        <w:tab/>
      </w:r>
      <w:r w:rsidRPr="00BA168A">
        <w:t>•</w:t>
      </w:r>
      <w:r>
        <w:tab/>
      </w:r>
      <w:r w:rsidR="00697A59" w:rsidRPr="005179C3">
        <w:t xml:space="preserve">Стратегия развития сети социального обеспечения в Республике Хорватия на </w:t>
      </w:r>
      <w:r w:rsidR="00697A59">
        <w:t xml:space="preserve">период </w:t>
      </w:r>
      <w:r w:rsidR="00697A59" w:rsidRPr="005179C3">
        <w:t>2011</w:t>
      </w:r>
      <w:r w:rsidR="00A1495E">
        <w:t>–</w:t>
      </w:r>
      <w:r w:rsidR="00697A59" w:rsidRPr="005179C3">
        <w:t>2016 год</w:t>
      </w:r>
      <w:r w:rsidR="00697A59">
        <w:t>ов</w:t>
      </w:r>
    </w:p>
    <w:p w:rsidR="00697A59" w:rsidRPr="005179C3" w:rsidRDefault="00BA168A" w:rsidP="00BA168A">
      <w:pPr>
        <w:pStyle w:val="SingleTxt"/>
        <w:tabs>
          <w:tab w:val="right" w:pos="1685"/>
        </w:tabs>
        <w:ind w:left="1742" w:hanging="475"/>
      </w:pPr>
      <w:r>
        <w:tab/>
      </w:r>
      <w:r w:rsidRPr="00BA168A">
        <w:t>•</w:t>
      </w:r>
      <w:r>
        <w:tab/>
      </w:r>
      <w:r w:rsidR="00697A59" w:rsidRPr="005179C3">
        <w:t>Требования к содержанию учебников (ОВ № 65/13)</w:t>
      </w:r>
    </w:p>
    <w:p w:rsidR="00697A59" w:rsidRPr="005179C3" w:rsidRDefault="00BA168A" w:rsidP="00BA168A">
      <w:pPr>
        <w:pStyle w:val="SingleTxt"/>
        <w:tabs>
          <w:tab w:val="right" w:pos="1685"/>
        </w:tabs>
        <w:ind w:left="1742" w:hanging="475"/>
      </w:pPr>
      <w:r>
        <w:tab/>
      </w:r>
      <w:r w:rsidRPr="00BA168A">
        <w:t>•</w:t>
      </w:r>
      <w:r>
        <w:tab/>
      </w:r>
      <w:r w:rsidR="00697A59" w:rsidRPr="005179C3">
        <w:t>Совместный меморандум о приоритетных направлениях политики в обл</w:t>
      </w:r>
      <w:r w:rsidR="00697A59" w:rsidRPr="005179C3">
        <w:t>а</w:t>
      </w:r>
      <w:r w:rsidR="00697A59" w:rsidRPr="005179C3">
        <w:t>сти занятости в Республике Хо</w:t>
      </w:r>
      <w:r w:rsidR="00697A59" w:rsidRPr="005179C3">
        <w:t>р</w:t>
      </w:r>
      <w:r w:rsidR="00697A59" w:rsidRPr="005179C3">
        <w:t>ватия (СМП)</w:t>
      </w:r>
    </w:p>
    <w:p w:rsidR="00697A59" w:rsidRDefault="00697A59" w:rsidP="00BA168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br w:type="page"/>
      </w:r>
      <w:r w:rsidR="00BA168A">
        <w:rPr>
          <w:lang w:val="en-US"/>
        </w:rPr>
        <w:tab/>
      </w:r>
      <w:r w:rsidR="00BA168A">
        <w:rPr>
          <w:lang w:val="en-US"/>
        </w:rPr>
        <w:tab/>
      </w:r>
      <w:r w:rsidRPr="00FA0D42">
        <w:t>Сокращения</w:t>
      </w:r>
    </w:p>
    <w:p w:rsidR="00BA168A" w:rsidRPr="00BA168A" w:rsidRDefault="00BA168A" w:rsidP="00BA168A">
      <w:pPr>
        <w:pStyle w:val="SingleTxt"/>
        <w:spacing w:after="0" w:line="120" w:lineRule="exact"/>
        <w:rPr>
          <w:sz w:val="10"/>
          <w:lang w:val="en-US"/>
        </w:rPr>
      </w:pPr>
    </w:p>
    <w:p w:rsidR="00BA168A" w:rsidRDefault="00BA168A" w:rsidP="00BA168A">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981"/>
        <w:gridCol w:w="981"/>
        <w:gridCol w:w="5358"/>
      </w:tblGrid>
      <w:tr w:rsidR="00BA168A" w:rsidTr="00BA168A">
        <w:tblPrEx>
          <w:tblCellMar>
            <w:top w:w="0" w:type="dxa"/>
            <w:bottom w:w="0" w:type="dxa"/>
          </w:tblCellMar>
        </w:tblPrEx>
        <w:tc>
          <w:tcPr>
            <w:tcW w:w="981" w:type="dxa"/>
            <w:shd w:val="clear" w:color="auto" w:fill="auto"/>
          </w:tcPr>
          <w:p w:rsidR="00BA168A" w:rsidRDefault="00BA168A" w:rsidP="00BA168A">
            <w:pPr>
              <w:pStyle w:val="DualTxt"/>
            </w:pPr>
            <w:r w:rsidRPr="005179C3">
              <w:t>ЕБРР</w:t>
            </w:r>
            <w:r>
              <w:t> </w:t>
            </w:r>
          </w:p>
        </w:tc>
        <w:tc>
          <w:tcPr>
            <w:tcW w:w="6339" w:type="dxa"/>
            <w:gridSpan w:val="2"/>
            <w:shd w:val="clear" w:color="auto" w:fill="auto"/>
          </w:tcPr>
          <w:p w:rsidR="00BA168A" w:rsidRDefault="00BA168A" w:rsidP="00CF4575">
            <w:pPr>
              <w:pStyle w:val="DualTxt"/>
              <w:jc w:val="left"/>
            </w:pPr>
            <w:r w:rsidRPr="005179C3">
              <w:t>Европейский банк реконструкции и развития</w:t>
            </w:r>
          </w:p>
        </w:tc>
      </w:tr>
      <w:tr w:rsidR="00BA168A" w:rsidTr="00BA168A">
        <w:tblPrEx>
          <w:tblCellMar>
            <w:top w:w="0" w:type="dxa"/>
            <w:bottom w:w="0" w:type="dxa"/>
          </w:tblCellMar>
        </w:tblPrEx>
        <w:tc>
          <w:tcPr>
            <w:tcW w:w="981" w:type="dxa"/>
            <w:shd w:val="clear" w:color="auto" w:fill="auto"/>
          </w:tcPr>
          <w:p w:rsidR="00BA168A" w:rsidRDefault="00BA168A" w:rsidP="00BA168A">
            <w:pPr>
              <w:pStyle w:val="DualTxt"/>
            </w:pPr>
            <w:r w:rsidRPr="005179C3">
              <w:t>УК</w:t>
            </w:r>
          </w:p>
        </w:tc>
        <w:tc>
          <w:tcPr>
            <w:tcW w:w="6339" w:type="dxa"/>
            <w:gridSpan w:val="2"/>
            <w:shd w:val="clear" w:color="auto" w:fill="auto"/>
          </w:tcPr>
          <w:p w:rsidR="00BA168A" w:rsidRDefault="00BA168A" w:rsidP="00CF4575">
            <w:pPr>
              <w:pStyle w:val="DualTxt"/>
              <w:jc w:val="left"/>
            </w:pPr>
            <w:r w:rsidRPr="005179C3">
              <w:t>Уголовный кодекс</w:t>
            </w:r>
          </w:p>
        </w:tc>
      </w:tr>
      <w:tr w:rsidR="00BA168A" w:rsidTr="00BA168A">
        <w:tblPrEx>
          <w:tblCellMar>
            <w:top w:w="0" w:type="dxa"/>
            <w:bottom w:w="0" w:type="dxa"/>
          </w:tblCellMar>
        </w:tblPrEx>
        <w:tc>
          <w:tcPr>
            <w:tcW w:w="981" w:type="dxa"/>
            <w:shd w:val="clear" w:color="auto" w:fill="auto"/>
          </w:tcPr>
          <w:p w:rsidR="00BA168A" w:rsidRDefault="00BA168A" w:rsidP="00BA168A">
            <w:pPr>
              <w:pStyle w:val="DualTxt"/>
            </w:pPr>
            <w:r w:rsidRPr="005179C3">
              <w:t>КЛДЖ</w:t>
            </w:r>
            <w:r>
              <w:t> </w:t>
            </w:r>
          </w:p>
        </w:tc>
        <w:tc>
          <w:tcPr>
            <w:tcW w:w="6339" w:type="dxa"/>
            <w:gridSpan w:val="2"/>
            <w:shd w:val="clear" w:color="auto" w:fill="auto"/>
          </w:tcPr>
          <w:p w:rsidR="00BA168A" w:rsidRDefault="00BA168A" w:rsidP="00CF4575">
            <w:pPr>
              <w:pStyle w:val="DualTxt"/>
              <w:jc w:val="left"/>
            </w:pPr>
            <w:r w:rsidRPr="005179C3">
              <w:t>Конвенция о ликвидации всех форм дискриминации в отношении женщин</w:t>
            </w:r>
          </w:p>
        </w:tc>
      </w:tr>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ХСЗ</w:t>
            </w:r>
          </w:p>
        </w:tc>
        <w:tc>
          <w:tcPr>
            <w:tcW w:w="6339" w:type="dxa"/>
            <w:gridSpan w:val="2"/>
            <w:shd w:val="clear" w:color="auto" w:fill="auto"/>
          </w:tcPr>
          <w:p w:rsidR="00BA168A" w:rsidRPr="005179C3" w:rsidRDefault="00BA168A" w:rsidP="00CF4575">
            <w:pPr>
              <w:pStyle w:val="DualTxt"/>
              <w:jc w:val="left"/>
            </w:pPr>
            <w:r w:rsidRPr="005179C3">
              <w:t>Хорватская служба занятости</w:t>
            </w:r>
          </w:p>
        </w:tc>
      </w:tr>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ХФМС</w:t>
            </w:r>
          </w:p>
        </w:tc>
        <w:tc>
          <w:tcPr>
            <w:tcW w:w="6339" w:type="dxa"/>
            <w:gridSpan w:val="2"/>
            <w:shd w:val="clear" w:color="auto" w:fill="auto"/>
          </w:tcPr>
          <w:p w:rsidR="00BA168A" w:rsidRPr="005179C3" w:rsidRDefault="00BA168A" w:rsidP="00CF4575">
            <w:pPr>
              <w:pStyle w:val="DualTxt"/>
              <w:jc w:val="left"/>
            </w:pPr>
            <w:r w:rsidRPr="005179C3">
              <w:t>Хорватский фонд медицинского страхования</w:t>
            </w:r>
          </w:p>
        </w:tc>
      </w:tr>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ХОК</w:t>
            </w:r>
          </w:p>
        </w:tc>
        <w:tc>
          <w:tcPr>
            <w:tcW w:w="6339" w:type="dxa"/>
            <w:gridSpan w:val="2"/>
            <w:shd w:val="clear" w:color="auto" w:fill="auto"/>
          </w:tcPr>
          <w:p w:rsidR="00BA168A" w:rsidRPr="005179C3" w:rsidRDefault="00BA168A" w:rsidP="00CF4575">
            <w:pPr>
              <w:pStyle w:val="DualTxt"/>
              <w:jc w:val="left"/>
            </w:pPr>
            <w:r w:rsidRPr="005179C3">
              <w:t>Хорватский Олимпийский комитет</w:t>
            </w:r>
          </w:p>
        </w:tc>
      </w:tr>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ЕК</w:t>
            </w:r>
          </w:p>
        </w:tc>
        <w:tc>
          <w:tcPr>
            <w:tcW w:w="6339" w:type="dxa"/>
            <w:gridSpan w:val="2"/>
            <w:shd w:val="clear" w:color="auto" w:fill="auto"/>
          </w:tcPr>
          <w:p w:rsidR="00BA168A" w:rsidRPr="005179C3" w:rsidRDefault="00BA168A" w:rsidP="00CF4575">
            <w:pPr>
              <w:pStyle w:val="DualTxt"/>
              <w:jc w:val="left"/>
            </w:pPr>
            <w:r w:rsidRPr="005179C3">
              <w:t>Европейская комиссия</w:t>
            </w:r>
          </w:p>
        </w:tc>
      </w:tr>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ЕИГР</w:t>
            </w:r>
          </w:p>
        </w:tc>
        <w:tc>
          <w:tcPr>
            <w:tcW w:w="6339" w:type="dxa"/>
            <w:gridSpan w:val="2"/>
            <w:shd w:val="clear" w:color="auto" w:fill="auto"/>
          </w:tcPr>
          <w:p w:rsidR="00BA168A" w:rsidRPr="005179C3" w:rsidRDefault="00BA168A" w:rsidP="00CF4575">
            <w:pPr>
              <w:pStyle w:val="DualTxt"/>
              <w:jc w:val="left"/>
            </w:pPr>
            <w:r w:rsidRPr="005179C3">
              <w:t>Европейский институт по вопросам гендерного равенства</w:t>
            </w:r>
          </w:p>
        </w:tc>
      </w:tr>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ЕС</w:t>
            </w:r>
          </w:p>
        </w:tc>
        <w:tc>
          <w:tcPr>
            <w:tcW w:w="6339" w:type="dxa"/>
            <w:gridSpan w:val="2"/>
            <w:shd w:val="clear" w:color="auto" w:fill="auto"/>
          </w:tcPr>
          <w:p w:rsidR="00BA168A" w:rsidRPr="005179C3" w:rsidRDefault="00BA168A" w:rsidP="00CF4575">
            <w:pPr>
              <w:pStyle w:val="DualTxt"/>
              <w:jc w:val="left"/>
            </w:pPr>
            <w:r w:rsidRPr="005179C3">
              <w:t>Европейский союз</w:t>
            </w:r>
          </w:p>
        </w:tc>
      </w:tr>
      <w:tr w:rsidR="00BA168A" w:rsidTr="00A1495E">
        <w:tblPrEx>
          <w:tblCellMar>
            <w:top w:w="0" w:type="dxa"/>
            <w:bottom w:w="0" w:type="dxa"/>
          </w:tblCellMar>
        </w:tblPrEx>
        <w:tc>
          <w:tcPr>
            <w:tcW w:w="1962" w:type="dxa"/>
            <w:gridSpan w:val="2"/>
            <w:shd w:val="clear" w:color="auto" w:fill="auto"/>
          </w:tcPr>
          <w:p w:rsidR="00BA168A" w:rsidRPr="005179C3" w:rsidRDefault="00BA168A" w:rsidP="00BA168A">
            <w:pPr>
              <w:pStyle w:val="DualTxt"/>
            </w:pPr>
            <w:r w:rsidRPr="005179C3">
              <w:t>ХАМАГ ИНВЕСТ</w:t>
            </w:r>
          </w:p>
        </w:tc>
        <w:tc>
          <w:tcPr>
            <w:tcW w:w="5358" w:type="dxa"/>
            <w:shd w:val="clear" w:color="auto" w:fill="auto"/>
          </w:tcPr>
          <w:p w:rsidR="00BA168A" w:rsidRPr="005179C3" w:rsidRDefault="00BA168A" w:rsidP="00BA168A">
            <w:pPr>
              <w:pStyle w:val="DualTxt"/>
            </w:pPr>
            <w:r w:rsidRPr="005179C3">
              <w:t>Хорватское агентство по малым и средним предприятиям, и</w:t>
            </w:r>
            <w:r w:rsidRPr="005179C3">
              <w:t>н</w:t>
            </w:r>
            <w:r w:rsidRPr="005179C3">
              <w:t>новациям и инвестициям</w:t>
            </w:r>
          </w:p>
        </w:tc>
      </w:tr>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ХРТ</w:t>
            </w:r>
          </w:p>
        </w:tc>
        <w:tc>
          <w:tcPr>
            <w:tcW w:w="6339" w:type="dxa"/>
            <w:gridSpan w:val="2"/>
            <w:shd w:val="clear" w:color="auto" w:fill="auto"/>
          </w:tcPr>
          <w:p w:rsidR="00BA168A" w:rsidRPr="005179C3" w:rsidRDefault="00BA168A" w:rsidP="00CF4575">
            <w:pPr>
              <w:pStyle w:val="DualTxt"/>
              <w:jc w:val="left"/>
            </w:pPr>
            <w:r w:rsidRPr="005179C3">
              <w:t>Хорватское радио и телевидение</w:t>
            </w:r>
          </w:p>
        </w:tc>
      </w:tr>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СОП</w:t>
            </w:r>
          </w:p>
        </w:tc>
        <w:tc>
          <w:tcPr>
            <w:tcW w:w="6339" w:type="dxa"/>
            <w:gridSpan w:val="2"/>
            <w:shd w:val="clear" w:color="auto" w:fill="auto"/>
          </w:tcPr>
          <w:p w:rsidR="00BA168A" w:rsidRPr="005179C3" w:rsidRDefault="00BA168A" w:rsidP="00CF4575">
            <w:pPr>
              <w:pStyle w:val="DualTxt"/>
              <w:jc w:val="left"/>
            </w:pPr>
            <w:r w:rsidRPr="005179C3">
              <w:t>Совместная оценка приоритетных направлений политики в области занятости</w:t>
            </w:r>
          </w:p>
        </w:tc>
      </w:tr>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МПР</w:t>
            </w:r>
          </w:p>
        </w:tc>
        <w:tc>
          <w:tcPr>
            <w:tcW w:w="6339" w:type="dxa"/>
            <w:gridSpan w:val="2"/>
            <w:shd w:val="clear" w:color="auto" w:fill="auto"/>
          </w:tcPr>
          <w:p w:rsidR="00BA168A" w:rsidRPr="005179C3" w:rsidRDefault="00BA168A" w:rsidP="00CF4575">
            <w:pPr>
              <w:pStyle w:val="DualTxt"/>
              <w:jc w:val="left"/>
            </w:pPr>
            <w:r w:rsidRPr="005179C3">
              <w:t>Министерство по вопросам предпринимательства и ремесел</w:t>
            </w:r>
          </w:p>
        </w:tc>
      </w:tr>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МИЕД</w:t>
            </w:r>
          </w:p>
        </w:tc>
        <w:tc>
          <w:tcPr>
            <w:tcW w:w="6339" w:type="dxa"/>
            <w:gridSpan w:val="2"/>
            <w:shd w:val="clear" w:color="auto" w:fill="auto"/>
          </w:tcPr>
          <w:p w:rsidR="00BA168A" w:rsidRPr="005179C3" w:rsidRDefault="00BA168A" w:rsidP="00CF4575">
            <w:pPr>
              <w:pStyle w:val="DualTxt"/>
              <w:jc w:val="left"/>
            </w:pPr>
            <w:r w:rsidRPr="005179C3">
              <w:t>Министерство иностранных и европейских дел</w:t>
            </w:r>
          </w:p>
        </w:tc>
      </w:tr>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МЗ</w:t>
            </w:r>
          </w:p>
        </w:tc>
        <w:tc>
          <w:tcPr>
            <w:tcW w:w="6339" w:type="dxa"/>
            <w:gridSpan w:val="2"/>
            <w:shd w:val="clear" w:color="auto" w:fill="auto"/>
          </w:tcPr>
          <w:p w:rsidR="00BA168A" w:rsidRPr="005179C3" w:rsidRDefault="00BA168A" w:rsidP="00CF4575">
            <w:pPr>
              <w:pStyle w:val="DualTxt"/>
              <w:jc w:val="left"/>
            </w:pPr>
            <w:r w:rsidRPr="005179C3">
              <w:t>Министерство здравоохранения</w:t>
            </w:r>
          </w:p>
        </w:tc>
      </w:tr>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МВД</w:t>
            </w:r>
          </w:p>
        </w:tc>
        <w:tc>
          <w:tcPr>
            <w:tcW w:w="6339" w:type="dxa"/>
            <w:gridSpan w:val="2"/>
            <w:shd w:val="clear" w:color="auto" w:fill="auto"/>
          </w:tcPr>
          <w:p w:rsidR="00BA168A" w:rsidRPr="005179C3" w:rsidRDefault="00BA168A" w:rsidP="00CF4575">
            <w:pPr>
              <w:pStyle w:val="DualTxt"/>
              <w:jc w:val="left"/>
            </w:pPr>
            <w:r w:rsidRPr="005179C3">
              <w:t>Министерство внутренних дел</w:t>
            </w:r>
          </w:p>
        </w:tc>
      </w:tr>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МЮ</w:t>
            </w:r>
          </w:p>
        </w:tc>
        <w:tc>
          <w:tcPr>
            <w:tcW w:w="6339" w:type="dxa"/>
            <w:gridSpan w:val="2"/>
            <w:shd w:val="clear" w:color="auto" w:fill="auto"/>
          </w:tcPr>
          <w:p w:rsidR="00BA168A" w:rsidRPr="005179C3" w:rsidRDefault="00BA168A" w:rsidP="00CF4575">
            <w:pPr>
              <w:pStyle w:val="DualTxt"/>
              <w:jc w:val="left"/>
            </w:pPr>
            <w:r w:rsidRPr="005179C3">
              <w:t>Министерство юстиции</w:t>
            </w:r>
          </w:p>
        </w:tc>
      </w:tr>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МОНС</w:t>
            </w:r>
          </w:p>
        </w:tc>
        <w:tc>
          <w:tcPr>
            <w:tcW w:w="6339" w:type="dxa"/>
            <w:gridSpan w:val="2"/>
            <w:shd w:val="clear" w:color="auto" w:fill="auto"/>
          </w:tcPr>
          <w:p w:rsidR="00BA168A" w:rsidRPr="00BA168A" w:rsidRDefault="00BA168A" w:rsidP="00CF4575">
            <w:pPr>
              <w:pStyle w:val="DualTxt"/>
              <w:jc w:val="left"/>
            </w:pPr>
            <w:r w:rsidRPr="00BA168A">
              <w:t>Министерство образования, науки и спорта</w:t>
            </w:r>
          </w:p>
        </w:tc>
      </w:tr>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МСПМ</w:t>
            </w:r>
          </w:p>
        </w:tc>
        <w:tc>
          <w:tcPr>
            <w:tcW w:w="6339" w:type="dxa"/>
            <w:gridSpan w:val="2"/>
            <w:shd w:val="clear" w:color="auto" w:fill="auto"/>
          </w:tcPr>
          <w:p w:rsidR="00BA168A" w:rsidRPr="00BA168A" w:rsidRDefault="00BA168A" w:rsidP="00CF4575">
            <w:pPr>
              <w:pStyle w:val="DualTxt"/>
              <w:jc w:val="left"/>
            </w:pPr>
            <w:r w:rsidRPr="005179C3">
              <w:t>Министерство социальной политики и по делам молодежи</w:t>
            </w:r>
          </w:p>
        </w:tc>
      </w:tr>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МДВ</w:t>
            </w:r>
          </w:p>
        </w:tc>
        <w:tc>
          <w:tcPr>
            <w:tcW w:w="6339" w:type="dxa"/>
            <w:gridSpan w:val="2"/>
            <w:shd w:val="clear" w:color="auto" w:fill="auto"/>
          </w:tcPr>
          <w:p w:rsidR="00BA168A" w:rsidRPr="005179C3" w:rsidRDefault="00BA168A" w:rsidP="00CF4575">
            <w:pPr>
              <w:pStyle w:val="DualTxt"/>
              <w:jc w:val="left"/>
            </w:pPr>
            <w:r w:rsidRPr="005179C3">
              <w:t>Министерство по делам ветеранов</w:t>
            </w:r>
          </w:p>
        </w:tc>
      </w:tr>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НАТО</w:t>
            </w:r>
          </w:p>
        </w:tc>
        <w:tc>
          <w:tcPr>
            <w:tcW w:w="6339" w:type="dxa"/>
            <w:gridSpan w:val="2"/>
            <w:shd w:val="clear" w:color="auto" w:fill="auto"/>
          </w:tcPr>
          <w:p w:rsidR="00BA168A" w:rsidRPr="005179C3" w:rsidRDefault="00BA168A" w:rsidP="00CF4575">
            <w:pPr>
              <w:pStyle w:val="DualTxt"/>
              <w:jc w:val="left"/>
            </w:pPr>
            <w:r w:rsidRPr="005179C3">
              <w:t>Организация Североатлантического договора</w:t>
            </w:r>
          </w:p>
        </w:tc>
      </w:tr>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НИОЗ</w:t>
            </w:r>
          </w:p>
        </w:tc>
        <w:tc>
          <w:tcPr>
            <w:tcW w:w="6339" w:type="dxa"/>
            <w:gridSpan w:val="2"/>
            <w:shd w:val="clear" w:color="auto" w:fill="auto"/>
          </w:tcPr>
          <w:p w:rsidR="00BA168A" w:rsidRPr="005179C3" w:rsidRDefault="00BA168A" w:rsidP="00CF4575">
            <w:pPr>
              <w:pStyle w:val="DualTxt"/>
              <w:jc w:val="left"/>
            </w:pPr>
            <w:r w:rsidRPr="005179C3">
              <w:t>Национальный институт общественного здравоохранения</w:t>
            </w:r>
          </w:p>
        </w:tc>
      </w:tr>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НСИР</w:t>
            </w:r>
          </w:p>
        </w:tc>
        <w:tc>
          <w:tcPr>
            <w:tcW w:w="6339" w:type="dxa"/>
            <w:gridSpan w:val="2"/>
            <w:shd w:val="clear" w:color="auto" w:fill="auto"/>
          </w:tcPr>
          <w:p w:rsidR="00BA168A" w:rsidRPr="005179C3" w:rsidRDefault="00BA168A" w:rsidP="00CF4575">
            <w:pPr>
              <w:pStyle w:val="DualTxt"/>
              <w:jc w:val="left"/>
            </w:pPr>
            <w:r w:rsidRPr="005179C3">
              <w:t>Национальная стратегия по интеграции рома на период 2013</w:t>
            </w:r>
            <w:r w:rsidR="00A1495E">
              <w:t>–</w:t>
            </w:r>
            <w:r w:rsidRPr="005179C3">
              <w:t>2020</w:t>
            </w:r>
            <w:r w:rsidR="00A1495E">
              <w:t> </w:t>
            </w:r>
            <w:r w:rsidRPr="005179C3">
              <w:t>годов</w:t>
            </w:r>
          </w:p>
        </w:tc>
      </w:tr>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ОВ</w:t>
            </w:r>
          </w:p>
        </w:tc>
        <w:tc>
          <w:tcPr>
            <w:tcW w:w="6339" w:type="dxa"/>
            <w:gridSpan w:val="2"/>
            <w:shd w:val="clear" w:color="auto" w:fill="auto"/>
          </w:tcPr>
          <w:p w:rsidR="00BA168A" w:rsidRPr="005179C3" w:rsidRDefault="00BA168A" w:rsidP="00CF4575">
            <w:pPr>
              <w:pStyle w:val="DualTxt"/>
              <w:jc w:val="left"/>
            </w:pPr>
            <w:r w:rsidRPr="005179C3">
              <w:t xml:space="preserve">Официальный вестник </w:t>
            </w:r>
          </w:p>
        </w:tc>
      </w:tr>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УРМЖ</w:t>
            </w:r>
          </w:p>
        </w:tc>
        <w:tc>
          <w:tcPr>
            <w:tcW w:w="6339" w:type="dxa"/>
            <w:gridSpan w:val="2"/>
            <w:shd w:val="clear" w:color="auto" w:fill="auto"/>
          </w:tcPr>
          <w:p w:rsidR="00BA168A" w:rsidRPr="005179C3" w:rsidRDefault="00BA168A" w:rsidP="00CF4575">
            <w:pPr>
              <w:pStyle w:val="DualTxt"/>
              <w:jc w:val="left"/>
            </w:pPr>
            <w:r w:rsidRPr="005179C3">
              <w:t>Управление по вопросам равенства мужчин и женщин при прав</w:t>
            </w:r>
            <w:r w:rsidRPr="005179C3">
              <w:t>и</w:t>
            </w:r>
            <w:r w:rsidRPr="005179C3">
              <w:t>тельстве Республики Хорватия</w:t>
            </w:r>
          </w:p>
        </w:tc>
      </w:tr>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УПЧНМ</w:t>
            </w:r>
          </w:p>
        </w:tc>
        <w:tc>
          <w:tcPr>
            <w:tcW w:w="6339" w:type="dxa"/>
            <w:gridSpan w:val="2"/>
            <w:shd w:val="clear" w:color="auto" w:fill="auto"/>
          </w:tcPr>
          <w:p w:rsidR="00BA168A" w:rsidRPr="005179C3" w:rsidRDefault="00BA168A" w:rsidP="00CF4575">
            <w:pPr>
              <w:pStyle w:val="DualTxt"/>
              <w:jc w:val="left"/>
            </w:pPr>
            <w:r w:rsidRPr="005179C3">
              <w:t>Управление по правам человека и правам национальных мен</w:t>
            </w:r>
            <w:r w:rsidRPr="005179C3">
              <w:t>ь</w:t>
            </w:r>
            <w:r w:rsidRPr="005179C3">
              <w:t>шинств</w:t>
            </w:r>
          </w:p>
        </w:tc>
      </w:tr>
    </w:tbl>
    <w:p w:rsidR="00BA168A" w:rsidRPr="00CF4575" w:rsidRDefault="00BA168A" w:rsidP="00CF4575">
      <w:pPr>
        <w:spacing w:line="120" w:lineRule="exact"/>
        <w:rPr>
          <w:sz w:val="10"/>
        </w:rPr>
      </w:pPr>
      <w:r>
        <w:br w:type="page"/>
      </w:r>
    </w:p>
    <w:tbl>
      <w:tblPr>
        <w:tblW w:w="0" w:type="auto"/>
        <w:tblInd w:w="1260" w:type="dxa"/>
        <w:tblLayout w:type="fixed"/>
        <w:tblCellMar>
          <w:left w:w="0" w:type="dxa"/>
          <w:right w:w="0" w:type="dxa"/>
        </w:tblCellMar>
        <w:tblLook w:val="0000"/>
      </w:tblPr>
      <w:tblGrid>
        <w:gridCol w:w="981"/>
        <w:gridCol w:w="6339"/>
      </w:tblGrid>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ОБСЕ</w:t>
            </w:r>
          </w:p>
        </w:tc>
        <w:tc>
          <w:tcPr>
            <w:tcW w:w="6339" w:type="dxa"/>
            <w:shd w:val="clear" w:color="auto" w:fill="auto"/>
          </w:tcPr>
          <w:p w:rsidR="00BA168A" w:rsidRPr="005179C3" w:rsidRDefault="00BA168A" w:rsidP="00BA168A">
            <w:pPr>
              <w:pStyle w:val="DualTxt"/>
            </w:pPr>
            <w:r w:rsidRPr="005179C3">
              <w:t>Организация по безопасности и сотрудничеству в Европе</w:t>
            </w:r>
          </w:p>
        </w:tc>
      </w:tr>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ПСР</w:t>
            </w:r>
          </w:p>
        </w:tc>
        <w:tc>
          <w:tcPr>
            <w:tcW w:w="6339" w:type="dxa"/>
            <w:shd w:val="clear" w:color="auto" w:fill="auto"/>
          </w:tcPr>
          <w:p w:rsidR="00BA168A" w:rsidRPr="005179C3" w:rsidRDefault="00BA168A" w:rsidP="00BA168A">
            <w:pPr>
              <w:pStyle w:val="DualTxt"/>
            </w:pPr>
            <w:r w:rsidRPr="005179C3">
              <w:t>Посттравматическое стрессовое расстройство</w:t>
            </w:r>
          </w:p>
        </w:tc>
      </w:tr>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РАКВИАК</w:t>
            </w:r>
          </w:p>
        </w:tc>
        <w:tc>
          <w:tcPr>
            <w:tcW w:w="6339" w:type="dxa"/>
            <w:shd w:val="clear" w:color="auto" w:fill="auto"/>
          </w:tcPr>
          <w:p w:rsidR="00BA168A" w:rsidRPr="005179C3" w:rsidRDefault="00BA168A" w:rsidP="00BA168A">
            <w:pPr>
              <w:pStyle w:val="DualTxt"/>
            </w:pPr>
            <w:r w:rsidRPr="005179C3">
              <w:t>Центр по сотрудничеству в области безопасности</w:t>
            </w:r>
          </w:p>
        </w:tc>
      </w:tr>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РХ</w:t>
            </w:r>
          </w:p>
        </w:tc>
        <w:tc>
          <w:tcPr>
            <w:tcW w:w="6339" w:type="dxa"/>
            <w:shd w:val="clear" w:color="auto" w:fill="auto"/>
          </w:tcPr>
          <w:p w:rsidR="00BA168A" w:rsidRPr="005179C3" w:rsidRDefault="00BA168A" w:rsidP="00BA168A">
            <w:pPr>
              <w:pStyle w:val="DualTxt"/>
            </w:pPr>
            <w:r w:rsidRPr="005179C3">
              <w:t>Республика Хорватия</w:t>
            </w:r>
          </w:p>
        </w:tc>
      </w:tr>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ГПРХ</w:t>
            </w:r>
          </w:p>
        </w:tc>
        <w:tc>
          <w:tcPr>
            <w:tcW w:w="6339" w:type="dxa"/>
            <w:shd w:val="clear" w:color="auto" w:fill="auto"/>
          </w:tcPr>
          <w:p w:rsidR="00BA168A" w:rsidRPr="005179C3" w:rsidRDefault="00BA168A" w:rsidP="00BA168A">
            <w:pPr>
              <w:pStyle w:val="DualTxt"/>
            </w:pPr>
            <w:r w:rsidRPr="005179C3">
              <w:t>Генеральная прокуратура Республики Хорватия</w:t>
            </w:r>
          </w:p>
        </w:tc>
      </w:tr>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САИ</w:t>
            </w:r>
          </w:p>
        </w:tc>
        <w:tc>
          <w:tcPr>
            <w:tcW w:w="6339" w:type="dxa"/>
            <w:shd w:val="clear" w:color="auto" w:fill="auto"/>
          </w:tcPr>
          <w:p w:rsidR="00BA168A" w:rsidRPr="005179C3" w:rsidRDefault="00BA168A" w:rsidP="00BA168A">
            <w:pPr>
              <w:pStyle w:val="DualTxt"/>
            </w:pPr>
            <w:r w:rsidRPr="005179C3">
              <w:t>Союз ассоциаций инвалидов Хорватии</w:t>
            </w:r>
          </w:p>
        </w:tc>
      </w:tr>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ООН</w:t>
            </w:r>
          </w:p>
        </w:tc>
        <w:tc>
          <w:tcPr>
            <w:tcW w:w="6339" w:type="dxa"/>
            <w:shd w:val="clear" w:color="auto" w:fill="auto"/>
          </w:tcPr>
          <w:p w:rsidR="00BA168A" w:rsidRPr="005179C3" w:rsidRDefault="00BA168A" w:rsidP="00BA168A">
            <w:pPr>
              <w:pStyle w:val="DualTxt"/>
            </w:pPr>
            <w:r w:rsidRPr="005179C3">
              <w:t>Организация Объединенных Наций</w:t>
            </w:r>
          </w:p>
        </w:tc>
      </w:tr>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ПРООН</w:t>
            </w:r>
          </w:p>
        </w:tc>
        <w:tc>
          <w:tcPr>
            <w:tcW w:w="6339" w:type="dxa"/>
            <w:shd w:val="clear" w:color="auto" w:fill="auto"/>
          </w:tcPr>
          <w:p w:rsidR="00BA168A" w:rsidRPr="005179C3" w:rsidRDefault="00BA168A" w:rsidP="00BA168A">
            <w:pPr>
              <w:pStyle w:val="DualTxt"/>
            </w:pPr>
            <w:r w:rsidRPr="005179C3">
              <w:t>Программа развития Организации Объединенных Наций</w:t>
            </w:r>
          </w:p>
        </w:tc>
      </w:tr>
      <w:tr w:rsidR="00BA168A" w:rsidTr="00BA168A">
        <w:tblPrEx>
          <w:tblCellMar>
            <w:top w:w="0" w:type="dxa"/>
            <w:bottom w:w="0" w:type="dxa"/>
          </w:tblCellMar>
        </w:tblPrEx>
        <w:tc>
          <w:tcPr>
            <w:tcW w:w="981" w:type="dxa"/>
            <w:shd w:val="clear" w:color="auto" w:fill="auto"/>
          </w:tcPr>
          <w:p w:rsidR="00BA168A" w:rsidRPr="005179C3" w:rsidRDefault="00BA168A" w:rsidP="00BA168A">
            <w:pPr>
              <w:pStyle w:val="DualTxt"/>
            </w:pPr>
            <w:r w:rsidRPr="005179C3">
              <w:t>США</w:t>
            </w:r>
          </w:p>
        </w:tc>
        <w:tc>
          <w:tcPr>
            <w:tcW w:w="6339" w:type="dxa"/>
            <w:shd w:val="clear" w:color="auto" w:fill="auto"/>
          </w:tcPr>
          <w:p w:rsidR="00BA168A" w:rsidRPr="005179C3" w:rsidRDefault="00BA168A" w:rsidP="00BA168A">
            <w:pPr>
              <w:pStyle w:val="DualTxt"/>
            </w:pPr>
            <w:r w:rsidRPr="005179C3">
              <w:t>Соединенные Штаты Америки</w:t>
            </w:r>
          </w:p>
        </w:tc>
      </w:tr>
    </w:tbl>
    <w:p w:rsidR="00BA168A" w:rsidRPr="00BA168A" w:rsidRDefault="00BA168A" w:rsidP="00BA168A">
      <w:pPr>
        <w:pStyle w:val="Bullet1G"/>
        <w:numPr>
          <w:ilvl w:val="0"/>
          <w:numId w:val="0"/>
        </w:numPr>
        <w:spacing w:after="0" w:line="120" w:lineRule="exact"/>
        <w:ind w:left="1742" w:right="1267" w:hanging="475"/>
        <w:rPr>
          <w:sz w:val="10"/>
          <w:lang w:val="ru-RU"/>
        </w:rPr>
      </w:pPr>
    </w:p>
    <w:p w:rsidR="00BA168A" w:rsidRPr="00BA168A" w:rsidRDefault="00BA168A" w:rsidP="00BA168A">
      <w:pPr>
        <w:pStyle w:val="Bullet1G"/>
        <w:numPr>
          <w:ilvl w:val="0"/>
          <w:numId w:val="0"/>
        </w:numPr>
        <w:spacing w:after="0" w:line="120" w:lineRule="exact"/>
        <w:ind w:left="1742" w:right="1267" w:hanging="475"/>
        <w:rPr>
          <w:sz w:val="10"/>
          <w:lang w:val="ru-RU"/>
        </w:rPr>
      </w:pPr>
    </w:p>
    <w:p w:rsidR="00697A59" w:rsidRDefault="00BA168A" w:rsidP="004677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10"/>
        </w:rPr>
        <w:br w:type="page"/>
      </w:r>
      <w:r w:rsidR="0046778F">
        <w:tab/>
      </w:r>
      <w:r w:rsidR="0046778F">
        <w:tab/>
      </w:r>
      <w:r w:rsidR="00697A59" w:rsidRPr="00FA0D42">
        <w:t>Перечень информационно-справочных материалов</w:t>
      </w:r>
    </w:p>
    <w:p w:rsidR="0046778F" w:rsidRDefault="0046778F" w:rsidP="0046778F">
      <w:pPr>
        <w:pStyle w:val="SingleTxt"/>
        <w:spacing w:after="0" w:line="120" w:lineRule="exact"/>
        <w:rPr>
          <w:sz w:val="10"/>
        </w:rPr>
      </w:pPr>
    </w:p>
    <w:p w:rsidR="0046778F" w:rsidRPr="0046778F" w:rsidRDefault="0046778F" w:rsidP="0046778F">
      <w:pPr>
        <w:pStyle w:val="SingleTxt"/>
        <w:spacing w:after="0" w:line="120" w:lineRule="exact"/>
        <w:rPr>
          <w:sz w:val="10"/>
        </w:rPr>
      </w:pPr>
    </w:p>
    <w:p w:rsidR="00697A59" w:rsidRPr="005179C3" w:rsidRDefault="0046778F" w:rsidP="0046778F">
      <w:pPr>
        <w:pStyle w:val="SingleTxt"/>
      </w:pPr>
      <w:r>
        <w:t>1.</w:t>
      </w:r>
      <w:r>
        <w:tab/>
      </w:r>
      <w:r w:rsidR="00697A59" w:rsidRPr="005179C3">
        <w:t xml:space="preserve">Национальная </w:t>
      </w:r>
      <w:r w:rsidR="00697A59">
        <w:t>стратегия</w:t>
      </w:r>
      <w:r w:rsidR="00697A59" w:rsidRPr="005179C3">
        <w:t xml:space="preserve"> по обеспечению гендерного равенства на период 2011</w:t>
      </w:r>
      <w:r w:rsidR="00A1495E">
        <w:t>–</w:t>
      </w:r>
      <w:r w:rsidR="00697A59" w:rsidRPr="005179C3">
        <w:t>2015 годов</w:t>
      </w:r>
    </w:p>
    <w:p w:rsidR="00697A59" w:rsidRPr="005179C3" w:rsidRDefault="00697A59" w:rsidP="0046778F">
      <w:pPr>
        <w:pStyle w:val="SingleTxt"/>
      </w:pPr>
      <w:r w:rsidRPr="0046778F">
        <w:t>http://www.ured-ravnopravnost.hr/site/images/pdf/kb%20strategija%</w:t>
      </w:r>
      <w:r w:rsidR="0046778F">
        <w:br/>
      </w:r>
      <w:r w:rsidRPr="0046778F">
        <w:t>20za%20ravnopravnost%20spolova%20knjizica%20eng.pdf</w:t>
      </w:r>
    </w:p>
    <w:p w:rsidR="00697A59" w:rsidRPr="005179C3" w:rsidRDefault="0046778F" w:rsidP="0046778F">
      <w:pPr>
        <w:pStyle w:val="SingleTxt"/>
      </w:pPr>
      <w:r>
        <w:t>2.</w:t>
      </w:r>
      <w:r>
        <w:tab/>
      </w:r>
      <w:r w:rsidR="00697A59" w:rsidRPr="005179C3">
        <w:t>Женщины и мужчины в Хорватии, 2014 год, Хорватское статистическое бюро</w:t>
      </w:r>
    </w:p>
    <w:p w:rsidR="00697A59" w:rsidRPr="005179C3" w:rsidRDefault="0046778F" w:rsidP="0046778F">
      <w:pPr>
        <w:pStyle w:val="SingleTxt"/>
      </w:pPr>
      <w:r>
        <w:t>3.</w:t>
      </w:r>
      <w:r>
        <w:tab/>
      </w:r>
      <w:hyperlink r:id="rId15" w:history="1">
        <w:r w:rsidR="00697A59" w:rsidRPr="0046778F">
          <w:t>http://www.dzs.hr/Hrv_Eng/menandwomen/men_and_women_2014.pdf</w:t>
        </w:r>
      </w:hyperlink>
      <w:r w:rsidR="00697A59" w:rsidRPr="005179C3">
        <w:t xml:space="preserve"> </w:t>
      </w:r>
    </w:p>
    <w:p w:rsidR="00697A59" w:rsidRPr="005179C3" w:rsidRDefault="00697A59" w:rsidP="0046778F">
      <w:pPr>
        <w:pStyle w:val="SingleTxt"/>
      </w:pPr>
      <w:r w:rsidRPr="005179C3">
        <w:t>Стратегия по развитию предпринимательства в Республике Хорватия на период 2014</w:t>
      </w:r>
      <w:r w:rsidR="00A1495E">
        <w:t>–</w:t>
      </w:r>
      <w:r w:rsidRPr="005179C3">
        <w:t xml:space="preserve">2020 годов </w:t>
      </w:r>
    </w:p>
    <w:p w:rsidR="00697A59" w:rsidRPr="005179C3" w:rsidRDefault="00697A59" w:rsidP="0046778F">
      <w:pPr>
        <w:pStyle w:val="SingleTxt"/>
      </w:pPr>
      <w:hyperlink r:id="rId16" w:history="1">
        <w:r w:rsidRPr="0046778F">
          <w:t>http://www.minpo.hr/UserDocsImages/Strategy%20of%20Women%20Entrepreneurship%20Development%20in%20the%20Republic%20of%20Croatia%202014%20-%202020.pdf</w:t>
        </w:r>
      </w:hyperlink>
      <w:r w:rsidRPr="0046778F">
        <w:t xml:space="preserve"> </w:t>
      </w:r>
    </w:p>
    <w:p w:rsidR="00697A59" w:rsidRPr="005179C3" w:rsidRDefault="0046778F" w:rsidP="0046778F">
      <w:pPr>
        <w:pStyle w:val="SingleTxt"/>
      </w:pPr>
      <w:r>
        <w:t>4.</w:t>
      </w:r>
      <w:r>
        <w:tab/>
      </w:r>
      <w:r w:rsidR="00697A59" w:rsidRPr="005179C3">
        <w:t>Национальный план действий по осуществлению резолюции 1325 (2000) Совета Безопасности по вопросу о женщинах, мире и безопасности и связа</w:t>
      </w:r>
      <w:r w:rsidR="00697A59" w:rsidRPr="005179C3">
        <w:t>н</w:t>
      </w:r>
      <w:r w:rsidR="00697A59" w:rsidRPr="005179C3">
        <w:t>ных с ней резолюций на период 2011</w:t>
      </w:r>
      <w:r w:rsidR="00A1495E">
        <w:t>–</w:t>
      </w:r>
      <w:r w:rsidR="00697A59" w:rsidRPr="005179C3">
        <w:t xml:space="preserve">2014 годов </w:t>
      </w:r>
    </w:p>
    <w:p w:rsidR="00697A59" w:rsidRPr="005179C3" w:rsidRDefault="00697A59" w:rsidP="0046778F">
      <w:pPr>
        <w:pStyle w:val="SingleTxt"/>
      </w:pPr>
      <w:hyperlink r:id="rId17" w:history="1">
        <w:r w:rsidRPr="0046778F">
          <w:t>http://www.ured-ravnopravnost.hr/site/images/pdf/dokumenti/nap%201325-publikacija%20eng%20indd.pdf</w:t>
        </w:r>
      </w:hyperlink>
      <w:r w:rsidRPr="005179C3">
        <w:t xml:space="preserve"> </w:t>
      </w:r>
    </w:p>
    <w:p w:rsidR="00697A59" w:rsidRPr="0046778F" w:rsidRDefault="0046778F" w:rsidP="0046778F">
      <w:pPr>
        <w:pStyle w:val="SingleTxt"/>
      </w:pPr>
      <w:r>
        <w:t>5.</w:t>
      </w:r>
      <w:r>
        <w:tab/>
      </w:r>
      <w:r w:rsidR="00697A59" w:rsidRPr="005179C3">
        <w:t>Доклад Республики Хорватия об осуществлении Пекинской декларации и Платформы действий (1995 год) и решений двадцать третьей специальной се</w:t>
      </w:r>
      <w:r w:rsidR="00697A59" w:rsidRPr="005179C3">
        <w:t>с</w:t>
      </w:r>
      <w:r w:rsidR="00697A59" w:rsidRPr="005179C3">
        <w:t>сии Генеральной Ассамблеи Организации Объединенных Наций (2000 год)</w:t>
      </w:r>
      <w:r w:rsidR="00A1495E">
        <w:t xml:space="preserve"> — </w:t>
      </w:r>
      <w:r w:rsidR="00697A59" w:rsidRPr="005179C3">
        <w:t xml:space="preserve"> </w:t>
      </w:r>
      <w:r w:rsidR="00A1495E">
        <w:t>«</w:t>
      </w:r>
      <w:r w:rsidR="00697A59" w:rsidRPr="005179C3">
        <w:t>Пекин +20</w:t>
      </w:r>
      <w:r w:rsidR="00A1495E">
        <w:t>»</w:t>
      </w:r>
    </w:p>
    <w:p w:rsidR="00697A59" w:rsidRPr="005179C3" w:rsidRDefault="00697A59" w:rsidP="0046778F">
      <w:pPr>
        <w:pStyle w:val="SingleTxt"/>
      </w:pPr>
      <w:hyperlink r:id="rId18" w:history="1">
        <w:r w:rsidRPr="0046778F">
          <w:t>http://www.unece.org/fileadmin/DAM/Gender/publication/Croatia_national_report_Beijing__20.pdf</w:t>
        </w:r>
      </w:hyperlink>
    </w:p>
    <w:p w:rsidR="00697A59" w:rsidRPr="005179C3" w:rsidRDefault="0046778F" w:rsidP="0046778F">
      <w:pPr>
        <w:pStyle w:val="SingleTxt"/>
      </w:pPr>
      <w:r>
        <w:t>6.</w:t>
      </w:r>
      <w:r>
        <w:tab/>
      </w:r>
      <w:r w:rsidR="00697A59" w:rsidRPr="005179C3">
        <w:t>Промежуточный доклад об осуществлении рекомендаций Совета по пр</w:t>
      </w:r>
      <w:r w:rsidR="00697A59" w:rsidRPr="005179C3">
        <w:t>а</w:t>
      </w:r>
      <w:r w:rsidR="00697A59" w:rsidRPr="005179C3">
        <w:t>вам человека, представленный в рамках механизма универсального периодич</w:t>
      </w:r>
      <w:r w:rsidR="00697A59" w:rsidRPr="005179C3">
        <w:t>е</w:t>
      </w:r>
      <w:r w:rsidR="00697A59" w:rsidRPr="005179C3">
        <w:t>ского обзора (УПО)</w:t>
      </w:r>
    </w:p>
    <w:p w:rsidR="00697A59" w:rsidRDefault="00697A59" w:rsidP="0046778F">
      <w:pPr>
        <w:pStyle w:val="SingleTxt"/>
      </w:pPr>
      <w:hyperlink r:id="rId19" w:history="1">
        <w:r w:rsidRPr="0046778F">
          <w:t>http://www.mvep.hr/files/file/2014/140115-uppEN.pdf</w:t>
        </w:r>
      </w:hyperlink>
    </w:p>
    <w:p w:rsidR="0046778F" w:rsidRPr="0046778F" w:rsidRDefault="0046778F" w:rsidP="0046778F">
      <w:pPr>
        <w:pStyle w:val="SingleTxt"/>
        <w:spacing w:after="0" w:line="240" w:lineRule="auto"/>
      </w:pPr>
      <w:r>
        <w:rPr>
          <w:noProof/>
          <w:w w:val="100"/>
          <w:lang w:val="en-US"/>
        </w:rPr>
        <w:pict>
          <v:line id="_x0000_s1027" style="position:absolute;left:0;text-align:left;z-index:1" from="210.2pt,30pt" to="282.2pt,30pt" strokecolor="#010000" strokeweight=".25pt"/>
        </w:pict>
      </w:r>
    </w:p>
    <w:sectPr w:rsidR="0046778F" w:rsidRPr="0046778F" w:rsidSect="00C92EDC">
      <w:type w:val="continuous"/>
      <w:pgSz w:w="12240" w:h="15840"/>
      <w:pgMar w:top="1742" w:right="1195" w:bottom="1898" w:left="1195" w:header="576" w:footer="1030" w:gutter="0"/>
      <w:pgNumType w:start="1"/>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08T13:08:00Z" w:initials="Start">
    <w:p w:rsidR="00C92EDC" w:rsidRPr="00190845" w:rsidRDefault="00C92EDC">
      <w:pPr>
        <w:pStyle w:val="CommentText"/>
        <w:rPr>
          <w:lang w:val="en-US"/>
        </w:rPr>
      </w:pPr>
      <w:r>
        <w:fldChar w:fldCharType="begin"/>
      </w:r>
      <w:r w:rsidRPr="00190845">
        <w:rPr>
          <w:rStyle w:val="CommentReference"/>
          <w:lang w:val="en-US"/>
        </w:rPr>
        <w:instrText xml:space="preserve"> </w:instrText>
      </w:r>
      <w:r w:rsidRPr="00190845">
        <w:rPr>
          <w:lang w:val="en-US"/>
        </w:rPr>
        <w:instrText>PAGE \# "'Page: '#'</w:instrText>
      </w:r>
      <w:r w:rsidRPr="00190845">
        <w:rPr>
          <w:lang w:val="en-US"/>
        </w:rPr>
        <w:br/>
        <w:instrText>'"</w:instrText>
      </w:r>
      <w:r w:rsidRPr="00190845">
        <w:rPr>
          <w:rStyle w:val="CommentReference"/>
          <w:lang w:val="en-US"/>
        </w:rPr>
        <w:instrText xml:space="preserve"> </w:instrText>
      </w:r>
      <w:r>
        <w:fldChar w:fldCharType="end"/>
      </w:r>
      <w:r>
        <w:rPr>
          <w:rStyle w:val="CommentReference"/>
        </w:rPr>
        <w:annotationRef/>
      </w:r>
      <w:r w:rsidRPr="00190845">
        <w:rPr>
          <w:lang w:val="en-US"/>
        </w:rPr>
        <w:t>&lt;&lt;ODS JOB NO&gt;&gt;N1505524R&lt;&lt;ODS JOB NO&gt;&gt;</w:t>
      </w:r>
    </w:p>
    <w:p w:rsidR="00C92EDC" w:rsidRPr="00190845" w:rsidRDefault="00C92EDC">
      <w:pPr>
        <w:pStyle w:val="CommentText"/>
        <w:rPr>
          <w:lang w:val="en-US"/>
        </w:rPr>
      </w:pPr>
      <w:r w:rsidRPr="00190845">
        <w:rPr>
          <w:lang w:val="en-US"/>
        </w:rPr>
        <w:t>&lt;&lt;ODS DOC SYMBOL1&gt;&gt;CEDAW/C/HRV/Q/4-5/Add.1&lt;&lt;ODS DOC SYMBOL1&gt;&gt;</w:t>
      </w:r>
    </w:p>
    <w:p w:rsidR="00C92EDC" w:rsidRPr="00190845" w:rsidRDefault="00C92EDC">
      <w:pPr>
        <w:pStyle w:val="CommentText"/>
        <w:rPr>
          <w:lang w:val="en-US"/>
        </w:rPr>
      </w:pPr>
      <w:r w:rsidRPr="00190845">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42E" w:rsidRDefault="00BE042E" w:rsidP="008A1A7A">
      <w:pPr>
        <w:spacing w:line="240" w:lineRule="auto"/>
      </w:pPr>
      <w:r>
        <w:separator/>
      </w:r>
    </w:p>
  </w:endnote>
  <w:endnote w:type="continuationSeparator" w:id="0">
    <w:p w:rsidR="00BE042E" w:rsidRDefault="00BE042E" w:rsidP="008A1A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C92EDC" w:rsidTr="00C92EDC">
      <w:tblPrEx>
        <w:tblCellMar>
          <w:top w:w="0" w:type="dxa"/>
          <w:bottom w:w="0" w:type="dxa"/>
        </w:tblCellMar>
      </w:tblPrEx>
      <w:tc>
        <w:tcPr>
          <w:tcW w:w="5033" w:type="dxa"/>
          <w:shd w:val="clear" w:color="auto" w:fill="auto"/>
          <w:vAlign w:val="bottom"/>
        </w:tcPr>
        <w:p w:rsidR="00C92EDC" w:rsidRPr="005F3F41" w:rsidRDefault="00C92EDC" w:rsidP="00C92EDC">
          <w:pPr>
            <w:pStyle w:val="Footer"/>
            <w:rPr>
              <w:color w:val="000000"/>
              <w:szCs w:val="22"/>
              <w:lang w:eastAsia="en-US"/>
            </w:rPr>
          </w:pPr>
          <w:r w:rsidRPr="005F3F41">
            <w:rPr>
              <w:szCs w:val="22"/>
              <w:lang w:eastAsia="en-US"/>
            </w:rPr>
            <w:fldChar w:fldCharType="begin"/>
          </w:r>
          <w:r w:rsidRPr="005F3F41">
            <w:rPr>
              <w:szCs w:val="22"/>
              <w:lang w:eastAsia="en-US"/>
            </w:rPr>
            <w:instrText xml:space="preserve"> PAGE  \* Arabic  \* MERGEFORMAT </w:instrText>
          </w:r>
          <w:r w:rsidRPr="005F3F41">
            <w:rPr>
              <w:szCs w:val="22"/>
              <w:lang w:eastAsia="en-US"/>
            </w:rPr>
            <w:fldChar w:fldCharType="separate"/>
          </w:r>
          <w:r w:rsidR="000B0AFF" w:rsidRPr="005F3F41">
            <w:rPr>
              <w:noProof/>
              <w:szCs w:val="22"/>
              <w:lang w:eastAsia="en-US"/>
            </w:rPr>
            <w:t>42</w:t>
          </w:r>
          <w:r w:rsidRPr="005F3F41">
            <w:rPr>
              <w:szCs w:val="22"/>
              <w:lang w:eastAsia="en-US"/>
            </w:rPr>
            <w:fldChar w:fldCharType="end"/>
          </w:r>
          <w:r w:rsidRPr="005F3F41">
            <w:rPr>
              <w:szCs w:val="22"/>
              <w:lang w:eastAsia="en-US"/>
            </w:rPr>
            <w:t>/</w:t>
          </w:r>
          <w:fldSimple w:instr=" NUMPAGES  \* Arabic  \* MERGEFORMAT ">
            <w:r w:rsidR="000B0AFF" w:rsidRPr="005F3F41">
              <w:rPr>
                <w:noProof/>
                <w:szCs w:val="22"/>
                <w:lang w:eastAsia="en-US"/>
              </w:rPr>
              <w:t>43</w:t>
            </w:r>
          </w:fldSimple>
        </w:p>
      </w:tc>
      <w:tc>
        <w:tcPr>
          <w:tcW w:w="5033" w:type="dxa"/>
          <w:shd w:val="clear" w:color="auto" w:fill="auto"/>
          <w:vAlign w:val="bottom"/>
        </w:tcPr>
        <w:p w:rsidR="00C92EDC" w:rsidRPr="005F3F41" w:rsidRDefault="0059002B" w:rsidP="00C92EDC">
          <w:pPr>
            <w:pStyle w:val="Footer"/>
            <w:jc w:val="right"/>
            <w:rPr>
              <w:b w:val="0"/>
              <w:color w:val="000000"/>
              <w:sz w:val="14"/>
              <w:szCs w:val="22"/>
              <w:lang w:val="en-US" w:eastAsia="en-US"/>
            </w:rPr>
          </w:pPr>
          <w:r w:rsidRPr="005F3F41">
            <w:rPr>
              <w:b w:val="0"/>
              <w:color w:val="000000"/>
              <w:sz w:val="14"/>
              <w:szCs w:val="22"/>
              <w:lang w:val="en-US" w:eastAsia="en-US"/>
            </w:rPr>
            <w:t>15-03070X</w:t>
          </w:r>
        </w:p>
      </w:tc>
    </w:tr>
  </w:tbl>
  <w:p w:rsidR="00C92EDC" w:rsidRPr="00C92EDC" w:rsidRDefault="00C92EDC" w:rsidP="00C92E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C92EDC" w:rsidTr="00C92EDC">
      <w:tblPrEx>
        <w:tblCellMar>
          <w:top w:w="0" w:type="dxa"/>
          <w:bottom w:w="0" w:type="dxa"/>
        </w:tblCellMar>
      </w:tblPrEx>
      <w:tc>
        <w:tcPr>
          <w:tcW w:w="5033" w:type="dxa"/>
          <w:shd w:val="clear" w:color="auto" w:fill="auto"/>
          <w:vAlign w:val="bottom"/>
        </w:tcPr>
        <w:p w:rsidR="00C92EDC" w:rsidRPr="005F3F41" w:rsidRDefault="0059002B" w:rsidP="00C92EDC">
          <w:pPr>
            <w:pStyle w:val="Footer"/>
            <w:rPr>
              <w:b w:val="0"/>
              <w:color w:val="000000"/>
              <w:sz w:val="14"/>
              <w:szCs w:val="22"/>
              <w:lang w:val="en-US" w:eastAsia="en-US"/>
            </w:rPr>
          </w:pPr>
          <w:r w:rsidRPr="005F3F41">
            <w:rPr>
              <w:b w:val="0"/>
              <w:color w:val="000000"/>
              <w:sz w:val="14"/>
              <w:szCs w:val="22"/>
              <w:lang w:val="en-US" w:eastAsia="en-US"/>
            </w:rPr>
            <w:t>15-03070X</w:t>
          </w:r>
        </w:p>
      </w:tc>
      <w:tc>
        <w:tcPr>
          <w:tcW w:w="5033" w:type="dxa"/>
          <w:shd w:val="clear" w:color="auto" w:fill="auto"/>
          <w:vAlign w:val="bottom"/>
        </w:tcPr>
        <w:p w:rsidR="00C92EDC" w:rsidRPr="005F3F41" w:rsidRDefault="00C92EDC" w:rsidP="00C92EDC">
          <w:pPr>
            <w:pStyle w:val="Footer"/>
            <w:jc w:val="right"/>
            <w:rPr>
              <w:szCs w:val="22"/>
              <w:lang w:eastAsia="en-US"/>
            </w:rPr>
          </w:pPr>
          <w:r w:rsidRPr="005F3F41">
            <w:rPr>
              <w:szCs w:val="22"/>
              <w:lang w:eastAsia="en-US"/>
            </w:rPr>
            <w:fldChar w:fldCharType="begin"/>
          </w:r>
          <w:r w:rsidRPr="005F3F41">
            <w:rPr>
              <w:szCs w:val="22"/>
              <w:lang w:eastAsia="en-US"/>
            </w:rPr>
            <w:instrText xml:space="preserve"> PAGE  \* Arabic  \* MERGEFORMAT </w:instrText>
          </w:r>
          <w:r w:rsidRPr="005F3F41">
            <w:rPr>
              <w:szCs w:val="22"/>
              <w:lang w:eastAsia="en-US"/>
            </w:rPr>
            <w:fldChar w:fldCharType="separate"/>
          </w:r>
          <w:r w:rsidR="000B0AFF" w:rsidRPr="005F3F41">
            <w:rPr>
              <w:noProof/>
              <w:szCs w:val="22"/>
              <w:lang w:eastAsia="en-US"/>
            </w:rPr>
            <w:t>43</w:t>
          </w:r>
          <w:r w:rsidRPr="005F3F41">
            <w:rPr>
              <w:szCs w:val="22"/>
              <w:lang w:eastAsia="en-US"/>
            </w:rPr>
            <w:fldChar w:fldCharType="end"/>
          </w:r>
          <w:r w:rsidRPr="005F3F41">
            <w:rPr>
              <w:szCs w:val="22"/>
              <w:lang w:eastAsia="en-US"/>
            </w:rPr>
            <w:t>/</w:t>
          </w:r>
          <w:fldSimple w:instr=" NUMPAGES  \* Arabic  \* MERGEFORMAT ">
            <w:r w:rsidR="000B0AFF" w:rsidRPr="005F3F41">
              <w:rPr>
                <w:noProof/>
                <w:szCs w:val="22"/>
                <w:lang w:eastAsia="en-US"/>
              </w:rPr>
              <w:t>43</w:t>
            </w:r>
          </w:fldSimple>
        </w:p>
      </w:tc>
    </w:tr>
  </w:tbl>
  <w:p w:rsidR="00C92EDC" w:rsidRPr="00C92EDC" w:rsidRDefault="00C92EDC" w:rsidP="00C92E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DC" w:rsidRDefault="00C92EDC">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6.65pt;margin-top:683.9pt;width:54.9pt;height:54.9pt;z-index:1;mso-position-horizontal-relative:page;mso-position-vertical-relative:page" o:preferrelative="f">
          <v:imagedata r:id="rId1" o:title="Add"/>
          <w10:wrap anchorx="page" anchory="page"/>
        </v:shape>
      </w:pict>
    </w:r>
  </w:p>
  <w:tbl>
    <w:tblPr>
      <w:tblW w:w="0" w:type="auto"/>
      <w:tblLayout w:type="fixed"/>
      <w:tblLook w:val="0000"/>
    </w:tblPr>
    <w:tblGrid>
      <w:gridCol w:w="3830"/>
      <w:gridCol w:w="5033"/>
    </w:tblGrid>
    <w:tr w:rsidR="00C92EDC" w:rsidTr="00C92EDC">
      <w:tblPrEx>
        <w:tblCellMar>
          <w:top w:w="0" w:type="dxa"/>
          <w:bottom w:w="0" w:type="dxa"/>
        </w:tblCellMar>
      </w:tblPrEx>
      <w:tc>
        <w:tcPr>
          <w:tcW w:w="3830" w:type="dxa"/>
        </w:tcPr>
        <w:p w:rsidR="00C92EDC" w:rsidRDefault="00C92EDC" w:rsidP="00C92EDC">
          <w:pPr>
            <w:pStyle w:val="ReleaseDate"/>
            <w:rPr>
              <w:color w:val="010000"/>
            </w:rPr>
          </w:pPr>
          <w:r>
            <w:t>15-03070</w:t>
          </w:r>
          <w:r w:rsidR="0059002B">
            <w:rPr>
              <w:lang w:val="en-US"/>
            </w:rPr>
            <w:t>X</w:t>
          </w:r>
          <w:r>
            <w:t xml:space="preserve"> (R)</w:t>
          </w:r>
          <w:r>
            <w:rPr>
              <w:color w:val="010000"/>
            </w:rPr>
            <w:t xml:space="preserve">    </w:t>
          </w:r>
          <w:r w:rsidR="0029434A">
            <w:rPr>
              <w:color w:val="010000"/>
            </w:rPr>
            <w:t>3103</w:t>
          </w:r>
          <w:r>
            <w:rPr>
              <w:color w:val="010000"/>
            </w:rPr>
            <w:t>15    080415</w:t>
          </w:r>
        </w:p>
        <w:p w:rsidR="00C92EDC" w:rsidRPr="00C92EDC" w:rsidRDefault="00C92EDC" w:rsidP="00C92EDC">
          <w:pPr>
            <w:spacing w:before="80" w:line="210" w:lineRule="exact"/>
            <w:rPr>
              <w:rFonts w:ascii="Barcode 3 of 9 by request" w:hAnsi="Barcode 3 of 9 by request"/>
              <w:w w:val="100"/>
              <w:sz w:val="24"/>
            </w:rPr>
          </w:pPr>
          <w:r>
            <w:rPr>
              <w:rFonts w:ascii="Barcode 3 of 9 by request" w:hAnsi="Barcode 3 of 9 by request"/>
              <w:w w:val="100"/>
              <w:sz w:val="24"/>
            </w:rPr>
            <w:t>*1503070(R)*</w:t>
          </w:r>
        </w:p>
      </w:tc>
      <w:tc>
        <w:tcPr>
          <w:tcW w:w="5033" w:type="dxa"/>
        </w:tcPr>
        <w:p w:rsidR="00C92EDC" w:rsidRPr="005F3F41" w:rsidRDefault="00C92EDC" w:rsidP="00C92EDC">
          <w:pPr>
            <w:pStyle w:val="Footer"/>
            <w:spacing w:line="240" w:lineRule="atLeast"/>
            <w:jc w:val="right"/>
            <w:rPr>
              <w:b w:val="0"/>
              <w:sz w:val="20"/>
              <w:szCs w:val="22"/>
              <w:lang w:eastAsia="en-US"/>
            </w:rPr>
          </w:pPr>
          <w:r w:rsidRPr="005F3F41">
            <w:rPr>
              <w:b w:val="0"/>
              <w:sz w:val="20"/>
              <w:szCs w:val="22"/>
              <w:lang w:eastAsia="en-US"/>
            </w:rPr>
            <w:pict>
              <v:shape id="_x0000_i1026" type="#_x0000_t75" style="width:213pt;height:18pt">
                <v:imagedata r:id="rId2" o:title="recycle_Russian"/>
              </v:shape>
            </w:pict>
          </w:r>
        </w:p>
      </w:tc>
    </w:tr>
  </w:tbl>
  <w:p w:rsidR="00C92EDC" w:rsidRPr="00C92EDC" w:rsidRDefault="00C92EDC" w:rsidP="00C92EDC">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42E" w:rsidRPr="00E91216" w:rsidRDefault="00BE042E" w:rsidP="00E91216">
      <w:pPr>
        <w:pStyle w:val="Footer"/>
        <w:spacing w:after="80"/>
        <w:ind w:left="792"/>
        <w:rPr>
          <w:sz w:val="16"/>
        </w:rPr>
      </w:pPr>
      <w:r w:rsidRPr="00E91216">
        <w:rPr>
          <w:sz w:val="16"/>
        </w:rPr>
        <w:t>__________________</w:t>
      </w:r>
    </w:p>
  </w:footnote>
  <w:footnote w:type="continuationSeparator" w:id="0">
    <w:p w:rsidR="00BE042E" w:rsidRPr="00E91216" w:rsidRDefault="00BE042E" w:rsidP="00E91216">
      <w:pPr>
        <w:pStyle w:val="Footer"/>
        <w:spacing w:after="80"/>
        <w:ind w:left="792"/>
        <w:rPr>
          <w:sz w:val="16"/>
        </w:rPr>
      </w:pPr>
      <w:r w:rsidRPr="00E91216">
        <w:rPr>
          <w:sz w:val="16"/>
        </w:rPr>
        <w:t>__________________</w:t>
      </w:r>
    </w:p>
  </w:footnote>
  <w:footnote w:id="1">
    <w:p w:rsidR="00190845" w:rsidRDefault="00190845" w:rsidP="00E91216">
      <w:pPr>
        <w:pStyle w:val="FootnoteText"/>
        <w:tabs>
          <w:tab w:val="right" w:pos="1195"/>
          <w:tab w:val="left" w:pos="1267"/>
          <w:tab w:val="left" w:pos="1742"/>
          <w:tab w:val="left" w:pos="2218"/>
          <w:tab w:val="left" w:pos="2693"/>
        </w:tabs>
        <w:ind w:left="1267" w:right="1260" w:hanging="432"/>
      </w:pPr>
      <w:r>
        <w:tab/>
      </w:r>
      <w:r>
        <w:rPr>
          <w:rStyle w:val="FootnoteReference"/>
        </w:rPr>
        <w:t>*</w:t>
      </w:r>
      <w:r>
        <w:rPr>
          <w:rStyle w:val="FootnoteReference"/>
        </w:rPr>
        <w:tab/>
      </w:r>
      <w:hyperlink r:id="rId1" w:history="1">
        <w:r w:rsidRPr="00CF4575">
          <w:rPr>
            <w:rStyle w:val="Hyperlink"/>
          </w:rPr>
          <w:t>CEDAW/C/61/1</w:t>
        </w:r>
      </w:hyperlink>
      <w:r w:rsidRPr="00190845">
        <w:t>.</w:t>
      </w:r>
    </w:p>
  </w:footnote>
  <w:footnote w:id="2">
    <w:p w:rsidR="00190845" w:rsidRDefault="00190845" w:rsidP="00E91216">
      <w:pPr>
        <w:pStyle w:val="FootnoteText"/>
        <w:tabs>
          <w:tab w:val="right" w:pos="1195"/>
          <w:tab w:val="left" w:pos="1267"/>
          <w:tab w:val="left" w:pos="1742"/>
          <w:tab w:val="left" w:pos="2218"/>
          <w:tab w:val="left" w:pos="2693"/>
        </w:tabs>
        <w:ind w:left="1267" w:right="1260" w:hanging="432"/>
      </w:pPr>
      <w:r>
        <w:tab/>
      </w:r>
      <w:r>
        <w:rPr>
          <w:rStyle w:val="FootnoteReference"/>
        </w:rPr>
        <w:t>**</w:t>
      </w:r>
      <w:r>
        <w:rPr>
          <w:rStyle w:val="FootnoteReference"/>
        </w:rPr>
        <w:tab/>
      </w:r>
      <w:r w:rsidRPr="00190845">
        <w:t>Настоящий документ публикуется без предварительной официальной редакции.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C92EDC" w:rsidRPr="00190845" w:rsidTr="00C92EDC">
      <w:tblPrEx>
        <w:tblCellMar>
          <w:top w:w="0" w:type="dxa"/>
          <w:bottom w:w="0" w:type="dxa"/>
        </w:tblCellMar>
      </w:tblPrEx>
      <w:trPr>
        <w:trHeight w:hRule="exact" w:val="864"/>
      </w:trPr>
      <w:tc>
        <w:tcPr>
          <w:tcW w:w="4838" w:type="dxa"/>
          <w:shd w:val="clear" w:color="auto" w:fill="auto"/>
          <w:vAlign w:val="bottom"/>
        </w:tcPr>
        <w:p w:rsidR="00C92EDC" w:rsidRPr="005F3F41" w:rsidRDefault="00C92EDC" w:rsidP="00C92EDC">
          <w:pPr>
            <w:pStyle w:val="Header"/>
            <w:spacing w:after="80"/>
            <w:rPr>
              <w:b/>
              <w:szCs w:val="22"/>
              <w:lang w:val="en-US" w:eastAsia="en-US"/>
            </w:rPr>
          </w:pPr>
          <w:fldSimple w:instr=" DOCVARIABLE &quot;sss1&quot; \* MERGEFORMAT ">
            <w:r w:rsidR="0082745E" w:rsidRPr="005F3F41">
              <w:rPr>
                <w:b/>
                <w:szCs w:val="22"/>
                <w:lang w:val="en-US" w:eastAsia="en-US"/>
              </w:rPr>
              <w:t>CEDAW/C/HRV/Q/4-5/Add.1</w:t>
            </w:r>
          </w:fldSimple>
        </w:p>
      </w:tc>
      <w:tc>
        <w:tcPr>
          <w:tcW w:w="5033" w:type="dxa"/>
          <w:shd w:val="clear" w:color="auto" w:fill="auto"/>
          <w:vAlign w:val="bottom"/>
        </w:tcPr>
        <w:p w:rsidR="00C92EDC" w:rsidRPr="005F3F41" w:rsidRDefault="00C92EDC" w:rsidP="00C92EDC">
          <w:pPr>
            <w:pStyle w:val="Header"/>
            <w:rPr>
              <w:szCs w:val="22"/>
              <w:lang w:val="en-US" w:eastAsia="en-US"/>
            </w:rPr>
          </w:pPr>
        </w:p>
      </w:tc>
    </w:tr>
  </w:tbl>
  <w:p w:rsidR="00C92EDC" w:rsidRPr="00190845" w:rsidRDefault="00C92EDC" w:rsidP="00C92EDC">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C92EDC" w:rsidRPr="00190845" w:rsidTr="00C92EDC">
      <w:tblPrEx>
        <w:tblCellMar>
          <w:top w:w="0" w:type="dxa"/>
          <w:bottom w:w="0" w:type="dxa"/>
        </w:tblCellMar>
      </w:tblPrEx>
      <w:trPr>
        <w:trHeight w:hRule="exact" w:val="864"/>
      </w:trPr>
      <w:tc>
        <w:tcPr>
          <w:tcW w:w="4838" w:type="dxa"/>
          <w:shd w:val="clear" w:color="auto" w:fill="auto"/>
          <w:vAlign w:val="bottom"/>
        </w:tcPr>
        <w:p w:rsidR="00C92EDC" w:rsidRPr="005F3F41" w:rsidRDefault="00C92EDC" w:rsidP="00C92EDC">
          <w:pPr>
            <w:pStyle w:val="Header"/>
            <w:rPr>
              <w:szCs w:val="22"/>
              <w:lang w:eastAsia="en-US"/>
            </w:rPr>
          </w:pPr>
        </w:p>
      </w:tc>
      <w:tc>
        <w:tcPr>
          <w:tcW w:w="5033" w:type="dxa"/>
          <w:shd w:val="clear" w:color="auto" w:fill="auto"/>
          <w:vAlign w:val="bottom"/>
        </w:tcPr>
        <w:p w:rsidR="00C92EDC" w:rsidRPr="005F3F41" w:rsidRDefault="00C92EDC" w:rsidP="00C92EDC">
          <w:pPr>
            <w:pStyle w:val="Header"/>
            <w:spacing w:after="80"/>
            <w:jc w:val="right"/>
            <w:rPr>
              <w:b/>
              <w:szCs w:val="22"/>
              <w:lang w:val="en-US" w:eastAsia="en-US"/>
            </w:rPr>
          </w:pPr>
          <w:fldSimple w:instr=" DOCVARIABLE &quot;sss1&quot; \* MERGEFORMAT ">
            <w:r w:rsidR="0082745E" w:rsidRPr="005F3F41">
              <w:rPr>
                <w:b/>
                <w:szCs w:val="22"/>
                <w:lang w:val="en-US" w:eastAsia="en-US"/>
              </w:rPr>
              <w:t>CEDAW/C/HRV/Q/4-5/Add.1</w:t>
            </w:r>
          </w:fldSimple>
        </w:p>
      </w:tc>
    </w:tr>
  </w:tbl>
  <w:p w:rsidR="00C92EDC" w:rsidRPr="00190845" w:rsidRDefault="00C92EDC" w:rsidP="00C92EDC">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9" w:type="dxa"/>
      <w:tblLayout w:type="fixed"/>
      <w:tblCellMar>
        <w:left w:w="0" w:type="dxa"/>
        <w:right w:w="0" w:type="dxa"/>
      </w:tblCellMar>
      <w:tblLook w:val="0000"/>
    </w:tblPr>
    <w:tblGrid>
      <w:gridCol w:w="1267"/>
      <w:gridCol w:w="3154"/>
      <w:gridCol w:w="245"/>
      <w:gridCol w:w="1828"/>
      <w:gridCol w:w="245"/>
      <w:gridCol w:w="3140"/>
    </w:tblGrid>
    <w:tr w:rsidR="00C92EDC" w:rsidRPr="00190845" w:rsidTr="00C92EDC">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rsidR="00C92EDC" w:rsidRPr="00C92EDC" w:rsidRDefault="00C92EDC" w:rsidP="00C92EDC">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C92EDC" w:rsidRPr="005F3F41" w:rsidRDefault="00C92EDC" w:rsidP="00C92EDC">
          <w:pPr>
            <w:pStyle w:val="Header"/>
            <w:spacing w:after="120"/>
            <w:rPr>
              <w:szCs w:val="22"/>
              <w:lang w:eastAsia="en-US"/>
            </w:rPr>
          </w:pPr>
        </w:p>
      </w:tc>
      <w:tc>
        <w:tcPr>
          <w:tcW w:w="5213" w:type="dxa"/>
          <w:gridSpan w:val="3"/>
          <w:tcBorders>
            <w:bottom w:val="single" w:sz="4" w:space="0" w:color="auto"/>
          </w:tcBorders>
          <w:shd w:val="clear" w:color="auto" w:fill="auto"/>
          <w:vAlign w:val="bottom"/>
        </w:tcPr>
        <w:p w:rsidR="00C92EDC" w:rsidRPr="005F3F41" w:rsidRDefault="00C92EDC" w:rsidP="00C92EDC">
          <w:pPr>
            <w:pStyle w:val="Header"/>
            <w:spacing w:after="20"/>
            <w:jc w:val="right"/>
            <w:rPr>
              <w:sz w:val="20"/>
              <w:szCs w:val="22"/>
              <w:lang w:val="en-US" w:eastAsia="en-US"/>
            </w:rPr>
          </w:pPr>
          <w:r w:rsidRPr="005F3F41">
            <w:rPr>
              <w:sz w:val="40"/>
              <w:szCs w:val="22"/>
              <w:lang w:val="en-US" w:eastAsia="en-US"/>
            </w:rPr>
            <w:t>CEDAW</w:t>
          </w:r>
          <w:r w:rsidRPr="005F3F41">
            <w:rPr>
              <w:sz w:val="20"/>
              <w:szCs w:val="22"/>
              <w:lang w:val="en-US" w:eastAsia="en-US"/>
            </w:rPr>
            <w:t>/C/HRV/Q/4-5/Add.1</w:t>
          </w:r>
        </w:p>
      </w:tc>
    </w:tr>
    <w:tr w:rsidR="00C92EDC" w:rsidRPr="00190845" w:rsidTr="00C92ED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92EDC" w:rsidRPr="005F3F41" w:rsidRDefault="00C92EDC" w:rsidP="00C92EDC">
          <w:pPr>
            <w:pStyle w:val="Header"/>
            <w:spacing w:before="109"/>
            <w:rPr>
              <w:szCs w:val="22"/>
              <w:lang w:eastAsia="en-US"/>
            </w:rPr>
          </w:pPr>
          <w:r w:rsidRPr="005F3F41">
            <w:rPr>
              <w:szCs w:val="22"/>
              <w:lang w:val="en-US" w:eastAsia="en-US"/>
            </w:rPr>
            <w:t xml:space="preserve"> </w:t>
          </w:r>
          <w:r w:rsidRPr="005F3F41">
            <w:rPr>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C92EDC" w:rsidRPr="005F3F41" w:rsidRDefault="00C92EDC" w:rsidP="00C92EDC">
          <w:pPr>
            <w:pStyle w:val="Header"/>
            <w:spacing w:before="109"/>
            <w:rPr>
              <w:szCs w:val="22"/>
              <w:lang w:eastAsia="en-US"/>
            </w:rPr>
          </w:pPr>
        </w:p>
      </w:tc>
      <w:tc>
        <w:tcPr>
          <w:tcW w:w="5227" w:type="dxa"/>
          <w:gridSpan w:val="3"/>
          <w:tcBorders>
            <w:top w:val="single" w:sz="4" w:space="0" w:color="auto"/>
            <w:bottom w:val="single" w:sz="12" w:space="0" w:color="auto"/>
          </w:tcBorders>
          <w:shd w:val="clear" w:color="auto" w:fill="auto"/>
        </w:tcPr>
        <w:p w:rsidR="00C92EDC" w:rsidRPr="00C92EDC" w:rsidRDefault="00C92EDC" w:rsidP="00C92EDC">
          <w:pPr>
            <w:pStyle w:val="XLarge"/>
            <w:spacing w:before="109" w:line="330" w:lineRule="exact"/>
            <w:rPr>
              <w:sz w:val="34"/>
            </w:rPr>
          </w:pPr>
          <w:r>
            <w:rPr>
              <w:sz w:val="34"/>
            </w:rPr>
            <w:t>Конвенция о ликвидации всех форм дискриминации в отношении женщин</w:t>
          </w:r>
        </w:p>
      </w:tc>
      <w:tc>
        <w:tcPr>
          <w:tcW w:w="245" w:type="dxa"/>
          <w:tcBorders>
            <w:top w:val="single" w:sz="4" w:space="0" w:color="auto"/>
            <w:bottom w:val="single" w:sz="12" w:space="0" w:color="auto"/>
          </w:tcBorders>
          <w:shd w:val="clear" w:color="auto" w:fill="auto"/>
        </w:tcPr>
        <w:p w:rsidR="00C92EDC" w:rsidRPr="005F3F41" w:rsidRDefault="00C92EDC" w:rsidP="00C92EDC">
          <w:pPr>
            <w:pStyle w:val="Header"/>
            <w:spacing w:before="109"/>
            <w:rPr>
              <w:szCs w:val="22"/>
              <w:lang w:eastAsia="en-US"/>
            </w:rPr>
          </w:pPr>
        </w:p>
      </w:tc>
      <w:tc>
        <w:tcPr>
          <w:tcW w:w="3140" w:type="dxa"/>
          <w:tcBorders>
            <w:top w:val="single" w:sz="4" w:space="0" w:color="auto"/>
            <w:bottom w:val="single" w:sz="12" w:space="0" w:color="auto"/>
          </w:tcBorders>
          <w:shd w:val="clear" w:color="auto" w:fill="auto"/>
        </w:tcPr>
        <w:p w:rsidR="00C92EDC" w:rsidRPr="00190845" w:rsidRDefault="00C92EDC" w:rsidP="00C92EDC">
          <w:pPr>
            <w:pStyle w:val="Distribution"/>
            <w:rPr>
              <w:color w:val="000000"/>
              <w:lang w:val="en-US"/>
            </w:rPr>
          </w:pPr>
          <w:r w:rsidRPr="00190845">
            <w:rPr>
              <w:color w:val="000000"/>
              <w:lang w:val="en-US"/>
            </w:rPr>
            <w:t>Distr.: General</w:t>
          </w:r>
        </w:p>
        <w:p w:rsidR="00C92EDC" w:rsidRPr="00190845" w:rsidRDefault="00190845" w:rsidP="00C92EDC">
          <w:pPr>
            <w:pStyle w:val="Publication"/>
            <w:rPr>
              <w:color w:val="000000"/>
              <w:lang w:val="en-US"/>
            </w:rPr>
          </w:pPr>
          <w:r>
            <w:rPr>
              <w:color w:val="000000"/>
              <w:lang w:val="en-US"/>
            </w:rPr>
            <w:t>2</w:t>
          </w:r>
          <w:r w:rsidR="00C92EDC" w:rsidRPr="00190845">
            <w:rPr>
              <w:color w:val="000000"/>
              <w:lang w:val="en-US"/>
            </w:rPr>
            <w:t xml:space="preserve"> </w:t>
          </w:r>
          <w:r>
            <w:rPr>
              <w:color w:val="000000"/>
              <w:lang w:val="en-US"/>
            </w:rPr>
            <w:t>March</w:t>
          </w:r>
          <w:r w:rsidR="00C92EDC" w:rsidRPr="00190845">
            <w:rPr>
              <w:color w:val="000000"/>
              <w:lang w:val="en-US"/>
            </w:rPr>
            <w:t xml:space="preserve"> 2015</w:t>
          </w:r>
        </w:p>
        <w:p w:rsidR="00C92EDC" w:rsidRPr="00190845" w:rsidRDefault="00C92EDC" w:rsidP="00C92EDC">
          <w:pPr>
            <w:rPr>
              <w:color w:val="000000"/>
              <w:lang w:val="en-US"/>
            </w:rPr>
          </w:pPr>
          <w:r w:rsidRPr="00190845">
            <w:rPr>
              <w:color w:val="000000"/>
              <w:lang w:val="en-US"/>
            </w:rPr>
            <w:t>Russian</w:t>
          </w:r>
        </w:p>
        <w:p w:rsidR="00C92EDC" w:rsidRPr="00190845" w:rsidRDefault="00C92EDC" w:rsidP="00C92EDC">
          <w:pPr>
            <w:pStyle w:val="Original"/>
            <w:rPr>
              <w:color w:val="000000"/>
              <w:lang w:val="en-US"/>
            </w:rPr>
          </w:pPr>
          <w:r w:rsidRPr="00190845">
            <w:rPr>
              <w:color w:val="000000"/>
              <w:lang w:val="en-US"/>
            </w:rPr>
            <w:t>Original: English</w:t>
          </w:r>
        </w:p>
        <w:p w:rsidR="00C92EDC" w:rsidRPr="00190845" w:rsidRDefault="00C92EDC" w:rsidP="00C92EDC">
          <w:pPr>
            <w:rPr>
              <w:lang w:val="en-US"/>
            </w:rPr>
          </w:pPr>
        </w:p>
      </w:tc>
    </w:tr>
  </w:tbl>
  <w:p w:rsidR="00C92EDC" w:rsidRPr="00190845" w:rsidRDefault="00C92EDC" w:rsidP="00C92EDC">
    <w:pPr>
      <w:pStyle w:val="Header"/>
      <w:spacing w:line="20" w:lineRule="exact"/>
      <w:rPr>
        <w:sz w:val="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AA4ED6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9">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1">
    <w:nsid w:val="028B32BB"/>
    <w:multiLevelType w:val="hybridMultilevel"/>
    <w:tmpl w:val="330E26C2"/>
    <w:lvl w:ilvl="0" w:tplc="FFFFFFFF">
      <w:start w:val="1"/>
      <w:numFmt w:val="decimal"/>
      <w:lvlText w:val="%1."/>
      <w:lvlJc w:val="left"/>
      <w:pPr>
        <w:ind w:left="1494" w:hanging="360"/>
      </w:pPr>
      <w:rPr>
        <w:rFonts w:hint="default"/>
        <w:b w:val="0"/>
        <w:bCs w:val="0"/>
        <w:sz w:val="24"/>
        <w:szCs w:val="24"/>
      </w:rPr>
    </w:lvl>
    <w:lvl w:ilvl="1" w:tplc="FFFFFFFF">
      <w:start w:val="1"/>
      <w:numFmt w:val="lowerLetter"/>
      <w:lvlText w:val="%2."/>
      <w:lvlJc w:val="left"/>
      <w:pPr>
        <w:ind w:left="2214" w:hanging="360"/>
      </w:pPr>
    </w:lvl>
    <w:lvl w:ilvl="2" w:tplc="FFFFFFFF">
      <w:start w:val="1"/>
      <w:numFmt w:val="lowerRoman"/>
      <w:lvlText w:val="%3."/>
      <w:lvlJc w:val="right"/>
      <w:pPr>
        <w:ind w:left="2934" w:hanging="180"/>
      </w:pPr>
    </w:lvl>
    <w:lvl w:ilvl="3" w:tplc="FFFFFFFF">
      <w:start w:val="1"/>
      <w:numFmt w:val="decimal"/>
      <w:lvlText w:val="%4."/>
      <w:lvlJc w:val="left"/>
      <w:pPr>
        <w:ind w:left="3654" w:hanging="360"/>
      </w:pPr>
    </w:lvl>
    <w:lvl w:ilvl="4" w:tplc="FFFFFFFF">
      <w:start w:val="1"/>
      <w:numFmt w:val="lowerLetter"/>
      <w:lvlText w:val="%5."/>
      <w:lvlJc w:val="left"/>
      <w:pPr>
        <w:ind w:left="4374" w:hanging="360"/>
      </w:pPr>
    </w:lvl>
    <w:lvl w:ilvl="5" w:tplc="FFFFFFFF">
      <w:start w:val="1"/>
      <w:numFmt w:val="lowerRoman"/>
      <w:lvlText w:val="%6."/>
      <w:lvlJc w:val="right"/>
      <w:pPr>
        <w:ind w:left="5094" w:hanging="180"/>
      </w:pPr>
    </w:lvl>
    <w:lvl w:ilvl="6" w:tplc="FFFFFFFF">
      <w:start w:val="1"/>
      <w:numFmt w:val="decimal"/>
      <w:lvlText w:val="%7."/>
      <w:lvlJc w:val="left"/>
      <w:pPr>
        <w:ind w:left="5814" w:hanging="360"/>
      </w:pPr>
    </w:lvl>
    <w:lvl w:ilvl="7" w:tplc="FFFFFFFF">
      <w:start w:val="1"/>
      <w:numFmt w:val="lowerLetter"/>
      <w:lvlText w:val="%8."/>
      <w:lvlJc w:val="left"/>
      <w:pPr>
        <w:ind w:left="6534" w:hanging="360"/>
      </w:pPr>
    </w:lvl>
    <w:lvl w:ilvl="8" w:tplc="FFFFFFFF">
      <w:start w:val="1"/>
      <w:numFmt w:val="lowerRoman"/>
      <w:lvlText w:val="%9."/>
      <w:lvlJc w:val="right"/>
      <w:pPr>
        <w:ind w:left="7254" w:hanging="180"/>
      </w:pPr>
    </w:lvl>
  </w:abstractNum>
  <w:abstractNum w:abstractNumId="12">
    <w:nsid w:val="03F2036B"/>
    <w:multiLevelType w:val="hybridMultilevel"/>
    <w:tmpl w:val="A83A4630"/>
    <w:lvl w:ilvl="0" w:tplc="11400E34">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6">
    <w:nsid w:val="378F2053"/>
    <w:multiLevelType w:val="hybridMultilevel"/>
    <w:tmpl w:val="CCD0E4FE"/>
    <w:lvl w:ilvl="0" w:tplc="FFFFFFFF">
      <w:start w:val="1"/>
      <w:numFmt w:val="bullet"/>
      <w:lvlText w:val=""/>
      <w:lvlJc w:val="left"/>
      <w:pPr>
        <w:ind w:left="720" w:hanging="360"/>
      </w:pPr>
      <w:rPr>
        <w:rFonts w:ascii="Symbol" w:hAnsi="Symbol" w:cs="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0446A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06677AE"/>
    <w:multiLevelType w:val="multilevel"/>
    <w:tmpl w:val="0409001F"/>
    <w:styleLink w:val="111111"/>
    <w:lvl w:ilvl="0">
      <w:start w:val="1"/>
      <w:numFmt w:val="decimal"/>
      <w:lvlText w:val="%1."/>
      <w:lvlJc w:val="left"/>
      <w:pPr>
        <w:tabs>
          <w:tab w:val="num" w:pos="2061"/>
        </w:tabs>
        <w:ind w:left="2061" w:hanging="360"/>
      </w:pPr>
    </w:lvl>
    <w:lvl w:ilvl="1">
      <w:start w:val="1"/>
      <w:numFmt w:val="decimal"/>
      <w:lvlText w:val="%1.%2."/>
      <w:lvlJc w:val="left"/>
      <w:pPr>
        <w:tabs>
          <w:tab w:val="num" w:pos="2493"/>
        </w:tabs>
        <w:ind w:left="2493" w:hanging="432"/>
      </w:pPr>
    </w:lvl>
    <w:lvl w:ilvl="2">
      <w:start w:val="1"/>
      <w:numFmt w:val="decimal"/>
      <w:lvlText w:val="%1.%2.%3."/>
      <w:lvlJc w:val="left"/>
      <w:pPr>
        <w:tabs>
          <w:tab w:val="num" w:pos="2925"/>
        </w:tabs>
        <w:ind w:left="2925" w:hanging="504"/>
      </w:pPr>
    </w:lvl>
    <w:lvl w:ilvl="3">
      <w:start w:val="1"/>
      <w:numFmt w:val="decimal"/>
      <w:lvlText w:val="%1.%2.%3.%4."/>
      <w:lvlJc w:val="left"/>
      <w:pPr>
        <w:tabs>
          <w:tab w:val="num" w:pos="3429"/>
        </w:tabs>
        <w:ind w:left="3429" w:hanging="648"/>
      </w:pPr>
    </w:lvl>
    <w:lvl w:ilvl="4">
      <w:start w:val="1"/>
      <w:numFmt w:val="decimal"/>
      <w:lvlText w:val="%1.%2.%3.%4.%5."/>
      <w:lvlJc w:val="left"/>
      <w:pPr>
        <w:tabs>
          <w:tab w:val="num" w:pos="3933"/>
        </w:tabs>
        <w:ind w:left="3933" w:hanging="792"/>
      </w:pPr>
    </w:lvl>
    <w:lvl w:ilvl="5">
      <w:start w:val="1"/>
      <w:numFmt w:val="decimal"/>
      <w:lvlText w:val="%1.%2.%3.%4.%5.%6."/>
      <w:lvlJc w:val="left"/>
      <w:pPr>
        <w:tabs>
          <w:tab w:val="num" w:pos="4437"/>
        </w:tabs>
        <w:ind w:left="4437" w:hanging="936"/>
      </w:pPr>
    </w:lvl>
    <w:lvl w:ilvl="6">
      <w:start w:val="1"/>
      <w:numFmt w:val="decimal"/>
      <w:lvlText w:val="%1.%2.%3.%4.%5.%6.%7."/>
      <w:lvlJc w:val="left"/>
      <w:pPr>
        <w:tabs>
          <w:tab w:val="num" w:pos="4941"/>
        </w:tabs>
        <w:ind w:left="4941" w:hanging="1080"/>
      </w:pPr>
    </w:lvl>
    <w:lvl w:ilvl="7">
      <w:start w:val="1"/>
      <w:numFmt w:val="decimal"/>
      <w:lvlText w:val="%1.%2.%3.%4.%5.%6.%7.%8."/>
      <w:lvlJc w:val="left"/>
      <w:pPr>
        <w:tabs>
          <w:tab w:val="num" w:pos="5445"/>
        </w:tabs>
        <w:ind w:left="5445" w:hanging="1224"/>
      </w:pPr>
    </w:lvl>
    <w:lvl w:ilvl="8">
      <w:start w:val="1"/>
      <w:numFmt w:val="decimal"/>
      <w:lvlText w:val="%1.%2.%3.%4.%5.%6.%7.%8.%9."/>
      <w:lvlJc w:val="left"/>
      <w:pPr>
        <w:tabs>
          <w:tab w:val="num" w:pos="6021"/>
        </w:tabs>
        <w:ind w:left="6021" w:hanging="144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bCs w:val="0"/>
        <w:i w:val="0"/>
        <w:iCs w:val="0"/>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1">
    <w:nsid w:val="71940A6C"/>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7CE5370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7"/>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19"/>
    <w:lvlOverride w:ilvl="0">
      <w:lvl w:ilvl="0">
        <w:start w:val="1"/>
        <w:numFmt w:val="decimal"/>
        <w:lvlText w:val="%1."/>
        <w:lvlJc w:val="left"/>
        <w:pPr>
          <w:tabs>
            <w:tab w:val="num" w:pos="2061"/>
          </w:tabs>
          <w:ind w:left="2061" w:hanging="360"/>
        </w:pPr>
      </w:lvl>
    </w:lvlOverride>
  </w:num>
  <w:num w:numId="14">
    <w:abstractNumId w:val="14"/>
  </w:num>
  <w:num w:numId="15">
    <w:abstractNumId w:val="13"/>
  </w:num>
  <w:num w:numId="16">
    <w:abstractNumId w:val="12"/>
  </w:num>
  <w:num w:numId="17">
    <w:abstractNumId w:val="20"/>
  </w:num>
  <w:num w:numId="18">
    <w:abstractNumId w:val="11"/>
  </w:num>
  <w:num w:numId="19">
    <w:abstractNumId w:val="16"/>
  </w:num>
  <w:num w:numId="20">
    <w:abstractNumId w:val="0"/>
  </w:num>
  <w:num w:numId="21">
    <w:abstractNumId w:val="21"/>
  </w:num>
  <w:num w:numId="22">
    <w:abstractNumId w:val="22"/>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visionView w:markup="0"/>
  <w:doNotTrackMoves/>
  <w:defaultTabStop w:val="475"/>
  <w:autoHyphenation/>
  <w:hyphenationZone w:val="220"/>
  <w:doNotHyphenateCaps/>
  <w:evenAndOddHeaders/>
  <w:drawingGridHorizontalSpacing w:val="209"/>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070*"/>
    <w:docVar w:name="CreationDt" w:val="08/04/2015 1:08: PM"/>
    <w:docVar w:name="DocCategory" w:val="Doc"/>
    <w:docVar w:name="DocType" w:val="Final"/>
    <w:docVar w:name="FooterJN" w:val="15-03070"/>
    <w:docVar w:name="jobn" w:val="15-03070 (R)"/>
    <w:docVar w:name="jobnDT" w:val="15-03070 (R)   080415"/>
    <w:docVar w:name="jobnDTDT" w:val="15-03070 (R)   080415   080415"/>
    <w:docVar w:name="JobNo" w:val="1503070R"/>
    <w:docVar w:name="JobNo2" w:val="1505524R"/>
    <w:docVar w:name="OandT" w:val=" "/>
    <w:docVar w:name="sss1" w:val="CEDAW/C/HRV/Q/4-5/Add.1"/>
    <w:docVar w:name="sss2" w:val="-"/>
    <w:docVar w:name="Symbol1" w:val="CEDAW/C/HRV/Q/4-5/Add.1"/>
    <w:docVar w:name="Symbol2" w:val="-"/>
  </w:docVars>
  <w:rsids>
    <w:rsidRoot w:val="00945E28"/>
    <w:rsid w:val="00004615"/>
    <w:rsid w:val="00004756"/>
    <w:rsid w:val="00024A67"/>
    <w:rsid w:val="00033C1F"/>
    <w:rsid w:val="000513EF"/>
    <w:rsid w:val="0005420D"/>
    <w:rsid w:val="00055EA2"/>
    <w:rsid w:val="00067A90"/>
    <w:rsid w:val="00070C37"/>
    <w:rsid w:val="000A111E"/>
    <w:rsid w:val="000B0AFF"/>
    <w:rsid w:val="000C67BC"/>
    <w:rsid w:val="000E4411"/>
    <w:rsid w:val="000F1ACD"/>
    <w:rsid w:val="000F5D07"/>
    <w:rsid w:val="00105B0E"/>
    <w:rsid w:val="001444A3"/>
    <w:rsid w:val="00153645"/>
    <w:rsid w:val="00153E8C"/>
    <w:rsid w:val="00161F29"/>
    <w:rsid w:val="00162E88"/>
    <w:rsid w:val="001726A4"/>
    <w:rsid w:val="00177361"/>
    <w:rsid w:val="00190845"/>
    <w:rsid w:val="001A39EE"/>
    <w:rsid w:val="001A6777"/>
    <w:rsid w:val="001C54CE"/>
    <w:rsid w:val="001D1749"/>
    <w:rsid w:val="001E25A2"/>
    <w:rsid w:val="001E61AD"/>
    <w:rsid w:val="00211A7E"/>
    <w:rsid w:val="00217A24"/>
    <w:rsid w:val="00223C57"/>
    <w:rsid w:val="002535D8"/>
    <w:rsid w:val="00254046"/>
    <w:rsid w:val="00261386"/>
    <w:rsid w:val="00261C41"/>
    <w:rsid w:val="00264A43"/>
    <w:rsid w:val="00277697"/>
    <w:rsid w:val="00280794"/>
    <w:rsid w:val="0029434A"/>
    <w:rsid w:val="002B6E2A"/>
    <w:rsid w:val="002C66D0"/>
    <w:rsid w:val="002C69D9"/>
    <w:rsid w:val="002D4606"/>
    <w:rsid w:val="002E1F79"/>
    <w:rsid w:val="002F5C45"/>
    <w:rsid w:val="002F6149"/>
    <w:rsid w:val="00326F5F"/>
    <w:rsid w:val="00337D91"/>
    <w:rsid w:val="00350756"/>
    <w:rsid w:val="003658B0"/>
    <w:rsid w:val="0039505F"/>
    <w:rsid w:val="003A150E"/>
    <w:rsid w:val="003B6FF9"/>
    <w:rsid w:val="003C2842"/>
    <w:rsid w:val="003D0825"/>
    <w:rsid w:val="003D2003"/>
    <w:rsid w:val="003D5DA2"/>
    <w:rsid w:val="003E5193"/>
    <w:rsid w:val="00427FE5"/>
    <w:rsid w:val="00433222"/>
    <w:rsid w:val="00436F13"/>
    <w:rsid w:val="004420FB"/>
    <w:rsid w:val="004504A6"/>
    <w:rsid w:val="00460D23"/>
    <w:rsid w:val="004645DD"/>
    <w:rsid w:val="0046778F"/>
    <w:rsid w:val="00482473"/>
    <w:rsid w:val="004A7499"/>
    <w:rsid w:val="004B1314"/>
    <w:rsid w:val="004B5987"/>
    <w:rsid w:val="004D275F"/>
    <w:rsid w:val="004D656E"/>
    <w:rsid w:val="004E4FFA"/>
    <w:rsid w:val="004E6443"/>
    <w:rsid w:val="005121DC"/>
    <w:rsid w:val="00513113"/>
    <w:rsid w:val="00515869"/>
    <w:rsid w:val="005214BA"/>
    <w:rsid w:val="00524A24"/>
    <w:rsid w:val="005251C4"/>
    <w:rsid w:val="00526E12"/>
    <w:rsid w:val="00533411"/>
    <w:rsid w:val="0054563F"/>
    <w:rsid w:val="005469E1"/>
    <w:rsid w:val="00552E08"/>
    <w:rsid w:val="0056579C"/>
    <w:rsid w:val="00567706"/>
    <w:rsid w:val="005734C2"/>
    <w:rsid w:val="00574AA1"/>
    <w:rsid w:val="0057633B"/>
    <w:rsid w:val="0059002B"/>
    <w:rsid w:val="00590EDF"/>
    <w:rsid w:val="005933CB"/>
    <w:rsid w:val="005A1D01"/>
    <w:rsid w:val="005D38B6"/>
    <w:rsid w:val="005D7642"/>
    <w:rsid w:val="005E0A46"/>
    <w:rsid w:val="005E7DCF"/>
    <w:rsid w:val="005F3F41"/>
    <w:rsid w:val="005F6E5C"/>
    <w:rsid w:val="00602F9D"/>
    <w:rsid w:val="00616B8D"/>
    <w:rsid w:val="006261A6"/>
    <w:rsid w:val="0063491E"/>
    <w:rsid w:val="00635AF8"/>
    <w:rsid w:val="00646363"/>
    <w:rsid w:val="00655212"/>
    <w:rsid w:val="00657EE4"/>
    <w:rsid w:val="00697A59"/>
    <w:rsid w:val="006A1698"/>
    <w:rsid w:val="006A1D06"/>
    <w:rsid w:val="006A3F10"/>
    <w:rsid w:val="006F3683"/>
    <w:rsid w:val="00700738"/>
    <w:rsid w:val="00705549"/>
    <w:rsid w:val="0071210D"/>
    <w:rsid w:val="00716BC5"/>
    <w:rsid w:val="00723115"/>
    <w:rsid w:val="00724550"/>
    <w:rsid w:val="00736A19"/>
    <w:rsid w:val="00745258"/>
    <w:rsid w:val="00781ACA"/>
    <w:rsid w:val="00787B44"/>
    <w:rsid w:val="00795A5A"/>
    <w:rsid w:val="007B098D"/>
    <w:rsid w:val="007B1DE5"/>
    <w:rsid w:val="007B5785"/>
    <w:rsid w:val="007B5CF3"/>
    <w:rsid w:val="007C62D1"/>
    <w:rsid w:val="007C706F"/>
    <w:rsid w:val="007E0E39"/>
    <w:rsid w:val="007E2B60"/>
    <w:rsid w:val="00803EC5"/>
    <w:rsid w:val="00821CE2"/>
    <w:rsid w:val="0082745E"/>
    <w:rsid w:val="00830FF8"/>
    <w:rsid w:val="00844407"/>
    <w:rsid w:val="00853E2A"/>
    <w:rsid w:val="008541E9"/>
    <w:rsid w:val="00856EEB"/>
    <w:rsid w:val="008776BB"/>
    <w:rsid w:val="00880540"/>
    <w:rsid w:val="0088396E"/>
    <w:rsid w:val="008A1A7A"/>
    <w:rsid w:val="008B08A3"/>
    <w:rsid w:val="008B709D"/>
    <w:rsid w:val="008C2A03"/>
    <w:rsid w:val="008C6372"/>
    <w:rsid w:val="008D0CE3"/>
    <w:rsid w:val="008F12FD"/>
    <w:rsid w:val="008F13EA"/>
    <w:rsid w:val="00904F3C"/>
    <w:rsid w:val="00907EDB"/>
    <w:rsid w:val="009110C5"/>
    <w:rsid w:val="00915944"/>
    <w:rsid w:val="009327BF"/>
    <w:rsid w:val="00935F33"/>
    <w:rsid w:val="00945E28"/>
    <w:rsid w:val="0094745A"/>
    <w:rsid w:val="0095649D"/>
    <w:rsid w:val="00984EE4"/>
    <w:rsid w:val="0099354F"/>
    <w:rsid w:val="009B3444"/>
    <w:rsid w:val="009B5DCD"/>
    <w:rsid w:val="009D6E3D"/>
    <w:rsid w:val="009F0808"/>
    <w:rsid w:val="00A1495E"/>
    <w:rsid w:val="00A14F1D"/>
    <w:rsid w:val="00A1703F"/>
    <w:rsid w:val="00A63339"/>
    <w:rsid w:val="00A90F41"/>
    <w:rsid w:val="00A9600A"/>
    <w:rsid w:val="00A96C80"/>
    <w:rsid w:val="00AA0ABF"/>
    <w:rsid w:val="00AA27C2"/>
    <w:rsid w:val="00AD6322"/>
    <w:rsid w:val="00AD78B1"/>
    <w:rsid w:val="00AF0B91"/>
    <w:rsid w:val="00B33139"/>
    <w:rsid w:val="00B5129B"/>
    <w:rsid w:val="00B56376"/>
    <w:rsid w:val="00B606B7"/>
    <w:rsid w:val="00B60CA0"/>
    <w:rsid w:val="00B77FC0"/>
    <w:rsid w:val="00BA168A"/>
    <w:rsid w:val="00BB052D"/>
    <w:rsid w:val="00BB1F92"/>
    <w:rsid w:val="00BB5B7F"/>
    <w:rsid w:val="00BD2F16"/>
    <w:rsid w:val="00BE042E"/>
    <w:rsid w:val="00BE448A"/>
    <w:rsid w:val="00BE531D"/>
    <w:rsid w:val="00BF3D60"/>
    <w:rsid w:val="00BF5FCB"/>
    <w:rsid w:val="00C16B93"/>
    <w:rsid w:val="00C2210E"/>
    <w:rsid w:val="00C2524E"/>
    <w:rsid w:val="00C32802"/>
    <w:rsid w:val="00C40B0B"/>
    <w:rsid w:val="00C60105"/>
    <w:rsid w:val="00C623BF"/>
    <w:rsid w:val="00C70D59"/>
    <w:rsid w:val="00C7432F"/>
    <w:rsid w:val="00C77473"/>
    <w:rsid w:val="00C92EDC"/>
    <w:rsid w:val="00CA2CF3"/>
    <w:rsid w:val="00CB519E"/>
    <w:rsid w:val="00CC5B37"/>
    <w:rsid w:val="00CD2ED3"/>
    <w:rsid w:val="00CD3C62"/>
    <w:rsid w:val="00CF021B"/>
    <w:rsid w:val="00CF066B"/>
    <w:rsid w:val="00CF07BE"/>
    <w:rsid w:val="00CF4575"/>
    <w:rsid w:val="00D028FF"/>
    <w:rsid w:val="00D05963"/>
    <w:rsid w:val="00D1470E"/>
    <w:rsid w:val="00D20AA4"/>
    <w:rsid w:val="00D434AF"/>
    <w:rsid w:val="00D61BB7"/>
    <w:rsid w:val="00D7165D"/>
    <w:rsid w:val="00D75705"/>
    <w:rsid w:val="00D961D6"/>
    <w:rsid w:val="00D97B17"/>
    <w:rsid w:val="00DA1A4A"/>
    <w:rsid w:val="00DC1E7E"/>
    <w:rsid w:val="00DC7A5F"/>
    <w:rsid w:val="00DD6A66"/>
    <w:rsid w:val="00DF1CF0"/>
    <w:rsid w:val="00E04C73"/>
    <w:rsid w:val="00E079A3"/>
    <w:rsid w:val="00E15D7D"/>
    <w:rsid w:val="00E17234"/>
    <w:rsid w:val="00E261F5"/>
    <w:rsid w:val="00E6111E"/>
    <w:rsid w:val="00E616D0"/>
    <w:rsid w:val="00E62CCE"/>
    <w:rsid w:val="00E65C07"/>
    <w:rsid w:val="00E8225E"/>
    <w:rsid w:val="00E90547"/>
    <w:rsid w:val="00E91216"/>
    <w:rsid w:val="00E970B0"/>
    <w:rsid w:val="00EA1656"/>
    <w:rsid w:val="00EA1819"/>
    <w:rsid w:val="00EB646E"/>
    <w:rsid w:val="00EC6F5D"/>
    <w:rsid w:val="00EF1FBD"/>
    <w:rsid w:val="00F07DDF"/>
    <w:rsid w:val="00F16256"/>
    <w:rsid w:val="00F231E8"/>
    <w:rsid w:val="00F33544"/>
    <w:rsid w:val="00F35ACF"/>
    <w:rsid w:val="00F624BD"/>
    <w:rsid w:val="00F62A5E"/>
    <w:rsid w:val="00F74A39"/>
    <w:rsid w:val="00F85203"/>
    <w:rsid w:val="00F92676"/>
    <w:rsid w:val="00F94262"/>
    <w:rsid w:val="00F979A8"/>
    <w:rsid w:val="00FA1B93"/>
    <w:rsid w:val="00FA5551"/>
    <w:rsid w:val="00FA7C7A"/>
    <w:rsid w:val="00FD213B"/>
    <w:rsid w:val="00FD3CE8"/>
    <w:rsid w:val="00FE26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lsdException w:name="caption" w:uiPriority="35" w:qFormat="1"/>
    <w:lsdException w:name="line number" w:semiHidden="0" w:unhideWhenUsed="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nhideWhenUsed="0" w:qFormat="1"/>
    <w:lsdException w:name="Default Paragraph Font" w:uiPriority="1"/>
    <w:lsdException w:name="List Continue" w:semiHidden="0" w:unhideWhenUsed="0"/>
    <w:lsdException w:name="List Continue 2" w:semiHidden="0" w:unhideWhenUsed="0"/>
    <w:lsdException w:name="Subtitle" w:unhideWhenUsed="0" w:qFormat="1"/>
    <w:lsdException w:name="Strong" w:unhideWhenUsed="0" w:qFormat="1"/>
    <w:lsdException w:name="Emphasis"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515869"/>
    <w:pPr>
      <w:spacing w:line="240" w:lineRule="exact"/>
    </w:pPr>
    <w:rPr>
      <w:rFonts w:ascii="Times New Roman" w:hAnsi="Times New Roman" w:cs="Times New Roman"/>
      <w:spacing w:val="4"/>
      <w:w w:val="103"/>
      <w:kern w:val="14"/>
      <w:szCs w:val="22"/>
      <w:lang w:val="ru-RU"/>
    </w:rPr>
  </w:style>
  <w:style w:type="paragraph" w:styleId="Heading1">
    <w:name w:val="heading 1"/>
    <w:aliases w:val="Table_G"/>
    <w:basedOn w:val="Normal"/>
    <w:next w:val="Normal"/>
    <w:link w:val="Heading1Char"/>
    <w:uiPriority w:val="99"/>
    <w:qFormat/>
    <w:rsid w:val="0088396E"/>
    <w:pPr>
      <w:keepNext/>
      <w:numPr>
        <w:numId w:val="13"/>
      </w:numPr>
      <w:spacing w:before="240" w:after="60"/>
      <w:outlineLvl w:val="0"/>
    </w:pPr>
    <w:rPr>
      <w:rFonts w:ascii="Arial" w:eastAsia="SimSun" w:hAnsi="Arial"/>
      <w:b/>
      <w:bCs/>
      <w:sz w:val="32"/>
      <w:szCs w:val="28"/>
      <w:lang/>
    </w:rPr>
  </w:style>
  <w:style w:type="paragraph" w:styleId="Heading2">
    <w:name w:val="heading 2"/>
    <w:basedOn w:val="Normal"/>
    <w:next w:val="Normal"/>
    <w:link w:val="Heading2Char"/>
    <w:uiPriority w:val="99"/>
    <w:qFormat/>
    <w:rsid w:val="0088396E"/>
    <w:pPr>
      <w:keepNext/>
      <w:numPr>
        <w:ilvl w:val="1"/>
        <w:numId w:val="13"/>
      </w:numPr>
      <w:spacing w:before="240" w:after="60"/>
      <w:outlineLvl w:val="1"/>
    </w:pPr>
    <w:rPr>
      <w:rFonts w:ascii="Arial" w:eastAsia="SimSun" w:hAnsi="Arial"/>
      <w:b/>
      <w:bCs/>
      <w:i/>
      <w:sz w:val="28"/>
      <w:szCs w:val="26"/>
      <w:lang/>
    </w:rPr>
  </w:style>
  <w:style w:type="paragraph" w:styleId="Heading3">
    <w:name w:val="heading 3"/>
    <w:basedOn w:val="Normal"/>
    <w:next w:val="Normal"/>
    <w:link w:val="Heading3Char"/>
    <w:uiPriority w:val="99"/>
    <w:qFormat/>
    <w:rsid w:val="0071210D"/>
    <w:pPr>
      <w:keepNext/>
      <w:numPr>
        <w:ilvl w:val="2"/>
        <w:numId w:val="13"/>
      </w:numPr>
      <w:spacing w:before="240" w:after="60"/>
      <w:outlineLvl w:val="2"/>
    </w:pPr>
    <w:rPr>
      <w:rFonts w:ascii="Arial" w:eastAsia="SimSun" w:hAnsi="Arial"/>
      <w:b/>
      <w:bCs/>
      <w:sz w:val="26"/>
      <w:lang/>
    </w:rPr>
  </w:style>
  <w:style w:type="paragraph" w:styleId="Heading4">
    <w:name w:val="heading 4"/>
    <w:basedOn w:val="Normal"/>
    <w:next w:val="Normal"/>
    <w:link w:val="Heading4Char"/>
    <w:uiPriority w:val="99"/>
    <w:qFormat/>
    <w:rsid w:val="0029434A"/>
    <w:pPr>
      <w:numPr>
        <w:ilvl w:val="3"/>
        <w:numId w:val="13"/>
      </w:numPr>
      <w:suppressAutoHyphens/>
      <w:spacing w:line="240" w:lineRule="auto"/>
      <w:ind w:left="864" w:hanging="144"/>
      <w:outlineLvl w:val="3"/>
    </w:pPr>
    <w:rPr>
      <w:rFonts w:eastAsia="Times New Roman"/>
      <w:spacing w:val="0"/>
      <w:w w:val="100"/>
      <w:kern w:val="0"/>
      <w:szCs w:val="20"/>
      <w:lang w:val="en-GB"/>
    </w:rPr>
  </w:style>
  <w:style w:type="paragraph" w:styleId="Heading5">
    <w:name w:val="heading 5"/>
    <w:basedOn w:val="Normal"/>
    <w:next w:val="Normal"/>
    <w:link w:val="Heading5Char"/>
    <w:uiPriority w:val="99"/>
    <w:qFormat/>
    <w:rsid w:val="0029434A"/>
    <w:pPr>
      <w:numPr>
        <w:ilvl w:val="4"/>
        <w:numId w:val="13"/>
      </w:numPr>
      <w:suppressAutoHyphens/>
      <w:spacing w:line="240" w:lineRule="auto"/>
      <w:ind w:left="1008" w:hanging="432"/>
      <w:outlineLvl w:val="4"/>
    </w:pPr>
    <w:rPr>
      <w:rFonts w:eastAsia="Times New Roman"/>
      <w:spacing w:val="0"/>
      <w:w w:val="100"/>
      <w:kern w:val="0"/>
      <w:szCs w:val="20"/>
      <w:lang w:val="en-GB"/>
    </w:rPr>
  </w:style>
  <w:style w:type="paragraph" w:styleId="Heading6">
    <w:name w:val="heading 6"/>
    <w:basedOn w:val="Normal"/>
    <w:next w:val="Normal"/>
    <w:link w:val="Heading6Char"/>
    <w:uiPriority w:val="99"/>
    <w:qFormat/>
    <w:rsid w:val="0029434A"/>
    <w:pPr>
      <w:numPr>
        <w:ilvl w:val="5"/>
        <w:numId w:val="13"/>
      </w:numPr>
      <w:suppressAutoHyphens/>
      <w:spacing w:line="240" w:lineRule="auto"/>
      <w:ind w:left="1152" w:hanging="432"/>
      <w:outlineLvl w:val="5"/>
    </w:pPr>
    <w:rPr>
      <w:rFonts w:eastAsia="Times New Roman"/>
      <w:spacing w:val="0"/>
      <w:w w:val="100"/>
      <w:kern w:val="0"/>
      <w:szCs w:val="20"/>
      <w:lang w:val="en-GB"/>
    </w:rPr>
  </w:style>
  <w:style w:type="paragraph" w:styleId="Heading7">
    <w:name w:val="heading 7"/>
    <w:basedOn w:val="Normal"/>
    <w:next w:val="Normal"/>
    <w:link w:val="Heading7Char"/>
    <w:uiPriority w:val="99"/>
    <w:qFormat/>
    <w:rsid w:val="0029434A"/>
    <w:pPr>
      <w:numPr>
        <w:ilvl w:val="6"/>
        <w:numId w:val="13"/>
      </w:numPr>
      <w:suppressAutoHyphens/>
      <w:spacing w:line="240" w:lineRule="auto"/>
      <w:ind w:left="1296" w:hanging="288"/>
      <w:outlineLvl w:val="6"/>
    </w:pPr>
    <w:rPr>
      <w:rFonts w:eastAsia="Times New Roman"/>
      <w:spacing w:val="0"/>
      <w:w w:val="100"/>
      <w:kern w:val="0"/>
      <w:szCs w:val="20"/>
      <w:lang w:val="en-GB"/>
    </w:rPr>
  </w:style>
  <w:style w:type="paragraph" w:styleId="Heading8">
    <w:name w:val="heading 8"/>
    <w:basedOn w:val="Normal"/>
    <w:next w:val="Normal"/>
    <w:link w:val="Heading8Char"/>
    <w:uiPriority w:val="99"/>
    <w:qFormat/>
    <w:rsid w:val="0029434A"/>
    <w:pPr>
      <w:numPr>
        <w:ilvl w:val="7"/>
        <w:numId w:val="13"/>
      </w:numPr>
      <w:suppressAutoHyphens/>
      <w:spacing w:line="240" w:lineRule="auto"/>
      <w:ind w:left="1440" w:hanging="432"/>
      <w:outlineLvl w:val="7"/>
    </w:pPr>
    <w:rPr>
      <w:rFonts w:eastAsia="Times New Roman"/>
      <w:spacing w:val="0"/>
      <w:w w:val="100"/>
      <w:kern w:val="0"/>
      <w:szCs w:val="20"/>
      <w:lang w:val="en-GB"/>
    </w:rPr>
  </w:style>
  <w:style w:type="paragraph" w:styleId="Heading9">
    <w:name w:val="heading 9"/>
    <w:basedOn w:val="Normal"/>
    <w:next w:val="Normal"/>
    <w:link w:val="Heading9Char"/>
    <w:uiPriority w:val="99"/>
    <w:qFormat/>
    <w:rsid w:val="0029434A"/>
    <w:pPr>
      <w:numPr>
        <w:ilvl w:val="8"/>
        <w:numId w:val="13"/>
      </w:numPr>
      <w:suppressAutoHyphens/>
      <w:spacing w:line="240" w:lineRule="auto"/>
      <w:ind w:left="1584" w:hanging="144"/>
      <w:outlineLvl w:val="8"/>
    </w:pPr>
    <w:rPr>
      <w:rFonts w:eastAsia="Times New Roman"/>
      <w:spacing w:val="0"/>
      <w:w w:val="100"/>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E970B0"/>
    <w:rPr>
      <w:rFonts w:ascii="Times New Roman" w:hAnsi="Times New Roman" w:cs="Times New Roman"/>
      <w:spacing w:val="4"/>
      <w:w w:val="103"/>
      <w:kern w:val="14"/>
      <w:szCs w:val="22"/>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uiPriority w:val="99"/>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SingleTxt"/>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iPriority w:val="99"/>
    <w:unhideWhenUsed/>
    <w:rsid w:val="0056579C"/>
    <w:pPr>
      <w:tabs>
        <w:tab w:val="center" w:pos="4320"/>
        <w:tab w:val="right" w:pos="8640"/>
      </w:tabs>
      <w:spacing w:line="240" w:lineRule="auto"/>
    </w:pPr>
    <w:rPr>
      <w:b/>
      <w:spacing w:val="0"/>
      <w:w w:val="100"/>
      <w:kern w:val="0"/>
      <w:sz w:val="17"/>
      <w:szCs w:val="20"/>
      <w:lang/>
    </w:rPr>
  </w:style>
  <w:style w:type="character" w:customStyle="1" w:styleId="FooterChar">
    <w:name w:val="Footer Char"/>
    <w:aliases w:val="3_G Char"/>
    <w:link w:val="Footer"/>
    <w:uiPriority w:val="99"/>
    <w:rsid w:val="00BE531D"/>
    <w:rPr>
      <w:rFonts w:ascii="Times New Roman" w:hAnsi="Times New Roman"/>
      <w:b/>
      <w:sz w:val="17"/>
      <w:lang w:val="ru-RU"/>
    </w:rPr>
  </w:style>
  <w:style w:type="paragraph" w:styleId="Header">
    <w:name w:val="header"/>
    <w:aliases w:val="6_G"/>
    <w:basedOn w:val="Normal"/>
    <w:link w:val="HeaderChar"/>
    <w:uiPriority w:val="99"/>
    <w:rsid w:val="0056579C"/>
    <w:pPr>
      <w:tabs>
        <w:tab w:val="center" w:pos="4320"/>
        <w:tab w:val="right" w:pos="8640"/>
      </w:tabs>
      <w:spacing w:line="240" w:lineRule="auto"/>
    </w:pPr>
    <w:rPr>
      <w:spacing w:val="0"/>
      <w:w w:val="100"/>
      <w:kern w:val="0"/>
      <w:sz w:val="17"/>
      <w:szCs w:val="20"/>
      <w:lang/>
    </w:rPr>
  </w:style>
  <w:style w:type="character" w:customStyle="1" w:styleId="HeaderChar">
    <w:name w:val="Header Char"/>
    <w:aliases w:val="6_G Char"/>
    <w:link w:val="Header"/>
    <w:uiPriority w:val="99"/>
    <w:rsid w:val="00BE531D"/>
    <w:rPr>
      <w:rFonts w:ascii="Times New Roman" w:hAnsi="Times New Roman"/>
      <w:sz w:val="17"/>
      <w:lang w:val="ru-RU"/>
    </w:rPr>
  </w:style>
  <w:style w:type="character" w:customStyle="1" w:styleId="Heading1Char">
    <w:name w:val="Heading 1 Char"/>
    <w:aliases w:val="Table_G Char"/>
    <w:link w:val="Heading1"/>
    <w:uiPriority w:val="99"/>
    <w:rsid w:val="0088396E"/>
    <w:rPr>
      <w:rFonts w:ascii="Arial" w:eastAsia="SimSun" w:hAnsi="Arial" w:cs="Times New Roman"/>
      <w:b/>
      <w:bCs/>
      <w:spacing w:val="4"/>
      <w:w w:val="103"/>
      <w:kern w:val="14"/>
      <w:sz w:val="32"/>
      <w:szCs w:val="28"/>
      <w:lang w:val="ru-RU"/>
    </w:rPr>
  </w:style>
  <w:style w:type="character" w:customStyle="1" w:styleId="Heading2Char">
    <w:name w:val="Heading 2 Char"/>
    <w:link w:val="Heading2"/>
    <w:uiPriority w:val="99"/>
    <w:rsid w:val="0088396E"/>
    <w:rPr>
      <w:rFonts w:ascii="Arial" w:eastAsia="SimSun" w:hAnsi="Arial" w:cs="Times New Roman"/>
      <w:b/>
      <w:bCs/>
      <w:i/>
      <w:spacing w:val="4"/>
      <w:w w:val="103"/>
      <w:kern w:val="14"/>
      <w:sz w:val="28"/>
      <w:szCs w:val="26"/>
      <w:lang w:val="ru-RU"/>
    </w:rPr>
  </w:style>
  <w:style w:type="character" w:customStyle="1" w:styleId="Heading3Char">
    <w:name w:val="Heading 3 Char"/>
    <w:link w:val="Heading3"/>
    <w:uiPriority w:val="99"/>
    <w:rsid w:val="0071210D"/>
    <w:rPr>
      <w:rFonts w:ascii="Arial" w:eastAsia="SimSun" w:hAnsi="Arial" w:cs="Times New Roman"/>
      <w:b/>
      <w:bCs/>
      <w:spacing w:val="4"/>
      <w:w w:val="103"/>
      <w:kern w:val="14"/>
      <w:sz w:val="26"/>
      <w:szCs w:val="22"/>
      <w:lang w:val="ru-RU"/>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Footnote Text Char Char Char,single space,Текст сноски Знак,Footnote Reference1,FA Fu,Footnote Text Char Char Char Char Char,Footnote Text Char Char Char Car,Footnote Text Char Char Char Car Car Car Car Car Car,Podrozdzia"/>
    <w:basedOn w:val="Normal"/>
    <w:link w:val="FootnoteTextChar"/>
    <w:uiPriority w:val="99"/>
    <w:unhideWhenUsed/>
    <w:rsid w:val="00CF07BE"/>
    <w:pPr>
      <w:suppressAutoHyphens/>
      <w:spacing w:line="210" w:lineRule="exact"/>
      <w:ind w:left="475" w:hanging="475"/>
    </w:pPr>
    <w:rPr>
      <w:spacing w:val="5"/>
      <w:w w:val="104"/>
      <w:sz w:val="17"/>
      <w:szCs w:val="20"/>
      <w:lang/>
    </w:rPr>
  </w:style>
  <w:style w:type="character" w:customStyle="1" w:styleId="FootnoteTextChar">
    <w:name w:val="Footnote Text Char"/>
    <w:aliases w:val="5_G Char,Footnote Text Char Char Char Char,single space Char,Текст сноски Знак Char,Footnote Reference Char,FA Fu Char,Footnote Text Char Char Char Char Char Char,Footnote Text Char Char Char Car Char,Podrozdzia Char"/>
    <w:link w:val="FootnoteText"/>
    <w:uiPriority w:val="99"/>
    <w:rsid w:val="00CF07BE"/>
    <w:rPr>
      <w:rFonts w:ascii="Times New Roman" w:hAnsi="Times New Roman"/>
      <w:spacing w:val="5"/>
      <w:w w:val="104"/>
      <w:kern w:val="14"/>
      <w:sz w:val="17"/>
      <w:szCs w:val="20"/>
      <w:lang w:val="ru-RU"/>
    </w:rPr>
  </w:style>
  <w:style w:type="character" w:styleId="FootnoteReference">
    <w:name w:val="footnote reference"/>
    <w:aliases w:val="4_G,Ref,de nota al pie,Footnote Reference Number"/>
    <w:uiPriority w:val="99"/>
    <w:unhideWhenUsed/>
    <w:rsid w:val="00EC6F5D"/>
    <w:rPr>
      <w:spacing w:val="-5"/>
      <w:w w:val="130"/>
      <w:position w:val="-4"/>
      <w:vertAlign w:val="superscript"/>
    </w:rPr>
  </w:style>
  <w:style w:type="paragraph" w:styleId="EndnoteText">
    <w:name w:val="endnote text"/>
    <w:aliases w:val="2_G"/>
    <w:basedOn w:val="Normal"/>
    <w:link w:val="EndnoteTextChar"/>
    <w:uiPriority w:val="99"/>
    <w:unhideWhenUsed/>
    <w:rsid w:val="00515869"/>
    <w:pPr>
      <w:suppressAutoHyphens/>
      <w:spacing w:line="240" w:lineRule="auto"/>
    </w:pPr>
    <w:rPr>
      <w:spacing w:val="5"/>
      <w:w w:val="104"/>
      <w:szCs w:val="20"/>
      <w:lang/>
    </w:rPr>
  </w:style>
  <w:style w:type="character" w:customStyle="1" w:styleId="EndnoteTextChar">
    <w:name w:val="Endnote Text Char"/>
    <w:aliases w:val="2_G Char"/>
    <w:link w:val="EndnoteText"/>
    <w:uiPriority w:val="99"/>
    <w:semiHidden/>
    <w:rsid w:val="00515869"/>
    <w:rPr>
      <w:rFonts w:ascii="Times New Roman" w:hAnsi="Times New Roman"/>
      <w:spacing w:val="5"/>
      <w:w w:val="104"/>
      <w:kern w:val="14"/>
      <w:sz w:val="20"/>
      <w:szCs w:val="20"/>
      <w:lang w:val="ru-RU"/>
    </w:rPr>
  </w:style>
  <w:style w:type="character" w:styleId="CommentReference">
    <w:name w:val="annotation reference"/>
    <w:uiPriority w:val="99"/>
    <w:semiHidden/>
    <w:unhideWhenUsed/>
    <w:rsid w:val="00C92EDC"/>
    <w:rPr>
      <w:sz w:val="16"/>
      <w:szCs w:val="16"/>
    </w:rPr>
  </w:style>
  <w:style w:type="paragraph" w:styleId="CommentText">
    <w:name w:val="annotation text"/>
    <w:basedOn w:val="Normal"/>
    <w:link w:val="CommentTextChar"/>
    <w:uiPriority w:val="99"/>
    <w:semiHidden/>
    <w:unhideWhenUsed/>
    <w:rsid w:val="00C92EDC"/>
    <w:rPr>
      <w:szCs w:val="20"/>
      <w:lang/>
    </w:rPr>
  </w:style>
  <w:style w:type="character" w:customStyle="1" w:styleId="CommentTextChar">
    <w:name w:val="Comment Text Char"/>
    <w:link w:val="CommentText"/>
    <w:uiPriority w:val="99"/>
    <w:semiHidden/>
    <w:rsid w:val="00C92EDC"/>
    <w:rPr>
      <w:rFonts w:ascii="Times New Roman" w:hAnsi="Times New Roman" w:cs="Times New Roman"/>
      <w:spacing w:val="4"/>
      <w:w w:val="103"/>
      <w:kern w:val="14"/>
      <w:lang w:val="ru-RU"/>
    </w:rPr>
  </w:style>
  <w:style w:type="paragraph" w:styleId="CommentSubject">
    <w:name w:val="annotation subject"/>
    <w:basedOn w:val="CommentText"/>
    <w:next w:val="CommentText"/>
    <w:link w:val="CommentSubjectChar"/>
    <w:uiPriority w:val="99"/>
    <w:semiHidden/>
    <w:unhideWhenUsed/>
    <w:rsid w:val="00C92EDC"/>
    <w:rPr>
      <w:b/>
      <w:bCs/>
    </w:rPr>
  </w:style>
  <w:style w:type="character" w:customStyle="1" w:styleId="CommentSubjectChar">
    <w:name w:val="Comment Subject Char"/>
    <w:link w:val="CommentSubject"/>
    <w:uiPriority w:val="99"/>
    <w:semiHidden/>
    <w:rsid w:val="00C92EDC"/>
    <w:rPr>
      <w:rFonts w:ascii="Times New Roman" w:hAnsi="Times New Roman" w:cs="Times New Roman"/>
      <w:b/>
      <w:bCs/>
      <w:spacing w:val="4"/>
      <w:w w:val="103"/>
      <w:kern w:val="14"/>
      <w:lang w:val="ru-RU"/>
    </w:rPr>
  </w:style>
  <w:style w:type="character" w:customStyle="1" w:styleId="Heading4Char">
    <w:name w:val="Heading 4 Char"/>
    <w:link w:val="Heading4"/>
    <w:uiPriority w:val="99"/>
    <w:rsid w:val="0029434A"/>
    <w:rPr>
      <w:rFonts w:ascii="Times New Roman" w:eastAsia="Times New Roman" w:hAnsi="Times New Roman" w:cs="Times New Roman"/>
      <w:lang w:val="en-GB"/>
    </w:rPr>
  </w:style>
  <w:style w:type="character" w:customStyle="1" w:styleId="Heading5Char">
    <w:name w:val="Heading 5 Char"/>
    <w:link w:val="Heading5"/>
    <w:uiPriority w:val="99"/>
    <w:rsid w:val="0029434A"/>
    <w:rPr>
      <w:rFonts w:ascii="Times New Roman" w:eastAsia="Times New Roman" w:hAnsi="Times New Roman" w:cs="Times New Roman"/>
      <w:lang w:val="en-GB"/>
    </w:rPr>
  </w:style>
  <w:style w:type="character" w:customStyle="1" w:styleId="Heading6Char">
    <w:name w:val="Heading 6 Char"/>
    <w:link w:val="Heading6"/>
    <w:uiPriority w:val="99"/>
    <w:rsid w:val="0029434A"/>
    <w:rPr>
      <w:rFonts w:ascii="Times New Roman" w:eastAsia="Times New Roman" w:hAnsi="Times New Roman" w:cs="Times New Roman"/>
      <w:lang w:val="en-GB"/>
    </w:rPr>
  </w:style>
  <w:style w:type="character" w:customStyle="1" w:styleId="Heading7Char">
    <w:name w:val="Heading 7 Char"/>
    <w:link w:val="Heading7"/>
    <w:uiPriority w:val="99"/>
    <w:rsid w:val="0029434A"/>
    <w:rPr>
      <w:rFonts w:ascii="Times New Roman" w:eastAsia="Times New Roman" w:hAnsi="Times New Roman" w:cs="Times New Roman"/>
      <w:lang w:val="en-GB"/>
    </w:rPr>
  </w:style>
  <w:style w:type="character" w:customStyle="1" w:styleId="Heading8Char">
    <w:name w:val="Heading 8 Char"/>
    <w:link w:val="Heading8"/>
    <w:uiPriority w:val="99"/>
    <w:rsid w:val="0029434A"/>
    <w:rPr>
      <w:rFonts w:ascii="Times New Roman" w:eastAsia="Times New Roman" w:hAnsi="Times New Roman" w:cs="Times New Roman"/>
      <w:lang w:val="en-GB"/>
    </w:rPr>
  </w:style>
  <w:style w:type="character" w:customStyle="1" w:styleId="Heading9Char">
    <w:name w:val="Heading 9 Char"/>
    <w:link w:val="Heading9"/>
    <w:uiPriority w:val="99"/>
    <w:rsid w:val="0029434A"/>
    <w:rPr>
      <w:rFonts w:ascii="Times New Roman" w:eastAsia="Times New Roman" w:hAnsi="Times New Roman" w:cs="Times New Roman"/>
      <w:lang w:val="en-GB"/>
    </w:rPr>
  </w:style>
  <w:style w:type="paragraph" w:customStyle="1" w:styleId="HMG">
    <w:name w:val="_ H __M_G"/>
    <w:basedOn w:val="Normal"/>
    <w:next w:val="Normal"/>
    <w:uiPriority w:val="99"/>
    <w:rsid w:val="0029434A"/>
    <w:pPr>
      <w:keepNext/>
      <w:keepLines/>
      <w:tabs>
        <w:tab w:val="right" w:pos="851"/>
      </w:tabs>
      <w:suppressAutoHyphens/>
      <w:spacing w:before="240" w:after="240" w:line="360" w:lineRule="exact"/>
      <w:ind w:left="1134" w:right="1134" w:hanging="1134"/>
    </w:pPr>
    <w:rPr>
      <w:rFonts w:eastAsia="Times New Roman"/>
      <w:b/>
      <w:bCs/>
      <w:spacing w:val="0"/>
      <w:w w:val="100"/>
      <w:kern w:val="0"/>
      <w:sz w:val="34"/>
      <w:szCs w:val="34"/>
      <w:lang w:val="en-GB"/>
    </w:rPr>
  </w:style>
  <w:style w:type="paragraph" w:customStyle="1" w:styleId="HChG">
    <w:name w:val="_ H _Ch_G"/>
    <w:basedOn w:val="Normal"/>
    <w:next w:val="Normal"/>
    <w:uiPriority w:val="99"/>
    <w:rsid w:val="0029434A"/>
    <w:pPr>
      <w:keepNext/>
      <w:keepLines/>
      <w:tabs>
        <w:tab w:val="right" w:pos="851"/>
      </w:tabs>
      <w:suppressAutoHyphens/>
      <w:spacing w:before="360" w:after="240" w:line="300" w:lineRule="exact"/>
      <w:ind w:left="1134" w:right="1134" w:hanging="1134"/>
    </w:pPr>
    <w:rPr>
      <w:rFonts w:eastAsia="Times New Roman"/>
      <w:b/>
      <w:bCs/>
      <w:spacing w:val="0"/>
      <w:w w:val="100"/>
      <w:kern w:val="0"/>
      <w:sz w:val="28"/>
      <w:szCs w:val="28"/>
      <w:lang w:val="en-GB"/>
    </w:rPr>
  </w:style>
  <w:style w:type="paragraph" w:customStyle="1" w:styleId="SingleTxtG">
    <w:name w:val="_ Single Txt_G"/>
    <w:basedOn w:val="Normal"/>
    <w:rsid w:val="0029434A"/>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uiPriority w:val="99"/>
    <w:rsid w:val="0029434A"/>
    <w:rPr>
      <w:rFonts w:ascii="Times New Roman" w:hAnsi="Times New Roman" w:cs="Times New Roman"/>
      <w:b/>
      <w:bCs/>
      <w:sz w:val="18"/>
      <w:szCs w:val="18"/>
    </w:rPr>
  </w:style>
  <w:style w:type="paragraph" w:styleId="PlainText">
    <w:name w:val="Plain Text"/>
    <w:basedOn w:val="Normal"/>
    <w:link w:val="PlainTextChar"/>
    <w:uiPriority w:val="99"/>
    <w:semiHidden/>
    <w:rsid w:val="0029434A"/>
    <w:pPr>
      <w:suppressAutoHyphens/>
      <w:spacing w:line="240" w:lineRule="atLeast"/>
    </w:pPr>
    <w:rPr>
      <w:rFonts w:eastAsia="Times New Roman"/>
      <w:spacing w:val="0"/>
      <w:w w:val="100"/>
      <w:kern w:val="0"/>
      <w:szCs w:val="20"/>
      <w:lang w:val="en-GB"/>
    </w:rPr>
  </w:style>
  <w:style w:type="character" w:customStyle="1" w:styleId="PlainTextChar">
    <w:name w:val="Plain Text Char"/>
    <w:link w:val="PlainText"/>
    <w:uiPriority w:val="99"/>
    <w:semiHidden/>
    <w:rsid w:val="0029434A"/>
    <w:rPr>
      <w:rFonts w:ascii="Times New Roman" w:eastAsia="Times New Roman" w:hAnsi="Times New Roman" w:cs="Times New Roman"/>
      <w:lang w:val="en-GB"/>
    </w:rPr>
  </w:style>
  <w:style w:type="paragraph" w:styleId="BodyText">
    <w:name w:val="Body Text"/>
    <w:basedOn w:val="Normal"/>
    <w:next w:val="Normal"/>
    <w:link w:val="BodyTextChar"/>
    <w:uiPriority w:val="99"/>
    <w:semiHidden/>
    <w:rsid w:val="0029434A"/>
    <w:pPr>
      <w:suppressAutoHyphens/>
      <w:spacing w:line="240" w:lineRule="atLeast"/>
    </w:pPr>
    <w:rPr>
      <w:rFonts w:eastAsia="Times New Roman"/>
      <w:spacing w:val="0"/>
      <w:w w:val="100"/>
      <w:kern w:val="0"/>
      <w:szCs w:val="20"/>
      <w:lang w:val="en-GB"/>
    </w:rPr>
  </w:style>
  <w:style w:type="character" w:customStyle="1" w:styleId="BodyTextChar">
    <w:name w:val="Body Text Char"/>
    <w:link w:val="BodyText"/>
    <w:uiPriority w:val="99"/>
    <w:semiHidden/>
    <w:rsid w:val="0029434A"/>
    <w:rPr>
      <w:rFonts w:ascii="Times New Roman" w:eastAsia="Times New Roman" w:hAnsi="Times New Roman" w:cs="Times New Roman"/>
      <w:lang w:val="en-GB"/>
    </w:rPr>
  </w:style>
  <w:style w:type="paragraph" w:styleId="BodyTextIndent">
    <w:name w:val="Body Text Indent"/>
    <w:basedOn w:val="Normal"/>
    <w:link w:val="BodyTextIndentChar"/>
    <w:uiPriority w:val="99"/>
    <w:semiHidden/>
    <w:rsid w:val="0029434A"/>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link w:val="BodyTextIndent"/>
    <w:uiPriority w:val="99"/>
    <w:semiHidden/>
    <w:rsid w:val="0029434A"/>
    <w:rPr>
      <w:rFonts w:ascii="Times New Roman" w:eastAsia="Times New Roman" w:hAnsi="Times New Roman" w:cs="Times New Roman"/>
      <w:lang w:val="en-GB"/>
    </w:rPr>
  </w:style>
  <w:style w:type="paragraph" w:styleId="BlockText">
    <w:name w:val="Block Text"/>
    <w:basedOn w:val="Normal"/>
    <w:uiPriority w:val="99"/>
    <w:semiHidden/>
    <w:rsid w:val="0029434A"/>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uiPriority w:val="99"/>
    <w:rsid w:val="0029434A"/>
    <w:pPr>
      <w:keepNext/>
      <w:keepLines/>
      <w:suppressAutoHyphens/>
      <w:spacing w:before="240" w:after="240" w:line="420" w:lineRule="exact"/>
      <w:ind w:left="1134" w:right="1134"/>
    </w:pPr>
    <w:rPr>
      <w:rFonts w:eastAsia="Times New Roman"/>
      <w:b/>
      <w:bCs/>
      <w:spacing w:val="0"/>
      <w:w w:val="100"/>
      <w:kern w:val="0"/>
      <w:sz w:val="40"/>
      <w:szCs w:val="40"/>
      <w:lang w:val="en-GB"/>
    </w:rPr>
  </w:style>
  <w:style w:type="paragraph" w:customStyle="1" w:styleId="SLG">
    <w:name w:val="__S_L_G"/>
    <w:basedOn w:val="Normal"/>
    <w:next w:val="Normal"/>
    <w:uiPriority w:val="99"/>
    <w:rsid w:val="0029434A"/>
    <w:pPr>
      <w:keepNext/>
      <w:keepLines/>
      <w:suppressAutoHyphens/>
      <w:spacing w:before="240" w:after="240" w:line="580" w:lineRule="exact"/>
      <w:ind w:left="1134" w:right="1134"/>
    </w:pPr>
    <w:rPr>
      <w:rFonts w:eastAsia="Times New Roman"/>
      <w:b/>
      <w:bCs/>
      <w:spacing w:val="0"/>
      <w:w w:val="100"/>
      <w:kern w:val="0"/>
      <w:sz w:val="56"/>
      <w:szCs w:val="56"/>
      <w:lang w:val="en-GB"/>
    </w:rPr>
  </w:style>
  <w:style w:type="paragraph" w:customStyle="1" w:styleId="SSG">
    <w:name w:val="__S_S_G"/>
    <w:basedOn w:val="Normal"/>
    <w:next w:val="Normal"/>
    <w:uiPriority w:val="99"/>
    <w:rsid w:val="0029434A"/>
    <w:pPr>
      <w:keepNext/>
      <w:keepLines/>
      <w:suppressAutoHyphens/>
      <w:spacing w:before="240" w:after="240" w:line="300" w:lineRule="exact"/>
      <w:ind w:left="1134" w:right="1134"/>
    </w:pPr>
    <w:rPr>
      <w:rFonts w:eastAsia="Times New Roman"/>
      <w:b/>
      <w:bCs/>
      <w:spacing w:val="0"/>
      <w:w w:val="100"/>
      <w:kern w:val="0"/>
      <w:sz w:val="28"/>
      <w:szCs w:val="28"/>
      <w:lang w:val="en-GB"/>
    </w:rPr>
  </w:style>
  <w:style w:type="character" w:styleId="EndnoteReference">
    <w:name w:val="endnote reference"/>
    <w:aliases w:val="1_G"/>
    <w:uiPriority w:val="99"/>
    <w:rsid w:val="0029434A"/>
    <w:rPr>
      <w:rFonts w:ascii="Times New Roman" w:hAnsi="Times New Roman" w:cs="Times New Roman"/>
      <w:sz w:val="18"/>
      <w:szCs w:val="18"/>
      <w:vertAlign w:val="superscript"/>
    </w:rPr>
  </w:style>
  <w:style w:type="paragraph" w:customStyle="1" w:styleId="XLargeG">
    <w:name w:val="__XLarge_G"/>
    <w:basedOn w:val="Normal"/>
    <w:next w:val="Normal"/>
    <w:uiPriority w:val="99"/>
    <w:rsid w:val="0029434A"/>
    <w:pPr>
      <w:keepNext/>
      <w:keepLines/>
      <w:suppressAutoHyphens/>
      <w:spacing w:before="240" w:after="240" w:line="420" w:lineRule="exact"/>
      <w:ind w:left="1134" w:right="1134"/>
    </w:pPr>
    <w:rPr>
      <w:rFonts w:eastAsia="Times New Roman"/>
      <w:b/>
      <w:bCs/>
      <w:spacing w:val="0"/>
      <w:w w:val="100"/>
      <w:kern w:val="0"/>
      <w:sz w:val="40"/>
      <w:szCs w:val="40"/>
      <w:lang w:val="en-GB"/>
    </w:rPr>
  </w:style>
  <w:style w:type="paragraph" w:customStyle="1" w:styleId="Bullet1G">
    <w:name w:val="_Bullet 1_G"/>
    <w:basedOn w:val="Normal"/>
    <w:uiPriority w:val="99"/>
    <w:rsid w:val="0029434A"/>
    <w:pPr>
      <w:numPr>
        <w:numId w:val="16"/>
      </w:numPr>
      <w:suppressAutoHyphens/>
      <w:spacing w:after="120" w:line="240" w:lineRule="atLeast"/>
      <w:ind w:right="1134"/>
      <w:jc w:val="both"/>
    </w:pPr>
    <w:rPr>
      <w:rFonts w:eastAsia="Times New Roman"/>
      <w:spacing w:val="0"/>
      <w:w w:val="100"/>
      <w:kern w:val="0"/>
      <w:szCs w:val="20"/>
      <w:lang w:val="en-GB"/>
    </w:rPr>
  </w:style>
  <w:style w:type="character" w:styleId="LineNumber">
    <w:name w:val="line number"/>
    <w:uiPriority w:val="99"/>
    <w:rsid w:val="0029434A"/>
    <w:rPr>
      <w:sz w:val="14"/>
      <w:szCs w:val="14"/>
    </w:rPr>
  </w:style>
  <w:style w:type="paragraph" w:customStyle="1" w:styleId="Bullet2G">
    <w:name w:val="_Bullet 2_G"/>
    <w:basedOn w:val="Normal"/>
    <w:uiPriority w:val="99"/>
    <w:rsid w:val="0029434A"/>
    <w:pPr>
      <w:numPr>
        <w:numId w:val="17"/>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uiPriority w:val="99"/>
    <w:rsid w:val="0029434A"/>
    <w:pPr>
      <w:keepNext/>
      <w:keepLines/>
      <w:tabs>
        <w:tab w:val="right" w:pos="851"/>
      </w:tabs>
      <w:suppressAutoHyphens/>
      <w:spacing w:before="360" w:after="240" w:line="270" w:lineRule="exact"/>
      <w:ind w:left="1134" w:right="1134" w:hanging="1134"/>
    </w:pPr>
    <w:rPr>
      <w:rFonts w:eastAsia="Times New Roman"/>
      <w:b/>
      <w:bCs/>
      <w:spacing w:val="0"/>
      <w:w w:val="100"/>
      <w:kern w:val="0"/>
      <w:sz w:val="24"/>
      <w:szCs w:val="24"/>
      <w:lang w:val="en-GB"/>
    </w:rPr>
  </w:style>
  <w:style w:type="paragraph" w:customStyle="1" w:styleId="H23G">
    <w:name w:val="_ H_2/3_G"/>
    <w:basedOn w:val="Normal"/>
    <w:next w:val="Normal"/>
    <w:uiPriority w:val="99"/>
    <w:rsid w:val="0029434A"/>
    <w:pPr>
      <w:keepNext/>
      <w:keepLines/>
      <w:tabs>
        <w:tab w:val="right" w:pos="851"/>
      </w:tabs>
      <w:suppressAutoHyphens/>
      <w:spacing w:before="240" w:after="120"/>
      <w:ind w:left="1134" w:right="1134" w:hanging="1134"/>
    </w:pPr>
    <w:rPr>
      <w:rFonts w:eastAsia="Times New Roman"/>
      <w:b/>
      <w:bCs/>
      <w:spacing w:val="0"/>
      <w:w w:val="100"/>
      <w:kern w:val="0"/>
      <w:szCs w:val="20"/>
      <w:lang w:val="en-GB"/>
    </w:rPr>
  </w:style>
  <w:style w:type="paragraph" w:customStyle="1" w:styleId="H4G">
    <w:name w:val="_ H_4_G"/>
    <w:basedOn w:val="Normal"/>
    <w:next w:val="Normal"/>
    <w:uiPriority w:val="99"/>
    <w:rsid w:val="0029434A"/>
    <w:pPr>
      <w:keepNext/>
      <w:keepLines/>
      <w:tabs>
        <w:tab w:val="right" w:pos="851"/>
      </w:tabs>
      <w:suppressAutoHyphens/>
      <w:spacing w:before="240" w:after="120"/>
      <w:ind w:left="1134" w:right="1134" w:hanging="1134"/>
    </w:pPr>
    <w:rPr>
      <w:rFonts w:eastAsia="Times New Roman"/>
      <w:i/>
      <w:iCs/>
      <w:spacing w:val="0"/>
      <w:w w:val="100"/>
      <w:kern w:val="0"/>
      <w:szCs w:val="20"/>
      <w:lang w:val="en-GB"/>
    </w:rPr>
  </w:style>
  <w:style w:type="paragraph" w:customStyle="1" w:styleId="H56G">
    <w:name w:val="_ H_5/6_G"/>
    <w:basedOn w:val="Normal"/>
    <w:next w:val="Normal"/>
    <w:uiPriority w:val="99"/>
    <w:rsid w:val="0029434A"/>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styleId="BodyText2">
    <w:name w:val="Body Text 2"/>
    <w:basedOn w:val="Normal"/>
    <w:link w:val="BodyText2Char"/>
    <w:uiPriority w:val="99"/>
    <w:semiHidden/>
    <w:rsid w:val="0029434A"/>
    <w:pPr>
      <w:suppressAutoHyphens/>
      <w:spacing w:after="120" w:line="480" w:lineRule="auto"/>
    </w:pPr>
    <w:rPr>
      <w:rFonts w:eastAsia="Times New Roman"/>
      <w:spacing w:val="0"/>
      <w:w w:val="100"/>
      <w:kern w:val="0"/>
      <w:szCs w:val="20"/>
      <w:lang w:val="en-GB"/>
    </w:rPr>
  </w:style>
  <w:style w:type="character" w:customStyle="1" w:styleId="BodyText2Char">
    <w:name w:val="Body Text 2 Char"/>
    <w:link w:val="BodyText2"/>
    <w:uiPriority w:val="99"/>
    <w:semiHidden/>
    <w:rsid w:val="0029434A"/>
    <w:rPr>
      <w:rFonts w:ascii="Times New Roman" w:eastAsia="Times New Roman" w:hAnsi="Times New Roman" w:cs="Times New Roman"/>
      <w:lang w:val="en-GB"/>
    </w:rPr>
  </w:style>
  <w:style w:type="paragraph" w:styleId="BodyText3">
    <w:name w:val="Body Text 3"/>
    <w:basedOn w:val="Normal"/>
    <w:link w:val="BodyText3Char"/>
    <w:uiPriority w:val="99"/>
    <w:semiHidden/>
    <w:rsid w:val="0029434A"/>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link w:val="BodyText3"/>
    <w:uiPriority w:val="99"/>
    <w:semiHidden/>
    <w:rsid w:val="0029434A"/>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uiPriority w:val="99"/>
    <w:semiHidden/>
    <w:rsid w:val="0029434A"/>
    <w:pPr>
      <w:spacing w:after="120"/>
      <w:ind w:firstLine="210"/>
    </w:pPr>
  </w:style>
  <w:style w:type="character" w:customStyle="1" w:styleId="BodyTextFirstIndentChar">
    <w:name w:val="Body Text First Indent Char"/>
    <w:basedOn w:val="BodyTextChar"/>
    <w:link w:val="BodyTextFirstIndent"/>
    <w:uiPriority w:val="99"/>
    <w:semiHidden/>
    <w:rsid w:val="0029434A"/>
  </w:style>
  <w:style w:type="paragraph" w:styleId="BodyTextFirstIndent2">
    <w:name w:val="Body Text First Indent 2"/>
    <w:basedOn w:val="BodyTextIndent"/>
    <w:link w:val="BodyTextFirstIndent2Char"/>
    <w:uiPriority w:val="99"/>
    <w:semiHidden/>
    <w:rsid w:val="0029434A"/>
    <w:pPr>
      <w:ind w:firstLine="210"/>
    </w:pPr>
  </w:style>
  <w:style w:type="character" w:customStyle="1" w:styleId="BodyTextFirstIndent2Char">
    <w:name w:val="Body Text First Indent 2 Char"/>
    <w:basedOn w:val="BodyTextIndentChar"/>
    <w:link w:val="BodyTextFirstIndent2"/>
    <w:uiPriority w:val="99"/>
    <w:semiHidden/>
    <w:rsid w:val="0029434A"/>
  </w:style>
  <w:style w:type="paragraph" w:styleId="BodyTextIndent2">
    <w:name w:val="Body Text Indent 2"/>
    <w:basedOn w:val="Normal"/>
    <w:link w:val="BodyTextIndent2Char"/>
    <w:uiPriority w:val="99"/>
    <w:semiHidden/>
    <w:rsid w:val="0029434A"/>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link w:val="BodyTextIndent2"/>
    <w:uiPriority w:val="99"/>
    <w:semiHidden/>
    <w:rsid w:val="0029434A"/>
    <w:rPr>
      <w:rFonts w:ascii="Times New Roman" w:eastAsia="Times New Roman" w:hAnsi="Times New Roman" w:cs="Times New Roman"/>
      <w:lang w:val="en-GB"/>
    </w:rPr>
  </w:style>
  <w:style w:type="paragraph" w:styleId="BodyTextIndent3">
    <w:name w:val="Body Text Indent 3"/>
    <w:basedOn w:val="Normal"/>
    <w:link w:val="BodyTextIndent3Char"/>
    <w:uiPriority w:val="99"/>
    <w:semiHidden/>
    <w:rsid w:val="0029434A"/>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link w:val="BodyTextIndent3"/>
    <w:uiPriority w:val="99"/>
    <w:semiHidden/>
    <w:rsid w:val="0029434A"/>
    <w:rPr>
      <w:rFonts w:ascii="Times New Roman" w:eastAsia="Times New Roman" w:hAnsi="Times New Roman" w:cs="Times New Roman"/>
      <w:sz w:val="16"/>
      <w:szCs w:val="16"/>
      <w:lang w:val="en-GB"/>
    </w:rPr>
  </w:style>
  <w:style w:type="paragraph" w:styleId="Closing">
    <w:name w:val="Closing"/>
    <w:basedOn w:val="Normal"/>
    <w:link w:val="ClosingChar"/>
    <w:uiPriority w:val="99"/>
    <w:semiHidden/>
    <w:rsid w:val="0029434A"/>
    <w:pPr>
      <w:suppressAutoHyphens/>
      <w:spacing w:line="240" w:lineRule="atLeast"/>
      <w:ind w:left="4252"/>
    </w:pPr>
    <w:rPr>
      <w:rFonts w:eastAsia="Times New Roman"/>
      <w:spacing w:val="0"/>
      <w:w w:val="100"/>
      <w:kern w:val="0"/>
      <w:szCs w:val="20"/>
      <w:lang w:val="en-GB"/>
    </w:rPr>
  </w:style>
  <w:style w:type="character" w:customStyle="1" w:styleId="ClosingChar">
    <w:name w:val="Closing Char"/>
    <w:link w:val="Closing"/>
    <w:uiPriority w:val="99"/>
    <w:semiHidden/>
    <w:rsid w:val="0029434A"/>
    <w:rPr>
      <w:rFonts w:ascii="Times New Roman" w:eastAsia="Times New Roman" w:hAnsi="Times New Roman" w:cs="Times New Roman"/>
      <w:lang w:val="en-GB"/>
    </w:rPr>
  </w:style>
  <w:style w:type="paragraph" w:styleId="Date">
    <w:name w:val="Date"/>
    <w:basedOn w:val="Normal"/>
    <w:next w:val="Normal"/>
    <w:link w:val="DateChar"/>
    <w:uiPriority w:val="99"/>
    <w:semiHidden/>
    <w:rsid w:val="0029434A"/>
    <w:pPr>
      <w:suppressAutoHyphens/>
      <w:spacing w:line="240" w:lineRule="atLeast"/>
    </w:pPr>
    <w:rPr>
      <w:rFonts w:eastAsia="Times New Roman"/>
      <w:spacing w:val="0"/>
      <w:w w:val="100"/>
      <w:kern w:val="0"/>
      <w:szCs w:val="20"/>
      <w:lang w:val="en-GB"/>
    </w:rPr>
  </w:style>
  <w:style w:type="character" w:customStyle="1" w:styleId="DateChar">
    <w:name w:val="Date Char"/>
    <w:link w:val="Date"/>
    <w:uiPriority w:val="99"/>
    <w:semiHidden/>
    <w:rsid w:val="0029434A"/>
    <w:rPr>
      <w:rFonts w:ascii="Times New Roman" w:eastAsia="Times New Roman" w:hAnsi="Times New Roman" w:cs="Times New Roman"/>
      <w:lang w:val="en-GB"/>
    </w:rPr>
  </w:style>
  <w:style w:type="paragraph" w:styleId="E-mailSignature">
    <w:name w:val="E-mail Signature"/>
    <w:basedOn w:val="Normal"/>
    <w:link w:val="E-mailSignatureChar"/>
    <w:uiPriority w:val="99"/>
    <w:semiHidden/>
    <w:rsid w:val="0029434A"/>
    <w:pPr>
      <w:suppressAutoHyphens/>
      <w:spacing w:line="240" w:lineRule="atLeast"/>
    </w:pPr>
    <w:rPr>
      <w:rFonts w:eastAsia="Times New Roman"/>
      <w:spacing w:val="0"/>
      <w:w w:val="100"/>
      <w:kern w:val="0"/>
      <w:szCs w:val="20"/>
      <w:lang w:val="en-GB"/>
    </w:rPr>
  </w:style>
  <w:style w:type="character" w:customStyle="1" w:styleId="E-mailSignatureChar">
    <w:name w:val="E-mail Signature Char"/>
    <w:link w:val="E-mailSignature"/>
    <w:uiPriority w:val="99"/>
    <w:semiHidden/>
    <w:rsid w:val="0029434A"/>
    <w:rPr>
      <w:rFonts w:ascii="Times New Roman" w:eastAsia="Times New Roman" w:hAnsi="Times New Roman" w:cs="Times New Roman"/>
      <w:lang w:val="en-GB"/>
    </w:rPr>
  </w:style>
  <w:style w:type="character" w:styleId="Emphasis">
    <w:name w:val="Emphasis"/>
    <w:uiPriority w:val="99"/>
    <w:qFormat/>
    <w:rsid w:val="0029434A"/>
    <w:rPr>
      <w:i/>
      <w:iCs/>
    </w:rPr>
  </w:style>
  <w:style w:type="paragraph" w:styleId="EnvelopeReturn">
    <w:name w:val="envelope return"/>
    <w:basedOn w:val="Normal"/>
    <w:uiPriority w:val="99"/>
    <w:semiHidden/>
    <w:rsid w:val="0029434A"/>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uiPriority w:val="99"/>
    <w:semiHidden/>
    <w:rsid w:val="0029434A"/>
    <w:rPr>
      <w:color w:val="0000FF"/>
      <w:u w:val="none"/>
    </w:rPr>
  </w:style>
  <w:style w:type="character" w:styleId="HTMLAcronym">
    <w:name w:val="HTML Acronym"/>
    <w:uiPriority w:val="99"/>
    <w:semiHidden/>
    <w:rsid w:val="0029434A"/>
  </w:style>
  <w:style w:type="paragraph" w:styleId="HTMLAddress">
    <w:name w:val="HTML Address"/>
    <w:basedOn w:val="Normal"/>
    <w:link w:val="HTMLAddressChar"/>
    <w:uiPriority w:val="99"/>
    <w:semiHidden/>
    <w:rsid w:val="0029434A"/>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link w:val="HTMLAddress"/>
    <w:uiPriority w:val="99"/>
    <w:semiHidden/>
    <w:rsid w:val="0029434A"/>
    <w:rPr>
      <w:rFonts w:ascii="Times New Roman" w:eastAsia="Times New Roman" w:hAnsi="Times New Roman" w:cs="Times New Roman"/>
      <w:i/>
      <w:iCs/>
      <w:lang w:val="en-GB"/>
    </w:rPr>
  </w:style>
  <w:style w:type="character" w:styleId="HTMLCite">
    <w:name w:val="HTML Cite"/>
    <w:uiPriority w:val="99"/>
    <w:semiHidden/>
    <w:rsid w:val="0029434A"/>
    <w:rPr>
      <w:i/>
      <w:iCs/>
    </w:rPr>
  </w:style>
  <w:style w:type="character" w:styleId="HTMLCode">
    <w:name w:val="HTML Code"/>
    <w:uiPriority w:val="99"/>
    <w:semiHidden/>
    <w:rsid w:val="0029434A"/>
    <w:rPr>
      <w:rFonts w:ascii="Courier New" w:hAnsi="Courier New" w:cs="Courier New"/>
      <w:sz w:val="20"/>
      <w:szCs w:val="20"/>
    </w:rPr>
  </w:style>
  <w:style w:type="character" w:styleId="HTMLDefinition">
    <w:name w:val="HTML Definition"/>
    <w:uiPriority w:val="99"/>
    <w:semiHidden/>
    <w:rsid w:val="0029434A"/>
    <w:rPr>
      <w:i/>
      <w:iCs/>
    </w:rPr>
  </w:style>
  <w:style w:type="character" w:styleId="HTMLKeyboard">
    <w:name w:val="HTML Keyboard"/>
    <w:uiPriority w:val="99"/>
    <w:semiHidden/>
    <w:rsid w:val="0029434A"/>
    <w:rPr>
      <w:rFonts w:ascii="Courier New" w:hAnsi="Courier New" w:cs="Courier New"/>
      <w:sz w:val="20"/>
      <w:szCs w:val="20"/>
    </w:rPr>
  </w:style>
  <w:style w:type="paragraph" w:styleId="HTMLPreformatted">
    <w:name w:val="HTML Preformatted"/>
    <w:basedOn w:val="Normal"/>
    <w:link w:val="HTMLPreformattedChar"/>
    <w:uiPriority w:val="99"/>
    <w:semiHidden/>
    <w:rsid w:val="0029434A"/>
    <w:pPr>
      <w:suppressAutoHyphens/>
      <w:spacing w:line="240" w:lineRule="atLeast"/>
    </w:pPr>
    <w:rPr>
      <w:rFonts w:ascii="Courier New" w:eastAsia="Times New Roman" w:hAnsi="Courier New"/>
      <w:spacing w:val="0"/>
      <w:w w:val="100"/>
      <w:kern w:val="0"/>
      <w:szCs w:val="20"/>
      <w:lang w:val="en-GB"/>
    </w:rPr>
  </w:style>
  <w:style w:type="character" w:customStyle="1" w:styleId="HTMLPreformattedChar">
    <w:name w:val="HTML Preformatted Char"/>
    <w:link w:val="HTMLPreformatted"/>
    <w:uiPriority w:val="99"/>
    <w:semiHidden/>
    <w:rsid w:val="0029434A"/>
    <w:rPr>
      <w:rFonts w:ascii="Courier New" w:eastAsia="Times New Roman" w:hAnsi="Courier New" w:cs="Courier New"/>
      <w:lang w:val="en-GB"/>
    </w:rPr>
  </w:style>
  <w:style w:type="character" w:styleId="HTMLSample">
    <w:name w:val="HTML Sample"/>
    <w:uiPriority w:val="99"/>
    <w:semiHidden/>
    <w:rsid w:val="0029434A"/>
    <w:rPr>
      <w:rFonts w:ascii="Courier New" w:hAnsi="Courier New" w:cs="Courier New"/>
    </w:rPr>
  </w:style>
  <w:style w:type="character" w:styleId="HTMLTypewriter">
    <w:name w:val="HTML Typewriter"/>
    <w:uiPriority w:val="99"/>
    <w:semiHidden/>
    <w:rsid w:val="0029434A"/>
    <w:rPr>
      <w:rFonts w:ascii="Courier New" w:hAnsi="Courier New" w:cs="Courier New"/>
      <w:sz w:val="20"/>
      <w:szCs w:val="20"/>
    </w:rPr>
  </w:style>
  <w:style w:type="character" w:styleId="HTMLVariable">
    <w:name w:val="HTML Variable"/>
    <w:uiPriority w:val="99"/>
    <w:semiHidden/>
    <w:rsid w:val="0029434A"/>
    <w:rPr>
      <w:i/>
      <w:iCs/>
    </w:rPr>
  </w:style>
  <w:style w:type="character" w:styleId="Hyperlink">
    <w:name w:val="Hyperlink"/>
    <w:uiPriority w:val="99"/>
    <w:rsid w:val="0029434A"/>
    <w:rPr>
      <w:color w:val="auto"/>
      <w:u w:val="none"/>
    </w:rPr>
  </w:style>
  <w:style w:type="paragraph" w:styleId="List">
    <w:name w:val="List"/>
    <w:basedOn w:val="Normal"/>
    <w:uiPriority w:val="99"/>
    <w:semiHidden/>
    <w:rsid w:val="0029434A"/>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uiPriority w:val="99"/>
    <w:semiHidden/>
    <w:rsid w:val="0029434A"/>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uiPriority w:val="99"/>
    <w:semiHidden/>
    <w:rsid w:val="0029434A"/>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uiPriority w:val="99"/>
    <w:semiHidden/>
    <w:rsid w:val="0029434A"/>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uiPriority w:val="99"/>
    <w:semiHidden/>
    <w:rsid w:val="0029434A"/>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uiPriority w:val="99"/>
    <w:semiHidden/>
    <w:rsid w:val="0029434A"/>
    <w:pPr>
      <w:numPr>
        <w:numId w:val="8"/>
      </w:numPr>
      <w:suppressAutoHyphens/>
      <w:spacing w:line="240" w:lineRule="atLeast"/>
    </w:pPr>
    <w:rPr>
      <w:rFonts w:eastAsia="Times New Roman"/>
      <w:spacing w:val="0"/>
      <w:w w:val="100"/>
      <w:kern w:val="0"/>
      <w:szCs w:val="20"/>
      <w:lang w:val="en-GB"/>
    </w:rPr>
  </w:style>
  <w:style w:type="paragraph" w:styleId="ListBullet2">
    <w:name w:val="List Bullet 2"/>
    <w:basedOn w:val="Normal"/>
    <w:uiPriority w:val="99"/>
    <w:semiHidden/>
    <w:rsid w:val="0029434A"/>
    <w:pPr>
      <w:numPr>
        <w:numId w:val="9"/>
      </w:numPr>
      <w:suppressAutoHyphens/>
      <w:spacing w:line="240" w:lineRule="atLeast"/>
    </w:pPr>
    <w:rPr>
      <w:rFonts w:eastAsia="Times New Roman"/>
      <w:spacing w:val="0"/>
      <w:w w:val="100"/>
      <w:kern w:val="0"/>
      <w:szCs w:val="20"/>
      <w:lang w:val="en-GB"/>
    </w:rPr>
  </w:style>
  <w:style w:type="paragraph" w:styleId="ListBullet3">
    <w:name w:val="List Bullet 3"/>
    <w:basedOn w:val="Normal"/>
    <w:uiPriority w:val="99"/>
    <w:semiHidden/>
    <w:rsid w:val="0029434A"/>
    <w:pPr>
      <w:numPr>
        <w:numId w:val="10"/>
      </w:numPr>
      <w:suppressAutoHyphens/>
      <w:spacing w:line="240" w:lineRule="atLeast"/>
    </w:pPr>
    <w:rPr>
      <w:rFonts w:eastAsia="Times New Roman"/>
      <w:spacing w:val="0"/>
      <w:w w:val="100"/>
      <w:kern w:val="0"/>
      <w:szCs w:val="20"/>
      <w:lang w:val="en-GB"/>
    </w:rPr>
  </w:style>
  <w:style w:type="paragraph" w:styleId="ListBullet4">
    <w:name w:val="List Bullet 4"/>
    <w:basedOn w:val="Normal"/>
    <w:uiPriority w:val="99"/>
    <w:semiHidden/>
    <w:rsid w:val="0029434A"/>
    <w:pPr>
      <w:numPr>
        <w:numId w:val="11"/>
      </w:numPr>
      <w:suppressAutoHyphens/>
      <w:spacing w:line="240" w:lineRule="atLeast"/>
    </w:pPr>
    <w:rPr>
      <w:rFonts w:eastAsia="Times New Roman"/>
      <w:spacing w:val="0"/>
      <w:w w:val="100"/>
      <w:kern w:val="0"/>
      <w:szCs w:val="20"/>
      <w:lang w:val="en-GB"/>
    </w:rPr>
  </w:style>
  <w:style w:type="paragraph" w:styleId="ListBullet5">
    <w:name w:val="List Bullet 5"/>
    <w:basedOn w:val="Normal"/>
    <w:uiPriority w:val="99"/>
    <w:semiHidden/>
    <w:rsid w:val="0029434A"/>
    <w:pPr>
      <w:numPr>
        <w:numId w:val="12"/>
      </w:numPr>
      <w:suppressAutoHyphens/>
      <w:spacing w:line="240" w:lineRule="atLeast"/>
    </w:pPr>
    <w:rPr>
      <w:rFonts w:eastAsia="Times New Roman"/>
      <w:spacing w:val="0"/>
      <w:w w:val="100"/>
      <w:kern w:val="0"/>
      <w:szCs w:val="20"/>
      <w:lang w:val="en-GB"/>
    </w:rPr>
  </w:style>
  <w:style w:type="paragraph" w:styleId="ListContinue3">
    <w:name w:val="List Continue 3"/>
    <w:basedOn w:val="Normal"/>
    <w:uiPriority w:val="99"/>
    <w:semiHidden/>
    <w:rsid w:val="0029434A"/>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uiPriority w:val="99"/>
    <w:semiHidden/>
    <w:rsid w:val="0029434A"/>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uiPriority w:val="99"/>
    <w:semiHidden/>
    <w:rsid w:val="0029434A"/>
    <w:pPr>
      <w:suppressAutoHyphens/>
      <w:spacing w:after="120" w:line="240" w:lineRule="atLeast"/>
      <w:ind w:left="1415"/>
    </w:pPr>
    <w:rPr>
      <w:rFonts w:eastAsia="Times New Roman"/>
      <w:spacing w:val="0"/>
      <w:w w:val="100"/>
      <w:kern w:val="0"/>
      <w:szCs w:val="20"/>
      <w:lang w:val="en-GB"/>
    </w:rPr>
  </w:style>
  <w:style w:type="paragraph" w:styleId="MessageHeader">
    <w:name w:val="Message Header"/>
    <w:basedOn w:val="Normal"/>
    <w:link w:val="MessageHeaderChar"/>
    <w:uiPriority w:val="99"/>
    <w:semiHidden/>
    <w:rsid w:val="0029434A"/>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spacing w:val="0"/>
      <w:w w:val="100"/>
      <w:kern w:val="0"/>
      <w:sz w:val="24"/>
      <w:szCs w:val="24"/>
      <w:lang w:val="en-GB"/>
    </w:rPr>
  </w:style>
  <w:style w:type="character" w:customStyle="1" w:styleId="MessageHeaderChar">
    <w:name w:val="Message Header Char"/>
    <w:link w:val="MessageHeader"/>
    <w:uiPriority w:val="99"/>
    <w:semiHidden/>
    <w:rsid w:val="0029434A"/>
    <w:rPr>
      <w:rFonts w:ascii="Arial" w:eastAsia="Times New Roman" w:hAnsi="Arial"/>
      <w:sz w:val="24"/>
      <w:szCs w:val="24"/>
      <w:shd w:val="pct20" w:color="auto" w:fill="auto"/>
      <w:lang w:val="en-GB"/>
    </w:rPr>
  </w:style>
  <w:style w:type="paragraph" w:styleId="NormalWeb">
    <w:name w:val="Normal (Web)"/>
    <w:basedOn w:val="Normal"/>
    <w:uiPriority w:val="99"/>
    <w:rsid w:val="0029434A"/>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uiPriority w:val="99"/>
    <w:semiHidden/>
    <w:rsid w:val="0029434A"/>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uiPriority w:val="99"/>
    <w:semiHidden/>
    <w:rsid w:val="0029434A"/>
    <w:pPr>
      <w:suppressAutoHyphens/>
      <w:spacing w:line="240" w:lineRule="atLeast"/>
    </w:pPr>
    <w:rPr>
      <w:rFonts w:eastAsia="Times New Roman"/>
      <w:spacing w:val="0"/>
      <w:w w:val="100"/>
      <w:kern w:val="0"/>
      <w:szCs w:val="20"/>
      <w:lang w:val="en-GB"/>
    </w:rPr>
  </w:style>
  <w:style w:type="character" w:customStyle="1" w:styleId="NoteHeadingChar">
    <w:name w:val="Note Heading Char"/>
    <w:link w:val="NoteHeading"/>
    <w:uiPriority w:val="99"/>
    <w:semiHidden/>
    <w:rsid w:val="0029434A"/>
    <w:rPr>
      <w:rFonts w:ascii="Times New Roman" w:eastAsia="Times New Roman" w:hAnsi="Times New Roman" w:cs="Times New Roman"/>
      <w:lang w:val="en-GB"/>
    </w:rPr>
  </w:style>
  <w:style w:type="paragraph" w:styleId="Salutation">
    <w:name w:val="Salutation"/>
    <w:basedOn w:val="Normal"/>
    <w:next w:val="Normal"/>
    <w:link w:val="SalutationChar"/>
    <w:uiPriority w:val="99"/>
    <w:semiHidden/>
    <w:rsid w:val="0029434A"/>
    <w:pPr>
      <w:suppressAutoHyphens/>
      <w:spacing w:line="240" w:lineRule="atLeast"/>
    </w:pPr>
    <w:rPr>
      <w:rFonts w:eastAsia="Times New Roman"/>
      <w:spacing w:val="0"/>
      <w:w w:val="100"/>
      <w:kern w:val="0"/>
      <w:szCs w:val="20"/>
      <w:lang w:val="en-GB"/>
    </w:rPr>
  </w:style>
  <w:style w:type="character" w:customStyle="1" w:styleId="SalutationChar">
    <w:name w:val="Salutation Char"/>
    <w:link w:val="Salutation"/>
    <w:uiPriority w:val="99"/>
    <w:semiHidden/>
    <w:rsid w:val="0029434A"/>
    <w:rPr>
      <w:rFonts w:ascii="Times New Roman" w:eastAsia="Times New Roman" w:hAnsi="Times New Roman" w:cs="Times New Roman"/>
      <w:lang w:val="en-GB"/>
    </w:rPr>
  </w:style>
  <w:style w:type="paragraph" w:styleId="Signature">
    <w:name w:val="Signature"/>
    <w:basedOn w:val="Normal"/>
    <w:link w:val="SignatureChar"/>
    <w:uiPriority w:val="99"/>
    <w:semiHidden/>
    <w:rsid w:val="0029434A"/>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link w:val="Signature"/>
    <w:uiPriority w:val="99"/>
    <w:semiHidden/>
    <w:rsid w:val="0029434A"/>
    <w:rPr>
      <w:rFonts w:ascii="Times New Roman" w:eastAsia="Times New Roman" w:hAnsi="Times New Roman" w:cs="Times New Roman"/>
      <w:lang w:val="en-GB"/>
    </w:rPr>
  </w:style>
  <w:style w:type="character" w:styleId="Strong">
    <w:name w:val="Strong"/>
    <w:uiPriority w:val="99"/>
    <w:qFormat/>
    <w:rsid w:val="0029434A"/>
    <w:rPr>
      <w:b/>
      <w:bCs/>
    </w:rPr>
  </w:style>
  <w:style w:type="paragraph" w:styleId="Subtitle">
    <w:name w:val="Subtitle"/>
    <w:basedOn w:val="Normal"/>
    <w:link w:val="SubtitleChar"/>
    <w:uiPriority w:val="99"/>
    <w:qFormat/>
    <w:rsid w:val="0029434A"/>
    <w:pPr>
      <w:suppressAutoHyphens/>
      <w:spacing w:after="60" w:line="240" w:lineRule="atLeast"/>
      <w:jc w:val="center"/>
      <w:outlineLvl w:val="1"/>
    </w:pPr>
    <w:rPr>
      <w:rFonts w:ascii="Arial" w:eastAsia="Times New Roman" w:hAnsi="Arial"/>
      <w:spacing w:val="0"/>
      <w:w w:val="100"/>
      <w:kern w:val="0"/>
      <w:sz w:val="24"/>
      <w:szCs w:val="24"/>
      <w:lang w:val="en-GB"/>
    </w:rPr>
  </w:style>
  <w:style w:type="character" w:customStyle="1" w:styleId="SubtitleChar">
    <w:name w:val="Subtitle Char"/>
    <w:link w:val="Subtitle"/>
    <w:uiPriority w:val="99"/>
    <w:rsid w:val="0029434A"/>
    <w:rPr>
      <w:rFonts w:ascii="Arial" w:eastAsia="Times New Roman" w:hAnsi="Arial"/>
      <w:sz w:val="24"/>
      <w:szCs w:val="24"/>
      <w:lang w:val="en-GB"/>
    </w:rPr>
  </w:style>
  <w:style w:type="table" w:styleId="Table3Deffects1">
    <w:name w:val="Table 3D effects 1"/>
    <w:basedOn w:val="TableNormal"/>
    <w:uiPriority w:val="99"/>
    <w:semiHidden/>
    <w:rsid w:val="0029434A"/>
    <w:pPr>
      <w:suppressAutoHyphens/>
      <w:spacing w:line="240" w:lineRule="atLeast"/>
    </w:pPr>
    <w:rPr>
      <w:rFonts w:ascii="Times New Roman" w:eastAsia="Times New Roman" w:hAnsi="Times New Roman" w:cs="Times New Roman"/>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9434A"/>
    <w:pPr>
      <w:suppressAutoHyphens/>
      <w:spacing w:line="240" w:lineRule="atLeast"/>
    </w:pPr>
    <w:rPr>
      <w:rFonts w:ascii="Times New Roman" w:eastAsia="Times New Roman"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9434A"/>
    <w:pPr>
      <w:suppressAutoHyphens/>
      <w:spacing w:line="240" w:lineRule="atLeast"/>
    </w:pPr>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29434A"/>
    <w:pPr>
      <w:suppressAutoHyphens/>
      <w:spacing w:line="240" w:lineRule="atLeast"/>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29434A"/>
    <w:pPr>
      <w:suppressAutoHyphens/>
      <w:spacing w:line="240" w:lineRule="atLeast"/>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29434A"/>
    <w:pPr>
      <w:suppressAutoHyphens/>
      <w:spacing w:line="240" w:lineRule="atLeast"/>
    </w:pPr>
    <w:rPr>
      <w:rFonts w:ascii="Times New Roman" w:eastAsia="Times New Roman"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29434A"/>
    <w:pPr>
      <w:suppressAutoHyphens/>
      <w:spacing w:line="240" w:lineRule="atLeast"/>
    </w:pPr>
    <w:rPr>
      <w:rFonts w:ascii="Times New Roman" w:eastAsia="Times New Roman"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29434A"/>
    <w:pPr>
      <w:suppressAutoHyphens/>
      <w:spacing w:line="240" w:lineRule="atLeast"/>
    </w:pPr>
    <w:rPr>
      <w:rFonts w:ascii="Times New Roman" w:eastAsia="Times New Roman"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29434A"/>
    <w:pPr>
      <w:suppressAutoHyphens/>
      <w:spacing w:line="240" w:lineRule="atLeast"/>
    </w:pPr>
    <w:rPr>
      <w:rFonts w:ascii="Times New Roman" w:eastAsia="Times New Roman"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29434A"/>
    <w:pPr>
      <w:suppressAutoHyphens/>
      <w:spacing w:line="240" w:lineRule="atLeast"/>
    </w:pPr>
    <w:rPr>
      <w:rFonts w:ascii="Times New Roman" w:eastAsia="Times New Roman"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9434A"/>
    <w:pPr>
      <w:suppressAutoHyphens/>
      <w:spacing w:line="240" w:lineRule="atLeast"/>
    </w:pPr>
    <w:rPr>
      <w:rFonts w:ascii="Times New Roman" w:eastAsia="Times New Roman"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29434A"/>
    <w:pPr>
      <w:suppressAutoHyphens/>
      <w:spacing w:line="240" w:lineRule="atLeast"/>
    </w:pPr>
    <w:rPr>
      <w:rFonts w:ascii="Times New Roman" w:eastAsia="Times New Roman" w:hAnsi="Times New Roman" w:cs="Times New Roman"/>
      <w:b/>
      <w:bCs/>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29434A"/>
    <w:pPr>
      <w:suppressAutoHyphens/>
      <w:spacing w:line="240" w:lineRule="atLeast"/>
    </w:pPr>
    <w:rPr>
      <w:rFonts w:ascii="Times New Roman" w:eastAsia="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29434A"/>
    <w:pPr>
      <w:suppressAutoHyphens/>
      <w:spacing w:line="240" w:lineRule="atLeast"/>
    </w:pPr>
    <w:rPr>
      <w:rFonts w:ascii="Times New Roman" w:eastAsia="Times New Roman" w:hAnsi="Times New Roman" w:cs="Times New Roman"/>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29434A"/>
    <w:pPr>
      <w:suppressAutoHyphens/>
      <w:spacing w:line="240" w:lineRule="atLeast"/>
    </w:pPr>
    <w:rPr>
      <w:rFonts w:ascii="Times New Roman" w:eastAsia="Times New Roman"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29434A"/>
    <w:pPr>
      <w:suppressAutoHyphens/>
      <w:spacing w:line="240" w:lineRule="atLeast"/>
    </w:pPr>
    <w:rPr>
      <w:rFonts w:ascii="Times New Roman" w:eastAsia="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9434A"/>
    <w:pPr>
      <w:suppressAutoHyphens/>
      <w:spacing w:line="240" w:lineRule="atLeast"/>
    </w:pPr>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
    <w:name w:val="Table Grid"/>
    <w:basedOn w:val="TableNormal"/>
    <w:uiPriority w:val="99"/>
    <w:rsid w:val="0029434A"/>
    <w:pPr>
      <w:suppressAutoHyphens/>
      <w:spacing w:line="240" w:lineRule="atLeas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uiPriority w:val="99"/>
    <w:semiHidden/>
    <w:rsid w:val="0029434A"/>
    <w:pPr>
      <w:suppressAutoHyphens/>
      <w:spacing w:line="240" w:lineRule="atLeast"/>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29434A"/>
    <w:pPr>
      <w:suppressAutoHyphens/>
      <w:spacing w:line="240" w:lineRule="atLeast"/>
    </w:pPr>
    <w:rPr>
      <w:rFonts w:ascii="Times New Roman" w:eastAsia="Times New Roman"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29434A"/>
    <w:pPr>
      <w:suppressAutoHyphens/>
      <w:spacing w:line="240" w:lineRule="atLeast"/>
    </w:pPr>
    <w:rPr>
      <w:rFonts w:ascii="Times New Roman" w:eastAsia="Times New Roman"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29434A"/>
    <w:pPr>
      <w:suppressAutoHyphens/>
      <w:spacing w:line="240" w:lineRule="atLeast"/>
    </w:pPr>
    <w:rPr>
      <w:rFonts w:ascii="Times New Roman" w:eastAsia="Times New Roman"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29434A"/>
    <w:pPr>
      <w:suppressAutoHyphens/>
      <w:spacing w:line="240" w:lineRule="atLeast"/>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29434A"/>
    <w:pPr>
      <w:suppressAutoHyphens/>
      <w:spacing w:line="240" w:lineRule="atLeast"/>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29434A"/>
    <w:pPr>
      <w:suppressAutoHyphens/>
      <w:spacing w:line="240" w:lineRule="atLeast"/>
    </w:pPr>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29434A"/>
    <w:pPr>
      <w:suppressAutoHyphens/>
      <w:spacing w:line="240" w:lineRule="atLeast"/>
    </w:pPr>
    <w:rPr>
      <w:rFonts w:ascii="Times New Roman" w:eastAsia="Times New Roman"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29434A"/>
    <w:pPr>
      <w:suppressAutoHyphens/>
      <w:spacing w:line="240" w:lineRule="atLeast"/>
    </w:pPr>
    <w:rPr>
      <w:rFonts w:ascii="Times New Roman" w:eastAsia="Times New Roman"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29434A"/>
    <w:pPr>
      <w:suppressAutoHyphens/>
      <w:spacing w:line="240" w:lineRule="atLeast"/>
    </w:pPr>
    <w:rPr>
      <w:rFonts w:ascii="Times New Roman" w:eastAsia="Times New Roman"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29434A"/>
    <w:pPr>
      <w:suppressAutoHyphens/>
      <w:spacing w:line="240" w:lineRule="atLeast"/>
    </w:pPr>
    <w:rPr>
      <w:rFonts w:ascii="Times New Roman" w:eastAsia="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29434A"/>
    <w:pPr>
      <w:suppressAutoHyphens/>
      <w:spacing w:line="240" w:lineRule="atLeast"/>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9434A"/>
    <w:pPr>
      <w:suppressAutoHyphens/>
      <w:spacing w:line="240" w:lineRule="atLeast"/>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29434A"/>
    <w:pPr>
      <w:suppressAutoHyphens/>
      <w:spacing w:line="240" w:lineRule="atLeast"/>
    </w:pPr>
    <w:rPr>
      <w:rFonts w:ascii="Times New Roman" w:eastAsia="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9434A"/>
    <w:pPr>
      <w:suppressAutoHyphens/>
      <w:spacing w:line="240" w:lineRule="atLeast"/>
    </w:pPr>
    <w:rPr>
      <w:rFonts w:ascii="Times New Roman" w:eastAsia="Times New Roman"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9434A"/>
    <w:pPr>
      <w:suppressAutoHyphens/>
      <w:spacing w:line="240" w:lineRule="atLeast"/>
    </w:pPr>
    <w:rPr>
      <w:rFonts w:ascii="Times New Roman" w:eastAsia="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9434A"/>
    <w:pPr>
      <w:suppressAutoHyphens/>
      <w:spacing w:line="240" w:lineRule="atLeast"/>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9434A"/>
    <w:pPr>
      <w:suppressAutoHyphens/>
      <w:spacing w:line="240" w:lineRule="atLeast"/>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9434A"/>
    <w:pPr>
      <w:suppressAutoHyphens/>
      <w:spacing w:line="240" w:lineRule="atLeast"/>
    </w:pPr>
    <w:rPr>
      <w:rFonts w:ascii="Times New Roman" w:eastAsia="Times New Roman" w:hAnsi="Times New Roman" w:cs="Times New Roman"/>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9434A"/>
    <w:pPr>
      <w:suppressAutoHyphens/>
      <w:spacing w:line="240" w:lineRule="atLeast"/>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9434A"/>
    <w:pPr>
      <w:suppressAutoHyphens/>
      <w:spacing w:line="240" w:lineRule="atLeast"/>
    </w:pPr>
    <w:rPr>
      <w:rFonts w:ascii="Times New Roman" w:eastAsia="Times New Roman"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29434A"/>
    <w:pPr>
      <w:suppressAutoHyphens/>
      <w:spacing w:line="240" w:lineRule="atLeast"/>
    </w:pPr>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29434A"/>
    <w:pPr>
      <w:suppressAutoHyphens/>
      <w:spacing w:line="240" w:lineRule="atLeas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29434A"/>
    <w:pPr>
      <w:suppressAutoHyphens/>
      <w:spacing w:line="240" w:lineRule="atLeast"/>
    </w:pPr>
    <w:rPr>
      <w:rFonts w:ascii="Times New Roman" w:eastAsia="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29434A"/>
    <w:pPr>
      <w:suppressAutoHyphens/>
      <w:spacing w:line="240" w:lineRule="atLeast"/>
    </w:pPr>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29434A"/>
    <w:pPr>
      <w:suppressAutoHyphens/>
      <w:spacing w:line="240" w:lineRule="atLeast"/>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29434A"/>
    <w:pPr>
      <w:suppressAutoHyphens/>
      <w:spacing w:before="240" w:after="60" w:line="240" w:lineRule="atLeast"/>
      <w:jc w:val="center"/>
      <w:outlineLvl w:val="0"/>
    </w:pPr>
    <w:rPr>
      <w:rFonts w:ascii="Arial" w:eastAsia="Times New Roman" w:hAnsi="Arial"/>
      <w:b/>
      <w:bCs/>
      <w:spacing w:val="0"/>
      <w:w w:val="100"/>
      <w:kern w:val="28"/>
      <w:sz w:val="32"/>
      <w:szCs w:val="32"/>
      <w:lang w:val="en-GB"/>
    </w:rPr>
  </w:style>
  <w:style w:type="character" w:customStyle="1" w:styleId="TitleChar">
    <w:name w:val="Title Char"/>
    <w:link w:val="Title"/>
    <w:uiPriority w:val="99"/>
    <w:rsid w:val="0029434A"/>
    <w:rPr>
      <w:rFonts w:ascii="Arial" w:eastAsia="Times New Roman" w:hAnsi="Arial"/>
      <w:b/>
      <w:bCs/>
      <w:kern w:val="28"/>
      <w:sz w:val="32"/>
      <w:szCs w:val="32"/>
      <w:lang w:val="en-GB"/>
    </w:rPr>
  </w:style>
  <w:style w:type="paragraph" w:styleId="EnvelopeAddress">
    <w:name w:val="envelope address"/>
    <w:basedOn w:val="Normal"/>
    <w:uiPriority w:val="99"/>
    <w:semiHidden/>
    <w:rsid w:val="0029434A"/>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FootnoteTextChar1">
    <w:name w:val="Footnote Text Char1"/>
    <w:aliases w:val="5_G Char1,Footnote Text Char Char Char Char1,single space Char1,Текст сноски Знак Char1,Footnote Reference1 Char,FA Fu Char1,Footnote Text Char Char Char Char Char Char1,Footnote Text Char Char Char Car Char1,Podrozdzia Char1"/>
    <w:uiPriority w:val="99"/>
    <w:locked/>
    <w:rsid w:val="0029434A"/>
    <w:rPr>
      <w:sz w:val="18"/>
      <w:szCs w:val="18"/>
      <w:lang w:eastAsia="en-US"/>
    </w:rPr>
  </w:style>
  <w:style w:type="character" w:customStyle="1" w:styleId="FooterChar1">
    <w:name w:val="Footer Char1"/>
    <w:aliases w:val="3_G Char1"/>
    <w:uiPriority w:val="99"/>
    <w:locked/>
    <w:rsid w:val="0029434A"/>
    <w:rPr>
      <w:sz w:val="16"/>
      <w:szCs w:val="16"/>
      <w:lang w:eastAsia="en-US"/>
    </w:rPr>
  </w:style>
  <w:style w:type="character" w:customStyle="1" w:styleId="HeaderChar1">
    <w:name w:val="Header Char1"/>
    <w:aliases w:val="6_G Char1"/>
    <w:uiPriority w:val="99"/>
    <w:locked/>
    <w:rsid w:val="0029434A"/>
    <w:rPr>
      <w:b/>
      <w:bCs/>
      <w:sz w:val="18"/>
      <w:szCs w:val="18"/>
      <w:lang w:eastAsia="en-US"/>
    </w:rPr>
  </w:style>
  <w:style w:type="paragraph" w:styleId="BalloonText">
    <w:name w:val="Balloon Text"/>
    <w:basedOn w:val="Normal"/>
    <w:link w:val="BalloonTextChar1"/>
    <w:uiPriority w:val="99"/>
    <w:rsid w:val="0029434A"/>
    <w:pPr>
      <w:suppressAutoHyphens/>
      <w:spacing w:line="240" w:lineRule="auto"/>
    </w:pPr>
    <w:rPr>
      <w:rFonts w:ascii="Tahoma" w:eastAsia="Times New Roman" w:hAnsi="Tahoma"/>
      <w:spacing w:val="0"/>
      <w:w w:val="100"/>
      <w:kern w:val="0"/>
      <w:sz w:val="16"/>
      <w:szCs w:val="16"/>
      <w:lang w:val="en-GB"/>
    </w:rPr>
  </w:style>
  <w:style w:type="character" w:customStyle="1" w:styleId="BalloonTextChar">
    <w:name w:val="Balloon Text Char"/>
    <w:uiPriority w:val="99"/>
    <w:semiHidden/>
    <w:rsid w:val="0029434A"/>
    <w:rPr>
      <w:rFonts w:ascii="Tahoma" w:hAnsi="Tahoma" w:cs="Tahoma"/>
      <w:spacing w:val="4"/>
      <w:w w:val="103"/>
      <w:kern w:val="14"/>
      <w:sz w:val="16"/>
      <w:szCs w:val="16"/>
      <w:lang w:val="ru-RU"/>
    </w:rPr>
  </w:style>
  <w:style w:type="character" w:customStyle="1" w:styleId="BalloonTextChar1">
    <w:name w:val="Balloon Text Char1"/>
    <w:link w:val="BalloonText"/>
    <w:uiPriority w:val="99"/>
    <w:locked/>
    <w:rsid w:val="0029434A"/>
    <w:rPr>
      <w:rFonts w:ascii="Tahoma" w:eastAsia="Times New Roman" w:hAnsi="Tahoma" w:cs="Tahoma"/>
      <w:sz w:val="16"/>
      <w:szCs w:val="16"/>
      <w:lang w:val="en-GB"/>
    </w:rPr>
  </w:style>
  <w:style w:type="paragraph" w:customStyle="1" w:styleId="Default">
    <w:name w:val="Default"/>
    <w:uiPriority w:val="99"/>
    <w:rsid w:val="0029434A"/>
    <w:pPr>
      <w:autoSpaceDE w:val="0"/>
      <w:autoSpaceDN w:val="0"/>
      <w:adjustRightInd w:val="0"/>
    </w:pPr>
    <w:rPr>
      <w:rFonts w:ascii="Times New Roman" w:eastAsia="Times New Roman" w:hAnsi="Times New Roman" w:cs="Times New Roman"/>
      <w:color w:val="000000"/>
      <w:sz w:val="24"/>
      <w:szCs w:val="24"/>
      <w:lang w:val="en-GB" w:eastAsia="en-GB"/>
    </w:rPr>
  </w:style>
  <w:style w:type="character" w:customStyle="1" w:styleId="goog-gtc-translatable">
    <w:name w:val="goog-gtc-translatable"/>
    <w:uiPriority w:val="99"/>
    <w:rsid w:val="0029434A"/>
  </w:style>
  <w:style w:type="paragraph" w:customStyle="1" w:styleId="Bezproreda1">
    <w:name w:val="Bez proreda1"/>
    <w:uiPriority w:val="99"/>
    <w:rsid w:val="0029434A"/>
    <w:rPr>
      <w:rFonts w:eastAsia="Times New Roman" w:cs="Calibri"/>
      <w:sz w:val="22"/>
      <w:szCs w:val="22"/>
      <w:lang w:val="en-GB" w:eastAsia="en-GB"/>
    </w:rPr>
  </w:style>
  <w:style w:type="paragraph" w:customStyle="1" w:styleId="T-98-2">
    <w:name w:val="T-9/8-2"/>
    <w:uiPriority w:val="99"/>
    <w:rsid w:val="0029434A"/>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lang w:val="en-GB" w:eastAsia="en-GB"/>
    </w:rPr>
  </w:style>
  <w:style w:type="paragraph" w:customStyle="1" w:styleId="t-9-8">
    <w:name w:val="t-9-8"/>
    <w:basedOn w:val="Normal"/>
    <w:uiPriority w:val="99"/>
    <w:rsid w:val="0029434A"/>
    <w:pPr>
      <w:spacing w:before="100" w:beforeAutospacing="1" w:after="100" w:afterAutospacing="1" w:line="240" w:lineRule="auto"/>
    </w:pPr>
    <w:rPr>
      <w:rFonts w:eastAsia="Times New Roman"/>
      <w:spacing w:val="0"/>
      <w:w w:val="100"/>
      <w:kern w:val="0"/>
      <w:sz w:val="24"/>
      <w:szCs w:val="24"/>
      <w:lang w:val="en-GB" w:eastAsia="en-GB"/>
    </w:rPr>
  </w:style>
  <w:style w:type="character" w:customStyle="1" w:styleId="st">
    <w:name w:val="st"/>
    <w:uiPriority w:val="99"/>
    <w:rsid w:val="0029434A"/>
  </w:style>
  <w:style w:type="paragraph" w:customStyle="1" w:styleId="Clanak">
    <w:name w:val="Clanak"/>
    <w:next w:val="Normal"/>
    <w:uiPriority w:val="99"/>
    <w:rsid w:val="0029434A"/>
    <w:pPr>
      <w:widowControl w:val="0"/>
      <w:autoSpaceDE w:val="0"/>
      <w:autoSpaceDN w:val="0"/>
      <w:adjustRightInd w:val="0"/>
      <w:spacing w:before="86" w:after="43"/>
      <w:jc w:val="center"/>
    </w:pPr>
    <w:rPr>
      <w:rFonts w:ascii="Times-NewRoman" w:eastAsia="Times New Roman" w:hAnsi="Times-NewRoman" w:cs="Times-NewRoman"/>
      <w:sz w:val="19"/>
      <w:szCs w:val="19"/>
      <w:lang w:val="en-GB" w:eastAsia="en-GB"/>
    </w:rPr>
  </w:style>
  <w:style w:type="character" w:customStyle="1" w:styleId="hps">
    <w:name w:val="hps"/>
    <w:uiPriority w:val="99"/>
    <w:rsid w:val="0029434A"/>
  </w:style>
  <w:style w:type="paragraph" w:styleId="ListParagraph">
    <w:name w:val="List Paragraph"/>
    <w:basedOn w:val="Normal"/>
    <w:uiPriority w:val="99"/>
    <w:qFormat/>
    <w:rsid w:val="0029434A"/>
    <w:pPr>
      <w:spacing w:after="200" w:line="276" w:lineRule="auto"/>
      <w:ind w:left="720"/>
    </w:pPr>
    <w:rPr>
      <w:rFonts w:ascii="Calibri" w:eastAsia="Times New Roman" w:hAnsi="Calibri" w:cs="Calibri"/>
      <w:spacing w:val="0"/>
      <w:w w:val="100"/>
      <w:kern w:val="0"/>
      <w:sz w:val="22"/>
      <w:lang w:val="en-GB" w:eastAsia="en-GB"/>
    </w:rPr>
  </w:style>
  <w:style w:type="character" w:customStyle="1" w:styleId="NoSpacingChar">
    <w:name w:val="No Spacing Char"/>
    <w:link w:val="NoSpacing"/>
    <w:uiPriority w:val="99"/>
    <w:locked/>
    <w:rsid w:val="0029434A"/>
    <w:rPr>
      <w:rFonts w:ascii="Times New Roman" w:hAnsi="Times New Roman" w:cs="Times New Roman"/>
      <w:spacing w:val="4"/>
      <w:w w:val="103"/>
      <w:kern w:val="14"/>
      <w:szCs w:val="22"/>
      <w:lang w:bidi="ar-SA"/>
    </w:rPr>
  </w:style>
  <w:style w:type="numbering" w:styleId="ArticleSection">
    <w:name w:val="Outline List 3"/>
    <w:basedOn w:val="NoList"/>
    <w:uiPriority w:val="99"/>
    <w:semiHidden/>
    <w:unhideWhenUsed/>
    <w:rsid w:val="0029434A"/>
    <w:pPr>
      <w:numPr>
        <w:numId w:val="15"/>
      </w:numPr>
    </w:pPr>
  </w:style>
  <w:style w:type="numbering" w:styleId="1ai">
    <w:name w:val="Outline List 1"/>
    <w:basedOn w:val="NoList"/>
    <w:uiPriority w:val="99"/>
    <w:semiHidden/>
    <w:unhideWhenUsed/>
    <w:rsid w:val="0029434A"/>
    <w:pPr>
      <w:numPr>
        <w:numId w:val="14"/>
      </w:numPr>
    </w:pPr>
  </w:style>
  <w:style w:type="numbering" w:styleId="111111">
    <w:name w:val="Outline List 2"/>
    <w:basedOn w:val="NoList"/>
    <w:uiPriority w:val="99"/>
    <w:semiHidden/>
    <w:unhideWhenUsed/>
    <w:rsid w:val="0029434A"/>
    <w:pPr>
      <w:numPr>
        <w:numId w:val="13"/>
      </w:numPr>
    </w:pPr>
  </w:style>
  <w:style w:type="paragraph" w:styleId="Revision">
    <w:name w:val="Revision"/>
    <w:hidden/>
    <w:uiPriority w:val="99"/>
    <w:semiHidden/>
    <w:rsid w:val="00CF4575"/>
    <w:rPr>
      <w:rFonts w:ascii="Times New Roman" w:hAnsi="Times New Roman" w:cs="Times New Roman"/>
      <w:spacing w:val="4"/>
      <w:w w:val="103"/>
      <w:kern w:val="14"/>
      <w:szCs w:val="22"/>
      <w:lang w:val="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www.unece.org/fileadmin/DAM/Gender/publication/Croatia_national_report_Beijing__20.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ured-ravnopravnost.hr/site/images/pdf/dokumenti/nap%201325-publikacija%20eng%20indd.pdf" TargetMode="External"/><Relationship Id="rId2" Type="http://schemas.openxmlformats.org/officeDocument/2006/relationships/styles" Target="styles.xml"/><Relationship Id="rId16" Type="http://schemas.openxmlformats.org/officeDocument/2006/relationships/hyperlink" Target="http://www.minpo.hr/UserDocsImages/Strategy%20of%20Women%20Entrepreneurship%20Development%20in%20the%20Republic%20of%20Croatia%202014%20-%20202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dzs.hr/Hrv_Eng/menandwomen/men_and_women_2014.pdf" TargetMode="External"/><Relationship Id="rId10" Type="http://schemas.openxmlformats.org/officeDocument/2006/relationships/footer" Target="footer2.xml"/><Relationship Id="rId19" Type="http://schemas.openxmlformats.org/officeDocument/2006/relationships/hyperlink" Target="http://www.mvep.hr/files/file/2014/140115-uppEN.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ru/CEDAW/C/HRV/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ru/CEDAW/C/6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43</Pages>
  <Words>15227</Words>
  <Characters>100960</Characters>
  <Application>Microsoft Office Outlook</Application>
  <DocSecurity>4</DocSecurity>
  <Lines>2194</Lines>
  <Paragraphs>592</Paragraphs>
  <ScaleCrop>false</ScaleCrop>
  <HeadingPairs>
    <vt:vector size="2" baseType="variant">
      <vt:variant>
        <vt:lpstr>Title</vt:lpstr>
      </vt:variant>
      <vt:variant>
        <vt:i4>1</vt:i4>
      </vt:variant>
    </vt:vector>
  </HeadingPairs>
  <TitlesOfParts>
    <vt:vector size="1" baseType="lpstr">
      <vt:lpstr>Revised 27-02-14 8:37am</vt:lpstr>
    </vt:vector>
  </TitlesOfParts>
  <Company>United Nations</Company>
  <LinksUpToDate>false</LinksUpToDate>
  <CharactersWithSpaces>115595</CharactersWithSpaces>
  <SharedDoc>false</SharedDoc>
  <HLinks>
    <vt:vector size="42" baseType="variant">
      <vt:variant>
        <vt:i4>6619193</vt:i4>
      </vt:variant>
      <vt:variant>
        <vt:i4>15</vt:i4>
      </vt:variant>
      <vt:variant>
        <vt:i4>0</vt:i4>
      </vt:variant>
      <vt:variant>
        <vt:i4>5</vt:i4>
      </vt:variant>
      <vt:variant>
        <vt:lpwstr>http://www.mvep.hr/files/file/2014/140115-uppEN.pdf</vt:lpwstr>
      </vt:variant>
      <vt:variant>
        <vt:lpwstr/>
      </vt:variant>
      <vt:variant>
        <vt:i4>8126486</vt:i4>
      </vt:variant>
      <vt:variant>
        <vt:i4>12</vt:i4>
      </vt:variant>
      <vt:variant>
        <vt:i4>0</vt:i4>
      </vt:variant>
      <vt:variant>
        <vt:i4>5</vt:i4>
      </vt:variant>
      <vt:variant>
        <vt:lpwstr>http://www.unece.org/fileadmin/DAM/Gender/publication/Croatia_national_report_Beijing__20.pdf</vt:lpwstr>
      </vt:variant>
      <vt:variant>
        <vt:lpwstr/>
      </vt:variant>
      <vt:variant>
        <vt:i4>5374020</vt:i4>
      </vt:variant>
      <vt:variant>
        <vt:i4>9</vt:i4>
      </vt:variant>
      <vt:variant>
        <vt:i4>0</vt:i4>
      </vt:variant>
      <vt:variant>
        <vt:i4>5</vt:i4>
      </vt:variant>
      <vt:variant>
        <vt:lpwstr>http://www.ured-ravnopravnost.hr/site/images/pdf/dokumenti/nap 1325-publikacija eng indd.pdf</vt:lpwstr>
      </vt:variant>
      <vt:variant>
        <vt:lpwstr/>
      </vt:variant>
      <vt:variant>
        <vt:i4>1245277</vt:i4>
      </vt:variant>
      <vt:variant>
        <vt:i4>6</vt:i4>
      </vt:variant>
      <vt:variant>
        <vt:i4>0</vt:i4>
      </vt:variant>
      <vt:variant>
        <vt:i4>5</vt:i4>
      </vt:variant>
      <vt:variant>
        <vt:lpwstr>http://www.minpo.hr/UserDocsImages/Strategy of Women Entrepreneurship Development in the Republic of Croatia 2014 - 2020.pdf</vt:lpwstr>
      </vt:variant>
      <vt:variant>
        <vt:lpwstr/>
      </vt:variant>
      <vt:variant>
        <vt:i4>1966152</vt:i4>
      </vt:variant>
      <vt:variant>
        <vt:i4>3</vt:i4>
      </vt:variant>
      <vt:variant>
        <vt:i4>0</vt:i4>
      </vt:variant>
      <vt:variant>
        <vt:i4>5</vt:i4>
      </vt:variant>
      <vt:variant>
        <vt:lpwstr>http://www.dzs.hr/Hrv_Eng/menandwomen/men_and_women_2014.pdf</vt:lpwstr>
      </vt:variant>
      <vt:variant>
        <vt:lpwstr/>
      </vt:variant>
      <vt:variant>
        <vt:i4>6684791</vt:i4>
      </vt:variant>
      <vt:variant>
        <vt:i4>0</vt:i4>
      </vt:variant>
      <vt:variant>
        <vt:i4>0</vt:i4>
      </vt:variant>
      <vt:variant>
        <vt:i4>5</vt:i4>
      </vt:variant>
      <vt:variant>
        <vt:lpwstr>http://undocs.org/ru/CEDAW/C/HRV/4</vt:lpwstr>
      </vt:variant>
      <vt:variant>
        <vt:lpwstr/>
      </vt:variant>
      <vt:variant>
        <vt:i4>5570587</vt:i4>
      </vt:variant>
      <vt:variant>
        <vt:i4>0</vt:i4>
      </vt:variant>
      <vt:variant>
        <vt:i4>0</vt:i4>
      </vt:variant>
      <vt:variant>
        <vt:i4>5</vt:i4>
      </vt:variant>
      <vt:variant>
        <vt:lpwstr>http://undocs.org/ru/CEDAW/C/61/1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27-02-14 8:37am</dc:title>
  <dc:subject/>
  <dc:creator>Nina Mouslikova</dc:creator>
  <cp:keywords/>
  <cp:lastModifiedBy>Nina Mouslikova</cp:lastModifiedBy>
  <cp:revision>4</cp:revision>
  <cp:lastPrinted>2015-04-08T12:56:00Z</cp:lastPrinted>
  <dcterms:created xsi:type="dcterms:W3CDTF">2015-04-08T12:56:00Z</dcterms:created>
  <dcterms:modified xsi:type="dcterms:W3CDTF">2015-04-08T12:58:00Z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1503070R</vt:lpwstr>
  </property>
  <property fmtid="{D5CDD505-2E9C-101B-9397-08002B2CF9AE}" pid="3" name="ODSRefJobNo">
    <vt:lpwstr>1505524R</vt:lpwstr>
  </property>
  <property fmtid="{D5CDD505-2E9C-101B-9397-08002B2CF9AE}" pid="4" name="Symbol1">
    <vt:lpwstr>CEDAW/C/HRV/Q/4-5/Add.1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8 April 2015</vt:lpwstr>
  </property>
  <property fmtid="{D5CDD505-2E9C-101B-9397-08002B2CF9AE}" pid="9" name="Original">
    <vt:lpwstr>English</vt:lpwstr>
  </property>
  <property fmtid="{D5CDD505-2E9C-101B-9397-08002B2CF9AE}" pid="10" name="Release Date">
    <vt:lpwstr>080415</vt:lpwstr>
  </property>
  <property fmtid="{D5CDD505-2E9C-101B-9397-08002B2CF9AE}" pid="11" name="Comment">
    <vt:lpwstr/>
  </property>
  <property fmtid="{D5CDD505-2E9C-101B-9397-08002B2CF9AE}" pid="12" name="DraftPages">
    <vt:lpwstr>43</vt:lpwstr>
  </property>
  <property fmtid="{D5CDD505-2E9C-101B-9397-08002B2CF9AE}" pid="13" name="Operator">
    <vt:lpwstr>Mouslikova</vt:lpwstr>
  </property>
</Properties>
</file>