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726B56"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726B56" w:rsidRDefault="00292480" w:rsidP="009C4E83">
            <w:pPr>
              <w:jc w:val="right"/>
              <w:rPr>
                <w:lang w:val="en-US"/>
              </w:rPr>
            </w:pPr>
            <w:r w:rsidRPr="00726B56">
              <w:rPr>
                <w:sz w:val="40"/>
                <w:szCs w:val="40"/>
                <w:lang w:val="en-US"/>
              </w:rPr>
              <w:t>C</w:t>
            </w:r>
            <w:r w:rsidR="008B759B">
              <w:rPr>
                <w:sz w:val="40"/>
                <w:szCs w:val="40"/>
                <w:lang w:val="en-US"/>
              </w:rPr>
              <w:t>EDAW</w:t>
            </w:r>
            <w:r w:rsidRPr="00726B56">
              <w:rPr>
                <w:lang w:val="en-US"/>
              </w:rPr>
              <w:t>/</w:t>
            </w:r>
            <w:r>
              <w:fldChar w:fldCharType="begin"/>
            </w:r>
            <w:r w:rsidRPr="00726B56">
              <w:rPr>
                <w:lang w:val="en-US"/>
              </w:rPr>
              <w:instrText xml:space="preserve"> FILLIN  "</w:instrText>
            </w:r>
            <w:r>
              <w:instrText>Введите</w:instrText>
            </w:r>
            <w:r w:rsidRPr="00726B56">
              <w:rPr>
                <w:lang w:val="en-US"/>
              </w:rPr>
              <w:instrText xml:space="preserve"> </w:instrText>
            </w:r>
            <w:r>
              <w:instrText>часть</w:instrText>
            </w:r>
            <w:r w:rsidRPr="00726B56">
              <w:rPr>
                <w:lang w:val="en-US"/>
              </w:rPr>
              <w:instrText xml:space="preserve"> </w:instrText>
            </w:r>
            <w:r>
              <w:instrText>символа</w:instrText>
            </w:r>
            <w:r w:rsidRPr="00726B56">
              <w:rPr>
                <w:lang w:val="en-US"/>
              </w:rPr>
              <w:instrText xml:space="preserve"> </w:instrText>
            </w:r>
            <w:r>
              <w:instrText>после</w:instrText>
            </w:r>
            <w:r w:rsidRPr="00726B56">
              <w:rPr>
                <w:lang w:val="en-US"/>
              </w:rPr>
              <w:instrText xml:space="preserve"> CRC/"  \* MERGEFORMAT </w:instrText>
            </w:r>
            <w:r>
              <w:fldChar w:fldCharType="separate"/>
            </w:r>
            <w:r w:rsidR="001E490C" w:rsidRPr="00726B56">
              <w:rPr>
                <w:lang w:val="en-US"/>
              </w:rPr>
              <w:t>C/HUN/Q/7-8/Add.1</w:t>
            </w:r>
            <w:r>
              <w:fldChar w:fldCharType="end"/>
            </w:r>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B759B">
              <w:rPr>
                <w:b/>
                <w:spacing w:val="-4"/>
                <w:w w:val="100"/>
                <w:sz w:val="34"/>
                <w:szCs w:val="34"/>
                <w:lang w:val="en-US"/>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1E490C">
              <w:rPr>
                <w:lang w:val="en-US"/>
              </w:rPr>
              <w:t>21 November 2012</w:t>
            </w:r>
            <w:r w:rsidRPr="00CF2D5C">
              <w:rPr>
                <w:lang w:val="en-US"/>
              </w:rPr>
              <w:fldChar w:fldCharType="end"/>
            </w:r>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726B56" w:rsidRDefault="00726B56" w:rsidP="00726B56">
      <w:pPr>
        <w:spacing w:before="120"/>
        <w:rPr>
          <w:b/>
          <w:sz w:val="24"/>
        </w:rPr>
      </w:pPr>
      <w:r>
        <w:rPr>
          <w:b/>
          <w:sz w:val="24"/>
        </w:rPr>
        <w:t>Комитет по ликвидации дискриминации</w:t>
      </w:r>
      <w:r w:rsidRPr="00726B56">
        <w:rPr>
          <w:b/>
          <w:sz w:val="24"/>
        </w:rPr>
        <w:br/>
      </w:r>
      <w:r>
        <w:rPr>
          <w:b/>
          <w:sz w:val="24"/>
        </w:rPr>
        <w:t xml:space="preserve">в отношении женщин </w:t>
      </w:r>
    </w:p>
    <w:p w:rsidR="00726B56" w:rsidRPr="00726B56" w:rsidRDefault="00726B56" w:rsidP="00726B56">
      <w:pPr>
        <w:rPr>
          <w:b/>
          <w:lang w:val="en-US"/>
        </w:rPr>
      </w:pPr>
      <w:r w:rsidRPr="00726B56">
        <w:rPr>
          <w:b/>
        </w:rPr>
        <w:t>Пятьдесят четвертая сессия</w:t>
      </w:r>
    </w:p>
    <w:p w:rsidR="00726B56" w:rsidRPr="00726B56" w:rsidRDefault="00726B56" w:rsidP="00726B56">
      <w:r w:rsidRPr="00726B56">
        <w:t>11 февраля − 1 марта 2013 года</w:t>
      </w:r>
    </w:p>
    <w:p w:rsidR="00726B56" w:rsidRPr="00EB4332" w:rsidRDefault="00726B56" w:rsidP="00726B56">
      <w:pPr>
        <w:pStyle w:val="HChGR"/>
      </w:pPr>
      <w:r>
        <w:rPr>
          <w:lang w:val="en-US"/>
        </w:rPr>
        <w:tab/>
      </w:r>
      <w:r>
        <w:rPr>
          <w:lang w:val="en-US"/>
        </w:rPr>
        <w:tab/>
      </w:r>
      <w:r>
        <w:t>Перечень тем и вопросов в связи с рассмотрением периодических докладов: Вен</w:t>
      </w:r>
      <w:r>
        <w:t>г</w:t>
      </w:r>
      <w:r w:rsidR="00EB4332">
        <w:t>рия</w:t>
      </w:r>
    </w:p>
    <w:p w:rsidR="00726B56" w:rsidRPr="00726B56" w:rsidRDefault="00726B56" w:rsidP="00726B56">
      <w:pPr>
        <w:pStyle w:val="H23GR"/>
        <w:rPr>
          <w:lang w:val="en-US"/>
        </w:rPr>
      </w:pPr>
      <w:r w:rsidRPr="00EB4332">
        <w:tab/>
      </w:r>
      <w:r w:rsidRPr="00EB4332">
        <w:tab/>
      </w:r>
      <w:r>
        <w:t>Добавление</w:t>
      </w:r>
    </w:p>
    <w:p w:rsidR="00726B56" w:rsidRPr="00726B56" w:rsidRDefault="00726B56" w:rsidP="00726B56">
      <w:pPr>
        <w:pStyle w:val="HChGR"/>
      </w:pPr>
      <w:r>
        <w:rPr>
          <w:lang w:val="en-US"/>
        </w:rPr>
        <w:tab/>
      </w:r>
      <w:r>
        <w:rPr>
          <w:lang w:val="en-US"/>
        </w:rPr>
        <w:tab/>
      </w:r>
      <w:r>
        <w:t>Ответы Венгрии на перечень вопросов, подлежащих обсуждению в связи с ра</w:t>
      </w:r>
      <w:r>
        <w:t>с</w:t>
      </w:r>
      <w:r>
        <w:t>смотрением ее объединенных седьмого и восьмого периодических докладов</w:t>
      </w:r>
      <w:r w:rsidRPr="00726B56">
        <w:rPr>
          <w:rStyle w:val="FootnoteReference"/>
          <w:b w:val="0"/>
          <w:szCs w:val="18"/>
          <w:vertAlign w:val="baseline"/>
        </w:rPr>
        <w:footnoteReference w:customMarkFollows="1" w:id="1"/>
        <w:t>*</w:t>
      </w:r>
      <w:r w:rsidRPr="00B6199A">
        <w:t xml:space="preserve"> </w:t>
      </w:r>
      <w:r w:rsidRPr="00726B56">
        <w:rPr>
          <w:rStyle w:val="FootnoteReference"/>
          <w:b w:val="0"/>
          <w:szCs w:val="18"/>
          <w:vertAlign w:val="baseline"/>
        </w:rPr>
        <w:footnoteReference w:customMarkFollows="1" w:id="2"/>
        <w:t>**</w:t>
      </w:r>
    </w:p>
    <w:p w:rsidR="00726B56" w:rsidRDefault="000C07FE" w:rsidP="000C07FE">
      <w:pPr>
        <w:pStyle w:val="HChGR"/>
        <w:pageBreakBefore/>
      </w:pPr>
      <w:r>
        <w:rPr>
          <w:lang w:val="en-US"/>
        </w:rPr>
        <w:tab/>
      </w:r>
      <w:r>
        <w:rPr>
          <w:lang w:val="en-US"/>
        </w:rPr>
        <w:tab/>
      </w:r>
      <w:r>
        <w:t>Общие положения</w:t>
      </w:r>
    </w:p>
    <w:p w:rsidR="00726B56" w:rsidRDefault="000C07FE" w:rsidP="000C07FE">
      <w:pPr>
        <w:pStyle w:val="H23GR"/>
      </w:pPr>
      <w:r>
        <w:rPr>
          <w:lang w:val="en-US"/>
        </w:rPr>
        <w:tab/>
      </w:r>
      <w:r>
        <w:rPr>
          <w:lang w:val="en-US"/>
        </w:rPr>
        <w:tab/>
      </w:r>
      <w:r w:rsidR="00726B56">
        <w:t xml:space="preserve">Ответы на вопросы, поставленные в пункте 1 перечня вопросов </w:t>
      </w:r>
      <w:r w:rsidR="00726B56" w:rsidRPr="006B6948">
        <w:t>(CEDAW/C/HUN/Q/7-8)</w:t>
      </w:r>
    </w:p>
    <w:p w:rsidR="00726B56" w:rsidRDefault="00726B56" w:rsidP="000C07FE">
      <w:pPr>
        <w:pStyle w:val="SingleTxtGR"/>
      </w:pPr>
      <w:r>
        <w:t>1.</w:t>
      </w:r>
      <w:r>
        <w:tab/>
        <w:t>Центральное статистическое управление Венгрии (ЦСУ) использует свои собственные методы для оказания непрерывной поддержки в работе, которая осуществляется в интересах обеспечения равенства возможностей. В частн</w:t>
      </w:r>
      <w:r>
        <w:t>о</w:t>
      </w:r>
      <w:r>
        <w:t>сти, с 2001 года ЦСУ пу</w:t>
      </w:r>
      <w:r>
        <w:t>б</w:t>
      </w:r>
      <w:r>
        <w:t>ликует всеобъемлющий справочник для директивных органов, в котором имеющиеся данные представлены в разбивке по тематич</w:t>
      </w:r>
      <w:r>
        <w:t>е</w:t>
      </w:r>
      <w:r>
        <w:t>ским группам. Графики и иллюстрации в этом издании обеспечивают систем</w:t>
      </w:r>
      <w:r>
        <w:t>а</w:t>
      </w:r>
      <w:r>
        <w:t>тизацию отражающих гендерные аспекты показателей по темам в соответс</w:t>
      </w:r>
      <w:r>
        <w:t>т</w:t>
      </w:r>
      <w:r>
        <w:t>вующих главах. Перечень показателей</w:t>
      </w:r>
      <w:r w:rsidR="00DE78B9">
        <w:t xml:space="preserve"> был</w:t>
      </w:r>
      <w:r>
        <w:t xml:space="preserve"> разработан с участием экспер</w:t>
      </w:r>
      <w:r w:rsidR="000C07FE">
        <w:t>тов</w:t>
      </w:r>
      <w:r w:rsidR="000C07FE" w:rsidRPr="000C07FE">
        <w:br/>
      </w:r>
      <w:r>
        <w:t>и постоянно обновляется, а начиная с 2009 года перераба</w:t>
      </w:r>
      <w:r w:rsidR="00DE78B9">
        <w:t>тывается в</w:t>
      </w:r>
      <w:r>
        <w:t xml:space="preserve"> це</w:t>
      </w:r>
      <w:r w:rsidR="00DE78B9">
        <w:t>лях</w:t>
      </w:r>
      <w:r>
        <w:t xml:space="preserve"> учета перечня показателей Пекинской платформы действий и официальных уст</w:t>
      </w:r>
      <w:r>
        <w:t>а</w:t>
      </w:r>
      <w:r>
        <w:t xml:space="preserve">новок ЕС. В справочнике </w:t>
      </w:r>
      <w:r w:rsidR="00DE78B9">
        <w:t>публикуются</w:t>
      </w:r>
      <w:r>
        <w:t xml:space="preserve"> как результаты сбора данных ЦСУ, так и да</w:t>
      </w:r>
      <w:r>
        <w:t>н</w:t>
      </w:r>
      <w:r>
        <w:t>ные из внешних источ</w:t>
      </w:r>
      <w:r w:rsidR="00DE78B9">
        <w:t>ников за</w:t>
      </w:r>
      <w:r>
        <w:t xml:space="preserve"> соответствую</w:t>
      </w:r>
      <w:r w:rsidR="00DE78B9">
        <w:t>щий год</w:t>
      </w:r>
      <w:r w:rsidR="000C07FE">
        <w:t xml:space="preserve"> и по временным рядам</w:t>
      </w:r>
      <w:r w:rsidR="000C07FE" w:rsidRPr="000C07FE">
        <w:br/>
      </w:r>
      <w:r>
        <w:t>с выделением существующих социально-демографических критериев в сравн</w:t>
      </w:r>
      <w:r>
        <w:t>е</w:t>
      </w:r>
      <w:r>
        <w:t xml:space="preserve">нии с другими странами Европы. Справочник </w:t>
      </w:r>
      <w:r w:rsidR="00DE78B9">
        <w:t>содержит</w:t>
      </w:r>
      <w:r>
        <w:t xml:space="preserve"> следующие главы: н</w:t>
      </w:r>
      <w:r>
        <w:t>а</w:t>
      </w:r>
      <w:r>
        <w:t>родонаселение и семья, здоровье, образование</w:t>
      </w:r>
      <w:r w:rsidR="00DE78B9">
        <w:t>, НИОКР, рынок труда и зан</w:t>
      </w:r>
      <w:r w:rsidR="00DE78B9">
        <w:t>я</w:t>
      </w:r>
      <w:r w:rsidR="00DE78B9">
        <w:t>тость</w:t>
      </w:r>
      <w:r>
        <w:t>, потребление, заработная плата и пенсии, преступность, тенденции м</w:t>
      </w:r>
      <w:r>
        <w:t>о</w:t>
      </w:r>
      <w:r>
        <w:t xml:space="preserve">бильности и общественная жизнь. </w:t>
      </w:r>
    </w:p>
    <w:p w:rsidR="00726B56" w:rsidRDefault="00726B56" w:rsidP="000C07FE">
      <w:pPr>
        <w:pStyle w:val="SingleTxtGR"/>
      </w:pPr>
      <w:r>
        <w:t>2.</w:t>
      </w:r>
      <w:r>
        <w:tab/>
        <w:t xml:space="preserve">Помимо вышеупомянутых глав, которые могут считаться постоянными, в издании </w:t>
      </w:r>
      <w:r w:rsidR="00DE78B9">
        <w:t xml:space="preserve">приводятся </w:t>
      </w:r>
      <w:r>
        <w:t>также результаты текущих − специальных − проектов по сбору данных, которые могут служить в качестве источника дополнительной информации в той или иной области. Примеры таких данных можно видеть в справочниках 2003 и 2004 г</w:t>
      </w:r>
      <w:r>
        <w:t>о</w:t>
      </w:r>
      <w:r w:rsidR="00DE78B9">
        <w:t>дов</w:t>
      </w:r>
      <w:r>
        <w:t>, где приводятся данные по бюджетам времени за 1999−2000 годы</w:t>
      </w:r>
      <w:r w:rsidR="00DE78B9">
        <w:t>,</w:t>
      </w:r>
      <w:r>
        <w:t xml:space="preserve"> и </w:t>
      </w:r>
      <w:r w:rsidR="00DE78B9">
        <w:t>во включенной</w:t>
      </w:r>
      <w:r>
        <w:t xml:space="preserve"> в издание 2005 года </w:t>
      </w:r>
      <w:r w:rsidR="00DE78B9">
        <w:t>главе</w:t>
      </w:r>
      <w:r>
        <w:t xml:space="preserve">, </w:t>
      </w:r>
      <w:r w:rsidR="00DE78B9">
        <w:t>посвященной</w:t>
      </w:r>
      <w:r>
        <w:t xml:space="preserve"> результатам исследования</w:t>
      </w:r>
      <w:r w:rsidR="00DE78B9">
        <w:t>, касающегося</w:t>
      </w:r>
      <w:r>
        <w:t xml:space="preserve"> положе</w:t>
      </w:r>
      <w:r w:rsidR="00DE78B9">
        <w:t>ния</w:t>
      </w:r>
      <w:r>
        <w:t xml:space="preserve"> цыганского населения в Венгрии, </w:t>
      </w:r>
      <w:r w:rsidR="00DE78B9">
        <w:t>подготовленного</w:t>
      </w:r>
      <w:r>
        <w:t xml:space="preserve"> без участия ЦСУ в 2003 г</w:t>
      </w:r>
      <w:r>
        <w:t>о</w:t>
      </w:r>
      <w:r>
        <w:t xml:space="preserve">ду. </w:t>
      </w:r>
    </w:p>
    <w:p w:rsidR="00726B56" w:rsidRDefault="00726B56" w:rsidP="000C07FE">
      <w:pPr>
        <w:pStyle w:val="SingleTxtGR"/>
      </w:pPr>
      <w:r>
        <w:t>3.</w:t>
      </w:r>
      <w:r>
        <w:tab/>
        <w:t>ЦСУ располагает подробными временны</w:t>
      </w:r>
      <w:r w:rsidR="0041202F">
        <w:rPr>
          <w:rFonts w:ascii="Tahoma" w:hAnsi="Tahoma" w:cs="Tahoma"/>
        </w:rPr>
        <w:t></w:t>
      </w:r>
      <w:r>
        <w:t>ми рядами демографических данных по мужчинам и женщинам, по возрастным группам и по типам посел</w:t>
      </w:r>
      <w:r>
        <w:t>е</w:t>
      </w:r>
      <w:r>
        <w:t xml:space="preserve">ния. Кроме того, ежегодно </w:t>
      </w:r>
      <w:r w:rsidR="00DE78B9">
        <w:t>готовятся</w:t>
      </w:r>
      <w:r>
        <w:t xml:space="preserve"> демографические данные и данные </w:t>
      </w:r>
      <w:r w:rsidR="00DE78B9">
        <w:t>о с</w:t>
      </w:r>
      <w:r w:rsidR="00DE78B9">
        <w:t>о</w:t>
      </w:r>
      <w:r w:rsidR="00DE78B9">
        <w:t>стоянии здоровья</w:t>
      </w:r>
      <w:r>
        <w:t xml:space="preserve"> с генде</w:t>
      </w:r>
      <w:r>
        <w:t>р</w:t>
      </w:r>
      <w:r>
        <w:t>ной разбивкой.</w:t>
      </w:r>
    </w:p>
    <w:p w:rsidR="00726B56" w:rsidRDefault="00726B56" w:rsidP="000C07FE">
      <w:pPr>
        <w:pStyle w:val="SingleTxtGR"/>
      </w:pPr>
      <w:r>
        <w:t>4.</w:t>
      </w:r>
      <w:r>
        <w:tab/>
        <w:t xml:space="preserve">Среди данных можно </w:t>
      </w:r>
      <w:r w:rsidR="00DE78B9">
        <w:t>выделить</w:t>
      </w:r>
      <w:r>
        <w:t xml:space="preserve"> временны</w:t>
      </w:r>
      <w:r w:rsidR="00DE78B9">
        <w:rPr>
          <w:rFonts w:ascii="Tahoma" w:hAnsi="Tahoma" w:cs="Tahoma"/>
        </w:rPr>
        <w:t></w:t>
      </w:r>
      <w:r>
        <w:t xml:space="preserve">е ряды, </w:t>
      </w:r>
      <w:r w:rsidR="00DE78B9">
        <w:t>отражающие</w:t>
      </w:r>
      <w:r>
        <w:t xml:space="preserve"> уровень образов</w:t>
      </w:r>
      <w:r>
        <w:t>а</w:t>
      </w:r>
      <w:r>
        <w:t>ния женщин, положение женщин на рынке труда и их социально-экономический ст</w:t>
      </w:r>
      <w:r>
        <w:t>а</w:t>
      </w:r>
      <w:r>
        <w:t xml:space="preserve">тус. </w:t>
      </w:r>
    </w:p>
    <w:p w:rsidR="00726B56" w:rsidRDefault="00DE78B9" w:rsidP="000C07FE">
      <w:pPr>
        <w:pStyle w:val="SingleTxtGR"/>
      </w:pPr>
      <w:r>
        <w:t>5.</w:t>
      </w:r>
      <w:r>
        <w:tab/>
        <w:t>В годы, когда про</w:t>
      </w:r>
      <w:r w:rsidR="00726B56">
        <w:t>водится всеобщая перепись или микроперепись насел</w:t>
      </w:r>
      <w:r w:rsidR="00726B56">
        <w:t>е</w:t>
      </w:r>
      <w:r w:rsidR="00726B56">
        <w:t>ния, данные по всем упомянутым параметрам собираются с более высокой ст</w:t>
      </w:r>
      <w:r w:rsidR="00726B56">
        <w:t>е</w:t>
      </w:r>
      <w:r w:rsidR="00726B56">
        <w:t>пенью детализ</w:t>
      </w:r>
      <w:r w:rsidR="00726B56">
        <w:t>а</w:t>
      </w:r>
      <w:r w:rsidR="00726B56">
        <w:t>ции, чем в случае ежегодного сбора данных.</w:t>
      </w:r>
    </w:p>
    <w:p w:rsidR="00726B56" w:rsidRDefault="00DE78B9" w:rsidP="000C07FE">
      <w:pPr>
        <w:pStyle w:val="SingleTxtGR"/>
      </w:pPr>
      <w:r>
        <w:t>6.</w:t>
      </w:r>
      <w:r>
        <w:tab/>
        <w:t>При проведении</w:t>
      </w:r>
      <w:r w:rsidR="00726B56">
        <w:t xml:space="preserve"> всеобщи</w:t>
      </w:r>
      <w:r>
        <w:t>х</w:t>
      </w:r>
      <w:r w:rsidR="00726B56">
        <w:t xml:space="preserve"> перепис</w:t>
      </w:r>
      <w:r>
        <w:t xml:space="preserve">ей обеспечивается </w:t>
      </w:r>
      <w:r w:rsidR="0041202F">
        <w:t xml:space="preserve">также </w:t>
      </w:r>
      <w:r>
        <w:t>сбор данных</w:t>
      </w:r>
      <w:r w:rsidR="00726B56">
        <w:t xml:space="preserve"> о национал</w:t>
      </w:r>
      <w:r w:rsidR="00726B56">
        <w:t>ь</w:t>
      </w:r>
      <w:r w:rsidR="00726B56">
        <w:t xml:space="preserve">ной принадлежности, религии и вероисповедании. </w:t>
      </w:r>
    </w:p>
    <w:p w:rsidR="00726B56" w:rsidRDefault="00726B56" w:rsidP="000C07FE">
      <w:pPr>
        <w:pStyle w:val="SingleTxtGR"/>
      </w:pPr>
      <w:r>
        <w:t>7.</w:t>
      </w:r>
      <w:r>
        <w:tab/>
        <w:t xml:space="preserve">В </w:t>
      </w:r>
      <w:r w:rsidR="00DE78B9">
        <w:t xml:space="preserve">ходе переписей можно также получить </w:t>
      </w:r>
      <w:r>
        <w:t>подробные данные о различных забол</w:t>
      </w:r>
      <w:r>
        <w:t>е</w:t>
      </w:r>
      <w:r>
        <w:t>ваниях и видах инвалидности, причем в пр</w:t>
      </w:r>
      <w:r w:rsidR="00DE78B9">
        <w:t>омежутках</w:t>
      </w:r>
      <w:r>
        <w:t xml:space="preserve"> между переписями в данной области проводится несколько обследований репрезентативных выб</w:t>
      </w:r>
      <w:r>
        <w:t>о</w:t>
      </w:r>
      <w:r>
        <w:t xml:space="preserve">рок населения. Подобные данные регулярно собираются </w:t>
      </w:r>
      <w:r w:rsidR="0041202F">
        <w:t xml:space="preserve">также </w:t>
      </w:r>
      <w:r>
        <w:t>соответству</w:t>
      </w:r>
      <w:r>
        <w:t>ю</w:t>
      </w:r>
      <w:r>
        <w:t>щими в</w:t>
      </w:r>
      <w:r>
        <w:t>е</w:t>
      </w:r>
      <w:r>
        <w:t xml:space="preserve">домствами. </w:t>
      </w:r>
    </w:p>
    <w:p w:rsidR="00726B56" w:rsidRDefault="00726B56" w:rsidP="000C07FE">
      <w:pPr>
        <w:pStyle w:val="SingleTxtGR"/>
      </w:pPr>
      <w:r>
        <w:t>8.</w:t>
      </w:r>
      <w:r>
        <w:tab/>
      </w:r>
      <w:r w:rsidR="002F7B5A">
        <w:t>Начиная с 1992 года обследования рынка труда ЦСУ содержа</w:t>
      </w:r>
      <w:r>
        <w:t xml:space="preserve">т </w:t>
      </w:r>
      <w:r w:rsidR="002F7B5A">
        <w:t>очень</w:t>
      </w:r>
      <w:r>
        <w:t xml:space="preserve"> по</w:t>
      </w:r>
      <w:r>
        <w:t>д</w:t>
      </w:r>
      <w:r>
        <w:t>робные данные по каждому из</w:t>
      </w:r>
      <w:r w:rsidR="002F7B5A">
        <w:t xml:space="preserve"> регионов в разбивке</w:t>
      </w:r>
      <w:r>
        <w:t xml:space="preserve"> по полу и с учетом нескол</w:t>
      </w:r>
      <w:r>
        <w:t>ь</w:t>
      </w:r>
      <w:r>
        <w:t>ких аспектов. Дополнительные обследования по различным проблемам пров</w:t>
      </w:r>
      <w:r>
        <w:t>о</w:t>
      </w:r>
      <w:r>
        <w:t xml:space="preserve">дятся ежеквартально среди отдельных домашних хозяйств в рамках данного процесса сбора данных, и несколько таких обследований были посвящены </w:t>
      </w:r>
      <w:r w:rsidR="002F7B5A">
        <w:t>ко</w:t>
      </w:r>
      <w:r w:rsidR="002F7B5A">
        <w:t>н</w:t>
      </w:r>
      <w:r w:rsidR="002F7B5A">
        <w:t xml:space="preserve">кретно </w:t>
      </w:r>
      <w:r>
        <w:t xml:space="preserve">положению женщин: </w:t>
      </w:r>
    </w:p>
    <w:p w:rsidR="00726B56" w:rsidRDefault="00726B56" w:rsidP="000C07FE">
      <w:pPr>
        <w:pStyle w:val="SingleTxtGR"/>
        <w:ind w:left="4536" w:hanging="3402"/>
      </w:pPr>
      <w:r>
        <w:tab/>
        <w:t>−</w:t>
      </w:r>
      <w:r>
        <w:tab/>
      </w:r>
      <w:r w:rsidR="002F7B5A">
        <w:rPr>
          <w:lang w:val="en-US"/>
        </w:rPr>
        <w:t>IV</w:t>
      </w:r>
      <w:r>
        <w:t xml:space="preserve"> квартал 2005 года</w:t>
      </w:r>
      <w:r w:rsidR="002F7B5A">
        <w:t>:</w:t>
      </w:r>
      <w:r w:rsidR="002F7B5A">
        <w:tab/>
      </w:r>
      <w:r w:rsidR="002F7B5A">
        <w:tab/>
        <w:t>Возвращение</w:t>
      </w:r>
      <w:r>
        <w:t xml:space="preserve"> на рынок труда после </w:t>
      </w:r>
      <w:r w:rsidR="002F7B5A">
        <w:t>ухода с него</w:t>
      </w:r>
      <w:r>
        <w:t xml:space="preserve"> в соответствии со льготами по уходу за детьми</w:t>
      </w:r>
    </w:p>
    <w:p w:rsidR="00726B56" w:rsidRDefault="00726B56" w:rsidP="000C07FE">
      <w:pPr>
        <w:pStyle w:val="SingleTxtGR"/>
        <w:ind w:left="4536" w:hanging="3402"/>
      </w:pPr>
      <w:r>
        <w:tab/>
        <w:t>−</w:t>
      </w:r>
      <w:r>
        <w:tab/>
      </w:r>
      <w:r w:rsidR="002F7B5A">
        <w:t>IV</w:t>
      </w:r>
      <w:r>
        <w:t xml:space="preserve"> квартал 2007 года:</w:t>
      </w:r>
      <w:r>
        <w:tab/>
      </w:r>
      <w:r>
        <w:tab/>
        <w:t>Степень безработицы, дискримин</w:t>
      </w:r>
      <w:r>
        <w:t>а</w:t>
      </w:r>
      <w:r>
        <w:t>ции</w:t>
      </w:r>
    </w:p>
    <w:p w:rsidR="00726B56" w:rsidRDefault="00726B56" w:rsidP="000C07FE">
      <w:pPr>
        <w:pStyle w:val="SingleTxtGR"/>
        <w:ind w:left="4536" w:hanging="3402"/>
      </w:pPr>
      <w:r>
        <w:tab/>
        <w:t>−</w:t>
      </w:r>
      <w:r>
        <w:tab/>
      </w:r>
      <w:r w:rsidR="002F7B5A">
        <w:rPr>
          <w:lang w:val="en-US"/>
        </w:rPr>
        <w:t>I</w:t>
      </w:r>
      <w:r w:rsidRPr="00AA3F61">
        <w:t xml:space="preserve"> квартал </w:t>
      </w:r>
      <w:r>
        <w:t>2010 года:</w:t>
      </w:r>
      <w:r>
        <w:tab/>
      </w:r>
      <w:r>
        <w:tab/>
        <w:t>Степень безработицы, дискримин</w:t>
      </w:r>
      <w:r>
        <w:t>а</w:t>
      </w:r>
      <w:r>
        <w:t>ции</w:t>
      </w:r>
    </w:p>
    <w:p w:rsidR="00726B56" w:rsidRDefault="00726B56" w:rsidP="000C07FE">
      <w:pPr>
        <w:pStyle w:val="SingleTxtGR"/>
        <w:ind w:left="4536" w:hanging="3402"/>
      </w:pPr>
      <w:r>
        <w:tab/>
        <w:t>−</w:t>
      </w:r>
      <w:r>
        <w:tab/>
      </w:r>
      <w:r w:rsidR="002F7B5A">
        <w:rPr>
          <w:lang w:val="en-US"/>
        </w:rPr>
        <w:t>II</w:t>
      </w:r>
      <w:r w:rsidRPr="00AA3F61">
        <w:t xml:space="preserve"> квартал </w:t>
      </w:r>
      <w:r>
        <w:t>2010 года:</w:t>
      </w:r>
      <w:r>
        <w:tab/>
      </w:r>
      <w:r>
        <w:tab/>
        <w:t>Обязанности на рабочем месте и в семье</w:t>
      </w:r>
    </w:p>
    <w:p w:rsidR="00726B56" w:rsidRPr="000C07FE" w:rsidRDefault="00726B56" w:rsidP="000C07FE">
      <w:pPr>
        <w:pStyle w:val="SingleTxtGR"/>
        <w:ind w:left="4536" w:hanging="3402"/>
      </w:pPr>
      <w:r>
        <w:tab/>
        <w:t>−</w:t>
      </w:r>
      <w:r>
        <w:tab/>
      </w:r>
      <w:r w:rsidR="002F7B5A">
        <w:t>1</w:t>
      </w:r>
      <w:r w:rsidR="002F7B5A">
        <w:rPr>
          <w:lang w:val="en-US"/>
        </w:rPr>
        <w:t>I</w:t>
      </w:r>
      <w:r w:rsidRPr="00AA3F61">
        <w:t xml:space="preserve"> квартал </w:t>
      </w:r>
      <w:r>
        <w:t>2012 года:</w:t>
      </w:r>
      <w:r>
        <w:tab/>
      </w:r>
      <w:r>
        <w:tab/>
        <w:t>Степень безработицы, дискримин</w:t>
      </w:r>
      <w:r>
        <w:t>а</w:t>
      </w:r>
      <w:r w:rsidR="000C07FE">
        <w:t>ции</w:t>
      </w:r>
      <w:r w:rsidR="0041202F">
        <w:t>.</w:t>
      </w:r>
    </w:p>
    <w:p w:rsidR="00726B56" w:rsidRDefault="00726B56" w:rsidP="000C07FE">
      <w:pPr>
        <w:pStyle w:val="SingleTxtGR"/>
      </w:pPr>
      <w:r>
        <w:t>9.</w:t>
      </w:r>
      <w:r>
        <w:tab/>
        <w:t xml:space="preserve">Подробный анализ и </w:t>
      </w:r>
      <w:r w:rsidR="002F7B5A">
        <w:t>изучение</w:t>
      </w:r>
      <w:r>
        <w:t xml:space="preserve"> положения женщин </w:t>
      </w:r>
      <w:r w:rsidR="002F7B5A">
        <w:t>облегчаю</w:t>
      </w:r>
      <w:r>
        <w:t xml:space="preserve">тся </w:t>
      </w:r>
      <w:r w:rsidR="002F7B5A">
        <w:t xml:space="preserve">также </w:t>
      </w:r>
      <w:r>
        <w:t xml:space="preserve">благодаря обследованию бюджета времени, которое было </w:t>
      </w:r>
      <w:r w:rsidR="002F7B5A">
        <w:t>проведено</w:t>
      </w:r>
      <w:r w:rsidR="000C07FE">
        <w:t xml:space="preserve"> ЦСУ</w:t>
      </w:r>
      <w:r w:rsidR="000C07FE" w:rsidRPr="000C07FE">
        <w:br/>
      </w:r>
      <w:r>
        <w:t xml:space="preserve">в 2009−2010 годах. </w:t>
      </w:r>
      <w:r w:rsidR="00571BD2">
        <w:t xml:space="preserve">На основе данных, содержащихся в данном обследовании, можно смоделировать </w:t>
      </w:r>
      <w:r w:rsidR="0041202F">
        <w:t xml:space="preserve">полную </w:t>
      </w:r>
      <w:r w:rsidR="00571BD2">
        <w:t>картину, иллюстрирующую ежедневный расход времени женщинами, уровень их образования, их деятельность, связанную с получением дохода, ежедневное время в пути на работу и с работы, досуг, с</w:t>
      </w:r>
      <w:r w:rsidR="00571BD2">
        <w:t>о</w:t>
      </w:r>
      <w:r w:rsidR="00571BD2">
        <w:t>стояние здоровья и семейные обстоятельства в разбивке по нескольким пар</w:t>
      </w:r>
      <w:r w:rsidR="00571BD2">
        <w:t>а</w:t>
      </w:r>
      <w:r w:rsidR="00571BD2">
        <w:t>метрам (по возрастным группам, видам посел</w:t>
      </w:r>
      <w:r w:rsidR="00571BD2">
        <w:t>е</w:t>
      </w:r>
      <w:r w:rsidR="00571BD2">
        <w:t>ний).</w:t>
      </w:r>
    </w:p>
    <w:p w:rsidR="00726B56" w:rsidRDefault="00726B56" w:rsidP="000C07FE">
      <w:pPr>
        <w:pStyle w:val="SingleTxtGR"/>
      </w:pPr>
      <w:r>
        <w:t>10.</w:t>
      </w:r>
      <w:r>
        <w:tab/>
        <w:t>К сожалению, официальная статистическая служба не собирает данных о полож</w:t>
      </w:r>
      <w:r>
        <w:t>е</w:t>
      </w:r>
      <w:r w:rsidR="005823F4">
        <w:t>нии населения рома (</w:t>
      </w:r>
      <w:r>
        <w:t>последним всеобъемлющим исследованием можно считать сбор данных в 2003 году под руководством Иштвана К</w:t>
      </w:r>
      <w:r w:rsidR="005823F4">
        <w:t>емени), и</w:t>
      </w:r>
      <w:r>
        <w:t xml:space="preserve"> поэт</w:t>
      </w:r>
      <w:r>
        <w:t>о</w:t>
      </w:r>
      <w:r>
        <w:t>му отдельных стат</w:t>
      </w:r>
      <w:r>
        <w:t>и</w:t>
      </w:r>
      <w:r>
        <w:t>стических данных о женщинах рома не сущест</w:t>
      </w:r>
      <w:r w:rsidR="005823F4">
        <w:t xml:space="preserve">вует: законы о защите </w:t>
      </w:r>
      <w:r>
        <w:t>данных не позв</w:t>
      </w:r>
      <w:r>
        <w:t>о</w:t>
      </w:r>
      <w:r>
        <w:t>ляют осуществлять прямой сбор этнических данных. В ближайшем будущем ЦСУ буде</w:t>
      </w:r>
      <w:r w:rsidR="0041202F">
        <w:t>т задавать респондентам вопросы</w:t>
      </w:r>
      <w:r>
        <w:t xml:space="preserve"> о </w:t>
      </w:r>
      <w:r w:rsidR="005823F4">
        <w:t>гражда</w:t>
      </w:r>
      <w:r w:rsidR="005823F4">
        <w:t>н</w:t>
      </w:r>
      <w:r w:rsidR="005823F4">
        <w:t>стве</w:t>
      </w:r>
      <w:r>
        <w:t xml:space="preserve"> и этнической принадлежности, первоначально в ходе обследований раб</w:t>
      </w:r>
      <w:r>
        <w:t>о</w:t>
      </w:r>
      <w:r>
        <w:t>чей силы, а затем, постепенно, согласно существующим планам, при сборе да</w:t>
      </w:r>
      <w:r>
        <w:t>н</w:t>
      </w:r>
      <w:r>
        <w:t>ных по месту жительства с применением методологии, которая позволяет пр</w:t>
      </w:r>
      <w:r>
        <w:t>о</w:t>
      </w:r>
      <w:r>
        <w:t>водить сравнение с данными последних всеобщих переписей и учитыв</w:t>
      </w:r>
      <w:r w:rsidR="005823F4">
        <w:t>ать кр</w:t>
      </w:r>
      <w:r w:rsidR="005823F4">
        <w:t>и</w:t>
      </w:r>
      <w:r w:rsidR="005823F4">
        <w:t>терии добровольного пред</w:t>
      </w:r>
      <w:r>
        <w:t xml:space="preserve">ставления данных. Можно надеяться, что благодаря этому </w:t>
      </w:r>
      <w:r w:rsidR="005823F4">
        <w:t xml:space="preserve">появятся и </w:t>
      </w:r>
      <w:r>
        <w:t>да</w:t>
      </w:r>
      <w:r>
        <w:t>н</w:t>
      </w:r>
      <w:r>
        <w:t xml:space="preserve">ные о женщинах рома. </w:t>
      </w:r>
    </w:p>
    <w:p w:rsidR="00726B56" w:rsidRPr="00234792" w:rsidRDefault="00726B56" w:rsidP="000C07FE">
      <w:pPr>
        <w:pStyle w:val="SingleTxtGR"/>
        <w:rPr>
          <w:lang w:val="en-US"/>
        </w:rPr>
      </w:pPr>
      <w:r>
        <w:t>11.</w:t>
      </w:r>
      <w:r>
        <w:tab/>
      </w:r>
      <w:r w:rsidR="005823F4">
        <w:t>Периодическое издание</w:t>
      </w:r>
      <w:r>
        <w:t xml:space="preserve"> выходит в свет раз в два года и готовится к печ</w:t>
      </w:r>
      <w:r>
        <w:t>а</w:t>
      </w:r>
      <w:r>
        <w:t>ти ТАРКИ (Институтом социальных исследований). В 2011 году был опублик</w:t>
      </w:r>
      <w:r>
        <w:t>о</w:t>
      </w:r>
      <w:r>
        <w:t>ван шестой том, озаглавлен</w:t>
      </w:r>
      <w:r w:rsidR="005823F4">
        <w:t>ный "</w:t>
      </w:r>
      <w:r>
        <w:t>Смена ролей</w:t>
      </w:r>
      <w:r w:rsidR="005823F4">
        <w:t xml:space="preserve"> − Д</w:t>
      </w:r>
      <w:r>
        <w:t xml:space="preserve">оклад о положении женщин и мужчин </w:t>
      </w:r>
      <w:r w:rsidR="005823F4">
        <w:t xml:space="preserve">за </w:t>
      </w:r>
      <w:r>
        <w:t>2011 го</w:t>
      </w:r>
      <w:r w:rsidR="005823F4">
        <w:t>д"</w:t>
      </w:r>
      <w:r>
        <w:t xml:space="preserve">, в котором содержится углубленный анализ причин и </w:t>
      </w:r>
      <w:r w:rsidR="005823F4">
        <w:t>п</w:t>
      </w:r>
      <w:r w:rsidR="005823F4">
        <w:t>о</w:t>
      </w:r>
      <w:r>
        <w:t>следствий социального неравенства и диспропорций между мужчинами и же</w:t>
      </w:r>
      <w:r>
        <w:t>н</w:t>
      </w:r>
      <w:r>
        <w:t>щинами в различных областях общественной жизни, а также приводятся соо</w:t>
      </w:r>
      <w:r>
        <w:t>т</w:t>
      </w:r>
      <w:r>
        <w:t>ветствующий анализ данных и различные и</w:t>
      </w:r>
      <w:r>
        <w:t>с</w:t>
      </w:r>
      <w:r>
        <w:t>следова</w:t>
      </w:r>
      <w:r w:rsidR="005823F4">
        <w:t>ния (</w:t>
      </w:r>
      <w:r>
        <w:t xml:space="preserve">среди которых следует </w:t>
      </w:r>
      <w:r w:rsidR="005823F4">
        <w:t>отметить, например, "</w:t>
      </w:r>
      <w:r>
        <w:t xml:space="preserve">Неравенство </w:t>
      </w:r>
      <w:r w:rsidR="005823F4">
        <w:t>в оплате</w:t>
      </w:r>
      <w:r>
        <w:t xml:space="preserve"> труда женщин и </w:t>
      </w:r>
      <w:r w:rsidR="00571BD2">
        <w:t>мужчин</w:t>
      </w:r>
      <w:r>
        <w:t xml:space="preserve"> Венгрии</w:t>
      </w:r>
      <w:r w:rsidR="005823F4">
        <w:t>"</w:t>
      </w:r>
      <w:r>
        <w:t xml:space="preserve">, </w:t>
      </w:r>
      <w:r w:rsidR="00571BD2">
        <w:t>"</w:t>
      </w:r>
      <w:r>
        <w:t>Взаимные последствия изменений в гендерных ролях и общественное мн</w:t>
      </w:r>
      <w:r>
        <w:t>е</w:t>
      </w:r>
      <w:r>
        <w:t>ни</w:t>
      </w:r>
      <w:r w:rsidR="00571BD2">
        <w:t>е"</w:t>
      </w:r>
      <w:r>
        <w:t xml:space="preserve">, </w:t>
      </w:r>
      <w:r w:rsidR="00571BD2">
        <w:t>"</w:t>
      </w:r>
      <w:r>
        <w:t>Противоречивые ожидания: роль мужчины в семье и образц</w:t>
      </w:r>
      <w:r>
        <w:t>о</w:t>
      </w:r>
      <w:r>
        <w:t>вые отцы в современной Венгрии</w:t>
      </w:r>
      <w:r w:rsidR="00571BD2">
        <w:t>"</w:t>
      </w:r>
      <w:r>
        <w:t xml:space="preserve">, </w:t>
      </w:r>
      <w:r w:rsidR="00571BD2">
        <w:t>"</w:t>
      </w:r>
      <w:r>
        <w:t>Женщины и мужчины на рынке труда с особым акце</w:t>
      </w:r>
      <w:r>
        <w:t>н</w:t>
      </w:r>
      <w:r>
        <w:t>том на пр</w:t>
      </w:r>
      <w:r>
        <w:t>е</w:t>
      </w:r>
      <w:r w:rsidR="00571BD2">
        <w:t>одолении</w:t>
      </w:r>
      <w:r>
        <w:t xml:space="preserve"> кризиса</w:t>
      </w:r>
      <w:r w:rsidR="00571BD2">
        <w:t>"</w:t>
      </w:r>
      <w:r w:rsidR="00234792">
        <w:t xml:space="preserve"> и т.п.</w:t>
      </w:r>
    </w:p>
    <w:p w:rsidR="00726B56" w:rsidRDefault="000C07FE" w:rsidP="000C07FE">
      <w:pPr>
        <w:pStyle w:val="H1GR"/>
      </w:pPr>
      <w:r w:rsidRPr="00234792">
        <w:tab/>
      </w:r>
      <w:r w:rsidRPr="00234792">
        <w:tab/>
      </w:r>
      <w:r w:rsidR="00726B56">
        <w:t xml:space="preserve">Правовой статус Конвенции и институциональные рамки </w:t>
      </w:r>
    </w:p>
    <w:p w:rsidR="00726B56" w:rsidRDefault="000C07FE" w:rsidP="000C07FE">
      <w:pPr>
        <w:pStyle w:val="H23GR"/>
      </w:pPr>
      <w:r>
        <w:rPr>
          <w:lang w:val="en-US"/>
        </w:rPr>
        <w:tab/>
      </w:r>
      <w:r>
        <w:rPr>
          <w:lang w:val="en-US"/>
        </w:rPr>
        <w:tab/>
      </w:r>
      <w:r w:rsidR="00726B56">
        <w:t xml:space="preserve">Ответы на вопросы, поставленные в пункте 2 перечня вопросов </w:t>
      </w:r>
    </w:p>
    <w:p w:rsidR="00726B56" w:rsidRDefault="00726B56" w:rsidP="000C07FE">
      <w:pPr>
        <w:pStyle w:val="SingleTxtGR"/>
      </w:pPr>
      <w:r>
        <w:t>12.</w:t>
      </w:r>
      <w:r>
        <w:tab/>
        <w:t>Прежде всего следует напомнить, что Конституция Венгрии утратила с</w:t>
      </w:r>
      <w:r>
        <w:t>и</w:t>
      </w:r>
      <w:r>
        <w:t xml:space="preserve">лу с вступлением в силу Основного закона 1 января 2012 года. Статья </w:t>
      </w:r>
      <w:r>
        <w:rPr>
          <w:lang w:val="en-US"/>
        </w:rPr>
        <w:t>XV</w:t>
      </w:r>
      <w:r>
        <w:t xml:space="preserve"> О</w:t>
      </w:r>
      <w:r>
        <w:t>с</w:t>
      </w:r>
      <w:r>
        <w:t>новного закона Венгрии устанавливает запрет</w:t>
      </w:r>
      <w:r w:rsidR="00571BD2">
        <w:t xml:space="preserve"> на дискриминацию</w:t>
      </w:r>
      <w:r w:rsidR="00164369">
        <w:t xml:space="preserve"> в целом</w:t>
      </w:r>
      <w:r w:rsidR="00164369" w:rsidRPr="00164369">
        <w:br/>
      </w:r>
      <w:r>
        <w:t>и обеспечивает равенство во</w:t>
      </w:r>
      <w:r>
        <w:t>з</w:t>
      </w:r>
      <w:r>
        <w:t xml:space="preserve">можностей следующим образом: </w:t>
      </w:r>
    </w:p>
    <w:p w:rsidR="00726B56" w:rsidRDefault="00726B56" w:rsidP="000C07FE">
      <w:pPr>
        <w:pStyle w:val="SingleTxtGR"/>
        <w:ind w:left="1701"/>
      </w:pPr>
      <w:r>
        <w:t xml:space="preserve">"Статья </w:t>
      </w:r>
      <w:r>
        <w:rPr>
          <w:lang w:val="en-US"/>
        </w:rPr>
        <w:t>XV</w:t>
      </w:r>
    </w:p>
    <w:p w:rsidR="00726B56" w:rsidRDefault="00726B56" w:rsidP="000C07FE">
      <w:pPr>
        <w:pStyle w:val="SingleTxtGR"/>
        <w:ind w:left="1701"/>
      </w:pPr>
      <w:r>
        <w:t>1)</w:t>
      </w:r>
      <w:r>
        <w:tab/>
        <w:t>Все люди равны перед законом. Каждый человек обладает прав</w:t>
      </w:r>
      <w:r>
        <w:t>о</w:t>
      </w:r>
      <w:r>
        <w:t xml:space="preserve">способностью. </w:t>
      </w:r>
    </w:p>
    <w:p w:rsidR="00726B56" w:rsidRDefault="00726B56" w:rsidP="000C07FE">
      <w:pPr>
        <w:pStyle w:val="SingleTxtGR"/>
        <w:ind w:left="1701"/>
      </w:pPr>
      <w:r>
        <w:t>2)</w:t>
      </w:r>
      <w:r>
        <w:tab/>
        <w:t>Венгрия обеспечивает основные права каждому без какой бы то ни было дискр</w:t>
      </w:r>
      <w:r w:rsidR="0041202F">
        <w:t>иминации по признаку расы, цвета</w:t>
      </w:r>
      <w:r>
        <w:t xml:space="preserve"> кожи, пола, инвалидности, языка, религии, политических или иных воззрений, национального или социального происхождения, финансового положения, рождения или л</w:t>
      </w:r>
      <w:r>
        <w:t>ю</w:t>
      </w:r>
      <w:r>
        <w:t>бых других обсто</w:t>
      </w:r>
      <w:r>
        <w:t>я</w:t>
      </w:r>
      <w:r>
        <w:t xml:space="preserve">тельств. </w:t>
      </w:r>
    </w:p>
    <w:p w:rsidR="00726B56" w:rsidRDefault="00726B56" w:rsidP="000C07FE">
      <w:pPr>
        <w:pStyle w:val="SingleTxtGR"/>
        <w:ind w:left="1701"/>
      </w:pPr>
      <w:r>
        <w:t>3)</w:t>
      </w:r>
      <w:r>
        <w:tab/>
        <w:t xml:space="preserve">Женщины и мужчины имеют равные права. </w:t>
      </w:r>
    </w:p>
    <w:p w:rsidR="00726B56" w:rsidRDefault="00726B56" w:rsidP="000C07FE">
      <w:pPr>
        <w:pStyle w:val="SingleTxtGR"/>
        <w:ind w:left="1701"/>
      </w:pPr>
      <w:r>
        <w:t>4)</w:t>
      </w:r>
      <w:r>
        <w:tab/>
        <w:t xml:space="preserve">Венгрия принимает специальные меры для содействия </w:t>
      </w:r>
      <w:r w:rsidR="00571BD2">
        <w:t>обеспеч</w:t>
      </w:r>
      <w:r w:rsidR="00571BD2">
        <w:t>е</w:t>
      </w:r>
      <w:r w:rsidR="00571BD2">
        <w:t>нию пр</w:t>
      </w:r>
      <w:r w:rsidR="00571BD2">
        <w:t>а</w:t>
      </w:r>
      <w:r w:rsidR="00571BD2">
        <w:t>вового</w:t>
      </w:r>
      <w:r>
        <w:t xml:space="preserve"> равенства.</w:t>
      </w:r>
    </w:p>
    <w:p w:rsidR="00726B56" w:rsidRDefault="00726B56" w:rsidP="000C07FE">
      <w:pPr>
        <w:pStyle w:val="SingleTxtGR"/>
        <w:ind w:left="1701"/>
      </w:pPr>
      <w:r>
        <w:t>5)</w:t>
      </w:r>
      <w:r>
        <w:tab/>
        <w:t>Венгрия принимает специальные меры для защиты детей, женщин, пр</w:t>
      </w:r>
      <w:r>
        <w:t>е</w:t>
      </w:r>
      <w:r>
        <w:t>старелых и инвалидов".</w:t>
      </w:r>
    </w:p>
    <w:p w:rsidR="00726B56" w:rsidRDefault="00726B56" w:rsidP="000C07FE">
      <w:pPr>
        <w:pStyle w:val="SingleTxtGR"/>
      </w:pPr>
      <w:r>
        <w:t>13.</w:t>
      </w:r>
      <w:r>
        <w:tab/>
        <w:t>Таким образом, ясно, что несколько положений вступившего в силу О</w:t>
      </w:r>
      <w:r>
        <w:t>с</w:t>
      </w:r>
      <w:r>
        <w:t>новного закона устанавливают запрет на негативную дискриминацию по пр</w:t>
      </w:r>
      <w:r>
        <w:t>и</w:t>
      </w:r>
      <w:r>
        <w:t>знаку пола, а также поощряют равенство возможностей и защит</w:t>
      </w:r>
      <w:r w:rsidR="0041202F">
        <w:t>у женщин.</w:t>
      </w:r>
      <w:r w:rsidR="0041202F">
        <w:br/>
      </w:r>
      <w:r>
        <w:t>В пункте 2) устанавливается общий запрет, пункт 3) относится конкретно к пр</w:t>
      </w:r>
      <w:r>
        <w:t>а</w:t>
      </w:r>
      <w:r>
        <w:t>вам женщин, а пункт 5) устанавливает защ</w:t>
      </w:r>
      <w:r>
        <w:t>и</w:t>
      </w:r>
      <w:r>
        <w:t xml:space="preserve">ту женщин посредством позитивной дискриминации. </w:t>
      </w:r>
    </w:p>
    <w:p w:rsidR="00726B56" w:rsidRDefault="0041202F" w:rsidP="000C07FE">
      <w:pPr>
        <w:pStyle w:val="SingleTxtGR"/>
      </w:pPr>
      <w:r>
        <w:t>14.</w:t>
      </w:r>
      <w:r>
        <w:tab/>
        <w:t>Статья 1 Конвенции</w:t>
      </w:r>
      <w:r w:rsidR="00726B56">
        <w:t xml:space="preserve"> о ликвидации всех форм дискриминации в отнош</w:t>
      </w:r>
      <w:r w:rsidR="00726B56">
        <w:t>е</w:t>
      </w:r>
      <w:r w:rsidR="00726B56">
        <w:t>нии женщин гласит: "Для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w:t>
      </w:r>
      <w:r w:rsidR="00726B56">
        <w:t>а</w:t>
      </w:r>
      <w:r w:rsidR="00726B56">
        <w:t>ние, пользование или осуществление женщинами, независимо от их семейного положения, на основе равноправия мужчин и женщин, прав человека и осно</w:t>
      </w:r>
      <w:r w:rsidR="00726B56">
        <w:t>в</w:t>
      </w:r>
      <w:r w:rsidR="00726B56">
        <w:t>ных свобод в политической, экономической, социальной, культурной, гражда</w:t>
      </w:r>
      <w:r w:rsidR="00726B56">
        <w:t>н</w:t>
      </w:r>
      <w:r w:rsidR="00726B56">
        <w:t xml:space="preserve">ской или любой другой области". </w:t>
      </w:r>
    </w:p>
    <w:p w:rsidR="00726B56" w:rsidRDefault="00726B56" w:rsidP="000C07FE">
      <w:pPr>
        <w:pStyle w:val="SingleTxtGR"/>
      </w:pPr>
      <w:r>
        <w:t>15.</w:t>
      </w:r>
      <w:r>
        <w:tab/>
        <w:t>Данный раздел Основного закона Венгрии остается неизменным по сра</w:t>
      </w:r>
      <w:r>
        <w:t>в</w:t>
      </w:r>
      <w:r>
        <w:t xml:space="preserve">нению с ранее действовавшей Конституцией и по-прежнему гарантирует </w:t>
      </w:r>
      <w:r w:rsidR="00571BD2">
        <w:t>з</w:t>
      </w:r>
      <w:r w:rsidR="00571BD2">
        <w:t>а</w:t>
      </w:r>
      <w:r w:rsidR="00571BD2">
        <w:t>прещение</w:t>
      </w:r>
      <w:r>
        <w:t xml:space="preserve"> негативной дискриминации в отношении любого человека по указа</w:t>
      </w:r>
      <w:r>
        <w:t>н</w:t>
      </w:r>
      <w:r>
        <w:t>ным признакам. Основной закон − как и ранее действовавшая Конституция − предусматривает открытое толкование определения "других" категорий, что п</w:t>
      </w:r>
      <w:r>
        <w:t>о</w:t>
      </w:r>
      <w:r>
        <w:t>зволяет законодателям определять дополнительные основания для защиты. Т</w:t>
      </w:r>
      <w:r>
        <w:t>а</w:t>
      </w:r>
      <w:r>
        <w:t xml:space="preserve">кие основания для защиты конкретно перечислены в пункте 8 Закона </w:t>
      </w:r>
      <w:r>
        <w:rPr>
          <w:lang w:val="en-US"/>
        </w:rPr>
        <w:t>CXXV</w:t>
      </w:r>
      <w:r w:rsidR="00164369">
        <w:t xml:space="preserve"> </w:t>
      </w:r>
      <w:r>
        <w:t>2003 года о равном обращении и содействии обеспечению равных возможн</w:t>
      </w:r>
      <w:r>
        <w:t>о</w:t>
      </w:r>
      <w:r>
        <w:t>стей (</w:t>
      </w:r>
      <w:r w:rsidR="00571BD2">
        <w:t>далее −</w:t>
      </w:r>
      <w:r>
        <w:t xml:space="preserve"> "Закон о равном обращении"), </w:t>
      </w:r>
      <w:r w:rsidR="00571BD2">
        <w:t>что фактически</w:t>
      </w:r>
      <w:r>
        <w:t xml:space="preserve"> </w:t>
      </w:r>
      <w:r w:rsidR="00571BD2">
        <w:t>охват</w:t>
      </w:r>
      <w:r w:rsidR="00571BD2">
        <w:t>ы</w:t>
      </w:r>
      <w:r w:rsidR="00571BD2">
        <w:t>вает</w:t>
      </w:r>
      <w:r>
        <w:t xml:space="preserve"> все возможные статусы и </w:t>
      </w:r>
      <w:r w:rsidR="00571BD2">
        <w:t>основания</w:t>
      </w:r>
      <w:r w:rsidR="00842D42">
        <w:t>.</w:t>
      </w:r>
    </w:p>
    <w:p w:rsidR="00726B56" w:rsidRPr="00164369" w:rsidRDefault="00726B56" w:rsidP="000C07FE">
      <w:pPr>
        <w:pStyle w:val="SingleTxtGR"/>
      </w:pPr>
      <w:r>
        <w:t>16.</w:t>
      </w:r>
      <w:r>
        <w:tab/>
        <w:t xml:space="preserve">В этой связи мы считаем, что </w:t>
      </w:r>
      <w:r w:rsidR="00571BD2">
        <w:t>дополнительное толкование</w:t>
      </w:r>
      <w:r>
        <w:t xml:space="preserve"> просьбы Ком</w:t>
      </w:r>
      <w:r>
        <w:t>и</w:t>
      </w:r>
      <w:r>
        <w:t>тета к Венгрии включить определение "дискриминации в отношении женщин</w:t>
      </w:r>
      <w:r w:rsidR="00164369">
        <w:t>"</w:t>
      </w:r>
      <w:r w:rsidR="00164369" w:rsidRPr="00164369">
        <w:br/>
      </w:r>
      <w:r>
        <w:t xml:space="preserve">в соответствующих законах отсутствует, поскольку статья </w:t>
      </w:r>
      <w:r>
        <w:rPr>
          <w:lang w:val="en-US"/>
        </w:rPr>
        <w:t>XV</w:t>
      </w:r>
      <w:r>
        <w:t xml:space="preserve"> действующего Основного за</w:t>
      </w:r>
      <w:r w:rsidR="00571BD2">
        <w:t>кона, Закон</w:t>
      </w:r>
      <w:r>
        <w:t xml:space="preserve"> о равном обращении и соответствующая практика как Конституционного суда, так и </w:t>
      </w:r>
      <w:r w:rsidR="00571BD2">
        <w:t>обычных</w:t>
      </w:r>
      <w:r>
        <w:t xml:space="preserve"> судов уже предусматривают полную г</w:t>
      </w:r>
      <w:r>
        <w:t>а</w:t>
      </w:r>
      <w:r>
        <w:t xml:space="preserve">рантию осуществления, поощрения и </w:t>
      </w:r>
      <w:r w:rsidR="00571BD2">
        <w:t>претворения</w:t>
      </w:r>
      <w:r>
        <w:t xml:space="preserve"> в жизнь в Венгрии целей, определенных в статье 1 Конвенции</w:t>
      </w:r>
      <w:r w:rsidR="00571BD2">
        <w:t>,</w:t>
      </w:r>
      <w:r>
        <w:t xml:space="preserve"> даже без конкретного определения самой концепции.</w:t>
      </w:r>
    </w:p>
    <w:p w:rsidR="00234792" w:rsidRDefault="00234792" w:rsidP="00234792">
      <w:pPr>
        <w:pStyle w:val="H23GR"/>
      </w:pPr>
      <w:r>
        <w:tab/>
      </w:r>
      <w:r>
        <w:tab/>
      </w:r>
      <w:r w:rsidRPr="0057241A">
        <w:t>Ответ</w:t>
      </w:r>
      <w:r>
        <w:t>ы</w:t>
      </w:r>
      <w:r w:rsidRPr="0057241A">
        <w:t xml:space="preserve"> на вопросы, </w:t>
      </w:r>
      <w:r>
        <w:t>поставленные в пункте 3 перечня вопросов</w:t>
      </w:r>
    </w:p>
    <w:p w:rsidR="00234792" w:rsidRDefault="00234792" w:rsidP="00234792">
      <w:pPr>
        <w:pStyle w:val="SingleTxtGR"/>
      </w:pPr>
      <w:r w:rsidRPr="00282077">
        <w:t>17.</w:t>
      </w:r>
      <w:r>
        <w:tab/>
        <w:t>По данному вопросу у Национального</w:t>
      </w:r>
      <w:r w:rsidRPr="00282077">
        <w:t xml:space="preserve"> </w:t>
      </w:r>
      <w:r>
        <w:t>управления по делам судебных о</w:t>
      </w:r>
      <w:r>
        <w:t>р</w:t>
      </w:r>
      <w:r>
        <w:t xml:space="preserve">ганов </w:t>
      </w:r>
      <w:r w:rsidRPr="00282077">
        <w:t>и</w:t>
      </w:r>
      <w:r w:rsidRPr="00282077">
        <w:t>н</w:t>
      </w:r>
      <w:r>
        <w:t>формация</w:t>
      </w:r>
      <w:r w:rsidRPr="00282077">
        <w:t xml:space="preserve"> о конкретных судебных дел</w:t>
      </w:r>
      <w:r>
        <w:t>ах отсутствует</w:t>
      </w:r>
      <w:r w:rsidRPr="00282077">
        <w:t>.</w:t>
      </w:r>
    </w:p>
    <w:p w:rsidR="00234792" w:rsidRDefault="00234792" w:rsidP="00234792">
      <w:pPr>
        <w:pStyle w:val="SingleTxtGR"/>
      </w:pPr>
      <w:r w:rsidRPr="00282077">
        <w:t>18.</w:t>
      </w:r>
      <w:r>
        <w:tab/>
        <w:t>Выработка</w:t>
      </w:r>
      <w:r w:rsidRPr="00282077">
        <w:t xml:space="preserve"> </w:t>
      </w:r>
      <w:r>
        <w:t>единого</w:t>
      </w:r>
      <w:r w:rsidRPr="00282077">
        <w:t xml:space="preserve"> </w:t>
      </w:r>
      <w:r>
        <w:t>подхода</w:t>
      </w:r>
      <w:r w:rsidRPr="00282077">
        <w:t xml:space="preserve"> </w:t>
      </w:r>
      <w:r>
        <w:t>− чрезвычайно важная задача</w:t>
      </w:r>
      <w:r w:rsidRPr="00282077">
        <w:t xml:space="preserve">, </w:t>
      </w:r>
      <w:r>
        <w:t>поскольку, е</w:t>
      </w:r>
      <w:r>
        <w:t>с</w:t>
      </w:r>
      <w:r>
        <w:t>ли имеют место нарушения закона</w:t>
      </w:r>
      <w:r w:rsidRPr="00282077">
        <w:t xml:space="preserve">, </w:t>
      </w:r>
      <w:r>
        <w:t>затрагивающие</w:t>
      </w:r>
      <w:r w:rsidRPr="00282077">
        <w:t xml:space="preserve"> женщин (</w:t>
      </w:r>
      <w:r>
        <w:t xml:space="preserve">это </w:t>
      </w:r>
      <w:r w:rsidRPr="00282077">
        <w:t>может быть насилие в семье, домогатель</w:t>
      </w:r>
      <w:r>
        <w:t>ства на работе или любая другая форма незаконн</w:t>
      </w:r>
      <w:r>
        <w:t>о</w:t>
      </w:r>
      <w:r>
        <w:t xml:space="preserve">го </w:t>
      </w:r>
      <w:r w:rsidRPr="00282077">
        <w:t>поведения)</w:t>
      </w:r>
      <w:r>
        <w:t>, а структура или</w:t>
      </w:r>
      <w:r w:rsidRPr="00282077">
        <w:t xml:space="preserve"> орган</w:t>
      </w:r>
      <w:r>
        <w:t xml:space="preserve"> по борьбе</w:t>
      </w:r>
      <w:r w:rsidRPr="00282077">
        <w:t xml:space="preserve"> с преступностью</w:t>
      </w:r>
      <w:r>
        <w:t>,</w:t>
      </w:r>
      <w:r w:rsidRPr="00282077">
        <w:t xml:space="preserve"> котор</w:t>
      </w:r>
      <w:r>
        <w:t>ый</w:t>
      </w:r>
      <w:r w:rsidRPr="00282077">
        <w:t xml:space="preserve"> </w:t>
      </w:r>
      <w:r>
        <w:t>пе</w:t>
      </w:r>
      <w:r>
        <w:t>р</w:t>
      </w:r>
      <w:r>
        <w:t>вым сталкивается</w:t>
      </w:r>
      <w:r w:rsidRPr="00282077">
        <w:t xml:space="preserve"> с</w:t>
      </w:r>
      <w:r>
        <w:t xml:space="preserve"> данной</w:t>
      </w:r>
      <w:r w:rsidRPr="00282077">
        <w:t xml:space="preserve"> ситуаци</w:t>
      </w:r>
      <w:r>
        <w:t xml:space="preserve">ей (это, как правило, </w:t>
      </w:r>
      <w:r w:rsidRPr="00282077">
        <w:t>поли</w:t>
      </w:r>
      <w:r>
        <w:t>ция или</w:t>
      </w:r>
      <w:r w:rsidRPr="00282077">
        <w:t xml:space="preserve"> в не</w:t>
      </w:r>
      <w:r>
        <w:t>кот</w:t>
      </w:r>
      <w:r>
        <w:t>о</w:t>
      </w:r>
      <w:r>
        <w:t>рых случаях государственная прокуратура</w:t>
      </w:r>
      <w:r w:rsidRPr="00282077">
        <w:t>)</w:t>
      </w:r>
      <w:r>
        <w:t>,</w:t>
      </w:r>
      <w:r w:rsidRPr="00282077">
        <w:t xml:space="preserve"> не</w:t>
      </w:r>
      <w:r>
        <w:t xml:space="preserve"> действует достаточно операти</w:t>
      </w:r>
      <w:r>
        <w:t>в</w:t>
      </w:r>
      <w:r>
        <w:t xml:space="preserve">но и </w:t>
      </w:r>
      <w:r w:rsidRPr="00282077">
        <w:t xml:space="preserve">надлежащим </w:t>
      </w:r>
      <w:r>
        <w:t xml:space="preserve">образом, потерпевшие лишаются </w:t>
      </w:r>
      <w:r w:rsidRPr="00282077">
        <w:t>возможности</w:t>
      </w:r>
      <w:r>
        <w:t xml:space="preserve"> получить</w:t>
      </w:r>
      <w:r w:rsidRPr="00282077">
        <w:t xml:space="preserve"> пр</w:t>
      </w:r>
      <w:r w:rsidRPr="00282077">
        <w:t>а</w:t>
      </w:r>
      <w:r w:rsidRPr="00282077">
        <w:t>во</w:t>
      </w:r>
      <w:r>
        <w:t>вую</w:t>
      </w:r>
      <w:r w:rsidRPr="00282077">
        <w:t xml:space="preserve"> защи</w:t>
      </w:r>
      <w:r>
        <w:t>ту</w:t>
      </w:r>
      <w:r w:rsidRPr="00282077">
        <w:t xml:space="preserve">. </w:t>
      </w:r>
      <w:r>
        <w:t>Правонарушения в отношении</w:t>
      </w:r>
      <w:r w:rsidRPr="00282077">
        <w:t xml:space="preserve"> женщин часто</w:t>
      </w:r>
      <w:r>
        <w:t xml:space="preserve"> сопровождаются правонарушениями</w:t>
      </w:r>
      <w:r w:rsidRPr="00282077">
        <w:t xml:space="preserve"> в отношении детей (типичным</w:t>
      </w:r>
      <w:r>
        <w:t xml:space="preserve"> примером служит</w:t>
      </w:r>
      <w:r w:rsidRPr="00282077">
        <w:t xml:space="preserve"> насилие в с</w:t>
      </w:r>
      <w:r w:rsidRPr="00282077">
        <w:t>е</w:t>
      </w:r>
      <w:r w:rsidRPr="00282077">
        <w:t xml:space="preserve">мье), </w:t>
      </w:r>
      <w:r>
        <w:t>когда долг</w:t>
      </w:r>
      <w:r w:rsidRPr="00282077">
        <w:t xml:space="preserve"> матери</w:t>
      </w:r>
      <w:r>
        <w:t xml:space="preserve"> заключается в </w:t>
      </w:r>
      <w:r w:rsidRPr="00282077">
        <w:t>обеспече</w:t>
      </w:r>
      <w:r>
        <w:t>нии</w:t>
      </w:r>
      <w:r w:rsidRPr="00282077">
        <w:t xml:space="preserve"> правовой защиты ребенка, но</w:t>
      </w:r>
      <w:r>
        <w:t xml:space="preserve"> она сама</w:t>
      </w:r>
      <w:r w:rsidRPr="00282077">
        <w:t xml:space="preserve"> может оказаться в </w:t>
      </w:r>
      <w:r>
        <w:t>аналогичном положении и может нуждаться в защите.</w:t>
      </w:r>
      <w:r w:rsidRPr="00282077">
        <w:t xml:space="preserve"> Различные системы</w:t>
      </w:r>
      <w:r>
        <w:t xml:space="preserve"> сигнализации часто работают формально</w:t>
      </w:r>
      <w:r w:rsidRPr="00282077">
        <w:t>,</w:t>
      </w:r>
      <w:r>
        <w:t xml:space="preserve"> и поэт</w:t>
      </w:r>
      <w:r>
        <w:t>о</w:t>
      </w:r>
      <w:r>
        <w:t xml:space="preserve">му нередко невозможно получить реальную помощь своевременно. </w:t>
      </w:r>
      <w:r w:rsidRPr="00282077">
        <w:t>Среди пр</w:t>
      </w:r>
      <w:r w:rsidRPr="00282077">
        <w:t>и</w:t>
      </w:r>
      <w:r w:rsidRPr="00282077">
        <w:t xml:space="preserve">чин </w:t>
      </w:r>
      <w:r>
        <w:t xml:space="preserve">такого положения, помимо </w:t>
      </w:r>
      <w:r w:rsidRPr="00282077">
        <w:t>недоста</w:t>
      </w:r>
      <w:r>
        <w:t>точной</w:t>
      </w:r>
      <w:r w:rsidRPr="00282077">
        <w:t xml:space="preserve"> осведомленности </w:t>
      </w:r>
      <w:r>
        <w:t xml:space="preserve">потерпевших, следует отметить такие факторы, как </w:t>
      </w:r>
      <w:r w:rsidRPr="00282077">
        <w:t xml:space="preserve">отсутствие </w:t>
      </w:r>
      <w:r>
        <w:t xml:space="preserve">соответствующих </w:t>
      </w:r>
      <w:r w:rsidRPr="00282077">
        <w:t xml:space="preserve">знаний </w:t>
      </w:r>
      <w:r>
        <w:t xml:space="preserve">у </w:t>
      </w:r>
      <w:r w:rsidRPr="00282077">
        <w:t xml:space="preserve">тех, кто призван оказывать помощь, </w:t>
      </w:r>
      <w:r>
        <w:t>проблемы общего подхода и</w:t>
      </w:r>
      <w:r w:rsidRPr="00282077">
        <w:t xml:space="preserve"> отсутствие должного сотрудн</w:t>
      </w:r>
      <w:r w:rsidRPr="00282077">
        <w:t>и</w:t>
      </w:r>
      <w:r w:rsidRPr="00282077">
        <w:t>чества.</w:t>
      </w:r>
    </w:p>
    <w:p w:rsidR="00234792" w:rsidRDefault="00234792" w:rsidP="00234792">
      <w:pPr>
        <w:pStyle w:val="SingleTxtGR"/>
      </w:pPr>
      <w:r w:rsidRPr="00282077">
        <w:t>19.</w:t>
      </w:r>
      <w:r>
        <w:tab/>
        <w:t xml:space="preserve">Учебные занятия, которые могут быть организованы в виде однодневных или двухдневных курсов, </w:t>
      </w:r>
      <w:r w:rsidRPr="00282077">
        <w:t xml:space="preserve">проводимых </w:t>
      </w:r>
      <w:r>
        <w:t xml:space="preserve">различными </w:t>
      </w:r>
      <w:r w:rsidRPr="00282077">
        <w:t xml:space="preserve">ведущими </w:t>
      </w:r>
      <w:r>
        <w:t xml:space="preserve">− </w:t>
      </w:r>
      <w:r w:rsidRPr="00282077">
        <w:t xml:space="preserve">от юристов и </w:t>
      </w:r>
      <w:r>
        <w:t>специалистов по</w:t>
      </w:r>
      <w:r w:rsidRPr="00282077">
        <w:t xml:space="preserve"> государствен</w:t>
      </w:r>
      <w:r>
        <w:t xml:space="preserve">ному управлению до </w:t>
      </w:r>
      <w:r w:rsidRPr="00282077">
        <w:t>социологов, психологов и представителей</w:t>
      </w:r>
      <w:r>
        <w:t xml:space="preserve"> НПО, </w:t>
      </w:r>
      <w:r w:rsidRPr="00282077">
        <w:t>специализиру</w:t>
      </w:r>
      <w:r>
        <w:t>ющихся</w:t>
      </w:r>
      <w:r w:rsidRPr="00282077">
        <w:t xml:space="preserve"> в </w:t>
      </w:r>
      <w:r>
        <w:t>данной</w:t>
      </w:r>
      <w:r w:rsidRPr="00282077">
        <w:t xml:space="preserve"> об</w:t>
      </w:r>
      <w:r>
        <w:t>ласти, − буду</w:t>
      </w:r>
      <w:r w:rsidRPr="00282077">
        <w:t>т</w:t>
      </w:r>
      <w:r>
        <w:t xml:space="preserve"> поле</w:t>
      </w:r>
      <w:r>
        <w:t>з</w:t>
      </w:r>
      <w:r>
        <w:t>ными для того, чтобы составить у участников</w:t>
      </w:r>
      <w:r w:rsidRPr="00282077">
        <w:t xml:space="preserve"> </w:t>
      </w:r>
      <w:r>
        <w:t xml:space="preserve">курсов общее </w:t>
      </w:r>
      <w:r w:rsidRPr="00282077">
        <w:t>представле</w:t>
      </w:r>
      <w:r>
        <w:t xml:space="preserve">ние обо </w:t>
      </w:r>
      <w:r w:rsidRPr="00282077">
        <w:t>всех аспек</w:t>
      </w:r>
      <w:r>
        <w:t>тах</w:t>
      </w:r>
      <w:r w:rsidRPr="00282077">
        <w:t xml:space="preserve"> </w:t>
      </w:r>
      <w:r>
        <w:t>данной</w:t>
      </w:r>
      <w:r w:rsidRPr="00282077">
        <w:t xml:space="preserve"> проблемы</w:t>
      </w:r>
      <w:r>
        <w:t>, а также</w:t>
      </w:r>
      <w:r w:rsidRPr="00282077">
        <w:t xml:space="preserve"> для разработки</w:t>
      </w:r>
      <w:r>
        <w:t xml:space="preserve"> единого подхода, кот</w:t>
      </w:r>
      <w:r>
        <w:t>о</w:t>
      </w:r>
      <w:r>
        <w:t xml:space="preserve">рый в будущем </w:t>
      </w:r>
      <w:r w:rsidRPr="00282077">
        <w:t xml:space="preserve">облегчил бы </w:t>
      </w:r>
      <w:r>
        <w:t>сотрудничество</w:t>
      </w:r>
      <w:r w:rsidRPr="00282077">
        <w:t xml:space="preserve"> и </w:t>
      </w:r>
      <w:r>
        <w:t xml:space="preserve">повысил </w:t>
      </w:r>
      <w:r w:rsidRPr="00282077">
        <w:t>эффектив</w:t>
      </w:r>
      <w:r>
        <w:t>ность средств</w:t>
      </w:r>
      <w:r w:rsidRPr="00282077">
        <w:t xml:space="preserve"> </w:t>
      </w:r>
      <w:r>
        <w:t>правовой</w:t>
      </w:r>
      <w:r w:rsidRPr="00282077">
        <w:t xml:space="preserve"> защиты.</w:t>
      </w:r>
      <w:r>
        <w:t xml:space="preserve"> Что</w:t>
      </w:r>
      <w:r w:rsidRPr="00282077">
        <w:t xml:space="preserve"> касается методики преподавания, было бы полезно</w:t>
      </w:r>
      <w:r>
        <w:t xml:space="preserve"> о</w:t>
      </w:r>
      <w:r>
        <w:t>б</w:t>
      </w:r>
      <w:r>
        <w:t xml:space="preserve">суждать конкретные юридические примеры и использовать </w:t>
      </w:r>
      <w:r w:rsidRPr="00282077">
        <w:t>ролевые игры.</w:t>
      </w:r>
      <w:r>
        <w:t xml:space="preserve"> Ан</w:t>
      </w:r>
      <w:r>
        <w:t>а</w:t>
      </w:r>
      <w:r>
        <w:t xml:space="preserve">логичные </w:t>
      </w:r>
      <w:r w:rsidRPr="00282077">
        <w:t>методи</w:t>
      </w:r>
      <w:r>
        <w:t>ки</w:t>
      </w:r>
      <w:r w:rsidRPr="00282077">
        <w:t xml:space="preserve"> уже успешно </w:t>
      </w:r>
      <w:r>
        <w:t>применяются</w:t>
      </w:r>
      <w:r w:rsidRPr="00282077">
        <w:t xml:space="preserve"> в программах профессио</w:t>
      </w:r>
      <w:r>
        <w:t>нал</w:t>
      </w:r>
      <w:r>
        <w:t>ь</w:t>
      </w:r>
      <w:r>
        <w:t>ной подготовки</w:t>
      </w:r>
      <w:r w:rsidRPr="00282077">
        <w:t>, предлага</w:t>
      </w:r>
      <w:r>
        <w:t>емых В</w:t>
      </w:r>
      <w:r w:rsidRPr="00282077">
        <w:t>енгерской</w:t>
      </w:r>
      <w:r>
        <w:t xml:space="preserve"> юридической</w:t>
      </w:r>
      <w:r w:rsidRPr="00282077">
        <w:t xml:space="preserve"> </w:t>
      </w:r>
      <w:r>
        <w:t>академией</w:t>
      </w:r>
      <w:r w:rsidRPr="00282077">
        <w:t xml:space="preserve"> (хорошим примером </w:t>
      </w:r>
      <w:r>
        <w:t>служит обучение посредничеству с распределением ролей в рассма</w:t>
      </w:r>
      <w:r>
        <w:t>т</w:t>
      </w:r>
      <w:r>
        <w:t>риваемых делах между судьями, что помогает им лучше понять другие стороны и развивает эмпатию).</w:t>
      </w:r>
    </w:p>
    <w:p w:rsidR="00234792" w:rsidRDefault="00234792" w:rsidP="00234792">
      <w:pPr>
        <w:pStyle w:val="SingleTxtGR"/>
      </w:pPr>
      <w:r w:rsidRPr="00282077">
        <w:t>20.</w:t>
      </w:r>
      <w:r>
        <w:tab/>
        <w:t>Такую серию учебных занятий можно было бы включить</w:t>
      </w:r>
      <w:r w:rsidRPr="00282077">
        <w:t xml:space="preserve"> в програм</w:t>
      </w:r>
      <w:r>
        <w:t>му</w:t>
      </w:r>
      <w:r w:rsidRPr="00282077">
        <w:t xml:space="preserve"> профессиональной </w:t>
      </w:r>
      <w:r>
        <w:t xml:space="preserve">подготовки в </w:t>
      </w:r>
      <w:r w:rsidRPr="00282077">
        <w:t>Венгерской</w:t>
      </w:r>
      <w:r>
        <w:t xml:space="preserve"> юридической</w:t>
      </w:r>
      <w:r w:rsidRPr="00282077">
        <w:t xml:space="preserve"> академии</w:t>
      </w:r>
      <w:r>
        <w:t>, которая</w:t>
      </w:r>
      <w:r w:rsidRPr="00282077">
        <w:t xml:space="preserve"> </w:t>
      </w:r>
      <w:r>
        <w:t xml:space="preserve">приняла бы </w:t>
      </w:r>
      <w:r w:rsidRPr="00282077">
        <w:t>также</w:t>
      </w:r>
      <w:r>
        <w:t xml:space="preserve"> </w:t>
      </w:r>
      <w:r w:rsidRPr="00282077">
        <w:t xml:space="preserve">участие в </w:t>
      </w:r>
      <w:r>
        <w:t xml:space="preserve">разработке </w:t>
      </w:r>
      <w:r w:rsidRPr="00282077">
        <w:t xml:space="preserve">содержания курса и методики обучения. </w:t>
      </w:r>
      <w:r>
        <w:t>Академия</w:t>
      </w:r>
      <w:r w:rsidRPr="00282077">
        <w:t xml:space="preserve"> уже</w:t>
      </w:r>
      <w:r>
        <w:t xml:space="preserve"> рассматривала аналогичные вопросы, связанные с </w:t>
      </w:r>
      <w:r w:rsidRPr="00282077">
        <w:t>уязвимо</w:t>
      </w:r>
      <w:r>
        <w:t>стью</w:t>
      </w:r>
      <w:r w:rsidRPr="00282077">
        <w:t xml:space="preserve"> несовершеннолет</w:t>
      </w:r>
      <w:r>
        <w:t xml:space="preserve">них и их травлей, </w:t>
      </w:r>
      <w:r w:rsidRPr="00282077">
        <w:t>а</w:t>
      </w:r>
      <w:r>
        <w:t xml:space="preserve"> также занималась обучением судей семе</w:t>
      </w:r>
      <w:r>
        <w:t>й</w:t>
      </w:r>
      <w:r>
        <w:t xml:space="preserve">ному праву, и дополнительные </w:t>
      </w:r>
      <w:r w:rsidRPr="00282077">
        <w:t>аналогич</w:t>
      </w:r>
      <w:r>
        <w:t>ные</w:t>
      </w:r>
      <w:r w:rsidRPr="00282077">
        <w:t xml:space="preserve"> профессиональ</w:t>
      </w:r>
      <w:r>
        <w:t>ные</w:t>
      </w:r>
      <w:r w:rsidRPr="00282077">
        <w:t xml:space="preserve"> программ</w:t>
      </w:r>
      <w:r>
        <w:t>ы уже</w:t>
      </w:r>
      <w:r w:rsidRPr="00282077">
        <w:t xml:space="preserve"> запланирован</w:t>
      </w:r>
      <w:r>
        <w:t>ы</w:t>
      </w:r>
      <w:r w:rsidRPr="00282077">
        <w:t xml:space="preserve"> на б</w:t>
      </w:r>
      <w:r w:rsidRPr="00282077">
        <w:t>у</w:t>
      </w:r>
      <w:r w:rsidRPr="00282077">
        <w:t>дущее.</w:t>
      </w:r>
    </w:p>
    <w:p w:rsidR="00234792" w:rsidRPr="0057241A" w:rsidRDefault="00234792" w:rsidP="00234792">
      <w:pPr>
        <w:pStyle w:val="H23GR"/>
      </w:pPr>
      <w:r>
        <w:tab/>
      </w:r>
      <w:r>
        <w:tab/>
      </w:r>
      <w:r w:rsidRPr="0057241A">
        <w:t>Ответ</w:t>
      </w:r>
      <w:r>
        <w:t>ы</w:t>
      </w:r>
      <w:r w:rsidRPr="0057241A">
        <w:t xml:space="preserve"> на вопросы, </w:t>
      </w:r>
      <w:r>
        <w:t>поставленные</w:t>
      </w:r>
      <w:r w:rsidRPr="0057241A">
        <w:t xml:space="preserve"> в пункте 4 перечня вопросов</w:t>
      </w:r>
    </w:p>
    <w:p w:rsidR="00234792" w:rsidRDefault="00234792" w:rsidP="00234792">
      <w:pPr>
        <w:pStyle w:val="SingleTxtGR"/>
      </w:pPr>
      <w:r w:rsidRPr="00282077">
        <w:t>21.</w:t>
      </w:r>
      <w:r>
        <w:tab/>
      </w:r>
      <w:r w:rsidRPr="00282077">
        <w:t>Поправки,</w:t>
      </w:r>
      <w:r>
        <w:t xml:space="preserve"> связанные с изменением правового статуса данного государс</w:t>
      </w:r>
      <w:r>
        <w:t>т</w:t>
      </w:r>
      <w:r>
        <w:t>венного органа, содержатся в</w:t>
      </w:r>
      <w:r w:rsidRPr="00282077">
        <w:t xml:space="preserve"> Законе CXXV 2003 года о равном обращении и </w:t>
      </w:r>
      <w:r>
        <w:t>содействии</w:t>
      </w:r>
      <w:r w:rsidRPr="00282077">
        <w:t xml:space="preserve"> рав</w:t>
      </w:r>
      <w:r>
        <w:t>енству</w:t>
      </w:r>
      <w:r w:rsidRPr="00282077">
        <w:t xml:space="preserve"> возможно</w:t>
      </w:r>
      <w:r>
        <w:t>стей</w:t>
      </w:r>
      <w:r w:rsidRPr="00282077">
        <w:t xml:space="preserve"> (</w:t>
      </w:r>
      <w:r>
        <w:t>"</w:t>
      </w:r>
      <w:r w:rsidRPr="00282077">
        <w:t>Закон о равном обращении</w:t>
      </w:r>
      <w:r>
        <w:t>"</w:t>
      </w:r>
      <w:r w:rsidRPr="00282077">
        <w:t>), Зак</w:t>
      </w:r>
      <w:r w:rsidRPr="00282077">
        <w:t>о</w:t>
      </w:r>
      <w:r w:rsidRPr="00282077">
        <w:t>н</w:t>
      </w:r>
      <w:r>
        <w:t>е </w:t>
      </w:r>
      <w:r w:rsidRPr="00282077">
        <w:t>CXL 2004 года об общих правилах</w:t>
      </w:r>
      <w:r>
        <w:t xml:space="preserve"> </w:t>
      </w:r>
      <w:r w:rsidRPr="00282077">
        <w:t>процедур и услуг</w:t>
      </w:r>
      <w:r>
        <w:t xml:space="preserve"> </w:t>
      </w:r>
      <w:r w:rsidRPr="00282077">
        <w:t>административ</w:t>
      </w:r>
      <w:r>
        <w:t>ных о</w:t>
      </w:r>
      <w:r>
        <w:t>р</w:t>
      </w:r>
      <w:r>
        <w:t xml:space="preserve">ганов, а </w:t>
      </w:r>
      <w:r w:rsidRPr="00282077">
        <w:t>также</w:t>
      </w:r>
      <w:r>
        <w:t xml:space="preserve"> в других соответствующих законах и </w:t>
      </w:r>
      <w:r w:rsidRPr="00282077">
        <w:t>пунк</w:t>
      </w:r>
      <w:r>
        <w:t>те</w:t>
      </w:r>
      <w:r w:rsidRPr="00282077">
        <w:t xml:space="preserve"> 37 Закона CLXXIV о внесении</w:t>
      </w:r>
      <w:r>
        <w:t xml:space="preserve"> поправок в законы, конкретно </w:t>
      </w:r>
      <w:r w:rsidRPr="00282077">
        <w:t>связан</w:t>
      </w:r>
      <w:r>
        <w:t>ные</w:t>
      </w:r>
      <w:r w:rsidRPr="00282077">
        <w:t xml:space="preserve"> с</w:t>
      </w:r>
      <w:r>
        <w:t xml:space="preserve"> пересмотром </w:t>
      </w:r>
      <w:r w:rsidRPr="00282077">
        <w:t>полном</w:t>
      </w:r>
      <w:r w:rsidRPr="00282077">
        <w:t>о</w:t>
      </w:r>
      <w:r w:rsidRPr="00282077">
        <w:t>чий</w:t>
      </w:r>
      <w:r>
        <w:t xml:space="preserve"> министерств</w:t>
      </w:r>
      <w:r w:rsidRPr="00282077">
        <w:t>. Н</w:t>
      </w:r>
      <w:r>
        <w:t xml:space="preserve">овые положения вступили в силу </w:t>
      </w:r>
      <w:r w:rsidRPr="00282077">
        <w:t>1 января 2012 года, и ср</w:t>
      </w:r>
      <w:r w:rsidRPr="00282077">
        <w:t>е</w:t>
      </w:r>
      <w:r w:rsidRPr="00282077">
        <w:t xml:space="preserve">ди них следует </w:t>
      </w:r>
      <w:r>
        <w:t xml:space="preserve">отметить </w:t>
      </w:r>
      <w:r w:rsidRPr="00282077">
        <w:t>положения пунктов 33 и 34 Закона о равном обращ</w:t>
      </w:r>
      <w:r w:rsidRPr="00282077">
        <w:t>е</w:t>
      </w:r>
      <w:r w:rsidRPr="00282077">
        <w:t>нии</w:t>
      </w:r>
      <w:r>
        <w:t>:</w:t>
      </w:r>
    </w:p>
    <w:p w:rsidR="00234792" w:rsidRDefault="00234792" w:rsidP="00234792">
      <w:pPr>
        <w:pStyle w:val="SingleTxtGR"/>
        <w:ind w:left="1701"/>
      </w:pPr>
      <w:r>
        <w:t>"</w:t>
      </w:r>
      <w:r w:rsidRPr="00282077">
        <w:t>Пункт 33</w:t>
      </w:r>
    </w:p>
    <w:p w:rsidR="00234792" w:rsidRDefault="00234792" w:rsidP="00234792">
      <w:pPr>
        <w:pStyle w:val="SingleTxtGR"/>
        <w:ind w:left="1701"/>
      </w:pPr>
      <w:r>
        <w:t>1)</w:t>
      </w:r>
      <w:r>
        <w:tab/>
        <w:t>Вы</w:t>
      </w:r>
      <w:r w:rsidRPr="00282077">
        <w:t xml:space="preserve">полнение требований </w:t>
      </w:r>
      <w:r>
        <w:t>о равном обращении</w:t>
      </w:r>
      <w:r w:rsidRPr="00282077">
        <w:t xml:space="preserve"> </w:t>
      </w:r>
      <w:r>
        <w:t>контролируется Управл</w:t>
      </w:r>
      <w:r>
        <w:t>е</w:t>
      </w:r>
      <w:r>
        <w:t>нием.</w:t>
      </w:r>
      <w:r w:rsidRPr="00282077">
        <w:t xml:space="preserve"> </w:t>
      </w:r>
    </w:p>
    <w:p w:rsidR="00234792" w:rsidRDefault="00234792" w:rsidP="00234792">
      <w:pPr>
        <w:pStyle w:val="SingleTxtGR"/>
        <w:ind w:left="1701"/>
      </w:pPr>
      <w:r>
        <w:t>2)</w:t>
      </w:r>
      <w:r>
        <w:tab/>
        <w:t>Управление представляет собой самостоятельный орган</w:t>
      </w:r>
      <w:r w:rsidRPr="00282077">
        <w:t xml:space="preserve"> государс</w:t>
      </w:r>
      <w:r w:rsidRPr="00282077">
        <w:t>т</w:t>
      </w:r>
      <w:r>
        <w:t>венной</w:t>
      </w:r>
      <w:r w:rsidRPr="00282077">
        <w:t xml:space="preserve"> администра</w:t>
      </w:r>
      <w:r>
        <w:t>ции.</w:t>
      </w:r>
    </w:p>
    <w:p w:rsidR="00234792" w:rsidRDefault="00234792" w:rsidP="00234792">
      <w:pPr>
        <w:pStyle w:val="SingleTxtGR"/>
        <w:ind w:left="1701"/>
      </w:pPr>
      <w:r>
        <w:t>3)</w:t>
      </w:r>
      <w:r>
        <w:tab/>
        <w:t>Управление является</w:t>
      </w:r>
      <w:r w:rsidRPr="00282077">
        <w:t xml:space="preserve"> независимы</w:t>
      </w:r>
      <w:r>
        <w:t>м органом и подчиняе</w:t>
      </w:r>
      <w:r w:rsidRPr="00282077">
        <w:t>тся только закону,</w:t>
      </w:r>
      <w:r>
        <w:t xml:space="preserve"> его полномочия непреложны, оно </w:t>
      </w:r>
      <w:r w:rsidRPr="00282077">
        <w:t xml:space="preserve">выполняет свои задачи </w:t>
      </w:r>
      <w:r>
        <w:t>незав</w:t>
      </w:r>
      <w:r>
        <w:t>и</w:t>
      </w:r>
      <w:r>
        <w:t>симо</w:t>
      </w:r>
      <w:r w:rsidRPr="00282077">
        <w:t xml:space="preserve"> от других органов и </w:t>
      </w:r>
      <w:r>
        <w:t xml:space="preserve">без внешнего </w:t>
      </w:r>
      <w:r w:rsidRPr="00282077">
        <w:t xml:space="preserve">влияния. Задачи </w:t>
      </w:r>
      <w:r>
        <w:t>Управления</w:t>
      </w:r>
      <w:r w:rsidRPr="00282077">
        <w:t xml:space="preserve"> м</w:t>
      </w:r>
      <w:r w:rsidRPr="00282077">
        <w:t>о</w:t>
      </w:r>
      <w:r>
        <w:t>гут определяться лишь</w:t>
      </w:r>
      <w:r w:rsidRPr="00282077">
        <w:t xml:space="preserve"> зак</w:t>
      </w:r>
      <w:r w:rsidRPr="00282077">
        <w:t>о</w:t>
      </w:r>
      <w:r w:rsidRPr="00282077">
        <w:t>ном.</w:t>
      </w:r>
    </w:p>
    <w:p w:rsidR="00234792" w:rsidRDefault="00234792" w:rsidP="00234792">
      <w:pPr>
        <w:pStyle w:val="SingleTxtGR"/>
        <w:ind w:left="1701"/>
      </w:pPr>
      <w:r w:rsidRPr="00282077">
        <w:t>Пункт 34</w:t>
      </w:r>
    </w:p>
    <w:p w:rsidR="00234792" w:rsidRDefault="00234792" w:rsidP="00234792">
      <w:pPr>
        <w:pStyle w:val="SingleTxtGR"/>
        <w:ind w:left="1701"/>
      </w:pPr>
      <w:r>
        <w:t>1)</w:t>
      </w:r>
      <w:r>
        <w:tab/>
        <w:t xml:space="preserve">Управление является центральным бюджетным органом с правами на создание отделений, </w:t>
      </w:r>
      <w:r w:rsidRPr="00282077">
        <w:t>бюджет которого</w:t>
      </w:r>
      <w:r>
        <w:t xml:space="preserve"> формируется в рамках отдел</w:t>
      </w:r>
      <w:r>
        <w:t>ь</w:t>
      </w:r>
      <w:r>
        <w:t xml:space="preserve">ной </w:t>
      </w:r>
      <w:r w:rsidRPr="00282077">
        <w:t>катего</w:t>
      </w:r>
      <w:r>
        <w:t>рии в</w:t>
      </w:r>
      <w:r w:rsidRPr="00282077">
        <w:t xml:space="preserve"> бюджет</w:t>
      </w:r>
      <w:r>
        <w:t xml:space="preserve">ном разделе </w:t>
      </w:r>
      <w:r w:rsidRPr="00282077">
        <w:t>министерства</w:t>
      </w:r>
      <w:r>
        <w:t xml:space="preserve">, возглавляемого </w:t>
      </w:r>
      <w:r w:rsidRPr="00282077">
        <w:t>мин</w:t>
      </w:r>
      <w:r w:rsidRPr="00282077">
        <w:t>и</w:t>
      </w:r>
      <w:r w:rsidRPr="00282077">
        <w:t>стром, от</w:t>
      </w:r>
      <w:r>
        <w:t>ветс</w:t>
      </w:r>
      <w:r>
        <w:t>т</w:t>
      </w:r>
      <w:r>
        <w:t>венным</w:t>
      </w:r>
      <w:r w:rsidRPr="00282077">
        <w:t xml:space="preserve"> за социальную интеграцию.</w:t>
      </w:r>
    </w:p>
    <w:p w:rsidR="00234792" w:rsidRDefault="00234792" w:rsidP="00234792">
      <w:pPr>
        <w:pStyle w:val="SingleTxtGR"/>
        <w:ind w:left="1701"/>
      </w:pPr>
      <w:r>
        <w:t>2)</w:t>
      </w:r>
      <w:r>
        <w:tab/>
        <w:t xml:space="preserve">Основные статьи </w:t>
      </w:r>
      <w:r w:rsidRPr="00282077">
        <w:t xml:space="preserve">доходов и расходов </w:t>
      </w:r>
      <w:r>
        <w:t>Управления на тот или иной год −</w:t>
      </w:r>
      <w:r w:rsidRPr="00282077">
        <w:t xml:space="preserve"> </w:t>
      </w:r>
      <w:r>
        <w:t xml:space="preserve">за </w:t>
      </w:r>
      <w:r w:rsidRPr="00282077">
        <w:t>исключени</w:t>
      </w:r>
      <w:r>
        <w:t xml:space="preserve">ем временных мер, принимаемых </w:t>
      </w:r>
      <w:r w:rsidRPr="00282077">
        <w:t>в целях</w:t>
      </w:r>
      <w:r>
        <w:t xml:space="preserve"> предупре</w:t>
      </w:r>
      <w:r>
        <w:t>ж</w:t>
      </w:r>
      <w:r>
        <w:t>дения или преодоления последствий стихийных бедствий, угрожающих</w:t>
      </w:r>
      <w:r w:rsidRPr="00282077">
        <w:t xml:space="preserve"> жизни</w:t>
      </w:r>
      <w:r>
        <w:t xml:space="preserve"> людей</w:t>
      </w:r>
      <w:r w:rsidRPr="00282077">
        <w:t xml:space="preserve"> и имуществ</w:t>
      </w:r>
      <w:r>
        <w:t>у</w:t>
      </w:r>
      <w:r w:rsidRPr="00282077">
        <w:t xml:space="preserve">, как </w:t>
      </w:r>
      <w:r>
        <w:t>это</w:t>
      </w:r>
      <w:r w:rsidRPr="00282077">
        <w:t xml:space="preserve"> определено в З</w:t>
      </w:r>
      <w:r>
        <w:t>аконе о государстве</w:t>
      </w:r>
      <w:r>
        <w:t>н</w:t>
      </w:r>
      <w:r>
        <w:t xml:space="preserve">ных финансах, и любых мер, инициированных </w:t>
      </w:r>
      <w:r w:rsidRPr="00282077">
        <w:t>самим</w:t>
      </w:r>
      <w:r>
        <w:t xml:space="preserve"> Управлением или его регулирующим</w:t>
      </w:r>
      <w:r w:rsidRPr="00282077">
        <w:t xml:space="preserve"> орган</w:t>
      </w:r>
      <w:r>
        <w:t xml:space="preserve">ом − могут сокращаться исключительно </w:t>
      </w:r>
      <w:r w:rsidRPr="00282077">
        <w:t>Наци</w:t>
      </w:r>
      <w:r w:rsidRPr="00282077">
        <w:t>о</w:t>
      </w:r>
      <w:r w:rsidRPr="00282077">
        <w:t>нальным собранием</w:t>
      </w:r>
      <w:r>
        <w:t>"</w:t>
      </w:r>
      <w:r w:rsidRPr="00282077">
        <w:t>.</w:t>
      </w:r>
    </w:p>
    <w:p w:rsidR="00234792" w:rsidRDefault="00234792" w:rsidP="00234792">
      <w:pPr>
        <w:pStyle w:val="SingleTxtGR"/>
      </w:pPr>
      <w:r w:rsidRPr="00282077">
        <w:t>22.</w:t>
      </w:r>
      <w:r>
        <w:tab/>
        <w:t>С соответствующими поправками пункты 35−</w:t>
      </w:r>
      <w:r w:rsidRPr="00282077">
        <w:t>44 Закона о равном обр</w:t>
      </w:r>
      <w:r w:rsidRPr="00282077">
        <w:t>а</w:t>
      </w:r>
      <w:r w:rsidRPr="00282077">
        <w:t>щении регулируют правово</w:t>
      </w:r>
      <w:r>
        <w:t>й</w:t>
      </w:r>
      <w:r w:rsidRPr="00282077">
        <w:t xml:space="preserve"> статус </w:t>
      </w:r>
      <w:r>
        <w:t>председателя и заместителя председателя Управления</w:t>
      </w:r>
      <w:r w:rsidRPr="00282077">
        <w:t xml:space="preserve">, </w:t>
      </w:r>
      <w:r>
        <w:t xml:space="preserve">в частности устанавливают, </w:t>
      </w:r>
      <w:r w:rsidRPr="00282077">
        <w:t xml:space="preserve">что </w:t>
      </w:r>
      <w:r>
        <w:t>его председатель</w:t>
      </w:r>
      <w:r w:rsidRPr="00282077">
        <w:t xml:space="preserve"> назначается Пр</w:t>
      </w:r>
      <w:r w:rsidRPr="00282077">
        <w:t>е</w:t>
      </w:r>
      <w:r w:rsidRPr="00282077">
        <w:t>зидентом республики по</w:t>
      </w:r>
      <w:r>
        <w:t xml:space="preserve"> представлению Премьер-министра со сроком полн</w:t>
      </w:r>
      <w:r>
        <w:t>о</w:t>
      </w:r>
      <w:r>
        <w:t xml:space="preserve">мочий на </w:t>
      </w:r>
      <w:r w:rsidRPr="00282077">
        <w:t>девять лет</w:t>
      </w:r>
      <w:r>
        <w:t xml:space="preserve"> (ранее срок его полном</w:t>
      </w:r>
      <w:r>
        <w:t>о</w:t>
      </w:r>
      <w:r>
        <w:t>чий был неограниченным).</w:t>
      </w:r>
    </w:p>
    <w:p w:rsidR="00234792" w:rsidRDefault="00234792" w:rsidP="00234792">
      <w:pPr>
        <w:pStyle w:val="H23GR"/>
      </w:pPr>
      <w:r>
        <w:tab/>
      </w:r>
      <w:r>
        <w:tab/>
        <w:t xml:space="preserve">Основания, упоминаемые </w:t>
      </w:r>
      <w:r w:rsidRPr="00B04460">
        <w:t xml:space="preserve">в делах, связанных с дискриминацией женщин, </w:t>
      </w:r>
      <w:r>
        <w:br/>
      </w:r>
      <w:r w:rsidRPr="00B04460">
        <w:t>и решения</w:t>
      </w:r>
      <w:r>
        <w:t xml:space="preserve"> по таким делам</w:t>
      </w:r>
    </w:p>
    <w:p w:rsidR="00234792" w:rsidRDefault="00234792" w:rsidP="00234792">
      <w:pPr>
        <w:pStyle w:val="SingleTxtGR"/>
      </w:pPr>
      <w:r w:rsidRPr="00282077">
        <w:t>23.</w:t>
      </w:r>
      <w:r>
        <w:tab/>
        <w:t>Значительное</w:t>
      </w:r>
      <w:r w:rsidRPr="00282077">
        <w:t xml:space="preserve"> большинство связанных</w:t>
      </w:r>
      <w:r>
        <w:t xml:space="preserve"> с занятостью </w:t>
      </w:r>
      <w:r w:rsidRPr="00282077">
        <w:t xml:space="preserve">жалоб, полученных от женщин, </w:t>
      </w:r>
      <w:r>
        <w:t>включая</w:t>
      </w:r>
      <w:r w:rsidRPr="00282077">
        <w:t xml:space="preserve"> беременных женщин </w:t>
      </w:r>
      <w:r>
        <w:t>и</w:t>
      </w:r>
      <w:r w:rsidRPr="00282077">
        <w:t xml:space="preserve"> матерей </w:t>
      </w:r>
      <w:r>
        <w:t>малолетних детей</w:t>
      </w:r>
      <w:r w:rsidRPr="00282077">
        <w:t>,</w:t>
      </w:r>
      <w:r>
        <w:t xml:space="preserve"> подав</w:t>
      </w:r>
      <w:r>
        <w:t>а</w:t>
      </w:r>
      <w:r>
        <w:t>лись в</w:t>
      </w:r>
      <w:r w:rsidRPr="00282077">
        <w:t xml:space="preserve"> связи со сл</w:t>
      </w:r>
      <w:r w:rsidRPr="00282077">
        <w:t>е</w:t>
      </w:r>
      <w:r w:rsidRPr="00282077">
        <w:t>дующим</w:t>
      </w:r>
      <w:r>
        <w:t>и явлениями</w:t>
      </w:r>
      <w:r w:rsidRPr="00282077">
        <w:t>:</w:t>
      </w:r>
    </w:p>
    <w:p w:rsidR="00234792" w:rsidRDefault="00234792" w:rsidP="00234792">
      <w:pPr>
        <w:pStyle w:val="SingleTxtGR"/>
      </w:pPr>
      <w:r w:rsidRPr="004E2502">
        <w:tab/>
      </w:r>
      <w:r>
        <w:rPr>
          <w:lang w:val="en-US"/>
        </w:rPr>
        <w:t>a</w:t>
      </w:r>
      <w:r>
        <w:t>)</w:t>
      </w:r>
      <w:r w:rsidRPr="0057241A">
        <w:tab/>
      </w:r>
      <w:r>
        <w:t>увольнение</w:t>
      </w:r>
      <w:r w:rsidRPr="00282077">
        <w:t xml:space="preserve"> в </w:t>
      </w:r>
      <w:r>
        <w:t xml:space="preserve">период испытательного срока в связи с болезнью </w:t>
      </w:r>
      <w:r w:rsidRPr="00282077">
        <w:t>р</w:t>
      </w:r>
      <w:r w:rsidRPr="00282077">
        <w:t>е</w:t>
      </w:r>
      <w:r w:rsidRPr="00282077">
        <w:t>бе</w:t>
      </w:r>
      <w:r>
        <w:t xml:space="preserve">нка или в связи с </w:t>
      </w:r>
      <w:r w:rsidRPr="00282077">
        <w:t>бере</w:t>
      </w:r>
      <w:r>
        <w:t xml:space="preserve">менностью, </w:t>
      </w:r>
    </w:p>
    <w:p w:rsidR="00234792" w:rsidRDefault="00234792" w:rsidP="00234792">
      <w:pPr>
        <w:pStyle w:val="SingleTxtGR"/>
      </w:pPr>
      <w:r w:rsidRPr="004E2502">
        <w:tab/>
      </w:r>
      <w:r>
        <w:rPr>
          <w:lang w:val="en-US"/>
        </w:rPr>
        <w:t>b</w:t>
      </w:r>
      <w:r>
        <w:t>)</w:t>
      </w:r>
      <w:r w:rsidRPr="0057241A">
        <w:tab/>
      </w:r>
      <w:r w:rsidRPr="00282077">
        <w:t xml:space="preserve">срочный контракт, </w:t>
      </w:r>
      <w:r>
        <w:t>который в течение нескольких лет продлевался каждый</w:t>
      </w:r>
      <w:r w:rsidRPr="00282077">
        <w:t xml:space="preserve"> год, не был продлен по</w:t>
      </w:r>
      <w:r>
        <w:t>сле того, как работодателю стало известно о б</w:t>
      </w:r>
      <w:r>
        <w:t>е</w:t>
      </w:r>
      <w:r>
        <w:t>ременности с</w:t>
      </w:r>
      <w:r>
        <w:t>о</w:t>
      </w:r>
      <w:r>
        <w:t>трудницы</w:t>
      </w:r>
      <w:r w:rsidRPr="00282077">
        <w:t>,</w:t>
      </w:r>
    </w:p>
    <w:p w:rsidR="00234792" w:rsidRDefault="00234792" w:rsidP="00234792">
      <w:pPr>
        <w:pStyle w:val="SingleTxtGR"/>
      </w:pPr>
      <w:r w:rsidRPr="000C3023">
        <w:tab/>
      </w:r>
      <w:r>
        <w:rPr>
          <w:lang w:val="en-US"/>
        </w:rPr>
        <w:t>c</w:t>
      </w:r>
      <w:r>
        <w:t>)</w:t>
      </w:r>
      <w:r w:rsidRPr="00B04460">
        <w:tab/>
      </w:r>
      <w:r>
        <w:t>в период отпуска по беременности и родам женщин лишали рук</w:t>
      </w:r>
      <w:r>
        <w:t>о</w:t>
      </w:r>
      <w:r>
        <w:t>водящих должностей, поскольку, по мнению работодателя</w:t>
      </w:r>
      <w:r w:rsidRPr="00282077">
        <w:t xml:space="preserve">, </w:t>
      </w:r>
      <w:r>
        <w:t>в этот период они</w:t>
      </w:r>
      <w:r w:rsidRPr="00282077">
        <w:t xml:space="preserve"> фактиче</w:t>
      </w:r>
      <w:r>
        <w:t>ски не выполняли ник</w:t>
      </w:r>
      <w:r>
        <w:t>а</w:t>
      </w:r>
      <w:r>
        <w:t xml:space="preserve">кой </w:t>
      </w:r>
      <w:r w:rsidRPr="00282077">
        <w:t>рабо</w:t>
      </w:r>
      <w:r>
        <w:t>ты</w:t>
      </w:r>
      <w:r w:rsidRPr="00282077">
        <w:t>,</w:t>
      </w:r>
    </w:p>
    <w:p w:rsidR="00234792" w:rsidRDefault="00234792" w:rsidP="00234792">
      <w:pPr>
        <w:pStyle w:val="SingleTxtGR"/>
      </w:pPr>
      <w:r w:rsidRPr="007544CE">
        <w:tab/>
      </w:r>
      <w:r>
        <w:rPr>
          <w:lang w:val="en-US"/>
        </w:rPr>
        <w:t>d</w:t>
      </w:r>
      <w:r>
        <w:t>)</w:t>
      </w:r>
      <w:r w:rsidRPr="00B04460">
        <w:tab/>
      </w:r>
      <w:r>
        <w:t xml:space="preserve">оклад женщины был ниже заработной платы </w:t>
      </w:r>
      <w:r w:rsidRPr="00282077">
        <w:t>мужчин</w:t>
      </w:r>
      <w:r>
        <w:t>ы, занимавш</w:t>
      </w:r>
      <w:r>
        <w:t>е</w:t>
      </w:r>
      <w:r>
        <w:t xml:space="preserve">го такую же или </w:t>
      </w:r>
      <w:r w:rsidRPr="00282077">
        <w:t>аналогич</w:t>
      </w:r>
      <w:r>
        <w:t>ную</w:t>
      </w:r>
      <w:r w:rsidRPr="00282077">
        <w:t xml:space="preserve"> должно</w:t>
      </w:r>
      <w:r>
        <w:t>сть</w:t>
      </w:r>
      <w:r w:rsidRPr="00282077">
        <w:t xml:space="preserve"> (</w:t>
      </w:r>
      <w:r>
        <w:t>что нарушает принцип</w:t>
      </w:r>
      <w:r w:rsidRPr="00282077">
        <w:t xml:space="preserve"> равной пл</w:t>
      </w:r>
      <w:r w:rsidRPr="00282077">
        <w:t>а</w:t>
      </w:r>
      <w:r w:rsidRPr="00282077">
        <w:t xml:space="preserve">ты за </w:t>
      </w:r>
      <w:r>
        <w:t>экв</w:t>
      </w:r>
      <w:r>
        <w:t>и</w:t>
      </w:r>
      <w:r>
        <w:t>валентный</w:t>
      </w:r>
      <w:r w:rsidRPr="00282077">
        <w:t xml:space="preserve"> труд),</w:t>
      </w:r>
    </w:p>
    <w:p w:rsidR="00234792" w:rsidRDefault="00234792" w:rsidP="00234792">
      <w:pPr>
        <w:pStyle w:val="SingleTxtGR"/>
      </w:pPr>
      <w:r w:rsidRPr="007544CE">
        <w:tab/>
      </w:r>
      <w:r>
        <w:rPr>
          <w:lang w:val="en-US"/>
        </w:rPr>
        <w:t>e</w:t>
      </w:r>
      <w:r w:rsidR="00BE74D7">
        <w:t>)</w:t>
      </w:r>
      <w:r w:rsidRPr="00B04460">
        <w:tab/>
      </w:r>
      <w:r>
        <w:t xml:space="preserve">трудящиеся женщины не согласны с намерением </w:t>
      </w:r>
      <w:r w:rsidRPr="00282077">
        <w:t>работода</w:t>
      </w:r>
      <w:r>
        <w:t>теля п</w:t>
      </w:r>
      <w:r>
        <w:t>е</w:t>
      </w:r>
      <w:r>
        <w:t xml:space="preserve">ревести их на другую должность или назначить на должность, отличную от той, которую они занимали до </w:t>
      </w:r>
      <w:r w:rsidRPr="00282077">
        <w:t xml:space="preserve">рождения ребенка, </w:t>
      </w:r>
      <w:r>
        <w:t>а также случаи, когда их дол</w:t>
      </w:r>
      <w:r>
        <w:t>ж</w:t>
      </w:r>
      <w:r>
        <w:t>ность была занята</w:t>
      </w:r>
      <w:r w:rsidRPr="00282077">
        <w:t xml:space="preserve"> </w:t>
      </w:r>
      <w:r>
        <w:t>мужч</w:t>
      </w:r>
      <w:r>
        <w:t>и</w:t>
      </w:r>
      <w:r>
        <w:t>ной,</w:t>
      </w:r>
    </w:p>
    <w:p w:rsidR="00234792" w:rsidRDefault="00234792" w:rsidP="00234792">
      <w:pPr>
        <w:pStyle w:val="SingleTxtGR"/>
      </w:pPr>
      <w:r w:rsidRPr="007544CE">
        <w:tab/>
      </w:r>
      <w:r>
        <w:rPr>
          <w:lang w:val="en-US"/>
        </w:rPr>
        <w:t>f</w:t>
      </w:r>
      <w:r>
        <w:t>)</w:t>
      </w:r>
      <w:r w:rsidRPr="00B04460">
        <w:tab/>
      </w:r>
      <w:r>
        <w:t>работодатели</w:t>
      </w:r>
      <w:r w:rsidRPr="00282077">
        <w:t xml:space="preserve"> </w:t>
      </w:r>
      <w:r>
        <w:t>отказываются оплачивать "кафетерий</w:t>
      </w:r>
      <w:r w:rsidRPr="00282077">
        <w:t>" (</w:t>
      </w:r>
      <w:r>
        <w:t>дополнител</w:t>
      </w:r>
      <w:r>
        <w:t>ь</w:t>
      </w:r>
      <w:r>
        <w:t xml:space="preserve">ные </w:t>
      </w:r>
      <w:r w:rsidRPr="00282077">
        <w:t>льгот</w:t>
      </w:r>
      <w:r>
        <w:t>ы</w:t>
      </w:r>
      <w:r w:rsidRPr="00282077">
        <w:t xml:space="preserve">) </w:t>
      </w:r>
      <w:r>
        <w:t xml:space="preserve">сотрудницам за дни отпуска, накопившиеся за период </w:t>
      </w:r>
      <w:r w:rsidRPr="00282077">
        <w:t>отпуск</w:t>
      </w:r>
      <w:r>
        <w:t>а по беременности и родам/отпуска</w:t>
      </w:r>
      <w:r w:rsidRPr="00282077">
        <w:t xml:space="preserve"> по уходу</w:t>
      </w:r>
      <w:r>
        <w:t xml:space="preserve"> за ребенком и т.п.</w:t>
      </w:r>
      <w:r w:rsidRPr="00282077">
        <w:t xml:space="preserve">, </w:t>
      </w:r>
      <w:r>
        <w:t>либо стремятся с</w:t>
      </w:r>
      <w:r>
        <w:t>о</w:t>
      </w:r>
      <w:r>
        <w:t xml:space="preserve">кратить подлежащую выплате </w:t>
      </w:r>
      <w:r w:rsidRPr="00282077">
        <w:t>су</w:t>
      </w:r>
      <w:r w:rsidRPr="00282077">
        <w:t>м</w:t>
      </w:r>
      <w:r w:rsidRPr="00282077">
        <w:t>му,</w:t>
      </w:r>
    </w:p>
    <w:p w:rsidR="00234792" w:rsidRDefault="00234792" w:rsidP="00234792">
      <w:pPr>
        <w:pStyle w:val="SingleTxtGR"/>
      </w:pPr>
      <w:r w:rsidRPr="00686662">
        <w:tab/>
      </w:r>
      <w:r>
        <w:rPr>
          <w:lang w:val="en-US"/>
        </w:rPr>
        <w:t>g</w:t>
      </w:r>
      <w:r>
        <w:t>)</w:t>
      </w:r>
      <w:r w:rsidRPr="00B04460">
        <w:tab/>
      </w:r>
      <w:r w:rsidRPr="00282077">
        <w:t xml:space="preserve">работодатель пытается "убедить" </w:t>
      </w:r>
      <w:r>
        <w:t>женщину, возвращающуюся</w:t>
      </w:r>
      <w:r w:rsidRPr="00282077">
        <w:t xml:space="preserve"> на работу из отпуска</w:t>
      </w:r>
      <w:r>
        <w:t xml:space="preserve"> по беременности и родам/отпуска по</w:t>
      </w:r>
      <w:r w:rsidRPr="00282077">
        <w:t xml:space="preserve"> уходу за ребенком</w:t>
      </w:r>
      <w:r>
        <w:t>, ув</w:t>
      </w:r>
      <w:r>
        <w:t>о</w:t>
      </w:r>
      <w:r>
        <w:t xml:space="preserve">литься или урегулировать иные юридические отношения по </w:t>
      </w:r>
      <w:r w:rsidRPr="00282077">
        <w:t>"взаимному согл</w:t>
      </w:r>
      <w:r w:rsidRPr="00282077">
        <w:t>а</w:t>
      </w:r>
      <w:r w:rsidRPr="00282077">
        <w:t>сию".</w:t>
      </w:r>
    </w:p>
    <w:p w:rsidR="00234792" w:rsidRPr="00357ECB" w:rsidRDefault="00234792" w:rsidP="00234792">
      <w:pPr>
        <w:pStyle w:val="SingleTxtGR"/>
      </w:pPr>
      <w:r w:rsidRPr="00357ECB">
        <w:t xml:space="preserve">Жалобы </w:t>
      </w:r>
      <w:r>
        <w:t xml:space="preserve">поступали </w:t>
      </w:r>
      <w:r w:rsidRPr="00357ECB">
        <w:t xml:space="preserve">в равной </w:t>
      </w:r>
      <w:r>
        <w:t>мере как</w:t>
      </w:r>
      <w:r w:rsidRPr="00357ECB">
        <w:t xml:space="preserve"> из государственного</w:t>
      </w:r>
      <w:r>
        <w:t>, так</w:t>
      </w:r>
      <w:r w:rsidRPr="00357ECB">
        <w:t xml:space="preserve"> и частного се</w:t>
      </w:r>
      <w:r w:rsidRPr="00357ECB">
        <w:t>к</w:t>
      </w:r>
      <w:r w:rsidRPr="00357ECB">
        <w:t>торов.</w:t>
      </w:r>
    </w:p>
    <w:p w:rsidR="00234792" w:rsidRDefault="00234792" w:rsidP="00234792">
      <w:pPr>
        <w:pStyle w:val="SingleTxtGR"/>
      </w:pPr>
      <w:r>
        <w:t>24</w:t>
      </w:r>
      <w:r w:rsidRPr="00B04460">
        <w:t>.</w:t>
      </w:r>
      <w:r w:rsidRPr="00B04460">
        <w:tab/>
      </w:r>
      <w:r>
        <w:t xml:space="preserve">Что касается </w:t>
      </w:r>
      <w:r w:rsidRPr="00282077">
        <w:t xml:space="preserve">товаров и услуг, </w:t>
      </w:r>
      <w:r>
        <w:t>то типичные</w:t>
      </w:r>
      <w:r w:rsidRPr="00282077">
        <w:t xml:space="preserve"> жало</w:t>
      </w:r>
      <w:r>
        <w:t xml:space="preserve">бы поступали от матерей, которые не могли </w:t>
      </w:r>
      <w:r w:rsidRPr="00282077">
        <w:t>воспользоваться</w:t>
      </w:r>
      <w:r>
        <w:t xml:space="preserve"> теми или иными</w:t>
      </w:r>
      <w:r w:rsidRPr="00282077">
        <w:t xml:space="preserve"> услугами</w:t>
      </w:r>
      <w:r>
        <w:t xml:space="preserve">, поскольку им было отказано в доступе на то или иное предприятие </w:t>
      </w:r>
      <w:r w:rsidRPr="00282077">
        <w:t>с детской кол</w:t>
      </w:r>
      <w:r w:rsidRPr="00282077">
        <w:t>я</w:t>
      </w:r>
      <w:r w:rsidRPr="00282077">
        <w:t>ской.</w:t>
      </w:r>
    </w:p>
    <w:p w:rsidR="00234792" w:rsidRDefault="00234792" w:rsidP="00234792">
      <w:pPr>
        <w:pStyle w:val="SingleTxtGR"/>
      </w:pPr>
      <w:r w:rsidRPr="00282077">
        <w:t>25.</w:t>
      </w:r>
      <w:r w:rsidRPr="00B04460">
        <w:tab/>
      </w:r>
      <w:r w:rsidRPr="00282077">
        <w:t xml:space="preserve">В </w:t>
      </w:r>
      <w:r>
        <w:t>приводимой ниже</w:t>
      </w:r>
      <w:r w:rsidRPr="00282077">
        <w:t xml:space="preserve"> таблице </w:t>
      </w:r>
      <w:r>
        <w:t>приводятся решения Управления</w:t>
      </w:r>
      <w:r w:rsidRPr="00282077">
        <w:t xml:space="preserve"> </w:t>
      </w:r>
      <w:r>
        <w:t>в тех сл</w:t>
      </w:r>
      <w:r>
        <w:t>у</w:t>
      </w:r>
      <w:r>
        <w:t>чаях</w:t>
      </w:r>
      <w:r w:rsidRPr="00282077">
        <w:t>,</w:t>
      </w:r>
      <w:r>
        <w:t xml:space="preserve"> когда в качестве оснований для сохранения рабочего места звучали ссы</w:t>
      </w:r>
      <w:r>
        <w:t>л</w:t>
      </w:r>
      <w:r>
        <w:t xml:space="preserve">ки на часть 1 пункта 8 </w:t>
      </w:r>
      <w:r w:rsidRPr="00282077">
        <w:t>Закон</w:t>
      </w:r>
      <w:r>
        <w:t>а</w:t>
      </w:r>
      <w:r w:rsidRPr="00282077">
        <w:t xml:space="preserve"> о равном обращении (материнство, береме</w:t>
      </w:r>
      <w:r w:rsidRPr="00282077">
        <w:t>н</w:t>
      </w:r>
      <w:r w:rsidRPr="00282077">
        <w:t>ность)</w:t>
      </w:r>
      <w:r>
        <w:t>.</w:t>
      </w:r>
      <w:r w:rsidRPr="00282077">
        <w:t xml:space="preserve"> </w:t>
      </w:r>
    </w:p>
    <w:tbl>
      <w:tblPr>
        <w:tblW w:w="8539"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1084"/>
        <w:gridCol w:w="2485"/>
        <w:gridCol w:w="2485"/>
        <w:gridCol w:w="2485"/>
      </w:tblGrid>
      <w:tr w:rsidR="00234792" w:rsidRPr="00161A10" w:rsidTr="00234792">
        <w:trPr>
          <w:trHeight w:val="240"/>
          <w:tblHeader/>
        </w:trPr>
        <w:tc>
          <w:tcPr>
            <w:tcW w:w="1084" w:type="dxa"/>
            <w:tcBorders>
              <w:top w:val="single" w:sz="4" w:space="0" w:color="auto"/>
              <w:left w:val="nil"/>
              <w:bottom w:val="single" w:sz="12" w:space="0" w:color="auto"/>
              <w:right w:val="nil"/>
              <w:tl2br w:val="nil"/>
              <w:tr2bl w:val="nil"/>
            </w:tcBorders>
            <w:shd w:val="clear" w:color="auto" w:fill="auto"/>
            <w:vAlign w:val="bottom"/>
          </w:tcPr>
          <w:p w:rsidR="00234792" w:rsidRPr="00161A10" w:rsidRDefault="00234792" w:rsidP="00390C50">
            <w:pPr>
              <w:spacing w:before="80" w:after="80" w:line="200" w:lineRule="exact"/>
              <w:rPr>
                <w:i/>
                <w:sz w:val="16"/>
              </w:rPr>
            </w:pPr>
            <w:r w:rsidRPr="00161A10">
              <w:rPr>
                <w:i/>
                <w:sz w:val="16"/>
              </w:rPr>
              <w:t>Год</w:t>
            </w:r>
          </w:p>
        </w:tc>
        <w:tc>
          <w:tcPr>
            <w:tcW w:w="2485" w:type="dxa"/>
            <w:tcBorders>
              <w:top w:val="single" w:sz="4" w:space="0" w:color="auto"/>
              <w:bottom w:val="single" w:sz="12" w:space="0" w:color="auto"/>
            </w:tcBorders>
            <w:shd w:val="clear" w:color="auto" w:fill="auto"/>
            <w:vAlign w:val="bottom"/>
          </w:tcPr>
          <w:p w:rsidR="00234792" w:rsidRPr="00161A10" w:rsidRDefault="00234792" w:rsidP="00390C50">
            <w:pPr>
              <w:spacing w:before="80" w:after="80" w:line="200" w:lineRule="exact"/>
              <w:jc w:val="right"/>
              <w:rPr>
                <w:i/>
                <w:sz w:val="16"/>
              </w:rPr>
            </w:pPr>
            <w:r w:rsidRPr="00161A10">
              <w:rPr>
                <w:i/>
                <w:sz w:val="16"/>
              </w:rPr>
              <w:t>Решения, которыми были уст</w:t>
            </w:r>
            <w:r w:rsidRPr="00161A10">
              <w:rPr>
                <w:i/>
                <w:sz w:val="16"/>
              </w:rPr>
              <w:t>а</w:t>
            </w:r>
            <w:r w:rsidRPr="00161A10">
              <w:rPr>
                <w:i/>
                <w:sz w:val="16"/>
              </w:rPr>
              <w:t>новлены нарушения закона</w:t>
            </w:r>
          </w:p>
        </w:tc>
        <w:tc>
          <w:tcPr>
            <w:tcW w:w="2485" w:type="dxa"/>
            <w:tcBorders>
              <w:top w:val="single" w:sz="4" w:space="0" w:color="auto"/>
              <w:bottom w:val="single" w:sz="12" w:space="0" w:color="auto"/>
            </w:tcBorders>
            <w:shd w:val="clear" w:color="auto" w:fill="auto"/>
            <w:vAlign w:val="bottom"/>
          </w:tcPr>
          <w:p w:rsidR="00234792" w:rsidRPr="00161A10" w:rsidRDefault="00234792" w:rsidP="00390C50">
            <w:pPr>
              <w:spacing w:before="80" w:after="80" w:line="200" w:lineRule="exact"/>
              <w:jc w:val="right"/>
              <w:rPr>
                <w:i/>
                <w:sz w:val="16"/>
              </w:rPr>
            </w:pPr>
            <w:r w:rsidRPr="00161A10">
              <w:rPr>
                <w:i/>
                <w:sz w:val="16"/>
              </w:rPr>
              <w:t>Компромиссные решения</w:t>
            </w:r>
          </w:p>
        </w:tc>
        <w:tc>
          <w:tcPr>
            <w:tcW w:w="2485" w:type="dxa"/>
            <w:tcBorders>
              <w:top w:val="single" w:sz="4" w:space="0" w:color="auto"/>
              <w:bottom w:val="single" w:sz="12" w:space="0" w:color="auto"/>
            </w:tcBorders>
            <w:shd w:val="clear" w:color="auto" w:fill="auto"/>
            <w:vAlign w:val="bottom"/>
          </w:tcPr>
          <w:p w:rsidR="00234792" w:rsidRPr="00161A10" w:rsidRDefault="00234792" w:rsidP="00234792">
            <w:pPr>
              <w:spacing w:before="80" w:after="80" w:line="200" w:lineRule="exact"/>
              <w:jc w:val="right"/>
              <w:rPr>
                <w:i/>
                <w:sz w:val="16"/>
              </w:rPr>
            </w:pPr>
            <w:r w:rsidRPr="00161A10">
              <w:rPr>
                <w:i/>
                <w:sz w:val="16"/>
              </w:rPr>
              <w:t>Решения, согласно которым нарушения зак</w:t>
            </w:r>
            <w:r w:rsidRPr="00161A10">
              <w:rPr>
                <w:i/>
                <w:sz w:val="16"/>
              </w:rPr>
              <w:t>о</w:t>
            </w:r>
            <w:r w:rsidRPr="00161A10">
              <w:rPr>
                <w:i/>
                <w:sz w:val="16"/>
              </w:rPr>
              <w:t>на не было</w:t>
            </w:r>
          </w:p>
        </w:tc>
      </w:tr>
      <w:tr w:rsidR="00234792" w:rsidRPr="00357ECB" w:rsidTr="00234792">
        <w:trPr>
          <w:trHeight w:val="240"/>
        </w:trPr>
        <w:tc>
          <w:tcPr>
            <w:tcW w:w="1084" w:type="dxa"/>
            <w:tcBorders>
              <w:top w:val="single" w:sz="12" w:space="0" w:color="auto"/>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2008</w:t>
            </w:r>
          </w:p>
        </w:tc>
        <w:tc>
          <w:tcPr>
            <w:tcW w:w="2485" w:type="dxa"/>
            <w:tcBorders>
              <w:top w:val="single" w:sz="12" w:space="0" w:color="auto"/>
            </w:tcBorders>
            <w:shd w:val="clear" w:color="auto" w:fill="auto"/>
            <w:vAlign w:val="bottom"/>
          </w:tcPr>
          <w:p w:rsidR="00234792" w:rsidRPr="00161A10" w:rsidRDefault="00234792" w:rsidP="00390C50">
            <w:pPr>
              <w:spacing w:before="40" w:after="40"/>
              <w:jc w:val="right"/>
              <w:rPr>
                <w:sz w:val="18"/>
              </w:rPr>
            </w:pPr>
            <w:r w:rsidRPr="00161A10">
              <w:rPr>
                <w:sz w:val="18"/>
              </w:rPr>
              <w:t>4</w:t>
            </w:r>
          </w:p>
        </w:tc>
        <w:tc>
          <w:tcPr>
            <w:tcW w:w="2485" w:type="dxa"/>
            <w:tcBorders>
              <w:top w:val="single" w:sz="12" w:space="0" w:color="auto"/>
            </w:tcBorders>
            <w:shd w:val="clear" w:color="auto" w:fill="auto"/>
            <w:vAlign w:val="bottom"/>
          </w:tcPr>
          <w:p w:rsidR="00234792" w:rsidRPr="00161A10" w:rsidRDefault="00234792" w:rsidP="00390C50">
            <w:pPr>
              <w:spacing w:before="40" w:after="40"/>
              <w:jc w:val="right"/>
              <w:rPr>
                <w:sz w:val="18"/>
              </w:rPr>
            </w:pPr>
            <w:r w:rsidRPr="00161A10">
              <w:rPr>
                <w:sz w:val="18"/>
              </w:rPr>
              <w:t>1</w:t>
            </w:r>
          </w:p>
        </w:tc>
        <w:tc>
          <w:tcPr>
            <w:tcW w:w="2485" w:type="dxa"/>
            <w:tcBorders>
              <w:top w:val="single" w:sz="12" w:space="0" w:color="auto"/>
            </w:tcBorders>
            <w:shd w:val="clear" w:color="auto" w:fill="auto"/>
            <w:vAlign w:val="bottom"/>
          </w:tcPr>
          <w:p w:rsidR="00234792" w:rsidRPr="00161A10" w:rsidRDefault="00234792" w:rsidP="00390C50">
            <w:pPr>
              <w:spacing w:before="40" w:after="40"/>
              <w:jc w:val="right"/>
              <w:rPr>
                <w:sz w:val="18"/>
              </w:rPr>
            </w:pPr>
            <w:r w:rsidRPr="00161A10">
              <w:rPr>
                <w:sz w:val="18"/>
              </w:rPr>
              <w:t>5</w:t>
            </w:r>
          </w:p>
        </w:tc>
      </w:tr>
      <w:tr w:rsidR="00234792" w:rsidRPr="00357ECB" w:rsidTr="00234792">
        <w:trPr>
          <w:trHeight w:val="240"/>
        </w:trPr>
        <w:tc>
          <w:tcPr>
            <w:tcW w:w="1084" w:type="dxa"/>
            <w:tcBorders>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2009</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3</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3</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8</w:t>
            </w:r>
          </w:p>
        </w:tc>
      </w:tr>
      <w:tr w:rsidR="00234792" w:rsidRPr="00357ECB" w:rsidTr="00234792">
        <w:trPr>
          <w:trHeight w:val="240"/>
        </w:trPr>
        <w:tc>
          <w:tcPr>
            <w:tcW w:w="1084" w:type="dxa"/>
            <w:tcBorders>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2010</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5</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5</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6</w:t>
            </w:r>
          </w:p>
        </w:tc>
      </w:tr>
      <w:tr w:rsidR="00234792" w:rsidRPr="00357ECB" w:rsidTr="00234792">
        <w:trPr>
          <w:trHeight w:val="240"/>
        </w:trPr>
        <w:tc>
          <w:tcPr>
            <w:tcW w:w="1084" w:type="dxa"/>
            <w:tcBorders>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2011</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4</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2</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11</w:t>
            </w:r>
          </w:p>
        </w:tc>
      </w:tr>
      <w:tr w:rsidR="00234792" w:rsidRPr="00357ECB" w:rsidTr="00234792">
        <w:trPr>
          <w:trHeight w:val="240"/>
        </w:trPr>
        <w:tc>
          <w:tcPr>
            <w:tcW w:w="1084" w:type="dxa"/>
            <w:tcBorders>
              <w:left w:val="nil"/>
              <w:bottom w:val="single" w:sz="12" w:space="0" w:color="auto"/>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2012*</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2</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0</w:t>
            </w:r>
          </w:p>
        </w:tc>
        <w:tc>
          <w:tcPr>
            <w:tcW w:w="2485" w:type="dxa"/>
            <w:shd w:val="clear" w:color="auto" w:fill="auto"/>
            <w:vAlign w:val="bottom"/>
          </w:tcPr>
          <w:p w:rsidR="00234792" w:rsidRPr="00161A10" w:rsidRDefault="00234792" w:rsidP="00390C50">
            <w:pPr>
              <w:spacing w:before="40" w:after="40"/>
              <w:jc w:val="right"/>
              <w:rPr>
                <w:sz w:val="18"/>
              </w:rPr>
            </w:pPr>
            <w:r w:rsidRPr="00161A10">
              <w:rPr>
                <w:sz w:val="18"/>
              </w:rPr>
              <w:t>3</w:t>
            </w:r>
          </w:p>
        </w:tc>
      </w:tr>
    </w:tbl>
    <w:p w:rsidR="00234792" w:rsidRPr="00F129A2" w:rsidRDefault="00234792" w:rsidP="00416CE0">
      <w:pPr>
        <w:tabs>
          <w:tab w:val="left" w:pos="1365"/>
          <w:tab w:val="left" w:pos="1575"/>
        </w:tabs>
        <w:spacing w:before="120" w:line="240" w:lineRule="exact"/>
        <w:ind w:left="1134" w:firstLine="170"/>
        <w:rPr>
          <w:i/>
          <w:sz w:val="18"/>
          <w:szCs w:val="18"/>
        </w:rPr>
      </w:pPr>
      <w:r w:rsidRPr="001F6964">
        <w:rPr>
          <w:sz w:val="18"/>
          <w:szCs w:val="18"/>
        </w:rPr>
        <w:sym w:font="Symbol" w:char="F02A"/>
      </w:r>
      <w:r w:rsidR="00416CE0">
        <w:rPr>
          <w:sz w:val="18"/>
          <w:szCs w:val="18"/>
        </w:rPr>
        <w:t>  </w:t>
      </w:r>
      <w:r w:rsidRPr="00F129A2">
        <w:rPr>
          <w:i/>
          <w:sz w:val="18"/>
          <w:szCs w:val="18"/>
        </w:rPr>
        <w:t>Вышеуказанные данные включают в себя дела, закрытые к 25 сентября 2012 года.</w:t>
      </w:r>
    </w:p>
    <w:p w:rsidR="00234792" w:rsidRPr="00357ECB" w:rsidRDefault="00234792" w:rsidP="00234792">
      <w:pPr>
        <w:pStyle w:val="H23GR"/>
      </w:pPr>
      <w:r>
        <w:tab/>
      </w:r>
      <w:r>
        <w:tab/>
      </w:r>
      <w:r w:rsidRPr="00713B0D">
        <w:t xml:space="preserve">Дела в соответствии с частью а) пункта </w:t>
      </w:r>
      <w:r w:rsidRPr="00357ECB">
        <w:t>8 Закона о равном обращении (</w:t>
      </w:r>
      <w:r>
        <w:t>гендерные вопросы</w:t>
      </w:r>
      <w:r w:rsidRPr="00357ECB">
        <w:t>)</w:t>
      </w:r>
      <w:r>
        <w:t>, истцами которых были женщины</w:t>
      </w:r>
      <w:r w:rsidRPr="00357ECB">
        <w:t>:</w:t>
      </w:r>
    </w:p>
    <w:tbl>
      <w:tblPr>
        <w:tblW w:w="8553" w:type="dxa"/>
        <w:tblInd w:w="1134"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1108"/>
        <w:gridCol w:w="2462"/>
        <w:gridCol w:w="2477"/>
        <w:gridCol w:w="2506"/>
      </w:tblGrid>
      <w:tr w:rsidR="00234792" w:rsidRPr="00357ECB" w:rsidTr="00416CE0">
        <w:trPr>
          <w:trHeight w:val="240"/>
        </w:trPr>
        <w:tc>
          <w:tcPr>
            <w:tcW w:w="1108" w:type="dxa"/>
            <w:tcBorders>
              <w:top w:val="single" w:sz="4" w:space="0" w:color="auto"/>
              <w:left w:val="nil"/>
              <w:bottom w:val="single" w:sz="12" w:space="0" w:color="auto"/>
              <w:right w:val="nil"/>
              <w:tl2br w:val="nil"/>
              <w:tr2bl w:val="nil"/>
            </w:tcBorders>
            <w:shd w:val="clear" w:color="auto" w:fill="auto"/>
            <w:vAlign w:val="bottom"/>
          </w:tcPr>
          <w:p w:rsidR="00234792" w:rsidRPr="00161A10" w:rsidRDefault="00234792" w:rsidP="00390C50">
            <w:pPr>
              <w:spacing w:before="80" w:after="80" w:line="200" w:lineRule="exact"/>
              <w:rPr>
                <w:i/>
                <w:sz w:val="16"/>
              </w:rPr>
            </w:pPr>
            <w:r w:rsidRPr="00161A10">
              <w:rPr>
                <w:i/>
                <w:sz w:val="16"/>
              </w:rPr>
              <w:t>Год</w:t>
            </w:r>
          </w:p>
        </w:tc>
        <w:tc>
          <w:tcPr>
            <w:tcW w:w="2462" w:type="dxa"/>
            <w:tcBorders>
              <w:top w:val="single" w:sz="4" w:space="0" w:color="auto"/>
              <w:bottom w:val="single" w:sz="12" w:space="0" w:color="auto"/>
            </w:tcBorders>
            <w:shd w:val="clear" w:color="auto" w:fill="auto"/>
            <w:vAlign w:val="bottom"/>
          </w:tcPr>
          <w:p w:rsidR="00234792" w:rsidRPr="00161A10" w:rsidRDefault="00234792" w:rsidP="00390C50">
            <w:pPr>
              <w:spacing w:before="80" w:after="80" w:line="200" w:lineRule="exact"/>
              <w:jc w:val="right"/>
              <w:rPr>
                <w:i/>
                <w:sz w:val="16"/>
              </w:rPr>
            </w:pPr>
            <w:r w:rsidRPr="00161A10">
              <w:rPr>
                <w:i/>
                <w:sz w:val="16"/>
              </w:rPr>
              <w:t>Решения, которыми были уст</w:t>
            </w:r>
            <w:r w:rsidRPr="00161A10">
              <w:rPr>
                <w:i/>
                <w:sz w:val="16"/>
              </w:rPr>
              <w:t>а</w:t>
            </w:r>
            <w:r w:rsidRPr="00161A10">
              <w:rPr>
                <w:i/>
                <w:sz w:val="16"/>
              </w:rPr>
              <w:t>новлены нарушения закона</w:t>
            </w:r>
          </w:p>
        </w:tc>
        <w:tc>
          <w:tcPr>
            <w:tcW w:w="2477" w:type="dxa"/>
            <w:tcBorders>
              <w:top w:val="single" w:sz="4" w:space="0" w:color="auto"/>
              <w:bottom w:val="single" w:sz="12" w:space="0" w:color="auto"/>
            </w:tcBorders>
            <w:shd w:val="clear" w:color="auto" w:fill="auto"/>
            <w:vAlign w:val="bottom"/>
          </w:tcPr>
          <w:p w:rsidR="00234792" w:rsidRPr="00161A10" w:rsidRDefault="00234792" w:rsidP="00390C50">
            <w:pPr>
              <w:spacing w:before="80" w:after="80" w:line="200" w:lineRule="exact"/>
              <w:jc w:val="right"/>
              <w:rPr>
                <w:i/>
                <w:sz w:val="16"/>
              </w:rPr>
            </w:pPr>
            <w:r w:rsidRPr="00161A10">
              <w:rPr>
                <w:i/>
                <w:sz w:val="16"/>
              </w:rPr>
              <w:t>Компромиссные решения</w:t>
            </w:r>
          </w:p>
        </w:tc>
        <w:tc>
          <w:tcPr>
            <w:tcW w:w="2506" w:type="dxa"/>
            <w:tcBorders>
              <w:top w:val="single" w:sz="4" w:space="0" w:color="auto"/>
              <w:bottom w:val="single" w:sz="12" w:space="0" w:color="auto"/>
            </w:tcBorders>
            <w:shd w:val="clear" w:color="auto" w:fill="auto"/>
            <w:vAlign w:val="bottom"/>
          </w:tcPr>
          <w:p w:rsidR="00234792" w:rsidRPr="00161A10" w:rsidRDefault="00234792" w:rsidP="00390C50">
            <w:pPr>
              <w:spacing w:before="80" w:after="80" w:line="200" w:lineRule="exact"/>
              <w:jc w:val="right"/>
              <w:rPr>
                <w:i/>
                <w:sz w:val="16"/>
              </w:rPr>
            </w:pPr>
            <w:r w:rsidRPr="00161A10">
              <w:rPr>
                <w:i/>
                <w:sz w:val="16"/>
              </w:rPr>
              <w:t xml:space="preserve">Решения, согласно </w:t>
            </w:r>
            <w:r w:rsidRPr="00161A10">
              <w:rPr>
                <w:i/>
                <w:sz w:val="16"/>
              </w:rPr>
              <w:br/>
              <w:t xml:space="preserve">которым нарушения </w:t>
            </w:r>
            <w:r w:rsidRPr="00161A10">
              <w:rPr>
                <w:i/>
                <w:sz w:val="16"/>
              </w:rPr>
              <w:br/>
              <w:t>зак</w:t>
            </w:r>
            <w:r w:rsidRPr="00161A10">
              <w:rPr>
                <w:i/>
                <w:sz w:val="16"/>
              </w:rPr>
              <w:t>о</w:t>
            </w:r>
            <w:r w:rsidRPr="00161A10">
              <w:rPr>
                <w:i/>
                <w:sz w:val="16"/>
              </w:rPr>
              <w:t>на не было</w:t>
            </w:r>
          </w:p>
        </w:tc>
      </w:tr>
      <w:tr w:rsidR="00234792" w:rsidRPr="00357ECB" w:rsidTr="00416CE0">
        <w:trPr>
          <w:trHeight w:val="240"/>
        </w:trPr>
        <w:tc>
          <w:tcPr>
            <w:tcW w:w="1108" w:type="dxa"/>
            <w:tcBorders>
              <w:top w:val="single" w:sz="12" w:space="0" w:color="auto"/>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2008</w:t>
            </w:r>
          </w:p>
        </w:tc>
        <w:tc>
          <w:tcPr>
            <w:tcW w:w="2462" w:type="dxa"/>
            <w:tcBorders>
              <w:top w:val="single" w:sz="12" w:space="0" w:color="auto"/>
            </w:tcBorders>
            <w:shd w:val="clear" w:color="auto" w:fill="auto"/>
            <w:vAlign w:val="bottom"/>
          </w:tcPr>
          <w:p w:rsidR="00234792" w:rsidRPr="00161A10" w:rsidRDefault="00234792" w:rsidP="00390C50">
            <w:pPr>
              <w:spacing w:before="40" w:after="40"/>
              <w:jc w:val="right"/>
              <w:rPr>
                <w:sz w:val="18"/>
              </w:rPr>
            </w:pPr>
            <w:r w:rsidRPr="00161A10">
              <w:rPr>
                <w:sz w:val="18"/>
              </w:rPr>
              <w:t>0</w:t>
            </w:r>
          </w:p>
        </w:tc>
        <w:tc>
          <w:tcPr>
            <w:tcW w:w="2477" w:type="dxa"/>
            <w:tcBorders>
              <w:top w:val="single" w:sz="12" w:space="0" w:color="auto"/>
            </w:tcBorders>
            <w:shd w:val="clear" w:color="auto" w:fill="auto"/>
            <w:vAlign w:val="bottom"/>
          </w:tcPr>
          <w:p w:rsidR="00234792" w:rsidRPr="00161A10" w:rsidRDefault="00234792" w:rsidP="00390C50">
            <w:pPr>
              <w:spacing w:before="40" w:after="40"/>
              <w:jc w:val="right"/>
              <w:rPr>
                <w:sz w:val="18"/>
              </w:rPr>
            </w:pPr>
            <w:r w:rsidRPr="00161A10">
              <w:rPr>
                <w:sz w:val="18"/>
              </w:rPr>
              <w:t>0</w:t>
            </w:r>
          </w:p>
        </w:tc>
        <w:tc>
          <w:tcPr>
            <w:tcW w:w="2506" w:type="dxa"/>
            <w:tcBorders>
              <w:top w:val="single" w:sz="12" w:space="0" w:color="auto"/>
            </w:tcBorders>
            <w:shd w:val="clear" w:color="auto" w:fill="auto"/>
            <w:vAlign w:val="bottom"/>
          </w:tcPr>
          <w:p w:rsidR="00234792" w:rsidRPr="00161A10" w:rsidRDefault="00234792" w:rsidP="00390C50">
            <w:pPr>
              <w:spacing w:before="40" w:after="40"/>
              <w:jc w:val="right"/>
              <w:rPr>
                <w:sz w:val="18"/>
              </w:rPr>
            </w:pPr>
            <w:r w:rsidRPr="00161A10">
              <w:rPr>
                <w:sz w:val="18"/>
              </w:rPr>
              <w:t>2</w:t>
            </w:r>
          </w:p>
        </w:tc>
      </w:tr>
      <w:tr w:rsidR="00234792" w:rsidRPr="00357ECB" w:rsidTr="00416CE0">
        <w:trPr>
          <w:trHeight w:val="240"/>
        </w:trPr>
        <w:tc>
          <w:tcPr>
            <w:tcW w:w="1108" w:type="dxa"/>
            <w:tcBorders>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2009</w:t>
            </w:r>
          </w:p>
        </w:tc>
        <w:tc>
          <w:tcPr>
            <w:tcW w:w="2462" w:type="dxa"/>
            <w:shd w:val="clear" w:color="auto" w:fill="auto"/>
            <w:vAlign w:val="bottom"/>
          </w:tcPr>
          <w:p w:rsidR="00234792" w:rsidRPr="00161A10" w:rsidRDefault="00234792" w:rsidP="00390C50">
            <w:pPr>
              <w:spacing w:before="40" w:after="40"/>
              <w:jc w:val="right"/>
              <w:rPr>
                <w:sz w:val="18"/>
              </w:rPr>
            </w:pPr>
            <w:r w:rsidRPr="00161A10">
              <w:rPr>
                <w:sz w:val="18"/>
              </w:rPr>
              <w:t>5</w:t>
            </w:r>
          </w:p>
        </w:tc>
        <w:tc>
          <w:tcPr>
            <w:tcW w:w="2477" w:type="dxa"/>
            <w:shd w:val="clear" w:color="auto" w:fill="auto"/>
            <w:vAlign w:val="bottom"/>
          </w:tcPr>
          <w:p w:rsidR="00234792" w:rsidRPr="00161A10" w:rsidRDefault="00234792" w:rsidP="00390C50">
            <w:pPr>
              <w:spacing w:before="40" w:after="40"/>
              <w:jc w:val="right"/>
              <w:rPr>
                <w:sz w:val="18"/>
              </w:rPr>
            </w:pPr>
            <w:r w:rsidRPr="00161A10">
              <w:rPr>
                <w:sz w:val="18"/>
              </w:rPr>
              <w:t>0</w:t>
            </w:r>
          </w:p>
        </w:tc>
        <w:tc>
          <w:tcPr>
            <w:tcW w:w="2506" w:type="dxa"/>
            <w:shd w:val="clear" w:color="auto" w:fill="auto"/>
            <w:vAlign w:val="bottom"/>
          </w:tcPr>
          <w:p w:rsidR="00234792" w:rsidRPr="00161A10" w:rsidRDefault="00234792" w:rsidP="00390C50">
            <w:pPr>
              <w:spacing w:before="40" w:after="40"/>
              <w:jc w:val="right"/>
              <w:rPr>
                <w:sz w:val="18"/>
              </w:rPr>
            </w:pPr>
            <w:r w:rsidRPr="00161A10">
              <w:rPr>
                <w:sz w:val="18"/>
              </w:rPr>
              <w:t>1</w:t>
            </w:r>
          </w:p>
        </w:tc>
      </w:tr>
      <w:tr w:rsidR="00234792" w:rsidRPr="00357ECB" w:rsidTr="00416CE0">
        <w:trPr>
          <w:trHeight w:val="240"/>
        </w:trPr>
        <w:tc>
          <w:tcPr>
            <w:tcW w:w="1108" w:type="dxa"/>
            <w:tcBorders>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2010</w:t>
            </w:r>
          </w:p>
        </w:tc>
        <w:tc>
          <w:tcPr>
            <w:tcW w:w="2462" w:type="dxa"/>
            <w:shd w:val="clear" w:color="auto" w:fill="auto"/>
            <w:vAlign w:val="bottom"/>
          </w:tcPr>
          <w:p w:rsidR="00234792" w:rsidRPr="00161A10" w:rsidRDefault="00234792" w:rsidP="00390C50">
            <w:pPr>
              <w:spacing w:before="40" w:after="40"/>
              <w:jc w:val="right"/>
              <w:rPr>
                <w:sz w:val="18"/>
              </w:rPr>
            </w:pPr>
            <w:r w:rsidRPr="00161A10">
              <w:rPr>
                <w:sz w:val="18"/>
              </w:rPr>
              <w:t>2</w:t>
            </w:r>
          </w:p>
        </w:tc>
        <w:tc>
          <w:tcPr>
            <w:tcW w:w="2477" w:type="dxa"/>
            <w:shd w:val="clear" w:color="auto" w:fill="auto"/>
            <w:vAlign w:val="bottom"/>
          </w:tcPr>
          <w:p w:rsidR="00234792" w:rsidRPr="00161A10" w:rsidRDefault="00234792" w:rsidP="00390C50">
            <w:pPr>
              <w:spacing w:before="40" w:after="40"/>
              <w:jc w:val="right"/>
              <w:rPr>
                <w:sz w:val="18"/>
              </w:rPr>
            </w:pPr>
            <w:r w:rsidRPr="00161A10">
              <w:rPr>
                <w:sz w:val="18"/>
              </w:rPr>
              <w:t>2</w:t>
            </w:r>
          </w:p>
        </w:tc>
        <w:tc>
          <w:tcPr>
            <w:tcW w:w="2506" w:type="dxa"/>
            <w:shd w:val="clear" w:color="auto" w:fill="auto"/>
            <w:vAlign w:val="bottom"/>
          </w:tcPr>
          <w:p w:rsidR="00234792" w:rsidRPr="00161A10" w:rsidRDefault="00234792" w:rsidP="00390C50">
            <w:pPr>
              <w:spacing w:before="40" w:after="40"/>
              <w:jc w:val="right"/>
              <w:rPr>
                <w:sz w:val="18"/>
              </w:rPr>
            </w:pPr>
            <w:r w:rsidRPr="00161A10">
              <w:rPr>
                <w:sz w:val="18"/>
              </w:rPr>
              <w:t>5</w:t>
            </w:r>
          </w:p>
        </w:tc>
      </w:tr>
      <w:tr w:rsidR="00234792" w:rsidRPr="00357ECB" w:rsidTr="00416CE0">
        <w:trPr>
          <w:trHeight w:val="240"/>
        </w:trPr>
        <w:tc>
          <w:tcPr>
            <w:tcW w:w="1108" w:type="dxa"/>
            <w:tcBorders>
              <w:left w:val="nil"/>
              <w:bottom w:val="nil"/>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2011</w:t>
            </w:r>
          </w:p>
        </w:tc>
        <w:tc>
          <w:tcPr>
            <w:tcW w:w="2462" w:type="dxa"/>
            <w:shd w:val="clear" w:color="auto" w:fill="auto"/>
            <w:vAlign w:val="bottom"/>
          </w:tcPr>
          <w:p w:rsidR="00234792" w:rsidRPr="00161A10" w:rsidRDefault="00234792" w:rsidP="00390C50">
            <w:pPr>
              <w:spacing w:before="40" w:after="40"/>
              <w:jc w:val="right"/>
              <w:rPr>
                <w:sz w:val="18"/>
              </w:rPr>
            </w:pPr>
            <w:r w:rsidRPr="00161A10">
              <w:rPr>
                <w:sz w:val="18"/>
              </w:rPr>
              <w:t>3</w:t>
            </w:r>
          </w:p>
        </w:tc>
        <w:tc>
          <w:tcPr>
            <w:tcW w:w="2477" w:type="dxa"/>
            <w:shd w:val="clear" w:color="auto" w:fill="auto"/>
            <w:vAlign w:val="bottom"/>
          </w:tcPr>
          <w:p w:rsidR="00234792" w:rsidRPr="00161A10" w:rsidRDefault="00234792" w:rsidP="00390C50">
            <w:pPr>
              <w:spacing w:before="40" w:after="40"/>
              <w:jc w:val="right"/>
              <w:rPr>
                <w:sz w:val="18"/>
              </w:rPr>
            </w:pPr>
            <w:r w:rsidRPr="00161A10">
              <w:rPr>
                <w:sz w:val="18"/>
              </w:rPr>
              <w:t>2</w:t>
            </w:r>
          </w:p>
        </w:tc>
        <w:tc>
          <w:tcPr>
            <w:tcW w:w="2506" w:type="dxa"/>
            <w:shd w:val="clear" w:color="auto" w:fill="auto"/>
            <w:vAlign w:val="bottom"/>
          </w:tcPr>
          <w:p w:rsidR="00234792" w:rsidRPr="00161A10" w:rsidRDefault="00234792" w:rsidP="00390C50">
            <w:pPr>
              <w:spacing w:before="40" w:after="40"/>
              <w:jc w:val="right"/>
              <w:rPr>
                <w:sz w:val="18"/>
              </w:rPr>
            </w:pPr>
            <w:r w:rsidRPr="00161A10">
              <w:rPr>
                <w:sz w:val="18"/>
              </w:rPr>
              <w:t>2</w:t>
            </w:r>
          </w:p>
        </w:tc>
      </w:tr>
      <w:tr w:rsidR="00234792" w:rsidRPr="00357ECB" w:rsidTr="00416CE0">
        <w:trPr>
          <w:trHeight w:val="240"/>
        </w:trPr>
        <w:tc>
          <w:tcPr>
            <w:tcW w:w="1108" w:type="dxa"/>
            <w:tcBorders>
              <w:left w:val="nil"/>
              <w:bottom w:val="single" w:sz="12" w:space="0" w:color="auto"/>
              <w:right w:val="nil"/>
              <w:tl2br w:val="nil"/>
              <w:tr2bl w:val="nil"/>
            </w:tcBorders>
            <w:shd w:val="clear" w:color="auto" w:fill="auto"/>
            <w:vAlign w:val="bottom"/>
          </w:tcPr>
          <w:p w:rsidR="00234792" w:rsidRPr="00161A10" w:rsidRDefault="00234792" w:rsidP="00390C50">
            <w:pPr>
              <w:spacing w:before="40" w:after="40"/>
              <w:rPr>
                <w:sz w:val="18"/>
              </w:rPr>
            </w:pPr>
            <w:r w:rsidRPr="00161A10">
              <w:rPr>
                <w:sz w:val="18"/>
              </w:rPr>
              <w:t>2012*</w:t>
            </w:r>
          </w:p>
        </w:tc>
        <w:tc>
          <w:tcPr>
            <w:tcW w:w="2462" w:type="dxa"/>
            <w:shd w:val="clear" w:color="auto" w:fill="auto"/>
            <w:vAlign w:val="bottom"/>
          </w:tcPr>
          <w:p w:rsidR="00234792" w:rsidRPr="00161A10" w:rsidRDefault="00234792" w:rsidP="00390C50">
            <w:pPr>
              <w:spacing w:before="40" w:after="40"/>
              <w:jc w:val="right"/>
              <w:rPr>
                <w:sz w:val="18"/>
              </w:rPr>
            </w:pPr>
            <w:r w:rsidRPr="00161A10">
              <w:rPr>
                <w:sz w:val="18"/>
              </w:rPr>
              <w:t>1</w:t>
            </w:r>
          </w:p>
        </w:tc>
        <w:tc>
          <w:tcPr>
            <w:tcW w:w="2477" w:type="dxa"/>
            <w:shd w:val="clear" w:color="auto" w:fill="auto"/>
            <w:vAlign w:val="bottom"/>
          </w:tcPr>
          <w:p w:rsidR="00234792" w:rsidRPr="00161A10" w:rsidRDefault="00234792" w:rsidP="00390C50">
            <w:pPr>
              <w:spacing w:before="40" w:after="40"/>
              <w:jc w:val="right"/>
              <w:rPr>
                <w:sz w:val="18"/>
              </w:rPr>
            </w:pPr>
            <w:r w:rsidRPr="00161A10">
              <w:rPr>
                <w:sz w:val="18"/>
              </w:rPr>
              <w:t>0</w:t>
            </w:r>
          </w:p>
        </w:tc>
        <w:tc>
          <w:tcPr>
            <w:tcW w:w="2506" w:type="dxa"/>
            <w:shd w:val="clear" w:color="auto" w:fill="auto"/>
            <w:vAlign w:val="bottom"/>
          </w:tcPr>
          <w:p w:rsidR="00234792" w:rsidRPr="00161A10" w:rsidRDefault="00234792" w:rsidP="00390C50">
            <w:pPr>
              <w:spacing w:before="40" w:after="40"/>
              <w:jc w:val="right"/>
              <w:rPr>
                <w:sz w:val="18"/>
              </w:rPr>
            </w:pPr>
            <w:r w:rsidRPr="00161A10">
              <w:rPr>
                <w:sz w:val="18"/>
              </w:rPr>
              <w:t>2</w:t>
            </w:r>
          </w:p>
        </w:tc>
      </w:tr>
    </w:tbl>
    <w:p w:rsidR="00234792" w:rsidRPr="00F129A2" w:rsidRDefault="00234792" w:rsidP="00416CE0">
      <w:pPr>
        <w:tabs>
          <w:tab w:val="left" w:pos="1365"/>
          <w:tab w:val="left" w:pos="1575"/>
        </w:tabs>
        <w:spacing w:before="120" w:line="240" w:lineRule="exact"/>
        <w:ind w:left="1134" w:firstLine="170"/>
        <w:rPr>
          <w:i/>
          <w:sz w:val="18"/>
          <w:szCs w:val="18"/>
        </w:rPr>
      </w:pPr>
      <w:r w:rsidRPr="001F6964">
        <w:rPr>
          <w:sz w:val="18"/>
          <w:szCs w:val="18"/>
        </w:rPr>
        <w:sym w:font="Symbol" w:char="F02A"/>
      </w:r>
      <w:r w:rsidR="00416CE0">
        <w:rPr>
          <w:sz w:val="18"/>
          <w:szCs w:val="18"/>
        </w:rPr>
        <w:t>  </w:t>
      </w:r>
      <w:r w:rsidRPr="00F129A2">
        <w:rPr>
          <w:i/>
          <w:sz w:val="18"/>
          <w:szCs w:val="18"/>
        </w:rPr>
        <w:t>Вышеуказанные данные включают в себя дела, закрытые к 25 сентября 2012 года.</w:t>
      </w:r>
    </w:p>
    <w:p w:rsidR="00416CE0" w:rsidRPr="00380E66" w:rsidRDefault="00416CE0" w:rsidP="00416CE0">
      <w:pPr>
        <w:pStyle w:val="H23GR"/>
      </w:pPr>
      <w:r>
        <w:rPr>
          <w:lang w:val="en-US"/>
        </w:rPr>
        <w:tab/>
      </w:r>
      <w:r>
        <w:rPr>
          <w:lang w:val="en-US"/>
        </w:rPr>
        <w:tab/>
      </w:r>
      <w:r w:rsidRPr="00380E66">
        <w:t>Повышение осведомленности о работе Управления</w:t>
      </w:r>
    </w:p>
    <w:p w:rsidR="00416CE0" w:rsidRPr="00380E66" w:rsidRDefault="00416CE0" w:rsidP="00416CE0">
      <w:pPr>
        <w:pStyle w:val="SingleTxtGR"/>
      </w:pPr>
      <w:r w:rsidRPr="00380E66">
        <w:t>26.</w:t>
      </w:r>
      <w:r w:rsidRPr="00380E66">
        <w:tab/>
        <w:t xml:space="preserve">В рамках проекта TАMOП 5.5.5 Управление проводит курсы по правовым аспектам и повышению осведомленности, </w:t>
      </w:r>
      <w:r>
        <w:t>предусматривающие</w:t>
      </w:r>
      <w:r w:rsidRPr="00380E66">
        <w:t xml:space="preserve"> экспериме</w:t>
      </w:r>
      <w:r w:rsidRPr="00380E66">
        <w:t>н</w:t>
      </w:r>
      <w:r w:rsidRPr="00380E66">
        <w:t>тальные задания, способствующие распознаванию негативной дискриминации с правовой точки зрения и помогающие в подготовке мер в отношении дискр</w:t>
      </w:r>
      <w:r w:rsidRPr="00380E66">
        <w:t>и</w:t>
      </w:r>
      <w:r w:rsidRPr="00380E66">
        <w:t>минации. Дополнительную информацию об этих курсах можно найти на ве</w:t>
      </w:r>
      <w:r w:rsidRPr="00380E66">
        <w:t>б</w:t>
      </w:r>
      <w:r w:rsidRPr="00380E66">
        <w:t>сайте по адресу: http://egyenlobanasmod.hu/tamop/kepzesek.</w:t>
      </w:r>
    </w:p>
    <w:p w:rsidR="00416CE0" w:rsidRPr="00380E66" w:rsidRDefault="00416CE0" w:rsidP="00416CE0">
      <w:pPr>
        <w:pStyle w:val="SingleTxtGR"/>
      </w:pPr>
      <w:r w:rsidRPr="00380E66">
        <w:t>27.</w:t>
      </w:r>
      <w:r w:rsidRPr="00380E66">
        <w:tab/>
        <w:t>Управление по равному обращению стремится предоставлять свои услуги как можно более шир</w:t>
      </w:r>
      <w:r w:rsidRPr="00380E66">
        <w:t>о</w:t>
      </w:r>
      <w:r w:rsidRPr="00380E66">
        <w:t>ким слоям населения посредством организации − также в рамках проекта TАMOП − сети представителей по вопросам равного обращ</w:t>
      </w:r>
      <w:r w:rsidRPr="00380E66">
        <w:t>е</w:t>
      </w:r>
      <w:r w:rsidRPr="00380E66">
        <w:t xml:space="preserve">ния на уровне медье. </w:t>
      </w:r>
      <w:r>
        <w:t>Ч</w:t>
      </w:r>
      <w:r w:rsidRPr="00380E66">
        <w:t xml:space="preserve">то касается гендерных аспектов, </w:t>
      </w:r>
      <w:r>
        <w:t xml:space="preserve">то </w:t>
      </w:r>
      <w:r w:rsidRPr="00380E66">
        <w:t>за период с 1 сентя</w:t>
      </w:r>
      <w:r w:rsidRPr="00380E66">
        <w:t>б</w:t>
      </w:r>
      <w:r w:rsidRPr="00380E66">
        <w:t>ря 2009 года по 31 июля 2012 года из 386 жалоб, поданных через сеть предст</w:t>
      </w:r>
      <w:r w:rsidRPr="00380E66">
        <w:t>а</w:t>
      </w:r>
      <w:r w:rsidRPr="00380E66">
        <w:t>вителей TАMOП, 204 жалобы были поданы женщинами. В 52 учебных курсах за период с 1 сентября 2010 года по 30 июня 2012 года приняли участие 747</w:t>
      </w:r>
      <w:r>
        <w:t> </w:t>
      </w:r>
      <w:r w:rsidRPr="00380E66">
        <w:t>женщин из общего числа 990 участников.</w:t>
      </w:r>
    </w:p>
    <w:p w:rsidR="00416CE0" w:rsidRPr="00380E66" w:rsidRDefault="00416CE0" w:rsidP="00416CE0">
      <w:pPr>
        <w:pStyle w:val="SingleTxtGR"/>
      </w:pPr>
      <w:r w:rsidRPr="00380E66">
        <w:t>28.</w:t>
      </w:r>
      <w:r w:rsidRPr="00380E66">
        <w:tab/>
        <w:t>Исследовательские программы проекта TАMOП 5.5.5 направлены на ра</w:t>
      </w:r>
      <w:r w:rsidRPr="00380E66">
        <w:t>с</w:t>
      </w:r>
      <w:r w:rsidRPr="00380E66">
        <w:t xml:space="preserve">познавание различных проявлений негативной дискриминации, </w:t>
      </w:r>
      <w:r>
        <w:t>а</w:t>
      </w:r>
      <w:r w:rsidRPr="00380E66">
        <w:t xml:space="preserve"> результаты исследований размещены на вебсайте по адресу: http://egyenlobanasmod.hu/</w:t>
      </w:r>
      <w:r>
        <w:t xml:space="preserve"> </w:t>
      </w:r>
      <w:r w:rsidRPr="00380E66">
        <w:t>tamop/kutatasok#tanulmanyok.</w:t>
      </w:r>
    </w:p>
    <w:p w:rsidR="00416CE0" w:rsidRPr="00380E66" w:rsidRDefault="00416CE0" w:rsidP="00416CE0">
      <w:pPr>
        <w:pStyle w:val="H1GR"/>
      </w:pPr>
      <w:r>
        <w:tab/>
      </w:r>
      <w:r>
        <w:tab/>
      </w:r>
      <w:r w:rsidRPr="00380E66">
        <w:t>Национальный механизм по улучшению положения женщин</w:t>
      </w:r>
    </w:p>
    <w:p w:rsidR="00416CE0" w:rsidRPr="00380E66" w:rsidRDefault="00416CE0" w:rsidP="00416CE0">
      <w:pPr>
        <w:pStyle w:val="H23GR"/>
      </w:pPr>
      <w:r>
        <w:tab/>
      </w:r>
      <w:r>
        <w:tab/>
      </w:r>
      <w:r w:rsidRPr="00380E66">
        <w:t>Ответ на вопросы, поставленные в пунктах 5 и 6 перечня вопросов</w:t>
      </w:r>
    </w:p>
    <w:p w:rsidR="00416CE0" w:rsidRPr="00380E66" w:rsidRDefault="00416CE0" w:rsidP="00416CE0">
      <w:pPr>
        <w:pStyle w:val="SingleTxtGR"/>
      </w:pPr>
      <w:r w:rsidRPr="00380E66">
        <w:t>29.</w:t>
      </w:r>
      <w:r w:rsidRPr="00380E66">
        <w:tab/>
        <w:t>В Постановлении Правительства № 1095/2010 (IV. 21) изложен План де</w:t>
      </w:r>
      <w:r w:rsidRPr="00380E66">
        <w:t>й</w:t>
      </w:r>
      <w:r w:rsidRPr="00380E66">
        <w:t>ствий по осуществлению задач Национальной стратегии поощрения социальн</w:t>
      </w:r>
      <w:r w:rsidRPr="00380E66">
        <w:t>о</w:t>
      </w:r>
      <w:r w:rsidRPr="00380E66">
        <w:t xml:space="preserve">го равенства между мужчинами и женщинами. </w:t>
      </w:r>
      <w:r>
        <w:t>Решение</w:t>
      </w:r>
      <w:r w:rsidRPr="00380E66">
        <w:t xml:space="preserve"> этих задач возложено на новое правительство, сформированное в мае 2010 года. Правительство по</w:t>
      </w:r>
      <w:r w:rsidRPr="00380E66">
        <w:t>д</w:t>
      </w:r>
      <w:r w:rsidRPr="00380E66">
        <w:t xml:space="preserve">верглось полной перестройке, и приоритеты правительственной программы были изменены. </w:t>
      </w:r>
      <w:r>
        <w:t>Поэтому</w:t>
      </w:r>
      <w:r w:rsidRPr="00380E66">
        <w:t xml:space="preserve"> План действий осуществляется новыми ответстве</w:t>
      </w:r>
      <w:r w:rsidRPr="00380E66">
        <w:t>н</w:t>
      </w:r>
      <w:r w:rsidRPr="00380E66">
        <w:t>ными лицами и в новые сроки. В новой программе правительства особое вн</w:t>
      </w:r>
      <w:r w:rsidRPr="00380E66">
        <w:t>и</w:t>
      </w:r>
      <w:r w:rsidRPr="00380E66">
        <w:t xml:space="preserve">мание </w:t>
      </w:r>
      <w:r>
        <w:t xml:space="preserve">уделяется </w:t>
      </w:r>
      <w:r w:rsidRPr="00380E66">
        <w:t xml:space="preserve">повышению благосостояния семьи, </w:t>
      </w:r>
      <w:r>
        <w:t>уменьшению</w:t>
      </w:r>
      <w:r w:rsidRPr="00380E66">
        <w:t xml:space="preserve"> бремени во</w:t>
      </w:r>
      <w:r w:rsidRPr="00380E66">
        <w:t>с</w:t>
      </w:r>
      <w:r w:rsidRPr="00380E66">
        <w:t>питания детей, улучшению демографических показателей и улучшению пол</w:t>
      </w:r>
      <w:r w:rsidRPr="00380E66">
        <w:t>о</w:t>
      </w:r>
      <w:r w:rsidRPr="00380E66">
        <w:t>жения семей и женщин с детьми. Прогресс достигнут по нескол</w:t>
      </w:r>
      <w:r w:rsidRPr="00380E66">
        <w:t>ь</w:t>
      </w:r>
      <w:r w:rsidRPr="00380E66">
        <w:t>ким аспектам Плана действий.</w:t>
      </w:r>
    </w:p>
    <w:p w:rsidR="00416CE0" w:rsidRPr="00A152A2" w:rsidRDefault="00416CE0" w:rsidP="00416CE0">
      <w:pPr>
        <w:pStyle w:val="SingleTxtGR"/>
      </w:pPr>
      <w:r w:rsidRPr="00380E66">
        <w:t>30.</w:t>
      </w:r>
      <w:r w:rsidRPr="00380E66">
        <w:tab/>
        <w:t>Министр национальной экономики назначил на шестимесячный период с 1 апреля 2012 года сп</w:t>
      </w:r>
      <w:r w:rsidRPr="00380E66">
        <w:t>е</w:t>
      </w:r>
      <w:r w:rsidRPr="00380E66">
        <w:t>циального уполномоченного министерства (впоследствии его мандат был продлен), поставив перед ним задачу составления перечня всех проблем, препятствующих занятости женщин, и вынесения рекомендаций по устранению таких препятствий</w:t>
      </w:r>
      <w:r>
        <w:t>.</w:t>
      </w:r>
    </w:p>
    <w:p w:rsidR="00416CE0" w:rsidRPr="00380E66" w:rsidRDefault="00416CE0" w:rsidP="00416CE0">
      <w:pPr>
        <w:pStyle w:val="SingleTxtGR"/>
      </w:pPr>
      <w:r w:rsidRPr="00380E66">
        <w:t>31.</w:t>
      </w:r>
      <w:r w:rsidRPr="00380E66">
        <w:tab/>
        <w:t>Правительство предлагает несколько стимулов для возвращения родит</w:t>
      </w:r>
      <w:r w:rsidRPr="00380E66">
        <w:t>е</w:t>
      </w:r>
      <w:r w:rsidRPr="00380E66">
        <w:t>лей с детьми на рынок труда, включая сокращение взносов работодателей (</w:t>
      </w:r>
      <w:r>
        <w:t>б</w:t>
      </w:r>
      <w:r>
        <w:t>о</w:t>
      </w:r>
      <w:r>
        <w:t xml:space="preserve">нусная </w:t>
      </w:r>
      <w:r w:rsidRPr="00380E66">
        <w:t>карточка "СТАРТ", которая полностью освобождает работодателей от взноса в размере 27% при найме женщин, возвращающихся на работу из отпу</w:t>
      </w:r>
      <w:r w:rsidRPr="00380E66">
        <w:t>с</w:t>
      </w:r>
      <w:r w:rsidRPr="00380E66">
        <w:t>ков по уходу за детьми). (Действие данного стимула прекратится 31 декабря 2012 года). 1 января 2011 года бы</w:t>
      </w:r>
      <w:r>
        <w:t>ла введена</w:t>
      </w:r>
      <w:r w:rsidRPr="00380E66">
        <w:t xml:space="preserve"> </w:t>
      </w:r>
      <w:r>
        <w:t>мера по сокращению</w:t>
      </w:r>
      <w:r w:rsidRPr="00380E66">
        <w:t xml:space="preserve"> взносов за частично занятых молодых матерей: если работодатель позволяет молодой м</w:t>
      </w:r>
      <w:r w:rsidRPr="00380E66">
        <w:t>а</w:t>
      </w:r>
      <w:r w:rsidRPr="00380E66">
        <w:t>тери, возвращающейся на работу после отпуска по уходу за ребенком, делить свою предыдущую должность с другим, вновь нанятым сотрудником, и раб</w:t>
      </w:r>
      <w:r w:rsidRPr="00380E66">
        <w:t>о</w:t>
      </w:r>
      <w:r w:rsidRPr="00380E66">
        <w:t xml:space="preserve">тать неполный рабочий день, вместо обычного взноса в систему социального страхования в размере 27% от валового оклада каждого сотрудника взнос за обоих вышеупомянутых сотрудников сокращается на трехлетний период до 20%. </w:t>
      </w:r>
      <w:r>
        <w:t>Таким образом</w:t>
      </w:r>
      <w:r w:rsidRPr="00380E66">
        <w:t xml:space="preserve">, суммы, выплачиваемые в </w:t>
      </w:r>
      <w:r>
        <w:t>страховой</w:t>
      </w:r>
      <w:r w:rsidRPr="00380E66">
        <w:t xml:space="preserve"> фонд, сокращаются примерно на 25%.</w:t>
      </w:r>
    </w:p>
    <w:p w:rsidR="00416CE0" w:rsidRPr="00380E66" w:rsidRDefault="00416CE0" w:rsidP="00416CE0">
      <w:pPr>
        <w:pStyle w:val="SingleTxtGR"/>
      </w:pPr>
      <w:r w:rsidRPr="00380E66">
        <w:t>32.</w:t>
      </w:r>
      <w:r w:rsidRPr="00380E66">
        <w:tab/>
        <w:t>Одним из основных элементов последней инициативы правительства, озаглавленной "План действий по защите рабочих мест", является еще одно с</w:t>
      </w:r>
      <w:r w:rsidRPr="00380E66">
        <w:t>о</w:t>
      </w:r>
      <w:r w:rsidRPr="00380E66">
        <w:t>кращение взноса работодателей, направленное на стимулирование найма мат</w:t>
      </w:r>
      <w:r w:rsidRPr="00380E66">
        <w:t>е</w:t>
      </w:r>
      <w:r w:rsidRPr="00380E66">
        <w:t xml:space="preserve">рей с малолетними детьми, которое составляет 28,5% в течение двух лет и 14,5% </w:t>
      </w:r>
      <w:r>
        <w:t xml:space="preserve">еще </w:t>
      </w:r>
      <w:r w:rsidRPr="00380E66">
        <w:t>на один год. Кроме того, предусмотрены льготы по найму сотрудн</w:t>
      </w:r>
      <w:r w:rsidRPr="00380E66">
        <w:t>и</w:t>
      </w:r>
      <w:r w:rsidRPr="00380E66">
        <w:t>к</w:t>
      </w:r>
      <w:r>
        <w:t>ов</w:t>
      </w:r>
      <w:r w:rsidRPr="00380E66">
        <w:t xml:space="preserve"> в возрасте старше 55 и моложе 25</w:t>
      </w:r>
      <w:r>
        <w:t xml:space="preserve"> лет</w:t>
      </w:r>
      <w:r w:rsidRPr="00380E66">
        <w:t>, а значительная часть этих возрастных групп занятых приходится именно на женщин.</w:t>
      </w:r>
    </w:p>
    <w:p w:rsidR="00416CE0" w:rsidRPr="00380E66" w:rsidRDefault="00416CE0" w:rsidP="00416CE0">
      <w:pPr>
        <w:pStyle w:val="SingleTxtGR"/>
      </w:pPr>
      <w:r w:rsidRPr="00380E66">
        <w:t>33.</w:t>
      </w:r>
      <w:r w:rsidRPr="00380E66">
        <w:tab/>
        <w:t xml:space="preserve">Осуществление вышеупомянутой стратегии в настоящее время относится к </w:t>
      </w:r>
      <w:r>
        <w:t>сфере</w:t>
      </w:r>
      <w:r w:rsidRPr="00380E66">
        <w:t xml:space="preserve"> </w:t>
      </w:r>
      <w:r>
        <w:t>ответственности Д</w:t>
      </w:r>
      <w:r w:rsidRPr="00380E66">
        <w:t>епартамента по равенству возможностей Министе</w:t>
      </w:r>
      <w:r w:rsidRPr="00380E66">
        <w:t>р</w:t>
      </w:r>
      <w:r w:rsidRPr="00380E66">
        <w:t xml:space="preserve">ства людских ресурсов (в прошлом </w:t>
      </w:r>
      <w:r>
        <w:t>− М</w:t>
      </w:r>
      <w:r w:rsidRPr="00380E66">
        <w:t>инистерство национальных ресурсов). Задачи, связанные с обеспечением равных возможностей для мужчин и же</w:t>
      </w:r>
      <w:r w:rsidRPr="00380E66">
        <w:t>н</w:t>
      </w:r>
      <w:r w:rsidRPr="00380E66">
        <w:t xml:space="preserve">щин, </w:t>
      </w:r>
      <w:r>
        <w:t>решаются</w:t>
      </w:r>
      <w:r w:rsidRPr="00380E66">
        <w:t xml:space="preserve"> совместно Департаментом по равенству возможностей и Депа</w:t>
      </w:r>
      <w:r w:rsidRPr="00380E66">
        <w:t>р</w:t>
      </w:r>
      <w:r w:rsidRPr="00380E66">
        <w:t xml:space="preserve">таментом по </w:t>
      </w:r>
      <w:r>
        <w:t xml:space="preserve">вопросам </w:t>
      </w:r>
      <w:r w:rsidRPr="00380E66">
        <w:t>се</w:t>
      </w:r>
      <w:r>
        <w:t>мейной политики</w:t>
      </w:r>
      <w:r w:rsidRPr="00380E66">
        <w:t>. В настоящее время производится пересмотр стратегии обеспечения равенства му</w:t>
      </w:r>
      <w:r w:rsidRPr="00380E66">
        <w:t>ж</w:t>
      </w:r>
      <w:r w:rsidRPr="00380E66">
        <w:t>чин и женщин.</w:t>
      </w:r>
    </w:p>
    <w:p w:rsidR="00416CE0" w:rsidRPr="00380E66" w:rsidRDefault="00416CE0" w:rsidP="00416CE0">
      <w:pPr>
        <w:pStyle w:val="SingleTxtGR"/>
      </w:pPr>
      <w:r w:rsidRPr="00380E66">
        <w:t>34.</w:t>
      </w:r>
      <w:r w:rsidRPr="00380E66">
        <w:tab/>
        <w:t>Министерство сотрудничает с общенациональной организацией же</w:t>
      </w:r>
      <w:r w:rsidRPr="00380E66">
        <w:t>н</w:t>
      </w:r>
      <w:r w:rsidRPr="00380E66">
        <w:t>щин</w:t>
      </w:r>
      <w:r>
        <w:t> −</w:t>
      </w:r>
      <w:r w:rsidRPr="00380E66">
        <w:t xml:space="preserve"> Венгерским женским альянсом, в котор</w:t>
      </w:r>
      <w:r>
        <w:t>ый</w:t>
      </w:r>
      <w:r w:rsidRPr="00380E66">
        <w:t xml:space="preserve"> входят 16 организаций, а та</w:t>
      </w:r>
      <w:r w:rsidRPr="00380E66">
        <w:t>к</w:t>
      </w:r>
      <w:r w:rsidRPr="00380E66">
        <w:t xml:space="preserve">же с Круглым столом по демографии (в </w:t>
      </w:r>
      <w:r>
        <w:t>нем</w:t>
      </w:r>
      <w:r w:rsidRPr="00380E66">
        <w:t xml:space="preserve"> участвуют представители НПО и известные научные эксперты), который разбит на отдельные рабочие группы, исследующие вопросы гармонизации семейной жизни и трудовой де</w:t>
      </w:r>
      <w:r w:rsidRPr="00380E66">
        <w:t>я</w:t>
      </w:r>
      <w:r w:rsidRPr="00380E66">
        <w:t>тельности и проблемы, связанные с обеспечением равенства мужчин и женщин. Круглый стол работает в формате таких тематических рабочих групп и выносит рек</w:t>
      </w:r>
      <w:r w:rsidRPr="00380E66">
        <w:t>о</w:t>
      </w:r>
      <w:r w:rsidRPr="00380E66">
        <w:t>мендации правительству.</w:t>
      </w:r>
    </w:p>
    <w:p w:rsidR="00416CE0" w:rsidRPr="00380E66" w:rsidRDefault="00416CE0" w:rsidP="00416CE0">
      <w:pPr>
        <w:pStyle w:val="SingleTxtGR"/>
      </w:pPr>
      <w:r w:rsidRPr="00380E66">
        <w:t>35.</w:t>
      </w:r>
      <w:r w:rsidRPr="00380E66">
        <w:tab/>
        <w:t>Организация, ранее известная как Национальная сеть в поддержку ра</w:t>
      </w:r>
      <w:r w:rsidRPr="00380E66">
        <w:t>в</w:t>
      </w:r>
      <w:r w:rsidRPr="00380E66">
        <w:t>ных возможностей, в 2012 году была перестроена и переименована</w:t>
      </w:r>
      <w:r>
        <w:t xml:space="preserve"> в</w:t>
      </w:r>
      <w:r w:rsidRPr="00380E66">
        <w:t xml:space="preserve"> Сеть д</w:t>
      </w:r>
      <w:r w:rsidRPr="00380E66">
        <w:t>о</w:t>
      </w:r>
      <w:r w:rsidRPr="00380E66">
        <w:t>машних хозяйств-добровольцев по вопросам семьи и созданию возможн</w:t>
      </w:r>
      <w:r w:rsidRPr="00380E66">
        <w:t>о</w:t>
      </w:r>
      <w:r w:rsidRPr="00380E66">
        <w:t xml:space="preserve">стей. </w:t>
      </w:r>
      <w:r>
        <w:t>Работа этой сети</w:t>
      </w:r>
      <w:r w:rsidRPr="00380E66">
        <w:t xml:space="preserve"> </w:t>
      </w:r>
      <w:r>
        <w:t>−</w:t>
      </w:r>
      <w:r w:rsidRPr="00380E66">
        <w:t xml:space="preserve"> как </w:t>
      </w:r>
      <w:r>
        <w:t xml:space="preserve">и </w:t>
      </w:r>
      <w:r w:rsidRPr="00380E66">
        <w:t>в прошлом Национальн</w:t>
      </w:r>
      <w:r>
        <w:t>ой</w:t>
      </w:r>
      <w:r w:rsidRPr="00380E66">
        <w:t xml:space="preserve"> сет</w:t>
      </w:r>
      <w:r>
        <w:t>и</w:t>
      </w:r>
      <w:r w:rsidRPr="00380E66">
        <w:t xml:space="preserve"> в поддержку равных возможност</w:t>
      </w:r>
      <w:r>
        <w:t>ей</w:t>
      </w:r>
      <w:r w:rsidRPr="00380E66">
        <w:t xml:space="preserve"> − координируется Департаментом </w:t>
      </w:r>
      <w:r>
        <w:t xml:space="preserve">по </w:t>
      </w:r>
      <w:r w:rsidRPr="00380E66">
        <w:t>рав</w:t>
      </w:r>
      <w:r>
        <w:t xml:space="preserve">енству </w:t>
      </w:r>
      <w:r w:rsidRPr="00380E66">
        <w:t>возможностей Министерства людских ресурсов. Департамент формулирует професси</w:t>
      </w:r>
      <w:r w:rsidRPr="00380E66">
        <w:t>о</w:t>
      </w:r>
      <w:r w:rsidRPr="00380E66">
        <w:t xml:space="preserve">нальные </w:t>
      </w:r>
      <w:r>
        <w:t>цели</w:t>
      </w:r>
      <w:r w:rsidRPr="00380E66">
        <w:t xml:space="preserve"> деятельности Сети, состоящей из 19 организаций на уровне медье и одной организации на уровне столицы, и планирует задания по достижению таких ц</w:t>
      </w:r>
      <w:r w:rsidRPr="00380E66">
        <w:t>е</w:t>
      </w:r>
      <w:r w:rsidRPr="00380E66">
        <w:t>лей, а также осуществляет профессиональное руководство и надзор за осущес</w:t>
      </w:r>
      <w:r w:rsidRPr="00380E66">
        <w:t>т</w:t>
      </w:r>
      <w:r w:rsidRPr="00380E66">
        <w:t>влением задач и работой Сети. В своей координационной деятельности Депа</w:t>
      </w:r>
      <w:r w:rsidRPr="00380E66">
        <w:t>р</w:t>
      </w:r>
      <w:r w:rsidRPr="00380E66">
        <w:t xml:space="preserve">тамент по равенству возможностей сотрудничает с Департаментом по </w:t>
      </w:r>
      <w:r>
        <w:t xml:space="preserve">вопросам </w:t>
      </w:r>
      <w:r w:rsidRPr="00380E66">
        <w:t>семейной</w:t>
      </w:r>
      <w:r>
        <w:t xml:space="preserve"> политики</w:t>
      </w:r>
      <w:r w:rsidRPr="00380E66">
        <w:t>, Департаментом по делам молодежи и Управлением по в</w:t>
      </w:r>
      <w:r w:rsidRPr="00380E66">
        <w:t>о</w:t>
      </w:r>
      <w:r w:rsidRPr="00380E66">
        <w:t>просам равного обращения.</w:t>
      </w:r>
    </w:p>
    <w:p w:rsidR="00416CE0" w:rsidRPr="00380E66" w:rsidRDefault="00416CE0" w:rsidP="00416CE0">
      <w:pPr>
        <w:pStyle w:val="SingleTxtGR"/>
      </w:pPr>
      <w:r w:rsidRPr="00380E66">
        <w:t>36.</w:t>
      </w:r>
      <w:r w:rsidRPr="00380E66">
        <w:tab/>
      </w:r>
      <w:r>
        <w:t>Благодаря</w:t>
      </w:r>
      <w:r w:rsidRPr="00380E66">
        <w:t xml:space="preserve"> свои</w:t>
      </w:r>
      <w:r>
        <w:t>м мероприятиям</w:t>
      </w:r>
      <w:r w:rsidRPr="00380E66">
        <w:t xml:space="preserve"> местные отделения, действующие в ра</w:t>
      </w:r>
      <w:r w:rsidRPr="00380E66">
        <w:t>м</w:t>
      </w:r>
      <w:r w:rsidRPr="00380E66">
        <w:t>ках Сети, содействуют социальной интеграции находящихся в невыгодном п</w:t>
      </w:r>
      <w:r w:rsidRPr="00380E66">
        <w:t>о</w:t>
      </w:r>
      <w:r w:rsidRPr="00380E66">
        <w:t>ложении групп населения, которые чаще в</w:t>
      </w:r>
      <w:r w:rsidR="00164369">
        <w:t>сего страдают от дискриминации,</w:t>
      </w:r>
      <w:r w:rsidR="00164369" w:rsidRPr="00164369">
        <w:br/>
      </w:r>
      <w:r w:rsidRPr="00380E66">
        <w:t>и проводят на местном уровне профессиональную политику правительства в данной обла</w:t>
      </w:r>
      <w:r w:rsidRPr="00380E66">
        <w:t>с</w:t>
      </w:r>
      <w:r w:rsidRPr="00380E66">
        <w:t>ти.</w:t>
      </w:r>
    </w:p>
    <w:p w:rsidR="00416CE0" w:rsidRPr="00380E66" w:rsidRDefault="00416CE0" w:rsidP="00416CE0">
      <w:pPr>
        <w:pStyle w:val="SingleTxtGR"/>
      </w:pPr>
      <w:r w:rsidRPr="00380E66">
        <w:t>37.</w:t>
      </w:r>
      <w:r w:rsidRPr="00380E66">
        <w:tab/>
        <w:t xml:space="preserve">Деятельность местных отделений сосредоточена на следующих причинах и факторах дискриминации, которые </w:t>
      </w:r>
      <w:r>
        <w:t xml:space="preserve">ставят в </w:t>
      </w:r>
      <w:r w:rsidRPr="00380E66">
        <w:t xml:space="preserve"> невыгодное положение соотве</w:t>
      </w:r>
      <w:r w:rsidRPr="00380E66">
        <w:t>т</w:t>
      </w:r>
      <w:r w:rsidRPr="00380E66">
        <w:t>ст</w:t>
      </w:r>
      <w:r>
        <w:t>вующие</w:t>
      </w:r>
      <w:r w:rsidRPr="00380E66">
        <w:t xml:space="preserve"> групп</w:t>
      </w:r>
      <w:r>
        <w:t>ы</w:t>
      </w:r>
      <w:r w:rsidRPr="00380E66">
        <w:t xml:space="preserve"> населения:</w:t>
      </w:r>
    </w:p>
    <w:p w:rsidR="00416CE0" w:rsidRPr="00380E66" w:rsidRDefault="00416CE0" w:rsidP="00416CE0">
      <w:pPr>
        <w:pStyle w:val="Bullet1GR"/>
        <w:numPr>
          <w:ilvl w:val="0"/>
          <w:numId w:val="1"/>
        </w:numPr>
      </w:pPr>
      <w:r w:rsidRPr="00380E66">
        <w:t>инвалидность;</w:t>
      </w:r>
    </w:p>
    <w:p w:rsidR="00416CE0" w:rsidRPr="00380E66" w:rsidRDefault="00416CE0" w:rsidP="00416CE0">
      <w:pPr>
        <w:pStyle w:val="Bullet1GR"/>
        <w:numPr>
          <w:ilvl w:val="0"/>
          <w:numId w:val="1"/>
        </w:numPr>
      </w:pPr>
      <w:r w:rsidRPr="00380E66">
        <w:t>гендерная принадлежность;</w:t>
      </w:r>
    </w:p>
    <w:p w:rsidR="00416CE0" w:rsidRPr="00380E66" w:rsidRDefault="00416CE0" w:rsidP="00416CE0">
      <w:pPr>
        <w:pStyle w:val="Bullet1GR"/>
        <w:numPr>
          <w:ilvl w:val="0"/>
          <w:numId w:val="1"/>
        </w:numPr>
      </w:pPr>
      <w:r w:rsidRPr="00380E66">
        <w:t>возраст (в особенности, молодежь и престарелые);</w:t>
      </w:r>
    </w:p>
    <w:p w:rsidR="00416CE0" w:rsidRPr="00380E66" w:rsidRDefault="00416CE0" w:rsidP="00416CE0">
      <w:pPr>
        <w:pStyle w:val="Bullet1GR"/>
        <w:numPr>
          <w:ilvl w:val="0"/>
          <w:numId w:val="1"/>
        </w:numPr>
      </w:pPr>
      <w:r w:rsidRPr="00380E66">
        <w:t xml:space="preserve">крайняя бедность (в </w:t>
      </w:r>
      <w:r>
        <w:t>частности, население рома, дети</w:t>
      </w:r>
      <w:r w:rsidRPr="00380E66">
        <w:t xml:space="preserve"> и жители наход</w:t>
      </w:r>
      <w:r w:rsidRPr="00380E66">
        <w:t>я</w:t>
      </w:r>
      <w:r w:rsidRPr="00380E66">
        <w:t>щихся в невыгодном положении поселений).</w:t>
      </w:r>
    </w:p>
    <w:p w:rsidR="00416CE0" w:rsidRPr="00380E66" w:rsidRDefault="00416CE0" w:rsidP="00416CE0">
      <w:pPr>
        <w:pStyle w:val="SingleTxtGR"/>
      </w:pPr>
      <w:r w:rsidRPr="00380E66">
        <w:t>Кроме того, особый упор в работе делается на семьи.</w:t>
      </w:r>
    </w:p>
    <w:p w:rsidR="00416CE0" w:rsidRPr="00380E66" w:rsidRDefault="00416CE0" w:rsidP="00416CE0">
      <w:pPr>
        <w:pStyle w:val="SingleTxtGR"/>
      </w:pPr>
      <w:r w:rsidRPr="00380E66">
        <w:t>38.</w:t>
      </w:r>
      <w:r w:rsidRPr="00380E66">
        <w:tab/>
        <w:t>Сеть домашних хозяйств-добровольцев по вопросам семьи и созданию возможностей уделяет особое внимание повышению осведомленности целевых групп о важно</w:t>
      </w:r>
      <w:r>
        <w:t>м значении</w:t>
      </w:r>
      <w:r w:rsidRPr="00380E66">
        <w:t xml:space="preserve"> деятельности на общественных началах. Целевыми группами деятельности Сети являются:</w:t>
      </w:r>
    </w:p>
    <w:p w:rsidR="00416CE0" w:rsidRPr="00380E66" w:rsidRDefault="00416CE0" w:rsidP="00416CE0">
      <w:pPr>
        <w:pStyle w:val="Bullet1GR"/>
        <w:numPr>
          <w:ilvl w:val="0"/>
          <w:numId w:val="1"/>
        </w:numPr>
      </w:pPr>
      <w:r w:rsidRPr="00380E66">
        <w:t>группы, затрагиваемые негативной дискриминацией в силу вышеупом</w:t>
      </w:r>
      <w:r w:rsidRPr="00380E66">
        <w:t>я</w:t>
      </w:r>
      <w:r w:rsidRPr="00380E66">
        <w:t>нутых причин дискриминации, гражданские и церковные группы по и</w:t>
      </w:r>
      <w:r w:rsidRPr="00380E66">
        <w:t>н</w:t>
      </w:r>
      <w:r w:rsidRPr="00380E66">
        <w:t>тересам, благотворительные организации и другие группы по оказанию поддержки, которые работают с ними;</w:t>
      </w:r>
    </w:p>
    <w:p w:rsidR="00416CE0" w:rsidRPr="00380E66" w:rsidRDefault="00416CE0" w:rsidP="00416CE0">
      <w:pPr>
        <w:pStyle w:val="Bullet1GR"/>
        <w:numPr>
          <w:ilvl w:val="0"/>
          <w:numId w:val="1"/>
        </w:numPr>
      </w:pPr>
      <w:r w:rsidRPr="00380E66">
        <w:t>коллеги в государственных учреждениях на центральном и местном уровн</w:t>
      </w:r>
      <w:r>
        <w:t>ях</w:t>
      </w:r>
      <w:r w:rsidRPr="00380E66">
        <w:t>;</w:t>
      </w:r>
    </w:p>
    <w:p w:rsidR="00416CE0" w:rsidRPr="00380E66" w:rsidRDefault="00416CE0" w:rsidP="00416CE0">
      <w:pPr>
        <w:pStyle w:val="Bullet1GR"/>
        <w:numPr>
          <w:ilvl w:val="0"/>
          <w:numId w:val="1"/>
        </w:numPr>
      </w:pPr>
      <w:r w:rsidRPr="00380E66">
        <w:t>руководители и сотрудники отделов кадров коммерческих организаций;</w:t>
      </w:r>
    </w:p>
    <w:p w:rsidR="00416CE0" w:rsidRPr="00380E66" w:rsidRDefault="00416CE0" w:rsidP="00416CE0">
      <w:pPr>
        <w:pStyle w:val="Bullet1GR"/>
        <w:numPr>
          <w:ilvl w:val="0"/>
          <w:numId w:val="1"/>
        </w:numPr>
      </w:pPr>
      <w:r w:rsidRPr="00380E66">
        <w:t>граждане, проживающие в соответствующих районах.</w:t>
      </w:r>
    </w:p>
    <w:p w:rsidR="001C6C1D" w:rsidRPr="00AD15C5" w:rsidRDefault="001C6C1D" w:rsidP="001C6C1D">
      <w:pPr>
        <w:pStyle w:val="SingleTxtGR"/>
      </w:pPr>
      <w:r w:rsidRPr="00AD15C5">
        <w:t>39.</w:t>
      </w:r>
      <w:r w:rsidRPr="00AD15C5">
        <w:tab/>
        <w:t>Первоочередные задачи Сети заключаются в следующем:</w:t>
      </w:r>
    </w:p>
    <w:p w:rsidR="001C6C1D" w:rsidRPr="00AD15C5" w:rsidRDefault="001C6C1D" w:rsidP="001C6C1D">
      <w:pPr>
        <w:pStyle w:val="Bullet1GR"/>
        <w:numPr>
          <w:ilvl w:val="0"/>
          <w:numId w:val="1"/>
        </w:numPr>
      </w:pPr>
      <w:r w:rsidRPr="00AD15C5">
        <w:t xml:space="preserve">осуществление профессиональных программ, направленных на </w:t>
      </w:r>
      <w:r>
        <w:t>улучш</w:t>
      </w:r>
      <w:r>
        <w:t>е</w:t>
      </w:r>
      <w:r>
        <w:t>ние</w:t>
      </w:r>
      <w:r w:rsidRPr="00AD15C5">
        <w:t xml:space="preserve"> общественного мнения в стране и укрепление терпимости, включая информирование, повышение осведомленности и борьбу с предрассудк</w:t>
      </w:r>
      <w:r w:rsidRPr="00AD15C5">
        <w:t>а</w:t>
      </w:r>
      <w:r w:rsidRPr="00AD15C5">
        <w:t>ми в отношении находящихся в невыгодном положении групп населения, страдающих от вышеупомянутых форм дискриминации, а также со сл</w:t>
      </w:r>
      <w:r w:rsidRPr="00AD15C5">
        <w:t>о</w:t>
      </w:r>
      <w:r w:rsidRPr="00AD15C5">
        <w:t>жившимися стереотипами, которые возникают в отсутствие личного оп</w:t>
      </w:r>
      <w:r w:rsidRPr="00AD15C5">
        <w:t>ы</w:t>
      </w:r>
      <w:r w:rsidRPr="00AD15C5">
        <w:t>та;</w:t>
      </w:r>
    </w:p>
    <w:p w:rsidR="001C6C1D" w:rsidRPr="00AD15C5" w:rsidRDefault="001C6C1D" w:rsidP="001C6C1D">
      <w:pPr>
        <w:pStyle w:val="Bullet1GR"/>
        <w:numPr>
          <w:ilvl w:val="0"/>
          <w:numId w:val="1"/>
        </w:numPr>
      </w:pPr>
      <w:r w:rsidRPr="00AD15C5">
        <w:t xml:space="preserve">поддержание профессиональных рабочих групп </w:t>
      </w:r>
      <w:r>
        <w:t>в</w:t>
      </w:r>
      <w:r w:rsidRPr="00AD15C5">
        <w:t xml:space="preserve"> цел</w:t>
      </w:r>
      <w:r>
        <w:t>ях</w:t>
      </w:r>
      <w:r w:rsidRPr="00AD15C5">
        <w:t xml:space="preserve"> координации на местном уровне тех инициатив и программ, которые направл</w:t>
      </w:r>
      <w:r w:rsidRPr="00AD15C5">
        <w:t>е</w:t>
      </w:r>
      <w:r w:rsidRPr="00AD15C5">
        <w:t>ны н</w:t>
      </w:r>
      <w:r>
        <w:t>а улучшение условий и расширение</w:t>
      </w:r>
      <w:r w:rsidRPr="00AD15C5">
        <w:t xml:space="preserve"> возможностей для групп, наиболее ча</w:t>
      </w:r>
      <w:r w:rsidRPr="00AD15C5">
        <w:t>с</w:t>
      </w:r>
      <w:r w:rsidRPr="00AD15C5">
        <w:t>то страдающих от дискриминации</w:t>
      </w:r>
      <w:r>
        <w:t>,</w:t>
      </w:r>
      <w:r w:rsidRPr="00AD15C5">
        <w:t xml:space="preserve"> и на стимулирование сотруднич</w:t>
      </w:r>
      <w:r w:rsidRPr="00AD15C5">
        <w:t>е</w:t>
      </w:r>
      <w:r w:rsidRPr="00AD15C5">
        <w:t>ства и диалога между заинтересованными сторонами, благотворительными организациями и другими группами, оказывающими поддержку;</w:t>
      </w:r>
    </w:p>
    <w:p w:rsidR="001C6C1D" w:rsidRPr="00AD15C5" w:rsidRDefault="001C6C1D" w:rsidP="001C6C1D">
      <w:pPr>
        <w:pStyle w:val="Bullet1GR"/>
        <w:numPr>
          <w:ilvl w:val="0"/>
          <w:numId w:val="1"/>
        </w:numPr>
      </w:pPr>
      <w:r>
        <w:t>усиление</w:t>
      </w:r>
      <w:r w:rsidRPr="00AD15C5">
        <w:t xml:space="preserve"> надлежащего и регулярного внимания к темам, относя</w:t>
      </w:r>
      <w:r>
        <w:t>щимся к </w:t>
      </w:r>
      <w:r w:rsidRPr="00AD15C5">
        <w:t>первоочередным профессиональным областям, в которых работает Сеть, в местных органах массовой информации и процессах принятия решений на местах;</w:t>
      </w:r>
    </w:p>
    <w:p w:rsidR="001C6C1D" w:rsidRPr="00AD15C5" w:rsidRDefault="001C6C1D" w:rsidP="001C6C1D">
      <w:pPr>
        <w:pStyle w:val="Bullet1GR"/>
        <w:numPr>
          <w:ilvl w:val="0"/>
          <w:numId w:val="1"/>
        </w:numPr>
      </w:pPr>
      <w:r w:rsidRPr="00AD15C5">
        <w:t>сотрудничество в организации программ, которые направлены на стим</w:t>
      </w:r>
      <w:r w:rsidRPr="00AD15C5">
        <w:t>у</w:t>
      </w:r>
      <w:r w:rsidRPr="00AD15C5">
        <w:t>лирование семейной жизни, посредничество и организацию практич</w:t>
      </w:r>
      <w:r w:rsidRPr="00AD15C5">
        <w:t>е</w:t>
      </w:r>
      <w:r w:rsidRPr="00AD15C5">
        <w:t>ских услуг помощи семьям и услуг, развивающих благоприятные для с</w:t>
      </w:r>
      <w:r w:rsidRPr="00AD15C5">
        <w:t>е</w:t>
      </w:r>
      <w:r w:rsidRPr="00AD15C5">
        <w:t>мей виды практики в сфере занятости;</w:t>
      </w:r>
    </w:p>
    <w:p w:rsidR="001C6C1D" w:rsidRPr="00AD15C5" w:rsidRDefault="001C6C1D" w:rsidP="001C6C1D">
      <w:pPr>
        <w:pStyle w:val="Bullet1GR"/>
        <w:numPr>
          <w:ilvl w:val="0"/>
          <w:numId w:val="1"/>
        </w:numPr>
      </w:pPr>
      <w:r>
        <w:t>подготовка</w:t>
      </w:r>
      <w:r w:rsidRPr="00AD15C5">
        <w:t xml:space="preserve"> и непрерывное обновление базы данных местных организ</w:t>
      </w:r>
      <w:r w:rsidRPr="00AD15C5">
        <w:t>а</w:t>
      </w:r>
      <w:r w:rsidRPr="00AD15C5">
        <w:t>ций, которые проводят мероприятия по защите соответствующих интер</w:t>
      </w:r>
      <w:r w:rsidRPr="00AD15C5">
        <w:t>е</w:t>
      </w:r>
      <w:r w:rsidRPr="00AD15C5">
        <w:t>сов или оказывают услуги группам, страдающим от негативной дискр</w:t>
      </w:r>
      <w:r w:rsidRPr="00AD15C5">
        <w:t>и</w:t>
      </w:r>
      <w:r w:rsidRPr="00AD15C5">
        <w:t>минации, порождаемой вышеупомянут</w:t>
      </w:r>
      <w:r w:rsidRPr="00AD15C5">
        <w:t>ы</w:t>
      </w:r>
      <w:r w:rsidRPr="00AD15C5">
        <w:t>ми причинами.</w:t>
      </w:r>
    </w:p>
    <w:p w:rsidR="001C6C1D" w:rsidRPr="00AD15C5" w:rsidRDefault="001C6C1D" w:rsidP="001C6C1D">
      <w:pPr>
        <w:pStyle w:val="SingleTxtGR"/>
      </w:pPr>
      <w:r w:rsidRPr="00AD15C5">
        <w:t>40.</w:t>
      </w:r>
      <w:r w:rsidRPr="00AD15C5">
        <w:tab/>
        <w:t>Работа Совета по вопросам социального равенства женщин и мужчин − как и работа других советов и комитетов, действовавших во время всех пред</w:t>
      </w:r>
      <w:r w:rsidRPr="00AD15C5">
        <w:t>ы</w:t>
      </w:r>
      <w:r w:rsidRPr="00AD15C5">
        <w:t>дущих цикл</w:t>
      </w:r>
      <w:r>
        <w:t>ов работы</w:t>
      </w:r>
      <w:r w:rsidRPr="00AD15C5">
        <w:t xml:space="preserve"> правительства</w:t>
      </w:r>
      <w:r>
        <w:t>,</w:t>
      </w:r>
      <w:r w:rsidRPr="00AD15C5">
        <w:t xml:space="preserve"> − ведется под руководством Министерс</w:t>
      </w:r>
      <w:r w:rsidRPr="00AD15C5">
        <w:t>т</w:t>
      </w:r>
      <w:r w:rsidRPr="00AD15C5">
        <w:t>ва государственно</w:t>
      </w:r>
      <w:r>
        <w:t>го управления</w:t>
      </w:r>
      <w:r w:rsidRPr="00AD15C5">
        <w:t xml:space="preserve"> и юстиции. </w:t>
      </w:r>
      <w:r>
        <w:t>Поэтому</w:t>
      </w:r>
      <w:r w:rsidRPr="00AD15C5">
        <w:t xml:space="preserve"> правительством было принято новое положение об условиях работы советов (постановление прав</w:t>
      </w:r>
      <w:r w:rsidRPr="00AD15C5">
        <w:t>и</w:t>
      </w:r>
      <w:r w:rsidRPr="00AD15C5">
        <w:t>тельства № 1158/2011, касающееся органов, учрежденных в законодательном порядке либо на основании документов, регулирующих общественные орган</w:t>
      </w:r>
      <w:r w:rsidRPr="00AD15C5">
        <w:t>и</w:t>
      </w:r>
      <w:r w:rsidRPr="00AD15C5">
        <w:t>зации). По завершении реформы структуры министерства и после принятия н</w:t>
      </w:r>
      <w:r w:rsidRPr="00AD15C5">
        <w:t>о</w:t>
      </w:r>
      <w:r w:rsidRPr="00AD15C5">
        <w:t xml:space="preserve">вой стратегии </w:t>
      </w:r>
      <w:r>
        <w:t xml:space="preserve">обеспечения </w:t>
      </w:r>
      <w:r w:rsidRPr="00AD15C5">
        <w:t>гендерного равенства соответствующие советы см</w:t>
      </w:r>
      <w:r w:rsidRPr="00AD15C5">
        <w:t>о</w:t>
      </w:r>
      <w:r w:rsidRPr="00AD15C5">
        <w:t>гут приступить к работе.</w:t>
      </w:r>
    </w:p>
    <w:p w:rsidR="001C6C1D" w:rsidRPr="00AD15C5" w:rsidRDefault="001C6C1D" w:rsidP="001C6C1D">
      <w:pPr>
        <w:pStyle w:val="SingleTxtGR"/>
      </w:pPr>
      <w:r w:rsidRPr="00AD15C5">
        <w:t>41.</w:t>
      </w:r>
      <w:r w:rsidRPr="00AD15C5">
        <w:tab/>
        <w:t xml:space="preserve">Совет по </w:t>
      </w:r>
      <w:r>
        <w:t xml:space="preserve">вопросам </w:t>
      </w:r>
      <w:r w:rsidRPr="00AD15C5">
        <w:t>семейн</w:t>
      </w:r>
      <w:r>
        <w:t>ой политики</w:t>
      </w:r>
      <w:r w:rsidRPr="00AD15C5">
        <w:t xml:space="preserve"> и народонаселения ст</w:t>
      </w:r>
      <w:r w:rsidRPr="00AD15C5">
        <w:t>а</w:t>
      </w:r>
      <w:r w:rsidRPr="00AD15C5">
        <w:t>нет новым беспрецедентным учреждением. Он будет действовать независимо от Совета по вопросам социального равенства женщин и мужчин, хотя деятельность некот</w:t>
      </w:r>
      <w:r w:rsidRPr="00AD15C5">
        <w:t>о</w:t>
      </w:r>
      <w:r w:rsidRPr="00AD15C5">
        <w:t>рых организаций может затрагиваться и тем, и другим Советом.</w:t>
      </w:r>
    </w:p>
    <w:p w:rsidR="001C6C1D" w:rsidRPr="00AD15C5" w:rsidRDefault="001C6C1D" w:rsidP="001C6C1D">
      <w:pPr>
        <w:pStyle w:val="H1GR"/>
      </w:pPr>
      <w:r w:rsidRPr="00AD15C5">
        <w:tab/>
      </w:r>
      <w:r w:rsidRPr="00AD15C5">
        <w:tab/>
        <w:t>Временные специальные меры</w:t>
      </w:r>
    </w:p>
    <w:p w:rsidR="001C6C1D" w:rsidRDefault="001C6C1D" w:rsidP="001C6C1D">
      <w:pPr>
        <w:pStyle w:val="H23GR"/>
      </w:pPr>
      <w:r w:rsidRPr="00AD15C5">
        <w:tab/>
      </w:r>
      <w:r w:rsidRPr="00AD15C5">
        <w:tab/>
        <w:t>Ответы на вопросы, поставленные в пункте 7 перечня вопр</w:t>
      </w:r>
      <w:r w:rsidRPr="00AD15C5">
        <w:t>о</w:t>
      </w:r>
      <w:r w:rsidRPr="00AD15C5">
        <w:t>сов</w:t>
      </w:r>
    </w:p>
    <w:p w:rsidR="001C6C1D" w:rsidRDefault="001C6C1D" w:rsidP="001C6C1D">
      <w:pPr>
        <w:pStyle w:val="SingleTxtGR"/>
      </w:pPr>
      <w:r w:rsidRPr="00AD15C5">
        <w:t>42.</w:t>
      </w:r>
      <w:r w:rsidRPr="00AD15C5">
        <w:tab/>
        <w:t>Согласно статье XV Основного закона − аналогично положению, сущес</w:t>
      </w:r>
      <w:r w:rsidRPr="00AD15C5">
        <w:t>т</w:t>
      </w:r>
      <w:r w:rsidRPr="00AD15C5">
        <w:t>вовавшему при действовавшей ранее Конституции</w:t>
      </w:r>
      <w:r>
        <w:t>,</w:t>
      </w:r>
      <w:r w:rsidRPr="00AD15C5">
        <w:t xml:space="preserve"> − в конституционной сист</w:t>
      </w:r>
      <w:r w:rsidRPr="00AD15C5">
        <w:t>е</w:t>
      </w:r>
      <w:r w:rsidRPr="00AD15C5">
        <w:t>ме Венгрии существует возможность принятия мер позитивн</w:t>
      </w:r>
      <w:r>
        <w:t>ой</w:t>
      </w:r>
      <w:r w:rsidRPr="00AD15C5">
        <w:t xml:space="preserve"> дискриминации и </w:t>
      </w:r>
      <w:r>
        <w:t xml:space="preserve">мер </w:t>
      </w:r>
      <w:r w:rsidRPr="00AD15C5">
        <w:t>в целях уравнивания возможностей. В соответствии с пунктами 4) и 5) статьи XV Основного закона специальные меры в Венгрии используются в по</w:t>
      </w:r>
      <w:r w:rsidRPr="00AD15C5">
        <w:t>д</w:t>
      </w:r>
      <w:r w:rsidRPr="00AD15C5">
        <w:t>держку осуществления политики равенства возможностей, а также для з</w:t>
      </w:r>
      <w:r w:rsidRPr="00AD15C5">
        <w:t>а</w:t>
      </w:r>
      <w:r w:rsidRPr="00AD15C5">
        <w:t>щиты детей, престарелых и инвалидов. Воплощенная в законе практика уже примен</w:t>
      </w:r>
      <w:r w:rsidRPr="00AD15C5">
        <w:t>я</w:t>
      </w:r>
      <w:r w:rsidRPr="00AD15C5">
        <w:t>лась в данной сфере Конституционным судом, а в пункте 11 Закона о равном обращении конкретно определены конституционные ограничения на пред</w:t>
      </w:r>
      <w:r>
        <w:t>о</w:t>
      </w:r>
      <w:r w:rsidRPr="00AD15C5">
        <w:t>с</w:t>
      </w:r>
      <w:r w:rsidRPr="00AD15C5">
        <w:t>тавление преимуществ:</w:t>
      </w:r>
    </w:p>
    <w:p w:rsidR="001C6C1D" w:rsidRPr="00AD15C5" w:rsidRDefault="001C6C1D" w:rsidP="001C6C1D">
      <w:pPr>
        <w:pStyle w:val="SingleTxtGR"/>
      </w:pPr>
      <w:r w:rsidRPr="00AD15C5">
        <w:tab/>
        <w:t>"Пункт 11</w:t>
      </w:r>
    </w:p>
    <w:p w:rsidR="001C6C1D" w:rsidRPr="00AD15C5" w:rsidRDefault="001C6C1D" w:rsidP="001C6C1D">
      <w:pPr>
        <w:pStyle w:val="SingleTxtGR"/>
        <w:ind w:left="1701" w:hanging="567"/>
      </w:pPr>
      <w:r w:rsidRPr="00AD15C5">
        <w:tab/>
        <w:t>1)</w:t>
      </w:r>
      <w:r w:rsidRPr="00AD15C5">
        <w:tab/>
        <w:t>Положение, направленное на устранение установленного на осн</w:t>
      </w:r>
      <w:r w:rsidRPr="00AD15C5">
        <w:t>о</w:t>
      </w:r>
      <w:r w:rsidRPr="00AD15C5">
        <w:t>вании объективной оценки неравенства возможностей прямо обозначе</w:t>
      </w:r>
      <w:r w:rsidRPr="00AD15C5">
        <w:t>н</w:t>
      </w:r>
      <w:r w:rsidRPr="00AD15C5">
        <w:t>ной социальной группы, не рассматрива</w:t>
      </w:r>
      <w:r>
        <w:t>ется как нарушение требования о </w:t>
      </w:r>
      <w:r w:rsidRPr="00AD15C5">
        <w:t>равном о</w:t>
      </w:r>
      <w:r w:rsidRPr="00AD15C5">
        <w:t>б</w:t>
      </w:r>
      <w:r w:rsidRPr="00AD15C5">
        <w:t>ращении при условии, что:</w:t>
      </w:r>
    </w:p>
    <w:p w:rsidR="001C6C1D" w:rsidRPr="00AD15C5" w:rsidRDefault="001C6C1D" w:rsidP="001C6C1D">
      <w:pPr>
        <w:pStyle w:val="SingleTxtGR"/>
        <w:ind w:left="2268" w:hanging="567"/>
      </w:pPr>
      <w:r w:rsidRPr="00AD15C5">
        <w:tab/>
        <w:t>а)</w:t>
      </w:r>
      <w:r w:rsidRPr="00AD15C5">
        <w:tab/>
        <w:t>оно основано на законодательстве, постановлении прав</w:t>
      </w:r>
      <w:r w:rsidRPr="00AD15C5">
        <w:t>и</w:t>
      </w:r>
      <w:r w:rsidRPr="00AD15C5">
        <w:t>тельства, принято</w:t>
      </w:r>
      <w:r>
        <w:t>м</w:t>
      </w:r>
      <w:r w:rsidRPr="00AD15C5">
        <w:t xml:space="preserve"> в соответствии с законодательством, либо на коллективном соглашении и действует в течение определенного п</w:t>
      </w:r>
      <w:r w:rsidRPr="00AD15C5">
        <w:t>е</w:t>
      </w:r>
      <w:r w:rsidRPr="00AD15C5">
        <w:t xml:space="preserve">риода </w:t>
      </w:r>
      <w:r>
        <w:t xml:space="preserve">или </w:t>
      </w:r>
      <w:r w:rsidRPr="00AD15C5">
        <w:t>до выполнения определе</w:t>
      </w:r>
      <w:r w:rsidRPr="00AD15C5">
        <w:t>н</w:t>
      </w:r>
      <w:r w:rsidRPr="00AD15C5">
        <w:t>ных условий либо</w:t>
      </w:r>
    </w:p>
    <w:p w:rsidR="001C6C1D" w:rsidRPr="00AD15C5" w:rsidRDefault="001C6C1D" w:rsidP="001C6C1D">
      <w:pPr>
        <w:pStyle w:val="SingleTxtGR"/>
        <w:ind w:left="2268" w:hanging="567"/>
      </w:pPr>
      <w:r w:rsidRPr="00AD15C5">
        <w:tab/>
        <w:t>b)</w:t>
      </w:r>
      <w:r w:rsidRPr="00AD15C5">
        <w:tab/>
        <w:t>во время выборов партийных и представительных органов, либо во время выдвижения па</w:t>
      </w:r>
      <w:r w:rsidRPr="00AD15C5">
        <w:t>р</w:t>
      </w:r>
      <w:r w:rsidRPr="00AD15C5">
        <w:t>тией кандидатов на выборах, как это определено в за</w:t>
      </w:r>
      <w:r>
        <w:t>коне о выборах, оно применяется в соответствии с </w:t>
      </w:r>
      <w:r w:rsidRPr="00AD15C5">
        <w:t>определениями в уставах па</w:t>
      </w:r>
      <w:r w:rsidRPr="00AD15C5">
        <w:t>р</w:t>
      </w:r>
      <w:r w:rsidRPr="00AD15C5">
        <w:t>тий.</w:t>
      </w:r>
    </w:p>
    <w:p w:rsidR="001C6C1D" w:rsidRDefault="001C6C1D" w:rsidP="001C6C1D">
      <w:pPr>
        <w:pStyle w:val="SingleTxtGR"/>
        <w:ind w:left="1701" w:hanging="567"/>
      </w:pPr>
      <w:r w:rsidRPr="00AD15C5">
        <w:tab/>
        <w:t>2)</w:t>
      </w:r>
      <w:r w:rsidRPr="00AD15C5">
        <w:tab/>
        <w:t xml:space="preserve">Положение пункта 1) не </w:t>
      </w:r>
      <w:r>
        <w:t xml:space="preserve">может </w:t>
      </w:r>
      <w:r w:rsidRPr="00AD15C5">
        <w:t>ущемля</w:t>
      </w:r>
      <w:r>
        <w:t>ть</w:t>
      </w:r>
      <w:r w:rsidRPr="00AD15C5">
        <w:t xml:space="preserve"> никаких основных прав, не </w:t>
      </w:r>
      <w:r>
        <w:t xml:space="preserve">может </w:t>
      </w:r>
      <w:r w:rsidRPr="00AD15C5">
        <w:t>гарантир</w:t>
      </w:r>
      <w:r>
        <w:t>овать</w:t>
      </w:r>
      <w:r w:rsidRPr="00AD15C5">
        <w:t xml:space="preserve"> никаких безусловных преимуществ и не </w:t>
      </w:r>
      <w:r>
        <w:t xml:space="preserve">может </w:t>
      </w:r>
      <w:r w:rsidRPr="00AD15C5">
        <w:t>исключа</w:t>
      </w:r>
      <w:r>
        <w:t>ть</w:t>
      </w:r>
      <w:r w:rsidRPr="00AD15C5">
        <w:t xml:space="preserve"> учета индивидуальных критериев".</w:t>
      </w:r>
    </w:p>
    <w:p w:rsidR="001C6C1D" w:rsidRPr="00AD15C5" w:rsidRDefault="001C6C1D" w:rsidP="001C6C1D">
      <w:pPr>
        <w:pStyle w:val="SingleTxtGR"/>
      </w:pPr>
      <w:r w:rsidRPr="00AD15C5">
        <w:t>43.</w:t>
      </w:r>
      <w:r w:rsidRPr="00AD15C5">
        <w:tab/>
        <w:t>В связи с вышеизложенным указанные конституционные и правовые нормы допускают применение мер, стимулирующих равенство возможностей, включая квоты для женщин. В то же время для со</w:t>
      </w:r>
      <w:r w:rsidRPr="00AD15C5">
        <w:t>з</w:t>
      </w:r>
      <w:r w:rsidRPr="00AD15C5">
        <w:t xml:space="preserve">дания равных возможностей существует много способов, и система квот, </w:t>
      </w:r>
      <w:r>
        <w:t>которая также</w:t>
      </w:r>
      <w:r w:rsidRPr="00AD15C5">
        <w:t xml:space="preserve"> упоминается в пун</w:t>
      </w:r>
      <w:r w:rsidRPr="00AD15C5">
        <w:t>к</w:t>
      </w:r>
      <w:r w:rsidRPr="00AD15C5">
        <w:t xml:space="preserve">те 25 </w:t>
      </w:r>
      <w:r>
        <w:t>предыдущих з</w:t>
      </w:r>
      <w:r w:rsidRPr="00AD15C5">
        <w:t>аключительных замечаний Комитета, − лишь один из мет</w:t>
      </w:r>
      <w:r w:rsidRPr="00AD15C5">
        <w:t>о</w:t>
      </w:r>
      <w:r w:rsidRPr="00AD15C5">
        <w:t xml:space="preserve">дов, </w:t>
      </w:r>
      <w:r>
        <w:t>т.е.</w:t>
      </w:r>
      <w:r w:rsidRPr="00AD15C5">
        <w:t xml:space="preserve"> равенства возможностей для целевых групп можно добиваться разными способами и ме</w:t>
      </w:r>
      <w:r>
        <w:t>тодами.</w:t>
      </w:r>
    </w:p>
    <w:p w:rsidR="001C6C1D" w:rsidRPr="00AD15C5" w:rsidRDefault="001C6C1D" w:rsidP="001C6C1D">
      <w:pPr>
        <w:pStyle w:val="SingleTxtGR"/>
      </w:pPr>
      <w:r w:rsidRPr="00AD15C5">
        <w:t>44.</w:t>
      </w:r>
      <w:r w:rsidRPr="00AD15C5">
        <w:tab/>
        <w:t>Сторонники тщательного рассмотрения системы квот ссылаются на ко</w:t>
      </w:r>
      <w:r w:rsidRPr="00AD15C5">
        <w:t>н</w:t>
      </w:r>
      <w:r w:rsidRPr="00AD15C5">
        <w:t xml:space="preserve">ституционную возможность позитивной дискриминации, когда законодатель может определять преимущества </w:t>
      </w:r>
      <w:r>
        <w:t xml:space="preserve">для </w:t>
      </w:r>
      <w:r w:rsidRPr="00AD15C5">
        <w:t>социальных групп, находящихся в нев</w:t>
      </w:r>
      <w:r w:rsidRPr="00AD15C5">
        <w:t>ы</w:t>
      </w:r>
      <w:r w:rsidRPr="00AD15C5">
        <w:t>годном положении. В постановлении Конституционного суда № 9/1990 (IV.</w:t>
      </w:r>
      <w:r>
        <w:t xml:space="preserve"> </w:t>
      </w:r>
      <w:r w:rsidRPr="00AD15C5">
        <w:t>25) в соответствии с толкованием пункта 3 статьи 70/А Конституции активистами, говорится следующее: "Если какая-либо социальная цель − которая не против</w:t>
      </w:r>
      <w:r w:rsidRPr="00AD15C5">
        <w:t>о</w:t>
      </w:r>
      <w:r w:rsidRPr="00AD15C5">
        <w:t>речит Конституции − или какое-либо конституционное право могут быть до</w:t>
      </w:r>
      <w:r w:rsidRPr="00AD15C5">
        <w:t>с</w:t>
      </w:r>
      <w:r w:rsidRPr="00AD15C5">
        <w:t xml:space="preserve">тигнуты только путем </w:t>
      </w:r>
      <w:r>
        <w:t>несоблюдения</w:t>
      </w:r>
      <w:r w:rsidRPr="00AD15C5">
        <w:t xml:space="preserve"> принципа равенства в узком смысле этого слова, такая позитивная дискриминация не может рассматриваться как прот</w:t>
      </w:r>
      <w:r w:rsidRPr="00AD15C5">
        <w:t>и</w:t>
      </w:r>
      <w:r w:rsidRPr="00AD15C5">
        <w:t>воречащая Конституции. Запрет ограничений позитивной дискриминации в б</w:t>
      </w:r>
      <w:r w:rsidRPr="00AD15C5">
        <w:t>о</w:t>
      </w:r>
      <w:r w:rsidRPr="00AD15C5">
        <w:t>лее широком смысле и в силу этого запрет дискриминации, связанной с раве</w:t>
      </w:r>
      <w:r w:rsidRPr="00AD15C5">
        <w:t>н</w:t>
      </w:r>
      <w:r w:rsidRPr="00AD15C5">
        <w:t>ством достоинства, положительно закрепленные в Конституции, считаются о</w:t>
      </w:r>
      <w:r w:rsidRPr="00AD15C5">
        <w:t>с</w:t>
      </w:r>
      <w:r w:rsidRPr="00AD15C5">
        <w:t>новными пр</w:t>
      </w:r>
      <w:r w:rsidRPr="00AD15C5">
        <w:t>а</w:t>
      </w:r>
      <w:r w:rsidRPr="00AD15C5">
        <w:t xml:space="preserve">вами. </w:t>
      </w:r>
    </w:p>
    <w:p w:rsidR="001C6C1D" w:rsidRDefault="001C6C1D" w:rsidP="001C6C1D">
      <w:pPr>
        <w:pStyle w:val="SingleTxtGR"/>
      </w:pPr>
      <w:r w:rsidRPr="00AD15C5">
        <w:t>45.</w:t>
      </w:r>
      <w:r w:rsidRPr="00AD15C5">
        <w:tab/>
        <w:t>Хотя социальное равенство является целью и отвечает интересам общ</w:t>
      </w:r>
      <w:r w:rsidRPr="00AD15C5">
        <w:t>е</w:t>
      </w:r>
      <w:r w:rsidRPr="00AD15C5">
        <w:t>ства и может поэтому иметь первоочередное значение по сравнению с прочими индивидуальными интересами, оно не может превалировать над конституцио</w:t>
      </w:r>
      <w:r w:rsidRPr="00AD15C5">
        <w:t>н</w:t>
      </w:r>
      <w:r w:rsidRPr="00AD15C5">
        <w:t>ными правами человека". Это означает, что для применения мер позитивной дискриминации существуют два условия: они не могут посягать на другие о</w:t>
      </w:r>
      <w:r w:rsidRPr="00AD15C5">
        <w:t>с</w:t>
      </w:r>
      <w:r w:rsidRPr="00AD15C5">
        <w:t>новные права и не могут посягать на общее равноправие в соответствии с опр</w:t>
      </w:r>
      <w:r w:rsidRPr="00AD15C5">
        <w:t>е</w:t>
      </w:r>
      <w:r w:rsidRPr="00AD15C5">
        <w:t>делением в пункте 1) статьи 70/А Основного закона. Конституционный суд в</w:t>
      </w:r>
      <w:r w:rsidRPr="00AD15C5">
        <w:t>ы</w:t>
      </w:r>
      <w:r w:rsidRPr="00AD15C5">
        <w:t>нес постановление по вопросу о существовании второго условия с применен</w:t>
      </w:r>
      <w:r w:rsidRPr="00AD15C5">
        <w:t>и</w:t>
      </w:r>
      <w:r w:rsidRPr="00AD15C5">
        <w:t xml:space="preserve">ем </w:t>
      </w:r>
      <w:r>
        <w:t>критерия разумности</w:t>
      </w:r>
      <w:r w:rsidRPr="00AD15C5">
        <w:t>, а решения по первому условию принимаются на осн</w:t>
      </w:r>
      <w:r w:rsidRPr="00AD15C5">
        <w:t>о</w:t>
      </w:r>
      <w:r w:rsidRPr="00AD15C5">
        <w:t xml:space="preserve">ве </w:t>
      </w:r>
      <w:r>
        <w:t>критерия</w:t>
      </w:r>
      <w:r w:rsidRPr="00AD15C5">
        <w:t xml:space="preserve"> необ</w:t>
      </w:r>
      <w:r>
        <w:t>ходимости</w:t>
      </w:r>
      <w:r w:rsidRPr="00AD15C5">
        <w:t>/</w:t>
      </w:r>
      <w:r>
        <w:t>соразмерности</w:t>
      </w:r>
      <w:r w:rsidRPr="00AD15C5">
        <w:t>. Все принятые ранее постановления могут по-прежнему считаться действительными, поскольку положения дейс</w:t>
      </w:r>
      <w:r w:rsidRPr="00AD15C5">
        <w:t>т</w:t>
      </w:r>
      <w:r w:rsidRPr="00AD15C5">
        <w:t xml:space="preserve">вующего Основного закона </w:t>
      </w:r>
      <w:r>
        <w:t>по</w:t>
      </w:r>
      <w:r w:rsidRPr="00AD15C5">
        <w:t xml:space="preserve"> своем</w:t>
      </w:r>
      <w:r>
        <w:t>у содержанию</w:t>
      </w:r>
      <w:r w:rsidRPr="00AD15C5">
        <w:t xml:space="preserve"> </w:t>
      </w:r>
      <w:r>
        <w:t>созвучны</w:t>
      </w:r>
      <w:r w:rsidRPr="00AD15C5">
        <w:t xml:space="preserve"> соответствующим положениям ранее действовавшей Конституции. В одном из своих </w:t>
      </w:r>
      <w:r>
        <w:t xml:space="preserve">весенних </w:t>
      </w:r>
      <w:r w:rsidRPr="00AD15C5">
        <w:t>п</w:t>
      </w:r>
      <w:r w:rsidRPr="00AD15C5">
        <w:t>о</w:t>
      </w:r>
      <w:r w:rsidRPr="00AD15C5">
        <w:t>становлений Конституционный суд отметил, что при условии идентичности т</w:t>
      </w:r>
      <w:r w:rsidRPr="00AD15C5">
        <w:t>о</w:t>
      </w:r>
      <w:r w:rsidRPr="00AD15C5">
        <w:t>го или иного положения Основного закона положению уже не дейс</w:t>
      </w:r>
      <w:r w:rsidRPr="00AD15C5">
        <w:t>т</w:t>
      </w:r>
      <w:r w:rsidRPr="00AD15C5">
        <w:t>вующей Конституции предыдущие постановления Конституционного суда на основании ранее действовавшей Конституции сохраняют свою силу, и поэтому любые о</w:t>
      </w:r>
      <w:r w:rsidRPr="00AD15C5">
        <w:t>т</w:t>
      </w:r>
      <w:r w:rsidRPr="00AD15C5">
        <w:t>клонения от них должны быть обоснованы.</w:t>
      </w:r>
    </w:p>
    <w:p w:rsidR="001C6C1D" w:rsidRPr="00AD15C5" w:rsidRDefault="001C6C1D" w:rsidP="001C6C1D">
      <w:pPr>
        <w:pStyle w:val="H1GR"/>
      </w:pPr>
      <w:r w:rsidRPr="00AD15C5">
        <w:tab/>
      </w:r>
      <w:r w:rsidRPr="00AD15C5">
        <w:tab/>
        <w:t>Стереотипы</w:t>
      </w:r>
    </w:p>
    <w:p w:rsidR="001C6C1D" w:rsidRPr="00AD15C5" w:rsidRDefault="001C6C1D" w:rsidP="001C6C1D">
      <w:pPr>
        <w:pStyle w:val="H23GR"/>
      </w:pPr>
      <w:r w:rsidRPr="00AD15C5">
        <w:tab/>
      </w:r>
      <w:r w:rsidRPr="00AD15C5">
        <w:tab/>
        <w:t>Ответы на вопросы, поставленные в пункте 8 перечня вопр</w:t>
      </w:r>
      <w:r w:rsidRPr="00AD15C5">
        <w:t>о</w:t>
      </w:r>
      <w:r w:rsidRPr="00AD15C5">
        <w:t>сов</w:t>
      </w:r>
    </w:p>
    <w:p w:rsidR="001C6C1D" w:rsidRPr="00AD15C5" w:rsidRDefault="001C6C1D" w:rsidP="001C6C1D">
      <w:pPr>
        <w:pStyle w:val="H23GR"/>
      </w:pPr>
      <w:r w:rsidRPr="00AD15C5">
        <w:tab/>
      </w:r>
      <w:r w:rsidRPr="00AD15C5">
        <w:tab/>
        <w:t>Нормативная основа</w:t>
      </w:r>
    </w:p>
    <w:p w:rsidR="001C6C1D" w:rsidRPr="00AD15C5" w:rsidRDefault="001C6C1D" w:rsidP="001C6C1D">
      <w:pPr>
        <w:pStyle w:val="SingleTxtGR"/>
      </w:pPr>
      <w:r w:rsidRPr="00AD15C5">
        <w:t>46.</w:t>
      </w:r>
      <w:r w:rsidRPr="00AD15C5">
        <w:tab/>
        <w:t>Одной из наиболее важных задач</w:t>
      </w:r>
      <w:r>
        <w:t xml:space="preserve"> </w:t>
      </w:r>
      <w:r w:rsidRPr="00AD15C5">
        <w:t xml:space="preserve">действующих мер регулирования средств массовой информации является обеспечение </w:t>
      </w:r>
      <w:r>
        <w:t xml:space="preserve">гарантий </w:t>
      </w:r>
      <w:r w:rsidRPr="00AD15C5">
        <w:t>свободы прессы в максимально возможной степени без (непропорциональных) посягательств на другие конституционные права. Одним из основных ограничений при осущес</w:t>
      </w:r>
      <w:r w:rsidRPr="00AD15C5">
        <w:t>т</w:t>
      </w:r>
      <w:r w:rsidRPr="00AD15C5">
        <w:t>влении свободы прессы как основополагающего конституционного права явл</w:t>
      </w:r>
      <w:r w:rsidRPr="00AD15C5">
        <w:t>я</w:t>
      </w:r>
      <w:r w:rsidRPr="00AD15C5">
        <w:t>ется требование о том, чтобы в своей деятел</w:t>
      </w:r>
      <w:r>
        <w:t>ьности она проявляла уважение к </w:t>
      </w:r>
      <w:r w:rsidRPr="00AD15C5">
        <w:t>достоинству и правам человека.</w:t>
      </w:r>
    </w:p>
    <w:p w:rsidR="001C6C1D" w:rsidRPr="00CF2272" w:rsidRDefault="001C6C1D" w:rsidP="001C6C1D">
      <w:pPr>
        <w:pStyle w:val="SingleTxtGR"/>
      </w:pPr>
      <w:r w:rsidRPr="00AD15C5">
        <w:t>47.</w:t>
      </w:r>
      <w:r w:rsidRPr="00AD15C5">
        <w:tab/>
        <w:t>Закон СIV 2010 года о свободе прессы и об основных правилах в отнош</w:t>
      </w:r>
      <w:r w:rsidRPr="00AD15C5">
        <w:t>е</w:t>
      </w:r>
      <w:r w:rsidRPr="00AD15C5">
        <w:t>нии содержания средств массовой информации (Закон о свободе прессы) и З</w:t>
      </w:r>
      <w:r w:rsidRPr="00AD15C5">
        <w:t>а</w:t>
      </w:r>
      <w:r w:rsidRPr="00AD15C5">
        <w:t xml:space="preserve">кон СLXXXV 2010 года об услугах средств массовой информации </w:t>
      </w:r>
      <w:r>
        <w:t>и коммун</w:t>
      </w:r>
      <w:r>
        <w:t>и</w:t>
      </w:r>
      <w:r>
        <w:t xml:space="preserve">кации </w:t>
      </w:r>
      <w:r w:rsidRPr="00AD15C5">
        <w:t>(Закон о средствах массовой информации) не содержат прямых полож</w:t>
      </w:r>
      <w:r w:rsidRPr="00AD15C5">
        <w:t>е</w:t>
      </w:r>
      <w:r w:rsidRPr="00AD15C5">
        <w:t>ний о запрете дискриминации в целом или о запрете дискриминации по призн</w:t>
      </w:r>
      <w:r w:rsidRPr="00AD15C5">
        <w:t>а</w:t>
      </w:r>
      <w:r w:rsidRPr="00AD15C5">
        <w:t>ку гендерной принадлежности. Естественно, это не означает, что Совет по в</w:t>
      </w:r>
      <w:r w:rsidRPr="00AD15C5">
        <w:t>о</w:t>
      </w:r>
      <w:r w:rsidRPr="00AD15C5">
        <w:t>просам массовой информации</w:t>
      </w:r>
      <w:r w:rsidRPr="00C73B34">
        <w:rPr>
          <w:rStyle w:val="FootnoteReference"/>
        </w:rPr>
        <w:footnoteReference w:id="3"/>
      </w:r>
      <w:r w:rsidRPr="00AD15C5">
        <w:t xml:space="preserve"> не может проводить в жизнь конституционные требования, предусмотренные в статье IX Основного закона для сферы средств массовой информации. Пункт 1 статьи 14 Закона</w:t>
      </w:r>
      <w:r>
        <w:t xml:space="preserve"> о свободе прессы гласит, что в </w:t>
      </w:r>
      <w:r w:rsidRPr="00AD15C5">
        <w:t>передаваемых ими сообщениях средства массовой информации</w:t>
      </w:r>
      <w:r w:rsidRPr="00C73B34">
        <w:rPr>
          <w:rStyle w:val="FootnoteReference"/>
        </w:rPr>
        <w:footnoteReference w:id="4"/>
      </w:r>
      <w:r w:rsidRPr="00AD15C5">
        <w:t xml:space="preserve"> обязаны обеспечивать уважение человеческого достоинства. На основании этого пол</w:t>
      </w:r>
      <w:r w:rsidRPr="00AD15C5">
        <w:t>о</w:t>
      </w:r>
      <w:r w:rsidRPr="00AD15C5">
        <w:t>жения Совет по вопросам массовой информации имеет возмо</w:t>
      </w:r>
      <w:r w:rsidRPr="00AD15C5">
        <w:t>ж</w:t>
      </w:r>
      <w:r w:rsidRPr="00AD15C5">
        <w:t>ность применять меры борьбы с негативной дискриминацией женщин и в отношении содерж</w:t>
      </w:r>
      <w:r w:rsidRPr="00AD15C5">
        <w:t>а</w:t>
      </w:r>
      <w:r w:rsidRPr="00AD15C5">
        <w:t>ния сообщений, оскорбительных для женщин. После утверждения нового зак</w:t>
      </w:r>
      <w:r w:rsidRPr="00AD15C5">
        <w:t>о</w:t>
      </w:r>
      <w:r w:rsidRPr="00AD15C5">
        <w:t>на о средствах массовой информации в 2011 году Совет по вопросам массовой информации главным образом расследовал деятельность аудиовизуальных о</w:t>
      </w:r>
      <w:r w:rsidRPr="00AD15C5">
        <w:t>р</w:t>
      </w:r>
      <w:r w:rsidRPr="00AD15C5">
        <w:t>ганов массовой информации, и нарушения законодательства подобного рода были обнаружены, в частности, в случае так называемых "</w:t>
      </w:r>
      <w:r>
        <w:t>ток-</w:t>
      </w:r>
      <w:r w:rsidRPr="00AD15C5">
        <w:t>шоу" или "реал</w:t>
      </w:r>
      <w:r w:rsidRPr="00AD15C5">
        <w:t>и</w:t>
      </w:r>
      <w:r w:rsidRPr="00AD15C5">
        <w:t>ти-шоу". Основные случаи применения юридической практики из</w:t>
      </w:r>
      <w:r>
        <w:t>ложены в </w:t>
      </w:r>
      <w:r w:rsidRPr="00AD15C5">
        <w:t>пр</w:t>
      </w:r>
      <w:r w:rsidRPr="00AD15C5">
        <w:t>и</w:t>
      </w:r>
      <w:r w:rsidRPr="00AD15C5">
        <w:t>ложении 1.</w:t>
      </w:r>
    </w:p>
    <w:p w:rsidR="001C6C1D" w:rsidRPr="00552376" w:rsidRDefault="001C6C1D" w:rsidP="001C6C1D">
      <w:pPr>
        <w:pStyle w:val="H23GR"/>
      </w:pPr>
      <w:r>
        <w:rPr>
          <w:lang w:val="en-US"/>
        </w:rPr>
        <w:tab/>
      </w:r>
      <w:r>
        <w:rPr>
          <w:lang w:val="en-US"/>
        </w:rPr>
        <w:tab/>
      </w:r>
      <w:r>
        <w:t>Представленность</w:t>
      </w:r>
      <w:r w:rsidRPr="00552376">
        <w:t xml:space="preserve"> женщин в </w:t>
      </w:r>
      <w:r>
        <w:t>новостных</w:t>
      </w:r>
      <w:r w:rsidRPr="00552376">
        <w:t xml:space="preserve"> программах</w:t>
      </w:r>
    </w:p>
    <w:p w:rsidR="001C6C1D" w:rsidRPr="00552376" w:rsidRDefault="001C6C1D" w:rsidP="001C6C1D">
      <w:pPr>
        <w:pStyle w:val="SingleTxtGR"/>
      </w:pPr>
      <w:r w:rsidRPr="00552376">
        <w:t>48.</w:t>
      </w:r>
      <w:r w:rsidRPr="00552376">
        <w:tab/>
        <w:t>Департамент контроля Национального органа по информационным ко</w:t>
      </w:r>
      <w:r w:rsidRPr="00552376">
        <w:t>м</w:t>
      </w:r>
      <w:r w:rsidRPr="00552376">
        <w:t xml:space="preserve">муникациям (НОИК) провел несколько расследований </w:t>
      </w:r>
      <w:r>
        <w:t>по вопросам предста</w:t>
      </w:r>
      <w:r>
        <w:t>в</w:t>
      </w:r>
      <w:r>
        <w:t>ленности</w:t>
      </w:r>
      <w:r w:rsidRPr="00552376">
        <w:t xml:space="preserve"> женщин в средствах массовой информации. В ходе </w:t>
      </w:r>
      <w:r w:rsidR="00F3569A">
        <w:t>расследования</w:t>
      </w:r>
      <w:r w:rsidRPr="00552376">
        <w:t xml:space="preserve"> </w:t>
      </w:r>
      <w:r>
        <w:t>н</w:t>
      </w:r>
      <w:r>
        <w:t>о</w:t>
      </w:r>
      <w:r>
        <w:t>востных</w:t>
      </w:r>
      <w:r w:rsidRPr="00552376">
        <w:t xml:space="preserve"> программ, которое было проведено с сентября 2011 года по август 2012</w:t>
      </w:r>
      <w:r>
        <w:t> </w:t>
      </w:r>
      <w:r w:rsidRPr="00552376">
        <w:t xml:space="preserve">года, </w:t>
      </w:r>
      <w:r>
        <w:t>он установил</w:t>
      </w:r>
      <w:r w:rsidRPr="00552376">
        <w:t xml:space="preserve">, что женщины в значительной мере недопредставлены в </w:t>
      </w:r>
      <w:r>
        <w:t>новостных</w:t>
      </w:r>
      <w:r w:rsidRPr="00552376">
        <w:t xml:space="preserve"> программах по сравнению с </w:t>
      </w:r>
      <w:r>
        <w:t>их</w:t>
      </w:r>
      <w:r w:rsidRPr="00552376">
        <w:t xml:space="preserve"> долей</w:t>
      </w:r>
      <w:r>
        <w:t xml:space="preserve"> в численности </w:t>
      </w:r>
      <w:r w:rsidRPr="00552376">
        <w:t>населени</w:t>
      </w:r>
      <w:r>
        <w:t>я</w:t>
      </w:r>
      <w:r w:rsidRPr="00552376">
        <w:t xml:space="preserve"> в целом. Однако одной из основных причин этого был тот факт, что в политич</w:t>
      </w:r>
      <w:r w:rsidRPr="00552376">
        <w:t>е</w:t>
      </w:r>
      <w:r w:rsidRPr="00552376">
        <w:t xml:space="preserve">ской жизни, как правило, "правят мужчины" и лишь 9% состава Национального собрания составляют женщины. Поскольку основной задачей </w:t>
      </w:r>
      <w:r>
        <w:t>новостных</w:t>
      </w:r>
      <w:r w:rsidRPr="00552376">
        <w:t xml:space="preserve"> пр</w:t>
      </w:r>
      <w:r w:rsidRPr="00552376">
        <w:t>о</w:t>
      </w:r>
      <w:r w:rsidRPr="00552376">
        <w:t>грамм является информирование о государственных делах, в свете вышеизл</w:t>
      </w:r>
      <w:r w:rsidRPr="00552376">
        <w:t>о</w:t>
      </w:r>
      <w:r w:rsidRPr="00552376">
        <w:t xml:space="preserve">женного неудивительно, что мужчины гораздо более заметны в </w:t>
      </w:r>
      <w:r>
        <w:t>новостных</w:t>
      </w:r>
      <w:r w:rsidRPr="00552376">
        <w:t xml:space="preserve"> п</w:t>
      </w:r>
      <w:r w:rsidRPr="00552376">
        <w:t>е</w:t>
      </w:r>
      <w:r w:rsidRPr="00552376">
        <w:t>редачах.</w:t>
      </w:r>
    </w:p>
    <w:p w:rsidR="001C6C1D" w:rsidRPr="00F01D7C" w:rsidRDefault="001C6C1D" w:rsidP="001C6C1D">
      <w:pPr>
        <w:pStyle w:val="SingleTxtGR"/>
        <w:jc w:val="left"/>
        <w:rPr>
          <w:b/>
        </w:rPr>
      </w:pPr>
      <w:r w:rsidRPr="00F01D7C">
        <w:rPr>
          <w:b/>
        </w:rPr>
        <w:t>Гендерная принадлежность лиц в новостных программах (в процентах): N</w:t>
      </w:r>
      <w:r>
        <w:rPr>
          <w:b/>
        </w:rPr>
        <w:t> </w:t>
      </w:r>
      <w:r w:rsidRPr="00F01D7C">
        <w:rPr>
          <w:b/>
        </w:rPr>
        <w:t>= 177 634</w:t>
      </w:r>
    </w:p>
    <w:tbl>
      <w:tblPr>
        <w:tblStyle w:val="TabNum"/>
        <w:tblW w:w="7370" w:type="dxa"/>
        <w:tblInd w:w="1134" w:type="dxa"/>
        <w:tblLayout w:type="fixed"/>
        <w:tblLook w:val="01E0" w:firstRow="1" w:lastRow="1" w:firstColumn="1" w:lastColumn="1" w:noHBand="0" w:noVBand="0"/>
      </w:tblPr>
      <w:tblGrid>
        <w:gridCol w:w="2456"/>
        <w:gridCol w:w="2457"/>
        <w:gridCol w:w="2457"/>
      </w:tblGrid>
      <w:tr w:rsidR="001C6C1D" w:rsidRPr="009B1E6E" w:rsidTr="00390C50">
        <w:trPr>
          <w:tblHeader/>
        </w:trPr>
        <w:tc>
          <w:tcPr>
            <w:cnfStyle w:val="001000000000" w:firstRow="0" w:lastRow="0" w:firstColumn="1" w:lastColumn="0" w:oddVBand="0" w:evenVBand="0" w:oddHBand="0" w:evenHBand="0" w:firstRowFirstColumn="0" w:firstRowLastColumn="0" w:lastRowFirstColumn="0" w:lastRowLastColumn="0"/>
            <w:tcW w:w="2456" w:type="dxa"/>
            <w:tcBorders>
              <w:bottom w:val="single" w:sz="12" w:space="0" w:color="auto"/>
            </w:tcBorders>
            <w:shd w:val="clear" w:color="auto" w:fill="auto"/>
          </w:tcPr>
          <w:p w:rsidR="001C6C1D" w:rsidRPr="009B1E6E" w:rsidRDefault="001C6C1D" w:rsidP="00390C50">
            <w:pPr>
              <w:spacing w:before="80" w:after="80" w:line="200" w:lineRule="exact"/>
              <w:rPr>
                <w:i/>
                <w:sz w:val="16"/>
              </w:rPr>
            </w:pPr>
          </w:p>
        </w:tc>
        <w:tc>
          <w:tcPr>
            <w:tcW w:w="2457" w:type="dxa"/>
            <w:tcBorders>
              <w:top w:val="single" w:sz="4" w:space="0" w:color="auto"/>
              <w:bottom w:val="single" w:sz="12" w:space="0" w:color="auto"/>
            </w:tcBorders>
            <w:shd w:val="clear" w:color="auto" w:fill="auto"/>
          </w:tcPr>
          <w:p w:rsidR="001C6C1D" w:rsidRPr="009B1E6E" w:rsidRDefault="001C6C1D" w:rsidP="00390C5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B1E6E">
              <w:rPr>
                <w:i/>
                <w:sz w:val="16"/>
              </w:rPr>
              <w:t>Мужчины</w:t>
            </w:r>
          </w:p>
        </w:tc>
        <w:tc>
          <w:tcPr>
            <w:tcW w:w="2457" w:type="dxa"/>
            <w:tcBorders>
              <w:top w:val="single" w:sz="4" w:space="0" w:color="auto"/>
              <w:bottom w:val="single" w:sz="12" w:space="0" w:color="auto"/>
            </w:tcBorders>
            <w:shd w:val="clear" w:color="auto" w:fill="auto"/>
          </w:tcPr>
          <w:p w:rsidR="001C6C1D" w:rsidRPr="009B1E6E" w:rsidRDefault="001C6C1D" w:rsidP="00390C5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B1E6E">
              <w:rPr>
                <w:i/>
                <w:sz w:val="16"/>
              </w:rPr>
              <w:t>Женщины</w:t>
            </w:r>
          </w:p>
        </w:tc>
      </w:tr>
      <w:tr w:rsidR="001C6C1D" w:rsidRPr="009B1E6E" w:rsidTr="00390C50">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tcBorders>
          </w:tcPr>
          <w:p w:rsidR="001C6C1D" w:rsidRPr="009B1E6E" w:rsidRDefault="001C6C1D" w:rsidP="00F3569A">
            <w:pPr>
              <w:spacing w:before="80" w:after="80"/>
            </w:pPr>
            <w:r w:rsidRPr="009B1E6E">
              <w:t>Всего</w:t>
            </w:r>
          </w:p>
        </w:tc>
        <w:tc>
          <w:tcPr>
            <w:tcW w:w="2457" w:type="dxa"/>
            <w:tcBorders>
              <w:top w:val="single" w:sz="12" w:space="0" w:color="auto"/>
            </w:tcBorders>
          </w:tcPr>
          <w:p w:rsidR="001C6C1D" w:rsidRPr="009B1E6E" w:rsidRDefault="001C6C1D" w:rsidP="00F3569A">
            <w:pPr>
              <w:spacing w:before="80" w:after="80"/>
              <w:cnfStyle w:val="000000000000" w:firstRow="0" w:lastRow="0" w:firstColumn="0" w:lastColumn="0" w:oddVBand="0" w:evenVBand="0" w:oddHBand="0" w:evenHBand="0" w:firstRowFirstColumn="0" w:firstRowLastColumn="0" w:lastRowFirstColumn="0" w:lastRowLastColumn="0"/>
            </w:pPr>
            <w:r w:rsidRPr="009B1E6E">
              <w:t>78,3</w:t>
            </w:r>
          </w:p>
        </w:tc>
        <w:tc>
          <w:tcPr>
            <w:tcW w:w="2457" w:type="dxa"/>
            <w:tcBorders>
              <w:top w:val="single" w:sz="12" w:space="0" w:color="auto"/>
            </w:tcBorders>
          </w:tcPr>
          <w:p w:rsidR="001C6C1D" w:rsidRPr="009B1E6E" w:rsidRDefault="001C6C1D" w:rsidP="00F3569A">
            <w:pPr>
              <w:spacing w:before="80" w:after="80"/>
              <w:cnfStyle w:val="000000000000" w:firstRow="0" w:lastRow="0" w:firstColumn="0" w:lastColumn="0" w:oddVBand="0" w:evenVBand="0" w:oddHBand="0" w:evenHBand="0" w:firstRowFirstColumn="0" w:firstRowLastColumn="0" w:lastRowFirstColumn="0" w:lastRowLastColumn="0"/>
            </w:pPr>
            <w:r w:rsidRPr="009B1E6E">
              <w:t>21,7</w:t>
            </w:r>
          </w:p>
        </w:tc>
      </w:tr>
    </w:tbl>
    <w:p w:rsidR="001C6C1D" w:rsidRPr="00552376" w:rsidRDefault="001C6C1D" w:rsidP="001C6C1D">
      <w:pPr>
        <w:pStyle w:val="SingleTxtGR"/>
      </w:pPr>
      <w:r w:rsidRPr="00552376">
        <w:t>(подробности изложены в приложении 2)</w:t>
      </w:r>
    </w:p>
    <w:p w:rsidR="001C6C1D" w:rsidRPr="00552376" w:rsidRDefault="001C6C1D" w:rsidP="001C6C1D">
      <w:pPr>
        <w:pStyle w:val="H23GR"/>
      </w:pPr>
      <w:r w:rsidRPr="00137BEC">
        <w:tab/>
      </w:r>
      <w:r w:rsidRPr="00137BEC">
        <w:tab/>
      </w:r>
      <w:r w:rsidRPr="00552376">
        <w:t>Задачи в области обучения и образования</w:t>
      </w:r>
    </w:p>
    <w:p w:rsidR="001C6C1D" w:rsidRPr="00552376" w:rsidRDefault="001C6C1D" w:rsidP="001C6C1D">
      <w:pPr>
        <w:pStyle w:val="SingleTxtGR"/>
      </w:pPr>
      <w:r w:rsidRPr="00552376">
        <w:t>49.</w:t>
      </w:r>
      <w:r w:rsidRPr="00552376">
        <w:tab/>
        <w:t>В своей деятельности НОИК придает большое значение отображению в средствах массовой информации различных социальных групп и особых соц</w:t>
      </w:r>
      <w:r w:rsidRPr="00552376">
        <w:t>и</w:t>
      </w:r>
      <w:r w:rsidRPr="00552376">
        <w:t xml:space="preserve">альных проблем. </w:t>
      </w:r>
      <w:r>
        <w:t>В связи с этим, п</w:t>
      </w:r>
      <w:r w:rsidRPr="00552376">
        <w:t>омимо инвалидов и национальных, этнич</w:t>
      </w:r>
      <w:r w:rsidRPr="00552376">
        <w:t>е</w:t>
      </w:r>
      <w:r w:rsidRPr="00552376">
        <w:t>ских и религиозных меньшинств, внимание уделяется также созданию равных возможностей для мужчин и женщин и предупреждению негативной дискрим</w:t>
      </w:r>
      <w:r w:rsidRPr="00552376">
        <w:t>и</w:t>
      </w:r>
      <w:r w:rsidRPr="00552376">
        <w:t>нации между мужчинами и же</w:t>
      </w:r>
      <w:r w:rsidRPr="00552376">
        <w:t>н</w:t>
      </w:r>
      <w:r w:rsidRPr="00552376">
        <w:t>щинами.</w:t>
      </w:r>
    </w:p>
    <w:p w:rsidR="001C6C1D" w:rsidRPr="00552376" w:rsidRDefault="001C6C1D" w:rsidP="001C6C1D">
      <w:pPr>
        <w:pStyle w:val="SingleTxtGR"/>
      </w:pPr>
      <w:r w:rsidRPr="00552376">
        <w:t>50.</w:t>
      </w:r>
      <w:r w:rsidRPr="00552376">
        <w:tab/>
        <w:t>В 2012 году НОИК инициировал новый проект для средств массовой и</w:t>
      </w:r>
      <w:r w:rsidRPr="00552376">
        <w:t>н</w:t>
      </w:r>
      <w:r w:rsidRPr="00552376">
        <w:t>формации, озаглавленный Н95. В соответствии с разработанными планами ст</w:t>
      </w:r>
      <w:r w:rsidRPr="00552376">
        <w:t>у</w:t>
      </w:r>
      <w:r w:rsidRPr="00552376">
        <w:t xml:space="preserve">денты в </w:t>
      </w:r>
      <w:r>
        <w:t>учебных центрах</w:t>
      </w:r>
      <w:r w:rsidRPr="00552376">
        <w:t xml:space="preserve"> могут принимать участие в программах, подходящих для их возрастных групп, и учиться </w:t>
      </w:r>
      <w:r>
        <w:t>толковать</w:t>
      </w:r>
      <w:r w:rsidRPr="00552376">
        <w:t xml:space="preserve"> содержание пер</w:t>
      </w:r>
      <w:r w:rsidRPr="00552376">
        <w:t>е</w:t>
      </w:r>
      <w:r w:rsidRPr="00552376">
        <w:t>дач, соотносить их с местными ценностями, а также учиться различным мет</w:t>
      </w:r>
      <w:r w:rsidRPr="00552376">
        <w:t>о</w:t>
      </w:r>
      <w:r w:rsidRPr="00552376">
        <w:t>дам рекламы. Улучшение понимания средств массовой информации помогает им надлежащим образом оценивать стереотипы, которые навязывают им средства массовой и</w:t>
      </w:r>
      <w:r w:rsidRPr="00552376">
        <w:t>н</w:t>
      </w:r>
      <w:r w:rsidRPr="00552376">
        <w:t>формации.</w:t>
      </w:r>
    </w:p>
    <w:p w:rsidR="001C6C1D" w:rsidRPr="00552376" w:rsidRDefault="001C6C1D" w:rsidP="001C6C1D">
      <w:pPr>
        <w:pStyle w:val="SingleTxtGR"/>
      </w:pPr>
      <w:r w:rsidRPr="00552376">
        <w:t>51.</w:t>
      </w:r>
      <w:r w:rsidRPr="00552376">
        <w:tab/>
        <w:t>Еще одно из нововведений в 2012 году заключалось в том, что при по</w:t>
      </w:r>
      <w:r w:rsidRPr="00552376">
        <w:t>д</w:t>
      </w:r>
      <w:r w:rsidRPr="00552376">
        <w:t xml:space="preserve">держке НОИК Фонд </w:t>
      </w:r>
      <w:r>
        <w:t>А</w:t>
      </w:r>
      <w:r w:rsidRPr="00552376">
        <w:t xml:space="preserve">кадемии средств массовой информации государственной службы и Католический университет </w:t>
      </w:r>
      <w:r>
        <w:t xml:space="preserve">им. </w:t>
      </w:r>
      <w:r w:rsidRPr="00552376">
        <w:t>Петера Пазманя совместно организ</w:t>
      </w:r>
      <w:r w:rsidRPr="00552376">
        <w:t>о</w:t>
      </w:r>
      <w:r w:rsidRPr="00552376">
        <w:t xml:space="preserve">вали рассчитанный на четыре семестра курс повышения профессиональной квалификации для журналистов и творческих работников. В программу этого курса входит </w:t>
      </w:r>
      <w:r>
        <w:t xml:space="preserve">тема </w:t>
      </w:r>
      <w:r w:rsidRPr="00552376">
        <w:t>борьб</w:t>
      </w:r>
      <w:r>
        <w:t>ы</w:t>
      </w:r>
      <w:r w:rsidRPr="00552376">
        <w:t xml:space="preserve"> со стереотипами и их </w:t>
      </w:r>
      <w:r>
        <w:t>недопущения</w:t>
      </w:r>
      <w:r w:rsidRPr="00552376">
        <w:t xml:space="preserve"> в программах г</w:t>
      </w:r>
      <w:r w:rsidRPr="00552376">
        <w:t>о</w:t>
      </w:r>
      <w:r w:rsidRPr="00552376">
        <w:t>сударственного вещания.</w:t>
      </w:r>
    </w:p>
    <w:p w:rsidR="001C6C1D" w:rsidRPr="00552376" w:rsidRDefault="001C6C1D" w:rsidP="001C6C1D">
      <w:pPr>
        <w:pStyle w:val="SingleTxtGR"/>
      </w:pPr>
      <w:r w:rsidRPr="00552376">
        <w:t>52.</w:t>
      </w:r>
      <w:r w:rsidRPr="00552376">
        <w:tab/>
        <w:t>Кодекс поведения государственной службы, который был впервые принят для сотрудников Совета по средствам массовой информации и для государс</w:t>
      </w:r>
      <w:r w:rsidRPr="00552376">
        <w:t>т</w:t>
      </w:r>
      <w:r w:rsidRPr="00552376">
        <w:t>венных средств массовой информации в 2001 году, содержит основополага</w:t>
      </w:r>
      <w:r w:rsidRPr="00552376">
        <w:t>ю</w:t>
      </w:r>
      <w:r w:rsidRPr="00552376">
        <w:t>щие принципы, которые они обязаны соблюдать в своей работе. Среди основ</w:t>
      </w:r>
      <w:r w:rsidRPr="00552376">
        <w:t>о</w:t>
      </w:r>
      <w:r w:rsidRPr="00552376">
        <w:t>полагающих принципов, закрепленных в Кодексе поведения</w:t>
      </w:r>
      <w:r>
        <w:t xml:space="preserve"> (пункт J)</w:t>
      </w:r>
      <w:r w:rsidRPr="00552376">
        <w:t>, следует отметить обеспечение уважения к индивидуальным правам и правам человека. В соответствии с этим принципом человеческому достоинству во всех его фо</w:t>
      </w:r>
      <w:r w:rsidRPr="00552376">
        <w:t>р</w:t>
      </w:r>
      <w:r w:rsidRPr="00552376">
        <w:t xml:space="preserve">мах и основным личным правам должно оказываться </w:t>
      </w:r>
      <w:r>
        <w:t>надлежащее</w:t>
      </w:r>
      <w:r w:rsidRPr="00552376">
        <w:t xml:space="preserve"> уважение в соответствии с национальным законодательством и международными конве</w:t>
      </w:r>
      <w:r w:rsidRPr="00552376">
        <w:t>н</w:t>
      </w:r>
      <w:r w:rsidRPr="00552376">
        <w:t>циями при оказании услуг средств массовой информации и при подготовке пр</w:t>
      </w:r>
      <w:r w:rsidRPr="00552376">
        <w:t>о</w:t>
      </w:r>
      <w:r w:rsidRPr="00552376">
        <w:t>грамм. Хотя в Кодексе поведения это</w:t>
      </w:r>
      <w:r>
        <w:t xml:space="preserve"> прямо</w:t>
      </w:r>
      <w:r w:rsidRPr="00552376">
        <w:t xml:space="preserve"> не говорится, он </w:t>
      </w:r>
      <w:r>
        <w:t>подразумевает</w:t>
      </w:r>
      <w:r w:rsidRPr="00552376">
        <w:t xml:space="preserve"> принципы терпимости в отношениях между мужчинами и женщинами и запрет негативной дискриминации женщин. Особое внимание уделяется этим принц</w:t>
      </w:r>
      <w:r w:rsidRPr="00552376">
        <w:t>и</w:t>
      </w:r>
      <w:r w:rsidRPr="00552376">
        <w:t>пам и в программе курсов, проводимых в Академии средств массовой инфо</w:t>
      </w:r>
      <w:r w:rsidRPr="00552376">
        <w:t>р</w:t>
      </w:r>
      <w:r w:rsidRPr="00552376">
        <w:t>мации государственной службы.</w:t>
      </w:r>
    </w:p>
    <w:p w:rsidR="001C6C1D" w:rsidRPr="00552376" w:rsidRDefault="001C6C1D" w:rsidP="001C6C1D">
      <w:pPr>
        <w:pStyle w:val="H23GR"/>
      </w:pPr>
      <w:r w:rsidRPr="00137BEC">
        <w:tab/>
      </w:r>
      <w:r w:rsidRPr="00137BEC">
        <w:tab/>
      </w:r>
      <w:r w:rsidRPr="00552376">
        <w:t>Контакты НОИК с группами</w:t>
      </w:r>
      <w:r>
        <w:t xml:space="preserve">, представляющими определенные </w:t>
      </w:r>
      <w:r w:rsidRPr="00552376">
        <w:t>интерес</w:t>
      </w:r>
      <w:r>
        <w:t>ы</w:t>
      </w:r>
    </w:p>
    <w:p w:rsidR="001C6C1D" w:rsidRPr="00552376" w:rsidRDefault="001C6C1D" w:rsidP="001C6C1D">
      <w:pPr>
        <w:pStyle w:val="SingleTxtGR"/>
      </w:pPr>
      <w:r w:rsidRPr="00552376">
        <w:t>53.</w:t>
      </w:r>
      <w:r w:rsidRPr="00552376">
        <w:tab/>
        <w:t>16 февраля 2011 года состоялась имеющая большое значение встреча президента НОИК Анны-Марии Салаи с представителями Ассоциации венге</w:t>
      </w:r>
      <w:r w:rsidRPr="00552376">
        <w:t>р</w:t>
      </w:r>
      <w:r w:rsidRPr="00552376">
        <w:t>ских женщин. Ассоциация венгерских женщин подготовила декларацию о з</w:t>
      </w:r>
      <w:r w:rsidRPr="00552376">
        <w:t>а</w:t>
      </w:r>
      <w:r w:rsidRPr="00552376">
        <w:t>щите женщин и семей в связи с новым законом о средствах массовой информ</w:t>
      </w:r>
      <w:r w:rsidRPr="00552376">
        <w:t>а</w:t>
      </w:r>
      <w:r w:rsidRPr="00552376">
        <w:t>ции. Цель Ассоциации венгерских женщин заключается в отражении здорового женского идеала и в содействии самореализации женщин в семье, на рабо</w:t>
      </w:r>
      <w:r>
        <w:t>те</w:t>
      </w:r>
      <w:r w:rsidRPr="00552376">
        <w:t xml:space="preserve"> и в общественной жизни.</w:t>
      </w:r>
    </w:p>
    <w:p w:rsidR="001C6C1D" w:rsidRPr="00552376" w:rsidRDefault="001C6C1D" w:rsidP="001C6C1D">
      <w:pPr>
        <w:pStyle w:val="H1GR"/>
      </w:pPr>
      <w:r w:rsidRPr="00137BEC">
        <w:tab/>
      </w:r>
      <w:r w:rsidRPr="00137BEC">
        <w:tab/>
      </w:r>
      <w:r w:rsidRPr="00552376">
        <w:t>Насилие в отношении женщин</w:t>
      </w:r>
    </w:p>
    <w:p w:rsidR="001C6C1D" w:rsidRPr="00552376" w:rsidRDefault="001C6C1D" w:rsidP="001C6C1D">
      <w:pPr>
        <w:pStyle w:val="H23GR"/>
      </w:pPr>
      <w:r w:rsidRPr="00137BEC">
        <w:tab/>
      </w:r>
      <w:r w:rsidRPr="00137BEC">
        <w:tab/>
      </w:r>
      <w:r w:rsidRPr="00552376">
        <w:t>Ответ на вопросы, поставленные в пункте 9 перечня вопросов</w:t>
      </w:r>
    </w:p>
    <w:p w:rsidR="001C6C1D" w:rsidRPr="00552376" w:rsidRDefault="001C6C1D" w:rsidP="001C6C1D">
      <w:pPr>
        <w:pStyle w:val="SingleTxtGR"/>
      </w:pPr>
      <w:r w:rsidRPr="00552376">
        <w:t>54.</w:t>
      </w:r>
      <w:r w:rsidRPr="00552376">
        <w:tab/>
        <w:t>Начиная с 2007 года производятся радикальные перемены в кризисной системе для жертв насилия − женщин и их родственников. (В 2005 году данная программа осуществлялась в качестве экспериме</w:t>
      </w:r>
      <w:r w:rsidRPr="00552376">
        <w:t>н</w:t>
      </w:r>
      <w:r w:rsidRPr="00552376">
        <w:t>тального проекта.)</w:t>
      </w:r>
    </w:p>
    <w:p w:rsidR="001C6C1D" w:rsidRPr="00552376" w:rsidRDefault="001C6C1D" w:rsidP="001C6C1D">
      <w:pPr>
        <w:pStyle w:val="SingleTxtGR"/>
      </w:pPr>
      <w:r w:rsidRPr="00552376">
        <w:t>55.</w:t>
      </w:r>
      <w:r w:rsidRPr="00552376">
        <w:tab/>
        <w:t>После представления странового доклада в 2011 году были приняты сл</w:t>
      </w:r>
      <w:r w:rsidRPr="00552376">
        <w:t>е</w:t>
      </w:r>
      <w:r w:rsidRPr="00552376">
        <w:t>дующие меры борьб</w:t>
      </w:r>
      <w:r>
        <w:t>ы с насилием в отношении женщин.</w:t>
      </w:r>
    </w:p>
    <w:p w:rsidR="001C6C1D" w:rsidRPr="00552376" w:rsidRDefault="001C6C1D" w:rsidP="001C6C1D">
      <w:pPr>
        <w:pStyle w:val="Bullet1GR"/>
        <w:numPr>
          <w:ilvl w:val="0"/>
          <w:numId w:val="1"/>
        </w:numPr>
      </w:pPr>
      <w:r w:rsidRPr="00552376">
        <w:t>В 2011 году был объявлен конкурс на организацию двух новых кризи</w:t>
      </w:r>
      <w:r w:rsidRPr="00552376">
        <w:t>с</w:t>
      </w:r>
      <w:r w:rsidRPr="00552376">
        <w:t>ных це</w:t>
      </w:r>
      <w:r w:rsidRPr="00552376">
        <w:t>н</w:t>
      </w:r>
      <w:r w:rsidRPr="00552376">
        <w:t>тров.</w:t>
      </w:r>
    </w:p>
    <w:p w:rsidR="001C6C1D" w:rsidRPr="00552376" w:rsidRDefault="001C6C1D" w:rsidP="001C6C1D">
      <w:pPr>
        <w:pStyle w:val="Bullet1GR"/>
        <w:numPr>
          <w:ilvl w:val="0"/>
          <w:numId w:val="1"/>
        </w:numPr>
      </w:pPr>
      <w:r w:rsidRPr="00552376">
        <w:t xml:space="preserve">В 2012 году был объявлен </w:t>
      </w:r>
      <w:r>
        <w:t xml:space="preserve">еще один </w:t>
      </w:r>
      <w:r w:rsidRPr="00552376">
        <w:t>конкурс</w:t>
      </w:r>
      <w:r>
        <w:t>,</w:t>
      </w:r>
      <w:r w:rsidRPr="00552376">
        <w:t xml:space="preserve"> </w:t>
      </w:r>
      <w:r>
        <w:t xml:space="preserve">и </w:t>
      </w:r>
      <w:r w:rsidRPr="00552376">
        <w:t xml:space="preserve">два </w:t>
      </w:r>
      <w:r>
        <w:t xml:space="preserve">новых </w:t>
      </w:r>
      <w:r w:rsidRPr="00552376">
        <w:t>кризисных це</w:t>
      </w:r>
      <w:r w:rsidRPr="00552376">
        <w:t>н</w:t>
      </w:r>
      <w:r w:rsidRPr="00552376">
        <w:t>тра</w:t>
      </w:r>
      <w:r>
        <w:t xml:space="preserve"> были подключены к программе</w:t>
      </w:r>
      <w:r w:rsidRPr="00552376">
        <w:t xml:space="preserve"> преодоления кризисов.</w:t>
      </w:r>
    </w:p>
    <w:p w:rsidR="001C6C1D" w:rsidRPr="00552376" w:rsidRDefault="001C6C1D" w:rsidP="001C6C1D">
      <w:pPr>
        <w:pStyle w:val="Bullet1GR"/>
        <w:numPr>
          <w:ilvl w:val="0"/>
          <w:numId w:val="1"/>
        </w:numPr>
      </w:pPr>
      <w:r w:rsidRPr="00552376">
        <w:t>На протяжении 2011−2012 годов в соответствующую систему был доба</w:t>
      </w:r>
      <w:r w:rsidRPr="00552376">
        <w:t>в</w:t>
      </w:r>
      <w:r w:rsidRPr="00552376">
        <w:t>лен 21 новый объект, в результате чего число таких объектов в стране за последние два года возросло с 77 до 98. В настоящее время в стране де</w:t>
      </w:r>
      <w:r w:rsidRPr="00552376">
        <w:t>й</w:t>
      </w:r>
      <w:r w:rsidRPr="00552376">
        <w:t xml:space="preserve">ствуют 14 кризисных центров, 4 транзитных центра и </w:t>
      </w:r>
      <w:r>
        <w:t>1 приют</w:t>
      </w:r>
      <w:r w:rsidRPr="00552376">
        <w:t xml:space="preserve"> для жертв торговли людьми. В 2012 году данная система будет укреплена за счет расширения сети тайных убежищ, в которых в настоящее время имеется 29</w:t>
      </w:r>
      <w:r>
        <w:t> </w:t>
      </w:r>
      <w:r w:rsidRPr="00552376">
        <w:t>мест для жертв насилия в отношении женщин или насилия в семье, жизнь которых находится в опасности.</w:t>
      </w:r>
    </w:p>
    <w:p w:rsidR="001C6C1D" w:rsidRPr="00552376" w:rsidRDefault="001C6C1D" w:rsidP="001C6C1D">
      <w:pPr>
        <w:pStyle w:val="SingleTxtGR"/>
      </w:pPr>
      <w:r w:rsidRPr="00552376">
        <w:t>56.</w:t>
      </w:r>
      <w:r w:rsidRPr="00552376">
        <w:tab/>
        <w:t>Согласно отчетам экспертов о деятельности кризисных центров, начиная с 2011 года наиболее часто ими оказываются следующие услуги: поиск реш</w:t>
      </w:r>
      <w:r w:rsidRPr="00552376">
        <w:t>е</w:t>
      </w:r>
      <w:r w:rsidRPr="00552376">
        <w:t>ний, связанных с безопасным жильем, помощь в разрешении проблем, связа</w:t>
      </w:r>
      <w:r w:rsidRPr="00552376">
        <w:t>н</w:t>
      </w:r>
      <w:r w:rsidRPr="00552376">
        <w:t>ных со стилем жизни, поиск источников дохода и административное сопрово</w:t>
      </w:r>
      <w:r w:rsidRPr="00552376">
        <w:t>ж</w:t>
      </w:r>
      <w:r w:rsidRPr="00552376">
        <w:t>дение, оценка отношений с дальними родственниками, укрепление рол</w:t>
      </w:r>
      <w:r>
        <w:t>и</w:t>
      </w:r>
      <w:r w:rsidRPr="00552376">
        <w:t xml:space="preserve"> род</w:t>
      </w:r>
      <w:r w:rsidRPr="00552376">
        <w:t>и</w:t>
      </w:r>
      <w:r w:rsidRPr="00552376">
        <w:t>телей, психологические консультации, посреднические консультации, связа</w:t>
      </w:r>
      <w:r w:rsidRPr="00552376">
        <w:t>н</w:t>
      </w:r>
      <w:r w:rsidRPr="00552376">
        <w:t xml:space="preserve">ные со здравоохранением, и организация программ в общинах. Помимо этого, также распространены юридические консультации и консультации по уходу за детьми. Кризисные центры действуют в тесном </w:t>
      </w:r>
      <w:r>
        <w:t>(</w:t>
      </w:r>
      <w:r w:rsidRPr="00552376">
        <w:t>повседневном</w:t>
      </w:r>
      <w:r>
        <w:t>)</w:t>
      </w:r>
      <w:r w:rsidRPr="00552376">
        <w:t xml:space="preserve"> контакте с Н</w:t>
      </w:r>
      <w:r w:rsidRPr="00552376">
        <w:t>а</w:t>
      </w:r>
      <w:r w:rsidRPr="00552376">
        <w:t>циональной кр</w:t>
      </w:r>
      <w:r w:rsidRPr="00552376">
        <w:t>и</w:t>
      </w:r>
      <w:r w:rsidRPr="00552376">
        <w:t>зисной и информационной телефонной службой, а также со службами поддержки семьи и благо</w:t>
      </w:r>
      <w:r>
        <w:t>получия</w:t>
      </w:r>
      <w:r w:rsidRPr="00552376">
        <w:t xml:space="preserve"> ребенка, которые имеют полном</w:t>
      </w:r>
      <w:r w:rsidRPr="00552376">
        <w:t>о</w:t>
      </w:r>
      <w:r w:rsidRPr="00552376">
        <w:t>чия на местном уровне и по месту жительства потерпевших, со Службой по</w:t>
      </w:r>
      <w:r w:rsidRPr="00552376">
        <w:t>д</w:t>
      </w:r>
      <w:r w:rsidRPr="00552376">
        <w:t>держки потерпевших управления юстиции органов государственного управл</w:t>
      </w:r>
      <w:r w:rsidRPr="00552376">
        <w:t>е</w:t>
      </w:r>
      <w:r w:rsidRPr="00552376">
        <w:t>ния на уровне медье, судами, ратушами, работниками сферы здравоохранения на местах (районными медсестрами, семейными врачами, педиатрами, сотру</w:t>
      </w:r>
      <w:r w:rsidRPr="00552376">
        <w:t>д</w:t>
      </w:r>
      <w:r w:rsidRPr="00552376">
        <w:t>никами больниц, психиатрами и т.п.), полицией, временными семейными уб</w:t>
      </w:r>
      <w:r w:rsidRPr="00552376">
        <w:t>е</w:t>
      </w:r>
      <w:r w:rsidRPr="00552376">
        <w:t>жищами, домами материнства, местными учебными заведениями и, в случае необходимости, с органами по опеке и другими ведомствами, официальными органами и НПО.</w:t>
      </w:r>
    </w:p>
    <w:p w:rsidR="001C6C1D" w:rsidRPr="00552376" w:rsidRDefault="001C6C1D" w:rsidP="001C6C1D">
      <w:pPr>
        <w:pStyle w:val="Bullet1GR"/>
        <w:numPr>
          <w:ilvl w:val="0"/>
          <w:numId w:val="1"/>
        </w:numPr>
      </w:pPr>
      <w:r w:rsidRPr="00552376">
        <w:t>Была разработана система финансирования на основе грантов и единая система данных для кризисных и транзитных центров. В отличие от р</w:t>
      </w:r>
      <w:r w:rsidRPr="00552376">
        <w:t>а</w:t>
      </w:r>
      <w:r w:rsidRPr="00552376">
        <w:t>нее принятой практики, которая предусматривала бюджетное финансир</w:t>
      </w:r>
      <w:r w:rsidRPr="00552376">
        <w:t>о</w:t>
      </w:r>
      <w:r w:rsidRPr="00552376">
        <w:t>вание работы кризисных и транзитных центров на ежегодной основе, в 2012 году был подписан рамочный договор на три года, который позвол</w:t>
      </w:r>
      <w:r w:rsidRPr="00552376">
        <w:t>я</w:t>
      </w:r>
      <w:r w:rsidRPr="00552376">
        <w:t>ет повысить стабильность и предсказуемость усл</w:t>
      </w:r>
      <w:r w:rsidRPr="00552376">
        <w:t>о</w:t>
      </w:r>
      <w:r w:rsidRPr="00552376">
        <w:t>вий их работы.</w:t>
      </w:r>
    </w:p>
    <w:p w:rsidR="001C6C1D" w:rsidRPr="00552376" w:rsidRDefault="001C6C1D" w:rsidP="001C6C1D">
      <w:pPr>
        <w:pStyle w:val="Bullet1GR"/>
        <w:numPr>
          <w:ilvl w:val="0"/>
          <w:numId w:val="1"/>
        </w:numPr>
      </w:pPr>
      <w:r w:rsidRPr="00552376">
        <w:t>В 2011 году Министерство подготовило "профессиональную директиву" для всех кризисных и транзитных центров, в которой определены задачи их услуг, целевые группы и конкретные виды услуг, а также лежащие в их основе руководящие принципы, показатели работы и гарантированные элементы обслуж</w:t>
      </w:r>
      <w:r w:rsidRPr="00552376">
        <w:t>и</w:t>
      </w:r>
      <w:r w:rsidRPr="00552376">
        <w:t>вания.</w:t>
      </w:r>
    </w:p>
    <w:p w:rsidR="001C6C1D" w:rsidRPr="00552376" w:rsidRDefault="001C6C1D" w:rsidP="001C6C1D">
      <w:pPr>
        <w:pStyle w:val="Bullet1GR"/>
        <w:numPr>
          <w:ilvl w:val="0"/>
          <w:numId w:val="1"/>
        </w:numPr>
      </w:pPr>
      <w:r w:rsidRPr="00552376">
        <w:t>Данные центры принимают потерпевших со всей территории Венгрии, и если в них освобождаются места, то Национальная кризисная и инфо</w:t>
      </w:r>
      <w:r w:rsidRPr="00552376">
        <w:t>р</w:t>
      </w:r>
      <w:r w:rsidRPr="00552376">
        <w:t>мационн</w:t>
      </w:r>
      <w:r>
        <w:t xml:space="preserve">ая </w:t>
      </w:r>
      <w:r w:rsidRPr="00552376">
        <w:t>телефонная служба получает об этом информацию немедле</w:t>
      </w:r>
      <w:r w:rsidRPr="00552376">
        <w:t>н</w:t>
      </w:r>
      <w:r w:rsidRPr="00552376">
        <w:t>но или в течение 24 часов максимум. Места могут заполняться круглос</w:t>
      </w:r>
      <w:r w:rsidRPr="00552376">
        <w:t>у</w:t>
      </w:r>
      <w:r w:rsidRPr="00552376">
        <w:t>точно, и данные учреждения обязаны выделять дежурных для обеспеч</w:t>
      </w:r>
      <w:r w:rsidRPr="00552376">
        <w:t>е</w:t>
      </w:r>
      <w:r w:rsidRPr="00552376">
        <w:t>ния такого режима. Важно подчеркнуть, что подобные центры действуют не только в больших городах, но предназначены для помощи потерпе</w:t>
      </w:r>
      <w:r w:rsidRPr="00552376">
        <w:t>в</w:t>
      </w:r>
      <w:r w:rsidRPr="00552376">
        <w:t>шим, нуждающимся в такой помощи на местах.</w:t>
      </w:r>
    </w:p>
    <w:p w:rsidR="001C6C1D" w:rsidRPr="00552376" w:rsidRDefault="001C6C1D" w:rsidP="001C6C1D">
      <w:pPr>
        <w:pStyle w:val="Bullet1GR"/>
        <w:numPr>
          <w:ilvl w:val="0"/>
          <w:numId w:val="1"/>
        </w:numPr>
      </w:pPr>
      <w:r w:rsidRPr="00552376">
        <w:t>В 2011 году работа кризисных и связанных с ними транзитных центров, обеспечивающих безопасное жилье и всю гамму услуг для жертв насилия в семье, получила надлежащие нормативные основания благодаря п</w:t>
      </w:r>
      <w:r w:rsidRPr="00552376">
        <w:t>о</w:t>
      </w:r>
      <w:r w:rsidRPr="00552376">
        <w:t>правке к Закону XXXI 1997 года об охране детей и осуществлении оп</w:t>
      </w:r>
      <w:r w:rsidRPr="00552376">
        <w:t>е</w:t>
      </w:r>
      <w:r w:rsidRPr="00552376">
        <w:t>кунства, в которой также должным образом определен их статус. Да</w:t>
      </w:r>
      <w:r w:rsidRPr="00552376">
        <w:t>н</w:t>
      </w:r>
      <w:r w:rsidRPr="00552376">
        <w:t>ное законодательство определило место кризисных и транзитных центров, включив их в категорию временных семейных домов</w:t>
      </w:r>
      <w:r>
        <w:rPr>
          <w:rStyle w:val="FootnoteReference"/>
        </w:rPr>
        <w:footnoteReference w:id="5"/>
      </w:r>
      <w:r w:rsidRPr="00552376">
        <w:t>. Кроме того, Мин</w:t>
      </w:r>
      <w:r w:rsidRPr="00552376">
        <w:t>и</w:t>
      </w:r>
      <w:r w:rsidRPr="00552376">
        <w:t xml:space="preserve">стерством социального </w:t>
      </w:r>
      <w:r>
        <w:t>обеспечения была</w:t>
      </w:r>
      <w:r w:rsidRPr="00552376">
        <w:t xml:space="preserve"> принята поправка к Постано</w:t>
      </w:r>
      <w:r w:rsidRPr="00552376">
        <w:t>в</w:t>
      </w:r>
      <w:r w:rsidRPr="00552376">
        <w:t>лению № 15/1998 (IV.30) в отношении профессиональных задач и усл</w:t>
      </w:r>
      <w:r w:rsidRPr="00552376">
        <w:t>о</w:t>
      </w:r>
      <w:r w:rsidRPr="00552376">
        <w:t xml:space="preserve">вий работы учреждений </w:t>
      </w:r>
      <w:r>
        <w:t xml:space="preserve">по </w:t>
      </w:r>
      <w:r w:rsidRPr="00552376">
        <w:t>обеспечени</w:t>
      </w:r>
      <w:r>
        <w:t>ю</w:t>
      </w:r>
      <w:r w:rsidRPr="00552376">
        <w:t xml:space="preserve"> благо</w:t>
      </w:r>
      <w:r>
        <w:t>получия</w:t>
      </w:r>
      <w:r w:rsidRPr="00552376">
        <w:t xml:space="preserve"> детей и </w:t>
      </w:r>
      <w:r>
        <w:t>защиты</w:t>
      </w:r>
      <w:r w:rsidRPr="00552376">
        <w:t xml:space="preserve"> детей и </w:t>
      </w:r>
      <w:r>
        <w:t xml:space="preserve">их </w:t>
      </w:r>
      <w:r w:rsidRPr="00552376">
        <w:t>сотрудников, которые оказывают услуги по личному уходу</w:t>
      </w:r>
      <w:r w:rsidR="00F3569A">
        <w:t>;</w:t>
      </w:r>
      <w:r w:rsidR="00F3569A">
        <w:br/>
        <w:t>в</w:t>
      </w:r>
      <w:r>
        <w:t xml:space="preserve"> эту поправку были включены положения, касающиеся </w:t>
      </w:r>
      <w:r w:rsidRPr="00552376">
        <w:t>кризисны</w:t>
      </w:r>
      <w:r>
        <w:t>х</w:t>
      </w:r>
      <w:r w:rsidRPr="00552376">
        <w:t xml:space="preserve"> це</w:t>
      </w:r>
      <w:r w:rsidRPr="00552376">
        <w:t>н</w:t>
      </w:r>
      <w:r w:rsidRPr="00552376">
        <w:t>тр</w:t>
      </w:r>
      <w:r>
        <w:t>ов</w:t>
      </w:r>
      <w:r w:rsidRPr="00552376">
        <w:t>, которые оказывают услуги жертвам насилия в с</w:t>
      </w:r>
      <w:r w:rsidRPr="00552376">
        <w:t>е</w:t>
      </w:r>
      <w:r w:rsidRPr="00552376">
        <w:t>мье.</w:t>
      </w:r>
    </w:p>
    <w:p w:rsidR="00F3569A" w:rsidRDefault="00F3569A" w:rsidP="00F3569A">
      <w:pPr>
        <w:pStyle w:val="Bullet1GR"/>
        <w:numPr>
          <w:ilvl w:val="0"/>
          <w:numId w:val="1"/>
        </w:numPr>
      </w:pPr>
      <w:r>
        <w:t>С 2011 года в программу электронного обучения Национального инстит</w:t>
      </w:r>
      <w:r>
        <w:t>у</w:t>
      </w:r>
      <w:r>
        <w:t>та государственной администрации включен месячный курс, озаглавле</w:t>
      </w:r>
      <w:r>
        <w:t>н</w:t>
      </w:r>
      <w:r>
        <w:t>ный "Равенство социальных возможностей", в котором для работников органов государственной администрации предусмотрены модули, позв</w:t>
      </w:r>
      <w:r>
        <w:t>о</w:t>
      </w:r>
      <w:r>
        <w:t>ляющие им повысить осведомленность, сформ</w:t>
      </w:r>
      <w:r>
        <w:t>и</w:t>
      </w:r>
      <w:r>
        <w:t>ровать мнения и обратить внимание, в частности, на темы насилия в семье и социального р</w:t>
      </w:r>
      <w:r>
        <w:t>а</w:t>
      </w:r>
      <w:r>
        <w:t>венства между мужчинами и женщинами.</w:t>
      </w:r>
    </w:p>
    <w:p w:rsidR="00F3569A" w:rsidRDefault="00F3569A" w:rsidP="00F3569A">
      <w:pPr>
        <w:pStyle w:val="H23GR"/>
      </w:pPr>
      <w:r>
        <w:tab/>
      </w:r>
      <w:r>
        <w:tab/>
        <w:t xml:space="preserve">Ответы на вопросы, поставленные в пункте 10 перечня вопросов </w:t>
      </w:r>
    </w:p>
    <w:p w:rsidR="00F3569A" w:rsidRDefault="00F3569A" w:rsidP="00F3569A">
      <w:pPr>
        <w:pStyle w:val="SingleTxtGR"/>
      </w:pPr>
      <w:r>
        <w:t>57.</w:t>
      </w:r>
      <w:r>
        <w:tab/>
        <w:t>25 июня 2012 года Национальным собранием был принят новый Уголо</w:t>
      </w:r>
      <w:r>
        <w:t>в</w:t>
      </w:r>
      <w:r>
        <w:t>ный кодекс, который вступит в силу 1 июля 2013 года. Во-первых, важно обр</w:t>
      </w:r>
      <w:r>
        <w:t>а</w:t>
      </w:r>
      <w:r>
        <w:t>тить внимание на то, что раздел о преступлениях, связанных с посягательств</w:t>
      </w:r>
      <w:r>
        <w:t>а</w:t>
      </w:r>
      <w:r>
        <w:t>ми на сексуальную н</w:t>
      </w:r>
      <w:r>
        <w:t>е</w:t>
      </w:r>
      <w:r>
        <w:t>прикосновенность, получил новое заглавие и вместо "Преступления против сексуальной нравственности" в старом Уголовном к</w:t>
      </w:r>
      <w:r>
        <w:t>о</w:t>
      </w:r>
      <w:r>
        <w:t>дексе он теперь называется "Пр</w:t>
      </w:r>
      <w:r>
        <w:t>е</w:t>
      </w:r>
      <w:r>
        <w:t>ступления против свободы сексуальной жизни и сексуальной нравственности". В о</w:t>
      </w:r>
      <w:r>
        <w:t>т</w:t>
      </w:r>
      <w:r>
        <w:t>дельной статье нового Уголовного кодекса (статья 196) предусмотрены наказания за сексуальное принуждение. В соотве</w:t>
      </w:r>
      <w:r>
        <w:t>т</w:t>
      </w:r>
      <w:r>
        <w:t>ствии с этой статьей лицо, принуждающее другое лицо к соверш</w:t>
      </w:r>
      <w:r>
        <w:t>е</w:t>
      </w:r>
      <w:r>
        <w:t>нию полового акта или вступлению в половые отношения, совершает преступление, наказу</w:t>
      </w:r>
      <w:r>
        <w:t>е</w:t>
      </w:r>
      <w:r>
        <w:t>мые лишением свободы на срок от одного года до пяти лет. В случаях отягча</w:t>
      </w:r>
      <w:r>
        <w:t>ю</w:t>
      </w:r>
      <w:r>
        <w:t>щих обстоятельств (преступления в отношении лиц в возрасте до 18 лет или преступления в отношении лиц, являющихся родственниками виновного или находящихся на воспитании виновного либо под его надзором, опекой или м</w:t>
      </w:r>
      <w:r>
        <w:t>е</w:t>
      </w:r>
      <w:r>
        <w:t>дицинским лечением, либо преступление, совершенное при злоупотреблении любой другой властью над потерпевшим или влиянием на него) срок лишения свободы составляет от двух до восьми лет, а в самых серьезных случаях (пр</w:t>
      </w:r>
      <w:r>
        <w:t>е</w:t>
      </w:r>
      <w:r>
        <w:t>ступления в отношении лиц в возрасте до 14 лет) срок лишения свободы с</w:t>
      </w:r>
      <w:r>
        <w:t>о</w:t>
      </w:r>
      <w:r>
        <w:t>ставляет от пяти до д</w:t>
      </w:r>
      <w:r>
        <w:t>е</w:t>
      </w:r>
      <w:r>
        <w:t xml:space="preserve">сяти лет. </w:t>
      </w:r>
    </w:p>
    <w:p w:rsidR="00F3569A" w:rsidRDefault="00F3569A" w:rsidP="00F3569A">
      <w:pPr>
        <w:pStyle w:val="SingleTxtGR"/>
      </w:pPr>
      <w:r>
        <w:t>58.</w:t>
      </w:r>
      <w:r>
        <w:tab/>
        <w:t>В случае сексуального принуждения − в отличие от изнасилования и п</w:t>
      </w:r>
      <w:r>
        <w:t>о</w:t>
      </w:r>
      <w:r>
        <w:t>сягательства на половую неприкосновенность с применением насилия − нет н</w:t>
      </w:r>
      <w:r>
        <w:t>е</w:t>
      </w:r>
      <w:r>
        <w:t>обходимости доказывать применение насилия или прямых угроз жизни или т</w:t>
      </w:r>
      <w:r>
        <w:t>е</w:t>
      </w:r>
      <w:r>
        <w:t>лесной неприкосновенности, поскольку преступление совершается уже в силу самого принуждения (противодействия сопротивлению потерпевшего лица). Сопротивление потерпевшего лица − ввиду того, что насилие или угрозы не я</w:t>
      </w:r>
      <w:r>
        <w:t>в</w:t>
      </w:r>
      <w:r>
        <w:t>ляются условием для предъявления таких обвинений − необязательно подраз</w:t>
      </w:r>
      <w:r>
        <w:t>у</w:t>
      </w:r>
      <w:r>
        <w:t>мевает физическое сопротивление, а может воплощаться во внутренних убе</w:t>
      </w:r>
      <w:r>
        <w:t>ж</w:t>
      </w:r>
      <w:r>
        <w:t>дениях или в прямом отсутствии согласия (например, если потерпевшее лицо принуждается к пол</w:t>
      </w:r>
      <w:r>
        <w:t>о</w:t>
      </w:r>
      <w:r>
        <w:t xml:space="preserve">вому акту). </w:t>
      </w:r>
    </w:p>
    <w:p w:rsidR="00F3569A" w:rsidRDefault="00F3569A" w:rsidP="00F3569A">
      <w:pPr>
        <w:pStyle w:val="SingleTxtGR"/>
      </w:pPr>
      <w:r>
        <w:t>59.</w:t>
      </w:r>
      <w:r>
        <w:tab/>
        <w:t>Благодаря этому законодательству с 1 июля 2013 года Венгрия будет н</w:t>
      </w:r>
      <w:r>
        <w:t>а</w:t>
      </w:r>
      <w:r>
        <w:t>ходиться в режиме соблюдения положений пункта 21 заключительных замеч</w:t>
      </w:r>
      <w:r>
        <w:t>а</w:t>
      </w:r>
      <w:r>
        <w:t>ний Комитета по л</w:t>
      </w:r>
      <w:r>
        <w:t>и</w:t>
      </w:r>
      <w:r>
        <w:t xml:space="preserve">квидации дискриминации в отношении женщин 2007 года. </w:t>
      </w:r>
    </w:p>
    <w:p w:rsidR="00F3569A" w:rsidRDefault="00F3569A" w:rsidP="00F3569A">
      <w:pPr>
        <w:pStyle w:val="SingleTxtGR"/>
      </w:pPr>
      <w:r>
        <w:t>60.</w:t>
      </w:r>
      <w:r>
        <w:tab/>
        <w:t>Если принуждение к совершению полового акта или вступлению в пол</w:t>
      </w:r>
      <w:r>
        <w:t>о</w:t>
      </w:r>
      <w:r>
        <w:t>вые отношения сопровождается применением насилия или прямой угрозы жи</w:t>
      </w:r>
      <w:r>
        <w:t>з</w:t>
      </w:r>
      <w:r>
        <w:t>ни или телесной неприкосновенности, в соответствии с новым Уголовным к</w:t>
      </w:r>
      <w:r>
        <w:t>о</w:t>
      </w:r>
      <w:r>
        <w:t>дексом оно классифицируется как сексуальное насилие и в обычных случаях наказуемо лишением свободы на срок от двух до восьми лет. Важно подчер</w:t>
      </w:r>
      <w:r>
        <w:t>к</w:t>
      </w:r>
      <w:r>
        <w:t>нуть, что в новом Уголовном кодексе преступление сексуального насилия зам</w:t>
      </w:r>
      <w:r>
        <w:t>е</w:t>
      </w:r>
      <w:r>
        <w:t>няет преступление изнасилования и посягательства на половую неприкосн</w:t>
      </w:r>
      <w:r>
        <w:t>о</w:t>
      </w:r>
      <w:r>
        <w:t>венность с применением насилия; объединение двух этих преступлений упр</w:t>
      </w:r>
      <w:r>
        <w:t>о</w:t>
      </w:r>
      <w:r>
        <w:t>щает процесс доказывания вины, а также является гуманным в отношении п</w:t>
      </w:r>
      <w:r>
        <w:t>о</w:t>
      </w:r>
      <w:r>
        <w:t>терпевших (поскольку теперь не будет проводиться различия между принужд</w:t>
      </w:r>
      <w:r>
        <w:t>е</w:t>
      </w:r>
      <w:r>
        <w:t>нием к половому акту или грубой непристойностью). Совершение преступл</w:t>
      </w:r>
      <w:r>
        <w:t>е</w:t>
      </w:r>
      <w:r>
        <w:t>ния в отношении лица в возрасте до 12 лет по-прежнему квалифицируется как изнасилование по статутному праву (т.е. лицо, совершающее половой акт с л</w:t>
      </w:r>
      <w:r>
        <w:t>и</w:t>
      </w:r>
      <w:r>
        <w:t>цом в возрасте до 12 лет, виновно в сексуальном насилии даже в случаях отсу</w:t>
      </w:r>
      <w:r>
        <w:t>т</w:t>
      </w:r>
      <w:r>
        <w:t xml:space="preserve">ствия насилия, угрозы или принуждения). </w:t>
      </w:r>
    </w:p>
    <w:p w:rsidR="00F3569A" w:rsidRDefault="00F3569A" w:rsidP="00F3569A">
      <w:pPr>
        <w:pStyle w:val="SingleTxtGR"/>
      </w:pPr>
      <w:r>
        <w:t>61.</w:t>
      </w:r>
      <w:r>
        <w:tab/>
        <w:t>В соответствии как с действующим, так и с и новым Уголовным кодексом в отношении повторных правонарушений существуют лишь положения, отн</w:t>
      </w:r>
      <w:r>
        <w:t>о</w:t>
      </w:r>
      <w:r>
        <w:t>сящиеся к рецидивистам, но в случаях простых повторных преступлений (где рецидивизм установить невозможно) суд может принимать во внимание пред</w:t>
      </w:r>
      <w:r>
        <w:t>ы</w:t>
      </w:r>
      <w:r>
        <w:t>дущие правонарушения в качестве отягчающ</w:t>
      </w:r>
      <w:r>
        <w:t>е</w:t>
      </w:r>
      <w:r>
        <w:t>го обстоятельства.</w:t>
      </w:r>
    </w:p>
    <w:p w:rsidR="00F3569A" w:rsidRDefault="00F3569A" w:rsidP="00F3569A">
      <w:pPr>
        <w:pStyle w:val="SingleTxtGR"/>
      </w:pPr>
      <w:r>
        <w:t>62.</w:t>
      </w:r>
      <w:r>
        <w:tab/>
        <w:t>Рецидивистом считается такое лицо, ранее совершившее преднамеренное преступление и приговоренное за него к лишению свободы, которое преднам</w:t>
      </w:r>
      <w:r>
        <w:t>е</w:t>
      </w:r>
      <w:r>
        <w:t>ренно совершает еще одно преступление в течение трех лет после отбытия ср</w:t>
      </w:r>
      <w:r>
        <w:t>о</w:t>
      </w:r>
      <w:r>
        <w:t>ка лишения свободы или после того</w:t>
      </w:r>
      <w:r w:rsidRPr="001B0076">
        <w:t>, как приговор к лишению свободы за пр</w:t>
      </w:r>
      <w:r w:rsidRPr="001B0076">
        <w:t>е</w:t>
      </w:r>
      <w:r w:rsidRPr="001B0076">
        <w:t>дыдущее преступление уже не мог быть вынесен</w:t>
      </w:r>
      <w:r>
        <w:t>. Множественным рецидив</w:t>
      </w:r>
      <w:r>
        <w:t>и</w:t>
      </w:r>
      <w:r>
        <w:t>стом является такое лицо, ранее осужденное в качестве рецидивиста, которое совершает еще одно преступление, наказуемое лишением свободы, в течение трех лет после отбытия последнего срока лишения свободы или п</w:t>
      </w:r>
      <w:r>
        <w:t>о</w:t>
      </w:r>
      <w:r>
        <w:t>сле того, как приговор к лишению свободы за предыдущее преступление уже не мог быть вынесен. Множественным рецидивистом, склонным к насилию, является мн</w:t>
      </w:r>
      <w:r>
        <w:t>о</w:t>
      </w:r>
      <w:r>
        <w:t>жественный рецидивист, который во всех трех случаях совершил преступл</w:t>
      </w:r>
      <w:r>
        <w:t>е</w:t>
      </w:r>
      <w:r>
        <w:t>ния в отношении других лиц с применением насилия. Преступления с применением насилия в отношении других лиц перечислены в статье 137 раздела 17 дейс</w:t>
      </w:r>
      <w:r>
        <w:t>т</w:t>
      </w:r>
      <w:r>
        <w:t xml:space="preserve">вующего Уголовного кодекса и в статье 459 (1) раздела 26 нового Уголовного кодекса. </w:t>
      </w:r>
    </w:p>
    <w:p w:rsidR="00F3569A" w:rsidRDefault="00F3569A" w:rsidP="00F3569A">
      <w:pPr>
        <w:pStyle w:val="SingleTxtGR"/>
      </w:pPr>
      <w:r>
        <w:t>63.</w:t>
      </w:r>
      <w:r>
        <w:tab/>
        <w:t>На основе вышеизложенного можно заключить (вопреки содержанию д</w:t>
      </w:r>
      <w:r>
        <w:t>о</w:t>
      </w:r>
      <w:r>
        <w:t>полнительного вопроса), что склонный к насилию множественный рецид</w:t>
      </w:r>
      <w:r>
        <w:t>и</w:t>
      </w:r>
      <w:r>
        <w:t>вист − это не обвинение, предъявляемое в связи с совершением какого-то пр</w:t>
      </w:r>
      <w:r>
        <w:t>е</w:t>
      </w:r>
      <w:r>
        <w:t>ступления с применением насилия, а категория преступников, к которой зак</w:t>
      </w:r>
      <w:r>
        <w:t>о</w:t>
      </w:r>
      <w:r>
        <w:t>ном применяются весьма строгие меры в дополнение к мерам, предусмотре</w:t>
      </w:r>
      <w:r>
        <w:t>н</w:t>
      </w:r>
      <w:r>
        <w:t>ным в о</w:t>
      </w:r>
      <w:r>
        <w:t>т</w:t>
      </w:r>
      <w:r>
        <w:t>ношении обычных рецидивистов [см. также статью 47 (4), раздел с) статью 85 (4) и статью 97/А действующего Уловного кодекса, а также статью</w:t>
      </w:r>
      <w:r>
        <w:br/>
        <w:t xml:space="preserve">38 (4), раздел </w:t>
      </w:r>
      <w:r>
        <w:rPr>
          <w:lang w:val="en-US"/>
        </w:rPr>
        <w:t>b</w:t>
      </w:r>
      <w:r w:rsidRPr="000A27AA">
        <w:t>)</w:t>
      </w:r>
      <w:r>
        <w:t>, статью 44 (2), раздел а), статью 81 (4) и статью 92 нового Уг</w:t>
      </w:r>
      <w:r>
        <w:t>о</w:t>
      </w:r>
      <w:r>
        <w:t>ловного кодекса</w:t>
      </w:r>
      <w:r w:rsidRPr="000A27AA">
        <w:t>]</w:t>
      </w:r>
      <w:r>
        <w:t>.</w:t>
      </w:r>
    </w:p>
    <w:p w:rsidR="00F3569A" w:rsidRDefault="00F3569A" w:rsidP="00F3569A">
      <w:pPr>
        <w:pStyle w:val="SingleTxtGR"/>
        <w:spacing w:after="240"/>
      </w:pPr>
      <w:r>
        <w:t>64.</w:t>
      </w:r>
      <w:r>
        <w:tab/>
        <w:t>Половой акт, совершаемый с лицом (независимо от гендерной прина</w:t>
      </w:r>
      <w:r>
        <w:t>д</w:t>
      </w:r>
      <w:r>
        <w:t>лежности!) в возрасте до 18 лет (половой акт и другие серьезные деяния против нравственности), в настоящее время наказуем и будет наказуем с 1 июля</w:t>
      </w:r>
      <w:r>
        <w:br/>
        <w:t>2013 года следующим о</w:t>
      </w:r>
      <w:r>
        <w:t>б</w:t>
      </w:r>
      <w:r>
        <w:t>разом:</w:t>
      </w:r>
    </w:p>
    <w:tbl>
      <w:tblPr>
        <w:tblStyle w:val="TabTxt"/>
        <w:tblW w:w="8504" w:type="dxa"/>
        <w:tblInd w:w="1134" w:type="dxa"/>
        <w:tblLayout w:type="fixed"/>
        <w:tblLook w:val="01E0" w:firstRow="1" w:lastRow="1" w:firstColumn="1" w:lastColumn="1" w:noHBand="0" w:noVBand="0"/>
      </w:tblPr>
      <w:tblGrid>
        <w:gridCol w:w="2834"/>
        <w:gridCol w:w="2835"/>
        <w:gridCol w:w="14"/>
        <w:gridCol w:w="2821"/>
      </w:tblGrid>
      <w:tr w:rsidR="00F3569A" w:rsidRPr="00C433CE" w:rsidTr="00F1053E">
        <w:trPr>
          <w:tblHeader/>
        </w:trPr>
        <w:tc>
          <w:tcPr>
            <w:tcW w:w="2834" w:type="dxa"/>
            <w:tcBorders>
              <w:top w:val="single" w:sz="4" w:space="0" w:color="auto"/>
              <w:bottom w:val="single" w:sz="12" w:space="0" w:color="auto"/>
            </w:tcBorders>
            <w:shd w:val="clear" w:color="auto" w:fill="auto"/>
          </w:tcPr>
          <w:p w:rsidR="00F3569A" w:rsidRPr="00C433CE" w:rsidRDefault="00F3569A" w:rsidP="00390C50">
            <w:pPr>
              <w:spacing w:before="80" w:after="80" w:line="200" w:lineRule="exact"/>
              <w:rPr>
                <w:i/>
                <w:sz w:val="16"/>
              </w:rPr>
            </w:pPr>
            <w:r w:rsidRPr="00C433CE">
              <w:rPr>
                <w:i/>
                <w:sz w:val="16"/>
              </w:rPr>
              <w:t xml:space="preserve">Определение преступления </w:t>
            </w:r>
          </w:p>
        </w:tc>
        <w:tc>
          <w:tcPr>
            <w:tcW w:w="2849" w:type="dxa"/>
            <w:gridSpan w:val="2"/>
            <w:tcBorders>
              <w:top w:val="single" w:sz="4" w:space="0" w:color="auto"/>
              <w:bottom w:val="single" w:sz="12" w:space="0" w:color="auto"/>
            </w:tcBorders>
            <w:shd w:val="clear" w:color="auto" w:fill="auto"/>
          </w:tcPr>
          <w:p w:rsidR="00F3569A" w:rsidRPr="00C433CE" w:rsidRDefault="00F3569A" w:rsidP="00390C50">
            <w:pPr>
              <w:spacing w:before="80" w:after="80" w:line="200" w:lineRule="exact"/>
              <w:rPr>
                <w:i/>
                <w:sz w:val="16"/>
              </w:rPr>
            </w:pPr>
            <w:r w:rsidRPr="00C433CE">
              <w:rPr>
                <w:i/>
                <w:sz w:val="16"/>
              </w:rPr>
              <w:t>Действие Уголовного кодекса</w:t>
            </w:r>
          </w:p>
        </w:tc>
        <w:tc>
          <w:tcPr>
            <w:cnfStyle w:val="000100000000" w:firstRow="0" w:lastRow="0" w:firstColumn="0" w:lastColumn="1" w:oddVBand="0" w:evenVBand="0" w:oddHBand="0" w:evenHBand="0" w:firstRowFirstColumn="0" w:firstRowLastColumn="0" w:lastRowFirstColumn="0" w:lastRowLastColumn="0"/>
            <w:tcW w:w="2821" w:type="dxa"/>
            <w:tcBorders>
              <w:bottom w:val="single" w:sz="12" w:space="0" w:color="auto"/>
            </w:tcBorders>
            <w:shd w:val="clear" w:color="auto" w:fill="auto"/>
          </w:tcPr>
          <w:p w:rsidR="00F3569A" w:rsidRPr="00C433CE" w:rsidRDefault="00F3569A" w:rsidP="00390C50">
            <w:pPr>
              <w:spacing w:before="80" w:after="80" w:line="200" w:lineRule="exact"/>
              <w:rPr>
                <w:i/>
                <w:sz w:val="16"/>
              </w:rPr>
            </w:pPr>
            <w:r w:rsidRPr="00C433CE">
              <w:rPr>
                <w:i/>
                <w:sz w:val="16"/>
              </w:rPr>
              <w:t>Новый Уголовный кодекс</w:t>
            </w:r>
          </w:p>
        </w:tc>
      </w:tr>
      <w:tr w:rsidR="00F1053E" w:rsidRPr="00C433CE" w:rsidTr="00F1053E">
        <w:trPr>
          <w:trHeight w:hRule="exact" w:val="113"/>
          <w:tblHeader/>
        </w:trPr>
        <w:tc>
          <w:tcPr>
            <w:cnfStyle w:val="000100000000" w:firstRow="0" w:lastRow="0" w:firstColumn="0" w:lastColumn="1" w:oddVBand="0" w:evenVBand="0" w:oddHBand="0" w:evenHBand="0" w:firstRowFirstColumn="0" w:firstRowLastColumn="0" w:lastRowFirstColumn="0" w:lastRowLastColumn="0"/>
            <w:tcW w:w="8504" w:type="dxa"/>
            <w:gridSpan w:val="4"/>
            <w:tcBorders>
              <w:top w:val="single" w:sz="12" w:space="0" w:color="auto"/>
            </w:tcBorders>
          </w:tcPr>
          <w:p w:rsidR="00F1053E" w:rsidRPr="00C433CE" w:rsidRDefault="00F1053E" w:rsidP="00390C50"/>
        </w:tc>
      </w:tr>
      <w:tr w:rsidR="00F3569A" w:rsidRPr="00C433CE" w:rsidTr="00F1053E">
        <w:tc>
          <w:tcPr>
            <w:tcW w:w="2834" w:type="dxa"/>
            <w:tcBorders>
              <w:top w:val="nil"/>
              <w:bottom w:val="nil"/>
            </w:tcBorders>
          </w:tcPr>
          <w:p w:rsidR="00F3569A" w:rsidRPr="00C433CE" w:rsidRDefault="00F3569A" w:rsidP="00390C50">
            <w:pPr>
              <w:ind w:right="113"/>
            </w:pPr>
            <w:r w:rsidRPr="00C433CE">
              <w:t>Совершение полового акта с лицом в возрасте до 12 лет</w:t>
            </w:r>
          </w:p>
        </w:tc>
        <w:tc>
          <w:tcPr>
            <w:tcW w:w="2835" w:type="dxa"/>
            <w:tcBorders>
              <w:top w:val="nil"/>
              <w:bottom w:val="nil"/>
            </w:tcBorders>
          </w:tcPr>
          <w:p w:rsidR="00F3569A" w:rsidRPr="00C433CE" w:rsidRDefault="00F3569A" w:rsidP="00390C50">
            <w:pPr>
              <w:ind w:right="113"/>
            </w:pPr>
            <w:r w:rsidRPr="00C433CE">
              <w:t>Изнасилование или посяг</w:t>
            </w:r>
            <w:r w:rsidRPr="00C433CE">
              <w:t>а</w:t>
            </w:r>
            <w:r w:rsidRPr="00C433CE">
              <w:t>тельство на половую непр</w:t>
            </w:r>
            <w:r w:rsidRPr="00C433CE">
              <w:t>и</w:t>
            </w:r>
            <w:r w:rsidRPr="00C433CE">
              <w:t>косновенность с применен</w:t>
            </w:r>
            <w:r w:rsidRPr="00C433CE">
              <w:t>и</w:t>
            </w:r>
            <w:r>
              <w:t>ем насилия</w:t>
            </w:r>
          </w:p>
        </w:tc>
        <w:tc>
          <w:tcPr>
            <w:cnfStyle w:val="000100000000" w:firstRow="0" w:lastRow="0" w:firstColumn="0" w:lastColumn="1" w:oddVBand="0" w:evenVBand="0" w:oddHBand="0" w:evenHBand="0" w:firstRowFirstColumn="0" w:firstRowLastColumn="0" w:lastRowFirstColumn="0" w:lastRowLastColumn="0"/>
            <w:tcW w:w="2835" w:type="dxa"/>
            <w:gridSpan w:val="2"/>
            <w:tcBorders>
              <w:top w:val="nil"/>
            </w:tcBorders>
          </w:tcPr>
          <w:p w:rsidR="00F3569A" w:rsidRPr="00C433CE" w:rsidRDefault="00F3569A" w:rsidP="00390C50">
            <w:r w:rsidRPr="00C433CE">
              <w:t>Сексуальное насилие</w:t>
            </w:r>
          </w:p>
        </w:tc>
      </w:tr>
      <w:tr w:rsidR="00F3569A" w:rsidRPr="00C433CE" w:rsidTr="00F1053E">
        <w:tc>
          <w:tcPr>
            <w:tcW w:w="2834" w:type="dxa"/>
            <w:tcBorders>
              <w:top w:val="nil"/>
              <w:bottom w:val="nil"/>
            </w:tcBorders>
          </w:tcPr>
          <w:p w:rsidR="00F3569A" w:rsidRPr="00C433CE" w:rsidRDefault="00F3569A" w:rsidP="00390C50">
            <w:pPr>
              <w:ind w:right="113"/>
            </w:pPr>
            <w:r w:rsidRPr="00C433CE">
              <w:t>Принуждение лица в возра</w:t>
            </w:r>
            <w:r w:rsidRPr="00C433CE">
              <w:t>с</w:t>
            </w:r>
            <w:r w:rsidRPr="00C433CE">
              <w:t>те до 12 лет к совершению или полового акта или вст</w:t>
            </w:r>
            <w:r w:rsidRPr="00C433CE">
              <w:t>у</w:t>
            </w:r>
            <w:r w:rsidRPr="00C433CE">
              <w:t>плению в половые отнош</w:t>
            </w:r>
            <w:r w:rsidRPr="00C433CE">
              <w:t>е</w:t>
            </w:r>
            <w:r w:rsidRPr="00C433CE">
              <w:t>ния</w:t>
            </w:r>
          </w:p>
        </w:tc>
        <w:tc>
          <w:tcPr>
            <w:tcW w:w="2835" w:type="dxa"/>
            <w:tcBorders>
              <w:top w:val="nil"/>
              <w:bottom w:val="nil"/>
            </w:tcBorders>
          </w:tcPr>
          <w:p w:rsidR="00F3569A" w:rsidRPr="00C433CE" w:rsidRDefault="00F3569A" w:rsidP="00390C50">
            <w:pPr>
              <w:ind w:right="113"/>
            </w:pPr>
            <w:r w:rsidRPr="00C433CE">
              <w:t>Изнасилование или посяг</w:t>
            </w:r>
            <w:r w:rsidRPr="00C433CE">
              <w:t>а</w:t>
            </w:r>
            <w:r w:rsidRPr="00C433CE">
              <w:t>тельство на половую непр</w:t>
            </w:r>
            <w:r w:rsidRPr="00C433CE">
              <w:t>и</w:t>
            </w:r>
            <w:r w:rsidRPr="00C433CE">
              <w:t>косновенность с применен</w:t>
            </w:r>
            <w:r w:rsidRPr="00C433CE">
              <w:t>и</w:t>
            </w:r>
            <w:r w:rsidRPr="00C433CE">
              <w:t>ем насилия</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насилие</w:t>
            </w:r>
          </w:p>
        </w:tc>
      </w:tr>
      <w:tr w:rsidR="00F3569A" w:rsidRPr="00C433CE" w:rsidTr="00F1053E">
        <w:tc>
          <w:tcPr>
            <w:tcW w:w="2834" w:type="dxa"/>
            <w:tcBorders>
              <w:top w:val="nil"/>
            </w:tcBorders>
          </w:tcPr>
          <w:p w:rsidR="00F3569A" w:rsidRPr="00C433CE" w:rsidRDefault="00F3569A" w:rsidP="00390C50">
            <w:pPr>
              <w:ind w:right="113"/>
            </w:pPr>
            <w:r w:rsidRPr="00C433CE">
              <w:t>Принуждение лица в возра</w:t>
            </w:r>
            <w:r w:rsidRPr="00C433CE">
              <w:t>с</w:t>
            </w:r>
            <w:r w:rsidRPr="00C433CE">
              <w:t>те до 12 лет к совершению полового акта или вступл</w:t>
            </w:r>
            <w:r w:rsidRPr="00C433CE">
              <w:t>е</w:t>
            </w:r>
            <w:r w:rsidRPr="00C433CE">
              <w:t xml:space="preserve">нию в половые отношения, </w:t>
            </w:r>
            <w:r>
              <w:t>совершенные</w:t>
            </w:r>
            <w:r w:rsidRPr="00C433CE">
              <w:t xml:space="preserve"> с применен</w:t>
            </w:r>
            <w:r w:rsidRPr="00C433CE">
              <w:t>и</w:t>
            </w:r>
            <w:r w:rsidRPr="00C433CE">
              <w:t xml:space="preserve">ем </w:t>
            </w:r>
            <w:r>
              <w:t>насилия</w:t>
            </w:r>
            <w:r w:rsidRPr="00C433CE">
              <w:t xml:space="preserve"> или угрозы жи</w:t>
            </w:r>
            <w:r w:rsidRPr="00C433CE">
              <w:t>з</w:t>
            </w:r>
            <w:r w:rsidRPr="00C433CE">
              <w:t>ни или телесной неприко</w:t>
            </w:r>
            <w:r w:rsidRPr="00C433CE">
              <w:t>с</w:t>
            </w:r>
            <w:r w:rsidRPr="00C433CE">
              <w:t>новенн</w:t>
            </w:r>
            <w:r w:rsidRPr="00C433CE">
              <w:t>о</w:t>
            </w:r>
            <w:r w:rsidRPr="00C433CE">
              <w:t>сти</w:t>
            </w:r>
          </w:p>
        </w:tc>
        <w:tc>
          <w:tcPr>
            <w:tcW w:w="2835" w:type="dxa"/>
            <w:tcBorders>
              <w:top w:val="nil"/>
            </w:tcBorders>
          </w:tcPr>
          <w:p w:rsidR="00F3569A" w:rsidRPr="00C433CE" w:rsidRDefault="00F3569A" w:rsidP="00390C50">
            <w:pPr>
              <w:ind w:right="113"/>
            </w:pPr>
            <w:r w:rsidRPr="00C433CE">
              <w:t>Изнасилование или посяг</w:t>
            </w:r>
            <w:r w:rsidRPr="00C433CE">
              <w:t>а</w:t>
            </w:r>
            <w:r w:rsidRPr="00C433CE">
              <w:t>тельство на половую непр</w:t>
            </w:r>
            <w:r w:rsidRPr="00C433CE">
              <w:t>и</w:t>
            </w:r>
            <w:r w:rsidRPr="00C433CE">
              <w:t>косновенность с применен</w:t>
            </w:r>
            <w:r w:rsidRPr="00C433CE">
              <w:t>и</w:t>
            </w:r>
            <w:r w:rsidRPr="00C433CE">
              <w:t>ем насилия при отя</w:t>
            </w:r>
            <w:r w:rsidRPr="00C433CE">
              <w:t>г</w:t>
            </w:r>
            <w:r w:rsidRPr="00C433CE">
              <w:t>чающих обстоятельствах</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насилие при отягчающих обсто</w:t>
            </w:r>
            <w:r w:rsidRPr="00C433CE">
              <w:t>я</w:t>
            </w:r>
            <w:r w:rsidRPr="00C433CE">
              <w:t xml:space="preserve">тельствах </w:t>
            </w:r>
          </w:p>
        </w:tc>
      </w:tr>
      <w:tr w:rsidR="00F3569A" w:rsidRPr="00C433CE" w:rsidTr="00F1053E">
        <w:tc>
          <w:tcPr>
            <w:tcW w:w="2834" w:type="dxa"/>
          </w:tcPr>
          <w:p w:rsidR="00F3569A" w:rsidRPr="00C433CE" w:rsidRDefault="00F3569A" w:rsidP="00390C50">
            <w:pPr>
              <w:ind w:right="113"/>
            </w:pPr>
            <w:r w:rsidRPr="00C433CE">
              <w:t>Совершение п</w:t>
            </w:r>
            <w:r w:rsidR="00F1053E">
              <w:t>олового акта</w:t>
            </w:r>
            <w:r w:rsidR="00F1053E">
              <w:br/>
            </w:r>
            <w:r>
              <w:t>с лицом в возрасте</w:t>
            </w:r>
            <w:r>
              <w:br/>
            </w:r>
            <w:r w:rsidRPr="00C433CE">
              <w:t>от 12 до 14 лет</w:t>
            </w:r>
          </w:p>
        </w:tc>
        <w:tc>
          <w:tcPr>
            <w:tcW w:w="2835" w:type="dxa"/>
          </w:tcPr>
          <w:p w:rsidR="00F3569A" w:rsidRPr="00C433CE" w:rsidRDefault="00F3569A" w:rsidP="00390C50">
            <w:pPr>
              <w:ind w:right="113"/>
            </w:pPr>
            <w:r w:rsidRPr="00C433CE">
              <w:t>Совращение</w:t>
            </w:r>
            <w:r w:rsidRPr="008B6F39">
              <w:rPr>
                <w:sz w:val="18"/>
                <w:szCs w:val="18"/>
              </w:rPr>
              <w:t>*</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злоупотребл</w:t>
            </w:r>
            <w:r w:rsidRPr="00C433CE">
              <w:t>е</w:t>
            </w:r>
            <w:r w:rsidRPr="00C433CE">
              <w:t>ние</w:t>
            </w:r>
            <w:r w:rsidRPr="008B6F39">
              <w:rPr>
                <w:sz w:val="18"/>
                <w:szCs w:val="18"/>
              </w:rPr>
              <w:t>**</w:t>
            </w:r>
          </w:p>
        </w:tc>
      </w:tr>
      <w:tr w:rsidR="00F3569A" w:rsidRPr="00C433CE" w:rsidTr="00F1053E">
        <w:tc>
          <w:tcPr>
            <w:tcW w:w="2834" w:type="dxa"/>
          </w:tcPr>
          <w:p w:rsidR="00F3569A" w:rsidRPr="00C433CE" w:rsidRDefault="00F3569A" w:rsidP="00390C50">
            <w:pPr>
              <w:ind w:right="113"/>
            </w:pPr>
            <w:r w:rsidRPr="00C433CE">
              <w:t>Принуждение лица в возра</w:t>
            </w:r>
            <w:r w:rsidRPr="00C433CE">
              <w:t>с</w:t>
            </w:r>
            <w:r w:rsidRPr="00C433CE">
              <w:t>те от 12 до 14 лет к сове</w:t>
            </w:r>
            <w:r w:rsidRPr="00C433CE">
              <w:t>р</w:t>
            </w:r>
            <w:r w:rsidRPr="00C433CE">
              <w:t>шению полового акта</w:t>
            </w:r>
          </w:p>
        </w:tc>
        <w:tc>
          <w:tcPr>
            <w:tcW w:w="2835" w:type="dxa"/>
          </w:tcPr>
          <w:p w:rsidR="00F3569A" w:rsidRPr="00C433CE" w:rsidRDefault="00F3569A" w:rsidP="00390C50">
            <w:pPr>
              <w:ind w:right="113"/>
            </w:pPr>
            <w:r w:rsidRPr="00C433CE">
              <w:t>Принуждение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принужд</w:t>
            </w:r>
            <w:r w:rsidRPr="00C433CE">
              <w:t>е</w:t>
            </w:r>
            <w:r w:rsidRPr="00C433CE">
              <w:t>ние при отягчающих обстоятел</w:t>
            </w:r>
            <w:r w:rsidRPr="00C433CE">
              <w:t>ь</w:t>
            </w:r>
            <w:r w:rsidRPr="00C433CE">
              <w:t>ствах</w:t>
            </w:r>
          </w:p>
        </w:tc>
      </w:tr>
      <w:tr w:rsidR="00F3569A" w:rsidRPr="00C433CE" w:rsidTr="00F1053E">
        <w:tc>
          <w:tcPr>
            <w:tcW w:w="2834" w:type="dxa"/>
            <w:tcBorders>
              <w:bottom w:val="nil"/>
            </w:tcBorders>
          </w:tcPr>
          <w:p w:rsidR="00F3569A" w:rsidRPr="00C433CE" w:rsidRDefault="00F3569A" w:rsidP="00390C50">
            <w:pPr>
              <w:ind w:right="113"/>
            </w:pPr>
            <w:r w:rsidRPr="00C433CE">
              <w:t>Принуждение лица в возра</w:t>
            </w:r>
            <w:r w:rsidRPr="00C433CE">
              <w:t>с</w:t>
            </w:r>
            <w:r w:rsidRPr="00C433CE">
              <w:t>те от 12 до 14 лет к сове</w:t>
            </w:r>
            <w:r w:rsidRPr="00C433CE">
              <w:t>р</w:t>
            </w:r>
            <w:r w:rsidRPr="00C433CE">
              <w:t>шению полового акта или вступлению в половые о</w:t>
            </w:r>
            <w:r w:rsidRPr="00C433CE">
              <w:t>т</w:t>
            </w:r>
            <w:r w:rsidRPr="00C433CE">
              <w:t>ношения, совершенное с применением насилия или угрозы жизни или телесной неприкоснове</w:t>
            </w:r>
            <w:r w:rsidRPr="00C433CE">
              <w:t>н</w:t>
            </w:r>
            <w:r w:rsidRPr="00C433CE">
              <w:t>ности</w:t>
            </w:r>
          </w:p>
        </w:tc>
        <w:tc>
          <w:tcPr>
            <w:tcW w:w="2835" w:type="dxa"/>
            <w:tcBorders>
              <w:bottom w:val="nil"/>
            </w:tcBorders>
          </w:tcPr>
          <w:p w:rsidR="00F3569A" w:rsidRPr="00C433CE" w:rsidRDefault="00F3569A" w:rsidP="00390C50">
            <w:pPr>
              <w:ind w:right="113"/>
            </w:pPr>
            <w:r w:rsidRPr="00C433CE">
              <w:t>Изнасилование или посяг</w:t>
            </w:r>
            <w:r w:rsidRPr="00C433CE">
              <w:t>а</w:t>
            </w:r>
            <w:r w:rsidRPr="00C433CE">
              <w:t>тельство на половую непр</w:t>
            </w:r>
            <w:r w:rsidRPr="00C433CE">
              <w:t>и</w:t>
            </w:r>
            <w:r w:rsidRPr="00C433CE">
              <w:t>косновенность с применен</w:t>
            </w:r>
            <w:r w:rsidRPr="00C433CE">
              <w:t>и</w:t>
            </w:r>
            <w:r w:rsidRPr="00C433CE">
              <w:t>ем насилия</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насилие при отягчающих обсто</w:t>
            </w:r>
            <w:r w:rsidRPr="00C433CE">
              <w:t>я</w:t>
            </w:r>
            <w:r w:rsidRPr="00C433CE">
              <w:t>тельствах</w:t>
            </w:r>
          </w:p>
        </w:tc>
      </w:tr>
      <w:tr w:rsidR="00F3569A" w:rsidRPr="00C433CE" w:rsidTr="00F1053E">
        <w:tc>
          <w:tcPr>
            <w:tcW w:w="2834" w:type="dxa"/>
            <w:tcBorders>
              <w:top w:val="nil"/>
              <w:bottom w:val="nil"/>
            </w:tcBorders>
          </w:tcPr>
          <w:p w:rsidR="00F3569A" w:rsidRPr="00C433CE" w:rsidRDefault="00F3569A" w:rsidP="00390C50">
            <w:pPr>
              <w:ind w:right="113"/>
            </w:pPr>
            <w:r w:rsidRPr="00C433CE">
              <w:t>Совершение п</w:t>
            </w:r>
            <w:r>
              <w:t>олового акта с лицом в возрасте</w:t>
            </w:r>
            <w:r>
              <w:br/>
            </w:r>
            <w:r w:rsidRPr="00C433CE">
              <w:t xml:space="preserve">от 14 до 18 лет </w:t>
            </w:r>
          </w:p>
        </w:tc>
        <w:tc>
          <w:tcPr>
            <w:tcW w:w="2835" w:type="dxa"/>
            <w:tcBorders>
              <w:top w:val="nil"/>
              <w:bottom w:val="nil"/>
            </w:tcBorders>
          </w:tcPr>
          <w:p w:rsidR="00F3569A" w:rsidRPr="00C433CE" w:rsidRDefault="00F3569A" w:rsidP="00390C50">
            <w:pPr>
              <w:ind w:right="113"/>
            </w:pPr>
            <w:r w:rsidRPr="00C433CE">
              <w:t>Не наказуемо за исключен</w:t>
            </w:r>
            <w:r w:rsidRPr="00C433CE">
              <w:t>и</w:t>
            </w:r>
            <w:r w:rsidRPr="00C433CE">
              <w:t>ем особых случаев совращ</w:t>
            </w:r>
            <w:r w:rsidRPr="00C433CE">
              <w:t>е</w:t>
            </w:r>
            <w:r w:rsidRPr="00C433CE">
              <w:t>ния</w:t>
            </w:r>
            <w:r w:rsidRPr="008B6F39">
              <w:rPr>
                <w:sz w:val="18"/>
                <w:szCs w:val="18"/>
              </w:rPr>
              <w:t>***</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Не наказуемо за искл</w:t>
            </w:r>
            <w:r w:rsidRPr="00C433CE">
              <w:t>ю</w:t>
            </w:r>
            <w:r w:rsidRPr="00C433CE">
              <w:t>чением случаев детской проституции и особых случаев сексуал</w:t>
            </w:r>
            <w:r w:rsidRPr="00C433CE">
              <w:t>ь</w:t>
            </w:r>
            <w:r w:rsidRPr="00C433CE">
              <w:t>ных злоупотреблений</w:t>
            </w:r>
            <w:r w:rsidRPr="008B6F39">
              <w:rPr>
                <w:sz w:val="18"/>
                <w:szCs w:val="18"/>
              </w:rPr>
              <w:t>****</w:t>
            </w:r>
          </w:p>
        </w:tc>
      </w:tr>
      <w:tr w:rsidR="00F3569A" w:rsidRPr="00C433CE" w:rsidTr="00F1053E">
        <w:tc>
          <w:tcPr>
            <w:tcW w:w="2834" w:type="dxa"/>
            <w:tcBorders>
              <w:top w:val="nil"/>
            </w:tcBorders>
          </w:tcPr>
          <w:p w:rsidR="00F3569A" w:rsidRPr="00C433CE" w:rsidRDefault="00F3569A" w:rsidP="00F1053E">
            <w:pPr>
              <w:pageBreakBefore/>
              <w:ind w:right="113"/>
            </w:pPr>
            <w:r w:rsidRPr="00C433CE">
              <w:t>Принуждение лица в возра</w:t>
            </w:r>
            <w:r w:rsidRPr="00C433CE">
              <w:t>с</w:t>
            </w:r>
            <w:r w:rsidRPr="00C433CE">
              <w:t>те от 14 до 18 лет к сове</w:t>
            </w:r>
            <w:r w:rsidRPr="00C433CE">
              <w:t>р</w:t>
            </w:r>
            <w:r w:rsidRPr="00C433CE">
              <w:t>шению полового акта</w:t>
            </w:r>
          </w:p>
        </w:tc>
        <w:tc>
          <w:tcPr>
            <w:tcW w:w="2835" w:type="dxa"/>
            <w:tcBorders>
              <w:top w:val="nil"/>
            </w:tcBorders>
          </w:tcPr>
          <w:p w:rsidR="00F3569A" w:rsidRPr="00C433CE" w:rsidRDefault="00F3569A" w:rsidP="00390C50">
            <w:pPr>
              <w:ind w:right="113"/>
            </w:pPr>
            <w:r w:rsidRPr="00C433CE">
              <w:t>Принуждение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принужд</w:t>
            </w:r>
            <w:r w:rsidRPr="00C433CE">
              <w:t>е</w:t>
            </w:r>
            <w:r w:rsidRPr="00C433CE">
              <w:t>ние при отягчающих обстоятел</w:t>
            </w:r>
            <w:r w:rsidRPr="00C433CE">
              <w:t>ь</w:t>
            </w:r>
            <w:r w:rsidRPr="00C433CE">
              <w:t xml:space="preserve">ствах </w:t>
            </w:r>
          </w:p>
        </w:tc>
      </w:tr>
      <w:tr w:rsidR="00F3569A" w:rsidRPr="00C433CE" w:rsidTr="00F1053E">
        <w:tc>
          <w:tcPr>
            <w:tcW w:w="2834" w:type="dxa"/>
          </w:tcPr>
          <w:p w:rsidR="00F3569A" w:rsidRPr="00C433CE" w:rsidRDefault="00F3569A" w:rsidP="00390C50">
            <w:pPr>
              <w:ind w:right="113"/>
            </w:pPr>
            <w:r w:rsidRPr="00C433CE">
              <w:t>Принуждение лица в возра</w:t>
            </w:r>
            <w:r w:rsidRPr="00C433CE">
              <w:t>с</w:t>
            </w:r>
            <w:r w:rsidRPr="00C433CE">
              <w:t>те от 14 до 18 лет к сове</w:t>
            </w:r>
            <w:r w:rsidRPr="00C433CE">
              <w:t>р</w:t>
            </w:r>
            <w:r w:rsidRPr="00C433CE">
              <w:t>шению полового акта или вступлению в половые о</w:t>
            </w:r>
            <w:r w:rsidRPr="00C433CE">
              <w:t>т</w:t>
            </w:r>
            <w:r w:rsidRPr="00C433CE">
              <w:t>ношения, совершенное с применением насилия или угрозы жизни или телесной неприкоснове</w:t>
            </w:r>
            <w:r w:rsidRPr="00C433CE">
              <w:t>н</w:t>
            </w:r>
            <w:r w:rsidRPr="00C433CE">
              <w:t>ности</w:t>
            </w:r>
          </w:p>
        </w:tc>
        <w:tc>
          <w:tcPr>
            <w:tcW w:w="2835" w:type="dxa"/>
          </w:tcPr>
          <w:p w:rsidR="00F3569A" w:rsidRPr="00C433CE" w:rsidRDefault="00F3569A" w:rsidP="00390C50">
            <w:pPr>
              <w:ind w:right="113"/>
            </w:pPr>
            <w:r w:rsidRPr="00C433CE">
              <w:t>Изнасилование или посяг</w:t>
            </w:r>
            <w:r w:rsidRPr="00C433CE">
              <w:t>а</w:t>
            </w:r>
            <w:r w:rsidRPr="00C433CE">
              <w:t>тельство на половую непр</w:t>
            </w:r>
            <w:r w:rsidRPr="00C433CE">
              <w:t>и</w:t>
            </w:r>
            <w:r w:rsidRPr="00C433CE">
              <w:t>косновенность с применен</w:t>
            </w:r>
            <w:r w:rsidRPr="00C433CE">
              <w:t>и</w:t>
            </w:r>
            <w:r w:rsidRPr="00C433CE">
              <w:t>ем насилия</w:t>
            </w:r>
          </w:p>
        </w:tc>
        <w:tc>
          <w:tcPr>
            <w:cnfStyle w:val="000100000000" w:firstRow="0" w:lastRow="0" w:firstColumn="0" w:lastColumn="1" w:oddVBand="0" w:evenVBand="0" w:oddHBand="0" w:evenHBand="0" w:firstRowFirstColumn="0" w:firstRowLastColumn="0" w:lastRowFirstColumn="0" w:lastRowLastColumn="0"/>
            <w:tcW w:w="2835" w:type="dxa"/>
            <w:gridSpan w:val="2"/>
          </w:tcPr>
          <w:p w:rsidR="00F3569A" w:rsidRPr="00C433CE" w:rsidRDefault="00F3569A" w:rsidP="00390C50">
            <w:r w:rsidRPr="00C433CE">
              <w:t>Сексуальное насилие при отягчающих обсто</w:t>
            </w:r>
            <w:r w:rsidRPr="00C433CE">
              <w:t>я</w:t>
            </w:r>
            <w:r w:rsidRPr="00C433CE">
              <w:t xml:space="preserve">тельствах </w:t>
            </w:r>
          </w:p>
        </w:tc>
      </w:tr>
    </w:tbl>
    <w:p w:rsidR="00F3569A" w:rsidRPr="00E80B00" w:rsidRDefault="00F3569A" w:rsidP="00F3569A">
      <w:pPr>
        <w:spacing w:before="120" w:line="220" w:lineRule="exact"/>
        <w:ind w:left="1134" w:firstLine="170"/>
        <w:rPr>
          <w:sz w:val="18"/>
          <w:szCs w:val="18"/>
        </w:rPr>
      </w:pPr>
      <w:r w:rsidRPr="00E80B00">
        <w:rPr>
          <w:sz w:val="18"/>
          <w:szCs w:val="18"/>
        </w:rPr>
        <w:t>*  В некоторых случаях совращения (грубая непристойность, безуспешное соблазнение) предъявл</w:t>
      </w:r>
      <w:r w:rsidRPr="00E80B00">
        <w:rPr>
          <w:sz w:val="18"/>
          <w:szCs w:val="18"/>
        </w:rPr>
        <w:t>я</w:t>
      </w:r>
      <w:r w:rsidRPr="00E80B00">
        <w:rPr>
          <w:sz w:val="18"/>
          <w:szCs w:val="18"/>
        </w:rPr>
        <w:t>ется особое у</w:t>
      </w:r>
      <w:r w:rsidRPr="00E80B00">
        <w:rPr>
          <w:sz w:val="18"/>
          <w:szCs w:val="18"/>
        </w:rPr>
        <w:t>с</w:t>
      </w:r>
      <w:r w:rsidRPr="00E80B00">
        <w:rPr>
          <w:sz w:val="18"/>
          <w:szCs w:val="18"/>
        </w:rPr>
        <w:t>ловие: виновными могут быть лишь лица в возрасте старше</w:t>
      </w:r>
      <w:r>
        <w:rPr>
          <w:sz w:val="18"/>
          <w:szCs w:val="18"/>
        </w:rPr>
        <w:t xml:space="preserve"> 18 лет.</w:t>
      </w:r>
    </w:p>
    <w:p w:rsidR="00F3569A" w:rsidRPr="00E80B00" w:rsidRDefault="00F3569A" w:rsidP="00F3569A">
      <w:pPr>
        <w:spacing w:line="220" w:lineRule="exact"/>
        <w:ind w:left="1134" w:firstLine="170"/>
        <w:rPr>
          <w:sz w:val="18"/>
          <w:szCs w:val="18"/>
        </w:rPr>
      </w:pPr>
      <w:r w:rsidRPr="00E80B00">
        <w:rPr>
          <w:sz w:val="18"/>
          <w:szCs w:val="18"/>
        </w:rPr>
        <w:t>**  Сексуальное злоупотребление − которое в новом Уголовном кодексе заменяет преступление совращения − м</w:t>
      </w:r>
      <w:r w:rsidRPr="00E80B00">
        <w:rPr>
          <w:sz w:val="18"/>
          <w:szCs w:val="18"/>
        </w:rPr>
        <w:t>о</w:t>
      </w:r>
      <w:r w:rsidRPr="00E80B00">
        <w:rPr>
          <w:sz w:val="18"/>
          <w:szCs w:val="18"/>
        </w:rPr>
        <w:t xml:space="preserve">жет быть совершено лишь лицом в возрасте старше 18 лет. </w:t>
      </w:r>
    </w:p>
    <w:p w:rsidR="00F3569A" w:rsidRPr="00E80B00" w:rsidRDefault="00F3569A" w:rsidP="00F3569A">
      <w:pPr>
        <w:spacing w:line="220" w:lineRule="exact"/>
        <w:ind w:left="1134" w:firstLine="170"/>
        <w:rPr>
          <w:sz w:val="18"/>
          <w:szCs w:val="18"/>
        </w:rPr>
      </w:pPr>
      <w:r w:rsidRPr="00E80B00">
        <w:rPr>
          <w:sz w:val="18"/>
          <w:szCs w:val="18"/>
        </w:rPr>
        <w:t>***  Совращение совершается лицом, которое вступает в половые отношения или совершает гр</w:t>
      </w:r>
      <w:r w:rsidRPr="00E80B00">
        <w:rPr>
          <w:sz w:val="18"/>
          <w:szCs w:val="18"/>
        </w:rPr>
        <w:t>у</w:t>
      </w:r>
      <w:r w:rsidRPr="00E80B00">
        <w:rPr>
          <w:sz w:val="18"/>
          <w:szCs w:val="18"/>
        </w:rPr>
        <w:t>бую непристойность в о</w:t>
      </w:r>
      <w:r w:rsidRPr="00E80B00">
        <w:rPr>
          <w:sz w:val="18"/>
          <w:szCs w:val="18"/>
        </w:rPr>
        <w:t>т</w:t>
      </w:r>
      <w:r w:rsidRPr="00E80B00">
        <w:rPr>
          <w:sz w:val="18"/>
          <w:szCs w:val="18"/>
        </w:rPr>
        <w:t xml:space="preserve">ношении лица в возрасте до 18 лет за плату. </w:t>
      </w:r>
    </w:p>
    <w:p w:rsidR="00F3569A" w:rsidRPr="00E80B00" w:rsidRDefault="00F3569A" w:rsidP="00F3569A">
      <w:pPr>
        <w:spacing w:line="220" w:lineRule="exact"/>
        <w:ind w:left="1134" w:firstLine="170"/>
        <w:rPr>
          <w:sz w:val="18"/>
          <w:szCs w:val="18"/>
        </w:rPr>
      </w:pPr>
      <w:r w:rsidRPr="00E80B00">
        <w:rPr>
          <w:sz w:val="18"/>
          <w:szCs w:val="18"/>
        </w:rPr>
        <w:t>****  Лицо, оплачивающие половой акт с лицом в возрасте до 18 лет, подлежит наказанию в соо</w:t>
      </w:r>
      <w:r w:rsidRPr="00E80B00">
        <w:rPr>
          <w:sz w:val="18"/>
          <w:szCs w:val="18"/>
        </w:rPr>
        <w:t>т</w:t>
      </w:r>
      <w:r w:rsidRPr="00E80B00">
        <w:rPr>
          <w:sz w:val="18"/>
          <w:szCs w:val="18"/>
        </w:rPr>
        <w:t>ветствии с законами о детской проституции (в настоящее время такие действия именуются совращ</w:t>
      </w:r>
      <w:r w:rsidRPr="00E80B00">
        <w:rPr>
          <w:sz w:val="18"/>
          <w:szCs w:val="18"/>
        </w:rPr>
        <w:t>е</w:t>
      </w:r>
      <w:r w:rsidRPr="00E80B00">
        <w:rPr>
          <w:sz w:val="18"/>
          <w:szCs w:val="18"/>
        </w:rPr>
        <w:t>нием). Лицо в возрасте старше</w:t>
      </w:r>
      <w:r>
        <w:rPr>
          <w:sz w:val="18"/>
          <w:szCs w:val="18"/>
        </w:rPr>
        <w:t xml:space="preserve"> 18 лет, совершающее полово</w:t>
      </w:r>
      <w:r w:rsidRPr="00E80B00">
        <w:rPr>
          <w:sz w:val="18"/>
          <w:szCs w:val="18"/>
        </w:rPr>
        <w:t>й акт с лицом старше 14 лет, но младше 18 лет в результате злоупотребления властью над ним или влиянием на него, совершает сексуальное злоупотребление. В пункте 21 заключительных замечаний Комитета 2007 года было рекомендовано повысить возраст согласия на вступление в половые отношения (14 лет), но законодательство Вен</w:t>
      </w:r>
      <w:r w:rsidRPr="00E80B00">
        <w:rPr>
          <w:sz w:val="18"/>
          <w:szCs w:val="18"/>
        </w:rPr>
        <w:t>г</w:t>
      </w:r>
      <w:r w:rsidRPr="00E80B00">
        <w:rPr>
          <w:sz w:val="18"/>
          <w:szCs w:val="18"/>
        </w:rPr>
        <w:t>рии является приемлемым как с социальной, так и с нравственной точек зрения и соответствует евр</w:t>
      </w:r>
      <w:r w:rsidRPr="00E80B00">
        <w:rPr>
          <w:sz w:val="18"/>
          <w:szCs w:val="18"/>
        </w:rPr>
        <w:t>о</w:t>
      </w:r>
      <w:r w:rsidRPr="00E80B00">
        <w:rPr>
          <w:sz w:val="18"/>
          <w:szCs w:val="18"/>
        </w:rPr>
        <w:t>пейским нормам, поэтому принять эту рекомендацию не представляется возможным. При этом мы отмечаем, что ни в Нью-Йоркской конвенции</w:t>
      </w:r>
      <w:r w:rsidRPr="00E80B00">
        <w:rPr>
          <w:rStyle w:val="FootnoteReference"/>
          <w:szCs w:val="18"/>
        </w:rPr>
        <w:footnoteReference w:id="6"/>
      </w:r>
      <w:r w:rsidRPr="00E80B00">
        <w:rPr>
          <w:sz w:val="18"/>
          <w:szCs w:val="18"/>
        </w:rPr>
        <w:t>, ни в международных документах по борьбе с секс</w:t>
      </w:r>
      <w:r w:rsidRPr="00E80B00">
        <w:rPr>
          <w:sz w:val="18"/>
          <w:szCs w:val="18"/>
        </w:rPr>
        <w:t>у</w:t>
      </w:r>
      <w:r w:rsidRPr="00E80B00">
        <w:rPr>
          <w:sz w:val="18"/>
          <w:szCs w:val="18"/>
        </w:rPr>
        <w:t>альной эксплуатацией несовершеннолетних, изданных Европейским союзом и Европейским советом</w:t>
      </w:r>
      <w:r w:rsidRPr="00E80B00">
        <w:rPr>
          <w:rStyle w:val="FootnoteReference"/>
          <w:szCs w:val="18"/>
        </w:rPr>
        <w:footnoteReference w:id="7"/>
      </w:r>
      <w:r w:rsidRPr="00E80B00">
        <w:rPr>
          <w:sz w:val="18"/>
          <w:szCs w:val="18"/>
        </w:rPr>
        <w:t>, не указан конкретный возраст согл</w:t>
      </w:r>
      <w:r w:rsidRPr="00E80B00">
        <w:rPr>
          <w:sz w:val="18"/>
          <w:szCs w:val="18"/>
        </w:rPr>
        <w:t>а</w:t>
      </w:r>
      <w:r w:rsidRPr="00E80B00">
        <w:rPr>
          <w:sz w:val="18"/>
          <w:szCs w:val="18"/>
        </w:rPr>
        <w:t>сия на вступление в половые отношения</w:t>
      </w:r>
      <w:r>
        <w:rPr>
          <w:sz w:val="18"/>
          <w:szCs w:val="18"/>
        </w:rPr>
        <w:t>.</w:t>
      </w:r>
    </w:p>
    <w:p w:rsidR="00AF6989" w:rsidRPr="00731828" w:rsidRDefault="00AF6989" w:rsidP="00AF6989">
      <w:pPr>
        <w:pStyle w:val="H23GR"/>
      </w:pPr>
      <w:r>
        <w:rPr>
          <w:lang w:val="en-US"/>
        </w:rPr>
        <w:tab/>
      </w:r>
      <w:r>
        <w:rPr>
          <w:lang w:val="en-US"/>
        </w:rPr>
        <w:tab/>
      </w:r>
      <w:r w:rsidRPr="00731828">
        <w:t>Данные</w:t>
      </w:r>
    </w:p>
    <w:p w:rsidR="00AF6989" w:rsidRDefault="00AF6989" w:rsidP="00AF6989">
      <w:pPr>
        <w:pStyle w:val="SingleTxtGR"/>
      </w:pPr>
      <w:r>
        <w:t>65.</w:t>
      </w:r>
      <w:r>
        <w:tab/>
        <w:t>Ниже приводятся данные о таких преступлениях, как изнасилование, грубая н</w:t>
      </w:r>
      <w:r>
        <w:t>е</w:t>
      </w:r>
      <w:r>
        <w:t>пристойность и совращение:</w:t>
      </w:r>
    </w:p>
    <w:p w:rsidR="00AF6989" w:rsidRPr="009757FC" w:rsidRDefault="00AF6989" w:rsidP="00AF6989">
      <w:pPr>
        <w:pStyle w:val="Bullet1GR"/>
        <w:numPr>
          <w:ilvl w:val="0"/>
          <w:numId w:val="1"/>
        </w:numPr>
      </w:pPr>
      <w:r w:rsidRPr="009757FC">
        <w:rPr>
          <w:b/>
        </w:rPr>
        <w:t>Изнасилования</w:t>
      </w:r>
      <w:r w:rsidRPr="009757FC">
        <w:t>: число осужденных совершеннолетних лиц мужского пола в 2009 году</w:t>
      </w:r>
      <w:r>
        <w:t xml:space="preserve"> −</w:t>
      </w:r>
      <w:r w:rsidRPr="009757FC">
        <w:t xml:space="preserve"> 77 человек; в 2010 году − 81 человек.</w:t>
      </w:r>
    </w:p>
    <w:p w:rsidR="00AF6989" w:rsidRPr="009757FC" w:rsidRDefault="00AF6989" w:rsidP="00AF6989">
      <w:pPr>
        <w:pStyle w:val="Bullet1GR"/>
        <w:numPr>
          <w:ilvl w:val="0"/>
          <w:numId w:val="1"/>
        </w:numPr>
      </w:pPr>
      <w:r w:rsidRPr="009757FC">
        <w:rPr>
          <w:b/>
        </w:rPr>
        <w:t>Грубая непристойность</w:t>
      </w:r>
      <w:r w:rsidRPr="009757FC">
        <w:t xml:space="preserve">: число осужденных совершеннолетних </w:t>
      </w:r>
      <w:r>
        <w:t xml:space="preserve">лиц </w:t>
      </w:r>
      <w:r w:rsidRPr="009757FC">
        <w:t>му</w:t>
      </w:r>
      <w:r w:rsidRPr="009757FC">
        <w:t>ж</w:t>
      </w:r>
      <w:r w:rsidRPr="009757FC">
        <w:t>ского пола в 2009 год</w:t>
      </w:r>
      <w:r>
        <w:t xml:space="preserve">у − 99 человек; в 2010 году − 89 </w:t>
      </w:r>
      <w:r w:rsidRPr="009757FC">
        <w:t>человек.</w:t>
      </w:r>
    </w:p>
    <w:p w:rsidR="00AF6989" w:rsidRPr="008024F3" w:rsidRDefault="00AF6989" w:rsidP="00AF6989">
      <w:pPr>
        <w:pStyle w:val="Bullet1GR"/>
        <w:numPr>
          <w:ilvl w:val="0"/>
          <w:numId w:val="1"/>
        </w:numPr>
      </w:pPr>
      <w:r w:rsidRPr="009757FC">
        <w:rPr>
          <w:b/>
        </w:rPr>
        <w:t>Совращени</w:t>
      </w:r>
      <w:r>
        <w:rPr>
          <w:b/>
        </w:rPr>
        <w:t>е</w:t>
      </w:r>
      <w:r w:rsidRPr="009757FC">
        <w:t xml:space="preserve">: число осужденных совершеннолетних </w:t>
      </w:r>
      <w:r>
        <w:t xml:space="preserve">лиц </w:t>
      </w:r>
      <w:r w:rsidRPr="009757FC">
        <w:t>мужского пола в 2009 году</w:t>
      </w:r>
      <w:r>
        <w:t xml:space="preserve"> −</w:t>
      </w:r>
      <w:r w:rsidRPr="009757FC">
        <w:t xml:space="preserve"> 57 человек; в 2010 году − 46 человек </w:t>
      </w:r>
      <w:r w:rsidRPr="008C3FD0">
        <w:t>(</w:t>
      </w:r>
      <w:r>
        <w:rPr>
          <w:lang w:val="en-US"/>
        </w:rPr>
        <w:t>Women</w:t>
      </w:r>
      <w:r w:rsidRPr="008C3FD0">
        <w:t xml:space="preserve"> </w:t>
      </w:r>
      <w:r>
        <w:rPr>
          <w:lang w:val="en-US"/>
        </w:rPr>
        <w:t>and</w:t>
      </w:r>
      <w:r w:rsidRPr="008C3FD0">
        <w:t xml:space="preserve"> </w:t>
      </w:r>
      <w:r>
        <w:rPr>
          <w:lang w:val="en-US"/>
        </w:rPr>
        <w:t>Men</w:t>
      </w:r>
      <w:r w:rsidRPr="008C3FD0">
        <w:t xml:space="preserve"> </w:t>
      </w:r>
      <w:r>
        <w:rPr>
          <w:lang w:val="en-US"/>
        </w:rPr>
        <w:t>in</w:t>
      </w:r>
      <w:r w:rsidRPr="008C3FD0">
        <w:t xml:space="preserve"> </w:t>
      </w:r>
      <w:r>
        <w:rPr>
          <w:lang w:val="en-US"/>
        </w:rPr>
        <w:t>Hungary</w:t>
      </w:r>
      <w:r w:rsidRPr="008C3FD0">
        <w:t xml:space="preserve"> 2009</w:t>
      </w:r>
      <w:r>
        <w:t>−</w:t>
      </w:r>
      <w:r w:rsidRPr="008C3FD0">
        <w:t xml:space="preserve">2010 − </w:t>
      </w:r>
      <w:r w:rsidRPr="009757FC">
        <w:rPr>
          <w:lang w:val="en-US"/>
        </w:rPr>
        <w:t>Statistical</w:t>
      </w:r>
      <w:r w:rsidRPr="008C3FD0">
        <w:t xml:space="preserve"> </w:t>
      </w:r>
      <w:r w:rsidRPr="009757FC">
        <w:rPr>
          <w:lang w:val="en-US"/>
        </w:rPr>
        <w:t>Pocket</w:t>
      </w:r>
      <w:r w:rsidRPr="008C3FD0">
        <w:t xml:space="preserve"> </w:t>
      </w:r>
      <w:r w:rsidRPr="009757FC">
        <w:rPr>
          <w:lang w:val="en-US"/>
        </w:rPr>
        <w:t>Book</w:t>
      </w:r>
      <w:r w:rsidRPr="008C3FD0">
        <w:t xml:space="preserve"> − </w:t>
      </w:r>
      <w:r w:rsidRPr="009757FC">
        <w:rPr>
          <w:lang w:val="en-US"/>
        </w:rPr>
        <w:t>KSH</w:t>
      </w:r>
      <w:r w:rsidRPr="008C3FD0">
        <w:t xml:space="preserve">, </w:t>
      </w:r>
      <w:r w:rsidRPr="009757FC">
        <w:rPr>
          <w:lang w:val="en-US"/>
        </w:rPr>
        <w:t>Budapest</w:t>
      </w:r>
      <w:r w:rsidRPr="008C3FD0">
        <w:t xml:space="preserve"> 2011. </w:t>
      </w:r>
      <w:r>
        <w:br/>
      </w:r>
      <w:r w:rsidRPr="009757FC">
        <w:rPr>
          <w:lang w:val="en-US"/>
        </w:rPr>
        <w:t>Page</w:t>
      </w:r>
      <w:r w:rsidRPr="008024F3">
        <w:t xml:space="preserve"> 195 − </w:t>
      </w:r>
      <w:r w:rsidRPr="009757FC">
        <w:rPr>
          <w:lang w:val="en-US"/>
        </w:rPr>
        <w:t>Source</w:t>
      </w:r>
      <w:r w:rsidRPr="008024F3">
        <w:t xml:space="preserve">: </w:t>
      </w:r>
      <w:r w:rsidRPr="009757FC">
        <w:rPr>
          <w:lang w:val="en-US"/>
        </w:rPr>
        <w:t>Office</w:t>
      </w:r>
      <w:r w:rsidRPr="008024F3">
        <w:t xml:space="preserve"> </w:t>
      </w:r>
      <w:r w:rsidRPr="009757FC">
        <w:rPr>
          <w:lang w:val="en-US"/>
        </w:rPr>
        <w:t>of</w:t>
      </w:r>
      <w:r w:rsidRPr="008024F3">
        <w:t xml:space="preserve"> </w:t>
      </w:r>
      <w:r w:rsidRPr="009757FC">
        <w:rPr>
          <w:lang w:val="en-US"/>
        </w:rPr>
        <w:t>the</w:t>
      </w:r>
      <w:r w:rsidRPr="008024F3">
        <w:t xml:space="preserve"> </w:t>
      </w:r>
      <w:r w:rsidRPr="009757FC">
        <w:rPr>
          <w:lang w:val="en-US"/>
        </w:rPr>
        <w:t>National</w:t>
      </w:r>
      <w:r w:rsidRPr="008024F3">
        <w:t xml:space="preserve"> </w:t>
      </w:r>
      <w:r w:rsidRPr="009757FC">
        <w:rPr>
          <w:lang w:val="en-US"/>
        </w:rPr>
        <w:t>Council</w:t>
      </w:r>
      <w:r w:rsidRPr="008024F3">
        <w:t xml:space="preserve"> </w:t>
      </w:r>
      <w:r w:rsidRPr="009757FC">
        <w:rPr>
          <w:lang w:val="en-US"/>
        </w:rPr>
        <w:t>of</w:t>
      </w:r>
      <w:r w:rsidRPr="008024F3">
        <w:t xml:space="preserve"> </w:t>
      </w:r>
      <w:r w:rsidRPr="009757FC">
        <w:rPr>
          <w:lang w:val="en-US"/>
        </w:rPr>
        <w:t>Justice</w:t>
      </w:r>
      <w:r w:rsidRPr="008024F3">
        <w:t>).</w:t>
      </w:r>
    </w:p>
    <w:p w:rsidR="00AF6989" w:rsidRDefault="00AF6989" w:rsidP="00AF6989">
      <w:pPr>
        <w:pStyle w:val="H1GR"/>
      </w:pPr>
      <w:r>
        <w:tab/>
      </w:r>
      <w:r>
        <w:tab/>
        <w:t>Торговля людьми и сексуальная эксплуатация</w:t>
      </w:r>
    </w:p>
    <w:p w:rsidR="00AF6989" w:rsidRDefault="00AF6989" w:rsidP="00AF6989">
      <w:pPr>
        <w:pStyle w:val="H23GR"/>
      </w:pPr>
      <w:r>
        <w:tab/>
      </w:r>
      <w:r>
        <w:tab/>
        <w:t>Ответ на вопросы, поставленные в пункте 11 перечня вопросов</w:t>
      </w:r>
    </w:p>
    <w:p w:rsidR="00AF6989" w:rsidRDefault="00AF6989" w:rsidP="00AF6989">
      <w:pPr>
        <w:pStyle w:val="SingleTxtGR"/>
      </w:pPr>
      <w:r w:rsidRPr="00F02317">
        <w:t>66.</w:t>
      </w:r>
      <w:r w:rsidRPr="00F02317">
        <w:tab/>
      </w:r>
      <w:r>
        <w:t>Директива</w:t>
      </w:r>
      <w:r w:rsidRPr="00F02317">
        <w:t xml:space="preserve"> 2011/36</w:t>
      </w:r>
      <w:r>
        <w:t>/ЕС, заменившая Рамочное решение Совета 2002/</w:t>
      </w:r>
      <w:r>
        <w:br/>
        <w:t>629/</w:t>
      </w:r>
      <w:r>
        <w:rPr>
          <w:lang w:val="en-US"/>
        </w:rPr>
        <w:t>JHA</w:t>
      </w:r>
      <w:r>
        <w:t>, была издана 5 апреля 2011 года. Крайний срок для ее принятия − 6 а</w:t>
      </w:r>
      <w:r>
        <w:t>п</w:t>
      </w:r>
      <w:r>
        <w:t>реля 2013 года. Венгрия находится в процессе ее принятия, и новый Уголо</w:t>
      </w:r>
      <w:r>
        <w:t>в</w:t>
      </w:r>
      <w:r>
        <w:t>ный кодекс уже утвержден. Меры наказания усилены, а структура обвинений была приведена в соответствие с Директивой. Ввиду того что в Директиве дано о</w:t>
      </w:r>
      <w:r>
        <w:t>п</w:t>
      </w:r>
      <w:r>
        <w:t>ределение торговли людьми, соответствующее международным конвенциям, принятие Директивы означает, что нормы в Уголовном кодексе Венгрии также соответствуют международным конвенциям.</w:t>
      </w:r>
    </w:p>
    <w:p w:rsidR="00AF6989" w:rsidRPr="00F02317" w:rsidRDefault="00AF6989" w:rsidP="00AF6989">
      <w:pPr>
        <w:pStyle w:val="SingleTxtGR"/>
      </w:pPr>
      <w:r>
        <w:t>67.</w:t>
      </w:r>
      <w:r>
        <w:tab/>
        <w:t>В период с января 2001 года по декабрь 2001 года были приняты сл</w:t>
      </w:r>
      <w:r>
        <w:t>е</w:t>
      </w:r>
      <w:r>
        <w:t>дующие меры по борьбе с торговлей людьми.</w:t>
      </w:r>
    </w:p>
    <w:tbl>
      <w:tblPr>
        <w:tblStyle w:val="TabNum"/>
        <w:tblW w:w="7370" w:type="dxa"/>
        <w:tblInd w:w="1134" w:type="dxa"/>
        <w:tblLook w:val="01E0" w:firstRow="1" w:lastRow="1" w:firstColumn="1" w:lastColumn="1" w:noHBand="0" w:noVBand="0"/>
      </w:tblPr>
      <w:tblGrid>
        <w:gridCol w:w="5249"/>
        <w:gridCol w:w="2121"/>
      </w:tblGrid>
      <w:tr w:rsidR="00AF6989" w:rsidRPr="00B17A5F" w:rsidTr="00390C50">
        <w:trPr>
          <w:trHeight w:val="240"/>
          <w:tblHeader/>
        </w:trPr>
        <w:tc>
          <w:tcPr>
            <w:cnfStyle w:val="001000000000" w:firstRow="0" w:lastRow="0" w:firstColumn="1" w:lastColumn="0" w:oddVBand="0" w:evenVBand="0" w:oddHBand="0" w:evenHBand="0" w:firstRowFirstColumn="0" w:firstRowLastColumn="0" w:lastRowFirstColumn="0" w:lastRowLastColumn="0"/>
            <w:tcW w:w="5249" w:type="dxa"/>
            <w:tcBorders>
              <w:bottom w:val="single" w:sz="12" w:space="0" w:color="auto"/>
            </w:tcBorders>
            <w:shd w:val="clear" w:color="auto" w:fill="auto"/>
          </w:tcPr>
          <w:p w:rsidR="00AF6989" w:rsidRPr="00B17A5F" w:rsidRDefault="00AF6989" w:rsidP="00390C50">
            <w:pPr>
              <w:spacing w:before="80" w:after="80" w:line="200" w:lineRule="exact"/>
              <w:rPr>
                <w:i/>
                <w:sz w:val="16"/>
              </w:rPr>
            </w:pPr>
            <w:r w:rsidRPr="00B17A5F">
              <w:rPr>
                <w:i/>
                <w:sz w:val="16"/>
              </w:rPr>
              <w:t>Вид правонарушения</w:t>
            </w:r>
          </w:p>
        </w:tc>
        <w:tc>
          <w:tcPr>
            <w:tcW w:w="2121" w:type="dxa"/>
            <w:tcBorders>
              <w:top w:val="single" w:sz="4" w:space="0" w:color="auto"/>
              <w:bottom w:val="single" w:sz="12" w:space="0" w:color="auto"/>
            </w:tcBorders>
            <w:shd w:val="clear" w:color="auto" w:fill="auto"/>
          </w:tcPr>
          <w:p w:rsidR="00AF6989" w:rsidRPr="00B17A5F" w:rsidRDefault="00AF6989" w:rsidP="00390C5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17A5F">
              <w:rPr>
                <w:i/>
                <w:sz w:val="16"/>
              </w:rPr>
              <w:t>Число зарегистрирова</w:t>
            </w:r>
            <w:r w:rsidRPr="00B17A5F">
              <w:rPr>
                <w:i/>
                <w:sz w:val="16"/>
              </w:rPr>
              <w:t>н</w:t>
            </w:r>
            <w:r w:rsidRPr="00B17A5F">
              <w:rPr>
                <w:i/>
                <w:sz w:val="16"/>
              </w:rPr>
              <w:t>ных расследований</w:t>
            </w:r>
          </w:p>
        </w:tc>
      </w:tr>
      <w:tr w:rsidR="00AF6989" w:rsidRPr="00B17A5F" w:rsidTr="00390C50">
        <w:trPr>
          <w:trHeight w:val="240"/>
        </w:trPr>
        <w:tc>
          <w:tcPr>
            <w:cnfStyle w:val="001000000000" w:firstRow="0" w:lastRow="0" w:firstColumn="1" w:lastColumn="0" w:oddVBand="0" w:evenVBand="0" w:oddHBand="0" w:evenHBand="0" w:firstRowFirstColumn="0" w:firstRowLastColumn="0" w:lastRowFirstColumn="0" w:lastRowLastColumn="0"/>
            <w:tcW w:w="5249" w:type="dxa"/>
            <w:tcBorders>
              <w:top w:val="single" w:sz="12" w:space="0" w:color="auto"/>
            </w:tcBorders>
          </w:tcPr>
          <w:p w:rsidR="00AF6989" w:rsidRPr="00B17A5F" w:rsidRDefault="00AF6989" w:rsidP="00390C50">
            <w:r w:rsidRPr="00B17A5F">
              <w:t>ТЛ (базовый вид правонарушения)</w:t>
            </w:r>
          </w:p>
        </w:tc>
        <w:tc>
          <w:tcPr>
            <w:tcW w:w="2121" w:type="dxa"/>
            <w:tcBorders>
              <w:top w:val="single" w:sz="12" w:space="0" w:color="auto"/>
            </w:tcBorders>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w:t>
            </w:r>
          </w:p>
        </w:tc>
      </w:tr>
      <w:tr w:rsidR="00AF6989" w:rsidRPr="00B17A5F" w:rsidTr="00390C50">
        <w:trPr>
          <w:trHeight w:val="240"/>
        </w:trPr>
        <w:tc>
          <w:tcPr>
            <w:cnfStyle w:val="001000000000" w:firstRow="0" w:lastRow="0" w:firstColumn="1" w:lastColumn="0" w:oddVBand="0" w:evenVBand="0" w:oddHBand="0" w:evenHBand="0" w:firstRowFirstColumn="0" w:firstRowLastColumn="0" w:lastRowFirstColumn="0" w:lastRowLastColumn="0"/>
            <w:tcW w:w="5249" w:type="dxa"/>
          </w:tcPr>
          <w:p w:rsidR="00AF6989" w:rsidRPr="00B17A5F" w:rsidRDefault="00AF6989" w:rsidP="00390C50">
            <w:r w:rsidRPr="00B17A5F">
              <w:t>ТЛ в целях трудовой эксплуатации</w:t>
            </w:r>
          </w:p>
        </w:tc>
        <w:tc>
          <w:tcPr>
            <w:tcW w:w="2121" w:type="dxa"/>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w:t>
            </w:r>
          </w:p>
        </w:tc>
      </w:tr>
      <w:tr w:rsidR="00AF6989" w:rsidRPr="00B17A5F" w:rsidTr="00390C50">
        <w:trPr>
          <w:trHeight w:val="240"/>
        </w:trPr>
        <w:tc>
          <w:tcPr>
            <w:cnfStyle w:val="001000000000" w:firstRow="0" w:lastRow="0" w:firstColumn="1" w:lastColumn="0" w:oddVBand="0" w:evenVBand="0" w:oddHBand="0" w:evenHBand="0" w:firstRowFirstColumn="0" w:firstRowLastColumn="0" w:lastRowFirstColumn="0" w:lastRowLastColumn="0"/>
            <w:tcW w:w="5249" w:type="dxa"/>
          </w:tcPr>
          <w:p w:rsidR="00AF6989" w:rsidRPr="00B17A5F" w:rsidRDefault="00AF6989" w:rsidP="00390C50">
            <w:r w:rsidRPr="00B17A5F">
              <w:t>ТЛ в целях полового сношения или мужеложства</w:t>
            </w:r>
          </w:p>
        </w:tc>
        <w:tc>
          <w:tcPr>
            <w:tcW w:w="2121" w:type="dxa"/>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12</w:t>
            </w:r>
          </w:p>
        </w:tc>
      </w:tr>
      <w:tr w:rsidR="00AF6989" w:rsidRPr="00B17A5F" w:rsidTr="00390C50">
        <w:trPr>
          <w:trHeight w:val="240"/>
        </w:trPr>
        <w:tc>
          <w:tcPr>
            <w:cnfStyle w:val="001000000000" w:firstRow="0" w:lastRow="0" w:firstColumn="1" w:lastColumn="0" w:oddVBand="0" w:evenVBand="0" w:oddHBand="0" w:evenHBand="0" w:firstRowFirstColumn="0" w:firstRowLastColumn="0" w:lastRowFirstColumn="0" w:lastRowLastColumn="0"/>
            <w:tcW w:w="5249" w:type="dxa"/>
          </w:tcPr>
          <w:p w:rsidR="00AF6989" w:rsidRPr="00B17A5F" w:rsidRDefault="00AF6989" w:rsidP="00390C50">
            <w:r w:rsidRPr="00B17A5F">
              <w:t>ТЛ в целях полового сношения</w:t>
            </w:r>
          </w:p>
        </w:tc>
        <w:tc>
          <w:tcPr>
            <w:tcW w:w="2121" w:type="dxa"/>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w:t>
            </w:r>
          </w:p>
        </w:tc>
      </w:tr>
      <w:tr w:rsidR="00AF6989" w:rsidRPr="00B17A5F" w:rsidTr="00390C50">
        <w:trPr>
          <w:trHeight w:val="240"/>
        </w:trPr>
        <w:tc>
          <w:tcPr>
            <w:cnfStyle w:val="001000000000" w:firstRow="0" w:lastRow="0" w:firstColumn="1" w:lastColumn="0" w:oddVBand="0" w:evenVBand="0" w:oddHBand="0" w:evenHBand="0" w:firstRowFirstColumn="0" w:firstRowLastColumn="0" w:lastRowFirstColumn="0" w:lastRowLastColumn="0"/>
            <w:tcW w:w="5249" w:type="dxa"/>
          </w:tcPr>
          <w:p w:rsidR="00AF6989" w:rsidRPr="00B17A5F" w:rsidRDefault="00AF6989" w:rsidP="00390C50">
            <w:r w:rsidRPr="00B17A5F">
              <w:t xml:space="preserve">ТЛ в отношении лица, находящегося в условиях </w:t>
            </w:r>
            <w:r>
              <w:t>опеки</w:t>
            </w:r>
            <w:r w:rsidRPr="00B17A5F">
              <w:t>, поп</w:t>
            </w:r>
            <w:r w:rsidRPr="00B17A5F">
              <w:t>е</w:t>
            </w:r>
            <w:r w:rsidRPr="00B17A5F">
              <w:t>чительства, надзора или терапии, обеспечиваемых вино</w:t>
            </w:r>
            <w:r w:rsidRPr="00B17A5F">
              <w:t>в</w:t>
            </w:r>
            <w:r w:rsidRPr="00B17A5F">
              <w:t>ным</w:t>
            </w:r>
          </w:p>
        </w:tc>
        <w:tc>
          <w:tcPr>
            <w:tcW w:w="2121" w:type="dxa"/>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0</w:t>
            </w:r>
          </w:p>
        </w:tc>
      </w:tr>
      <w:tr w:rsidR="00AF6989" w:rsidRPr="00B17A5F" w:rsidTr="00390C50">
        <w:trPr>
          <w:trHeight w:val="240"/>
        </w:trPr>
        <w:tc>
          <w:tcPr>
            <w:cnfStyle w:val="001000000000" w:firstRow="0" w:lastRow="0" w:firstColumn="1" w:lastColumn="0" w:oddVBand="0" w:evenVBand="0" w:oddHBand="0" w:evenHBand="0" w:firstRowFirstColumn="0" w:firstRowLastColumn="0" w:lastRowFirstColumn="0" w:lastRowLastColumn="0"/>
            <w:tcW w:w="5249" w:type="dxa"/>
          </w:tcPr>
          <w:p w:rsidR="00AF6989" w:rsidRPr="00B17A5F" w:rsidRDefault="00AF6989" w:rsidP="00390C50">
            <w:r w:rsidRPr="00B17A5F">
              <w:t xml:space="preserve">ТЛ в целях полового сношения, </w:t>
            </w:r>
            <w:r>
              <w:t>совершенного</w:t>
            </w:r>
            <w:r w:rsidRPr="00B17A5F">
              <w:t xml:space="preserve"> с применен</w:t>
            </w:r>
            <w:r w:rsidRPr="00B17A5F">
              <w:t>и</w:t>
            </w:r>
            <w:r w:rsidRPr="00B17A5F">
              <w:t>ем силы или угрозы</w:t>
            </w:r>
          </w:p>
        </w:tc>
        <w:tc>
          <w:tcPr>
            <w:tcW w:w="2121" w:type="dxa"/>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w:t>
            </w:r>
          </w:p>
        </w:tc>
      </w:tr>
      <w:tr w:rsidR="00AF6989" w:rsidRPr="00B17A5F" w:rsidTr="00A75FCF">
        <w:trPr>
          <w:trHeight w:val="240"/>
        </w:trPr>
        <w:tc>
          <w:tcPr>
            <w:cnfStyle w:val="001000000000" w:firstRow="0" w:lastRow="0" w:firstColumn="1" w:lastColumn="0" w:oddVBand="0" w:evenVBand="0" w:oddHBand="0" w:evenHBand="0" w:firstRowFirstColumn="0" w:firstRowLastColumn="0" w:lastRowFirstColumn="0" w:lastRowLastColumn="0"/>
            <w:tcW w:w="5249" w:type="dxa"/>
          </w:tcPr>
          <w:p w:rsidR="00AF6989" w:rsidRPr="00B17A5F" w:rsidRDefault="00AF6989" w:rsidP="00390C50">
            <w:r w:rsidRPr="00B17A5F">
              <w:t>ТЛ в целях трудовой эксплуатации в отношении несоверше</w:t>
            </w:r>
            <w:r w:rsidRPr="00B17A5F">
              <w:t>н</w:t>
            </w:r>
            <w:r w:rsidRPr="00B17A5F">
              <w:t>нолетнего</w:t>
            </w:r>
          </w:p>
        </w:tc>
        <w:tc>
          <w:tcPr>
            <w:tcW w:w="2121" w:type="dxa"/>
            <w:tcBorders>
              <w:bottom w:val="nil"/>
            </w:tcBorders>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w:t>
            </w:r>
          </w:p>
        </w:tc>
      </w:tr>
      <w:tr w:rsidR="00AF6989" w:rsidRPr="00B17A5F" w:rsidTr="00A75FCF">
        <w:trPr>
          <w:trHeight w:val="240"/>
        </w:trPr>
        <w:tc>
          <w:tcPr>
            <w:cnfStyle w:val="001000000000" w:firstRow="0" w:lastRow="0" w:firstColumn="1" w:lastColumn="0" w:oddVBand="0" w:evenVBand="0" w:oddHBand="0" w:evenHBand="0" w:firstRowFirstColumn="0" w:firstRowLastColumn="0" w:lastRowFirstColumn="0" w:lastRowLastColumn="0"/>
            <w:tcW w:w="5249" w:type="dxa"/>
            <w:tcBorders>
              <w:top w:val="nil"/>
              <w:bottom w:val="single" w:sz="4" w:space="0" w:color="auto"/>
            </w:tcBorders>
          </w:tcPr>
          <w:p w:rsidR="00AF6989" w:rsidRPr="00B17A5F" w:rsidRDefault="00AF6989" w:rsidP="00390C50">
            <w:r w:rsidRPr="00B17A5F">
              <w:t xml:space="preserve">ТЛ в целях полового </w:t>
            </w:r>
            <w:r>
              <w:t>сношения</w:t>
            </w:r>
            <w:r w:rsidRPr="00B17A5F">
              <w:t xml:space="preserve"> или мужеложства в отнош</w:t>
            </w:r>
            <w:r w:rsidRPr="00B17A5F">
              <w:t>е</w:t>
            </w:r>
            <w:r w:rsidRPr="00B17A5F">
              <w:t>нии н</w:t>
            </w:r>
            <w:r w:rsidRPr="00B17A5F">
              <w:t>е</w:t>
            </w:r>
            <w:r w:rsidRPr="00B17A5F">
              <w:t>совершеннолетнего</w:t>
            </w:r>
          </w:p>
        </w:tc>
        <w:tc>
          <w:tcPr>
            <w:tcW w:w="2121" w:type="dxa"/>
            <w:tcBorders>
              <w:top w:val="nil"/>
              <w:bottom w:val="single" w:sz="4" w:space="0" w:color="auto"/>
            </w:tcBorders>
          </w:tcPr>
          <w:p w:rsidR="00AF6989" w:rsidRPr="00B17A5F" w:rsidRDefault="00AF6989" w:rsidP="00390C50">
            <w:pPr>
              <w:cnfStyle w:val="000000000000" w:firstRow="0" w:lastRow="0" w:firstColumn="0" w:lastColumn="0" w:oddVBand="0" w:evenVBand="0" w:oddHBand="0" w:evenHBand="0" w:firstRowFirstColumn="0" w:firstRowLastColumn="0" w:lastRowFirstColumn="0" w:lastRowLastColumn="0"/>
            </w:pPr>
            <w:r w:rsidRPr="00B17A5F">
              <w:t>1</w:t>
            </w:r>
          </w:p>
        </w:tc>
      </w:tr>
      <w:tr w:rsidR="00AF6989" w:rsidRPr="00B17A5F" w:rsidTr="00A75FCF">
        <w:trPr>
          <w:trHeight w:val="240"/>
        </w:trPr>
        <w:tc>
          <w:tcPr>
            <w:cnfStyle w:val="001000000000" w:firstRow="0" w:lastRow="0" w:firstColumn="1" w:lastColumn="0" w:oddVBand="0" w:evenVBand="0" w:oddHBand="0" w:evenHBand="0" w:firstRowFirstColumn="0" w:firstRowLastColumn="0" w:lastRowFirstColumn="0" w:lastRowLastColumn="0"/>
            <w:tcW w:w="5249" w:type="dxa"/>
            <w:tcBorders>
              <w:top w:val="single" w:sz="4" w:space="0" w:color="auto"/>
            </w:tcBorders>
          </w:tcPr>
          <w:p w:rsidR="00AF6989" w:rsidRPr="00A75FCF" w:rsidRDefault="00AF6989" w:rsidP="00A75FCF">
            <w:pPr>
              <w:spacing w:before="80" w:after="80"/>
              <w:ind w:left="284"/>
              <w:rPr>
                <w:b/>
              </w:rPr>
            </w:pPr>
            <w:r w:rsidRPr="00A75FCF">
              <w:rPr>
                <w:b/>
              </w:rPr>
              <w:t>Итого</w:t>
            </w:r>
          </w:p>
        </w:tc>
        <w:tc>
          <w:tcPr>
            <w:tcW w:w="2121" w:type="dxa"/>
            <w:tcBorders>
              <w:top w:val="single" w:sz="4" w:space="0" w:color="auto"/>
              <w:bottom w:val="single" w:sz="12" w:space="0" w:color="auto"/>
            </w:tcBorders>
          </w:tcPr>
          <w:p w:rsidR="00AF6989" w:rsidRPr="00A75FCF" w:rsidRDefault="00AF6989" w:rsidP="00A75FCF">
            <w:pPr>
              <w:spacing w:before="80" w:after="80"/>
              <w:cnfStyle w:val="000000000000" w:firstRow="0" w:lastRow="0" w:firstColumn="0" w:lastColumn="0" w:oddVBand="0" w:evenVBand="0" w:oddHBand="0" w:evenHBand="0" w:firstRowFirstColumn="0" w:firstRowLastColumn="0" w:lastRowFirstColumn="0" w:lastRowLastColumn="0"/>
              <w:rPr>
                <w:b/>
              </w:rPr>
            </w:pPr>
            <w:r w:rsidRPr="00A75FCF">
              <w:rPr>
                <w:b/>
              </w:rPr>
              <w:t>18</w:t>
            </w:r>
          </w:p>
        </w:tc>
      </w:tr>
    </w:tbl>
    <w:p w:rsidR="00AF6989" w:rsidRDefault="00AF6989" w:rsidP="00AF6989">
      <w:pPr>
        <w:pStyle w:val="SingleTxtGR"/>
        <w:spacing w:before="120"/>
      </w:pPr>
      <w:r>
        <w:t>(Постановления судов в 2011 году приводятся в приложении 3)</w:t>
      </w:r>
    </w:p>
    <w:p w:rsidR="00AF6989" w:rsidRDefault="00AF6989" w:rsidP="00AF6989">
      <w:pPr>
        <w:pStyle w:val="SingleTxtGR"/>
      </w:pPr>
      <w:r>
        <w:t>68.</w:t>
      </w:r>
      <w:r>
        <w:tab/>
        <w:t>Национальная стратегия борьбы с торговлей людьми лежит в основе борьбы с торговлей людьми и содержит базовые принципы, а также определяет участников такой борьбы и работы по профилактике, правоприменению и ок</w:t>
      </w:r>
      <w:r>
        <w:t>а</w:t>
      </w:r>
      <w:r>
        <w:t>занию помощи жертвам. Данная проблема должна решаться на комплексной о</w:t>
      </w:r>
      <w:r>
        <w:t>с</w:t>
      </w:r>
      <w:r>
        <w:t>нове и на базе международного сотрудничества и национального плана дейс</w:t>
      </w:r>
      <w:r>
        <w:t>т</w:t>
      </w:r>
      <w:r>
        <w:t>вий; соответствующие меры должны включать в себя профилактику, правопр</w:t>
      </w:r>
      <w:r>
        <w:t>и</w:t>
      </w:r>
      <w:r>
        <w:t>менение и оказание помощи жертвам. В целях обеспечения комплексной реа</w:t>
      </w:r>
      <w:r>
        <w:t>к</w:t>
      </w:r>
      <w:r>
        <w:t>ции на проблему торговли людьми необходимо подключить к разработке стр</w:t>
      </w:r>
      <w:r>
        <w:t>а</w:t>
      </w:r>
      <w:r>
        <w:t xml:space="preserve">тегии всех заинтересованных субъектов в </w:t>
      </w:r>
      <w:r w:rsidR="00A75FCF">
        <w:t>правительстве, судебных органах</w:t>
      </w:r>
      <w:r w:rsidR="00A75FCF">
        <w:br/>
      </w:r>
      <w:r>
        <w:t>и неправительственных организациях.</w:t>
      </w:r>
    </w:p>
    <w:p w:rsidR="00AF6989" w:rsidRDefault="00AF6989" w:rsidP="00AF6989">
      <w:pPr>
        <w:pStyle w:val="SingleTxtGR"/>
        <w:rPr>
          <w:sz w:val="24"/>
        </w:rPr>
      </w:pPr>
      <w:r>
        <w:t>69.</w:t>
      </w:r>
      <w:r>
        <w:tab/>
        <w:t>Венгерским координатором мер по борьбе с торговлей людьми является замест</w:t>
      </w:r>
      <w:r>
        <w:t>и</w:t>
      </w:r>
      <w:r>
        <w:t>тель статс-секретаря по делам Европейского союза в Министерстве внутренних дел, основные обязанности которого заключаются в решении пр</w:t>
      </w:r>
      <w:r>
        <w:t>о</w:t>
      </w:r>
      <w:r>
        <w:t>блемы торговли людьми. Данное ведомство обеспечивает сотрудничество ме</w:t>
      </w:r>
      <w:r>
        <w:t>ж</w:t>
      </w:r>
      <w:r>
        <w:t>ду различными государственными и неп</w:t>
      </w:r>
      <w:r w:rsidR="00164369">
        <w:t>равительственными организациями</w:t>
      </w:r>
      <w:r w:rsidR="00164369" w:rsidRPr="00164369">
        <w:br/>
      </w:r>
      <w:r>
        <w:t>и несет ответственность за принимаемые в Венгрии меры по борьбе с торго</w:t>
      </w:r>
      <w:r>
        <w:t>в</w:t>
      </w:r>
      <w:r>
        <w:t>лей людьми на национальном, европейском и международном уровнях. В н</w:t>
      </w:r>
      <w:r>
        <w:t>а</w:t>
      </w:r>
      <w:r>
        <w:t>циональном координационном механизме задействованы сл</w:t>
      </w:r>
      <w:r>
        <w:t>е</w:t>
      </w:r>
      <w:r>
        <w:t>дующие органы:</w:t>
      </w:r>
    </w:p>
    <w:p w:rsidR="00AF6989" w:rsidRPr="00193000" w:rsidRDefault="00AF6989" w:rsidP="00AF6989">
      <w:pPr>
        <w:pStyle w:val="Bullet1GR"/>
        <w:numPr>
          <w:ilvl w:val="0"/>
          <w:numId w:val="1"/>
        </w:numPr>
      </w:pPr>
      <w:r w:rsidRPr="00193000">
        <w:t>Министерство иностранных дел</w:t>
      </w:r>
      <w:r w:rsidR="00225F7A">
        <w:t>;</w:t>
      </w:r>
    </w:p>
    <w:p w:rsidR="00AF6989" w:rsidRPr="00193000" w:rsidRDefault="00AF6989" w:rsidP="00AF6989">
      <w:pPr>
        <w:pStyle w:val="Bullet1GR"/>
        <w:numPr>
          <w:ilvl w:val="0"/>
          <w:numId w:val="1"/>
        </w:numPr>
      </w:pPr>
      <w:r w:rsidRPr="00193000">
        <w:t>Министерство национальных ресурсов</w:t>
      </w:r>
      <w:r w:rsidR="00225F7A">
        <w:t>;</w:t>
      </w:r>
    </w:p>
    <w:p w:rsidR="00AF6989" w:rsidRPr="00193000" w:rsidRDefault="00AF6989" w:rsidP="00AF6989">
      <w:pPr>
        <w:pStyle w:val="Bullet1GR"/>
        <w:numPr>
          <w:ilvl w:val="0"/>
          <w:numId w:val="1"/>
        </w:numPr>
      </w:pPr>
      <w:r w:rsidRPr="00193000">
        <w:t>Управление иммиграции и натурализации</w:t>
      </w:r>
      <w:r w:rsidR="00225F7A">
        <w:t>;</w:t>
      </w:r>
    </w:p>
    <w:p w:rsidR="00AF6989" w:rsidRPr="00193000" w:rsidRDefault="00AF6989" w:rsidP="00AF6989">
      <w:pPr>
        <w:pStyle w:val="Bullet1GR"/>
        <w:numPr>
          <w:ilvl w:val="0"/>
          <w:numId w:val="1"/>
        </w:numPr>
      </w:pPr>
      <w:r w:rsidRPr="00193000">
        <w:t>Национальный штаб венгерской полиции, департамент предупреждения преступности</w:t>
      </w:r>
      <w:r w:rsidR="00225F7A">
        <w:t>;</w:t>
      </w:r>
    </w:p>
    <w:p w:rsidR="00AF6989" w:rsidRPr="00193000" w:rsidRDefault="00AF6989" w:rsidP="00AF6989">
      <w:pPr>
        <w:pStyle w:val="Bullet1GR"/>
        <w:numPr>
          <w:ilvl w:val="0"/>
          <w:numId w:val="1"/>
        </w:numPr>
      </w:pPr>
      <w:r w:rsidRPr="00193000">
        <w:t>Национальное бюро расследований, группа по борьбе с торговлей люд</w:t>
      </w:r>
      <w:r w:rsidRPr="00193000">
        <w:t>ь</w:t>
      </w:r>
      <w:r w:rsidRPr="00193000">
        <w:t>ми</w:t>
      </w:r>
      <w:r w:rsidR="00225F7A">
        <w:t>;</w:t>
      </w:r>
    </w:p>
    <w:p w:rsidR="00AF6989" w:rsidRPr="00193000" w:rsidRDefault="00AF6989" w:rsidP="00AF6989">
      <w:pPr>
        <w:pStyle w:val="Bullet1GR"/>
        <w:numPr>
          <w:ilvl w:val="0"/>
          <w:numId w:val="1"/>
        </w:numPr>
      </w:pPr>
      <w:r w:rsidRPr="00193000">
        <w:t>Государственная прокуратура</w:t>
      </w:r>
      <w:r w:rsidR="00225F7A">
        <w:t>;</w:t>
      </w:r>
    </w:p>
    <w:p w:rsidR="00AF6989" w:rsidRPr="00193000" w:rsidRDefault="00AF6989" w:rsidP="00AF6989">
      <w:pPr>
        <w:pStyle w:val="Bullet1GR"/>
        <w:numPr>
          <w:ilvl w:val="0"/>
          <w:numId w:val="1"/>
        </w:numPr>
      </w:pPr>
      <w:r w:rsidRPr="00193000">
        <w:t>Будапештский городской суд</w:t>
      </w:r>
      <w:r w:rsidR="00225F7A">
        <w:t>;</w:t>
      </w:r>
    </w:p>
    <w:p w:rsidR="00AF6989" w:rsidRPr="00193000" w:rsidRDefault="00AF6989" w:rsidP="00AF6989">
      <w:pPr>
        <w:pStyle w:val="Bullet1GR"/>
        <w:numPr>
          <w:ilvl w:val="0"/>
          <w:numId w:val="1"/>
        </w:numPr>
      </w:pPr>
      <w:r w:rsidRPr="00193000">
        <w:t>Национальное бюро судов</w:t>
      </w:r>
      <w:r w:rsidR="00225F7A">
        <w:t>;</w:t>
      </w:r>
    </w:p>
    <w:p w:rsidR="00AF6989" w:rsidRDefault="00AF6989" w:rsidP="00AF6989">
      <w:pPr>
        <w:pStyle w:val="Bullet1GR"/>
        <w:numPr>
          <w:ilvl w:val="0"/>
          <w:numId w:val="1"/>
        </w:numPr>
      </w:pPr>
      <w:r w:rsidRPr="00193000">
        <w:t xml:space="preserve">Служба оказания помощи </w:t>
      </w:r>
      <w:r>
        <w:t>жертвам</w:t>
      </w:r>
      <w:r w:rsidR="00225F7A">
        <w:t>;</w:t>
      </w:r>
    </w:p>
    <w:p w:rsidR="00AF6989" w:rsidRPr="00193000" w:rsidRDefault="00AF6989" w:rsidP="00AF6989">
      <w:pPr>
        <w:pStyle w:val="Bullet1GR"/>
        <w:numPr>
          <w:ilvl w:val="0"/>
          <w:numId w:val="1"/>
        </w:numPr>
      </w:pPr>
      <w:r>
        <w:t>Национальный кризисный центр</w:t>
      </w:r>
      <w:r w:rsidR="00225F7A">
        <w:t>;</w:t>
      </w:r>
    </w:p>
    <w:p w:rsidR="00AF6989" w:rsidRPr="00193000" w:rsidRDefault="00AF6989" w:rsidP="00AF6989">
      <w:pPr>
        <w:pStyle w:val="Bullet1GR"/>
        <w:numPr>
          <w:ilvl w:val="0"/>
          <w:numId w:val="1"/>
        </w:numPr>
      </w:pPr>
      <w:r w:rsidRPr="00193000">
        <w:t>Международная организация по миграции</w:t>
      </w:r>
      <w:r w:rsidR="00225F7A">
        <w:t>;</w:t>
      </w:r>
    </w:p>
    <w:p w:rsidR="00AF6989" w:rsidRPr="00193000" w:rsidRDefault="00AF6989" w:rsidP="00AF6989">
      <w:pPr>
        <w:pStyle w:val="Bullet1GR"/>
        <w:numPr>
          <w:ilvl w:val="0"/>
          <w:numId w:val="1"/>
        </w:numPr>
      </w:pPr>
      <w:r w:rsidRPr="00193000">
        <w:t xml:space="preserve">Партнер-НПО, обеспечивающий работу </w:t>
      </w:r>
      <w:r>
        <w:t>приюта</w:t>
      </w:r>
      <w:r w:rsidRPr="00193000">
        <w:t xml:space="preserve"> для </w:t>
      </w:r>
      <w:r>
        <w:t>жертв</w:t>
      </w:r>
      <w:r w:rsidRPr="00193000">
        <w:t xml:space="preserve"> торговли людьми.</w:t>
      </w:r>
    </w:p>
    <w:p w:rsidR="00AF6989" w:rsidRDefault="00AF6989" w:rsidP="00AF6989">
      <w:pPr>
        <w:pStyle w:val="SingleTxtGR"/>
      </w:pPr>
      <w:r>
        <w:t>70.</w:t>
      </w:r>
      <w:r>
        <w:tab/>
        <w:t>Общие и конкретные цели и средства борьбы с торговлей людьми изл</w:t>
      </w:r>
      <w:r>
        <w:t>о</w:t>
      </w:r>
      <w:r>
        <w:t xml:space="preserve">жены в постановлении правительства </w:t>
      </w:r>
      <w:r w:rsidRPr="00FB2DD2">
        <w:t>1018/2008 (</w:t>
      </w:r>
      <w:r w:rsidRPr="00FB2DD2">
        <w:rPr>
          <w:lang w:val="en-GB"/>
        </w:rPr>
        <w:t>III</w:t>
      </w:r>
      <w:r w:rsidRPr="00FB2DD2">
        <w:t>. 26)</w:t>
      </w:r>
      <w:r>
        <w:t xml:space="preserve"> на период 2008−</w:t>
      </w:r>
      <w:r>
        <w:br/>
        <w:t>2012 годов. В настоящее время разрабатывается стратегия на период 2013−</w:t>
      </w:r>
      <w:r>
        <w:br/>
        <w:t>2016 г</w:t>
      </w:r>
      <w:r>
        <w:t>о</w:t>
      </w:r>
      <w:r>
        <w:t xml:space="preserve">дов. </w:t>
      </w:r>
    </w:p>
    <w:p w:rsidR="00AF6989" w:rsidRDefault="00AF6989" w:rsidP="00AF6989">
      <w:pPr>
        <w:pStyle w:val="SingleTxtGR"/>
      </w:pPr>
      <w:r>
        <w:t>71.</w:t>
      </w:r>
      <w:r>
        <w:tab/>
        <w:t>Поскольку жертвы торговли людьми обычно травмированы, они имеют право на защищенные специальные места проживания, медицинские осмотры и консультации. Защищенные места проживания обеспечиваются одной из НПО при поддержке Министерства людских ресурсов. Финансирование также выд</w:t>
      </w:r>
      <w:r>
        <w:t>е</w:t>
      </w:r>
      <w:r>
        <w:t>ляется этим Министерством, которое контролирует и инспектирует работу з</w:t>
      </w:r>
      <w:r>
        <w:t>а</w:t>
      </w:r>
      <w:r>
        <w:t>щищенных мест прожив</w:t>
      </w:r>
      <w:r>
        <w:t>а</w:t>
      </w:r>
      <w:r>
        <w:t>ния.</w:t>
      </w:r>
    </w:p>
    <w:p w:rsidR="00AF6989" w:rsidRDefault="00AF6989" w:rsidP="00AF6989">
      <w:pPr>
        <w:pStyle w:val="SingleTxtGR"/>
      </w:pPr>
      <w:r>
        <w:t>72.</w:t>
      </w:r>
      <w:r>
        <w:tab/>
        <w:t>Жертвы торговли людьми с максимальной оперативностью размещаются в этих защищенных местах проживания, а вопрос о выяснении их личности решается Службой поддержки жертв на более позднем этапе. В эти центры п</w:t>
      </w:r>
      <w:r>
        <w:t>о</w:t>
      </w:r>
      <w:r>
        <w:t>терпевших направляет Национальная кризисная и информационная служба, к</w:t>
      </w:r>
      <w:r>
        <w:t>о</w:t>
      </w:r>
      <w:r>
        <w:t>торая выступает в данном случае в качестве диспетчера. Жертвы получают та</w:t>
      </w:r>
      <w:r>
        <w:t>к</w:t>
      </w:r>
      <w:r>
        <w:t>же право на услуги Службы поддержки жертв, включая психологическую, пс</w:t>
      </w:r>
      <w:r>
        <w:t>и</w:t>
      </w:r>
      <w:r>
        <w:t>хиатрическую и финансовую помощь. Условием оказания таких услуг является возбуждение уголовного дела по обвинению в торговле люд</w:t>
      </w:r>
      <w:r>
        <w:t>ь</w:t>
      </w:r>
      <w:r>
        <w:t>ми.</w:t>
      </w:r>
    </w:p>
    <w:p w:rsidR="00AF6989" w:rsidRDefault="00AF6989" w:rsidP="00AF6989">
      <w:pPr>
        <w:pStyle w:val="SingleTxtGR"/>
      </w:pPr>
      <w:r>
        <w:t>73.</w:t>
      </w:r>
      <w:r>
        <w:tab/>
        <w:t>Жертвы из третьих стран также имеют право на услуги на тех же услов</w:t>
      </w:r>
      <w:r>
        <w:t>и</w:t>
      </w:r>
      <w:r>
        <w:t>ях в целях содействия их социальной интеграции при их добровольном возвр</w:t>
      </w:r>
      <w:r>
        <w:t>а</w:t>
      </w:r>
      <w:r>
        <w:t>щении. В больши</w:t>
      </w:r>
      <w:r>
        <w:t>н</w:t>
      </w:r>
      <w:r>
        <w:t>стве случаев Венгрия является страной происхождения жертв, которых отправляют в Нидерланды, Швейцарию, Австрию, Германию и Соединенное Королевство (торговля рабочей силой). В меньшей степени Вен</w:t>
      </w:r>
      <w:r>
        <w:t>г</w:t>
      </w:r>
      <w:r>
        <w:t>рия является также страной транзита для жертв, прибывающих в ЕС с Балка</w:t>
      </w:r>
      <w:r>
        <w:t>н</w:t>
      </w:r>
      <w:r>
        <w:t>ского полуострова (например, из Сербии и К</w:t>
      </w:r>
      <w:r>
        <w:t>о</w:t>
      </w:r>
      <w:r>
        <w:t>сово) и из Китая.</w:t>
      </w:r>
    </w:p>
    <w:p w:rsidR="00AF6989" w:rsidRDefault="00AF6989" w:rsidP="00AF6989">
      <w:pPr>
        <w:pStyle w:val="SingleTxtGR"/>
      </w:pPr>
      <w:r>
        <w:t>74.</w:t>
      </w:r>
      <w:r>
        <w:tab/>
        <w:t>Что касается повышения осведомленности общества, то последним у</w:t>
      </w:r>
      <w:r>
        <w:t>с</w:t>
      </w:r>
      <w:r>
        <w:t>пешным мероприятием в Венгрии стало создание вебсайта по борьбе с торго</w:t>
      </w:r>
      <w:r>
        <w:t>в</w:t>
      </w:r>
      <w:r>
        <w:t xml:space="preserve">лей людьми </w:t>
      </w:r>
      <w:r w:rsidRPr="005A3ABA">
        <w:t>(</w:t>
      </w:r>
      <w:hyperlink r:id="rId8" w:history="1">
        <w:r w:rsidRPr="005A3ABA">
          <w:rPr>
            <w:rStyle w:val="Hyperlink"/>
            <w:u w:val="none"/>
            <w:lang w:val="en-GB"/>
          </w:rPr>
          <w:t>www</w:t>
        </w:r>
        <w:r w:rsidRPr="005A3ABA">
          <w:rPr>
            <w:rStyle w:val="Hyperlink"/>
            <w:u w:val="none"/>
          </w:rPr>
          <w:t>.</w:t>
        </w:r>
        <w:r w:rsidRPr="005A3ABA">
          <w:rPr>
            <w:rStyle w:val="Hyperlink"/>
            <w:u w:val="none"/>
            <w:lang w:val="en-GB"/>
          </w:rPr>
          <w:t>thb</w:t>
        </w:r>
        <w:r w:rsidRPr="005A3ABA">
          <w:rPr>
            <w:rStyle w:val="Hyperlink"/>
            <w:u w:val="none"/>
          </w:rPr>
          <w:t>.</w:t>
        </w:r>
        <w:r w:rsidRPr="005A3ABA">
          <w:rPr>
            <w:rStyle w:val="Hyperlink"/>
            <w:u w:val="none"/>
            <w:lang w:val="en-GB"/>
          </w:rPr>
          <w:t>kormany</w:t>
        </w:r>
        <w:r w:rsidRPr="005A3ABA">
          <w:rPr>
            <w:rStyle w:val="Hyperlink"/>
            <w:u w:val="none"/>
          </w:rPr>
          <w:t>.</w:t>
        </w:r>
        <w:r w:rsidRPr="005A3ABA">
          <w:rPr>
            <w:rStyle w:val="Hyperlink"/>
            <w:u w:val="none"/>
            <w:lang w:val="en-GB"/>
          </w:rPr>
          <w:t>hu</w:t>
        </w:r>
      </w:hyperlink>
      <w:r>
        <w:t>). На этом вебсайте можно найти последнюю информацию, признаки торговли людьми (в соответствии с документом ЮНОДК "Признаки торговли людьми") и контрольный список для обычных граждан, который позволяет им составить надлежащее представление и пол</w:t>
      </w:r>
      <w:r>
        <w:t>у</w:t>
      </w:r>
      <w:r>
        <w:t>чить информацию о торговле людьми и способах ее предупреждения. Кроме т</w:t>
      </w:r>
      <w:r>
        <w:t>о</w:t>
      </w:r>
      <w:r>
        <w:t>го, кампания по повышению осведомленности была проведена во время муз</w:t>
      </w:r>
      <w:r>
        <w:t>ы</w:t>
      </w:r>
      <w:r>
        <w:t>кального фестиваля "Сигет"; ею были охвачены 1 000 человек, вкл</w:t>
      </w:r>
      <w:r>
        <w:t>ю</w:t>
      </w:r>
      <w:r>
        <w:t xml:space="preserve">чая </w:t>
      </w:r>
      <w:r>
        <w:br/>
        <w:t>100 голландцев. Одна из наших кампаний была направлена на борьбу со спр</w:t>
      </w:r>
      <w:r>
        <w:t>о</w:t>
      </w:r>
      <w:r>
        <w:t>сом и предусматривала выявление клиентов проституток, которые являются жертвами торговли людьми в целях сексуальной эксплуатации. В ходе этой кампании на бензозаправочных станциях в районе Будапешта, озера Балатон и границы с Австрией были развешаны специальные плакаты. Вскоре при фина</w:t>
      </w:r>
      <w:r>
        <w:t>н</w:t>
      </w:r>
      <w:r>
        <w:t>сировании ЕС</w:t>
      </w:r>
      <w:r w:rsidRPr="005A3ABA">
        <w:t xml:space="preserve"> </w:t>
      </w:r>
      <w:r>
        <w:t>будет начат новый проект под названием "Комплексный подход к предупреждению торговли людьми в целях трудовой эксплуатации в странах происхо</w:t>
      </w:r>
      <w:r>
        <w:t>ж</w:t>
      </w:r>
      <w:r>
        <w:t>дения и назначения", направленный на пресечение торговли людьми в целях использования принудительного труда. Юристы и представители других профессий, социальные работники, учителя и сотрудники служб по защите д</w:t>
      </w:r>
      <w:r>
        <w:t>е</w:t>
      </w:r>
      <w:r>
        <w:t>тей регулярно обучаются в рамках различных проектов при поддержке Евр</w:t>
      </w:r>
      <w:r>
        <w:t>о</w:t>
      </w:r>
      <w:r>
        <w:t>пейской комиссии. Кроме того, были проведены специальные ку</w:t>
      </w:r>
      <w:r>
        <w:t>р</w:t>
      </w:r>
      <w:r>
        <w:t>сы для судей.</w:t>
      </w:r>
    </w:p>
    <w:p w:rsidR="00AF6989" w:rsidRDefault="00AF6989" w:rsidP="00AF6989">
      <w:pPr>
        <w:pStyle w:val="H1GR"/>
      </w:pPr>
      <w:r>
        <w:tab/>
      </w:r>
      <w:r>
        <w:tab/>
        <w:t>Участие в политической и общественной жизни</w:t>
      </w:r>
    </w:p>
    <w:p w:rsidR="00AF6989" w:rsidRDefault="00AF6989" w:rsidP="00AF6989">
      <w:pPr>
        <w:pStyle w:val="H23GR"/>
      </w:pPr>
      <w:r>
        <w:tab/>
      </w:r>
      <w:r>
        <w:tab/>
        <w:t>Ответ на вопросы, поставленные в пункте 12 перечня вопросов</w:t>
      </w:r>
    </w:p>
    <w:p w:rsidR="00AF6989" w:rsidRPr="00731828" w:rsidRDefault="00AF6989" w:rsidP="00AF6989">
      <w:pPr>
        <w:pStyle w:val="SingleTxtGR"/>
      </w:pPr>
      <w:r>
        <w:t>75.</w:t>
      </w:r>
      <w:r>
        <w:tab/>
        <w:t>По данным проведенных в стране опросов, основной причиной недост</w:t>
      </w:r>
      <w:r>
        <w:t>а</w:t>
      </w:r>
      <w:r>
        <w:t>точной представленности женщин в руководящих органах является конфликт между теми ролями, которые они играют в семье и на рабочем месте. По сра</w:t>
      </w:r>
      <w:r>
        <w:t>в</w:t>
      </w:r>
      <w:r>
        <w:t>нению с другими странами Европы для венгерского населения семья имеет чрезвычайную важность, и представительные обследования свидетельствуют о том, что, по мнению 63% респондентов, жизнь без детей не явл</w:t>
      </w:r>
      <w:r>
        <w:t>я</w:t>
      </w:r>
      <w:r>
        <w:t>ется полной (2000 год). Одним из наиболее важных видов работы в Венгрии являются ус</w:t>
      </w:r>
      <w:r>
        <w:t>и</w:t>
      </w:r>
      <w:r>
        <w:t>лия по оказанию помощи женщинам в поиске баланса между работой и семе</w:t>
      </w:r>
      <w:r>
        <w:t>й</w:t>
      </w:r>
      <w:r>
        <w:t>ной жизнью, который, по нашему мнению, является основополагающим усл</w:t>
      </w:r>
      <w:r>
        <w:t>о</w:t>
      </w:r>
      <w:r>
        <w:t>вием для продвижения и признания на рабочем месте. Наш опыт показывает, что прямое вмешательство посредством введения квот не приводит к пр</w:t>
      </w:r>
      <w:r>
        <w:t>о</w:t>
      </w:r>
      <w:r>
        <w:t>рывам и что, наоборот, возникает недовольство по поводу выдвижения тех, кто этого не заслуживает. Прямое вмешательство возможно лишь в изолирова</w:t>
      </w:r>
      <w:r>
        <w:t>н</w:t>
      </w:r>
      <w:r>
        <w:t>ных и символических случаях, но на практике они не приближают нас к истинному решению данной проблемы, которая заключается в обеспечении призн</w:t>
      </w:r>
      <w:r>
        <w:t>а</w:t>
      </w:r>
      <w:r>
        <w:t>ния того дополнительного бремени, которое возлагается на женщин в целом, и в более справедливом распределении такого бремени. Заявленная цель весьма важна, и ее достижение сопровождается последствиями, которые желательны для общ</w:t>
      </w:r>
      <w:r>
        <w:t>е</w:t>
      </w:r>
      <w:r>
        <w:t>ства. Такие последствия заключаются, с одной стороны, в индивидуальной с</w:t>
      </w:r>
      <w:r>
        <w:t>а</w:t>
      </w:r>
      <w:r>
        <w:t>мореализации женщин и в соответствующих материальных и моральных бл</w:t>
      </w:r>
      <w:r>
        <w:t>а</w:t>
      </w:r>
      <w:r>
        <w:t>гах, а с другой − в устранении причин демографического кризиса, угрожающ</w:t>
      </w:r>
      <w:r>
        <w:t>е</w:t>
      </w:r>
      <w:r>
        <w:t>го Европе. В период председательства Венгрии в Европейском союзе именно по этой причине она уделяла особое внимание обмену идеями и передовым оп</w:t>
      </w:r>
      <w:r>
        <w:t>ы</w:t>
      </w:r>
      <w:r>
        <w:t>том в целях улучшения баланса ме</w:t>
      </w:r>
      <w:r>
        <w:t>ж</w:t>
      </w:r>
      <w:r>
        <w:t>ду работой и семьей.</w:t>
      </w:r>
    </w:p>
    <w:p w:rsidR="00225F7A" w:rsidRDefault="00225F7A" w:rsidP="00225F7A">
      <w:pPr>
        <w:pStyle w:val="SingleTxtGR"/>
      </w:pPr>
      <w:r w:rsidRPr="00681F67">
        <w:t>76.</w:t>
      </w:r>
      <w:r w:rsidRPr="00681F67">
        <w:tab/>
        <w:t>Мы считаем, что достижению поставленной цели будет способствовать широкое и всеобъемлющее применение следующих мер: возможности гибкого графика работы, развитие заведений по уходу за детьми в дневное время, д</w:t>
      </w:r>
      <w:r w:rsidRPr="00681F67">
        <w:t>о</w:t>
      </w:r>
      <w:r w:rsidRPr="00681F67">
        <w:t>полнительное обучение молодых матерей в период отпуска по уходу за ребе</w:t>
      </w:r>
      <w:r w:rsidRPr="00681F67">
        <w:t>н</w:t>
      </w:r>
      <w:r w:rsidRPr="00681F67">
        <w:t xml:space="preserve">ком, поддержание непрерывного контакта с их работодателями, гибкая система выходных, соответствующие стимулы и выработка надлежащего отношения среди сотрудников по кадрам, признание и </w:t>
      </w:r>
      <w:r>
        <w:t>меры поощрения</w:t>
      </w:r>
      <w:r w:rsidRPr="00681F67">
        <w:t xml:space="preserve"> за организацию рабочих мест, благоприятствующих семейной жизни, выработка надлежащего отношения в обществе, стимулы, побуждающие мужчин играть более </w:t>
      </w:r>
      <w:r>
        <w:t>знач</w:t>
      </w:r>
      <w:r>
        <w:t>и</w:t>
      </w:r>
      <w:r>
        <w:t>тельную</w:t>
      </w:r>
      <w:r w:rsidRPr="00681F67">
        <w:t xml:space="preserve"> роль в семейной жизни (отпуска по отцовству, право отцов брать о</w:t>
      </w:r>
      <w:r w:rsidRPr="00681F67">
        <w:t>т</w:t>
      </w:r>
      <w:r w:rsidRPr="00681F67">
        <w:t>пуск по уходу за ребенком)</w:t>
      </w:r>
      <w:r>
        <w:t>,</w:t>
      </w:r>
      <w:r w:rsidRPr="00681F67">
        <w:t xml:space="preserve"> и активизация участия</w:t>
      </w:r>
      <w:r>
        <w:t xml:space="preserve"> </w:t>
      </w:r>
      <w:r w:rsidRPr="00681F67">
        <w:t>бабушек и дедушек в уходе за детьми.</w:t>
      </w:r>
    </w:p>
    <w:p w:rsidR="00225F7A" w:rsidRPr="00681F67" w:rsidRDefault="00225F7A" w:rsidP="00225F7A">
      <w:pPr>
        <w:pStyle w:val="H1GR"/>
      </w:pPr>
      <w:r>
        <w:tab/>
      </w:r>
      <w:r>
        <w:tab/>
      </w:r>
      <w:r w:rsidRPr="00681F67">
        <w:t>Образование</w:t>
      </w:r>
    </w:p>
    <w:p w:rsidR="00225F7A" w:rsidRPr="00681F67" w:rsidRDefault="00225F7A" w:rsidP="00225F7A">
      <w:pPr>
        <w:pStyle w:val="H23GR"/>
      </w:pPr>
      <w:r>
        <w:tab/>
      </w:r>
      <w:r>
        <w:tab/>
        <w:t>Ответ</w:t>
      </w:r>
      <w:r w:rsidRPr="00681F67">
        <w:t xml:space="preserve"> на вопросы, поставленные в пункте 13 перечня вопросов</w:t>
      </w:r>
    </w:p>
    <w:p w:rsidR="00225F7A" w:rsidRDefault="00225F7A" w:rsidP="00225F7A">
      <w:pPr>
        <w:pStyle w:val="H23GR"/>
      </w:pPr>
      <w:r>
        <w:tab/>
      </w:r>
      <w:r>
        <w:tab/>
      </w:r>
      <w:r w:rsidRPr="00681F67">
        <w:t xml:space="preserve">Свобода от дискриминации и равенство прав мужчин и женщин </w:t>
      </w:r>
      <w:r>
        <w:br/>
      </w:r>
      <w:r w:rsidRPr="00681F67">
        <w:t xml:space="preserve">в Национальной </w:t>
      </w:r>
      <w:r>
        <w:t>общеобразовательной</w:t>
      </w:r>
      <w:r w:rsidRPr="00681F67">
        <w:t xml:space="preserve"> программе</w:t>
      </w:r>
    </w:p>
    <w:p w:rsidR="00225F7A" w:rsidRPr="00681F67" w:rsidRDefault="00225F7A" w:rsidP="00225F7A">
      <w:pPr>
        <w:pStyle w:val="SingleTxtGR"/>
      </w:pPr>
      <w:r w:rsidRPr="00681F67">
        <w:t>77.</w:t>
      </w:r>
      <w:r w:rsidRPr="00681F67">
        <w:tab/>
        <w:t>Наиболее важным документом, регулирующим содержание государстве</w:t>
      </w:r>
      <w:r w:rsidRPr="00681F67">
        <w:t>н</w:t>
      </w:r>
      <w:r w:rsidRPr="00681F67">
        <w:t xml:space="preserve">ной программы образования, является Национальная </w:t>
      </w:r>
      <w:r>
        <w:t>общеобразовательная</w:t>
      </w:r>
      <w:r w:rsidRPr="00681F67">
        <w:t xml:space="preserve"> пр</w:t>
      </w:r>
      <w:r w:rsidRPr="00681F67">
        <w:t>о</w:t>
      </w:r>
      <w:r w:rsidRPr="00681F67">
        <w:t>грамма (постановление правительства № 243/2003 (XII. 17) об издании, введ</w:t>
      </w:r>
      <w:r w:rsidRPr="00681F67">
        <w:t>е</w:t>
      </w:r>
      <w:r w:rsidRPr="00681F67">
        <w:t xml:space="preserve">нии и применении Национальной </w:t>
      </w:r>
      <w:r>
        <w:t>общеобразовательной</w:t>
      </w:r>
      <w:r w:rsidRPr="00681F67">
        <w:t xml:space="preserve"> программы). Среди единых </w:t>
      </w:r>
      <w:r>
        <w:t>ценностей</w:t>
      </w:r>
      <w:r w:rsidRPr="00681F67">
        <w:t xml:space="preserve"> школьного образования в постановлении отмечается, что дух Национальной </w:t>
      </w:r>
      <w:r>
        <w:t>общеобразовательной</w:t>
      </w:r>
      <w:r w:rsidRPr="00681F67">
        <w:t xml:space="preserve"> программы определяется, в частности, международными и венгерскими правовыми документами, касающимися р</w:t>
      </w:r>
      <w:r w:rsidRPr="00681F67">
        <w:t>а</w:t>
      </w:r>
      <w:r w:rsidRPr="00681F67">
        <w:t xml:space="preserve">венства между мужчинами и женщинами (раздел </w:t>
      </w:r>
      <w:r>
        <w:t>II)</w:t>
      </w:r>
      <w:r w:rsidRPr="00681F67">
        <w:t xml:space="preserve">. </w:t>
      </w:r>
    </w:p>
    <w:p w:rsidR="00225F7A" w:rsidRPr="00681F67" w:rsidRDefault="00225F7A" w:rsidP="00225F7A">
      <w:pPr>
        <w:pStyle w:val="SingleTxtGR"/>
      </w:pPr>
      <w:r w:rsidRPr="00681F67">
        <w:t>78.</w:t>
      </w:r>
      <w:r w:rsidRPr="00681F67">
        <w:tab/>
        <w:t xml:space="preserve">Преподавание предметов, направленных на развитие </w:t>
      </w:r>
      <w:r>
        <w:t>навыков жизни в обществе</w:t>
      </w:r>
      <w:r w:rsidRPr="00681F67">
        <w:t xml:space="preserve"> и </w:t>
      </w:r>
      <w:r>
        <w:t>гражданственности</w:t>
      </w:r>
      <w:r w:rsidRPr="00681F67">
        <w:t>, "основано на знании концепций</w:t>
      </w:r>
      <w:r>
        <w:t xml:space="preserve"> демократии и гражданственности</w:t>
      </w:r>
      <w:r w:rsidRPr="00681F67">
        <w:t>, прав граждан и</w:t>
      </w:r>
      <w:r>
        <w:t xml:space="preserve"> на</w:t>
      </w:r>
      <w:r w:rsidRPr="00681F67">
        <w:t xml:space="preserve"> со</w:t>
      </w:r>
      <w:r>
        <w:t>блюдении</w:t>
      </w:r>
      <w:r w:rsidRPr="00681F67">
        <w:t xml:space="preserve"> в полной мере прав челов</w:t>
      </w:r>
      <w:r w:rsidRPr="00681F67">
        <w:t>е</w:t>
      </w:r>
      <w:r w:rsidRPr="00681F67">
        <w:t xml:space="preserve">ка". </w:t>
      </w:r>
      <w:r>
        <w:t>Одной из</w:t>
      </w:r>
      <w:r w:rsidRPr="00681F67">
        <w:t xml:space="preserve"> первоочередны</w:t>
      </w:r>
      <w:r>
        <w:t>х</w:t>
      </w:r>
      <w:r w:rsidRPr="00681F67">
        <w:t xml:space="preserve"> зада</w:t>
      </w:r>
      <w:r>
        <w:t>ч</w:t>
      </w:r>
      <w:r w:rsidRPr="00681F67">
        <w:t xml:space="preserve"> воспитания</w:t>
      </w:r>
      <w:r>
        <w:t xml:space="preserve"> является </w:t>
      </w:r>
      <w:r w:rsidRPr="00681F67">
        <w:t>"развитие</w:t>
      </w:r>
      <w:r>
        <w:t xml:space="preserve"> навыков</w:t>
      </w:r>
      <w:r w:rsidRPr="00681F67">
        <w:t xml:space="preserve"> привития уважения к личности и правам человека… социальная </w:t>
      </w:r>
      <w:r>
        <w:t>чуткость</w:t>
      </w:r>
      <w:r w:rsidRPr="00681F67">
        <w:t>, о</w:t>
      </w:r>
      <w:r w:rsidRPr="00681F67">
        <w:t>т</w:t>
      </w:r>
      <w:r w:rsidRPr="00681F67">
        <w:t xml:space="preserve">крытость с учетом возрастных </w:t>
      </w:r>
      <w:r>
        <w:t>особенностей</w:t>
      </w:r>
      <w:r w:rsidRPr="00681F67">
        <w:t xml:space="preserve"> в отношении социальных пр</w:t>
      </w:r>
      <w:r w:rsidRPr="00681F67">
        <w:t>о</w:t>
      </w:r>
      <w:r w:rsidRPr="00681F67">
        <w:t xml:space="preserve">блем… умение пользоваться демократической системой </w:t>
      </w:r>
      <w:r>
        <w:t>институтов</w:t>
      </w:r>
      <w:r w:rsidRPr="00681F67">
        <w:t>, а также навыки и знания, связанные с равенством обращения и равенством возможн</w:t>
      </w:r>
      <w:r w:rsidRPr="00681F67">
        <w:t>о</w:t>
      </w:r>
      <w:r w:rsidRPr="00681F67">
        <w:t xml:space="preserve">стей". </w:t>
      </w:r>
    </w:p>
    <w:p w:rsidR="00225F7A" w:rsidRPr="00681F67" w:rsidRDefault="00225F7A" w:rsidP="00225F7A">
      <w:pPr>
        <w:pStyle w:val="SingleTxtGR"/>
      </w:pPr>
      <w:r w:rsidRPr="00681F67">
        <w:t>79.</w:t>
      </w:r>
      <w:r w:rsidRPr="00681F67">
        <w:tab/>
        <w:t xml:space="preserve">На основе Национальной </w:t>
      </w:r>
      <w:r>
        <w:t>общеобразовательной</w:t>
      </w:r>
      <w:r w:rsidRPr="00681F67">
        <w:t xml:space="preserve"> программы среди знаний, относящихся к участию в жизни общества, следует отметить знание базовых концепций равенства между мужчинами и женщинами и недискриминации. Н</w:t>
      </w:r>
      <w:r w:rsidRPr="00681F67">
        <w:t>а</w:t>
      </w:r>
      <w:r w:rsidRPr="00681F67">
        <w:t xml:space="preserve">циональная </w:t>
      </w:r>
      <w:r>
        <w:t>общеобразовательная</w:t>
      </w:r>
      <w:r w:rsidRPr="00681F67">
        <w:t xml:space="preserve"> программа требует также </w:t>
      </w:r>
      <w:r>
        <w:t>содействия форм</w:t>
      </w:r>
      <w:r>
        <w:t>и</w:t>
      </w:r>
      <w:r>
        <w:t>рованию позитивной жизненной позиции, основанной</w:t>
      </w:r>
      <w:r w:rsidRPr="00681F67">
        <w:t xml:space="preserve"> на соблюдении в полной мере прав человека, включая </w:t>
      </w:r>
      <w:r>
        <w:t xml:space="preserve">уважение </w:t>
      </w:r>
      <w:r w:rsidRPr="00681F67">
        <w:t>равен</w:t>
      </w:r>
      <w:r>
        <w:t>ства и демократии</w:t>
      </w:r>
      <w:r w:rsidRPr="00681F67">
        <w:t>, открытости в отношении участия в демократическом процессе принятия решений на всех уровнях, уважения интересов социальной сплоченно</w:t>
      </w:r>
      <w:r>
        <w:t>сти и ценностей</w:t>
      </w:r>
      <w:r w:rsidRPr="00681F67">
        <w:t xml:space="preserve"> других членов общества.</w:t>
      </w:r>
    </w:p>
    <w:p w:rsidR="00225F7A" w:rsidRPr="00681F67" w:rsidRDefault="00225F7A" w:rsidP="00225F7A">
      <w:pPr>
        <w:pStyle w:val="SingleTxtGR"/>
      </w:pPr>
      <w:r w:rsidRPr="00681F67">
        <w:t>80.</w:t>
      </w:r>
      <w:r w:rsidRPr="00681F67">
        <w:tab/>
        <w:t xml:space="preserve">Новая Национальная </w:t>
      </w:r>
      <w:r>
        <w:t>общеобразовательная</w:t>
      </w:r>
      <w:r w:rsidRPr="00681F67">
        <w:t xml:space="preserve"> программа (постановление правительст</w:t>
      </w:r>
      <w:r>
        <w:t xml:space="preserve">ва № </w:t>
      </w:r>
      <w:r w:rsidRPr="00681F67">
        <w:t>110/2012</w:t>
      </w:r>
      <w:r>
        <w:t xml:space="preserve"> </w:t>
      </w:r>
      <w:r w:rsidRPr="00681F67">
        <w:t>(VI. 4) об издании, введении и применении Наци</w:t>
      </w:r>
      <w:r w:rsidRPr="00681F67">
        <w:t>о</w:t>
      </w:r>
      <w:r w:rsidRPr="00681F67">
        <w:t xml:space="preserve">нальной </w:t>
      </w:r>
      <w:r>
        <w:t>общеобразовательной</w:t>
      </w:r>
      <w:r w:rsidRPr="00681F67">
        <w:t xml:space="preserve"> програм</w:t>
      </w:r>
      <w:r>
        <w:t>мы</w:t>
      </w:r>
      <w:r w:rsidRPr="00681F67">
        <w:t>), которая вступает в силу с сентября 2013 года для тех школьников, которые автоматически зачисляются в следу</w:t>
      </w:r>
      <w:r w:rsidRPr="00681F67">
        <w:t>ю</w:t>
      </w:r>
      <w:r w:rsidRPr="00681F67">
        <w:t>щие классы (1, 5 и 9 класс</w:t>
      </w:r>
      <w:r>
        <w:t>ы</w:t>
      </w:r>
      <w:r w:rsidRPr="00681F67">
        <w:t>), также предусматривает преподавание прав чел</w:t>
      </w:r>
      <w:r w:rsidRPr="00681F67">
        <w:t>о</w:t>
      </w:r>
      <w:r w:rsidRPr="00681F67">
        <w:t xml:space="preserve">века, включая повышение осведомленности и соответствующее отношение к вопросам равенства между мужчинами и женщинами. Программа гласит, что </w:t>
      </w:r>
      <w:r>
        <w:t>жизненная позиция</w:t>
      </w:r>
      <w:r w:rsidRPr="00681F67">
        <w:t xml:space="preserve"> граждан обеспечивается демократией, основанной на пон</w:t>
      </w:r>
      <w:r w:rsidRPr="00681F67">
        <w:t>и</w:t>
      </w:r>
      <w:r w:rsidRPr="00681F67">
        <w:t>мании концеп</w:t>
      </w:r>
      <w:r>
        <w:t>ции гражданственности</w:t>
      </w:r>
      <w:r w:rsidRPr="00681F67">
        <w:t xml:space="preserve"> и знании прав граждан, как это пред</w:t>
      </w:r>
      <w:r w:rsidRPr="00681F67">
        <w:t>у</w:t>
      </w:r>
      <w:r w:rsidRPr="00681F67">
        <w:t>смотрено в Хартии основных прав ЕС и в между</w:t>
      </w:r>
      <w:r>
        <w:t>народных декларациях (ра</w:t>
      </w:r>
      <w:r>
        <w:t>з</w:t>
      </w:r>
      <w:r>
        <w:t>дел II</w:t>
      </w:r>
      <w:r w:rsidRPr="00681F67">
        <w:t xml:space="preserve">). </w:t>
      </w:r>
    </w:p>
    <w:p w:rsidR="00225F7A" w:rsidRPr="00681F67" w:rsidRDefault="00225F7A" w:rsidP="00225F7A">
      <w:pPr>
        <w:pStyle w:val="SingleTxtGR"/>
      </w:pPr>
      <w:r w:rsidRPr="00681F67">
        <w:t>81.</w:t>
      </w:r>
      <w:r w:rsidRPr="00681F67">
        <w:tab/>
        <w:t xml:space="preserve">Особое внимание в Программе уделяется </w:t>
      </w:r>
      <w:r>
        <w:t>содействию формированию п</w:t>
      </w:r>
      <w:r>
        <w:t>о</w:t>
      </w:r>
      <w:r>
        <w:t xml:space="preserve">зитивной жизненной позиции, </w:t>
      </w:r>
      <w:r w:rsidRPr="00681F67">
        <w:t>ко</w:t>
      </w:r>
      <w:r>
        <w:t>торая</w:t>
      </w:r>
      <w:r w:rsidRPr="00681F67">
        <w:t xml:space="preserve"> призван</w:t>
      </w:r>
      <w:r>
        <w:t>а</w:t>
      </w:r>
      <w:r w:rsidRPr="00681F67">
        <w:t xml:space="preserve"> обеспечить уважение к при</w:t>
      </w:r>
      <w:r w:rsidRPr="00681F67">
        <w:t>н</w:t>
      </w:r>
      <w:r w:rsidRPr="00681F67">
        <w:t>ципам равенства, демократии и религиозного и этнического разнообразия. Ср</w:t>
      </w:r>
      <w:r w:rsidRPr="00681F67">
        <w:t>е</w:t>
      </w:r>
      <w:r w:rsidRPr="00681F67">
        <w:t>ди основополагающих концепций, которые преподаются учащимся, Наци</w:t>
      </w:r>
      <w:r w:rsidRPr="00681F67">
        <w:t>о</w:t>
      </w:r>
      <w:r w:rsidRPr="00681F67">
        <w:t>нальная программа требует</w:t>
      </w:r>
      <w:r>
        <w:t xml:space="preserve"> формирования</w:t>
      </w:r>
      <w:r w:rsidRPr="00681F67">
        <w:t xml:space="preserve"> знаний, имеющих отношение к р</w:t>
      </w:r>
      <w:r w:rsidRPr="00681F67">
        <w:t>а</w:t>
      </w:r>
      <w:r w:rsidRPr="00681F67">
        <w:t>венству, недискриминации и обществу, а также обучения общепринятым но</w:t>
      </w:r>
      <w:r w:rsidRPr="00681F67">
        <w:t>р</w:t>
      </w:r>
      <w:r w:rsidRPr="00681F67">
        <w:t>мам поведения.</w:t>
      </w:r>
    </w:p>
    <w:p w:rsidR="00225F7A" w:rsidRPr="00681F67" w:rsidRDefault="00225F7A" w:rsidP="00225F7A">
      <w:pPr>
        <w:pStyle w:val="SingleTxtGR"/>
      </w:pPr>
      <w:r w:rsidRPr="00681F67">
        <w:t>82.</w:t>
      </w:r>
      <w:r w:rsidRPr="00681F67">
        <w:tab/>
        <w:t>Кроме того, Программа требует, чтобы в процессе обучения учебные з</w:t>
      </w:r>
      <w:r w:rsidRPr="00681F67">
        <w:t>а</w:t>
      </w:r>
      <w:r w:rsidRPr="00681F67">
        <w:t xml:space="preserve">ведения применяли организационные решения, содействующие сотрудничеству и равенству возможностей при обучении. </w:t>
      </w:r>
      <w:r>
        <w:t>В</w:t>
      </w:r>
      <w:r w:rsidRPr="00681F67">
        <w:t xml:space="preserve"> це</w:t>
      </w:r>
      <w:r>
        <w:t>лях</w:t>
      </w:r>
      <w:r w:rsidRPr="00681F67">
        <w:t xml:space="preserve"> предотвращения исключения из</w:t>
      </w:r>
      <w:r>
        <w:t xml:space="preserve"> учебного</w:t>
      </w:r>
      <w:r w:rsidRPr="00681F67">
        <w:t xml:space="preserve"> процесса требуется понимать личность и социально-культурное происхождение учащегося и применять соответствующие педагогические мет</w:t>
      </w:r>
      <w:r w:rsidRPr="00681F67">
        <w:t>о</w:t>
      </w:r>
      <w:r w:rsidRPr="00681F67">
        <w:t>ды, повышающие эффективность обучения.</w:t>
      </w:r>
    </w:p>
    <w:p w:rsidR="00225F7A" w:rsidRPr="00681F67" w:rsidRDefault="00225F7A" w:rsidP="00225F7A">
      <w:pPr>
        <w:pStyle w:val="H23GR"/>
      </w:pPr>
      <w:r>
        <w:tab/>
      </w:r>
      <w:r>
        <w:tab/>
      </w:r>
      <w:r w:rsidRPr="00681F67">
        <w:t>Успеваемость в школах и стимулирование успеваемости учащихся, находящихся в невыгодном положении, в том числе создаваемом множественными факторами, включая учащихся</w:t>
      </w:r>
      <w:r>
        <w:t xml:space="preserve"> из числа</w:t>
      </w:r>
      <w:r w:rsidRPr="00681F67">
        <w:t xml:space="preserve"> рома</w:t>
      </w:r>
    </w:p>
    <w:p w:rsidR="00225F7A" w:rsidRPr="00681F67" w:rsidRDefault="00225F7A" w:rsidP="00225F7A">
      <w:pPr>
        <w:pStyle w:val="SingleTxtGR"/>
      </w:pPr>
      <w:r w:rsidRPr="00681F67">
        <w:t>83.</w:t>
      </w:r>
      <w:r w:rsidRPr="00681F67">
        <w:tab/>
        <w:t>В государственной системе образования не ведется сбор и</w:t>
      </w:r>
      <w:r>
        <w:t>ли</w:t>
      </w:r>
      <w:r w:rsidRPr="00681F67">
        <w:t xml:space="preserve"> регистрация данных об этническом происхождении. Предусмотренные в настоящее время в системе образования меры, которые направлены на улучшение перспектив о</w:t>
      </w:r>
      <w:r w:rsidRPr="00681F67">
        <w:t>б</w:t>
      </w:r>
      <w:r w:rsidRPr="00681F67">
        <w:t>разования, на компенсацию невыгодного положения и повышение успеваемости учащихся в школе, основаны на показателе, который позволяет распознавать учащихся, находящихся в невыгодном положении</w:t>
      </w:r>
      <w:r>
        <w:t xml:space="preserve"> с точки зрения социально-экономических условий</w:t>
      </w:r>
      <w:r w:rsidRPr="00681F67">
        <w:t>, в том числе создаваемом множественными факторами. Этот этнически нейтральный показатель соответствует социально-культурному индексу, применяемому в исследованиях ПМОУ ОЭСР, и учитывает результаты исследований, свидетельствующих о том, что проблемы, с которыми сталкив</w:t>
      </w:r>
      <w:r w:rsidRPr="00681F67">
        <w:t>а</w:t>
      </w:r>
      <w:r w:rsidRPr="00681F67">
        <w:t>ется значительная часть учащихся</w:t>
      </w:r>
      <w:r>
        <w:t xml:space="preserve"> из числа</w:t>
      </w:r>
      <w:r w:rsidRPr="00681F67">
        <w:t xml:space="preserve"> рома (ненадлежащая подготовка к школе, досроч</w:t>
      </w:r>
      <w:r>
        <w:t>ный отсев</w:t>
      </w:r>
      <w:r w:rsidRPr="00681F67">
        <w:t xml:space="preserve"> и т.п.), являются </w:t>
      </w:r>
      <w:r>
        <w:t>следствием</w:t>
      </w:r>
      <w:r w:rsidRPr="00681F67">
        <w:t xml:space="preserve"> не их этнического прои</w:t>
      </w:r>
      <w:r w:rsidRPr="00681F67">
        <w:t>с</w:t>
      </w:r>
      <w:r w:rsidRPr="00681F67">
        <w:t>хождения, а их социальных условий и состояния здоровья</w:t>
      </w:r>
      <w:r w:rsidRPr="00FB7599">
        <w:rPr>
          <w:rStyle w:val="FootnoteReference"/>
        </w:rPr>
        <w:footnoteReference w:id="8"/>
      </w:r>
      <w:r w:rsidRPr="00681F67">
        <w:t xml:space="preserve">. </w:t>
      </w:r>
      <w:r>
        <w:t>Данные</w:t>
      </w:r>
      <w:r w:rsidRPr="00681F67">
        <w:t xml:space="preserve"> о предо</w:t>
      </w:r>
      <w:r w:rsidRPr="00681F67">
        <w:t>с</w:t>
      </w:r>
      <w:r w:rsidRPr="00681F67">
        <w:t>тавлении учащимся</w:t>
      </w:r>
      <w:r>
        <w:t xml:space="preserve"> из числа</w:t>
      </w:r>
      <w:r w:rsidRPr="00681F67">
        <w:t xml:space="preserve"> рома безвозмездных пособий из национальных средств см</w:t>
      </w:r>
      <w:r>
        <w:t xml:space="preserve">. приложение </w:t>
      </w:r>
      <w:r w:rsidRPr="00681F67">
        <w:t xml:space="preserve">4, о безвозмездных пособиях ЕС для учащихся </w:t>
      </w:r>
      <w:r>
        <w:t>из чи</w:t>
      </w:r>
      <w:r>
        <w:t>с</w:t>
      </w:r>
      <w:r>
        <w:t xml:space="preserve">ла рома см. приложение </w:t>
      </w:r>
      <w:r w:rsidRPr="00681F67">
        <w:t>5, а информация об успеваемости девочек и мальчиков в системе государственного образ</w:t>
      </w:r>
      <w:r>
        <w:t xml:space="preserve">ования приводится в приложении </w:t>
      </w:r>
      <w:r w:rsidRPr="00681F67">
        <w:t>6.</w:t>
      </w:r>
    </w:p>
    <w:p w:rsidR="00225F7A" w:rsidRPr="00681F67" w:rsidRDefault="00225F7A" w:rsidP="00225F7A">
      <w:pPr>
        <w:pStyle w:val="SingleTxtGR"/>
      </w:pPr>
      <w:r w:rsidRPr="00681F67">
        <w:t>84.</w:t>
      </w:r>
      <w:r w:rsidRPr="00681F67">
        <w:tab/>
        <w:t xml:space="preserve">В связи с вышеизложенным и </w:t>
      </w:r>
      <w:r>
        <w:t>ввиду того</w:t>
      </w:r>
      <w:r w:rsidRPr="00681F67">
        <w:t>, что собираемые статистические данные являются не личными, а сводными, мы не имеем возможности предст</w:t>
      </w:r>
      <w:r w:rsidRPr="00681F67">
        <w:t>а</w:t>
      </w:r>
      <w:r w:rsidRPr="00681F67">
        <w:t>вить стати</w:t>
      </w:r>
      <w:r>
        <w:t xml:space="preserve">стические данные об отсеве </w:t>
      </w:r>
      <w:r w:rsidRPr="00681F67">
        <w:t>из шко</w:t>
      </w:r>
      <w:r>
        <w:t>л</w:t>
      </w:r>
      <w:r w:rsidRPr="00681F67">
        <w:t xml:space="preserve"> девочек </w:t>
      </w:r>
      <w:r>
        <w:t xml:space="preserve">из числа </w:t>
      </w:r>
      <w:r w:rsidRPr="00681F67">
        <w:t xml:space="preserve">рома или </w:t>
      </w:r>
      <w:r>
        <w:t>о п</w:t>
      </w:r>
      <w:r>
        <w:t>о</w:t>
      </w:r>
      <w:r>
        <w:t>ложении</w:t>
      </w:r>
      <w:r w:rsidRPr="00681F67">
        <w:t xml:space="preserve"> с их обучением у частных преподавателей. </w:t>
      </w:r>
    </w:p>
    <w:p w:rsidR="00225F7A" w:rsidRPr="00681F67" w:rsidRDefault="00225F7A" w:rsidP="00225F7A">
      <w:pPr>
        <w:pStyle w:val="SingleTxtGR"/>
      </w:pPr>
      <w:r w:rsidRPr="00681F67">
        <w:t>85.</w:t>
      </w:r>
      <w:r w:rsidRPr="00681F67">
        <w:tab/>
        <w:t>В Венгрии наблюдается тесная взаимосвязь между</w:t>
      </w:r>
      <w:r>
        <w:t xml:space="preserve"> образовательными</w:t>
      </w:r>
      <w:r w:rsidRPr="00681F67">
        <w:t xml:space="preserve"> возможностями учащихся, их успеваемостью, их последующим выбором пр</w:t>
      </w:r>
      <w:r w:rsidRPr="00681F67">
        <w:t>о</w:t>
      </w:r>
      <w:r w:rsidRPr="00681F67">
        <w:t>фессии, их успе</w:t>
      </w:r>
      <w:r>
        <w:t>хами</w:t>
      </w:r>
      <w:r w:rsidRPr="00681F67">
        <w:t xml:space="preserve"> на рынке труда и</w:t>
      </w:r>
      <w:r>
        <w:t xml:space="preserve"> </w:t>
      </w:r>
      <w:r w:rsidRPr="00681F67">
        <w:t>показателями социаль</w:t>
      </w:r>
      <w:r>
        <w:t>но-экономического</w:t>
      </w:r>
      <w:r w:rsidRPr="00681F67">
        <w:t xml:space="preserve"> происхождения как самих учащихся, так и их семей. С учетом этого задача в </w:t>
      </w:r>
      <w:r>
        <w:t>деле</w:t>
      </w:r>
      <w:r w:rsidRPr="00681F67">
        <w:t xml:space="preserve"> выбора областей</w:t>
      </w:r>
      <w:r>
        <w:t xml:space="preserve"> для</w:t>
      </w:r>
      <w:r w:rsidRPr="00681F67">
        <w:t xml:space="preserve"> принятия мер</w:t>
      </w:r>
      <w:r>
        <w:t xml:space="preserve"> вмешательства</w:t>
      </w:r>
      <w:r w:rsidRPr="00681F67">
        <w:t xml:space="preserve"> и развития школьников заключается в </w:t>
      </w:r>
      <w:r>
        <w:t>сглаживании</w:t>
      </w:r>
      <w:r w:rsidRPr="00681F67">
        <w:t xml:space="preserve"> социальных и </w:t>
      </w:r>
      <w:r>
        <w:t>меж</w:t>
      </w:r>
      <w:r w:rsidRPr="00681F67">
        <w:t>ре</w:t>
      </w:r>
      <w:r>
        <w:t>гиональных различий. Цели заключаются</w:t>
      </w:r>
      <w:r w:rsidRPr="00681F67">
        <w:t xml:space="preserve"> в том, чтобы укреплять ту роль, которую играют системы образ</w:t>
      </w:r>
      <w:r w:rsidRPr="00681F67">
        <w:t>о</w:t>
      </w:r>
      <w:r w:rsidRPr="00681F67">
        <w:t xml:space="preserve">вания и обучения в </w:t>
      </w:r>
      <w:r>
        <w:t>борьбе</w:t>
      </w:r>
      <w:r w:rsidRPr="00681F67">
        <w:t xml:space="preserve"> с социальным </w:t>
      </w:r>
      <w:r>
        <w:t>отчуждением</w:t>
      </w:r>
      <w:r w:rsidRPr="00681F67">
        <w:t xml:space="preserve">, сокращать число детей, досрочно </w:t>
      </w:r>
      <w:r>
        <w:t>покидающих школу</w:t>
      </w:r>
      <w:r w:rsidRPr="00681F67">
        <w:t>, и компенсировать неблагоприятные факторы.</w:t>
      </w:r>
    </w:p>
    <w:p w:rsidR="00225F7A" w:rsidRDefault="00225F7A" w:rsidP="00225F7A">
      <w:pPr>
        <w:pStyle w:val="SingleTxtGR"/>
      </w:pPr>
      <w:r w:rsidRPr="00681F67">
        <w:t>86.</w:t>
      </w:r>
      <w:r w:rsidRPr="00681F67">
        <w:tab/>
        <w:t>Стратегические меры прав</w:t>
      </w:r>
      <w:r>
        <w:t xml:space="preserve">ительства (Национальная стратегия </w:t>
      </w:r>
      <w:r w:rsidRPr="00681F67">
        <w:t>социал</w:t>
      </w:r>
      <w:r w:rsidRPr="00681F67">
        <w:t>ь</w:t>
      </w:r>
      <w:r>
        <w:t>ной интеграции</w:t>
      </w:r>
      <w:r w:rsidRPr="00681F67">
        <w:t xml:space="preserve"> рома</w:t>
      </w:r>
      <w:r w:rsidRPr="00FB7599">
        <w:rPr>
          <w:rStyle w:val="FootnoteReference"/>
        </w:rPr>
        <w:footnoteReference w:id="9"/>
      </w:r>
      <w:r w:rsidRPr="00681F67">
        <w:t>, Стратегия "Legyen Jobb a Gyerekeknek" ("Улучшить жизнь детей</w:t>
      </w:r>
      <w:r>
        <w:t>!</w:t>
      </w:r>
      <w:r w:rsidRPr="00681F67">
        <w:t>")</w:t>
      </w:r>
      <w:r w:rsidRPr="00FB7599">
        <w:rPr>
          <w:rStyle w:val="FootnoteReference"/>
        </w:rPr>
        <w:footnoteReference w:id="10"/>
      </w:r>
      <w:r w:rsidRPr="00681F67">
        <w:t>, Стратегический план Программы десятилетия интеграции р</w:t>
      </w:r>
      <w:r w:rsidRPr="00681F67">
        <w:t>о</w:t>
      </w:r>
      <w:r w:rsidRPr="00681F67">
        <w:t>ма</w:t>
      </w:r>
      <w:r w:rsidRPr="00FB7599">
        <w:rPr>
          <w:rStyle w:val="FootnoteReference"/>
        </w:rPr>
        <w:footnoteReference w:id="11"/>
      </w:r>
      <w:r w:rsidRPr="00681F67">
        <w:t xml:space="preserve"> и меры ТАМОП направлены на поддержку достижения этих целей, </w:t>
      </w:r>
      <w:r>
        <w:t>пр</w:t>
      </w:r>
      <w:r>
        <w:t>и</w:t>
      </w:r>
      <w:r>
        <w:t xml:space="preserve">чем </w:t>
      </w:r>
      <w:r w:rsidRPr="00681F67">
        <w:t>особое внимание уделяется и</w:t>
      </w:r>
      <w:r>
        <w:t>м и</w:t>
      </w:r>
      <w:r w:rsidRPr="00681F67">
        <w:t xml:space="preserve"> в Национальной программе реформ в </w:t>
      </w:r>
      <w:r>
        <w:t>интер</w:t>
      </w:r>
      <w:r>
        <w:t>е</w:t>
      </w:r>
      <w:r>
        <w:t>сах</w:t>
      </w:r>
      <w:r w:rsidRPr="00681F67">
        <w:t xml:space="preserve"> осуществления задач ЕС</w:t>
      </w:r>
      <w:r>
        <w:t>-</w:t>
      </w:r>
      <w:r w:rsidRPr="00681F67">
        <w:t>2020.</w:t>
      </w:r>
    </w:p>
    <w:p w:rsidR="00E56973" w:rsidRPr="00164369" w:rsidRDefault="00E56973" w:rsidP="00E56973">
      <w:pPr>
        <w:pStyle w:val="SingleTxtGR"/>
      </w:pPr>
      <w:r>
        <w:t>87.</w:t>
      </w:r>
      <w:r>
        <w:tab/>
        <w:t>Повышению успеваемости в школе содействует укрепление системы о</w:t>
      </w:r>
      <w:r>
        <w:t>б</w:t>
      </w:r>
      <w:r>
        <w:t>разов</w:t>
      </w:r>
      <w:r>
        <w:t>а</w:t>
      </w:r>
      <w:r>
        <w:t>ния в раннем детстве: введение более раннего возраста для обязательного зачисления в дошкольные учреждения (3 года, начиная с 2014 года), инициир</w:t>
      </w:r>
      <w:r>
        <w:t>о</w:t>
      </w:r>
      <w:r>
        <w:t>ванные в конце 2011 года проекты по увеличению числа дошкольных учрежд</w:t>
      </w:r>
      <w:r>
        <w:t>е</w:t>
      </w:r>
      <w:r>
        <w:t xml:space="preserve">ний </w:t>
      </w:r>
      <w:r w:rsidRPr="00BD5A0F">
        <w:t>(DAOP-4.2.1-11, ÉAOP-4.1.1/A-11, ÉMOP-4.3.1/A-11, KMOP-4.6.1-11),</w:t>
      </w:r>
      <w:r>
        <w:t xml:space="preserve"> ок</w:t>
      </w:r>
      <w:r>
        <w:t>а</w:t>
      </w:r>
      <w:r>
        <w:t>зание поддержки детям, находящимся в невыгодном положении в результате действия множественных факторов, в пос</w:t>
      </w:r>
      <w:r>
        <w:t>е</w:t>
      </w:r>
      <w:r>
        <w:t>щении дошкольных учреждений, обязательное посещение дошкольных заведений детьми, находящимися в нев</w:t>
      </w:r>
      <w:r>
        <w:t>ы</w:t>
      </w:r>
      <w:r>
        <w:t>годном положении, вызванном множественными факторами, и программа ра</w:t>
      </w:r>
      <w:r>
        <w:t>з</w:t>
      </w:r>
      <w:r>
        <w:t>вития дошкол</w:t>
      </w:r>
      <w:r>
        <w:t>ь</w:t>
      </w:r>
      <w:r w:rsidR="00164369">
        <w:t>ных заведений.</w:t>
      </w:r>
    </w:p>
    <w:p w:rsidR="00E56973" w:rsidRPr="00164369" w:rsidRDefault="00E56973" w:rsidP="00E56973">
      <w:pPr>
        <w:pStyle w:val="SingleTxtGR"/>
      </w:pPr>
      <w:r>
        <w:t>88.</w:t>
      </w:r>
      <w:r>
        <w:tab/>
        <w:t>В Национальной общеобразовательной программе особое внимание уд</w:t>
      </w:r>
      <w:r>
        <w:t>е</w:t>
      </w:r>
      <w:r>
        <w:t>ляется совершенствованию привития базовых навыков, что позволяет впосле</w:t>
      </w:r>
      <w:r>
        <w:t>д</w:t>
      </w:r>
      <w:r>
        <w:t>ствии повысить успеваемость и снизить риск досро</w:t>
      </w:r>
      <w:r w:rsidR="00164369">
        <w:t>чного отсева учащихся из школы.</w:t>
      </w:r>
    </w:p>
    <w:p w:rsidR="00E56973" w:rsidRPr="00164369" w:rsidRDefault="00E56973" w:rsidP="00E56973">
      <w:pPr>
        <w:pStyle w:val="SingleTxtGR"/>
      </w:pPr>
      <w:r>
        <w:t>89.</w:t>
      </w:r>
      <w:r>
        <w:tab/>
        <w:t>Успеваемость учащихся из групп населения, находящихся в невыгодном положении, в том числе вызванном множественными факторами, обеспечивае</w:t>
      </w:r>
      <w:r>
        <w:t>т</w:t>
      </w:r>
      <w:r>
        <w:t>ся за счет привития навыков и осуществления программы интеграции (см. п</w:t>
      </w:r>
      <w:r>
        <w:t>о</w:t>
      </w:r>
      <w:r>
        <w:t>становление № 20/2012 (</w:t>
      </w:r>
      <w:r>
        <w:rPr>
          <w:lang w:val="en-US"/>
        </w:rPr>
        <w:t>VIII</w:t>
      </w:r>
      <w:r>
        <w:t>.31) Министерства людских ресурсов). Области, которые укрепляются с помощью мер, направленных на противодействие ра</w:t>
      </w:r>
      <w:r>
        <w:t>з</w:t>
      </w:r>
      <w:r>
        <w:t>личным факторам, обусловливающим невыгодное положение в связи с соц</w:t>
      </w:r>
      <w:r>
        <w:t>и</w:t>
      </w:r>
      <w:r>
        <w:t>альным статусом учащихся и уровнем их развития, я</w:t>
      </w:r>
      <w:r>
        <w:t>в</w:t>
      </w:r>
      <w:r>
        <w:t>ляются следующими: комплексное обучение, институциональное развитие, педагогическое новато</w:t>
      </w:r>
      <w:r>
        <w:t>р</w:t>
      </w:r>
      <w:r>
        <w:t>ство, поддержка индивидуального обучения учащихся, принадлежащих к гру</w:t>
      </w:r>
      <w:r>
        <w:t>п</w:t>
      </w:r>
      <w:r>
        <w:t>пам населения, находящимся в невыгодном положении, под воздействием мн</w:t>
      </w:r>
      <w:r>
        <w:t>о</w:t>
      </w:r>
      <w:r>
        <w:t>жественных факторов, взаимодействие между школой и социальной средой и усиленный акцент на поддержании контактов с родит</w:t>
      </w:r>
      <w:r>
        <w:t>е</w:t>
      </w:r>
      <w:r w:rsidR="00164369">
        <w:t>лями.</w:t>
      </w:r>
    </w:p>
    <w:p w:rsidR="00E56973" w:rsidRPr="00164369" w:rsidRDefault="00E56973" w:rsidP="00E56973">
      <w:pPr>
        <w:pStyle w:val="SingleTxtGR"/>
      </w:pPr>
      <w:r>
        <w:t>90.</w:t>
      </w:r>
      <w:r>
        <w:tab/>
        <w:t>В настоящее время данная программа охватывает примерно четверть н</w:t>
      </w:r>
      <w:r>
        <w:t>а</w:t>
      </w:r>
      <w:r>
        <w:t>чальных школ и более 70 000 учащихся; из центрального бюджета на ее по</w:t>
      </w:r>
      <w:r>
        <w:t>д</w:t>
      </w:r>
      <w:r>
        <w:t>держку выделяе</w:t>
      </w:r>
      <w:r>
        <w:t>т</w:t>
      </w:r>
      <w:r>
        <w:t>ся пример</w:t>
      </w:r>
      <w:r w:rsidR="00164369">
        <w:t>но 7 млрд. венгерских форинтов.</w:t>
      </w:r>
    </w:p>
    <w:p w:rsidR="00E56973" w:rsidRPr="00164369" w:rsidRDefault="00E56973" w:rsidP="00E56973">
      <w:pPr>
        <w:pStyle w:val="SingleTxtGR"/>
      </w:pPr>
      <w:r>
        <w:t>91.</w:t>
      </w:r>
      <w:r>
        <w:tab/>
        <w:t>После введения в действие новой системы государственного образования в рамках программы "</w:t>
      </w:r>
      <w:r w:rsidRPr="005C5B2B">
        <w:t>Híd</w:t>
      </w:r>
      <w:r>
        <w:t xml:space="preserve">" ("Мост"), которая будет осуществляться начиная с сентября 2013 года (Закон </w:t>
      </w:r>
      <w:r>
        <w:rPr>
          <w:lang w:val="en-US"/>
        </w:rPr>
        <w:t>CXC</w:t>
      </w:r>
      <w:r>
        <w:t xml:space="preserve"> 2011 года, пункт 14), будет обеспечена возмо</w:t>
      </w:r>
      <w:r>
        <w:t>ж</w:t>
      </w:r>
      <w:r>
        <w:t>ность организовать обучение в течение одного дополнительного года в целях наверстывания упущенного для завершения учащимися начального образов</w:t>
      </w:r>
      <w:r>
        <w:t>а</w:t>
      </w:r>
      <w:r>
        <w:t>ния и содействия обеспечению их успеваемости в профессиональных учил</w:t>
      </w:r>
      <w:r>
        <w:t>и</w:t>
      </w:r>
      <w:r>
        <w:t>щах, стимулирования возобновления прерванного образования и увеличения числа людей, имеющих профессиональную квал</w:t>
      </w:r>
      <w:r>
        <w:t>и</w:t>
      </w:r>
      <w:r w:rsidR="00164369">
        <w:t>фикацию.</w:t>
      </w:r>
    </w:p>
    <w:p w:rsidR="00E56973" w:rsidRPr="00164369" w:rsidRDefault="00E56973" w:rsidP="00E56973">
      <w:pPr>
        <w:pStyle w:val="SingleTxtGR"/>
      </w:pPr>
      <w:r>
        <w:t>92.</w:t>
      </w:r>
      <w:r>
        <w:tab/>
        <w:t>Чтобы обеспечить упорядоченный переход учащихся к системе среднего образования и их успех при дальнейшем обучении, требуются определенные финансовые расходы, что связано с трудностями для многих семей. Для соде</w:t>
      </w:r>
      <w:r>
        <w:t>й</w:t>
      </w:r>
      <w:r>
        <w:t>ствия решению этой проблемы предусмотрены программы, которые обеспеч</w:t>
      </w:r>
      <w:r>
        <w:t>и</w:t>
      </w:r>
      <w:r>
        <w:t>вают возможности учащимся из групп населения, находящихся в невыгодном положении, в том числе вызванном множественными факторами, которые н</w:t>
      </w:r>
      <w:r>
        <w:t>а</w:t>
      </w:r>
      <w:r>
        <w:t>правлены на содействие успеваемости на индивидуальной основе с применен</w:t>
      </w:r>
      <w:r>
        <w:t>и</w:t>
      </w:r>
      <w:r>
        <w:t>ем современных и дифференцированных педагогич</w:t>
      </w:r>
      <w:r>
        <w:t>е</w:t>
      </w:r>
      <w:r>
        <w:t>ских методов, включая предоставление индивидуальных наставников (программы "</w:t>
      </w:r>
      <w:r w:rsidRPr="006B0CA2">
        <w:t>Arany János", "Tanoda" ("</w:t>
      </w:r>
      <w:r>
        <w:t>Учебный центр</w:t>
      </w:r>
      <w:r w:rsidRPr="006B0CA2">
        <w:t>") (</w:t>
      </w:r>
      <w:r>
        <w:t>ТАМОП</w:t>
      </w:r>
      <w:r w:rsidRPr="006B0CA2">
        <w:t xml:space="preserve"> 3.3.9) </w:t>
      </w:r>
      <w:r>
        <w:t>и программы безвозмездного ф</w:t>
      </w:r>
      <w:r>
        <w:t>и</w:t>
      </w:r>
      <w:r>
        <w:t>нансир</w:t>
      </w:r>
      <w:r>
        <w:t>о</w:t>
      </w:r>
      <w:r>
        <w:t>вания</w:t>
      </w:r>
      <w:r w:rsidRPr="006B0CA2">
        <w:t xml:space="preserve"> ("</w:t>
      </w:r>
      <w:proofErr w:type="spellStart"/>
      <w:r w:rsidRPr="006B0CA2">
        <w:t>Útravaló</w:t>
      </w:r>
      <w:proofErr w:type="spellEnd"/>
      <w:r w:rsidRPr="006B0CA2">
        <w:t>")</w:t>
      </w:r>
      <w:r w:rsidR="00164369">
        <w:t>).</w:t>
      </w:r>
    </w:p>
    <w:p w:rsidR="00E56973" w:rsidRPr="00164369" w:rsidRDefault="00E56973" w:rsidP="00E56973">
      <w:pPr>
        <w:pStyle w:val="SingleTxtGR"/>
      </w:pPr>
      <w:r>
        <w:t>93.</w:t>
      </w:r>
      <w:r>
        <w:tab/>
        <w:t xml:space="preserve">Цель осуществления программ "Второй шанс" </w:t>
      </w:r>
      <w:r w:rsidRPr="006B0CA2">
        <w:t>(</w:t>
      </w:r>
      <w:r>
        <w:t>ТАМОП</w:t>
      </w:r>
      <w:r w:rsidRPr="006B0CA2">
        <w:t xml:space="preserve"> 3.3.9)</w:t>
      </w:r>
      <w:r>
        <w:t xml:space="preserve"> заключае</w:t>
      </w:r>
      <w:r>
        <w:t>т</w:t>
      </w:r>
      <w:r>
        <w:t>ся в том, чтобы помочь учащимся, не завершившим среднее образование, в</w:t>
      </w:r>
      <w:r>
        <w:t>ы</w:t>
      </w:r>
      <w:r>
        <w:t>бывшим из школьной системы и в некоторых случаях имеющих возраст, пр</w:t>
      </w:r>
      <w:r>
        <w:t>е</w:t>
      </w:r>
      <w:r>
        <w:t>вышающий возраст обяз</w:t>
      </w:r>
      <w:r>
        <w:t>а</w:t>
      </w:r>
      <w:r>
        <w:t>тельного образования, получить среднее образование и содействовать их успешному обучению посредством применения новых мет</w:t>
      </w:r>
      <w:r>
        <w:t>о</w:t>
      </w:r>
      <w:r>
        <w:t>дов поддержки обучения, основанных на учете индив</w:t>
      </w:r>
      <w:r>
        <w:t>и</w:t>
      </w:r>
      <w:r w:rsidR="00164369">
        <w:t>дуальных потребностей.</w:t>
      </w:r>
    </w:p>
    <w:p w:rsidR="00E56973" w:rsidRPr="00164369" w:rsidRDefault="00E56973" w:rsidP="00E56973">
      <w:pPr>
        <w:pStyle w:val="SingleTxtGR"/>
      </w:pPr>
      <w:r>
        <w:t>94.</w:t>
      </w:r>
      <w:r>
        <w:tab/>
        <w:t>Поддерживаемые ЕС меры укрепления функции равенства возможностей в сист</w:t>
      </w:r>
      <w:r>
        <w:t>е</w:t>
      </w:r>
      <w:r>
        <w:t>ме образования направлены на повышение качества услуг образования и на содейс</w:t>
      </w:r>
      <w:r>
        <w:t>т</w:t>
      </w:r>
      <w:r>
        <w:t>вие сотрудничеству между профессиональной и социальной средой в соответствующих заведениях с использованием программ и всеобъемлющих мероприятий, которые, в частности, ориентированы на находящиеся в невыго</w:t>
      </w:r>
      <w:r>
        <w:t>д</w:t>
      </w:r>
      <w:r>
        <w:t>ном положении реги</w:t>
      </w:r>
      <w:r>
        <w:t>о</w:t>
      </w:r>
      <w:r w:rsidR="00164369">
        <w:t>ны.</w:t>
      </w:r>
    </w:p>
    <w:p w:rsidR="00E56973" w:rsidRPr="00164369" w:rsidRDefault="00E56973" w:rsidP="00E56973">
      <w:pPr>
        <w:pStyle w:val="SingleTxtGR"/>
      </w:pPr>
      <w:r>
        <w:t>95.</w:t>
      </w:r>
      <w:r>
        <w:tab/>
        <w:t>Задачи приоритетного проекта ТАМОП 3.3.1 "Равенство возможностей и интеграция в сфере образования" заключаются в том, чтобы способствовать у</w:t>
      </w:r>
      <w:r>
        <w:t>с</w:t>
      </w:r>
      <w:r>
        <w:t>певаемости учащихся, принадлежащих к группам населения, находящимся в невыгодном положении, вызванном множественными факторами, в разработке соответствующих учебных программ и в повышении профессиональной квал</w:t>
      </w:r>
      <w:r>
        <w:t>и</w:t>
      </w:r>
      <w:r>
        <w:t>фикации для достижения этого, в поддержании необходимого профессионал</w:t>
      </w:r>
      <w:r>
        <w:t>ь</w:t>
      </w:r>
      <w:r>
        <w:t>ного потенциала, гармонизации и распростр</w:t>
      </w:r>
      <w:r>
        <w:t>а</w:t>
      </w:r>
      <w:r>
        <w:t>нения опыта государственных учебных заведений и центральных органов, а также в обеспечении качества с</w:t>
      </w:r>
      <w:r>
        <w:t>о</w:t>
      </w:r>
      <w:r w:rsidR="00164369">
        <w:t>ответствующих программ.</w:t>
      </w:r>
    </w:p>
    <w:p w:rsidR="00E56973" w:rsidRPr="0066575C" w:rsidRDefault="00E56973" w:rsidP="00E56973">
      <w:pPr>
        <w:pStyle w:val="H1GR"/>
      </w:pPr>
      <w:r w:rsidRPr="00E56973">
        <w:tab/>
      </w:r>
      <w:r w:rsidRPr="00E56973">
        <w:tab/>
      </w:r>
      <w:r>
        <w:t>Занятость</w:t>
      </w:r>
    </w:p>
    <w:p w:rsidR="00E56973" w:rsidRDefault="00E56973" w:rsidP="00E56973">
      <w:pPr>
        <w:pStyle w:val="H23GR"/>
      </w:pPr>
      <w:r w:rsidRPr="00E56973">
        <w:tab/>
      </w:r>
      <w:r w:rsidRPr="00E56973">
        <w:tab/>
      </w:r>
      <w:r w:rsidRPr="0066575C">
        <w:t>Ответ на вопросы, поставленные в пункте 14 перечня вопросов</w:t>
      </w:r>
    </w:p>
    <w:p w:rsidR="00E56973" w:rsidRPr="0066575C" w:rsidRDefault="00E56973" w:rsidP="00E56973">
      <w:pPr>
        <w:pStyle w:val="H23GR"/>
      </w:pPr>
      <w:r w:rsidRPr="00E56973">
        <w:tab/>
      </w:r>
      <w:r w:rsidRPr="00E56973">
        <w:tab/>
      </w:r>
      <w:r>
        <w:t>Женщины-предприниматели</w:t>
      </w:r>
    </w:p>
    <w:p w:rsidR="00E56973" w:rsidRPr="00164369" w:rsidRDefault="00E56973" w:rsidP="00E56973">
      <w:pPr>
        <w:pStyle w:val="SingleTxtGR"/>
      </w:pPr>
      <w:r>
        <w:t>96.</w:t>
      </w:r>
      <w:r>
        <w:tab/>
        <w:t>В период с 2007 по 2011 год происходило непрерывное сокращение числа женщин-предпринимателей. Данные ЦСУ свидетельствуют о том, что в Вен</w:t>
      </w:r>
      <w:r>
        <w:t>г</w:t>
      </w:r>
      <w:r>
        <w:t>рии в 2011 году было 138 200 женщин-предпринимателей, что почти на 9 000 меньше, чем в 2010 году. Среди причин такого сокращения следует отметить экономический кризис, кот</w:t>
      </w:r>
      <w:r>
        <w:t>о</w:t>
      </w:r>
      <w:r>
        <w:t>рый привел к закрытию многих микро- и малых предприятий (за этот период число мужчин-предпринимателей также сократ</w:t>
      </w:r>
      <w:r>
        <w:t>и</w:t>
      </w:r>
      <w:r>
        <w:t>лось, хотя и не так резко). Доля женщин среди пре</w:t>
      </w:r>
      <w:r>
        <w:t>д</w:t>
      </w:r>
      <w:r>
        <w:t>принимателей колебалась от 31% до 32% и в 2011 году составляла 31,2%. Это означает, что долю женщин среди предпринимателей можно считать более или менее неизме</w:t>
      </w:r>
      <w:r>
        <w:t>н</w:t>
      </w:r>
      <w:r w:rsidR="00164369">
        <w:t>ной.</w:t>
      </w:r>
    </w:p>
    <w:p w:rsidR="00E56973" w:rsidRDefault="00E56973" w:rsidP="00E56973">
      <w:pPr>
        <w:pStyle w:val="H23GR"/>
      </w:pPr>
      <w:r w:rsidRPr="00E56973">
        <w:tab/>
      </w:r>
      <w:r w:rsidRPr="00E56973">
        <w:tab/>
      </w:r>
      <w:proofErr w:type="spellStart"/>
      <w:r>
        <w:t>Гендерные</w:t>
      </w:r>
      <w:proofErr w:type="spellEnd"/>
      <w:r>
        <w:t xml:space="preserve"> различия в заработной плате и меры, принимаемые для стимулирования применения принципа равной платы за труд равной ценности</w:t>
      </w:r>
    </w:p>
    <w:p w:rsidR="00E56973" w:rsidRPr="00164369" w:rsidRDefault="00E56973" w:rsidP="00E56973">
      <w:pPr>
        <w:pStyle w:val="SingleTxtGR"/>
      </w:pPr>
      <w:r>
        <w:t>97.</w:t>
      </w:r>
      <w:r>
        <w:tab/>
        <w:t>Данные обследования рабочей силы (ОРС) Евростата свидетельствуют о следующих различиях в оплате труда мужчин и женщин: в 2007 году − 16,3%, в 2008 году − 17,5%, в 2009 году − 17,1% и в 2010 году − 17,6%. Данные за 2011 год пока отсутствуют. Таким образом, согласно данным Евростата начиная с 2007 года разрыв в оплате труда между женщинами и мужчинами составляет примерно 17%, что близко к средн</w:t>
      </w:r>
      <w:r>
        <w:t>е</w:t>
      </w:r>
      <w:r w:rsidR="00164369">
        <w:t>му показателю по ЕС.</w:t>
      </w:r>
    </w:p>
    <w:p w:rsidR="00E56973" w:rsidRDefault="00E56973" w:rsidP="00E56973">
      <w:pPr>
        <w:pStyle w:val="SingleTxtGR"/>
      </w:pPr>
      <w:r>
        <w:t>98.</w:t>
      </w:r>
      <w:r>
        <w:tab/>
        <w:t>В то же время следует отметить, что, судя по другим источникам стат</w:t>
      </w:r>
      <w:r>
        <w:t>и</w:t>
      </w:r>
      <w:r>
        <w:t>стических данных, разница в оплате труда мужчин и женщин в Венгрии ниже этого показателя. Исходя из ежегодных данных ЦСУ, в 2007 году она составляла 14,6%, в 2008 году − 13,2%, в 2009 году − 13,7%, в 2010 году − 14,8% и в 2011 году − 14,8%. Согласно статистическим данным, подготовленным ОЭСР, разн</w:t>
      </w:r>
      <w:r>
        <w:t>и</w:t>
      </w:r>
      <w:r>
        <w:t>ца в оплате труда мужчин и женщин еще менее значительна. Данные ОЭСР свидетельствуют о различии на уровне 3,6% в 2008 году, 3,9% в 2009 г</w:t>
      </w:r>
      <w:r>
        <w:t>о</w:t>
      </w:r>
      <w:r>
        <w:t>ду и 6,4% в 2010 году. Такие расхождения в данных объясняются различиями в методах расчетов, в структуре данных и в учитываемых компонентах оплаты труда, в использовании тех или иных единиц времени и средних пок</w:t>
      </w:r>
      <w:r>
        <w:t>а</w:t>
      </w:r>
      <w:r>
        <w:t>зателей.</w:t>
      </w:r>
    </w:p>
    <w:p w:rsidR="00E56973" w:rsidRPr="00164369" w:rsidRDefault="00E56973" w:rsidP="00E56973">
      <w:pPr>
        <w:pStyle w:val="SingleTxtGR"/>
      </w:pPr>
      <w:r>
        <w:t>99.</w:t>
      </w:r>
      <w:r>
        <w:tab/>
        <w:t>По данным ЦСУ, до 2002 года различия в оплате труда между мужчинами и женщинами на основе среднего совокупного заработка на уровне национал</w:t>
      </w:r>
      <w:r>
        <w:t>ь</w:t>
      </w:r>
      <w:r>
        <w:t>ной экономики превышали 20%. Значительное сокращение этой разницы в п</w:t>
      </w:r>
      <w:r>
        <w:t>е</w:t>
      </w:r>
      <w:r>
        <w:t>риод после 2002 года до примерно 10−11% объясняется главным образом сущ</w:t>
      </w:r>
      <w:r>
        <w:t>е</w:t>
      </w:r>
      <w:r>
        <w:t>ственным повышением зарабо</w:t>
      </w:r>
      <w:r>
        <w:t>т</w:t>
      </w:r>
      <w:r>
        <w:t>ной платы трудящихся государственного сектора в 2001−2003 годах (например, пов</w:t>
      </w:r>
      <w:r>
        <w:t>ы</w:t>
      </w:r>
      <w:r>
        <w:t>шением окладов гражданских служащих почти на 50%), что привело к повышению средней заработной платы главным образом женщин. (Это объясняется тем, что</w:t>
      </w:r>
      <w:r w:rsidRPr="00CC54B7">
        <w:t xml:space="preserve"> </w:t>
      </w:r>
      <w:r>
        <w:t>в государственном секторе женщ</w:t>
      </w:r>
      <w:r>
        <w:t>и</w:t>
      </w:r>
      <w:r>
        <w:t>ны составляют 68% занятых, а в частном секторе на них приходится лишь 38%.)</w:t>
      </w:r>
    </w:p>
    <w:p w:rsidR="0033640E" w:rsidRPr="001221B7" w:rsidRDefault="0033640E" w:rsidP="0033640E">
      <w:pPr>
        <w:pStyle w:val="SingleTxtGR"/>
      </w:pPr>
      <w:r w:rsidRPr="001221B7">
        <w:t>100.</w:t>
      </w:r>
      <w:r w:rsidRPr="001221B7">
        <w:tab/>
        <w:t>С нашей точки</w:t>
      </w:r>
      <w:r>
        <w:t xml:space="preserve"> зрения разница между заработк</w:t>
      </w:r>
      <w:r w:rsidRPr="001221B7">
        <w:t>ами женщин и мужчин в Венгрии, измеряемая при помощи различных статистических методов и показ</w:t>
      </w:r>
      <w:r w:rsidRPr="001221B7">
        <w:t>а</w:t>
      </w:r>
      <w:r w:rsidRPr="001221B7">
        <w:t>телей, лишь в весьма ограниченной степени объясняется практикой, наруша</w:t>
      </w:r>
      <w:r w:rsidRPr="001221B7">
        <w:t>ю</w:t>
      </w:r>
      <w:r w:rsidRPr="001221B7">
        <w:t>щей правовые обязательства и принцип равной оплаты труда мужчин и же</w:t>
      </w:r>
      <w:r w:rsidRPr="001221B7">
        <w:t>н</w:t>
      </w:r>
      <w:r>
        <w:t>щин</w:t>
      </w:r>
      <w:r w:rsidRPr="001221B7">
        <w:t xml:space="preserve"> </w:t>
      </w:r>
      <w:r>
        <w:t>и</w:t>
      </w:r>
      <w:r w:rsidRPr="001221B7">
        <w:t xml:space="preserve"> прямо отража</w:t>
      </w:r>
      <w:r>
        <w:t>ющейся</w:t>
      </w:r>
      <w:r w:rsidRPr="001221B7">
        <w:t xml:space="preserve"> на их заработной плате. Различия объясняются главным образом такими другими факторами, как работа в условиях разных структур з</w:t>
      </w:r>
      <w:r w:rsidRPr="001221B7">
        <w:t>а</w:t>
      </w:r>
      <w:r w:rsidRPr="001221B7">
        <w:t>нятости, качество работы, условия труда и т.п. Все меры и программы, осущ</w:t>
      </w:r>
      <w:r w:rsidRPr="001221B7">
        <w:t>е</w:t>
      </w:r>
      <w:r w:rsidRPr="001221B7">
        <w:t xml:space="preserve">ствляемые в целях стимулирования равенства и охватывающие широкий круг женщин, также положительно отражаются на заработной плате женщин. </w:t>
      </w:r>
    </w:p>
    <w:p w:rsidR="0033640E" w:rsidRPr="001221B7" w:rsidRDefault="0033640E" w:rsidP="0033640E">
      <w:pPr>
        <w:pStyle w:val="SingleTxtGR"/>
      </w:pPr>
      <w:r w:rsidRPr="001221B7">
        <w:t>101.</w:t>
      </w:r>
      <w:r w:rsidRPr="001221B7">
        <w:tab/>
        <w:t xml:space="preserve">В Венгрии </w:t>
      </w:r>
      <w:r>
        <w:t>работодатели не обязаны</w:t>
      </w:r>
      <w:r w:rsidRPr="001221B7">
        <w:t xml:space="preserve"> осуществлять сбор данных о зар</w:t>
      </w:r>
      <w:r w:rsidRPr="001221B7">
        <w:t>а</w:t>
      </w:r>
      <w:r w:rsidRPr="001221B7">
        <w:t>ботной плате</w:t>
      </w:r>
      <w:r>
        <w:t xml:space="preserve"> своих работников</w:t>
      </w:r>
      <w:r w:rsidRPr="001221B7">
        <w:t xml:space="preserve"> с гендерной разбивкой, и любые различия </w:t>
      </w:r>
      <w:r>
        <w:t xml:space="preserve">в </w:t>
      </w:r>
      <w:r w:rsidRPr="001221B7">
        <w:t>з</w:t>
      </w:r>
      <w:r w:rsidRPr="001221B7">
        <w:t>а</w:t>
      </w:r>
      <w:r w:rsidRPr="001221B7">
        <w:t>работной пла</w:t>
      </w:r>
      <w:r>
        <w:t>те</w:t>
      </w:r>
      <w:r w:rsidRPr="001221B7">
        <w:t xml:space="preserve"> рассматриваются путем сравнения ра</w:t>
      </w:r>
      <w:r w:rsidRPr="001221B7">
        <w:t>з</w:t>
      </w:r>
      <w:r w:rsidRPr="001221B7">
        <w:t>личных должностей и профессий, а также посредством анализа ценности выполняемой работы. В с</w:t>
      </w:r>
      <w:r w:rsidRPr="001221B7">
        <w:t>и</w:t>
      </w:r>
      <w:r w:rsidRPr="001221B7">
        <w:t>лу этого во время переговоров по коллективным договорам о заработной плате не возникает вопрос о правовых обязательствах, касающихся гендерных аспе</w:t>
      </w:r>
      <w:r w:rsidRPr="001221B7">
        <w:t>к</w:t>
      </w:r>
      <w:r w:rsidRPr="001221B7">
        <w:t>тов, или их выполнения работодателем. В то же время в рамках переговоров по коллективным договорам о заработной плате социальные партнеры имеют пр</w:t>
      </w:r>
      <w:r w:rsidRPr="001221B7">
        <w:t>а</w:t>
      </w:r>
      <w:r w:rsidRPr="001221B7">
        <w:t>во вести переговоры по проблемам, связанным с зараб</w:t>
      </w:r>
      <w:r>
        <w:t>отной платой мужчин и женщин.</w:t>
      </w:r>
      <w:r w:rsidRPr="001221B7">
        <w:t xml:space="preserve"> </w:t>
      </w:r>
      <w:r>
        <w:t>Тем не м</w:t>
      </w:r>
      <w:r>
        <w:t>е</w:t>
      </w:r>
      <w:r>
        <w:t xml:space="preserve">нее </w:t>
      </w:r>
      <w:r w:rsidRPr="001221B7">
        <w:t xml:space="preserve">у нас нет информации о том, обсуждался </w:t>
      </w:r>
      <w:r>
        <w:t>ли в</w:t>
      </w:r>
      <w:r w:rsidRPr="001221B7">
        <w:t xml:space="preserve"> последнее время данный вопрос фактически в ходе переговоров о заработной плате</w:t>
      </w:r>
      <w:r>
        <w:t xml:space="preserve"> в о</w:t>
      </w:r>
      <w:r>
        <w:t>т</w:t>
      </w:r>
      <w:r>
        <w:t>дельных секторах</w:t>
      </w:r>
      <w:r w:rsidRPr="001221B7">
        <w:t xml:space="preserve"> или на </w:t>
      </w:r>
      <w:r>
        <w:t xml:space="preserve">конкретных </w:t>
      </w:r>
      <w:r w:rsidRPr="001221B7">
        <w:t>раб</w:t>
      </w:r>
      <w:r w:rsidRPr="001221B7">
        <w:t>о</w:t>
      </w:r>
      <w:r w:rsidRPr="001221B7">
        <w:t>чих местах.</w:t>
      </w:r>
    </w:p>
    <w:p w:rsidR="0033640E" w:rsidRPr="001221B7" w:rsidRDefault="0033640E" w:rsidP="0033640E">
      <w:pPr>
        <w:pStyle w:val="SingleTxtGR"/>
      </w:pPr>
      <w:r w:rsidRPr="001221B7">
        <w:t>102.</w:t>
      </w:r>
      <w:r w:rsidRPr="001221B7">
        <w:tab/>
        <w:t xml:space="preserve">На основе данных, </w:t>
      </w:r>
      <w:r>
        <w:t>полученных с помощью</w:t>
      </w:r>
      <w:r w:rsidRPr="001221B7">
        <w:t xml:space="preserve"> системы обязательной рег</w:t>
      </w:r>
      <w:r w:rsidRPr="001221B7">
        <w:t>и</w:t>
      </w:r>
      <w:r w:rsidRPr="001221B7">
        <w:t>страции коллективных д</w:t>
      </w:r>
      <w:r w:rsidRPr="001221B7">
        <w:t>о</w:t>
      </w:r>
      <w:r w:rsidRPr="001221B7">
        <w:t>говоров, можно установить, что в 2007 году в 18%</w:t>
      </w:r>
      <w:r>
        <w:t> </w:t>
      </w:r>
      <w:r w:rsidRPr="001221B7">
        <w:t>коллективных договоров с работодателями</w:t>
      </w:r>
      <w:r>
        <w:t xml:space="preserve"> в деловом секторе</w:t>
      </w:r>
      <w:r w:rsidRPr="001221B7">
        <w:t xml:space="preserve"> содержались п</w:t>
      </w:r>
      <w:r w:rsidRPr="001221B7">
        <w:t>о</w:t>
      </w:r>
      <w:r w:rsidRPr="001221B7">
        <w:t>ложения, относящиеся конкретно к женщинам, на которых приходилось 16%</w:t>
      </w:r>
      <w:r>
        <w:t> </w:t>
      </w:r>
      <w:r w:rsidRPr="001221B7">
        <w:t>тех, на кого распространялись такие коллективные договоры</w:t>
      </w:r>
      <w:r>
        <w:t>,</w:t>
      </w:r>
      <w:r w:rsidRPr="001221B7">
        <w:t xml:space="preserve"> и 4% общего числа работников компаний,</w:t>
      </w:r>
      <w:r>
        <w:t xml:space="preserve"> штат</w:t>
      </w:r>
      <w:r w:rsidRPr="001221B7">
        <w:t xml:space="preserve"> которых состав</w:t>
      </w:r>
      <w:r>
        <w:t>лял</w:t>
      </w:r>
      <w:r w:rsidRPr="001221B7">
        <w:t xml:space="preserve"> не м</w:t>
      </w:r>
      <w:r w:rsidRPr="001221B7">
        <w:t>е</w:t>
      </w:r>
      <w:r w:rsidRPr="001221B7">
        <w:t>нее пяти человек.</w:t>
      </w:r>
    </w:p>
    <w:p w:rsidR="0033640E" w:rsidRDefault="0033640E" w:rsidP="0033640E">
      <w:pPr>
        <w:pStyle w:val="SingleTxtGR"/>
      </w:pPr>
      <w:r w:rsidRPr="001221B7">
        <w:t>103.</w:t>
      </w:r>
      <w:r w:rsidRPr="001221B7">
        <w:tab/>
        <w:t>Достижению равенства при оплате труда мужчин и женщин − в дополн</w:t>
      </w:r>
      <w:r w:rsidRPr="001221B7">
        <w:t>е</w:t>
      </w:r>
      <w:r w:rsidRPr="001221B7">
        <w:t>ние к официально установленной минимальной заработной плате и к гарант</w:t>
      </w:r>
      <w:r w:rsidRPr="001221B7">
        <w:t>и</w:t>
      </w:r>
      <w:r w:rsidRPr="001221B7">
        <w:t>рованной минимальной заработной плате на должностях, требующих по мен</w:t>
      </w:r>
      <w:r w:rsidRPr="001221B7">
        <w:t>ь</w:t>
      </w:r>
      <w:r w:rsidRPr="001221B7">
        <w:t>шей мере среднего образования,</w:t>
      </w:r>
      <w:r>
        <w:t xml:space="preserve">− </w:t>
      </w:r>
      <w:r w:rsidRPr="001221B7">
        <w:t>способствуют − также обязательные − ставки заработной платы с указанием ее конкретных элементов, которые включаются в коллективные договоры о заработной плате.</w:t>
      </w:r>
    </w:p>
    <w:p w:rsidR="0033640E" w:rsidRPr="001221B7" w:rsidRDefault="0033640E" w:rsidP="0033640E">
      <w:pPr>
        <w:pStyle w:val="H23GR"/>
      </w:pPr>
      <w:r>
        <w:tab/>
      </w:r>
      <w:r>
        <w:tab/>
      </w:r>
      <w:r w:rsidRPr="001221B7">
        <w:t xml:space="preserve">Положение </w:t>
      </w:r>
      <w:r>
        <w:t xml:space="preserve">в области занятости </w:t>
      </w:r>
      <w:r w:rsidRPr="001221B7">
        <w:t>женщин</w:t>
      </w:r>
    </w:p>
    <w:p w:rsidR="0033640E" w:rsidRPr="001221B7" w:rsidRDefault="0033640E" w:rsidP="0033640E">
      <w:pPr>
        <w:pStyle w:val="SingleTxtGR"/>
      </w:pPr>
      <w:r w:rsidRPr="001221B7">
        <w:t>104.</w:t>
      </w:r>
      <w:r w:rsidRPr="001221B7">
        <w:tab/>
        <w:t>В</w:t>
      </w:r>
      <w:r>
        <w:t xml:space="preserve"> I квартале 2012 года</w:t>
      </w:r>
      <w:r w:rsidRPr="001221B7">
        <w:t xml:space="preserve"> занятость женщин в возрасте от 15 до 64 лет с</w:t>
      </w:r>
      <w:r w:rsidRPr="001221B7">
        <w:t>о</w:t>
      </w:r>
      <w:r w:rsidRPr="001221B7">
        <w:t>ставляла 51,5%, а безработица − 10% (для сравнения</w:t>
      </w:r>
      <w:r>
        <w:t>:</w:t>
      </w:r>
      <w:r w:rsidRPr="001221B7">
        <w:t xml:space="preserve"> в</w:t>
      </w:r>
      <w:r>
        <w:t xml:space="preserve"> I квартале 2001 года</w:t>
      </w:r>
      <w:r w:rsidRPr="001221B7">
        <w:t xml:space="preserve"> з</w:t>
      </w:r>
      <w:r w:rsidRPr="001221B7">
        <w:t>а</w:t>
      </w:r>
      <w:r w:rsidRPr="001221B7">
        <w:t xml:space="preserve">нятость </w:t>
      </w:r>
      <w:r>
        <w:t xml:space="preserve">женщин </w:t>
      </w:r>
      <w:r w:rsidRPr="001221B7">
        <w:t>составляла 50,2%, а бе</w:t>
      </w:r>
      <w:r w:rsidRPr="001221B7">
        <w:t>з</w:t>
      </w:r>
      <w:r w:rsidRPr="001221B7">
        <w:t>работица − 11,0%).</w:t>
      </w:r>
    </w:p>
    <w:p w:rsidR="0033640E" w:rsidRPr="001221B7" w:rsidRDefault="0033640E" w:rsidP="0033640E">
      <w:pPr>
        <w:pStyle w:val="SingleTxtGR"/>
      </w:pPr>
      <w:r w:rsidRPr="001221B7">
        <w:t>105.</w:t>
      </w:r>
      <w:r w:rsidRPr="001221B7">
        <w:tab/>
        <w:t>Занятость и безработица среди женщин в возрасте от 15 до 60 лет нах</w:t>
      </w:r>
      <w:r w:rsidRPr="001221B7">
        <w:t>о</w:t>
      </w:r>
      <w:r w:rsidRPr="001221B7">
        <w:t>дилась на следующем уровне: в 2007 году занятость составляла 51,7%, а безр</w:t>
      </w:r>
      <w:r w:rsidRPr="001221B7">
        <w:t>а</w:t>
      </w:r>
      <w:r w:rsidRPr="001221B7">
        <w:t>ботица − 7,7%, в 2008 году занятость составляла 51,8%, а безработица − 8,1%, в</w:t>
      </w:r>
      <w:r>
        <w:t> </w:t>
      </w:r>
      <w:r w:rsidRPr="001221B7">
        <w:t>2009 году занятость составляла 49,9%, а безработица − 9,8%, в 2010 году з</w:t>
      </w:r>
      <w:r w:rsidRPr="001221B7">
        <w:t>а</w:t>
      </w:r>
      <w:r w:rsidRPr="001221B7">
        <w:t xml:space="preserve">нятость составляла 50,6%, а безработица 10,7%. В 2011 году занятость среди женщин в возрасте от 15 до 64 лет составляла 50,6%, а безработица </w:t>
      </w:r>
      <w:r>
        <w:t>−</w:t>
      </w:r>
      <w:r w:rsidRPr="001221B7">
        <w:t xml:space="preserve"> 11% (</w:t>
      </w:r>
      <w:r w:rsidRPr="001221B7">
        <w:rPr>
          <w:i/>
        </w:rPr>
        <w:t>И</w:t>
      </w:r>
      <w:r w:rsidRPr="001221B7">
        <w:rPr>
          <w:i/>
        </w:rPr>
        <w:t>с</w:t>
      </w:r>
      <w:r w:rsidRPr="001221B7">
        <w:rPr>
          <w:i/>
        </w:rPr>
        <w:t>точник</w:t>
      </w:r>
      <w:r w:rsidRPr="001221B7">
        <w:t>: ЦСУ (Центральное статистическое упра</w:t>
      </w:r>
      <w:r w:rsidRPr="001221B7">
        <w:t>в</w:t>
      </w:r>
      <w:r w:rsidRPr="001221B7">
        <w:t>ление)).</w:t>
      </w:r>
    </w:p>
    <w:p w:rsidR="0033640E" w:rsidRPr="001221B7" w:rsidRDefault="0033640E" w:rsidP="0033640E">
      <w:pPr>
        <w:pStyle w:val="SingleTxtGR"/>
      </w:pPr>
      <w:r w:rsidRPr="001221B7">
        <w:t>106.</w:t>
      </w:r>
      <w:r w:rsidRPr="001221B7">
        <w:tab/>
        <w:t xml:space="preserve">Основная причина относительно низкой </w:t>
      </w:r>
      <w:r>
        <w:t>занятости</w:t>
      </w:r>
      <w:r w:rsidRPr="001221B7">
        <w:t xml:space="preserve"> среди женщин в Вен</w:t>
      </w:r>
      <w:r w:rsidRPr="001221B7">
        <w:t>г</w:t>
      </w:r>
      <w:r w:rsidRPr="001221B7">
        <w:t>рии состоит в относ</w:t>
      </w:r>
      <w:r w:rsidRPr="001221B7">
        <w:t>и</w:t>
      </w:r>
      <w:r w:rsidRPr="001221B7">
        <w:t>тельно низ</w:t>
      </w:r>
      <w:r>
        <w:t xml:space="preserve">ком уровне экономической активности </w:t>
      </w:r>
      <w:r w:rsidRPr="001221B7">
        <w:t>матерей с малолетними детьми, но, кроме того, молодежь в возрасте до 25</w:t>
      </w:r>
      <w:r>
        <w:t xml:space="preserve"> </w:t>
      </w:r>
      <w:r w:rsidRPr="001221B7">
        <w:t>лет, лица с низким уровнем образования и женщины в возрасте старше 55</w:t>
      </w:r>
      <w:r>
        <w:t xml:space="preserve"> </w:t>
      </w:r>
      <w:r w:rsidRPr="001221B7">
        <w:t>лет также мало представлены на рынке труда.</w:t>
      </w:r>
    </w:p>
    <w:p w:rsidR="0033640E" w:rsidRDefault="0033640E" w:rsidP="0033640E">
      <w:pPr>
        <w:pStyle w:val="SingleTxtGR"/>
      </w:pPr>
      <w:r w:rsidRPr="001221B7">
        <w:t>107.</w:t>
      </w:r>
      <w:r w:rsidRPr="001221B7">
        <w:tab/>
        <w:t>Занятость среди женщин, воспитывающих малолетних детей, значител</w:t>
      </w:r>
      <w:r w:rsidRPr="001221B7">
        <w:t>ь</w:t>
      </w:r>
      <w:r w:rsidRPr="001221B7">
        <w:t>но ниже средних показателей как по ЕС, так и по странам − членам ОЭСР. З</w:t>
      </w:r>
      <w:r w:rsidRPr="001221B7">
        <w:t>а</w:t>
      </w:r>
      <w:r w:rsidRPr="001221B7">
        <w:t>нятость женщин, воспитывающих детей в возрасте до шести лет включительно, составляет всего 34%, тогда как средний показатель по ЕС для этой группы с</w:t>
      </w:r>
      <w:r w:rsidRPr="001221B7">
        <w:t>о</w:t>
      </w:r>
      <w:r w:rsidRPr="001221B7">
        <w:t>ставляет 58,9% (</w:t>
      </w:r>
      <w:r w:rsidRPr="00F92DE0">
        <w:rPr>
          <w:i/>
        </w:rPr>
        <w:t>Источник</w:t>
      </w:r>
      <w:r w:rsidRPr="001221B7">
        <w:t>: Социально</w:t>
      </w:r>
      <w:r>
        <w:t>−</w:t>
      </w:r>
      <w:r w:rsidRPr="001221B7">
        <w:t>экономическое обследование (СЭО)</w:t>
      </w:r>
      <w:r>
        <w:t>,</w:t>
      </w:r>
      <w:r w:rsidRPr="001221B7">
        <w:t xml:space="preserve"> Евростат).</w:t>
      </w:r>
    </w:p>
    <w:p w:rsidR="0033640E" w:rsidRPr="001221B7" w:rsidRDefault="0033640E" w:rsidP="0033640E">
      <w:pPr>
        <w:pStyle w:val="H23GR"/>
      </w:pPr>
      <w:r>
        <w:tab/>
      </w:r>
      <w:r>
        <w:tab/>
      </w:r>
      <w:r w:rsidRPr="001221B7">
        <w:t>Занятость женщин в государственном и частном секторах</w:t>
      </w:r>
    </w:p>
    <w:p w:rsidR="0033640E" w:rsidRPr="001221B7" w:rsidRDefault="0033640E" w:rsidP="0033640E">
      <w:pPr>
        <w:pStyle w:val="SingleTxtGR"/>
      </w:pPr>
      <w:r w:rsidRPr="001221B7">
        <w:t>108.</w:t>
      </w:r>
      <w:r w:rsidRPr="001221B7">
        <w:tab/>
        <w:t xml:space="preserve">Сравнительные данные </w:t>
      </w:r>
      <w:r>
        <w:t xml:space="preserve">в абсолютных величинах </w:t>
      </w:r>
      <w:r w:rsidRPr="001221B7">
        <w:t>и по распределению з</w:t>
      </w:r>
      <w:r w:rsidRPr="001221B7">
        <w:t>а</w:t>
      </w:r>
      <w:r w:rsidRPr="001221B7">
        <w:t>нятости в государстве</w:t>
      </w:r>
      <w:r w:rsidRPr="001221B7">
        <w:t>н</w:t>
      </w:r>
      <w:r w:rsidRPr="001221B7">
        <w:t>ном и частном секторах имеются за период с 2008 года. В государственном секторе соотношение занятых мужчин и женщин непреры</w:t>
      </w:r>
      <w:r w:rsidRPr="001221B7">
        <w:t>в</w:t>
      </w:r>
      <w:r w:rsidRPr="001221B7">
        <w:t>но колеблется вокруг пропорции 1/3−2/3, т.е. в государственном секторе раб</w:t>
      </w:r>
      <w:r w:rsidRPr="001221B7">
        <w:t>о</w:t>
      </w:r>
      <w:r w:rsidRPr="001221B7">
        <w:t>тает в два раза больше женщин, чем мужчин. Число занятых женщин колебле</w:t>
      </w:r>
      <w:r w:rsidRPr="001221B7">
        <w:t>т</w:t>
      </w:r>
      <w:r w:rsidRPr="001221B7">
        <w:t>ся в районе 500 000 человек. В 2008 году этот показатель составлял 497</w:t>
      </w:r>
      <w:r>
        <w:t xml:space="preserve"> 300,</w:t>
      </w:r>
      <w:r>
        <w:br/>
      </w:r>
      <w:r w:rsidRPr="001221B7">
        <w:t>в 2009 году − 517</w:t>
      </w:r>
      <w:r>
        <w:t xml:space="preserve"> </w:t>
      </w:r>
      <w:r w:rsidRPr="001221B7">
        <w:t>000, в 2010 го</w:t>
      </w:r>
      <w:r>
        <w:t xml:space="preserve">ду − 531 300, </w:t>
      </w:r>
      <w:r w:rsidRPr="001221B7">
        <w:t>в 2011</w:t>
      </w:r>
      <w:r>
        <w:t xml:space="preserve"> </w:t>
      </w:r>
      <w:r w:rsidRPr="001221B7">
        <w:t xml:space="preserve">году, после сокращения </w:t>
      </w:r>
      <w:r>
        <w:t>штатов</w:t>
      </w:r>
      <w:r w:rsidRPr="001221B7">
        <w:t xml:space="preserve"> в государственном секторе, этот показатель сократился до 497</w:t>
      </w:r>
      <w:r>
        <w:t xml:space="preserve"> 1</w:t>
      </w:r>
      <w:r w:rsidRPr="001221B7">
        <w:t>00. С</w:t>
      </w:r>
      <w:r w:rsidRPr="001221B7">
        <w:t>о</w:t>
      </w:r>
      <w:r w:rsidRPr="001221B7">
        <w:t xml:space="preserve">кращение </w:t>
      </w:r>
      <w:r>
        <w:t>штатов</w:t>
      </w:r>
      <w:r w:rsidRPr="001221B7">
        <w:t xml:space="preserve"> затронуло мужчин и женщин примерно в равной пропорции, и после </w:t>
      </w:r>
      <w:r>
        <w:t>этого</w:t>
      </w:r>
      <w:r w:rsidRPr="001221B7">
        <w:t xml:space="preserve"> доля женщин в государственном секторе оставалась на уровне 67,7% (в 2008 году этот показатель составлял 68,9%, в 2009</w:t>
      </w:r>
      <w:r>
        <w:t xml:space="preserve"> </w:t>
      </w:r>
      <w:r w:rsidRPr="001221B7">
        <w:t>году</w:t>
      </w:r>
      <w:r>
        <w:t xml:space="preserve"> − 69,1%,</w:t>
      </w:r>
      <w:r>
        <w:br/>
      </w:r>
      <w:r w:rsidRPr="001221B7">
        <w:t>а в 2010 г</w:t>
      </w:r>
      <w:r w:rsidRPr="001221B7">
        <w:t>о</w:t>
      </w:r>
      <w:r w:rsidR="003B41BC">
        <w:t>ду 68,8%).</w:t>
      </w:r>
    </w:p>
    <w:p w:rsidR="0033640E" w:rsidRPr="001221B7" w:rsidRDefault="0033640E" w:rsidP="0033640E">
      <w:pPr>
        <w:pStyle w:val="SingleTxtGR"/>
      </w:pPr>
      <w:r w:rsidRPr="001221B7">
        <w:t>109.</w:t>
      </w:r>
      <w:r w:rsidRPr="001221B7">
        <w:tab/>
        <w:t>Число женщин, занятых в частном секторе, составляет 1,2 млн. человек, т.е. примерно 40% общего числа занятых в частном секторе. Число женщин, з</w:t>
      </w:r>
      <w:r w:rsidRPr="001221B7">
        <w:t>а</w:t>
      </w:r>
      <w:r w:rsidRPr="001221B7">
        <w:t>нятых в частном секторе</w:t>
      </w:r>
      <w:r>
        <w:t>,</w:t>
      </w:r>
      <w:r w:rsidRPr="001221B7">
        <w:t xml:space="preserve"> в 2008 году составляло 1</w:t>
      </w:r>
      <w:r>
        <w:t> </w:t>
      </w:r>
      <w:r w:rsidRPr="001221B7">
        <w:t>271</w:t>
      </w:r>
      <w:r>
        <w:t> 300, в 2009 г</w:t>
      </w:r>
      <w:r>
        <w:t>о</w:t>
      </w:r>
      <w:r>
        <w:t>ду </w:t>
      </w:r>
      <w:r w:rsidRPr="001221B7">
        <w:t>−</w:t>
      </w:r>
      <w:r>
        <w:t> </w:t>
      </w:r>
      <w:r w:rsidRPr="001221B7">
        <w:t>1</w:t>
      </w:r>
      <w:r>
        <w:t> </w:t>
      </w:r>
      <w:r w:rsidRPr="001221B7">
        <w:t>219</w:t>
      </w:r>
      <w:r>
        <w:t> </w:t>
      </w:r>
      <w:r w:rsidRPr="001221B7">
        <w:t>900, в 2010 году − 1</w:t>
      </w:r>
      <w:r>
        <w:t xml:space="preserve"> </w:t>
      </w:r>
      <w:r w:rsidRPr="001221B7">
        <w:t>227</w:t>
      </w:r>
      <w:r>
        <w:t xml:space="preserve"> 300 и в 2011 году −</w:t>
      </w:r>
      <w:r w:rsidRPr="001221B7">
        <w:t xml:space="preserve"> 1</w:t>
      </w:r>
      <w:r>
        <w:t xml:space="preserve"> </w:t>
      </w:r>
      <w:r w:rsidRPr="001221B7">
        <w:t>257</w:t>
      </w:r>
      <w:r>
        <w:t xml:space="preserve"> </w:t>
      </w:r>
      <w:r w:rsidRPr="001221B7">
        <w:t>600</w:t>
      </w:r>
      <w:r>
        <w:t xml:space="preserve"> человек</w:t>
      </w:r>
      <w:r w:rsidRPr="001221B7">
        <w:t xml:space="preserve"> (эти показатели </w:t>
      </w:r>
      <w:r>
        <w:t>соответствуют</w:t>
      </w:r>
      <w:r w:rsidRPr="001221B7">
        <w:t xml:space="preserve"> </w:t>
      </w:r>
      <w:r>
        <w:t>40,3−</w:t>
      </w:r>
      <w:r w:rsidRPr="001221B7">
        <w:t>40,9% всех занятых в частном секторе).</w:t>
      </w:r>
    </w:p>
    <w:p w:rsidR="0033640E" w:rsidRDefault="0033640E" w:rsidP="0033640E">
      <w:pPr>
        <w:pStyle w:val="SingleTxtGR"/>
      </w:pPr>
      <w:r w:rsidRPr="001221B7">
        <w:t>110.</w:t>
      </w:r>
      <w:r w:rsidRPr="001221B7">
        <w:tab/>
        <w:t xml:space="preserve">Что касается общего числа занятых женщин, </w:t>
      </w:r>
      <w:r>
        <w:t xml:space="preserve">то </w:t>
      </w:r>
      <w:r w:rsidRPr="001221B7">
        <w:t>годовые показатели</w:t>
      </w:r>
      <w:r>
        <w:t xml:space="preserve"> долей занятых</w:t>
      </w:r>
      <w:r w:rsidRPr="001221B7">
        <w:t xml:space="preserve"> женщин в государственном се</w:t>
      </w:r>
      <w:r w:rsidRPr="001221B7">
        <w:t>к</w:t>
      </w:r>
      <w:r w:rsidRPr="001221B7">
        <w:t>торе (включая гражданскую службу) и в частном секторе находятся на следующем уровне: в 2008 году 72% занятых женщин ра</w:t>
      </w:r>
      <w:r>
        <w:t>ботали в частном секторе, а 28% − </w:t>
      </w:r>
      <w:r w:rsidRPr="001221B7">
        <w:t>в государственном се</w:t>
      </w:r>
      <w:r w:rsidRPr="001221B7">
        <w:t>к</w:t>
      </w:r>
      <w:r w:rsidRPr="001221B7">
        <w:t>торе. В</w:t>
      </w:r>
      <w:r>
        <w:t> </w:t>
      </w:r>
      <w:r w:rsidRPr="001221B7">
        <w:t>2009 году это соотношение составляло 70</w:t>
      </w:r>
      <w:r>
        <w:t xml:space="preserve"> </w:t>
      </w:r>
      <w:r w:rsidRPr="001221B7">
        <w:t>−</w:t>
      </w:r>
      <w:r>
        <w:t xml:space="preserve"> </w:t>
      </w:r>
      <w:r w:rsidRPr="001221B7">
        <w:t>30%, в 2010 году − 69,8</w:t>
      </w:r>
      <w:r>
        <w:t xml:space="preserve"> </w:t>
      </w:r>
      <w:r w:rsidRPr="001221B7">
        <w:t>−</w:t>
      </w:r>
      <w:r>
        <w:t xml:space="preserve"> </w:t>
      </w:r>
      <w:r w:rsidRPr="001221B7">
        <w:t>30,2%, а в 2011 году 71,7</w:t>
      </w:r>
      <w:r>
        <w:t xml:space="preserve"> </w:t>
      </w:r>
      <w:r w:rsidRPr="001221B7">
        <w:t>−</w:t>
      </w:r>
      <w:r>
        <w:t xml:space="preserve"> </w:t>
      </w:r>
      <w:r w:rsidRPr="001221B7">
        <w:t>28,3% (</w:t>
      </w:r>
      <w:r w:rsidRPr="007F2B01">
        <w:rPr>
          <w:i/>
        </w:rPr>
        <w:t>И</w:t>
      </w:r>
      <w:r w:rsidRPr="007F2B01">
        <w:rPr>
          <w:i/>
        </w:rPr>
        <w:t>с</w:t>
      </w:r>
      <w:r w:rsidRPr="007F2B01">
        <w:rPr>
          <w:i/>
        </w:rPr>
        <w:t>точник</w:t>
      </w:r>
      <w:r>
        <w:t>: ОРС,</w:t>
      </w:r>
      <w:r w:rsidRPr="001221B7">
        <w:t xml:space="preserve"> Евростат).</w:t>
      </w:r>
    </w:p>
    <w:p w:rsidR="0033640E" w:rsidRPr="001221B7" w:rsidRDefault="0033640E" w:rsidP="0033640E">
      <w:pPr>
        <w:pStyle w:val="H23GR"/>
      </w:pPr>
      <w:r>
        <w:tab/>
      </w:r>
      <w:r>
        <w:tab/>
        <w:t>Меж</w:t>
      </w:r>
      <w:r w:rsidRPr="001221B7">
        <w:t>отраслевое распределение</w:t>
      </w:r>
    </w:p>
    <w:p w:rsidR="0033640E" w:rsidRPr="001221B7" w:rsidRDefault="0033640E" w:rsidP="0033640E">
      <w:pPr>
        <w:pStyle w:val="SingleTxtGR"/>
      </w:pPr>
      <w:r w:rsidRPr="001221B7">
        <w:t>111.</w:t>
      </w:r>
      <w:r w:rsidRPr="001221B7">
        <w:tab/>
        <w:t>За период с 2008 по 2011 год распределение занятых женщин по осно</w:t>
      </w:r>
      <w:r w:rsidRPr="001221B7">
        <w:t>в</w:t>
      </w:r>
      <w:r w:rsidRPr="001221B7">
        <w:t>ным отраслям остав</w:t>
      </w:r>
      <w:r w:rsidRPr="001221B7">
        <w:t>а</w:t>
      </w:r>
      <w:r w:rsidRPr="001221B7">
        <w:t>лось в значительной мере неизменным. Примерно 2,5%</w:t>
      </w:r>
      <w:r>
        <w:t> </w:t>
      </w:r>
      <w:r w:rsidRPr="001221B7">
        <w:t xml:space="preserve">женщин работали в сфере сельского хозяйства, 20% − в промышленности и 77,5% − в сфере услуг. На женщин приходится более 55% общей численности рабочей силы в сфере услуг, примерно 25% в сельском хозяйстве и около 30% в промышленности. Женщины в значительной мере </w:t>
      </w:r>
      <w:r>
        <w:t>пере</w:t>
      </w:r>
      <w:r w:rsidRPr="001221B7">
        <w:t xml:space="preserve">представлены в таких сферах, как образование, социальная сфера и здравоохранение, где их доля </w:t>
      </w:r>
      <w:r>
        <w:t>пр</w:t>
      </w:r>
      <w:r>
        <w:t>е</w:t>
      </w:r>
      <w:r>
        <w:t>вышает</w:t>
      </w:r>
      <w:r w:rsidRPr="001221B7">
        <w:t xml:space="preserve"> 77%. Кроме того, значительное большинство сотрудников ф</w:t>
      </w:r>
      <w:r w:rsidRPr="001221B7">
        <w:t>и</w:t>
      </w:r>
      <w:r w:rsidRPr="001221B7">
        <w:t>нансово</w:t>
      </w:r>
      <w:r>
        <w:t>го и страхового сектора − примерно 67% −</w:t>
      </w:r>
      <w:r w:rsidRPr="001221B7">
        <w:t xml:space="preserve"> приходится на женщин.</w:t>
      </w:r>
    </w:p>
    <w:p w:rsidR="0033640E" w:rsidRDefault="0033640E" w:rsidP="0033640E">
      <w:pPr>
        <w:pStyle w:val="SingleTxtGR"/>
      </w:pPr>
      <w:r w:rsidRPr="001221B7">
        <w:t>112.</w:t>
      </w:r>
      <w:r w:rsidRPr="001221B7">
        <w:tab/>
      </w:r>
      <w:r>
        <w:t xml:space="preserve">Данные по </w:t>
      </w:r>
      <w:r w:rsidRPr="001221B7">
        <w:t>программа</w:t>
      </w:r>
      <w:r>
        <w:t>м</w:t>
      </w:r>
      <w:r w:rsidRPr="001221B7">
        <w:t xml:space="preserve"> стимулирования занятости женщин</w:t>
      </w:r>
      <w:r>
        <w:t xml:space="preserve"> с 2007 года по 2012 год приводя</w:t>
      </w:r>
      <w:r w:rsidRPr="001221B7">
        <w:t>тся в приложе</w:t>
      </w:r>
      <w:r>
        <w:t xml:space="preserve">нии </w:t>
      </w:r>
      <w:r w:rsidRPr="001221B7">
        <w:t>7.</w:t>
      </w:r>
    </w:p>
    <w:p w:rsidR="0033640E" w:rsidRPr="001221B7" w:rsidRDefault="0033640E" w:rsidP="0033640E">
      <w:pPr>
        <w:pStyle w:val="H23GR"/>
      </w:pPr>
      <w:r>
        <w:tab/>
      </w:r>
      <w:r>
        <w:tab/>
      </w:r>
      <w:r w:rsidRPr="001221B7">
        <w:t>Пенсионное обеспечение и социальное страхование</w:t>
      </w:r>
    </w:p>
    <w:p w:rsidR="0033640E" w:rsidRPr="001221B7" w:rsidRDefault="0033640E" w:rsidP="0033640E">
      <w:pPr>
        <w:pStyle w:val="SingleTxtGR"/>
      </w:pPr>
      <w:r w:rsidRPr="001221B7">
        <w:t>113.</w:t>
      </w:r>
      <w:r w:rsidRPr="001221B7">
        <w:tab/>
        <w:t>Закон LXXXI 1997 года о пенсионном обеспечении на основе социальн</w:t>
      </w:r>
      <w:r w:rsidRPr="001221B7">
        <w:t>о</w:t>
      </w:r>
      <w:r w:rsidRPr="001221B7">
        <w:t>го страхования дополняется статьей 1 Закона СLXX 2010 года о внесении п</w:t>
      </w:r>
      <w:r w:rsidRPr="001221B7">
        <w:t>о</w:t>
      </w:r>
      <w:r w:rsidRPr="001221B7">
        <w:t>правок в некоторые законы о пенсионном страховании и другие сопряженные законы, включая пункты 2 а) − 2</w:t>
      </w:r>
      <w:r>
        <w:t xml:space="preserve"> </w:t>
      </w:r>
      <w:r w:rsidRPr="001221B7">
        <w:t>d) статьи 18. В соответствии с новым закон</w:t>
      </w:r>
      <w:r w:rsidRPr="001221B7">
        <w:t>о</w:t>
      </w:r>
      <w:r w:rsidRPr="001221B7">
        <w:t>дательством женщины имеют право на полную пенсию по возрасту независимо от их возраста при условии, что их стаж, дающий на это право, составляет не менее 40 лет и что они не состоят в юридических отношениях, в силу которых им причитается страховая выплата на дату, с которой начисляется полный ра</w:t>
      </w:r>
      <w:r w:rsidRPr="001221B7">
        <w:t>з</w:t>
      </w:r>
      <w:r w:rsidRPr="001221B7">
        <w:t>мер пенсии по возрасту. Основная цель закона заключается в обеспечении пе</w:t>
      </w:r>
      <w:r w:rsidRPr="001221B7">
        <w:t>н</w:t>
      </w:r>
      <w:r w:rsidRPr="001221B7">
        <w:t xml:space="preserve">сионных льгот (досрочный выход на пенсию) долгосрочно занятых женщин и в признании той </w:t>
      </w:r>
      <w:r>
        <w:t>двуединой</w:t>
      </w:r>
      <w:r w:rsidRPr="001221B7">
        <w:t xml:space="preserve"> роли, которую играют женщины (в семье и на раб</w:t>
      </w:r>
      <w:r w:rsidRPr="001221B7">
        <w:t>о</w:t>
      </w:r>
      <w:r w:rsidRPr="001221B7">
        <w:t>чем месте)</w:t>
      </w:r>
      <w:r>
        <w:t>,</w:t>
      </w:r>
      <w:r w:rsidRPr="001221B7">
        <w:t xml:space="preserve"> и их заслуг по сохранению долгосрочной занятости при одновр</w:t>
      </w:r>
      <w:r w:rsidRPr="001221B7">
        <w:t>е</w:t>
      </w:r>
      <w:r w:rsidRPr="001221B7">
        <w:t>менном выполнении своих обязанностей в семье.</w:t>
      </w:r>
    </w:p>
    <w:p w:rsidR="0033640E" w:rsidRPr="001221B7" w:rsidRDefault="0033640E" w:rsidP="0033640E">
      <w:pPr>
        <w:pStyle w:val="SingleTxtGR"/>
      </w:pPr>
      <w:r w:rsidRPr="001221B7">
        <w:t>114.</w:t>
      </w:r>
      <w:r w:rsidRPr="001221B7">
        <w:tab/>
        <w:t>После введения полных пенсионных льгот по возрасту первыми возмо</w:t>
      </w:r>
      <w:r w:rsidRPr="001221B7">
        <w:t>ж</w:t>
      </w:r>
      <w:r w:rsidRPr="001221B7">
        <w:t>ность</w:t>
      </w:r>
      <w:r>
        <w:t xml:space="preserve"> претендовать на</w:t>
      </w:r>
      <w:r w:rsidRPr="001221B7">
        <w:t xml:space="preserve"> регуляр</w:t>
      </w:r>
      <w:r>
        <w:t>ные</w:t>
      </w:r>
      <w:r w:rsidRPr="001221B7">
        <w:t xml:space="preserve"> выплат</w:t>
      </w:r>
      <w:r>
        <w:t>ы пособий</w:t>
      </w:r>
      <w:r w:rsidRPr="001221B7">
        <w:t xml:space="preserve"> в рамках системы пенс</w:t>
      </w:r>
      <w:r w:rsidRPr="001221B7">
        <w:t>и</w:t>
      </w:r>
      <w:r w:rsidRPr="001221B7">
        <w:t>онного страхования получат женщины от 1951 до 1957 года ро</w:t>
      </w:r>
      <w:r w:rsidRPr="001221B7">
        <w:t>ж</w:t>
      </w:r>
      <w:r w:rsidRPr="001221B7">
        <w:t>дения.</w:t>
      </w:r>
    </w:p>
    <w:p w:rsidR="0033640E" w:rsidRDefault="0033640E" w:rsidP="0033640E">
      <w:pPr>
        <w:pStyle w:val="SingleTxtGR"/>
      </w:pPr>
      <w:r w:rsidRPr="001221B7">
        <w:t>115.</w:t>
      </w:r>
      <w:r w:rsidRPr="001221B7">
        <w:tab/>
        <w:t xml:space="preserve">База пенсионных выплат рассчитывается с учетом стажа </w:t>
      </w:r>
      <w:r>
        <w:t>работы</w:t>
      </w:r>
      <w:r w:rsidRPr="001221B7">
        <w:t xml:space="preserve"> (напр</w:t>
      </w:r>
      <w:r w:rsidRPr="001221B7">
        <w:t>и</w:t>
      </w:r>
      <w:r w:rsidRPr="001221B7">
        <w:t>мер, в качестве работника государственного предприятия, гражданского служ</w:t>
      </w:r>
      <w:r w:rsidRPr="001221B7">
        <w:t>а</w:t>
      </w:r>
      <w:r w:rsidRPr="001221B7">
        <w:t>щего или государственного должностного лица), стажа в качестве предприн</w:t>
      </w:r>
      <w:r>
        <w:t>и</w:t>
      </w:r>
      <w:r>
        <w:t>мателя или партнера в компании</w:t>
      </w:r>
      <w:r w:rsidRPr="001221B7">
        <w:t xml:space="preserve"> либо в другой связанной с получением д</w:t>
      </w:r>
      <w:r w:rsidRPr="001221B7">
        <w:t>о</w:t>
      </w:r>
      <w:r w:rsidRPr="001221B7">
        <w:t>хода деятельности, а также с учетом времени, затраченного на воспитание детей (время отпуска по материнству, льгот по уходу за ребенком, период получения выплат по уходу за ребенком и по воспитанию д</w:t>
      </w:r>
      <w:r w:rsidRPr="001221B7">
        <w:t>е</w:t>
      </w:r>
      <w:r w:rsidRPr="001221B7">
        <w:t>тей).</w:t>
      </w:r>
    </w:p>
    <w:p w:rsidR="009D36A0" w:rsidRPr="008C590E" w:rsidRDefault="009D36A0" w:rsidP="009D36A0">
      <w:pPr>
        <w:pStyle w:val="SingleTxtGR"/>
      </w:pPr>
      <w:r w:rsidRPr="008C590E">
        <w:t>116.</w:t>
      </w:r>
      <w:r w:rsidRPr="008C590E">
        <w:tab/>
        <w:t xml:space="preserve">Женщины, стаж </w:t>
      </w:r>
      <w:r>
        <w:t xml:space="preserve">работы </w:t>
      </w:r>
      <w:r w:rsidRPr="008C590E">
        <w:t>которых составляет не менее 40 лет, включая стаж оплачиваемой работы и вышеупомянутые период</w:t>
      </w:r>
      <w:r>
        <w:t>ы</w:t>
      </w:r>
      <w:r w:rsidRPr="008C590E">
        <w:t xml:space="preserve"> ухода за детьми, им</w:t>
      </w:r>
      <w:r w:rsidRPr="008C590E">
        <w:t>е</w:t>
      </w:r>
      <w:r w:rsidRPr="008C590E">
        <w:t>ют право на пенсию независимо от их возраста. Для получения права на ранний выход на пенсию женщины должны проработать на оплачиваемых должностях не менее 32 лет. В то же время, если женщина воспитала в своем домашнем х</w:t>
      </w:r>
      <w:r w:rsidRPr="008C590E">
        <w:t>о</w:t>
      </w:r>
      <w:r w:rsidRPr="008C590E">
        <w:t xml:space="preserve">зяйстве пять или более детей, требуемый рабочий стаж сокращается. </w:t>
      </w:r>
      <w:r>
        <w:t>Ж</w:t>
      </w:r>
      <w:r w:rsidRPr="008C590E">
        <w:t>енщин</w:t>
      </w:r>
      <w:r>
        <w:t>ы</w:t>
      </w:r>
      <w:r w:rsidRPr="008C590E">
        <w:t>, которые получали льготы по воспитанию детей в связи с воспитанием дет</w:t>
      </w:r>
      <w:r>
        <w:t>ей с </w:t>
      </w:r>
      <w:r w:rsidRPr="008C590E">
        <w:t>серьезной инвалидностью, как своих собственных, так и усыновле</w:t>
      </w:r>
      <w:r w:rsidRPr="008C590E">
        <w:t>н</w:t>
      </w:r>
      <w:r w:rsidRPr="008C590E">
        <w:t>ных/удочеренных, имеют право на сокращение минимального рабо</w:t>
      </w:r>
      <w:r>
        <w:t>чего стажа с </w:t>
      </w:r>
      <w:r w:rsidRPr="008C590E">
        <w:t>32 до 30 лет.</w:t>
      </w:r>
    </w:p>
    <w:p w:rsidR="009D36A0" w:rsidRPr="008C590E" w:rsidRDefault="009D36A0" w:rsidP="009D36A0">
      <w:pPr>
        <w:pStyle w:val="SingleTxtGR"/>
      </w:pPr>
      <w:r w:rsidRPr="008C590E">
        <w:t>117.</w:t>
      </w:r>
      <w:r w:rsidRPr="008C590E">
        <w:tab/>
      </w:r>
      <w:r>
        <w:t>Для</w:t>
      </w:r>
      <w:r w:rsidRPr="008C590E">
        <w:t xml:space="preserve"> цел</w:t>
      </w:r>
      <w:r>
        <w:t>ей</w:t>
      </w:r>
      <w:r w:rsidRPr="008C590E">
        <w:t xml:space="preserve"> определения </w:t>
      </w:r>
      <w:r>
        <w:t xml:space="preserve">размеров </w:t>
      </w:r>
      <w:r w:rsidRPr="008C590E">
        <w:t xml:space="preserve">пенсионных </w:t>
      </w:r>
      <w:r>
        <w:t>выплат</w:t>
      </w:r>
      <w:r w:rsidRPr="008C590E">
        <w:t xml:space="preserve"> ребенком, восп</w:t>
      </w:r>
      <w:r w:rsidRPr="008C590E">
        <w:t>и</w:t>
      </w:r>
      <w:r w:rsidRPr="008C590E">
        <w:t>танным в домашнем хозяйстве женщины, считается</w:t>
      </w:r>
      <w:r>
        <w:t xml:space="preserve"> </w:t>
      </w:r>
      <w:r w:rsidRPr="008C590E">
        <w:t>любой ребенок, как с</w:t>
      </w:r>
      <w:r w:rsidRPr="008C590E">
        <w:t>о</w:t>
      </w:r>
      <w:r w:rsidRPr="008C590E">
        <w:t>стоящий в родстве по крови, так и усыновленный/удочеренный, который пр</w:t>
      </w:r>
      <w:r w:rsidRPr="008C590E">
        <w:t>о</w:t>
      </w:r>
      <w:r w:rsidRPr="008C590E">
        <w:t>живал совместно с кандидатом на пенсионное обеспечение с перерывами в р</w:t>
      </w:r>
      <w:r w:rsidRPr="008C590E">
        <w:t>е</w:t>
      </w:r>
      <w:r w:rsidRPr="008C590E">
        <w:t>гулярном уходе тол</w:t>
      </w:r>
      <w:r w:rsidRPr="008C590E">
        <w:t>ь</w:t>
      </w:r>
      <w:r w:rsidRPr="008C590E">
        <w:t>ко на пребывание в заведениях дневного ухода.</w:t>
      </w:r>
    </w:p>
    <w:p w:rsidR="009D36A0" w:rsidRPr="008C590E" w:rsidRDefault="009D36A0" w:rsidP="009D36A0">
      <w:pPr>
        <w:pStyle w:val="SingleTxtGR"/>
      </w:pPr>
      <w:r w:rsidRPr="008C590E">
        <w:t>118.</w:t>
      </w:r>
      <w:r w:rsidRPr="008C590E">
        <w:tab/>
        <w:t>Данная льгота по досрочному выходу на пенсию может прямо отражаться на занятости женщин: поскольку она создает возможность для женщин пол</w:t>
      </w:r>
      <w:r w:rsidRPr="008C590E">
        <w:t>у</w:t>
      </w:r>
      <w:r w:rsidRPr="008C590E">
        <w:t>чать пенсию до достижения пенсионного возраста, она является для них стим</w:t>
      </w:r>
      <w:r w:rsidRPr="008C590E">
        <w:t>у</w:t>
      </w:r>
      <w:r w:rsidRPr="008C590E">
        <w:t xml:space="preserve">лом, побуждающим их брать на себя дополнительные семейные обязанности, что позволяет улучшать условия </w:t>
      </w:r>
      <w:r>
        <w:t>присутствия</w:t>
      </w:r>
      <w:r w:rsidRPr="008C590E">
        <w:t xml:space="preserve"> молодых женщин с детьми </w:t>
      </w:r>
      <w:r>
        <w:t>на</w:t>
      </w:r>
      <w:r w:rsidRPr="008C590E">
        <w:t xml:space="preserve"> рынке труда.</w:t>
      </w:r>
    </w:p>
    <w:p w:rsidR="009D36A0" w:rsidRPr="008C590E" w:rsidRDefault="009D36A0" w:rsidP="009D36A0">
      <w:pPr>
        <w:pStyle w:val="SingleTxtGR"/>
      </w:pPr>
      <w:r w:rsidRPr="008C590E">
        <w:t>119.</w:t>
      </w:r>
      <w:r w:rsidRPr="008C590E">
        <w:tab/>
        <w:t>В конце 2011 года Национальное собрание приняло закон CLXVII о пр</w:t>
      </w:r>
      <w:r w:rsidRPr="008C590E">
        <w:t>е</w:t>
      </w:r>
      <w:r w:rsidRPr="008C590E">
        <w:t>кращении выплат пенсий по возрасту лицам, не достигшим пенсионного во</w:t>
      </w:r>
      <w:r w:rsidRPr="008C590E">
        <w:t>з</w:t>
      </w:r>
      <w:r w:rsidRPr="008C590E">
        <w:t xml:space="preserve">раста, об их выплате до пенсионного возраста и о пенсионных взносах. </w:t>
      </w:r>
      <w:r>
        <w:t>В</w:t>
      </w:r>
      <w:r w:rsidRPr="008C590E">
        <w:t xml:space="preserve"> ц</w:t>
      </w:r>
      <w:r w:rsidRPr="008C590E">
        <w:t>е</w:t>
      </w:r>
      <w:r w:rsidRPr="008C590E">
        <w:t>л</w:t>
      </w:r>
      <w:r>
        <w:t>ях</w:t>
      </w:r>
      <w:r w:rsidRPr="008C590E">
        <w:t xml:space="preserve"> обеспечения баланса на счетах Фонда пенсионного страхования</w:t>
      </w:r>
      <w:r>
        <w:t xml:space="preserve"> с 1 января 2012 </w:t>
      </w:r>
      <w:r w:rsidRPr="008C590E">
        <w:t xml:space="preserve">года пенсионное обеспечение может предоставляться лишь </w:t>
      </w:r>
      <w:r>
        <w:t>по</w:t>
      </w:r>
      <w:r w:rsidRPr="008C590E">
        <w:t xml:space="preserve"> достижении пе</w:t>
      </w:r>
      <w:r w:rsidRPr="008C590E">
        <w:t>н</w:t>
      </w:r>
      <w:r w:rsidRPr="008C590E">
        <w:t>сионного возраста. Введенными ограничениями были затронуты следующие положения о досрочной пенсии: досрочная пенсия по возрасту, досрочная с</w:t>
      </w:r>
      <w:r w:rsidRPr="008C590E">
        <w:t>о</w:t>
      </w:r>
      <w:r w:rsidRPr="008C590E">
        <w:t>кращенная пенсия по возрасту, пенсия для работников горнодобывающей пр</w:t>
      </w:r>
      <w:r w:rsidRPr="008C590E">
        <w:t>о</w:t>
      </w:r>
      <w:r w:rsidRPr="008C590E">
        <w:t>мышленности, пенсия для деятелей искусства, досрочная пенсия по возрасту для мэров, досрочная пенсия по возрасту для членов Национального собрания и Европейского парламента, пенсии с особыми положениями и пенсия за службу для военнослужащих вооруженных сил и постоянного персонала венгерской армии.</w:t>
      </w:r>
    </w:p>
    <w:p w:rsidR="009D36A0" w:rsidRDefault="009D36A0" w:rsidP="009D36A0">
      <w:pPr>
        <w:pStyle w:val="SingleTxtGR"/>
      </w:pPr>
      <w:r w:rsidRPr="008C590E">
        <w:t>120.</w:t>
      </w:r>
      <w:r w:rsidRPr="008C590E">
        <w:tab/>
        <w:t>В то же время приверженность правительства Венгрии сохранению пе</w:t>
      </w:r>
      <w:r w:rsidRPr="008C590E">
        <w:t>н</w:t>
      </w:r>
      <w:r w:rsidRPr="008C590E">
        <w:t xml:space="preserve">сионных льгот для женщин, введенных в 2011 году, подтверждается решением не прекращать данную форму пенсионного обеспечения для них, несмотря на то, что, как упоминалось выше, она позволяет женщинам досрочно выходить на пенсию, </w:t>
      </w:r>
      <w:r>
        <w:t xml:space="preserve">и </w:t>
      </w:r>
      <w:r w:rsidRPr="008C590E">
        <w:t>поэтому женщины, стаж которых составляет 40 лет, по-прежнему имеют право на досрочный выход на пенсию.</w:t>
      </w:r>
    </w:p>
    <w:p w:rsidR="009D36A0" w:rsidRPr="008C590E" w:rsidRDefault="009D36A0" w:rsidP="009D36A0">
      <w:pPr>
        <w:pStyle w:val="H1GR"/>
      </w:pPr>
      <w:r w:rsidRPr="000F6C07">
        <w:tab/>
      </w:r>
      <w:r>
        <w:tab/>
      </w:r>
      <w:r w:rsidRPr="008C590E">
        <w:t>Здравоохранение</w:t>
      </w:r>
    </w:p>
    <w:p w:rsidR="009D36A0" w:rsidRPr="008C590E" w:rsidRDefault="009D36A0" w:rsidP="009D36A0">
      <w:pPr>
        <w:pStyle w:val="H23GR"/>
      </w:pPr>
      <w:r>
        <w:tab/>
      </w:r>
      <w:r>
        <w:tab/>
        <w:t>Ответ</w:t>
      </w:r>
      <w:r w:rsidRPr="008C590E">
        <w:t xml:space="preserve"> на вопросы, поставленные в пункте 15 перечня вопросов</w:t>
      </w:r>
    </w:p>
    <w:p w:rsidR="009D36A0" w:rsidRPr="008C590E" w:rsidRDefault="009D36A0" w:rsidP="009D36A0">
      <w:pPr>
        <w:pStyle w:val="SingleTxtGR"/>
      </w:pPr>
      <w:r w:rsidRPr="008C590E">
        <w:t>121.</w:t>
      </w:r>
      <w:r w:rsidRPr="008C590E">
        <w:tab/>
        <w:t xml:space="preserve">Венгрия </w:t>
      </w:r>
      <w:r>
        <w:t xml:space="preserve">весьма </w:t>
      </w:r>
      <w:r w:rsidRPr="008C590E">
        <w:t>серьезно относится к рекомендациям, сформулирова</w:t>
      </w:r>
      <w:r w:rsidRPr="008C590E">
        <w:t>н</w:t>
      </w:r>
      <w:r w:rsidRPr="008C590E">
        <w:t>ным Комитетом по ликвидации дискриминации в отношении женщин, и осущ</w:t>
      </w:r>
      <w:r w:rsidRPr="008C590E">
        <w:t>е</w:t>
      </w:r>
      <w:r w:rsidRPr="008C590E">
        <w:t xml:space="preserve">ствляет непрерывный контроль </w:t>
      </w:r>
      <w:r>
        <w:t xml:space="preserve">за </w:t>
      </w:r>
      <w:r w:rsidRPr="008C590E">
        <w:t>максимально возможн</w:t>
      </w:r>
      <w:r>
        <w:t>ым</w:t>
      </w:r>
      <w:r w:rsidRPr="008C590E">
        <w:t xml:space="preserve"> </w:t>
      </w:r>
      <w:r>
        <w:t>соответствием</w:t>
      </w:r>
      <w:r w:rsidRPr="008C590E">
        <w:t xml:space="preserve"> с</w:t>
      </w:r>
      <w:r w:rsidRPr="008C590E">
        <w:t>у</w:t>
      </w:r>
      <w:r w:rsidRPr="008C590E">
        <w:t>ществующих норм в секторе здравоохранения духу этих рекомендаций.</w:t>
      </w:r>
    </w:p>
    <w:p w:rsidR="009D36A0" w:rsidRPr="008C590E" w:rsidRDefault="009D36A0" w:rsidP="009D36A0">
      <w:pPr>
        <w:pStyle w:val="SingleTxtGR"/>
        <w:pageBreakBefore/>
      </w:pPr>
      <w:r w:rsidRPr="008C590E">
        <w:t>122.</w:t>
      </w:r>
      <w:r w:rsidRPr="008C590E">
        <w:tab/>
      </w:r>
      <w:r>
        <w:t>Согласно пунктам</w:t>
      </w:r>
      <w:r w:rsidRPr="008C590E">
        <w:t xml:space="preserve"> 1−2 и 6 статьи 187 Закона CLIV 1997 года о здрав</w:t>
      </w:r>
      <w:r w:rsidRPr="008C590E">
        <w:t>о</w:t>
      </w:r>
      <w:r w:rsidRPr="008C590E">
        <w:t>охранении (</w:t>
      </w:r>
      <w:r>
        <w:t>далее −</w:t>
      </w:r>
      <w:r w:rsidRPr="008C590E">
        <w:t xml:space="preserve"> "Закон о здравоохранении") хирургическая стерилизация по </w:t>
      </w:r>
      <w:r>
        <w:t xml:space="preserve">медицинским </w:t>
      </w:r>
      <w:r w:rsidRPr="008C590E">
        <w:t xml:space="preserve">соображениям </w:t>
      </w:r>
      <w:r>
        <w:t>на основании рекомендации</w:t>
      </w:r>
      <w:r w:rsidRPr="008C590E">
        <w:t xml:space="preserve"> врача может </w:t>
      </w:r>
      <w:r>
        <w:t>пров</w:t>
      </w:r>
      <w:r>
        <w:t>о</w:t>
      </w:r>
      <w:r>
        <w:t>диться</w:t>
      </w:r>
      <w:r w:rsidRPr="008C590E">
        <w:t xml:space="preserve"> даже в соответствии с ныне действующим законодательством лишь п</w:t>
      </w:r>
      <w:r w:rsidRPr="008C590E">
        <w:t>о</w:t>
      </w:r>
      <w:r w:rsidRPr="008C590E">
        <w:t>сле того, как женщине была пред</w:t>
      </w:r>
      <w:r>
        <w:t>о</w:t>
      </w:r>
      <w:r w:rsidRPr="008C590E">
        <w:t>ставлена подробная соответствующая инфо</w:t>
      </w:r>
      <w:r w:rsidRPr="008C590E">
        <w:t>р</w:t>
      </w:r>
      <w:r w:rsidRPr="008C590E">
        <w:t xml:space="preserve">мация и </w:t>
      </w:r>
      <w:r>
        <w:t>она дала свое</w:t>
      </w:r>
      <w:r w:rsidRPr="008C590E">
        <w:t xml:space="preserve"> письменно</w:t>
      </w:r>
      <w:r>
        <w:t>е согласие</w:t>
      </w:r>
      <w:r w:rsidRPr="008C590E">
        <w:t>. Подписанное заявление, которым женщина дает свое согласие, регистрируется в ее истории болезни. В н</w:t>
      </w:r>
      <w:r w:rsidRPr="008C590E">
        <w:t>а</w:t>
      </w:r>
      <w:r w:rsidRPr="008C590E">
        <w:t>стоящее время в законодательстве Венгрии не предусматривается "экстренн</w:t>
      </w:r>
      <w:r>
        <w:t>ая</w:t>
      </w:r>
      <w:r w:rsidRPr="008C590E">
        <w:t xml:space="preserve"> хирург</w:t>
      </w:r>
      <w:r w:rsidRPr="008C590E">
        <w:t>и</w:t>
      </w:r>
      <w:r w:rsidRPr="008C590E">
        <w:t>ческ</w:t>
      </w:r>
      <w:r>
        <w:t>ая</w:t>
      </w:r>
      <w:r w:rsidRPr="008C590E">
        <w:t xml:space="preserve"> стери</w:t>
      </w:r>
      <w:r>
        <w:t>лизация</w:t>
      </w:r>
      <w:r w:rsidRPr="008C590E">
        <w:t>".</w:t>
      </w:r>
    </w:p>
    <w:p w:rsidR="009D36A0" w:rsidRPr="008C590E" w:rsidRDefault="009D36A0" w:rsidP="009D36A0">
      <w:pPr>
        <w:pStyle w:val="SingleTxtGR"/>
        <w:ind w:left="1701" w:hanging="567"/>
      </w:pPr>
      <w:r w:rsidRPr="008C590E">
        <w:tab/>
        <w:t>"Статья 187 (1)</w:t>
      </w:r>
      <w:r>
        <w:t>.</w:t>
      </w:r>
      <w:r w:rsidRPr="008C590E">
        <w:t xml:space="preserve"> Хирургическая стерилизация, приводящая к прекращ</w:t>
      </w:r>
      <w:r w:rsidRPr="008C590E">
        <w:t>е</w:t>
      </w:r>
      <w:r w:rsidRPr="008C590E">
        <w:t>нию детородной способности и способности к зачатию, может осущест</w:t>
      </w:r>
      <w:r w:rsidRPr="008C590E">
        <w:t>в</w:t>
      </w:r>
      <w:r w:rsidRPr="008C590E">
        <w:t>ляться лишь с письменного согласия соответствующей женщины или с</w:t>
      </w:r>
      <w:r w:rsidRPr="008C590E">
        <w:t>о</w:t>
      </w:r>
      <w:r w:rsidRPr="008C590E">
        <w:t>ответствующ</w:t>
      </w:r>
      <w:r w:rsidRPr="008C590E">
        <w:t>е</w:t>
      </w:r>
      <w:r>
        <w:t>го мужчины</w:t>
      </w:r>
    </w:p>
    <w:p w:rsidR="009D36A0" w:rsidRPr="008C590E" w:rsidRDefault="009D36A0" w:rsidP="009D36A0">
      <w:pPr>
        <w:pStyle w:val="SingleTxtGR"/>
        <w:ind w:left="2268" w:hanging="567"/>
      </w:pPr>
      <w:r w:rsidRPr="008C590E">
        <w:tab/>
      </w:r>
      <w:r w:rsidRPr="00D2184D">
        <w:rPr>
          <w:i/>
          <w:lang w:val="en-US"/>
        </w:rPr>
        <w:t>a</w:t>
      </w:r>
      <w:r w:rsidRPr="00D2184D">
        <w:rPr>
          <w:i/>
        </w:rPr>
        <w:t>)</w:t>
      </w:r>
      <w:r w:rsidRPr="008C590E">
        <w:tab/>
        <w:t>в случае лиц в возрасте старше 18 лет</w:t>
      </w:r>
      <w:r>
        <w:t>,</w:t>
      </w:r>
      <w:r w:rsidRPr="008C590E">
        <w:t xml:space="preserve"> имеющих полную и неограниченную </w:t>
      </w:r>
      <w:r>
        <w:t>дее</w:t>
      </w:r>
      <w:r w:rsidRPr="008C590E">
        <w:t>спосо</w:t>
      </w:r>
      <w:r w:rsidRPr="008C590E">
        <w:t>б</w:t>
      </w:r>
      <w:r w:rsidRPr="008C590E">
        <w:t>ность,</w:t>
      </w:r>
    </w:p>
    <w:p w:rsidR="009D36A0" w:rsidRPr="008C590E" w:rsidRDefault="009D36A0" w:rsidP="009D36A0">
      <w:pPr>
        <w:pStyle w:val="SingleTxtGR"/>
        <w:ind w:left="2268" w:hanging="567"/>
      </w:pPr>
      <w:r w:rsidRPr="008C590E">
        <w:tab/>
      </w:r>
      <w:r w:rsidRPr="00D2184D">
        <w:rPr>
          <w:i/>
          <w:lang w:val="en-US"/>
        </w:rPr>
        <w:t>b</w:t>
      </w:r>
      <w:r w:rsidRPr="00D2184D">
        <w:rPr>
          <w:i/>
        </w:rPr>
        <w:t>)</w:t>
      </w:r>
      <w:r w:rsidRPr="008C590E">
        <w:tab/>
        <w:t xml:space="preserve">в случае лиц в возрасте до 18 лет, </w:t>
      </w:r>
      <w:r>
        <w:t>дее</w:t>
      </w:r>
      <w:r w:rsidRPr="008C590E">
        <w:t>способность которых ограничена, при условии с</w:t>
      </w:r>
      <w:r w:rsidRPr="008C590E">
        <w:t>о</w:t>
      </w:r>
      <w:r w:rsidRPr="008C590E">
        <w:t>блюдения положений пункта 7, и</w:t>
      </w:r>
    </w:p>
    <w:p w:rsidR="009D36A0" w:rsidRPr="008C590E" w:rsidRDefault="009D36A0" w:rsidP="009D36A0">
      <w:pPr>
        <w:pStyle w:val="SingleTxtGR"/>
        <w:ind w:left="2268" w:hanging="567"/>
      </w:pPr>
      <w:r w:rsidRPr="008C590E">
        <w:tab/>
      </w:r>
      <w:r w:rsidRPr="00D2184D">
        <w:rPr>
          <w:i/>
          <w:lang w:val="en-US"/>
        </w:rPr>
        <w:t>c</w:t>
      </w:r>
      <w:r w:rsidRPr="00D2184D">
        <w:rPr>
          <w:i/>
        </w:rPr>
        <w:t>)</w:t>
      </w:r>
      <w:r w:rsidRPr="008C590E">
        <w:tab/>
        <w:t xml:space="preserve">в случае лиц, не имеющих </w:t>
      </w:r>
      <w:r>
        <w:t>дееспособности, в соответствии с </w:t>
      </w:r>
      <w:r w:rsidRPr="008C590E">
        <w:t>определением в статье 187/B.</w:t>
      </w:r>
    </w:p>
    <w:p w:rsidR="009D36A0" w:rsidRPr="008C590E" w:rsidRDefault="009D36A0" w:rsidP="009D36A0">
      <w:pPr>
        <w:pStyle w:val="SingleTxtGR"/>
        <w:ind w:left="1701" w:hanging="567"/>
      </w:pPr>
      <w:r w:rsidRPr="008C590E">
        <w:tab/>
        <w:t>2)</w:t>
      </w:r>
      <w:r w:rsidRPr="008C590E">
        <w:tab/>
        <w:t>При подаче заявления о хирургической стерилизации назначенный врач службы здравоохранения информирует заявителя в устной и пис</w:t>
      </w:r>
      <w:r w:rsidRPr="008C590E">
        <w:t>ь</w:t>
      </w:r>
      <w:r w:rsidRPr="008C590E">
        <w:t>менной форме о других возможных методах контрацепции, которые м</w:t>
      </w:r>
      <w:r w:rsidRPr="008C590E">
        <w:t>о</w:t>
      </w:r>
      <w:r w:rsidRPr="008C590E">
        <w:t>гут быть применены заявителем или его/ее партнером, о характере хиру</w:t>
      </w:r>
      <w:r w:rsidRPr="008C590E">
        <w:t>р</w:t>
      </w:r>
      <w:r w:rsidRPr="008C590E">
        <w:t>гического вмешательства, о потенци</w:t>
      </w:r>
      <w:r>
        <w:t>альных рисках и последствиях, а </w:t>
      </w:r>
      <w:r w:rsidRPr="008C590E">
        <w:t>та</w:t>
      </w:r>
      <w:r w:rsidRPr="008C590E">
        <w:t>к</w:t>
      </w:r>
      <w:r w:rsidRPr="008C590E">
        <w:t>же о возможностях восстановления детородной способности и способн</w:t>
      </w:r>
      <w:r w:rsidRPr="008C590E">
        <w:t>о</w:t>
      </w:r>
      <w:r w:rsidRPr="008C590E">
        <w:t>сти к зачатию.</w:t>
      </w:r>
    </w:p>
    <w:p w:rsidR="009D36A0" w:rsidRPr="008C590E" w:rsidRDefault="009D36A0" w:rsidP="009D36A0">
      <w:pPr>
        <w:pStyle w:val="SingleTxtGR"/>
        <w:ind w:left="1701" w:hanging="567"/>
      </w:pPr>
      <w:r>
        <w:tab/>
        <w:t>6)</w:t>
      </w:r>
      <w:r>
        <w:tab/>
        <w:t>Х</w:t>
      </w:r>
      <w:r w:rsidRPr="008C590E">
        <w:t>одатайство о хирургической с</w:t>
      </w:r>
      <w:r>
        <w:t>терилизации может быть подано в </w:t>
      </w:r>
      <w:r w:rsidRPr="008C590E">
        <w:t>форме официального документа или не вызывающего сомнений частн</w:t>
      </w:r>
      <w:r w:rsidRPr="008C590E">
        <w:t>о</w:t>
      </w:r>
      <w:r w:rsidRPr="008C590E">
        <w:t>го док</w:t>
      </w:r>
      <w:r w:rsidRPr="008C590E">
        <w:t>у</w:t>
      </w:r>
      <w:r w:rsidRPr="008C590E">
        <w:t>мента.</w:t>
      </w:r>
      <w:r>
        <w:t>"</w:t>
      </w:r>
    </w:p>
    <w:p w:rsidR="009D36A0" w:rsidRPr="008C590E" w:rsidRDefault="009D36A0" w:rsidP="009D36A0">
      <w:pPr>
        <w:pStyle w:val="SingleTxtGR"/>
      </w:pPr>
      <w:r>
        <w:t>123.</w:t>
      </w:r>
      <w:r>
        <w:tab/>
        <w:t>На основе вышеизложенного</w:t>
      </w:r>
      <w:r w:rsidRPr="008C590E">
        <w:t xml:space="preserve"> законодательство предусматривает надл</w:t>
      </w:r>
      <w:r w:rsidRPr="008C590E">
        <w:t>е</w:t>
      </w:r>
      <w:r w:rsidRPr="008C590E">
        <w:t xml:space="preserve">жащие гарантии проведения в жизнь политики получения </w:t>
      </w:r>
      <w:r>
        <w:t>осознанного</w:t>
      </w:r>
      <w:r w:rsidRPr="008C590E">
        <w:t xml:space="preserve"> согласия в качестве основополагающего права п</w:t>
      </w:r>
      <w:r w:rsidRPr="008C590E">
        <w:t>а</w:t>
      </w:r>
      <w:r w:rsidRPr="008C590E">
        <w:t>циента.</w:t>
      </w:r>
    </w:p>
    <w:p w:rsidR="009D36A0" w:rsidRPr="008C590E" w:rsidRDefault="009D36A0" w:rsidP="009D36A0">
      <w:pPr>
        <w:pStyle w:val="SingleTxtGR"/>
      </w:pPr>
      <w:r w:rsidRPr="008C590E">
        <w:t>124.</w:t>
      </w:r>
      <w:r w:rsidRPr="008C590E">
        <w:tab/>
        <w:t xml:space="preserve">Ответственность за контроль над хирургическими стерилизациями и за проверку </w:t>
      </w:r>
      <w:r>
        <w:t xml:space="preserve">получения </w:t>
      </w:r>
      <w:r w:rsidRPr="008C590E">
        <w:t xml:space="preserve">полностью </w:t>
      </w:r>
      <w:r>
        <w:t>осознанного</w:t>
      </w:r>
      <w:r w:rsidRPr="008C590E">
        <w:t xml:space="preserve"> согласия пациентов в настоящее время несет Институт качества и организационного развития в сфере здрав</w:t>
      </w:r>
      <w:r w:rsidRPr="008C590E">
        <w:t>о</w:t>
      </w:r>
      <w:r w:rsidRPr="008C590E">
        <w:t>охранения и медицины (GYEMSZI). В настоящее время ведется единая наци</w:t>
      </w:r>
      <w:r w:rsidRPr="008C590E">
        <w:t>о</w:t>
      </w:r>
      <w:r w:rsidRPr="008C590E">
        <w:t>нальная база данных о финансируемых государством</w:t>
      </w:r>
      <w:r>
        <w:t xml:space="preserve"> службах</w:t>
      </w:r>
      <w:r w:rsidRPr="008C590E">
        <w:t>, но</w:t>
      </w:r>
      <w:r>
        <w:t xml:space="preserve"> </w:t>
      </w:r>
      <w:r w:rsidRPr="008C590E">
        <w:t>регистрация деятельности частных организаций здравоохранения не ведется. В силу этого министерство планирует провести осенью 2012 года общенациональный обзор положения с хирургической стерилизацией независимо от сектора в форме кл</w:t>
      </w:r>
      <w:r w:rsidRPr="008C590E">
        <w:t>и</w:t>
      </w:r>
      <w:r w:rsidRPr="008C590E">
        <w:t>нического аудита с участием GYEMSZI и уполномоченных медицинских рук</w:t>
      </w:r>
      <w:r w:rsidRPr="008C590E">
        <w:t>о</w:t>
      </w:r>
      <w:r w:rsidRPr="008C590E">
        <w:t>водителей. Орган, ответственный за рассмотрение жалоб пациентов, не получал связанных с данным видом услуг ж</w:t>
      </w:r>
      <w:r w:rsidRPr="008C590E">
        <w:t>а</w:t>
      </w:r>
      <w:r w:rsidRPr="008C590E">
        <w:t>лоб с 2010 года.</w:t>
      </w:r>
    </w:p>
    <w:p w:rsidR="009D36A0" w:rsidRDefault="009D36A0" w:rsidP="009D36A0">
      <w:pPr>
        <w:pStyle w:val="SingleTxtGR"/>
      </w:pPr>
      <w:r w:rsidRPr="008C590E">
        <w:t>125.</w:t>
      </w:r>
      <w:r w:rsidRPr="008C590E">
        <w:tab/>
        <w:t xml:space="preserve">Профессиональное </w:t>
      </w:r>
      <w:r>
        <w:t>заключение</w:t>
      </w:r>
      <w:r w:rsidRPr="008C590E">
        <w:t xml:space="preserve"> уже в настоящее время запрашивается на официальном бланке в целях обеспечения соблюдения требования об </w:t>
      </w:r>
      <w:r>
        <w:t>осозна</w:t>
      </w:r>
      <w:r>
        <w:t>н</w:t>
      </w:r>
      <w:r>
        <w:t>ном</w:t>
      </w:r>
      <w:r w:rsidRPr="008C590E">
        <w:t xml:space="preserve"> согласии. Форма бланка была </w:t>
      </w:r>
      <w:r>
        <w:t>адаптирована</w:t>
      </w:r>
      <w:r w:rsidRPr="008C590E">
        <w:t xml:space="preserve"> отделением акушерства и гин</w:t>
      </w:r>
      <w:r w:rsidRPr="008C590E">
        <w:t>е</w:t>
      </w:r>
      <w:r w:rsidRPr="008C590E">
        <w:t>кологии Профессиональной коллегии работников здравоохранения. После этого данный документ, озаглавленный "Информационная справка для пациентов и заявление о согласии на хирургическую стерилизацию"</w:t>
      </w:r>
      <w:r>
        <w:t>,</w:t>
      </w:r>
      <w:r w:rsidRPr="008C590E">
        <w:t xml:space="preserve"> был представлен д</w:t>
      </w:r>
      <w:r w:rsidRPr="008C590E">
        <w:t>е</w:t>
      </w:r>
      <w:r w:rsidRPr="008C590E">
        <w:t xml:space="preserve">партаментом политики в области здравоохранения в Венгерскую палату </w:t>
      </w:r>
      <w:r>
        <w:t>сп</w:t>
      </w:r>
      <w:r>
        <w:t>е</w:t>
      </w:r>
      <w:r>
        <w:t>циалистов системы</w:t>
      </w:r>
      <w:r w:rsidRPr="008C590E">
        <w:t xml:space="preserve"> здравоохранения, Венгерскую палату врачей и в Венге</w:t>
      </w:r>
      <w:r w:rsidRPr="008C590E">
        <w:t>р</w:t>
      </w:r>
      <w:r w:rsidRPr="008C590E">
        <w:t xml:space="preserve">скую ассоциацию лечебных заведений для получения их </w:t>
      </w:r>
      <w:r>
        <w:t>заключения</w:t>
      </w:r>
      <w:r w:rsidRPr="008C590E">
        <w:t>. Документ был доработан с учетом пол</w:t>
      </w:r>
      <w:r w:rsidRPr="008C590E">
        <w:t>у</w:t>
      </w:r>
      <w:r w:rsidRPr="008C590E">
        <w:t xml:space="preserve">ченных </w:t>
      </w:r>
      <w:r>
        <w:t>замечаний</w:t>
      </w:r>
      <w:r w:rsidRPr="008C590E">
        <w:t>.</w:t>
      </w:r>
    </w:p>
    <w:p w:rsidR="009D36A0" w:rsidRPr="008C590E" w:rsidRDefault="009D36A0" w:rsidP="009D36A0">
      <w:pPr>
        <w:pStyle w:val="H23GR"/>
      </w:pPr>
      <w:r>
        <w:tab/>
      </w:r>
      <w:r>
        <w:tab/>
      </w:r>
      <w:r w:rsidRPr="008C590E">
        <w:t>Ответ на вопросы, поставленные в пункте 16 перечня вопросов</w:t>
      </w:r>
    </w:p>
    <w:p w:rsidR="009D36A0" w:rsidRPr="008C590E" w:rsidRDefault="009D36A0" w:rsidP="009D36A0">
      <w:pPr>
        <w:pStyle w:val="SingleTxtGR"/>
      </w:pPr>
      <w:r w:rsidRPr="008C590E">
        <w:t>126.</w:t>
      </w:r>
      <w:r w:rsidRPr="008C590E">
        <w:tab/>
        <w:t>Вопросы "сексуального и репродуктивного здоровья и контрацепции" р</w:t>
      </w:r>
      <w:r w:rsidRPr="008C590E">
        <w:t>е</w:t>
      </w:r>
      <w:r w:rsidR="00130565">
        <w:t>гулирую</w:t>
      </w:r>
      <w:r w:rsidRPr="008C590E">
        <w:t>тся в Венгрии Законом LXXIX 1992 года об охране жизни эмбриона. Статья 2 этого Закона гласит:</w:t>
      </w:r>
    </w:p>
    <w:p w:rsidR="009D36A0" w:rsidRPr="008C590E" w:rsidRDefault="009D36A0" w:rsidP="009D36A0">
      <w:pPr>
        <w:pStyle w:val="SingleTxtGR"/>
      </w:pPr>
      <w:r w:rsidRPr="008C590E">
        <w:tab/>
        <w:t>1)</w:t>
      </w:r>
      <w:r w:rsidRPr="008C590E">
        <w:tab/>
        <w:t>Образование по темам ценности здоровья и жизни человека, здор</w:t>
      </w:r>
      <w:r w:rsidRPr="008C590E">
        <w:t>о</w:t>
      </w:r>
      <w:r w:rsidRPr="008C590E">
        <w:t xml:space="preserve">вого образа жизни, ответственных отношений между партнерами, достойной семейной жизни и методов контроля рождаемости, которые не </w:t>
      </w:r>
      <w:r>
        <w:t>причиняют</w:t>
      </w:r>
      <w:r w:rsidRPr="008C590E">
        <w:t xml:space="preserve"> уще</w:t>
      </w:r>
      <w:r w:rsidRPr="008C590E">
        <w:t>р</w:t>
      </w:r>
      <w:r w:rsidRPr="008C590E">
        <w:t>ба здоровью, обеспечивается учреждениями</w:t>
      </w:r>
      <w:r>
        <w:t xml:space="preserve"> </w:t>
      </w:r>
      <w:r w:rsidRPr="008C590E">
        <w:t xml:space="preserve">начальной и средней школы. </w:t>
      </w:r>
    </w:p>
    <w:p w:rsidR="009D36A0" w:rsidRPr="008C590E" w:rsidRDefault="009D36A0" w:rsidP="009D36A0">
      <w:pPr>
        <w:pStyle w:val="SingleTxtGR"/>
      </w:pPr>
      <w:r w:rsidRPr="008C590E">
        <w:tab/>
        <w:t>2)</w:t>
      </w:r>
      <w:r w:rsidRPr="008C590E">
        <w:tab/>
        <w:t xml:space="preserve">Государственная служба охраны семьи или служба защиты семьи, </w:t>
      </w:r>
      <w:r>
        <w:t>уполномоченная</w:t>
      </w:r>
      <w:r w:rsidRPr="008C590E">
        <w:t xml:space="preserve"> государственным органом здравоохранения, обеспечивает ко</w:t>
      </w:r>
      <w:r w:rsidRPr="008C590E">
        <w:t>н</w:t>
      </w:r>
      <w:r w:rsidRPr="008C590E">
        <w:t>сультации, оказывает помощь при разрешении кризисных ситуаций и организ</w:t>
      </w:r>
      <w:r w:rsidRPr="008C590E">
        <w:t>у</w:t>
      </w:r>
      <w:r w:rsidRPr="008C590E">
        <w:t>ет распространение информации о планировании семьи вне учебных зав</w:t>
      </w:r>
      <w:r w:rsidRPr="008C590E">
        <w:t>е</w:t>
      </w:r>
      <w:r w:rsidRPr="008C590E">
        <w:t>дений.</w:t>
      </w:r>
    </w:p>
    <w:p w:rsidR="009D36A0" w:rsidRPr="008C590E" w:rsidRDefault="009D36A0" w:rsidP="009D36A0">
      <w:pPr>
        <w:pStyle w:val="SingleTxtGR"/>
      </w:pPr>
      <w:r w:rsidRPr="008C590E">
        <w:tab/>
        <w:t>3)</w:t>
      </w:r>
      <w:r w:rsidRPr="008C590E">
        <w:tab/>
        <w:t>Государство:</w:t>
      </w:r>
    </w:p>
    <w:p w:rsidR="009D36A0" w:rsidRPr="008C590E" w:rsidRDefault="009D36A0" w:rsidP="009D36A0">
      <w:pPr>
        <w:pStyle w:val="SingleTxtGR"/>
        <w:ind w:left="2268" w:hanging="567"/>
      </w:pPr>
      <w:r w:rsidRPr="008C590E">
        <w:tab/>
      </w:r>
      <w:r w:rsidRPr="00977F52">
        <w:rPr>
          <w:i/>
        </w:rPr>
        <w:t>а)</w:t>
      </w:r>
      <w:r w:rsidRPr="008C590E">
        <w:tab/>
        <w:t>содействует доступу к противозачаточным препаратам и средствам по льготным ценам в зависимости от потребности и пу</w:t>
      </w:r>
      <w:r w:rsidRPr="008C590E">
        <w:t>б</w:t>
      </w:r>
      <w:r w:rsidRPr="008C590E">
        <w:t>ликует информацию об охране жизни эмбриона и о контролиру</w:t>
      </w:r>
      <w:r w:rsidRPr="008C590E">
        <w:t>е</w:t>
      </w:r>
      <w:r w:rsidRPr="008C590E">
        <w:t>мой контраце</w:t>
      </w:r>
      <w:r w:rsidRPr="008C590E">
        <w:t>п</w:t>
      </w:r>
      <w:r w:rsidRPr="008C590E">
        <w:t xml:space="preserve">ции, а также распространяет эту информацию через </w:t>
      </w:r>
      <w:r>
        <w:t>средства</w:t>
      </w:r>
      <w:r w:rsidRPr="008C590E">
        <w:t xml:space="preserve"> массовой информации;</w:t>
      </w:r>
    </w:p>
    <w:p w:rsidR="009D36A0" w:rsidRPr="008C590E" w:rsidRDefault="009D36A0" w:rsidP="009D36A0">
      <w:pPr>
        <w:pStyle w:val="SingleTxtGR"/>
        <w:ind w:left="2268" w:hanging="567"/>
      </w:pPr>
      <w:r w:rsidRPr="008C590E">
        <w:tab/>
      </w:r>
      <w:r w:rsidRPr="00977F52">
        <w:rPr>
          <w:i/>
          <w:lang w:val="en-US"/>
        </w:rPr>
        <w:t>b</w:t>
      </w:r>
      <w:r w:rsidRPr="00977F52">
        <w:rPr>
          <w:i/>
        </w:rPr>
        <w:t>)</w:t>
      </w:r>
      <w:r w:rsidRPr="008C590E">
        <w:tab/>
        <w:t>содействует развитию системы консультаций для преодол</w:t>
      </w:r>
      <w:r w:rsidRPr="008C590E">
        <w:t>е</w:t>
      </w:r>
      <w:r w:rsidRPr="008C590E">
        <w:t>ния кризисов, услуги которой предоставляются матери и всей с</w:t>
      </w:r>
      <w:r w:rsidRPr="008C590E">
        <w:t>е</w:t>
      </w:r>
      <w:r w:rsidRPr="008C590E">
        <w:t>мье и которая обладает надлежащим</w:t>
      </w:r>
      <w:r>
        <w:t>и</w:t>
      </w:r>
      <w:r w:rsidRPr="008C590E">
        <w:t xml:space="preserve"> экспертными знаниями</w:t>
      </w:r>
      <w:r>
        <w:t>,</w:t>
      </w:r>
      <w:r w:rsidRPr="008C590E">
        <w:t xml:space="preserve"> и р</w:t>
      </w:r>
      <w:r w:rsidRPr="008C590E">
        <w:t>е</w:t>
      </w:r>
      <w:r w:rsidRPr="008C590E">
        <w:t>гулирует условия и формы эффективного сотрудничества между государством и неправительственными организациями в процессе консультаций;</w:t>
      </w:r>
    </w:p>
    <w:p w:rsidR="009D36A0" w:rsidRPr="008C590E" w:rsidRDefault="009D36A0" w:rsidP="009D36A0">
      <w:pPr>
        <w:pStyle w:val="SingleTxtGR"/>
        <w:ind w:left="2268" w:hanging="567"/>
      </w:pPr>
      <w:r w:rsidRPr="008C590E">
        <w:tab/>
      </w:r>
      <w:r w:rsidRPr="00977F52">
        <w:rPr>
          <w:i/>
          <w:lang w:val="en-US"/>
        </w:rPr>
        <w:t>c</w:t>
      </w:r>
      <w:r w:rsidRPr="00977F52">
        <w:rPr>
          <w:i/>
        </w:rPr>
        <w:t>)</w:t>
      </w:r>
      <w:r w:rsidRPr="008C590E">
        <w:tab/>
        <w:t>поддерживает мероприятия и организации, которые служат делу охраны жизни эмбриона, в частности те, которые также ок</w:t>
      </w:r>
      <w:r w:rsidRPr="008C590E">
        <w:t>а</w:t>
      </w:r>
      <w:r w:rsidRPr="008C590E">
        <w:t>зывают материал</w:t>
      </w:r>
      <w:r w:rsidRPr="008C590E">
        <w:t>ь</w:t>
      </w:r>
      <w:r w:rsidRPr="008C590E">
        <w:t>ную поддержку нуждающимся будущим матерям;</w:t>
      </w:r>
    </w:p>
    <w:p w:rsidR="009D36A0" w:rsidRPr="008C590E" w:rsidRDefault="009D36A0" w:rsidP="009D36A0">
      <w:pPr>
        <w:pStyle w:val="SingleTxtGR"/>
        <w:ind w:left="2268" w:hanging="567"/>
      </w:pPr>
      <w:r w:rsidRPr="008C590E">
        <w:tab/>
      </w:r>
      <w:r w:rsidRPr="00977F52">
        <w:rPr>
          <w:i/>
          <w:lang w:val="en-US"/>
        </w:rPr>
        <w:t>d</w:t>
      </w:r>
      <w:r w:rsidRPr="00977F52">
        <w:rPr>
          <w:i/>
        </w:rPr>
        <w:t>)</w:t>
      </w:r>
      <w:r w:rsidRPr="008C590E">
        <w:tab/>
        <w:t xml:space="preserve">использует </w:t>
      </w:r>
      <w:r>
        <w:t>инструментарий</w:t>
      </w:r>
      <w:r w:rsidRPr="008C590E">
        <w:t xml:space="preserve"> трудового законодательства для обеспечения особой защиты будущих матерей на рабочих местах;</w:t>
      </w:r>
    </w:p>
    <w:p w:rsidR="009D36A0" w:rsidRPr="008C590E" w:rsidRDefault="009D36A0" w:rsidP="009D36A0">
      <w:pPr>
        <w:pStyle w:val="SingleTxtGR"/>
        <w:ind w:left="2268" w:hanging="567"/>
      </w:pPr>
      <w:r w:rsidRPr="008C590E">
        <w:tab/>
      </w:r>
      <w:r w:rsidRPr="00977F52">
        <w:rPr>
          <w:i/>
          <w:lang w:val="en-US"/>
        </w:rPr>
        <w:t>e</w:t>
      </w:r>
      <w:r w:rsidRPr="00977F52">
        <w:rPr>
          <w:i/>
        </w:rPr>
        <w:t>)</w:t>
      </w:r>
      <w:r w:rsidRPr="008C590E">
        <w:tab/>
      </w:r>
      <w:r>
        <w:t xml:space="preserve">и </w:t>
      </w:r>
      <w:r w:rsidRPr="008C590E">
        <w:t>местные органы власти оказывают помощь будущим мат</w:t>
      </w:r>
      <w:r w:rsidRPr="008C590E">
        <w:t>е</w:t>
      </w:r>
      <w:r w:rsidRPr="008C590E">
        <w:t xml:space="preserve">рям и их семьям в сохранении и </w:t>
      </w:r>
      <w:r>
        <w:t>поддержании</w:t>
      </w:r>
      <w:r w:rsidRPr="008C590E">
        <w:t xml:space="preserve"> ожидаемого ребенка путем гаранти</w:t>
      </w:r>
      <w:r>
        <w:t>рованного оказания</w:t>
      </w:r>
      <w:r w:rsidRPr="008C590E">
        <w:t xml:space="preserve"> услуг по обеспечению благо</w:t>
      </w:r>
      <w:r>
        <w:t>п</w:t>
      </w:r>
      <w:r>
        <w:t>о</w:t>
      </w:r>
      <w:r>
        <w:t>лучия</w:t>
      </w:r>
      <w:r w:rsidRPr="008C590E">
        <w:t xml:space="preserve"> и защите ребенка.</w:t>
      </w:r>
    </w:p>
    <w:p w:rsidR="009D36A0" w:rsidRPr="00D507E7" w:rsidRDefault="009D36A0" w:rsidP="009D36A0">
      <w:pPr>
        <w:pStyle w:val="SingleTxtGR"/>
      </w:pPr>
      <w:r w:rsidRPr="008C590E">
        <w:t>127.</w:t>
      </w:r>
      <w:r w:rsidRPr="008C590E">
        <w:tab/>
        <w:t>В Венгрии существует несколько видов экстренн</w:t>
      </w:r>
      <w:r>
        <w:t>ой контрацепции</w:t>
      </w:r>
      <w:r w:rsidRPr="008C590E">
        <w:t xml:space="preserve">, </w:t>
      </w:r>
      <w:r>
        <w:t xml:space="preserve">и при этом </w:t>
      </w:r>
      <w:r w:rsidRPr="008C590E">
        <w:t>имеются в наличии и могут предоставляться по рецепту любые соответс</w:t>
      </w:r>
      <w:r w:rsidRPr="008C590E">
        <w:t>т</w:t>
      </w:r>
      <w:r w:rsidRPr="008C590E">
        <w:t>вующие препараты. Организации, действующие в социальной сфере, выступали с предложениями о предоставлении таких препаратов без рецепта</w:t>
      </w:r>
      <w:r>
        <w:t>. Однако</w:t>
      </w:r>
      <w:r w:rsidRPr="008C590E">
        <w:t>, по мнению отделения акушерства и гинекологии Профессиональной</w:t>
      </w:r>
      <w:r>
        <w:t xml:space="preserve"> </w:t>
      </w:r>
      <w:r w:rsidRPr="008C590E">
        <w:t>коллегии р</w:t>
      </w:r>
      <w:r w:rsidRPr="008C590E">
        <w:t>а</w:t>
      </w:r>
      <w:r w:rsidRPr="008C590E">
        <w:t>ботников здравоохране</w:t>
      </w:r>
      <w:r>
        <w:t>ния, в</w:t>
      </w:r>
      <w:r w:rsidRPr="008C590E">
        <w:t>виду частых побочных явлений и риска неполуч</w:t>
      </w:r>
      <w:r w:rsidRPr="008C590E">
        <w:t>е</w:t>
      </w:r>
      <w:r w:rsidRPr="008C590E">
        <w:t>ния надлежащей информации</w:t>
      </w:r>
      <w:r>
        <w:t xml:space="preserve"> средства</w:t>
      </w:r>
      <w:r w:rsidRPr="008C590E">
        <w:t xml:space="preserve"> экстренн</w:t>
      </w:r>
      <w:r>
        <w:t>ой контрацепции</w:t>
      </w:r>
      <w:r w:rsidRPr="008C590E">
        <w:t xml:space="preserve"> должны пр</w:t>
      </w:r>
      <w:r w:rsidRPr="008C590E">
        <w:t>е</w:t>
      </w:r>
      <w:r w:rsidRPr="008C590E">
        <w:t>доставляться</w:t>
      </w:r>
      <w:r>
        <w:t xml:space="preserve"> только</w:t>
      </w:r>
      <w:r w:rsidRPr="008C590E">
        <w:t xml:space="preserve"> по рецепту врача.</w:t>
      </w:r>
    </w:p>
    <w:p w:rsidR="00130565" w:rsidRPr="00C927CC" w:rsidRDefault="00130565" w:rsidP="00130565">
      <w:pPr>
        <w:pStyle w:val="H1GR"/>
      </w:pPr>
      <w:r>
        <w:tab/>
      </w:r>
      <w:r>
        <w:tab/>
        <w:t>Сельские женщины</w:t>
      </w:r>
    </w:p>
    <w:p w:rsidR="00130565" w:rsidRDefault="00130565" w:rsidP="00130565">
      <w:pPr>
        <w:pStyle w:val="H23GR"/>
      </w:pPr>
      <w:r>
        <w:tab/>
      </w:r>
      <w:r>
        <w:tab/>
      </w:r>
      <w:r w:rsidRPr="001B7A07">
        <w:t xml:space="preserve">Ответ на вопросы, </w:t>
      </w:r>
      <w:r>
        <w:t>поставленные</w:t>
      </w:r>
      <w:r w:rsidRPr="001B7A07">
        <w:t xml:space="preserve"> в пункте 17 перечня вопросов</w:t>
      </w:r>
    </w:p>
    <w:p w:rsidR="00130565" w:rsidRDefault="00130565" w:rsidP="00130565">
      <w:pPr>
        <w:pStyle w:val="SingleTxtGR"/>
      </w:pPr>
      <w:r>
        <w:t>128</w:t>
      </w:r>
      <w:r w:rsidRPr="00B61D46">
        <w:t>.</w:t>
      </w:r>
      <w:r>
        <w:tab/>
      </w:r>
      <w:r w:rsidRPr="00B61D46">
        <w:t xml:space="preserve">В период </w:t>
      </w:r>
      <w:r>
        <w:t>с 2007 года</w:t>
      </w:r>
      <w:r w:rsidRPr="00B61D46">
        <w:t xml:space="preserve"> </w:t>
      </w:r>
      <w:r>
        <w:t>положение с мобильностью</w:t>
      </w:r>
      <w:r w:rsidRPr="00B61D46">
        <w:t xml:space="preserve"> сельского населения, </w:t>
      </w:r>
      <w:r>
        <w:t>включая</w:t>
      </w:r>
      <w:r w:rsidRPr="00B61D46">
        <w:t xml:space="preserve"> женщин,</w:t>
      </w:r>
      <w:r>
        <w:t xml:space="preserve"> проживающих в сельской местности, было улучшено, отчасти благодаря мерам, связанным с корректировкой расписания движения транспо</w:t>
      </w:r>
      <w:r>
        <w:t>р</w:t>
      </w:r>
      <w:r>
        <w:t>та, а отчасти благодаря развитию</w:t>
      </w:r>
      <w:r w:rsidRPr="00B61D46">
        <w:t xml:space="preserve"> инфраструктуры. </w:t>
      </w:r>
      <w:r>
        <w:t xml:space="preserve">На </w:t>
      </w:r>
      <w:r w:rsidRPr="00B61D46">
        <w:t xml:space="preserve">транспорт для детей и для </w:t>
      </w:r>
      <w:r>
        <w:t>лиц</w:t>
      </w:r>
      <w:r w:rsidRPr="00B61D46">
        <w:t>, воспитыва</w:t>
      </w:r>
      <w:r w:rsidRPr="00B61D46">
        <w:t>ю</w:t>
      </w:r>
      <w:r w:rsidRPr="00B61D46">
        <w:t>щих детей</w:t>
      </w:r>
      <w:r>
        <w:t xml:space="preserve">, государством и </w:t>
      </w:r>
      <w:r w:rsidRPr="00B61D46">
        <w:t>местны</w:t>
      </w:r>
      <w:r>
        <w:t>ми</w:t>
      </w:r>
      <w:r w:rsidRPr="00B61D46">
        <w:t xml:space="preserve"> орган</w:t>
      </w:r>
      <w:r>
        <w:t>ами</w:t>
      </w:r>
      <w:r w:rsidRPr="00B61D46">
        <w:t xml:space="preserve"> власти</w:t>
      </w:r>
      <w:r>
        <w:t xml:space="preserve"> предоставляются </w:t>
      </w:r>
      <w:r w:rsidRPr="00B61D46">
        <w:t>социально-политическ</w:t>
      </w:r>
      <w:r>
        <w:t>ие</w:t>
      </w:r>
      <w:r w:rsidRPr="00B61D46">
        <w:t xml:space="preserve"> скидки</w:t>
      </w:r>
      <w:r>
        <w:t>, а некоторые орган</w:t>
      </w:r>
      <w:r>
        <w:t>и</w:t>
      </w:r>
      <w:r>
        <w:t>зации по оказанию услуг в сфере транспорта также предоставляют скидки в рамках св</w:t>
      </w:r>
      <w:r>
        <w:t>о</w:t>
      </w:r>
      <w:r>
        <w:t>ей деловой политики.</w:t>
      </w:r>
      <w:r w:rsidRPr="00B61D46">
        <w:t xml:space="preserve"> Работодател</w:t>
      </w:r>
      <w:r>
        <w:t>ям вменено в обязанность возмещать доро</w:t>
      </w:r>
      <w:r>
        <w:t>ж</w:t>
      </w:r>
      <w:r>
        <w:t xml:space="preserve">ные </w:t>
      </w:r>
      <w:r w:rsidRPr="00B61D46">
        <w:t>расходы сотрудников, которы</w:t>
      </w:r>
      <w:r>
        <w:t>е</w:t>
      </w:r>
      <w:r w:rsidRPr="00B61D46">
        <w:t xml:space="preserve"> </w:t>
      </w:r>
      <w:r>
        <w:t>пользуются</w:t>
      </w:r>
      <w:r w:rsidRPr="00B61D46">
        <w:t xml:space="preserve"> общественн</w:t>
      </w:r>
      <w:r>
        <w:t>ы</w:t>
      </w:r>
      <w:r w:rsidRPr="00B61D46">
        <w:t>м транспорт</w:t>
      </w:r>
      <w:r>
        <w:t>ом, для того чтобы добраться до своих рабочих мест.</w:t>
      </w:r>
    </w:p>
    <w:p w:rsidR="00130565" w:rsidRDefault="00130565" w:rsidP="00130565">
      <w:pPr>
        <w:pStyle w:val="H23GR"/>
      </w:pPr>
      <w:r>
        <w:tab/>
      </w:r>
      <w:r>
        <w:tab/>
      </w:r>
      <w:r w:rsidRPr="001B7A07">
        <w:t>Мер</w:t>
      </w:r>
      <w:r>
        <w:t>ы, связанные с корректировкой расписания движения транспорта</w:t>
      </w:r>
    </w:p>
    <w:p w:rsidR="00130565" w:rsidRDefault="00130565" w:rsidP="00130565">
      <w:pPr>
        <w:pStyle w:val="SingleTxtGR"/>
      </w:pPr>
      <w:r>
        <w:t>129</w:t>
      </w:r>
      <w:r w:rsidRPr="00B61D46">
        <w:t>.</w:t>
      </w:r>
      <w:r>
        <w:tab/>
        <w:t>Для обеспечения услуг, соответствующих</w:t>
      </w:r>
      <w:r w:rsidRPr="00B61D46">
        <w:t xml:space="preserve"> потребностям сельского нас</w:t>
      </w:r>
      <w:r w:rsidRPr="00B61D46">
        <w:t>е</w:t>
      </w:r>
      <w:r w:rsidRPr="00B61D46">
        <w:t>ления, и</w:t>
      </w:r>
      <w:r>
        <w:t xml:space="preserve"> </w:t>
      </w:r>
      <w:r w:rsidRPr="00B61D46">
        <w:t>улучшени</w:t>
      </w:r>
      <w:r>
        <w:t>я</w:t>
      </w:r>
      <w:r w:rsidRPr="00B61D46">
        <w:t xml:space="preserve"> доступа к рабочим местам, школа</w:t>
      </w:r>
      <w:r>
        <w:t>м</w:t>
      </w:r>
      <w:r w:rsidRPr="00B61D46">
        <w:t>, государственны</w:t>
      </w:r>
      <w:r>
        <w:t>м</w:t>
      </w:r>
      <w:r w:rsidRPr="00B61D46">
        <w:t xml:space="preserve"> у</w:t>
      </w:r>
      <w:r w:rsidRPr="00B61D46">
        <w:t>ч</w:t>
      </w:r>
      <w:r w:rsidRPr="00B61D46">
        <w:t>реждения</w:t>
      </w:r>
      <w:r>
        <w:t>м</w:t>
      </w:r>
      <w:r w:rsidRPr="00B61D46">
        <w:t xml:space="preserve"> и</w:t>
      </w:r>
      <w:r>
        <w:t xml:space="preserve"> объектам здравоохранения в</w:t>
      </w:r>
      <w:r w:rsidRPr="00B61D46">
        <w:t xml:space="preserve"> период</w:t>
      </w:r>
      <w:r>
        <w:t xml:space="preserve"> с 2007 года</w:t>
      </w:r>
      <w:r w:rsidRPr="00B61D46">
        <w:t xml:space="preserve"> </w:t>
      </w:r>
      <w:r>
        <w:t xml:space="preserve">было изменено </w:t>
      </w:r>
      <w:r w:rsidRPr="00B61D46">
        <w:t xml:space="preserve">несколько тысяч </w:t>
      </w:r>
      <w:r>
        <w:t>распис</w:t>
      </w:r>
      <w:r>
        <w:t>а</w:t>
      </w:r>
      <w:r>
        <w:t xml:space="preserve">ний движения </w:t>
      </w:r>
      <w:r w:rsidRPr="00B61D46">
        <w:t>поездов и автобус</w:t>
      </w:r>
      <w:r>
        <w:t xml:space="preserve">ов. </w:t>
      </w:r>
      <w:r w:rsidRPr="00B61D46">
        <w:t xml:space="preserve">В период с 2007 </w:t>
      </w:r>
      <w:r>
        <w:t xml:space="preserve">по </w:t>
      </w:r>
      <w:r w:rsidRPr="00B61D46">
        <w:t>2012</w:t>
      </w:r>
      <w:r>
        <w:t xml:space="preserve"> год ежегодно пр</w:t>
      </w:r>
      <w:r>
        <w:t>о</w:t>
      </w:r>
      <w:r>
        <w:t xml:space="preserve">водится согласование расписаний движения транспорта с </w:t>
      </w:r>
      <w:r w:rsidRPr="00B61D46">
        <w:t>субрегион</w:t>
      </w:r>
      <w:r>
        <w:t>ами</w:t>
      </w:r>
      <w:r w:rsidRPr="00B61D46">
        <w:t xml:space="preserve">. </w:t>
      </w:r>
      <w:r>
        <w:t>В целях изучения и учета сезонных колебаний спроса дополн</w:t>
      </w:r>
      <w:r>
        <w:t>и</w:t>
      </w:r>
      <w:r>
        <w:t xml:space="preserve">тельно проводятся координационные </w:t>
      </w:r>
      <w:r w:rsidRPr="00B61D46">
        <w:t xml:space="preserve">раунды </w:t>
      </w:r>
      <w:r>
        <w:t>согласования. В ходе координац</w:t>
      </w:r>
      <w:r>
        <w:t>и</w:t>
      </w:r>
      <w:r>
        <w:t xml:space="preserve">онных раундов на </w:t>
      </w:r>
      <w:r w:rsidRPr="00B61D46">
        <w:t>субрегиональном уров</w:t>
      </w:r>
      <w:r>
        <w:t>не рассматриваются заявки и предл</w:t>
      </w:r>
      <w:r>
        <w:t>о</w:t>
      </w:r>
      <w:r>
        <w:t xml:space="preserve">жения местных органов власти, </w:t>
      </w:r>
      <w:r w:rsidRPr="00B61D46">
        <w:t xml:space="preserve">которые </w:t>
      </w:r>
      <w:r>
        <w:t xml:space="preserve">учитываются </w:t>
      </w:r>
      <w:r w:rsidRPr="00B61D46">
        <w:t xml:space="preserve">также </w:t>
      </w:r>
      <w:r>
        <w:t>при пересмотре расписания движения транспорта</w:t>
      </w:r>
      <w:r w:rsidRPr="00B61D46">
        <w:t>.</w:t>
      </w:r>
    </w:p>
    <w:p w:rsidR="00130565" w:rsidRDefault="00130565" w:rsidP="00130565">
      <w:pPr>
        <w:pStyle w:val="SingleTxtGR"/>
      </w:pPr>
      <w:r>
        <w:t>130</w:t>
      </w:r>
      <w:r w:rsidRPr="00B61D46">
        <w:t>.</w:t>
      </w:r>
      <w:r>
        <w:tab/>
        <w:t>На</w:t>
      </w:r>
      <w:r w:rsidRPr="00B61D46">
        <w:t xml:space="preserve"> нескольких</w:t>
      </w:r>
      <w:r>
        <w:t xml:space="preserve"> автобусных маршрутах</w:t>
      </w:r>
      <w:r w:rsidRPr="00B61D46">
        <w:t xml:space="preserve"> и </w:t>
      </w:r>
      <w:r>
        <w:t xml:space="preserve">линиях </w:t>
      </w:r>
      <w:r w:rsidRPr="00B61D46">
        <w:t>железн</w:t>
      </w:r>
      <w:r>
        <w:t>ых дорог введены комплексные расписания движения с регулярными интервалами, которые п</w:t>
      </w:r>
      <w:r>
        <w:t>о</w:t>
      </w:r>
      <w:r>
        <w:t>зволяют пассажирам, проживающим в сельской местности и в пригородах, но работающим в ст</w:t>
      </w:r>
      <w:r>
        <w:t>о</w:t>
      </w:r>
      <w:r>
        <w:t>лице, иметь доступ к надежному транспорту, действующему на основании легко запоминаемых расписаний.</w:t>
      </w:r>
      <w:r w:rsidRPr="00B61D46">
        <w:t xml:space="preserve"> </w:t>
      </w:r>
      <w:r>
        <w:t>При введении</w:t>
      </w:r>
      <w:r w:rsidRPr="00B61D46">
        <w:t xml:space="preserve"> но</w:t>
      </w:r>
      <w:r>
        <w:t>вых</w:t>
      </w:r>
      <w:r w:rsidRPr="00B61D46">
        <w:t xml:space="preserve"> структу</w:t>
      </w:r>
      <w:r>
        <w:t>р</w:t>
      </w:r>
      <w:r w:rsidRPr="00B61D46">
        <w:t xml:space="preserve"> расписа</w:t>
      </w:r>
      <w:r>
        <w:t xml:space="preserve">ний </w:t>
      </w:r>
      <w:r w:rsidRPr="00B61D46">
        <w:t>расписа</w:t>
      </w:r>
      <w:r>
        <w:t>ния движения</w:t>
      </w:r>
      <w:r w:rsidRPr="00B61D46">
        <w:t xml:space="preserve"> региональных автобус</w:t>
      </w:r>
      <w:r>
        <w:t>ов, которые осущест</w:t>
      </w:r>
      <w:r>
        <w:t>в</w:t>
      </w:r>
      <w:r>
        <w:t xml:space="preserve">ляют доставку </w:t>
      </w:r>
      <w:r w:rsidRPr="00B61D46">
        <w:t xml:space="preserve">пассажиров </w:t>
      </w:r>
      <w:r>
        <w:t>к магистральным маршрутам, были скоординиров</w:t>
      </w:r>
      <w:r>
        <w:t>а</w:t>
      </w:r>
      <w:r>
        <w:t xml:space="preserve">ны с </w:t>
      </w:r>
      <w:r w:rsidRPr="00B61D46">
        <w:t xml:space="preserve">большинством </w:t>
      </w:r>
      <w:r>
        <w:t>расписаний</w:t>
      </w:r>
      <w:r w:rsidRPr="00B61D46">
        <w:t xml:space="preserve"> магистральны</w:t>
      </w:r>
      <w:r>
        <w:t>х</w:t>
      </w:r>
      <w:r w:rsidRPr="00B61D46">
        <w:t xml:space="preserve"> маршрут</w:t>
      </w:r>
      <w:r>
        <w:t>ов, что позволило с</w:t>
      </w:r>
      <w:r>
        <w:t>о</w:t>
      </w:r>
      <w:r>
        <w:t xml:space="preserve">кратить </w:t>
      </w:r>
      <w:r w:rsidRPr="00B61D46">
        <w:t>врем</w:t>
      </w:r>
      <w:r>
        <w:t>я</w:t>
      </w:r>
      <w:r w:rsidRPr="00B61D46">
        <w:t xml:space="preserve"> в пути</w:t>
      </w:r>
      <w:r>
        <w:t xml:space="preserve"> </w:t>
      </w:r>
      <w:r w:rsidRPr="00B61D46">
        <w:t>между бесчисленными</w:t>
      </w:r>
      <w:r>
        <w:t xml:space="preserve"> </w:t>
      </w:r>
      <w:r w:rsidRPr="00B61D46">
        <w:t>пункт</w:t>
      </w:r>
      <w:r>
        <w:t>ами отправления и назнач</w:t>
      </w:r>
      <w:r>
        <w:t>е</w:t>
      </w:r>
      <w:r>
        <w:t>ния</w:t>
      </w:r>
      <w:r w:rsidRPr="00B61D46">
        <w:t>, а также значи</w:t>
      </w:r>
      <w:r>
        <w:t>тельно расширить транспортные возможности. Кроме того, был значительно расширен выбор маршрутов, что позволяет пассажирам, кот</w:t>
      </w:r>
      <w:r>
        <w:t>о</w:t>
      </w:r>
      <w:r>
        <w:t>рые главным образом принадлежат к находящимся в неблагоприятном полож</w:t>
      </w:r>
      <w:r>
        <w:t>е</w:t>
      </w:r>
      <w:r>
        <w:t>нии группам населения</w:t>
      </w:r>
      <w:r w:rsidRPr="00B61D46">
        <w:t>, инвали</w:t>
      </w:r>
      <w:r>
        <w:t>дам</w:t>
      </w:r>
      <w:r w:rsidRPr="00B61D46">
        <w:t xml:space="preserve"> и сопровождаю</w:t>
      </w:r>
      <w:r>
        <w:t xml:space="preserve">щим малолетних </w:t>
      </w:r>
      <w:r w:rsidRPr="00B61D46">
        <w:t>детей, п</w:t>
      </w:r>
      <w:r w:rsidRPr="00B61D46">
        <w:t>о</w:t>
      </w:r>
      <w:r w:rsidRPr="00B61D46">
        <w:t>ездки</w:t>
      </w:r>
      <w:r>
        <w:t xml:space="preserve"> которых в основном не связаны с </w:t>
      </w:r>
      <w:r w:rsidRPr="00B61D46">
        <w:t>работ</w:t>
      </w:r>
      <w:r>
        <w:t xml:space="preserve">ой, получить облегченный доступ к </w:t>
      </w:r>
      <w:r w:rsidRPr="00B61D46">
        <w:t>здравоохранению и социальным услугам, а также</w:t>
      </w:r>
      <w:r>
        <w:t xml:space="preserve"> к учреждениям</w:t>
      </w:r>
      <w:r w:rsidRPr="00B61D46">
        <w:t xml:space="preserve"> </w:t>
      </w:r>
      <w:r>
        <w:t xml:space="preserve">сфер </w:t>
      </w:r>
      <w:r w:rsidRPr="00B61D46">
        <w:t>кул</w:t>
      </w:r>
      <w:r w:rsidRPr="00B61D46">
        <w:t>ь</w:t>
      </w:r>
      <w:r w:rsidRPr="00B61D46">
        <w:t>тур</w:t>
      </w:r>
      <w:r>
        <w:t>ы</w:t>
      </w:r>
      <w:r w:rsidRPr="00B61D46">
        <w:t xml:space="preserve"> и образова</w:t>
      </w:r>
      <w:r>
        <w:t>ния. В нескольких больших и малых городах были скоррект</w:t>
      </w:r>
      <w:r>
        <w:t>и</w:t>
      </w:r>
      <w:r>
        <w:t>рованы расписания движения автобусов как городского, так и междугороднего транспорта, что позволило расширить охват населения общественным</w:t>
      </w:r>
      <w:r w:rsidRPr="00B61D46">
        <w:t xml:space="preserve"> тран</w:t>
      </w:r>
      <w:r w:rsidRPr="00B61D46">
        <w:t>с</w:t>
      </w:r>
      <w:r w:rsidRPr="00B61D46">
        <w:t>порт</w:t>
      </w:r>
      <w:r>
        <w:t>ом</w:t>
      </w:r>
      <w:r w:rsidRPr="00B61D46">
        <w:t xml:space="preserve">. </w:t>
      </w:r>
      <w:r>
        <w:t>За счет значительного увеличения числа автобусных сообщений с ж</w:t>
      </w:r>
      <w:r>
        <w:t>е</w:t>
      </w:r>
      <w:r>
        <w:t>лезнодорожными станциями был также расширен круг возможностей для ко</w:t>
      </w:r>
      <w:r>
        <w:t>м</w:t>
      </w:r>
      <w:r>
        <w:t>бинированного использования различных средств транспорта.</w:t>
      </w:r>
      <w:r w:rsidRPr="00B61D46">
        <w:t xml:space="preserve"> </w:t>
      </w:r>
      <w:r>
        <w:t>В процессе пр</w:t>
      </w:r>
      <w:r>
        <w:t>и</w:t>
      </w:r>
      <w:r>
        <w:t xml:space="preserve">нятия таких связанных с </w:t>
      </w:r>
      <w:r w:rsidRPr="00B61D46">
        <w:t>расписа</w:t>
      </w:r>
      <w:r>
        <w:t xml:space="preserve">нием движения транспорта мер расписания движения междугороднего </w:t>
      </w:r>
      <w:r w:rsidRPr="00B61D46">
        <w:t>и региональн</w:t>
      </w:r>
      <w:r>
        <w:t>ого</w:t>
      </w:r>
      <w:r w:rsidRPr="00B61D46">
        <w:t xml:space="preserve"> автобу</w:t>
      </w:r>
      <w:r>
        <w:t>сного транспорта координ</w:t>
      </w:r>
      <w:r>
        <w:t>и</w:t>
      </w:r>
      <w:r>
        <w:t xml:space="preserve">ровались с </w:t>
      </w:r>
      <w:r w:rsidRPr="00B61D46">
        <w:t>расписа</w:t>
      </w:r>
      <w:r>
        <w:t>ния</w:t>
      </w:r>
      <w:r w:rsidRPr="00B61D46">
        <w:t>м</w:t>
      </w:r>
      <w:r>
        <w:t xml:space="preserve">и движения автобусов на </w:t>
      </w:r>
      <w:r w:rsidRPr="00B61D46">
        <w:t>местных маршру</w:t>
      </w:r>
      <w:r>
        <w:t>тах</w:t>
      </w:r>
      <w:r w:rsidRPr="00B61D46">
        <w:t xml:space="preserve"> в гор</w:t>
      </w:r>
      <w:r w:rsidRPr="00B61D46">
        <w:t>о</w:t>
      </w:r>
      <w:r w:rsidRPr="00B61D46">
        <w:t>дах.</w:t>
      </w:r>
    </w:p>
    <w:p w:rsidR="00130565" w:rsidRDefault="00130565" w:rsidP="00130565">
      <w:pPr>
        <w:pStyle w:val="SingleTxtGR"/>
      </w:pPr>
      <w:r>
        <w:t>131</w:t>
      </w:r>
      <w:r w:rsidRPr="00B61D46">
        <w:t>.</w:t>
      </w:r>
      <w:r>
        <w:tab/>
        <w:t>На железнодорожном транспорте была внедрена система продажи бил</w:t>
      </w:r>
      <w:r>
        <w:t>е</w:t>
      </w:r>
      <w:r>
        <w:t xml:space="preserve">тов через Интернет. Кроме того, в Интернете действует система отслеживания движения поездов в </w:t>
      </w:r>
      <w:r w:rsidRPr="00B61D46">
        <w:t>реально</w:t>
      </w:r>
      <w:r>
        <w:t>м масштабе</w:t>
      </w:r>
      <w:r w:rsidRPr="00B61D46">
        <w:t xml:space="preserve"> времени</w:t>
      </w:r>
      <w:r>
        <w:t>, что позволяет повысить кач</w:t>
      </w:r>
      <w:r>
        <w:t>е</w:t>
      </w:r>
      <w:r>
        <w:t>ство информирования па</w:t>
      </w:r>
      <w:r>
        <w:t>с</w:t>
      </w:r>
      <w:r>
        <w:t>сажиров.</w:t>
      </w:r>
    </w:p>
    <w:p w:rsidR="00130565" w:rsidRDefault="00130565" w:rsidP="00130565">
      <w:pPr>
        <w:pStyle w:val="SingleTxtGR"/>
      </w:pPr>
      <w:r w:rsidRPr="00B61D46">
        <w:t>13</w:t>
      </w:r>
      <w:r>
        <w:t>2</w:t>
      </w:r>
      <w:r w:rsidRPr="00B61D46">
        <w:t>.</w:t>
      </w:r>
      <w:r>
        <w:tab/>
        <w:t>Еще одни</w:t>
      </w:r>
      <w:r w:rsidRPr="00B61D46">
        <w:t>м</w:t>
      </w:r>
      <w:r>
        <w:t xml:space="preserve"> вкладом</w:t>
      </w:r>
      <w:r w:rsidRPr="00B61D46">
        <w:t xml:space="preserve"> в повышение конкур</w:t>
      </w:r>
      <w:r>
        <w:t>ентоспособности сельских ра</w:t>
      </w:r>
      <w:r>
        <w:t>й</w:t>
      </w:r>
      <w:r>
        <w:t xml:space="preserve">онов стало возобновление движения </w:t>
      </w:r>
      <w:r w:rsidRPr="00B61D46">
        <w:t>пассажирских поездов</w:t>
      </w:r>
      <w:r>
        <w:t xml:space="preserve"> на нескольких ма</w:t>
      </w:r>
      <w:r>
        <w:t>р</w:t>
      </w:r>
      <w:r>
        <w:t xml:space="preserve">шрутах. В 2010 году было возобновлено движение </w:t>
      </w:r>
      <w:r w:rsidRPr="00B61D46">
        <w:t>пассажирск</w:t>
      </w:r>
      <w:r>
        <w:t xml:space="preserve">их поездов на десяти </w:t>
      </w:r>
      <w:r w:rsidRPr="00B61D46">
        <w:t xml:space="preserve">железнодорожных </w:t>
      </w:r>
      <w:r>
        <w:t>линиях</w:t>
      </w:r>
      <w:r w:rsidRPr="00B61D46">
        <w:t>,</w:t>
      </w:r>
      <w:r>
        <w:t xml:space="preserve"> движение на которых было прекращено 12 декабря 2009 года</w:t>
      </w:r>
      <w:r w:rsidRPr="00B61D46">
        <w:t xml:space="preserve"> и кото</w:t>
      </w:r>
      <w:r>
        <w:t xml:space="preserve">рые в основном находятся в </w:t>
      </w:r>
      <w:r w:rsidRPr="00B61D46">
        <w:t xml:space="preserve">регионах страны, </w:t>
      </w:r>
      <w:r>
        <w:t>нах</w:t>
      </w:r>
      <w:r>
        <w:t>о</w:t>
      </w:r>
      <w:r>
        <w:t>дящихся в неблагоприятном</w:t>
      </w:r>
      <w:r w:rsidRPr="00B61D46">
        <w:t xml:space="preserve"> положении с точки зрения </w:t>
      </w:r>
      <w:r>
        <w:t>социально-</w:t>
      </w:r>
      <w:r w:rsidRPr="00B61D46">
        <w:t>экономического развития. (</w:t>
      </w:r>
      <w:r>
        <w:t>Это</w:t>
      </w:r>
      <w:r w:rsidRPr="00B61D46">
        <w:t xml:space="preserve"> следующие</w:t>
      </w:r>
      <w:r>
        <w:t xml:space="preserve"> железнодорожные линии</w:t>
      </w:r>
      <w:r w:rsidRPr="00B61D46">
        <w:t>: № 4</w:t>
      </w:r>
      <w:r>
        <w:t>:</w:t>
      </w:r>
      <w:r w:rsidRPr="00B61D46">
        <w:t xml:space="preserve"> Э</w:t>
      </w:r>
      <w:r w:rsidRPr="00B61D46">
        <w:t>с</w:t>
      </w:r>
      <w:r>
        <w:t>тергом−Алмашфюзито</w:t>
      </w:r>
      <w:r w:rsidRPr="00B61D46">
        <w:t>, № 5</w:t>
      </w:r>
      <w:r>
        <w:t>:</w:t>
      </w:r>
      <w:r w:rsidRPr="00B61D46">
        <w:t xml:space="preserve"> Секешфехер</w:t>
      </w:r>
      <w:r>
        <w:t>вар−</w:t>
      </w:r>
      <w:r w:rsidRPr="00B61D46">
        <w:t>Комаром, № 11</w:t>
      </w:r>
      <w:r>
        <w:t>:</w:t>
      </w:r>
      <w:r w:rsidRPr="00B61D46">
        <w:t xml:space="preserve"> </w:t>
      </w:r>
      <w:r>
        <w:t>Зирц−Веспрем, № </w:t>
      </w:r>
      <w:r w:rsidRPr="00B61D46">
        <w:t>14</w:t>
      </w:r>
      <w:r>
        <w:t>:</w:t>
      </w:r>
      <w:r w:rsidRPr="00B61D46">
        <w:t xml:space="preserve"> </w:t>
      </w:r>
      <w:r>
        <w:t xml:space="preserve">Папа−Чорна, </w:t>
      </w:r>
      <w:r w:rsidRPr="00B61D46">
        <w:t>№ 45</w:t>
      </w:r>
      <w:r>
        <w:t>:</w:t>
      </w:r>
      <w:r w:rsidRPr="00B61D46">
        <w:t xml:space="preserve"> </w:t>
      </w:r>
      <w:r>
        <w:t>Бергенд−Шарбогард</w:t>
      </w:r>
      <w:r w:rsidRPr="00B61D46">
        <w:t>, № 47</w:t>
      </w:r>
      <w:r>
        <w:t>:</w:t>
      </w:r>
      <w:r w:rsidRPr="00B61D46">
        <w:t xml:space="preserve"> </w:t>
      </w:r>
      <w:r>
        <w:t>Шашд−Комло,</w:t>
      </w:r>
      <w:r>
        <w:br/>
      </w:r>
      <w:r w:rsidRPr="00B61D46">
        <w:t>№ 98</w:t>
      </w:r>
      <w:r>
        <w:t>:</w:t>
      </w:r>
      <w:r w:rsidRPr="00B61D46">
        <w:t xml:space="preserve"> </w:t>
      </w:r>
      <w:r>
        <w:t>Абауйсанто−</w:t>
      </w:r>
      <w:r w:rsidRPr="00B61D46">
        <w:t>Хидашнемети, № 103</w:t>
      </w:r>
      <w:r>
        <w:t>:</w:t>
      </w:r>
      <w:r w:rsidRPr="00B61D46">
        <w:t xml:space="preserve"> </w:t>
      </w:r>
      <w:r>
        <w:t xml:space="preserve">Карцаг−Тисафюред, </w:t>
      </w:r>
      <w:r w:rsidRPr="00B61D46">
        <w:t>№ 113</w:t>
      </w:r>
      <w:r>
        <w:t>:</w:t>
      </w:r>
      <w:r w:rsidRPr="00B61D46">
        <w:t xml:space="preserve"> Фехерд</w:t>
      </w:r>
      <w:r w:rsidRPr="00B61D46">
        <w:t>ь</w:t>
      </w:r>
      <w:r w:rsidRPr="00B61D46">
        <w:t>ярма</w:t>
      </w:r>
      <w:r>
        <w:t xml:space="preserve">т−Зайта, </w:t>
      </w:r>
      <w:r w:rsidRPr="00B61D46">
        <w:t>№ 114</w:t>
      </w:r>
      <w:r>
        <w:t>:</w:t>
      </w:r>
      <w:r w:rsidRPr="00B61D46">
        <w:t xml:space="preserve"> </w:t>
      </w:r>
      <w:r>
        <w:t>К</w:t>
      </w:r>
      <w:r>
        <w:t>о</w:t>
      </w:r>
      <w:r>
        <w:t>черд−Альшо−Ченгер</w:t>
      </w:r>
      <w:r w:rsidRPr="00B61D46">
        <w:t xml:space="preserve"> и № 142</w:t>
      </w:r>
      <w:r>
        <w:t>:</w:t>
      </w:r>
      <w:r w:rsidRPr="00B61D46">
        <w:t xml:space="preserve"> </w:t>
      </w:r>
      <w:r>
        <w:t>Кечкемет−Лайошмиже</w:t>
      </w:r>
      <w:r w:rsidRPr="00B61D46">
        <w:t>).</w:t>
      </w:r>
    </w:p>
    <w:p w:rsidR="00130565" w:rsidRDefault="00130565" w:rsidP="00130565">
      <w:pPr>
        <w:pStyle w:val="SingleTxtGR"/>
      </w:pPr>
      <w:r w:rsidRPr="00B61D46">
        <w:t>13</w:t>
      </w:r>
      <w:r>
        <w:t>3</w:t>
      </w:r>
      <w:r w:rsidRPr="00B61D46">
        <w:t>.</w:t>
      </w:r>
      <w:r>
        <w:tab/>
      </w:r>
      <w:r w:rsidRPr="00B61D46">
        <w:t>Из 3</w:t>
      </w:r>
      <w:r>
        <w:t xml:space="preserve"> </w:t>
      </w:r>
      <w:r w:rsidRPr="00B61D46">
        <w:t xml:space="preserve">154 </w:t>
      </w:r>
      <w:r>
        <w:t>населенных пунктов</w:t>
      </w:r>
      <w:r w:rsidRPr="00B61D46">
        <w:t xml:space="preserve"> в Венгрии</w:t>
      </w:r>
      <w:r>
        <w:t xml:space="preserve"> лишь</w:t>
      </w:r>
      <w:r w:rsidRPr="00B61D46">
        <w:t xml:space="preserve"> три общины с очень м</w:t>
      </w:r>
      <w:r w:rsidRPr="00B61D46">
        <w:t>а</w:t>
      </w:r>
      <w:r w:rsidRPr="00B61D46">
        <w:t>леньким н</w:t>
      </w:r>
      <w:r w:rsidRPr="00B61D46">
        <w:t>а</w:t>
      </w:r>
      <w:r w:rsidRPr="00B61D46">
        <w:t xml:space="preserve">селением не могут быть </w:t>
      </w:r>
      <w:r>
        <w:t>охвачены сетью</w:t>
      </w:r>
      <w:r w:rsidRPr="00B61D46">
        <w:t xml:space="preserve"> общественно</w:t>
      </w:r>
      <w:r>
        <w:t>го</w:t>
      </w:r>
      <w:r w:rsidRPr="00B61D46">
        <w:t xml:space="preserve"> транспорт</w:t>
      </w:r>
      <w:r>
        <w:t>а</w:t>
      </w:r>
      <w:r w:rsidRPr="00B61D46">
        <w:t>. Примерно</w:t>
      </w:r>
      <w:r>
        <w:t xml:space="preserve"> </w:t>
      </w:r>
      <w:r w:rsidRPr="00B61D46">
        <w:t xml:space="preserve">треть </w:t>
      </w:r>
      <w:r>
        <w:t>населенных пунктов охвачены сетью железных дорог. Опер</w:t>
      </w:r>
      <w:r>
        <w:t>а</w:t>
      </w:r>
      <w:r>
        <w:t>торы железнодорожного транспорта обеспечивают работу приблизительно</w:t>
      </w:r>
      <w:r>
        <w:br/>
      </w:r>
      <w:r w:rsidRPr="00B61D46">
        <w:t>3</w:t>
      </w:r>
      <w:r>
        <w:t xml:space="preserve"> </w:t>
      </w:r>
      <w:r w:rsidRPr="00B61D46">
        <w:t>300 поез</w:t>
      </w:r>
      <w:r>
        <w:t>дов ежедневно</w:t>
      </w:r>
      <w:r w:rsidRPr="00B61D46">
        <w:t xml:space="preserve"> (2</w:t>
      </w:r>
      <w:r>
        <w:t xml:space="preserve"> </w:t>
      </w:r>
      <w:r w:rsidRPr="00B61D46">
        <w:t xml:space="preserve">800 </w:t>
      </w:r>
      <w:r>
        <w:t xml:space="preserve">по </w:t>
      </w:r>
      <w:r w:rsidRPr="00B61D46">
        <w:t>выход</w:t>
      </w:r>
      <w:r>
        <w:t>ным</w:t>
      </w:r>
      <w:r w:rsidRPr="00B61D46">
        <w:t xml:space="preserve">), а </w:t>
      </w:r>
      <w:r>
        <w:t>соответствующий показатель по основным автобусным компаниям составляет примерно 40 000 единиц транспо</w:t>
      </w:r>
      <w:r>
        <w:t>р</w:t>
      </w:r>
      <w:r>
        <w:t xml:space="preserve">та (20 </w:t>
      </w:r>
      <w:r w:rsidRPr="00B61D46">
        <w:t>000).</w:t>
      </w:r>
    </w:p>
    <w:p w:rsidR="00130565" w:rsidRPr="001B7A07" w:rsidRDefault="00130565" w:rsidP="00130565">
      <w:pPr>
        <w:pStyle w:val="H23GR"/>
      </w:pPr>
      <w:r>
        <w:tab/>
      </w:r>
      <w:r>
        <w:tab/>
      </w:r>
      <w:r w:rsidRPr="001B7A07">
        <w:t>Развитие инфраструктуры</w:t>
      </w:r>
    </w:p>
    <w:p w:rsidR="00130565" w:rsidRDefault="00130565" w:rsidP="00130565">
      <w:pPr>
        <w:pStyle w:val="SingleTxtGR"/>
      </w:pPr>
      <w:r w:rsidRPr="00B61D46">
        <w:t>13</w:t>
      </w:r>
      <w:r>
        <w:t>4</w:t>
      </w:r>
      <w:r w:rsidRPr="00B61D46">
        <w:t>.</w:t>
      </w:r>
      <w:r>
        <w:tab/>
        <w:t>С</w:t>
      </w:r>
      <w:r w:rsidRPr="00B61D46">
        <w:t>тандарты</w:t>
      </w:r>
      <w:r>
        <w:t xml:space="preserve"> </w:t>
      </w:r>
      <w:r w:rsidRPr="00B61D46">
        <w:t>общественного транспорта в сель</w:t>
      </w:r>
      <w:r>
        <w:t>ской местности были улу</w:t>
      </w:r>
      <w:r>
        <w:t>ч</w:t>
      </w:r>
      <w:r>
        <w:t>шены еще и благодаря развитию инфраструктуры</w:t>
      </w:r>
      <w:r w:rsidRPr="00B61D46">
        <w:t>.</w:t>
      </w:r>
    </w:p>
    <w:p w:rsidR="00130565" w:rsidRDefault="00130565" w:rsidP="00130565">
      <w:pPr>
        <w:pStyle w:val="SingleTxtGR"/>
      </w:pPr>
      <w:r w:rsidRPr="00B61D46">
        <w:t>1</w:t>
      </w:r>
      <w:r>
        <w:t>35</w:t>
      </w:r>
      <w:r w:rsidRPr="00B61D46">
        <w:t>.</w:t>
      </w:r>
      <w:r w:rsidR="00AB673F" w:rsidRPr="00AB673F">
        <w:tab/>
      </w:r>
      <w:r>
        <w:t>Б</w:t>
      </w:r>
      <w:r w:rsidRPr="00B61D46">
        <w:t xml:space="preserve">лагодаря строительству нескольких </w:t>
      </w:r>
      <w:r>
        <w:t xml:space="preserve">ответвлений шоссе </w:t>
      </w:r>
      <w:r w:rsidRPr="00B61D46">
        <w:t>в сельск</w:t>
      </w:r>
      <w:r>
        <w:t>их ра</w:t>
      </w:r>
      <w:r>
        <w:t>й</w:t>
      </w:r>
      <w:r>
        <w:t>онах был улучшен доступ в районные центры.</w:t>
      </w:r>
      <w:r w:rsidRPr="00B61D46">
        <w:t xml:space="preserve"> В рамках</w:t>
      </w:r>
      <w:r>
        <w:t xml:space="preserve"> </w:t>
      </w:r>
      <w:r w:rsidRPr="00B61D46">
        <w:t xml:space="preserve">развития </w:t>
      </w:r>
      <w:r>
        <w:t>сети авто</w:t>
      </w:r>
      <w:r w:rsidRPr="00B61D46">
        <w:t>д</w:t>
      </w:r>
      <w:r w:rsidRPr="00B61D46">
        <w:t>о</w:t>
      </w:r>
      <w:r w:rsidRPr="00B61D46">
        <w:t>рож</w:t>
      </w:r>
      <w:r>
        <w:t>ного общественного транспорта восстановлено</w:t>
      </w:r>
      <w:r w:rsidRPr="00B61D46">
        <w:t xml:space="preserve"> или </w:t>
      </w:r>
      <w:r>
        <w:t>заново покрыто н</w:t>
      </w:r>
      <w:r>
        <w:t>е</w:t>
      </w:r>
      <w:r>
        <w:t xml:space="preserve">сколько второстепенных дорог, что позволило </w:t>
      </w:r>
      <w:r w:rsidRPr="00B61D46">
        <w:t>улучш</w:t>
      </w:r>
      <w:r>
        <w:t>ить пути сообщения в с</w:t>
      </w:r>
      <w:r>
        <w:t>о</w:t>
      </w:r>
      <w:r>
        <w:t>ответствующие регионы, из них и внутри них. Вокруг многих городов постро</w:t>
      </w:r>
      <w:r>
        <w:t>е</w:t>
      </w:r>
      <w:r>
        <w:t xml:space="preserve">ны </w:t>
      </w:r>
      <w:r w:rsidRPr="00B61D46">
        <w:t>объездные дороги</w:t>
      </w:r>
      <w:r>
        <w:t xml:space="preserve">, которые обеспечивают повышение скорости движения транспорта и снимают бремя с жилых районов. От жилых районов отведен большой объем </w:t>
      </w:r>
      <w:r w:rsidRPr="00B61D46">
        <w:t>транзит</w:t>
      </w:r>
      <w:r>
        <w:t xml:space="preserve">ного движения, </w:t>
      </w:r>
      <w:r w:rsidRPr="00B61D46">
        <w:t xml:space="preserve">сокращены </w:t>
      </w:r>
      <w:r>
        <w:t>заторы, а проезд на общес</w:t>
      </w:r>
      <w:r>
        <w:t>т</w:t>
      </w:r>
      <w:r>
        <w:t>венном транспорте стал</w:t>
      </w:r>
      <w:r w:rsidRPr="00B61D46">
        <w:t xml:space="preserve"> быстрее и безопаснее. </w:t>
      </w:r>
      <w:r>
        <w:t>Кроме того, данные меры позв</w:t>
      </w:r>
      <w:r>
        <w:t>о</w:t>
      </w:r>
      <w:r>
        <w:t>лили повысить качество</w:t>
      </w:r>
      <w:r w:rsidRPr="00B61D46">
        <w:t xml:space="preserve"> жизни</w:t>
      </w:r>
      <w:r>
        <w:t xml:space="preserve"> в населенных пунктах, расположенных вдоль основных м</w:t>
      </w:r>
      <w:r>
        <w:t>а</w:t>
      </w:r>
      <w:r>
        <w:t>гистралей.</w:t>
      </w:r>
    </w:p>
    <w:p w:rsidR="00130565" w:rsidRDefault="00130565" w:rsidP="00130565">
      <w:pPr>
        <w:pStyle w:val="SingleTxtGR"/>
      </w:pPr>
      <w:r>
        <w:t>136</w:t>
      </w:r>
      <w:r w:rsidRPr="00B61D46">
        <w:t>.</w:t>
      </w:r>
      <w:r>
        <w:tab/>
        <w:t>По мосту</w:t>
      </w:r>
      <w:r w:rsidRPr="00B61D46">
        <w:t xml:space="preserve"> через Дунай в Дунауйварош</w:t>
      </w:r>
      <w:r>
        <w:t>е</w:t>
      </w:r>
      <w:r w:rsidRPr="00B61D46">
        <w:t xml:space="preserve">, </w:t>
      </w:r>
      <w:r>
        <w:t>который был открыт</w:t>
      </w:r>
      <w:r w:rsidRPr="00B61D46">
        <w:t xml:space="preserve"> в 2007 году</w:t>
      </w:r>
      <w:r>
        <w:t xml:space="preserve"> и</w:t>
      </w:r>
      <w:r w:rsidRPr="00B61D46">
        <w:t xml:space="preserve"> является частью нового участка </w:t>
      </w:r>
      <w:r>
        <w:t>шоссейных дорог,</w:t>
      </w:r>
      <w:r w:rsidRPr="00B61D46">
        <w:t xml:space="preserve"> </w:t>
      </w:r>
      <w:r>
        <w:t>т</w:t>
      </w:r>
      <w:r w:rsidRPr="00B61D46">
        <w:t>ранспортны</w:t>
      </w:r>
      <w:r>
        <w:t xml:space="preserve">ми </w:t>
      </w:r>
      <w:r w:rsidRPr="00B61D46">
        <w:t>компани</w:t>
      </w:r>
      <w:r>
        <w:t>я</w:t>
      </w:r>
      <w:r>
        <w:t>ми были орган</w:t>
      </w:r>
      <w:r>
        <w:t>и</w:t>
      </w:r>
      <w:r>
        <w:t>зованы н</w:t>
      </w:r>
      <w:r w:rsidRPr="00B61D46">
        <w:t>овы</w:t>
      </w:r>
      <w:r>
        <w:t>е</w:t>
      </w:r>
      <w:r w:rsidRPr="00B61D46">
        <w:t xml:space="preserve"> </w:t>
      </w:r>
      <w:r>
        <w:t>автобусные маршруты</w:t>
      </w:r>
      <w:r w:rsidRPr="00B61D46">
        <w:t>.</w:t>
      </w:r>
    </w:p>
    <w:p w:rsidR="00130565" w:rsidRDefault="00130565" w:rsidP="00130565">
      <w:pPr>
        <w:pStyle w:val="SingleTxtGR"/>
      </w:pPr>
      <w:r>
        <w:t>137</w:t>
      </w:r>
      <w:r w:rsidRPr="00B61D46">
        <w:t>.</w:t>
      </w:r>
      <w:r>
        <w:tab/>
      </w:r>
      <w:r w:rsidRPr="00B61D46">
        <w:t>Несколько органов</w:t>
      </w:r>
      <w:r w:rsidRPr="000B1B68">
        <w:t xml:space="preserve"> </w:t>
      </w:r>
      <w:r>
        <w:t>местной</w:t>
      </w:r>
      <w:r w:rsidRPr="00B61D46">
        <w:t xml:space="preserve"> власти </w:t>
      </w:r>
      <w:r>
        <w:t xml:space="preserve">объявили конкурсы на </w:t>
      </w:r>
      <w:r w:rsidRPr="00B61D46">
        <w:t>финансиров</w:t>
      </w:r>
      <w:r w:rsidRPr="00B61D46">
        <w:t>а</w:t>
      </w:r>
      <w:r>
        <w:t xml:space="preserve">ние крупных проектов по модернизации </w:t>
      </w:r>
      <w:r w:rsidRPr="00B61D46">
        <w:t xml:space="preserve">автобусных остановок как </w:t>
      </w:r>
      <w:r>
        <w:t>в</w:t>
      </w:r>
      <w:r w:rsidRPr="00B61D46">
        <w:t xml:space="preserve"> населе</w:t>
      </w:r>
      <w:r w:rsidRPr="00B61D46">
        <w:t>н</w:t>
      </w:r>
      <w:r w:rsidRPr="00B61D46">
        <w:t>ных пунк</w:t>
      </w:r>
      <w:r>
        <w:t>тах, так</w:t>
      </w:r>
      <w:r w:rsidRPr="00B61D46">
        <w:t xml:space="preserve"> и за их пределами, </w:t>
      </w:r>
      <w:r>
        <w:t>были построены</w:t>
      </w:r>
      <w:r w:rsidRPr="00B61D46">
        <w:t xml:space="preserve"> новые автобусные ост</w:t>
      </w:r>
      <w:r w:rsidRPr="00B61D46">
        <w:t>а</w:t>
      </w:r>
      <w:r w:rsidRPr="00B61D46">
        <w:t>новки, авт</w:t>
      </w:r>
      <w:r w:rsidRPr="00B61D46">
        <w:t>о</w:t>
      </w:r>
      <w:r w:rsidRPr="00B61D46">
        <w:t>бус</w:t>
      </w:r>
      <w:r>
        <w:t xml:space="preserve">ные карманы и укрытия для </w:t>
      </w:r>
      <w:r w:rsidRPr="00B61D46">
        <w:t>ожида</w:t>
      </w:r>
      <w:r>
        <w:t>ющих пассажиров. На основе</w:t>
      </w:r>
      <w:r w:rsidRPr="00B61D46">
        <w:t xml:space="preserve"> совместны</w:t>
      </w:r>
      <w:r>
        <w:t>х конкурсов, организованных</w:t>
      </w:r>
      <w:r w:rsidRPr="00B61D46">
        <w:t xml:space="preserve"> поставщиками услуг и ме</w:t>
      </w:r>
      <w:r>
        <w:t>стными</w:t>
      </w:r>
      <w:r w:rsidRPr="00B61D46">
        <w:t xml:space="preserve"> орг</w:t>
      </w:r>
      <w:r w:rsidRPr="00B61D46">
        <w:t>а</w:t>
      </w:r>
      <w:r w:rsidRPr="00B61D46">
        <w:t xml:space="preserve">нами </w:t>
      </w:r>
      <w:r>
        <w:t>власти</w:t>
      </w:r>
      <w:r w:rsidRPr="00B61D46">
        <w:t>,</w:t>
      </w:r>
      <w:r>
        <w:t xml:space="preserve"> проведена модернизация </w:t>
      </w:r>
      <w:r w:rsidRPr="00B61D46">
        <w:t>несколь</w:t>
      </w:r>
      <w:r>
        <w:t xml:space="preserve">ких автовокзалов и развита сеть </w:t>
      </w:r>
      <w:r w:rsidRPr="00B61D46">
        <w:t>автобус</w:t>
      </w:r>
      <w:r>
        <w:t>ных</w:t>
      </w:r>
      <w:r w:rsidRPr="00B61D46">
        <w:t xml:space="preserve"> останов</w:t>
      </w:r>
      <w:r>
        <w:t>ок. Модернизированные автовокзалы оснащены доступом для кресел-каталок и детских колясок, а также усовершенствованными средс</w:t>
      </w:r>
      <w:r>
        <w:t>т</w:t>
      </w:r>
      <w:r>
        <w:t xml:space="preserve">вами </w:t>
      </w:r>
      <w:r w:rsidRPr="00B61D46">
        <w:t>информирования пассажиров</w:t>
      </w:r>
      <w:r>
        <w:t xml:space="preserve"> в виде </w:t>
      </w:r>
      <w:r w:rsidRPr="00B61D46">
        <w:t>динамич</w:t>
      </w:r>
      <w:r>
        <w:t>ных</w:t>
      </w:r>
      <w:r w:rsidRPr="00B61D46">
        <w:t>, визуаль</w:t>
      </w:r>
      <w:r>
        <w:t>ных</w:t>
      </w:r>
      <w:r w:rsidRPr="00B61D46">
        <w:t xml:space="preserve"> </w:t>
      </w:r>
      <w:r>
        <w:t>экранов информации, а на более крупных автовокзалах работают автоматические ауди</w:t>
      </w:r>
      <w:r>
        <w:t>о</w:t>
      </w:r>
      <w:r w:rsidRPr="00B61D46">
        <w:t xml:space="preserve">системы, в некоторых </w:t>
      </w:r>
      <w:r>
        <w:t>случаях − на нескольких языках</w:t>
      </w:r>
      <w:r w:rsidRPr="00B61D46">
        <w:t>. Увеличе</w:t>
      </w:r>
      <w:r>
        <w:t>на доля дейс</w:t>
      </w:r>
      <w:r>
        <w:t>т</w:t>
      </w:r>
      <w:r>
        <w:t xml:space="preserve">вующих </w:t>
      </w:r>
      <w:r w:rsidRPr="00B61D46">
        <w:t>автобусов</w:t>
      </w:r>
      <w:r>
        <w:t>, оснащенных пониженными ступенями, они также оснащ</w:t>
      </w:r>
      <w:r>
        <w:t>а</w:t>
      </w:r>
      <w:r>
        <w:t xml:space="preserve">ются специальными рампами и </w:t>
      </w:r>
      <w:r w:rsidRPr="00B61D46">
        <w:t>кондиционерами</w:t>
      </w:r>
      <w:r>
        <w:t xml:space="preserve"> воздуха</w:t>
      </w:r>
      <w:r w:rsidRPr="00B61D46">
        <w:t>. Большое число авт</w:t>
      </w:r>
      <w:r w:rsidRPr="00B61D46">
        <w:t>о</w:t>
      </w:r>
      <w:r w:rsidRPr="00B61D46">
        <w:t xml:space="preserve">бусов </w:t>
      </w:r>
      <w:r>
        <w:t>оснащено</w:t>
      </w:r>
      <w:r w:rsidRPr="00B61D46">
        <w:t xml:space="preserve"> многоцелевой платформой для безопасно</w:t>
      </w:r>
      <w:r>
        <w:t xml:space="preserve">й транспортировки детских и </w:t>
      </w:r>
      <w:r w:rsidRPr="00B61D46">
        <w:t>инвалид</w:t>
      </w:r>
      <w:r>
        <w:t>ных</w:t>
      </w:r>
      <w:r w:rsidRPr="00B61D46">
        <w:t xml:space="preserve"> ко</w:t>
      </w:r>
      <w:r>
        <w:t>лясок</w:t>
      </w:r>
      <w:r w:rsidRPr="00B61D46">
        <w:t xml:space="preserve">, </w:t>
      </w:r>
      <w:r>
        <w:t>а также</w:t>
      </w:r>
      <w:r w:rsidRPr="00B61D46">
        <w:t xml:space="preserve"> сис</w:t>
      </w:r>
      <w:r>
        <w:t>темой</w:t>
      </w:r>
      <w:r w:rsidRPr="00B61D46">
        <w:t xml:space="preserve"> поручней. </w:t>
      </w:r>
      <w:r>
        <w:t xml:space="preserve">Системы бортовой </w:t>
      </w:r>
      <w:r w:rsidRPr="00B61D46">
        <w:t>аудиовизуаль</w:t>
      </w:r>
      <w:r>
        <w:t>ной информации с</w:t>
      </w:r>
      <w:r w:rsidRPr="00B61D46">
        <w:t>о</w:t>
      </w:r>
      <w:r>
        <w:t>о</w:t>
      </w:r>
      <w:r w:rsidRPr="00B61D46">
        <w:t xml:space="preserve">тветствуют современным </w:t>
      </w:r>
      <w:r>
        <w:t>стандартам</w:t>
      </w:r>
      <w:r w:rsidRPr="00B61D46">
        <w:t>. Совр</w:t>
      </w:r>
      <w:r w:rsidRPr="00B61D46">
        <w:t>е</w:t>
      </w:r>
      <w:r w:rsidRPr="00B61D46">
        <w:t xml:space="preserve">менные </w:t>
      </w:r>
      <w:r>
        <w:t>автобусы</w:t>
      </w:r>
      <w:r w:rsidRPr="00B61D46">
        <w:t xml:space="preserve"> более охотно испол</w:t>
      </w:r>
      <w:r w:rsidRPr="00B61D46">
        <w:t>ь</w:t>
      </w:r>
      <w:r>
        <w:t>зую</w:t>
      </w:r>
      <w:r w:rsidRPr="00B61D46">
        <w:t>тся се</w:t>
      </w:r>
      <w:r>
        <w:t>мьями</w:t>
      </w:r>
      <w:r w:rsidRPr="00B61D46">
        <w:t xml:space="preserve"> с </w:t>
      </w:r>
      <w:r>
        <w:t>малолетними</w:t>
      </w:r>
      <w:r w:rsidRPr="00B61D46">
        <w:t xml:space="preserve"> детьми и</w:t>
      </w:r>
      <w:r>
        <w:t xml:space="preserve"> с</w:t>
      </w:r>
      <w:r w:rsidRPr="00B61D46">
        <w:t xml:space="preserve"> детьми в колясках. </w:t>
      </w:r>
      <w:r>
        <w:t>Более</w:t>
      </w:r>
      <w:r w:rsidRPr="00B61D46">
        <w:t xml:space="preserve"> ста</w:t>
      </w:r>
      <w:r>
        <w:t>рые</w:t>
      </w:r>
      <w:r w:rsidRPr="00B61D46">
        <w:t xml:space="preserve"> автобу</w:t>
      </w:r>
      <w:r>
        <w:t>сы снабжены наклейками, указыва</w:t>
      </w:r>
      <w:r>
        <w:t>ю</w:t>
      </w:r>
      <w:r>
        <w:t xml:space="preserve">щими, </w:t>
      </w:r>
      <w:r w:rsidRPr="00B61D46">
        <w:t>ка</w:t>
      </w:r>
      <w:r>
        <w:t>кую дверь следует</w:t>
      </w:r>
      <w:r w:rsidRPr="00B61D46">
        <w:t xml:space="preserve"> использовать</w:t>
      </w:r>
      <w:r>
        <w:t xml:space="preserve"> при погрузке детской </w:t>
      </w:r>
      <w:r w:rsidRPr="00B61D46">
        <w:t>коля</w:t>
      </w:r>
      <w:r>
        <w:t>ски</w:t>
      </w:r>
      <w:r w:rsidRPr="00B61D46">
        <w:t>,</w:t>
      </w:r>
      <w:r>
        <w:t xml:space="preserve"> п</w:t>
      </w:r>
      <w:r>
        <w:t>о</w:t>
      </w:r>
      <w:r>
        <w:t xml:space="preserve">скольку именно эта </w:t>
      </w:r>
      <w:r w:rsidRPr="00B61D46">
        <w:t xml:space="preserve">дверь </w:t>
      </w:r>
      <w:r>
        <w:t xml:space="preserve">находится в непосредственной близости от </w:t>
      </w:r>
      <w:r w:rsidRPr="00B61D46">
        <w:t>платфо</w:t>
      </w:r>
      <w:r w:rsidRPr="00B61D46">
        <w:t>р</w:t>
      </w:r>
      <w:r>
        <w:t>мы</w:t>
      </w:r>
      <w:r w:rsidRPr="00B61D46">
        <w:t xml:space="preserve"> для колясок. Все </w:t>
      </w:r>
      <w:r>
        <w:t xml:space="preserve">вышеупомянутые меры </w:t>
      </w:r>
      <w:r w:rsidRPr="00B61D46">
        <w:t xml:space="preserve">облегчают </w:t>
      </w:r>
      <w:r>
        <w:t xml:space="preserve">пользование </w:t>
      </w:r>
      <w:r w:rsidRPr="00B61D46">
        <w:t>общес</w:t>
      </w:r>
      <w:r w:rsidRPr="00B61D46">
        <w:t>т</w:t>
      </w:r>
      <w:r w:rsidRPr="00B61D46">
        <w:t>венн</w:t>
      </w:r>
      <w:r>
        <w:t>ы</w:t>
      </w:r>
      <w:r w:rsidRPr="00B61D46">
        <w:t>м тран</w:t>
      </w:r>
      <w:r w:rsidRPr="00B61D46">
        <w:t>с</w:t>
      </w:r>
      <w:r>
        <w:t>портом</w:t>
      </w:r>
      <w:r w:rsidRPr="00B61D46">
        <w:t>.</w:t>
      </w:r>
    </w:p>
    <w:p w:rsidR="00130565" w:rsidRDefault="00130565" w:rsidP="00130565">
      <w:pPr>
        <w:pStyle w:val="SingleTxtGR"/>
      </w:pPr>
      <w:r>
        <w:t>138</w:t>
      </w:r>
      <w:r w:rsidRPr="00B61D46">
        <w:t>.</w:t>
      </w:r>
      <w:r>
        <w:tab/>
      </w:r>
      <w:r w:rsidRPr="00B61D46">
        <w:t>В р</w:t>
      </w:r>
      <w:r>
        <w:t>езультате реконструкции железнодорожных путей сокращено</w:t>
      </w:r>
      <w:r w:rsidRPr="00B61D46">
        <w:t xml:space="preserve"> время </w:t>
      </w:r>
      <w:r>
        <w:t>проезда</w:t>
      </w:r>
      <w:r w:rsidRPr="00B61D46">
        <w:t xml:space="preserve"> на</w:t>
      </w:r>
      <w:r>
        <w:t xml:space="preserve"> железнодорожном транспорте. В ходе модернизации </w:t>
      </w:r>
      <w:r w:rsidRPr="00B61D46">
        <w:t>несколько ж</w:t>
      </w:r>
      <w:r w:rsidRPr="00B61D46">
        <w:t>е</w:t>
      </w:r>
      <w:r w:rsidRPr="00B61D46">
        <w:t xml:space="preserve">лезнодорожных станций были также </w:t>
      </w:r>
      <w:r>
        <w:t>оборудованы</w:t>
      </w:r>
      <w:r w:rsidRPr="00B61D46">
        <w:t xml:space="preserve"> </w:t>
      </w:r>
      <w:r>
        <w:t xml:space="preserve">средствами </w:t>
      </w:r>
      <w:r w:rsidRPr="00B61D46">
        <w:t>доступ</w:t>
      </w:r>
      <w:r>
        <w:t>а</w:t>
      </w:r>
      <w:r w:rsidRPr="00B61D46">
        <w:t xml:space="preserve"> для и</w:t>
      </w:r>
      <w:r w:rsidRPr="00B61D46">
        <w:t>н</w:t>
      </w:r>
      <w:r w:rsidRPr="00B61D46">
        <w:t>вали</w:t>
      </w:r>
      <w:r>
        <w:t>дных колясок</w:t>
      </w:r>
      <w:r w:rsidRPr="00B61D46">
        <w:t>. Модерн</w:t>
      </w:r>
      <w:r w:rsidRPr="00B61D46">
        <w:t>и</w:t>
      </w:r>
      <w:r w:rsidRPr="00B61D46">
        <w:t xml:space="preserve">зирован </w:t>
      </w:r>
      <w:r>
        <w:t xml:space="preserve">и подвижной состав: на некоторых линиях действуют поезда ЭМУ, оснащенные </w:t>
      </w:r>
      <w:r w:rsidRPr="00B61D46">
        <w:t>доступом для инвалидных колясок</w:t>
      </w:r>
      <w:r>
        <w:t>, а мн</w:t>
      </w:r>
      <w:r>
        <w:t>о</w:t>
      </w:r>
      <w:r>
        <w:t>гие</w:t>
      </w:r>
      <w:r w:rsidRPr="00B61D46">
        <w:t xml:space="preserve"> ваго</w:t>
      </w:r>
      <w:r>
        <w:t>ны</w:t>
      </w:r>
      <w:r w:rsidRPr="00B61D46">
        <w:t xml:space="preserve">, </w:t>
      </w:r>
      <w:r>
        <w:t>сданные в эксплуатацию в</w:t>
      </w:r>
      <w:r w:rsidRPr="00B61D46">
        <w:t xml:space="preserve"> последние годы</w:t>
      </w:r>
      <w:r>
        <w:t xml:space="preserve">, пригодны для перевозки </w:t>
      </w:r>
      <w:r w:rsidRPr="00B61D46">
        <w:t>велосипедов и детских колясок. В п</w:t>
      </w:r>
      <w:r w:rsidRPr="00B61D46">
        <w:t>е</w:t>
      </w:r>
      <w:r w:rsidRPr="00B61D46">
        <w:t>риод с 2007</w:t>
      </w:r>
      <w:r>
        <w:t xml:space="preserve"> по </w:t>
      </w:r>
      <w:r w:rsidRPr="00B61D46">
        <w:t>2010</w:t>
      </w:r>
      <w:r>
        <w:t xml:space="preserve"> год было закуплено</w:t>
      </w:r>
      <w:r>
        <w:br/>
      </w:r>
      <w:r w:rsidRPr="00B61D46">
        <w:t>60</w:t>
      </w:r>
      <w:r>
        <w:t xml:space="preserve"> поездов "Штадлер</w:t>
      </w:r>
      <w:r w:rsidRPr="00B61D46">
        <w:t xml:space="preserve"> </w:t>
      </w:r>
      <w:r>
        <w:t>ФЛИРТ ЭМУ", движение которых налажено на нескол</w:t>
      </w:r>
      <w:r>
        <w:t>ь</w:t>
      </w:r>
      <w:r>
        <w:t xml:space="preserve">ких </w:t>
      </w:r>
      <w:r w:rsidRPr="00B61D46">
        <w:t xml:space="preserve">пригородных </w:t>
      </w:r>
      <w:r>
        <w:t>линиях вокруг</w:t>
      </w:r>
      <w:r w:rsidRPr="00B61D46">
        <w:t xml:space="preserve"> Будапешта. Эти современные поезда </w:t>
      </w:r>
      <w:r>
        <w:t>оснащены</w:t>
      </w:r>
      <w:r w:rsidRPr="00B61D46">
        <w:t xml:space="preserve"> </w:t>
      </w:r>
      <w:r>
        <w:t xml:space="preserve">средствами </w:t>
      </w:r>
      <w:r w:rsidRPr="00B61D46">
        <w:t>доступ</w:t>
      </w:r>
      <w:r>
        <w:t>а</w:t>
      </w:r>
      <w:r w:rsidRPr="00B61D46">
        <w:t xml:space="preserve"> для инвали</w:t>
      </w:r>
      <w:r>
        <w:t>дных колясок</w:t>
      </w:r>
      <w:r w:rsidRPr="00B61D46">
        <w:t xml:space="preserve">, а также </w:t>
      </w:r>
      <w:r>
        <w:t>видео</w:t>
      </w:r>
      <w:r w:rsidRPr="00B61D46">
        <w:t>ка</w:t>
      </w:r>
      <w:r>
        <w:t>мерами безопа</w:t>
      </w:r>
      <w:r>
        <w:t>с</w:t>
      </w:r>
      <w:r>
        <w:t xml:space="preserve">ности, которые повышают </w:t>
      </w:r>
      <w:r w:rsidRPr="00B61D46">
        <w:t>безопасность па</w:t>
      </w:r>
      <w:r w:rsidRPr="00B61D46">
        <w:t>с</w:t>
      </w:r>
      <w:r w:rsidRPr="00B61D46">
        <w:t>сажиров.</w:t>
      </w:r>
    </w:p>
    <w:p w:rsidR="00130565" w:rsidRDefault="00130565" w:rsidP="00130565">
      <w:pPr>
        <w:pStyle w:val="SingleTxtGR"/>
      </w:pPr>
      <w:r>
        <w:t>139</w:t>
      </w:r>
      <w:r w:rsidRPr="00B61D46">
        <w:t>.</w:t>
      </w:r>
      <w:r>
        <w:tab/>
      </w:r>
      <w:r w:rsidRPr="00B61D46">
        <w:t xml:space="preserve">Когда </w:t>
      </w:r>
      <w:r>
        <w:t>проводится модернизация существующих зданий вокзалов либо в</w:t>
      </w:r>
      <w:r>
        <w:t>е</w:t>
      </w:r>
      <w:r>
        <w:t xml:space="preserve">дется строительство новых станций, </w:t>
      </w:r>
      <w:r w:rsidRPr="00B61D46">
        <w:t xml:space="preserve">особое внимание уделяется </w:t>
      </w:r>
      <w:r>
        <w:t>освобожд</w:t>
      </w:r>
      <w:r>
        <w:t>е</w:t>
      </w:r>
      <w:r>
        <w:t xml:space="preserve">нию их </w:t>
      </w:r>
      <w:r w:rsidRPr="00B61D46">
        <w:t>по</w:t>
      </w:r>
      <w:r>
        <w:t xml:space="preserve">ла от </w:t>
      </w:r>
      <w:r w:rsidRPr="00B61D46">
        <w:t>препятствий,</w:t>
      </w:r>
      <w:r>
        <w:t xml:space="preserve"> о</w:t>
      </w:r>
      <w:r w:rsidRPr="00B61D46">
        <w:t xml:space="preserve"> которые </w:t>
      </w:r>
      <w:r>
        <w:t>можно споткнуться, а также оснащению их рампами или лифтами, облегчающими передвижение лиц с детскими кол</w:t>
      </w:r>
      <w:r>
        <w:t>я</w:t>
      </w:r>
      <w:r>
        <w:t xml:space="preserve">сками и инвалидов в колясках. </w:t>
      </w:r>
      <w:r w:rsidRPr="00B61D46">
        <w:t xml:space="preserve">Некоторые новые </w:t>
      </w:r>
      <w:r>
        <w:t>объекты</w:t>
      </w:r>
      <w:r w:rsidRPr="00B61D46">
        <w:t xml:space="preserve"> оснащены </w:t>
      </w:r>
      <w:r>
        <w:t>видео</w:t>
      </w:r>
      <w:r w:rsidRPr="00B61D46">
        <w:t>камерами безопасности и систе</w:t>
      </w:r>
      <w:r>
        <w:t>мами</w:t>
      </w:r>
      <w:r w:rsidRPr="00B61D46">
        <w:t xml:space="preserve"> экстренного вызова, которые повышают безопа</w:t>
      </w:r>
      <w:r w:rsidRPr="00B61D46">
        <w:t>с</w:t>
      </w:r>
      <w:r w:rsidRPr="00B61D46">
        <w:t xml:space="preserve">ность пассажиров и </w:t>
      </w:r>
      <w:r>
        <w:t>чувство защищенности</w:t>
      </w:r>
      <w:r w:rsidRPr="00B61D46">
        <w:t xml:space="preserve"> </w:t>
      </w:r>
      <w:r>
        <w:t>у</w:t>
      </w:r>
      <w:r w:rsidRPr="00B61D46">
        <w:t xml:space="preserve"> женщин. </w:t>
      </w:r>
      <w:r>
        <w:t>Проведена модерниз</w:t>
      </w:r>
      <w:r>
        <w:t>а</w:t>
      </w:r>
      <w:r>
        <w:t>ция средств обеспечения комфорта</w:t>
      </w:r>
      <w:r w:rsidRPr="00B61D46">
        <w:t xml:space="preserve">. </w:t>
      </w:r>
      <w:r>
        <w:t>На станциях и на платформах установл</w:t>
      </w:r>
      <w:r>
        <w:t>е</w:t>
      </w:r>
      <w:r>
        <w:t xml:space="preserve">ны </w:t>
      </w:r>
      <w:r w:rsidRPr="00B61D46">
        <w:t xml:space="preserve">современные информационные </w:t>
      </w:r>
      <w:r>
        <w:t xml:space="preserve">щиты, которые позволяют обеспечить </w:t>
      </w:r>
      <w:r w:rsidRPr="00B61D46">
        <w:t>пассаж</w:t>
      </w:r>
      <w:r w:rsidRPr="00B61D46">
        <w:t>и</w:t>
      </w:r>
      <w:r w:rsidRPr="00B61D46">
        <w:t>р</w:t>
      </w:r>
      <w:r>
        <w:t xml:space="preserve">ов более качественной и точной </w:t>
      </w:r>
      <w:r w:rsidRPr="00B61D46">
        <w:t>информаци</w:t>
      </w:r>
      <w:r>
        <w:t>ей</w:t>
      </w:r>
      <w:r w:rsidRPr="00B61D46">
        <w:t xml:space="preserve">. </w:t>
      </w:r>
      <w:r>
        <w:t>Также усовершенствованы си</w:t>
      </w:r>
      <w:r>
        <w:t>с</w:t>
      </w:r>
      <w:r>
        <w:t>темы речевого оповещения.</w:t>
      </w:r>
    </w:p>
    <w:p w:rsidR="00130565" w:rsidRDefault="00130565" w:rsidP="00130565">
      <w:pPr>
        <w:pStyle w:val="SingleTxtGR"/>
      </w:pPr>
      <w:r>
        <w:t>140</w:t>
      </w:r>
      <w:r w:rsidRPr="00B61D46">
        <w:t>.</w:t>
      </w:r>
      <w:r>
        <w:tab/>
        <w:t>Вблизи многих модернизированных или новых станций построены ст</w:t>
      </w:r>
      <w:r>
        <w:t>о</w:t>
      </w:r>
      <w:r>
        <w:t>янки P+R, а в н</w:t>
      </w:r>
      <w:r>
        <w:t>е</w:t>
      </w:r>
      <w:r>
        <w:t>которых случаях − B+</w:t>
      </w:r>
      <w:r w:rsidRPr="00B61D46">
        <w:t>R</w:t>
      </w:r>
      <w:r>
        <w:t xml:space="preserve">. </w:t>
      </w:r>
    </w:p>
    <w:p w:rsidR="00130565" w:rsidRPr="00583229" w:rsidRDefault="00130565" w:rsidP="00130565">
      <w:pPr>
        <w:pStyle w:val="SingleTxtGR"/>
      </w:pPr>
      <w:r>
        <w:t>141</w:t>
      </w:r>
      <w:r w:rsidRPr="00B61D46">
        <w:t>.</w:t>
      </w:r>
      <w:r>
        <w:tab/>
        <w:t>Конкурсное</w:t>
      </w:r>
      <w:r w:rsidRPr="00B61D46">
        <w:t xml:space="preserve"> финансирование позволило </w:t>
      </w:r>
      <w:r>
        <w:t>оборудовать новые велосипедные доро</w:t>
      </w:r>
      <w:r>
        <w:t>ж</w:t>
      </w:r>
      <w:r>
        <w:t>ки, что создает дополнительные в</w:t>
      </w:r>
      <w:r w:rsidRPr="00B61D46">
        <w:t>озможно</w:t>
      </w:r>
      <w:r>
        <w:t xml:space="preserve">сти для передвижения жителей малых деревень на </w:t>
      </w:r>
      <w:r w:rsidRPr="00B61D46">
        <w:t>и</w:t>
      </w:r>
      <w:r>
        <w:t>х</w:t>
      </w:r>
      <w:r w:rsidRPr="00B61D46">
        <w:t xml:space="preserve"> собст</w:t>
      </w:r>
      <w:r>
        <w:t xml:space="preserve">венных </w:t>
      </w:r>
      <w:r w:rsidRPr="00B61D46">
        <w:t>транспортны</w:t>
      </w:r>
      <w:r>
        <w:t>х</w:t>
      </w:r>
      <w:r w:rsidRPr="00B61D46">
        <w:t xml:space="preserve"> средства</w:t>
      </w:r>
      <w:r>
        <w:t>х</w:t>
      </w:r>
      <w:r w:rsidRPr="00B61D46">
        <w:t>.</w:t>
      </w:r>
      <w:r>
        <w:t xml:space="preserve"> Вблизи автовокз</w:t>
      </w:r>
      <w:r>
        <w:t>а</w:t>
      </w:r>
      <w:r>
        <w:t xml:space="preserve">лов и </w:t>
      </w:r>
      <w:r w:rsidRPr="00B61D46">
        <w:t>железнодорожн</w:t>
      </w:r>
      <w:r>
        <w:t xml:space="preserve">ых станций построено несколько велосипедных парков, которые облегчают пользование </w:t>
      </w:r>
      <w:r w:rsidRPr="00B61D46">
        <w:t>общественным тран</w:t>
      </w:r>
      <w:r w:rsidRPr="00B61D46">
        <w:t>с</w:t>
      </w:r>
      <w:r w:rsidRPr="00B61D46">
        <w:t>портом.</w:t>
      </w:r>
    </w:p>
    <w:p w:rsidR="00947152" w:rsidRPr="00A0432F" w:rsidRDefault="00947152" w:rsidP="00947152">
      <w:pPr>
        <w:pStyle w:val="H23GR"/>
      </w:pPr>
      <w:r>
        <w:tab/>
      </w:r>
      <w:r>
        <w:tab/>
      </w:r>
      <w:r w:rsidRPr="00A0432F">
        <w:t>Поддержка транспорта и ежедневных поездок для лиц, воспитывающих или сопровождающих малолетних детей</w:t>
      </w:r>
    </w:p>
    <w:p w:rsidR="00947152" w:rsidRPr="00A0432F" w:rsidRDefault="00947152" w:rsidP="00947152">
      <w:pPr>
        <w:pStyle w:val="SingleTxtGR"/>
      </w:pPr>
      <w:r w:rsidRPr="00A0432F">
        <w:t>142.</w:t>
      </w:r>
      <w:r w:rsidRPr="00A0432F">
        <w:tab/>
      </w:r>
      <w:r>
        <w:t>В целом</w:t>
      </w:r>
      <w:r w:rsidRPr="00A0432F">
        <w:t xml:space="preserve"> с 2007 или 2008 года лица, воспитывающие малолетних детей, получают финансовую поддержку </w:t>
      </w:r>
      <w:r>
        <w:t>при</w:t>
      </w:r>
      <w:r w:rsidRPr="00A0432F">
        <w:t xml:space="preserve"> приобретени</w:t>
      </w:r>
      <w:r>
        <w:t>и</w:t>
      </w:r>
      <w:r w:rsidRPr="00A0432F">
        <w:t xml:space="preserve"> сезонных проездных в н</w:t>
      </w:r>
      <w:r w:rsidRPr="00A0432F">
        <w:t>е</w:t>
      </w:r>
      <w:r w:rsidRPr="00A0432F">
        <w:t>скольких городах (например, в Будапеште, Дебрецене, Эгере, Капошваре, Нь</w:t>
      </w:r>
      <w:r w:rsidRPr="00A0432F">
        <w:t>и</w:t>
      </w:r>
      <w:r w:rsidRPr="00A0432F">
        <w:t>редьхазе, Сегеде, Сольноке). Скидки, аналогичн</w:t>
      </w:r>
      <w:r>
        <w:t>ы</w:t>
      </w:r>
      <w:r w:rsidRPr="00A0432F">
        <w:t xml:space="preserve"> тем, что предоставляются учащимся, студентам и пенсионерам, либо бесплатный проезд предоставляются при наличии сезонного проездного для малолетних детей их родителям, когда они пользуются местным общественным транспортом. Кроме того, некоторые местные органы власти также предоставляют льготные семейные билеты. На пассажирских поездах существует предпринимательская политика предоста</w:t>
      </w:r>
      <w:r w:rsidRPr="00A0432F">
        <w:t>в</w:t>
      </w:r>
      <w:r w:rsidRPr="00A0432F">
        <w:t xml:space="preserve">ления скидки, которая дает право </w:t>
      </w:r>
      <w:r>
        <w:t xml:space="preserve">одному или </w:t>
      </w:r>
      <w:r w:rsidRPr="00A0432F">
        <w:t>двум взрослым, сопровожда</w:t>
      </w:r>
      <w:r w:rsidRPr="00A0432F">
        <w:t>ю</w:t>
      </w:r>
      <w:r w:rsidRPr="00A0432F">
        <w:t>щим одного или более детей в возрасте до 18 лет, на скидку в размере 33% от цены билета. Государство также поддерживает общественный транспорт для многодетных семей посредством предоставления групповых скидок: когда с о</w:t>
      </w:r>
      <w:r w:rsidRPr="00A0432F">
        <w:t>д</w:t>
      </w:r>
      <w:r w:rsidRPr="00A0432F">
        <w:t xml:space="preserve">ним или обоими родителями </w:t>
      </w:r>
      <w:r>
        <w:t>едут</w:t>
      </w:r>
      <w:r w:rsidRPr="00A0432F">
        <w:t xml:space="preserve"> не менее трех детей, они получают право на скидку в размере 90% тарифов, действующих для междугородних перевозок. Дети в возрасте до шести лет пользуются транспортом бесплатно, а учащиеся и студенты получают скидку </w:t>
      </w:r>
      <w:r>
        <w:t>в размере</w:t>
      </w:r>
      <w:r w:rsidRPr="00A0432F">
        <w:t xml:space="preserve"> 50−90% как на </w:t>
      </w:r>
      <w:r>
        <w:t xml:space="preserve">обычные </w:t>
      </w:r>
      <w:r w:rsidRPr="00A0432F">
        <w:t xml:space="preserve">билеты, так и на </w:t>
      </w:r>
      <w:r>
        <w:t xml:space="preserve">сезонные </w:t>
      </w:r>
      <w:r w:rsidRPr="00A0432F">
        <w:t>проез</w:t>
      </w:r>
      <w:r w:rsidRPr="00A0432F">
        <w:t>д</w:t>
      </w:r>
      <w:r w:rsidRPr="00A0432F">
        <w:t>ные.</w:t>
      </w:r>
    </w:p>
    <w:p w:rsidR="00947152" w:rsidRPr="00A0432F" w:rsidRDefault="00947152" w:rsidP="00947152">
      <w:pPr>
        <w:pStyle w:val="SingleTxtGR"/>
        <w:rPr>
          <w:b/>
        </w:rPr>
      </w:pPr>
      <w:r w:rsidRPr="00A0432F">
        <w:t>143.</w:t>
      </w:r>
      <w:r w:rsidRPr="00A0432F">
        <w:tab/>
        <w:t>Работодатели компенсируют работникам дорожные расходы на ежедне</w:t>
      </w:r>
      <w:r w:rsidRPr="00A0432F">
        <w:t>в</w:t>
      </w:r>
      <w:r w:rsidRPr="00A0432F">
        <w:t>ные поездки на работу и с нее на общественном транспорте, что приносит зн</w:t>
      </w:r>
      <w:r w:rsidRPr="00A0432F">
        <w:t>а</w:t>
      </w:r>
      <w:r w:rsidRPr="00A0432F">
        <w:t>чительные выгоды работникам, проживающим в сельских районах. Сумма ко</w:t>
      </w:r>
      <w:r w:rsidRPr="00A0432F">
        <w:t>м</w:t>
      </w:r>
      <w:r w:rsidRPr="00A0432F">
        <w:t>пенсации, выплачиваем</w:t>
      </w:r>
      <w:r>
        <w:t>ой</w:t>
      </w:r>
      <w:r w:rsidRPr="00A0432F">
        <w:t xml:space="preserve"> работодателями работникам </w:t>
      </w:r>
      <w:r>
        <w:t>за</w:t>
      </w:r>
      <w:r w:rsidRPr="00A0432F">
        <w:t xml:space="preserve"> ежедневны</w:t>
      </w:r>
      <w:r>
        <w:t>е</w:t>
      </w:r>
      <w:r w:rsidRPr="00A0432F">
        <w:t xml:space="preserve"> поездк</w:t>
      </w:r>
      <w:r>
        <w:t>и</w:t>
      </w:r>
      <w:r w:rsidRPr="00A0432F">
        <w:t xml:space="preserve"> на работу и с нее, составляет не менее 86% от стоимости проезда или с</w:t>
      </w:r>
      <w:r w:rsidRPr="00A0432F">
        <w:t>е</w:t>
      </w:r>
      <w:r w:rsidRPr="00A0432F">
        <w:t xml:space="preserve">зонного проездного билета. Что касается трудящихся, которые совершают поездки от постоянного места жительства до своего временного места работы не чаще раза в неделю, </w:t>
      </w:r>
      <w:r>
        <w:t xml:space="preserve">то </w:t>
      </w:r>
      <w:r w:rsidRPr="00A0432F">
        <w:t>в 2010 году для них была установлена максимальная ставка ко</w:t>
      </w:r>
      <w:r w:rsidRPr="00A0432F">
        <w:t>м</w:t>
      </w:r>
      <w:r w:rsidRPr="00A0432F">
        <w:t>пенсации транспортных расходов в размере 30 000 форинтов,</w:t>
      </w:r>
      <w:r>
        <w:t xml:space="preserve"> а</w:t>
      </w:r>
      <w:r w:rsidRPr="00A0432F">
        <w:t xml:space="preserve"> в 2011 году − 31 400 форинтов и в 2012 году − 32 697 форинтов.</w:t>
      </w:r>
    </w:p>
    <w:p w:rsidR="00947152" w:rsidRPr="00A0432F" w:rsidRDefault="00947152" w:rsidP="00947152">
      <w:pPr>
        <w:pStyle w:val="H1GR"/>
      </w:pPr>
      <w:r>
        <w:tab/>
      </w:r>
      <w:r>
        <w:tab/>
      </w:r>
      <w:r w:rsidRPr="00A0432F">
        <w:t>Группы женщин, находящиеся в не</w:t>
      </w:r>
      <w:r>
        <w:t>благоприятном</w:t>
      </w:r>
      <w:r w:rsidRPr="00A0432F">
        <w:t xml:space="preserve"> положении</w:t>
      </w:r>
    </w:p>
    <w:p w:rsidR="00947152" w:rsidRPr="00A0432F" w:rsidRDefault="00947152" w:rsidP="00947152">
      <w:pPr>
        <w:pStyle w:val="H23GR"/>
      </w:pPr>
      <w:r>
        <w:tab/>
      </w:r>
      <w:r>
        <w:tab/>
      </w:r>
      <w:r w:rsidRPr="00A0432F">
        <w:t>Ответ на вопросы, поставленные в пункте 18 перечня вопросов</w:t>
      </w:r>
    </w:p>
    <w:p w:rsidR="00947152" w:rsidRPr="00A0432F" w:rsidRDefault="00947152" w:rsidP="00947152">
      <w:pPr>
        <w:pStyle w:val="H23GR"/>
      </w:pPr>
      <w:r>
        <w:tab/>
      </w:r>
      <w:r>
        <w:tab/>
      </w:r>
      <w:r w:rsidRPr="00A0432F">
        <w:t>Осуществление Программы десятилетия рома</w:t>
      </w:r>
    </w:p>
    <w:p w:rsidR="00947152" w:rsidRPr="00A0432F" w:rsidRDefault="00947152" w:rsidP="00947152">
      <w:pPr>
        <w:pStyle w:val="SingleTxtGR"/>
      </w:pPr>
      <w:r w:rsidRPr="00A0432F">
        <w:t>144.</w:t>
      </w:r>
      <w:r w:rsidRPr="00A0432F">
        <w:tab/>
        <w:t>Политика в</w:t>
      </w:r>
      <w:r>
        <w:t>овлечения</w:t>
      </w:r>
      <w:r w:rsidRPr="00A0432F">
        <w:t xml:space="preserve"> в жизнь общества направлена на содействие инт</w:t>
      </w:r>
      <w:r w:rsidRPr="00A0432F">
        <w:t>е</w:t>
      </w:r>
      <w:r w:rsidRPr="00A0432F">
        <w:t>грации, охвату и управлению в рамках единой системы стратегий, касающихся конкретных − и решающих</w:t>
      </w:r>
      <w:r>
        <w:t>, когда речь идет о</w:t>
      </w:r>
      <w:r w:rsidRPr="00A0432F">
        <w:t xml:space="preserve"> преодолени</w:t>
      </w:r>
      <w:r>
        <w:t>и</w:t>
      </w:r>
      <w:r w:rsidRPr="00A0432F">
        <w:t xml:space="preserve"> бедности</w:t>
      </w:r>
      <w:r>
        <w:t>,</w:t>
      </w:r>
      <w:r w:rsidRPr="00A0432F">
        <w:t xml:space="preserve"> − обла</w:t>
      </w:r>
      <w:r w:rsidRPr="00A0432F">
        <w:t>с</w:t>
      </w:r>
      <w:r w:rsidRPr="00A0432F">
        <w:t>тей проблем (стратегии, которые затрагивают бедность в детском возрасте, п</w:t>
      </w:r>
      <w:r w:rsidRPr="00A0432F">
        <w:t>о</w:t>
      </w:r>
      <w:r w:rsidRPr="00A0432F">
        <w:t xml:space="preserve">ложение рома и находящиеся в </w:t>
      </w:r>
      <w:r>
        <w:t>неблагоприятном</w:t>
      </w:r>
      <w:r w:rsidRPr="00A0432F">
        <w:t xml:space="preserve"> положении регионы)</w:t>
      </w:r>
      <w:r>
        <w:t>,</w:t>
      </w:r>
      <w:r w:rsidRPr="00A0432F">
        <w:t xml:space="preserve"> </w:t>
      </w:r>
      <w:r>
        <w:t>в</w:t>
      </w:r>
      <w:r w:rsidRPr="00A0432F">
        <w:t xml:space="preserve"> цел</w:t>
      </w:r>
      <w:r>
        <w:t>ях</w:t>
      </w:r>
      <w:r w:rsidRPr="00A0432F">
        <w:t xml:space="preserve"> повышения эффективности междисциплинарных подходов. Соответственно, принятая в Венгрии стратегия </w:t>
      </w:r>
      <w:r>
        <w:t>охватывает</w:t>
      </w:r>
      <w:r w:rsidRPr="00A0432F">
        <w:t xml:space="preserve"> все эти элементы и </w:t>
      </w:r>
      <w:r>
        <w:t>согласована</w:t>
      </w:r>
      <w:r w:rsidRPr="00A0432F">
        <w:t xml:space="preserve"> с подходом и целями Стратегического плана Программы десятилетия интегр</w:t>
      </w:r>
      <w:r w:rsidRPr="00A0432F">
        <w:t>а</w:t>
      </w:r>
      <w:r w:rsidRPr="00A0432F">
        <w:t>ции рома (РИЕП).</w:t>
      </w:r>
    </w:p>
    <w:p w:rsidR="00947152" w:rsidRPr="00A0432F" w:rsidRDefault="00947152" w:rsidP="00947152">
      <w:pPr>
        <w:pStyle w:val="SingleTxtGR"/>
      </w:pPr>
      <w:r w:rsidRPr="00A0432F">
        <w:t>145.</w:t>
      </w:r>
      <w:r w:rsidRPr="00A0432F">
        <w:tab/>
        <w:t>Важно упомянуть, что на уровне местных органов власти существу</w:t>
      </w:r>
      <w:r>
        <w:t>е</w:t>
      </w:r>
      <w:r w:rsidRPr="00A0432F">
        <w:t>т специальн</w:t>
      </w:r>
      <w:r>
        <w:t>ая</w:t>
      </w:r>
      <w:r w:rsidRPr="00A0432F">
        <w:t xml:space="preserve"> структур</w:t>
      </w:r>
      <w:r>
        <w:t>а</w:t>
      </w:r>
      <w:r w:rsidRPr="00A0432F">
        <w:t xml:space="preserve"> для осуществления Стратегического плана РИЕП</w:t>
      </w:r>
      <w:r>
        <w:t>,</w:t>
      </w:r>
      <w:r w:rsidRPr="00A0432F">
        <w:t xml:space="preserve"> или Национальной стратегии интеграции рома. Для обеспечения сохранения пр</w:t>
      </w:r>
      <w:r w:rsidRPr="00A0432F">
        <w:t>и</w:t>
      </w:r>
      <w:r w:rsidRPr="00A0432F">
        <w:t>верженности местных органов власти делу выполнения критериев интеграции в жизнь общества правительство постановило, что со следующего года местные органы могут иметь доступ к фондам развити</w:t>
      </w:r>
      <w:r>
        <w:t>я</w:t>
      </w:r>
      <w:r w:rsidRPr="00A0432F">
        <w:t>, предоставляемым ЕС, и</w:t>
      </w:r>
      <w:r>
        <w:t>ли</w:t>
      </w:r>
      <w:r w:rsidRPr="00A0432F">
        <w:t xml:space="preserve"> к распределяемым на конкурсной основе внутренним фондам </w:t>
      </w:r>
      <w:r>
        <w:t>только</w:t>
      </w:r>
      <w:r w:rsidRPr="00A0432F">
        <w:t xml:space="preserve"> при условии подготовки анализа положения в области равенства возможностей и соответс</w:t>
      </w:r>
      <w:r w:rsidRPr="00A0432F">
        <w:t>т</w:t>
      </w:r>
      <w:r w:rsidRPr="00A0432F">
        <w:t>вующего плана действий. Планы обеспечения равенства возможн</w:t>
      </w:r>
      <w:r w:rsidRPr="00A0432F">
        <w:t>о</w:t>
      </w:r>
      <w:r w:rsidRPr="00A0432F">
        <w:t xml:space="preserve">стей должны включать </w:t>
      </w:r>
      <w:r>
        <w:t xml:space="preserve">в себя </w:t>
      </w:r>
      <w:r w:rsidRPr="00A0432F">
        <w:t>анализ положения на местном уровне лиц, проживающи</w:t>
      </w:r>
      <w:r>
        <w:t>х</w:t>
      </w:r>
      <w:r w:rsidRPr="00A0432F">
        <w:t xml:space="preserve"> в у</w:t>
      </w:r>
      <w:r w:rsidRPr="00A0432F">
        <w:t>с</w:t>
      </w:r>
      <w:r w:rsidRPr="00A0432F">
        <w:t xml:space="preserve">ловиях крайней </w:t>
      </w:r>
      <w:r>
        <w:t>нищеты</w:t>
      </w:r>
      <w:r w:rsidRPr="00A0432F">
        <w:t xml:space="preserve">, лиц </w:t>
      </w:r>
      <w:r>
        <w:t>из числа</w:t>
      </w:r>
      <w:r w:rsidRPr="00A0432F">
        <w:t xml:space="preserve"> рома, детей, женщин, престарелых и и</w:t>
      </w:r>
      <w:r w:rsidRPr="00A0432F">
        <w:t>н</w:t>
      </w:r>
      <w:r w:rsidRPr="00A0432F">
        <w:t>валидов. Правительство разработало подробный комплекс критериев для подг</w:t>
      </w:r>
      <w:r w:rsidRPr="00A0432F">
        <w:t>о</w:t>
      </w:r>
      <w:r w:rsidRPr="00A0432F">
        <w:t>товки таких планов</w:t>
      </w:r>
      <w:r>
        <w:t>,</w:t>
      </w:r>
      <w:r w:rsidRPr="00A0432F">
        <w:t xml:space="preserve"> </w:t>
      </w:r>
      <w:r>
        <w:t>а</w:t>
      </w:r>
      <w:r w:rsidRPr="00A0432F">
        <w:t xml:space="preserve"> также обеспечивает соответствующее обучение.</w:t>
      </w:r>
    </w:p>
    <w:p w:rsidR="00947152" w:rsidRPr="00A0432F" w:rsidRDefault="00947152" w:rsidP="00947152">
      <w:pPr>
        <w:pStyle w:val="SingleTxtGR"/>
        <w:pageBreakBefore/>
      </w:pPr>
      <w:r w:rsidRPr="00A0432F">
        <w:t>146.</w:t>
      </w:r>
      <w:r w:rsidRPr="00A0432F">
        <w:tab/>
      </w:r>
      <w:r>
        <w:t xml:space="preserve">В </w:t>
      </w:r>
      <w:r w:rsidRPr="00A0432F">
        <w:t>цел</w:t>
      </w:r>
      <w:r>
        <w:t>ях</w:t>
      </w:r>
      <w:r w:rsidRPr="00A0432F">
        <w:t xml:space="preserve"> подготовки необходимых изменений и их осуществления прав</w:t>
      </w:r>
      <w:r w:rsidRPr="00A0432F">
        <w:t>и</w:t>
      </w:r>
      <w:r w:rsidRPr="00A0432F">
        <w:t xml:space="preserve">тельство Венгрии подписало рамочное соглашение с Национальным органом самоуправления рома. Данное рамочное соглашение включает </w:t>
      </w:r>
      <w:r>
        <w:t xml:space="preserve">в себя </w:t>
      </w:r>
      <w:r w:rsidRPr="00A0432F">
        <w:t>сущес</w:t>
      </w:r>
      <w:r w:rsidRPr="00A0432F">
        <w:t>т</w:t>
      </w:r>
      <w:r w:rsidRPr="00A0432F">
        <w:t>венные обязательства по осуществлению</w:t>
      </w:r>
      <w:r>
        <w:t>, в частности</w:t>
      </w:r>
      <w:r w:rsidRPr="00A0432F">
        <w:t xml:space="preserve"> программ в области зан</w:t>
      </w:r>
      <w:r w:rsidRPr="00A0432F">
        <w:t>я</w:t>
      </w:r>
      <w:r w:rsidRPr="00A0432F">
        <w:t>тости, образования, культуры, здравоохранения и общинной жи</w:t>
      </w:r>
      <w:r w:rsidRPr="00A0432F">
        <w:t>з</w:t>
      </w:r>
      <w:r w:rsidRPr="00A0432F">
        <w:t>ни для лиц происхо</w:t>
      </w:r>
      <w:r w:rsidRPr="00A0432F">
        <w:t>ж</w:t>
      </w:r>
      <w:r w:rsidRPr="00A0432F">
        <w:t>дения рома.</w:t>
      </w:r>
    </w:p>
    <w:p w:rsidR="00947152" w:rsidRPr="00A0432F" w:rsidRDefault="00947152" w:rsidP="00947152">
      <w:pPr>
        <w:pStyle w:val="SingleTxtGR"/>
      </w:pPr>
      <w:r w:rsidRPr="00A0432F">
        <w:t>147.</w:t>
      </w:r>
      <w:r w:rsidRPr="00A0432F">
        <w:tab/>
        <w:t>Ведущие деятели и специалисты из Национального органа самоуправл</w:t>
      </w:r>
      <w:r w:rsidRPr="00A0432F">
        <w:t>е</w:t>
      </w:r>
      <w:r w:rsidRPr="00A0432F">
        <w:t>ния рома участвуют в подготовке программ, а также в процессах принятия с</w:t>
      </w:r>
      <w:r w:rsidRPr="00A0432F">
        <w:t>о</w:t>
      </w:r>
      <w:r w:rsidRPr="00A0432F">
        <w:t>ответствующих решений и их осуществления.</w:t>
      </w:r>
    </w:p>
    <w:p w:rsidR="00947152" w:rsidRPr="00A67DD3" w:rsidRDefault="00947152" w:rsidP="00947152">
      <w:pPr>
        <w:pStyle w:val="H23GR"/>
      </w:pPr>
      <w:r w:rsidRPr="00A67DD3">
        <w:tab/>
      </w:r>
      <w:r w:rsidRPr="00A67DD3">
        <w:tab/>
        <w:t>Прогресс в области образования</w:t>
      </w:r>
    </w:p>
    <w:p w:rsidR="00947152" w:rsidRPr="00A0432F" w:rsidRDefault="00947152" w:rsidP="00947152">
      <w:pPr>
        <w:pStyle w:val="SingleTxtGR"/>
      </w:pPr>
      <w:r w:rsidRPr="00A0432F">
        <w:t>148.</w:t>
      </w:r>
      <w:r w:rsidRPr="00A0432F">
        <w:tab/>
        <w:t>В области образования в докладе о проделанной работе подробно обсу</w:t>
      </w:r>
      <w:r w:rsidRPr="00A0432F">
        <w:t>ж</w:t>
      </w:r>
      <w:r w:rsidRPr="00A0432F">
        <w:t>даются основные препятствия, которые создают наиболее серьезные трудности для населения рома при реализации их возможностей в сфере образования и обеспечении его качества.</w:t>
      </w:r>
    </w:p>
    <w:p w:rsidR="00947152" w:rsidRPr="00A0432F" w:rsidRDefault="00947152" w:rsidP="00947152">
      <w:pPr>
        <w:pStyle w:val="SingleTxtGR"/>
      </w:pPr>
      <w:r w:rsidRPr="00A0432F">
        <w:t>149.</w:t>
      </w:r>
      <w:r w:rsidRPr="00A0432F">
        <w:tab/>
        <w:t>Закон о национальном образовании, утвержденный в конце 2011 года, предусматривает начиная с 2014 года обязательное посещение дошкольных у</w:t>
      </w:r>
      <w:r w:rsidRPr="00A0432F">
        <w:t>ч</w:t>
      </w:r>
      <w:r w:rsidRPr="00A0432F">
        <w:t xml:space="preserve">реждений детьми в возрасте </w:t>
      </w:r>
      <w:r>
        <w:t>с</w:t>
      </w:r>
      <w:r w:rsidRPr="00A0432F">
        <w:t xml:space="preserve"> трех лет. Данная мера позволит улучшить </w:t>
      </w:r>
      <w:r>
        <w:t>охват</w:t>
      </w:r>
      <w:r w:rsidRPr="00A0432F">
        <w:t xml:space="preserve"> детей рома дошкольными учреждениями, что особенно важно для детей и с</w:t>
      </w:r>
      <w:r w:rsidRPr="00A0432F">
        <w:t>е</w:t>
      </w:r>
      <w:r w:rsidRPr="00A0432F">
        <w:t xml:space="preserve">мей, принадлежащих к находящимся в </w:t>
      </w:r>
      <w:r>
        <w:t>неблагоприятном</w:t>
      </w:r>
      <w:r w:rsidRPr="00A0432F">
        <w:t xml:space="preserve"> положении гру</w:t>
      </w:r>
      <w:r w:rsidRPr="00A0432F">
        <w:t>п</w:t>
      </w:r>
      <w:r w:rsidRPr="00A0432F">
        <w:t>пам.</w:t>
      </w:r>
    </w:p>
    <w:p w:rsidR="00947152" w:rsidRPr="00A0432F" w:rsidRDefault="00947152" w:rsidP="00947152">
      <w:pPr>
        <w:pStyle w:val="SingleTxtGR"/>
      </w:pPr>
      <w:r w:rsidRPr="00A0432F">
        <w:t>150.</w:t>
      </w:r>
      <w:r w:rsidRPr="00A0432F">
        <w:tab/>
        <w:t xml:space="preserve">В докладе о </w:t>
      </w:r>
      <w:r>
        <w:t>проделанной</w:t>
      </w:r>
      <w:r w:rsidRPr="00A0432F">
        <w:t xml:space="preserve"> работ</w:t>
      </w:r>
      <w:r>
        <w:t>е</w:t>
      </w:r>
      <w:r w:rsidRPr="00A0432F">
        <w:t xml:space="preserve"> обсуждаются </w:t>
      </w:r>
      <w:r w:rsidRPr="00A96A8A">
        <w:t xml:space="preserve">также </w:t>
      </w:r>
      <w:r w:rsidR="003B41BC">
        <w:t>меры по борьбе</w:t>
      </w:r>
      <w:r w:rsidR="003B41BC">
        <w:br/>
      </w:r>
      <w:r w:rsidRPr="00A0432F">
        <w:t>с сегрегацией, одним из основных компонентов которых является финансиру</w:t>
      </w:r>
      <w:r w:rsidRPr="00A0432F">
        <w:t>е</w:t>
      </w:r>
      <w:r w:rsidRPr="00A0432F">
        <w:t xml:space="preserve">мая </w:t>
      </w:r>
      <w:r>
        <w:t>за счет</w:t>
      </w:r>
      <w:r w:rsidRPr="00A0432F">
        <w:t xml:space="preserve"> внутренних ресурсов Компл</w:t>
      </w:r>
      <w:r w:rsidR="003B41BC">
        <w:t>ексная педагогическая программа</w:t>
      </w:r>
      <w:r w:rsidR="003B41BC">
        <w:br/>
      </w:r>
      <w:r w:rsidRPr="00A0432F">
        <w:t xml:space="preserve">с бюджетом примерно 7 млрд. форинтов, которая направлена на обеспечение равенства возможностей для детей из находящихся в </w:t>
      </w:r>
      <w:r>
        <w:t>неблагоприятном</w:t>
      </w:r>
      <w:r w:rsidRPr="00A0432F">
        <w:t xml:space="preserve"> полож</w:t>
      </w:r>
      <w:r w:rsidRPr="00A0432F">
        <w:t>е</w:t>
      </w:r>
      <w:r w:rsidRPr="00A0432F">
        <w:t>нии групп населения как в дошколь</w:t>
      </w:r>
      <w:r w:rsidR="003B41BC">
        <w:t>ных учреждениях, так и в школе.</w:t>
      </w:r>
      <w:r w:rsidR="003B41BC">
        <w:br/>
      </w:r>
      <w:r w:rsidRPr="00A0432F">
        <w:t>В 2011/12 учебном году программами развития дошкольных учреждений были охвачены 20 800 детей из находящихся в создаваемом множественными факт</w:t>
      </w:r>
      <w:r w:rsidRPr="00A0432F">
        <w:t>о</w:t>
      </w:r>
      <w:r w:rsidRPr="00A0432F">
        <w:t xml:space="preserve">рами </w:t>
      </w:r>
      <w:r>
        <w:t>неблагоприятном</w:t>
      </w:r>
      <w:r w:rsidRPr="00A0432F">
        <w:t xml:space="preserve"> положении групп населения, а в мероприятиях стимул</w:t>
      </w:r>
      <w:r w:rsidRPr="00A0432F">
        <w:t>и</w:t>
      </w:r>
      <w:r w:rsidRPr="00A0432F">
        <w:t>рования т</w:t>
      </w:r>
      <w:r w:rsidRPr="00A0432F">
        <w:t>а</w:t>
      </w:r>
      <w:r w:rsidRPr="00A0432F">
        <w:t xml:space="preserve">лантов учащихся в школах приняли участие более 74 000 </w:t>
      </w:r>
      <w:r>
        <w:t>учащихся</w:t>
      </w:r>
      <w:r w:rsidRPr="00A0432F">
        <w:t xml:space="preserve">. Для осуществления подобных мероприятий </w:t>
      </w:r>
      <w:r>
        <w:t xml:space="preserve">дополнительную </w:t>
      </w:r>
      <w:r w:rsidRPr="00A0432F">
        <w:t>поддержку пол</w:t>
      </w:r>
      <w:r w:rsidRPr="00A0432F">
        <w:t>у</w:t>
      </w:r>
      <w:r w:rsidRPr="00A0432F">
        <w:t>чили около 13 000</w:t>
      </w:r>
      <w:r>
        <w:t> </w:t>
      </w:r>
      <w:r w:rsidRPr="00A0432F">
        <w:t>учителей.</w:t>
      </w:r>
    </w:p>
    <w:p w:rsidR="00947152" w:rsidRPr="00A0432F" w:rsidRDefault="00947152" w:rsidP="00947152">
      <w:pPr>
        <w:pStyle w:val="SingleTxtGR"/>
      </w:pPr>
      <w:r w:rsidRPr="00A0432F">
        <w:t>151.</w:t>
      </w:r>
      <w:r w:rsidRPr="00A0432F">
        <w:tab/>
        <w:t>Кроме того, в 2011/12 учебном году более 20 000 учащихся, принадлеж</w:t>
      </w:r>
      <w:r w:rsidRPr="00A0432F">
        <w:t>а</w:t>
      </w:r>
      <w:r w:rsidRPr="00A0432F">
        <w:t xml:space="preserve">щих к находящимся в </w:t>
      </w:r>
      <w:r>
        <w:t>неблагоприятном</w:t>
      </w:r>
      <w:r w:rsidRPr="00A0432F">
        <w:t xml:space="preserve"> положении группам населения, получ</w:t>
      </w:r>
      <w:r w:rsidRPr="00A0432F">
        <w:t>и</w:t>
      </w:r>
      <w:r w:rsidRPr="00A0432F">
        <w:t>ли безвозмездные пособия из национальных фондов на сумму 1,67 млрд. ф</w:t>
      </w:r>
      <w:r w:rsidRPr="00A0432F">
        <w:t>о</w:t>
      </w:r>
      <w:r w:rsidRPr="00A0432F">
        <w:t>ринтов в рамках программы субсидий "Útravaló-MACIKA", а также были обе</w:t>
      </w:r>
      <w:r w:rsidRPr="00A0432F">
        <w:t>с</w:t>
      </w:r>
      <w:r w:rsidRPr="00A0432F">
        <w:t xml:space="preserve">печены услугами наставников из числа примерно 10 000 учителей-наставников </w:t>
      </w:r>
      <w:r>
        <w:t>в целях</w:t>
      </w:r>
      <w:r w:rsidRPr="00A0432F">
        <w:t xml:space="preserve"> поддержки их перехода на этап среднего образования и его успешного завершения либо в целях получения профессиональной квалификации. Почти 60% из 11 422 учащихся, которые подключились к программе в 2011 году, пр</w:t>
      </w:r>
      <w:r w:rsidRPr="00A0432F">
        <w:t>и</w:t>
      </w:r>
      <w:r w:rsidRPr="00A0432F">
        <w:t xml:space="preserve">ходилось на учащихся </w:t>
      </w:r>
      <w:r>
        <w:t xml:space="preserve">из числа </w:t>
      </w:r>
      <w:r w:rsidRPr="00A0432F">
        <w:t>рома.</w:t>
      </w:r>
    </w:p>
    <w:p w:rsidR="00947152" w:rsidRPr="00A67DD3" w:rsidRDefault="00947152" w:rsidP="00947152">
      <w:pPr>
        <w:pStyle w:val="H23GR"/>
      </w:pPr>
      <w:r w:rsidRPr="00A67DD3">
        <w:tab/>
      </w:r>
      <w:r w:rsidRPr="00A67DD3">
        <w:tab/>
        <w:t>Прогресс в области занятости</w:t>
      </w:r>
    </w:p>
    <w:p w:rsidR="00947152" w:rsidRPr="00A0432F" w:rsidRDefault="00947152" w:rsidP="00947152">
      <w:pPr>
        <w:pStyle w:val="SingleTxtGR"/>
      </w:pPr>
      <w:r w:rsidRPr="00A0432F">
        <w:t>152.</w:t>
      </w:r>
      <w:r w:rsidRPr="00A0432F">
        <w:tab/>
        <w:t>В докладе о ходе работы приводится также описание программ занят</w:t>
      </w:r>
      <w:r w:rsidRPr="00A0432F">
        <w:t>о</w:t>
      </w:r>
      <w:r w:rsidRPr="00A0432F">
        <w:t xml:space="preserve">сти, направленных на поддержку интеграции рома в рынок </w:t>
      </w:r>
      <w:r>
        <w:t>труда</w:t>
      </w:r>
      <w:r w:rsidRPr="00A0432F">
        <w:t xml:space="preserve">. Обеспечение занятости рома представляет собой один из основных элементов их </w:t>
      </w:r>
      <w:r>
        <w:t>вовлечения в жизнь общества</w:t>
      </w:r>
      <w:r w:rsidRPr="00A0432F">
        <w:t xml:space="preserve">. В 2011 году правительство </w:t>
      </w:r>
      <w:r>
        <w:t>за счет отечественных источн</w:t>
      </w:r>
      <w:r>
        <w:t>и</w:t>
      </w:r>
      <w:r>
        <w:t xml:space="preserve">ков и фондов ЕС </w:t>
      </w:r>
      <w:r w:rsidRPr="00A0432F">
        <w:t>обеспечивало поддержку программ в сфере занятости</w:t>
      </w:r>
      <w:r>
        <w:t xml:space="preserve">, </w:t>
      </w:r>
      <w:r w:rsidRPr="00A0432F">
        <w:t xml:space="preserve">одной из приоритетных целевых групп которых были лица </w:t>
      </w:r>
      <w:r>
        <w:t>из числа</w:t>
      </w:r>
      <w:r w:rsidRPr="00A0432F">
        <w:t xml:space="preserve"> рома. В результ</w:t>
      </w:r>
      <w:r w:rsidRPr="00A0432F">
        <w:t>а</w:t>
      </w:r>
      <w:r w:rsidRPr="00A0432F">
        <w:t>те осуществления этих программ была решена проблема краткосрочной или долгосрочной занятости примерно 80 000 человек. Для стимулирования долг</w:t>
      </w:r>
      <w:r w:rsidRPr="00A0432F">
        <w:t>о</w:t>
      </w:r>
      <w:r w:rsidRPr="00A0432F">
        <w:t>срочной занятости участники программ обеспечивались</w:t>
      </w:r>
      <w:r w:rsidRPr="001201C8">
        <w:t xml:space="preserve"> </w:t>
      </w:r>
      <w:r w:rsidRPr="00A0432F">
        <w:t>также услугами, св</w:t>
      </w:r>
      <w:r w:rsidRPr="00A0432F">
        <w:t>я</w:t>
      </w:r>
      <w:r w:rsidRPr="00A0432F">
        <w:t xml:space="preserve">занными с рынком труда и </w:t>
      </w:r>
      <w:r>
        <w:t>профессиональной подготовкой.</w:t>
      </w:r>
      <w:r w:rsidRPr="00A0432F">
        <w:t xml:space="preserve"> В целом </w:t>
      </w:r>
      <w:r>
        <w:t xml:space="preserve">доля </w:t>
      </w:r>
      <w:r w:rsidRPr="00A0432F">
        <w:t xml:space="preserve">рома </w:t>
      </w:r>
      <w:r>
        <w:t>составляла</w:t>
      </w:r>
      <w:r w:rsidRPr="00A0432F">
        <w:t xml:space="preserve"> от 30</w:t>
      </w:r>
      <w:r>
        <w:t>%</w:t>
      </w:r>
      <w:r w:rsidRPr="00A0432F">
        <w:t xml:space="preserve"> до 50</w:t>
      </w:r>
      <w:r>
        <w:t>%</w:t>
      </w:r>
      <w:r w:rsidRPr="00A0432F">
        <w:t xml:space="preserve"> участников программ, но в тех регионах, где на р</w:t>
      </w:r>
      <w:r w:rsidRPr="00A0432F">
        <w:t>о</w:t>
      </w:r>
      <w:r w:rsidRPr="00A0432F">
        <w:t>ма приходится высокая доля</w:t>
      </w:r>
      <w:r>
        <w:t xml:space="preserve"> в численности</w:t>
      </w:r>
      <w:r w:rsidRPr="00A0432F">
        <w:t xml:space="preserve"> населения, этот показатель достигал 80%. </w:t>
      </w:r>
    </w:p>
    <w:p w:rsidR="00947152" w:rsidRPr="00D507E7" w:rsidRDefault="00947152" w:rsidP="00947152">
      <w:pPr>
        <w:pStyle w:val="SingleTxtGR"/>
      </w:pPr>
      <w:r w:rsidRPr="00A0432F">
        <w:t>153.</w:t>
      </w:r>
      <w:r w:rsidRPr="00A0432F">
        <w:tab/>
        <w:t xml:space="preserve">Одним из основных итогов </w:t>
      </w:r>
      <w:r>
        <w:t xml:space="preserve">осуществления </w:t>
      </w:r>
      <w:r w:rsidRPr="00A0432F">
        <w:t xml:space="preserve">программ в области занятости </w:t>
      </w:r>
      <w:r>
        <w:t>стало</w:t>
      </w:r>
      <w:r w:rsidRPr="00A0432F">
        <w:t xml:space="preserve"> создание возможностей для самообеспечения и самозанятости, </w:t>
      </w:r>
      <w:r>
        <w:t xml:space="preserve">и </w:t>
      </w:r>
      <w:r w:rsidRPr="00A0432F">
        <w:t>поэтому некоторые из них были направлены на поддержку деятельности в сельском х</w:t>
      </w:r>
      <w:r w:rsidRPr="00A0432F">
        <w:t>о</w:t>
      </w:r>
      <w:r w:rsidRPr="00A0432F">
        <w:t xml:space="preserve">зяйстве. </w:t>
      </w:r>
      <w:r>
        <w:t>Цель</w:t>
      </w:r>
      <w:r w:rsidRPr="00A0432F">
        <w:t xml:space="preserve"> этих программ заключалась в том, чтобы добиться от людей п</w:t>
      </w:r>
      <w:r w:rsidRPr="00A0432F">
        <w:t>о</w:t>
      </w:r>
      <w:r w:rsidRPr="00A0432F">
        <w:t>нимания</w:t>
      </w:r>
      <w:r>
        <w:t xml:space="preserve"> того</w:t>
      </w:r>
      <w:r w:rsidRPr="00A0432F">
        <w:t>, что, используя имеющиеся на местном уровне ресурсы</w:t>
      </w:r>
      <w:r>
        <w:t>,</w:t>
      </w:r>
      <w:r w:rsidRPr="00A0432F">
        <w:t xml:space="preserve"> землю и рабочую силу, они в состоянии улучшить условия жизни для себя и своих с</w:t>
      </w:r>
      <w:r w:rsidRPr="00A0432F">
        <w:t>е</w:t>
      </w:r>
      <w:r w:rsidRPr="00A0432F">
        <w:t>мей. Финансируемая из отечественных источников социальная программа в о</w:t>
      </w:r>
      <w:r w:rsidRPr="00A0432F">
        <w:t>б</w:t>
      </w:r>
      <w:r w:rsidRPr="00A0432F">
        <w:t>ласти земельных ресурсов в 2011 году охватывала 168 деревень и около 1 800</w:t>
      </w:r>
      <w:r>
        <w:t> </w:t>
      </w:r>
      <w:r w:rsidRPr="00A0432F">
        <w:t xml:space="preserve">находящихся в </w:t>
      </w:r>
      <w:r>
        <w:t>неблагоприятном</w:t>
      </w:r>
      <w:r w:rsidRPr="00A0432F">
        <w:t xml:space="preserve"> положении семей, </w:t>
      </w:r>
      <w:r>
        <w:t xml:space="preserve">из которых </w:t>
      </w:r>
      <w:r w:rsidRPr="00A0432F">
        <w:t xml:space="preserve">примерно половину составляли лица </w:t>
      </w:r>
      <w:r>
        <w:t>из числа</w:t>
      </w:r>
      <w:r w:rsidRPr="00A0432F">
        <w:t xml:space="preserve"> рома. Благодаря участию в программах, н</w:t>
      </w:r>
      <w:r w:rsidRPr="00A0432F">
        <w:t>а</w:t>
      </w:r>
      <w:r w:rsidRPr="00A0432F">
        <w:t>правленных на создание рабочих мест и приобретение профессионального оп</w:t>
      </w:r>
      <w:r w:rsidRPr="00A0432F">
        <w:t>ы</w:t>
      </w:r>
      <w:r w:rsidRPr="00A0432F">
        <w:t xml:space="preserve">та </w:t>
      </w:r>
      <w:r>
        <w:t>им были</w:t>
      </w:r>
      <w:r w:rsidRPr="00A0432F">
        <w:t xml:space="preserve"> обеспечены дополнительны</w:t>
      </w:r>
      <w:r>
        <w:t>е</w:t>
      </w:r>
      <w:r w:rsidRPr="00A0432F">
        <w:t xml:space="preserve"> возможности </w:t>
      </w:r>
      <w:r>
        <w:t xml:space="preserve">для </w:t>
      </w:r>
      <w:r w:rsidRPr="00A0432F">
        <w:t>организации своих малых ферм и общинных ассоциаций. В программах обеспечения занятости приняли участие самые разные организационные структуры, включая местные органы власти, предприятия, НПО, церковные организации и учебные завед</w:t>
      </w:r>
      <w:r w:rsidRPr="00A0432F">
        <w:t>е</w:t>
      </w:r>
      <w:r w:rsidRPr="00A0432F">
        <w:t>ния, а некоторые программы осуществлялись также с участием государстве</w:t>
      </w:r>
      <w:r w:rsidRPr="00A0432F">
        <w:t>н</w:t>
      </w:r>
      <w:r w:rsidRPr="00A0432F">
        <w:t>ных учреждений национального уровня. Данные программы являются средс</w:t>
      </w:r>
      <w:r w:rsidRPr="00A0432F">
        <w:t>т</w:t>
      </w:r>
      <w:r w:rsidRPr="00A0432F">
        <w:t>вом укрепления социальных пре</w:t>
      </w:r>
      <w:r w:rsidRPr="00A0432F">
        <w:t>д</w:t>
      </w:r>
      <w:r w:rsidRPr="00A0432F">
        <w:t>приятий.</w:t>
      </w:r>
    </w:p>
    <w:p w:rsidR="00B81AB5" w:rsidRDefault="00B81AB5" w:rsidP="00B81AB5">
      <w:pPr>
        <w:pStyle w:val="H23GR"/>
      </w:pPr>
      <w:r>
        <w:tab/>
      </w:r>
      <w:r>
        <w:tab/>
        <w:t>Прогресс в жилищной сфере</w:t>
      </w:r>
    </w:p>
    <w:p w:rsidR="00B81AB5" w:rsidRDefault="00B81AB5" w:rsidP="00B81AB5">
      <w:pPr>
        <w:pStyle w:val="SingleTxtGR"/>
      </w:pPr>
      <w:r>
        <w:t>154.</w:t>
      </w:r>
      <w:r>
        <w:tab/>
        <w:t>Один из новых аспектов политики социальной интеграции заключается в признании того, что жилищная проблема групп населения, проживающих в се</w:t>
      </w:r>
      <w:r>
        <w:t>г</w:t>
      </w:r>
      <w:r>
        <w:t>регированной среде, не может быть решена отдельно, а должна решаться в ра</w:t>
      </w:r>
      <w:r>
        <w:t>м</w:t>
      </w:r>
      <w:r>
        <w:t>ках комплексного подхода, дополняемого такими компонентами, как образов</w:t>
      </w:r>
      <w:r>
        <w:t>а</w:t>
      </w:r>
      <w:r>
        <w:t>ние, занятость, здравоохранение и социальное обеспечение. В конце 2011 года</w:t>
      </w:r>
      <w:r w:rsidRPr="00595120">
        <w:t xml:space="preserve"> </w:t>
      </w:r>
      <w:r>
        <w:t>за счет внутренних средств были инициированы экспериментальные проекты в восьми сегрегированных районах, ра</w:t>
      </w:r>
      <w:r>
        <w:t>с</w:t>
      </w:r>
      <w:r>
        <w:t>считанные примерно на 6 000 человек, из которых 87% приходится на р</w:t>
      </w:r>
      <w:r>
        <w:t>о</w:t>
      </w:r>
      <w:r>
        <w:t>ма.</w:t>
      </w:r>
    </w:p>
    <w:p w:rsidR="00B81AB5" w:rsidRDefault="00B81AB5" w:rsidP="00B81AB5">
      <w:pPr>
        <w:pStyle w:val="SingleTxtGR"/>
      </w:pPr>
      <w:r>
        <w:t>155.</w:t>
      </w:r>
      <w:r>
        <w:tab/>
        <w:t>Целевая группа программы включает в себя лиц из числа рома и других лиц, а также их семьи, которые проживают в сегрегированных районах или обособленных общинах и находятся в неблагоприятном положении, создава</w:t>
      </w:r>
      <w:r>
        <w:t>е</w:t>
      </w:r>
      <w:r>
        <w:t>мом множественными факторами, либо имеют низкий уровень образования или устаревшую квалификацию, а поэтому, как правило, испытывают серьезные с</w:t>
      </w:r>
      <w:r>
        <w:t>о</w:t>
      </w:r>
      <w:r>
        <w:t>циальные и финансовые трудности. Кроме того, программа предусматривает обеспечение целых общин услугами, которые помогают вовлекать находящихся в неблагоприятном положении лиц в жизнь общества и способствуют их инт</w:t>
      </w:r>
      <w:r>
        <w:t>е</w:t>
      </w:r>
      <w:r>
        <w:t>грации в жизнь местных о</w:t>
      </w:r>
      <w:r>
        <w:t>б</w:t>
      </w:r>
      <w:r>
        <w:t>щин.</w:t>
      </w:r>
    </w:p>
    <w:p w:rsidR="00B81AB5" w:rsidRDefault="00B81AB5" w:rsidP="00B81AB5">
      <w:pPr>
        <w:pStyle w:val="SingleTxtGR"/>
      </w:pPr>
      <w:r>
        <w:t>156.</w:t>
      </w:r>
      <w:r>
        <w:tab/>
        <w:t>Важно пояснить, что такие проекты в жилищной сфере в первую очередь предназначены для лиц, проживающих в районах совместного проживания ра</w:t>
      </w:r>
      <w:r>
        <w:t>з</w:t>
      </w:r>
      <w:r>
        <w:t>ных групп населения, а для лиц, проживающих на удалении от внутренних ра</w:t>
      </w:r>
      <w:r>
        <w:t>й</w:t>
      </w:r>
      <w:r>
        <w:t>онов сел и городов, будет организована другая пр</w:t>
      </w:r>
      <w:r>
        <w:t>о</w:t>
      </w:r>
      <w:r>
        <w:t>грамма.</w:t>
      </w:r>
    </w:p>
    <w:p w:rsidR="00B81AB5" w:rsidRDefault="00B81AB5" w:rsidP="00B81AB5">
      <w:pPr>
        <w:pStyle w:val="SingleTxtGR"/>
      </w:pPr>
      <w:r>
        <w:t>157.</w:t>
      </w:r>
      <w:r>
        <w:tab/>
        <w:t>Что касается мер, принимаемых в жилищной сфере, то в докладе о ходе работы отмечается, что в феврале 2012 года был объявлен конкурс по програ</w:t>
      </w:r>
      <w:r>
        <w:t>м</w:t>
      </w:r>
      <w:r>
        <w:t>ме комплексных общин с бюджетом 4,68 млрд. форинтов, который финансир</w:t>
      </w:r>
      <w:r>
        <w:t>у</w:t>
      </w:r>
      <w:r>
        <w:t>ется из средств Европе</w:t>
      </w:r>
      <w:r>
        <w:t>й</w:t>
      </w:r>
      <w:r>
        <w:t>ского социального фонда.</w:t>
      </w:r>
    </w:p>
    <w:p w:rsidR="00B81AB5" w:rsidRDefault="00B81AB5" w:rsidP="00B81AB5">
      <w:pPr>
        <w:pStyle w:val="H23GR"/>
      </w:pPr>
      <w:r>
        <w:tab/>
      </w:r>
      <w:r>
        <w:tab/>
        <w:t>Прогресс в сфере здравоохранения</w:t>
      </w:r>
    </w:p>
    <w:p w:rsidR="00B81AB5" w:rsidRDefault="00B81AB5" w:rsidP="00B81AB5">
      <w:pPr>
        <w:pStyle w:val="SingleTxtGR"/>
        <w:rPr>
          <w:szCs w:val="24"/>
        </w:rPr>
      </w:pPr>
      <w:r>
        <w:t>158.</w:t>
      </w:r>
      <w:r>
        <w:tab/>
        <w:t>Одной из первоочередных задач осуществляемых комплексных программ является обеспечение доступа к услугам здравоохранения. Речь идет о фина</w:t>
      </w:r>
      <w:r>
        <w:t>н</w:t>
      </w:r>
      <w:r>
        <w:t xml:space="preserve">сируемых ЕС программах </w:t>
      </w:r>
      <w:r w:rsidRPr="008E4C9A">
        <w:rPr>
          <w:szCs w:val="24"/>
        </w:rPr>
        <w:t>"Biztos Kezdet Gyerekházak"</w:t>
      </w:r>
      <w:r>
        <w:rPr>
          <w:szCs w:val="24"/>
        </w:rPr>
        <w:t xml:space="preserve"> ("Уверенный старт − д</w:t>
      </w:r>
      <w:r>
        <w:rPr>
          <w:szCs w:val="24"/>
        </w:rPr>
        <w:t>о</w:t>
      </w:r>
      <w:r>
        <w:rPr>
          <w:szCs w:val="24"/>
        </w:rPr>
        <w:t>ма для детей"), которые предназначены для родителей и детей самого младшего возраста и предусматривают организацию центров в деревнях и городских ра</w:t>
      </w:r>
      <w:r>
        <w:rPr>
          <w:szCs w:val="24"/>
        </w:rPr>
        <w:t>й</w:t>
      </w:r>
      <w:r>
        <w:rPr>
          <w:szCs w:val="24"/>
        </w:rPr>
        <w:t>онах, где проживают н</w:t>
      </w:r>
      <w:r>
        <w:rPr>
          <w:szCs w:val="24"/>
        </w:rPr>
        <w:t>а</w:t>
      </w:r>
      <w:r>
        <w:rPr>
          <w:szCs w:val="24"/>
        </w:rPr>
        <w:t>ходящиеся в наиболее неблагоприятном положении группы населения (в настоящее время существ</w:t>
      </w:r>
      <w:r>
        <w:rPr>
          <w:szCs w:val="24"/>
        </w:rPr>
        <w:t>у</w:t>
      </w:r>
      <w:r>
        <w:rPr>
          <w:szCs w:val="24"/>
        </w:rPr>
        <w:t>ет 48 таких центров), а также об экспериментальных проектах в восьми сегрегированных ра</w:t>
      </w:r>
      <w:r>
        <w:rPr>
          <w:szCs w:val="24"/>
        </w:rPr>
        <w:t>й</w:t>
      </w:r>
      <w:r>
        <w:rPr>
          <w:szCs w:val="24"/>
        </w:rPr>
        <w:t>онах проживания, осуществление которых началось в 2011 году.</w:t>
      </w:r>
    </w:p>
    <w:p w:rsidR="00B81AB5" w:rsidRDefault="00B81AB5" w:rsidP="00B81AB5">
      <w:pPr>
        <w:pStyle w:val="SingleTxtGR"/>
        <w:rPr>
          <w:szCs w:val="24"/>
        </w:rPr>
      </w:pPr>
      <w:r>
        <w:rPr>
          <w:szCs w:val="24"/>
        </w:rPr>
        <w:t>159.</w:t>
      </w:r>
      <w:r>
        <w:rPr>
          <w:szCs w:val="24"/>
        </w:rPr>
        <w:tab/>
        <w:t>В рамочном соглашении, подписанном между правительством и Наци</w:t>
      </w:r>
      <w:r>
        <w:rPr>
          <w:szCs w:val="24"/>
        </w:rPr>
        <w:t>о</w:t>
      </w:r>
      <w:r>
        <w:rPr>
          <w:szCs w:val="24"/>
        </w:rPr>
        <w:t>нальным органом самоуправления рома в 2011 году, первоочередное внимание уделяется пров</w:t>
      </w:r>
      <w:r>
        <w:rPr>
          <w:szCs w:val="24"/>
        </w:rPr>
        <w:t>е</w:t>
      </w:r>
      <w:r>
        <w:rPr>
          <w:szCs w:val="24"/>
        </w:rPr>
        <w:t>дению медосмотров населения рома. Подготовка к организации таких медосмотров н</w:t>
      </w:r>
      <w:r>
        <w:rPr>
          <w:szCs w:val="24"/>
        </w:rPr>
        <w:t>а</w:t>
      </w:r>
      <w:r>
        <w:rPr>
          <w:szCs w:val="24"/>
        </w:rPr>
        <w:t>чалась в 2011 году, и ими, как ожидается, будут охвачены 150 000 человек.</w:t>
      </w:r>
    </w:p>
    <w:p w:rsidR="00B81AB5" w:rsidRDefault="00B81AB5" w:rsidP="00B81AB5">
      <w:pPr>
        <w:pStyle w:val="H23GR"/>
      </w:pPr>
      <w:r>
        <w:tab/>
      </w:r>
      <w:r>
        <w:tab/>
        <w:t>Специальные меры в интересах девочек и женщин из числа рома, направленные на предоставление услуг здравоохранения на недискриминационной основе</w:t>
      </w:r>
    </w:p>
    <w:p w:rsidR="00B81AB5" w:rsidRDefault="00B81AB5" w:rsidP="00B81AB5">
      <w:pPr>
        <w:pStyle w:val="SingleTxtGR"/>
        <w:rPr>
          <w:szCs w:val="24"/>
        </w:rPr>
      </w:pPr>
      <w:r>
        <w:rPr>
          <w:szCs w:val="24"/>
        </w:rPr>
        <w:t>160.</w:t>
      </w:r>
      <w:r>
        <w:rPr>
          <w:szCs w:val="24"/>
        </w:rPr>
        <w:tab/>
        <w:t>Одной из наиболее серьезных проблем в области здравоохранения явл</w:t>
      </w:r>
      <w:r>
        <w:rPr>
          <w:szCs w:val="24"/>
        </w:rPr>
        <w:t>я</w:t>
      </w:r>
      <w:r>
        <w:rPr>
          <w:szCs w:val="24"/>
        </w:rPr>
        <w:t>ется проблема самоидентификации и заявлений о принадлежности к рома и в</w:t>
      </w:r>
      <w:r>
        <w:rPr>
          <w:szCs w:val="24"/>
        </w:rPr>
        <w:t>о</w:t>
      </w:r>
      <w:r>
        <w:rPr>
          <w:szCs w:val="24"/>
        </w:rPr>
        <w:t>прос о том, является ли необходимым, целесообразным и возможным охват ц</w:t>
      </w:r>
      <w:r>
        <w:rPr>
          <w:szCs w:val="24"/>
        </w:rPr>
        <w:t>е</w:t>
      </w:r>
      <w:r>
        <w:rPr>
          <w:szCs w:val="24"/>
        </w:rPr>
        <w:t>левых групп (в рамках программ позитивно</w:t>
      </w:r>
      <w:r w:rsidR="003B41BC">
        <w:rPr>
          <w:szCs w:val="24"/>
        </w:rPr>
        <w:t>й дискриминации или сегрегации)</w:t>
      </w:r>
      <w:r w:rsidR="003B41BC">
        <w:rPr>
          <w:szCs w:val="24"/>
        </w:rPr>
        <w:br/>
      </w:r>
      <w:r>
        <w:rPr>
          <w:szCs w:val="24"/>
        </w:rPr>
        <w:t>в некоторых документах в сфере здравоохранения − как с точки зрения права, так и на практике (и как это лучше д</w:t>
      </w:r>
      <w:r>
        <w:rPr>
          <w:szCs w:val="24"/>
        </w:rPr>
        <w:t>е</w:t>
      </w:r>
      <w:r>
        <w:rPr>
          <w:szCs w:val="24"/>
        </w:rPr>
        <w:t>лать).</w:t>
      </w:r>
    </w:p>
    <w:p w:rsidR="00B81AB5" w:rsidRDefault="00B81AB5" w:rsidP="00B81AB5">
      <w:pPr>
        <w:pStyle w:val="SingleTxtGR"/>
        <w:rPr>
          <w:szCs w:val="24"/>
        </w:rPr>
      </w:pPr>
      <w:r>
        <w:rPr>
          <w:szCs w:val="24"/>
        </w:rPr>
        <w:t>161.</w:t>
      </w:r>
      <w:r>
        <w:rPr>
          <w:szCs w:val="24"/>
        </w:rPr>
        <w:tab/>
        <w:t>В сфере здравоохранения в Венгрии гарантирован широкий круг прав ч</w:t>
      </w:r>
      <w:r>
        <w:rPr>
          <w:szCs w:val="24"/>
        </w:rPr>
        <w:t>е</w:t>
      </w:r>
      <w:r>
        <w:rPr>
          <w:szCs w:val="24"/>
        </w:rPr>
        <w:t>ловека. В соответствии с основополагающими положениями Конституции З</w:t>
      </w:r>
      <w:r>
        <w:rPr>
          <w:szCs w:val="24"/>
        </w:rPr>
        <w:t>а</w:t>
      </w:r>
      <w:r>
        <w:rPr>
          <w:szCs w:val="24"/>
        </w:rPr>
        <w:t xml:space="preserve">кон </w:t>
      </w:r>
      <w:r>
        <w:rPr>
          <w:szCs w:val="24"/>
          <w:lang w:val="en-US"/>
        </w:rPr>
        <w:t>CLIV</w:t>
      </w:r>
      <w:r>
        <w:rPr>
          <w:szCs w:val="24"/>
        </w:rPr>
        <w:t xml:space="preserve"> 1997 года о здравоохранении направлен на решение первоочередной задачи создания системы здравоохранения, в которой каждый пациент может сохранять свое человеческое достоинство и самобытность и в которой обесп</w:t>
      </w:r>
      <w:r>
        <w:rPr>
          <w:szCs w:val="24"/>
        </w:rPr>
        <w:t>е</w:t>
      </w:r>
      <w:r>
        <w:rPr>
          <w:szCs w:val="24"/>
        </w:rPr>
        <w:t>чивается соблюдение как права на самоопределение, так и всех других прав ч</w:t>
      </w:r>
      <w:r>
        <w:rPr>
          <w:szCs w:val="24"/>
        </w:rPr>
        <w:t>е</w:t>
      </w:r>
      <w:r>
        <w:rPr>
          <w:szCs w:val="24"/>
        </w:rPr>
        <w:t>ловека. В качестве основополагающего принципа Закон предусматривает защ</w:t>
      </w:r>
      <w:r>
        <w:rPr>
          <w:szCs w:val="24"/>
        </w:rPr>
        <w:t>и</w:t>
      </w:r>
      <w:r>
        <w:rPr>
          <w:szCs w:val="24"/>
        </w:rPr>
        <w:t>ту прав пациентов и соблюдение требования относительно обеспечения равных возможностей с учетом соответствующих правозащитных норм и междунаро</w:t>
      </w:r>
      <w:r>
        <w:rPr>
          <w:szCs w:val="24"/>
        </w:rPr>
        <w:t>д</w:t>
      </w:r>
      <w:r>
        <w:rPr>
          <w:szCs w:val="24"/>
        </w:rPr>
        <w:t>ных рекомендаций со стороны ВОЗ. При разработке этого законодательства о</w:t>
      </w:r>
      <w:r>
        <w:rPr>
          <w:szCs w:val="24"/>
        </w:rPr>
        <w:t>б</w:t>
      </w:r>
      <w:r>
        <w:rPr>
          <w:szCs w:val="24"/>
        </w:rPr>
        <w:t>разцами для введения единых принципов в законодательстве, касающемся прав пациентов и основанном на праве человека на самоопределение, служили о</w:t>
      </w:r>
      <w:r>
        <w:rPr>
          <w:szCs w:val="24"/>
        </w:rPr>
        <w:t>с</w:t>
      </w:r>
      <w:r>
        <w:rPr>
          <w:szCs w:val="24"/>
        </w:rPr>
        <w:t>новные международные д</w:t>
      </w:r>
      <w:r>
        <w:rPr>
          <w:szCs w:val="24"/>
        </w:rPr>
        <w:t>о</w:t>
      </w:r>
      <w:r>
        <w:rPr>
          <w:szCs w:val="24"/>
        </w:rPr>
        <w:t xml:space="preserve">кументы и принципы. </w:t>
      </w:r>
    </w:p>
    <w:p w:rsidR="00B81AB5" w:rsidRDefault="00B81AB5" w:rsidP="00B81AB5">
      <w:pPr>
        <w:pStyle w:val="H23GR"/>
      </w:pPr>
      <w:r>
        <w:tab/>
      </w:r>
      <w:r>
        <w:tab/>
        <w:t xml:space="preserve">Закон </w:t>
      </w:r>
      <w:r>
        <w:rPr>
          <w:lang w:val="en-US"/>
        </w:rPr>
        <w:t>CLIV</w:t>
      </w:r>
      <w:r>
        <w:t xml:space="preserve"> 1997 года о здравоохранении</w:t>
      </w:r>
    </w:p>
    <w:p w:rsidR="00B81AB5" w:rsidRDefault="00B81AB5" w:rsidP="00B81AB5">
      <w:pPr>
        <w:pStyle w:val="SingleTxtGR"/>
        <w:rPr>
          <w:szCs w:val="24"/>
        </w:rPr>
      </w:pPr>
      <w:r>
        <w:rPr>
          <w:szCs w:val="24"/>
        </w:rPr>
        <w:tab/>
        <w:t>"Статья 2</w:t>
      </w:r>
    </w:p>
    <w:p w:rsidR="00B81AB5" w:rsidRDefault="00B81AB5" w:rsidP="00B81AB5">
      <w:pPr>
        <w:pStyle w:val="SingleTxtGR"/>
        <w:ind w:left="1701" w:hanging="567"/>
        <w:rPr>
          <w:szCs w:val="24"/>
        </w:rPr>
      </w:pPr>
      <w:r>
        <w:rPr>
          <w:szCs w:val="24"/>
        </w:rPr>
        <w:tab/>
        <w:t>1)</w:t>
      </w:r>
      <w:r>
        <w:rPr>
          <w:szCs w:val="24"/>
        </w:rPr>
        <w:tab/>
        <w:t>При оказании услуг и проведении мероприятий в сфере здрав</w:t>
      </w:r>
      <w:r>
        <w:rPr>
          <w:szCs w:val="24"/>
        </w:rPr>
        <w:t>о</w:t>
      </w:r>
      <w:r>
        <w:rPr>
          <w:szCs w:val="24"/>
        </w:rPr>
        <w:t>охранения права пациента должны защищаться. Любое ограничение ли</w:t>
      </w:r>
      <w:r>
        <w:rPr>
          <w:szCs w:val="24"/>
        </w:rPr>
        <w:t>ч</w:t>
      </w:r>
      <w:r>
        <w:rPr>
          <w:szCs w:val="24"/>
        </w:rPr>
        <w:t>ной свободы пациентов и их права на самоопределение может вводиться только в том случае, когда оно оправдано состоянием их здоровья в ко</w:t>
      </w:r>
      <w:r>
        <w:rPr>
          <w:szCs w:val="24"/>
        </w:rPr>
        <w:t>н</w:t>
      </w:r>
      <w:r>
        <w:rPr>
          <w:szCs w:val="24"/>
        </w:rPr>
        <w:t>кретных случаях и в порядке, установленном в настоящем Зак</w:t>
      </w:r>
      <w:r>
        <w:rPr>
          <w:szCs w:val="24"/>
        </w:rPr>
        <w:t>о</w:t>
      </w:r>
      <w:r>
        <w:rPr>
          <w:szCs w:val="24"/>
        </w:rPr>
        <w:t>не.</w:t>
      </w:r>
    </w:p>
    <w:p w:rsidR="00B81AB5" w:rsidRDefault="00B81AB5" w:rsidP="00B81AB5">
      <w:pPr>
        <w:pStyle w:val="SingleTxtGR"/>
        <w:ind w:left="1701" w:hanging="567"/>
        <w:rPr>
          <w:szCs w:val="24"/>
        </w:rPr>
      </w:pPr>
      <w:r>
        <w:rPr>
          <w:szCs w:val="24"/>
        </w:rPr>
        <w:tab/>
        <w:t>2)</w:t>
      </w:r>
      <w:r>
        <w:rPr>
          <w:szCs w:val="24"/>
        </w:rPr>
        <w:tab/>
        <w:t>При пользовании медицинскими услугами должно обеспечиваться право на равенство во</w:t>
      </w:r>
      <w:r>
        <w:rPr>
          <w:szCs w:val="24"/>
        </w:rPr>
        <w:t>з</w:t>
      </w:r>
      <w:r>
        <w:rPr>
          <w:szCs w:val="24"/>
        </w:rPr>
        <w:t>можностей".</w:t>
      </w:r>
    </w:p>
    <w:p w:rsidR="00B81AB5" w:rsidRDefault="00B81AB5" w:rsidP="00B81AB5">
      <w:pPr>
        <w:pStyle w:val="H23GR"/>
      </w:pPr>
      <w:r>
        <w:tab/>
      </w:r>
      <w:r>
        <w:tab/>
        <w:t>Меры, принимаемые в связи с проблемой беременностей в раннем возрасте среди девушек рома</w:t>
      </w:r>
    </w:p>
    <w:p w:rsidR="00B81AB5" w:rsidRDefault="00B81AB5" w:rsidP="00B81AB5">
      <w:pPr>
        <w:pStyle w:val="SingleTxtGR"/>
        <w:rPr>
          <w:szCs w:val="24"/>
        </w:rPr>
      </w:pPr>
      <w:r>
        <w:rPr>
          <w:szCs w:val="24"/>
        </w:rPr>
        <w:t>162.</w:t>
      </w:r>
      <w:r>
        <w:rPr>
          <w:szCs w:val="24"/>
        </w:rPr>
        <w:tab/>
        <w:t>Ниже излагаются меры, принятые в связи с проблемой беременностей в раннем возрасте среди д</w:t>
      </w:r>
      <w:r>
        <w:rPr>
          <w:szCs w:val="24"/>
        </w:rPr>
        <w:t>е</w:t>
      </w:r>
      <w:r>
        <w:rPr>
          <w:szCs w:val="24"/>
        </w:rPr>
        <w:t>вушек рома:</w:t>
      </w:r>
    </w:p>
    <w:p w:rsidR="00B81AB5" w:rsidRDefault="00B81AB5" w:rsidP="00B81AB5">
      <w:pPr>
        <w:pStyle w:val="Bullet1GR"/>
        <w:numPr>
          <w:ilvl w:val="0"/>
          <w:numId w:val="1"/>
        </w:numPr>
      </w:pPr>
      <w:r>
        <w:t>Одной из первоочередных задач районных медсестер по охране семьи я</w:t>
      </w:r>
      <w:r>
        <w:t>в</w:t>
      </w:r>
      <w:r>
        <w:t>ляется планирование семьи.</w:t>
      </w:r>
    </w:p>
    <w:p w:rsidR="00B81AB5" w:rsidRDefault="00B81AB5" w:rsidP="00B81AB5">
      <w:pPr>
        <w:pStyle w:val="Bullet1GR"/>
        <w:numPr>
          <w:ilvl w:val="0"/>
          <w:numId w:val="1"/>
        </w:numPr>
      </w:pPr>
      <w:r>
        <w:t>Согласно новому закону о государственном образовании в каждый из преподаваемых предметов включается компонент здорового образа жи</w:t>
      </w:r>
      <w:r>
        <w:t>з</w:t>
      </w:r>
      <w:r>
        <w:t>ни.</w:t>
      </w:r>
    </w:p>
    <w:p w:rsidR="00B81AB5" w:rsidRDefault="00B81AB5" w:rsidP="00B81AB5">
      <w:pPr>
        <w:pStyle w:val="SingleTxtGR"/>
        <w:rPr>
          <w:szCs w:val="24"/>
        </w:rPr>
      </w:pPr>
      <w:r>
        <w:rPr>
          <w:szCs w:val="24"/>
        </w:rPr>
        <w:t>(См. приложение 8)</w:t>
      </w:r>
    </w:p>
    <w:p w:rsidR="00B81AB5" w:rsidRDefault="00B81AB5" w:rsidP="00B81AB5">
      <w:pPr>
        <w:pStyle w:val="H23GR"/>
      </w:pPr>
      <w:r>
        <w:tab/>
      </w:r>
      <w:r>
        <w:tab/>
        <w:t>Ответ на вопросы, поставленные в пункте 19 перечня вопросов</w:t>
      </w:r>
    </w:p>
    <w:p w:rsidR="00B81AB5" w:rsidRDefault="00B81AB5" w:rsidP="00B81AB5">
      <w:pPr>
        <w:pStyle w:val="SingleTxtGR"/>
        <w:rPr>
          <w:szCs w:val="24"/>
        </w:rPr>
      </w:pPr>
      <w:r>
        <w:rPr>
          <w:szCs w:val="24"/>
        </w:rPr>
        <w:t>163.</w:t>
      </w:r>
      <w:r>
        <w:rPr>
          <w:szCs w:val="24"/>
        </w:rPr>
        <w:tab/>
        <w:t>При решении задач, касающихся инвалидов, содействие правительству оказывает Национальный совет по делам инвалидов (ОФТ). Совет осуществл</w:t>
      </w:r>
      <w:r>
        <w:rPr>
          <w:szCs w:val="24"/>
        </w:rPr>
        <w:t>я</w:t>
      </w:r>
      <w:r>
        <w:rPr>
          <w:szCs w:val="24"/>
        </w:rPr>
        <w:t>ет деятельность, связанную с реализацией инициатив, рекомендаций, учетом мнений и координацией процесса принятия решений в отношении инвалидов, проводит анализ и оценку пров</w:t>
      </w:r>
      <w:r>
        <w:rPr>
          <w:szCs w:val="24"/>
        </w:rPr>
        <w:t>е</w:t>
      </w:r>
      <w:r>
        <w:rPr>
          <w:szCs w:val="24"/>
        </w:rPr>
        <w:t>дения соответствующих решений в жизнь.</w:t>
      </w:r>
    </w:p>
    <w:p w:rsidR="00B81AB5" w:rsidRDefault="00B81AB5" w:rsidP="00B81AB5">
      <w:pPr>
        <w:pStyle w:val="SingleTxtGR"/>
        <w:rPr>
          <w:szCs w:val="24"/>
        </w:rPr>
      </w:pPr>
      <w:r>
        <w:rPr>
          <w:szCs w:val="24"/>
        </w:rPr>
        <w:t>164.</w:t>
      </w:r>
      <w:r>
        <w:rPr>
          <w:szCs w:val="24"/>
        </w:rPr>
        <w:tab/>
        <w:t>Совет выносит свои заключения по законопроектам, затрагивающим и</w:t>
      </w:r>
      <w:r>
        <w:rPr>
          <w:szCs w:val="24"/>
        </w:rPr>
        <w:t>н</w:t>
      </w:r>
      <w:r>
        <w:rPr>
          <w:szCs w:val="24"/>
        </w:rPr>
        <w:t>тересы и</w:t>
      </w:r>
      <w:r>
        <w:rPr>
          <w:szCs w:val="24"/>
        </w:rPr>
        <w:t>н</w:t>
      </w:r>
      <w:r>
        <w:rPr>
          <w:szCs w:val="24"/>
        </w:rPr>
        <w:t>валидов, выносит рекомендации в связи с решениями, программами и законодательс</w:t>
      </w:r>
      <w:r>
        <w:rPr>
          <w:szCs w:val="24"/>
        </w:rPr>
        <w:t>т</w:t>
      </w:r>
      <w:r>
        <w:rPr>
          <w:szCs w:val="24"/>
        </w:rPr>
        <w:t>вом, затрагивающими интересы инвалидов, принимает участие в координации мероприятий, относящихся к делам инвалидов, а также информ</w:t>
      </w:r>
      <w:r>
        <w:rPr>
          <w:szCs w:val="24"/>
        </w:rPr>
        <w:t>и</w:t>
      </w:r>
      <w:r>
        <w:rPr>
          <w:szCs w:val="24"/>
        </w:rPr>
        <w:t>рует правительство о положении инвалидов. Совет разрабатывает также Н</w:t>
      </w:r>
      <w:r>
        <w:rPr>
          <w:szCs w:val="24"/>
        </w:rPr>
        <w:t>а</w:t>
      </w:r>
      <w:r>
        <w:rPr>
          <w:szCs w:val="24"/>
        </w:rPr>
        <w:t>циональную программу по инвалидности и контр</w:t>
      </w:r>
      <w:r>
        <w:rPr>
          <w:szCs w:val="24"/>
        </w:rPr>
        <w:t>о</w:t>
      </w:r>
      <w:r>
        <w:rPr>
          <w:szCs w:val="24"/>
        </w:rPr>
        <w:t xml:space="preserve">лирует ее осуществление. </w:t>
      </w:r>
    </w:p>
    <w:p w:rsidR="00B81AB5" w:rsidRDefault="00B81AB5" w:rsidP="00B81AB5">
      <w:pPr>
        <w:pStyle w:val="SingleTxtGR"/>
        <w:rPr>
          <w:szCs w:val="24"/>
        </w:rPr>
      </w:pPr>
      <w:r>
        <w:rPr>
          <w:szCs w:val="24"/>
        </w:rPr>
        <w:t>165.</w:t>
      </w:r>
      <w:r>
        <w:rPr>
          <w:szCs w:val="24"/>
        </w:rPr>
        <w:tab/>
        <w:t>Национальный совет по делам инвалидов имеет право возбуждать иски против лиц, нарушающих права, гарантированные инвалидам законом, в целях реализации прав инвалидов даже в тех случаях, когда нарушение было допущ</w:t>
      </w:r>
      <w:r>
        <w:rPr>
          <w:szCs w:val="24"/>
        </w:rPr>
        <w:t>е</w:t>
      </w:r>
      <w:r>
        <w:rPr>
          <w:szCs w:val="24"/>
        </w:rPr>
        <w:t>но в отношении человека, об инвалидности которого не было известно, или в отношении группы лиц.</w:t>
      </w:r>
    </w:p>
    <w:p w:rsidR="00B81AB5" w:rsidRDefault="00B81AB5" w:rsidP="00B81AB5">
      <w:pPr>
        <w:pStyle w:val="SingleTxtGR"/>
        <w:rPr>
          <w:szCs w:val="24"/>
        </w:rPr>
      </w:pPr>
      <w:r>
        <w:rPr>
          <w:szCs w:val="24"/>
        </w:rPr>
        <w:t>166.</w:t>
      </w:r>
      <w:r>
        <w:rPr>
          <w:szCs w:val="24"/>
        </w:rPr>
        <w:tab/>
        <w:t>В составе Национального совета по делам инвалидов имеются два ко</w:t>
      </w:r>
      <w:r>
        <w:rPr>
          <w:szCs w:val="24"/>
        </w:rPr>
        <w:t>м</w:t>
      </w:r>
      <w:r>
        <w:rPr>
          <w:szCs w:val="24"/>
        </w:rPr>
        <w:t>понента: правительственный и неправительственный. Неправительственный компонент также подразделяется на две части: в одну из них входят НПО, я</w:t>
      </w:r>
      <w:r>
        <w:rPr>
          <w:szCs w:val="24"/>
        </w:rPr>
        <w:t>в</w:t>
      </w:r>
      <w:r>
        <w:rPr>
          <w:szCs w:val="24"/>
        </w:rPr>
        <w:t>ляющиеся постоянными членами Совета, которые представляют группы инт</w:t>
      </w:r>
      <w:r>
        <w:rPr>
          <w:szCs w:val="24"/>
        </w:rPr>
        <w:t>е</w:t>
      </w:r>
      <w:r>
        <w:rPr>
          <w:szCs w:val="24"/>
        </w:rPr>
        <w:t>ресов по основным видам инв</w:t>
      </w:r>
      <w:r>
        <w:rPr>
          <w:szCs w:val="24"/>
        </w:rPr>
        <w:t>а</w:t>
      </w:r>
      <w:r>
        <w:rPr>
          <w:szCs w:val="24"/>
        </w:rPr>
        <w:t>лидности, а вторая часть состоит из избираемых неправительственных представителей. Последние уполномочены участвовать в заседаниях, проводимых в соответствии с законодательством, причем данные места могут занимать только представители связанных с вопросами инвалидн</w:t>
      </w:r>
      <w:r>
        <w:rPr>
          <w:szCs w:val="24"/>
        </w:rPr>
        <w:t>о</w:t>
      </w:r>
      <w:r>
        <w:rPr>
          <w:szCs w:val="24"/>
        </w:rPr>
        <w:t>сти НПО, которые не имеют постоянного места в Совете. Иными словами, т</w:t>
      </w:r>
      <w:r>
        <w:rPr>
          <w:szCs w:val="24"/>
        </w:rPr>
        <w:t>а</w:t>
      </w:r>
      <w:r>
        <w:rPr>
          <w:szCs w:val="24"/>
        </w:rPr>
        <w:t>ких членов Совета избирают сами НПО. Не представляющие прав</w:t>
      </w:r>
      <w:r>
        <w:rPr>
          <w:szCs w:val="24"/>
        </w:rPr>
        <w:t>и</w:t>
      </w:r>
      <w:r>
        <w:rPr>
          <w:szCs w:val="24"/>
        </w:rPr>
        <w:t>тельство члены Совета − это семь мужчин и шесть женщин, а правительство предста</w:t>
      </w:r>
      <w:r>
        <w:rPr>
          <w:szCs w:val="24"/>
        </w:rPr>
        <w:t>в</w:t>
      </w:r>
      <w:r>
        <w:rPr>
          <w:szCs w:val="24"/>
        </w:rPr>
        <w:t>ляют семь му</w:t>
      </w:r>
      <w:r>
        <w:rPr>
          <w:szCs w:val="24"/>
        </w:rPr>
        <w:t>ж</w:t>
      </w:r>
      <w:r>
        <w:rPr>
          <w:szCs w:val="24"/>
        </w:rPr>
        <w:t>чин и пять женщин, работающих в данной сфере.</w:t>
      </w:r>
    </w:p>
    <w:p w:rsidR="00B81AB5" w:rsidRDefault="00B81AB5" w:rsidP="00B81AB5">
      <w:pPr>
        <w:pStyle w:val="SingleTxtGR"/>
        <w:rPr>
          <w:szCs w:val="24"/>
        </w:rPr>
      </w:pPr>
      <w:r>
        <w:rPr>
          <w:szCs w:val="24"/>
        </w:rPr>
        <w:t>167.</w:t>
      </w:r>
      <w:r>
        <w:rPr>
          <w:szCs w:val="24"/>
        </w:rPr>
        <w:tab/>
        <w:t>Венгрия была первой страной, ратифицировавшей Конвенцию Организ</w:t>
      </w:r>
      <w:r>
        <w:rPr>
          <w:szCs w:val="24"/>
        </w:rPr>
        <w:t>а</w:t>
      </w:r>
      <w:r>
        <w:rPr>
          <w:szCs w:val="24"/>
        </w:rPr>
        <w:t xml:space="preserve">ции Объединенных Наций о правах инвалидов и Факультативный протокол к ней (Закон </w:t>
      </w:r>
      <w:r>
        <w:rPr>
          <w:szCs w:val="24"/>
          <w:lang w:val="en-US"/>
        </w:rPr>
        <w:t>XCII</w:t>
      </w:r>
      <w:r>
        <w:rPr>
          <w:szCs w:val="24"/>
        </w:rPr>
        <w:t xml:space="preserve"> 2007 года). Статья 6 Конвенции посвящена женщинам-инвалидам. Еще до ратифик</w:t>
      </w:r>
      <w:r>
        <w:rPr>
          <w:szCs w:val="24"/>
        </w:rPr>
        <w:t>а</w:t>
      </w:r>
      <w:r>
        <w:rPr>
          <w:szCs w:val="24"/>
        </w:rPr>
        <w:t>ции Конвенции и придания ей силы национального закона, в 1998 году, Венгрия приняла Закон о правах и гарантиях равных во</w:t>
      </w:r>
      <w:r>
        <w:rPr>
          <w:szCs w:val="24"/>
        </w:rPr>
        <w:t>з</w:t>
      </w:r>
      <w:r>
        <w:rPr>
          <w:szCs w:val="24"/>
        </w:rPr>
        <w:t>можностей для инвалидов. Эти два основополагающих закона по вопросам и</w:t>
      </w:r>
      <w:r>
        <w:rPr>
          <w:szCs w:val="24"/>
        </w:rPr>
        <w:t>н</w:t>
      </w:r>
      <w:r>
        <w:rPr>
          <w:szCs w:val="24"/>
        </w:rPr>
        <w:t>валидности и другие законы и правовые положения, основанные на них и сущ</w:t>
      </w:r>
      <w:r>
        <w:rPr>
          <w:szCs w:val="24"/>
        </w:rPr>
        <w:t>е</w:t>
      </w:r>
      <w:r>
        <w:rPr>
          <w:szCs w:val="24"/>
        </w:rPr>
        <w:t>ствующие по всей системе законодательства, обеспечивают реализацию прав инвалидов, включая женщин, молодежь и детей, а также гарантируют равенство возможностей. В соответствии с законом о равенстве возможностей гендерная прина</w:t>
      </w:r>
      <w:r>
        <w:rPr>
          <w:szCs w:val="24"/>
        </w:rPr>
        <w:t>д</w:t>
      </w:r>
      <w:r>
        <w:rPr>
          <w:szCs w:val="24"/>
        </w:rPr>
        <w:t>лежность лиц относится к категории защищенной информации.</w:t>
      </w:r>
    </w:p>
    <w:p w:rsidR="00B81AB5" w:rsidRDefault="00B81AB5" w:rsidP="00B81AB5">
      <w:pPr>
        <w:pStyle w:val="SingleTxtGR"/>
        <w:rPr>
          <w:szCs w:val="24"/>
        </w:rPr>
      </w:pPr>
      <w:r>
        <w:rPr>
          <w:szCs w:val="24"/>
        </w:rPr>
        <w:t>168.</w:t>
      </w:r>
      <w:r>
        <w:rPr>
          <w:szCs w:val="24"/>
        </w:rPr>
        <w:tab/>
        <w:t xml:space="preserve">По сравнению с ранее действовавшей Конституцией в новом Основном законе содержится новаторская статья </w:t>
      </w:r>
      <w:r>
        <w:rPr>
          <w:szCs w:val="24"/>
          <w:lang w:val="en-US"/>
        </w:rPr>
        <w:t>XV</w:t>
      </w:r>
      <w:r>
        <w:rPr>
          <w:szCs w:val="24"/>
        </w:rPr>
        <w:t>, которая прямо устанавливает, что в число лиц, в о</w:t>
      </w:r>
      <w:r>
        <w:rPr>
          <w:szCs w:val="24"/>
        </w:rPr>
        <w:t>т</w:t>
      </w:r>
      <w:r>
        <w:rPr>
          <w:szCs w:val="24"/>
        </w:rPr>
        <w:t>ношении которых введен запрет негативной дискриминации, входят инвалиды, а также гласит, что наряду с мерами защиты женщин, детей и престарелых в Венгрии испол</w:t>
      </w:r>
      <w:r>
        <w:rPr>
          <w:szCs w:val="24"/>
        </w:rPr>
        <w:t>ь</w:t>
      </w:r>
      <w:r>
        <w:rPr>
          <w:szCs w:val="24"/>
        </w:rPr>
        <w:t>зуются специальные меры защиты инвалидов.</w:t>
      </w:r>
    </w:p>
    <w:p w:rsidR="00B81AB5" w:rsidRPr="00F212A8" w:rsidRDefault="00B81AB5" w:rsidP="00B81AB5">
      <w:pPr>
        <w:pStyle w:val="SingleTxtGR"/>
        <w:rPr>
          <w:szCs w:val="24"/>
        </w:rPr>
      </w:pPr>
      <w:r>
        <w:rPr>
          <w:szCs w:val="24"/>
        </w:rPr>
        <w:t>169.</w:t>
      </w:r>
      <w:r>
        <w:rPr>
          <w:szCs w:val="24"/>
        </w:rPr>
        <w:tab/>
        <w:t>В законе об образовании излагаются общие нормы, регулирующие режим детей и учащихся − инвалидов, а также содержатся требования о предоставл</w:t>
      </w:r>
      <w:r>
        <w:rPr>
          <w:szCs w:val="24"/>
        </w:rPr>
        <w:t>е</w:t>
      </w:r>
      <w:r>
        <w:rPr>
          <w:szCs w:val="24"/>
        </w:rPr>
        <w:t>нии преференциальных прав, включая обязанность педагогов обеспечивать р</w:t>
      </w:r>
      <w:r>
        <w:rPr>
          <w:szCs w:val="24"/>
        </w:rPr>
        <w:t>а</w:t>
      </w:r>
      <w:r>
        <w:rPr>
          <w:szCs w:val="24"/>
        </w:rPr>
        <w:t>венство между дет</w:t>
      </w:r>
      <w:r>
        <w:rPr>
          <w:szCs w:val="24"/>
        </w:rPr>
        <w:t>ь</w:t>
      </w:r>
      <w:r>
        <w:rPr>
          <w:szCs w:val="24"/>
        </w:rPr>
        <w:t>ми-инвалидами и другими детьми, в том числе их равенство как человеческих личн</w:t>
      </w:r>
      <w:r>
        <w:rPr>
          <w:szCs w:val="24"/>
        </w:rPr>
        <w:t>о</w:t>
      </w:r>
      <w:r>
        <w:rPr>
          <w:szCs w:val="24"/>
        </w:rPr>
        <w:t>стей. При расчете среднего размера групп и классов принимается во внимание наличие д</w:t>
      </w:r>
      <w:r>
        <w:rPr>
          <w:szCs w:val="24"/>
        </w:rPr>
        <w:t>е</w:t>
      </w:r>
      <w:r>
        <w:rPr>
          <w:szCs w:val="24"/>
        </w:rPr>
        <w:t>тей и учащихся с особыми потребностями в плане обучения в зависимости от вида инвалидности: каждый из них засч</w:t>
      </w:r>
      <w:r>
        <w:rPr>
          <w:szCs w:val="24"/>
        </w:rPr>
        <w:t>и</w:t>
      </w:r>
      <w:r>
        <w:rPr>
          <w:szCs w:val="24"/>
        </w:rPr>
        <w:t>тывается как два или три человека; поэтому максимальный размер отдельных классов для них − от 7 до 15 учащихся, а в случае совместного обучения пр</w:t>
      </w:r>
      <w:r>
        <w:rPr>
          <w:szCs w:val="24"/>
        </w:rPr>
        <w:t>и</w:t>
      </w:r>
      <w:r>
        <w:rPr>
          <w:szCs w:val="24"/>
        </w:rPr>
        <w:t>меняется к</w:t>
      </w:r>
      <w:r>
        <w:rPr>
          <w:szCs w:val="24"/>
        </w:rPr>
        <w:t>о</w:t>
      </w:r>
      <w:r>
        <w:rPr>
          <w:szCs w:val="24"/>
        </w:rPr>
        <w:t xml:space="preserve">эффициент, также обеспечивающий меньший размер классов. </w:t>
      </w:r>
    </w:p>
    <w:p w:rsidR="00B81AB5" w:rsidRDefault="00B81AB5" w:rsidP="00B81AB5">
      <w:pPr>
        <w:pStyle w:val="SingleTxtGR"/>
      </w:pPr>
      <w:r w:rsidRPr="005804DE">
        <w:t>17</w:t>
      </w:r>
      <w:r>
        <w:t>0</w:t>
      </w:r>
      <w:r w:rsidRPr="005804DE">
        <w:t>.</w:t>
      </w:r>
      <w:r>
        <w:tab/>
        <w:t>На экзаменах −</w:t>
      </w:r>
      <w:r w:rsidRPr="005804DE">
        <w:t xml:space="preserve"> </w:t>
      </w:r>
      <w:r>
        <w:t>в том числе на выпускных экзаменах в средней школе</w:t>
      </w:r>
      <w:r w:rsidRPr="005804DE">
        <w:t xml:space="preserve"> </w:t>
      </w:r>
      <w:r>
        <w:t>−</w:t>
      </w:r>
      <w:r w:rsidRPr="005804DE">
        <w:t xml:space="preserve"> уча</w:t>
      </w:r>
      <w:r>
        <w:t>щие</w:t>
      </w:r>
      <w:r w:rsidRPr="005804DE">
        <w:t xml:space="preserve">ся с особыми потребностями имеют право на более </w:t>
      </w:r>
      <w:r>
        <w:t xml:space="preserve">долгий период </w:t>
      </w:r>
      <w:r w:rsidRPr="005804DE">
        <w:t>по</w:t>
      </w:r>
      <w:r w:rsidRPr="005804DE">
        <w:t>д</w:t>
      </w:r>
      <w:r w:rsidRPr="005804DE">
        <w:t>готовки, в дополнение</w:t>
      </w:r>
      <w:r>
        <w:t xml:space="preserve"> </w:t>
      </w:r>
      <w:r w:rsidRPr="005804DE">
        <w:t>к</w:t>
      </w:r>
      <w:r>
        <w:t xml:space="preserve"> чему им </w:t>
      </w:r>
      <w:r w:rsidRPr="005804DE">
        <w:t xml:space="preserve">должны быть </w:t>
      </w:r>
      <w:r>
        <w:t xml:space="preserve">обеспечены соответствующие условия, включая </w:t>
      </w:r>
      <w:r w:rsidRPr="005804DE">
        <w:t>вспомога</w:t>
      </w:r>
      <w:r>
        <w:t>тельное оборудование</w:t>
      </w:r>
      <w:r w:rsidRPr="005804DE">
        <w:t xml:space="preserve"> (например, пишу</w:t>
      </w:r>
      <w:r>
        <w:t>щая</w:t>
      </w:r>
      <w:r w:rsidRPr="005804DE">
        <w:t xml:space="preserve"> маши</w:t>
      </w:r>
      <w:r w:rsidRPr="005804DE">
        <w:t>н</w:t>
      </w:r>
      <w:r>
        <w:t>ка</w:t>
      </w:r>
      <w:r w:rsidRPr="005804DE">
        <w:t>, компьютер</w:t>
      </w:r>
      <w:r>
        <w:t xml:space="preserve"> и т.п.</w:t>
      </w:r>
      <w:r w:rsidRPr="005804DE">
        <w:t xml:space="preserve">), а в случае необходимости письменные экзамены </w:t>
      </w:r>
      <w:r>
        <w:t>замен</w:t>
      </w:r>
      <w:r>
        <w:t>я</w:t>
      </w:r>
      <w:r>
        <w:t xml:space="preserve">ются устными или </w:t>
      </w:r>
      <w:r w:rsidRPr="005804DE">
        <w:t xml:space="preserve">наоборот. </w:t>
      </w:r>
      <w:r>
        <w:t>В рамках своих преференциальных прав учащи</w:t>
      </w:r>
      <w:r>
        <w:t>е</w:t>
      </w:r>
      <w:r>
        <w:t xml:space="preserve">ся-инвалиды получают </w:t>
      </w:r>
      <w:r w:rsidRPr="005804DE">
        <w:t xml:space="preserve">дополнительные </w:t>
      </w:r>
      <w:r>
        <w:t>баллы</w:t>
      </w:r>
      <w:r w:rsidRPr="005804DE">
        <w:t xml:space="preserve"> при </w:t>
      </w:r>
      <w:r>
        <w:t>п</w:t>
      </w:r>
      <w:r>
        <w:t>о</w:t>
      </w:r>
      <w:r>
        <w:t xml:space="preserve">ступлении </w:t>
      </w:r>
      <w:r w:rsidRPr="005804DE">
        <w:t>в высши</w:t>
      </w:r>
      <w:r>
        <w:t>е</w:t>
      </w:r>
      <w:r w:rsidRPr="005804DE">
        <w:t xml:space="preserve"> учебны</w:t>
      </w:r>
      <w:r>
        <w:t>е</w:t>
      </w:r>
      <w:r w:rsidRPr="005804DE">
        <w:t xml:space="preserve"> заведени</w:t>
      </w:r>
      <w:r>
        <w:t>я</w:t>
      </w:r>
      <w:r w:rsidRPr="005804DE">
        <w:t>. В соответствии с законом о высшем образо</w:t>
      </w:r>
      <w:r>
        <w:t>вании</w:t>
      </w:r>
      <w:r w:rsidRPr="005804DE">
        <w:t xml:space="preserve"> в обосн</w:t>
      </w:r>
      <w:r w:rsidRPr="005804DE">
        <w:t>о</w:t>
      </w:r>
      <w:r>
        <w:t>ванных случаях</w:t>
      </w:r>
      <w:r w:rsidRPr="005804DE">
        <w:t xml:space="preserve"> студенты</w:t>
      </w:r>
      <w:r>
        <w:t xml:space="preserve">-инвалиды </w:t>
      </w:r>
      <w:r w:rsidRPr="005804DE">
        <w:t>освобожд</w:t>
      </w:r>
      <w:r>
        <w:t>аются</w:t>
      </w:r>
      <w:r w:rsidRPr="005804DE">
        <w:t xml:space="preserve"> от изучения</w:t>
      </w:r>
      <w:r>
        <w:t xml:space="preserve"> некот</w:t>
      </w:r>
      <w:r>
        <w:t>о</w:t>
      </w:r>
      <w:r>
        <w:t xml:space="preserve">рых </w:t>
      </w:r>
      <w:r w:rsidRPr="005804DE">
        <w:t xml:space="preserve">предметов или </w:t>
      </w:r>
      <w:r>
        <w:t xml:space="preserve">разделов, а также </w:t>
      </w:r>
      <w:r w:rsidRPr="005804DE">
        <w:t>от экзамен</w:t>
      </w:r>
      <w:r>
        <w:t>ов</w:t>
      </w:r>
      <w:r w:rsidRPr="005804DE">
        <w:t>. Политик</w:t>
      </w:r>
      <w:r>
        <w:t>а</w:t>
      </w:r>
      <w:r w:rsidRPr="005804DE">
        <w:t xml:space="preserve"> и программ</w:t>
      </w:r>
      <w:r>
        <w:t>ы</w:t>
      </w:r>
      <w:r w:rsidRPr="005804DE">
        <w:t xml:space="preserve"> </w:t>
      </w:r>
      <w:r>
        <w:t>в отн</w:t>
      </w:r>
      <w:r>
        <w:t>о</w:t>
      </w:r>
      <w:r>
        <w:t>шении</w:t>
      </w:r>
      <w:r w:rsidRPr="005804DE">
        <w:t xml:space="preserve"> инвалидов </w:t>
      </w:r>
      <w:r>
        <w:t xml:space="preserve">в Венгрии </w:t>
      </w:r>
      <w:r w:rsidRPr="005804DE">
        <w:t>в ос</w:t>
      </w:r>
      <w:r>
        <w:t xml:space="preserve">новном содержатся в </w:t>
      </w:r>
      <w:r w:rsidRPr="005804DE">
        <w:t>Национальной програ</w:t>
      </w:r>
      <w:r w:rsidRPr="005804DE">
        <w:t>м</w:t>
      </w:r>
      <w:r w:rsidRPr="005804DE">
        <w:t>ме</w:t>
      </w:r>
      <w:r>
        <w:t xml:space="preserve"> по</w:t>
      </w:r>
      <w:r w:rsidRPr="005804DE">
        <w:t xml:space="preserve"> инвалидности</w:t>
      </w:r>
      <w:r>
        <w:t xml:space="preserve">, которая разрабатывается в </w:t>
      </w:r>
      <w:r w:rsidRPr="005804DE">
        <w:t>соответствии с Законом</w:t>
      </w:r>
      <w:r>
        <w:t xml:space="preserve"> об</w:t>
      </w:r>
      <w:r w:rsidRPr="005804DE">
        <w:t xml:space="preserve"> и</w:t>
      </w:r>
      <w:r w:rsidRPr="005804DE">
        <w:t>н</w:t>
      </w:r>
      <w:r w:rsidRPr="005804DE">
        <w:t>валид</w:t>
      </w:r>
      <w:r>
        <w:t>ах в</w:t>
      </w:r>
      <w:r w:rsidRPr="005804DE">
        <w:t xml:space="preserve"> сотрудн</w:t>
      </w:r>
      <w:r w:rsidRPr="005804DE">
        <w:t>и</w:t>
      </w:r>
      <w:r w:rsidRPr="005804DE">
        <w:t xml:space="preserve">честве с </w:t>
      </w:r>
      <w:r>
        <w:t>ОФТ</w:t>
      </w:r>
      <w:r w:rsidRPr="005804DE">
        <w:t xml:space="preserve"> (Националь</w:t>
      </w:r>
      <w:r>
        <w:t>ным</w:t>
      </w:r>
      <w:r w:rsidRPr="005804DE">
        <w:t xml:space="preserve"> совет</w:t>
      </w:r>
      <w:r>
        <w:t>ом по делам инвалидов</w:t>
      </w:r>
      <w:r w:rsidRPr="005804DE">
        <w:t>).</w:t>
      </w:r>
    </w:p>
    <w:p w:rsidR="00B81AB5" w:rsidRDefault="00B81AB5" w:rsidP="00B81AB5">
      <w:pPr>
        <w:pStyle w:val="SingleTxtGR"/>
      </w:pPr>
      <w:r w:rsidRPr="005804DE">
        <w:t>17</w:t>
      </w:r>
      <w:r>
        <w:t>1</w:t>
      </w:r>
      <w:r w:rsidRPr="005804DE">
        <w:t>.</w:t>
      </w:r>
      <w:r>
        <w:tab/>
        <w:t xml:space="preserve">Цель программы, озаглавленной "Государственная программа </w:t>
      </w:r>
      <w:r w:rsidRPr="005804DE">
        <w:t>здрав</w:t>
      </w:r>
      <w:r w:rsidRPr="005804DE">
        <w:t>о</w:t>
      </w:r>
      <w:r w:rsidRPr="005804DE">
        <w:t xml:space="preserve">охранения </w:t>
      </w:r>
      <w:r>
        <w:t>− Десятилетие здоровья</w:t>
      </w:r>
      <w:r w:rsidRPr="005804DE">
        <w:t>" ("Egészség Évtizedének Népegészségügyi Programja")</w:t>
      </w:r>
      <w:r>
        <w:t>, заключается в том, чтобы в максимальной степени обеспечить зд</w:t>
      </w:r>
      <w:r>
        <w:t>о</w:t>
      </w:r>
      <w:r>
        <w:t xml:space="preserve">ровье </w:t>
      </w:r>
      <w:r w:rsidRPr="005804DE">
        <w:t>каждого</w:t>
      </w:r>
      <w:r>
        <w:t xml:space="preserve"> </w:t>
      </w:r>
      <w:r w:rsidRPr="005804DE">
        <w:t>гражданина</w:t>
      </w:r>
      <w:r>
        <w:t xml:space="preserve"> Венгрии.</w:t>
      </w:r>
      <w:r w:rsidRPr="005804DE">
        <w:t xml:space="preserve"> Долгосроч</w:t>
      </w:r>
      <w:r>
        <w:t xml:space="preserve">ная программа </w:t>
      </w:r>
      <w:r w:rsidRPr="005804DE">
        <w:t>развития</w:t>
      </w:r>
      <w:r>
        <w:t xml:space="preserve"> услуг</w:t>
      </w:r>
      <w:r w:rsidRPr="005804DE">
        <w:t xml:space="preserve"> психиат</w:t>
      </w:r>
      <w:r>
        <w:t>рии −</w:t>
      </w:r>
      <w:r w:rsidRPr="005804DE">
        <w:t xml:space="preserve"> "Национальн</w:t>
      </w:r>
      <w:r>
        <w:t>ая</w:t>
      </w:r>
      <w:r w:rsidRPr="005804DE">
        <w:t xml:space="preserve"> программ</w:t>
      </w:r>
      <w:r>
        <w:t xml:space="preserve">а психического здоровья" − </w:t>
      </w:r>
      <w:r w:rsidRPr="005804DE">
        <w:t xml:space="preserve">полностью </w:t>
      </w:r>
      <w:r>
        <w:t xml:space="preserve">отвечает требованиям </w:t>
      </w:r>
      <w:r w:rsidRPr="005804DE">
        <w:t>соответствующи</w:t>
      </w:r>
      <w:r>
        <w:t>х</w:t>
      </w:r>
      <w:r w:rsidRPr="005804DE">
        <w:t xml:space="preserve"> докумен</w:t>
      </w:r>
      <w:r>
        <w:t>тов</w:t>
      </w:r>
      <w:r w:rsidRPr="005804DE">
        <w:t xml:space="preserve"> ВОЗ и ЕС, </w:t>
      </w:r>
      <w:r>
        <w:t>а в части пр</w:t>
      </w:r>
      <w:r>
        <w:t>о</w:t>
      </w:r>
      <w:r>
        <w:t>гнозов, связанных с данной проблемой, и своей структуры Программа основана</w:t>
      </w:r>
      <w:r w:rsidRPr="005804DE">
        <w:t xml:space="preserve"> на документ</w:t>
      </w:r>
      <w:r>
        <w:t>е, озаглавленном "</w:t>
      </w:r>
      <w:r w:rsidRPr="005804DE">
        <w:t xml:space="preserve">Европейский пакт </w:t>
      </w:r>
      <w:r>
        <w:t>психического</w:t>
      </w:r>
      <w:r w:rsidRPr="005804DE">
        <w:t xml:space="preserve"> здоровья и бл</w:t>
      </w:r>
      <w:r w:rsidRPr="005804DE">
        <w:t>а</w:t>
      </w:r>
      <w:r w:rsidRPr="005804DE">
        <w:t>гополучия</w:t>
      </w:r>
      <w:r>
        <w:t xml:space="preserve"> − </w:t>
      </w:r>
      <w:r w:rsidRPr="005804DE">
        <w:t xml:space="preserve">2008". </w:t>
      </w:r>
      <w:r>
        <w:t>Программа охватывает следующие области</w:t>
      </w:r>
      <w:r w:rsidRPr="005804DE">
        <w:t xml:space="preserve">: </w:t>
      </w:r>
      <w:r>
        <w:t>профилактика</w:t>
      </w:r>
      <w:r w:rsidRPr="005804DE">
        <w:t xml:space="preserve"> самоубийств и депрессии; </w:t>
      </w:r>
      <w:r>
        <w:t>психическое</w:t>
      </w:r>
      <w:r w:rsidRPr="005804DE">
        <w:t xml:space="preserve"> здоро</w:t>
      </w:r>
      <w:r>
        <w:t>вье</w:t>
      </w:r>
      <w:r w:rsidRPr="005804DE">
        <w:t xml:space="preserve"> молодежи и </w:t>
      </w:r>
      <w:r>
        <w:t>психическое</w:t>
      </w:r>
      <w:r w:rsidRPr="005804DE">
        <w:t xml:space="preserve"> зд</w:t>
      </w:r>
      <w:r w:rsidRPr="005804DE">
        <w:t>о</w:t>
      </w:r>
      <w:r w:rsidRPr="005804DE">
        <w:t>ро</w:t>
      </w:r>
      <w:r>
        <w:t>вье</w:t>
      </w:r>
      <w:r w:rsidRPr="005804DE">
        <w:t xml:space="preserve"> в системе образования; </w:t>
      </w:r>
      <w:r>
        <w:t xml:space="preserve">психическое </w:t>
      </w:r>
      <w:r w:rsidRPr="005804DE">
        <w:t>здоро</w:t>
      </w:r>
      <w:r>
        <w:t>вье</w:t>
      </w:r>
      <w:r w:rsidRPr="005804DE">
        <w:t xml:space="preserve"> на рабоч</w:t>
      </w:r>
      <w:r>
        <w:t>их</w:t>
      </w:r>
      <w:r w:rsidRPr="005804DE">
        <w:t xml:space="preserve"> мест</w:t>
      </w:r>
      <w:r>
        <w:t>ах</w:t>
      </w:r>
      <w:r w:rsidRPr="005804DE">
        <w:t xml:space="preserve">; </w:t>
      </w:r>
      <w:r>
        <w:t>псих</w:t>
      </w:r>
      <w:r>
        <w:t>и</w:t>
      </w:r>
      <w:r>
        <w:t>ческое</w:t>
      </w:r>
      <w:r w:rsidRPr="005804DE">
        <w:t xml:space="preserve"> здоровь</w:t>
      </w:r>
      <w:r>
        <w:t xml:space="preserve">е престарелых; </w:t>
      </w:r>
      <w:r w:rsidRPr="005804DE">
        <w:t xml:space="preserve">борьба </w:t>
      </w:r>
      <w:r>
        <w:t>со</w:t>
      </w:r>
      <w:r w:rsidRPr="005804DE">
        <w:t xml:space="preserve"> стигматиза</w:t>
      </w:r>
      <w:r>
        <w:t>цией</w:t>
      </w:r>
      <w:r w:rsidRPr="005804DE">
        <w:t xml:space="preserve"> и дискр</w:t>
      </w:r>
      <w:r w:rsidRPr="005804DE">
        <w:t>и</w:t>
      </w:r>
      <w:r>
        <w:t>минацией</w:t>
      </w:r>
      <w:r w:rsidRPr="005804DE">
        <w:t>.</w:t>
      </w:r>
    </w:p>
    <w:p w:rsidR="00B81AB5" w:rsidRDefault="00B81AB5" w:rsidP="00B81AB5">
      <w:pPr>
        <w:pStyle w:val="SingleTxtGR"/>
      </w:pPr>
      <w:r w:rsidRPr="005804DE">
        <w:t>17</w:t>
      </w:r>
      <w:r>
        <w:t>2</w:t>
      </w:r>
      <w:r w:rsidRPr="005804DE">
        <w:t>.</w:t>
      </w:r>
      <w:r>
        <w:tab/>
        <w:t>Цель программы-портала "Стратегия в отношении</w:t>
      </w:r>
      <w:r w:rsidRPr="00F3552B">
        <w:t xml:space="preserve"> </w:t>
      </w:r>
      <w:r>
        <w:t>библиотек на</w:t>
      </w:r>
      <w:r w:rsidRPr="005804DE">
        <w:t xml:space="preserve"> 2008</w:t>
      </w:r>
      <w:r>
        <w:t>−2013 годы" заключается в оказании первоочередной</w:t>
      </w:r>
      <w:r w:rsidRPr="005804DE">
        <w:t xml:space="preserve"> поддержки </w:t>
      </w:r>
      <w:r>
        <w:t>инвал</w:t>
      </w:r>
      <w:r>
        <w:t>и</w:t>
      </w:r>
      <w:r>
        <w:t>дам, бл</w:t>
      </w:r>
      <w:r>
        <w:t>а</w:t>
      </w:r>
      <w:r>
        <w:t xml:space="preserve">годаря чему во всех касающихся </w:t>
      </w:r>
      <w:r w:rsidRPr="005804DE">
        <w:t>библиоте</w:t>
      </w:r>
      <w:r>
        <w:t>к проектах</w:t>
      </w:r>
      <w:r w:rsidRPr="005804DE">
        <w:t>,</w:t>
      </w:r>
      <w:r>
        <w:t xml:space="preserve"> </w:t>
      </w:r>
      <w:r w:rsidRPr="005804DE">
        <w:t>финансируе</w:t>
      </w:r>
      <w:r>
        <w:t>мых</w:t>
      </w:r>
      <w:r w:rsidRPr="005804DE">
        <w:t xml:space="preserve"> из фондов ЕС</w:t>
      </w:r>
      <w:r>
        <w:t>,</w:t>
      </w:r>
      <w:r w:rsidRPr="005804DE">
        <w:t xml:space="preserve"> особое внимание уделя</w:t>
      </w:r>
      <w:r>
        <w:t>е</w:t>
      </w:r>
      <w:r w:rsidRPr="005804DE">
        <w:t>т</w:t>
      </w:r>
      <w:r>
        <w:t>ся</w:t>
      </w:r>
      <w:r w:rsidRPr="005804DE">
        <w:t xml:space="preserve"> развитию</w:t>
      </w:r>
      <w:r>
        <w:t xml:space="preserve"> услуг </w:t>
      </w:r>
      <w:r w:rsidRPr="005804DE">
        <w:t>библиоте</w:t>
      </w:r>
      <w:r>
        <w:t>к для инв</w:t>
      </w:r>
      <w:r>
        <w:t>а</w:t>
      </w:r>
      <w:r>
        <w:t>лидов.</w:t>
      </w:r>
    </w:p>
    <w:p w:rsidR="00B81AB5" w:rsidRPr="005F715F" w:rsidRDefault="00B81AB5" w:rsidP="00B81AB5">
      <w:pPr>
        <w:spacing w:before="240"/>
        <w:jc w:val="center"/>
        <w:rPr>
          <w:u w:val="single"/>
        </w:rPr>
      </w:pPr>
      <w:r>
        <w:rPr>
          <w:u w:val="single"/>
        </w:rPr>
        <w:tab/>
      </w:r>
      <w:r>
        <w:rPr>
          <w:u w:val="single"/>
        </w:rPr>
        <w:tab/>
      </w:r>
      <w:r>
        <w:rPr>
          <w:u w:val="single"/>
        </w:rPr>
        <w:tab/>
      </w:r>
    </w:p>
    <w:sectPr w:rsidR="00B81AB5" w:rsidRPr="005F715F" w:rsidSect="00292480">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BF" w:rsidRDefault="00811EBF">
      <w:r>
        <w:rPr>
          <w:lang w:val="en-US"/>
        </w:rPr>
        <w:tab/>
      </w:r>
      <w:r>
        <w:separator/>
      </w:r>
    </w:p>
  </w:endnote>
  <w:endnote w:type="continuationSeparator" w:id="0">
    <w:p w:rsidR="00811EBF" w:rsidRDefault="0081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F" w:rsidRPr="009A6F4A" w:rsidRDefault="00811EBF">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lang w:val="en-US"/>
      </w:rPr>
      <w:tab/>
      <w:t>GE.12-48064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F" w:rsidRPr="009A6F4A" w:rsidRDefault="00811EBF">
    <w:pPr>
      <w:pStyle w:val="Footer"/>
      <w:rPr>
        <w:lang w:val="en-US"/>
      </w:rPr>
    </w:pPr>
    <w:r>
      <w:rPr>
        <w:lang w:val="en-US"/>
      </w:rPr>
      <w:t>GE.12-48064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F" w:rsidRPr="009A6F4A" w:rsidRDefault="00811EBF">
    <w:pPr>
      <w:pStyle w:val="Footer"/>
      <w:rPr>
        <w:sz w:val="20"/>
        <w:lang w:val="en-US"/>
      </w:rPr>
    </w:pPr>
    <w:r>
      <w:rPr>
        <w:sz w:val="20"/>
        <w:lang w:val="en-US"/>
      </w:rPr>
      <w:t>GE.12-48064  (R)  040113  080113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BF" w:rsidRPr="00F71F63" w:rsidRDefault="00811EB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11EBF" w:rsidRPr="00F71F63" w:rsidRDefault="00811EBF" w:rsidP="00635E86">
      <w:pPr>
        <w:tabs>
          <w:tab w:val="right" w:pos="2155"/>
        </w:tabs>
        <w:spacing w:after="80" w:line="240" w:lineRule="auto"/>
        <w:rPr>
          <w:u w:val="single"/>
          <w:lang w:val="en-US"/>
        </w:rPr>
      </w:pPr>
      <w:r w:rsidRPr="00F71F63">
        <w:rPr>
          <w:u w:val="single"/>
          <w:lang w:val="en-US"/>
        </w:rPr>
        <w:tab/>
      </w:r>
    </w:p>
    <w:p w:rsidR="00811EBF" w:rsidRPr="00635E86" w:rsidRDefault="00811EBF" w:rsidP="00635E86">
      <w:pPr>
        <w:pStyle w:val="Footer"/>
      </w:pPr>
    </w:p>
  </w:footnote>
  <w:footnote w:id="1">
    <w:p w:rsidR="00811EBF" w:rsidRPr="003442E1" w:rsidRDefault="00811EBF" w:rsidP="00726B56">
      <w:pPr>
        <w:pStyle w:val="FootnoteText"/>
        <w:rPr>
          <w:sz w:val="20"/>
          <w:lang w:val="ru-RU"/>
        </w:rPr>
      </w:pPr>
      <w:r>
        <w:tab/>
      </w:r>
      <w:r w:rsidRPr="00726B56">
        <w:rPr>
          <w:rStyle w:val="FootnoteReference"/>
          <w:szCs w:val="18"/>
          <w:vertAlign w:val="baseline"/>
          <w:lang w:val="ru-RU"/>
        </w:rPr>
        <w:t>*</w:t>
      </w:r>
      <w:r w:rsidRPr="003442E1">
        <w:rPr>
          <w:lang w:val="ru-RU"/>
        </w:rPr>
        <w:tab/>
      </w:r>
      <w:r>
        <w:rPr>
          <w:lang w:val="ru-RU"/>
        </w:rPr>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 w:id="2">
    <w:p w:rsidR="00811EBF" w:rsidRPr="00EF4A01" w:rsidRDefault="00811EBF" w:rsidP="00726B56">
      <w:pPr>
        <w:pStyle w:val="FootnoteText"/>
        <w:rPr>
          <w:sz w:val="20"/>
          <w:lang w:val="ru-RU"/>
        </w:rPr>
      </w:pPr>
      <w:r w:rsidRPr="003442E1">
        <w:rPr>
          <w:lang w:val="ru-RU"/>
        </w:rPr>
        <w:tab/>
      </w:r>
      <w:r w:rsidRPr="00726B56">
        <w:rPr>
          <w:rStyle w:val="FootnoteReference"/>
          <w:szCs w:val="18"/>
          <w:vertAlign w:val="baseline"/>
          <w:lang w:val="ru-RU"/>
        </w:rPr>
        <w:t>**</w:t>
      </w:r>
      <w:r w:rsidRPr="00EF4A01">
        <w:rPr>
          <w:lang w:val="ru-RU"/>
        </w:rPr>
        <w:tab/>
      </w:r>
      <w:r>
        <w:rPr>
          <w:lang w:val="ru-RU"/>
        </w:rPr>
        <w:t>С приложениями можно ознакомиться в архивах секретариата.</w:t>
      </w:r>
    </w:p>
  </w:footnote>
  <w:footnote w:id="3">
    <w:p w:rsidR="00811EBF" w:rsidRPr="004C2376" w:rsidRDefault="00811EBF" w:rsidP="001C6C1D">
      <w:pPr>
        <w:pStyle w:val="FootnoteText"/>
        <w:spacing w:line="240" w:lineRule="auto"/>
        <w:rPr>
          <w:lang w:val="ru-RU"/>
        </w:rPr>
      </w:pPr>
      <w:r w:rsidRPr="00712E31">
        <w:rPr>
          <w:lang w:val="ru-RU"/>
        </w:rPr>
        <w:tab/>
      </w:r>
      <w:r>
        <w:rPr>
          <w:rStyle w:val="FootnoteReference"/>
        </w:rPr>
        <w:footnoteRef/>
      </w:r>
      <w:r w:rsidRPr="00FE1803">
        <w:rPr>
          <w:lang w:val="ru-RU"/>
        </w:rPr>
        <w:tab/>
      </w:r>
      <w:r>
        <w:rPr>
          <w:lang w:val="ru-RU"/>
        </w:rPr>
        <w:t>11 октября 2010 года парламентом были избраны члены нового состава Совета по вопросам массовой информации, осуществляющего надзор за средствами массовой информации.</w:t>
      </w:r>
    </w:p>
  </w:footnote>
  <w:footnote w:id="4">
    <w:p w:rsidR="00811EBF" w:rsidRPr="00FE1803" w:rsidRDefault="00811EBF" w:rsidP="001C6C1D">
      <w:pPr>
        <w:pStyle w:val="FootnoteText"/>
        <w:spacing w:line="240" w:lineRule="auto"/>
        <w:rPr>
          <w:lang w:val="ru-RU"/>
        </w:rPr>
      </w:pPr>
      <w:r w:rsidRPr="00AD1D21">
        <w:rPr>
          <w:lang w:val="ru-RU"/>
        </w:rPr>
        <w:tab/>
      </w:r>
      <w:r>
        <w:rPr>
          <w:rStyle w:val="FootnoteReference"/>
        </w:rPr>
        <w:footnoteRef/>
      </w:r>
      <w:r w:rsidRPr="00FE1803">
        <w:rPr>
          <w:lang w:val="ru-RU"/>
        </w:rPr>
        <w:tab/>
      </w:r>
      <w:r>
        <w:rPr>
          <w:lang w:val="ru-RU"/>
        </w:rPr>
        <w:t xml:space="preserve">В своем постановлении № 165/2011 (XII. 20) Конституционный суд заявил о своей обеспокоенности по поводу возможного применения пункта 1) статьи 14 Закона о свободе прессы (обеспечение уважения к человеческому достоинству), а также статей 16 (неприкосновенность прав человека) и 18 (защита частной жизни) того же Закона к сообщениям прессы. По мнению Конституционного суда, сообщения прессы оказывают менее сильное воздействие на общественное мнение, чем аудиовизуальные органы и радио, и поэтому в данном случае достаточно защиты в соответствии с гражданским и уголовным законодательством, и необходимости в государственном контроле не существует. </w:t>
      </w:r>
    </w:p>
  </w:footnote>
  <w:footnote w:id="5">
    <w:p w:rsidR="00811EBF" w:rsidRPr="00B728E6" w:rsidRDefault="00811EBF" w:rsidP="001C6C1D">
      <w:pPr>
        <w:pStyle w:val="FootnoteText"/>
        <w:rPr>
          <w:lang w:val="ru-RU"/>
        </w:rPr>
      </w:pPr>
      <w:r>
        <w:tab/>
      </w:r>
      <w:r>
        <w:rPr>
          <w:rStyle w:val="FootnoteReference"/>
        </w:rPr>
        <w:footnoteRef/>
      </w:r>
      <w:r w:rsidRPr="00B728E6">
        <w:rPr>
          <w:lang w:val="ru-RU"/>
        </w:rPr>
        <w:tab/>
        <w:t>Временные семейные дома обеспечивают домашнюю обстановку для семей, оставшихся без дома из-за стиля жизни, социального или семейного кризиса, в</w:t>
      </w:r>
      <w:r>
        <w:rPr>
          <w:lang w:val="ru-RU"/>
        </w:rPr>
        <w:t> </w:t>
      </w:r>
      <w:r w:rsidRPr="00B728E6">
        <w:rPr>
          <w:lang w:val="ru-RU"/>
        </w:rPr>
        <w:t>соответствии с принципами оказания основных услуг по обеспечению благо</w:t>
      </w:r>
      <w:r>
        <w:rPr>
          <w:lang w:val="ru-RU"/>
        </w:rPr>
        <w:t xml:space="preserve">получия детей, включая личный уход, в </w:t>
      </w:r>
      <w:r w:rsidRPr="00B728E6">
        <w:rPr>
          <w:lang w:val="ru-RU"/>
        </w:rPr>
        <w:t>цел</w:t>
      </w:r>
      <w:r>
        <w:rPr>
          <w:lang w:val="ru-RU"/>
        </w:rPr>
        <w:t>ях</w:t>
      </w:r>
      <w:r w:rsidRPr="00B728E6">
        <w:rPr>
          <w:lang w:val="ru-RU"/>
        </w:rPr>
        <w:t xml:space="preserve"> сохранения целостности семьи.</w:t>
      </w:r>
    </w:p>
  </w:footnote>
  <w:footnote w:id="6">
    <w:p w:rsidR="00811EBF" w:rsidRPr="00F02576" w:rsidRDefault="00811EBF" w:rsidP="00F3569A">
      <w:pPr>
        <w:pStyle w:val="FootnoteText"/>
        <w:rPr>
          <w:lang w:val="ru-RU"/>
        </w:rPr>
      </w:pPr>
      <w:r>
        <w:tab/>
      </w:r>
      <w:r>
        <w:rPr>
          <w:rStyle w:val="FootnoteReference"/>
        </w:rPr>
        <w:footnoteRef/>
      </w:r>
      <w:r w:rsidRPr="00F02576">
        <w:rPr>
          <w:lang w:val="ru-RU"/>
        </w:rPr>
        <w:tab/>
      </w:r>
      <w:r>
        <w:rPr>
          <w:lang w:val="ru-RU"/>
        </w:rPr>
        <w:t xml:space="preserve">Конвенция о ликвидации всех форм дискриминации в отношении женщин, принятая 18 декабря 1979 года. </w:t>
      </w:r>
    </w:p>
  </w:footnote>
  <w:footnote w:id="7">
    <w:p w:rsidR="00811EBF" w:rsidRPr="00BF6112" w:rsidRDefault="00811EBF" w:rsidP="00F3569A">
      <w:pPr>
        <w:pStyle w:val="FootnoteText"/>
        <w:rPr>
          <w:lang w:val="ru-RU"/>
        </w:rPr>
      </w:pPr>
      <w:r w:rsidRPr="00493CB3">
        <w:rPr>
          <w:lang w:val="ru-RU"/>
        </w:rPr>
        <w:tab/>
      </w:r>
      <w:r>
        <w:rPr>
          <w:rStyle w:val="FootnoteReference"/>
        </w:rPr>
        <w:footnoteRef/>
      </w:r>
      <w:r w:rsidRPr="00C62040">
        <w:rPr>
          <w:lang w:val="ru-RU"/>
        </w:rPr>
        <w:tab/>
      </w:r>
      <w:r>
        <w:rPr>
          <w:lang w:val="ru-RU"/>
        </w:rPr>
        <w:t>Директива 2011/93/ЕС Европейского парламента и Совета от 13 декабря 2011 года</w:t>
      </w:r>
      <w:r w:rsidRPr="00164369">
        <w:rPr>
          <w:lang w:val="ru-RU"/>
        </w:rPr>
        <w:br/>
      </w:r>
      <w:r>
        <w:rPr>
          <w:lang w:val="ru-RU"/>
        </w:rPr>
        <w:t>о борьбе с сексуальными злоупотреблениями и сексуальной эксплуатацией детей</w:t>
      </w:r>
      <w:r w:rsidRPr="00164369">
        <w:rPr>
          <w:lang w:val="ru-RU"/>
        </w:rPr>
        <w:br/>
      </w:r>
      <w:r>
        <w:rPr>
          <w:lang w:val="ru-RU"/>
        </w:rPr>
        <w:t>и детской порнографией, сменившая Рамочное решение Совета 2004/68/</w:t>
      </w:r>
      <w:r>
        <w:rPr>
          <w:lang w:val="en-US"/>
        </w:rPr>
        <w:t>JHA</w:t>
      </w:r>
      <w:r>
        <w:rPr>
          <w:lang w:val="ru-RU"/>
        </w:rPr>
        <w:t>,</w:t>
      </w:r>
      <w:r w:rsidRPr="00164369">
        <w:rPr>
          <w:lang w:val="ru-RU"/>
        </w:rPr>
        <w:br/>
      </w:r>
      <w:r>
        <w:rPr>
          <w:lang w:val="ru-RU"/>
        </w:rPr>
        <w:t>и Конвенция Совета Европы о защите детей от сексуальной эксплуатации</w:t>
      </w:r>
      <w:r w:rsidRPr="00164369">
        <w:rPr>
          <w:lang w:val="ru-RU"/>
        </w:rPr>
        <w:br/>
      </w:r>
      <w:r>
        <w:rPr>
          <w:lang w:val="ru-RU"/>
        </w:rPr>
        <w:t>и сексуальных злоупотреблений (</w:t>
      </w:r>
      <w:r>
        <w:rPr>
          <w:lang w:val="en-US"/>
        </w:rPr>
        <w:t>CETS</w:t>
      </w:r>
      <w:r>
        <w:rPr>
          <w:lang w:val="ru-RU"/>
        </w:rPr>
        <w:t xml:space="preserve"> № 201). </w:t>
      </w:r>
    </w:p>
  </w:footnote>
  <w:footnote w:id="8">
    <w:p w:rsidR="00811EBF" w:rsidRPr="00225F7A" w:rsidRDefault="00811EBF" w:rsidP="00225F7A">
      <w:pPr>
        <w:pStyle w:val="FootnoteText"/>
        <w:rPr>
          <w:lang w:val="en-US"/>
        </w:rPr>
      </w:pPr>
      <w:r>
        <w:rPr>
          <w:lang w:val="ru-RU"/>
        </w:rPr>
        <w:tab/>
      </w:r>
      <w:r>
        <w:rPr>
          <w:rStyle w:val="FootnoteReference"/>
        </w:rPr>
        <w:footnoteRef/>
      </w:r>
      <w:r w:rsidRPr="00FB7599">
        <w:rPr>
          <w:lang w:val="en-US"/>
        </w:rPr>
        <w:tab/>
      </w:r>
      <w:r w:rsidRPr="00FB7599">
        <w:rPr>
          <w:lang w:val="ru-RU"/>
        </w:rPr>
        <w:t>См</w:t>
      </w:r>
      <w:r w:rsidRPr="00FB7599">
        <w:rPr>
          <w:lang w:val="en-US"/>
        </w:rPr>
        <w:t xml:space="preserve">.: G. Kertesi – G. Kézdi: Children of parents who have no schooling and Roma youth in secondary education. </w:t>
      </w:r>
      <w:r w:rsidRPr="00225F7A">
        <w:rPr>
          <w:lang w:val="en-US"/>
        </w:rPr>
        <w:t>(Report on the waves of the Education Career Survey between 2006 and 2009, 2010).</w:t>
      </w:r>
    </w:p>
  </w:footnote>
  <w:footnote w:id="9">
    <w:p w:rsidR="00811EBF" w:rsidRPr="00B72D78" w:rsidRDefault="00811EBF" w:rsidP="00225F7A">
      <w:pPr>
        <w:pStyle w:val="FootnoteText"/>
        <w:rPr>
          <w:lang w:val="ru-RU"/>
        </w:rPr>
      </w:pPr>
      <w:r w:rsidRPr="00225F7A">
        <w:rPr>
          <w:lang w:val="en-US"/>
        </w:rPr>
        <w:tab/>
      </w:r>
      <w:r>
        <w:rPr>
          <w:rStyle w:val="FootnoteReference"/>
        </w:rPr>
        <w:footnoteRef/>
      </w:r>
      <w:r w:rsidRPr="00B72D78">
        <w:rPr>
          <w:lang w:val="ru-RU"/>
        </w:rPr>
        <w:tab/>
      </w:r>
      <w:r>
        <w:rPr>
          <w:lang w:val="ru-RU"/>
        </w:rPr>
        <w:t xml:space="preserve">Постановление правительства № </w:t>
      </w:r>
      <w:r w:rsidRPr="00B72D78">
        <w:rPr>
          <w:lang w:val="ru-RU"/>
        </w:rPr>
        <w:t>1430/2011 (</w:t>
      </w:r>
      <w:r w:rsidRPr="00EC56AA">
        <w:rPr>
          <w:lang w:val="ru-RU"/>
        </w:rPr>
        <w:t>XII</w:t>
      </w:r>
      <w:r w:rsidRPr="00B72D78">
        <w:rPr>
          <w:lang w:val="ru-RU"/>
        </w:rPr>
        <w:t>. 13)</w:t>
      </w:r>
      <w:r>
        <w:rPr>
          <w:lang w:val="ru-RU"/>
        </w:rPr>
        <w:t xml:space="preserve"> о Национальной стратегии и социальной интеграции и о плане действий правительства по ее осуществлению на период 2012−2014 годов.</w:t>
      </w:r>
    </w:p>
  </w:footnote>
  <w:footnote w:id="10">
    <w:p w:rsidR="00811EBF" w:rsidRPr="00681F67" w:rsidRDefault="00811EBF" w:rsidP="00225F7A">
      <w:pPr>
        <w:pStyle w:val="FootnoteText"/>
        <w:rPr>
          <w:lang w:val="ru-RU"/>
        </w:rPr>
      </w:pPr>
      <w:r w:rsidRPr="00B72D78">
        <w:rPr>
          <w:lang w:val="ru-RU"/>
        </w:rPr>
        <w:tab/>
      </w:r>
      <w:r>
        <w:rPr>
          <w:rStyle w:val="FootnoteReference"/>
        </w:rPr>
        <w:footnoteRef/>
      </w:r>
      <w:r w:rsidRPr="00B72D78">
        <w:rPr>
          <w:lang w:val="ru-RU"/>
        </w:rPr>
        <w:tab/>
      </w:r>
      <w:r>
        <w:rPr>
          <w:lang w:val="ru-RU"/>
        </w:rPr>
        <w:t>Постановление Национального собрания 47/2007 (V. 31</w:t>
      </w:r>
      <w:r w:rsidRPr="00EC56AA">
        <w:rPr>
          <w:lang w:val="ru-RU"/>
        </w:rPr>
        <w:t>) о Национальной стратегии, озаглавленной "Legyen jobb a gyerekeknek!" ("Улучшить жизнь детей!"), 2007−2032 годы.</w:t>
      </w:r>
    </w:p>
  </w:footnote>
  <w:footnote w:id="11">
    <w:p w:rsidR="00811EBF" w:rsidRPr="00454BB1" w:rsidRDefault="00811EBF" w:rsidP="00225F7A">
      <w:pPr>
        <w:pStyle w:val="FootnoteText"/>
        <w:rPr>
          <w:lang w:val="ru-RU"/>
        </w:rPr>
      </w:pPr>
      <w:r w:rsidRPr="00681F67">
        <w:rPr>
          <w:lang w:val="ru-RU"/>
        </w:rPr>
        <w:tab/>
      </w:r>
      <w:r>
        <w:rPr>
          <w:rStyle w:val="FootnoteReference"/>
        </w:rPr>
        <w:footnoteRef/>
      </w:r>
      <w:r w:rsidRPr="00454BB1">
        <w:rPr>
          <w:lang w:val="ru-RU"/>
        </w:rPr>
        <w:tab/>
      </w:r>
      <w:r>
        <w:rPr>
          <w:lang w:val="ru-RU"/>
        </w:rPr>
        <w:t xml:space="preserve">Постановление Национального собрания № </w:t>
      </w:r>
      <w:r>
        <w:rPr>
          <w:szCs w:val="18"/>
          <w:lang w:val="ru-RU"/>
        </w:rPr>
        <w:t>68/2007</w:t>
      </w:r>
      <w:r w:rsidRPr="00454BB1">
        <w:rPr>
          <w:szCs w:val="18"/>
          <w:lang w:val="ru-RU"/>
        </w:rPr>
        <w:t xml:space="preserve"> (</w:t>
      </w:r>
      <w:r w:rsidRPr="00550A9E">
        <w:rPr>
          <w:szCs w:val="18"/>
        </w:rPr>
        <w:t>VI</w:t>
      </w:r>
      <w:r>
        <w:rPr>
          <w:szCs w:val="18"/>
          <w:lang w:val="ru-RU"/>
        </w:rPr>
        <w:t>. 28</w:t>
      </w:r>
      <w:r w:rsidRPr="00454BB1">
        <w:rPr>
          <w:szCs w:val="18"/>
          <w:lang w:val="ru-RU"/>
        </w:rPr>
        <w:t>)</w:t>
      </w:r>
      <w:r>
        <w:rPr>
          <w:szCs w:val="18"/>
          <w:lang w:val="ru-RU"/>
        </w:rPr>
        <w:t xml:space="preserve"> о </w:t>
      </w:r>
      <w:r w:rsidRPr="00454BB1">
        <w:rPr>
          <w:szCs w:val="18"/>
          <w:lang w:val="ru-RU"/>
        </w:rPr>
        <w:t>Стра</w:t>
      </w:r>
      <w:r>
        <w:rPr>
          <w:szCs w:val="18"/>
          <w:lang w:val="ru-RU"/>
        </w:rPr>
        <w:t>тегическом</w:t>
      </w:r>
      <w:r w:rsidRPr="00454BB1">
        <w:rPr>
          <w:szCs w:val="18"/>
          <w:lang w:val="ru-RU"/>
        </w:rPr>
        <w:t xml:space="preserve"> план</w:t>
      </w:r>
      <w:r>
        <w:rPr>
          <w:szCs w:val="18"/>
          <w:lang w:val="ru-RU"/>
        </w:rPr>
        <w:t>е</w:t>
      </w:r>
      <w:r w:rsidRPr="00454BB1">
        <w:rPr>
          <w:szCs w:val="18"/>
          <w:lang w:val="ru-RU"/>
        </w:rPr>
        <w:t xml:space="preserve"> Программы десятилетия интеграции рома</w:t>
      </w:r>
      <w:r>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F" w:rsidRPr="005E0092" w:rsidRDefault="00811EBF">
    <w:pPr>
      <w:pStyle w:val="Header"/>
      <w:rPr>
        <w:lang w:val="en-US"/>
      </w:rPr>
    </w:pPr>
    <w:r>
      <w:rPr>
        <w:lang w:val="en-US"/>
      </w:rPr>
      <w:t>CEDAW/C/HUN/Q/7-8/Add.1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F" w:rsidRPr="005E0092" w:rsidRDefault="00811EBF" w:rsidP="000754D4">
    <w:pPr>
      <w:pStyle w:val="Header"/>
      <w:rPr>
        <w:lang w:val="en-US"/>
      </w:rPr>
    </w:pPr>
    <w:r>
      <w:rPr>
        <w:lang w:val="en-US"/>
      </w:rPr>
      <w:tab/>
      <w:t>CEDAW/C/HUN/Q/7-8/Add.1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90C"/>
    <w:rsid w:val="000033D8"/>
    <w:rsid w:val="00005C1C"/>
    <w:rsid w:val="00016553"/>
    <w:rsid w:val="000233B3"/>
    <w:rsid w:val="00023E9E"/>
    <w:rsid w:val="00026B0C"/>
    <w:rsid w:val="0003638E"/>
    <w:rsid w:val="00036FF2"/>
    <w:rsid w:val="0004010A"/>
    <w:rsid w:val="00043D88"/>
    <w:rsid w:val="00046E4D"/>
    <w:rsid w:val="0006401A"/>
    <w:rsid w:val="00072C27"/>
    <w:rsid w:val="000754D4"/>
    <w:rsid w:val="00086182"/>
    <w:rsid w:val="00090891"/>
    <w:rsid w:val="00092E62"/>
    <w:rsid w:val="00097975"/>
    <w:rsid w:val="000A3DDF"/>
    <w:rsid w:val="000A60A0"/>
    <w:rsid w:val="000A7568"/>
    <w:rsid w:val="000C07FE"/>
    <w:rsid w:val="000C3688"/>
    <w:rsid w:val="000C44A7"/>
    <w:rsid w:val="000D10A5"/>
    <w:rsid w:val="000D6863"/>
    <w:rsid w:val="001010B8"/>
    <w:rsid w:val="00117AEE"/>
    <w:rsid w:val="00130565"/>
    <w:rsid w:val="00133C2F"/>
    <w:rsid w:val="001463F7"/>
    <w:rsid w:val="0015769C"/>
    <w:rsid w:val="00164369"/>
    <w:rsid w:val="00180752"/>
    <w:rsid w:val="00185076"/>
    <w:rsid w:val="0018543C"/>
    <w:rsid w:val="00190231"/>
    <w:rsid w:val="00192ABD"/>
    <w:rsid w:val="001A75D5"/>
    <w:rsid w:val="001A7D40"/>
    <w:rsid w:val="001C6C1D"/>
    <w:rsid w:val="001D07F7"/>
    <w:rsid w:val="001D7B8F"/>
    <w:rsid w:val="001E48EE"/>
    <w:rsid w:val="001E490C"/>
    <w:rsid w:val="001F2D04"/>
    <w:rsid w:val="0020059C"/>
    <w:rsid w:val="002019BD"/>
    <w:rsid w:val="00225F7A"/>
    <w:rsid w:val="00232D42"/>
    <w:rsid w:val="00234792"/>
    <w:rsid w:val="00237334"/>
    <w:rsid w:val="002444F4"/>
    <w:rsid w:val="002629A0"/>
    <w:rsid w:val="00277A40"/>
    <w:rsid w:val="0028492B"/>
    <w:rsid w:val="00291C8F"/>
    <w:rsid w:val="00292480"/>
    <w:rsid w:val="002C5036"/>
    <w:rsid w:val="002C6A71"/>
    <w:rsid w:val="002C6D5F"/>
    <w:rsid w:val="002C7CB4"/>
    <w:rsid w:val="002D15EA"/>
    <w:rsid w:val="002D6C07"/>
    <w:rsid w:val="002E0CE6"/>
    <w:rsid w:val="002E1163"/>
    <w:rsid w:val="002E43F3"/>
    <w:rsid w:val="002F7B5A"/>
    <w:rsid w:val="003215F5"/>
    <w:rsid w:val="00332891"/>
    <w:rsid w:val="0033640E"/>
    <w:rsid w:val="00356BB2"/>
    <w:rsid w:val="00360477"/>
    <w:rsid w:val="00367FC9"/>
    <w:rsid w:val="003711A1"/>
    <w:rsid w:val="00372123"/>
    <w:rsid w:val="00386581"/>
    <w:rsid w:val="00387100"/>
    <w:rsid w:val="003873D5"/>
    <w:rsid w:val="00390C50"/>
    <w:rsid w:val="003951D3"/>
    <w:rsid w:val="003978C6"/>
    <w:rsid w:val="003B40A9"/>
    <w:rsid w:val="003B41BC"/>
    <w:rsid w:val="003C016E"/>
    <w:rsid w:val="003D5EBD"/>
    <w:rsid w:val="003E6810"/>
    <w:rsid w:val="00401CE0"/>
    <w:rsid w:val="00403234"/>
    <w:rsid w:val="00407AC3"/>
    <w:rsid w:val="0041202F"/>
    <w:rsid w:val="00414586"/>
    <w:rsid w:val="00415059"/>
    <w:rsid w:val="00416CE0"/>
    <w:rsid w:val="0042265C"/>
    <w:rsid w:val="00424FDD"/>
    <w:rsid w:val="0043033D"/>
    <w:rsid w:val="00435FE4"/>
    <w:rsid w:val="00457634"/>
    <w:rsid w:val="00474F42"/>
    <w:rsid w:val="0048244D"/>
    <w:rsid w:val="004A0DE8"/>
    <w:rsid w:val="004A226F"/>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1BD2"/>
    <w:rsid w:val="00576F59"/>
    <w:rsid w:val="00577A34"/>
    <w:rsid w:val="00580AAD"/>
    <w:rsid w:val="005823F4"/>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12E31"/>
    <w:rsid w:val="00726B56"/>
    <w:rsid w:val="00735602"/>
    <w:rsid w:val="0075279B"/>
    <w:rsid w:val="00753748"/>
    <w:rsid w:val="00762446"/>
    <w:rsid w:val="00781ACB"/>
    <w:rsid w:val="007A16DD"/>
    <w:rsid w:val="007A79EB"/>
    <w:rsid w:val="007D4CA0"/>
    <w:rsid w:val="007D7A23"/>
    <w:rsid w:val="007E38C3"/>
    <w:rsid w:val="007E549E"/>
    <w:rsid w:val="007E71C9"/>
    <w:rsid w:val="007F7553"/>
    <w:rsid w:val="0080755E"/>
    <w:rsid w:val="00811EBF"/>
    <w:rsid w:val="008120D4"/>
    <w:rsid w:val="008139A5"/>
    <w:rsid w:val="00817F73"/>
    <w:rsid w:val="0082228E"/>
    <w:rsid w:val="00830402"/>
    <w:rsid w:val="008305D7"/>
    <w:rsid w:val="00834887"/>
    <w:rsid w:val="00842D42"/>
    <w:rsid w:val="00842FED"/>
    <w:rsid w:val="008455CF"/>
    <w:rsid w:val="00847689"/>
    <w:rsid w:val="00861C52"/>
    <w:rsid w:val="008727A1"/>
    <w:rsid w:val="00886B0F"/>
    <w:rsid w:val="00891C08"/>
    <w:rsid w:val="008A3879"/>
    <w:rsid w:val="008A5FA8"/>
    <w:rsid w:val="008A6DF0"/>
    <w:rsid w:val="008A7575"/>
    <w:rsid w:val="008B5F47"/>
    <w:rsid w:val="008B759B"/>
    <w:rsid w:val="008C7B87"/>
    <w:rsid w:val="008D6A7A"/>
    <w:rsid w:val="008E3E87"/>
    <w:rsid w:val="008E7F13"/>
    <w:rsid w:val="008F3185"/>
    <w:rsid w:val="00914A8C"/>
    <w:rsid w:val="00915B0A"/>
    <w:rsid w:val="00926904"/>
    <w:rsid w:val="009372F0"/>
    <w:rsid w:val="00947152"/>
    <w:rsid w:val="00955022"/>
    <w:rsid w:val="00957B4D"/>
    <w:rsid w:val="00964EEA"/>
    <w:rsid w:val="0096683D"/>
    <w:rsid w:val="00980C86"/>
    <w:rsid w:val="009B1D9B"/>
    <w:rsid w:val="009B4074"/>
    <w:rsid w:val="009C30BB"/>
    <w:rsid w:val="009C4E83"/>
    <w:rsid w:val="009C60BE"/>
    <w:rsid w:val="009D36A0"/>
    <w:rsid w:val="009E6279"/>
    <w:rsid w:val="009F00A6"/>
    <w:rsid w:val="009F56A7"/>
    <w:rsid w:val="009F5B05"/>
    <w:rsid w:val="00A026CA"/>
    <w:rsid w:val="00A07232"/>
    <w:rsid w:val="00A14800"/>
    <w:rsid w:val="00A156DE"/>
    <w:rsid w:val="00A157ED"/>
    <w:rsid w:val="00A2446A"/>
    <w:rsid w:val="00A4025D"/>
    <w:rsid w:val="00A75FCF"/>
    <w:rsid w:val="00A800D1"/>
    <w:rsid w:val="00A92699"/>
    <w:rsid w:val="00AB5BF0"/>
    <w:rsid w:val="00AB673F"/>
    <w:rsid w:val="00AC1C95"/>
    <w:rsid w:val="00AC2CCB"/>
    <w:rsid w:val="00AC443A"/>
    <w:rsid w:val="00AD1A7B"/>
    <w:rsid w:val="00AE4239"/>
    <w:rsid w:val="00AE60E2"/>
    <w:rsid w:val="00AF6989"/>
    <w:rsid w:val="00B0169F"/>
    <w:rsid w:val="00B05F21"/>
    <w:rsid w:val="00B14EA9"/>
    <w:rsid w:val="00B30A3C"/>
    <w:rsid w:val="00B81305"/>
    <w:rsid w:val="00B8138B"/>
    <w:rsid w:val="00B81AB5"/>
    <w:rsid w:val="00BB17DC"/>
    <w:rsid w:val="00BB1AF9"/>
    <w:rsid w:val="00BB4C4A"/>
    <w:rsid w:val="00BD3CAE"/>
    <w:rsid w:val="00BD5F3C"/>
    <w:rsid w:val="00BE74D7"/>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35DC0"/>
    <w:rsid w:val="00D6236B"/>
    <w:rsid w:val="00D809D1"/>
    <w:rsid w:val="00D84ECF"/>
    <w:rsid w:val="00DA2851"/>
    <w:rsid w:val="00DA2B7C"/>
    <w:rsid w:val="00DA5686"/>
    <w:rsid w:val="00DB2FC0"/>
    <w:rsid w:val="00DD1B6F"/>
    <w:rsid w:val="00DE2534"/>
    <w:rsid w:val="00DE78B9"/>
    <w:rsid w:val="00DF18FA"/>
    <w:rsid w:val="00DF49CA"/>
    <w:rsid w:val="00DF775B"/>
    <w:rsid w:val="00E007F3"/>
    <w:rsid w:val="00E00DEA"/>
    <w:rsid w:val="00E06EF0"/>
    <w:rsid w:val="00E11679"/>
    <w:rsid w:val="00E307D1"/>
    <w:rsid w:val="00E46A04"/>
    <w:rsid w:val="00E56973"/>
    <w:rsid w:val="00E717F3"/>
    <w:rsid w:val="00E72C5E"/>
    <w:rsid w:val="00E73451"/>
    <w:rsid w:val="00E7489F"/>
    <w:rsid w:val="00E75147"/>
    <w:rsid w:val="00E8167D"/>
    <w:rsid w:val="00E907E9"/>
    <w:rsid w:val="00E96BE7"/>
    <w:rsid w:val="00EA2CD0"/>
    <w:rsid w:val="00EB4332"/>
    <w:rsid w:val="00EC0044"/>
    <w:rsid w:val="00EC6B9F"/>
    <w:rsid w:val="00EE516D"/>
    <w:rsid w:val="00EF4D1B"/>
    <w:rsid w:val="00EF7295"/>
    <w:rsid w:val="00F069D1"/>
    <w:rsid w:val="00F1053E"/>
    <w:rsid w:val="00F1503D"/>
    <w:rsid w:val="00F22712"/>
    <w:rsid w:val="00F275F5"/>
    <w:rsid w:val="00F33188"/>
    <w:rsid w:val="00F3569A"/>
    <w:rsid w:val="00F35BDE"/>
    <w:rsid w:val="00F52A0E"/>
    <w:rsid w:val="00F71F63"/>
    <w:rsid w:val="00F87506"/>
    <w:rsid w:val="00F92C41"/>
    <w:rsid w:val="00FA5522"/>
    <w:rsid w:val="00FA6E4A"/>
    <w:rsid w:val="00FA6F77"/>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b.kormany.h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41</Pages>
  <Words>17819</Words>
  <Characters>101572</Characters>
  <Application>Microsoft Office Word</Application>
  <DocSecurity>4</DocSecurity>
  <Lines>846</Lines>
  <Paragraphs>238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119153</CharactersWithSpaces>
  <SharedDoc>false</SharedDoc>
  <HLinks>
    <vt:vector size="6" baseType="variant">
      <vt:variant>
        <vt:i4>8060961</vt:i4>
      </vt:variant>
      <vt:variant>
        <vt:i4>10</vt:i4>
      </vt:variant>
      <vt:variant>
        <vt:i4>0</vt:i4>
      </vt:variant>
      <vt:variant>
        <vt:i4>5</vt:i4>
      </vt:variant>
      <vt:variant>
        <vt:lpwstr>http://www.thb.kormany.hu/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Анна Киселева</dc:creator>
  <cp:keywords/>
  <dc:description/>
  <cp:lastModifiedBy>Анна Киселева</cp:lastModifiedBy>
  <cp:revision>2</cp:revision>
  <cp:lastPrinted>2013-01-07T10:19:00Z</cp:lastPrinted>
  <dcterms:created xsi:type="dcterms:W3CDTF">2013-01-08T15:08:00Z</dcterms:created>
  <dcterms:modified xsi:type="dcterms:W3CDTF">2013-01-08T15:08:00Z</dcterms:modified>
</cp:coreProperties>
</file>