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8943" w14:textId="77777777" w:rsidR="00C959FC" w:rsidRPr="0037157A" w:rsidRDefault="00C959FC" w:rsidP="00C959FC">
      <w:pPr>
        <w:spacing w:line="240" w:lineRule="auto"/>
        <w:rPr>
          <w:sz w:val="2"/>
          <w:lang w:val="fr-FR"/>
        </w:rPr>
        <w:sectPr w:rsidR="00C959FC" w:rsidRPr="0037157A" w:rsidSect="002E0B8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37157A">
        <w:rPr>
          <w:rStyle w:val="CommentReference"/>
          <w:lang w:val="fr-FR"/>
        </w:rPr>
        <w:commentReference w:id="0"/>
      </w:r>
    </w:p>
    <w:p w14:paraId="47D46E5E" w14:textId="64CFDEDC" w:rsidR="002E0B8B" w:rsidRPr="0037157A" w:rsidRDefault="002E0B8B" w:rsidP="002E0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37157A">
        <w:rPr>
          <w:lang w:val="fr-FR"/>
        </w:rPr>
        <w:t>Comité pour l</w:t>
      </w:r>
      <w:r w:rsidR="004471C3" w:rsidRPr="0037157A">
        <w:rPr>
          <w:lang w:val="fr-FR"/>
        </w:rPr>
        <w:t>’</w:t>
      </w:r>
      <w:r w:rsidRPr="0037157A">
        <w:rPr>
          <w:lang w:val="fr-FR"/>
        </w:rPr>
        <w:t>élimination de la discrimination à l</w:t>
      </w:r>
      <w:r w:rsidR="004471C3" w:rsidRPr="0037157A">
        <w:rPr>
          <w:lang w:val="fr-FR"/>
        </w:rPr>
        <w:t>’</w:t>
      </w:r>
      <w:r w:rsidRPr="0037157A">
        <w:rPr>
          <w:lang w:val="fr-FR"/>
        </w:rPr>
        <w:t>égard des femmes</w:t>
      </w:r>
    </w:p>
    <w:p w14:paraId="3B9AD607" w14:textId="77777777" w:rsidR="002E0B8B" w:rsidRPr="0037157A" w:rsidRDefault="002E0B8B" w:rsidP="002E0B8B">
      <w:pPr>
        <w:pStyle w:val="Session"/>
      </w:pPr>
      <w:r w:rsidRPr="0037157A">
        <w:t>Quatre-vingt-deuxième session</w:t>
      </w:r>
    </w:p>
    <w:p w14:paraId="3E11A821" w14:textId="77777777" w:rsidR="002E0B8B" w:rsidRPr="0037157A" w:rsidRDefault="002E0B8B" w:rsidP="002E0B8B">
      <w:pPr>
        <w:rPr>
          <w:lang w:val="fr-FR"/>
        </w:rPr>
      </w:pPr>
      <w:r w:rsidRPr="0037157A">
        <w:rPr>
          <w:lang w:val="fr-FR"/>
        </w:rPr>
        <w:t>13 juin-1</w:t>
      </w:r>
      <w:r w:rsidRPr="0037157A">
        <w:rPr>
          <w:vertAlign w:val="superscript"/>
          <w:lang w:val="fr-FR"/>
        </w:rPr>
        <w:t>er </w:t>
      </w:r>
      <w:r w:rsidRPr="0037157A">
        <w:rPr>
          <w:lang w:val="fr-FR"/>
        </w:rPr>
        <w:t>juillet 2022</w:t>
      </w:r>
    </w:p>
    <w:p w14:paraId="466BCECF" w14:textId="0B2380A8" w:rsidR="002E0B8B" w:rsidRPr="0037157A" w:rsidRDefault="002E0B8B" w:rsidP="002E0B8B">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7157A">
        <w:rPr>
          <w:lang w:val="fr-FR"/>
        </w:rPr>
        <w:t>Point 4 de l</w:t>
      </w:r>
      <w:r w:rsidR="004471C3" w:rsidRPr="0037157A">
        <w:rPr>
          <w:lang w:val="fr-FR"/>
        </w:rPr>
        <w:t>’</w:t>
      </w:r>
      <w:r w:rsidRPr="0037157A">
        <w:rPr>
          <w:lang w:val="fr-FR"/>
        </w:rPr>
        <w:t>ordre du jour provisoire</w:t>
      </w:r>
    </w:p>
    <w:p w14:paraId="30E9A65B" w14:textId="60B800C3" w:rsidR="002E0B8B" w:rsidRPr="0037157A" w:rsidRDefault="002E0B8B" w:rsidP="002E0B8B">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rPr>
          <w:lang w:val="fr-FR"/>
        </w:rPr>
      </w:pPr>
      <w:r w:rsidRPr="0037157A">
        <w:rPr>
          <w:lang w:val="fr-FR"/>
        </w:rPr>
        <w:t>Examen des rapports soumis par les États parties en application de l</w:t>
      </w:r>
      <w:r w:rsidR="004471C3" w:rsidRPr="0037157A">
        <w:rPr>
          <w:lang w:val="fr-FR"/>
        </w:rPr>
        <w:t>’</w:t>
      </w:r>
      <w:r w:rsidRPr="0037157A">
        <w:rPr>
          <w:lang w:val="fr-FR"/>
        </w:rPr>
        <w:t>article 18 de la Convention sur l</w:t>
      </w:r>
      <w:r w:rsidR="004471C3" w:rsidRPr="0037157A">
        <w:rPr>
          <w:lang w:val="fr-FR"/>
        </w:rPr>
        <w:t>’</w:t>
      </w:r>
      <w:r w:rsidRPr="0037157A">
        <w:rPr>
          <w:lang w:val="fr-FR"/>
        </w:rPr>
        <w:t>élimination de toutes les formes de discrimination à l</w:t>
      </w:r>
      <w:r w:rsidR="004471C3" w:rsidRPr="0037157A">
        <w:rPr>
          <w:lang w:val="fr-FR"/>
        </w:rPr>
        <w:t>’</w:t>
      </w:r>
      <w:r w:rsidRPr="0037157A">
        <w:rPr>
          <w:lang w:val="fr-FR"/>
        </w:rPr>
        <w:t>égard des femmes</w:t>
      </w:r>
    </w:p>
    <w:p w14:paraId="0E9FABA8" w14:textId="0EF1B811" w:rsidR="002E0B8B" w:rsidRPr="0037157A" w:rsidRDefault="002E0B8B" w:rsidP="002E0B8B">
      <w:pPr>
        <w:pStyle w:val="SingleTxt"/>
        <w:spacing w:after="0" w:line="120" w:lineRule="exact"/>
        <w:rPr>
          <w:sz w:val="10"/>
          <w:lang w:val="fr-FR"/>
        </w:rPr>
      </w:pPr>
    </w:p>
    <w:p w14:paraId="6A2F2A88" w14:textId="2E7F92C0" w:rsidR="002E0B8B" w:rsidRPr="0037157A" w:rsidRDefault="002E0B8B" w:rsidP="002E0B8B">
      <w:pPr>
        <w:pStyle w:val="SingleTxt"/>
        <w:spacing w:after="0" w:line="120" w:lineRule="exact"/>
        <w:rPr>
          <w:sz w:val="10"/>
          <w:lang w:val="fr-FR"/>
        </w:rPr>
      </w:pPr>
    </w:p>
    <w:p w14:paraId="6F2DA671" w14:textId="45571CF6" w:rsidR="002E0B8B" w:rsidRPr="0037157A" w:rsidRDefault="002E0B8B" w:rsidP="002E0B8B">
      <w:pPr>
        <w:pStyle w:val="SingleTxt"/>
        <w:spacing w:after="0" w:line="120" w:lineRule="exact"/>
        <w:rPr>
          <w:sz w:val="10"/>
          <w:lang w:val="fr-FR"/>
        </w:rPr>
      </w:pPr>
    </w:p>
    <w:p w14:paraId="48537E31" w14:textId="3CBDB740" w:rsidR="002E0B8B" w:rsidRPr="0037157A" w:rsidRDefault="002E0B8B" w:rsidP="002E0B8B">
      <w:pPr>
        <w:framePr w:w="9792" w:h="432" w:hSpace="180" w:wrap="around" w:vAnchor="page" w:hAnchor="page" w:x="1177" w:y="1361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37157A">
        <w:rPr>
          <w:noProof/>
          <w:w w:val="100"/>
          <w:lang w:val="fr-FR"/>
        </w:rPr>
        <mc:AlternateContent>
          <mc:Choice Requires="wps">
            <w:drawing>
              <wp:anchor distT="0" distB="0" distL="114300" distR="114300" simplePos="0" relativeHeight="251659264" behindDoc="0" locked="0" layoutInCell="1" allowOverlap="1" wp14:anchorId="7110CD9E" wp14:editId="0A32EDB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B9F4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7157A">
        <w:rPr>
          <w:spacing w:val="5"/>
          <w:w w:val="104"/>
          <w:sz w:val="17"/>
          <w:szCs w:val="20"/>
          <w:lang w:val="fr-FR"/>
        </w:rPr>
        <w:tab/>
        <w:t>*</w:t>
      </w:r>
      <w:r w:rsidRPr="0037157A">
        <w:rPr>
          <w:spacing w:val="5"/>
          <w:w w:val="104"/>
          <w:sz w:val="17"/>
          <w:szCs w:val="20"/>
          <w:lang w:val="fr-FR"/>
        </w:rPr>
        <w:tab/>
        <w:t>La version originale du présent document n</w:t>
      </w:r>
      <w:r w:rsidR="004471C3" w:rsidRPr="0037157A">
        <w:rPr>
          <w:spacing w:val="5"/>
          <w:w w:val="104"/>
          <w:sz w:val="17"/>
          <w:szCs w:val="20"/>
          <w:lang w:val="fr-FR"/>
        </w:rPr>
        <w:t>’</w:t>
      </w:r>
      <w:r w:rsidRPr="0037157A">
        <w:rPr>
          <w:spacing w:val="5"/>
          <w:w w:val="104"/>
          <w:sz w:val="17"/>
          <w:szCs w:val="20"/>
          <w:lang w:val="fr-FR"/>
        </w:rPr>
        <w:t>a pas été revue par les services d</w:t>
      </w:r>
      <w:r w:rsidR="004471C3" w:rsidRPr="0037157A">
        <w:rPr>
          <w:spacing w:val="5"/>
          <w:w w:val="104"/>
          <w:sz w:val="17"/>
          <w:szCs w:val="20"/>
          <w:lang w:val="fr-FR"/>
        </w:rPr>
        <w:t>’</w:t>
      </w:r>
      <w:r w:rsidRPr="0037157A">
        <w:rPr>
          <w:spacing w:val="5"/>
          <w:w w:val="104"/>
          <w:sz w:val="17"/>
          <w:szCs w:val="20"/>
          <w:lang w:val="fr-FR"/>
        </w:rPr>
        <w:t>édition.</w:t>
      </w:r>
    </w:p>
    <w:p w14:paraId="3EFB8BD6" w14:textId="6E29A671" w:rsidR="002E0B8B" w:rsidRPr="0037157A" w:rsidRDefault="002E0B8B" w:rsidP="002E0B8B">
      <w:pPr>
        <w:framePr w:w="9792" w:h="432" w:hSpace="180" w:wrap="around" w:vAnchor="page" w:hAnchor="page" w:x="1177" w:y="1361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lang w:val="fr-FR"/>
        </w:rPr>
      </w:pPr>
      <w:r w:rsidRPr="0037157A">
        <w:rPr>
          <w:spacing w:val="5"/>
          <w:w w:val="104"/>
          <w:sz w:val="17"/>
          <w:szCs w:val="20"/>
          <w:lang w:val="fr-FR"/>
        </w:rPr>
        <w:tab/>
        <w:t>**</w:t>
      </w:r>
      <w:r w:rsidRPr="0037157A">
        <w:rPr>
          <w:spacing w:val="5"/>
          <w:w w:val="104"/>
          <w:sz w:val="17"/>
          <w:szCs w:val="20"/>
          <w:lang w:val="fr-FR"/>
        </w:rPr>
        <w:tab/>
        <w:t>Les annexes au présent document peuvent être consultées sur le site Web du Comité.</w:t>
      </w:r>
    </w:p>
    <w:p w14:paraId="1E890128" w14:textId="28D2D47C" w:rsidR="002E0B8B" w:rsidRPr="0037157A" w:rsidRDefault="002E0B8B" w:rsidP="002E0B8B">
      <w:pPr>
        <w:pStyle w:val="TitleHCH"/>
        <w:ind w:right="1260"/>
        <w:rPr>
          <w:lang w:val="fr-FR"/>
        </w:rPr>
      </w:pPr>
      <w:r w:rsidRPr="0037157A">
        <w:rPr>
          <w:lang w:val="fr-FR"/>
        </w:rPr>
        <w:tab/>
      </w:r>
      <w:r w:rsidRPr="0037157A">
        <w:rPr>
          <w:lang w:val="fr-FR"/>
        </w:rPr>
        <w:tab/>
        <w:t>Réponses de la Hongrie à la liste de points et de questions concernant son neuvième rapport périodique</w:t>
      </w:r>
      <w:r w:rsidRPr="0037157A">
        <w:rPr>
          <w:sz w:val="20"/>
          <w:szCs w:val="20"/>
          <w:lang w:val="fr-FR"/>
        </w:rPr>
        <w:t>*, **</w:t>
      </w:r>
    </w:p>
    <w:p w14:paraId="53D42E7A" w14:textId="77777777" w:rsidR="002E0B8B" w:rsidRPr="0037157A" w:rsidRDefault="002E0B8B" w:rsidP="002E0B8B">
      <w:pPr>
        <w:pStyle w:val="SingleTxt"/>
        <w:spacing w:after="0" w:line="120" w:lineRule="exact"/>
        <w:rPr>
          <w:sz w:val="10"/>
          <w:lang w:val="fr-FR"/>
        </w:rPr>
      </w:pPr>
    </w:p>
    <w:p w14:paraId="5F21A160" w14:textId="77777777" w:rsidR="002E0B8B" w:rsidRPr="0037157A" w:rsidRDefault="002E0B8B" w:rsidP="002E0B8B">
      <w:pPr>
        <w:pStyle w:val="SingleTxt"/>
        <w:spacing w:after="0" w:line="120" w:lineRule="exact"/>
        <w:rPr>
          <w:sz w:val="10"/>
          <w:lang w:val="fr-FR"/>
        </w:rPr>
      </w:pPr>
    </w:p>
    <w:p w14:paraId="08FE2D0F" w14:textId="68E74FEB" w:rsidR="002E0B8B" w:rsidRPr="002E0B8B" w:rsidRDefault="002E0B8B" w:rsidP="002E0B8B">
      <w:pPr>
        <w:pStyle w:val="SingleTxt"/>
        <w:jc w:val="right"/>
        <w:rPr>
          <w:lang w:val="fr-FR"/>
        </w:rPr>
      </w:pPr>
      <w:r w:rsidRPr="002E0B8B">
        <w:rPr>
          <w:lang w:val="fr-FR"/>
        </w:rPr>
        <w:t>[Date de réception</w:t>
      </w:r>
      <w:r w:rsidR="004471C3" w:rsidRPr="0037157A">
        <w:rPr>
          <w:lang w:val="fr-FR"/>
        </w:rPr>
        <w:t> :</w:t>
      </w:r>
      <w:r w:rsidRPr="002E0B8B">
        <w:rPr>
          <w:lang w:val="fr-FR"/>
        </w:rPr>
        <w:t xml:space="preserve"> 9 juillet 2021]</w:t>
      </w:r>
    </w:p>
    <w:p w14:paraId="1A133D8B" w14:textId="77777777" w:rsidR="002E0B8B" w:rsidRPr="002E0B8B" w:rsidRDefault="002E0B8B" w:rsidP="002E0B8B">
      <w:pPr>
        <w:pStyle w:val="SingleTxt"/>
        <w:rPr>
          <w:lang w:val="fr-FR"/>
        </w:rPr>
      </w:pPr>
      <w:r w:rsidRPr="002E0B8B">
        <w:rPr>
          <w:lang w:val="fr-FR"/>
        </w:rPr>
        <w:br w:type="page"/>
      </w:r>
    </w:p>
    <w:p w14:paraId="0D37A4BE" w14:textId="77777777" w:rsidR="002E0B8B" w:rsidRPr="0037157A" w:rsidRDefault="002E0B8B" w:rsidP="002E0B8B">
      <w:pPr>
        <w:pStyle w:val="HCH"/>
        <w:spacing w:after="120"/>
        <w:rPr>
          <w:lang w:val="fr-FR"/>
        </w:rPr>
      </w:pPr>
      <w:r w:rsidRPr="0037157A">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E0B8B" w:rsidRPr="0037157A" w14:paraId="09FAE555" w14:textId="77777777" w:rsidTr="002E0B8B">
        <w:tc>
          <w:tcPr>
            <w:tcW w:w="1060" w:type="dxa"/>
            <w:shd w:val="clear" w:color="auto" w:fill="auto"/>
          </w:tcPr>
          <w:p w14:paraId="6434290A" w14:textId="3A70AB0C" w:rsidR="002E0B8B" w:rsidRPr="0037157A" w:rsidRDefault="002E0B8B" w:rsidP="002E0B8B">
            <w:pPr>
              <w:spacing w:after="120" w:line="240" w:lineRule="auto"/>
              <w:jc w:val="right"/>
              <w:rPr>
                <w:i/>
                <w:sz w:val="14"/>
                <w:lang w:val="fr-FR"/>
              </w:rPr>
            </w:pPr>
          </w:p>
        </w:tc>
        <w:tc>
          <w:tcPr>
            <w:tcW w:w="7315" w:type="dxa"/>
            <w:shd w:val="clear" w:color="auto" w:fill="auto"/>
          </w:tcPr>
          <w:p w14:paraId="40174DC2" w14:textId="77777777" w:rsidR="002E0B8B" w:rsidRPr="0037157A" w:rsidRDefault="002E0B8B" w:rsidP="002E0B8B">
            <w:pPr>
              <w:spacing w:after="120" w:line="240" w:lineRule="auto"/>
              <w:rPr>
                <w:i/>
                <w:sz w:val="14"/>
                <w:lang w:val="fr-FR"/>
              </w:rPr>
            </w:pPr>
          </w:p>
        </w:tc>
        <w:tc>
          <w:tcPr>
            <w:tcW w:w="994" w:type="dxa"/>
            <w:shd w:val="clear" w:color="auto" w:fill="auto"/>
          </w:tcPr>
          <w:p w14:paraId="590EDF3F" w14:textId="0F5EB35E" w:rsidR="002E0B8B" w:rsidRPr="0037157A" w:rsidRDefault="002E0B8B" w:rsidP="002E0B8B">
            <w:pPr>
              <w:spacing w:after="120" w:line="240" w:lineRule="auto"/>
              <w:jc w:val="right"/>
              <w:rPr>
                <w:i/>
                <w:sz w:val="14"/>
                <w:lang w:val="fr-FR"/>
              </w:rPr>
            </w:pPr>
          </w:p>
        </w:tc>
        <w:tc>
          <w:tcPr>
            <w:tcW w:w="533" w:type="dxa"/>
            <w:shd w:val="clear" w:color="auto" w:fill="auto"/>
          </w:tcPr>
          <w:p w14:paraId="2A975093" w14:textId="464091B9" w:rsidR="002E0B8B" w:rsidRPr="0037157A" w:rsidRDefault="002E0B8B" w:rsidP="002E0B8B">
            <w:pPr>
              <w:spacing w:after="120" w:line="240" w:lineRule="auto"/>
              <w:jc w:val="right"/>
              <w:rPr>
                <w:i/>
                <w:sz w:val="14"/>
                <w:lang w:val="fr-FR"/>
              </w:rPr>
            </w:pPr>
            <w:r w:rsidRPr="0037157A">
              <w:rPr>
                <w:i/>
                <w:sz w:val="14"/>
                <w:lang w:val="fr-FR"/>
              </w:rPr>
              <w:t>Page</w:t>
            </w:r>
          </w:p>
        </w:tc>
      </w:tr>
      <w:tr w:rsidR="002E0B8B" w:rsidRPr="0037157A" w14:paraId="0C94904E" w14:textId="77777777" w:rsidTr="002E0B8B">
        <w:tc>
          <w:tcPr>
            <w:tcW w:w="9369" w:type="dxa"/>
            <w:gridSpan w:val="3"/>
            <w:shd w:val="clear" w:color="auto" w:fill="auto"/>
          </w:tcPr>
          <w:p w14:paraId="73992922" w14:textId="3E9441F5" w:rsidR="002E0B8B" w:rsidRPr="0037157A" w:rsidRDefault="00D0042C" w:rsidP="00D0042C">
            <w:pPr>
              <w:pStyle w:val="ListParagraph"/>
              <w:numPr>
                <w:ilvl w:val="0"/>
                <w:numId w:val="5"/>
              </w:numPr>
              <w:tabs>
                <w:tab w:val="left" w:pos="1296"/>
                <w:tab w:val="left" w:pos="1728"/>
                <w:tab w:val="left" w:pos="2160"/>
                <w:tab w:val="right" w:leader="dot" w:pos="9360"/>
              </w:tabs>
              <w:suppressAutoHyphens/>
              <w:spacing w:after="120"/>
              <w:rPr>
                <w:bCs/>
                <w:lang w:val="fr-FR"/>
              </w:rPr>
            </w:pPr>
            <w:r w:rsidRPr="00D0042C">
              <w:rPr>
                <w:bCs/>
                <w:lang w:val="fr-FR"/>
              </w:rPr>
              <w:t>Introduction</w:t>
            </w:r>
            <w:r w:rsidRPr="0037157A">
              <w:rPr>
                <w:bCs/>
                <w:spacing w:val="60"/>
                <w:sz w:val="17"/>
                <w:lang w:val="fr-FR"/>
              </w:rPr>
              <w:tab/>
            </w:r>
          </w:p>
        </w:tc>
        <w:tc>
          <w:tcPr>
            <w:tcW w:w="533" w:type="dxa"/>
            <w:shd w:val="clear" w:color="auto" w:fill="auto"/>
            <w:vAlign w:val="bottom"/>
          </w:tcPr>
          <w:p w14:paraId="55CBF576" w14:textId="69D87649" w:rsidR="002E0B8B" w:rsidRPr="0037157A" w:rsidRDefault="00D0042C" w:rsidP="002E0B8B">
            <w:pPr>
              <w:spacing w:after="120"/>
              <w:ind w:right="40"/>
              <w:jc w:val="right"/>
              <w:rPr>
                <w:lang w:val="fr-FR"/>
              </w:rPr>
            </w:pPr>
            <w:r w:rsidRPr="0037157A">
              <w:rPr>
                <w:lang w:val="fr-FR"/>
              </w:rPr>
              <w:t>3</w:t>
            </w:r>
          </w:p>
        </w:tc>
      </w:tr>
      <w:tr w:rsidR="002E0B8B" w:rsidRPr="0037157A" w14:paraId="48EF977C" w14:textId="77777777" w:rsidTr="002E0B8B">
        <w:tc>
          <w:tcPr>
            <w:tcW w:w="9369" w:type="dxa"/>
            <w:gridSpan w:val="3"/>
            <w:shd w:val="clear" w:color="auto" w:fill="auto"/>
          </w:tcPr>
          <w:p w14:paraId="481FD6FB" w14:textId="0A0BA4CD" w:rsidR="002E0B8B" w:rsidRPr="0037157A" w:rsidRDefault="00D0042C" w:rsidP="00D0042C">
            <w:pPr>
              <w:pStyle w:val="ListParagraph"/>
              <w:numPr>
                <w:ilvl w:val="0"/>
                <w:numId w:val="5"/>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bCs/>
                <w:lang w:val="fr-FR"/>
              </w:rPr>
            </w:pPr>
            <w:r w:rsidRPr="00D0042C">
              <w:rPr>
                <w:bCs/>
                <w:lang w:val="fr-FR"/>
              </w:rPr>
              <w:t>Réponses à la liste de points et de questions</w:t>
            </w:r>
            <w:r w:rsidRPr="0037157A">
              <w:rPr>
                <w:bCs/>
                <w:spacing w:val="60"/>
                <w:sz w:val="17"/>
                <w:lang w:val="fr-FR"/>
              </w:rPr>
              <w:tab/>
            </w:r>
          </w:p>
        </w:tc>
        <w:tc>
          <w:tcPr>
            <w:tcW w:w="533" w:type="dxa"/>
            <w:shd w:val="clear" w:color="auto" w:fill="auto"/>
            <w:vAlign w:val="bottom"/>
          </w:tcPr>
          <w:p w14:paraId="0887485C" w14:textId="303EB240" w:rsidR="002E0B8B" w:rsidRPr="0037157A" w:rsidRDefault="00D0042C" w:rsidP="002E0B8B">
            <w:pPr>
              <w:spacing w:after="120"/>
              <w:ind w:right="40"/>
              <w:jc w:val="right"/>
              <w:rPr>
                <w:lang w:val="fr-FR"/>
              </w:rPr>
            </w:pPr>
            <w:r w:rsidRPr="0037157A">
              <w:rPr>
                <w:lang w:val="fr-FR"/>
              </w:rPr>
              <w:t>3</w:t>
            </w:r>
          </w:p>
        </w:tc>
      </w:tr>
      <w:tr w:rsidR="002E0B8B" w:rsidRPr="0037157A" w14:paraId="537710F3" w14:textId="77777777" w:rsidTr="002E0B8B">
        <w:tc>
          <w:tcPr>
            <w:tcW w:w="9369" w:type="dxa"/>
            <w:gridSpan w:val="3"/>
            <w:shd w:val="clear" w:color="auto" w:fill="auto"/>
          </w:tcPr>
          <w:p w14:paraId="149BE180" w14:textId="79B57D06" w:rsidR="002E0B8B" w:rsidRPr="0037157A" w:rsidRDefault="002E0B8B" w:rsidP="00D0042C">
            <w:pPr>
              <w:pStyle w:val="ListParagraph"/>
              <w:tabs>
                <w:tab w:val="left" w:pos="1296"/>
                <w:tab w:val="left" w:pos="1800"/>
                <w:tab w:val="left" w:pos="2160"/>
                <w:tab w:val="right" w:leader="dot" w:pos="9360"/>
              </w:tabs>
              <w:suppressAutoHyphens/>
              <w:spacing w:after="120"/>
              <w:ind w:left="1728" w:hanging="288"/>
              <w:rPr>
                <w:bCs/>
                <w:spacing w:val="60"/>
                <w:sz w:val="17"/>
                <w:lang w:val="fr-FR"/>
              </w:rPr>
            </w:pPr>
            <w:r w:rsidRPr="0037157A">
              <w:rPr>
                <w:bCs/>
                <w:lang w:val="fr-FR"/>
              </w:rPr>
              <w:tab/>
            </w:r>
            <w:r w:rsidR="00D0042C" w:rsidRPr="00D0042C">
              <w:rPr>
                <w:bCs/>
                <w:lang w:val="fr-FR"/>
              </w:rPr>
              <w:t>Visibilité de la Convention, du Protocole facultatif et des recommandations générales du Comité</w:t>
            </w:r>
            <w:r w:rsidR="00D0042C" w:rsidRPr="0037157A">
              <w:rPr>
                <w:bCs/>
                <w:spacing w:val="60"/>
                <w:sz w:val="17"/>
                <w:lang w:val="fr-FR"/>
              </w:rPr>
              <w:tab/>
            </w:r>
          </w:p>
        </w:tc>
        <w:tc>
          <w:tcPr>
            <w:tcW w:w="533" w:type="dxa"/>
            <w:shd w:val="clear" w:color="auto" w:fill="auto"/>
            <w:vAlign w:val="bottom"/>
          </w:tcPr>
          <w:p w14:paraId="3B269D8D" w14:textId="70491205" w:rsidR="002E0B8B" w:rsidRPr="0037157A" w:rsidRDefault="00D0042C" w:rsidP="002E0B8B">
            <w:pPr>
              <w:spacing w:after="120"/>
              <w:ind w:right="40"/>
              <w:jc w:val="right"/>
              <w:rPr>
                <w:lang w:val="fr-FR"/>
              </w:rPr>
            </w:pPr>
            <w:r w:rsidRPr="0037157A">
              <w:rPr>
                <w:lang w:val="fr-FR"/>
              </w:rPr>
              <w:t>3</w:t>
            </w:r>
          </w:p>
        </w:tc>
      </w:tr>
      <w:tr w:rsidR="002E0B8B" w:rsidRPr="0037157A" w14:paraId="042760B9" w14:textId="77777777" w:rsidTr="002E0B8B">
        <w:tc>
          <w:tcPr>
            <w:tcW w:w="9369" w:type="dxa"/>
            <w:gridSpan w:val="3"/>
            <w:shd w:val="clear" w:color="auto" w:fill="auto"/>
          </w:tcPr>
          <w:p w14:paraId="349958DF" w14:textId="6E1DE26E" w:rsidR="002E0B8B" w:rsidRPr="0037157A" w:rsidRDefault="002E0B8B" w:rsidP="00D0042C">
            <w:pPr>
              <w:pStyle w:val="ListParagraph"/>
              <w:tabs>
                <w:tab w:val="left" w:pos="1296"/>
                <w:tab w:val="left" w:pos="1728"/>
                <w:tab w:val="left" w:pos="2160"/>
                <w:tab w:val="left" w:pos="2592"/>
                <w:tab w:val="right" w:leader="dot" w:pos="9360"/>
              </w:tabs>
              <w:suppressAutoHyphens/>
              <w:spacing w:after="120"/>
              <w:ind w:left="1728" w:hanging="288"/>
              <w:rPr>
                <w:spacing w:val="60"/>
                <w:sz w:val="17"/>
                <w:lang w:val="fr-FR"/>
              </w:rPr>
            </w:pPr>
            <w:r w:rsidRPr="0037157A">
              <w:rPr>
                <w:lang w:val="fr-FR"/>
              </w:rPr>
              <w:tab/>
            </w:r>
            <w:r w:rsidR="00D0042C" w:rsidRPr="00D0042C">
              <w:rPr>
                <w:lang w:val="fr-FR"/>
              </w:rPr>
              <w:t>Incidences de la pandémie sur les droits des femmes et l</w:t>
            </w:r>
            <w:r w:rsidR="00D0042C" w:rsidRPr="0037157A">
              <w:rPr>
                <w:lang w:val="fr-FR"/>
              </w:rPr>
              <w:t>’</w:t>
            </w:r>
            <w:r w:rsidR="00D0042C" w:rsidRPr="00D0042C">
              <w:rPr>
                <w:lang w:val="fr-FR"/>
              </w:rPr>
              <w:t>égalité des genres</w:t>
            </w:r>
            <w:r w:rsidR="00D0042C" w:rsidRPr="0037157A">
              <w:rPr>
                <w:spacing w:val="60"/>
                <w:sz w:val="17"/>
                <w:lang w:val="fr-FR"/>
              </w:rPr>
              <w:tab/>
            </w:r>
          </w:p>
        </w:tc>
        <w:tc>
          <w:tcPr>
            <w:tcW w:w="533" w:type="dxa"/>
            <w:shd w:val="clear" w:color="auto" w:fill="auto"/>
            <w:vAlign w:val="bottom"/>
          </w:tcPr>
          <w:p w14:paraId="79F34191" w14:textId="56A9D1E2" w:rsidR="002E0B8B" w:rsidRPr="0037157A" w:rsidRDefault="00D0042C" w:rsidP="00D0042C">
            <w:pPr>
              <w:spacing w:after="120"/>
              <w:ind w:right="40"/>
              <w:jc w:val="right"/>
              <w:rPr>
                <w:lang w:val="fr-FR"/>
              </w:rPr>
            </w:pPr>
            <w:r w:rsidRPr="0037157A">
              <w:rPr>
                <w:lang w:val="fr-FR"/>
              </w:rPr>
              <w:t>3</w:t>
            </w:r>
          </w:p>
        </w:tc>
      </w:tr>
      <w:tr w:rsidR="002E0B8B" w:rsidRPr="0037157A" w14:paraId="5C061A81" w14:textId="77777777" w:rsidTr="002E0B8B">
        <w:tc>
          <w:tcPr>
            <w:tcW w:w="9369" w:type="dxa"/>
            <w:gridSpan w:val="3"/>
            <w:shd w:val="clear" w:color="auto" w:fill="auto"/>
          </w:tcPr>
          <w:p w14:paraId="15801CD1" w14:textId="41A68EF7"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lang w:val="fr-FR"/>
              </w:rPr>
            </w:pPr>
            <w:r w:rsidRPr="0037157A">
              <w:rPr>
                <w:lang w:val="fr-FR"/>
              </w:rPr>
              <w:tab/>
            </w:r>
            <w:r w:rsidR="00D0042C" w:rsidRPr="00D0042C">
              <w:rPr>
                <w:lang w:val="fr-FR"/>
              </w:rPr>
              <w:t>Définition de l</w:t>
            </w:r>
            <w:r w:rsidR="00D0042C" w:rsidRPr="0037157A">
              <w:rPr>
                <w:lang w:val="fr-FR"/>
              </w:rPr>
              <w:t>’</w:t>
            </w:r>
            <w:r w:rsidR="00D0042C" w:rsidRPr="00D0042C">
              <w:rPr>
                <w:lang w:val="fr-FR"/>
              </w:rPr>
              <w:t>égalité et de la non-discrimination</w:t>
            </w:r>
            <w:r w:rsidR="00D0042C" w:rsidRPr="0037157A">
              <w:rPr>
                <w:spacing w:val="60"/>
                <w:sz w:val="17"/>
                <w:lang w:val="fr-FR"/>
              </w:rPr>
              <w:tab/>
            </w:r>
          </w:p>
        </w:tc>
        <w:tc>
          <w:tcPr>
            <w:tcW w:w="533" w:type="dxa"/>
            <w:shd w:val="clear" w:color="auto" w:fill="auto"/>
            <w:vAlign w:val="bottom"/>
          </w:tcPr>
          <w:p w14:paraId="6EDE2A35" w14:textId="79B87A14" w:rsidR="002E0B8B" w:rsidRPr="0037157A" w:rsidRDefault="00622C56" w:rsidP="002E0B8B">
            <w:pPr>
              <w:spacing w:after="120"/>
              <w:ind w:right="40"/>
              <w:jc w:val="right"/>
              <w:rPr>
                <w:lang w:val="fr-FR"/>
              </w:rPr>
            </w:pPr>
            <w:r w:rsidRPr="0037157A">
              <w:rPr>
                <w:lang w:val="fr-FR"/>
              </w:rPr>
              <w:t>4</w:t>
            </w:r>
          </w:p>
        </w:tc>
      </w:tr>
      <w:tr w:rsidR="002E0B8B" w:rsidRPr="0037157A" w14:paraId="0832FF26" w14:textId="77777777" w:rsidTr="002E0B8B">
        <w:tc>
          <w:tcPr>
            <w:tcW w:w="9369" w:type="dxa"/>
            <w:gridSpan w:val="3"/>
            <w:shd w:val="clear" w:color="auto" w:fill="auto"/>
          </w:tcPr>
          <w:p w14:paraId="7237254B" w14:textId="595006B3"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FR"/>
              </w:rPr>
            </w:pPr>
            <w:r w:rsidRPr="0037157A">
              <w:rPr>
                <w:lang w:val="fr-FR"/>
              </w:rPr>
              <w:tab/>
            </w:r>
            <w:r w:rsidR="00D0042C" w:rsidRPr="0037157A">
              <w:rPr>
                <w:lang w:val="fr-FR"/>
              </w:rPr>
              <w:t>Institutions nationales de défense des droits humains</w:t>
            </w:r>
            <w:r w:rsidR="00D0042C" w:rsidRPr="0037157A">
              <w:rPr>
                <w:bCs/>
                <w:spacing w:val="60"/>
                <w:sz w:val="17"/>
                <w:lang w:val="fr-FR"/>
              </w:rPr>
              <w:tab/>
            </w:r>
          </w:p>
        </w:tc>
        <w:tc>
          <w:tcPr>
            <w:tcW w:w="533" w:type="dxa"/>
            <w:shd w:val="clear" w:color="auto" w:fill="auto"/>
            <w:vAlign w:val="bottom"/>
          </w:tcPr>
          <w:p w14:paraId="489E9E7D" w14:textId="60866F69" w:rsidR="002E0B8B" w:rsidRPr="0037157A" w:rsidRDefault="00622C56" w:rsidP="002E0B8B">
            <w:pPr>
              <w:spacing w:after="120"/>
              <w:ind w:right="40"/>
              <w:jc w:val="right"/>
              <w:rPr>
                <w:lang w:val="fr-FR"/>
              </w:rPr>
            </w:pPr>
            <w:r w:rsidRPr="0037157A">
              <w:rPr>
                <w:lang w:val="fr-FR"/>
              </w:rPr>
              <w:t>6</w:t>
            </w:r>
          </w:p>
        </w:tc>
      </w:tr>
      <w:tr w:rsidR="002E0B8B" w:rsidRPr="0037157A" w14:paraId="1F572664" w14:textId="77777777" w:rsidTr="002E0B8B">
        <w:tc>
          <w:tcPr>
            <w:tcW w:w="9369" w:type="dxa"/>
            <w:gridSpan w:val="3"/>
            <w:shd w:val="clear" w:color="auto" w:fill="auto"/>
          </w:tcPr>
          <w:p w14:paraId="14B66E66" w14:textId="71ED29A1"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lang w:val="fr-FR"/>
              </w:rPr>
            </w:pPr>
            <w:r w:rsidRPr="0037157A">
              <w:rPr>
                <w:lang w:val="fr-FR"/>
              </w:rPr>
              <w:tab/>
            </w:r>
            <w:r w:rsidR="00D0042C" w:rsidRPr="00D0042C">
              <w:rPr>
                <w:lang w:val="fr-FR"/>
              </w:rPr>
              <w:t>Mécanisme national de promotion des femmes</w:t>
            </w:r>
            <w:r w:rsidR="00D0042C" w:rsidRPr="0037157A">
              <w:rPr>
                <w:spacing w:val="60"/>
                <w:sz w:val="17"/>
                <w:lang w:val="fr-FR"/>
              </w:rPr>
              <w:tab/>
            </w:r>
          </w:p>
        </w:tc>
        <w:tc>
          <w:tcPr>
            <w:tcW w:w="533" w:type="dxa"/>
            <w:shd w:val="clear" w:color="auto" w:fill="auto"/>
            <w:vAlign w:val="bottom"/>
          </w:tcPr>
          <w:p w14:paraId="35B5ED23" w14:textId="206CF247" w:rsidR="002E0B8B" w:rsidRPr="0037157A" w:rsidRDefault="00622C56" w:rsidP="002E0B8B">
            <w:pPr>
              <w:spacing w:after="120"/>
              <w:ind w:right="40"/>
              <w:jc w:val="right"/>
              <w:rPr>
                <w:lang w:val="fr-FR"/>
              </w:rPr>
            </w:pPr>
            <w:r w:rsidRPr="0037157A">
              <w:rPr>
                <w:lang w:val="fr-FR"/>
              </w:rPr>
              <w:t>7</w:t>
            </w:r>
          </w:p>
        </w:tc>
      </w:tr>
      <w:tr w:rsidR="002E0B8B" w:rsidRPr="0037157A" w14:paraId="4F3C4C79" w14:textId="77777777" w:rsidTr="002E0B8B">
        <w:tc>
          <w:tcPr>
            <w:tcW w:w="9369" w:type="dxa"/>
            <w:gridSpan w:val="3"/>
            <w:shd w:val="clear" w:color="auto" w:fill="auto"/>
          </w:tcPr>
          <w:p w14:paraId="29426A84" w14:textId="22A25C2E"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uppressAutoHyphens/>
              <w:spacing w:after="120"/>
              <w:ind w:left="1296"/>
              <w:rPr>
                <w:spacing w:val="60"/>
                <w:sz w:val="17"/>
                <w:lang w:val="fr-FR"/>
              </w:rPr>
            </w:pPr>
            <w:r w:rsidRPr="0037157A">
              <w:rPr>
                <w:lang w:val="fr-FR"/>
              </w:rPr>
              <w:tab/>
            </w:r>
            <w:r w:rsidR="00D0042C" w:rsidRPr="00D0042C">
              <w:rPr>
                <w:lang w:val="fr-FR"/>
              </w:rPr>
              <w:t>Défenseuses des droits humains, société civile et organisations non gouvernementales</w:t>
            </w:r>
            <w:r w:rsidR="00D0042C" w:rsidRPr="0037157A">
              <w:rPr>
                <w:spacing w:val="60"/>
                <w:sz w:val="17"/>
                <w:lang w:val="fr-FR"/>
              </w:rPr>
              <w:tab/>
            </w:r>
          </w:p>
        </w:tc>
        <w:tc>
          <w:tcPr>
            <w:tcW w:w="533" w:type="dxa"/>
            <w:shd w:val="clear" w:color="auto" w:fill="auto"/>
            <w:vAlign w:val="bottom"/>
          </w:tcPr>
          <w:p w14:paraId="73FD15DA" w14:textId="5D78D12D" w:rsidR="002E0B8B" w:rsidRPr="0037157A" w:rsidRDefault="00622C56" w:rsidP="002E0B8B">
            <w:pPr>
              <w:spacing w:after="120"/>
              <w:ind w:right="40"/>
              <w:jc w:val="right"/>
              <w:rPr>
                <w:lang w:val="fr-FR"/>
              </w:rPr>
            </w:pPr>
            <w:r w:rsidRPr="0037157A">
              <w:rPr>
                <w:lang w:val="fr-FR"/>
              </w:rPr>
              <w:t>11</w:t>
            </w:r>
          </w:p>
        </w:tc>
      </w:tr>
      <w:tr w:rsidR="002E0B8B" w:rsidRPr="0037157A" w14:paraId="1C06BA37" w14:textId="77777777" w:rsidTr="002E0B8B">
        <w:tc>
          <w:tcPr>
            <w:tcW w:w="9369" w:type="dxa"/>
            <w:gridSpan w:val="3"/>
            <w:shd w:val="clear" w:color="auto" w:fill="auto"/>
          </w:tcPr>
          <w:p w14:paraId="4168B9CC" w14:textId="3C874618"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lang w:val="fr-FR"/>
              </w:rPr>
            </w:pPr>
            <w:r w:rsidRPr="0037157A">
              <w:rPr>
                <w:lang w:val="fr-FR"/>
              </w:rPr>
              <w:tab/>
            </w:r>
            <w:r w:rsidR="00D0042C" w:rsidRPr="00D0042C">
              <w:rPr>
                <w:lang w:val="fr-FR"/>
              </w:rPr>
              <w:t>Mesures temporaires spéciales</w:t>
            </w:r>
            <w:r w:rsidR="00D0042C" w:rsidRPr="0037157A">
              <w:rPr>
                <w:spacing w:val="60"/>
                <w:sz w:val="17"/>
                <w:lang w:val="fr-FR"/>
              </w:rPr>
              <w:tab/>
            </w:r>
          </w:p>
        </w:tc>
        <w:tc>
          <w:tcPr>
            <w:tcW w:w="533" w:type="dxa"/>
            <w:shd w:val="clear" w:color="auto" w:fill="auto"/>
            <w:vAlign w:val="bottom"/>
          </w:tcPr>
          <w:p w14:paraId="69AC8F6A" w14:textId="37FE070B" w:rsidR="002E0B8B" w:rsidRPr="0037157A" w:rsidRDefault="005B5EF2" w:rsidP="002E0B8B">
            <w:pPr>
              <w:spacing w:after="120"/>
              <w:ind w:right="40"/>
              <w:jc w:val="right"/>
              <w:rPr>
                <w:lang w:val="fr-FR"/>
              </w:rPr>
            </w:pPr>
            <w:r>
              <w:rPr>
                <w:lang w:val="fr-FR"/>
              </w:rPr>
              <w:t>12</w:t>
            </w:r>
          </w:p>
        </w:tc>
      </w:tr>
      <w:tr w:rsidR="002E0B8B" w:rsidRPr="0037157A" w14:paraId="01BB8BD6" w14:textId="77777777" w:rsidTr="002E0B8B">
        <w:tc>
          <w:tcPr>
            <w:tcW w:w="9369" w:type="dxa"/>
            <w:gridSpan w:val="3"/>
            <w:shd w:val="clear" w:color="auto" w:fill="auto"/>
          </w:tcPr>
          <w:p w14:paraId="2BE09DBE" w14:textId="3951A945" w:rsidR="002E0B8B" w:rsidRPr="0037157A" w:rsidRDefault="002E0B8B" w:rsidP="00D0042C">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FR"/>
              </w:rPr>
            </w:pPr>
            <w:r w:rsidRPr="0037157A">
              <w:rPr>
                <w:lang w:val="fr-FR"/>
              </w:rPr>
              <w:tab/>
            </w:r>
            <w:r w:rsidR="00D0042C" w:rsidRPr="00D0042C">
              <w:rPr>
                <w:lang w:val="fr-FR"/>
              </w:rPr>
              <w:t>Stéréotypes discriminatoires</w:t>
            </w:r>
            <w:r w:rsidR="00D0042C" w:rsidRPr="0037157A">
              <w:rPr>
                <w:spacing w:val="60"/>
                <w:sz w:val="17"/>
                <w:lang w:val="fr-FR"/>
              </w:rPr>
              <w:tab/>
            </w:r>
          </w:p>
        </w:tc>
        <w:tc>
          <w:tcPr>
            <w:tcW w:w="533" w:type="dxa"/>
            <w:shd w:val="clear" w:color="auto" w:fill="auto"/>
            <w:vAlign w:val="bottom"/>
          </w:tcPr>
          <w:p w14:paraId="631041DC" w14:textId="4CBE7BE1" w:rsidR="002E0B8B" w:rsidRPr="0037157A" w:rsidRDefault="00622C56" w:rsidP="002E0B8B">
            <w:pPr>
              <w:spacing w:after="120"/>
              <w:ind w:right="40"/>
              <w:jc w:val="right"/>
              <w:rPr>
                <w:lang w:val="fr-FR"/>
              </w:rPr>
            </w:pPr>
            <w:r w:rsidRPr="0037157A">
              <w:rPr>
                <w:lang w:val="fr-FR"/>
              </w:rPr>
              <w:t>12</w:t>
            </w:r>
          </w:p>
        </w:tc>
      </w:tr>
      <w:tr w:rsidR="002E0B8B" w:rsidRPr="0037157A" w14:paraId="623117AA" w14:textId="77777777" w:rsidTr="002E0B8B">
        <w:tc>
          <w:tcPr>
            <w:tcW w:w="9369" w:type="dxa"/>
            <w:gridSpan w:val="3"/>
            <w:shd w:val="clear" w:color="auto" w:fill="auto"/>
          </w:tcPr>
          <w:p w14:paraId="3BC16316" w14:textId="0CD78221"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FR"/>
              </w:rPr>
            </w:pPr>
            <w:r w:rsidRPr="0037157A">
              <w:rPr>
                <w:lang w:val="fr-FR"/>
              </w:rPr>
              <w:tab/>
            </w:r>
            <w:r w:rsidR="00D0042C" w:rsidRPr="00D0042C">
              <w:rPr>
                <w:lang w:val="fr-FR"/>
              </w:rPr>
              <w:t>Violence à l</w:t>
            </w:r>
            <w:r w:rsidR="00D0042C" w:rsidRPr="0037157A">
              <w:rPr>
                <w:lang w:val="fr-FR"/>
              </w:rPr>
              <w:t>’</w:t>
            </w:r>
            <w:r w:rsidR="00D0042C" w:rsidRPr="00D0042C">
              <w:rPr>
                <w:lang w:val="fr-FR"/>
              </w:rPr>
              <w:t>égard des femmes fondée sur le genre</w:t>
            </w:r>
            <w:r w:rsidR="00D0042C" w:rsidRPr="0037157A">
              <w:rPr>
                <w:spacing w:val="60"/>
                <w:sz w:val="17"/>
                <w:lang w:val="fr-FR"/>
              </w:rPr>
              <w:tab/>
            </w:r>
          </w:p>
        </w:tc>
        <w:tc>
          <w:tcPr>
            <w:tcW w:w="533" w:type="dxa"/>
            <w:shd w:val="clear" w:color="auto" w:fill="auto"/>
            <w:vAlign w:val="bottom"/>
          </w:tcPr>
          <w:p w14:paraId="0503145E" w14:textId="0B058A0C" w:rsidR="002E0B8B" w:rsidRPr="0037157A" w:rsidRDefault="00622C56" w:rsidP="002E0B8B">
            <w:pPr>
              <w:spacing w:after="120"/>
              <w:ind w:right="40"/>
              <w:jc w:val="right"/>
              <w:rPr>
                <w:lang w:val="fr-FR"/>
              </w:rPr>
            </w:pPr>
            <w:r w:rsidRPr="0037157A">
              <w:rPr>
                <w:lang w:val="fr-FR"/>
              </w:rPr>
              <w:t>13</w:t>
            </w:r>
          </w:p>
        </w:tc>
      </w:tr>
      <w:tr w:rsidR="002E0B8B" w:rsidRPr="0037157A" w14:paraId="130E1799" w14:textId="77777777" w:rsidTr="002E0B8B">
        <w:tc>
          <w:tcPr>
            <w:tcW w:w="9369" w:type="dxa"/>
            <w:gridSpan w:val="3"/>
            <w:shd w:val="clear" w:color="auto" w:fill="auto"/>
          </w:tcPr>
          <w:p w14:paraId="08997AE6" w14:textId="59397FBD"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FR"/>
              </w:rPr>
            </w:pPr>
            <w:r w:rsidRPr="0037157A">
              <w:rPr>
                <w:lang w:val="fr-FR"/>
              </w:rPr>
              <w:tab/>
            </w:r>
            <w:r w:rsidR="00D0042C" w:rsidRPr="00D0042C">
              <w:rPr>
                <w:lang w:val="fr-FR"/>
              </w:rPr>
              <w:t>Traite et exploitation de la prostitution</w:t>
            </w:r>
            <w:r w:rsidR="00D0042C" w:rsidRPr="0037157A">
              <w:rPr>
                <w:spacing w:val="60"/>
                <w:sz w:val="17"/>
                <w:lang w:val="fr-FR"/>
              </w:rPr>
              <w:tab/>
            </w:r>
          </w:p>
        </w:tc>
        <w:tc>
          <w:tcPr>
            <w:tcW w:w="533" w:type="dxa"/>
            <w:shd w:val="clear" w:color="auto" w:fill="auto"/>
            <w:vAlign w:val="bottom"/>
          </w:tcPr>
          <w:p w14:paraId="030C89C6" w14:textId="495B6DDD" w:rsidR="002E0B8B" w:rsidRPr="0037157A" w:rsidRDefault="00622C56" w:rsidP="002E0B8B">
            <w:pPr>
              <w:spacing w:after="120"/>
              <w:ind w:right="40"/>
              <w:jc w:val="right"/>
              <w:rPr>
                <w:lang w:val="fr-FR"/>
              </w:rPr>
            </w:pPr>
            <w:r w:rsidRPr="0037157A">
              <w:rPr>
                <w:lang w:val="fr-FR"/>
              </w:rPr>
              <w:t>15</w:t>
            </w:r>
          </w:p>
        </w:tc>
      </w:tr>
      <w:tr w:rsidR="002E0B8B" w:rsidRPr="0037157A" w14:paraId="2315869C" w14:textId="77777777" w:rsidTr="002E0B8B">
        <w:tc>
          <w:tcPr>
            <w:tcW w:w="9369" w:type="dxa"/>
            <w:gridSpan w:val="3"/>
            <w:shd w:val="clear" w:color="auto" w:fill="auto"/>
          </w:tcPr>
          <w:p w14:paraId="73161741" w14:textId="15683156"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lang w:val="fr-FR"/>
              </w:rPr>
            </w:pPr>
            <w:r w:rsidRPr="0037157A">
              <w:rPr>
                <w:lang w:val="fr-FR"/>
              </w:rPr>
              <w:tab/>
            </w:r>
            <w:r w:rsidR="00D0042C" w:rsidRPr="00D0042C">
              <w:rPr>
                <w:lang w:val="fr-FR"/>
              </w:rPr>
              <w:t>Participation à la vie politique et à la vie publique</w:t>
            </w:r>
            <w:r w:rsidR="00D0042C" w:rsidRPr="0037157A">
              <w:rPr>
                <w:spacing w:val="60"/>
                <w:sz w:val="17"/>
                <w:lang w:val="fr-FR"/>
              </w:rPr>
              <w:tab/>
            </w:r>
          </w:p>
        </w:tc>
        <w:tc>
          <w:tcPr>
            <w:tcW w:w="533" w:type="dxa"/>
            <w:shd w:val="clear" w:color="auto" w:fill="auto"/>
            <w:vAlign w:val="bottom"/>
          </w:tcPr>
          <w:p w14:paraId="3186FFF1" w14:textId="46A57F19" w:rsidR="002E0B8B" w:rsidRPr="0037157A" w:rsidRDefault="005B5EF2" w:rsidP="002E0B8B">
            <w:pPr>
              <w:spacing w:after="120"/>
              <w:ind w:right="40"/>
              <w:jc w:val="right"/>
              <w:rPr>
                <w:lang w:val="fr-FR"/>
              </w:rPr>
            </w:pPr>
            <w:r>
              <w:rPr>
                <w:lang w:val="fr-FR"/>
              </w:rPr>
              <w:t>17</w:t>
            </w:r>
          </w:p>
        </w:tc>
      </w:tr>
      <w:tr w:rsidR="002E0B8B" w:rsidRPr="0037157A" w14:paraId="6040545B" w14:textId="77777777" w:rsidTr="002E0B8B">
        <w:tc>
          <w:tcPr>
            <w:tcW w:w="9369" w:type="dxa"/>
            <w:gridSpan w:val="3"/>
            <w:shd w:val="clear" w:color="auto" w:fill="auto"/>
          </w:tcPr>
          <w:p w14:paraId="6FF0AA05" w14:textId="0BD2147A" w:rsidR="002E0B8B" w:rsidRPr="0037157A" w:rsidRDefault="002E0B8B" w:rsidP="00D0042C">
            <w:pPr>
              <w:pStyle w:val="ListParagraph"/>
              <w:tabs>
                <w:tab w:val="left" w:pos="1296"/>
                <w:tab w:val="left" w:pos="1728"/>
                <w:tab w:val="left" w:pos="2160"/>
                <w:tab w:val="left" w:pos="2592"/>
                <w:tab w:val="right" w:leader="dot" w:pos="9360"/>
              </w:tabs>
              <w:suppressAutoHyphens/>
              <w:spacing w:after="120"/>
              <w:ind w:left="1296"/>
              <w:rPr>
                <w:spacing w:val="60"/>
                <w:sz w:val="17"/>
                <w:lang w:val="fr-FR"/>
              </w:rPr>
            </w:pPr>
            <w:r w:rsidRPr="0037157A">
              <w:rPr>
                <w:lang w:val="fr-FR"/>
              </w:rPr>
              <w:tab/>
            </w:r>
            <w:r w:rsidR="00D0042C" w:rsidRPr="00D0042C">
              <w:rPr>
                <w:lang w:val="fr-FR"/>
              </w:rPr>
              <w:t>Éducation</w:t>
            </w:r>
            <w:r w:rsidR="00D0042C" w:rsidRPr="0037157A">
              <w:rPr>
                <w:spacing w:val="60"/>
                <w:sz w:val="17"/>
                <w:lang w:val="fr-FR"/>
              </w:rPr>
              <w:tab/>
            </w:r>
          </w:p>
        </w:tc>
        <w:tc>
          <w:tcPr>
            <w:tcW w:w="533" w:type="dxa"/>
            <w:shd w:val="clear" w:color="auto" w:fill="auto"/>
            <w:vAlign w:val="bottom"/>
          </w:tcPr>
          <w:p w14:paraId="7EB77CEC" w14:textId="40E3B292" w:rsidR="002E0B8B" w:rsidRPr="0037157A" w:rsidRDefault="00622C56" w:rsidP="002E0B8B">
            <w:pPr>
              <w:spacing w:after="120"/>
              <w:ind w:right="40"/>
              <w:jc w:val="right"/>
              <w:rPr>
                <w:lang w:val="fr-FR"/>
              </w:rPr>
            </w:pPr>
            <w:r w:rsidRPr="0037157A">
              <w:rPr>
                <w:lang w:val="fr-FR"/>
              </w:rPr>
              <w:t>17</w:t>
            </w:r>
          </w:p>
        </w:tc>
      </w:tr>
      <w:tr w:rsidR="002E0B8B" w:rsidRPr="0037157A" w14:paraId="06F15642" w14:textId="77777777" w:rsidTr="002E0B8B">
        <w:tc>
          <w:tcPr>
            <w:tcW w:w="9369" w:type="dxa"/>
            <w:gridSpan w:val="3"/>
            <w:shd w:val="clear" w:color="auto" w:fill="auto"/>
          </w:tcPr>
          <w:p w14:paraId="7FA7B146" w14:textId="425BFEFB" w:rsidR="002E0B8B" w:rsidRPr="0037157A" w:rsidRDefault="002E0B8B" w:rsidP="00D0042C">
            <w:pPr>
              <w:pStyle w:val="ListParagraph"/>
              <w:tabs>
                <w:tab w:val="left" w:pos="1296"/>
                <w:tab w:val="left" w:pos="1728"/>
                <w:tab w:val="left" w:pos="2160"/>
                <w:tab w:val="right" w:leader="dot" w:pos="9360"/>
              </w:tabs>
              <w:suppressAutoHyphens/>
              <w:spacing w:after="120"/>
              <w:ind w:left="1296"/>
              <w:rPr>
                <w:spacing w:val="60"/>
                <w:sz w:val="17"/>
                <w:lang w:val="fr-FR"/>
              </w:rPr>
            </w:pPr>
            <w:r w:rsidRPr="0037157A">
              <w:rPr>
                <w:lang w:val="fr-FR"/>
              </w:rPr>
              <w:tab/>
            </w:r>
            <w:r w:rsidR="00D0042C" w:rsidRPr="00D0042C">
              <w:rPr>
                <w:lang w:val="fr-FR"/>
              </w:rPr>
              <w:t>Emploi</w:t>
            </w:r>
            <w:r w:rsidR="00D0042C" w:rsidRPr="0037157A">
              <w:rPr>
                <w:spacing w:val="60"/>
                <w:sz w:val="17"/>
                <w:lang w:val="fr-FR"/>
              </w:rPr>
              <w:tab/>
            </w:r>
          </w:p>
        </w:tc>
        <w:tc>
          <w:tcPr>
            <w:tcW w:w="533" w:type="dxa"/>
            <w:shd w:val="clear" w:color="auto" w:fill="auto"/>
            <w:vAlign w:val="bottom"/>
          </w:tcPr>
          <w:p w14:paraId="5F48CD1A" w14:textId="6C569B71" w:rsidR="002E0B8B" w:rsidRPr="0037157A" w:rsidRDefault="00622C56" w:rsidP="002E0B8B">
            <w:pPr>
              <w:spacing w:after="120"/>
              <w:ind w:right="40"/>
              <w:jc w:val="right"/>
              <w:rPr>
                <w:lang w:val="fr-FR"/>
              </w:rPr>
            </w:pPr>
            <w:r w:rsidRPr="0037157A">
              <w:rPr>
                <w:lang w:val="fr-FR"/>
              </w:rPr>
              <w:t>18</w:t>
            </w:r>
          </w:p>
        </w:tc>
      </w:tr>
      <w:tr w:rsidR="002E0B8B" w:rsidRPr="0037157A" w14:paraId="48AFA10E" w14:textId="77777777" w:rsidTr="002E0B8B">
        <w:tc>
          <w:tcPr>
            <w:tcW w:w="9369" w:type="dxa"/>
            <w:gridSpan w:val="3"/>
            <w:shd w:val="clear" w:color="auto" w:fill="auto"/>
          </w:tcPr>
          <w:p w14:paraId="6444AE35" w14:textId="5A83BF4B" w:rsidR="002E0B8B" w:rsidRPr="0037157A" w:rsidRDefault="002E0B8B" w:rsidP="00D0042C">
            <w:pPr>
              <w:pStyle w:val="ListParagraph"/>
              <w:tabs>
                <w:tab w:val="left" w:pos="1296"/>
                <w:tab w:val="left" w:pos="1728"/>
                <w:tab w:val="left" w:pos="2160"/>
                <w:tab w:val="right" w:leader="dot" w:pos="9360"/>
              </w:tabs>
              <w:suppressAutoHyphens/>
              <w:spacing w:after="120"/>
              <w:ind w:left="1296"/>
              <w:rPr>
                <w:spacing w:val="60"/>
                <w:sz w:val="17"/>
                <w:lang w:val="fr-FR"/>
              </w:rPr>
            </w:pPr>
            <w:r w:rsidRPr="0037157A">
              <w:rPr>
                <w:lang w:val="fr-FR"/>
              </w:rPr>
              <w:tab/>
            </w:r>
            <w:r w:rsidR="00D0042C" w:rsidRPr="00D0042C">
              <w:rPr>
                <w:lang w:val="fr-FR"/>
              </w:rPr>
              <w:t>Santé</w:t>
            </w:r>
            <w:r w:rsidR="00D0042C" w:rsidRPr="0037157A">
              <w:rPr>
                <w:spacing w:val="60"/>
                <w:sz w:val="17"/>
                <w:lang w:val="fr-FR"/>
              </w:rPr>
              <w:tab/>
            </w:r>
          </w:p>
        </w:tc>
        <w:tc>
          <w:tcPr>
            <w:tcW w:w="533" w:type="dxa"/>
            <w:shd w:val="clear" w:color="auto" w:fill="auto"/>
            <w:vAlign w:val="bottom"/>
          </w:tcPr>
          <w:p w14:paraId="39DC04C4" w14:textId="07BA6529" w:rsidR="002E0B8B" w:rsidRPr="0037157A" w:rsidRDefault="00622C56" w:rsidP="002E0B8B">
            <w:pPr>
              <w:spacing w:after="120"/>
              <w:ind w:right="40"/>
              <w:jc w:val="right"/>
              <w:rPr>
                <w:lang w:val="fr-FR"/>
              </w:rPr>
            </w:pPr>
            <w:r w:rsidRPr="0037157A">
              <w:rPr>
                <w:lang w:val="fr-FR"/>
              </w:rPr>
              <w:t>22</w:t>
            </w:r>
          </w:p>
        </w:tc>
      </w:tr>
      <w:tr w:rsidR="002E0B8B" w:rsidRPr="0037157A" w14:paraId="53A376A9" w14:textId="77777777" w:rsidTr="002E0B8B">
        <w:tc>
          <w:tcPr>
            <w:tcW w:w="9369" w:type="dxa"/>
            <w:gridSpan w:val="3"/>
            <w:shd w:val="clear" w:color="auto" w:fill="auto"/>
          </w:tcPr>
          <w:p w14:paraId="152B1460" w14:textId="44B7AE50" w:rsidR="002E0B8B" w:rsidRPr="0037157A" w:rsidRDefault="002E0B8B" w:rsidP="00D0042C">
            <w:pPr>
              <w:pStyle w:val="ListParagraph"/>
              <w:tabs>
                <w:tab w:val="left" w:pos="1296"/>
                <w:tab w:val="left" w:pos="1728"/>
                <w:tab w:val="left" w:pos="2160"/>
                <w:tab w:val="right" w:leader="dot" w:pos="9360"/>
              </w:tabs>
              <w:suppressAutoHyphens/>
              <w:spacing w:after="120"/>
              <w:ind w:left="1296"/>
              <w:rPr>
                <w:spacing w:val="60"/>
                <w:sz w:val="17"/>
                <w:lang w:val="fr-FR"/>
              </w:rPr>
            </w:pPr>
            <w:r w:rsidRPr="0037157A">
              <w:rPr>
                <w:spacing w:val="60"/>
                <w:sz w:val="17"/>
                <w:lang w:val="fr-FR"/>
              </w:rPr>
              <w:tab/>
            </w:r>
            <w:r w:rsidR="00D0042C" w:rsidRPr="00D0042C">
              <w:rPr>
                <w:lang w:val="fr-FR"/>
              </w:rPr>
              <w:t>Avantages économiques et sociaux</w:t>
            </w:r>
            <w:r w:rsidR="00D0042C" w:rsidRPr="0037157A">
              <w:rPr>
                <w:spacing w:val="60"/>
                <w:sz w:val="17"/>
                <w:lang w:val="fr-FR"/>
              </w:rPr>
              <w:tab/>
            </w:r>
          </w:p>
        </w:tc>
        <w:tc>
          <w:tcPr>
            <w:tcW w:w="533" w:type="dxa"/>
            <w:shd w:val="clear" w:color="auto" w:fill="auto"/>
            <w:vAlign w:val="bottom"/>
          </w:tcPr>
          <w:p w14:paraId="30B966A4" w14:textId="1BE73ABA" w:rsidR="002E0B8B" w:rsidRPr="0037157A" w:rsidRDefault="00622C56" w:rsidP="002E0B8B">
            <w:pPr>
              <w:spacing w:after="120"/>
              <w:ind w:right="40"/>
              <w:jc w:val="right"/>
              <w:rPr>
                <w:lang w:val="fr-FR"/>
              </w:rPr>
            </w:pPr>
            <w:r w:rsidRPr="0037157A">
              <w:rPr>
                <w:lang w:val="fr-FR"/>
              </w:rPr>
              <w:t>27</w:t>
            </w:r>
          </w:p>
        </w:tc>
      </w:tr>
      <w:tr w:rsidR="002E0B8B" w:rsidRPr="0037157A" w14:paraId="345A5A9B" w14:textId="77777777" w:rsidTr="002E0B8B">
        <w:tc>
          <w:tcPr>
            <w:tcW w:w="9369" w:type="dxa"/>
            <w:gridSpan w:val="3"/>
            <w:shd w:val="clear" w:color="auto" w:fill="auto"/>
          </w:tcPr>
          <w:p w14:paraId="5C8EC7C0" w14:textId="1FA66597" w:rsidR="002E0B8B" w:rsidRPr="0037157A" w:rsidRDefault="002E0B8B" w:rsidP="00D0042C">
            <w:pPr>
              <w:pStyle w:val="ListParagraph"/>
              <w:tabs>
                <w:tab w:val="left" w:pos="1296"/>
                <w:tab w:val="left" w:pos="1728"/>
                <w:tab w:val="left" w:pos="2160"/>
                <w:tab w:val="right" w:leader="dot" w:pos="9360"/>
              </w:tabs>
              <w:suppressAutoHyphens/>
              <w:spacing w:after="120"/>
              <w:ind w:left="1296"/>
              <w:rPr>
                <w:spacing w:val="60"/>
                <w:sz w:val="17"/>
                <w:lang w:val="fr-FR"/>
              </w:rPr>
            </w:pPr>
            <w:r w:rsidRPr="0037157A">
              <w:rPr>
                <w:spacing w:val="60"/>
                <w:sz w:val="17"/>
                <w:lang w:val="fr-FR"/>
              </w:rPr>
              <w:tab/>
            </w:r>
            <w:r w:rsidR="00D0042C" w:rsidRPr="0037157A">
              <w:rPr>
                <w:lang w:val="fr-FR"/>
              </w:rPr>
              <w:t>Groupes de femmes défavorisés</w:t>
            </w:r>
            <w:r w:rsidR="00D0042C" w:rsidRPr="0037157A">
              <w:rPr>
                <w:spacing w:val="60"/>
                <w:sz w:val="17"/>
                <w:lang w:val="fr-FR"/>
              </w:rPr>
              <w:tab/>
            </w:r>
          </w:p>
        </w:tc>
        <w:tc>
          <w:tcPr>
            <w:tcW w:w="533" w:type="dxa"/>
            <w:shd w:val="clear" w:color="auto" w:fill="auto"/>
            <w:vAlign w:val="bottom"/>
          </w:tcPr>
          <w:p w14:paraId="6C91E711" w14:textId="272E99E5" w:rsidR="002E0B8B" w:rsidRPr="0037157A" w:rsidRDefault="00622C56" w:rsidP="002E0B8B">
            <w:pPr>
              <w:spacing w:after="120"/>
              <w:ind w:right="40"/>
              <w:jc w:val="right"/>
              <w:rPr>
                <w:lang w:val="fr-FR"/>
              </w:rPr>
            </w:pPr>
            <w:r w:rsidRPr="0037157A">
              <w:rPr>
                <w:lang w:val="fr-FR"/>
              </w:rPr>
              <w:t>29</w:t>
            </w:r>
          </w:p>
        </w:tc>
      </w:tr>
      <w:tr w:rsidR="002E0B8B" w:rsidRPr="0037157A" w14:paraId="634E3A0F" w14:textId="77777777" w:rsidTr="002E0B8B">
        <w:tc>
          <w:tcPr>
            <w:tcW w:w="9369" w:type="dxa"/>
            <w:gridSpan w:val="3"/>
            <w:shd w:val="clear" w:color="auto" w:fill="auto"/>
          </w:tcPr>
          <w:p w14:paraId="2D444532" w14:textId="0804AD8C" w:rsidR="002E0B8B" w:rsidRPr="0037157A" w:rsidRDefault="002E0B8B" w:rsidP="00D0042C">
            <w:pPr>
              <w:pStyle w:val="ListParagraph"/>
              <w:tabs>
                <w:tab w:val="left" w:pos="1296"/>
                <w:tab w:val="left" w:pos="1728"/>
                <w:tab w:val="left" w:pos="2160"/>
                <w:tab w:val="right" w:leader="dot" w:pos="9360"/>
              </w:tabs>
              <w:suppressAutoHyphens/>
              <w:spacing w:after="120"/>
              <w:ind w:left="1296"/>
              <w:rPr>
                <w:spacing w:val="60"/>
                <w:sz w:val="17"/>
                <w:lang w:val="fr-FR"/>
              </w:rPr>
            </w:pPr>
            <w:r w:rsidRPr="0037157A">
              <w:rPr>
                <w:spacing w:val="60"/>
                <w:sz w:val="17"/>
                <w:lang w:val="fr-FR"/>
              </w:rPr>
              <w:tab/>
            </w:r>
            <w:r w:rsidR="00D0042C" w:rsidRPr="00D0042C">
              <w:rPr>
                <w:lang w:val="fr-FR"/>
              </w:rPr>
              <w:t>Mariage et rapports familiaux</w:t>
            </w:r>
            <w:r w:rsidR="00D0042C" w:rsidRPr="0037157A">
              <w:rPr>
                <w:spacing w:val="60"/>
                <w:sz w:val="17"/>
                <w:lang w:val="fr-FR"/>
              </w:rPr>
              <w:tab/>
            </w:r>
          </w:p>
        </w:tc>
        <w:tc>
          <w:tcPr>
            <w:tcW w:w="533" w:type="dxa"/>
            <w:shd w:val="clear" w:color="auto" w:fill="auto"/>
            <w:vAlign w:val="bottom"/>
          </w:tcPr>
          <w:p w14:paraId="2F1F6ABA" w14:textId="5FBEE8ED" w:rsidR="002E0B8B" w:rsidRPr="0037157A" w:rsidRDefault="00622C56" w:rsidP="002E0B8B">
            <w:pPr>
              <w:spacing w:after="120"/>
              <w:ind w:right="40"/>
              <w:jc w:val="right"/>
              <w:rPr>
                <w:lang w:val="fr-FR"/>
              </w:rPr>
            </w:pPr>
            <w:r w:rsidRPr="0037157A">
              <w:rPr>
                <w:lang w:val="fr-FR"/>
              </w:rPr>
              <w:t>30</w:t>
            </w:r>
          </w:p>
        </w:tc>
      </w:tr>
      <w:tr w:rsidR="002E0B8B" w:rsidRPr="0037157A" w14:paraId="33975CE6" w14:textId="77777777" w:rsidTr="002E0B8B">
        <w:tc>
          <w:tcPr>
            <w:tcW w:w="9369" w:type="dxa"/>
            <w:gridSpan w:val="3"/>
            <w:shd w:val="clear" w:color="auto" w:fill="auto"/>
          </w:tcPr>
          <w:p w14:paraId="0D4BC901" w14:textId="6CF7125A" w:rsidR="002E0B8B" w:rsidRPr="0037157A" w:rsidRDefault="002E0B8B" w:rsidP="00D0042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lang w:val="fr-FR"/>
              </w:rPr>
            </w:pPr>
            <w:r w:rsidRPr="0037157A">
              <w:rPr>
                <w:spacing w:val="60"/>
                <w:sz w:val="17"/>
                <w:lang w:val="fr-FR"/>
              </w:rPr>
              <w:tab/>
            </w:r>
            <w:r w:rsidR="00D0042C" w:rsidRPr="00D0042C">
              <w:rPr>
                <w:lang w:val="fr-FR"/>
              </w:rPr>
              <w:t>Changements climatiques et réduction des risques de catastrophes</w:t>
            </w:r>
            <w:r w:rsidR="00D0042C" w:rsidRPr="0037157A">
              <w:rPr>
                <w:spacing w:val="60"/>
                <w:sz w:val="17"/>
                <w:lang w:val="fr-FR"/>
              </w:rPr>
              <w:tab/>
            </w:r>
          </w:p>
        </w:tc>
        <w:tc>
          <w:tcPr>
            <w:tcW w:w="533" w:type="dxa"/>
            <w:shd w:val="clear" w:color="auto" w:fill="auto"/>
            <w:vAlign w:val="bottom"/>
          </w:tcPr>
          <w:p w14:paraId="2F6AE9C8" w14:textId="3D70AE4C" w:rsidR="002E0B8B" w:rsidRPr="0037157A" w:rsidRDefault="00622C56" w:rsidP="002E0B8B">
            <w:pPr>
              <w:spacing w:after="120"/>
              <w:ind w:right="40"/>
              <w:jc w:val="right"/>
              <w:rPr>
                <w:lang w:val="fr-FR"/>
              </w:rPr>
            </w:pPr>
            <w:r w:rsidRPr="0037157A">
              <w:rPr>
                <w:lang w:val="fr-FR"/>
              </w:rPr>
              <w:t>3</w:t>
            </w:r>
            <w:r w:rsidR="00DB0DA8">
              <w:rPr>
                <w:lang w:val="fr-FR"/>
              </w:rPr>
              <w:t>1</w:t>
            </w:r>
          </w:p>
        </w:tc>
      </w:tr>
    </w:tbl>
    <w:p w14:paraId="60B8B253" w14:textId="7C561384" w:rsidR="002E0B8B" w:rsidRPr="0037157A" w:rsidRDefault="002E0B8B" w:rsidP="002E0B8B">
      <w:pPr>
        <w:rPr>
          <w:lang w:val="fr-FR"/>
        </w:rPr>
      </w:pPr>
      <w:r w:rsidRPr="0037157A">
        <w:rPr>
          <w:lang w:val="fr-FR"/>
        </w:rPr>
        <w:br w:type="page"/>
      </w:r>
    </w:p>
    <w:p w14:paraId="289E04B4" w14:textId="329E219D" w:rsidR="002E0B8B" w:rsidRPr="0037157A" w:rsidRDefault="002E0B8B" w:rsidP="002E0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lastRenderedPageBreak/>
        <w:tab/>
        <w:t>I.</w:t>
      </w:r>
      <w:r w:rsidRPr="0037157A">
        <w:rPr>
          <w:lang w:val="fr-FR"/>
        </w:rPr>
        <w:tab/>
        <w:t>Introduction</w:t>
      </w:r>
    </w:p>
    <w:p w14:paraId="777C5AF3" w14:textId="78BA1116" w:rsidR="002E0B8B" w:rsidRPr="0037157A" w:rsidRDefault="002E0B8B" w:rsidP="002E0B8B">
      <w:pPr>
        <w:pStyle w:val="SingleTxt"/>
        <w:spacing w:after="0" w:line="120" w:lineRule="exact"/>
        <w:rPr>
          <w:sz w:val="10"/>
          <w:lang w:val="fr-FR"/>
        </w:rPr>
      </w:pPr>
    </w:p>
    <w:p w14:paraId="152E8017" w14:textId="33F4B904" w:rsidR="002E0B8B" w:rsidRPr="0037157A" w:rsidRDefault="002E0B8B" w:rsidP="002E0B8B">
      <w:pPr>
        <w:pStyle w:val="SingleTxt"/>
        <w:spacing w:after="0" w:line="120" w:lineRule="exact"/>
        <w:rPr>
          <w:sz w:val="10"/>
          <w:lang w:val="fr-FR"/>
        </w:rPr>
      </w:pPr>
    </w:p>
    <w:p w14:paraId="51272C1B" w14:textId="2321800C"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La Hongrie a l</w:t>
      </w:r>
      <w:r w:rsidR="004471C3" w:rsidRPr="0037157A">
        <w:rPr>
          <w:lang w:val="fr-FR"/>
        </w:rPr>
        <w:t>’</w:t>
      </w:r>
      <w:r w:rsidRPr="0037157A">
        <w:rPr>
          <w:lang w:val="fr-FR"/>
        </w:rPr>
        <w:t>honneur de soumettre ses réponses à la liste de points et de questions concernant son neuvième rapport périodique publiée par le Comité pour l</w:t>
      </w:r>
      <w:r w:rsidR="004471C3" w:rsidRPr="0037157A">
        <w:rPr>
          <w:lang w:val="fr-FR"/>
        </w:rPr>
        <w:t>’</w:t>
      </w:r>
      <w:r w:rsidRPr="0037157A">
        <w:rPr>
          <w:lang w:val="fr-FR"/>
        </w:rPr>
        <w:t>élimination de la discrimination à l</w:t>
      </w:r>
      <w:r w:rsidR="004471C3" w:rsidRPr="0037157A">
        <w:rPr>
          <w:lang w:val="fr-FR"/>
        </w:rPr>
        <w:t>’</w:t>
      </w:r>
      <w:r w:rsidRPr="0037157A">
        <w:rPr>
          <w:lang w:val="fr-FR"/>
        </w:rPr>
        <w:t>égard des femmes le 8</w:t>
      </w:r>
      <w:r w:rsidR="00315AA6" w:rsidRPr="0037157A">
        <w:rPr>
          <w:lang w:val="fr-FR"/>
        </w:rPr>
        <w:t xml:space="preserve"> </w:t>
      </w:r>
      <w:r w:rsidRPr="0037157A">
        <w:rPr>
          <w:lang w:val="fr-FR"/>
        </w:rPr>
        <w:t>mars</w:t>
      </w:r>
      <w:r w:rsidR="00315AA6" w:rsidRPr="0037157A">
        <w:rPr>
          <w:lang w:val="fr-FR"/>
        </w:rPr>
        <w:t xml:space="preserve"> </w:t>
      </w:r>
      <w:r w:rsidRPr="0037157A">
        <w:rPr>
          <w:lang w:val="fr-FR"/>
        </w:rPr>
        <w:t>2021. Le présent document a été établi sous la coordination du Ministère des affaires étrangères et du commerce à partir des contributions des différents ministères et des autorités nationales et institutions judiciaires concernées. Le cas échéant, des informations supplémentaires figurent en annexe.</w:t>
      </w:r>
    </w:p>
    <w:p w14:paraId="52AACF52" w14:textId="7DE05174" w:rsidR="002E0B8B" w:rsidRPr="0037157A" w:rsidRDefault="002E0B8B" w:rsidP="002E0B8B">
      <w:pPr>
        <w:pStyle w:val="SingleTxt"/>
        <w:spacing w:after="0" w:line="120" w:lineRule="exact"/>
        <w:rPr>
          <w:sz w:val="10"/>
          <w:lang w:val="fr-FR"/>
        </w:rPr>
      </w:pPr>
    </w:p>
    <w:p w14:paraId="21A1D916" w14:textId="5911E3E7" w:rsidR="002E0B8B" w:rsidRPr="0037157A" w:rsidRDefault="002E0B8B" w:rsidP="002E0B8B">
      <w:pPr>
        <w:pStyle w:val="SingleTxt"/>
        <w:spacing w:after="0" w:line="120" w:lineRule="exact"/>
        <w:rPr>
          <w:sz w:val="10"/>
          <w:lang w:val="fr-FR"/>
        </w:rPr>
      </w:pPr>
    </w:p>
    <w:p w14:paraId="66D3E2EB" w14:textId="67D4ABB6" w:rsidR="002E0B8B" w:rsidRPr="0037157A" w:rsidRDefault="002E0B8B" w:rsidP="002E0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t>II.</w:t>
      </w:r>
      <w:r w:rsidRPr="0037157A">
        <w:rPr>
          <w:lang w:val="fr-FR"/>
        </w:rPr>
        <w:tab/>
        <w:t>Réponses à la liste de points et de questions</w:t>
      </w:r>
    </w:p>
    <w:p w14:paraId="64CC5AAE" w14:textId="0EBF9ED4" w:rsidR="002E0B8B" w:rsidRPr="0037157A" w:rsidRDefault="002E0B8B" w:rsidP="002E0B8B">
      <w:pPr>
        <w:pStyle w:val="SingleTxt"/>
        <w:spacing w:after="0" w:line="120" w:lineRule="exact"/>
        <w:rPr>
          <w:sz w:val="10"/>
          <w:lang w:val="fr-FR"/>
        </w:rPr>
      </w:pPr>
    </w:p>
    <w:p w14:paraId="683CE7C8" w14:textId="0394C96A" w:rsidR="002E0B8B" w:rsidRPr="0037157A" w:rsidRDefault="002E0B8B" w:rsidP="002E0B8B">
      <w:pPr>
        <w:pStyle w:val="SingleTxt"/>
        <w:spacing w:after="0" w:line="120" w:lineRule="exact"/>
        <w:rPr>
          <w:sz w:val="10"/>
          <w:lang w:val="fr-FR"/>
        </w:rPr>
      </w:pPr>
    </w:p>
    <w:p w14:paraId="69B54CC7" w14:textId="6C0E35B3" w:rsidR="002E0B8B" w:rsidRPr="0037157A" w:rsidRDefault="002E0B8B" w:rsidP="002E0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Visibilité de la Convention, du Protocole facultatif </w:t>
      </w:r>
      <w:r w:rsidRPr="0037157A">
        <w:rPr>
          <w:lang w:val="fr-FR"/>
        </w:rPr>
        <w:br/>
        <w:t>et des recommandations générales du Comité</w:t>
      </w:r>
    </w:p>
    <w:p w14:paraId="782F1234" w14:textId="40DA5099" w:rsidR="002E0B8B" w:rsidRPr="0037157A" w:rsidRDefault="002E0B8B" w:rsidP="002E0B8B">
      <w:pPr>
        <w:pStyle w:val="SingleTxt"/>
        <w:spacing w:after="0" w:line="120" w:lineRule="exact"/>
        <w:rPr>
          <w:sz w:val="10"/>
          <w:lang w:val="fr-FR"/>
        </w:rPr>
      </w:pPr>
    </w:p>
    <w:p w14:paraId="1252D33A" w14:textId="0E7E2327" w:rsidR="002E0B8B" w:rsidRPr="0037157A" w:rsidRDefault="002E0B8B" w:rsidP="002E0B8B">
      <w:pPr>
        <w:pStyle w:val="SingleTxt"/>
        <w:spacing w:after="0" w:line="120" w:lineRule="exact"/>
        <w:rPr>
          <w:sz w:val="10"/>
          <w:lang w:val="fr-FR"/>
        </w:rPr>
      </w:pPr>
    </w:p>
    <w:p w14:paraId="6B4F4E59" w14:textId="6916BD52"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L</w:t>
      </w:r>
      <w:r w:rsidR="004471C3" w:rsidRPr="0037157A">
        <w:rPr>
          <w:lang w:val="fr-FR"/>
        </w:rPr>
        <w:t>’</w:t>
      </w:r>
      <w:r w:rsidRPr="0037157A">
        <w:rPr>
          <w:lang w:val="fr-FR"/>
        </w:rPr>
        <w:t>interdiction de la discrimination à l</w:t>
      </w:r>
      <w:r w:rsidR="004471C3" w:rsidRPr="0037157A">
        <w:rPr>
          <w:lang w:val="fr-FR"/>
        </w:rPr>
        <w:t>’</w:t>
      </w:r>
      <w:r w:rsidRPr="0037157A">
        <w:rPr>
          <w:lang w:val="fr-FR"/>
        </w:rPr>
        <w:t>égard des femmes se retrouve dans divers aspects du système d</w:t>
      </w:r>
      <w:r w:rsidR="004471C3" w:rsidRPr="0037157A">
        <w:rPr>
          <w:lang w:val="fr-FR"/>
        </w:rPr>
        <w:t>’</w:t>
      </w:r>
      <w:r w:rsidRPr="0037157A">
        <w:rPr>
          <w:lang w:val="fr-FR"/>
        </w:rPr>
        <w:t>application des lois hongrois. Les femmes détenues et condamnées font l</w:t>
      </w:r>
      <w:r w:rsidR="004471C3" w:rsidRPr="0037157A">
        <w:rPr>
          <w:lang w:val="fr-FR"/>
        </w:rPr>
        <w:t>’</w:t>
      </w:r>
      <w:r w:rsidRPr="0037157A">
        <w:rPr>
          <w:lang w:val="fr-FR"/>
        </w:rPr>
        <w:t>objet d</w:t>
      </w:r>
      <w:r w:rsidR="004471C3" w:rsidRPr="0037157A">
        <w:rPr>
          <w:lang w:val="fr-FR"/>
        </w:rPr>
        <w:t>’</w:t>
      </w:r>
      <w:r w:rsidRPr="0037157A">
        <w:rPr>
          <w:lang w:val="fr-FR"/>
        </w:rPr>
        <w:t>une discrimination positive puisqu</w:t>
      </w:r>
      <w:r w:rsidR="004471C3" w:rsidRPr="0037157A">
        <w:rPr>
          <w:lang w:val="fr-FR"/>
        </w:rPr>
        <w:t>’</w:t>
      </w:r>
      <w:r w:rsidRPr="0037157A">
        <w:rPr>
          <w:lang w:val="fr-FR"/>
        </w:rPr>
        <w:t>elles ont accès à des examens de dépistage particuliers, à des traitements pour femmes enceintes et malades et à la protection mère-enfant.</w:t>
      </w:r>
    </w:p>
    <w:p w14:paraId="5C7DA74A" w14:textId="4AE06059"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La question des femmes fait partie intégrante du programme de formation des magistrats et des procureurs. Entre 2013 et 2021, 129 programmes consacrés à la violence domestique ont été organisés. Plusieurs formations ont également été dispensées à des officiers de police sur</w:t>
      </w:r>
      <w:r w:rsidR="004471C3" w:rsidRPr="0037157A">
        <w:rPr>
          <w:lang w:val="fr-FR"/>
        </w:rPr>
        <w:t> :</w:t>
      </w:r>
      <w:r w:rsidRPr="0037157A">
        <w:rPr>
          <w:lang w:val="fr-FR"/>
        </w:rPr>
        <w:t xml:space="preserve"> i) la gestion de la violence domestique</w:t>
      </w:r>
      <w:r w:rsidR="004471C3" w:rsidRPr="0037157A">
        <w:rPr>
          <w:lang w:val="fr-FR"/>
        </w:rPr>
        <w:t> ;</w:t>
      </w:r>
      <w:r w:rsidRPr="0037157A">
        <w:rPr>
          <w:lang w:val="fr-FR"/>
        </w:rPr>
        <w:t xml:space="preserve"> ii) la détection des signes de violence domestique et de traite des êtres humains et la fourniture d</w:t>
      </w:r>
      <w:r w:rsidR="004471C3" w:rsidRPr="0037157A">
        <w:rPr>
          <w:lang w:val="fr-FR"/>
        </w:rPr>
        <w:t>’</w:t>
      </w:r>
      <w:r w:rsidRPr="0037157A">
        <w:rPr>
          <w:lang w:val="fr-FR"/>
        </w:rPr>
        <w:t>une réponse appropriée</w:t>
      </w:r>
      <w:r w:rsidR="004471C3" w:rsidRPr="0037157A">
        <w:rPr>
          <w:lang w:val="fr-FR"/>
        </w:rPr>
        <w:t> ;</w:t>
      </w:r>
      <w:r w:rsidRPr="0037157A">
        <w:rPr>
          <w:lang w:val="fr-FR"/>
        </w:rPr>
        <w:t xml:space="preserve"> iii) la violence fondée sur le genre et la violence domestique ainsi que la reconnaissance des manifestations récurrentes de violence </w:t>
      </w:r>
      <w:r w:rsidR="00A8072A" w:rsidRPr="0037157A">
        <w:rPr>
          <w:lang w:val="fr-FR"/>
        </w:rPr>
        <w:t>domestique</w:t>
      </w:r>
      <w:r w:rsidR="00A8072A">
        <w:rPr>
          <w:lang w:val="fr-FR"/>
        </w:rPr>
        <w:t> </w:t>
      </w:r>
      <w:r w:rsidR="004471C3" w:rsidRPr="0037157A">
        <w:rPr>
          <w:lang w:val="fr-FR"/>
        </w:rPr>
        <w:t>;</w:t>
      </w:r>
      <w:r w:rsidRPr="0037157A">
        <w:rPr>
          <w:lang w:val="fr-FR"/>
        </w:rPr>
        <w:t xml:space="preserve"> iv) la sensibilisation (descriptions et données relatives à la participation détaillées en annexe).</w:t>
      </w:r>
    </w:p>
    <w:p w14:paraId="5B879E91" w14:textId="67048231"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En outre, le service judiciaire du quartier général de la police nationale publie régulièrement des informations relatives à la traite des êtres humains sur le site Web interne «</w:t>
      </w:r>
      <w:r w:rsidR="00A8072A">
        <w:rPr>
          <w:lang w:val="fr-FR"/>
        </w:rPr>
        <w:t> </w:t>
      </w:r>
      <w:r w:rsidRPr="0037157A">
        <w:rPr>
          <w:lang w:val="fr-FR"/>
        </w:rPr>
        <w:t>MyPolice</w:t>
      </w:r>
      <w:r w:rsidR="00A8072A">
        <w:rPr>
          <w:lang w:val="fr-FR"/>
        </w:rPr>
        <w:t> </w:t>
      </w:r>
      <w:r w:rsidRPr="0037157A">
        <w:rPr>
          <w:lang w:val="fr-FR"/>
        </w:rPr>
        <w:t>» et met à la disposition de tous les officiers de police des normes et documents de travail dans ce domaine.</w:t>
      </w:r>
    </w:p>
    <w:p w14:paraId="7E211AAA" w14:textId="5708E9CA" w:rsidR="002E0B8B" w:rsidRPr="0037157A" w:rsidRDefault="002E0B8B" w:rsidP="002E0B8B">
      <w:pPr>
        <w:pStyle w:val="SingleTxt"/>
        <w:spacing w:after="0" w:line="120" w:lineRule="exact"/>
        <w:rPr>
          <w:sz w:val="10"/>
          <w:lang w:val="fr-FR"/>
        </w:rPr>
      </w:pPr>
    </w:p>
    <w:p w14:paraId="0BFDC8DF" w14:textId="220FC85D" w:rsidR="002E0B8B" w:rsidRPr="0037157A" w:rsidRDefault="002E0B8B" w:rsidP="002E0B8B">
      <w:pPr>
        <w:pStyle w:val="SingleTxt"/>
        <w:spacing w:after="0" w:line="120" w:lineRule="exact"/>
        <w:rPr>
          <w:bCs/>
          <w:iCs/>
          <w:sz w:val="10"/>
          <w:lang w:val="fr-FR"/>
        </w:rPr>
      </w:pPr>
    </w:p>
    <w:p w14:paraId="7CDB14F6" w14:textId="66F94124" w:rsidR="002E0B8B" w:rsidRPr="0037157A" w:rsidRDefault="002E0B8B" w:rsidP="002E0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Incidences de la pandémie sur les droits des femmes et l</w:t>
      </w:r>
      <w:r w:rsidR="004471C3" w:rsidRPr="0037157A">
        <w:rPr>
          <w:lang w:val="fr-FR"/>
        </w:rPr>
        <w:t>’</w:t>
      </w:r>
      <w:r w:rsidRPr="0037157A">
        <w:rPr>
          <w:lang w:val="fr-FR"/>
        </w:rPr>
        <w:t xml:space="preserve">égalité </w:t>
      </w:r>
      <w:r w:rsidRPr="0037157A">
        <w:rPr>
          <w:lang w:val="fr-FR"/>
        </w:rPr>
        <w:br/>
        <w:t>des genres</w:t>
      </w:r>
    </w:p>
    <w:p w14:paraId="33E6ADF9" w14:textId="33AD0B64" w:rsidR="002E0B8B" w:rsidRPr="0037157A" w:rsidRDefault="002E0B8B" w:rsidP="002E0B8B">
      <w:pPr>
        <w:pStyle w:val="SingleTxt"/>
        <w:spacing w:after="0" w:line="120" w:lineRule="exact"/>
        <w:rPr>
          <w:sz w:val="10"/>
          <w:lang w:val="fr-FR"/>
        </w:rPr>
      </w:pPr>
    </w:p>
    <w:p w14:paraId="109ABE51" w14:textId="1B83EBBD" w:rsidR="002E0B8B" w:rsidRPr="0037157A" w:rsidRDefault="002E0B8B" w:rsidP="002E0B8B">
      <w:pPr>
        <w:pStyle w:val="SingleTxt"/>
        <w:spacing w:after="0" w:line="120" w:lineRule="exact"/>
        <w:rPr>
          <w:sz w:val="10"/>
          <w:lang w:val="fr-FR"/>
        </w:rPr>
      </w:pPr>
    </w:p>
    <w:p w14:paraId="7BC01DF8" w14:textId="20D09EAB"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Pour atténuer les effets de la pandémie sur la situation économique et le quotidien des femmes faisant face à des difficultés accrues, en particulier des mères ayant des enfants en bas âge, le Gouvernement hongrois a pris les mesures suivantes</w:t>
      </w:r>
      <w:r w:rsidR="004471C3" w:rsidRPr="0037157A">
        <w:rPr>
          <w:lang w:val="fr-FR"/>
        </w:rPr>
        <w:t> :</w:t>
      </w:r>
    </w:p>
    <w:p w14:paraId="57C00C42" w14:textId="7DA32B58" w:rsidR="002E0B8B" w:rsidRPr="0037157A" w:rsidRDefault="002E0B8B" w:rsidP="002E0B8B">
      <w:pPr>
        <w:pStyle w:val="SingleTxt"/>
        <w:spacing w:after="0" w:line="120" w:lineRule="exact"/>
        <w:rPr>
          <w:sz w:val="10"/>
          <w:lang w:val="fr-FR"/>
        </w:rPr>
      </w:pPr>
    </w:p>
    <w:p w14:paraId="144AB5FF" w14:textId="093EE964" w:rsidR="002E0B8B" w:rsidRPr="0037157A" w:rsidRDefault="002E0B8B" w:rsidP="002E0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Renforcement de la protection sociale des femmes</w:t>
      </w:r>
    </w:p>
    <w:p w14:paraId="4D8C5434" w14:textId="1B87358C" w:rsidR="002E0B8B" w:rsidRPr="0037157A" w:rsidRDefault="002E0B8B" w:rsidP="002E0B8B">
      <w:pPr>
        <w:pStyle w:val="SingleTxt"/>
        <w:spacing w:after="0" w:line="120" w:lineRule="exact"/>
        <w:rPr>
          <w:sz w:val="10"/>
          <w:lang w:val="fr-FR"/>
        </w:rPr>
      </w:pPr>
    </w:p>
    <w:p w14:paraId="1134B7B4" w14:textId="60534D31"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Sous l</w:t>
      </w:r>
      <w:r w:rsidR="004471C3" w:rsidRPr="0037157A">
        <w:rPr>
          <w:lang w:val="fr-FR"/>
        </w:rPr>
        <w:t>’</w:t>
      </w:r>
      <w:r w:rsidRPr="0037157A">
        <w:rPr>
          <w:lang w:val="fr-FR"/>
        </w:rPr>
        <w:t>état d</w:t>
      </w:r>
      <w:r w:rsidR="004471C3" w:rsidRPr="0037157A">
        <w:rPr>
          <w:lang w:val="fr-FR"/>
        </w:rPr>
        <w:t>’</w:t>
      </w:r>
      <w:r w:rsidRPr="0037157A">
        <w:rPr>
          <w:lang w:val="fr-FR"/>
        </w:rPr>
        <w:t>urgence, le Gouvernement hongrois a prolongé le droit aux prestations familiales du 11</w:t>
      </w:r>
      <w:r w:rsidR="00315AA6" w:rsidRPr="0037157A">
        <w:rPr>
          <w:lang w:val="fr-FR"/>
        </w:rPr>
        <w:t xml:space="preserve"> </w:t>
      </w:r>
      <w:r w:rsidRPr="0037157A">
        <w:rPr>
          <w:lang w:val="fr-FR"/>
        </w:rPr>
        <w:t>mars au 30</w:t>
      </w:r>
      <w:r w:rsidR="00315AA6" w:rsidRPr="0037157A">
        <w:rPr>
          <w:lang w:val="fr-FR"/>
        </w:rPr>
        <w:t xml:space="preserve"> </w:t>
      </w:r>
      <w:r w:rsidRPr="0037157A">
        <w:rPr>
          <w:lang w:val="fr-FR"/>
        </w:rPr>
        <w:t>juin 2020 et du 8</w:t>
      </w:r>
      <w:r w:rsidR="00315AA6" w:rsidRPr="0037157A">
        <w:rPr>
          <w:lang w:val="fr-FR"/>
        </w:rPr>
        <w:t xml:space="preserve"> </w:t>
      </w:r>
      <w:r w:rsidRPr="0037157A">
        <w:rPr>
          <w:lang w:val="fr-FR"/>
        </w:rPr>
        <w:t>mars au 7</w:t>
      </w:r>
      <w:r w:rsidR="00315AA6" w:rsidRPr="0037157A">
        <w:rPr>
          <w:lang w:val="fr-FR"/>
        </w:rPr>
        <w:t xml:space="preserve"> </w:t>
      </w:r>
      <w:r w:rsidRPr="0037157A">
        <w:rPr>
          <w:lang w:val="fr-FR"/>
        </w:rPr>
        <w:t>avril 2021. Cela signifie qu</w:t>
      </w:r>
      <w:r w:rsidR="004471C3" w:rsidRPr="0037157A">
        <w:rPr>
          <w:lang w:val="fr-FR"/>
        </w:rPr>
        <w:t>’</w:t>
      </w:r>
      <w:r w:rsidRPr="0037157A">
        <w:rPr>
          <w:lang w:val="fr-FR"/>
        </w:rPr>
        <w:t xml:space="preserve">au cours de ces </w:t>
      </w:r>
      <w:r w:rsidRPr="0037157A">
        <w:rPr>
          <w:szCs w:val="20"/>
          <w:lang w:val="fr-FR"/>
        </w:rPr>
        <w:t>deux</w:t>
      </w:r>
      <w:r w:rsidRPr="0037157A">
        <w:rPr>
          <w:lang w:val="fr-FR"/>
        </w:rPr>
        <w:t xml:space="preserve"> périodes, les parents dont le droit à l</w:t>
      </w:r>
      <w:r w:rsidR="004471C3" w:rsidRPr="0037157A">
        <w:rPr>
          <w:lang w:val="fr-FR"/>
        </w:rPr>
        <w:t>’</w:t>
      </w:r>
      <w:r w:rsidRPr="0037157A">
        <w:rPr>
          <w:lang w:val="fr-FR"/>
        </w:rPr>
        <w:t>allocation pour garde d</w:t>
      </w:r>
      <w:r w:rsidR="004471C3" w:rsidRPr="0037157A">
        <w:rPr>
          <w:lang w:val="fr-FR"/>
        </w:rPr>
        <w:t>’</w:t>
      </w:r>
      <w:r w:rsidRPr="0037157A">
        <w:rPr>
          <w:lang w:val="fr-FR"/>
        </w:rPr>
        <w:t>enfant (une prestation fondée sur le statut de sécurité sociale), à l</w:t>
      </w:r>
      <w:r w:rsidR="004471C3" w:rsidRPr="0037157A">
        <w:rPr>
          <w:lang w:val="fr-FR"/>
        </w:rPr>
        <w:t>’</w:t>
      </w:r>
      <w:r w:rsidRPr="0037157A">
        <w:rPr>
          <w:lang w:val="fr-FR"/>
        </w:rPr>
        <w:t>allocation familiale (un droit individuel) ou à l</w:t>
      </w:r>
      <w:r w:rsidR="004471C3" w:rsidRPr="0037157A">
        <w:rPr>
          <w:lang w:val="fr-FR"/>
        </w:rPr>
        <w:t>’</w:t>
      </w:r>
      <w:r w:rsidRPr="0037157A">
        <w:rPr>
          <w:lang w:val="fr-FR"/>
        </w:rPr>
        <w:t>aide à l</w:t>
      </w:r>
      <w:r w:rsidR="004471C3" w:rsidRPr="0037157A">
        <w:rPr>
          <w:lang w:val="fr-FR"/>
        </w:rPr>
        <w:t>’</w:t>
      </w:r>
      <w:r w:rsidRPr="0037157A">
        <w:rPr>
          <w:lang w:val="fr-FR"/>
        </w:rPr>
        <w:t>éducation des enfants (une prestation pour les familles de 3</w:t>
      </w:r>
      <w:r w:rsidR="00315AA6" w:rsidRPr="0037157A">
        <w:rPr>
          <w:lang w:val="fr-FR"/>
        </w:rPr>
        <w:t xml:space="preserve"> </w:t>
      </w:r>
      <w:r w:rsidRPr="0037157A">
        <w:rPr>
          <w:lang w:val="fr-FR"/>
        </w:rPr>
        <w:t>enfants ou plus) a expiré ont pu continuer à recevoir ces prestations. Cette initiative a également contribué à préserver l</w:t>
      </w:r>
      <w:r w:rsidR="004471C3" w:rsidRPr="0037157A">
        <w:rPr>
          <w:lang w:val="fr-FR"/>
        </w:rPr>
        <w:t>’</w:t>
      </w:r>
      <w:r w:rsidRPr="0037157A">
        <w:rPr>
          <w:lang w:val="fr-FR"/>
        </w:rPr>
        <w:t>emploi des femmes, puisque celles-ci ont pu se permettre de rester en congé non rémunéré.</w:t>
      </w:r>
    </w:p>
    <w:p w14:paraId="01BDB1EE" w14:textId="655FA889" w:rsidR="002E0B8B" w:rsidRPr="0037157A" w:rsidRDefault="002E0B8B" w:rsidP="002E0B8B">
      <w:pPr>
        <w:pStyle w:val="SingleTxt"/>
        <w:spacing w:after="0" w:line="120" w:lineRule="exact"/>
        <w:rPr>
          <w:sz w:val="10"/>
          <w:lang w:val="fr-FR"/>
        </w:rPr>
      </w:pPr>
    </w:p>
    <w:p w14:paraId="2E78337B" w14:textId="6E53F8EC" w:rsidR="002E0B8B" w:rsidRPr="0037157A" w:rsidRDefault="002E0B8B" w:rsidP="002E0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Mise en place de services de garde d</w:t>
      </w:r>
      <w:r w:rsidR="004471C3" w:rsidRPr="0037157A">
        <w:rPr>
          <w:lang w:val="fr-FR"/>
        </w:rPr>
        <w:t>’</w:t>
      </w:r>
      <w:r w:rsidRPr="0037157A">
        <w:rPr>
          <w:lang w:val="fr-FR"/>
        </w:rPr>
        <w:t>enfants</w:t>
      </w:r>
    </w:p>
    <w:p w14:paraId="4C4F8418" w14:textId="218B7D57" w:rsidR="002E0B8B" w:rsidRPr="0037157A" w:rsidRDefault="002E0B8B" w:rsidP="002E0B8B">
      <w:pPr>
        <w:pStyle w:val="SingleTxt"/>
        <w:spacing w:after="0" w:line="120" w:lineRule="exact"/>
        <w:rPr>
          <w:sz w:val="10"/>
          <w:lang w:val="fr-FR"/>
        </w:rPr>
      </w:pPr>
    </w:p>
    <w:p w14:paraId="545BCD46" w14:textId="6A4DB93D" w:rsidR="002E0B8B" w:rsidRPr="0037157A" w:rsidRDefault="002E0B8B" w:rsidP="009D535F">
      <w:pPr>
        <w:pStyle w:val="SingleTxt"/>
        <w:numPr>
          <w:ilvl w:val="0"/>
          <w:numId w:val="6"/>
        </w:numPr>
        <w:tabs>
          <w:tab w:val="num" w:pos="2804"/>
        </w:tabs>
        <w:spacing w:line="240" w:lineRule="exact"/>
        <w:ind w:left="1267"/>
        <w:rPr>
          <w:bCs/>
          <w:iCs/>
          <w:lang w:val="fr-FR"/>
        </w:rPr>
      </w:pPr>
      <w:r w:rsidRPr="0037157A">
        <w:rPr>
          <w:lang w:val="fr-FR"/>
        </w:rPr>
        <w:t>Pendant la première vague de la pandémie, il a été ordonné de fermer exceptionnellement de nombreux jardins d</w:t>
      </w:r>
      <w:r w:rsidR="004471C3" w:rsidRPr="0037157A">
        <w:rPr>
          <w:lang w:val="fr-FR"/>
        </w:rPr>
        <w:t>’</w:t>
      </w:r>
      <w:r w:rsidRPr="0037157A">
        <w:rPr>
          <w:lang w:val="fr-FR"/>
        </w:rPr>
        <w:t>enfants et crèches. Cette décision a imposé un lourd fardeau aux parents qui travaillent, en particulier aux femmes. Pour alléger cette charge, la Hongrie a établi des règles pour la mise en place de services de garde d</w:t>
      </w:r>
      <w:r w:rsidR="004471C3" w:rsidRPr="0037157A">
        <w:rPr>
          <w:lang w:val="fr-FR"/>
        </w:rPr>
        <w:t>’</w:t>
      </w:r>
      <w:r w:rsidRPr="0037157A">
        <w:rPr>
          <w:lang w:val="fr-FR"/>
        </w:rPr>
        <w:t>enfants sur le lieu de travail, à la charge des employeurs (détails en annexe). En outre, le Gouvernement hongrois a instauré un service gratuit de garde d</w:t>
      </w:r>
      <w:r w:rsidR="004471C3" w:rsidRPr="0037157A">
        <w:rPr>
          <w:lang w:val="fr-FR"/>
        </w:rPr>
        <w:t>’</w:t>
      </w:r>
      <w:r w:rsidRPr="0037157A">
        <w:rPr>
          <w:lang w:val="fr-FR"/>
        </w:rPr>
        <w:t>enfants à la demande, organisé par les collectivités autonomes.</w:t>
      </w:r>
    </w:p>
    <w:p w14:paraId="60DEDD3B" w14:textId="009F2606"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Au cours des deuxième et troisième vagues de COVID-19, les crèches et les jardins d</w:t>
      </w:r>
      <w:r w:rsidR="004471C3" w:rsidRPr="0037157A">
        <w:rPr>
          <w:lang w:val="fr-FR"/>
        </w:rPr>
        <w:t>’</w:t>
      </w:r>
      <w:r w:rsidRPr="0037157A">
        <w:rPr>
          <w:lang w:val="fr-FR"/>
        </w:rPr>
        <w:t>enfants sont restés ouverts en raison du faible niveau d</w:t>
      </w:r>
      <w:r w:rsidR="004471C3" w:rsidRPr="0037157A">
        <w:rPr>
          <w:lang w:val="fr-FR"/>
        </w:rPr>
        <w:t>’</w:t>
      </w:r>
      <w:r w:rsidRPr="0037157A">
        <w:rPr>
          <w:lang w:val="fr-FR"/>
        </w:rPr>
        <w:t>infection chez les jeunes enfants. En 2021, la Hongrie a introduit une allocation de remplacement permanente pour les éducateurs de la petite enfance. Dans son plan de relèvement et de résilience (2021), le pays envisage, entre autres mesures de soutien, la création de nouvelles crèches (voir par</w:t>
      </w:r>
      <w:r w:rsidR="00315AA6" w:rsidRPr="0037157A">
        <w:rPr>
          <w:lang w:val="fr-FR"/>
        </w:rPr>
        <w:t>.</w:t>
      </w:r>
      <w:r w:rsidRPr="0037157A">
        <w:rPr>
          <w:lang w:val="fr-FR"/>
        </w:rPr>
        <w:t xml:space="preserve"> 63).</w:t>
      </w:r>
    </w:p>
    <w:p w14:paraId="36A2C8D7" w14:textId="1DFFBB72" w:rsidR="002E0B8B" w:rsidRPr="0037157A" w:rsidRDefault="002E0B8B" w:rsidP="002E0B8B">
      <w:pPr>
        <w:pStyle w:val="SingleTxt"/>
        <w:spacing w:after="0" w:line="120" w:lineRule="exact"/>
        <w:rPr>
          <w:sz w:val="10"/>
          <w:lang w:val="fr-FR"/>
        </w:rPr>
      </w:pPr>
    </w:p>
    <w:p w14:paraId="60DA025D" w14:textId="42F37BB2" w:rsidR="002E0B8B" w:rsidRPr="0037157A" w:rsidRDefault="002E0B8B" w:rsidP="002E0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Soutien aux victimes de violence domestique</w:t>
      </w:r>
    </w:p>
    <w:p w14:paraId="11DD3176" w14:textId="6DBF2E84" w:rsidR="002E0B8B" w:rsidRPr="0037157A" w:rsidRDefault="002E0B8B" w:rsidP="002E0B8B">
      <w:pPr>
        <w:pStyle w:val="SingleTxt"/>
        <w:spacing w:after="0" w:line="120" w:lineRule="exact"/>
        <w:rPr>
          <w:sz w:val="10"/>
          <w:lang w:val="fr-FR"/>
        </w:rPr>
      </w:pPr>
    </w:p>
    <w:p w14:paraId="52B0E637" w14:textId="25B83F14" w:rsidR="004471C3" w:rsidRPr="0037157A" w:rsidRDefault="002E0B8B" w:rsidP="0018165E">
      <w:pPr>
        <w:pStyle w:val="SingleTxt"/>
        <w:numPr>
          <w:ilvl w:val="0"/>
          <w:numId w:val="6"/>
        </w:numPr>
        <w:tabs>
          <w:tab w:val="num" w:pos="2804"/>
        </w:tabs>
        <w:spacing w:line="240" w:lineRule="exact"/>
        <w:ind w:left="1267"/>
        <w:rPr>
          <w:lang w:val="fr-FR"/>
        </w:rPr>
      </w:pPr>
      <w:r w:rsidRPr="0037157A">
        <w:rPr>
          <w:lang w:val="fr-FR"/>
        </w:rPr>
        <w:t>Au cours de la première vague de la pandémie, le Service téléphonique national d</w:t>
      </w:r>
      <w:r w:rsidR="004471C3" w:rsidRPr="0037157A">
        <w:rPr>
          <w:lang w:val="fr-FR"/>
        </w:rPr>
        <w:t>’</w:t>
      </w:r>
      <w:r w:rsidRPr="0037157A">
        <w:rPr>
          <w:lang w:val="fr-FR"/>
        </w:rPr>
        <w:t xml:space="preserve">information et de gestion des crises </w:t>
      </w:r>
      <w:r w:rsidR="0018165E" w:rsidRPr="0018165E">
        <w:rPr>
          <w:lang w:val="fr-FR"/>
        </w:rPr>
        <w:t>–</w:t>
      </w:r>
      <w:r w:rsidR="00A8072A">
        <w:rPr>
          <w:lang w:val="fr-FR"/>
        </w:rPr>
        <w:t> </w:t>
      </w:r>
      <w:r w:rsidRPr="0037157A">
        <w:rPr>
          <w:lang w:val="fr-FR"/>
        </w:rPr>
        <w:t>disponible gratuitement 24</w:t>
      </w:r>
      <w:r w:rsidR="00315AA6" w:rsidRPr="0037157A">
        <w:rPr>
          <w:lang w:val="fr-FR"/>
        </w:rPr>
        <w:t xml:space="preserve"> </w:t>
      </w:r>
      <w:r w:rsidRPr="0037157A">
        <w:rPr>
          <w:lang w:val="fr-FR"/>
        </w:rPr>
        <w:t>heures sur 24 et 7 jours sur 7</w:t>
      </w:r>
      <w:r w:rsidR="0018165E" w:rsidRPr="0018165E">
        <w:rPr>
          <w:lang w:val="fr-FR"/>
        </w:rPr>
        <w:t>–</w:t>
      </w:r>
      <w:r w:rsidRPr="0037157A">
        <w:rPr>
          <w:lang w:val="fr-FR"/>
        </w:rPr>
        <w:t xml:space="preserve"> a reçu un nombre croissant d</w:t>
      </w:r>
      <w:r w:rsidR="004471C3" w:rsidRPr="0037157A">
        <w:rPr>
          <w:lang w:val="fr-FR"/>
        </w:rPr>
        <w:t>’</w:t>
      </w:r>
      <w:r w:rsidRPr="0037157A">
        <w:rPr>
          <w:lang w:val="fr-FR"/>
        </w:rPr>
        <w:t>appels de détresse associés à la violence domestique. Le système fonctionnait au maximum de ses capacités. Lorsque cela était possible, des espaces de quarantaine et les équipements nécessaires, tels que des masques ou des désinfectants, étaient mis à disposition.</w:t>
      </w:r>
    </w:p>
    <w:p w14:paraId="6CAE6806" w14:textId="6D6EFDE9"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En outre, l</w:t>
      </w:r>
      <w:r w:rsidR="004471C3" w:rsidRPr="0037157A">
        <w:rPr>
          <w:lang w:val="fr-FR"/>
        </w:rPr>
        <w:t>’</w:t>
      </w:r>
      <w:r w:rsidRPr="0037157A">
        <w:rPr>
          <w:lang w:val="fr-FR"/>
        </w:rPr>
        <w:t>aide aux victimes s</w:t>
      </w:r>
      <w:r w:rsidR="004471C3" w:rsidRPr="0037157A">
        <w:rPr>
          <w:lang w:val="fr-FR"/>
        </w:rPr>
        <w:t>’</w:t>
      </w:r>
      <w:r w:rsidRPr="0037157A">
        <w:rPr>
          <w:lang w:val="fr-FR"/>
        </w:rPr>
        <w:t>est poursuivie via Internet</w:t>
      </w:r>
      <w:r w:rsidR="004471C3" w:rsidRPr="0037157A">
        <w:rPr>
          <w:lang w:val="fr-FR"/>
        </w:rPr>
        <w:t> :</w:t>
      </w:r>
      <w:r w:rsidRPr="0037157A">
        <w:rPr>
          <w:lang w:val="fr-FR"/>
        </w:rPr>
        <w:t xml:space="preserve"> les «</w:t>
      </w:r>
      <w:r w:rsidR="0018165E">
        <w:rPr>
          <w:lang w:val="fr-FR"/>
        </w:rPr>
        <w:t> </w:t>
      </w:r>
      <w:r w:rsidRPr="0037157A">
        <w:rPr>
          <w:lang w:val="fr-FR"/>
        </w:rPr>
        <w:t>ambulances de crise</w:t>
      </w:r>
      <w:r w:rsidR="0018165E">
        <w:rPr>
          <w:lang w:val="fr-FR"/>
        </w:rPr>
        <w:t> </w:t>
      </w:r>
      <w:r w:rsidRPr="0037157A">
        <w:rPr>
          <w:lang w:val="fr-FR"/>
        </w:rPr>
        <w:t>» ont continué leur travail virtuellement et des brochures d</w:t>
      </w:r>
      <w:r w:rsidR="004471C3" w:rsidRPr="0037157A">
        <w:rPr>
          <w:lang w:val="fr-FR"/>
        </w:rPr>
        <w:t>’</w:t>
      </w:r>
      <w:r w:rsidRPr="0037157A">
        <w:rPr>
          <w:lang w:val="fr-FR"/>
        </w:rPr>
        <w:t>information ont été diffusées en ligne. L</w:t>
      </w:r>
      <w:r w:rsidR="004471C3" w:rsidRPr="0037157A">
        <w:rPr>
          <w:lang w:val="fr-FR"/>
        </w:rPr>
        <w:t>’</w:t>
      </w:r>
      <w:r w:rsidRPr="0037157A">
        <w:rPr>
          <w:lang w:val="fr-FR"/>
        </w:rPr>
        <w:t>application mobile « </w:t>
      </w:r>
      <w:r w:rsidRPr="0037157A">
        <w:rPr>
          <w:i/>
          <w:iCs/>
          <w:lang w:val="fr-FR"/>
        </w:rPr>
        <w:t>Kapcsolj egyből</w:t>
      </w:r>
      <w:r w:rsidR="00315AA6" w:rsidRPr="0037157A">
        <w:rPr>
          <w:lang w:val="fr-FR"/>
        </w:rPr>
        <w:t> </w:t>
      </w:r>
      <w:r w:rsidRPr="0037157A">
        <w:rPr>
          <w:lang w:val="fr-FR"/>
        </w:rPr>
        <w:t>! » (Signalé immédiatement</w:t>
      </w:r>
      <w:r w:rsidR="00315AA6" w:rsidRPr="0037157A">
        <w:rPr>
          <w:lang w:val="fr-FR"/>
        </w:rPr>
        <w:t> </w:t>
      </w:r>
      <w:r w:rsidRPr="0037157A">
        <w:rPr>
          <w:lang w:val="fr-FR"/>
        </w:rPr>
        <w:t>!), développée en 2019, a également été d</w:t>
      </w:r>
      <w:r w:rsidR="004471C3" w:rsidRPr="0037157A">
        <w:rPr>
          <w:lang w:val="fr-FR"/>
        </w:rPr>
        <w:t>’</w:t>
      </w:r>
      <w:r w:rsidRPr="0037157A">
        <w:rPr>
          <w:lang w:val="fr-FR"/>
        </w:rPr>
        <w:t>une grande aide pour les victimes durant le couvre-feu.</w:t>
      </w:r>
    </w:p>
    <w:p w14:paraId="46AAC097" w14:textId="1FAB2A70" w:rsidR="002E0B8B" w:rsidRPr="0037157A" w:rsidRDefault="002E0B8B" w:rsidP="002E0B8B">
      <w:pPr>
        <w:pStyle w:val="SingleTxt"/>
        <w:spacing w:after="0" w:line="120" w:lineRule="exact"/>
        <w:rPr>
          <w:sz w:val="10"/>
          <w:lang w:val="fr-FR"/>
        </w:rPr>
      </w:pPr>
    </w:p>
    <w:p w14:paraId="79D9A4DD" w14:textId="68B94A5B" w:rsidR="002E0B8B" w:rsidRPr="0037157A" w:rsidRDefault="002E0B8B" w:rsidP="002E0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Soutien aux secteurs dans lesquels les femmes sont surreprésentées</w:t>
      </w:r>
    </w:p>
    <w:p w14:paraId="27667514" w14:textId="20A648F3" w:rsidR="002E0B8B" w:rsidRPr="0037157A" w:rsidRDefault="002E0B8B" w:rsidP="002E0B8B">
      <w:pPr>
        <w:pStyle w:val="SingleTxt"/>
        <w:spacing w:after="0" w:line="120" w:lineRule="exact"/>
        <w:rPr>
          <w:sz w:val="10"/>
          <w:lang w:val="fr-FR"/>
        </w:rPr>
      </w:pPr>
    </w:p>
    <w:p w14:paraId="2D96A7B3" w14:textId="3805802B" w:rsidR="002E0B8B" w:rsidRPr="0037157A" w:rsidRDefault="002E0B8B" w:rsidP="0018165E">
      <w:pPr>
        <w:pStyle w:val="SingleTxt"/>
        <w:numPr>
          <w:ilvl w:val="0"/>
          <w:numId w:val="6"/>
        </w:numPr>
        <w:tabs>
          <w:tab w:val="num" w:pos="2804"/>
        </w:tabs>
        <w:spacing w:line="240" w:lineRule="exact"/>
        <w:ind w:left="1267"/>
        <w:rPr>
          <w:lang w:val="fr-FR"/>
        </w:rPr>
      </w:pPr>
      <w:r w:rsidRPr="0037157A">
        <w:rPr>
          <w:lang w:val="fr-FR"/>
        </w:rPr>
        <w:t>Dans le cadre du plan d</w:t>
      </w:r>
      <w:r w:rsidR="004471C3" w:rsidRPr="0037157A">
        <w:rPr>
          <w:lang w:val="fr-FR"/>
        </w:rPr>
        <w:t>’</w:t>
      </w:r>
      <w:r w:rsidRPr="0037157A">
        <w:rPr>
          <w:lang w:val="fr-FR"/>
        </w:rPr>
        <w:t>action pour la protection de l</w:t>
      </w:r>
      <w:r w:rsidR="004471C3" w:rsidRPr="0037157A">
        <w:rPr>
          <w:lang w:val="fr-FR"/>
        </w:rPr>
        <w:t>’</w:t>
      </w:r>
      <w:r w:rsidRPr="0037157A">
        <w:rPr>
          <w:lang w:val="fr-FR"/>
        </w:rPr>
        <w:t xml:space="preserve">économie, les secteurs fondamentaux les plus touchés par la pandémie de COVID-19 </w:t>
      </w:r>
      <w:r w:rsidR="0018165E" w:rsidRPr="0018165E">
        <w:rPr>
          <w:lang w:val="fr-FR"/>
        </w:rPr>
        <w:t>–</w:t>
      </w:r>
      <w:r w:rsidRPr="0037157A">
        <w:rPr>
          <w:lang w:val="fr-FR"/>
        </w:rPr>
        <w:t> tels que le tourisme, l</w:t>
      </w:r>
      <w:r w:rsidR="004471C3" w:rsidRPr="0037157A">
        <w:rPr>
          <w:lang w:val="fr-FR"/>
        </w:rPr>
        <w:t>’</w:t>
      </w:r>
      <w:r w:rsidRPr="0037157A">
        <w:rPr>
          <w:lang w:val="fr-FR"/>
        </w:rPr>
        <w:t>industrie de la création, la santé et l</w:t>
      </w:r>
      <w:r w:rsidR="004471C3" w:rsidRPr="0037157A">
        <w:rPr>
          <w:lang w:val="fr-FR"/>
        </w:rPr>
        <w:t>’</w:t>
      </w:r>
      <w:r w:rsidRPr="0037157A">
        <w:rPr>
          <w:lang w:val="fr-FR"/>
        </w:rPr>
        <w:t>industrie alimentaire </w:t>
      </w:r>
      <w:r w:rsidR="0018165E" w:rsidRPr="0018165E">
        <w:rPr>
          <w:lang w:val="fr-FR"/>
        </w:rPr>
        <w:t>–</w:t>
      </w:r>
      <w:r w:rsidRPr="0037157A">
        <w:rPr>
          <w:lang w:val="fr-FR"/>
        </w:rPr>
        <w:t xml:space="preserve"> ont bénéficié de financements supplémentaires, de réductions d</w:t>
      </w:r>
      <w:r w:rsidR="004471C3" w:rsidRPr="0037157A">
        <w:rPr>
          <w:lang w:val="fr-FR"/>
        </w:rPr>
        <w:t>’</w:t>
      </w:r>
      <w:r w:rsidRPr="0037157A">
        <w:rPr>
          <w:lang w:val="fr-FR"/>
        </w:rPr>
        <w:t>impôts et de subventions salariales. La Hongrie a également accordé une prime unique de 500 000</w:t>
      </w:r>
      <w:r w:rsidR="00315AA6" w:rsidRPr="0037157A">
        <w:rPr>
          <w:lang w:val="fr-FR"/>
        </w:rPr>
        <w:t xml:space="preserve"> </w:t>
      </w:r>
      <w:r w:rsidRPr="0037157A">
        <w:rPr>
          <w:lang w:val="fr-FR"/>
        </w:rPr>
        <w:t>forints hongrois (1 753 dollars des États-Unis) aux professionnels de la santé, qui ont pris de grands risques pour lutter contre la maladie. Au cours de la troisième vague de COVID-19, le Gouvernement a introduit le télétravail dans l</w:t>
      </w:r>
      <w:r w:rsidR="004471C3" w:rsidRPr="0037157A">
        <w:rPr>
          <w:lang w:val="fr-FR"/>
        </w:rPr>
        <w:t>’</w:t>
      </w:r>
      <w:r w:rsidRPr="0037157A">
        <w:rPr>
          <w:lang w:val="fr-FR"/>
        </w:rPr>
        <w:t>administration publique et a encouragé le secteur privé à en faire de même. Cette mesure a également incité les pères à s</w:t>
      </w:r>
      <w:r w:rsidR="004471C3" w:rsidRPr="0037157A">
        <w:rPr>
          <w:lang w:val="fr-FR"/>
        </w:rPr>
        <w:t>’</w:t>
      </w:r>
      <w:r w:rsidRPr="0037157A">
        <w:rPr>
          <w:lang w:val="fr-FR"/>
        </w:rPr>
        <w:t>occuper davantage de leurs enfants.</w:t>
      </w:r>
    </w:p>
    <w:p w14:paraId="17695A6E" w14:textId="77777777" w:rsidR="002E0B8B" w:rsidRPr="0037157A" w:rsidRDefault="002E0B8B" w:rsidP="002E0B8B">
      <w:pPr>
        <w:pStyle w:val="SingleTxt"/>
        <w:spacing w:after="0" w:line="120" w:lineRule="exact"/>
        <w:rPr>
          <w:sz w:val="10"/>
          <w:lang w:val="fr-FR"/>
        </w:rPr>
      </w:pPr>
    </w:p>
    <w:p w14:paraId="07AC49C9" w14:textId="01272C9A" w:rsidR="002E0B8B" w:rsidRPr="0037157A" w:rsidRDefault="002E0B8B" w:rsidP="002E0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Accès aux services de soins de santé sexuelle et reproductive</w:t>
      </w:r>
    </w:p>
    <w:p w14:paraId="56E6CC56" w14:textId="6F39E884" w:rsidR="002E0B8B" w:rsidRPr="0037157A" w:rsidRDefault="002E0B8B" w:rsidP="002E0B8B">
      <w:pPr>
        <w:pStyle w:val="SingleTxt"/>
        <w:spacing w:after="0" w:line="120" w:lineRule="exact"/>
        <w:rPr>
          <w:sz w:val="10"/>
          <w:lang w:val="fr-FR"/>
        </w:rPr>
      </w:pPr>
    </w:p>
    <w:p w14:paraId="779749A1" w14:textId="321581DB"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Les mesures prises pour juguler la pandémie n</w:t>
      </w:r>
      <w:r w:rsidR="004471C3" w:rsidRPr="0037157A">
        <w:rPr>
          <w:lang w:val="fr-FR"/>
        </w:rPr>
        <w:t>’</w:t>
      </w:r>
      <w:r w:rsidRPr="0037157A">
        <w:rPr>
          <w:lang w:val="fr-FR"/>
        </w:rPr>
        <w:t>ont pas limité l</w:t>
      </w:r>
      <w:r w:rsidR="004471C3" w:rsidRPr="0037157A">
        <w:rPr>
          <w:lang w:val="fr-FR"/>
        </w:rPr>
        <w:t>’</w:t>
      </w:r>
      <w:r w:rsidRPr="0037157A">
        <w:rPr>
          <w:lang w:val="fr-FR"/>
        </w:rPr>
        <w:t>accès des femmes aux services de soins de santé sexuelle et reproductive. L</w:t>
      </w:r>
      <w:r w:rsidR="004471C3" w:rsidRPr="0037157A">
        <w:rPr>
          <w:lang w:val="fr-FR"/>
        </w:rPr>
        <w:t>’</w:t>
      </w:r>
      <w:r w:rsidRPr="0037157A">
        <w:rPr>
          <w:lang w:val="fr-FR"/>
        </w:rPr>
        <w:t>accès aux soins gynécologiques urgents, au suivi de grossesse et à l</w:t>
      </w:r>
      <w:r w:rsidR="004471C3" w:rsidRPr="0037157A">
        <w:rPr>
          <w:lang w:val="fr-FR"/>
        </w:rPr>
        <w:t>’</w:t>
      </w:r>
      <w:r w:rsidRPr="0037157A">
        <w:rPr>
          <w:lang w:val="fr-FR"/>
        </w:rPr>
        <w:t>avortement a été assuré en permanence. Les pères ont également eu la possibilité de rester avec leur compagne pendant l</w:t>
      </w:r>
      <w:r w:rsidR="004471C3" w:rsidRPr="0037157A">
        <w:rPr>
          <w:lang w:val="fr-FR"/>
        </w:rPr>
        <w:t>’</w:t>
      </w:r>
      <w:r w:rsidRPr="0037157A">
        <w:rPr>
          <w:lang w:val="fr-FR"/>
        </w:rPr>
        <w:t>accouchement.</w:t>
      </w:r>
    </w:p>
    <w:p w14:paraId="6E5237D4" w14:textId="1B9F30BF" w:rsidR="002E0B8B" w:rsidRPr="0037157A" w:rsidRDefault="002E0B8B" w:rsidP="00622C56">
      <w:pPr>
        <w:pStyle w:val="SingleTxt"/>
        <w:spacing w:after="0" w:line="120" w:lineRule="exact"/>
        <w:rPr>
          <w:sz w:val="10"/>
          <w:lang w:val="fr-FR"/>
        </w:rPr>
      </w:pPr>
    </w:p>
    <w:p w14:paraId="451DD79E" w14:textId="77777777" w:rsidR="00622C56" w:rsidRPr="0037157A" w:rsidRDefault="00622C56" w:rsidP="002E0B8B">
      <w:pPr>
        <w:pStyle w:val="SingleTxt"/>
        <w:spacing w:after="0" w:line="120" w:lineRule="exact"/>
        <w:rPr>
          <w:sz w:val="10"/>
          <w:lang w:val="fr-FR"/>
        </w:rPr>
      </w:pPr>
    </w:p>
    <w:p w14:paraId="01F0ACBD" w14:textId="31FB5C56" w:rsidR="002E0B8B" w:rsidRPr="0037157A" w:rsidRDefault="002E0B8B"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Définition de l</w:t>
      </w:r>
      <w:r w:rsidR="004471C3" w:rsidRPr="0037157A">
        <w:rPr>
          <w:lang w:val="fr-FR"/>
        </w:rPr>
        <w:t>’</w:t>
      </w:r>
      <w:r w:rsidRPr="0037157A">
        <w:rPr>
          <w:lang w:val="fr-FR"/>
        </w:rPr>
        <w:t>égalité et de la non-discrimination</w:t>
      </w:r>
    </w:p>
    <w:p w14:paraId="42830E75" w14:textId="24E5A623" w:rsidR="002E0B8B" w:rsidRPr="0037157A" w:rsidRDefault="002E0B8B" w:rsidP="00622C56">
      <w:pPr>
        <w:pStyle w:val="SingleTxt"/>
        <w:spacing w:after="0" w:line="120" w:lineRule="exact"/>
        <w:rPr>
          <w:sz w:val="10"/>
          <w:lang w:val="fr-FR"/>
        </w:rPr>
      </w:pPr>
    </w:p>
    <w:p w14:paraId="1923491C" w14:textId="77777777" w:rsidR="00622C56" w:rsidRPr="0037157A" w:rsidRDefault="00622C56" w:rsidP="002E0B8B">
      <w:pPr>
        <w:pStyle w:val="SingleTxt"/>
        <w:spacing w:after="0" w:line="120" w:lineRule="exact"/>
        <w:rPr>
          <w:sz w:val="10"/>
          <w:lang w:val="fr-FR"/>
        </w:rPr>
      </w:pPr>
    </w:p>
    <w:p w14:paraId="091F7CE5" w14:textId="6A7C5179"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Le droit des femmes à la non-discrimination et à l</w:t>
      </w:r>
      <w:r w:rsidR="004471C3" w:rsidRPr="0037157A">
        <w:rPr>
          <w:lang w:val="fr-FR"/>
        </w:rPr>
        <w:t>’</w:t>
      </w:r>
      <w:r w:rsidRPr="0037157A">
        <w:rPr>
          <w:lang w:val="fr-FR"/>
        </w:rPr>
        <w:t>égalité est garanti par la loi fondamentale de la Hongrie, ainsi que par la loi CXXV de 2003 sur l</w:t>
      </w:r>
      <w:r w:rsidR="004471C3" w:rsidRPr="0037157A">
        <w:rPr>
          <w:lang w:val="fr-FR"/>
        </w:rPr>
        <w:t>’</w:t>
      </w:r>
      <w:r w:rsidRPr="0037157A">
        <w:rPr>
          <w:lang w:val="fr-FR"/>
        </w:rPr>
        <w:t>égalité de traitement et la promotion de l</w:t>
      </w:r>
      <w:r w:rsidR="004471C3" w:rsidRPr="0037157A">
        <w:rPr>
          <w:lang w:val="fr-FR"/>
        </w:rPr>
        <w:t>’</w:t>
      </w:r>
      <w:r w:rsidRPr="0037157A">
        <w:rPr>
          <w:lang w:val="fr-FR"/>
        </w:rPr>
        <w:t>égalité des chances (la loi sur l</w:t>
      </w:r>
      <w:r w:rsidR="004471C3" w:rsidRPr="0037157A">
        <w:rPr>
          <w:lang w:val="fr-FR"/>
        </w:rPr>
        <w:t>’</w:t>
      </w:r>
      <w:r w:rsidRPr="0037157A">
        <w:rPr>
          <w:lang w:val="fr-FR"/>
        </w:rPr>
        <w:t>égalité de traitement). L</w:t>
      </w:r>
      <w:r w:rsidR="004471C3" w:rsidRPr="0037157A">
        <w:rPr>
          <w:lang w:val="fr-FR"/>
        </w:rPr>
        <w:t>’</w:t>
      </w:r>
      <w:r w:rsidRPr="0037157A">
        <w:rPr>
          <w:lang w:val="fr-FR"/>
        </w:rPr>
        <w:t>article 8 de la loi sur l</w:t>
      </w:r>
      <w:r w:rsidR="004471C3" w:rsidRPr="0037157A">
        <w:rPr>
          <w:lang w:val="fr-FR"/>
        </w:rPr>
        <w:t>’</w:t>
      </w:r>
      <w:r w:rsidRPr="0037157A">
        <w:rPr>
          <w:lang w:val="fr-FR"/>
        </w:rPr>
        <w:t>égalité de traitement fournit une liste non exhaustive des caractéristiques protégées, à l</w:t>
      </w:r>
      <w:r w:rsidR="004471C3" w:rsidRPr="0037157A">
        <w:rPr>
          <w:lang w:val="fr-FR"/>
        </w:rPr>
        <w:t>’</w:t>
      </w:r>
      <w:r w:rsidRPr="0037157A">
        <w:rPr>
          <w:lang w:val="fr-FR"/>
        </w:rPr>
        <w:t>égard desquelles aucune discrimination n</w:t>
      </w:r>
      <w:r w:rsidR="004471C3" w:rsidRPr="0037157A">
        <w:rPr>
          <w:lang w:val="fr-FR"/>
        </w:rPr>
        <w:t>’</w:t>
      </w:r>
      <w:r w:rsidRPr="0037157A">
        <w:rPr>
          <w:lang w:val="fr-FR"/>
        </w:rPr>
        <w:t>est autorisée. Plusieurs de ces motifs potentiels de discrimination peuvent être invoqués dans une même plainte. Ainsi, la loi sur l</w:t>
      </w:r>
      <w:r w:rsidR="004471C3" w:rsidRPr="0037157A">
        <w:rPr>
          <w:lang w:val="fr-FR"/>
        </w:rPr>
        <w:t>’</w:t>
      </w:r>
      <w:r w:rsidRPr="0037157A">
        <w:rPr>
          <w:lang w:val="fr-FR"/>
        </w:rPr>
        <w:t>égalité de traitement permet de lutter contre les formes de discrimination multiple et croisée. L</w:t>
      </w:r>
      <w:r w:rsidR="004471C3" w:rsidRPr="0037157A">
        <w:rPr>
          <w:lang w:val="fr-FR"/>
        </w:rPr>
        <w:t>’</w:t>
      </w:r>
      <w:r w:rsidRPr="0037157A">
        <w:rPr>
          <w:lang w:val="fr-FR"/>
        </w:rPr>
        <w:t>ancienne Autorité pour l</w:t>
      </w:r>
      <w:r w:rsidR="004471C3" w:rsidRPr="0037157A">
        <w:rPr>
          <w:lang w:val="fr-FR"/>
        </w:rPr>
        <w:t>’</w:t>
      </w:r>
      <w:r w:rsidRPr="0037157A">
        <w:rPr>
          <w:lang w:val="fr-FR"/>
        </w:rPr>
        <w:t>égalité de traitement, qui constitue aujourd</w:t>
      </w:r>
      <w:r w:rsidR="004471C3" w:rsidRPr="0037157A">
        <w:rPr>
          <w:lang w:val="fr-FR"/>
        </w:rPr>
        <w:t>’</w:t>
      </w:r>
      <w:r w:rsidRPr="0037157A">
        <w:rPr>
          <w:lang w:val="fr-FR"/>
        </w:rPr>
        <w:t>hui une unité distincte du Bureau du (de la) Commissaire aux droits fondamentaux, est chargée d</w:t>
      </w:r>
      <w:r w:rsidR="004471C3" w:rsidRPr="0037157A">
        <w:rPr>
          <w:lang w:val="fr-FR"/>
        </w:rPr>
        <w:t>’</w:t>
      </w:r>
      <w:r w:rsidRPr="0037157A">
        <w:rPr>
          <w:lang w:val="fr-FR"/>
        </w:rPr>
        <w:t>enquêter sur ces cas de discrimination. Parmi les affaires traitées figure notamment le refus de verser le 13</w:t>
      </w:r>
      <w:r w:rsidRPr="0037157A">
        <w:rPr>
          <w:vertAlign w:val="superscript"/>
          <w:lang w:val="fr-FR"/>
        </w:rPr>
        <w:t>e</w:t>
      </w:r>
      <w:r w:rsidRPr="0037157A">
        <w:rPr>
          <w:lang w:val="fr-FR"/>
        </w:rPr>
        <w:t> mois de salaire aux femmes qui se sont absentées pendant une longue période pour s</w:t>
      </w:r>
      <w:r w:rsidR="004471C3" w:rsidRPr="0037157A">
        <w:rPr>
          <w:lang w:val="fr-FR"/>
        </w:rPr>
        <w:t>’</w:t>
      </w:r>
      <w:r w:rsidRPr="0037157A">
        <w:rPr>
          <w:lang w:val="fr-FR"/>
        </w:rPr>
        <w:t>occuper d</w:t>
      </w:r>
      <w:r w:rsidR="004471C3" w:rsidRPr="0037157A">
        <w:rPr>
          <w:lang w:val="fr-FR"/>
        </w:rPr>
        <w:t>’</w:t>
      </w:r>
      <w:r w:rsidRPr="0037157A">
        <w:rPr>
          <w:lang w:val="fr-FR"/>
        </w:rPr>
        <w:t>un enfant souffrant d</w:t>
      </w:r>
      <w:r w:rsidR="004471C3" w:rsidRPr="0037157A">
        <w:rPr>
          <w:lang w:val="fr-FR"/>
        </w:rPr>
        <w:t>’</w:t>
      </w:r>
      <w:r w:rsidRPr="0037157A">
        <w:rPr>
          <w:lang w:val="fr-FR"/>
        </w:rPr>
        <w:t>une maladie chronique (décision n</w:t>
      </w:r>
      <w:r w:rsidR="00315AA6" w:rsidRPr="0037157A">
        <w:rPr>
          <w:vertAlign w:val="superscript"/>
          <w:lang w:val="fr-FR"/>
        </w:rPr>
        <w:t>o</w:t>
      </w:r>
      <w:r w:rsidRPr="0037157A">
        <w:rPr>
          <w:vertAlign w:val="superscript"/>
          <w:lang w:val="fr-FR"/>
        </w:rPr>
        <w:t>o</w:t>
      </w:r>
      <w:r w:rsidRPr="0037157A">
        <w:rPr>
          <w:lang w:val="fr-FR"/>
        </w:rPr>
        <w:t>EBH/130/2017).</w:t>
      </w:r>
    </w:p>
    <w:p w14:paraId="3628817C" w14:textId="7E0C2A1B" w:rsidR="004471C3"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w:t>
      </w:r>
      <w:r w:rsidR="004471C3" w:rsidRPr="0037157A">
        <w:rPr>
          <w:lang w:val="fr-FR"/>
        </w:rPr>
        <w:t>’</w:t>
      </w:r>
      <w:r w:rsidRPr="0037157A">
        <w:rPr>
          <w:lang w:val="fr-FR"/>
        </w:rPr>
        <w:t>Autorité a également statué sur la situation d</w:t>
      </w:r>
      <w:r w:rsidR="004471C3" w:rsidRPr="0037157A">
        <w:rPr>
          <w:lang w:val="fr-FR"/>
        </w:rPr>
        <w:t>’</w:t>
      </w:r>
      <w:r w:rsidRPr="0037157A">
        <w:rPr>
          <w:lang w:val="fr-FR"/>
        </w:rPr>
        <w:t>un élève dont l</w:t>
      </w:r>
      <w:r w:rsidR="004471C3" w:rsidRPr="0037157A">
        <w:rPr>
          <w:lang w:val="fr-FR"/>
        </w:rPr>
        <w:t>’</w:t>
      </w:r>
      <w:r w:rsidRPr="0037157A">
        <w:rPr>
          <w:lang w:val="fr-FR"/>
        </w:rPr>
        <w:t>admission dans une école primaire avait été refusée parce que ses parents formaient un couple du même sexe (décision n</w:t>
      </w:r>
      <w:r w:rsidRPr="0037157A">
        <w:rPr>
          <w:vertAlign w:val="superscript"/>
          <w:lang w:val="fr-FR"/>
        </w:rPr>
        <w:t>o</w:t>
      </w:r>
      <w:r w:rsidRPr="0037157A">
        <w:rPr>
          <w:lang w:val="fr-FR"/>
        </w:rPr>
        <w:t> EBH/366/2014). Bien que le «</w:t>
      </w:r>
      <w:r w:rsidR="00315AA6" w:rsidRPr="0037157A">
        <w:rPr>
          <w:lang w:val="fr-FR"/>
        </w:rPr>
        <w:t> </w:t>
      </w:r>
      <w:r w:rsidRPr="0037157A">
        <w:rPr>
          <w:lang w:val="fr-FR"/>
        </w:rPr>
        <w:t>statut familial</w:t>
      </w:r>
      <w:r w:rsidR="00315AA6" w:rsidRPr="0037157A">
        <w:rPr>
          <w:lang w:val="fr-FR"/>
        </w:rPr>
        <w:t> </w:t>
      </w:r>
      <w:r w:rsidRPr="0037157A">
        <w:rPr>
          <w:lang w:val="fr-FR"/>
        </w:rPr>
        <w:t>» n</w:t>
      </w:r>
      <w:r w:rsidR="004471C3" w:rsidRPr="0037157A">
        <w:rPr>
          <w:lang w:val="fr-FR"/>
        </w:rPr>
        <w:t>’</w:t>
      </w:r>
      <w:r w:rsidRPr="0037157A">
        <w:rPr>
          <w:lang w:val="fr-FR"/>
        </w:rPr>
        <w:t>ait pas été invoqué comme motif de discrimination distinct, l</w:t>
      </w:r>
      <w:r w:rsidR="004471C3" w:rsidRPr="0037157A">
        <w:rPr>
          <w:lang w:val="fr-FR"/>
        </w:rPr>
        <w:t>’</w:t>
      </w:r>
      <w:r w:rsidRPr="0037157A">
        <w:rPr>
          <w:lang w:val="fr-FR"/>
        </w:rPr>
        <w:t>Autorité a estimé que l</w:t>
      </w:r>
      <w:r w:rsidR="004471C3" w:rsidRPr="0037157A">
        <w:rPr>
          <w:lang w:val="fr-FR"/>
        </w:rPr>
        <w:t>’</w:t>
      </w:r>
      <w:r w:rsidRPr="0037157A">
        <w:rPr>
          <w:lang w:val="fr-FR"/>
        </w:rPr>
        <w:t>enfant avait été victime d</w:t>
      </w:r>
      <w:r w:rsidR="004471C3" w:rsidRPr="0037157A">
        <w:rPr>
          <w:lang w:val="fr-FR"/>
        </w:rPr>
        <w:t>’</w:t>
      </w:r>
      <w:r w:rsidRPr="0037157A">
        <w:rPr>
          <w:lang w:val="fr-FR"/>
        </w:rPr>
        <w:t>une discrimination fondée sur l</w:t>
      </w:r>
      <w:r w:rsidR="004471C3" w:rsidRPr="0037157A">
        <w:rPr>
          <w:lang w:val="fr-FR"/>
        </w:rPr>
        <w:t>’</w:t>
      </w:r>
      <w:r w:rsidRPr="0037157A">
        <w:rPr>
          <w:lang w:val="fr-FR"/>
        </w:rPr>
        <w:t>orientation sexuelle (de sa mère).</w:t>
      </w:r>
    </w:p>
    <w:p w14:paraId="6281B400" w14:textId="106C3E49"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La notion de «</w:t>
      </w:r>
      <w:r w:rsidR="0038509E">
        <w:rPr>
          <w:lang w:val="fr-FR"/>
        </w:rPr>
        <w:t> </w:t>
      </w:r>
      <w:r w:rsidRPr="0037157A">
        <w:rPr>
          <w:lang w:val="fr-FR"/>
        </w:rPr>
        <w:t>genre</w:t>
      </w:r>
      <w:r w:rsidR="0038509E">
        <w:rPr>
          <w:lang w:val="fr-FR"/>
        </w:rPr>
        <w:t> </w:t>
      </w:r>
      <w:r w:rsidRPr="0037157A">
        <w:rPr>
          <w:lang w:val="fr-FR"/>
        </w:rPr>
        <w:t>» n</w:t>
      </w:r>
      <w:r w:rsidR="004471C3" w:rsidRPr="0037157A">
        <w:rPr>
          <w:lang w:val="fr-FR"/>
        </w:rPr>
        <w:t>’</w:t>
      </w:r>
      <w:r w:rsidRPr="0037157A">
        <w:rPr>
          <w:lang w:val="fr-FR"/>
        </w:rPr>
        <w:t>est pas définie dans le droit hongrois. Quant à la notion de «</w:t>
      </w:r>
      <w:r w:rsidR="0038509E">
        <w:rPr>
          <w:lang w:val="fr-FR"/>
        </w:rPr>
        <w:t> </w:t>
      </w:r>
      <w:r w:rsidRPr="0037157A">
        <w:rPr>
          <w:lang w:val="fr-FR"/>
        </w:rPr>
        <w:t>sexe</w:t>
      </w:r>
      <w:r w:rsidR="0038509E">
        <w:rPr>
          <w:lang w:val="fr-FR"/>
        </w:rPr>
        <w:t> </w:t>
      </w:r>
      <w:r w:rsidRPr="0037157A">
        <w:rPr>
          <w:lang w:val="fr-FR"/>
        </w:rPr>
        <w:t>», l</w:t>
      </w:r>
      <w:r w:rsidR="004471C3" w:rsidRPr="0037157A">
        <w:rPr>
          <w:lang w:val="fr-FR"/>
        </w:rPr>
        <w:t>’</w:t>
      </w:r>
      <w:r w:rsidRPr="0037157A">
        <w:rPr>
          <w:lang w:val="fr-FR"/>
        </w:rPr>
        <w:t>article</w:t>
      </w:r>
      <w:r w:rsidR="00315AA6" w:rsidRPr="0037157A">
        <w:rPr>
          <w:lang w:val="fr-FR"/>
        </w:rPr>
        <w:t xml:space="preserve"> </w:t>
      </w:r>
      <w:r w:rsidRPr="0037157A">
        <w:rPr>
          <w:lang w:val="fr-FR"/>
        </w:rPr>
        <w:t>3 x) de la loi I de 2010 sur la procédure d</w:t>
      </w:r>
      <w:r w:rsidR="004471C3" w:rsidRPr="0037157A">
        <w:rPr>
          <w:lang w:val="fr-FR"/>
        </w:rPr>
        <w:t>’</w:t>
      </w:r>
      <w:r w:rsidRPr="0037157A">
        <w:rPr>
          <w:lang w:val="fr-FR"/>
        </w:rPr>
        <w:t>inscription au registre civil définit le «</w:t>
      </w:r>
      <w:r w:rsidR="0038509E">
        <w:rPr>
          <w:lang w:val="fr-FR"/>
        </w:rPr>
        <w:t> </w:t>
      </w:r>
      <w:r w:rsidRPr="0037157A">
        <w:rPr>
          <w:lang w:val="fr-FR"/>
        </w:rPr>
        <w:t>sexe à la naissance</w:t>
      </w:r>
      <w:r w:rsidR="0038509E">
        <w:rPr>
          <w:lang w:val="fr-FR"/>
        </w:rPr>
        <w:t> </w:t>
      </w:r>
      <w:r w:rsidR="0038509E" w:rsidRPr="0037157A">
        <w:rPr>
          <w:lang w:val="fr-FR"/>
        </w:rPr>
        <w:t xml:space="preserve">» </w:t>
      </w:r>
      <w:r w:rsidRPr="0037157A">
        <w:rPr>
          <w:lang w:val="fr-FR"/>
        </w:rPr>
        <w:t xml:space="preserve">comme étant </w:t>
      </w:r>
      <w:r w:rsidR="0038509E" w:rsidRPr="0037157A">
        <w:rPr>
          <w:lang w:val="fr-FR"/>
        </w:rPr>
        <w:t>«</w:t>
      </w:r>
      <w:r w:rsidR="0038509E">
        <w:rPr>
          <w:lang w:val="fr-FR"/>
        </w:rPr>
        <w:t> </w:t>
      </w:r>
      <w:r w:rsidRPr="0037157A">
        <w:rPr>
          <w:lang w:val="fr-FR"/>
        </w:rPr>
        <w:t>le sexe biologique, tel qu</w:t>
      </w:r>
      <w:r w:rsidR="004471C3" w:rsidRPr="0037157A">
        <w:rPr>
          <w:lang w:val="fr-FR"/>
        </w:rPr>
        <w:t>’</w:t>
      </w:r>
      <w:r w:rsidRPr="0037157A">
        <w:rPr>
          <w:lang w:val="fr-FR"/>
        </w:rPr>
        <w:t>établi par les caractéristiques sexuelles primaires et le chromosome</w:t>
      </w:r>
      <w:r w:rsidR="0038509E">
        <w:rPr>
          <w:lang w:val="fr-FR"/>
        </w:rPr>
        <w:t> </w:t>
      </w:r>
      <w:r w:rsidR="0038509E" w:rsidRPr="0037157A">
        <w:rPr>
          <w:lang w:val="fr-FR"/>
        </w:rPr>
        <w:t>».</w:t>
      </w:r>
    </w:p>
    <w:p w14:paraId="24E34C6A" w14:textId="2B67A833"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La Hongrie souligne que la grossesse est la principale raison pour laquelle les femmes sont désavantagées</w:t>
      </w:r>
      <w:r w:rsidR="004471C3" w:rsidRPr="0037157A">
        <w:rPr>
          <w:lang w:val="fr-FR"/>
        </w:rPr>
        <w:t> :</w:t>
      </w:r>
      <w:r w:rsidRPr="0037157A">
        <w:rPr>
          <w:lang w:val="fr-FR"/>
        </w:rPr>
        <w:t xml:space="preserve"> elle affecte leur carrière, leur éducation, leur engagement dans la vie publique, leur équilibre entre vie professionnelle et vie privée et de nombreuses autres sphères de leur vie. C</w:t>
      </w:r>
      <w:r w:rsidR="004471C3" w:rsidRPr="0037157A">
        <w:rPr>
          <w:lang w:val="fr-FR"/>
        </w:rPr>
        <w:t>’</w:t>
      </w:r>
      <w:r w:rsidRPr="0037157A">
        <w:rPr>
          <w:lang w:val="fr-FR"/>
        </w:rPr>
        <w:t>est pourquoi, depuis 2010, le Gouvernement hongrois s</w:t>
      </w:r>
      <w:r w:rsidR="004471C3" w:rsidRPr="0037157A">
        <w:rPr>
          <w:lang w:val="fr-FR"/>
        </w:rPr>
        <w:t>’</w:t>
      </w:r>
      <w:r w:rsidRPr="0037157A">
        <w:rPr>
          <w:lang w:val="fr-FR"/>
        </w:rPr>
        <w:t>efforce de faire en sorte que le choix d</w:t>
      </w:r>
      <w:r w:rsidR="004471C3" w:rsidRPr="0037157A">
        <w:rPr>
          <w:lang w:val="fr-FR"/>
        </w:rPr>
        <w:t>’</w:t>
      </w:r>
      <w:r w:rsidRPr="0037157A">
        <w:rPr>
          <w:lang w:val="fr-FR"/>
        </w:rPr>
        <w:t>avoir un enfant n</w:t>
      </w:r>
      <w:r w:rsidR="004471C3" w:rsidRPr="0037157A">
        <w:rPr>
          <w:lang w:val="fr-FR"/>
        </w:rPr>
        <w:t>’</w:t>
      </w:r>
      <w:r w:rsidRPr="0037157A">
        <w:rPr>
          <w:lang w:val="fr-FR"/>
        </w:rPr>
        <w:t>entraîne pas de désavantages pour les femmes.</w:t>
      </w:r>
    </w:p>
    <w:p w14:paraId="3EF74996" w14:textId="1D895F7D"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Comme l</w:t>
      </w:r>
      <w:r w:rsidR="004471C3" w:rsidRPr="0037157A">
        <w:rPr>
          <w:lang w:val="fr-FR"/>
        </w:rPr>
        <w:t>’</w:t>
      </w:r>
      <w:r w:rsidRPr="0037157A">
        <w:rPr>
          <w:lang w:val="fr-FR"/>
        </w:rPr>
        <w:t>a indiqué la Hongrie dans son neuvième rapport périodique, sa loi fondamentale garantit la protection des droits économiques, sociaux et culturels et l</w:t>
      </w:r>
      <w:r w:rsidR="004471C3" w:rsidRPr="0037157A">
        <w:rPr>
          <w:lang w:val="fr-FR"/>
        </w:rPr>
        <w:t>’</w:t>
      </w:r>
      <w:r w:rsidRPr="0037157A">
        <w:rPr>
          <w:lang w:val="fr-FR"/>
        </w:rPr>
        <w:t>égalité d</w:t>
      </w:r>
      <w:r w:rsidR="004471C3" w:rsidRPr="0037157A">
        <w:rPr>
          <w:lang w:val="fr-FR"/>
        </w:rPr>
        <w:t>’</w:t>
      </w:r>
      <w:r w:rsidRPr="0037157A">
        <w:rPr>
          <w:lang w:val="fr-FR"/>
        </w:rPr>
        <w:t>accès aux services de base à tous les individus. La privatisation de certains services n</w:t>
      </w:r>
      <w:r w:rsidR="004471C3" w:rsidRPr="0037157A">
        <w:rPr>
          <w:lang w:val="fr-FR"/>
        </w:rPr>
        <w:t>’</w:t>
      </w:r>
      <w:r w:rsidRPr="0037157A">
        <w:rPr>
          <w:lang w:val="fr-FR"/>
        </w:rPr>
        <w:t>entrave pas le droit des citoyens aux services publics de base. Pour ce qui est de l</w:t>
      </w:r>
      <w:r w:rsidR="004471C3" w:rsidRPr="0037157A">
        <w:rPr>
          <w:lang w:val="fr-FR"/>
        </w:rPr>
        <w:t>’</w:t>
      </w:r>
      <w:r w:rsidRPr="0037157A">
        <w:rPr>
          <w:lang w:val="fr-FR"/>
        </w:rPr>
        <w:t>éducation, les écoles, les jardins d</w:t>
      </w:r>
      <w:r w:rsidR="004471C3" w:rsidRPr="0037157A">
        <w:rPr>
          <w:lang w:val="fr-FR"/>
        </w:rPr>
        <w:t>’</w:t>
      </w:r>
      <w:r w:rsidRPr="0037157A">
        <w:rPr>
          <w:lang w:val="fr-FR"/>
        </w:rPr>
        <w:t>enfants et les crèches peuvent être créés et gérés par l</w:t>
      </w:r>
      <w:r w:rsidR="004471C3" w:rsidRPr="0037157A">
        <w:rPr>
          <w:lang w:val="fr-FR"/>
        </w:rPr>
        <w:t>’</w:t>
      </w:r>
      <w:r w:rsidRPr="0037157A">
        <w:rPr>
          <w:lang w:val="fr-FR"/>
        </w:rPr>
        <w:t>État, les collectivités locales, des personnes morales (églises, fondations, etc.) ou des personnes physiques. Environ 90</w:t>
      </w:r>
      <w:r w:rsidR="004471C3" w:rsidRPr="0037157A">
        <w:rPr>
          <w:lang w:val="fr-FR"/>
        </w:rPr>
        <w:t> %</w:t>
      </w:r>
      <w:r w:rsidRPr="0037157A">
        <w:rPr>
          <w:lang w:val="fr-FR"/>
        </w:rPr>
        <w:t xml:space="preserve"> des enfants fréquentent des établissements d</w:t>
      </w:r>
      <w:r w:rsidR="004471C3" w:rsidRPr="0037157A">
        <w:rPr>
          <w:lang w:val="fr-FR"/>
        </w:rPr>
        <w:t>’</w:t>
      </w:r>
      <w:r w:rsidRPr="0037157A">
        <w:rPr>
          <w:lang w:val="fr-FR"/>
        </w:rPr>
        <w:t>enseignement public et les données relatives à l</w:t>
      </w:r>
      <w:r w:rsidR="004471C3" w:rsidRPr="0037157A">
        <w:rPr>
          <w:lang w:val="fr-FR"/>
        </w:rPr>
        <w:t>’</w:t>
      </w:r>
      <w:r w:rsidRPr="0037157A">
        <w:rPr>
          <w:lang w:val="fr-FR"/>
        </w:rPr>
        <w:t>éducation des femmes montrent une tendance favorable</w:t>
      </w:r>
      <w:r w:rsidR="004471C3" w:rsidRPr="0037157A">
        <w:rPr>
          <w:lang w:val="fr-FR"/>
        </w:rPr>
        <w:t> :</w:t>
      </w:r>
      <w:r w:rsidRPr="0037157A">
        <w:rPr>
          <w:lang w:val="fr-FR"/>
        </w:rPr>
        <w:t xml:space="preserve"> en 2016, 31,6</w:t>
      </w:r>
      <w:r w:rsidR="004471C3" w:rsidRPr="0037157A">
        <w:rPr>
          <w:lang w:val="fr-FR"/>
        </w:rPr>
        <w:t> %</w:t>
      </w:r>
      <w:r w:rsidRPr="0037157A">
        <w:rPr>
          <w:lang w:val="fr-FR"/>
        </w:rPr>
        <w:t xml:space="preserve"> des femmes avaient un diplôme d</w:t>
      </w:r>
      <w:r w:rsidR="004471C3" w:rsidRPr="0037157A">
        <w:rPr>
          <w:lang w:val="fr-FR"/>
        </w:rPr>
        <w:t>’</w:t>
      </w:r>
      <w:r w:rsidRPr="0037157A">
        <w:rPr>
          <w:lang w:val="fr-FR"/>
        </w:rPr>
        <w:t>études secondaires et 20,1</w:t>
      </w:r>
      <w:r w:rsidR="004471C3" w:rsidRPr="0037157A">
        <w:rPr>
          <w:lang w:val="fr-FR"/>
        </w:rPr>
        <w:t> %</w:t>
      </w:r>
      <w:r w:rsidRPr="0037157A">
        <w:rPr>
          <w:lang w:val="fr-FR"/>
        </w:rPr>
        <w:t xml:space="preserve"> des femmes avaient un diplôme universitaire (contre 27,1</w:t>
      </w:r>
      <w:r w:rsidR="004471C3" w:rsidRPr="0037157A">
        <w:rPr>
          <w:lang w:val="fr-FR"/>
        </w:rPr>
        <w:t> %</w:t>
      </w:r>
      <w:r w:rsidRPr="0037157A">
        <w:rPr>
          <w:lang w:val="fr-FR"/>
        </w:rPr>
        <w:t xml:space="preserve"> et 17,2</w:t>
      </w:r>
      <w:r w:rsidR="004471C3" w:rsidRPr="0037157A">
        <w:rPr>
          <w:lang w:val="fr-FR"/>
        </w:rPr>
        <w:t> %</w:t>
      </w:r>
      <w:r w:rsidRPr="0037157A">
        <w:rPr>
          <w:lang w:val="fr-FR"/>
        </w:rPr>
        <w:t xml:space="preserve"> des hommes, respectivement)</w:t>
      </w:r>
      <w:r w:rsidRPr="0037157A">
        <w:rPr>
          <w:vertAlign w:val="superscript"/>
          <w:lang w:val="fr-FR"/>
        </w:rPr>
        <w:footnoteReference w:id="1"/>
      </w:r>
      <w:r w:rsidRPr="0037157A">
        <w:rPr>
          <w:lang w:val="fr-FR"/>
        </w:rPr>
        <w:t>.</w:t>
      </w:r>
    </w:p>
    <w:p w14:paraId="4AF840A5" w14:textId="26A042C6" w:rsidR="004471C3"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Le système de santé hongrois actuel repose sur la sécurité sociale. Les employeurs, les salariés et les fonctionnaires, entre autres, doivent payer une cotisation légale, tandis que certains groupes (mineurs, étudiants, retraités, etc.) ont droit à des prestations d</w:t>
      </w:r>
      <w:r w:rsidR="004471C3" w:rsidRPr="0037157A">
        <w:rPr>
          <w:lang w:val="fr-FR"/>
        </w:rPr>
        <w:t>’</w:t>
      </w:r>
      <w:r w:rsidRPr="0037157A">
        <w:rPr>
          <w:lang w:val="fr-FR"/>
        </w:rPr>
        <w:t>assurance maladie. Les personnes qui en ont besoin pour des raisons sociales ont le droit de bénéficier des services de santé, moyennant le versement d</w:t>
      </w:r>
      <w:r w:rsidR="004471C3" w:rsidRPr="0037157A">
        <w:rPr>
          <w:lang w:val="fr-FR"/>
        </w:rPr>
        <w:t>’</w:t>
      </w:r>
      <w:r w:rsidRPr="0037157A">
        <w:rPr>
          <w:lang w:val="fr-FR"/>
        </w:rPr>
        <w:t>une indemnisation par les pouvoirs locaux au titre de la sécurité sociale. En Hongrie, les soins médicaux sont généralement gratuits. Toutefois, si le traitement n</w:t>
      </w:r>
      <w:r w:rsidR="004471C3" w:rsidRPr="0037157A">
        <w:rPr>
          <w:lang w:val="fr-FR"/>
        </w:rPr>
        <w:t>’</w:t>
      </w:r>
      <w:r w:rsidRPr="0037157A">
        <w:rPr>
          <w:lang w:val="fr-FR"/>
        </w:rPr>
        <w:t>est pas prescrit par un médecin ou n</w:t>
      </w:r>
      <w:r w:rsidR="004471C3" w:rsidRPr="0037157A">
        <w:rPr>
          <w:lang w:val="fr-FR"/>
        </w:rPr>
        <w:t>’</w:t>
      </w:r>
      <w:r w:rsidRPr="0037157A">
        <w:rPr>
          <w:lang w:val="fr-FR"/>
        </w:rPr>
        <w:t>est pas fourni par l</w:t>
      </w:r>
      <w:r w:rsidR="004471C3" w:rsidRPr="0037157A">
        <w:rPr>
          <w:lang w:val="fr-FR"/>
        </w:rPr>
        <w:t>’</w:t>
      </w:r>
      <w:r w:rsidRPr="0037157A">
        <w:rPr>
          <w:lang w:val="fr-FR"/>
        </w:rPr>
        <w:t>intermédiaire du système hospitalier classique, les frais de prestation doivent être couverts par le patient. Des programmes spéciaux ont été mis en place pour améliorer l</w:t>
      </w:r>
      <w:r w:rsidR="004471C3" w:rsidRPr="0037157A">
        <w:rPr>
          <w:lang w:val="fr-FR"/>
        </w:rPr>
        <w:t>’</w:t>
      </w:r>
      <w:r w:rsidRPr="0037157A">
        <w:rPr>
          <w:lang w:val="fr-FR"/>
        </w:rPr>
        <w:t>accès des femmes défavorisées aux soins de santé (</w:t>
      </w:r>
      <w:r w:rsidR="00315AA6" w:rsidRPr="0037157A">
        <w:rPr>
          <w:lang w:val="fr-FR"/>
        </w:rPr>
        <w:t>voir par.</w:t>
      </w:r>
      <w:r w:rsidRPr="0037157A">
        <w:rPr>
          <w:lang w:val="fr-FR"/>
        </w:rPr>
        <w:t> 80).</w:t>
      </w:r>
    </w:p>
    <w:p w14:paraId="2D7A234B" w14:textId="4AFC4538"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En 2020, le Gouvernement a adopté le plan d</w:t>
      </w:r>
      <w:r w:rsidR="004471C3" w:rsidRPr="0037157A">
        <w:rPr>
          <w:lang w:val="fr-FR"/>
        </w:rPr>
        <w:t>’</w:t>
      </w:r>
      <w:r w:rsidRPr="0037157A">
        <w:rPr>
          <w:lang w:val="fr-FR"/>
        </w:rPr>
        <w:t>action 2021-2030 pour l</w:t>
      </w:r>
      <w:r w:rsidR="004471C3" w:rsidRPr="0037157A">
        <w:rPr>
          <w:lang w:val="fr-FR"/>
        </w:rPr>
        <w:t>’</w:t>
      </w:r>
      <w:r w:rsidRPr="0037157A">
        <w:rPr>
          <w:lang w:val="fr-FR"/>
        </w:rPr>
        <w:t>autonomisation des femmes dans la famille et la société (plan d</w:t>
      </w:r>
      <w:r w:rsidR="004471C3" w:rsidRPr="0037157A">
        <w:rPr>
          <w:lang w:val="fr-FR"/>
        </w:rPr>
        <w:t>’</w:t>
      </w:r>
      <w:r w:rsidRPr="0037157A">
        <w:rPr>
          <w:lang w:val="fr-FR"/>
        </w:rPr>
        <w:t>action 2021-2030) ainsi que son premier plan de mise en œuvre pour la période 2021-2022</w:t>
      </w:r>
      <w:r w:rsidRPr="0037157A">
        <w:rPr>
          <w:vertAlign w:val="superscript"/>
          <w:lang w:val="fr-FR"/>
        </w:rPr>
        <w:footnoteReference w:id="2"/>
      </w:r>
      <w:r w:rsidRPr="0037157A">
        <w:rPr>
          <w:lang w:val="fr-FR"/>
        </w:rPr>
        <w:t>. Ces plans couvrent de nombreux aspects de la vie publique et de la vie privée, tels que la conciliation de la vie familiale et de la vie professionnelle, l</w:t>
      </w:r>
      <w:r w:rsidR="004471C3" w:rsidRPr="0037157A">
        <w:rPr>
          <w:lang w:val="fr-FR"/>
        </w:rPr>
        <w:t>’</w:t>
      </w:r>
      <w:r w:rsidRPr="0037157A">
        <w:rPr>
          <w:lang w:val="fr-FR"/>
        </w:rPr>
        <w:t>autonomisation des femmes dans les domaines où elles sont sous-représentées, et l</w:t>
      </w:r>
      <w:r w:rsidR="004471C3" w:rsidRPr="0037157A">
        <w:rPr>
          <w:lang w:val="fr-FR"/>
        </w:rPr>
        <w:t>’</w:t>
      </w:r>
      <w:r w:rsidRPr="0037157A">
        <w:rPr>
          <w:lang w:val="fr-FR"/>
        </w:rPr>
        <w:t>instauration d</w:t>
      </w:r>
      <w:r w:rsidR="004471C3" w:rsidRPr="0037157A">
        <w:rPr>
          <w:lang w:val="fr-FR"/>
        </w:rPr>
        <w:t>’</w:t>
      </w:r>
      <w:r w:rsidRPr="0037157A">
        <w:rPr>
          <w:lang w:val="fr-FR"/>
        </w:rPr>
        <w:t>une protection économique, sanitaire et sociale égale pour les femmes et les hommes. Les mesures prévues sont présentées au paragraphe 25.</w:t>
      </w:r>
    </w:p>
    <w:p w14:paraId="41A8C565" w14:textId="0CA90FE0" w:rsidR="002E0B8B" w:rsidRPr="0037157A" w:rsidRDefault="002E0B8B" w:rsidP="009D535F">
      <w:pPr>
        <w:pStyle w:val="SingleTxt"/>
        <w:numPr>
          <w:ilvl w:val="0"/>
          <w:numId w:val="6"/>
        </w:numPr>
        <w:tabs>
          <w:tab w:val="num" w:pos="2804"/>
        </w:tabs>
        <w:spacing w:line="240" w:lineRule="exact"/>
        <w:ind w:left="1267"/>
        <w:rPr>
          <w:lang w:val="fr-FR"/>
        </w:rPr>
      </w:pPr>
      <w:bookmarkStart w:id="1" w:name="_Ref76542223"/>
      <w:r w:rsidRPr="0037157A">
        <w:rPr>
          <w:lang w:val="fr-FR"/>
        </w:rPr>
        <w:t>Le plan d</w:t>
      </w:r>
      <w:r w:rsidR="004471C3" w:rsidRPr="0037157A">
        <w:rPr>
          <w:lang w:val="fr-FR"/>
        </w:rPr>
        <w:t>’</w:t>
      </w:r>
      <w:r w:rsidRPr="0037157A">
        <w:rPr>
          <w:lang w:val="fr-FR"/>
        </w:rPr>
        <w:t>action</w:t>
      </w:r>
      <w:r w:rsidR="00315AA6" w:rsidRPr="0037157A">
        <w:rPr>
          <w:lang w:val="fr-FR"/>
        </w:rPr>
        <w:t xml:space="preserve"> </w:t>
      </w:r>
      <w:r w:rsidRPr="0037157A">
        <w:rPr>
          <w:lang w:val="fr-FR"/>
        </w:rPr>
        <w:t>2021-2030 a été élaboré par un groupe de travail composé d</w:t>
      </w:r>
      <w:r w:rsidR="004471C3" w:rsidRPr="0037157A">
        <w:rPr>
          <w:lang w:val="fr-FR"/>
        </w:rPr>
        <w:t>’</w:t>
      </w:r>
      <w:r w:rsidRPr="0037157A">
        <w:rPr>
          <w:lang w:val="fr-FR"/>
        </w:rPr>
        <w:t xml:space="preserve">experts de différents </w:t>
      </w:r>
      <w:r w:rsidRPr="0037157A">
        <w:rPr>
          <w:szCs w:val="20"/>
          <w:lang w:val="fr-FR"/>
        </w:rPr>
        <w:t>horizons</w:t>
      </w:r>
      <w:r w:rsidRPr="0037157A">
        <w:rPr>
          <w:lang w:val="fr-FR"/>
        </w:rPr>
        <w:t xml:space="preserve"> (groupe de travail chargé de l</w:t>
      </w:r>
      <w:r w:rsidR="004471C3" w:rsidRPr="0037157A">
        <w:rPr>
          <w:lang w:val="fr-FR"/>
        </w:rPr>
        <w:t>’</w:t>
      </w:r>
      <w:r w:rsidRPr="0037157A">
        <w:rPr>
          <w:lang w:val="fr-FR"/>
        </w:rPr>
        <w:t>élaboration du plan d</w:t>
      </w:r>
      <w:r w:rsidR="004471C3" w:rsidRPr="0037157A">
        <w:rPr>
          <w:lang w:val="fr-FR"/>
        </w:rPr>
        <w:t>’</w:t>
      </w:r>
      <w:r w:rsidRPr="0037157A">
        <w:rPr>
          <w:lang w:val="fr-FR"/>
        </w:rPr>
        <w:t>action</w:t>
      </w:r>
      <w:r w:rsidR="00315AA6" w:rsidRPr="0037157A">
        <w:rPr>
          <w:lang w:val="fr-FR"/>
        </w:rPr>
        <w:t xml:space="preserve"> </w:t>
      </w:r>
      <w:r w:rsidRPr="0037157A">
        <w:rPr>
          <w:lang w:val="fr-FR"/>
        </w:rPr>
        <w:t>2021-2030 pour l</w:t>
      </w:r>
      <w:r w:rsidR="004471C3" w:rsidRPr="0037157A">
        <w:rPr>
          <w:lang w:val="fr-FR"/>
        </w:rPr>
        <w:t>’</w:t>
      </w:r>
      <w:r w:rsidRPr="0037157A">
        <w:rPr>
          <w:lang w:val="fr-FR"/>
        </w:rPr>
        <w:t>autonomisation des femmes dans la famille et la société, ci-après dénommé « groupe de travail pour le plan d</w:t>
      </w:r>
      <w:r w:rsidR="004471C3" w:rsidRPr="0037157A">
        <w:rPr>
          <w:lang w:val="fr-FR"/>
        </w:rPr>
        <w:t>’</w:t>
      </w:r>
      <w:r w:rsidRPr="0037157A">
        <w:rPr>
          <w:lang w:val="fr-FR"/>
        </w:rPr>
        <w:t>action 2021-2030 »), en concertation avec des ONG. Constitué d</w:t>
      </w:r>
      <w:r w:rsidR="004471C3" w:rsidRPr="0037157A">
        <w:rPr>
          <w:lang w:val="fr-FR"/>
        </w:rPr>
        <w:t>’</w:t>
      </w:r>
      <w:r w:rsidRPr="0037157A">
        <w:rPr>
          <w:lang w:val="fr-FR"/>
        </w:rPr>
        <w:t>experts issus de tous les ministères, le groupe de travail pour le plan d</w:t>
      </w:r>
      <w:r w:rsidR="004471C3" w:rsidRPr="0037157A">
        <w:rPr>
          <w:lang w:val="fr-FR"/>
        </w:rPr>
        <w:t>’</w:t>
      </w:r>
      <w:r w:rsidRPr="0037157A">
        <w:rPr>
          <w:lang w:val="fr-FR"/>
        </w:rPr>
        <w:t>action</w:t>
      </w:r>
      <w:r w:rsidR="00315AA6" w:rsidRPr="0037157A">
        <w:rPr>
          <w:lang w:val="fr-FR"/>
        </w:rPr>
        <w:t xml:space="preserve"> </w:t>
      </w:r>
      <w:r w:rsidRPr="0037157A">
        <w:rPr>
          <w:lang w:val="fr-FR"/>
        </w:rPr>
        <w:t>2021-2030 fait office de mécanisme de protection de l</w:t>
      </w:r>
      <w:r w:rsidR="004471C3" w:rsidRPr="0037157A">
        <w:rPr>
          <w:lang w:val="fr-FR"/>
        </w:rPr>
        <w:t>’</w:t>
      </w:r>
      <w:r w:rsidRPr="0037157A">
        <w:rPr>
          <w:lang w:val="fr-FR"/>
        </w:rPr>
        <w:t>égalité des genres et est chargé de la mise en œuvre du plan d</w:t>
      </w:r>
      <w:r w:rsidR="004471C3" w:rsidRPr="0037157A">
        <w:rPr>
          <w:lang w:val="fr-FR"/>
        </w:rPr>
        <w:t>’</w:t>
      </w:r>
      <w:r w:rsidRPr="0037157A">
        <w:rPr>
          <w:lang w:val="fr-FR"/>
        </w:rPr>
        <w:t>action 2021-2030.</w:t>
      </w:r>
      <w:bookmarkEnd w:id="1"/>
    </w:p>
    <w:p w14:paraId="3284FE3E" w14:textId="35305956" w:rsidR="002E0B8B" w:rsidRPr="0037157A" w:rsidRDefault="002E0B8B" w:rsidP="00622C56">
      <w:pPr>
        <w:pStyle w:val="SingleTxt"/>
        <w:spacing w:after="0" w:line="120" w:lineRule="exact"/>
        <w:rPr>
          <w:sz w:val="10"/>
          <w:lang w:val="fr-FR"/>
        </w:rPr>
      </w:pPr>
    </w:p>
    <w:p w14:paraId="1AE00CB0" w14:textId="77777777" w:rsidR="00622C56" w:rsidRPr="0037157A" w:rsidRDefault="00622C56" w:rsidP="002E0B8B">
      <w:pPr>
        <w:pStyle w:val="SingleTxt"/>
        <w:spacing w:after="0" w:line="120" w:lineRule="exact"/>
        <w:rPr>
          <w:sz w:val="10"/>
          <w:lang w:val="fr-FR"/>
        </w:rPr>
      </w:pPr>
    </w:p>
    <w:p w14:paraId="02A982AB" w14:textId="11978AD6" w:rsidR="002E0B8B" w:rsidRPr="0037157A" w:rsidRDefault="002E0B8B"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Institutions nationales de défense des droits humains</w:t>
      </w:r>
    </w:p>
    <w:p w14:paraId="7DB5EB69" w14:textId="20538A9D" w:rsidR="002E0B8B" w:rsidRPr="0037157A" w:rsidRDefault="002E0B8B" w:rsidP="00622C56">
      <w:pPr>
        <w:pStyle w:val="SingleTxt"/>
        <w:spacing w:after="0" w:line="120" w:lineRule="exact"/>
        <w:rPr>
          <w:sz w:val="10"/>
          <w:lang w:val="fr-FR"/>
        </w:rPr>
      </w:pPr>
    </w:p>
    <w:p w14:paraId="3FF9783C" w14:textId="77777777" w:rsidR="00622C56" w:rsidRPr="0037157A" w:rsidRDefault="00622C56" w:rsidP="002E0B8B">
      <w:pPr>
        <w:pStyle w:val="SingleTxt"/>
        <w:spacing w:after="0" w:line="120" w:lineRule="exact"/>
        <w:rPr>
          <w:sz w:val="10"/>
          <w:lang w:val="fr-FR"/>
        </w:rPr>
      </w:pPr>
    </w:p>
    <w:p w14:paraId="3C069ED5" w14:textId="4CD2BBE5" w:rsidR="002E0B8B" w:rsidRPr="0037157A" w:rsidRDefault="002E0B8B" w:rsidP="009D535F">
      <w:pPr>
        <w:pStyle w:val="SingleTxt"/>
        <w:numPr>
          <w:ilvl w:val="0"/>
          <w:numId w:val="6"/>
        </w:numPr>
        <w:tabs>
          <w:tab w:val="num" w:pos="2804"/>
        </w:tabs>
        <w:spacing w:line="240" w:lineRule="exact"/>
        <w:ind w:left="1267"/>
        <w:rPr>
          <w:lang w:val="fr-FR"/>
        </w:rPr>
      </w:pPr>
      <w:bookmarkStart w:id="2" w:name="_Ref76542490"/>
      <w:r w:rsidRPr="0037157A">
        <w:rPr>
          <w:lang w:val="fr-FR"/>
        </w:rPr>
        <w:t>Le (la) Commissaire aux droits fondamentaux (ci-après dénommé[e] « le [la] Commissaire ») est le (la) successeur(e) de l</w:t>
      </w:r>
      <w:r w:rsidR="004471C3" w:rsidRPr="0037157A">
        <w:rPr>
          <w:lang w:val="fr-FR"/>
        </w:rPr>
        <w:t>’</w:t>
      </w:r>
      <w:r w:rsidRPr="0037157A">
        <w:rPr>
          <w:lang w:val="fr-FR"/>
        </w:rPr>
        <w:t>ancienne Autorité pour l</w:t>
      </w:r>
      <w:r w:rsidR="004471C3" w:rsidRPr="0037157A">
        <w:rPr>
          <w:lang w:val="fr-FR"/>
        </w:rPr>
        <w:t>’</w:t>
      </w:r>
      <w:r w:rsidRPr="0037157A">
        <w:rPr>
          <w:lang w:val="fr-FR"/>
        </w:rPr>
        <w:t>égalité de traitement. Cette succession juridique n</w:t>
      </w:r>
      <w:r w:rsidR="004471C3" w:rsidRPr="0037157A">
        <w:rPr>
          <w:lang w:val="fr-FR"/>
        </w:rPr>
        <w:t>’</w:t>
      </w:r>
      <w:r w:rsidRPr="0037157A">
        <w:rPr>
          <w:lang w:val="fr-FR"/>
        </w:rPr>
        <w:t>a entraîné aucune modification du mandat défini dans la loi sur l</w:t>
      </w:r>
      <w:r w:rsidR="004471C3" w:rsidRPr="0037157A">
        <w:rPr>
          <w:lang w:val="fr-FR"/>
        </w:rPr>
        <w:t>’</w:t>
      </w:r>
      <w:r w:rsidRPr="0037157A">
        <w:rPr>
          <w:lang w:val="fr-FR"/>
        </w:rPr>
        <w:t>égalité de traitement. Le (la) Commissaire est notamment chargé(e) des tâches suivantes</w:t>
      </w:r>
      <w:r w:rsidR="004471C3" w:rsidRPr="0037157A">
        <w:rPr>
          <w:lang w:val="fr-FR"/>
        </w:rPr>
        <w:t> :</w:t>
      </w:r>
      <w:r w:rsidRPr="0037157A">
        <w:rPr>
          <w:lang w:val="fr-FR"/>
        </w:rPr>
        <w:t xml:space="preserve"> enquêter sur toute violation potentielle du principe d</w:t>
      </w:r>
      <w:r w:rsidR="004471C3" w:rsidRPr="0037157A">
        <w:rPr>
          <w:lang w:val="fr-FR"/>
        </w:rPr>
        <w:t>’</w:t>
      </w:r>
      <w:r w:rsidRPr="0037157A">
        <w:rPr>
          <w:lang w:val="fr-FR"/>
        </w:rPr>
        <w:t xml:space="preserve">égalité de traitement, sur demande ou </w:t>
      </w:r>
      <w:r w:rsidRPr="0037157A">
        <w:rPr>
          <w:i/>
          <w:iCs/>
          <w:lang w:val="fr-FR"/>
        </w:rPr>
        <w:t>ex officio</w:t>
      </w:r>
      <w:r w:rsidR="004471C3" w:rsidRPr="0037157A">
        <w:rPr>
          <w:lang w:val="fr-FR"/>
        </w:rPr>
        <w:t> ;</w:t>
      </w:r>
      <w:r w:rsidRPr="0037157A">
        <w:rPr>
          <w:lang w:val="fr-FR"/>
        </w:rPr>
        <w:t xml:space="preserve"> engager une action collective pour protéger des victimes ou des groupes de victimes de discrimination</w:t>
      </w:r>
      <w:r w:rsidR="004471C3" w:rsidRPr="0037157A">
        <w:rPr>
          <w:lang w:val="fr-FR"/>
        </w:rPr>
        <w:t> ;</w:t>
      </w:r>
      <w:r w:rsidRPr="0037157A">
        <w:rPr>
          <w:lang w:val="fr-FR"/>
        </w:rPr>
        <w:t xml:space="preserve"> émettre des avis sur les projets de loi ou de décision gouvernementale concernant l</w:t>
      </w:r>
      <w:r w:rsidR="004471C3" w:rsidRPr="0037157A">
        <w:rPr>
          <w:lang w:val="fr-FR"/>
        </w:rPr>
        <w:t>’</w:t>
      </w:r>
      <w:r w:rsidRPr="0037157A">
        <w:rPr>
          <w:lang w:val="fr-FR"/>
        </w:rPr>
        <w:t>égalité de traitement</w:t>
      </w:r>
      <w:r w:rsidR="004471C3" w:rsidRPr="0037157A">
        <w:rPr>
          <w:lang w:val="fr-FR"/>
        </w:rPr>
        <w:t> ;</w:t>
      </w:r>
      <w:r w:rsidRPr="0037157A">
        <w:rPr>
          <w:lang w:val="fr-FR"/>
        </w:rPr>
        <w:t xml:space="preserve"> et informer régulièrement l</w:t>
      </w:r>
      <w:r w:rsidR="004471C3" w:rsidRPr="0037157A">
        <w:rPr>
          <w:lang w:val="fr-FR"/>
        </w:rPr>
        <w:t>’</w:t>
      </w:r>
      <w:r w:rsidRPr="0037157A">
        <w:rPr>
          <w:lang w:val="fr-FR"/>
        </w:rPr>
        <w:t>Assemblée nationale et le public sur l</w:t>
      </w:r>
      <w:r w:rsidR="004471C3" w:rsidRPr="0037157A">
        <w:rPr>
          <w:lang w:val="fr-FR"/>
        </w:rPr>
        <w:t>’</w:t>
      </w:r>
      <w:r w:rsidRPr="0037157A">
        <w:rPr>
          <w:lang w:val="fr-FR"/>
        </w:rPr>
        <w:t>application du principe d</w:t>
      </w:r>
      <w:r w:rsidR="004471C3" w:rsidRPr="0037157A">
        <w:rPr>
          <w:lang w:val="fr-FR"/>
        </w:rPr>
        <w:t>’</w:t>
      </w:r>
      <w:r w:rsidRPr="0037157A">
        <w:rPr>
          <w:lang w:val="fr-FR"/>
        </w:rPr>
        <w:t>égalité de traitement. Ainsi, son mandat couvre la promotion des droits des femmes et leur protection contre toutes les formes de discrimination.</w:t>
      </w:r>
      <w:bookmarkEnd w:id="2"/>
    </w:p>
    <w:p w14:paraId="65081A82" w14:textId="4A1E974A" w:rsidR="002E0B8B"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En 2020,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a reçu un soutien budgétaire initial de 462 millions de forints hongrois (environ 1,54 million de dollars É.-U.). Ce montant a finalement atteint un total de 484,7 millions de forints hongrois (environ 1,62 million de dollars É.-U.) grâce à l</w:t>
      </w:r>
      <w:r w:rsidR="004471C3" w:rsidRPr="0037157A">
        <w:rPr>
          <w:lang w:val="fr-FR"/>
        </w:rPr>
        <w:t>’</w:t>
      </w:r>
      <w:r w:rsidRPr="0037157A">
        <w:rPr>
          <w:lang w:val="fr-FR"/>
        </w:rPr>
        <w:t>octroi d</w:t>
      </w:r>
      <w:r w:rsidR="004471C3" w:rsidRPr="0037157A">
        <w:rPr>
          <w:lang w:val="fr-FR"/>
        </w:rPr>
        <w:t>’</w:t>
      </w:r>
      <w:r w:rsidRPr="0037157A">
        <w:rPr>
          <w:lang w:val="fr-FR"/>
        </w:rPr>
        <w:t>une aide budgétaire exceptionnelle en milieu d</w:t>
      </w:r>
      <w:r w:rsidR="004471C3" w:rsidRPr="0037157A">
        <w:rPr>
          <w:lang w:val="fr-FR"/>
        </w:rPr>
        <w:t>’</w:t>
      </w:r>
      <w:r w:rsidRPr="0037157A">
        <w:rPr>
          <w:lang w:val="fr-FR"/>
        </w:rPr>
        <w:t>année. En 2021, l</w:t>
      </w:r>
      <w:r w:rsidR="004471C3" w:rsidRPr="0037157A">
        <w:rPr>
          <w:lang w:val="fr-FR"/>
        </w:rPr>
        <w:t>’</w:t>
      </w:r>
      <w:r w:rsidRPr="0037157A">
        <w:rPr>
          <w:lang w:val="fr-FR"/>
        </w:rPr>
        <w:t>Assemblée nationale a débloqué des fonds similaires (à savoir 462 millions de forints hongrois).</w:t>
      </w:r>
    </w:p>
    <w:p w14:paraId="72F52CFC" w14:textId="77777777" w:rsidR="004471C3"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Sur les neuf fonctionnaires qui travaillaient à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avant son intégration, huit ont poursuivi leur mission à la Direction générale pour l</w:t>
      </w:r>
      <w:r w:rsidR="004471C3" w:rsidRPr="0037157A">
        <w:rPr>
          <w:lang w:val="fr-FR"/>
        </w:rPr>
        <w:t>’</w:t>
      </w:r>
      <w:r w:rsidRPr="0037157A">
        <w:rPr>
          <w:lang w:val="fr-FR"/>
        </w:rPr>
        <w:t>égalité de traitement du Bureau du (de la) Commissaire, permettant ainsi à la structure de conserver un haut niveau d</w:t>
      </w:r>
      <w:r w:rsidR="004471C3" w:rsidRPr="0037157A">
        <w:rPr>
          <w:lang w:val="fr-FR"/>
        </w:rPr>
        <w:t>’</w:t>
      </w:r>
      <w:r w:rsidRPr="0037157A">
        <w:rPr>
          <w:lang w:val="fr-FR"/>
        </w:rPr>
        <w:t>efficacité.</w:t>
      </w:r>
    </w:p>
    <w:p w14:paraId="7C0B0E85" w14:textId="30D4E8D6" w:rsidR="002E0B8B" w:rsidRPr="0037157A" w:rsidRDefault="002E0B8B" w:rsidP="002E0B8B">
      <w:pPr>
        <w:pStyle w:val="SingleTxt"/>
        <w:spacing w:after="0" w:line="120" w:lineRule="exact"/>
        <w:rPr>
          <w:sz w:val="10"/>
          <w:lang w:val="fr-FR"/>
        </w:rPr>
      </w:pPr>
    </w:p>
    <w:p w14:paraId="4F38F2EA" w14:textId="31C9D586" w:rsidR="002E0B8B" w:rsidRPr="0037157A" w:rsidRDefault="002E0B8B" w:rsidP="00622C5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Tableau 1</w:t>
      </w:r>
    </w:p>
    <w:p w14:paraId="56CBC975" w14:textId="7ACEBAA9" w:rsidR="002E0B8B" w:rsidRPr="0037157A" w:rsidRDefault="002E0B8B" w:rsidP="00622C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Nombre d</w:t>
      </w:r>
      <w:r w:rsidR="004471C3" w:rsidRPr="0037157A">
        <w:rPr>
          <w:lang w:val="fr-FR"/>
        </w:rPr>
        <w:t>’</w:t>
      </w:r>
      <w:r w:rsidRPr="0037157A">
        <w:rPr>
          <w:lang w:val="fr-FR"/>
        </w:rPr>
        <w:t xml:space="preserve">affaires de discrimination fondée sur le genre, la grossesse </w:t>
      </w:r>
      <w:r w:rsidRPr="0037157A">
        <w:rPr>
          <w:lang w:val="fr-FR"/>
        </w:rPr>
        <w:br/>
        <w:t>ou la maternité (soumises par des femmes), ou sur l</w:t>
      </w:r>
      <w:r w:rsidR="004471C3" w:rsidRPr="0037157A">
        <w:rPr>
          <w:lang w:val="fr-FR"/>
        </w:rPr>
        <w:t>’</w:t>
      </w:r>
      <w:r w:rsidRPr="0037157A">
        <w:rPr>
          <w:lang w:val="fr-FR"/>
        </w:rPr>
        <w:t>identité de genre</w:t>
      </w:r>
    </w:p>
    <w:p w14:paraId="4450EA54" w14:textId="32745730" w:rsidR="00C959FC" w:rsidRPr="0037157A" w:rsidRDefault="00C959FC" w:rsidP="00622C56">
      <w:pPr>
        <w:pStyle w:val="SingleTxt"/>
        <w:keepNext/>
        <w:keepLines/>
        <w:spacing w:after="0" w:line="120" w:lineRule="exact"/>
        <w:rPr>
          <w:sz w:val="10"/>
          <w:lang w:val="fr-FR"/>
        </w:rPr>
      </w:pPr>
    </w:p>
    <w:p w14:paraId="3441ABAC" w14:textId="5663BA27" w:rsidR="002E0B8B" w:rsidRPr="0037157A" w:rsidRDefault="002E0B8B" w:rsidP="00622C56">
      <w:pPr>
        <w:pStyle w:val="SingleTxt"/>
        <w:keepNext/>
        <w:keepLines/>
        <w:spacing w:after="0" w:line="120" w:lineRule="exact"/>
        <w:rPr>
          <w:sz w:val="10"/>
          <w:lang w:val="fr-FR"/>
        </w:rPr>
      </w:pPr>
    </w:p>
    <w:tbl>
      <w:tblPr>
        <w:tblStyle w:val="TableGrid"/>
        <w:tblW w:w="8579"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1124"/>
        <w:gridCol w:w="1124"/>
        <w:gridCol w:w="1124"/>
        <w:gridCol w:w="1124"/>
        <w:gridCol w:w="1124"/>
        <w:gridCol w:w="41"/>
        <w:gridCol w:w="1083"/>
        <w:gridCol w:w="1124"/>
      </w:tblGrid>
      <w:tr w:rsidR="00C4590A" w:rsidRPr="0037157A" w14:paraId="1A899CFE" w14:textId="77777777" w:rsidTr="00C4590A">
        <w:trPr>
          <w:tblHeader/>
        </w:trPr>
        <w:tc>
          <w:tcPr>
            <w:tcW w:w="711" w:type="dxa"/>
            <w:vMerge w:val="restart"/>
            <w:tcBorders>
              <w:top w:val="single" w:sz="4" w:space="0" w:color="auto"/>
            </w:tcBorders>
            <w:shd w:val="clear" w:color="auto" w:fill="auto"/>
            <w:noWrap/>
            <w:vAlign w:val="bottom"/>
          </w:tcPr>
          <w:p w14:paraId="1D46456A" w14:textId="77777777" w:rsidR="00C4590A" w:rsidRPr="0037157A" w:rsidRDefault="00C4590A" w:rsidP="00622C56">
            <w:pPr>
              <w:keepNext/>
              <w:keepLines/>
              <w:spacing w:before="81" w:after="81" w:line="160" w:lineRule="exact"/>
              <w:ind w:right="40"/>
              <w:rPr>
                <w:i/>
                <w:sz w:val="14"/>
                <w:lang w:val="fr-FR"/>
              </w:rPr>
            </w:pPr>
            <w:r w:rsidRPr="0037157A">
              <w:rPr>
                <w:i/>
                <w:sz w:val="14"/>
                <w:lang w:val="fr-FR"/>
              </w:rPr>
              <w:t>Année</w:t>
            </w:r>
          </w:p>
        </w:tc>
        <w:tc>
          <w:tcPr>
            <w:tcW w:w="1124" w:type="dxa"/>
            <w:vMerge w:val="restart"/>
            <w:tcBorders>
              <w:top w:val="single" w:sz="4" w:space="0" w:color="auto"/>
            </w:tcBorders>
            <w:shd w:val="clear" w:color="auto" w:fill="auto"/>
            <w:noWrap/>
            <w:vAlign w:val="bottom"/>
          </w:tcPr>
          <w:p w14:paraId="2BE1AAF5" w14:textId="77777777" w:rsidR="00C4590A" w:rsidRPr="0037157A" w:rsidRDefault="00C4590A" w:rsidP="00622C56">
            <w:pPr>
              <w:keepNext/>
              <w:keepLines/>
              <w:spacing w:before="81" w:after="81" w:line="160" w:lineRule="exact"/>
              <w:ind w:right="43"/>
              <w:jc w:val="right"/>
              <w:rPr>
                <w:i/>
                <w:sz w:val="14"/>
                <w:lang w:val="fr-FR"/>
              </w:rPr>
            </w:pPr>
            <w:r w:rsidRPr="0037157A">
              <w:rPr>
                <w:i/>
                <w:sz w:val="14"/>
                <w:lang w:val="fr-FR"/>
              </w:rPr>
              <w:t>Total</w:t>
            </w:r>
          </w:p>
        </w:tc>
        <w:tc>
          <w:tcPr>
            <w:tcW w:w="4496" w:type="dxa"/>
            <w:gridSpan w:val="4"/>
            <w:tcBorders>
              <w:top w:val="single" w:sz="4" w:space="0" w:color="auto"/>
              <w:bottom w:val="single" w:sz="4" w:space="0" w:color="auto"/>
            </w:tcBorders>
            <w:shd w:val="clear" w:color="auto" w:fill="auto"/>
            <w:noWrap/>
            <w:vAlign w:val="bottom"/>
          </w:tcPr>
          <w:p w14:paraId="0B683C5E" w14:textId="0701193B" w:rsidR="00C4590A" w:rsidRPr="0037157A" w:rsidRDefault="00C4590A" w:rsidP="00622C56">
            <w:pPr>
              <w:keepNext/>
              <w:keepLines/>
              <w:spacing w:before="81" w:after="81" w:line="160" w:lineRule="exact"/>
              <w:ind w:right="43"/>
              <w:jc w:val="center"/>
              <w:rPr>
                <w:i/>
                <w:sz w:val="14"/>
                <w:lang w:val="fr-FR"/>
              </w:rPr>
            </w:pPr>
            <w:r w:rsidRPr="0037157A">
              <w:rPr>
                <w:i/>
                <w:sz w:val="14"/>
                <w:lang w:val="fr-FR"/>
              </w:rPr>
              <w:t>Issue</w:t>
            </w:r>
          </w:p>
        </w:tc>
        <w:tc>
          <w:tcPr>
            <w:tcW w:w="41" w:type="dxa"/>
            <w:tcBorders>
              <w:top w:val="single" w:sz="4" w:space="0" w:color="auto"/>
            </w:tcBorders>
            <w:shd w:val="clear" w:color="auto" w:fill="auto"/>
            <w:noWrap/>
            <w:vAlign w:val="bottom"/>
          </w:tcPr>
          <w:p w14:paraId="3E758790" w14:textId="77777777" w:rsidR="00C4590A" w:rsidRPr="0037157A" w:rsidRDefault="00C4590A" w:rsidP="00622C56">
            <w:pPr>
              <w:keepNext/>
              <w:keepLines/>
              <w:spacing w:before="81" w:after="81" w:line="160" w:lineRule="exact"/>
              <w:ind w:right="43"/>
              <w:jc w:val="center"/>
              <w:rPr>
                <w:i/>
                <w:sz w:val="14"/>
                <w:lang w:val="fr-FR"/>
              </w:rPr>
            </w:pPr>
          </w:p>
        </w:tc>
        <w:tc>
          <w:tcPr>
            <w:tcW w:w="2207" w:type="dxa"/>
            <w:gridSpan w:val="2"/>
            <w:tcBorders>
              <w:top w:val="single" w:sz="4" w:space="0" w:color="auto"/>
              <w:bottom w:val="single" w:sz="4" w:space="0" w:color="auto"/>
            </w:tcBorders>
            <w:shd w:val="clear" w:color="auto" w:fill="auto"/>
            <w:vAlign w:val="bottom"/>
          </w:tcPr>
          <w:p w14:paraId="1C8AF945" w14:textId="33A1D62C" w:rsidR="00C4590A" w:rsidRPr="0037157A" w:rsidRDefault="00C4590A" w:rsidP="00622C56">
            <w:pPr>
              <w:keepNext/>
              <w:keepLines/>
              <w:spacing w:before="81" w:after="81" w:line="160" w:lineRule="exact"/>
              <w:ind w:right="43"/>
              <w:jc w:val="center"/>
              <w:rPr>
                <w:i/>
                <w:sz w:val="14"/>
                <w:lang w:val="fr-FR"/>
              </w:rPr>
            </w:pPr>
            <w:r w:rsidRPr="0037157A">
              <w:rPr>
                <w:i/>
                <w:sz w:val="14"/>
                <w:lang w:val="fr-FR"/>
              </w:rPr>
              <w:t>Région</w:t>
            </w:r>
          </w:p>
        </w:tc>
      </w:tr>
      <w:tr w:rsidR="00C4590A" w:rsidRPr="0037157A" w14:paraId="69A4EA40" w14:textId="77777777" w:rsidTr="00C4590A">
        <w:trPr>
          <w:tblHeader/>
        </w:trPr>
        <w:tc>
          <w:tcPr>
            <w:tcW w:w="711" w:type="dxa"/>
            <w:vMerge/>
            <w:tcBorders>
              <w:bottom w:val="single" w:sz="12" w:space="0" w:color="auto"/>
            </w:tcBorders>
            <w:shd w:val="clear" w:color="auto" w:fill="auto"/>
            <w:noWrap/>
            <w:vAlign w:val="bottom"/>
          </w:tcPr>
          <w:p w14:paraId="2C587658" w14:textId="77777777" w:rsidR="00C4590A" w:rsidRPr="0037157A" w:rsidRDefault="00C4590A" w:rsidP="00C4590A">
            <w:pPr>
              <w:spacing w:before="81" w:after="81" w:line="160" w:lineRule="exact"/>
              <w:ind w:right="40"/>
              <w:rPr>
                <w:i/>
                <w:sz w:val="14"/>
                <w:lang w:val="fr-FR"/>
              </w:rPr>
            </w:pPr>
          </w:p>
        </w:tc>
        <w:tc>
          <w:tcPr>
            <w:tcW w:w="1124" w:type="dxa"/>
            <w:vMerge/>
            <w:tcBorders>
              <w:bottom w:val="single" w:sz="12" w:space="0" w:color="auto"/>
            </w:tcBorders>
            <w:shd w:val="clear" w:color="auto" w:fill="auto"/>
            <w:noWrap/>
            <w:vAlign w:val="bottom"/>
          </w:tcPr>
          <w:p w14:paraId="58C0DF0A" w14:textId="77777777" w:rsidR="00C4590A" w:rsidRPr="0037157A" w:rsidRDefault="00C4590A" w:rsidP="00C4590A">
            <w:pPr>
              <w:spacing w:before="81" w:after="81" w:line="160" w:lineRule="exact"/>
              <w:ind w:right="43"/>
              <w:jc w:val="right"/>
              <w:rPr>
                <w:i/>
                <w:sz w:val="14"/>
                <w:lang w:val="fr-FR"/>
              </w:rPr>
            </w:pPr>
          </w:p>
        </w:tc>
        <w:tc>
          <w:tcPr>
            <w:tcW w:w="1124" w:type="dxa"/>
            <w:tcBorders>
              <w:top w:val="single" w:sz="4" w:space="0" w:color="auto"/>
              <w:bottom w:val="single" w:sz="12" w:space="0" w:color="auto"/>
            </w:tcBorders>
            <w:shd w:val="clear" w:color="auto" w:fill="auto"/>
            <w:noWrap/>
            <w:vAlign w:val="bottom"/>
          </w:tcPr>
          <w:p w14:paraId="7A397100" w14:textId="77777777" w:rsidR="00C4590A" w:rsidRPr="0037157A" w:rsidRDefault="00C4590A" w:rsidP="00C4590A">
            <w:pPr>
              <w:spacing w:before="81" w:after="81" w:line="160" w:lineRule="exact"/>
              <w:ind w:right="43"/>
              <w:jc w:val="right"/>
              <w:rPr>
                <w:i/>
                <w:sz w:val="14"/>
                <w:lang w:val="fr-FR"/>
              </w:rPr>
            </w:pPr>
            <w:r w:rsidRPr="0037157A">
              <w:rPr>
                <w:i/>
                <w:sz w:val="14"/>
                <w:lang w:val="fr-FR"/>
              </w:rPr>
              <w:t>Violation</w:t>
            </w:r>
          </w:p>
        </w:tc>
        <w:tc>
          <w:tcPr>
            <w:tcW w:w="1124" w:type="dxa"/>
            <w:tcBorders>
              <w:top w:val="single" w:sz="4" w:space="0" w:color="auto"/>
              <w:bottom w:val="single" w:sz="12" w:space="0" w:color="auto"/>
            </w:tcBorders>
            <w:shd w:val="clear" w:color="auto" w:fill="auto"/>
            <w:noWrap/>
            <w:vAlign w:val="bottom"/>
          </w:tcPr>
          <w:p w14:paraId="08B0FC33" w14:textId="77777777" w:rsidR="00C4590A" w:rsidRPr="0037157A" w:rsidRDefault="00C4590A" w:rsidP="00C4590A">
            <w:pPr>
              <w:spacing w:before="81" w:after="81" w:line="160" w:lineRule="exact"/>
              <w:ind w:right="43"/>
              <w:jc w:val="right"/>
              <w:rPr>
                <w:i/>
                <w:sz w:val="14"/>
                <w:lang w:val="fr-FR"/>
              </w:rPr>
            </w:pPr>
            <w:r w:rsidRPr="0037157A">
              <w:rPr>
                <w:i/>
                <w:sz w:val="14"/>
                <w:lang w:val="fr-FR"/>
              </w:rPr>
              <w:t>Règlement</w:t>
            </w:r>
          </w:p>
        </w:tc>
        <w:tc>
          <w:tcPr>
            <w:tcW w:w="1124" w:type="dxa"/>
            <w:tcBorders>
              <w:top w:val="single" w:sz="4" w:space="0" w:color="auto"/>
              <w:bottom w:val="single" w:sz="12" w:space="0" w:color="auto"/>
            </w:tcBorders>
            <w:shd w:val="clear" w:color="auto" w:fill="auto"/>
            <w:noWrap/>
            <w:vAlign w:val="bottom"/>
          </w:tcPr>
          <w:p w14:paraId="08C7D2EC" w14:textId="0AAC9878" w:rsidR="00C4590A" w:rsidRPr="0037157A" w:rsidRDefault="00C4590A" w:rsidP="00C4590A">
            <w:pPr>
              <w:spacing w:before="81" w:after="81" w:line="160" w:lineRule="exact"/>
              <w:ind w:right="43"/>
              <w:jc w:val="right"/>
              <w:rPr>
                <w:i/>
                <w:sz w:val="14"/>
                <w:lang w:val="fr-FR"/>
              </w:rPr>
            </w:pPr>
            <w:r w:rsidRPr="0037157A">
              <w:rPr>
                <w:i/>
                <w:sz w:val="14"/>
                <w:lang w:val="fr-FR"/>
              </w:rPr>
              <w:t xml:space="preserve">Clôture pour </w:t>
            </w:r>
            <w:r w:rsidRPr="0037157A">
              <w:rPr>
                <w:i/>
                <w:sz w:val="14"/>
                <w:lang w:val="fr-FR"/>
              </w:rPr>
              <w:br/>
              <w:t>vice de forme</w:t>
            </w:r>
          </w:p>
        </w:tc>
        <w:tc>
          <w:tcPr>
            <w:tcW w:w="1124" w:type="dxa"/>
            <w:tcBorders>
              <w:top w:val="single" w:sz="4" w:space="0" w:color="auto"/>
              <w:bottom w:val="single" w:sz="12" w:space="0" w:color="auto"/>
            </w:tcBorders>
            <w:shd w:val="clear" w:color="auto" w:fill="auto"/>
            <w:noWrap/>
            <w:vAlign w:val="bottom"/>
          </w:tcPr>
          <w:p w14:paraId="74F36985" w14:textId="09F4AD64" w:rsidR="00C4590A" w:rsidRPr="0037157A" w:rsidRDefault="00C4590A" w:rsidP="00C4590A">
            <w:pPr>
              <w:spacing w:before="81" w:after="81" w:line="160" w:lineRule="exact"/>
              <w:ind w:right="43"/>
              <w:jc w:val="right"/>
              <w:rPr>
                <w:i/>
                <w:sz w:val="14"/>
                <w:lang w:val="fr-FR"/>
              </w:rPr>
            </w:pPr>
            <w:r w:rsidRPr="0037157A">
              <w:rPr>
                <w:i/>
                <w:sz w:val="14"/>
                <w:lang w:val="fr-FR"/>
              </w:rPr>
              <w:t>Rejet de</w:t>
            </w:r>
            <w:r w:rsidRPr="0037157A">
              <w:rPr>
                <w:i/>
                <w:sz w:val="14"/>
                <w:lang w:val="fr-FR"/>
              </w:rPr>
              <w:br/>
              <w:t xml:space="preserve"> la plainte</w:t>
            </w:r>
          </w:p>
        </w:tc>
        <w:tc>
          <w:tcPr>
            <w:tcW w:w="1124" w:type="dxa"/>
            <w:gridSpan w:val="2"/>
            <w:tcBorders>
              <w:bottom w:val="single" w:sz="12" w:space="0" w:color="auto"/>
            </w:tcBorders>
            <w:shd w:val="clear" w:color="auto" w:fill="auto"/>
            <w:noWrap/>
            <w:vAlign w:val="bottom"/>
          </w:tcPr>
          <w:p w14:paraId="3923FF97" w14:textId="77777777" w:rsidR="00C4590A" w:rsidRPr="0037157A" w:rsidRDefault="00C4590A" w:rsidP="00C4590A">
            <w:pPr>
              <w:spacing w:before="81" w:after="81" w:line="160" w:lineRule="exact"/>
              <w:ind w:right="43"/>
              <w:jc w:val="right"/>
              <w:rPr>
                <w:i/>
                <w:sz w:val="14"/>
                <w:lang w:val="fr-FR"/>
              </w:rPr>
            </w:pPr>
            <w:r w:rsidRPr="0037157A">
              <w:rPr>
                <w:i/>
                <w:sz w:val="14"/>
                <w:lang w:val="fr-FR"/>
              </w:rPr>
              <w:t>Budapest</w:t>
            </w:r>
          </w:p>
        </w:tc>
        <w:tc>
          <w:tcPr>
            <w:tcW w:w="1124" w:type="dxa"/>
            <w:tcBorders>
              <w:bottom w:val="single" w:sz="12" w:space="0" w:color="auto"/>
            </w:tcBorders>
            <w:shd w:val="clear" w:color="auto" w:fill="auto"/>
            <w:noWrap/>
            <w:vAlign w:val="bottom"/>
          </w:tcPr>
          <w:p w14:paraId="35110977" w14:textId="1426010F" w:rsidR="00C4590A" w:rsidRPr="0037157A" w:rsidRDefault="00C4590A" w:rsidP="00C4590A">
            <w:pPr>
              <w:spacing w:before="81" w:after="81" w:line="160" w:lineRule="exact"/>
              <w:ind w:right="43"/>
              <w:jc w:val="right"/>
              <w:rPr>
                <w:i/>
                <w:sz w:val="14"/>
                <w:lang w:val="fr-FR"/>
              </w:rPr>
            </w:pPr>
            <w:r w:rsidRPr="0037157A">
              <w:rPr>
                <w:i/>
                <w:sz w:val="14"/>
                <w:lang w:val="fr-FR"/>
              </w:rPr>
              <w:t xml:space="preserve">En dehors </w:t>
            </w:r>
            <w:r w:rsidRPr="0037157A">
              <w:rPr>
                <w:i/>
                <w:sz w:val="14"/>
                <w:lang w:val="fr-FR"/>
              </w:rPr>
              <w:br/>
              <w:t>de Budapest</w:t>
            </w:r>
          </w:p>
        </w:tc>
      </w:tr>
      <w:tr w:rsidR="00C4590A" w:rsidRPr="0037157A" w14:paraId="7B426FD0" w14:textId="77777777" w:rsidTr="00C4590A">
        <w:trPr>
          <w:trHeight w:hRule="exact" w:val="115"/>
          <w:tblHeader/>
        </w:trPr>
        <w:tc>
          <w:tcPr>
            <w:tcW w:w="711" w:type="dxa"/>
            <w:tcBorders>
              <w:top w:val="single" w:sz="12" w:space="0" w:color="auto"/>
            </w:tcBorders>
            <w:shd w:val="clear" w:color="auto" w:fill="auto"/>
            <w:noWrap/>
            <w:vAlign w:val="bottom"/>
          </w:tcPr>
          <w:p w14:paraId="2BFE4595" w14:textId="77777777" w:rsidR="00C4590A" w:rsidRPr="0037157A" w:rsidRDefault="00C4590A" w:rsidP="00C4590A">
            <w:pPr>
              <w:spacing w:before="40" w:after="40" w:line="210" w:lineRule="exact"/>
              <w:ind w:right="40"/>
              <w:rPr>
                <w:sz w:val="17"/>
                <w:lang w:val="fr-FR"/>
              </w:rPr>
            </w:pPr>
          </w:p>
        </w:tc>
        <w:tc>
          <w:tcPr>
            <w:tcW w:w="1124" w:type="dxa"/>
            <w:tcBorders>
              <w:top w:val="single" w:sz="12" w:space="0" w:color="auto"/>
            </w:tcBorders>
            <w:shd w:val="clear" w:color="auto" w:fill="auto"/>
            <w:noWrap/>
            <w:vAlign w:val="bottom"/>
          </w:tcPr>
          <w:p w14:paraId="54C021BF" w14:textId="77777777" w:rsidR="00C4590A" w:rsidRPr="0037157A" w:rsidRDefault="00C4590A" w:rsidP="00C4590A">
            <w:pPr>
              <w:spacing w:before="40" w:after="40" w:line="210" w:lineRule="exact"/>
              <w:ind w:right="43"/>
              <w:jc w:val="right"/>
              <w:rPr>
                <w:sz w:val="17"/>
                <w:lang w:val="fr-FR"/>
              </w:rPr>
            </w:pPr>
          </w:p>
        </w:tc>
        <w:tc>
          <w:tcPr>
            <w:tcW w:w="1124" w:type="dxa"/>
            <w:tcBorders>
              <w:top w:val="single" w:sz="12" w:space="0" w:color="auto"/>
            </w:tcBorders>
            <w:shd w:val="clear" w:color="auto" w:fill="auto"/>
            <w:noWrap/>
            <w:vAlign w:val="bottom"/>
          </w:tcPr>
          <w:p w14:paraId="69DB7433" w14:textId="77777777" w:rsidR="00C4590A" w:rsidRPr="0037157A" w:rsidRDefault="00C4590A" w:rsidP="00C4590A">
            <w:pPr>
              <w:spacing w:before="40" w:after="40" w:line="210" w:lineRule="exact"/>
              <w:ind w:right="43"/>
              <w:jc w:val="right"/>
              <w:rPr>
                <w:sz w:val="17"/>
                <w:lang w:val="fr-FR"/>
              </w:rPr>
            </w:pPr>
          </w:p>
        </w:tc>
        <w:tc>
          <w:tcPr>
            <w:tcW w:w="1124" w:type="dxa"/>
            <w:tcBorders>
              <w:top w:val="single" w:sz="12" w:space="0" w:color="auto"/>
            </w:tcBorders>
            <w:shd w:val="clear" w:color="auto" w:fill="auto"/>
            <w:noWrap/>
            <w:vAlign w:val="bottom"/>
          </w:tcPr>
          <w:p w14:paraId="2305C43C" w14:textId="77777777" w:rsidR="00C4590A" w:rsidRPr="0037157A" w:rsidRDefault="00C4590A" w:rsidP="00C4590A">
            <w:pPr>
              <w:spacing w:before="40" w:after="40" w:line="210" w:lineRule="exact"/>
              <w:ind w:right="43"/>
              <w:jc w:val="right"/>
              <w:rPr>
                <w:sz w:val="17"/>
                <w:lang w:val="fr-FR"/>
              </w:rPr>
            </w:pPr>
          </w:p>
        </w:tc>
        <w:tc>
          <w:tcPr>
            <w:tcW w:w="1124" w:type="dxa"/>
            <w:tcBorders>
              <w:top w:val="single" w:sz="12" w:space="0" w:color="auto"/>
            </w:tcBorders>
            <w:shd w:val="clear" w:color="auto" w:fill="auto"/>
            <w:noWrap/>
            <w:vAlign w:val="bottom"/>
          </w:tcPr>
          <w:p w14:paraId="2F46075E" w14:textId="77777777" w:rsidR="00C4590A" w:rsidRPr="0037157A" w:rsidRDefault="00C4590A" w:rsidP="00C4590A">
            <w:pPr>
              <w:spacing w:before="40" w:after="40" w:line="210" w:lineRule="exact"/>
              <w:ind w:right="43"/>
              <w:jc w:val="right"/>
              <w:rPr>
                <w:sz w:val="17"/>
                <w:lang w:val="fr-FR"/>
              </w:rPr>
            </w:pPr>
          </w:p>
        </w:tc>
        <w:tc>
          <w:tcPr>
            <w:tcW w:w="1124" w:type="dxa"/>
            <w:tcBorders>
              <w:top w:val="single" w:sz="12" w:space="0" w:color="auto"/>
            </w:tcBorders>
            <w:shd w:val="clear" w:color="auto" w:fill="auto"/>
            <w:noWrap/>
            <w:vAlign w:val="bottom"/>
          </w:tcPr>
          <w:p w14:paraId="2C956543" w14:textId="77777777" w:rsidR="00C4590A" w:rsidRPr="0037157A" w:rsidRDefault="00C4590A" w:rsidP="00C4590A">
            <w:pPr>
              <w:spacing w:before="40" w:after="40" w:line="210" w:lineRule="exact"/>
              <w:ind w:right="43"/>
              <w:jc w:val="right"/>
              <w:rPr>
                <w:sz w:val="17"/>
                <w:lang w:val="fr-FR"/>
              </w:rPr>
            </w:pPr>
          </w:p>
        </w:tc>
        <w:tc>
          <w:tcPr>
            <w:tcW w:w="1124" w:type="dxa"/>
            <w:gridSpan w:val="2"/>
            <w:tcBorders>
              <w:top w:val="single" w:sz="12" w:space="0" w:color="auto"/>
            </w:tcBorders>
            <w:shd w:val="clear" w:color="auto" w:fill="auto"/>
            <w:noWrap/>
            <w:vAlign w:val="bottom"/>
          </w:tcPr>
          <w:p w14:paraId="7A5A7315" w14:textId="77777777" w:rsidR="00C4590A" w:rsidRPr="0037157A" w:rsidRDefault="00C4590A" w:rsidP="00C4590A">
            <w:pPr>
              <w:spacing w:before="40" w:after="40" w:line="210" w:lineRule="exact"/>
              <w:ind w:right="43"/>
              <w:jc w:val="right"/>
              <w:rPr>
                <w:sz w:val="17"/>
                <w:lang w:val="fr-FR"/>
              </w:rPr>
            </w:pPr>
          </w:p>
        </w:tc>
        <w:tc>
          <w:tcPr>
            <w:tcW w:w="1124" w:type="dxa"/>
            <w:tcBorders>
              <w:top w:val="single" w:sz="12" w:space="0" w:color="auto"/>
            </w:tcBorders>
            <w:shd w:val="clear" w:color="auto" w:fill="auto"/>
            <w:noWrap/>
            <w:vAlign w:val="bottom"/>
          </w:tcPr>
          <w:p w14:paraId="7AFDF239" w14:textId="77777777" w:rsidR="00C4590A" w:rsidRPr="0037157A" w:rsidRDefault="00C4590A" w:rsidP="00C4590A">
            <w:pPr>
              <w:spacing w:before="40" w:after="40" w:line="210" w:lineRule="exact"/>
              <w:ind w:right="43"/>
              <w:jc w:val="right"/>
              <w:rPr>
                <w:sz w:val="17"/>
                <w:lang w:val="fr-FR"/>
              </w:rPr>
            </w:pPr>
          </w:p>
        </w:tc>
      </w:tr>
      <w:tr w:rsidR="00C4590A" w:rsidRPr="0037157A" w14:paraId="6FD16196" w14:textId="77777777" w:rsidTr="00C4590A">
        <w:tc>
          <w:tcPr>
            <w:tcW w:w="711" w:type="dxa"/>
            <w:shd w:val="clear" w:color="auto" w:fill="auto"/>
            <w:noWrap/>
          </w:tcPr>
          <w:p w14:paraId="14870A01"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2013</w:t>
            </w:r>
          </w:p>
        </w:tc>
        <w:tc>
          <w:tcPr>
            <w:tcW w:w="1124" w:type="dxa"/>
            <w:shd w:val="clear" w:color="auto" w:fill="auto"/>
            <w:noWrap/>
            <w:vAlign w:val="bottom"/>
          </w:tcPr>
          <w:p w14:paraId="1B9792C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39</w:t>
            </w:r>
          </w:p>
        </w:tc>
        <w:tc>
          <w:tcPr>
            <w:tcW w:w="1124" w:type="dxa"/>
            <w:shd w:val="clear" w:color="auto" w:fill="auto"/>
            <w:noWrap/>
            <w:vAlign w:val="bottom"/>
          </w:tcPr>
          <w:p w14:paraId="20E6513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124" w:type="dxa"/>
            <w:shd w:val="clear" w:color="auto" w:fill="auto"/>
            <w:noWrap/>
            <w:vAlign w:val="bottom"/>
          </w:tcPr>
          <w:p w14:paraId="3EC6163A"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124" w:type="dxa"/>
            <w:shd w:val="clear" w:color="auto" w:fill="auto"/>
            <w:noWrap/>
            <w:vAlign w:val="bottom"/>
          </w:tcPr>
          <w:p w14:paraId="504F7CD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21</w:t>
            </w:r>
          </w:p>
        </w:tc>
        <w:tc>
          <w:tcPr>
            <w:tcW w:w="1124" w:type="dxa"/>
            <w:shd w:val="clear" w:color="auto" w:fill="auto"/>
            <w:noWrap/>
            <w:vAlign w:val="bottom"/>
          </w:tcPr>
          <w:p w14:paraId="14755924"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10</w:t>
            </w:r>
          </w:p>
        </w:tc>
        <w:tc>
          <w:tcPr>
            <w:tcW w:w="1124" w:type="dxa"/>
            <w:gridSpan w:val="2"/>
            <w:shd w:val="clear" w:color="auto" w:fill="auto"/>
            <w:noWrap/>
            <w:vAlign w:val="bottom"/>
          </w:tcPr>
          <w:p w14:paraId="74E9786A"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w:t>
            </w:r>
          </w:p>
        </w:tc>
        <w:tc>
          <w:tcPr>
            <w:tcW w:w="1124" w:type="dxa"/>
            <w:shd w:val="clear" w:color="auto" w:fill="auto"/>
            <w:noWrap/>
            <w:vAlign w:val="bottom"/>
          </w:tcPr>
          <w:p w14:paraId="3BBD7F82"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26</w:t>
            </w:r>
          </w:p>
        </w:tc>
      </w:tr>
      <w:tr w:rsidR="00C4590A" w:rsidRPr="0037157A" w14:paraId="4D1BEE6B" w14:textId="77777777" w:rsidTr="00C4590A">
        <w:tc>
          <w:tcPr>
            <w:tcW w:w="711" w:type="dxa"/>
            <w:shd w:val="clear" w:color="auto" w:fill="auto"/>
            <w:noWrap/>
          </w:tcPr>
          <w:p w14:paraId="4E999CA5"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2014</w:t>
            </w:r>
          </w:p>
        </w:tc>
        <w:tc>
          <w:tcPr>
            <w:tcW w:w="1124" w:type="dxa"/>
            <w:shd w:val="clear" w:color="auto" w:fill="auto"/>
            <w:noWrap/>
            <w:vAlign w:val="bottom"/>
          </w:tcPr>
          <w:p w14:paraId="761B482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30</w:t>
            </w:r>
          </w:p>
        </w:tc>
        <w:tc>
          <w:tcPr>
            <w:tcW w:w="1124" w:type="dxa"/>
            <w:shd w:val="clear" w:color="auto" w:fill="auto"/>
            <w:noWrap/>
            <w:vAlign w:val="bottom"/>
          </w:tcPr>
          <w:p w14:paraId="0FAC9ED9"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124" w:type="dxa"/>
            <w:shd w:val="clear" w:color="auto" w:fill="auto"/>
            <w:noWrap/>
            <w:vAlign w:val="bottom"/>
          </w:tcPr>
          <w:p w14:paraId="6C569CCF"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124" w:type="dxa"/>
            <w:shd w:val="clear" w:color="auto" w:fill="auto"/>
            <w:noWrap/>
            <w:vAlign w:val="bottom"/>
          </w:tcPr>
          <w:p w14:paraId="51CA90F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7</w:t>
            </w:r>
          </w:p>
        </w:tc>
        <w:tc>
          <w:tcPr>
            <w:tcW w:w="1124" w:type="dxa"/>
            <w:shd w:val="clear" w:color="auto" w:fill="auto"/>
            <w:noWrap/>
            <w:vAlign w:val="bottom"/>
          </w:tcPr>
          <w:p w14:paraId="6327E63C"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17</w:t>
            </w:r>
          </w:p>
        </w:tc>
        <w:tc>
          <w:tcPr>
            <w:tcW w:w="1124" w:type="dxa"/>
            <w:gridSpan w:val="2"/>
            <w:shd w:val="clear" w:color="auto" w:fill="auto"/>
            <w:noWrap/>
            <w:vAlign w:val="bottom"/>
          </w:tcPr>
          <w:p w14:paraId="0CB886D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w:t>
            </w:r>
          </w:p>
        </w:tc>
        <w:tc>
          <w:tcPr>
            <w:tcW w:w="1124" w:type="dxa"/>
            <w:shd w:val="clear" w:color="auto" w:fill="auto"/>
            <w:noWrap/>
            <w:vAlign w:val="bottom"/>
          </w:tcPr>
          <w:p w14:paraId="1E195699"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17</w:t>
            </w:r>
          </w:p>
        </w:tc>
      </w:tr>
      <w:tr w:rsidR="00C4590A" w:rsidRPr="0037157A" w14:paraId="1879275E" w14:textId="77777777" w:rsidTr="00C4590A">
        <w:tc>
          <w:tcPr>
            <w:tcW w:w="711" w:type="dxa"/>
            <w:shd w:val="clear" w:color="auto" w:fill="auto"/>
            <w:noWrap/>
          </w:tcPr>
          <w:p w14:paraId="4396599C"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2015</w:t>
            </w:r>
          </w:p>
        </w:tc>
        <w:tc>
          <w:tcPr>
            <w:tcW w:w="1124" w:type="dxa"/>
            <w:shd w:val="clear" w:color="auto" w:fill="auto"/>
            <w:noWrap/>
            <w:vAlign w:val="bottom"/>
          </w:tcPr>
          <w:p w14:paraId="79F88E3C"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29</w:t>
            </w:r>
          </w:p>
        </w:tc>
        <w:tc>
          <w:tcPr>
            <w:tcW w:w="1124" w:type="dxa"/>
            <w:shd w:val="clear" w:color="auto" w:fill="auto"/>
            <w:noWrap/>
            <w:vAlign w:val="bottom"/>
          </w:tcPr>
          <w:p w14:paraId="4F758876"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w:t>
            </w:r>
          </w:p>
        </w:tc>
        <w:tc>
          <w:tcPr>
            <w:tcW w:w="1124" w:type="dxa"/>
            <w:shd w:val="clear" w:color="auto" w:fill="auto"/>
            <w:noWrap/>
            <w:vAlign w:val="bottom"/>
          </w:tcPr>
          <w:p w14:paraId="6B00E9A9"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0</w:t>
            </w:r>
          </w:p>
        </w:tc>
        <w:tc>
          <w:tcPr>
            <w:tcW w:w="1124" w:type="dxa"/>
            <w:shd w:val="clear" w:color="auto" w:fill="auto"/>
            <w:noWrap/>
            <w:vAlign w:val="bottom"/>
          </w:tcPr>
          <w:p w14:paraId="1D10ED96"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w:t>
            </w:r>
          </w:p>
        </w:tc>
        <w:tc>
          <w:tcPr>
            <w:tcW w:w="1124" w:type="dxa"/>
            <w:shd w:val="clear" w:color="auto" w:fill="auto"/>
            <w:noWrap/>
            <w:vAlign w:val="bottom"/>
          </w:tcPr>
          <w:p w14:paraId="2D774A44"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11</w:t>
            </w:r>
          </w:p>
        </w:tc>
        <w:tc>
          <w:tcPr>
            <w:tcW w:w="1124" w:type="dxa"/>
            <w:gridSpan w:val="2"/>
            <w:shd w:val="clear" w:color="auto" w:fill="auto"/>
            <w:noWrap/>
            <w:vAlign w:val="bottom"/>
          </w:tcPr>
          <w:p w14:paraId="5468E413"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9</w:t>
            </w:r>
          </w:p>
        </w:tc>
        <w:tc>
          <w:tcPr>
            <w:tcW w:w="1124" w:type="dxa"/>
            <w:shd w:val="clear" w:color="auto" w:fill="auto"/>
            <w:noWrap/>
            <w:vAlign w:val="bottom"/>
          </w:tcPr>
          <w:p w14:paraId="570290C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20</w:t>
            </w:r>
          </w:p>
        </w:tc>
      </w:tr>
      <w:tr w:rsidR="00C4590A" w:rsidRPr="0037157A" w14:paraId="43B9502D" w14:textId="77777777" w:rsidTr="00C4590A">
        <w:tc>
          <w:tcPr>
            <w:tcW w:w="711" w:type="dxa"/>
            <w:shd w:val="clear" w:color="auto" w:fill="auto"/>
            <w:noWrap/>
          </w:tcPr>
          <w:p w14:paraId="7AE80B66"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2016</w:t>
            </w:r>
          </w:p>
        </w:tc>
        <w:tc>
          <w:tcPr>
            <w:tcW w:w="1124" w:type="dxa"/>
            <w:shd w:val="clear" w:color="auto" w:fill="auto"/>
            <w:noWrap/>
            <w:vAlign w:val="bottom"/>
          </w:tcPr>
          <w:p w14:paraId="330A487C"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33</w:t>
            </w:r>
          </w:p>
        </w:tc>
        <w:tc>
          <w:tcPr>
            <w:tcW w:w="1124" w:type="dxa"/>
            <w:shd w:val="clear" w:color="auto" w:fill="auto"/>
            <w:noWrap/>
            <w:vAlign w:val="bottom"/>
          </w:tcPr>
          <w:p w14:paraId="2C8B7D69"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w:t>
            </w:r>
          </w:p>
        </w:tc>
        <w:tc>
          <w:tcPr>
            <w:tcW w:w="1124" w:type="dxa"/>
            <w:shd w:val="clear" w:color="auto" w:fill="auto"/>
            <w:noWrap/>
            <w:vAlign w:val="bottom"/>
          </w:tcPr>
          <w:p w14:paraId="7E57001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w:t>
            </w:r>
          </w:p>
        </w:tc>
        <w:tc>
          <w:tcPr>
            <w:tcW w:w="1124" w:type="dxa"/>
            <w:shd w:val="clear" w:color="auto" w:fill="auto"/>
            <w:noWrap/>
            <w:vAlign w:val="bottom"/>
          </w:tcPr>
          <w:p w14:paraId="6AABF947"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w:t>
            </w:r>
          </w:p>
        </w:tc>
        <w:tc>
          <w:tcPr>
            <w:tcW w:w="1124" w:type="dxa"/>
            <w:shd w:val="clear" w:color="auto" w:fill="auto"/>
            <w:noWrap/>
            <w:vAlign w:val="bottom"/>
          </w:tcPr>
          <w:p w14:paraId="6287012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15</w:t>
            </w:r>
          </w:p>
        </w:tc>
        <w:tc>
          <w:tcPr>
            <w:tcW w:w="1124" w:type="dxa"/>
            <w:gridSpan w:val="2"/>
            <w:shd w:val="clear" w:color="auto" w:fill="auto"/>
            <w:noWrap/>
            <w:vAlign w:val="bottom"/>
          </w:tcPr>
          <w:p w14:paraId="7044A96E"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10</w:t>
            </w:r>
          </w:p>
        </w:tc>
        <w:tc>
          <w:tcPr>
            <w:tcW w:w="1124" w:type="dxa"/>
            <w:shd w:val="clear" w:color="auto" w:fill="auto"/>
            <w:noWrap/>
            <w:vAlign w:val="bottom"/>
          </w:tcPr>
          <w:p w14:paraId="1524E6DC"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w:t>
            </w:r>
          </w:p>
        </w:tc>
      </w:tr>
      <w:tr w:rsidR="00C4590A" w:rsidRPr="0037157A" w14:paraId="76CF25E5" w14:textId="77777777" w:rsidTr="00C4590A">
        <w:tc>
          <w:tcPr>
            <w:tcW w:w="711" w:type="dxa"/>
            <w:shd w:val="clear" w:color="auto" w:fill="auto"/>
            <w:noWrap/>
          </w:tcPr>
          <w:p w14:paraId="3745A86A"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2017</w:t>
            </w:r>
          </w:p>
        </w:tc>
        <w:tc>
          <w:tcPr>
            <w:tcW w:w="1124" w:type="dxa"/>
            <w:shd w:val="clear" w:color="auto" w:fill="auto"/>
            <w:noWrap/>
            <w:vAlign w:val="bottom"/>
          </w:tcPr>
          <w:p w14:paraId="065AAABA"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37</w:t>
            </w:r>
          </w:p>
        </w:tc>
        <w:tc>
          <w:tcPr>
            <w:tcW w:w="1124" w:type="dxa"/>
            <w:shd w:val="clear" w:color="auto" w:fill="auto"/>
            <w:noWrap/>
            <w:vAlign w:val="bottom"/>
          </w:tcPr>
          <w:p w14:paraId="5F54483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124" w:type="dxa"/>
            <w:shd w:val="clear" w:color="auto" w:fill="auto"/>
            <w:noWrap/>
            <w:vAlign w:val="bottom"/>
          </w:tcPr>
          <w:p w14:paraId="3F63F52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7</w:t>
            </w:r>
          </w:p>
        </w:tc>
        <w:tc>
          <w:tcPr>
            <w:tcW w:w="1124" w:type="dxa"/>
            <w:shd w:val="clear" w:color="auto" w:fill="auto"/>
            <w:noWrap/>
            <w:vAlign w:val="bottom"/>
          </w:tcPr>
          <w:p w14:paraId="78C073FD"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11</w:t>
            </w:r>
          </w:p>
        </w:tc>
        <w:tc>
          <w:tcPr>
            <w:tcW w:w="1124" w:type="dxa"/>
            <w:shd w:val="clear" w:color="auto" w:fill="auto"/>
            <w:noWrap/>
            <w:vAlign w:val="bottom"/>
          </w:tcPr>
          <w:p w14:paraId="0A2EB22A"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15</w:t>
            </w:r>
          </w:p>
        </w:tc>
        <w:tc>
          <w:tcPr>
            <w:tcW w:w="1124" w:type="dxa"/>
            <w:gridSpan w:val="2"/>
            <w:shd w:val="clear" w:color="auto" w:fill="auto"/>
            <w:noWrap/>
            <w:vAlign w:val="bottom"/>
          </w:tcPr>
          <w:p w14:paraId="3C75B579"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9</w:t>
            </w:r>
          </w:p>
        </w:tc>
        <w:tc>
          <w:tcPr>
            <w:tcW w:w="1124" w:type="dxa"/>
            <w:shd w:val="clear" w:color="auto" w:fill="auto"/>
            <w:noWrap/>
            <w:vAlign w:val="bottom"/>
          </w:tcPr>
          <w:p w14:paraId="0ABFAFFD"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28</w:t>
            </w:r>
          </w:p>
        </w:tc>
      </w:tr>
      <w:tr w:rsidR="00C4590A" w:rsidRPr="0037157A" w14:paraId="07B6AE33" w14:textId="77777777" w:rsidTr="00C4590A">
        <w:tc>
          <w:tcPr>
            <w:tcW w:w="711" w:type="dxa"/>
            <w:shd w:val="clear" w:color="auto" w:fill="auto"/>
            <w:noWrap/>
          </w:tcPr>
          <w:p w14:paraId="03EDA9BF"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2018</w:t>
            </w:r>
          </w:p>
        </w:tc>
        <w:tc>
          <w:tcPr>
            <w:tcW w:w="1124" w:type="dxa"/>
            <w:shd w:val="clear" w:color="auto" w:fill="auto"/>
            <w:noWrap/>
            <w:vAlign w:val="bottom"/>
          </w:tcPr>
          <w:p w14:paraId="4F95B910"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21</w:t>
            </w:r>
          </w:p>
        </w:tc>
        <w:tc>
          <w:tcPr>
            <w:tcW w:w="1124" w:type="dxa"/>
            <w:shd w:val="clear" w:color="auto" w:fill="auto"/>
            <w:noWrap/>
            <w:vAlign w:val="bottom"/>
          </w:tcPr>
          <w:p w14:paraId="3DE968E3"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w:t>
            </w:r>
          </w:p>
        </w:tc>
        <w:tc>
          <w:tcPr>
            <w:tcW w:w="1124" w:type="dxa"/>
            <w:shd w:val="clear" w:color="auto" w:fill="auto"/>
            <w:noWrap/>
            <w:vAlign w:val="bottom"/>
          </w:tcPr>
          <w:p w14:paraId="3E69B0A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w:t>
            </w:r>
          </w:p>
        </w:tc>
        <w:tc>
          <w:tcPr>
            <w:tcW w:w="1124" w:type="dxa"/>
            <w:shd w:val="clear" w:color="auto" w:fill="auto"/>
            <w:noWrap/>
            <w:vAlign w:val="bottom"/>
          </w:tcPr>
          <w:p w14:paraId="77AA7E2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124" w:type="dxa"/>
            <w:shd w:val="clear" w:color="auto" w:fill="auto"/>
            <w:noWrap/>
            <w:vAlign w:val="bottom"/>
          </w:tcPr>
          <w:p w14:paraId="62B6CB07"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10</w:t>
            </w:r>
          </w:p>
        </w:tc>
        <w:tc>
          <w:tcPr>
            <w:tcW w:w="1124" w:type="dxa"/>
            <w:gridSpan w:val="2"/>
            <w:shd w:val="clear" w:color="auto" w:fill="auto"/>
            <w:noWrap/>
            <w:vAlign w:val="bottom"/>
          </w:tcPr>
          <w:p w14:paraId="1997A72F"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124" w:type="dxa"/>
            <w:shd w:val="clear" w:color="auto" w:fill="auto"/>
            <w:noWrap/>
            <w:vAlign w:val="bottom"/>
          </w:tcPr>
          <w:p w14:paraId="69F56F2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18</w:t>
            </w:r>
          </w:p>
        </w:tc>
      </w:tr>
      <w:tr w:rsidR="00C4590A" w:rsidRPr="0037157A" w14:paraId="317BA710" w14:textId="77777777" w:rsidTr="00C4590A">
        <w:tc>
          <w:tcPr>
            <w:tcW w:w="711" w:type="dxa"/>
            <w:shd w:val="clear" w:color="auto" w:fill="auto"/>
            <w:noWrap/>
          </w:tcPr>
          <w:p w14:paraId="06458B62"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2019</w:t>
            </w:r>
          </w:p>
        </w:tc>
        <w:tc>
          <w:tcPr>
            <w:tcW w:w="1124" w:type="dxa"/>
            <w:shd w:val="clear" w:color="auto" w:fill="auto"/>
            <w:noWrap/>
            <w:vAlign w:val="bottom"/>
          </w:tcPr>
          <w:p w14:paraId="3500F290"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34*</w:t>
            </w:r>
          </w:p>
        </w:tc>
        <w:tc>
          <w:tcPr>
            <w:tcW w:w="1124" w:type="dxa"/>
            <w:shd w:val="clear" w:color="auto" w:fill="auto"/>
            <w:noWrap/>
            <w:vAlign w:val="bottom"/>
          </w:tcPr>
          <w:p w14:paraId="00664E7D"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9</w:t>
            </w:r>
          </w:p>
        </w:tc>
        <w:tc>
          <w:tcPr>
            <w:tcW w:w="1124" w:type="dxa"/>
            <w:shd w:val="clear" w:color="auto" w:fill="auto"/>
            <w:noWrap/>
            <w:vAlign w:val="bottom"/>
          </w:tcPr>
          <w:p w14:paraId="6FDDD285"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124" w:type="dxa"/>
            <w:shd w:val="clear" w:color="auto" w:fill="auto"/>
            <w:noWrap/>
            <w:vAlign w:val="bottom"/>
          </w:tcPr>
          <w:p w14:paraId="2BE2329A"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w:t>
            </w:r>
          </w:p>
        </w:tc>
        <w:tc>
          <w:tcPr>
            <w:tcW w:w="1124" w:type="dxa"/>
            <w:shd w:val="clear" w:color="auto" w:fill="auto"/>
            <w:noWrap/>
            <w:vAlign w:val="bottom"/>
          </w:tcPr>
          <w:p w14:paraId="1FBC109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11</w:t>
            </w:r>
          </w:p>
        </w:tc>
        <w:tc>
          <w:tcPr>
            <w:tcW w:w="1124" w:type="dxa"/>
            <w:gridSpan w:val="2"/>
            <w:shd w:val="clear" w:color="auto" w:fill="auto"/>
            <w:noWrap/>
            <w:vAlign w:val="bottom"/>
          </w:tcPr>
          <w:p w14:paraId="0CD5581C"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w:t>
            </w:r>
          </w:p>
        </w:tc>
        <w:tc>
          <w:tcPr>
            <w:tcW w:w="1124" w:type="dxa"/>
            <w:shd w:val="clear" w:color="auto" w:fill="auto"/>
            <w:noWrap/>
            <w:vAlign w:val="bottom"/>
          </w:tcPr>
          <w:p w14:paraId="6FA1E92F"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26</w:t>
            </w:r>
          </w:p>
        </w:tc>
      </w:tr>
      <w:tr w:rsidR="00C4590A" w:rsidRPr="0037157A" w14:paraId="5BA5856A" w14:textId="77777777" w:rsidTr="00C4590A">
        <w:tc>
          <w:tcPr>
            <w:tcW w:w="711" w:type="dxa"/>
            <w:tcBorders>
              <w:bottom w:val="single" w:sz="12" w:space="0" w:color="auto"/>
            </w:tcBorders>
            <w:shd w:val="clear" w:color="auto" w:fill="auto"/>
            <w:noWrap/>
          </w:tcPr>
          <w:p w14:paraId="6FC4D55F" w14:textId="77777777" w:rsidR="002E0B8B" w:rsidRPr="0037157A" w:rsidRDefault="002E0B8B" w:rsidP="00C4590A">
            <w:pPr>
              <w:tabs>
                <w:tab w:val="left" w:pos="288"/>
                <w:tab w:val="left" w:pos="576"/>
                <w:tab w:val="left" w:pos="864"/>
                <w:tab w:val="left" w:pos="1152"/>
              </w:tabs>
              <w:spacing w:before="40" w:after="40" w:line="210" w:lineRule="exact"/>
              <w:ind w:right="40"/>
              <w:rPr>
                <w:sz w:val="17"/>
                <w:lang w:val="fr-FR"/>
              </w:rPr>
            </w:pPr>
            <w:r w:rsidRPr="0037157A">
              <w:rPr>
                <w:sz w:val="17"/>
                <w:lang w:val="fr-FR"/>
              </w:rPr>
              <w:t>2020</w:t>
            </w:r>
          </w:p>
        </w:tc>
        <w:tc>
          <w:tcPr>
            <w:tcW w:w="1124" w:type="dxa"/>
            <w:tcBorders>
              <w:bottom w:val="single" w:sz="12" w:space="0" w:color="auto"/>
            </w:tcBorders>
            <w:shd w:val="clear" w:color="auto" w:fill="auto"/>
            <w:noWrap/>
            <w:vAlign w:val="bottom"/>
          </w:tcPr>
          <w:p w14:paraId="6D3A7F11"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33*</w:t>
            </w:r>
          </w:p>
        </w:tc>
        <w:tc>
          <w:tcPr>
            <w:tcW w:w="1124" w:type="dxa"/>
            <w:tcBorders>
              <w:bottom w:val="single" w:sz="12" w:space="0" w:color="auto"/>
            </w:tcBorders>
            <w:shd w:val="clear" w:color="auto" w:fill="auto"/>
            <w:noWrap/>
            <w:vAlign w:val="bottom"/>
          </w:tcPr>
          <w:p w14:paraId="78299C31"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w:t>
            </w:r>
          </w:p>
        </w:tc>
        <w:tc>
          <w:tcPr>
            <w:tcW w:w="1124" w:type="dxa"/>
            <w:tcBorders>
              <w:bottom w:val="single" w:sz="12" w:space="0" w:color="auto"/>
            </w:tcBorders>
            <w:shd w:val="clear" w:color="auto" w:fill="auto"/>
            <w:noWrap/>
            <w:vAlign w:val="bottom"/>
          </w:tcPr>
          <w:p w14:paraId="6F5A0F17"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0</w:t>
            </w:r>
          </w:p>
        </w:tc>
        <w:tc>
          <w:tcPr>
            <w:tcW w:w="1124" w:type="dxa"/>
            <w:tcBorders>
              <w:bottom w:val="single" w:sz="12" w:space="0" w:color="auto"/>
            </w:tcBorders>
            <w:shd w:val="clear" w:color="auto" w:fill="auto"/>
            <w:noWrap/>
            <w:vAlign w:val="bottom"/>
          </w:tcPr>
          <w:p w14:paraId="6D01D8F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11</w:t>
            </w:r>
          </w:p>
        </w:tc>
        <w:tc>
          <w:tcPr>
            <w:tcW w:w="1124" w:type="dxa"/>
            <w:tcBorders>
              <w:bottom w:val="single" w:sz="12" w:space="0" w:color="auto"/>
            </w:tcBorders>
            <w:shd w:val="clear" w:color="auto" w:fill="auto"/>
            <w:noWrap/>
            <w:vAlign w:val="bottom"/>
          </w:tcPr>
          <w:p w14:paraId="7AED866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11</w:t>
            </w:r>
          </w:p>
        </w:tc>
        <w:tc>
          <w:tcPr>
            <w:tcW w:w="1124" w:type="dxa"/>
            <w:gridSpan w:val="2"/>
            <w:tcBorders>
              <w:bottom w:val="single" w:sz="12" w:space="0" w:color="auto"/>
            </w:tcBorders>
            <w:shd w:val="clear" w:color="auto" w:fill="auto"/>
            <w:noWrap/>
            <w:vAlign w:val="bottom"/>
          </w:tcPr>
          <w:p w14:paraId="054ABF78"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w:t>
            </w:r>
          </w:p>
        </w:tc>
        <w:tc>
          <w:tcPr>
            <w:tcW w:w="1124" w:type="dxa"/>
            <w:tcBorders>
              <w:bottom w:val="single" w:sz="12" w:space="0" w:color="auto"/>
            </w:tcBorders>
            <w:shd w:val="clear" w:color="auto" w:fill="auto"/>
            <w:noWrap/>
            <w:vAlign w:val="bottom"/>
          </w:tcPr>
          <w:p w14:paraId="1FA0172B" w14:textId="77777777" w:rsidR="002E0B8B" w:rsidRPr="0037157A" w:rsidRDefault="002E0B8B" w:rsidP="00C4590A">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27</w:t>
            </w:r>
          </w:p>
        </w:tc>
      </w:tr>
    </w:tbl>
    <w:p w14:paraId="3572B491" w14:textId="77777777" w:rsidR="00C4590A" w:rsidRPr="0037157A" w:rsidRDefault="00C4590A" w:rsidP="00C4590A">
      <w:pPr>
        <w:pStyle w:val="SingleTxt"/>
        <w:spacing w:after="0" w:line="120" w:lineRule="exact"/>
        <w:rPr>
          <w:sz w:val="10"/>
          <w:lang w:val="fr-FR"/>
        </w:rPr>
      </w:pPr>
    </w:p>
    <w:p w14:paraId="77FC2792" w14:textId="7671D974" w:rsidR="002E0B8B" w:rsidRPr="0037157A" w:rsidRDefault="00C4590A" w:rsidP="00C4590A">
      <w:pPr>
        <w:pStyle w:val="FootnoteText"/>
        <w:tabs>
          <w:tab w:val="right" w:pos="1476"/>
          <w:tab w:val="left" w:pos="1548"/>
          <w:tab w:val="right" w:pos="1836"/>
          <w:tab w:val="left" w:pos="1908"/>
        </w:tabs>
        <w:ind w:left="1548" w:hanging="288"/>
        <w:rPr>
          <w:lang w:val="fr-FR"/>
        </w:rPr>
      </w:pPr>
      <w:r w:rsidRPr="0037157A">
        <w:rPr>
          <w:lang w:val="fr-FR"/>
        </w:rPr>
        <w:tab/>
      </w:r>
      <w:r w:rsidR="002E0B8B" w:rsidRPr="0037157A">
        <w:rPr>
          <w:lang w:val="fr-FR"/>
        </w:rPr>
        <w:t>*</w:t>
      </w:r>
      <w:r w:rsidRPr="0037157A">
        <w:rPr>
          <w:lang w:val="fr-FR"/>
        </w:rPr>
        <w:tab/>
      </w:r>
      <w:r w:rsidR="002E0B8B" w:rsidRPr="0037157A">
        <w:rPr>
          <w:lang w:val="fr-FR"/>
        </w:rPr>
        <w:t>Comprend les affaires suspendues en raison d</w:t>
      </w:r>
      <w:r w:rsidR="004471C3" w:rsidRPr="0037157A">
        <w:rPr>
          <w:lang w:val="fr-FR"/>
        </w:rPr>
        <w:t>’</w:t>
      </w:r>
      <w:r w:rsidR="002E0B8B" w:rsidRPr="0037157A">
        <w:rPr>
          <w:lang w:val="fr-FR"/>
        </w:rPr>
        <w:t>un litige devant le tribunal du travail.</w:t>
      </w:r>
    </w:p>
    <w:p w14:paraId="5B73EA76" w14:textId="08F694AD" w:rsidR="00C4590A" w:rsidRPr="0037157A" w:rsidRDefault="00C4590A" w:rsidP="00C4590A">
      <w:pPr>
        <w:pStyle w:val="SingleTxt"/>
        <w:spacing w:after="0" w:line="120" w:lineRule="exact"/>
        <w:rPr>
          <w:sz w:val="10"/>
          <w:lang w:val="fr-FR"/>
        </w:rPr>
      </w:pPr>
    </w:p>
    <w:p w14:paraId="76B2793A" w14:textId="37E191BE" w:rsidR="00C4590A" w:rsidRPr="0037157A" w:rsidRDefault="00C4590A" w:rsidP="00C4590A">
      <w:pPr>
        <w:pStyle w:val="SingleTxt"/>
        <w:spacing w:after="0" w:line="120" w:lineRule="exact"/>
        <w:rPr>
          <w:sz w:val="10"/>
          <w:lang w:val="fr-FR"/>
        </w:rPr>
      </w:pPr>
    </w:p>
    <w:p w14:paraId="63A1009C" w14:textId="41536B44" w:rsidR="00C4590A" w:rsidRPr="0037157A" w:rsidRDefault="00C4590A" w:rsidP="00C4590A">
      <w:pPr>
        <w:pStyle w:val="SingleTxt"/>
        <w:spacing w:after="0" w:line="120" w:lineRule="exact"/>
        <w:rPr>
          <w:sz w:val="10"/>
          <w:lang w:val="fr-FR"/>
        </w:rPr>
      </w:pPr>
    </w:p>
    <w:p w14:paraId="1F86F3BE" w14:textId="05A393D6" w:rsidR="002E0B8B" w:rsidRPr="0037157A" w:rsidRDefault="00C4590A" w:rsidP="00C4590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002E0B8B" w:rsidRPr="0037157A">
        <w:rPr>
          <w:lang w:val="fr-FR"/>
        </w:rPr>
        <w:tab/>
        <w:t>Mécanisme national de promotion des femmes</w:t>
      </w:r>
    </w:p>
    <w:p w14:paraId="6AD5075E" w14:textId="40447F8A" w:rsidR="00C4590A" w:rsidRPr="0037157A" w:rsidRDefault="00C4590A" w:rsidP="00C4590A">
      <w:pPr>
        <w:pStyle w:val="SingleTxt"/>
        <w:spacing w:after="0" w:line="120" w:lineRule="exact"/>
        <w:rPr>
          <w:sz w:val="10"/>
          <w:lang w:val="fr-FR"/>
        </w:rPr>
      </w:pPr>
    </w:p>
    <w:p w14:paraId="1EDDB7A4" w14:textId="4EEE27CF" w:rsidR="00C4590A" w:rsidRPr="0037157A" w:rsidRDefault="00C4590A" w:rsidP="00C4590A">
      <w:pPr>
        <w:pStyle w:val="SingleTxt"/>
        <w:spacing w:after="0" w:line="120" w:lineRule="exact"/>
        <w:rPr>
          <w:sz w:val="10"/>
          <w:lang w:val="fr-FR"/>
        </w:rPr>
      </w:pPr>
    </w:p>
    <w:p w14:paraId="1C65A7A3" w14:textId="69832F22" w:rsidR="004471C3"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Les effets de la stratégie nationale pour la promotion de l</w:t>
      </w:r>
      <w:r w:rsidR="004471C3" w:rsidRPr="0037157A">
        <w:rPr>
          <w:lang w:val="fr-FR"/>
        </w:rPr>
        <w:t>’</w:t>
      </w:r>
      <w:r w:rsidRPr="0037157A">
        <w:rPr>
          <w:lang w:val="fr-FR"/>
        </w:rPr>
        <w:t>égalité des genres</w:t>
      </w:r>
      <w:r w:rsidR="00315AA6" w:rsidRPr="0037157A">
        <w:rPr>
          <w:lang w:val="fr-FR"/>
        </w:rPr>
        <w:t xml:space="preserve"> </w:t>
      </w:r>
      <w:r w:rsidRPr="0037157A">
        <w:rPr>
          <w:lang w:val="fr-FR"/>
        </w:rPr>
        <w:t>2010-2021 n</w:t>
      </w:r>
      <w:r w:rsidR="004471C3" w:rsidRPr="0037157A">
        <w:rPr>
          <w:lang w:val="fr-FR"/>
        </w:rPr>
        <w:t>’</w:t>
      </w:r>
      <w:r w:rsidRPr="0037157A">
        <w:rPr>
          <w:lang w:val="fr-FR"/>
        </w:rPr>
        <w:t>ont pas été évalués. Toutefois, des tendances favorables peuvent être observées, comme en témoignent les données relatives à la situation des femmes sur le marché du travail détaillées dans la section « Emploi ».</w:t>
      </w:r>
    </w:p>
    <w:p w14:paraId="4737AD4E" w14:textId="42CBB82E" w:rsidR="002E0B8B" w:rsidRPr="0037157A" w:rsidRDefault="002E0B8B" w:rsidP="009D535F">
      <w:pPr>
        <w:pStyle w:val="SingleTxt"/>
        <w:numPr>
          <w:ilvl w:val="0"/>
          <w:numId w:val="6"/>
        </w:numPr>
        <w:tabs>
          <w:tab w:val="num" w:pos="2804"/>
        </w:tabs>
        <w:spacing w:line="240" w:lineRule="exact"/>
        <w:ind w:left="1267"/>
        <w:rPr>
          <w:lang w:val="fr-FR"/>
        </w:rPr>
      </w:pPr>
      <w:bookmarkStart w:id="3" w:name="_Ref76542163"/>
      <w:r w:rsidRPr="0037157A">
        <w:rPr>
          <w:lang w:val="fr-FR"/>
        </w:rPr>
        <w:t>La stratégie nationale pour la promotion de l</w:t>
      </w:r>
      <w:r w:rsidR="004471C3" w:rsidRPr="0037157A">
        <w:rPr>
          <w:lang w:val="fr-FR"/>
        </w:rPr>
        <w:t>’</w:t>
      </w:r>
      <w:r w:rsidRPr="0037157A">
        <w:rPr>
          <w:lang w:val="fr-FR"/>
        </w:rPr>
        <w:t>égalité des genres</w:t>
      </w:r>
      <w:r w:rsidR="00C4590A" w:rsidRPr="0037157A">
        <w:rPr>
          <w:lang w:val="fr-FR"/>
        </w:rPr>
        <w:t xml:space="preserve"> </w:t>
      </w:r>
      <w:r w:rsidRPr="0037157A">
        <w:rPr>
          <w:lang w:val="fr-FR"/>
        </w:rPr>
        <w:t>2010-2021 a été remplacée par le plan d</w:t>
      </w:r>
      <w:r w:rsidR="004471C3" w:rsidRPr="0037157A">
        <w:rPr>
          <w:lang w:val="fr-FR"/>
        </w:rPr>
        <w:t>’</w:t>
      </w:r>
      <w:r w:rsidRPr="0037157A">
        <w:rPr>
          <w:lang w:val="fr-FR"/>
        </w:rPr>
        <w:t>action</w:t>
      </w:r>
      <w:r w:rsidR="00C4590A" w:rsidRPr="0037157A">
        <w:rPr>
          <w:lang w:val="fr-FR"/>
        </w:rPr>
        <w:t xml:space="preserve"> </w:t>
      </w:r>
      <w:r w:rsidRPr="0037157A">
        <w:rPr>
          <w:lang w:val="fr-FR"/>
        </w:rPr>
        <w:t>2021-2030. Comme on va le voir ci-après, le document contient plusieurs objectifs et mesures d</w:t>
      </w:r>
      <w:r w:rsidR="004471C3" w:rsidRPr="0037157A">
        <w:rPr>
          <w:lang w:val="fr-FR"/>
        </w:rPr>
        <w:t>’</w:t>
      </w:r>
      <w:r w:rsidRPr="0037157A">
        <w:rPr>
          <w:lang w:val="fr-FR"/>
        </w:rPr>
        <w:t>autonomisation des femmes, allant du renforcement de leur participation à l</w:t>
      </w:r>
      <w:r w:rsidR="004471C3" w:rsidRPr="0037157A">
        <w:rPr>
          <w:lang w:val="fr-FR"/>
        </w:rPr>
        <w:t>’</w:t>
      </w:r>
      <w:r w:rsidRPr="0037157A">
        <w:rPr>
          <w:lang w:val="fr-FR"/>
        </w:rPr>
        <w:t>éducation et à la science à la prévention des désavantages sociaux et de la violence dont elles sont victimes.</w:t>
      </w:r>
      <w:bookmarkEnd w:id="3"/>
    </w:p>
    <w:p w14:paraId="5ED66906" w14:textId="77777777" w:rsidR="004471C3" w:rsidRPr="0037157A" w:rsidRDefault="004471C3" w:rsidP="004471C3">
      <w:pPr>
        <w:pStyle w:val="SingleTxt"/>
        <w:tabs>
          <w:tab w:val="num" w:pos="2804"/>
        </w:tabs>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270"/>
        <w:gridCol w:w="7950"/>
      </w:tblGrid>
      <w:tr w:rsidR="004471C3" w:rsidRPr="0037157A" w14:paraId="5F3789A3" w14:textId="77777777" w:rsidTr="00BE1017">
        <w:trPr>
          <w:tblHeader/>
        </w:trPr>
        <w:tc>
          <w:tcPr>
            <w:tcW w:w="8573" w:type="dxa"/>
            <w:gridSpan w:val="3"/>
            <w:tcBorders>
              <w:top w:val="single" w:sz="4" w:space="0" w:color="auto"/>
              <w:bottom w:val="single" w:sz="12" w:space="0" w:color="auto"/>
            </w:tcBorders>
            <w:shd w:val="clear" w:color="auto" w:fill="auto"/>
            <w:noWrap/>
            <w:vAlign w:val="bottom"/>
          </w:tcPr>
          <w:p w14:paraId="74F4679B" w14:textId="26618259" w:rsidR="004471C3" w:rsidRPr="0037157A" w:rsidRDefault="004471C3" w:rsidP="004471C3">
            <w:pPr>
              <w:spacing w:before="81" w:after="81" w:line="160" w:lineRule="exact"/>
              <w:ind w:left="-2" w:right="43"/>
              <w:rPr>
                <w:i/>
                <w:sz w:val="14"/>
                <w:lang w:val="fr-FR"/>
              </w:rPr>
            </w:pPr>
            <w:r w:rsidRPr="0037157A">
              <w:rPr>
                <w:i/>
                <w:sz w:val="14"/>
                <w:lang w:val="fr-FR"/>
              </w:rPr>
              <w:t>Plan d’action</w:t>
            </w:r>
            <w:r w:rsidR="00C233BE">
              <w:rPr>
                <w:i/>
                <w:sz w:val="14"/>
                <w:lang w:val="fr-FR"/>
              </w:rPr>
              <w:t xml:space="preserve"> </w:t>
            </w:r>
            <w:r w:rsidRPr="0037157A">
              <w:rPr>
                <w:i/>
                <w:sz w:val="14"/>
                <w:lang w:val="fr-FR"/>
              </w:rPr>
              <w:t>2021-2030 pour l’autonomisation des femmes dans la famille et la société</w:t>
            </w:r>
          </w:p>
        </w:tc>
      </w:tr>
      <w:tr w:rsidR="004471C3" w:rsidRPr="0037157A" w14:paraId="76D52831" w14:textId="77777777" w:rsidTr="00BE1017">
        <w:trPr>
          <w:trHeight w:hRule="exact" w:val="115"/>
          <w:tblHeader/>
        </w:trPr>
        <w:tc>
          <w:tcPr>
            <w:tcW w:w="8573" w:type="dxa"/>
            <w:gridSpan w:val="3"/>
            <w:tcBorders>
              <w:top w:val="single" w:sz="12" w:space="0" w:color="auto"/>
            </w:tcBorders>
            <w:shd w:val="clear" w:color="auto" w:fill="auto"/>
            <w:noWrap/>
            <w:vAlign w:val="bottom"/>
          </w:tcPr>
          <w:p w14:paraId="5DCC047D" w14:textId="77777777" w:rsidR="004471C3" w:rsidRPr="0037157A" w:rsidRDefault="004471C3" w:rsidP="004471C3">
            <w:pPr>
              <w:spacing w:before="40" w:after="80"/>
              <w:ind w:left="144" w:right="43"/>
              <w:rPr>
                <w:lang w:val="fr-FR"/>
              </w:rPr>
            </w:pPr>
          </w:p>
        </w:tc>
      </w:tr>
      <w:tr w:rsidR="004471C3" w:rsidRPr="0037157A" w14:paraId="5BD33E66" w14:textId="77777777" w:rsidTr="00BE1017">
        <w:tc>
          <w:tcPr>
            <w:tcW w:w="8573" w:type="dxa"/>
            <w:gridSpan w:val="3"/>
            <w:shd w:val="clear" w:color="auto" w:fill="auto"/>
            <w:noWrap/>
          </w:tcPr>
          <w:p w14:paraId="5DECADC5" w14:textId="67DB0263" w:rsidR="004471C3" w:rsidRPr="0037157A" w:rsidRDefault="004471C3" w:rsidP="004471C3">
            <w:pPr>
              <w:tabs>
                <w:tab w:val="left" w:pos="288"/>
                <w:tab w:val="left" w:pos="576"/>
                <w:tab w:val="left" w:pos="864"/>
                <w:tab w:val="left" w:pos="1152"/>
              </w:tabs>
              <w:spacing w:before="40" w:after="80"/>
              <w:ind w:right="43"/>
              <w:rPr>
                <w:b/>
                <w:bCs/>
                <w:lang w:val="fr-FR"/>
              </w:rPr>
            </w:pPr>
            <w:r w:rsidRPr="0037157A">
              <w:rPr>
                <w:b/>
                <w:bCs/>
                <w:lang w:val="fr-FR"/>
              </w:rPr>
              <w:t>Chapitre 1 : Favoriser l’équilibre entre vie familiale et vie professionnelle</w:t>
            </w:r>
          </w:p>
        </w:tc>
      </w:tr>
      <w:tr w:rsidR="004471C3" w:rsidRPr="0037157A" w14:paraId="26BA8120" w14:textId="77777777" w:rsidTr="00BE1017">
        <w:tc>
          <w:tcPr>
            <w:tcW w:w="353" w:type="dxa"/>
            <w:shd w:val="clear" w:color="auto" w:fill="auto"/>
            <w:noWrap/>
          </w:tcPr>
          <w:p w14:paraId="520DB51B" w14:textId="028E0982"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a)</w:t>
            </w:r>
            <w:r w:rsidRPr="0037157A">
              <w:rPr>
                <w:i/>
                <w:iCs/>
                <w:lang w:val="fr-FR"/>
              </w:rPr>
              <w:tab/>
            </w:r>
          </w:p>
        </w:tc>
        <w:tc>
          <w:tcPr>
            <w:tcW w:w="8220" w:type="dxa"/>
            <w:gridSpan w:val="2"/>
            <w:shd w:val="clear" w:color="auto" w:fill="auto"/>
            <w:noWrap/>
          </w:tcPr>
          <w:p w14:paraId="0AEFA5DB" w14:textId="75A02311"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Promouvoir la répartition du travail entre les femmes et les hommes</w:t>
            </w:r>
          </w:p>
        </w:tc>
      </w:tr>
      <w:tr w:rsidR="004471C3" w:rsidRPr="0037157A" w14:paraId="36A8CDA8" w14:textId="77777777" w:rsidTr="00315AA6">
        <w:tc>
          <w:tcPr>
            <w:tcW w:w="353" w:type="dxa"/>
            <w:shd w:val="clear" w:color="auto" w:fill="auto"/>
            <w:noWrap/>
          </w:tcPr>
          <w:p w14:paraId="5BF875CD" w14:textId="77777777" w:rsidR="003C3986" w:rsidRPr="0037157A" w:rsidRDefault="003C3986"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5CC16C2" w14:textId="05D26322" w:rsidR="003C3986" w:rsidRPr="00B06C44" w:rsidRDefault="00C233BE" w:rsidP="004471C3">
            <w:pPr>
              <w:tabs>
                <w:tab w:val="left" w:pos="272"/>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191EFC9" w14:textId="7A4774EE" w:rsidR="003C3986" w:rsidRPr="0037157A" w:rsidRDefault="003C3986" w:rsidP="004471C3">
            <w:pPr>
              <w:tabs>
                <w:tab w:val="left" w:pos="288"/>
                <w:tab w:val="left" w:pos="576"/>
                <w:tab w:val="left" w:pos="864"/>
                <w:tab w:val="left" w:pos="1152"/>
              </w:tabs>
              <w:spacing w:before="40" w:after="80"/>
              <w:ind w:right="43"/>
              <w:rPr>
                <w:lang w:val="fr-FR"/>
              </w:rPr>
            </w:pPr>
            <w:r w:rsidRPr="0037157A">
              <w:rPr>
                <w:lang w:val="fr-FR"/>
              </w:rPr>
              <w:t>en encourageant les formes d</w:t>
            </w:r>
            <w:r w:rsidR="004471C3" w:rsidRPr="0037157A">
              <w:rPr>
                <w:lang w:val="fr-FR"/>
              </w:rPr>
              <w:t>’</w:t>
            </w:r>
            <w:r w:rsidRPr="0037157A">
              <w:rPr>
                <w:lang w:val="fr-FR"/>
              </w:rPr>
              <w:t>emploi atypiques, notamment grâce à l</w:t>
            </w:r>
            <w:r w:rsidR="004471C3" w:rsidRPr="0037157A">
              <w:rPr>
                <w:lang w:val="fr-FR"/>
              </w:rPr>
              <w:t>’</w:t>
            </w:r>
            <w:r w:rsidRPr="0037157A">
              <w:rPr>
                <w:lang w:val="fr-FR"/>
              </w:rPr>
              <w:t>élargissement du programme de soutien aux entreprises qui offrent des conditions de travail particulièrement favorables à la famille</w:t>
            </w:r>
            <w:r w:rsidR="004471C3" w:rsidRPr="0037157A">
              <w:rPr>
                <w:lang w:val="fr-FR"/>
              </w:rPr>
              <w:t> ;</w:t>
            </w:r>
          </w:p>
        </w:tc>
      </w:tr>
      <w:tr w:rsidR="003C3986" w:rsidRPr="0037157A" w14:paraId="18E030E0" w14:textId="77777777" w:rsidTr="00315AA6">
        <w:tc>
          <w:tcPr>
            <w:tcW w:w="353" w:type="dxa"/>
            <w:shd w:val="clear" w:color="auto" w:fill="auto"/>
            <w:noWrap/>
          </w:tcPr>
          <w:p w14:paraId="17769623" w14:textId="77777777" w:rsidR="003C3986" w:rsidRPr="0037157A" w:rsidRDefault="003C3986"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B6A81A6" w14:textId="7331B7CF" w:rsidR="003C3986"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7FFC9B56" w14:textId="4B6BF5AB" w:rsidR="003C3986" w:rsidRPr="0037157A" w:rsidRDefault="003C3986" w:rsidP="004471C3">
            <w:pPr>
              <w:tabs>
                <w:tab w:val="left" w:pos="288"/>
                <w:tab w:val="left" w:pos="576"/>
                <w:tab w:val="left" w:pos="864"/>
                <w:tab w:val="left" w:pos="1152"/>
              </w:tabs>
              <w:spacing w:before="40" w:after="80"/>
              <w:ind w:right="43"/>
              <w:rPr>
                <w:lang w:val="fr-FR"/>
              </w:rPr>
            </w:pPr>
            <w:r w:rsidRPr="0037157A">
              <w:rPr>
                <w:lang w:val="fr-FR"/>
              </w:rPr>
              <w:t>ainsi qu</w:t>
            </w:r>
            <w:r w:rsidR="004471C3" w:rsidRPr="0037157A">
              <w:rPr>
                <w:lang w:val="fr-FR"/>
              </w:rPr>
              <w:t>’</w:t>
            </w:r>
            <w:r w:rsidRPr="0037157A">
              <w:rPr>
                <w:lang w:val="fr-FR"/>
              </w:rPr>
              <w:t>en évaluant les besoins des femmes et des hommes et les raisons pour lesquelles les formes d</w:t>
            </w:r>
            <w:r w:rsidR="004471C3" w:rsidRPr="0037157A">
              <w:rPr>
                <w:lang w:val="fr-FR"/>
              </w:rPr>
              <w:t>’</w:t>
            </w:r>
            <w:r w:rsidRPr="0037157A">
              <w:rPr>
                <w:lang w:val="fr-FR"/>
              </w:rPr>
              <w:t>emploi atypiques se font rares. À cette fin, une analyse des inégalités de genre en matière d</w:t>
            </w:r>
            <w:r w:rsidR="004471C3" w:rsidRPr="0037157A">
              <w:rPr>
                <w:lang w:val="fr-FR"/>
              </w:rPr>
              <w:t>’</w:t>
            </w:r>
            <w:r w:rsidRPr="0037157A">
              <w:rPr>
                <w:lang w:val="fr-FR"/>
              </w:rPr>
              <w:t>emploi sera réalisée dans le cadre d</w:t>
            </w:r>
            <w:r w:rsidR="004471C3" w:rsidRPr="0037157A">
              <w:rPr>
                <w:lang w:val="fr-FR"/>
              </w:rPr>
              <w:t>’</w:t>
            </w:r>
            <w:r w:rsidRPr="0037157A">
              <w:rPr>
                <w:lang w:val="fr-FR"/>
              </w:rPr>
              <w:t>un programme d</w:t>
            </w:r>
            <w:r w:rsidR="004471C3" w:rsidRPr="0037157A">
              <w:rPr>
                <w:lang w:val="fr-FR"/>
              </w:rPr>
              <w:t>’</w:t>
            </w:r>
            <w:r w:rsidRPr="0037157A">
              <w:rPr>
                <w:lang w:val="fr-FR"/>
              </w:rPr>
              <w:t>appui aux réformes structurelles d</w:t>
            </w:r>
            <w:r w:rsidR="004471C3" w:rsidRPr="0037157A">
              <w:rPr>
                <w:lang w:val="fr-FR"/>
              </w:rPr>
              <w:t>’</w:t>
            </w:r>
            <w:r w:rsidRPr="0037157A">
              <w:rPr>
                <w:lang w:val="fr-FR"/>
              </w:rPr>
              <w:t>une durée de 18 mois, comprenant la conduite de recherches sur la faible représentation des femmes sur le marché du travail malgré la prise de mesures, et l</w:t>
            </w:r>
            <w:r w:rsidR="004471C3" w:rsidRPr="0037157A">
              <w:rPr>
                <w:lang w:val="fr-FR"/>
              </w:rPr>
              <w:t>’</w:t>
            </w:r>
            <w:r w:rsidRPr="0037157A">
              <w:rPr>
                <w:lang w:val="fr-FR"/>
              </w:rPr>
              <w:t>élaboration de nouvelles mesures.</w:t>
            </w:r>
          </w:p>
        </w:tc>
      </w:tr>
      <w:tr w:rsidR="004471C3" w:rsidRPr="0037157A" w14:paraId="1BC9A007" w14:textId="77777777" w:rsidTr="00BE1017">
        <w:tc>
          <w:tcPr>
            <w:tcW w:w="353" w:type="dxa"/>
            <w:shd w:val="clear" w:color="auto" w:fill="auto"/>
            <w:noWrap/>
          </w:tcPr>
          <w:p w14:paraId="0ACEC72D" w14:textId="3BD8E4F7"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b)</w:t>
            </w:r>
          </w:p>
        </w:tc>
        <w:tc>
          <w:tcPr>
            <w:tcW w:w="8220" w:type="dxa"/>
            <w:gridSpan w:val="2"/>
            <w:shd w:val="clear" w:color="auto" w:fill="auto"/>
            <w:noWrap/>
          </w:tcPr>
          <w:p w14:paraId="71D1E1A0" w14:textId="72A4DEE0"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Reconnaître davantage le travail « invisible » et « non rémunéré » des femmes</w:t>
            </w:r>
          </w:p>
        </w:tc>
      </w:tr>
      <w:tr w:rsidR="004471C3" w:rsidRPr="0037157A" w14:paraId="3B3E24F6" w14:textId="77777777" w:rsidTr="00315AA6">
        <w:tc>
          <w:tcPr>
            <w:tcW w:w="353" w:type="dxa"/>
            <w:shd w:val="clear" w:color="auto" w:fill="auto"/>
            <w:noWrap/>
          </w:tcPr>
          <w:p w14:paraId="0065BDB9"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A2C141C" w14:textId="556583B3"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80C4EF6" w14:textId="36F3C113"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organisant des campagnes de sensibilisation ;</w:t>
            </w:r>
          </w:p>
        </w:tc>
      </w:tr>
      <w:tr w:rsidR="004471C3" w:rsidRPr="0037157A" w14:paraId="3D54F799" w14:textId="77777777" w:rsidTr="00315AA6">
        <w:tc>
          <w:tcPr>
            <w:tcW w:w="353" w:type="dxa"/>
            <w:shd w:val="clear" w:color="auto" w:fill="auto"/>
            <w:noWrap/>
          </w:tcPr>
          <w:p w14:paraId="1C50703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4ED6331" w14:textId="327A3B7A"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20322A6" w14:textId="4042BCA3"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menant des recherches sur la participation des femmes et des hommes au travail « non rémunéré » ;</w:t>
            </w:r>
          </w:p>
        </w:tc>
      </w:tr>
      <w:tr w:rsidR="004471C3" w:rsidRPr="0037157A" w14:paraId="5DE09DFB" w14:textId="77777777" w:rsidTr="00315AA6">
        <w:tc>
          <w:tcPr>
            <w:tcW w:w="353" w:type="dxa"/>
            <w:shd w:val="clear" w:color="auto" w:fill="auto"/>
            <w:noWrap/>
          </w:tcPr>
          <w:p w14:paraId="1FA41C6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5E213D9" w14:textId="16487BCF"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7D205EC5" w14:textId="5B4B7EAC"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menant des recherches sur les soins dispensés (à un membre malade ou âgé de la famille) ;</w:t>
            </w:r>
          </w:p>
        </w:tc>
      </w:tr>
      <w:tr w:rsidR="004471C3" w:rsidRPr="0037157A" w14:paraId="4F6AFA0F" w14:textId="77777777" w:rsidTr="00315AA6">
        <w:tc>
          <w:tcPr>
            <w:tcW w:w="353" w:type="dxa"/>
            <w:shd w:val="clear" w:color="auto" w:fill="auto"/>
            <w:noWrap/>
          </w:tcPr>
          <w:p w14:paraId="6D2904F8" w14:textId="0B302CA9"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9B085DE" w14:textId="75C2686C"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40C8584" w14:textId="5C9B663E"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et en reconnaissant la responsabilité des grands-parents.</w:t>
            </w:r>
          </w:p>
        </w:tc>
      </w:tr>
      <w:tr w:rsidR="004471C3" w:rsidRPr="0037157A" w14:paraId="21572718" w14:textId="77777777" w:rsidTr="00BE1017">
        <w:tc>
          <w:tcPr>
            <w:tcW w:w="353" w:type="dxa"/>
            <w:shd w:val="clear" w:color="auto" w:fill="auto"/>
            <w:noWrap/>
          </w:tcPr>
          <w:p w14:paraId="498F3D07" w14:textId="7F123DF2"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c)</w:t>
            </w:r>
          </w:p>
        </w:tc>
        <w:tc>
          <w:tcPr>
            <w:tcW w:w="8220" w:type="dxa"/>
            <w:gridSpan w:val="2"/>
            <w:shd w:val="clear" w:color="auto" w:fill="auto"/>
            <w:noWrap/>
          </w:tcPr>
          <w:p w14:paraId="014DD0FD" w14:textId="62871AE7"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Favoriser l’équilibre entre vie professionnelle et vie familiale pour les femmes comme pour les hommes dans le cadre du congé parental</w:t>
            </w:r>
          </w:p>
        </w:tc>
      </w:tr>
      <w:tr w:rsidR="004471C3" w:rsidRPr="0037157A" w14:paraId="77413335" w14:textId="77777777" w:rsidTr="00315AA6">
        <w:tc>
          <w:tcPr>
            <w:tcW w:w="353" w:type="dxa"/>
            <w:shd w:val="clear" w:color="auto" w:fill="auto"/>
            <w:noWrap/>
          </w:tcPr>
          <w:p w14:paraId="60A40559"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0F6E0FB6" w14:textId="3E2CE83A"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C5D6D92" w14:textId="225DD69C"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proposant des programmes et des appels d’offres qui favorisent la communication avec l’employeur pendant le congé parental ;</w:t>
            </w:r>
          </w:p>
        </w:tc>
      </w:tr>
      <w:tr w:rsidR="004471C3" w:rsidRPr="0037157A" w14:paraId="2EE6414D" w14:textId="77777777" w:rsidTr="00315AA6">
        <w:tc>
          <w:tcPr>
            <w:tcW w:w="353" w:type="dxa"/>
            <w:shd w:val="clear" w:color="auto" w:fill="auto"/>
            <w:noWrap/>
          </w:tcPr>
          <w:p w14:paraId="19099392"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F6F0542" w14:textId="5BD5CF9C"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12977D1" w14:textId="04FED3CD"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menant des recherches sur le rôle des hommes dans la famille ;</w:t>
            </w:r>
          </w:p>
        </w:tc>
      </w:tr>
      <w:tr w:rsidR="004471C3" w:rsidRPr="0037157A" w14:paraId="2435F6F2" w14:textId="77777777" w:rsidTr="00315AA6">
        <w:tc>
          <w:tcPr>
            <w:tcW w:w="353" w:type="dxa"/>
            <w:shd w:val="clear" w:color="auto" w:fill="auto"/>
            <w:noWrap/>
          </w:tcPr>
          <w:p w14:paraId="2C52DBC2"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01C57C5E" w14:textId="348A8C02"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040E24A" w14:textId="248EEBDF"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et en promouvant la répartition du travail entre les femmes et les hommes.</w:t>
            </w:r>
          </w:p>
        </w:tc>
      </w:tr>
      <w:tr w:rsidR="004471C3" w:rsidRPr="0037157A" w14:paraId="109B14B0" w14:textId="77777777" w:rsidTr="00BE1017">
        <w:tc>
          <w:tcPr>
            <w:tcW w:w="353" w:type="dxa"/>
            <w:shd w:val="clear" w:color="auto" w:fill="auto"/>
            <w:noWrap/>
          </w:tcPr>
          <w:p w14:paraId="2770074F" w14:textId="27AC0D7C"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d)</w:t>
            </w:r>
          </w:p>
        </w:tc>
        <w:tc>
          <w:tcPr>
            <w:tcW w:w="8220" w:type="dxa"/>
            <w:gridSpan w:val="2"/>
            <w:shd w:val="clear" w:color="auto" w:fill="auto"/>
            <w:noWrap/>
          </w:tcPr>
          <w:p w14:paraId="7FA24E19" w14:textId="5FF3AC25"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Garantir le soutien de l’État et de l’employeur aux tâches familiales</w:t>
            </w:r>
          </w:p>
        </w:tc>
      </w:tr>
      <w:tr w:rsidR="004471C3" w:rsidRPr="0037157A" w14:paraId="58865355" w14:textId="77777777" w:rsidTr="00315AA6">
        <w:tc>
          <w:tcPr>
            <w:tcW w:w="353" w:type="dxa"/>
            <w:shd w:val="clear" w:color="auto" w:fill="auto"/>
            <w:noWrap/>
          </w:tcPr>
          <w:p w14:paraId="5CC53998"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53F6978" w14:textId="4229F7A0"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CBDCDA0" w14:textId="3F100AA2"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créant davantage de crèches et de jardins d’enfants sur le lieu de travail ;</w:t>
            </w:r>
          </w:p>
        </w:tc>
      </w:tr>
      <w:tr w:rsidR="004471C3" w:rsidRPr="0037157A" w14:paraId="66007C2E" w14:textId="77777777" w:rsidTr="00315AA6">
        <w:tc>
          <w:tcPr>
            <w:tcW w:w="353" w:type="dxa"/>
            <w:shd w:val="clear" w:color="auto" w:fill="auto"/>
            <w:noWrap/>
          </w:tcPr>
          <w:p w14:paraId="7AD7C73F"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303C2AF" w14:textId="5F0D993A"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25084BA" w14:textId="7D63A64D"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et en soutenant les personnes impliquées dans les tâches familiales.</w:t>
            </w:r>
          </w:p>
        </w:tc>
      </w:tr>
      <w:tr w:rsidR="004471C3" w:rsidRPr="0037157A" w14:paraId="1B71A9A1" w14:textId="77777777" w:rsidTr="00BE1017">
        <w:tc>
          <w:tcPr>
            <w:tcW w:w="353" w:type="dxa"/>
            <w:shd w:val="clear" w:color="auto" w:fill="auto"/>
            <w:noWrap/>
          </w:tcPr>
          <w:p w14:paraId="559863AE" w14:textId="7C09ABD9"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e)</w:t>
            </w:r>
          </w:p>
        </w:tc>
        <w:tc>
          <w:tcPr>
            <w:tcW w:w="8220" w:type="dxa"/>
            <w:gridSpan w:val="2"/>
            <w:shd w:val="clear" w:color="auto" w:fill="auto"/>
            <w:noWrap/>
          </w:tcPr>
          <w:p w14:paraId="51574151" w14:textId="600EB096"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Favoriser la prise de conscience dans l’éducation</w:t>
            </w:r>
          </w:p>
        </w:tc>
      </w:tr>
      <w:tr w:rsidR="004471C3" w:rsidRPr="0037157A" w14:paraId="2087C61F" w14:textId="77777777" w:rsidTr="00315AA6">
        <w:tc>
          <w:tcPr>
            <w:tcW w:w="353" w:type="dxa"/>
            <w:shd w:val="clear" w:color="auto" w:fill="auto"/>
            <w:noWrap/>
          </w:tcPr>
          <w:p w14:paraId="13D5B2C1"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08374A7E" w14:textId="27BC39B0" w:rsidR="004471C3" w:rsidRPr="00B06C44" w:rsidRDefault="00C233BE"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C3175FA" w14:textId="6574B44D"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renforçant le programme d’éducation à la vie familiale, en mettant l’accent sur une coopération harmonieuse entre les filles et les garçons dès le jardin d’enfants, et en prévoyant des visites médicales dans les écoles primaires et secondaires ;</w:t>
            </w:r>
          </w:p>
        </w:tc>
      </w:tr>
      <w:tr w:rsidR="004471C3" w:rsidRPr="0037157A" w14:paraId="44770A3A" w14:textId="77777777" w:rsidTr="00315AA6">
        <w:tc>
          <w:tcPr>
            <w:tcW w:w="353" w:type="dxa"/>
            <w:shd w:val="clear" w:color="auto" w:fill="auto"/>
            <w:noWrap/>
          </w:tcPr>
          <w:p w14:paraId="2FC65C10"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7C6A761" w14:textId="7AFDD2D3"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B101EB6" w14:textId="4935EACE"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continuant à mettre en œuvre les programmes prévus dans la stratégie nationale de protection numérique des enfants ;</w:t>
            </w:r>
          </w:p>
        </w:tc>
      </w:tr>
      <w:tr w:rsidR="004471C3" w:rsidRPr="0037157A" w14:paraId="476146B1" w14:textId="77777777" w:rsidTr="00315AA6">
        <w:tc>
          <w:tcPr>
            <w:tcW w:w="353" w:type="dxa"/>
            <w:shd w:val="clear" w:color="auto" w:fill="auto"/>
            <w:noWrap/>
          </w:tcPr>
          <w:p w14:paraId="64126896"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1433BCD" w14:textId="768DEA33"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7B5A043B" w14:textId="1B0791D1"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et en élaborant des méthodologies et du matériel didactique à l’intention des enseignants, des éducateurs de maternelle, et des assistants sociaux et psychologues scolaires.</w:t>
            </w:r>
          </w:p>
        </w:tc>
      </w:tr>
      <w:tr w:rsidR="004471C3" w:rsidRPr="0037157A" w14:paraId="6FDD5143" w14:textId="77777777" w:rsidTr="00BE1017">
        <w:tc>
          <w:tcPr>
            <w:tcW w:w="353" w:type="dxa"/>
            <w:shd w:val="clear" w:color="auto" w:fill="auto"/>
            <w:noWrap/>
          </w:tcPr>
          <w:p w14:paraId="13EBFFB1" w14:textId="03A282DF"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f)</w:t>
            </w:r>
          </w:p>
        </w:tc>
        <w:tc>
          <w:tcPr>
            <w:tcW w:w="8220" w:type="dxa"/>
            <w:gridSpan w:val="2"/>
            <w:shd w:val="clear" w:color="auto" w:fill="auto"/>
            <w:noWrap/>
          </w:tcPr>
          <w:p w14:paraId="6C57657D" w14:textId="3B23557A"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Sensibiliser les entreprises</w:t>
            </w:r>
          </w:p>
        </w:tc>
      </w:tr>
      <w:tr w:rsidR="009C76EF" w:rsidRPr="0037157A" w14:paraId="567C171C" w14:textId="77777777" w:rsidTr="00315AA6">
        <w:tc>
          <w:tcPr>
            <w:tcW w:w="353" w:type="dxa"/>
            <w:shd w:val="clear" w:color="auto" w:fill="auto"/>
            <w:noWrap/>
          </w:tcPr>
          <w:p w14:paraId="26EDEAC1"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053AB68" w14:textId="3D5EA8FA" w:rsidR="009C76EF" w:rsidRPr="0037157A"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74E37E95" w14:textId="604240AA" w:rsidR="009C76EF" w:rsidRPr="0037157A" w:rsidRDefault="009C76EF" w:rsidP="004471C3">
            <w:pPr>
              <w:tabs>
                <w:tab w:val="left" w:pos="288"/>
                <w:tab w:val="left" w:pos="576"/>
                <w:tab w:val="left" w:pos="864"/>
                <w:tab w:val="left" w:pos="1152"/>
              </w:tabs>
              <w:spacing w:before="40" w:after="80"/>
              <w:ind w:right="43"/>
              <w:rPr>
                <w:lang w:val="fr-FR"/>
              </w:rPr>
            </w:pPr>
            <w:r w:rsidRPr="0037157A">
              <w:rPr>
                <w:lang w:val="fr-FR"/>
              </w:rPr>
              <w:t>en mettant à jour le plan d</w:t>
            </w:r>
            <w:r w:rsidR="004471C3" w:rsidRPr="0037157A">
              <w:rPr>
                <w:lang w:val="fr-FR"/>
              </w:rPr>
              <w:t>’</w:t>
            </w:r>
            <w:r w:rsidRPr="0037157A">
              <w:rPr>
                <w:lang w:val="fr-FR"/>
              </w:rPr>
              <w:t>action national pour la responsabilité sociale des entreprises en vue d</w:t>
            </w:r>
            <w:r w:rsidR="004471C3" w:rsidRPr="0037157A">
              <w:rPr>
                <w:lang w:val="fr-FR"/>
              </w:rPr>
              <w:t>’</w:t>
            </w:r>
            <w:r w:rsidRPr="0037157A">
              <w:rPr>
                <w:lang w:val="fr-FR"/>
              </w:rPr>
              <w:t>encourager celles-ci à adopter un comportement responsable.</w:t>
            </w:r>
          </w:p>
        </w:tc>
      </w:tr>
      <w:tr w:rsidR="004471C3" w:rsidRPr="0037157A" w14:paraId="7FAAC2DD" w14:textId="77777777" w:rsidTr="00BE1017">
        <w:tc>
          <w:tcPr>
            <w:tcW w:w="353" w:type="dxa"/>
            <w:shd w:val="clear" w:color="auto" w:fill="auto"/>
            <w:noWrap/>
          </w:tcPr>
          <w:p w14:paraId="26B6A187" w14:textId="5F8CA5FC"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g)</w:t>
            </w:r>
          </w:p>
        </w:tc>
        <w:tc>
          <w:tcPr>
            <w:tcW w:w="8220" w:type="dxa"/>
            <w:gridSpan w:val="2"/>
            <w:shd w:val="clear" w:color="auto" w:fill="auto"/>
            <w:noWrap/>
          </w:tcPr>
          <w:p w14:paraId="34280DEB" w14:textId="6732D468"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Créer un environnement favorable à la famille et à l’enfance</w:t>
            </w:r>
          </w:p>
        </w:tc>
      </w:tr>
      <w:tr w:rsidR="009C76EF" w:rsidRPr="0037157A" w14:paraId="1BE15ACE" w14:textId="77777777" w:rsidTr="00315AA6">
        <w:tc>
          <w:tcPr>
            <w:tcW w:w="353" w:type="dxa"/>
            <w:shd w:val="clear" w:color="auto" w:fill="auto"/>
            <w:noWrap/>
          </w:tcPr>
          <w:p w14:paraId="7007F6BB"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C91450A" w14:textId="738561CC" w:rsidR="009C76EF" w:rsidRPr="00DC71DA"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C127A0E" w14:textId="6750E191" w:rsidR="009C76EF" w:rsidRPr="0037157A" w:rsidRDefault="009C76EF" w:rsidP="004471C3">
            <w:pPr>
              <w:tabs>
                <w:tab w:val="left" w:pos="288"/>
                <w:tab w:val="left" w:pos="576"/>
                <w:tab w:val="left" w:pos="864"/>
                <w:tab w:val="left" w:pos="1152"/>
              </w:tabs>
              <w:spacing w:before="40" w:after="80"/>
              <w:ind w:right="43"/>
              <w:rPr>
                <w:lang w:val="fr-FR"/>
              </w:rPr>
            </w:pPr>
            <w:r w:rsidRPr="0037157A">
              <w:rPr>
                <w:lang w:val="fr-FR"/>
              </w:rPr>
              <w:t>en instaurant des appels d</w:t>
            </w:r>
            <w:r w:rsidR="004471C3" w:rsidRPr="0037157A">
              <w:rPr>
                <w:lang w:val="fr-FR"/>
              </w:rPr>
              <w:t>’</w:t>
            </w:r>
            <w:r w:rsidRPr="0037157A">
              <w:rPr>
                <w:lang w:val="fr-FR"/>
              </w:rPr>
              <w:t>offres et des systèmes de récompense.</w:t>
            </w:r>
          </w:p>
        </w:tc>
      </w:tr>
      <w:tr w:rsidR="004471C3" w:rsidRPr="0037157A" w14:paraId="60DAB800" w14:textId="77777777" w:rsidTr="00BE1017">
        <w:tc>
          <w:tcPr>
            <w:tcW w:w="8573" w:type="dxa"/>
            <w:gridSpan w:val="3"/>
            <w:shd w:val="clear" w:color="auto" w:fill="auto"/>
            <w:noWrap/>
          </w:tcPr>
          <w:p w14:paraId="28D079BB" w14:textId="4F6B32E8" w:rsidR="004471C3" w:rsidRPr="0037157A" w:rsidRDefault="004471C3" w:rsidP="004471C3">
            <w:pPr>
              <w:tabs>
                <w:tab w:val="left" w:pos="288"/>
                <w:tab w:val="left" w:pos="576"/>
                <w:tab w:val="left" w:pos="864"/>
                <w:tab w:val="left" w:pos="1152"/>
              </w:tabs>
              <w:spacing w:before="40" w:after="80"/>
              <w:ind w:left="-2" w:right="43"/>
              <w:rPr>
                <w:b/>
                <w:bCs/>
                <w:lang w:val="fr-FR"/>
              </w:rPr>
            </w:pPr>
            <w:r w:rsidRPr="0037157A">
              <w:rPr>
                <w:b/>
                <w:bCs/>
                <w:lang w:val="fr-FR"/>
              </w:rPr>
              <w:t>Chapitre 2 : Faciliter la participation des femmes dans les domaines où elles sont sous-représentées</w:t>
            </w:r>
          </w:p>
        </w:tc>
      </w:tr>
      <w:tr w:rsidR="004471C3" w:rsidRPr="0037157A" w14:paraId="1661E18E" w14:textId="77777777" w:rsidTr="00BE1017">
        <w:tc>
          <w:tcPr>
            <w:tcW w:w="353" w:type="dxa"/>
            <w:shd w:val="clear" w:color="auto" w:fill="auto"/>
            <w:noWrap/>
          </w:tcPr>
          <w:p w14:paraId="156F4C5C" w14:textId="1922446C"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a)</w:t>
            </w:r>
          </w:p>
        </w:tc>
        <w:tc>
          <w:tcPr>
            <w:tcW w:w="8220" w:type="dxa"/>
            <w:gridSpan w:val="2"/>
            <w:shd w:val="clear" w:color="auto" w:fill="auto"/>
            <w:noWrap/>
          </w:tcPr>
          <w:p w14:paraId="19CE3206" w14:textId="51D206BD"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Encourager la participation des femmes à la prise de décisions dans l’espace public</w:t>
            </w:r>
          </w:p>
        </w:tc>
      </w:tr>
      <w:tr w:rsidR="009C76EF" w:rsidRPr="0037157A" w14:paraId="33682A54" w14:textId="77777777" w:rsidTr="00315AA6">
        <w:tc>
          <w:tcPr>
            <w:tcW w:w="353" w:type="dxa"/>
            <w:shd w:val="clear" w:color="auto" w:fill="auto"/>
            <w:noWrap/>
          </w:tcPr>
          <w:p w14:paraId="7795A6FD"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334399C" w14:textId="5F05CD49" w:rsidR="009C76EF" w:rsidRPr="00DC71DA" w:rsidRDefault="000A3215" w:rsidP="00DC71DA">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592FFB2" w14:textId="1C57C45B" w:rsidR="009C76EF" w:rsidRPr="0037157A" w:rsidRDefault="009C76EF" w:rsidP="004471C3">
            <w:pPr>
              <w:tabs>
                <w:tab w:val="left" w:pos="288"/>
                <w:tab w:val="left" w:pos="576"/>
                <w:tab w:val="left" w:pos="864"/>
                <w:tab w:val="left" w:pos="1152"/>
              </w:tabs>
              <w:spacing w:before="40" w:after="80"/>
              <w:ind w:right="43"/>
              <w:rPr>
                <w:lang w:val="fr-FR"/>
              </w:rPr>
            </w:pPr>
            <w:r w:rsidRPr="0037157A">
              <w:rPr>
                <w:lang w:val="fr-FR"/>
              </w:rPr>
              <w:t>en proposant des formations et des mentorats.</w:t>
            </w:r>
          </w:p>
        </w:tc>
      </w:tr>
      <w:tr w:rsidR="004471C3" w:rsidRPr="0037157A" w14:paraId="42F973C7" w14:textId="77777777" w:rsidTr="00BE1017">
        <w:tc>
          <w:tcPr>
            <w:tcW w:w="353" w:type="dxa"/>
            <w:shd w:val="clear" w:color="auto" w:fill="auto"/>
            <w:noWrap/>
          </w:tcPr>
          <w:p w14:paraId="7E7BDCCF" w14:textId="5AB49E58"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b)</w:t>
            </w:r>
          </w:p>
        </w:tc>
        <w:tc>
          <w:tcPr>
            <w:tcW w:w="8220" w:type="dxa"/>
            <w:gridSpan w:val="2"/>
            <w:shd w:val="clear" w:color="auto" w:fill="auto"/>
            <w:noWrap/>
          </w:tcPr>
          <w:p w14:paraId="653F2849" w14:textId="3F6AF98F"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Promouvoir le rôle moteur des femmes dans le monde des affaires</w:t>
            </w:r>
          </w:p>
        </w:tc>
      </w:tr>
      <w:tr w:rsidR="004471C3" w:rsidRPr="0037157A" w14:paraId="331C428F" w14:textId="77777777" w:rsidTr="00315AA6">
        <w:tc>
          <w:tcPr>
            <w:tcW w:w="353" w:type="dxa"/>
            <w:shd w:val="clear" w:color="auto" w:fill="auto"/>
            <w:noWrap/>
          </w:tcPr>
          <w:p w14:paraId="75E971EB"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7C44673" w14:textId="7CA16539"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5FCF69D7" w14:textId="1A5713B2"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menant des activités d’orientation professionnelle dans les écoles secondaires ;</w:t>
            </w:r>
          </w:p>
        </w:tc>
      </w:tr>
      <w:tr w:rsidR="004471C3" w:rsidRPr="0037157A" w14:paraId="0804C7CB" w14:textId="77777777" w:rsidTr="00315AA6">
        <w:tc>
          <w:tcPr>
            <w:tcW w:w="353" w:type="dxa"/>
            <w:shd w:val="clear" w:color="auto" w:fill="auto"/>
            <w:noWrap/>
          </w:tcPr>
          <w:p w14:paraId="0B07DCF9"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7B4E837" w14:textId="56B537A3"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23D62D2" w14:textId="199B4B90"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présentant des modèles de femmes occupant des postes à responsabilités ;</w:t>
            </w:r>
          </w:p>
        </w:tc>
      </w:tr>
      <w:tr w:rsidR="004471C3" w:rsidRPr="0037157A" w14:paraId="6D5A9835" w14:textId="77777777" w:rsidTr="00315AA6">
        <w:tc>
          <w:tcPr>
            <w:tcW w:w="353" w:type="dxa"/>
            <w:shd w:val="clear" w:color="auto" w:fill="auto"/>
            <w:noWrap/>
          </w:tcPr>
          <w:p w14:paraId="5BC4B9CE"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2518F4DF" w14:textId="012452D8"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976CB1B" w14:textId="75AE9A1E"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organisant des programmes de mentorat ;</w:t>
            </w:r>
          </w:p>
        </w:tc>
      </w:tr>
      <w:tr w:rsidR="004471C3" w:rsidRPr="0037157A" w14:paraId="6B480572" w14:textId="77777777" w:rsidTr="00315AA6">
        <w:tc>
          <w:tcPr>
            <w:tcW w:w="353" w:type="dxa"/>
            <w:shd w:val="clear" w:color="auto" w:fill="auto"/>
            <w:noWrap/>
          </w:tcPr>
          <w:p w14:paraId="6F6ADC8D" w14:textId="0CFA3DE8"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19BEE8D" w14:textId="698AC7C9"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61B95A1" w14:textId="465B63B0"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décernant des prix ;</w:t>
            </w:r>
          </w:p>
        </w:tc>
      </w:tr>
      <w:tr w:rsidR="009C76EF" w:rsidRPr="0037157A" w14:paraId="5B16A475" w14:textId="77777777" w:rsidTr="00315AA6">
        <w:tc>
          <w:tcPr>
            <w:tcW w:w="353" w:type="dxa"/>
            <w:shd w:val="clear" w:color="auto" w:fill="auto"/>
            <w:noWrap/>
          </w:tcPr>
          <w:p w14:paraId="48B40C98"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E53F4F7" w14:textId="31059A43" w:rsidR="009C76EF" w:rsidRPr="0037157A" w:rsidRDefault="000A3215" w:rsidP="00B06C44">
            <w:pPr>
              <w:tabs>
                <w:tab w:val="left" w:pos="288"/>
                <w:tab w:val="left" w:pos="452"/>
                <w:tab w:val="left" w:pos="576"/>
                <w:tab w:val="left" w:pos="864"/>
                <w:tab w:val="left" w:pos="1152"/>
              </w:tabs>
              <w:spacing w:before="40" w:after="80"/>
              <w:ind w:right="43"/>
              <w:rPr>
                <w:lang w:val="fr-FR"/>
              </w:rPr>
            </w:pPr>
            <w:r>
              <w:rPr>
                <w:lang w:val="fr-FR"/>
              </w:rPr>
              <w:t>•</w:t>
            </w:r>
          </w:p>
        </w:tc>
        <w:tc>
          <w:tcPr>
            <w:tcW w:w="7950" w:type="dxa"/>
            <w:shd w:val="clear" w:color="auto" w:fill="auto"/>
            <w:noWrap/>
          </w:tcPr>
          <w:p w14:paraId="35E98817" w14:textId="56A59284" w:rsidR="009C76EF" w:rsidRPr="0037157A" w:rsidRDefault="009C76EF" w:rsidP="004471C3">
            <w:pPr>
              <w:tabs>
                <w:tab w:val="left" w:pos="288"/>
                <w:tab w:val="left" w:pos="576"/>
                <w:tab w:val="left" w:pos="864"/>
                <w:tab w:val="left" w:pos="1152"/>
              </w:tabs>
              <w:spacing w:before="40" w:after="80"/>
              <w:ind w:right="43"/>
              <w:rPr>
                <w:lang w:val="fr-FR"/>
              </w:rPr>
            </w:pPr>
            <w:r w:rsidRPr="0037157A">
              <w:rPr>
                <w:lang w:val="fr-FR"/>
              </w:rPr>
              <w:t>et en encourageant davantage d</w:t>
            </w:r>
            <w:r w:rsidR="004471C3" w:rsidRPr="0037157A">
              <w:rPr>
                <w:lang w:val="fr-FR"/>
              </w:rPr>
              <w:t>’</w:t>
            </w:r>
            <w:r w:rsidRPr="0037157A">
              <w:rPr>
                <w:lang w:val="fr-FR"/>
              </w:rPr>
              <w:t>établissements d</w:t>
            </w:r>
            <w:r w:rsidR="004471C3" w:rsidRPr="0037157A">
              <w:rPr>
                <w:lang w:val="fr-FR"/>
              </w:rPr>
              <w:t>’</w:t>
            </w:r>
            <w:r w:rsidRPr="0037157A">
              <w:rPr>
                <w:lang w:val="fr-FR"/>
              </w:rPr>
              <w:t>enseignement supérieur à offrir des solutions adaptées aux besoins des familles, avec le soutien des entreprises favorables à la famille et des établissements postsecondaires.</w:t>
            </w:r>
          </w:p>
        </w:tc>
      </w:tr>
      <w:tr w:rsidR="004471C3" w:rsidRPr="0037157A" w14:paraId="57CAA239" w14:textId="77777777" w:rsidTr="00BE1017">
        <w:tc>
          <w:tcPr>
            <w:tcW w:w="353" w:type="dxa"/>
            <w:shd w:val="clear" w:color="auto" w:fill="auto"/>
            <w:noWrap/>
          </w:tcPr>
          <w:p w14:paraId="05897456" w14:textId="03B1BB33" w:rsidR="004471C3" w:rsidRPr="0037157A" w:rsidRDefault="004471C3" w:rsidP="00622C56">
            <w:pPr>
              <w:keepNext/>
              <w:keepLines/>
              <w:tabs>
                <w:tab w:val="left" w:pos="288"/>
                <w:tab w:val="left" w:pos="576"/>
                <w:tab w:val="left" w:pos="864"/>
                <w:tab w:val="left" w:pos="1152"/>
              </w:tabs>
              <w:spacing w:before="40" w:after="80"/>
              <w:ind w:right="40"/>
              <w:rPr>
                <w:i/>
                <w:iCs/>
                <w:lang w:val="fr-FR"/>
              </w:rPr>
            </w:pPr>
            <w:bookmarkStart w:id="4" w:name="_Hlk98490838"/>
            <w:r w:rsidRPr="0037157A">
              <w:rPr>
                <w:i/>
                <w:iCs/>
                <w:lang w:val="fr-FR"/>
              </w:rPr>
              <w:t>c)</w:t>
            </w:r>
          </w:p>
        </w:tc>
        <w:tc>
          <w:tcPr>
            <w:tcW w:w="8220" w:type="dxa"/>
            <w:gridSpan w:val="2"/>
            <w:shd w:val="clear" w:color="auto" w:fill="auto"/>
            <w:noWrap/>
          </w:tcPr>
          <w:p w14:paraId="20A0E700" w14:textId="04DFCC71" w:rsidR="004471C3" w:rsidRPr="0037157A" w:rsidRDefault="004471C3" w:rsidP="00622C56">
            <w:pPr>
              <w:keepNext/>
              <w:keepLines/>
              <w:tabs>
                <w:tab w:val="left" w:pos="288"/>
                <w:tab w:val="left" w:pos="576"/>
                <w:tab w:val="left" w:pos="864"/>
                <w:tab w:val="left" w:pos="1152"/>
              </w:tabs>
              <w:spacing w:before="40" w:after="80"/>
              <w:ind w:left="2" w:right="43"/>
              <w:rPr>
                <w:lang w:val="fr-FR"/>
              </w:rPr>
            </w:pPr>
            <w:r w:rsidRPr="0037157A">
              <w:rPr>
                <w:i/>
                <w:iCs/>
                <w:lang w:val="fr-FR"/>
              </w:rPr>
              <w:t>Briser les barrières invisibles qui empêchent les femmes d’accéder à la science</w:t>
            </w:r>
          </w:p>
        </w:tc>
      </w:tr>
      <w:tr w:rsidR="004471C3" w:rsidRPr="0037157A" w14:paraId="06522B42" w14:textId="77777777" w:rsidTr="00315AA6">
        <w:tc>
          <w:tcPr>
            <w:tcW w:w="353" w:type="dxa"/>
            <w:shd w:val="clear" w:color="auto" w:fill="auto"/>
            <w:noWrap/>
          </w:tcPr>
          <w:p w14:paraId="3ABE4131" w14:textId="77777777" w:rsidR="004471C3" w:rsidRPr="0037157A" w:rsidRDefault="004471C3" w:rsidP="00622C56">
            <w:pPr>
              <w:keepNext/>
              <w:keepLines/>
              <w:tabs>
                <w:tab w:val="left" w:pos="288"/>
                <w:tab w:val="left" w:pos="576"/>
                <w:tab w:val="left" w:pos="864"/>
                <w:tab w:val="left" w:pos="1152"/>
              </w:tabs>
              <w:spacing w:before="40" w:after="80"/>
              <w:ind w:right="40"/>
              <w:rPr>
                <w:lang w:val="fr-FR"/>
              </w:rPr>
            </w:pPr>
          </w:p>
        </w:tc>
        <w:tc>
          <w:tcPr>
            <w:tcW w:w="270" w:type="dxa"/>
            <w:shd w:val="clear" w:color="auto" w:fill="auto"/>
            <w:noWrap/>
          </w:tcPr>
          <w:p w14:paraId="2FD7D5C2" w14:textId="0C1F6761" w:rsidR="004471C3" w:rsidRPr="00B06C44" w:rsidRDefault="000A3215" w:rsidP="00622C56">
            <w:pPr>
              <w:keepNext/>
              <w:keepLines/>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6304EF8" w14:textId="08174688" w:rsidR="004471C3" w:rsidRPr="0037157A" w:rsidRDefault="004471C3" w:rsidP="00622C56">
            <w:pPr>
              <w:keepNext/>
              <w:keepLines/>
              <w:tabs>
                <w:tab w:val="left" w:pos="288"/>
                <w:tab w:val="left" w:pos="576"/>
                <w:tab w:val="left" w:pos="864"/>
                <w:tab w:val="left" w:pos="1152"/>
              </w:tabs>
              <w:spacing w:before="40" w:after="80"/>
              <w:ind w:right="43"/>
              <w:rPr>
                <w:lang w:val="fr-FR"/>
              </w:rPr>
            </w:pPr>
            <w:r w:rsidRPr="0037157A">
              <w:rPr>
                <w:lang w:val="fr-FR"/>
              </w:rPr>
              <w:t>en soutenant les doctorant</w:t>
            </w:r>
            <w:r w:rsidR="004B3372">
              <w:rPr>
                <w:lang w:val="fr-FR"/>
              </w:rPr>
              <w:t>e</w:t>
            </w:r>
            <w:r w:rsidRPr="0037157A">
              <w:rPr>
                <w:lang w:val="fr-FR"/>
              </w:rPr>
              <w:t xml:space="preserve">s qui ont abandonné leurs recherches pour s’occuper de leurs enfants ; </w:t>
            </w:r>
          </w:p>
        </w:tc>
      </w:tr>
      <w:bookmarkEnd w:id="4"/>
      <w:tr w:rsidR="004471C3" w:rsidRPr="0037157A" w14:paraId="200045B9" w14:textId="77777777" w:rsidTr="00315AA6">
        <w:tc>
          <w:tcPr>
            <w:tcW w:w="353" w:type="dxa"/>
            <w:shd w:val="clear" w:color="auto" w:fill="auto"/>
            <w:noWrap/>
          </w:tcPr>
          <w:p w14:paraId="3FF63E7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4C6F0BC" w14:textId="3CE8CBD7"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F0E3B28" w14:textId="5F4A81DC"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favorisant les investissements dans la mise en place de solutions adaptées aux parents (zones de change et d’allaitement, espaces pour enfants et garderies) dans les établissements d’enseignement et de recherche ;</w:t>
            </w:r>
          </w:p>
        </w:tc>
      </w:tr>
      <w:tr w:rsidR="004471C3" w:rsidRPr="0037157A" w14:paraId="03237CE5" w14:textId="77777777" w:rsidTr="00315AA6">
        <w:tc>
          <w:tcPr>
            <w:tcW w:w="353" w:type="dxa"/>
            <w:shd w:val="clear" w:color="auto" w:fill="auto"/>
            <w:noWrap/>
          </w:tcPr>
          <w:p w14:paraId="4ED34A23"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AD00C04" w14:textId="49E0C854"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A69AD20" w14:textId="78A42691"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et en présentant les pratiques exemplaires de chercheuses et de doctorantes dans des campagnes médiatiques.</w:t>
            </w:r>
          </w:p>
        </w:tc>
      </w:tr>
      <w:tr w:rsidR="004471C3" w:rsidRPr="0037157A" w14:paraId="2E5B4015" w14:textId="77777777" w:rsidTr="00BE1017">
        <w:tc>
          <w:tcPr>
            <w:tcW w:w="353" w:type="dxa"/>
            <w:shd w:val="clear" w:color="auto" w:fill="auto"/>
            <w:noWrap/>
          </w:tcPr>
          <w:p w14:paraId="111EC21A" w14:textId="06CD75BD"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d)</w:t>
            </w:r>
          </w:p>
        </w:tc>
        <w:tc>
          <w:tcPr>
            <w:tcW w:w="8220" w:type="dxa"/>
            <w:gridSpan w:val="2"/>
            <w:shd w:val="clear" w:color="auto" w:fill="auto"/>
            <w:noWrap/>
          </w:tcPr>
          <w:p w14:paraId="4BFC6FD6" w14:textId="41A5D823"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Soutenir les filles et les femmes qui souhaitent poursuivre leur carrière dans les sciences, la</w:t>
            </w:r>
            <w:r w:rsidR="00315AA6" w:rsidRPr="0037157A">
              <w:rPr>
                <w:i/>
                <w:iCs/>
                <w:lang w:val="fr-FR"/>
              </w:rPr>
              <w:t> </w:t>
            </w:r>
            <w:r w:rsidRPr="0037157A">
              <w:rPr>
                <w:i/>
                <w:iCs/>
                <w:lang w:val="fr-FR"/>
              </w:rPr>
              <w:t>technologie, l’ingénierie et les mathématiques (STIM)</w:t>
            </w:r>
          </w:p>
        </w:tc>
      </w:tr>
      <w:tr w:rsidR="004471C3" w:rsidRPr="0037157A" w14:paraId="089CDE94" w14:textId="77777777" w:rsidTr="00315AA6">
        <w:tc>
          <w:tcPr>
            <w:tcW w:w="353" w:type="dxa"/>
            <w:shd w:val="clear" w:color="auto" w:fill="auto"/>
            <w:noWrap/>
          </w:tcPr>
          <w:p w14:paraId="6222815E"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0C9DD65" w14:textId="4F721475"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B3F5B43" w14:textId="4864ACD0" w:rsidR="004471C3" w:rsidRPr="0037157A" w:rsidRDefault="004471C3" w:rsidP="004471C3">
            <w:pPr>
              <w:tabs>
                <w:tab w:val="left" w:pos="288"/>
                <w:tab w:val="left" w:pos="576"/>
                <w:tab w:val="left" w:pos="864"/>
                <w:tab w:val="left" w:pos="1152"/>
              </w:tabs>
              <w:spacing w:before="40" w:after="80"/>
              <w:ind w:right="43"/>
              <w:rPr>
                <w:lang w:val="fr-FR"/>
              </w:rPr>
            </w:pPr>
            <w:r w:rsidRPr="0037157A">
              <w:rPr>
                <w:lang w:val="fr-FR"/>
              </w:rPr>
              <w:t>en organisant des séances d’orientation professionnelle adaptées dans les écoles secondaires ;</w:t>
            </w:r>
          </w:p>
        </w:tc>
      </w:tr>
      <w:tr w:rsidR="004471C3" w:rsidRPr="0037157A" w14:paraId="01C765EB" w14:textId="77777777" w:rsidTr="00315AA6">
        <w:tc>
          <w:tcPr>
            <w:tcW w:w="353" w:type="dxa"/>
            <w:shd w:val="clear" w:color="auto" w:fill="auto"/>
            <w:noWrap/>
          </w:tcPr>
          <w:p w14:paraId="7C84792D"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0129A16C" w14:textId="6687B374" w:rsidR="004471C3" w:rsidRPr="00B06C44" w:rsidRDefault="000A3215"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5225944" w14:textId="7524FC9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et en octroyant des bourses d’études supérieures dans ces domaines.</w:t>
            </w:r>
          </w:p>
        </w:tc>
      </w:tr>
      <w:tr w:rsidR="004471C3" w:rsidRPr="0037157A" w14:paraId="168C921A" w14:textId="77777777" w:rsidTr="00BE1017">
        <w:tc>
          <w:tcPr>
            <w:tcW w:w="353" w:type="dxa"/>
            <w:shd w:val="clear" w:color="auto" w:fill="auto"/>
            <w:noWrap/>
          </w:tcPr>
          <w:p w14:paraId="708F0BA3" w14:textId="5448A2DE"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e)</w:t>
            </w:r>
          </w:p>
        </w:tc>
        <w:tc>
          <w:tcPr>
            <w:tcW w:w="8220" w:type="dxa"/>
            <w:gridSpan w:val="2"/>
            <w:shd w:val="clear" w:color="auto" w:fill="auto"/>
            <w:noWrap/>
          </w:tcPr>
          <w:p w14:paraId="32FC5D1B" w14:textId="2CD6925E"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Promouvoir la participation des filles et des femmes à la formation professionnelle et à l’enseignement supérieur, en réduisant leur taux d’abandon</w:t>
            </w:r>
          </w:p>
        </w:tc>
      </w:tr>
      <w:tr w:rsidR="004471C3" w:rsidRPr="0037157A" w14:paraId="6C10EE5B" w14:textId="77777777" w:rsidTr="00315AA6">
        <w:tc>
          <w:tcPr>
            <w:tcW w:w="353" w:type="dxa"/>
            <w:shd w:val="clear" w:color="auto" w:fill="auto"/>
            <w:noWrap/>
          </w:tcPr>
          <w:p w14:paraId="5656BB80"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863FEC1" w14:textId="7EFC5901"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F31297A" w14:textId="594683D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instaurant des modèles d’enseignement adaptés ;</w:t>
            </w:r>
          </w:p>
        </w:tc>
      </w:tr>
      <w:tr w:rsidR="004471C3" w:rsidRPr="0037157A" w14:paraId="7D8615D4" w14:textId="77777777" w:rsidTr="00315AA6">
        <w:tc>
          <w:tcPr>
            <w:tcW w:w="353" w:type="dxa"/>
            <w:shd w:val="clear" w:color="auto" w:fill="auto"/>
            <w:noWrap/>
          </w:tcPr>
          <w:p w14:paraId="7066443D"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E54B992" w14:textId="31EF82D6"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35FCE9C" w14:textId="1261914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mettant en place des cours de rattrapage et de perfectionnement ;</w:t>
            </w:r>
          </w:p>
        </w:tc>
      </w:tr>
      <w:tr w:rsidR="004471C3" w:rsidRPr="0037157A" w14:paraId="244F83C5" w14:textId="77777777" w:rsidTr="00315AA6">
        <w:tc>
          <w:tcPr>
            <w:tcW w:w="353" w:type="dxa"/>
            <w:shd w:val="clear" w:color="auto" w:fill="auto"/>
            <w:noWrap/>
          </w:tcPr>
          <w:p w14:paraId="0E967F88"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EA74AC4" w14:textId="4C7B0ECD"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2EC0A2F" w14:textId="4410336E"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organisant des programmes de formation professionnelle et d’enseignement supérieur, tout en élaborant et en mettant en œuvre un système visant à encourager la participation à ces programmes, ainsi que des activités d’orientation professionnelle (en début de carrière) et de développement des compétences, et en menant des campagnes de communication visant à promouvoir des formes d’enseignement complémentaire compatibles avec la parentalité pour les personnes « déscolarisées et sans emploi ni formation » ;</w:t>
            </w:r>
          </w:p>
        </w:tc>
      </w:tr>
      <w:tr w:rsidR="009C76EF" w:rsidRPr="0037157A" w14:paraId="29F7C161" w14:textId="77777777" w:rsidTr="00315AA6">
        <w:tc>
          <w:tcPr>
            <w:tcW w:w="353" w:type="dxa"/>
            <w:shd w:val="clear" w:color="auto" w:fill="auto"/>
            <w:noWrap/>
          </w:tcPr>
          <w:p w14:paraId="4DD60F57"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281768F4" w14:textId="27F3BE1E" w:rsidR="009C76EF"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25222525" w14:textId="7C4EAF49" w:rsidR="009C76EF" w:rsidRPr="0037157A" w:rsidRDefault="009C76EF" w:rsidP="004471C3">
            <w:pPr>
              <w:tabs>
                <w:tab w:val="left" w:pos="288"/>
                <w:tab w:val="left" w:pos="452"/>
                <w:tab w:val="left" w:pos="576"/>
                <w:tab w:val="left" w:pos="864"/>
                <w:tab w:val="left" w:pos="1152"/>
              </w:tabs>
              <w:spacing w:before="40" w:after="80"/>
              <w:ind w:right="43"/>
              <w:rPr>
                <w:lang w:val="fr-FR"/>
              </w:rPr>
            </w:pPr>
            <w:r w:rsidRPr="0037157A">
              <w:rPr>
                <w:lang w:val="fr-FR"/>
              </w:rPr>
              <w:t>ainsi qu</w:t>
            </w:r>
            <w:r w:rsidR="004471C3" w:rsidRPr="0037157A">
              <w:rPr>
                <w:lang w:val="fr-FR"/>
              </w:rPr>
              <w:t>’</w:t>
            </w:r>
            <w:r w:rsidRPr="0037157A">
              <w:rPr>
                <w:lang w:val="fr-FR"/>
              </w:rPr>
              <w:t>en lançant un vaste programme de développement des compétences numériques pour les femmes.</w:t>
            </w:r>
          </w:p>
        </w:tc>
      </w:tr>
      <w:tr w:rsidR="004471C3" w:rsidRPr="0037157A" w14:paraId="0480056D" w14:textId="77777777" w:rsidTr="00BE1017">
        <w:tc>
          <w:tcPr>
            <w:tcW w:w="353" w:type="dxa"/>
            <w:shd w:val="clear" w:color="auto" w:fill="auto"/>
            <w:noWrap/>
          </w:tcPr>
          <w:p w14:paraId="00C4E950" w14:textId="62E7B97B"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f)</w:t>
            </w:r>
          </w:p>
        </w:tc>
        <w:tc>
          <w:tcPr>
            <w:tcW w:w="8220" w:type="dxa"/>
            <w:gridSpan w:val="2"/>
            <w:shd w:val="clear" w:color="auto" w:fill="auto"/>
            <w:noWrap/>
          </w:tcPr>
          <w:p w14:paraId="7123C66C" w14:textId="4110B1FE" w:rsidR="004471C3" w:rsidRPr="0037157A" w:rsidRDefault="004471C3" w:rsidP="004471C3">
            <w:pPr>
              <w:tabs>
                <w:tab w:val="left" w:pos="288"/>
                <w:tab w:val="left" w:pos="576"/>
                <w:tab w:val="left" w:pos="864"/>
                <w:tab w:val="left" w:pos="1152"/>
              </w:tabs>
              <w:spacing w:before="40" w:after="80"/>
              <w:ind w:left="2" w:right="43"/>
              <w:rPr>
                <w:lang w:val="fr-FR"/>
              </w:rPr>
            </w:pPr>
            <w:r w:rsidRPr="0037157A">
              <w:rPr>
                <w:i/>
                <w:iCs/>
                <w:lang w:val="fr-FR"/>
              </w:rPr>
              <w:t>Développer des compétences techniques en matière d’égalité des genres</w:t>
            </w:r>
          </w:p>
        </w:tc>
      </w:tr>
      <w:tr w:rsidR="009C76EF" w:rsidRPr="0037157A" w14:paraId="6E52FC9D" w14:textId="77777777" w:rsidTr="00315AA6">
        <w:tc>
          <w:tcPr>
            <w:tcW w:w="353" w:type="dxa"/>
            <w:shd w:val="clear" w:color="auto" w:fill="auto"/>
            <w:noWrap/>
          </w:tcPr>
          <w:p w14:paraId="5C63BD7B" w14:textId="77777777" w:rsidR="009C76EF" w:rsidRPr="0037157A" w:rsidRDefault="009C76EF"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968FCE9" w14:textId="4CD1511A" w:rsidR="009C76EF" w:rsidRPr="00DC71DA"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BBB5FB2" w14:textId="735363AF" w:rsidR="009C76EF" w:rsidRPr="0037157A" w:rsidRDefault="009C76EF" w:rsidP="004471C3">
            <w:pPr>
              <w:tabs>
                <w:tab w:val="left" w:pos="288"/>
                <w:tab w:val="left" w:pos="452"/>
                <w:tab w:val="left" w:pos="576"/>
                <w:tab w:val="left" w:pos="864"/>
                <w:tab w:val="left" w:pos="1152"/>
              </w:tabs>
              <w:spacing w:before="40" w:after="80"/>
              <w:ind w:right="43"/>
              <w:rPr>
                <w:lang w:val="fr-FR"/>
              </w:rPr>
            </w:pPr>
            <w:r w:rsidRPr="0037157A">
              <w:rPr>
                <w:lang w:val="fr-FR"/>
              </w:rPr>
              <w:t>en formant les fonctionnaires.</w:t>
            </w:r>
          </w:p>
        </w:tc>
      </w:tr>
      <w:tr w:rsidR="004471C3" w:rsidRPr="0037157A" w14:paraId="6F1B2AEA" w14:textId="77777777" w:rsidTr="00BE1017">
        <w:tc>
          <w:tcPr>
            <w:tcW w:w="8573" w:type="dxa"/>
            <w:gridSpan w:val="3"/>
            <w:shd w:val="clear" w:color="auto" w:fill="auto"/>
            <w:noWrap/>
          </w:tcPr>
          <w:p w14:paraId="7E1462B1" w14:textId="152121DF" w:rsidR="004471C3" w:rsidRPr="0037157A" w:rsidRDefault="004471C3" w:rsidP="004471C3">
            <w:pPr>
              <w:tabs>
                <w:tab w:val="left" w:pos="288"/>
                <w:tab w:val="left" w:pos="576"/>
                <w:tab w:val="left" w:pos="864"/>
                <w:tab w:val="left" w:pos="1152"/>
              </w:tabs>
              <w:spacing w:before="40" w:after="80"/>
              <w:ind w:right="43"/>
              <w:rPr>
                <w:b/>
                <w:bCs/>
                <w:lang w:val="fr-FR"/>
              </w:rPr>
            </w:pPr>
            <w:r w:rsidRPr="0037157A">
              <w:rPr>
                <w:b/>
                <w:bCs/>
                <w:lang w:val="fr-FR"/>
              </w:rPr>
              <w:t xml:space="preserve">Chapitre 3 : Atteindre l’égalité des genres en matière de protection économique, sanitaire </w:t>
            </w:r>
            <w:r w:rsidR="004B3372" w:rsidRPr="0037157A">
              <w:rPr>
                <w:b/>
                <w:bCs/>
                <w:lang w:val="fr-FR"/>
              </w:rPr>
              <w:t>et</w:t>
            </w:r>
            <w:r w:rsidR="004B3372">
              <w:rPr>
                <w:b/>
                <w:bCs/>
                <w:lang w:val="fr-FR"/>
              </w:rPr>
              <w:t> </w:t>
            </w:r>
            <w:r w:rsidRPr="0037157A">
              <w:rPr>
                <w:b/>
                <w:bCs/>
                <w:lang w:val="fr-FR"/>
              </w:rPr>
              <w:t>sociale</w:t>
            </w:r>
          </w:p>
        </w:tc>
      </w:tr>
      <w:tr w:rsidR="004471C3" w:rsidRPr="0037157A" w14:paraId="2F844960" w14:textId="77777777" w:rsidTr="00BE1017">
        <w:tc>
          <w:tcPr>
            <w:tcW w:w="353" w:type="dxa"/>
            <w:shd w:val="clear" w:color="auto" w:fill="auto"/>
            <w:noWrap/>
          </w:tcPr>
          <w:p w14:paraId="7F38FC71" w14:textId="4F143D7A"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a)</w:t>
            </w:r>
          </w:p>
        </w:tc>
        <w:tc>
          <w:tcPr>
            <w:tcW w:w="8220" w:type="dxa"/>
            <w:gridSpan w:val="2"/>
            <w:shd w:val="clear" w:color="auto" w:fill="auto"/>
            <w:noWrap/>
          </w:tcPr>
          <w:p w14:paraId="60797B83" w14:textId="134F8274"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Favoriser l’emploi des femmes ayant des enfants de moins de 6 ans (en plus des objectifs énoncés au chapitre 1)</w:t>
            </w:r>
          </w:p>
        </w:tc>
      </w:tr>
      <w:tr w:rsidR="004471C3" w:rsidRPr="0037157A" w14:paraId="1C3C6ED0" w14:textId="77777777" w:rsidTr="00315AA6">
        <w:tc>
          <w:tcPr>
            <w:tcW w:w="353" w:type="dxa"/>
            <w:shd w:val="clear" w:color="auto" w:fill="auto"/>
            <w:noWrap/>
          </w:tcPr>
          <w:p w14:paraId="114AFAFC"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048B5278" w14:textId="331D302B"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FE76C8E" w14:textId="3C91D17C"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développant un réseau de mentors en vue de fournir des conseils d’orientation professionnelle aux jeunes femmes ;</w:t>
            </w:r>
          </w:p>
        </w:tc>
      </w:tr>
      <w:tr w:rsidR="004471C3" w:rsidRPr="0037157A" w14:paraId="0047E8BB" w14:textId="77777777" w:rsidTr="00315AA6">
        <w:tc>
          <w:tcPr>
            <w:tcW w:w="353" w:type="dxa"/>
            <w:shd w:val="clear" w:color="auto" w:fill="auto"/>
            <w:noWrap/>
          </w:tcPr>
          <w:p w14:paraId="101993D4"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048E0EA" w14:textId="01CDB864"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6E953FD" w14:textId="7A9073EA"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dispensant des formations et des conseils aux mères de jeunes enfants ;</w:t>
            </w:r>
          </w:p>
        </w:tc>
      </w:tr>
      <w:tr w:rsidR="004471C3" w:rsidRPr="0037157A" w14:paraId="5D130F11" w14:textId="77777777" w:rsidTr="00315AA6">
        <w:tc>
          <w:tcPr>
            <w:tcW w:w="353" w:type="dxa"/>
            <w:shd w:val="clear" w:color="auto" w:fill="auto"/>
            <w:noWrap/>
          </w:tcPr>
          <w:p w14:paraId="156E06DF"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90A4E83" w14:textId="4C2794D7"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5B72C597" w14:textId="12BBD0F2"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renforçant les moyens des institutions fournissant des services de garde d’enfants ;</w:t>
            </w:r>
          </w:p>
        </w:tc>
      </w:tr>
      <w:tr w:rsidR="004471C3" w:rsidRPr="0037157A" w14:paraId="3F41F914" w14:textId="77777777" w:rsidTr="00315AA6">
        <w:tc>
          <w:tcPr>
            <w:tcW w:w="353" w:type="dxa"/>
            <w:shd w:val="clear" w:color="auto" w:fill="auto"/>
            <w:noWrap/>
          </w:tcPr>
          <w:p w14:paraId="51AF65A7"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0DBA54A" w14:textId="2585E502"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560D7C2" w14:textId="32A5C21A"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et en encourageant les mères défavorisées sans qualification ayant au moins quatre enfants à travailler dans des secteurs tels que les soins de santé, la sphère sociale et les soins aux enfants ou aux personnes âgées (secteurs qui reconnaissent l’expérience acquise à la maison en tant que mère), lorsqu’elles ne peuvent pas reprendre leur activité initiale.</w:t>
            </w:r>
          </w:p>
        </w:tc>
      </w:tr>
      <w:tr w:rsidR="004471C3" w:rsidRPr="0037157A" w14:paraId="420BB8D7" w14:textId="77777777" w:rsidTr="00BE1017">
        <w:tc>
          <w:tcPr>
            <w:tcW w:w="353" w:type="dxa"/>
            <w:shd w:val="clear" w:color="auto" w:fill="auto"/>
            <w:noWrap/>
          </w:tcPr>
          <w:p w14:paraId="75783260" w14:textId="734A4FCB"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b)</w:t>
            </w:r>
          </w:p>
        </w:tc>
        <w:tc>
          <w:tcPr>
            <w:tcW w:w="8220" w:type="dxa"/>
            <w:gridSpan w:val="2"/>
            <w:shd w:val="clear" w:color="auto" w:fill="auto"/>
            <w:noWrap/>
          </w:tcPr>
          <w:p w14:paraId="496BA7A8" w14:textId="4E1D403E" w:rsidR="004471C3" w:rsidRPr="0037157A" w:rsidRDefault="004471C3" w:rsidP="004471C3">
            <w:pPr>
              <w:tabs>
                <w:tab w:val="left" w:pos="288"/>
                <w:tab w:val="left" w:pos="576"/>
                <w:tab w:val="left" w:pos="864"/>
                <w:tab w:val="left" w:pos="1152"/>
              </w:tabs>
              <w:spacing w:before="40" w:after="80"/>
              <w:ind w:left="2" w:right="43"/>
              <w:rPr>
                <w:i/>
                <w:iCs/>
                <w:lang w:val="fr-FR"/>
              </w:rPr>
            </w:pPr>
            <w:r w:rsidRPr="0037157A">
              <w:rPr>
                <w:i/>
                <w:iCs/>
                <w:lang w:val="fr-FR"/>
              </w:rPr>
              <w:t>Encourager l’entrepreneuriat féminin</w:t>
            </w:r>
          </w:p>
        </w:tc>
      </w:tr>
      <w:tr w:rsidR="004471C3" w:rsidRPr="0037157A" w14:paraId="238773C2" w14:textId="77777777" w:rsidTr="00315AA6">
        <w:tc>
          <w:tcPr>
            <w:tcW w:w="353" w:type="dxa"/>
            <w:shd w:val="clear" w:color="auto" w:fill="auto"/>
            <w:noWrap/>
          </w:tcPr>
          <w:p w14:paraId="1EC62DE8"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3DBED28" w14:textId="1CAF5399" w:rsidR="004471C3" w:rsidRPr="00B06C44" w:rsidRDefault="004B3372"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725E323" w14:textId="4DE714C4"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mettant en place des programmes de développement des compétences, de formation, de recherche et de mentora</w:t>
            </w:r>
            <w:r w:rsidR="00315AA6" w:rsidRPr="0037157A">
              <w:rPr>
                <w:lang w:val="fr-FR"/>
              </w:rPr>
              <w:t>t</w:t>
            </w:r>
            <w:r w:rsidRPr="0037157A">
              <w:rPr>
                <w:lang w:val="fr-FR"/>
              </w:rPr>
              <w:t> ;</w:t>
            </w:r>
          </w:p>
        </w:tc>
      </w:tr>
      <w:tr w:rsidR="004471C3" w:rsidRPr="0037157A" w14:paraId="31834CE4" w14:textId="77777777" w:rsidTr="00315AA6">
        <w:tc>
          <w:tcPr>
            <w:tcW w:w="353" w:type="dxa"/>
            <w:shd w:val="clear" w:color="auto" w:fill="auto"/>
            <w:noWrap/>
          </w:tcPr>
          <w:p w14:paraId="28765A6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F768E29" w14:textId="0D26CE35"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238A0F2" w14:textId="6BA073D4"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et en présentant des modèles d’entrepreneuses ayant réussi.</w:t>
            </w:r>
          </w:p>
        </w:tc>
      </w:tr>
      <w:tr w:rsidR="004471C3" w:rsidRPr="0037157A" w14:paraId="20BB2AF2" w14:textId="77777777" w:rsidTr="00BE1017">
        <w:tc>
          <w:tcPr>
            <w:tcW w:w="353" w:type="dxa"/>
            <w:shd w:val="clear" w:color="auto" w:fill="auto"/>
            <w:noWrap/>
          </w:tcPr>
          <w:p w14:paraId="6B456F87" w14:textId="2FE4AAC9" w:rsidR="004471C3" w:rsidRPr="0037157A" w:rsidRDefault="004471C3" w:rsidP="004471C3">
            <w:pPr>
              <w:tabs>
                <w:tab w:val="left" w:pos="288"/>
                <w:tab w:val="left" w:pos="576"/>
                <w:tab w:val="left" w:pos="864"/>
                <w:tab w:val="left" w:pos="1152"/>
              </w:tabs>
              <w:spacing w:before="40" w:after="80"/>
              <w:ind w:right="40"/>
              <w:rPr>
                <w:lang w:val="fr-FR"/>
              </w:rPr>
            </w:pPr>
            <w:r w:rsidRPr="0037157A">
              <w:rPr>
                <w:i/>
                <w:iCs/>
                <w:lang w:val="fr-FR"/>
              </w:rPr>
              <w:t>c)</w:t>
            </w:r>
          </w:p>
        </w:tc>
        <w:tc>
          <w:tcPr>
            <w:tcW w:w="8220" w:type="dxa"/>
            <w:gridSpan w:val="2"/>
            <w:shd w:val="clear" w:color="auto" w:fill="auto"/>
            <w:noWrap/>
          </w:tcPr>
          <w:p w14:paraId="2DE40C5E" w14:textId="62CE4E35" w:rsidR="004471C3" w:rsidRPr="0037157A" w:rsidRDefault="004471C3" w:rsidP="004471C3">
            <w:pPr>
              <w:tabs>
                <w:tab w:val="left" w:pos="288"/>
                <w:tab w:val="left" w:pos="576"/>
                <w:tab w:val="left" w:pos="864"/>
                <w:tab w:val="left" w:pos="1152"/>
              </w:tabs>
              <w:spacing w:before="40" w:after="80"/>
              <w:ind w:left="2" w:right="43"/>
              <w:rPr>
                <w:lang w:val="fr-FR"/>
              </w:rPr>
            </w:pPr>
            <w:r w:rsidRPr="0037157A">
              <w:rPr>
                <w:i/>
                <w:iCs/>
                <w:lang w:val="fr-FR"/>
              </w:rPr>
              <w:t>Combler l’écart de rémunération entre les femmes et les hommes</w:t>
            </w:r>
          </w:p>
        </w:tc>
      </w:tr>
      <w:tr w:rsidR="004471C3" w:rsidRPr="0037157A" w14:paraId="7E762916" w14:textId="77777777" w:rsidTr="00315AA6">
        <w:tc>
          <w:tcPr>
            <w:tcW w:w="353" w:type="dxa"/>
            <w:shd w:val="clear" w:color="auto" w:fill="auto"/>
            <w:noWrap/>
          </w:tcPr>
          <w:p w14:paraId="6C58A6EF"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200914C3" w14:textId="24C16E85"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76E5316" w14:textId="35149266"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menant des recherches sur ses causes profondes ;</w:t>
            </w:r>
          </w:p>
        </w:tc>
      </w:tr>
      <w:tr w:rsidR="004471C3" w:rsidRPr="0037157A" w14:paraId="2C2C774F" w14:textId="77777777" w:rsidTr="00315AA6">
        <w:tc>
          <w:tcPr>
            <w:tcW w:w="353" w:type="dxa"/>
            <w:shd w:val="clear" w:color="auto" w:fill="auto"/>
            <w:noWrap/>
          </w:tcPr>
          <w:p w14:paraId="484F9A0D"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0D5B6C5" w14:textId="2BB99EB0"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1D17970" w14:textId="71411BC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réalisant des actions ciblées ;</w:t>
            </w:r>
          </w:p>
        </w:tc>
      </w:tr>
      <w:tr w:rsidR="004471C3" w:rsidRPr="0037157A" w14:paraId="50394A07" w14:textId="77777777" w:rsidTr="00315AA6">
        <w:tc>
          <w:tcPr>
            <w:tcW w:w="353" w:type="dxa"/>
            <w:shd w:val="clear" w:color="auto" w:fill="auto"/>
            <w:noWrap/>
          </w:tcPr>
          <w:p w14:paraId="19B6FB02"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BC82A2F" w14:textId="0B098C86"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6907183A" w14:textId="22C388AB"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et en conduisant des recherches sur l’écart de pension entre les femmes et les hommes.</w:t>
            </w:r>
          </w:p>
        </w:tc>
      </w:tr>
      <w:tr w:rsidR="004471C3" w:rsidRPr="0037157A" w14:paraId="65DE0B3F" w14:textId="77777777" w:rsidTr="00BE1017">
        <w:tc>
          <w:tcPr>
            <w:tcW w:w="353" w:type="dxa"/>
            <w:shd w:val="clear" w:color="auto" w:fill="auto"/>
            <w:noWrap/>
          </w:tcPr>
          <w:p w14:paraId="0BA7E2AD" w14:textId="60F527C2" w:rsidR="004471C3" w:rsidRPr="0037157A" w:rsidRDefault="004471C3" w:rsidP="004471C3">
            <w:pPr>
              <w:tabs>
                <w:tab w:val="left" w:pos="288"/>
                <w:tab w:val="left" w:pos="576"/>
                <w:tab w:val="left" w:pos="864"/>
                <w:tab w:val="left" w:pos="1152"/>
              </w:tabs>
              <w:spacing w:before="40" w:after="80"/>
              <w:ind w:right="40"/>
              <w:rPr>
                <w:i/>
                <w:iCs/>
                <w:lang w:val="fr-FR"/>
              </w:rPr>
            </w:pPr>
            <w:r w:rsidRPr="0037157A">
              <w:rPr>
                <w:i/>
                <w:iCs/>
                <w:lang w:val="fr-FR"/>
              </w:rPr>
              <w:t>d)</w:t>
            </w:r>
          </w:p>
        </w:tc>
        <w:tc>
          <w:tcPr>
            <w:tcW w:w="8220" w:type="dxa"/>
            <w:gridSpan w:val="2"/>
            <w:shd w:val="clear" w:color="auto" w:fill="auto"/>
            <w:noWrap/>
          </w:tcPr>
          <w:p w14:paraId="6B242CF8" w14:textId="4C6B9369" w:rsidR="004471C3" w:rsidRPr="0037157A" w:rsidRDefault="004471C3" w:rsidP="004471C3">
            <w:pPr>
              <w:tabs>
                <w:tab w:val="left" w:pos="288"/>
                <w:tab w:val="left" w:pos="576"/>
                <w:tab w:val="left" w:pos="864"/>
                <w:tab w:val="left" w:pos="1152"/>
              </w:tabs>
              <w:spacing w:before="40" w:after="80"/>
              <w:ind w:left="2" w:right="43"/>
              <w:rPr>
                <w:lang w:val="fr-FR"/>
              </w:rPr>
            </w:pPr>
            <w:r w:rsidRPr="0037157A">
              <w:rPr>
                <w:i/>
                <w:iCs/>
                <w:lang w:val="fr-FR"/>
              </w:rPr>
              <w:t>Réduire le risque de pauvreté dans les domaines de l’emploi, de la sécurité sociale, de la santé et de la protection sociale ainsi que de la transition numérique</w:t>
            </w:r>
          </w:p>
        </w:tc>
      </w:tr>
      <w:tr w:rsidR="004471C3" w:rsidRPr="0037157A" w14:paraId="7A55D323" w14:textId="77777777" w:rsidTr="00315AA6">
        <w:tc>
          <w:tcPr>
            <w:tcW w:w="353" w:type="dxa"/>
            <w:shd w:val="clear" w:color="auto" w:fill="auto"/>
            <w:noWrap/>
          </w:tcPr>
          <w:p w14:paraId="44B82A43"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83A19BD" w14:textId="0860A835"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7FA59DB" w14:textId="69D4BC59"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réalisant des collectes de données ventilées par sexe et des évaluations de données sur des groupes cibles particuliers (parents isolés, enfants handicapés, familles nombreuses et personnes défavorisées) ;</w:t>
            </w:r>
          </w:p>
        </w:tc>
      </w:tr>
      <w:tr w:rsidR="004471C3" w:rsidRPr="0037157A" w14:paraId="3C48B351" w14:textId="77777777" w:rsidTr="00315AA6">
        <w:tc>
          <w:tcPr>
            <w:tcW w:w="353" w:type="dxa"/>
            <w:shd w:val="clear" w:color="auto" w:fill="auto"/>
            <w:noWrap/>
          </w:tcPr>
          <w:p w14:paraId="5EC7148B"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66BEEF7" w14:textId="7F219D37"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5BB44BC" w14:textId="214A8EC1"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offrant des possibilités d’éducation intéressantes aux mères enceintes ;</w:t>
            </w:r>
          </w:p>
        </w:tc>
      </w:tr>
      <w:tr w:rsidR="004471C3" w:rsidRPr="0037157A" w14:paraId="44601E8B" w14:textId="77777777" w:rsidTr="00315AA6">
        <w:tc>
          <w:tcPr>
            <w:tcW w:w="353" w:type="dxa"/>
            <w:shd w:val="clear" w:color="auto" w:fill="auto"/>
            <w:noWrap/>
          </w:tcPr>
          <w:p w14:paraId="25EF994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3D7A349" w14:textId="47994E60"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2A022B4" w14:textId="44535595"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poursuivant le développement du réseau des points « Famille et carrière » ;</w:t>
            </w:r>
          </w:p>
        </w:tc>
      </w:tr>
      <w:tr w:rsidR="004471C3" w:rsidRPr="0037157A" w14:paraId="0A067A4D" w14:textId="77777777" w:rsidTr="00315AA6">
        <w:tc>
          <w:tcPr>
            <w:tcW w:w="353" w:type="dxa"/>
            <w:shd w:val="clear" w:color="auto" w:fill="auto"/>
            <w:noWrap/>
          </w:tcPr>
          <w:p w14:paraId="4F8C0F05"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B290FBA" w14:textId="5F609B67"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14D3568" w14:textId="4C071C4E"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continuant à diffuser et à élargir le programme de soutien aux services de soins obstétricaux et hôpitaux adaptés aux familles ;</w:t>
            </w:r>
          </w:p>
        </w:tc>
      </w:tr>
      <w:tr w:rsidR="004471C3" w:rsidRPr="0037157A" w14:paraId="09EE3889" w14:textId="77777777" w:rsidTr="00315AA6">
        <w:tc>
          <w:tcPr>
            <w:tcW w:w="353" w:type="dxa"/>
            <w:shd w:val="clear" w:color="auto" w:fill="auto"/>
            <w:noWrap/>
          </w:tcPr>
          <w:p w14:paraId="35A04539"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08C5C5E" w14:textId="1836B927"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3C078FD" w14:textId="47D5BAB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introduisant des mesures incitatives et des augmentations salariales pour consolider le réseau des intervenants sanitaires, afin d’apporter un soutien accru aux mères enceintes, en mettant l’accent sur les zones défavorisées ;</w:t>
            </w:r>
          </w:p>
        </w:tc>
      </w:tr>
      <w:tr w:rsidR="004471C3" w:rsidRPr="0037157A" w14:paraId="06501B35" w14:textId="77777777" w:rsidTr="00315AA6">
        <w:tc>
          <w:tcPr>
            <w:tcW w:w="353" w:type="dxa"/>
            <w:shd w:val="clear" w:color="auto" w:fill="auto"/>
            <w:noWrap/>
          </w:tcPr>
          <w:p w14:paraId="05F6524C"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55BFF17E" w14:textId="0669D4E1"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3FA05E58" w14:textId="6D6A0621"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suscitant une prise de conscience sur la santé des femmes défavorisées et en encourageant celles-ci à participer aux tests de dépistage organisés dans le cadre des soins de santé publique ;</w:t>
            </w:r>
          </w:p>
        </w:tc>
      </w:tr>
      <w:tr w:rsidR="004471C3" w:rsidRPr="0037157A" w14:paraId="14BA6629" w14:textId="77777777" w:rsidTr="00315AA6">
        <w:tc>
          <w:tcPr>
            <w:tcW w:w="353" w:type="dxa"/>
            <w:shd w:val="clear" w:color="auto" w:fill="auto"/>
            <w:noWrap/>
          </w:tcPr>
          <w:p w14:paraId="1E6D9E44"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6E5D5F4E" w14:textId="251868B2"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0F1E33EB" w14:textId="177A0A8A"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offrant des conseils gratuits en matière de santé mentale, en mettant des psychologues à la disposition des femmes défavorisées dans les bureaux de promotion de la santé ;</w:t>
            </w:r>
          </w:p>
        </w:tc>
      </w:tr>
      <w:tr w:rsidR="004471C3" w:rsidRPr="0037157A" w14:paraId="1221511F" w14:textId="77777777" w:rsidTr="00315AA6">
        <w:tc>
          <w:tcPr>
            <w:tcW w:w="353" w:type="dxa"/>
            <w:shd w:val="clear" w:color="auto" w:fill="auto"/>
            <w:noWrap/>
          </w:tcPr>
          <w:p w14:paraId="5905281F"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35E10946" w14:textId="34754DE8"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52D9E5F" w14:textId="3FF30EFF"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facilitant l’insertion des personnes démunies et des femmes roms sur le marché du travail, notamment grâce à l’expansion des programmes de prévention du décrochage scolaire précoce ;</w:t>
            </w:r>
          </w:p>
        </w:tc>
      </w:tr>
      <w:tr w:rsidR="004471C3" w:rsidRPr="0037157A" w14:paraId="64037E42" w14:textId="77777777" w:rsidTr="00315AA6">
        <w:tc>
          <w:tcPr>
            <w:tcW w:w="353" w:type="dxa"/>
            <w:shd w:val="clear" w:color="auto" w:fill="auto"/>
            <w:noWrap/>
          </w:tcPr>
          <w:p w14:paraId="19D08987"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7038B038" w14:textId="133A7D93"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49CD4CAE" w14:textId="1A489211"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 xml:space="preserve">en renforçant les compétences des mères défavorisées en matière d’éducation des enfants </w:t>
            </w:r>
            <w:r w:rsidR="007745AD">
              <w:rPr>
                <w:lang w:val="fr-FR"/>
              </w:rPr>
              <w:t>[</w:t>
            </w:r>
            <w:r w:rsidRPr="0037157A">
              <w:rPr>
                <w:lang w:val="fr-FR"/>
              </w:rPr>
              <w:t xml:space="preserve">grâce au développement du réseau des « Sure Start Children’s Houses » </w:t>
            </w:r>
            <w:r w:rsidR="007745AD">
              <w:rPr>
                <w:lang w:val="fr-FR"/>
              </w:rPr>
              <w:t>(</w:t>
            </w:r>
            <w:r w:rsidRPr="0037157A">
              <w:rPr>
                <w:lang w:val="fr-FR"/>
              </w:rPr>
              <w:t>Maisons d’enfants pour un bon départ)</w:t>
            </w:r>
            <w:r w:rsidR="007745AD">
              <w:rPr>
                <w:lang w:val="fr-FR"/>
              </w:rPr>
              <w:t>]</w:t>
            </w:r>
            <w:r w:rsidRPr="0037157A">
              <w:rPr>
                <w:lang w:val="fr-FR"/>
              </w:rPr>
              <w:t> ;</w:t>
            </w:r>
          </w:p>
        </w:tc>
      </w:tr>
      <w:tr w:rsidR="004471C3" w:rsidRPr="0037157A" w14:paraId="3D40E1C9" w14:textId="77777777" w:rsidTr="00315AA6">
        <w:tc>
          <w:tcPr>
            <w:tcW w:w="353" w:type="dxa"/>
            <w:shd w:val="clear" w:color="auto" w:fill="auto"/>
            <w:noWrap/>
          </w:tcPr>
          <w:p w14:paraId="090B47D8"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10CFD41B" w14:textId="6D18472D"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1008D0D9" w14:textId="2C7F6DBE"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soutenant les familles monoparentales démunies, en fournissant des bourses d’études aux enfants vivant avec un seul parent ;</w:t>
            </w:r>
          </w:p>
        </w:tc>
      </w:tr>
      <w:tr w:rsidR="004471C3" w:rsidRPr="0037157A" w14:paraId="3420E817" w14:textId="77777777" w:rsidTr="00315AA6">
        <w:tc>
          <w:tcPr>
            <w:tcW w:w="353" w:type="dxa"/>
            <w:shd w:val="clear" w:color="auto" w:fill="auto"/>
            <w:noWrap/>
          </w:tcPr>
          <w:p w14:paraId="0EB4E0F3" w14:textId="77777777"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shd w:val="clear" w:color="auto" w:fill="auto"/>
            <w:noWrap/>
          </w:tcPr>
          <w:p w14:paraId="4C269129" w14:textId="576F819B"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shd w:val="clear" w:color="auto" w:fill="auto"/>
            <w:noWrap/>
          </w:tcPr>
          <w:p w14:paraId="7E9BA549" w14:textId="2FA1CC78"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en reconnaissant le travail des femmes qui s’occupent d’un parent âgé à la maison ;</w:t>
            </w:r>
          </w:p>
        </w:tc>
      </w:tr>
      <w:tr w:rsidR="004471C3" w:rsidRPr="0037157A" w14:paraId="7FC2B4CB" w14:textId="77777777" w:rsidTr="00315AA6">
        <w:tc>
          <w:tcPr>
            <w:tcW w:w="353" w:type="dxa"/>
            <w:tcBorders>
              <w:bottom w:val="single" w:sz="12" w:space="0" w:color="auto"/>
            </w:tcBorders>
            <w:shd w:val="clear" w:color="auto" w:fill="auto"/>
            <w:noWrap/>
          </w:tcPr>
          <w:p w14:paraId="66CFA70C" w14:textId="43EA8E10" w:rsidR="004471C3" w:rsidRPr="0037157A" w:rsidRDefault="004471C3" w:rsidP="004471C3">
            <w:pPr>
              <w:tabs>
                <w:tab w:val="left" w:pos="288"/>
                <w:tab w:val="left" w:pos="576"/>
                <w:tab w:val="left" w:pos="864"/>
                <w:tab w:val="left" w:pos="1152"/>
              </w:tabs>
              <w:spacing w:before="40" w:after="80"/>
              <w:ind w:right="40"/>
              <w:rPr>
                <w:lang w:val="fr-FR"/>
              </w:rPr>
            </w:pPr>
          </w:p>
        </w:tc>
        <w:tc>
          <w:tcPr>
            <w:tcW w:w="270" w:type="dxa"/>
            <w:tcBorders>
              <w:bottom w:val="single" w:sz="12" w:space="0" w:color="auto"/>
            </w:tcBorders>
            <w:shd w:val="clear" w:color="auto" w:fill="auto"/>
            <w:noWrap/>
          </w:tcPr>
          <w:p w14:paraId="4748764A" w14:textId="6BCC05AD" w:rsidR="004471C3" w:rsidRPr="00B06C44" w:rsidRDefault="007745AD" w:rsidP="004471C3">
            <w:pPr>
              <w:tabs>
                <w:tab w:val="left" w:pos="288"/>
                <w:tab w:val="left" w:pos="452"/>
                <w:tab w:val="left" w:pos="576"/>
                <w:tab w:val="left" w:pos="864"/>
                <w:tab w:val="left" w:pos="1152"/>
              </w:tabs>
              <w:spacing w:before="40" w:after="80"/>
              <w:ind w:right="43"/>
              <w:rPr>
                <w:lang w:val="fr-FR"/>
              </w:rPr>
            </w:pPr>
            <w:r w:rsidRPr="00B06C44">
              <w:rPr>
                <w:lang w:val="fr-FR"/>
              </w:rPr>
              <w:t>•</w:t>
            </w:r>
          </w:p>
        </w:tc>
        <w:tc>
          <w:tcPr>
            <w:tcW w:w="7950" w:type="dxa"/>
            <w:tcBorders>
              <w:bottom w:val="single" w:sz="12" w:space="0" w:color="auto"/>
            </w:tcBorders>
            <w:shd w:val="clear" w:color="auto" w:fill="auto"/>
            <w:noWrap/>
          </w:tcPr>
          <w:p w14:paraId="41EEC32F" w14:textId="6303C822" w:rsidR="004471C3" w:rsidRPr="0037157A" w:rsidRDefault="004471C3" w:rsidP="004471C3">
            <w:pPr>
              <w:tabs>
                <w:tab w:val="left" w:pos="288"/>
                <w:tab w:val="left" w:pos="452"/>
                <w:tab w:val="left" w:pos="576"/>
                <w:tab w:val="left" w:pos="864"/>
                <w:tab w:val="left" w:pos="1152"/>
              </w:tabs>
              <w:spacing w:before="40" w:after="80"/>
              <w:ind w:right="43"/>
              <w:rPr>
                <w:lang w:val="fr-FR"/>
              </w:rPr>
            </w:pPr>
            <w:r w:rsidRPr="0037157A">
              <w:rPr>
                <w:lang w:val="fr-FR"/>
              </w:rPr>
              <w:t>et en promouvant l’aptitude à se servir des outils numériques.</w:t>
            </w:r>
          </w:p>
        </w:tc>
      </w:tr>
    </w:tbl>
    <w:p w14:paraId="6FAF0D27" w14:textId="3932DE77" w:rsidR="002E0B8B" w:rsidRPr="0037157A" w:rsidRDefault="002E0B8B" w:rsidP="00C4590A">
      <w:pPr>
        <w:pStyle w:val="SingleTxt"/>
        <w:spacing w:after="0" w:line="120" w:lineRule="exact"/>
        <w:rPr>
          <w:sz w:val="10"/>
          <w:lang w:val="fr-FR"/>
        </w:rPr>
      </w:pPr>
    </w:p>
    <w:p w14:paraId="6F8D4748" w14:textId="19F47D02" w:rsidR="00C4590A" w:rsidRPr="0037157A" w:rsidRDefault="00C4590A" w:rsidP="00C4590A">
      <w:pPr>
        <w:pStyle w:val="SingleTxt"/>
        <w:spacing w:after="0" w:line="120" w:lineRule="exact"/>
        <w:rPr>
          <w:sz w:val="10"/>
          <w:lang w:val="fr-FR"/>
        </w:rPr>
      </w:pPr>
    </w:p>
    <w:p w14:paraId="0B2D4F07" w14:textId="14BC9635" w:rsidR="004471C3" w:rsidRPr="0037157A" w:rsidRDefault="002E0B8B" w:rsidP="009D535F">
      <w:pPr>
        <w:pStyle w:val="SingleTxt"/>
        <w:numPr>
          <w:ilvl w:val="0"/>
          <w:numId w:val="6"/>
        </w:numPr>
        <w:tabs>
          <w:tab w:val="num" w:pos="2804"/>
        </w:tabs>
        <w:spacing w:line="240" w:lineRule="exact"/>
        <w:ind w:left="1267"/>
        <w:rPr>
          <w:lang w:val="fr-FR"/>
        </w:rPr>
      </w:pPr>
      <w:r w:rsidRPr="0037157A">
        <w:rPr>
          <w:lang w:val="fr-FR"/>
        </w:rPr>
        <w:t>Les objectifs axés sur les résultats du plan d</w:t>
      </w:r>
      <w:r w:rsidR="004471C3" w:rsidRPr="0037157A">
        <w:rPr>
          <w:lang w:val="fr-FR"/>
        </w:rPr>
        <w:t>’</w:t>
      </w:r>
      <w:r w:rsidRPr="0037157A">
        <w:rPr>
          <w:lang w:val="fr-FR"/>
        </w:rPr>
        <w:t>action</w:t>
      </w:r>
      <w:r w:rsidR="00315AA6" w:rsidRPr="0037157A">
        <w:rPr>
          <w:lang w:val="fr-FR"/>
        </w:rPr>
        <w:t xml:space="preserve"> </w:t>
      </w:r>
      <w:r w:rsidRPr="0037157A">
        <w:rPr>
          <w:lang w:val="fr-FR"/>
        </w:rPr>
        <w:t>2021-2030 sont les suivants</w:t>
      </w:r>
      <w:r w:rsidR="004471C3" w:rsidRPr="0037157A">
        <w:rPr>
          <w:lang w:val="fr-FR"/>
        </w:rPr>
        <w:t> :</w:t>
      </w:r>
    </w:p>
    <w:p w14:paraId="59BAE18A" w14:textId="6255A87B" w:rsidR="002E0B8B" w:rsidRPr="0037157A" w:rsidRDefault="00C4590A" w:rsidP="00C4590A">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garantir des services de garde d</w:t>
      </w:r>
      <w:r w:rsidR="004471C3" w:rsidRPr="0037157A">
        <w:rPr>
          <w:lang w:val="fr-FR"/>
        </w:rPr>
        <w:t>’</w:t>
      </w:r>
      <w:r w:rsidR="002E0B8B" w:rsidRPr="0037157A">
        <w:rPr>
          <w:lang w:val="fr-FR"/>
        </w:rPr>
        <w:t>enfants suffisants</w:t>
      </w:r>
      <w:r w:rsidR="004471C3" w:rsidRPr="0037157A">
        <w:rPr>
          <w:lang w:val="fr-FR"/>
        </w:rPr>
        <w:t> ;</w:t>
      </w:r>
    </w:p>
    <w:p w14:paraId="716B43B2" w14:textId="217B6EA2" w:rsidR="002E0B8B" w:rsidRPr="0037157A" w:rsidRDefault="00C4590A" w:rsidP="00C4590A">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accroître de 8</w:t>
      </w:r>
      <w:r w:rsidR="004471C3" w:rsidRPr="0037157A">
        <w:rPr>
          <w:lang w:val="fr-FR"/>
        </w:rPr>
        <w:t> %</w:t>
      </w:r>
      <w:r w:rsidR="002E0B8B" w:rsidRPr="0037157A">
        <w:rPr>
          <w:lang w:val="fr-FR"/>
        </w:rPr>
        <w:t xml:space="preserve"> la part de personnes exerçant des formes d</w:t>
      </w:r>
      <w:r w:rsidR="004471C3" w:rsidRPr="0037157A">
        <w:rPr>
          <w:lang w:val="fr-FR"/>
        </w:rPr>
        <w:t>’</w:t>
      </w:r>
      <w:r w:rsidR="002E0B8B" w:rsidRPr="0037157A">
        <w:rPr>
          <w:lang w:val="fr-FR"/>
        </w:rPr>
        <w:t>emploi atypiques</w:t>
      </w:r>
      <w:r w:rsidR="004471C3" w:rsidRPr="0037157A">
        <w:rPr>
          <w:lang w:val="fr-FR"/>
        </w:rPr>
        <w:t> ;</w:t>
      </w:r>
    </w:p>
    <w:p w14:paraId="3B10F854" w14:textId="72EB7F5B" w:rsidR="002E0B8B" w:rsidRPr="0037157A" w:rsidRDefault="00C4590A" w:rsidP="00C4590A">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accroître de 10</w:t>
      </w:r>
      <w:r w:rsidR="004471C3" w:rsidRPr="0037157A">
        <w:rPr>
          <w:lang w:val="fr-FR"/>
        </w:rPr>
        <w:t> %</w:t>
      </w:r>
      <w:r w:rsidR="002E0B8B" w:rsidRPr="0037157A">
        <w:rPr>
          <w:lang w:val="fr-FR"/>
        </w:rPr>
        <w:t xml:space="preserve"> le nombre d</w:t>
      </w:r>
      <w:r w:rsidR="004471C3" w:rsidRPr="0037157A">
        <w:rPr>
          <w:lang w:val="fr-FR"/>
        </w:rPr>
        <w:t>’</w:t>
      </w:r>
      <w:r w:rsidR="002E0B8B" w:rsidRPr="0037157A">
        <w:rPr>
          <w:lang w:val="fr-FR"/>
        </w:rPr>
        <w:t>établissements d</w:t>
      </w:r>
      <w:r w:rsidR="004471C3" w:rsidRPr="0037157A">
        <w:rPr>
          <w:lang w:val="fr-FR"/>
        </w:rPr>
        <w:t>’</w:t>
      </w:r>
      <w:r w:rsidR="002E0B8B" w:rsidRPr="0037157A">
        <w:rPr>
          <w:lang w:val="fr-FR"/>
        </w:rPr>
        <w:t>enseignement supérieur proposant des solutions adaptées aux familles</w:t>
      </w:r>
      <w:r w:rsidR="004471C3" w:rsidRPr="0037157A">
        <w:rPr>
          <w:lang w:val="fr-FR"/>
        </w:rPr>
        <w:t> ;</w:t>
      </w:r>
    </w:p>
    <w:p w14:paraId="15138150" w14:textId="3CF6B43F" w:rsidR="002E0B8B" w:rsidRPr="0037157A" w:rsidRDefault="00C4590A" w:rsidP="00C4590A">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et accroître de 10</w:t>
      </w:r>
      <w:r w:rsidR="004471C3" w:rsidRPr="0037157A">
        <w:rPr>
          <w:lang w:val="fr-FR"/>
        </w:rPr>
        <w:t> %</w:t>
      </w:r>
      <w:r w:rsidR="002E0B8B" w:rsidRPr="0037157A">
        <w:rPr>
          <w:lang w:val="fr-FR"/>
        </w:rPr>
        <w:t xml:space="preserve"> le nombre de services hospitaliers adaptés aux familles.</w:t>
      </w:r>
    </w:p>
    <w:p w14:paraId="2854A8E4" w14:textId="30A78AAF" w:rsidR="002E0B8B" w:rsidRPr="0037157A" w:rsidRDefault="002E0B8B" w:rsidP="009D535F">
      <w:pPr>
        <w:pStyle w:val="SingleTxt"/>
        <w:numPr>
          <w:ilvl w:val="0"/>
          <w:numId w:val="12"/>
        </w:numPr>
        <w:tabs>
          <w:tab w:val="num" w:pos="2804"/>
        </w:tabs>
        <w:spacing w:line="240" w:lineRule="exact"/>
        <w:rPr>
          <w:lang w:val="fr-FR"/>
        </w:rPr>
      </w:pPr>
      <w:r w:rsidRPr="0037157A">
        <w:rPr>
          <w:lang w:val="fr-FR"/>
        </w:rPr>
        <w:t>Le plan d</w:t>
      </w:r>
      <w:r w:rsidR="004471C3" w:rsidRPr="0037157A">
        <w:rPr>
          <w:lang w:val="fr-FR"/>
        </w:rPr>
        <w:t>’</w:t>
      </w:r>
      <w:r w:rsidRPr="0037157A">
        <w:rPr>
          <w:lang w:val="fr-FR"/>
        </w:rPr>
        <w:t>action</w:t>
      </w:r>
      <w:r w:rsidR="00C4590A" w:rsidRPr="0037157A">
        <w:rPr>
          <w:lang w:val="fr-FR"/>
        </w:rPr>
        <w:t xml:space="preserve"> </w:t>
      </w:r>
      <w:r w:rsidRPr="0037157A">
        <w:rPr>
          <w:lang w:val="fr-FR"/>
        </w:rPr>
        <w:t>2021-2030 est financé au moyen de ressources nationales et européennes. Son budget exact et les ministères concernés sont indiqués dans les documents de mise en œuvre adoptés par le groupe de travail pour le plan d</w:t>
      </w:r>
      <w:r w:rsidR="004471C3" w:rsidRPr="0037157A">
        <w:rPr>
          <w:lang w:val="fr-FR"/>
        </w:rPr>
        <w:t>’</w:t>
      </w:r>
      <w:r w:rsidRPr="0037157A">
        <w:rPr>
          <w:lang w:val="fr-FR"/>
        </w:rPr>
        <w:t>action</w:t>
      </w:r>
      <w:r w:rsidR="00C4590A" w:rsidRPr="0037157A">
        <w:rPr>
          <w:lang w:val="fr-FR"/>
        </w:rPr>
        <w:t xml:space="preserve"> </w:t>
      </w:r>
      <w:r w:rsidRPr="0037157A">
        <w:rPr>
          <w:lang w:val="fr-FR"/>
        </w:rPr>
        <w:t>2021-2030.</w:t>
      </w:r>
    </w:p>
    <w:p w14:paraId="52DFE99A" w14:textId="6F4BA024" w:rsidR="002E0B8B" w:rsidRPr="0037157A" w:rsidRDefault="002E0B8B" w:rsidP="009D535F">
      <w:pPr>
        <w:pStyle w:val="SingleTxt"/>
        <w:numPr>
          <w:ilvl w:val="0"/>
          <w:numId w:val="12"/>
        </w:numPr>
        <w:tabs>
          <w:tab w:val="num" w:pos="2804"/>
        </w:tabs>
        <w:spacing w:line="240" w:lineRule="exact"/>
        <w:rPr>
          <w:lang w:val="fr-FR"/>
        </w:rPr>
      </w:pPr>
      <w:r w:rsidRPr="0037157A">
        <w:rPr>
          <w:lang w:val="fr-FR"/>
        </w:rPr>
        <w:t>En 2020, Katalin Novák a été nommée Ministre de la famille (sans portefeuille) et a été chargée, entre autres tâches, de promouvoir l</w:t>
      </w:r>
      <w:r w:rsidR="004471C3" w:rsidRPr="0037157A">
        <w:rPr>
          <w:lang w:val="fr-FR"/>
        </w:rPr>
        <w:t>’</w:t>
      </w:r>
      <w:r w:rsidRPr="0037157A">
        <w:rPr>
          <w:lang w:val="fr-FR"/>
        </w:rPr>
        <w:t>égalité des genres et l</w:t>
      </w:r>
      <w:r w:rsidR="004471C3" w:rsidRPr="0037157A">
        <w:rPr>
          <w:lang w:val="fr-FR"/>
        </w:rPr>
        <w:t>’</w:t>
      </w:r>
      <w:r w:rsidRPr="0037157A">
        <w:rPr>
          <w:lang w:val="fr-FR"/>
        </w:rPr>
        <w:t>autonomisation des femmes. À cette fin, un organisme distinct appelé « Unité pour l</w:t>
      </w:r>
      <w:r w:rsidR="004471C3" w:rsidRPr="0037157A">
        <w:rPr>
          <w:lang w:val="fr-FR"/>
        </w:rPr>
        <w:t>’</w:t>
      </w:r>
      <w:r w:rsidRPr="0037157A">
        <w:rPr>
          <w:lang w:val="fr-FR"/>
        </w:rPr>
        <w:t>égalité des genres » garantit la prise en compte de la dimension de genre dans les lois et mesures gouvernementales adoptées par les autres ministères (sans pour autant retirer ces mesures de leur compétence).</w:t>
      </w:r>
    </w:p>
    <w:p w14:paraId="73118A51" w14:textId="0D02AD0B" w:rsidR="002E0B8B" w:rsidRPr="0037157A" w:rsidRDefault="002E0B8B" w:rsidP="009D535F">
      <w:pPr>
        <w:pStyle w:val="SingleTxt"/>
        <w:numPr>
          <w:ilvl w:val="0"/>
          <w:numId w:val="12"/>
        </w:numPr>
        <w:tabs>
          <w:tab w:val="num" w:pos="2804"/>
        </w:tabs>
        <w:spacing w:line="240" w:lineRule="exact"/>
        <w:rPr>
          <w:lang w:val="fr-FR"/>
        </w:rPr>
      </w:pPr>
      <w:r w:rsidRPr="0037157A">
        <w:rPr>
          <w:lang w:val="fr-FR"/>
        </w:rPr>
        <w:t>Outre la mise en œuvre du plan d</w:t>
      </w:r>
      <w:r w:rsidR="004471C3" w:rsidRPr="0037157A">
        <w:rPr>
          <w:lang w:val="fr-FR"/>
        </w:rPr>
        <w:t>’</w:t>
      </w:r>
      <w:r w:rsidRPr="0037157A">
        <w:rPr>
          <w:lang w:val="fr-FR"/>
        </w:rPr>
        <w:t>action</w:t>
      </w:r>
      <w:r w:rsidR="00C4590A" w:rsidRPr="0037157A">
        <w:rPr>
          <w:lang w:val="fr-FR"/>
        </w:rPr>
        <w:t xml:space="preserve"> </w:t>
      </w:r>
      <w:r w:rsidRPr="0037157A">
        <w:rPr>
          <w:lang w:val="fr-FR"/>
        </w:rPr>
        <w:t>2021-2030, le groupe de travail pour le plan d</w:t>
      </w:r>
      <w:r w:rsidR="004471C3" w:rsidRPr="0037157A">
        <w:rPr>
          <w:lang w:val="fr-FR"/>
        </w:rPr>
        <w:t>’</w:t>
      </w:r>
      <w:r w:rsidRPr="0037157A">
        <w:rPr>
          <w:lang w:val="fr-FR"/>
        </w:rPr>
        <w:t>action</w:t>
      </w:r>
      <w:r w:rsidR="000A4D00">
        <w:rPr>
          <w:lang w:val="fr-FR"/>
        </w:rPr>
        <w:t xml:space="preserve"> </w:t>
      </w:r>
      <w:r w:rsidRPr="0037157A">
        <w:rPr>
          <w:lang w:val="fr-FR"/>
        </w:rPr>
        <w:t>2021-2030 (présenté au paragraphe 20) assure également la coordination des questions relatives à l</w:t>
      </w:r>
      <w:r w:rsidR="004471C3" w:rsidRPr="0037157A">
        <w:rPr>
          <w:lang w:val="fr-FR"/>
        </w:rPr>
        <w:t>’</w:t>
      </w:r>
      <w:r w:rsidRPr="0037157A">
        <w:rPr>
          <w:lang w:val="fr-FR"/>
        </w:rPr>
        <w:t>égalité des genres entre les ministères.</w:t>
      </w:r>
    </w:p>
    <w:p w14:paraId="02F4294F" w14:textId="21DB3A1C" w:rsidR="002E0B8B" w:rsidRPr="0037157A" w:rsidRDefault="002E0B8B" w:rsidP="009D535F">
      <w:pPr>
        <w:pStyle w:val="SingleTxt"/>
        <w:numPr>
          <w:ilvl w:val="0"/>
          <w:numId w:val="12"/>
        </w:numPr>
        <w:tabs>
          <w:tab w:val="num" w:pos="2804"/>
        </w:tabs>
        <w:spacing w:line="240" w:lineRule="exact"/>
        <w:rPr>
          <w:lang w:val="fr-FR"/>
        </w:rPr>
      </w:pPr>
      <w:r w:rsidRPr="0037157A">
        <w:rPr>
          <w:lang w:val="fr-FR"/>
        </w:rPr>
        <w:t>Le plan d</w:t>
      </w:r>
      <w:r w:rsidR="004471C3" w:rsidRPr="0037157A">
        <w:rPr>
          <w:lang w:val="fr-FR"/>
        </w:rPr>
        <w:t>’</w:t>
      </w:r>
      <w:r w:rsidRPr="0037157A">
        <w:rPr>
          <w:lang w:val="fr-FR"/>
        </w:rPr>
        <w:t>action</w:t>
      </w:r>
      <w:r w:rsidR="00C4590A" w:rsidRPr="0037157A">
        <w:rPr>
          <w:lang w:val="fr-FR"/>
        </w:rPr>
        <w:t xml:space="preserve"> </w:t>
      </w:r>
      <w:r w:rsidRPr="0037157A">
        <w:rPr>
          <w:lang w:val="fr-FR"/>
        </w:rPr>
        <w:t>2021-2030 prévoit explicitement des mesures stratégiques pour la formation systématique des fonctionnaires aux droits des femmes et à l</w:t>
      </w:r>
      <w:r w:rsidR="004471C3" w:rsidRPr="0037157A">
        <w:rPr>
          <w:lang w:val="fr-FR"/>
        </w:rPr>
        <w:t>’</w:t>
      </w:r>
      <w:r w:rsidRPr="0037157A">
        <w:rPr>
          <w:lang w:val="fr-FR"/>
        </w:rPr>
        <w:t>égalité des genres (</w:t>
      </w:r>
      <w:r w:rsidR="00315AA6" w:rsidRPr="0037157A">
        <w:rPr>
          <w:lang w:val="fr-FR"/>
        </w:rPr>
        <w:t>voir par.</w:t>
      </w:r>
      <w:r w:rsidR="00C4590A" w:rsidRPr="0037157A">
        <w:rPr>
          <w:lang w:val="fr-FR"/>
        </w:rPr>
        <w:t xml:space="preserve"> </w:t>
      </w:r>
      <w:r w:rsidRPr="0037157A">
        <w:rPr>
          <w:lang w:val="fr-FR"/>
        </w:rPr>
        <w:t>25.2.f) ci-dessus).</w:t>
      </w:r>
    </w:p>
    <w:p w14:paraId="5F888ECF" w14:textId="14DB8FCA" w:rsidR="00C4590A" w:rsidRPr="0037157A" w:rsidRDefault="00C4590A" w:rsidP="00C4590A">
      <w:pPr>
        <w:pStyle w:val="SingleTxt"/>
        <w:spacing w:after="0" w:line="120" w:lineRule="exact"/>
        <w:rPr>
          <w:sz w:val="10"/>
          <w:lang w:val="fr-FR"/>
        </w:rPr>
      </w:pPr>
    </w:p>
    <w:p w14:paraId="46280423" w14:textId="08337EB2" w:rsidR="00C4590A" w:rsidRPr="0037157A" w:rsidRDefault="00C4590A" w:rsidP="00C4590A">
      <w:pPr>
        <w:pStyle w:val="SingleTxt"/>
        <w:spacing w:after="0" w:line="120" w:lineRule="exact"/>
        <w:rPr>
          <w:sz w:val="10"/>
          <w:lang w:val="fr-FR"/>
        </w:rPr>
      </w:pPr>
    </w:p>
    <w:p w14:paraId="6BE1741E" w14:textId="3AB547C1" w:rsidR="002E0B8B" w:rsidRPr="0037157A" w:rsidRDefault="002E0B8B" w:rsidP="00C4590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 xml:space="preserve">Défenseuses des droits humains, société civile et organisations </w:t>
      </w:r>
      <w:r w:rsidR="000A4D00" w:rsidRPr="0037157A">
        <w:rPr>
          <w:lang w:val="fr-FR"/>
        </w:rPr>
        <w:t>non</w:t>
      </w:r>
      <w:r w:rsidR="000A4D00">
        <w:rPr>
          <w:lang w:val="fr-FR"/>
        </w:rPr>
        <w:t> </w:t>
      </w:r>
      <w:r w:rsidRPr="0037157A">
        <w:rPr>
          <w:lang w:val="fr-FR"/>
        </w:rPr>
        <w:t>gouvernementales</w:t>
      </w:r>
    </w:p>
    <w:p w14:paraId="76CDD243" w14:textId="51084076" w:rsidR="00C4590A" w:rsidRPr="0037157A" w:rsidRDefault="00C4590A" w:rsidP="00C4590A">
      <w:pPr>
        <w:pStyle w:val="SingleTxt"/>
        <w:spacing w:after="0" w:line="120" w:lineRule="exact"/>
        <w:rPr>
          <w:sz w:val="10"/>
          <w:lang w:val="fr-FR"/>
        </w:rPr>
      </w:pPr>
    </w:p>
    <w:p w14:paraId="449DCCE7" w14:textId="74CA922E" w:rsidR="00C4590A" w:rsidRPr="0037157A" w:rsidRDefault="00C4590A" w:rsidP="00C4590A">
      <w:pPr>
        <w:pStyle w:val="SingleTxt"/>
        <w:spacing w:after="0" w:line="120" w:lineRule="exact"/>
        <w:rPr>
          <w:sz w:val="10"/>
          <w:lang w:val="fr-FR"/>
        </w:rPr>
      </w:pPr>
    </w:p>
    <w:p w14:paraId="43309A7D" w14:textId="197AB3B8" w:rsidR="002E0B8B" w:rsidRPr="0037157A" w:rsidRDefault="002E0B8B" w:rsidP="009D535F">
      <w:pPr>
        <w:pStyle w:val="SingleTxt"/>
        <w:numPr>
          <w:ilvl w:val="0"/>
          <w:numId w:val="12"/>
        </w:numPr>
        <w:spacing w:line="240" w:lineRule="exact"/>
        <w:rPr>
          <w:lang w:val="fr-FR"/>
        </w:rPr>
      </w:pPr>
      <w:r w:rsidRPr="0037157A">
        <w:rPr>
          <w:lang w:val="fr-FR"/>
        </w:rPr>
        <w:t>Dans sa décision de 2012, le Gouvernement a créé le groupe de travail sur les droits humains, avec pour objectif principal d</w:t>
      </w:r>
      <w:r w:rsidR="004471C3" w:rsidRPr="0037157A">
        <w:rPr>
          <w:lang w:val="fr-FR"/>
        </w:rPr>
        <w:t>’</w:t>
      </w:r>
      <w:r w:rsidRPr="0037157A">
        <w:rPr>
          <w:lang w:val="fr-FR"/>
        </w:rPr>
        <w:t>assurer le suivi de la mise en œuvre des droits humains en Hongrie, de mener des consultations avec les organisations de la société civile, les associations représentatives et d</w:t>
      </w:r>
      <w:r w:rsidR="004471C3" w:rsidRPr="0037157A">
        <w:rPr>
          <w:lang w:val="fr-FR"/>
        </w:rPr>
        <w:t>’</w:t>
      </w:r>
      <w:r w:rsidRPr="0037157A">
        <w:rPr>
          <w:lang w:val="fr-FR"/>
        </w:rPr>
        <w:t>autres organismes professionnels et constitutionnels, ainsi que de promouvoir la communication professionnelle sur la mise en œuvre des droits humains dans le pays.</w:t>
      </w:r>
    </w:p>
    <w:p w14:paraId="3AA37411" w14:textId="578E78E6" w:rsidR="002E0B8B" w:rsidRPr="0037157A" w:rsidRDefault="002E0B8B" w:rsidP="009D535F">
      <w:pPr>
        <w:pStyle w:val="SingleTxt"/>
        <w:numPr>
          <w:ilvl w:val="0"/>
          <w:numId w:val="12"/>
        </w:numPr>
        <w:spacing w:line="240" w:lineRule="exact"/>
        <w:rPr>
          <w:lang w:val="fr-FR"/>
        </w:rPr>
      </w:pPr>
      <w:r w:rsidRPr="0037157A">
        <w:rPr>
          <w:lang w:val="fr-FR"/>
        </w:rPr>
        <w:t>La même année, le groupe de travail a créé la table ronde sur les droits humains, qui regroupe actuellement 72 organisations de la société civile membres, tandis que 40 autres organisations prennent part aux activités des groupes de travail thématiques sur invitation. La table ronde se réunit en</w:t>
      </w:r>
      <w:r w:rsidR="000A4D00">
        <w:rPr>
          <w:lang w:val="fr-FR"/>
        </w:rPr>
        <w:t xml:space="preserve"> 11</w:t>
      </w:r>
      <w:r w:rsidRPr="0037157A">
        <w:rPr>
          <w:lang w:val="fr-FR"/>
        </w:rPr>
        <w:t xml:space="preserve"> groupes de travail thématiques </w:t>
      </w:r>
      <w:r w:rsidR="004471C3" w:rsidRPr="0037157A">
        <w:rPr>
          <w:lang w:val="fr-FR"/>
        </w:rPr>
        <w:t> ;</w:t>
      </w:r>
      <w:r w:rsidRPr="0037157A">
        <w:rPr>
          <w:lang w:val="fr-FR"/>
        </w:rPr>
        <w:t xml:space="preserve"> chacun d</w:t>
      </w:r>
      <w:r w:rsidR="004471C3" w:rsidRPr="0037157A">
        <w:rPr>
          <w:lang w:val="fr-FR"/>
        </w:rPr>
        <w:t>’</w:t>
      </w:r>
      <w:r w:rsidRPr="0037157A">
        <w:rPr>
          <w:lang w:val="fr-FR"/>
        </w:rPr>
        <w:t>entre eux traite séparément les problèmes juridiques et pratiques des groupes vulnérables de la société ainsi que les propositions politiques sectorielles y relatives. Le groupe de travail thématique chargé des droits des femmes a pour objectif de suivre l</w:t>
      </w:r>
      <w:r w:rsidR="004471C3" w:rsidRPr="0037157A">
        <w:rPr>
          <w:lang w:val="fr-FR"/>
        </w:rPr>
        <w:t>’</w:t>
      </w:r>
      <w:r w:rsidRPr="0037157A">
        <w:rPr>
          <w:lang w:val="fr-FR"/>
        </w:rPr>
        <w:t>application des droits fondamentaux des femmes en Hongrie, notamment dans les domaines de l</w:t>
      </w:r>
      <w:r w:rsidR="004471C3" w:rsidRPr="0037157A">
        <w:rPr>
          <w:lang w:val="fr-FR"/>
        </w:rPr>
        <w:t>’</w:t>
      </w:r>
      <w:r w:rsidRPr="0037157A">
        <w:rPr>
          <w:lang w:val="fr-FR"/>
        </w:rPr>
        <w:t>emploi, de l</w:t>
      </w:r>
      <w:r w:rsidR="004471C3" w:rsidRPr="0037157A">
        <w:rPr>
          <w:lang w:val="fr-FR"/>
        </w:rPr>
        <w:t>’</w:t>
      </w:r>
      <w:r w:rsidRPr="0037157A">
        <w:rPr>
          <w:lang w:val="fr-FR"/>
        </w:rPr>
        <w:t>éducation, des soins de santé et du partenariat. Il regroupe différents participants de la société civile</w:t>
      </w:r>
      <w:r w:rsidR="004471C3" w:rsidRPr="0037157A">
        <w:rPr>
          <w:lang w:val="fr-FR"/>
        </w:rPr>
        <w:t> :</w:t>
      </w:r>
      <w:r w:rsidRPr="0037157A">
        <w:rPr>
          <w:lang w:val="fr-FR"/>
        </w:rPr>
        <w:t xml:space="preserve"> 26 organisations de la société civile en sont membres, et 10 autres organisations participent à titre consultatif à ses travaux.</w:t>
      </w:r>
    </w:p>
    <w:p w14:paraId="2BA89508" w14:textId="401E415D" w:rsidR="002E0B8B" w:rsidRPr="0037157A" w:rsidRDefault="002E0B8B" w:rsidP="009D535F">
      <w:pPr>
        <w:pStyle w:val="SingleTxt"/>
        <w:numPr>
          <w:ilvl w:val="0"/>
          <w:numId w:val="12"/>
        </w:numPr>
        <w:spacing w:line="240" w:lineRule="exact"/>
        <w:rPr>
          <w:lang w:val="fr-FR"/>
        </w:rPr>
      </w:pPr>
      <w:r w:rsidRPr="0037157A">
        <w:rPr>
          <w:lang w:val="fr-FR"/>
        </w:rPr>
        <w:t>Conformément à l</w:t>
      </w:r>
      <w:r w:rsidR="004471C3" w:rsidRPr="0037157A">
        <w:rPr>
          <w:lang w:val="fr-FR"/>
        </w:rPr>
        <w:t>’</w:t>
      </w:r>
      <w:r w:rsidRPr="0037157A">
        <w:rPr>
          <w:lang w:val="fr-FR"/>
        </w:rPr>
        <w:t>arrêt rendu par la Cour de justice de l</w:t>
      </w:r>
      <w:r w:rsidR="004471C3" w:rsidRPr="0037157A">
        <w:rPr>
          <w:lang w:val="fr-FR"/>
        </w:rPr>
        <w:t>’</w:t>
      </w:r>
      <w:r w:rsidRPr="0037157A">
        <w:rPr>
          <w:lang w:val="fr-FR"/>
        </w:rPr>
        <w:t>Union européenne dans l</w:t>
      </w:r>
      <w:r w:rsidR="004471C3" w:rsidRPr="0037157A">
        <w:rPr>
          <w:lang w:val="fr-FR"/>
        </w:rPr>
        <w:t>’</w:t>
      </w:r>
      <w:r w:rsidRPr="0037157A">
        <w:rPr>
          <w:lang w:val="fr-FR"/>
        </w:rPr>
        <w:t>affaire</w:t>
      </w:r>
      <w:r w:rsidR="00315AA6" w:rsidRPr="0037157A">
        <w:rPr>
          <w:lang w:val="fr-FR"/>
        </w:rPr>
        <w:t xml:space="preserve"> </w:t>
      </w:r>
      <w:r w:rsidRPr="0037157A">
        <w:rPr>
          <w:lang w:val="fr-FR"/>
        </w:rPr>
        <w:t>C-78/18</w:t>
      </w:r>
      <w:r w:rsidR="00315AA6" w:rsidRPr="0037157A">
        <w:rPr>
          <w:lang w:val="fr-FR"/>
        </w:rPr>
        <w:t xml:space="preserve"> </w:t>
      </w:r>
      <w:r w:rsidRPr="0037157A">
        <w:rPr>
          <w:lang w:val="fr-FR"/>
        </w:rPr>
        <w:t>Commission contre Hongrie, la loi sur la transparence des organisations civiles recevant des dons en provenance de l</w:t>
      </w:r>
      <w:r w:rsidR="004471C3" w:rsidRPr="0037157A">
        <w:rPr>
          <w:lang w:val="fr-FR"/>
        </w:rPr>
        <w:t>’</w:t>
      </w:r>
      <w:r w:rsidRPr="0037157A">
        <w:rPr>
          <w:lang w:val="fr-FR"/>
        </w:rPr>
        <w:t>étranger a été abrogée par la loi XLIX de 2021 sur la transparence des organisations civiles exerçant des activités susceptibles d</w:t>
      </w:r>
      <w:r w:rsidR="004471C3" w:rsidRPr="0037157A">
        <w:rPr>
          <w:lang w:val="fr-FR"/>
        </w:rPr>
        <w:t>’</w:t>
      </w:r>
      <w:r w:rsidRPr="0037157A">
        <w:rPr>
          <w:lang w:val="fr-FR"/>
        </w:rPr>
        <w:t>influencer la vie publique. Conformément à la nouvelle loi, chaque association ou fondation civile dont le total du bilan annuel dépasse 20 millions de forints hongrois (environ 68 027 dollars É.-U.) est contrôlée par la Cour des comptes.</w:t>
      </w:r>
    </w:p>
    <w:p w14:paraId="7D37FA00" w14:textId="677EBD38" w:rsidR="00C4590A" w:rsidRPr="0037157A" w:rsidRDefault="00C4590A" w:rsidP="00C4590A">
      <w:pPr>
        <w:pStyle w:val="SingleTxt"/>
        <w:spacing w:after="0" w:line="120" w:lineRule="exact"/>
        <w:rPr>
          <w:sz w:val="10"/>
          <w:lang w:val="fr-FR"/>
        </w:rPr>
      </w:pPr>
    </w:p>
    <w:p w14:paraId="042E0ADA" w14:textId="75630A2F" w:rsidR="00C4590A" w:rsidRPr="0037157A" w:rsidRDefault="00C4590A" w:rsidP="00C4590A">
      <w:pPr>
        <w:pStyle w:val="SingleTxt"/>
        <w:spacing w:after="0" w:line="120" w:lineRule="exact"/>
        <w:rPr>
          <w:sz w:val="10"/>
          <w:lang w:val="fr-FR"/>
        </w:rPr>
      </w:pPr>
    </w:p>
    <w:p w14:paraId="7D6A1A1C" w14:textId="2951981D" w:rsidR="002E0B8B" w:rsidRPr="0037157A" w:rsidRDefault="002E0B8B" w:rsidP="00622C5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Mesures temporaires spéciales</w:t>
      </w:r>
    </w:p>
    <w:p w14:paraId="76123306" w14:textId="333C53FB" w:rsidR="00C4590A" w:rsidRPr="0037157A" w:rsidRDefault="00C4590A" w:rsidP="00622C56">
      <w:pPr>
        <w:pStyle w:val="SingleTxt"/>
        <w:keepNext/>
        <w:keepLines/>
        <w:spacing w:after="0" w:line="120" w:lineRule="exact"/>
        <w:rPr>
          <w:sz w:val="10"/>
          <w:lang w:val="fr-FR"/>
        </w:rPr>
      </w:pPr>
    </w:p>
    <w:p w14:paraId="2C6EA61E" w14:textId="2BE78FE3" w:rsidR="00C4590A" w:rsidRPr="0037157A" w:rsidRDefault="00C4590A" w:rsidP="00622C56">
      <w:pPr>
        <w:pStyle w:val="SingleTxt"/>
        <w:keepNext/>
        <w:keepLines/>
        <w:spacing w:after="0" w:line="120" w:lineRule="exact"/>
        <w:rPr>
          <w:sz w:val="10"/>
          <w:lang w:val="fr-FR"/>
        </w:rPr>
      </w:pPr>
    </w:p>
    <w:p w14:paraId="6A78ABF1" w14:textId="4A31239B" w:rsidR="002E0B8B" w:rsidRPr="0037157A" w:rsidRDefault="002E0B8B" w:rsidP="00622C56">
      <w:pPr>
        <w:pStyle w:val="SingleTxt"/>
        <w:keepNext/>
        <w:keepLines/>
        <w:numPr>
          <w:ilvl w:val="0"/>
          <w:numId w:val="12"/>
        </w:numPr>
        <w:spacing w:line="240" w:lineRule="exact"/>
        <w:rPr>
          <w:lang w:val="fr-FR"/>
        </w:rPr>
      </w:pPr>
      <w:r w:rsidRPr="0037157A">
        <w:rPr>
          <w:lang w:val="fr-FR"/>
        </w:rPr>
        <w:t>Le programme de formation des femmes au leadership public</w:t>
      </w:r>
      <w:r w:rsidRPr="0037157A">
        <w:rPr>
          <w:vertAlign w:val="superscript"/>
          <w:lang w:val="fr-FR"/>
        </w:rPr>
        <w:footnoteReference w:id="3"/>
      </w:r>
      <w:r w:rsidRPr="0037157A">
        <w:rPr>
          <w:lang w:val="fr-FR"/>
        </w:rPr>
        <w:t xml:space="preserve"> a été introduit en tant que mesure temporaire spéciale pour encourager l</w:t>
      </w:r>
      <w:r w:rsidR="004471C3" w:rsidRPr="0037157A">
        <w:rPr>
          <w:lang w:val="fr-FR"/>
        </w:rPr>
        <w:t>’</w:t>
      </w:r>
      <w:r w:rsidRPr="0037157A">
        <w:rPr>
          <w:lang w:val="fr-FR"/>
        </w:rPr>
        <w:t>éducation des femmes ayant l</w:t>
      </w:r>
      <w:r w:rsidR="004471C3" w:rsidRPr="0037157A">
        <w:rPr>
          <w:lang w:val="fr-FR"/>
        </w:rPr>
        <w:t>’</w:t>
      </w:r>
      <w:r w:rsidRPr="0037157A">
        <w:rPr>
          <w:lang w:val="fr-FR"/>
        </w:rPr>
        <w:t>ambition de participer à la vie politique et à la vie publique. Ce programme gratuit est organisé par un établissement d</w:t>
      </w:r>
      <w:r w:rsidR="004471C3" w:rsidRPr="0037157A">
        <w:rPr>
          <w:lang w:val="fr-FR"/>
        </w:rPr>
        <w:t>’</w:t>
      </w:r>
      <w:r w:rsidRPr="0037157A">
        <w:rPr>
          <w:lang w:val="fr-FR"/>
        </w:rPr>
        <w:t>enseignement privé et s</w:t>
      </w:r>
      <w:r w:rsidR="004471C3" w:rsidRPr="0037157A">
        <w:rPr>
          <w:lang w:val="fr-FR"/>
        </w:rPr>
        <w:t>’</w:t>
      </w:r>
      <w:r w:rsidRPr="0037157A">
        <w:rPr>
          <w:lang w:val="fr-FR"/>
        </w:rPr>
        <w:t>adresse aux femmes âgées de 18</w:t>
      </w:r>
      <w:r w:rsidR="00CB2E84" w:rsidRPr="0037157A">
        <w:rPr>
          <w:lang w:val="fr-FR"/>
        </w:rPr>
        <w:t xml:space="preserve"> </w:t>
      </w:r>
      <w:r w:rsidRPr="0037157A">
        <w:rPr>
          <w:lang w:val="fr-FR"/>
        </w:rPr>
        <w:t>à 36</w:t>
      </w:r>
      <w:r w:rsidR="00CB2E84" w:rsidRPr="0037157A">
        <w:rPr>
          <w:lang w:val="fr-FR"/>
        </w:rPr>
        <w:t xml:space="preserve"> </w:t>
      </w:r>
      <w:r w:rsidRPr="0037157A">
        <w:rPr>
          <w:lang w:val="fr-FR"/>
        </w:rPr>
        <w:t>ans parlant l</w:t>
      </w:r>
      <w:r w:rsidR="004471C3" w:rsidRPr="0037157A">
        <w:rPr>
          <w:lang w:val="fr-FR"/>
        </w:rPr>
        <w:t>’</w:t>
      </w:r>
      <w:r w:rsidRPr="0037157A">
        <w:rPr>
          <w:lang w:val="fr-FR"/>
        </w:rPr>
        <w:t>anglais et le hongrois (indépendamment de leur niveau d</w:t>
      </w:r>
      <w:r w:rsidR="004471C3" w:rsidRPr="0037157A">
        <w:rPr>
          <w:lang w:val="fr-FR"/>
        </w:rPr>
        <w:t>’</w:t>
      </w:r>
      <w:r w:rsidRPr="0037157A">
        <w:rPr>
          <w:lang w:val="fr-FR"/>
        </w:rPr>
        <w:t>instruction). Les formateurs sont issus du secteur public et du secteur privé. Le Gouvernement hongrois soutient le programme de formation à hauteur de 20</w:t>
      </w:r>
      <w:r w:rsidR="00CB2E84" w:rsidRPr="0037157A">
        <w:rPr>
          <w:lang w:val="fr-FR"/>
        </w:rPr>
        <w:t xml:space="preserve"> </w:t>
      </w:r>
      <w:r w:rsidRPr="0037157A">
        <w:rPr>
          <w:lang w:val="fr-FR"/>
        </w:rPr>
        <w:t>millions de forints hongrois (70 282</w:t>
      </w:r>
      <w:r w:rsidR="00CB2E84" w:rsidRPr="0037157A">
        <w:rPr>
          <w:lang w:val="fr-FR"/>
        </w:rPr>
        <w:t xml:space="preserve"> </w:t>
      </w:r>
      <w:r w:rsidRPr="0037157A">
        <w:rPr>
          <w:lang w:val="fr-FR"/>
        </w:rPr>
        <w:t>dollars</w:t>
      </w:r>
      <w:r w:rsidR="00CB2E84" w:rsidRPr="0037157A">
        <w:rPr>
          <w:lang w:val="fr-FR"/>
        </w:rPr>
        <w:t xml:space="preserve"> </w:t>
      </w:r>
      <w:r w:rsidRPr="0037157A">
        <w:rPr>
          <w:lang w:val="fr-FR"/>
        </w:rPr>
        <w:t>É.-U.) par an.</w:t>
      </w:r>
    </w:p>
    <w:p w14:paraId="07D29774" w14:textId="3508E275" w:rsidR="00C4590A" w:rsidRPr="0037157A" w:rsidRDefault="00C4590A" w:rsidP="00C4590A">
      <w:pPr>
        <w:pStyle w:val="SingleTxt"/>
        <w:spacing w:after="0" w:line="120" w:lineRule="exact"/>
        <w:rPr>
          <w:sz w:val="10"/>
          <w:lang w:val="fr-FR"/>
        </w:rPr>
      </w:pPr>
    </w:p>
    <w:p w14:paraId="30E46784" w14:textId="4563F198" w:rsidR="00C4590A" w:rsidRPr="0037157A" w:rsidRDefault="00C4590A" w:rsidP="00C4590A">
      <w:pPr>
        <w:pStyle w:val="SingleTxt"/>
        <w:spacing w:after="0" w:line="120" w:lineRule="exact"/>
        <w:rPr>
          <w:sz w:val="10"/>
          <w:lang w:val="fr-FR"/>
        </w:rPr>
      </w:pPr>
    </w:p>
    <w:p w14:paraId="32691B7C" w14:textId="537150F3" w:rsidR="002E0B8B" w:rsidRPr="0037157A" w:rsidRDefault="002E0B8B" w:rsidP="00C4590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Stéréotypes discriminatoires</w:t>
      </w:r>
    </w:p>
    <w:p w14:paraId="645DABF8" w14:textId="789B3F7A" w:rsidR="00C4590A" w:rsidRPr="0037157A" w:rsidRDefault="00C4590A" w:rsidP="00C4590A">
      <w:pPr>
        <w:pStyle w:val="SingleTxt"/>
        <w:spacing w:after="0" w:line="120" w:lineRule="exact"/>
        <w:rPr>
          <w:sz w:val="10"/>
          <w:lang w:val="fr-FR"/>
        </w:rPr>
      </w:pPr>
    </w:p>
    <w:p w14:paraId="76DF2B38" w14:textId="6A8A05F1" w:rsidR="00C4590A" w:rsidRPr="0037157A" w:rsidRDefault="00C4590A" w:rsidP="00C4590A">
      <w:pPr>
        <w:pStyle w:val="SingleTxt"/>
        <w:spacing w:after="0" w:line="120" w:lineRule="exact"/>
        <w:rPr>
          <w:sz w:val="10"/>
          <w:lang w:val="fr-FR"/>
        </w:rPr>
      </w:pPr>
    </w:p>
    <w:p w14:paraId="25556E46" w14:textId="1566248B" w:rsidR="004471C3" w:rsidRPr="0037157A" w:rsidRDefault="002E0B8B" w:rsidP="009D535F">
      <w:pPr>
        <w:pStyle w:val="SingleTxt"/>
        <w:numPr>
          <w:ilvl w:val="0"/>
          <w:numId w:val="12"/>
        </w:numPr>
        <w:spacing w:line="240" w:lineRule="exact"/>
        <w:rPr>
          <w:lang w:val="fr-FR"/>
        </w:rPr>
      </w:pPr>
      <w:r w:rsidRPr="0037157A">
        <w:rPr>
          <w:lang w:val="fr-FR"/>
        </w:rPr>
        <w:t>Comme indiqué au paragraphe</w:t>
      </w:r>
      <w:r w:rsidR="00CB2E84" w:rsidRPr="0037157A">
        <w:rPr>
          <w:lang w:val="fr-FR"/>
        </w:rPr>
        <w:t xml:space="preserve"> </w:t>
      </w:r>
      <w:r w:rsidRPr="0037157A">
        <w:rPr>
          <w:lang w:val="fr-FR"/>
        </w:rPr>
        <w:t>25, le plan d</w:t>
      </w:r>
      <w:r w:rsidR="004471C3" w:rsidRPr="0037157A">
        <w:rPr>
          <w:lang w:val="fr-FR"/>
        </w:rPr>
        <w:t>’</w:t>
      </w:r>
      <w:r w:rsidRPr="0037157A">
        <w:rPr>
          <w:lang w:val="fr-FR"/>
        </w:rPr>
        <w:t>action</w:t>
      </w:r>
      <w:r w:rsidR="00CB2E84" w:rsidRPr="0037157A">
        <w:rPr>
          <w:lang w:val="fr-FR"/>
        </w:rPr>
        <w:t xml:space="preserve"> </w:t>
      </w:r>
      <w:r w:rsidRPr="0037157A">
        <w:rPr>
          <w:lang w:val="fr-FR"/>
        </w:rPr>
        <w:t>2021-2030 comprend des mesures importantes pour la sensibilisation au rôle des femmes et des hommes dans l</w:t>
      </w:r>
      <w:r w:rsidR="004471C3" w:rsidRPr="0037157A">
        <w:rPr>
          <w:lang w:val="fr-FR"/>
        </w:rPr>
        <w:t>’</w:t>
      </w:r>
      <w:r w:rsidRPr="0037157A">
        <w:rPr>
          <w:lang w:val="fr-FR"/>
        </w:rPr>
        <w:t>éducation.</w:t>
      </w:r>
    </w:p>
    <w:p w14:paraId="5AE822B7" w14:textId="77777777" w:rsidR="004471C3" w:rsidRPr="0037157A" w:rsidRDefault="002E0B8B" w:rsidP="009D535F">
      <w:pPr>
        <w:pStyle w:val="SingleTxt"/>
        <w:numPr>
          <w:ilvl w:val="0"/>
          <w:numId w:val="12"/>
        </w:numPr>
        <w:spacing w:line="240" w:lineRule="exact"/>
        <w:rPr>
          <w:lang w:val="fr-FR"/>
        </w:rPr>
      </w:pPr>
      <w:r w:rsidRPr="0037157A">
        <w:rPr>
          <w:lang w:val="fr-FR"/>
        </w:rPr>
        <w:t>La révision année par année du programme d</w:t>
      </w:r>
      <w:r w:rsidR="004471C3" w:rsidRPr="0037157A">
        <w:rPr>
          <w:lang w:val="fr-FR"/>
        </w:rPr>
        <w:t>’</w:t>
      </w:r>
      <w:r w:rsidRPr="0037157A">
        <w:rPr>
          <w:lang w:val="fr-FR"/>
        </w:rPr>
        <w:t>enseignement national de base</w:t>
      </w:r>
      <w:r w:rsidRPr="0037157A">
        <w:rPr>
          <w:vertAlign w:val="superscript"/>
          <w:lang w:val="fr-FR"/>
        </w:rPr>
        <w:footnoteReference w:id="4"/>
      </w:r>
      <w:r w:rsidRPr="0037157A">
        <w:rPr>
          <w:lang w:val="fr-FR"/>
        </w:rPr>
        <w:t xml:space="preserve"> a commencé en septembre 2020. Elle vise à imposer le plein respect des droits humains tout au long du cycle éducatif, notamment le respect de l</w:t>
      </w:r>
      <w:r w:rsidR="004471C3" w:rsidRPr="0037157A">
        <w:rPr>
          <w:lang w:val="fr-FR"/>
        </w:rPr>
        <w:t>’</w:t>
      </w:r>
      <w:r w:rsidRPr="0037157A">
        <w:rPr>
          <w:lang w:val="fr-FR"/>
        </w:rPr>
        <w:t>égalité, de la démocratie et de la diversité religieuse, ainsi que la connaissance des notions de base ayant trait à l</w:t>
      </w:r>
      <w:r w:rsidR="004471C3" w:rsidRPr="0037157A">
        <w:rPr>
          <w:lang w:val="fr-FR"/>
        </w:rPr>
        <w:t>’</w:t>
      </w:r>
      <w:r w:rsidRPr="0037157A">
        <w:rPr>
          <w:lang w:val="fr-FR"/>
        </w:rPr>
        <w:t>égalité des genres et à la non-discrimination.</w:t>
      </w:r>
    </w:p>
    <w:p w14:paraId="706A1957" w14:textId="59743A29" w:rsidR="002E0B8B" w:rsidRPr="0037157A" w:rsidRDefault="002E0B8B" w:rsidP="009D535F">
      <w:pPr>
        <w:pStyle w:val="SingleTxt"/>
        <w:numPr>
          <w:ilvl w:val="0"/>
          <w:numId w:val="12"/>
        </w:numPr>
        <w:spacing w:line="240" w:lineRule="exact"/>
        <w:rPr>
          <w:lang w:val="fr-FR"/>
        </w:rPr>
      </w:pPr>
      <w:r w:rsidRPr="0037157A">
        <w:rPr>
          <w:lang w:val="fr-FR"/>
        </w:rPr>
        <w:t>Le programme d</w:t>
      </w:r>
      <w:r w:rsidR="004471C3" w:rsidRPr="0037157A">
        <w:rPr>
          <w:lang w:val="fr-FR"/>
        </w:rPr>
        <w:t>’</w:t>
      </w:r>
      <w:r w:rsidRPr="0037157A">
        <w:rPr>
          <w:lang w:val="fr-FR"/>
        </w:rPr>
        <w:t>enseignement national de base énumère les douze domaines de développement les plus importants, parmi lesquels figurent «</w:t>
      </w:r>
      <w:r w:rsidR="00C4590A" w:rsidRPr="0037157A">
        <w:rPr>
          <w:lang w:val="fr-FR"/>
        </w:rPr>
        <w:t> </w:t>
      </w:r>
      <w:r w:rsidRPr="0037157A">
        <w:rPr>
          <w:lang w:val="fr-FR"/>
        </w:rPr>
        <w:t>l</w:t>
      </w:r>
      <w:r w:rsidR="004471C3" w:rsidRPr="0037157A">
        <w:rPr>
          <w:lang w:val="fr-FR"/>
        </w:rPr>
        <w:t>’</w:t>
      </w:r>
      <w:r w:rsidRPr="0037157A">
        <w:rPr>
          <w:lang w:val="fr-FR"/>
        </w:rPr>
        <w:t>éducation à la citoyenneté et à la démocratie</w:t>
      </w:r>
      <w:r w:rsidR="00C4590A" w:rsidRPr="0037157A">
        <w:rPr>
          <w:lang w:val="fr-FR"/>
        </w:rPr>
        <w:t> </w:t>
      </w:r>
      <w:r w:rsidRPr="0037157A">
        <w:rPr>
          <w:lang w:val="fr-FR"/>
        </w:rPr>
        <w:t>», «</w:t>
      </w:r>
      <w:r w:rsidR="00C4590A" w:rsidRPr="0037157A">
        <w:rPr>
          <w:lang w:val="fr-FR"/>
        </w:rPr>
        <w:t> </w:t>
      </w:r>
      <w:r w:rsidRPr="0037157A">
        <w:rPr>
          <w:lang w:val="fr-FR"/>
        </w:rPr>
        <w:t>l</w:t>
      </w:r>
      <w:r w:rsidR="004471C3" w:rsidRPr="0037157A">
        <w:rPr>
          <w:lang w:val="fr-FR"/>
        </w:rPr>
        <w:t>’</w:t>
      </w:r>
      <w:r w:rsidRPr="0037157A">
        <w:rPr>
          <w:lang w:val="fr-FR"/>
        </w:rPr>
        <w:t>éducation en faveur du développement durable et du respect de l</w:t>
      </w:r>
      <w:r w:rsidR="004471C3" w:rsidRPr="0037157A">
        <w:rPr>
          <w:lang w:val="fr-FR"/>
        </w:rPr>
        <w:t>’</w:t>
      </w:r>
      <w:r w:rsidRPr="0037157A">
        <w:rPr>
          <w:lang w:val="fr-FR"/>
        </w:rPr>
        <w:t>environnement</w:t>
      </w:r>
      <w:r w:rsidR="00C4590A" w:rsidRPr="0037157A">
        <w:rPr>
          <w:lang w:val="fr-FR"/>
        </w:rPr>
        <w:t> </w:t>
      </w:r>
      <w:r w:rsidRPr="0037157A">
        <w:rPr>
          <w:lang w:val="fr-FR"/>
        </w:rPr>
        <w:t>» et «</w:t>
      </w:r>
      <w:r w:rsidR="00C4590A" w:rsidRPr="0037157A">
        <w:rPr>
          <w:lang w:val="fr-FR"/>
        </w:rPr>
        <w:t> </w:t>
      </w:r>
      <w:r w:rsidRPr="0037157A">
        <w:rPr>
          <w:lang w:val="fr-FR"/>
        </w:rPr>
        <w:t>l</w:t>
      </w:r>
      <w:r w:rsidR="004471C3" w:rsidRPr="0037157A">
        <w:rPr>
          <w:lang w:val="fr-FR"/>
        </w:rPr>
        <w:t>’</w:t>
      </w:r>
      <w:r w:rsidRPr="0037157A">
        <w:rPr>
          <w:lang w:val="fr-FR"/>
        </w:rPr>
        <w:t>éducation à la vie familiale</w:t>
      </w:r>
      <w:r w:rsidR="00C4590A" w:rsidRPr="0037157A">
        <w:rPr>
          <w:lang w:val="fr-FR"/>
        </w:rPr>
        <w:t> </w:t>
      </w:r>
      <w:r w:rsidRPr="0037157A">
        <w:rPr>
          <w:lang w:val="fr-FR"/>
        </w:rPr>
        <w:t>». Les objectifs éducatifs doivent être intégrés dans chaque matière scolaire.</w:t>
      </w:r>
    </w:p>
    <w:p w14:paraId="315B076E" w14:textId="72995E21" w:rsidR="002E0B8B" w:rsidRPr="0037157A" w:rsidRDefault="002E0B8B" w:rsidP="009D535F">
      <w:pPr>
        <w:pStyle w:val="SingleTxt"/>
        <w:numPr>
          <w:ilvl w:val="0"/>
          <w:numId w:val="12"/>
        </w:numPr>
        <w:spacing w:line="240" w:lineRule="exact"/>
        <w:rPr>
          <w:lang w:val="fr-FR"/>
        </w:rPr>
      </w:pPr>
      <w:r w:rsidRPr="0037157A">
        <w:rPr>
          <w:lang w:val="fr-FR"/>
        </w:rPr>
        <w:t>Les matières scolaires comme l</w:t>
      </w:r>
      <w:r w:rsidR="004471C3" w:rsidRPr="0037157A">
        <w:rPr>
          <w:lang w:val="fr-FR"/>
        </w:rPr>
        <w:t>’</w:t>
      </w:r>
      <w:r w:rsidRPr="0037157A">
        <w:rPr>
          <w:lang w:val="fr-FR"/>
        </w:rPr>
        <w:t>histoire et l</w:t>
      </w:r>
      <w:r w:rsidR="004471C3" w:rsidRPr="0037157A">
        <w:rPr>
          <w:lang w:val="fr-FR"/>
        </w:rPr>
        <w:t>’</w:t>
      </w:r>
      <w:r w:rsidRPr="0037157A">
        <w:rPr>
          <w:lang w:val="fr-FR"/>
        </w:rPr>
        <w:t>éducation civique jouent un rôle important dans l</w:t>
      </w:r>
      <w:r w:rsidR="004471C3" w:rsidRPr="0037157A">
        <w:rPr>
          <w:lang w:val="fr-FR"/>
        </w:rPr>
        <w:t>’</w:t>
      </w:r>
      <w:r w:rsidRPr="0037157A">
        <w:rPr>
          <w:lang w:val="fr-FR"/>
        </w:rPr>
        <w:t>éducation à la citoyenneté mondiale</w:t>
      </w:r>
      <w:r w:rsidRPr="0037157A">
        <w:rPr>
          <w:vertAlign w:val="superscript"/>
          <w:lang w:val="fr-FR"/>
        </w:rPr>
        <w:footnoteReference w:id="5"/>
      </w:r>
      <w:r w:rsidRPr="0037157A">
        <w:rPr>
          <w:lang w:val="fr-FR"/>
        </w:rPr>
        <w:t>, car elles constituent les meilleures voies pour créer un engagement démocratique. L</w:t>
      </w:r>
      <w:r w:rsidR="004471C3" w:rsidRPr="0037157A">
        <w:rPr>
          <w:lang w:val="fr-FR"/>
        </w:rPr>
        <w:t>’</w:t>
      </w:r>
      <w:r w:rsidRPr="0037157A">
        <w:rPr>
          <w:lang w:val="fr-FR"/>
        </w:rPr>
        <w:t>égalité des genres fait partie des thèmes dits transversaux du cours d</w:t>
      </w:r>
      <w:r w:rsidR="004471C3" w:rsidRPr="0037157A">
        <w:rPr>
          <w:lang w:val="fr-FR"/>
        </w:rPr>
        <w:t>’</w:t>
      </w:r>
      <w:r w:rsidRPr="0037157A">
        <w:rPr>
          <w:lang w:val="fr-FR"/>
        </w:rPr>
        <w:t>histoire, ce qui signifie que les questions relatives aux modes de vie, au statut social et à l</w:t>
      </w:r>
      <w:r w:rsidR="004471C3" w:rsidRPr="0037157A">
        <w:rPr>
          <w:lang w:val="fr-FR"/>
        </w:rPr>
        <w:t>’</w:t>
      </w:r>
      <w:r w:rsidRPr="0037157A">
        <w:rPr>
          <w:lang w:val="fr-FR"/>
        </w:rPr>
        <w:t>émancipation des hommes et des femmes doivent être abordées régulièrement tout au long du processus d</w:t>
      </w:r>
      <w:r w:rsidR="004471C3" w:rsidRPr="0037157A">
        <w:rPr>
          <w:lang w:val="fr-FR"/>
        </w:rPr>
        <w:t>’</w:t>
      </w:r>
      <w:r w:rsidRPr="0037157A">
        <w:rPr>
          <w:lang w:val="fr-FR"/>
        </w:rPr>
        <w:t>enseignement et d</w:t>
      </w:r>
      <w:r w:rsidR="004471C3" w:rsidRPr="0037157A">
        <w:rPr>
          <w:lang w:val="fr-FR"/>
        </w:rPr>
        <w:t>’</w:t>
      </w:r>
      <w:r w:rsidRPr="0037157A">
        <w:rPr>
          <w:lang w:val="fr-FR"/>
        </w:rPr>
        <w:t>apprentissage.</w:t>
      </w:r>
    </w:p>
    <w:p w14:paraId="0C38E54D" w14:textId="36A6133E" w:rsidR="002E0B8B" w:rsidRPr="0037157A" w:rsidRDefault="002E0B8B" w:rsidP="009D535F">
      <w:pPr>
        <w:pStyle w:val="SingleTxt"/>
        <w:numPr>
          <w:ilvl w:val="0"/>
          <w:numId w:val="12"/>
        </w:numPr>
        <w:spacing w:line="240" w:lineRule="exact"/>
        <w:rPr>
          <w:lang w:val="fr-FR"/>
        </w:rPr>
      </w:pPr>
      <w:r w:rsidRPr="0037157A">
        <w:rPr>
          <w:lang w:val="fr-FR"/>
        </w:rPr>
        <w:t>La préparation à la vie familiale aide les enfants et les adolescents à nouer des relations responsables, à gérer les conflits qui surgissent dans leur famille actuelle et future et à approfondir leur compréhension de l</w:t>
      </w:r>
      <w:r w:rsidR="004471C3" w:rsidRPr="0037157A">
        <w:rPr>
          <w:lang w:val="fr-FR"/>
        </w:rPr>
        <w:t>’</w:t>
      </w:r>
      <w:r w:rsidRPr="0037157A">
        <w:rPr>
          <w:lang w:val="fr-FR"/>
        </w:rPr>
        <w:t>égalité des genres. L</w:t>
      </w:r>
      <w:r w:rsidR="004471C3" w:rsidRPr="0037157A">
        <w:rPr>
          <w:lang w:val="fr-FR"/>
        </w:rPr>
        <w:t>’</w:t>
      </w:r>
      <w:r w:rsidRPr="0037157A">
        <w:rPr>
          <w:lang w:val="fr-FR"/>
        </w:rPr>
        <w:t>éducation à la vie familiale constitue une matière à part entière du programme d</w:t>
      </w:r>
      <w:r w:rsidR="004471C3" w:rsidRPr="0037157A">
        <w:rPr>
          <w:lang w:val="fr-FR"/>
        </w:rPr>
        <w:t>’</w:t>
      </w:r>
      <w:r w:rsidRPr="0037157A">
        <w:rPr>
          <w:lang w:val="fr-FR"/>
        </w:rPr>
        <w:t>enseignement national de base.</w:t>
      </w:r>
    </w:p>
    <w:p w14:paraId="7DC16262" w14:textId="1DE25801" w:rsidR="002E0B8B" w:rsidRPr="0037157A" w:rsidRDefault="002E0B8B" w:rsidP="009D535F">
      <w:pPr>
        <w:pStyle w:val="SingleTxt"/>
        <w:numPr>
          <w:ilvl w:val="0"/>
          <w:numId w:val="12"/>
        </w:numPr>
        <w:spacing w:line="240" w:lineRule="exact"/>
        <w:rPr>
          <w:lang w:val="fr-FR"/>
        </w:rPr>
      </w:pPr>
      <w:r w:rsidRPr="0037157A">
        <w:rPr>
          <w:lang w:val="fr-FR"/>
        </w:rPr>
        <w:t>La matière est enseignée en fonction de la maturité et du développement mental des élèves des différents groupes d</w:t>
      </w:r>
      <w:r w:rsidR="004471C3" w:rsidRPr="0037157A">
        <w:rPr>
          <w:lang w:val="fr-FR"/>
        </w:rPr>
        <w:t>’</w:t>
      </w:r>
      <w:r w:rsidRPr="0037157A">
        <w:rPr>
          <w:lang w:val="fr-FR"/>
        </w:rPr>
        <w:t>âge (1</w:t>
      </w:r>
      <w:r w:rsidRPr="0037157A">
        <w:rPr>
          <w:vertAlign w:val="superscript"/>
          <w:lang w:val="fr-FR"/>
        </w:rPr>
        <w:t>re</w:t>
      </w:r>
      <w:r w:rsidRPr="0037157A">
        <w:rPr>
          <w:lang w:val="fr-FR"/>
        </w:rPr>
        <w:t xml:space="preserve"> à 4</w:t>
      </w:r>
      <w:r w:rsidRPr="0037157A">
        <w:rPr>
          <w:vertAlign w:val="superscript"/>
          <w:lang w:val="fr-FR"/>
        </w:rPr>
        <w:t>e</w:t>
      </w:r>
      <w:r w:rsidR="00C4590A" w:rsidRPr="0037157A">
        <w:rPr>
          <w:lang w:val="fr-FR"/>
        </w:rPr>
        <w:t xml:space="preserve"> </w:t>
      </w:r>
      <w:r w:rsidRPr="0037157A">
        <w:rPr>
          <w:lang w:val="fr-FR"/>
        </w:rPr>
        <w:t>année, 5</w:t>
      </w:r>
      <w:r w:rsidRPr="0037157A">
        <w:rPr>
          <w:vertAlign w:val="superscript"/>
          <w:lang w:val="fr-FR"/>
        </w:rPr>
        <w:t>e</w:t>
      </w:r>
      <w:r w:rsidRPr="0037157A">
        <w:rPr>
          <w:lang w:val="fr-FR"/>
        </w:rPr>
        <w:t xml:space="preserve"> à 8</w:t>
      </w:r>
      <w:r w:rsidRPr="0037157A">
        <w:rPr>
          <w:vertAlign w:val="superscript"/>
          <w:lang w:val="fr-FR"/>
        </w:rPr>
        <w:t>e</w:t>
      </w:r>
      <w:r w:rsidR="00C4590A" w:rsidRPr="0037157A">
        <w:rPr>
          <w:lang w:val="fr-FR"/>
        </w:rPr>
        <w:t xml:space="preserve"> </w:t>
      </w:r>
      <w:r w:rsidRPr="0037157A">
        <w:rPr>
          <w:lang w:val="fr-FR"/>
        </w:rPr>
        <w:t>année et 9</w:t>
      </w:r>
      <w:r w:rsidRPr="0037157A">
        <w:rPr>
          <w:vertAlign w:val="superscript"/>
          <w:lang w:val="fr-FR"/>
        </w:rPr>
        <w:t>e</w:t>
      </w:r>
      <w:r w:rsidRPr="0037157A">
        <w:rPr>
          <w:lang w:val="fr-FR"/>
        </w:rPr>
        <w:t xml:space="preserve"> à 12</w:t>
      </w:r>
      <w:r w:rsidRPr="0037157A">
        <w:rPr>
          <w:vertAlign w:val="superscript"/>
          <w:lang w:val="fr-FR"/>
        </w:rPr>
        <w:t>e</w:t>
      </w:r>
      <w:r w:rsidRPr="0037157A">
        <w:rPr>
          <w:lang w:val="fr-FR"/>
        </w:rPr>
        <w:t> année). Le programme traite de l</w:t>
      </w:r>
      <w:r w:rsidR="004471C3" w:rsidRPr="0037157A">
        <w:rPr>
          <w:lang w:val="fr-FR"/>
        </w:rPr>
        <w:t>’</w:t>
      </w:r>
      <w:r w:rsidRPr="0037157A">
        <w:rPr>
          <w:lang w:val="fr-FR"/>
        </w:rPr>
        <w:t>identité des femmes et des hommes, des différences fondamentales qui existent entre eux (caractéristiques sexuelles, activité cérébrale et communication), et de leur rôle dans une relation et en tant que mère ou père. Il a également pour objet d</w:t>
      </w:r>
      <w:r w:rsidR="004471C3" w:rsidRPr="0037157A">
        <w:rPr>
          <w:lang w:val="fr-FR"/>
        </w:rPr>
        <w:t>’</w:t>
      </w:r>
      <w:r w:rsidRPr="0037157A">
        <w:rPr>
          <w:lang w:val="fr-FR"/>
        </w:rPr>
        <w:t>aider les élèves à vivre positivement les changements biologiques, mentaux et comportementaux de l</w:t>
      </w:r>
      <w:r w:rsidR="004471C3" w:rsidRPr="0037157A">
        <w:rPr>
          <w:lang w:val="fr-FR"/>
        </w:rPr>
        <w:t>’</w:t>
      </w:r>
      <w:r w:rsidRPr="0037157A">
        <w:rPr>
          <w:lang w:val="fr-FR"/>
        </w:rPr>
        <w:t>adolescence, de déconstruire les stéréotypes négatifs, et de présenter différentes formes de relations homme-femme. Le cours traite aussi des relations sociales, de la communication, de la gestion des conflits, de la connaissance de soi, de l</w:t>
      </w:r>
      <w:r w:rsidR="004471C3" w:rsidRPr="0037157A">
        <w:rPr>
          <w:lang w:val="fr-FR"/>
        </w:rPr>
        <w:t>’</w:t>
      </w:r>
      <w:r w:rsidRPr="0037157A">
        <w:rPr>
          <w:lang w:val="fr-FR"/>
        </w:rPr>
        <w:t>intelligence émotionnelle et de la capacité d</w:t>
      </w:r>
      <w:r w:rsidR="004471C3" w:rsidRPr="0037157A">
        <w:rPr>
          <w:lang w:val="fr-FR"/>
        </w:rPr>
        <w:t>’</w:t>
      </w:r>
      <w:r w:rsidRPr="0037157A">
        <w:rPr>
          <w:lang w:val="fr-FR"/>
        </w:rPr>
        <w:t>adaptation. Pour ce qui est de la méthodologie employée, il s</w:t>
      </w:r>
      <w:r w:rsidR="004471C3" w:rsidRPr="0037157A">
        <w:rPr>
          <w:lang w:val="fr-FR"/>
        </w:rPr>
        <w:t>’</w:t>
      </w:r>
      <w:r w:rsidRPr="0037157A">
        <w:rPr>
          <w:lang w:val="fr-FR"/>
        </w:rPr>
        <w:t>inscrit dans une démarche d</w:t>
      </w:r>
      <w:r w:rsidR="004471C3" w:rsidRPr="0037157A">
        <w:rPr>
          <w:lang w:val="fr-FR"/>
        </w:rPr>
        <w:t>’</w:t>
      </w:r>
      <w:r w:rsidRPr="0037157A">
        <w:rPr>
          <w:lang w:val="fr-FR"/>
        </w:rPr>
        <w:t>apprentissage non formel, impliquant des exercices pratiques et interactifs.</w:t>
      </w:r>
    </w:p>
    <w:p w14:paraId="1DCDF677" w14:textId="0174FE2A" w:rsidR="00C4590A" w:rsidRPr="0037157A" w:rsidRDefault="00C4590A" w:rsidP="00C4590A">
      <w:pPr>
        <w:pStyle w:val="SingleTxt"/>
        <w:spacing w:after="0" w:line="120" w:lineRule="exact"/>
        <w:rPr>
          <w:sz w:val="10"/>
          <w:lang w:val="fr-FR"/>
        </w:rPr>
      </w:pPr>
    </w:p>
    <w:p w14:paraId="004736F3" w14:textId="4713C9C4" w:rsidR="00C4590A" w:rsidRPr="0037157A" w:rsidRDefault="00C4590A" w:rsidP="00C4590A">
      <w:pPr>
        <w:pStyle w:val="SingleTxt"/>
        <w:spacing w:after="0" w:line="120" w:lineRule="exact"/>
        <w:rPr>
          <w:sz w:val="10"/>
          <w:lang w:val="fr-FR"/>
        </w:rPr>
      </w:pPr>
    </w:p>
    <w:p w14:paraId="7EE83844" w14:textId="14B3A921" w:rsidR="002E0B8B" w:rsidRPr="0037157A" w:rsidRDefault="002E0B8B" w:rsidP="00CB2E8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Violence à l</w:t>
      </w:r>
      <w:r w:rsidR="004471C3" w:rsidRPr="0037157A">
        <w:rPr>
          <w:lang w:val="fr-FR"/>
        </w:rPr>
        <w:t>’</w:t>
      </w:r>
      <w:r w:rsidRPr="0037157A">
        <w:rPr>
          <w:lang w:val="fr-FR"/>
        </w:rPr>
        <w:t>égard des femmes fondée sur le genre</w:t>
      </w:r>
    </w:p>
    <w:p w14:paraId="6D4A66F5" w14:textId="5A5CA67C" w:rsidR="00C4590A" w:rsidRPr="0037157A" w:rsidRDefault="00C4590A" w:rsidP="00CB2E84">
      <w:pPr>
        <w:pStyle w:val="SingleTxt"/>
        <w:keepNext/>
        <w:keepLines/>
        <w:spacing w:after="0" w:line="120" w:lineRule="exact"/>
        <w:rPr>
          <w:sz w:val="10"/>
          <w:lang w:val="fr-FR"/>
        </w:rPr>
      </w:pPr>
    </w:p>
    <w:p w14:paraId="2F6BC907" w14:textId="550BCD2F" w:rsidR="00C4590A" w:rsidRPr="0037157A" w:rsidRDefault="00C4590A" w:rsidP="00CB2E84">
      <w:pPr>
        <w:pStyle w:val="SingleTxt"/>
        <w:keepNext/>
        <w:keepLines/>
        <w:spacing w:after="0" w:line="120" w:lineRule="exact"/>
        <w:rPr>
          <w:sz w:val="10"/>
          <w:lang w:val="fr-FR"/>
        </w:rPr>
      </w:pPr>
    </w:p>
    <w:p w14:paraId="2DC393D9" w14:textId="583D04E1" w:rsidR="002E0B8B" w:rsidRPr="0037157A" w:rsidRDefault="002E0B8B" w:rsidP="00CB2E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Criminalisation du harcèlement</w:t>
      </w:r>
    </w:p>
    <w:p w14:paraId="37F122CD" w14:textId="38D0DE00" w:rsidR="00C4590A" w:rsidRPr="0037157A" w:rsidRDefault="00C4590A" w:rsidP="00C4590A">
      <w:pPr>
        <w:pStyle w:val="SingleTxt"/>
        <w:spacing w:after="0" w:line="120" w:lineRule="exact"/>
        <w:rPr>
          <w:sz w:val="10"/>
          <w:lang w:val="fr-FR"/>
        </w:rPr>
      </w:pPr>
    </w:p>
    <w:p w14:paraId="430BAB26" w14:textId="1BED6148" w:rsidR="002E0B8B" w:rsidRPr="0037157A" w:rsidRDefault="002E0B8B" w:rsidP="009D535F">
      <w:pPr>
        <w:pStyle w:val="SingleTxt"/>
        <w:numPr>
          <w:ilvl w:val="0"/>
          <w:numId w:val="12"/>
        </w:numPr>
        <w:spacing w:line="240" w:lineRule="exact"/>
        <w:rPr>
          <w:lang w:val="fr-FR"/>
        </w:rPr>
      </w:pPr>
      <w:r w:rsidRPr="0037157A">
        <w:rPr>
          <w:lang w:val="fr-FR"/>
        </w:rPr>
        <w:t>Selon l</w:t>
      </w:r>
      <w:r w:rsidR="004471C3" w:rsidRPr="0037157A">
        <w:rPr>
          <w:lang w:val="fr-FR"/>
        </w:rPr>
        <w:t>’</w:t>
      </w:r>
      <w:r w:rsidRPr="0037157A">
        <w:rPr>
          <w:lang w:val="fr-FR"/>
        </w:rPr>
        <w:t>article</w:t>
      </w:r>
      <w:r w:rsidR="00CB2E84" w:rsidRPr="0037157A">
        <w:rPr>
          <w:lang w:val="fr-FR"/>
        </w:rPr>
        <w:t xml:space="preserve"> </w:t>
      </w:r>
      <w:r w:rsidRPr="0037157A">
        <w:rPr>
          <w:lang w:val="fr-FR"/>
        </w:rPr>
        <w:t>34 de la Convention d</w:t>
      </w:r>
      <w:r w:rsidR="004471C3" w:rsidRPr="0037157A">
        <w:rPr>
          <w:lang w:val="fr-FR"/>
        </w:rPr>
        <w:t>’</w:t>
      </w:r>
      <w:r w:rsidRPr="0037157A">
        <w:rPr>
          <w:lang w:val="fr-FR"/>
        </w:rPr>
        <w:t>Istanbul, le harcèlement désigne «</w:t>
      </w:r>
      <w:r w:rsidR="00CB2E84" w:rsidRPr="0037157A">
        <w:rPr>
          <w:lang w:val="fr-FR"/>
        </w:rPr>
        <w:t> </w:t>
      </w:r>
      <w:r w:rsidRPr="0037157A">
        <w:rPr>
          <w:lang w:val="fr-FR"/>
        </w:rPr>
        <w:t>le fait, lorsqu</w:t>
      </w:r>
      <w:r w:rsidR="004471C3" w:rsidRPr="0037157A">
        <w:rPr>
          <w:lang w:val="fr-FR"/>
        </w:rPr>
        <w:t>’</w:t>
      </w:r>
      <w:r w:rsidRPr="0037157A">
        <w:rPr>
          <w:lang w:val="fr-FR"/>
        </w:rPr>
        <w:t>il est commis intentionnellement, d</w:t>
      </w:r>
      <w:r w:rsidR="004471C3" w:rsidRPr="0037157A">
        <w:rPr>
          <w:lang w:val="fr-FR"/>
        </w:rPr>
        <w:t>’</w:t>
      </w:r>
      <w:r w:rsidRPr="0037157A">
        <w:rPr>
          <w:lang w:val="fr-FR"/>
        </w:rPr>
        <w:t>adopter, à plusieurs reprises, un comportement menaçant dirigé envers une autre personne, conduisant celle-ci à craindre pour sa sécurité</w:t>
      </w:r>
      <w:r w:rsidR="00CB2E84" w:rsidRPr="0037157A">
        <w:rPr>
          <w:lang w:val="fr-FR"/>
        </w:rPr>
        <w:t> </w:t>
      </w:r>
      <w:r w:rsidRPr="0037157A">
        <w:rPr>
          <w:lang w:val="fr-FR"/>
        </w:rPr>
        <w:t>». En Hongrie, ce type de comportement est passible de sanctions en application de l</w:t>
      </w:r>
      <w:r w:rsidR="004471C3" w:rsidRPr="0037157A">
        <w:rPr>
          <w:lang w:val="fr-FR"/>
        </w:rPr>
        <w:t>’</w:t>
      </w:r>
      <w:r w:rsidRPr="0037157A">
        <w:rPr>
          <w:lang w:val="fr-FR"/>
        </w:rPr>
        <w:t>article</w:t>
      </w:r>
      <w:r w:rsidR="00CB2E84" w:rsidRPr="0037157A">
        <w:rPr>
          <w:lang w:val="fr-FR"/>
        </w:rPr>
        <w:t xml:space="preserve"> </w:t>
      </w:r>
      <w:r w:rsidRPr="0037157A">
        <w:rPr>
          <w:lang w:val="fr-FR"/>
        </w:rPr>
        <w:t>222 du Code pénal sur le harcèlement</w:t>
      </w:r>
      <w:r w:rsidRPr="0037157A">
        <w:rPr>
          <w:vertAlign w:val="superscript"/>
          <w:lang w:val="fr-FR"/>
        </w:rPr>
        <w:footnoteReference w:id="6"/>
      </w:r>
      <w:r w:rsidRPr="0037157A">
        <w:rPr>
          <w:lang w:val="fr-FR"/>
        </w:rPr>
        <w:t>. En raison de la nature personnelle du crime, il n</w:t>
      </w:r>
      <w:r w:rsidR="004471C3" w:rsidRPr="0037157A">
        <w:rPr>
          <w:lang w:val="fr-FR"/>
        </w:rPr>
        <w:t>’</w:t>
      </w:r>
      <w:r w:rsidRPr="0037157A">
        <w:rPr>
          <w:lang w:val="fr-FR"/>
        </w:rPr>
        <w:t>est possible d</w:t>
      </w:r>
      <w:r w:rsidR="004471C3" w:rsidRPr="0037157A">
        <w:rPr>
          <w:lang w:val="fr-FR"/>
        </w:rPr>
        <w:t>’</w:t>
      </w:r>
      <w:r w:rsidRPr="0037157A">
        <w:rPr>
          <w:lang w:val="fr-FR"/>
        </w:rPr>
        <w:t>engager des poursuites que si la victime dépose personnellement une plainte. Les actes de nuisance et de harcèlement pouvant revêtir diverses formes, on a employé dans le Code pénal la formulation générale suivante</w:t>
      </w:r>
      <w:r w:rsidR="00CB2E84" w:rsidRPr="0037157A">
        <w:rPr>
          <w:lang w:val="fr-FR"/>
        </w:rPr>
        <w:t xml:space="preserve"> </w:t>
      </w:r>
      <w:r w:rsidR="004471C3" w:rsidRPr="0037157A">
        <w:rPr>
          <w:lang w:val="fr-FR"/>
        </w:rPr>
        <w:t>:</w:t>
      </w:r>
      <w:r w:rsidRPr="0037157A">
        <w:rPr>
          <w:lang w:val="fr-FR"/>
        </w:rPr>
        <w:t xml:space="preserve"> «</w:t>
      </w:r>
      <w:r w:rsidR="00CB2E84" w:rsidRPr="0037157A">
        <w:rPr>
          <w:lang w:val="fr-FR"/>
        </w:rPr>
        <w:t> </w:t>
      </w:r>
      <w:r w:rsidRPr="0037157A">
        <w:rPr>
          <w:lang w:val="fr-FR"/>
        </w:rPr>
        <w:t>nuit à une autre personne de façon régulière ou permanente</w:t>
      </w:r>
      <w:r w:rsidR="00CB2E84" w:rsidRPr="0037157A">
        <w:rPr>
          <w:lang w:val="fr-FR"/>
        </w:rPr>
        <w:t> </w:t>
      </w:r>
      <w:r w:rsidRPr="0037157A">
        <w:rPr>
          <w:lang w:val="fr-FR"/>
        </w:rPr>
        <w:t>», en lui «</w:t>
      </w:r>
      <w:r w:rsidR="00CB2E84" w:rsidRPr="0037157A">
        <w:rPr>
          <w:lang w:val="fr-FR"/>
        </w:rPr>
        <w:t> </w:t>
      </w:r>
      <w:r w:rsidRPr="0037157A">
        <w:rPr>
          <w:lang w:val="fr-FR"/>
        </w:rPr>
        <w:t>faisant peur ou en interférant avec sa vie privée ou sa vie quotidienne</w:t>
      </w:r>
      <w:r w:rsidR="00CB2E84" w:rsidRPr="0037157A">
        <w:rPr>
          <w:lang w:val="fr-FR"/>
        </w:rPr>
        <w:t> </w:t>
      </w:r>
      <w:r w:rsidRPr="0037157A">
        <w:rPr>
          <w:lang w:val="fr-FR"/>
        </w:rPr>
        <w:t>».</w:t>
      </w:r>
    </w:p>
    <w:p w14:paraId="31B196F0" w14:textId="44FF726B" w:rsidR="002E0B8B" w:rsidRPr="0037157A" w:rsidRDefault="002E0B8B" w:rsidP="009D535F">
      <w:pPr>
        <w:pStyle w:val="SingleTxt"/>
        <w:numPr>
          <w:ilvl w:val="0"/>
          <w:numId w:val="12"/>
        </w:numPr>
        <w:spacing w:line="240" w:lineRule="exact"/>
        <w:rPr>
          <w:lang w:val="fr-FR"/>
        </w:rPr>
      </w:pPr>
      <w:r w:rsidRPr="0037157A">
        <w:rPr>
          <w:lang w:val="fr-FR"/>
        </w:rPr>
        <w:t>Le harcèlement couvre le fait de menacer quelqu</w:t>
      </w:r>
      <w:r w:rsidR="004471C3" w:rsidRPr="0037157A">
        <w:rPr>
          <w:lang w:val="fr-FR"/>
        </w:rPr>
        <w:t>’</w:t>
      </w:r>
      <w:r w:rsidRPr="0037157A">
        <w:rPr>
          <w:lang w:val="fr-FR"/>
        </w:rPr>
        <w:t>un de commettre un acte violent contre une personne ou un acte présentant un danger pour la population</w:t>
      </w:r>
      <w:r w:rsidR="00CB2E84" w:rsidRPr="0037157A">
        <w:rPr>
          <w:lang w:val="fr-FR"/>
        </w:rPr>
        <w:t> </w:t>
      </w:r>
      <w:r w:rsidR="004471C3" w:rsidRPr="0037157A">
        <w:rPr>
          <w:lang w:val="fr-FR"/>
        </w:rPr>
        <w:t>;</w:t>
      </w:r>
      <w:r w:rsidRPr="0037157A">
        <w:rPr>
          <w:lang w:val="fr-FR"/>
        </w:rPr>
        <w:t xml:space="preserve"> ou de faire croire qu</w:t>
      </w:r>
      <w:r w:rsidR="004471C3" w:rsidRPr="0037157A">
        <w:rPr>
          <w:lang w:val="fr-FR"/>
        </w:rPr>
        <w:t>’</w:t>
      </w:r>
      <w:r w:rsidRPr="0037157A">
        <w:rPr>
          <w:lang w:val="fr-FR"/>
        </w:rPr>
        <w:t>un événement nuisant ou portant directement atteinte à la vie, l</w:t>
      </w:r>
      <w:r w:rsidR="004471C3" w:rsidRPr="0037157A">
        <w:rPr>
          <w:lang w:val="fr-FR"/>
        </w:rPr>
        <w:t>’</w:t>
      </w:r>
      <w:r w:rsidRPr="0037157A">
        <w:rPr>
          <w:lang w:val="fr-FR"/>
        </w:rPr>
        <w:t>intégrité physique ou la santé d</w:t>
      </w:r>
      <w:r w:rsidR="004471C3" w:rsidRPr="0037157A">
        <w:rPr>
          <w:lang w:val="fr-FR"/>
        </w:rPr>
        <w:t>’</w:t>
      </w:r>
      <w:r w:rsidRPr="0037157A">
        <w:rPr>
          <w:lang w:val="fr-FR"/>
        </w:rPr>
        <w:t>une autre personne est sur le point de se produire. Ces actes sont passibles d</w:t>
      </w:r>
      <w:r w:rsidR="004471C3" w:rsidRPr="0037157A">
        <w:rPr>
          <w:lang w:val="fr-FR"/>
        </w:rPr>
        <w:t>’</w:t>
      </w:r>
      <w:r w:rsidRPr="0037157A">
        <w:rPr>
          <w:lang w:val="fr-FR"/>
        </w:rPr>
        <w:t>une peine plus lourde.</w:t>
      </w:r>
    </w:p>
    <w:p w14:paraId="734E3BA7" w14:textId="1B536F5B" w:rsidR="00C4590A" w:rsidRPr="0037157A" w:rsidRDefault="00C4590A" w:rsidP="00C4590A">
      <w:pPr>
        <w:pStyle w:val="SingleTxt"/>
        <w:spacing w:after="0" w:line="120" w:lineRule="exact"/>
        <w:rPr>
          <w:sz w:val="10"/>
          <w:lang w:val="fr-FR"/>
        </w:rPr>
      </w:pPr>
    </w:p>
    <w:p w14:paraId="04F84FA1" w14:textId="3AD4BF7A" w:rsidR="002E0B8B" w:rsidRPr="0037157A" w:rsidRDefault="002E0B8B" w:rsidP="00C459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Législation relative aux ordonnances de protection</w:t>
      </w:r>
    </w:p>
    <w:p w14:paraId="0EC27F78" w14:textId="56A0D165" w:rsidR="00C4590A" w:rsidRPr="0037157A" w:rsidRDefault="00C4590A" w:rsidP="00C4590A">
      <w:pPr>
        <w:pStyle w:val="SingleTxt"/>
        <w:spacing w:after="0" w:line="120" w:lineRule="exact"/>
        <w:rPr>
          <w:sz w:val="10"/>
          <w:lang w:val="fr-FR"/>
        </w:rPr>
      </w:pPr>
    </w:p>
    <w:p w14:paraId="14ABC23F" w14:textId="0FECB3CB" w:rsidR="004471C3" w:rsidRPr="0037157A" w:rsidRDefault="002E0B8B" w:rsidP="009D535F">
      <w:pPr>
        <w:pStyle w:val="SingleTxt"/>
        <w:numPr>
          <w:ilvl w:val="0"/>
          <w:numId w:val="12"/>
        </w:numPr>
        <w:spacing w:line="240" w:lineRule="exact"/>
        <w:rPr>
          <w:lang w:val="fr-FR"/>
        </w:rPr>
      </w:pPr>
      <w:r w:rsidRPr="0037157A">
        <w:rPr>
          <w:lang w:val="fr-FR"/>
        </w:rPr>
        <w:t>La loi</w:t>
      </w:r>
      <w:r w:rsidR="00CB2E84" w:rsidRPr="0037157A">
        <w:rPr>
          <w:lang w:val="fr-FR"/>
        </w:rPr>
        <w:t xml:space="preserve"> </w:t>
      </w:r>
      <w:r w:rsidRPr="0037157A">
        <w:rPr>
          <w:lang w:val="fr-FR"/>
        </w:rPr>
        <w:t>XC de 2017 sur la procédure pénale (le Code de procédure pénale), entrée en vigueur le 1</w:t>
      </w:r>
      <w:r w:rsidRPr="0037157A">
        <w:rPr>
          <w:vertAlign w:val="superscript"/>
          <w:lang w:val="fr-FR"/>
        </w:rPr>
        <w:t>er </w:t>
      </w:r>
      <w:r w:rsidRPr="0037157A">
        <w:rPr>
          <w:lang w:val="fr-FR"/>
        </w:rPr>
        <w:t>juillet 2018, a considérablement modifié les règles relatives à l</w:t>
      </w:r>
      <w:r w:rsidR="004471C3" w:rsidRPr="0037157A">
        <w:rPr>
          <w:lang w:val="fr-FR"/>
        </w:rPr>
        <w:t>’</w:t>
      </w:r>
      <w:r w:rsidRPr="0037157A">
        <w:rPr>
          <w:lang w:val="fr-FR"/>
        </w:rPr>
        <w:t>ordonnance de protection (comme indiqué dans le neuvième rapport périodique). Le Code de procédure pénale ne limite pas l</w:t>
      </w:r>
      <w:r w:rsidR="004471C3" w:rsidRPr="0037157A">
        <w:rPr>
          <w:lang w:val="fr-FR"/>
        </w:rPr>
        <w:t>’</w:t>
      </w:r>
      <w:r w:rsidRPr="0037157A">
        <w:rPr>
          <w:lang w:val="fr-FR"/>
        </w:rPr>
        <w:t>application de ces règles à certains types de relations familiales ou de cohabitation, ou aux couples ayant des enfants. Une ordonnance de protection peut être délivrée à l</w:t>
      </w:r>
      <w:r w:rsidR="004471C3" w:rsidRPr="0037157A">
        <w:rPr>
          <w:lang w:val="fr-FR"/>
        </w:rPr>
        <w:t>’</w:t>
      </w:r>
      <w:r w:rsidRPr="0037157A">
        <w:rPr>
          <w:lang w:val="fr-FR"/>
        </w:rPr>
        <w:t>encontre d</w:t>
      </w:r>
      <w:r w:rsidR="004471C3" w:rsidRPr="0037157A">
        <w:rPr>
          <w:lang w:val="fr-FR"/>
        </w:rPr>
        <w:t>’</w:t>
      </w:r>
      <w:r w:rsidRPr="0037157A">
        <w:rPr>
          <w:lang w:val="fr-FR"/>
        </w:rPr>
        <w:t>un auteur que l</w:t>
      </w:r>
      <w:r w:rsidR="004471C3" w:rsidRPr="0037157A">
        <w:rPr>
          <w:lang w:val="fr-FR"/>
        </w:rPr>
        <w:t>’</w:t>
      </w:r>
      <w:r w:rsidRPr="0037157A">
        <w:rPr>
          <w:lang w:val="fr-FR"/>
        </w:rPr>
        <w:t>on peut raisonnablement soupçonner d</w:t>
      </w:r>
      <w:r w:rsidR="004471C3" w:rsidRPr="0037157A">
        <w:rPr>
          <w:lang w:val="fr-FR"/>
        </w:rPr>
        <w:t>’</w:t>
      </w:r>
      <w:r w:rsidRPr="0037157A">
        <w:rPr>
          <w:lang w:val="fr-FR"/>
        </w:rPr>
        <w:t>avoir commis une infraction passible d</w:t>
      </w:r>
      <w:r w:rsidR="004471C3" w:rsidRPr="0037157A">
        <w:rPr>
          <w:lang w:val="fr-FR"/>
        </w:rPr>
        <w:t>’</w:t>
      </w:r>
      <w:r w:rsidRPr="0037157A">
        <w:rPr>
          <w:lang w:val="fr-FR"/>
        </w:rPr>
        <w:t>une peine d</w:t>
      </w:r>
      <w:r w:rsidR="004471C3" w:rsidRPr="0037157A">
        <w:rPr>
          <w:lang w:val="fr-FR"/>
        </w:rPr>
        <w:t>’</w:t>
      </w:r>
      <w:r w:rsidRPr="0037157A">
        <w:rPr>
          <w:lang w:val="fr-FR"/>
        </w:rPr>
        <w:t>emprisonnement ou qui a été inculpé, dans le but de l</w:t>
      </w:r>
      <w:r w:rsidR="004471C3" w:rsidRPr="0037157A">
        <w:rPr>
          <w:lang w:val="fr-FR"/>
        </w:rPr>
        <w:t>’</w:t>
      </w:r>
      <w:r w:rsidRPr="0037157A">
        <w:rPr>
          <w:lang w:val="fr-FR"/>
        </w:rPr>
        <w:t>empêcher d</w:t>
      </w:r>
      <w:r w:rsidR="004471C3" w:rsidRPr="0037157A">
        <w:rPr>
          <w:lang w:val="fr-FR"/>
        </w:rPr>
        <w:t>’</w:t>
      </w:r>
      <w:r w:rsidRPr="0037157A">
        <w:rPr>
          <w:lang w:val="fr-FR"/>
        </w:rPr>
        <w:t>entraver ou de faire échouer la procédure d</w:t>
      </w:r>
      <w:r w:rsidR="004471C3" w:rsidRPr="0037157A">
        <w:rPr>
          <w:lang w:val="fr-FR"/>
        </w:rPr>
        <w:t>’</w:t>
      </w:r>
      <w:r w:rsidRPr="0037157A">
        <w:rPr>
          <w:lang w:val="fr-FR"/>
        </w:rPr>
        <w:t>obtention d</w:t>
      </w:r>
      <w:r w:rsidR="004471C3" w:rsidRPr="0037157A">
        <w:rPr>
          <w:lang w:val="fr-FR"/>
        </w:rPr>
        <w:t>’</w:t>
      </w:r>
      <w:r w:rsidRPr="0037157A">
        <w:rPr>
          <w:lang w:val="fr-FR"/>
        </w:rPr>
        <w:t>éléments de preuve ou de renouveler l</w:t>
      </w:r>
      <w:r w:rsidR="004471C3" w:rsidRPr="0037157A">
        <w:rPr>
          <w:lang w:val="fr-FR"/>
        </w:rPr>
        <w:t>’</w:t>
      </w:r>
      <w:r w:rsidRPr="0037157A">
        <w:rPr>
          <w:lang w:val="fr-FR"/>
        </w:rPr>
        <w:t>infraction contre la victime.</w:t>
      </w:r>
    </w:p>
    <w:p w14:paraId="1A8F137F" w14:textId="20DCC488" w:rsidR="002E0B8B" w:rsidRPr="0037157A" w:rsidRDefault="002E0B8B" w:rsidP="00DC71DA">
      <w:pPr>
        <w:pStyle w:val="SingleTxt"/>
        <w:numPr>
          <w:ilvl w:val="0"/>
          <w:numId w:val="12"/>
        </w:numPr>
        <w:spacing w:line="240" w:lineRule="exact"/>
        <w:rPr>
          <w:lang w:val="fr-FR"/>
        </w:rPr>
      </w:pPr>
      <w:r w:rsidRPr="0037157A">
        <w:rPr>
          <w:lang w:val="fr-FR"/>
        </w:rPr>
        <w:t>En 2020, le Code pénal a été modifié afin de rendre plus strictes les conditions de la libération conditionnelle (voir article 38). L</w:t>
      </w:r>
      <w:r w:rsidR="004471C3" w:rsidRPr="0037157A">
        <w:rPr>
          <w:lang w:val="fr-FR"/>
        </w:rPr>
        <w:t>’</w:t>
      </w:r>
      <w:r w:rsidRPr="0037157A">
        <w:rPr>
          <w:lang w:val="fr-FR"/>
        </w:rPr>
        <w:t>auteur placé en liberté conditionnelle après avoir commis un crime violent contre un membre de sa famille peut également être placé sous surveillance (article 69, paragraphe 2). Dans ce cas, il (elle) doit se tenir à l</w:t>
      </w:r>
      <w:r w:rsidR="004471C3" w:rsidRPr="0037157A">
        <w:rPr>
          <w:lang w:val="fr-FR"/>
        </w:rPr>
        <w:t>’</w:t>
      </w:r>
      <w:r w:rsidRPr="0037157A">
        <w:rPr>
          <w:lang w:val="fr-FR"/>
        </w:rPr>
        <w:t xml:space="preserve">écart du domicile ou de la résidence habituelle, du lieu de travail, des institutions et des autres lieux </w:t>
      </w:r>
      <w:r w:rsidR="009202F3" w:rsidRPr="009202F3">
        <w:rPr>
          <w:lang w:val="fr-FR"/>
        </w:rPr>
        <w:t>–</w:t>
      </w:r>
      <w:r w:rsidR="009202F3">
        <w:rPr>
          <w:lang w:val="fr-FR"/>
        </w:rPr>
        <w:t> </w:t>
      </w:r>
      <w:r w:rsidRPr="0037157A">
        <w:rPr>
          <w:lang w:val="fr-FR"/>
        </w:rPr>
        <w:t>notamment les crèches, les jardins d</w:t>
      </w:r>
      <w:r w:rsidR="004471C3" w:rsidRPr="0037157A">
        <w:rPr>
          <w:lang w:val="fr-FR"/>
        </w:rPr>
        <w:t>’</w:t>
      </w:r>
      <w:r w:rsidRPr="0037157A">
        <w:rPr>
          <w:lang w:val="fr-FR"/>
        </w:rPr>
        <w:t xml:space="preserve">enfants, les écoles, les établissements de santé et les lieux de </w:t>
      </w:r>
      <w:r w:rsidR="009202F3" w:rsidRPr="0037157A">
        <w:rPr>
          <w:lang w:val="fr-FR"/>
        </w:rPr>
        <w:t>culte</w:t>
      </w:r>
      <w:r w:rsidR="009202F3">
        <w:rPr>
          <w:lang w:val="fr-FR"/>
        </w:rPr>
        <w:t> </w:t>
      </w:r>
      <w:r w:rsidR="009202F3" w:rsidRPr="009202F3">
        <w:rPr>
          <w:lang w:val="fr-FR"/>
        </w:rPr>
        <w:t>–</w:t>
      </w:r>
      <w:r w:rsidRPr="0037157A">
        <w:rPr>
          <w:lang w:val="fr-FR"/>
        </w:rPr>
        <w:t xml:space="preserve"> où se rendent régulièrement la victime, les proches de la victime et les autres personnes concernées (article</w:t>
      </w:r>
      <w:r w:rsidR="00CB2E84" w:rsidRPr="0037157A">
        <w:rPr>
          <w:lang w:val="fr-FR"/>
        </w:rPr>
        <w:t xml:space="preserve"> </w:t>
      </w:r>
      <w:r w:rsidRPr="0037157A">
        <w:rPr>
          <w:lang w:val="fr-FR"/>
        </w:rPr>
        <w:t>71).</w:t>
      </w:r>
    </w:p>
    <w:p w14:paraId="0A969421" w14:textId="4DBD7B12" w:rsidR="00C4590A" w:rsidRPr="0037157A" w:rsidRDefault="00C4590A" w:rsidP="00C4590A">
      <w:pPr>
        <w:pStyle w:val="SingleTxt"/>
        <w:spacing w:after="0" w:line="120" w:lineRule="exact"/>
        <w:rPr>
          <w:sz w:val="10"/>
          <w:lang w:val="fr-FR"/>
        </w:rPr>
      </w:pPr>
    </w:p>
    <w:p w14:paraId="7DEBC05B" w14:textId="205C7486" w:rsidR="002E0B8B" w:rsidRPr="0037157A" w:rsidRDefault="002E0B8B" w:rsidP="00622C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Mesures prises pour criminaliser le viol sur la base de l</w:t>
      </w:r>
      <w:r w:rsidR="004471C3" w:rsidRPr="0037157A">
        <w:rPr>
          <w:lang w:val="fr-FR"/>
        </w:rPr>
        <w:t>’</w:t>
      </w:r>
      <w:r w:rsidRPr="0037157A">
        <w:rPr>
          <w:lang w:val="fr-FR"/>
        </w:rPr>
        <w:t>absence de consentement plutôt que de l</w:t>
      </w:r>
      <w:r w:rsidR="004471C3" w:rsidRPr="0037157A">
        <w:rPr>
          <w:lang w:val="fr-FR"/>
        </w:rPr>
        <w:t>’</w:t>
      </w:r>
      <w:r w:rsidRPr="0037157A">
        <w:rPr>
          <w:lang w:val="fr-FR"/>
        </w:rPr>
        <w:t xml:space="preserve">usage de la force, et relation entre la coercition sexuelle </w:t>
      </w:r>
      <w:r w:rsidR="00C4590A" w:rsidRPr="0037157A">
        <w:rPr>
          <w:lang w:val="fr-FR"/>
        </w:rPr>
        <w:br/>
      </w:r>
      <w:r w:rsidRPr="0037157A">
        <w:rPr>
          <w:lang w:val="fr-FR"/>
        </w:rPr>
        <w:t>et l</w:t>
      </w:r>
      <w:r w:rsidR="004471C3" w:rsidRPr="0037157A">
        <w:rPr>
          <w:lang w:val="fr-FR"/>
        </w:rPr>
        <w:t>’</w:t>
      </w:r>
      <w:r w:rsidRPr="0037157A">
        <w:rPr>
          <w:lang w:val="fr-FR"/>
        </w:rPr>
        <w:t>infraction de viol</w:t>
      </w:r>
    </w:p>
    <w:p w14:paraId="756BFDA3" w14:textId="4AEE470E" w:rsidR="00C4590A" w:rsidRPr="0037157A" w:rsidRDefault="00C4590A" w:rsidP="00622C56">
      <w:pPr>
        <w:pStyle w:val="SingleTxt"/>
        <w:keepNext/>
        <w:keepLines/>
        <w:spacing w:after="0" w:line="120" w:lineRule="exact"/>
        <w:rPr>
          <w:sz w:val="10"/>
          <w:lang w:val="fr-FR"/>
        </w:rPr>
      </w:pPr>
    </w:p>
    <w:p w14:paraId="583F5F5D" w14:textId="668AE862" w:rsidR="002E0B8B" w:rsidRPr="0037157A" w:rsidRDefault="002E0B8B" w:rsidP="00622C56">
      <w:pPr>
        <w:pStyle w:val="SingleTxt"/>
        <w:keepNext/>
        <w:keepLines/>
        <w:numPr>
          <w:ilvl w:val="0"/>
          <w:numId w:val="12"/>
        </w:numPr>
        <w:spacing w:line="240" w:lineRule="exact"/>
        <w:rPr>
          <w:iCs/>
          <w:lang w:val="fr-FR"/>
        </w:rPr>
      </w:pPr>
      <w:r w:rsidRPr="0037157A">
        <w:rPr>
          <w:lang w:val="fr-FR"/>
        </w:rPr>
        <w:t>L</w:t>
      </w:r>
      <w:r w:rsidR="004471C3" w:rsidRPr="0037157A">
        <w:rPr>
          <w:lang w:val="fr-FR"/>
        </w:rPr>
        <w:t>’</w:t>
      </w:r>
      <w:r w:rsidRPr="0037157A">
        <w:rPr>
          <w:lang w:val="fr-FR"/>
        </w:rPr>
        <w:t>infraction pénale de coercition sexuelle (article 196 du Code pénal) garantit une protection pénale plus rapide que l</w:t>
      </w:r>
      <w:r w:rsidR="004471C3" w:rsidRPr="0037157A">
        <w:rPr>
          <w:lang w:val="fr-FR"/>
        </w:rPr>
        <w:t>’</w:t>
      </w:r>
      <w:r w:rsidRPr="0037157A">
        <w:rPr>
          <w:lang w:val="fr-FR"/>
        </w:rPr>
        <w:t>infraction pénale de violence sexuelle (</w:t>
      </w:r>
      <w:r w:rsidR="009202F3" w:rsidRPr="0037157A">
        <w:rPr>
          <w:lang w:val="fr-FR"/>
        </w:rPr>
        <w:t>article</w:t>
      </w:r>
      <w:r w:rsidR="009202F3">
        <w:rPr>
          <w:lang w:val="fr-FR"/>
        </w:rPr>
        <w:t> </w:t>
      </w:r>
      <w:r w:rsidRPr="0037157A">
        <w:rPr>
          <w:lang w:val="fr-FR"/>
        </w:rPr>
        <w:t>197 du Code pénal). La notion de « viol » est couverte par ces deux infractions pénales.</w:t>
      </w:r>
    </w:p>
    <w:p w14:paraId="123A59D1" w14:textId="33E4DD3D" w:rsidR="002E0B8B" w:rsidRPr="0037157A" w:rsidRDefault="002E0B8B" w:rsidP="009D535F">
      <w:pPr>
        <w:pStyle w:val="SingleTxt"/>
        <w:numPr>
          <w:ilvl w:val="0"/>
          <w:numId w:val="12"/>
        </w:numPr>
        <w:spacing w:line="240" w:lineRule="exact"/>
        <w:rPr>
          <w:iCs/>
          <w:lang w:val="fr-FR"/>
        </w:rPr>
      </w:pPr>
      <w:r w:rsidRPr="0037157A">
        <w:rPr>
          <w:lang w:val="fr-FR"/>
        </w:rPr>
        <w:t>L</w:t>
      </w:r>
      <w:r w:rsidR="004471C3" w:rsidRPr="0037157A">
        <w:rPr>
          <w:lang w:val="fr-FR"/>
        </w:rPr>
        <w:t>’</w:t>
      </w:r>
      <w:r w:rsidRPr="0037157A">
        <w:rPr>
          <w:lang w:val="fr-FR"/>
        </w:rPr>
        <w:t>infraction de coercition sexuelle rend passible de sanctions un acte sexuel commis par intimidation. Cette intimidation ne doit pas nécessairement être directe</w:t>
      </w:r>
      <w:r w:rsidR="004471C3" w:rsidRPr="0037157A">
        <w:rPr>
          <w:lang w:val="fr-FR"/>
        </w:rPr>
        <w:t> :</w:t>
      </w:r>
      <w:r w:rsidRPr="0037157A">
        <w:rPr>
          <w:lang w:val="fr-FR"/>
        </w:rPr>
        <w:t xml:space="preserve"> il ne s</w:t>
      </w:r>
      <w:r w:rsidR="004471C3" w:rsidRPr="0037157A">
        <w:rPr>
          <w:lang w:val="fr-FR"/>
        </w:rPr>
        <w:t>’</w:t>
      </w:r>
      <w:r w:rsidRPr="0037157A">
        <w:rPr>
          <w:lang w:val="fr-FR"/>
        </w:rPr>
        <w:t>agit pas d</w:t>
      </w:r>
      <w:r w:rsidR="004471C3" w:rsidRPr="0037157A">
        <w:rPr>
          <w:lang w:val="fr-FR"/>
        </w:rPr>
        <w:t>’</w:t>
      </w:r>
      <w:r w:rsidRPr="0037157A">
        <w:rPr>
          <w:lang w:val="fr-FR"/>
        </w:rPr>
        <w:t>une « contrainte physique absolue » (</w:t>
      </w:r>
      <w:r w:rsidRPr="0037157A">
        <w:rPr>
          <w:i/>
          <w:iCs/>
          <w:lang w:val="fr-FR"/>
        </w:rPr>
        <w:t>vis absoluta</w:t>
      </w:r>
      <w:r w:rsidRPr="0037157A">
        <w:rPr>
          <w:lang w:val="fr-FR"/>
        </w:rPr>
        <w:t>) (comme c</w:t>
      </w:r>
      <w:r w:rsidR="004471C3" w:rsidRPr="0037157A">
        <w:rPr>
          <w:lang w:val="fr-FR"/>
        </w:rPr>
        <w:t>’</w:t>
      </w:r>
      <w:r w:rsidRPr="0037157A">
        <w:rPr>
          <w:lang w:val="fr-FR"/>
        </w:rPr>
        <w:t>est le cas pour la violence sexuelle), mais plutôt d</w:t>
      </w:r>
      <w:r w:rsidR="004471C3" w:rsidRPr="0037157A">
        <w:rPr>
          <w:lang w:val="fr-FR"/>
        </w:rPr>
        <w:t>’</w:t>
      </w:r>
      <w:r w:rsidRPr="0037157A">
        <w:rPr>
          <w:lang w:val="fr-FR"/>
        </w:rPr>
        <w:t>une « contrainte morale » (</w:t>
      </w:r>
      <w:r w:rsidRPr="0037157A">
        <w:rPr>
          <w:i/>
          <w:iCs/>
          <w:lang w:val="fr-FR"/>
        </w:rPr>
        <w:t>vis</w:t>
      </w:r>
      <w:r w:rsidR="00C4590A" w:rsidRPr="0037157A">
        <w:rPr>
          <w:i/>
          <w:iCs/>
          <w:lang w:val="fr-FR"/>
        </w:rPr>
        <w:t> </w:t>
      </w:r>
      <w:r w:rsidRPr="0037157A">
        <w:rPr>
          <w:i/>
          <w:iCs/>
          <w:lang w:val="fr-FR"/>
        </w:rPr>
        <w:t>compulsiva</w:t>
      </w:r>
      <w:r w:rsidRPr="0037157A">
        <w:rPr>
          <w:lang w:val="fr-FR"/>
        </w:rPr>
        <w:t>)</w:t>
      </w:r>
      <w:r w:rsidR="004471C3" w:rsidRPr="0037157A">
        <w:rPr>
          <w:lang w:val="fr-FR"/>
        </w:rPr>
        <w:t> ;</w:t>
      </w:r>
      <w:r w:rsidRPr="0037157A">
        <w:rPr>
          <w:lang w:val="fr-FR"/>
        </w:rPr>
        <w:t xml:space="preserve"> elle ne doit pas forcément prendre la forme d</w:t>
      </w:r>
      <w:r w:rsidR="004471C3" w:rsidRPr="0037157A">
        <w:rPr>
          <w:lang w:val="fr-FR"/>
        </w:rPr>
        <w:t>’</w:t>
      </w:r>
      <w:r w:rsidRPr="0037157A">
        <w:rPr>
          <w:lang w:val="fr-FR"/>
        </w:rPr>
        <w:t>une menace ou d</w:t>
      </w:r>
      <w:r w:rsidR="004471C3" w:rsidRPr="0037157A">
        <w:rPr>
          <w:lang w:val="fr-FR"/>
        </w:rPr>
        <w:t>’</w:t>
      </w:r>
      <w:r w:rsidRPr="0037157A">
        <w:rPr>
          <w:lang w:val="fr-FR"/>
        </w:rPr>
        <w:t>un acte de violence mais simplement d</w:t>
      </w:r>
      <w:r w:rsidR="004471C3" w:rsidRPr="0037157A">
        <w:rPr>
          <w:lang w:val="fr-FR"/>
        </w:rPr>
        <w:t>’</w:t>
      </w:r>
      <w:r w:rsidRPr="0037157A">
        <w:rPr>
          <w:lang w:val="fr-FR"/>
        </w:rPr>
        <w:t>un acte visant à faire plier la volonté de l</w:t>
      </w:r>
      <w:r w:rsidR="004471C3" w:rsidRPr="0037157A">
        <w:rPr>
          <w:lang w:val="fr-FR"/>
        </w:rPr>
        <w:t>’</w:t>
      </w:r>
      <w:r w:rsidRPr="0037157A">
        <w:rPr>
          <w:lang w:val="fr-FR"/>
        </w:rPr>
        <w:t>autre. Le fait de contraindre une personne à se livrer à un acte sexuel ou à l</w:t>
      </w:r>
      <w:r w:rsidR="004471C3" w:rsidRPr="0037157A">
        <w:rPr>
          <w:lang w:val="fr-FR"/>
        </w:rPr>
        <w:t>’</w:t>
      </w:r>
      <w:r w:rsidRPr="0037157A">
        <w:rPr>
          <w:lang w:val="fr-FR"/>
        </w:rPr>
        <w:t>endurer inclut tout type de comportement qui amène la victime à ne pas donner son consentement volontaire et libre à l</w:t>
      </w:r>
      <w:r w:rsidR="004471C3" w:rsidRPr="0037157A">
        <w:rPr>
          <w:lang w:val="fr-FR"/>
        </w:rPr>
        <w:t>’</w:t>
      </w:r>
      <w:r w:rsidRPr="0037157A">
        <w:rPr>
          <w:lang w:val="fr-FR"/>
        </w:rPr>
        <w:t>acte sexuel, ce qui suppose l</w:t>
      </w:r>
      <w:r w:rsidR="004471C3" w:rsidRPr="0037157A">
        <w:rPr>
          <w:lang w:val="fr-FR"/>
        </w:rPr>
        <w:t>’</w:t>
      </w:r>
      <w:r w:rsidRPr="0037157A">
        <w:rPr>
          <w:lang w:val="fr-FR"/>
        </w:rPr>
        <w:t>absence de consentement. Cette infraction peut également être établie si l</w:t>
      </w:r>
      <w:r w:rsidR="004471C3" w:rsidRPr="0037157A">
        <w:rPr>
          <w:lang w:val="fr-FR"/>
        </w:rPr>
        <w:t>’</w:t>
      </w:r>
      <w:r w:rsidRPr="0037157A">
        <w:rPr>
          <w:lang w:val="fr-FR"/>
        </w:rPr>
        <w:t>auteur profite de la différence d</w:t>
      </w:r>
      <w:r w:rsidR="004471C3" w:rsidRPr="0037157A">
        <w:rPr>
          <w:lang w:val="fr-FR"/>
        </w:rPr>
        <w:t>’</w:t>
      </w:r>
      <w:r w:rsidRPr="0037157A">
        <w:rPr>
          <w:lang w:val="fr-FR"/>
        </w:rPr>
        <w:t>âge qui existe entre lui (elle) et la victime pour accomplir l</w:t>
      </w:r>
      <w:r w:rsidR="004471C3" w:rsidRPr="0037157A">
        <w:rPr>
          <w:lang w:val="fr-FR"/>
        </w:rPr>
        <w:t>’</w:t>
      </w:r>
      <w:r w:rsidRPr="0037157A">
        <w:rPr>
          <w:lang w:val="fr-FR"/>
        </w:rPr>
        <w:t>acte sexuel. Des données sur le nombre de poursuites, de condamnations et de peines prononcées figurent en annexe.</w:t>
      </w:r>
    </w:p>
    <w:p w14:paraId="63945109" w14:textId="31519E5E" w:rsidR="002E0B8B" w:rsidRPr="0037157A" w:rsidRDefault="002E0B8B" w:rsidP="009D535F">
      <w:pPr>
        <w:pStyle w:val="SingleTxt"/>
        <w:numPr>
          <w:ilvl w:val="0"/>
          <w:numId w:val="12"/>
        </w:numPr>
        <w:spacing w:line="240" w:lineRule="exact"/>
        <w:rPr>
          <w:lang w:val="fr-FR"/>
        </w:rPr>
      </w:pPr>
      <w:r w:rsidRPr="0037157A">
        <w:rPr>
          <w:lang w:val="fr-FR"/>
        </w:rPr>
        <w:t>En revanche, l</w:t>
      </w:r>
      <w:r w:rsidR="004471C3" w:rsidRPr="0037157A">
        <w:rPr>
          <w:lang w:val="fr-FR"/>
        </w:rPr>
        <w:t>’</w:t>
      </w:r>
      <w:r w:rsidRPr="0037157A">
        <w:rPr>
          <w:lang w:val="fr-FR"/>
        </w:rPr>
        <w:t>infraction de « violence sexuelle » couvre les actes sexuels commis au moyen de la violence ou d</w:t>
      </w:r>
      <w:r w:rsidR="004471C3" w:rsidRPr="0037157A">
        <w:rPr>
          <w:lang w:val="fr-FR"/>
        </w:rPr>
        <w:t>’</w:t>
      </w:r>
      <w:r w:rsidRPr="0037157A">
        <w:rPr>
          <w:lang w:val="fr-FR"/>
        </w:rPr>
        <w:t>une menace directe contre la vie ou l</w:t>
      </w:r>
      <w:r w:rsidR="004471C3" w:rsidRPr="0037157A">
        <w:rPr>
          <w:lang w:val="fr-FR"/>
        </w:rPr>
        <w:t>’</w:t>
      </w:r>
      <w:r w:rsidRPr="0037157A">
        <w:rPr>
          <w:lang w:val="fr-FR"/>
        </w:rPr>
        <w:t>intégrité physique. Elle vise également les cas où la victime est incapable de se défendre (par exemple, si elle est inconsciente) ou de consentir à un acte sexuel (par exemple, si elle est sous l</w:t>
      </w:r>
      <w:r w:rsidR="004471C3" w:rsidRPr="0037157A">
        <w:rPr>
          <w:lang w:val="fr-FR"/>
        </w:rPr>
        <w:t>’</w:t>
      </w:r>
      <w:r w:rsidRPr="0037157A">
        <w:rPr>
          <w:lang w:val="fr-FR"/>
        </w:rPr>
        <w:t>emprise de l</w:t>
      </w:r>
      <w:r w:rsidR="004471C3" w:rsidRPr="0037157A">
        <w:rPr>
          <w:lang w:val="fr-FR"/>
        </w:rPr>
        <w:t>’</w:t>
      </w:r>
      <w:r w:rsidRPr="0037157A">
        <w:rPr>
          <w:lang w:val="fr-FR"/>
        </w:rPr>
        <w:t>alcool ou de drogues, ou si elle souffre d</w:t>
      </w:r>
      <w:r w:rsidR="004471C3" w:rsidRPr="0037157A">
        <w:rPr>
          <w:lang w:val="fr-FR"/>
        </w:rPr>
        <w:t>’</w:t>
      </w:r>
      <w:r w:rsidRPr="0037157A">
        <w:rPr>
          <w:lang w:val="fr-FR"/>
        </w:rPr>
        <w:t>un handicap mental). Le fait d</w:t>
      </w:r>
      <w:r w:rsidR="004471C3" w:rsidRPr="0037157A">
        <w:rPr>
          <w:lang w:val="fr-FR"/>
        </w:rPr>
        <w:t>’</w:t>
      </w:r>
      <w:r w:rsidRPr="0037157A">
        <w:rPr>
          <w:lang w:val="fr-FR"/>
        </w:rPr>
        <w:t>accomplir un acte sexuel avec une personne de moins de 12</w:t>
      </w:r>
      <w:r w:rsidR="00C4590A" w:rsidRPr="0037157A">
        <w:rPr>
          <w:lang w:val="fr-FR"/>
        </w:rPr>
        <w:t xml:space="preserve"> </w:t>
      </w:r>
      <w:r w:rsidRPr="0037157A">
        <w:rPr>
          <w:lang w:val="fr-FR"/>
        </w:rPr>
        <w:t>ans constitue une violence sexuelle, même si la victime a donné son consentement.</w:t>
      </w:r>
    </w:p>
    <w:p w14:paraId="4BF5A341" w14:textId="4B2EC3FD" w:rsidR="002E0B8B" w:rsidRPr="0037157A" w:rsidRDefault="002E0B8B" w:rsidP="009D535F">
      <w:pPr>
        <w:pStyle w:val="SingleTxt"/>
        <w:numPr>
          <w:ilvl w:val="0"/>
          <w:numId w:val="12"/>
        </w:numPr>
        <w:spacing w:line="240" w:lineRule="exact"/>
        <w:rPr>
          <w:lang w:val="fr-FR"/>
        </w:rPr>
      </w:pPr>
      <w:r w:rsidRPr="0037157A">
        <w:rPr>
          <w:lang w:val="fr-FR"/>
        </w:rPr>
        <w:t>Depuis 2013, une nouvelle sanction visant à rendre les données électroniques des auteurs ayant commis des infractions via Internet définitivement inaccessibles figure également au Code pénal (article</w:t>
      </w:r>
      <w:r w:rsidR="00CB2E84" w:rsidRPr="0037157A">
        <w:rPr>
          <w:lang w:val="fr-FR"/>
        </w:rPr>
        <w:t xml:space="preserve"> </w:t>
      </w:r>
      <w:r w:rsidRPr="0037157A">
        <w:rPr>
          <w:lang w:val="fr-FR"/>
        </w:rPr>
        <w:t>77).</w:t>
      </w:r>
    </w:p>
    <w:p w14:paraId="2984DE6A" w14:textId="207348BE" w:rsidR="002E0B8B" w:rsidRPr="0037157A" w:rsidRDefault="002E0B8B" w:rsidP="009D535F">
      <w:pPr>
        <w:pStyle w:val="SingleTxt"/>
        <w:numPr>
          <w:ilvl w:val="0"/>
          <w:numId w:val="12"/>
        </w:numPr>
        <w:spacing w:line="240" w:lineRule="exact"/>
        <w:rPr>
          <w:lang w:val="fr-FR"/>
        </w:rPr>
      </w:pPr>
      <w:r w:rsidRPr="0037157A">
        <w:rPr>
          <w:lang w:val="fr-FR"/>
        </w:rPr>
        <w:t>En outre, les procureurs, les magistrats et les agents de police sont membres d</w:t>
      </w:r>
      <w:r w:rsidR="004471C3" w:rsidRPr="0037157A">
        <w:rPr>
          <w:lang w:val="fr-FR"/>
        </w:rPr>
        <w:t>’</w:t>
      </w:r>
      <w:r w:rsidRPr="0037157A">
        <w:rPr>
          <w:lang w:val="fr-FR"/>
        </w:rPr>
        <w:t>un système d</w:t>
      </w:r>
      <w:r w:rsidR="004471C3" w:rsidRPr="0037157A">
        <w:rPr>
          <w:lang w:val="fr-FR"/>
        </w:rPr>
        <w:t>’</w:t>
      </w:r>
      <w:r w:rsidRPr="0037157A">
        <w:rPr>
          <w:lang w:val="fr-FR"/>
        </w:rPr>
        <w:t>alerte pour la protection de l</w:t>
      </w:r>
      <w:r w:rsidR="004471C3" w:rsidRPr="0037157A">
        <w:rPr>
          <w:lang w:val="fr-FR"/>
        </w:rPr>
        <w:t>’</w:t>
      </w:r>
      <w:r w:rsidRPr="0037157A">
        <w:rPr>
          <w:lang w:val="fr-FR"/>
        </w:rPr>
        <w:t>enfance qui joue un rôle très important dans la détection des signes de violence domestique. Dans le cadre du projet national prioritaire intitulé «</w:t>
      </w:r>
      <w:r w:rsidR="00CB2E84" w:rsidRPr="0037157A">
        <w:rPr>
          <w:lang w:val="fr-FR"/>
        </w:rPr>
        <w:t> </w:t>
      </w:r>
      <w:r w:rsidRPr="0037157A">
        <w:rPr>
          <w:lang w:val="fr-FR"/>
        </w:rPr>
        <w:t>Développement des services de gestion de crise</w:t>
      </w:r>
      <w:r w:rsidR="00CB2E84" w:rsidRPr="0037157A">
        <w:rPr>
          <w:lang w:val="fr-FR"/>
        </w:rPr>
        <w:t> </w:t>
      </w:r>
      <w:r w:rsidRPr="0037157A">
        <w:rPr>
          <w:lang w:val="fr-FR"/>
        </w:rPr>
        <w:t>», 5 000</w:t>
      </w:r>
      <w:r w:rsidR="00CB2E84" w:rsidRPr="0037157A">
        <w:rPr>
          <w:lang w:val="fr-FR"/>
        </w:rPr>
        <w:t xml:space="preserve"> </w:t>
      </w:r>
      <w:r w:rsidRPr="0037157A">
        <w:rPr>
          <w:lang w:val="fr-FR"/>
        </w:rPr>
        <w:t>membres de ce système d</w:t>
      </w:r>
      <w:r w:rsidR="004471C3" w:rsidRPr="0037157A">
        <w:rPr>
          <w:lang w:val="fr-FR"/>
        </w:rPr>
        <w:t>’</w:t>
      </w:r>
      <w:r w:rsidRPr="0037157A">
        <w:rPr>
          <w:lang w:val="fr-FR"/>
        </w:rPr>
        <w:t>alerte ont été formés sur une période de deux ans (2019-2020) dans 200 lieux de formation différents. Nous renouvelons également le programme de formation de la police évoqué à la question</w:t>
      </w:r>
      <w:r w:rsidR="00CB2E84" w:rsidRPr="0037157A">
        <w:rPr>
          <w:lang w:val="fr-FR"/>
        </w:rPr>
        <w:t xml:space="preserve"> </w:t>
      </w:r>
      <w:r w:rsidRPr="0037157A">
        <w:rPr>
          <w:lang w:val="fr-FR"/>
        </w:rPr>
        <w:t>1 (détails en annexe).</w:t>
      </w:r>
    </w:p>
    <w:p w14:paraId="02CF84BF" w14:textId="64B5BF41" w:rsidR="004471C3" w:rsidRPr="0037157A" w:rsidRDefault="002E0B8B" w:rsidP="009D535F">
      <w:pPr>
        <w:pStyle w:val="SingleTxt"/>
        <w:numPr>
          <w:ilvl w:val="0"/>
          <w:numId w:val="12"/>
        </w:numPr>
        <w:spacing w:line="240" w:lineRule="exact"/>
        <w:rPr>
          <w:lang w:val="fr-FR"/>
        </w:rPr>
      </w:pPr>
      <w:bookmarkStart w:id="5" w:name="_Ref76542584"/>
      <w:r w:rsidRPr="0037157A">
        <w:rPr>
          <w:lang w:val="fr-FR"/>
        </w:rPr>
        <w:t>Le système d</w:t>
      </w:r>
      <w:r w:rsidR="004471C3" w:rsidRPr="0037157A">
        <w:rPr>
          <w:lang w:val="fr-FR"/>
        </w:rPr>
        <w:t>’</w:t>
      </w:r>
      <w:r w:rsidRPr="0037157A">
        <w:rPr>
          <w:lang w:val="fr-FR"/>
        </w:rPr>
        <w:t>assistance aux victimes hongrois repose sur plusieurs piliers institutionnels. Le premier pilier est constitué par les services régionaux d</w:t>
      </w:r>
      <w:r w:rsidR="004471C3" w:rsidRPr="0037157A">
        <w:rPr>
          <w:lang w:val="fr-FR"/>
        </w:rPr>
        <w:t>’</w:t>
      </w:r>
      <w:r w:rsidRPr="0037157A">
        <w:rPr>
          <w:lang w:val="fr-FR"/>
        </w:rPr>
        <w:t>aide aux victimes opérant sous l</w:t>
      </w:r>
      <w:r w:rsidR="004471C3" w:rsidRPr="0037157A">
        <w:rPr>
          <w:lang w:val="fr-FR"/>
        </w:rPr>
        <w:t>’</w:t>
      </w:r>
      <w:r w:rsidRPr="0037157A">
        <w:rPr>
          <w:lang w:val="fr-FR"/>
        </w:rPr>
        <w:t>égide de l</w:t>
      </w:r>
      <w:r w:rsidR="004471C3" w:rsidRPr="0037157A">
        <w:rPr>
          <w:lang w:val="fr-FR"/>
        </w:rPr>
        <w:t>’</w:t>
      </w:r>
      <w:r w:rsidRPr="0037157A">
        <w:rPr>
          <w:lang w:val="fr-FR"/>
        </w:rPr>
        <w:t>administration publique dans tous les comitats et dans la capitale. Le deuxième pilier est formé de sept centres d</w:t>
      </w:r>
      <w:r w:rsidR="004471C3" w:rsidRPr="0037157A">
        <w:rPr>
          <w:lang w:val="fr-FR"/>
        </w:rPr>
        <w:t>’</w:t>
      </w:r>
      <w:r w:rsidRPr="0037157A">
        <w:rPr>
          <w:lang w:val="fr-FR"/>
        </w:rPr>
        <w:t>aide aux victimes répartis dans l</w:t>
      </w:r>
      <w:r w:rsidR="004471C3" w:rsidRPr="0037157A">
        <w:rPr>
          <w:lang w:val="fr-FR"/>
        </w:rPr>
        <w:t>’</w:t>
      </w:r>
      <w:r w:rsidRPr="0037157A">
        <w:rPr>
          <w:lang w:val="fr-FR"/>
        </w:rPr>
        <w:t>ensemble du pays, qui seront regroupés en un réseau national d</w:t>
      </w:r>
      <w:r w:rsidR="004471C3" w:rsidRPr="0037157A">
        <w:rPr>
          <w:lang w:val="fr-FR"/>
        </w:rPr>
        <w:t>’</w:t>
      </w:r>
      <w:r w:rsidRPr="0037157A">
        <w:rPr>
          <w:lang w:val="fr-FR"/>
        </w:rPr>
        <w:t>ici à</w:t>
      </w:r>
      <w:r w:rsidR="00CB2E84" w:rsidRPr="0037157A">
        <w:rPr>
          <w:lang w:val="fr-FR"/>
        </w:rPr>
        <w:t xml:space="preserve"> </w:t>
      </w:r>
      <w:r w:rsidRPr="0037157A">
        <w:rPr>
          <w:lang w:val="fr-FR"/>
        </w:rPr>
        <w:t>2025. Le troisième pilier repose sur un service téléphonique d</w:t>
      </w:r>
      <w:r w:rsidR="004471C3" w:rsidRPr="0037157A">
        <w:rPr>
          <w:lang w:val="fr-FR"/>
        </w:rPr>
        <w:t>’</w:t>
      </w:r>
      <w:r w:rsidRPr="0037157A">
        <w:rPr>
          <w:lang w:val="fr-FR"/>
        </w:rPr>
        <w:t>aide aux victimes, disponible 24 heures sur 24 et 7</w:t>
      </w:r>
      <w:r w:rsidR="00C4590A" w:rsidRPr="0037157A">
        <w:rPr>
          <w:lang w:val="fr-FR"/>
        </w:rPr>
        <w:t xml:space="preserve"> </w:t>
      </w:r>
      <w:r w:rsidRPr="0037157A">
        <w:rPr>
          <w:lang w:val="fr-FR"/>
        </w:rPr>
        <w:t>jours sur 7 au 06 80 225 225. Le système d</w:t>
      </w:r>
      <w:r w:rsidR="004471C3" w:rsidRPr="0037157A">
        <w:rPr>
          <w:lang w:val="fr-FR"/>
        </w:rPr>
        <w:t>’</w:t>
      </w:r>
      <w:r w:rsidRPr="0037157A">
        <w:rPr>
          <w:lang w:val="fr-FR"/>
        </w:rPr>
        <w:t>assistance est géré et coordonné de manière professionnelle par le Ministère de la justice. Les services d</w:t>
      </w:r>
      <w:r w:rsidR="004471C3" w:rsidRPr="0037157A">
        <w:rPr>
          <w:lang w:val="fr-FR"/>
        </w:rPr>
        <w:t>’</w:t>
      </w:r>
      <w:r w:rsidRPr="0037157A">
        <w:rPr>
          <w:lang w:val="fr-FR"/>
        </w:rPr>
        <w:t>aide sont accessibles à toutes les victimes d</w:t>
      </w:r>
      <w:r w:rsidR="004471C3" w:rsidRPr="0037157A">
        <w:rPr>
          <w:lang w:val="fr-FR"/>
        </w:rPr>
        <w:t>’</w:t>
      </w:r>
      <w:r w:rsidRPr="0037157A">
        <w:rPr>
          <w:lang w:val="fr-FR"/>
        </w:rPr>
        <w:t>actes criminels, y compris les victimes de violence fondée sur le genre.</w:t>
      </w:r>
      <w:bookmarkEnd w:id="5"/>
    </w:p>
    <w:p w14:paraId="08A864AB" w14:textId="2AF433AA" w:rsidR="002E0B8B" w:rsidRPr="0037157A" w:rsidRDefault="002E0B8B" w:rsidP="009D535F">
      <w:pPr>
        <w:pStyle w:val="SingleTxt"/>
        <w:numPr>
          <w:ilvl w:val="0"/>
          <w:numId w:val="12"/>
        </w:numPr>
        <w:spacing w:line="240" w:lineRule="exact"/>
        <w:rPr>
          <w:lang w:val="fr-FR"/>
        </w:rPr>
      </w:pPr>
      <w:bookmarkStart w:id="6" w:name="_Ref76633147"/>
      <w:r w:rsidRPr="0037157A">
        <w:rPr>
          <w:lang w:val="fr-FR"/>
        </w:rPr>
        <w:t>Outre les services susmentionnés, il existe des centres de crise et des foyers secrets (gérés principalement par des organisations de la société civile et présentés aux paragraphes</w:t>
      </w:r>
      <w:r w:rsidR="00C4590A" w:rsidRPr="0037157A">
        <w:rPr>
          <w:lang w:val="fr-FR"/>
        </w:rPr>
        <w:t xml:space="preserve"> </w:t>
      </w:r>
      <w:r w:rsidRPr="0037157A">
        <w:rPr>
          <w:lang w:val="fr-FR"/>
        </w:rPr>
        <w:t>111 à 117 du neuvième rapport périodique). Les organisations chargées de gérer les centres et les foyers ont droit à une aide budgétaire normative de l</w:t>
      </w:r>
      <w:r w:rsidR="004471C3" w:rsidRPr="0037157A">
        <w:rPr>
          <w:lang w:val="fr-FR"/>
        </w:rPr>
        <w:t>’</w:t>
      </w:r>
      <w:r w:rsidRPr="0037157A">
        <w:rPr>
          <w:lang w:val="fr-FR"/>
        </w:rPr>
        <w:t>État lorsque des victimes sont hébergées. L</w:t>
      </w:r>
      <w:r w:rsidR="004471C3" w:rsidRPr="0037157A">
        <w:rPr>
          <w:lang w:val="fr-FR"/>
        </w:rPr>
        <w:t>’</w:t>
      </w:r>
      <w:r w:rsidRPr="0037157A">
        <w:rPr>
          <w:lang w:val="fr-FR"/>
        </w:rPr>
        <w:t>État fournit également un soutien aux centres de crise et aux foyers secrets, qui reçoivent respectivement 6 millions de forints hongrois (21 045</w:t>
      </w:r>
      <w:r w:rsidR="002275F8" w:rsidRPr="0037157A">
        <w:rPr>
          <w:lang w:val="fr-FR"/>
        </w:rPr>
        <w:t xml:space="preserve"> </w:t>
      </w:r>
      <w:r w:rsidRPr="0037157A">
        <w:rPr>
          <w:lang w:val="fr-FR"/>
        </w:rPr>
        <w:t>dollars É.-U.)</w:t>
      </w:r>
      <w:r w:rsidR="002275F8" w:rsidRPr="0037157A">
        <w:rPr>
          <w:lang w:val="fr-FR"/>
        </w:rPr>
        <w:t xml:space="preserve"> </w:t>
      </w:r>
      <w:r w:rsidRPr="0037157A">
        <w:rPr>
          <w:lang w:val="fr-FR"/>
        </w:rPr>
        <w:t>et 16</w:t>
      </w:r>
      <w:r w:rsidR="002275F8" w:rsidRPr="0037157A">
        <w:rPr>
          <w:lang w:val="fr-FR"/>
        </w:rPr>
        <w:t xml:space="preserve"> </w:t>
      </w:r>
      <w:r w:rsidRPr="0037157A">
        <w:rPr>
          <w:lang w:val="fr-FR"/>
        </w:rPr>
        <w:t>millions de forints hongrois (56 119</w:t>
      </w:r>
      <w:r w:rsidR="002275F8" w:rsidRPr="0037157A">
        <w:rPr>
          <w:lang w:val="fr-FR"/>
        </w:rPr>
        <w:t xml:space="preserve"> </w:t>
      </w:r>
      <w:r w:rsidRPr="0037157A">
        <w:rPr>
          <w:lang w:val="fr-FR"/>
        </w:rPr>
        <w:t>dollars É.-U.) par an.</w:t>
      </w:r>
      <w:bookmarkEnd w:id="6"/>
    </w:p>
    <w:p w14:paraId="3F2A9F0E" w14:textId="3479CDC5" w:rsidR="002E0B8B" w:rsidRPr="0037157A" w:rsidRDefault="002E0B8B" w:rsidP="009D535F">
      <w:pPr>
        <w:pStyle w:val="SingleTxt"/>
        <w:numPr>
          <w:ilvl w:val="0"/>
          <w:numId w:val="12"/>
        </w:numPr>
        <w:spacing w:line="240" w:lineRule="exact"/>
        <w:rPr>
          <w:lang w:val="fr-FR"/>
        </w:rPr>
      </w:pPr>
      <w:r w:rsidRPr="0037157A">
        <w:rPr>
          <w:lang w:val="fr-FR"/>
        </w:rPr>
        <w:t>Les centres de crise et les foyers secrets mènent leurs activités sur la base d</w:t>
      </w:r>
      <w:r w:rsidR="004471C3" w:rsidRPr="0037157A">
        <w:rPr>
          <w:lang w:val="fr-FR"/>
        </w:rPr>
        <w:t>’</w:t>
      </w:r>
      <w:r w:rsidRPr="0037157A">
        <w:rPr>
          <w:lang w:val="fr-FR"/>
        </w:rPr>
        <w:t>un protocole professionnel, qui fixe le nombre minimum de professionnels requis. Dans tous les cas, les responsables, les aidants familiaux et les soignants sont directement employés par l</w:t>
      </w:r>
      <w:r w:rsidR="004471C3" w:rsidRPr="0037157A">
        <w:rPr>
          <w:lang w:val="fr-FR"/>
        </w:rPr>
        <w:t>’</w:t>
      </w:r>
      <w:r w:rsidRPr="0037157A">
        <w:rPr>
          <w:lang w:val="fr-FR"/>
        </w:rPr>
        <w:t>organisation. Les consultations en psychologie et en santé mentale, l</w:t>
      </w:r>
      <w:r w:rsidR="004471C3" w:rsidRPr="0037157A">
        <w:rPr>
          <w:lang w:val="fr-FR"/>
        </w:rPr>
        <w:t>’</w:t>
      </w:r>
      <w:r w:rsidRPr="0037157A">
        <w:rPr>
          <w:lang w:val="fr-FR"/>
        </w:rPr>
        <w:t>assistance juridique et les services de conseil en développement et en pédagogie sont généralement assurés par des spécialistes externes.</w:t>
      </w:r>
    </w:p>
    <w:p w14:paraId="6124B8FF" w14:textId="7A01D94E" w:rsidR="002E0B8B" w:rsidRPr="0037157A" w:rsidRDefault="002E0B8B" w:rsidP="009D535F">
      <w:pPr>
        <w:pStyle w:val="SingleTxt"/>
        <w:numPr>
          <w:ilvl w:val="0"/>
          <w:numId w:val="12"/>
        </w:numPr>
        <w:spacing w:line="240" w:lineRule="exact"/>
        <w:rPr>
          <w:lang w:val="fr-FR"/>
        </w:rPr>
      </w:pPr>
      <w:r w:rsidRPr="0037157A">
        <w:rPr>
          <w:lang w:val="fr-FR"/>
        </w:rPr>
        <w:t>En</w:t>
      </w:r>
      <w:r w:rsidR="009202F3">
        <w:rPr>
          <w:lang w:val="fr-FR"/>
        </w:rPr>
        <w:t xml:space="preserve"> </w:t>
      </w:r>
      <w:r w:rsidRPr="0037157A">
        <w:rPr>
          <w:lang w:val="fr-FR"/>
        </w:rPr>
        <w:t>2020, le Service téléphonique national d</w:t>
      </w:r>
      <w:r w:rsidR="004471C3" w:rsidRPr="0037157A">
        <w:rPr>
          <w:lang w:val="fr-FR"/>
        </w:rPr>
        <w:t>’</w:t>
      </w:r>
      <w:r w:rsidRPr="0037157A">
        <w:rPr>
          <w:lang w:val="fr-FR"/>
        </w:rPr>
        <w:t>information et de gestion des crises a initié le placement de 1439</w:t>
      </w:r>
      <w:r w:rsidR="00CB2E84" w:rsidRPr="0037157A">
        <w:rPr>
          <w:lang w:val="fr-FR"/>
        </w:rPr>
        <w:t xml:space="preserve"> </w:t>
      </w:r>
      <w:r w:rsidRPr="0037157A">
        <w:rPr>
          <w:lang w:val="fr-FR"/>
        </w:rPr>
        <w:t>personnes, dont 503</w:t>
      </w:r>
      <w:r w:rsidR="00CB2E84" w:rsidRPr="0037157A">
        <w:rPr>
          <w:lang w:val="fr-FR"/>
        </w:rPr>
        <w:t xml:space="preserve"> </w:t>
      </w:r>
      <w:r w:rsidRPr="0037157A">
        <w:rPr>
          <w:lang w:val="fr-FR"/>
        </w:rPr>
        <w:t>femmes et 925</w:t>
      </w:r>
      <w:r w:rsidR="00CB2E84" w:rsidRPr="0037157A">
        <w:rPr>
          <w:lang w:val="fr-FR"/>
        </w:rPr>
        <w:t xml:space="preserve"> </w:t>
      </w:r>
      <w:r w:rsidRPr="0037157A">
        <w:rPr>
          <w:lang w:val="fr-FR"/>
        </w:rPr>
        <w:t>enfants.</w:t>
      </w:r>
    </w:p>
    <w:p w14:paraId="58D9F177" w14:textId="603AF346" w:rsidR="002E0B8B" w:rsidRPr="0037157A" w:rsidRDefault="002E0B8B" w:rsidP="009D535F">
      <w:pPr>
        <w:pStyle w:val="SingleTxt"/>
        <w:numPr>
          <w:ilvl w:val="0"/>
          <w:numId w:val="12"/>
        </w:numPr>
        <w:spacing w:line="240" w:lineRule="exact"/>
        <w:rPr>
          <w:lang w:val="fr-FR"/>
        </w:rPr>
      </w:pPr>
      <w:r w:rsidRPr="0037157A">
        <w:rPr>
          <w:lang w:val="fr-FR"/>
        </w:rPr>
        <w:t>Depuis 2020, les auxiliaires familiaux, les intervenants sanitaires, les services de médiation et les « ambulances de crise » distribuent des brochures d</w:t>
      </w:r>
      <w:r w:rsidR="004471C3" w:rsidRPr="0037157A">
        <w:rPr>
          <w:lang w:val="fr-FR"/>
        </w:rPr>
        <w:t>’</w:t>
      </w:r>
      <w:r w:rsidRPr="0037157A">
        <w:rPr>
          <w:lang w:val="fr-FR"/>
        </w:rPr>
        <w:t>information sur les signes de violence domestique et les différentes manières de demander de l</w:t>
      </w:r>
      <w:r w:rsidR="004471C3" w:rsidRPr="0037157A">
        <w:rPr>
          <w:lang w:val="fr-FR"/>
        </w:rPr>
        <w:t>’</w:t>
      </w:r>
      <w:r w:rsidRPr="0037157A">
        <w:rPr>
          <w:lang w:val="fr-FR"/>
        </w:rPr>
        <w:t>aide. Les brochures ont été diffusées dans les journaux locaux mais également en ligne.</w:t>
      </w:r>
    </w:p>
    <w:p w14:paraId="3C115279" w14:textId="32697987" w:rsidR="002E0B8B" w:rsidRPr="0037157A" w:rsidRDefault="002E0B8B" w:rsidP="009D535F">
      <w:pPr>
        <w:pStyle w:val="SingleTxt"/>
        <w:numPr>
          <w:ilvl w:val="0"/>
          <w:numId w:val="12"/>
        </w:numPr>
        <w:spacing w:line="240" w:lineRule="exact"/>
        <w:rPr>
          <w:lang w:val="fr-FR"/>
        </w:rPr>
      </w:pPr>
      <w:bookmarkStart w:id="7" w:name="_Ref76542602"/>
      <w:r w:rsidRPr="0037157A">
        <w:rPr>
          <w:lang w:val="fr-FR"/>
        </w:rPr>
        <w:t>En 2019, une nouvelle application baptisée « Kapcsolj egyből</w:t>
      </w:r>
      <w:r w:rsidR="00CB2E84" w:rsidRPr="0037157A">
        <w:rPr>
          <w:lang w:val="fr-FR"/>
        </w:rPr>
        <w:t> </w:t>
      </w:r>
      <w:r w:rsidRPr="0037157A">
        <w:rPr>
          <w:lang w:val="fr-FR"/>
        </w:rPr>
        <w:t>! » (Signalé immédiatement</w:t>
      </w:r>
      <w:r w:rsidR="00CB2E84" w:rsidRPr="0037157A">
        <w:rPr>
          <w:lang w:val="fr-FR"/>
        </w:rPr>
        <w:t> </w:t>
      </w:r>
      <w:r w:rsidRPr="0037157A">
        <w:rPr>
          <w:lang w:val="fr-FR"/>
        </w:rPr>
        <w:t>!) a été lancée. Celle-ci indique l</w:t>
      </w:r>
      <w:r w:rsidR="004471C3" w:rsidRPr="0037157A">
        <w:rPr>
          <w:lang w:val="fr-FR"/>
        </w:rPr>
        <w:t>’</w:t>
      </w:r>
      <w:r w:rsidRPr="0037157A">
        <w:rPr>
          <w:lang w:val="fr-FR"/>
        </w:rPr>
        <w:t>emplacement des services d</w:t>
      </w:r>
      <w:r w:rsidR="004471C3" w:rsidRPr="0037157A">
        <w:rPr>
          <w:lang w:val="fr-FR"/>
        </w:rPr>
        <w:t>’</w:t>
      </w:r>
      <w:r w:rsidRPr="0037157A">
        <w:rPr>
          <w:lang w:val="fr-FR"/>
        </w:rPr>
        <w:t>aide disponibles les plus proches et dispose d</w:t>
      </w:r>
      <w:r w:rsidR="004471C3" w:rsidRPr="0037157A">
        <w:rPr>
          <w:lang w:val="fr-FR"/>
        </w:rPr>
        <w:t>’</w:t>
      </w:r>
      <w:r w:rsidRPr="0037157A">
        <w:rPr>
          <w:lang w:val="fr-FR"/>
        </w:rPr>
        <w:t xml:space="preserve">une fonction « bouton </w:t>
      </w:r>
      <w:r w:rsidR="00D11486" w:rsidRPr="0037157A">
        <w:rPr>
          <w:lang w:val="fr-FR"/>
        </w:rPr>
        <w:t>antipanique</w:t>
      </w:r>
      <w:r w:rsidRPr="0037157A">
        <w:rPr>
          <w:lang w:val="fr-FR"/>
        </w:rPr>
        <w:t> ».</w:t>
      </w:r>
      <w:bookmarkEnd w:id="7"/>
    </w:p>
    <w:p w14:paraId="7F95C98A" w14:textId="44A7EF69" w:rsidR="002E0B8B" w:rsidRPr="0037157A" w:rsidRDefault="002E0B8B" w:rsidP="009D535F">
      <w:pPr>
        <w:pStyle w:val="SingleTxt"/>
        <w:numPr>
          <w:ilvl w:val="0"/>
          <w:numId w:val="12"/>
        </w:numPr>
        <w:spacing w:line="240" w:lineRule="exact"/>
        <w:rPr>
          <w:lang w:val="fr-FR"/>
        </w:rPr>
      </w:pPr>
      <w:r w:rsidRPr="0037157A">
        <w:rPr>
          <w:lang w:val="fr-FR"/>
        </w:rPr>
        <w:t>Il n</w:t>
      </w:r>
      <w:r w:rsidR="004471C3" w:rsidRPr="0037157A">
        <w:rPr>
          <w:lang w:val="fr-FR"/>
        </w:rPr>
        <w:t>’</w:t>
      </w:r>
      <w:r w:rsidRPr="0037157A">
        <w:rPr>
          <w:lang w:val="fr-FR"/>
        </w:rPr>
        <w:t>existe pas de loi consacrée à la violence faite aux femmes en Hongrie. La législation pertinente est intégrée dans des instruments juridiques sectoriels conformes aux normes internationales. Le Code pénal établit les règles applicables aux crimes violents commis contre une personne, indépendamment de son genre. Toutefois, certaines formes de violence à l</w:t>
      </w:r>
      <w:r w:rsidR="004471C3" w:rsidRPr="0037157A">
        <w:rPr>
          <w:lang w:val="fr-FR"/>
        </w:rPr>
        <w:t>’</w:t>
      </w:r>
      <w:r w:rsidRPr="0037157A">
        <w:rPr>
          <w:lang w:val="fr-FR"/>
        </w:rPr>
        <w:t>égard des femmes, des membres de la famille et des parents proches, entre autres, sont passibles de sanctions plus lourdes au titre de l</w:t>
      </w:r>
      <w:r w:rsidR="004471C3" w:rsidRPr="0037157A">
        <w:rPr>
          <w:lang w:val="fr-FR"/>
        </w:rPr>
        <w:t>’</w:t>
      </w:r>
      <w:r w:rsidRPr="0037157A">
        <w:rPr>
          <w:lang w:val="fr-FR"/>
        </w:rPr>
        <w:t>infraction pénale de violence domestique.</w:t>
      </w:r>
    </w:p>
    <w:p w14:paraId="3061AE51" w14:textId="77777777" w:rsidR="002E0B8B" w:rsidRPr="0037157A" w:rsidRDefault="002E0B8B" w:rsidP="009D535F">
      <w:pPr>
        <w:pStyle w:val="SingleTxt"/>
        <w:numPr>
          <w:ilvl w:val="0"/>
          <w:numId w:val="12"/>
        </w:numPr>
        <w:spacing w:line="240" w:lineRule="exact"/>
        <w:rPr>
          <w:lang w:val="fr-FR"/>
        </w:rPr>
      </w:pPr>
      <w:r w:rsidRPr="0037157A">
        <w:rPr>
          <w:lang w:val="fr-FR"/>
        </w:rPr>
        <w:t>Les données demandées figurent en annexe.</w:t>
      </w:r>
    </w:p>
    <w:p w14:paraId="2E692495" w14:textId="5234912F" w:rsidR="002E0B8B" w:rsidRPr="0037157A" w:rsidRDefault="002E0B8B" w:rsidP="009D535F">
      <w:pPr>
        <w:pStyle w:val="SingleTxt"/>
        <w:numPr>
          <w:ilvl w:val="0"/>
          <w:numId w:val="12"/>
        </w:numPr>
        <w:spacing w:line="240" w:lineRule="exact"/>
        <w:rPr>
          <w:lang w:val="fr-FR"/>
        </w:rPr>
      </w:pPr>
      <w:r w:rsidRPr="0037157A">
        <w:rPr>
          <w:lang w:val="fr-FR"/>
        </w:rPr>
        <w:t>La Hongrie a décidé de ne pas ratifier la Convention d</w:t>
      </w:r>
      <w:r w:rsidR="004471C3" w:rsidRPr="0037157A">
        <w:rPr>
          <w:lang w:val="fr-FR"/>
        </w:rPr>
        <w:t>’</w:t>
      </w:r>
      <w:r w:rsidRPr="0037157A">
        <w:rPr>
          <w:lang w:val="fr-FR"/>
        </w:rPr>
        <w:t>Istanbul. Dans sa déclaration politique 2/2020. (V.5.) OGY, l</w:t>
      </w:r>
      <w:r w:rsidR="004471C3" w:rsidRPr="0037157A">
        <w:rPr>
          <w:lang w:val="fr-FR"/>
        </w:rPr>
        <w:t>’</w:t>
      </w:r>
      <w:r w:rsidRPr="0037157A">
        <w:rPr>
          <w:lang w:val="fr-FR"/>
        </w:rPr>
        <w:t>Assemblée nationale hongroise a expressément confirmé qu</w:t>
      </w:r>
      <w:r w:rsidR="004471C3" w:rsidRPr="0037157A">
        <w:rPr>
          <w:lang w:val="fr-FR"/>
        </w:rPr>
        <w:t>’</w:t>
      </w:r>
      <w:r w:rsidRPr="0037157A">
        <w:rPr>
          <w:lang w:val="fr-FR"/>
        </w:rPr>
        <w:t>elle s</w:t>
      </w:r>
      <w:r w:rsidR="004471C3" w:rsidRPr="0037157A">
        <w:rPr>
          <w:lang w:val="fr-FR"/>
        </w:rPr>
        <w:t>’</w:t>
      </w:r>
      <w:r w:rsidRPr="0037157A">
        <w:rPr>
          <w:lang w:val="fr-FR"/>
        </w:rPr>
        <w:t>opposait à la ratification de la Convention d</w:t>
      </w:r>
      <w:r w:rsidR="004471C3" w:rsidRPr="0037157A">
        <w:rPr>
          <w:lang w:val="fr-FR"/>
        </w:rPr>
        <w:t>’</w:t>
      </w:r>
      <w:r w:rsidRPr="0037157A">
        <w:rPr>
          <w:lang w:val="fr-FR"/>
        </w:rPr>
        <w:t>Istanbul puisque celle-ci prescrit une approche fondée sur une définition du genre pour la transposition de ses dispositions. Or, l</w:t>
      </w:r>
      <w:r w:rsidR="004471C3" w:rsidRPr="0037157A">
        <w:rPr>
          <w:lang w:val="fr-FR"/>
        </w:rPr>
        <w:t>’</w:t>
      </w:r>
      <w:r w:rsidRPr="0037157A">
        <w:rPr>
          <w:lang w:val="fr-FR"/>
        </w:rPr>
        <w:t>Assemblée ne souhaite intégrer ni la notion de genre ni l</w:t>
      </w:r>
      <w:r w:rsidR="004471C3" w:rsidRPr="0037157A">
        <w:rPr>
          <w:lang w:val="fr-FR"/>
        </w:rPr>
        <w:t>’</w:t>
      </w:r>
      <w:r w:rsidRPr="0037157A">
        <w:rPr>
          <w:lang w:val="fr-FR"/>
        </w:rPr>
        <w:t>approche fondée sur le genre de la Convention d</w:t>
      </w:r>
      <w:r w:rsidR="004471C3" w:rsidRPr="0037157A">
        <w:rPr>
          <w:lang w:val="fr-FR"/>
        </w:rPr>
        <w:t>’</w:t>
      </w:r>
      <w:r w:rsidRPr="0037157A">
        <w:rPr>
          <w:lang w:val="fr-FR"/>
        </w:rPr>
        <w:t>Istanbul dans son système juridique national. En outre, les dispositions de la Convention d</w:t>
      </w:r>
      <w:r w:rsidR="004471C3" w:rsidRPr="0037157A">
        <w:rPr>
          <w:lang w:val="fr-FR"/>
        </w:rPr>
        <w:t>’</w:t>
      </w:r>
      <w:r w:rsidRPr="0037157A">
        <w:rPr>
          <w:lang w:val="fr-FR"/>
        </w:rPr>
        <w:t>Istanbul visant à octroyer l</w:t>
      </w:r>
      <w:r w:rsidR="004471C3" w:rsidRPr="0037157A">
        <w:rPr>
          <w:lang w:val="fr-FR"/>
        </w:rPr>
        <w:t>’</w:t>
      </w:r>
      <w:r w:rsidRPr="0037157A">
        <w:rPr>
          <w:lang w:val="fr-FR"/>
        </w:rPr>
        <w:t>asile en fonction du genre de la personne sont contraires au cadre juridique national qui régit la politique migratoire hongroise et garantit une action efficace contre l</w:t>
      </w:r>
      <w:r w:rsidR="004471C3" w:rsidRPr="0037157A">
        <w:rPr>
          <w:lang w:val="fr-FR"/>
        </w:rPr>
        <w:t>’</w:t>
      </w:r>
      <w:r w:rsidRPr="0037157A">
        <w:rPr>
          <w:lang w:val="fr-FR"/>
        </w:rPr>
        <w:t>immigration clandestine. Selon nous, ce n</w:t>
      </w:r>
      <w:r w:rsidR="004471C3" w:rsidRPr="0037157A">
        <w:rPr>
          <w:lang w:val="fr-FR"/>
        </w:rPr>
        <w:t>’</w:t>
      </w:r>
      <w:r w:rsidRPr="0037157A">
        <w:rPr>
          <w:lang w:val="fr-FR"/>
        </w:rPr>
        <w:t>est pas la ratification d</w:t>
      </w:r>
      <w:r w:rsidR="004471C3" w:rsidRPr="0037157A">
        <w:rPr>
          <w:lang w:val="fr-FR"/>
        </w:rPr>
        <w:t>’</w:t>
      </w:r>
      <w:r w:rsidRPr="0037157A">
        <w:rPr>
          <w:lang w:val="fr-FR"/>
        </w:rPr>
        <w:t>un traité mais les résultats tangibles des actions gouvernementales qui font de la prévention et de la lutte contre la violence faite aux femmes et la violence domestique une réalité. Le système juridique hongrois est conforme aux dispositions de la Convention prescrivant des actions législatives. De plus, la Hongrie propose une variété de mesures de soutien pour montrer aux victimes qu</w:t>
      </w:r>
      <w:r w:rsidR="004471C3" w:rsidRPr="0037157A">
        <w:rPr>
          <w:lang w:val="fr-FR"/>
        </w:rPr>
        <w:t>’</w:t>
      </w:r>
      <w:r w:rsidRPr="0037157A">
        <w:rPr>
          <w:lang w:val="fr-FR"/>
        </w:rPr>
        <w:t>elles ne sont pas seules et qu</w:t>
      </w:r>
      <w:r w:rsidR="004471C3" w:rsidRPr="0037157A">
        <w:rPr>
          <w:lang w:val="fr-FR"/>
        </w:rPr>
        <w:t>’</w:t>
      </w:r>
      <w:r w:rsidRPr="0037157A">
        <w:rPr>
          <w:lang w:val="fr-FR"/>
        </w:rPr>
        <w:t>elles peuvent compter sur la communauté et le pays.</w:t>
      </w:r>
    </w:p>
    <w:p w14:paraId="7F0566D2" w14:textId="5392976B" w:rsidR="002275F8" w:rsidRPr="0037157A" w:rsidRDefault="002275F8" w:rsidP="00622C56">
      <w:pPr>
        <w:pStyle w:val="SingleTxt"/>
        <w:spacing w:after="0" w:line="120" w:lineRule="exact"/>
        <w:rPr>
          <w:sz w:val="10"/>
          <w:lang w:val="fr-FR"/>
        </w:rPr>
      </w:pPr>
    </w:p>
    <w:p w14:paraId="39C7BF6F" w14:textId="77777777" w:rsidR="00622C56" w:rsidRPr="0037157A" w:rsidRDefault="00622C56" w:rsidP="002275F8">
      <w:pPr>
        <w:pStyle w:val="SingleTxt"/>
        <w:spacing w:after="0" w:line="120" w:lineRule="exact"/>
        <w:rPr>
          <w:sz w:val="10"/>
          <w:lang w:val="fr-FR"/>
        </w:rPr>
      </w:pPr>
    </w:p>
    <w:p w14:paraId="12AD22BA" w14:textId="5AF82AAF" w:rsidR="002E0B8B" w:rsidRPr="0037157A" w:rsidRDefault="002E0B8B" w:rsidP="00622C5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Traite et exploitation de la prostitution</w:t>
      </w:r>
    </w:p>
    <w:p w14:paraId="55C31486" w14:textId="3F07DDD1" w:rsidR="002275F8" w:rsidRPr="0037157A" w:rsidRDefault="002275F8" w:rsidP="00622C56">
      <w:pPr>
        <w:pStyle w:val="SingleTxt"/>
        <w:spacing w:after="0" w:line="120" w:lineRule="exact"/>
        <w:rPr>
          <w:sz w:val="10"/>
          <w:lang w:val="fr-FR"/>
        </w:rPr>
      </w:pPr>
    </w:p>
    <w:p w14:paraId="2BD56242" w14:textId="77777777" w:rsidR="00622C56" w:rsidRPr="0037157A" w:rsidRDefault="00622C56" w:rsidP="002275F8">
      <w:pPr>
        <w:pStyle w:val="SingleTxt"/>
        <w:spacing w:after="0" w:line="120" w:lineRule="exact"/>
        <w:rPr>
          <w:sz w:val="10"/>
          <w:lang w:val="fr-FR"/>
        </w:rPr>
      </w:pPr>
    </w:p>
    <w:p w14:paraId="1719EEB3" w14:textId="5D726215" w:rsidR="002E0B8B" w:rsidRPr="0037157A" w:rsidRDefault="002E0B8B" w:rsidP="009D535F">
      <w:pPr>
        <w:pStyle w:val="SingleTxt"/>
        <w:numPr>
          <w:ilvl w:val="0"/>
          <w:numId w:val="12"/>
        </w:numPr>
        <w:spacing w:line="240" w:lineRule="exact"/>
        <w:rPr>
          <w:lang w:val="fr-FR"/>
        </w:rPr>
      </w:pPr>
      <w:r w:rsidRPr="0037157A">
        <w:rPr>
          <w:lang w:val="fr-FR"/>
        </w:rPr>
        <w:t>En 2020, le Gouvernement a adopté une stratégie nationale de lutte contre la traite des êtres humains pour la période</w:t>
      </w:r>
      <w:r w:rsidR="00CB2E84" w:rsidRPr="0037157A">
        <w:rPr>
          <w:lang w:val="fr-FR"/>
        </w:rPr>
        <w:t xml:space="preserve"> </w:t>
      </w:r>
      <w:r w:rsidRPr="0037157A">
        <w:rPr>
          <w:lang w:val="fr-FR"/>
        </w:rPr>
        <w:t>2020-2023. Celle-ci s</w:t>
      </w:r>
      <w:r w:rsidR="004471C3" w:rsidRPr="0037157A">
        <w:rPr>
          <w:lang w:val="fr-FR"/>
        </w:rPr>
        <w:t>’</w:t>
      </w:r>
      <w:r w:rsidRPr="0037157A">
        <w:rPr>
          <w:lang w:val="fr-FR"/>
        </w:rPr>
        <w:t>appuie sur le paradigme des quatre P</w:t>
      </w:r>
      <w:r w:rsidR="004471C3" w:rsidRPr="0037157A">
        <w:rPr>
          <w:lang w:val="fr-FR"/>
        </w:rPr>
        <w:t> :</w:t>
      </w:r>
    </w:p>
    <w:p w14:paraId="58E6F42F" w14:textId="725382F7" w:rsidR="002E0B8B" w:rsidRPr="0037157A" w:rsidRDefault="002275F8" w:rsidP="002275F8">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Prévention</w:t>
      </w:r>
      <w:r w:rsidR="004471C3" w:rsidRPr="0037157A">
        <w:rPr>
          <w:lang w:val="fr-FR"/>
        </w:rPr>
        <w:t> :</w:t>
      </w:r>
      <w:r w:rsidR="002E0B8B" w:rsidRPr="0037157A">
        <w:rPr>
          <w:lang w:val="fr-FR"/>
        </w:rPr>
        <w:t xml:space="preserve"> sensibilisation dans les établissements publics d</w:t>
      </w:r>
      <w:r w:rsidR="004471C3" w:rsidRPr="0037157A">
        <w:rPr>
          <w:lang w:val="fr-FR"/>
        </w:rPr>
        <w:t>’</w:t>
      </w:r>
      <w:r w:rsidR="002E0B8B" w:rsidRPr="0037157A">
        <w:rPr>
          <w:lang w:val="fr-FR"/>
        </w:rPr>
        <w:t>enseignement et d</w:t>
      </w:r>
      <w:r w:rsidR="004471C3" w:rsidRPr="0037157A">
        <w:rPr>
          <w:lang w:val="fr-FR"/>
        </w:rPr>
        <w:t>’</w:t>
      </w:r>
      <w:r w:rsidR="002E0B8B" w:rsidRPr="0037157A">
        <w:rPr>
          <w:lang w:val="fr-FR"/>
        </w:rPr>
        <w:t>accueil des enfants, mise à disposition de voitures de secours pour les centres d</w:t>
      </w:r>
      <w:r w:rsidR="004471C3" w:rsidRPr="0037157A">
        <w:rPr>
          <w:lang w:val="fr-FR"/>
        </w:rPr>
        <w:t>’</w:t>
      </w:r>
      <w:r w:rsidR="002E0B8B" w:rsidRPr="0037157A">
        <w:rPr>
          <w:lang w:val="fr-FR"/>
        </w:rPr>
        <w:t>hébergement et le système de protection de l</w:t>
      </w:r>
      <w:r w:rsidR="004471C3" w:rsidRPr="0037157A">
        <w:rPr>
          <w:lang w:val="fr-FR"/>
        </w:rPr>
        <w:t>’</w:t>
      </w:r>
      <w:r w:rsidR="002E0B8B" w:rsidRPr="0037157A">
        <w:rPr>
          <w:lang w:val="fr-FR"/>
        </w:rPr>
        <w:t>enfance </w:t>
      </w:r>
      <w:r w:rsidR="004471C3" w:rsidRPr="0037157A">
        <w:rPr>
          <w:lang w:val="fr-FR"/>
        </w:rPr>
        <w:t> ;</w:t>
      </w:r>
      <w:r w:rsidR="002E0B8B" w:rsidRPr="0037157A">
        <w:rPr>
          <w:lang w:val="fr-FR"/>
        </w:rPr>
        <w:t xml:space="preserve"> expansion du réseau Barnahus, campagnes médiatiques nationales portant à la fois sur les populations à risque et sur la demande en matière de traite des êtres humains, élaboration de supports d</w:t>
      </w:r>
      <w:r w:rsidR="004471C3" w:rsidRPr="0037157A">
        <w:rPr>
          <w:lang w:val="fr-FR"/>
        </w:rPr>
        <w:t>’</w:t>
      </w:r>
      <w:r w:rsidR="002E0B8B" w:rsidRPr="0037157A">
        <w:rPr>
          <w:lang w:val="fr-FR"/>
        </w:rPr>
        <w:t>information, etc.</w:t>
      </w:r>
    </w:p>
    <w:p w14:paraId="2F32A0E4" w14:textId="3DED17F4" w:rsidR="002E0B8B" w:rsidRPr="0037157A" w:rsidRDefault="002275F8" w:rsidP="002275F8">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Protection</w:t>
      </w:r>
      <w:r w:rsidR="004471C3" w:rsidRPr="0037157A">
        <w:rPr>
          <w:lang w:val="fr-FR"/>
        </w:rPr>
        <w:t> :</w:t>
      </w:r>
      <w:r w:rsidR="002E0B8B" w:rsidRPr="0037157A">
        <w:rPr>
          <w:lang w:val="fr-FR"/>
        </w:rPr>
        <w:t xml:space="preserve"> révision des protocoles d</w:t>
      </w:r>
      <w:r w:rsidR="004471C3" w:rsidRPr="0037157A">
        <w:rPr>
          <w:lang w:val="fr-FR"/>
        </w:rPr>
        <w:t>’</w:t>
      </w:r>
      <w:r w:rsidR="002E0B8B" w:rsidRPr="0037157A">
        <w:rPr>
          <w:lang w:val="fr-FR"/>
        </w:rPr>
        <w:t>orientation, renforcement du système d</w:t>
      </w:r>
      <w:r w:rsidR="004471C3" w:rsidRPr="0037157A">
        <w:rPr>
          <w:lang w:val="fr-FR"/>
        </w:rPr>
        <w:t>’</w:t>
      </w:r>
      <w:r w:rsidR="002E0B8B" w:rsidRPr="0037157A">
        <w:rPr>
          <w:lang w:val="fr-FR"/>
        </w:rPr>
        <w:t>identification des victimes en ligne, élargissement de la gamme de services offerts aux victimes identifiées </w:t>
      </w:r>
      <w:r w:rsidR="004471C3" w:rsidRPr="0037157A">
        <w:rPr>
          <w:lang w:val="fr-FR"/>
        </w:rPr>
        <w:t> ;</w:t>
      </w:r>
      <w:r w:rsidR="002E0B8B" w:rsidRPr="0037157A">
        <w:rPr>
          <w:lang w:val="fr-FR"/>
        </w:rPr>
        <w:t xml:space="preserve"> accord de coopération visant à mener des inspections conjointes du travail </w:t>
      </w:r>
      <w:r w:rsidR="004471C3" w:rsidRPr="0037157A">
        <w:rPr>
          <w:lang w:val="fr-FR"/>
        </w:rPr>
        <w:t> ;</w:t>
      </w:r>
      <w:r w:rsidR="002E0B8B" w:rsidRPr="0037157A">
        <w:rPr>
          <w:lang w:val="fr-FR"/>
        </w:rPr>
        <w:t xml:space="preserve"> etc.</w:t>
      </w:r>
    </w:p>
    <w:p w14:paraId="2A2090BE" w14:textId="77777777" w:rsidR="004471C3" w:rsidRPr="0037157A" w:rsidRDefault="002275F8" w:rsidP="002275F8">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Poursuites</w:t>
      </w:r>
      <w:r w:rsidR="004471C3" w:rsidRPr="0037157A">
        <w:rPr>
          <w:lang w:val="fr-FR"/>
        </w:rPr>
        <w:t> :</w:t>
      </w:r>
      <w:r w:rsidR="002E0B8B" w:rsidRPr="0037157A">
        <w:rPr>
          <w:lang w:val="fr-FR"/>
        </w:rPr>
        <w:t xml:space="preserve"> modifications législatives </w:t>
      </w:r>
      <w:r w:rsidR="004471C3" w:rsidRPr="0037157A">
        <w:rPr>
          <w:lang w:val="fr-FR"/>
        </w:rPr>
        <w:t> ;</w:t>
      </w:r>
      <w:r w:rsidR="002E0B8B" w:rsidRPr="0037157A">
        <w:rPr>
          <w:lang w:val="fr-FR"/>
        </w:rPr>
        <w:t xml:space="preserve"> programme de formation pour les enquêteurs, les procureurs et les juges </w:t>
      </w:r>
      <w:r w:rsidR="004471C3" w:rsidRPr="0037157A">
        <w:rPr>
          <w:lang w:val="fr-FR"/>
        </w:rPr>
        <w:t> ;</w:t>
      </w:r>
      <w:r w:rsidR="002E0B8B" w:rsidRPr="0037157A">
        <w:rPr>
          <w:lang w:val="fr-FR"/>
        </w:rPr>
        <w:t xml:space="preserve"> promotion du groupe de lutte contre la traite des êtres humains du Bureau national d</w:t>
      </w:r>
      <w:r w:rsidR="004471C3" w:rsidRPr="0037157A">
        <w:rPr>
          <w:lang w:val="fr-FR"/>
        </w:rPr>
        <w:t>’</w:t>
      </w:r>
      <w:r w:rsidR="002E0B8B" w:rsidRPr="0037157A">
        <w:rPr>
          <w:lang w:val="fr-FR"/>
        </w:rPr>
        <w:t>enquête au rang d</w:t>
      </w:r>
      <w:r w:rsidR="004471C3" w:rsidRPr="0037157A">
        <w:rPr>
          <w:lang w:val="fr-FR"/>
        </w:rPr>
        <w:t>’</w:t>
      </w:r>
      <w:r w:rsidR="002E0B8B" w:rsidRPr="0037157A">
        <w:rPr>
          <w:lang w:val="fr-FR"/>
        </w:rPr>
        <w:t>unité indépendante et accroissement de ses effectifs </w:t>
      </w:r>
      <w:r w:rsidR="004471C3" w:rsidRPr="0037157A">
        <w:rPr>
          <w:lang w:val="fr-FR"/>
        </w:rPr>
        <w:t> ;</w:t>
      </w:r>
      <w:r w:rsidR="002E0B8B" w:rsidRPr="0037157A">
        <w:rPr>
          <w:lang w:val="fr-FR"/>
        </w:rPr>
        <w:t xml:space="preserve"> etc.</w:t>
      </w:r>
    </w:p>
    <w:p w14:paraId="44312B9D" w14:textId="17B5879F" w:rsidR="002E0B8B" w:rsidRPr="0037157A" w:rsidRDefault="002275F8" w:rsidP="002275F8">
      <w:pPr>
        <w:pStyle w:val="SingleTxt"/>
        <w:tabs>
          <w:tab w:val="right" w:pos="1685"/>
        </w:tabs>
        <w:ind w:left="1742" w:hanging="475"/>
        <w:rPr>
          <w:lang w:val="fr-FR"/>
        </w:rPr>
      </w:pPr>
      <w:r w:rsidRPr="0037157A">
        <w:rPr>
          <w:lang w:val="fr-FR"/>
        </w:rPr>
        <w:tab/>
        <w:t>•</w:t>
      </w:r>
      <w:r w:rsidRPr="0037157A">
        <w:rPr>
          <w:lang w:val="fr-FR"/>
        </w:rPr>
        <w:tab/>
      </w:r>
      <w:r w:rsidR="002E0B8B" w:rsidRPr="0037157A">
        <w:rPr>
          <w:lang w:val="fr-FR"/>
        </w:rPr>
        <w:t>Partenariat</w:t>
      </w:r>
      <w:r w:rsidR="004471C3" w:rsidRPr="0037157A">
        <w:rPr>
          <w:lang w:val="fr-FR"/>
        </w:rPr>
        <w:t> :</w:t>
      </w:r>
      <w:r w:rsidR="002E0B8B" w:rsidRPr="0037157A">
        <w:rPr>
          <w:lang w:val="fr-FR"/>
        </w:rPr>
        <w:t xml:space="preserve"> activités de recherche, coopération soutenue entre les organismes publics et les ONG et mécanismes de coopération internationale.</w:t>
      </w:r>
    </w:p>
    <w:p w14:paraId="2D62F90F" w14:textId="0829B68B" w:rsidR="002E0B8B" w:rsidRPr="0037157A" w:rsidRDefault="002E0B8B" w:rsidP="009D535F">
      <w:pPr>
        <w:pStyle w:val="SingleTxt"/>
        <w:numPr>
          <w:ilvl w:val="0"/>
          <w:numId w:val="12"/>
        </w:numPr>
        <w:spacing w:line="240" w:lineRule="exact"/>
        <w:rPr>
          <w:lang w:val="fr-FR"/>
        </w:rPr>
      </w:pPr>
      <w:r w:rsidRPr="0037157A">
        <w:rPr>
          <w:lang w:val="fr-FR"/>
        </w:rPr>
        <w:t>La stratégie est mise en œuvre par le Ministère de l</w:t>
      </w:r>
      <w:r w:rsidR="004471C3" w:rsidRPr="0037157A">
        <w:rPr>
          <w:lang w:val="fr-FR"/>
        </w:rPr>
        <w:t>’</w:t>
      </w:r>
      <w:r w:rsidRPr="0037157A">
        <w:rPr>
          <w:lang w:val="fr-FR"/>
        </w:rPr>
        <w:t>intérieur, en étroite coopération avec les ministères et autres organismes publics impliqués dans la lutte contre la traite des êtres humains, ainsi qu</w:t>
      </w:r>
      <w:r w:rsidR="004471C3" w:rsidRPr="0037157A">
        <w:rPr>
          <w:lang w:val="fr-FR"/>
        </w:rPr>
        <w:t>’</w:t>
      </w:r>
      <w:r w:rsidRPr="0037157A">
        <w:rPr>
          <w:lang w:val="fr-FR"/>
        </w:rPr>
        <w:t>avec les ONG qui gèrent les centres d</w:t>
      </w:r>
      <w:r w:rsidR="004471C3" w:rsidRPr="0037157A">
        <w:rPr>
          <w:lang w:val="fr-FR"/>
        </w:rPr>
        <w:t>’</w:t>
      </w:r>
      <w:r w:rsidRPr="0037157A">
        <w:rPr>
          <w:lang w:val="fr-FR"/>
        </w:rPr>
        <w:t>hébergement financés par l</w:t>
      </w:r>
      <w:r w:rsidR="004471C3" w:rsidRPr="0037157A">
        <w:rPr>
          <w:lang w:val="fr-FR"/>
        </w:rPr>
        <w:t>’</w:t>
      </w:r>
      <w:r w:rsidRPr="0037157A">
        <w:rPr>
          <w:lang w:val="fr-FR"/>
        </w:rPr>
        <w:t>État (</w:t>
      </w:r>
      <w:r w:rsidR="00315AA6" w:rsidRPr="0037157A">
        <w:rPr>
          <w:lang w:val="fr-FR"/>
        </w:rPr>
        <w:t>voir par.</w:t>
      </w:r>
      <w:r w:rsidRPr="0037157A">
        <w:rPr>
          <w:lang w:val="fr-FR"/>
        </w:rPr>
        <w:t> 26).</w:t>
      </w:r>
    </w:p>
    <w:p w14:paraId="48F971D1" w14:textId="2C532EF4" w:rsidR="002E0B8B" w:rsidRPr="0037157A" w:rsidRDefault="002E0B8B" w:rsidP="009D535F">
      <w:pPr>
        <w:pStyle w:val="SingleTxt"/>
        <w:numPr>
          <w:ilvl w:val="0"/>
          <w:numId w:val="12"/>
        </w:numPr>
        <w:spacing w:line="240" w:lineRule="exact"/>
        <w:rPr>
          <w:lang w:val="fr-FR"/>
        </w:rPr>
      </w:pPr>
      <w:r w:rsidRPr="0037157A">
        <w:rPr>
          <w:lang w:val="fr-FR"/>
        </w:rPr>
        <w:t>Conformément à la stratégie nationale, la loi V de 2020 visant à modifier certains textes législatifs pour prévenir l</w:t>
      </w:r>
      <w:r w:rsidR="004471C3" w:rsidRPr="0037157A">
        <w:rPr>
          <w:lang w:val="fr-FR"/>
        </w:rPr>
        <w:t>’</w:t>
      </w:r>
      <w:r w:rsidRPr="0037157A">
        <w:rPr>
          <w:lang w:val="fr-FR"/>
        </w:rPr>
        <w:t>exploitation des victimes de la traite a été adoptée</w:t>
      </w:r>
      <w:r w:rsidRPr="0037157A">
        <w:rPr>
          <w:vertAlign w:val="superscript"/>
          <w:lang w:val="fr-FR"/>
        </w:rPr>
        <w:footnoteReference w:id="7"/>
      </w:r>
      <w:r w:rsidRPr="0037157A">
        <w:rPr>
          <w:lang w:val="fr-FR"/>
        </w:rPr>
        <w:t>. Outre les auteurs qui asservissent les victimes dans un but lucratif, les personnes qui profitent sciemment des services fournis par les victimes de la traite (la demande) peuvent désormais également être soumises à des sanctions. Les rapports sexuels et l</w:t>
      </w:r>
      <w:r w:rsidR="004471C3" w:rsidRPr="0037157A">
        <w:rPr>
          <w:lang w:val="fr-FR"/>
        </w:rPr>
        <w:t>’</w:t>
      </w:r>
      <w:r w:rsidRPr="0037157A">
        <w:rPr>
          <w:lang w:val="fr-FR"/>
        </w:rPr>
        <w:t>utilisation illégale du corps humain constituent des circonstances aggravantes passibles d</w:t>
      </w:r>
      <w:r w:rsidR="004471C3" w:rsidRPr="0037157A">
        <w:rPr>
          <w:lang w:val="fr-FR"/>
        </w:rPr>
        <w:t>’</w:t>
      </w:r>
      <w:r w:rsidRPr="0037157A">
        <w:rPr>
          <w:lang w:val="fr-FR"/>
        </w:rPr>
        <w:t>une peine maximale de 5 ans de prison. Les rapports sexuels avec des mineurs sont passibles de sanctions encore plus lourdes.</w:t>
      </w:r>
    </w:p>
    <w:p w14:paraId="24902FB3" w14:textId="3DD04CD6" w:rsidR="002E0B8B" w:rsidRPr="0037157A" w:rsidRDefault="002E0B8B" w:rsidP="009D535F">
      <w:pPr>
        <w:pStyle w:val="SingleTxt"/>
        <w:numPr>
          <w:ilvl w:val="0"/>
          <w:numId w:val="12"/>
        </w:numPr>
        <w:spacing w:line="240" w:lineRule="exact"/>
        <w:rPr>
          <w:lang w:val="fr-FR"/>
        </w:rPr>
      </w:pPr>
      <w:r w:rsidRPr="0037157A">
        <w:rPr>
          <w:lang w:val="fr-FR"/>
        </w:rPr>
        <w:t>Cette série de modifications législatives a permis d</w:t>
      </w:r>
      <w:r w:rsidR="004471C3" w:rsidRPr="0037157A">
        <w:rPr>
          <w:lang w:val="fr-FR"/>
        </w:rPr>
        <w:t>’</w:t>
      </w:r>
      <w:r w:rsidRPr="0037157A">
        <w:rPr>
          <w:lang w:val="fr-FR"/>
        </w:rPr>
        <w:t>instaurer plusieurs autres garanties visant à protéger les mineurs contre les effets néfastes de la prostitution. La loi sur la criminalité organisée dispose que les personnes de moins de 18</w:t>
      </w:r>
      <w:r w:rsidR="00CB2E84" w:rsidRPr="0037157A">
        <w:rPr>
          <w:lang w:val="fr-FR"/>
        </w:rPr>
        <w:t xml:space="preserve"> </w:t>
      </w:r>
      <w:r w:rsidRPr="0037157A">
        <w:rPr>
          <w:lang w:val="fr-FR"/>
        </w:rPr>
        <w:t>ans ne peuvent pas offrir de services sexuels. Toutefois, la violation de l</w:t>
      </w:r>
      <w:r w:rsidR="004471C3" w:rsidRPr="0037157A">
        <w:rPr>
          <w:lang w:val="fr-FR"/>
        </w:rPr>
        <w:t>’</w:t>
      </w:r>
      <w:r w:rsidRPr="0037157A">
        <w:rPr>
          <w:lang w:val="fr-FR"/>
        </w:rPr>
        <w:t>interdiction d</w:t>
      </w:r>
      <w:r w:rsidR="004471C3" w:rsidRPr="0037157A">
        <w:rPr>
          <w:lang w:val="fr-FR"/>
        </w:rPr>
        <w:t>’</w:t>
      </w:r>
      <w:r w:rsidRPr="0037157A">
        <w:rPr>
          <w:lang w:val="fr-FR"/>
        </w:rPr>
        <w:t>offrir des services sexuels n</w:t>
      </w:r>
      <w:r w:rsidR="004471C3" w:rsidRPr="0037157A">
        <w:rPr>
          <w:lang w:val="fr-FR"/>
        </w:rPr>
        <w:t>’</w:t>
      </w:r>
      <w:r w:rsidRPr="0037157A">
        <w:rPr>
          <w:lang w:val="fr-FR"/>
        </w:rPr>
        <w:t>est pas passible de sanctions si le contrevenant avait moins de 18 ans au moment de la commission de l</w:t>
      </w:r>
      <w:r w:rsidR="004471C3" w:rsidRPr="0037157A">
        <w:rPr>
          <w:lang w:val="fr-FR"/>
        </w:rPr>
        <w:t>’</w:t>
      </w:r>
      <w:r w:rsidRPr="0037157A">
        <w:rPr>
          <w:lang w:val="fr-FR"/>
        </w:rPr>
        <w:t>acte (voir loi sur les infractions mineures telle que modifiée). En pratique, cela signifie que les personnes prostituées de moins de 18</w:t>
      </w:r>
      <w:r w:rsidR="00CB2E84" w:rsidRPr="0037157A">
        <w:rPr>
          <w:lang w:val="fr-FR"/>
        </w:rPr>
        <w:t xml:space="preserve"> </w:t>
      </w:r>
      <w:r w:rsidRPr="0037157A">
        <w:rPr>
          <w:lang w:val="fr-FR"/>
        </w:rPr>
        <w:t>ans sont considérées comme des victimes de la traite des êtres humains et non comme des criminels. Par conséquent, elles ne peuvent pas faire l</w:t>
      </w:r>
      <w:r w:rsidR="004471C3" w:rsidRPr="0037157A">
        <w:rPr>
          <w:lang w:val="fr-FR"/>
        </w:rPr>
        <w:t>’</w:t>
      </w:r>
      <w:r w:rsidRPr="0037157A">
        <w:rPr>
          <w:lang w:val="fr-FR"/>
        </w:rPr>
        <w:t>objet de poursuites judiciaires. Au lieu de cela, elles sont prises en charge dans des institutions de protection de l</w:t>
      </w:r>
      <w:r w:rsidR="004471C3" w:rsidRPr="0037157A">
        <w:rPr>
          <w:lang w:val="fr-FR"/>
        </w:rPr>
        <w:t>’</w:t>
      </w:r>
      <w:r w:rsidRPr="0037157A">
        <w:rPr>
          <w:lang w:val="fr-FR"/>
        </w:rPr>
        <w:t>enfance spécialisées et reçoivent un soutien approprié.</w:t>
      </w:r>
    </w:p>
    <w:p w14:paraId="4A82B886" w14:textId="19BA4FFE" w:rsidR="002E0B8B" w:rsidRPr="0037157A" w:rsidRDefault="00D11486" w:rsidP="009D535F">
      <w:pPr>
        <w:pStyle w:val="SingleTxt"/>
        <w:numPr>
          <w:ilvl w:val="0"/>
          <w:numId w:val="12"/>
        </w:numPr>
        <w:spacing w:line="240" w:lineRule="exact"/>
        <w:rPr>
          <w:lang w:val="fr-FR"/>
        </w:rPr>
      </w:pPr>
      <w:r w:rsidRPr="0037157A">
        <w:rPr>
          <w:lang w:val="fr-FR"/>
        </w:rPr>
        <w:t>Après avoir évalué leurs besoins, la Hongrie fournit aux victimes de la traite les services suivants : accompagnement dans la défense de leurs intérêts (fourniture de renseignements et de conseils juridiques, soutien psychologique), fourniture d’une aide financière immédiate, octroi d’une indemnité de l’État, délivrance d’un certificat de reconnaissance du statut de victime, prise en charge des témoins et mise à disposition de logements protégés (voir par. 117 et 118 du neuvième rapport périodique).</w:t>
      </w:r>
    </w:p>
    <w:p w14:paraId="7CAACC26" w14:textId="3F66D4E7" w:rsidR="002275F8" w:rsidRPr="0037157A" w:rsidRDefault="002275F8" w:rsidP="002275F8">
      <w:pPr>
        <w:pStyle w:val="SingleTxt"/>
        <w:spacing w:after="0" w:line="120" w:lineRule="exact"/>
        <w:rPr>
          <w:sz w:val="10"/>
          <w:lang w:val="fr-FR"/>
        </w:rPr>
      </w:pPr>
    </w:p>
    <w:p w14:paraId="67026893" w14:textId="6272B441" w:rsidR="002275F8" w:rsidRPr="0037157A" w:rsidRDefault="002275F8" w:rsidP="002275F8">
      <w:pPr>
        <w:pStyle w:val="SingleTxt"/>
        <w:spacing w:after="0" w:line="120" w:lineRule="exact"/>
        <w:rPr>
          <w:sz w:val="10"/>
          <w:lang w:val="fr-FR"/>
        </w:rPr>
      </w:pPr>
    </w:p>
    <w:p w14:paraId="13EDC5FF" w14:textId="167F027C" w:rsidR="002E0B8B" w:rsidRPr="0037157A" w:rsidRDefault="002E0B8B" w:rsidP="00622C5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Participation à la vie politique et à la vie publique</w:t>
      </w:r>
    </w:p>
    <w:p w14:paraId="76927D2F" w14:textId="6CD978C5" w:rsidR="002275F8" w:rsidRPr="0037157A" w:rsidRDefault="002275F8" w:rsidP="00622C56">
      <w:pPr>
        <w:pStyle w:val="SingleTxt"/>
        <w:keepNext/>
        <w:keepLines/>
        <w:spacing w:after="0" w:line="120" w:lineRule="exact"/>
        <w:rPr>
          <w:sz w:val="10"/>
          <w:lang w:val="fr-FR"/>
        </w:rPr>
      </w:pPr>
    </w:p>
    <w:p w14:paraId="6DFB11C7" w14:textId="53E5F501" w:rsidR="002275F8" w:rsidRPr="0037157A" w:rsidRDefault="002275F8" w:rsidP="00622C56">
      <w:pPr>
        <w:pStyle w:val="SingleTxt"/>
        <w:keepNext/>
        <w:keepLines/>
        <w:spacing w:after="0" w:line="120" w:lineRule="exact"/>
        <w:rPr>
          <w:sz w:val="10"/>
          <w:lang w:val="fr-FR"/>
        </w:rPr>
      </w:pPr>
    </w:p>
    <w:p w14:paraId="23D18EE5" w14:textId="65DD8C2B" w:rsidR="002E0B8B" w:rsidRPr="0037157A" w:rsidRDefault="002E0B8B" w:rsidP="00622C56">
      <w:pPr>
        <w:pStyle w:val="SingleTxt"/>
        <w:keepNext/>
        <w:keepLines/>
        <w:numPr>
          <w:ilvl w:val="0"/>
          <w:numId w:val="12"/>
        </w:numPr>
        <w:spacing w:line="240" w:lineRule="exact"/>
        <w:rPr>
          <w:lang w:val="fr-FR"/>
        </w:rPr>
      </w:pPr>
      <w:r w:rsidRPr="0037157A">
        <w:rPr>
          <w:lang w:val="fr-FR"/>
        </w:rPr>
        <w:t>Le Gouvernement hongrois estime qu</w:t>
      </w:r>
      <w:r w:rsidR="004471C3" w:rsidRPr="0037157A">
        <w:rPr>
          <w:lang w:val="fr-FR"/>
        </w:rPr>
        <w:t>’</w:t>
      </w:r>
      <w:r w:rsidRPr="0037157A">
        <w:rPr>
          <w:lang w:val="fr-FR"/>
        </w:rPr>
        <w:t>il est extrêmement important que les femmes puissent bénéficier d</w:t>
      </w:r>
      <w:r w:rsidR="004471C3" w:rsidRPr="0037157A">
        <w:rPr>
          <w:lang w:val="fr-FR"/>
        </w:rPr>
        <w:t>’</w:t>
      </w:r>
      <w:r w:rsidRPr="0037157A">
        <w:rPr>
          <w:lang w:val="fr-FR"/>
        </w:rPr>
        <w:t>occasions et de possibilités équitables d</w:t>
      </w:r>
      <w:r w:rsidR="004471C3" w:rsidRPr="0037157A">
        <w:rPr>
          <w:lang w:val="fr-FR"/>
        </w:rPr>
        <w:t>’</w:t>
      </w:r>
      <w:r w:rsidRPr="0037157A">
        <w:rPr>
          <w:lang w:val="fr-FR"/>
        </w:rPr>
        <w:t>accéder à des postes de haut niveau ou de direction et participer à la vie publique, y compris à la législation et au système judiciaire. Le deuxième chapitre du plan d</w:t>
      </w:r>
      <w:r w:rsidR="004471C3" w:rsidRPr="0037157A">
        <w:rPr>
          <w:lang w:val="fr-FR"/>
        </w:rPr>
        <w:t>’</w:t>
      </w:r>
      <w:r w:rsidRPr="0037157A">
        <w:rPr>
          <w:lang w:val="fr-FR"/>
        </w:rPr>
        <w:t>action</w:t>
      </w:r>
      <w:r w:rsidR="00CB2E84" w:rsidRPr="0037157A">
        <w:rPr>
          <w:lang w:val="fr-FR"/>
        </w:rPr>
        <w:t xml:space="preserve"> </w:t>
      </w:r>
      <w:r w:rsidRPr="0037157A">
        <w:rPr>
          <w:lang w:val="fr-FR"/>
        </w:rPr>
        <w:t>2021-2030 définit des objectifs en ce sens (</w:t>
      </w:r>
      <w:r w:rsidR="00315AA6" w:rsidRPr="0037157A">
        <w:rPr>
          <w:lang w:val="fr-FR"/>
        </w:rPr>
        <w:t>voir par.</w:t>
      </w:r>
      <w:r w:rsidRPr="0037157A">
        <w:rPr>
          <w:lang w:val="fr-FR"/>
        </w:rPr>
        <w:t> 25).</w:t>
      </w:r>
    </w:p>
    <w:p w14:paraId="3963B711" w14:textId="221654FD" w:rsidR="002E0B8B" w:rsidRPr="0037157A" w:rsidRDefault="002E0B8B" w:rsidP="009D535F">
      <w:pPr>
        <w:pStyle w:val="SingleTxt"/>
        <w:numPr>
          <w:ilvl w:val="0"/>
          <w:numId w:val="12"/>
        </w:numPr>
        <w:spacing w:line="240" w:lineRule="exact"/>
        <w:rPr>
          <w:lang w:val="fr-FR"/>
        </w:rPr>
      </w:pPr>
      <w:r w:rsidRPr="0037157A">
        <w:rPr>
          <w:lang w:val="fr-FR"/>
        </w:rPr>
        <w:t>Il existe d</w:t>
      </w:r>
      <w:r w:rsidR="004471C3" w:rsidRPr="0037157A">
        <w:rPr>
          <w:lang w:val="fr-FR"/>
        </w:rPr>
        <w:t>’</w:t>
      </w:r>
      <w:r w:rsidRPr="0037157A">
        <w:rPr>
          <w:lang w:val="fr-FR"/>
        </w:rPr>
        <w:t xml:space="preserve">autres initiatives visant à encourager les femmes à participer à la vie politique et à la vie publique. </w:t>
      </w:r>
      <w:r w:rsidRPr="00B06C44">
        <w:rPr>
          <w:lang w:val="en-US"/>
        </w:rPr>
        <w:t>Le Women for Hungary Club et l</w:t>
      </w:r>
      <w:r w:rsidR="004471C3" w:rsidRPr="00B06C44">
        <w:rPr>
          <w:lang w:val="en-US"/>
        </w:rPr>
        <w:t>’</w:t>
      </w:r>
      <w:r w:rsidRPr="00B06C44">
        <w:rPr>
          <w:lang w:val="en-US"/>
        </w:rPr>
        <w:t xml:space="preserve">association Women for the Hungarian National Movement en font partie. </w:t>
      </w:r>
      <w:r w:rsidRPr="0037157A">
        <w:rPr>
          <w:lang w:val="fr-FR"/>
        </w:rPr>
        <w:t>Ces deux associations privées fondées par la Ministre de la famille ont notamment récompensé les performances féminines exceptionnelles pendant la crise de COVID-19</w:t>
      </w:r>
      <w:r w:rsidRPr="0037157A">
        <w:rPr>
          <w:vertAlign w:val="superscript"/>
          <w:lang w:val="fr-FR"/>
        </w:rPr>
        <w:footnoteReference w:id="8"/>
      </w:r>
      <w:r w:rsidRPr="0037157A">
        <w:rPr>
          <w:lang w:val="fr-FR"/>
        </w:rPr>
        <w:t>. En outre, le programme de formation des femmes au leadership public, soutenu par le Gouvernement hongrois à hauteur de 20</w:t>
      </w:r>
      <w:r w:rsidR="00CB2E84" w:rsidRPr="0037157A">
        <w:rPr>
          <w:lang w:val="fr-FR"/>
        </w:rPr>
        <w:t xml:space="preserve"> </w:t>
      </w:r>
      <w:r w:rsidRPr="0037157A">
        <w:rPr>
          <w:lang w:val="fr-FR"/>
        </w:rPr>
        <w:t>millions de forints hongrois (70 282</w:t>
      </w:r>
      <w:r w:rsidR="00CB2E84" w:rsidRPr="0037157A">
        <w:rPr>
          <w:lang w:val="fr-FR"/>
        </w:rPr>
        <w:t xml:space="preserve"> </w:t>
      </w:r>
      <w:r w:rsidRPr="0037157A">
        <w:rPr>
          <w:lang w:val="fr-FR"/>
        </w:rPr>
        <w:t>dollars É.-U.) par an, offre une formation gratuite aux femmes âgées de 18</w:t>
      </w:r>
      <w:r w:rsidR="00CB2E84" w:rsidRPr="0037157A">
        <w:rPr>
          <w:lang w:val="fr-FR"/>
        </w:rPr>
        <w:t xml:space="preserve"> </w:t>
      </w:r>
      <w:r w:rsidRPr="0037157A">
        <w:rPr>
          <w:lang w:val="fr-FR"/>
        </w:rPr>
        <w:t>à 36</w:t>
      </w:r>
      <w:r w:rsidR="00CB2E84" w:rsidRPr="0037157A">
        <w:rPr>
          <w:lang w:val="fr-FR"/>
        </w:rPr>
        <w:t xml:space="preserve"> </w:t>
      </w:r>
      <w:r w:rsidRPr="0037157A">
        <w:rPr>
          <w:lang w:val="fr-FR"/>
        </w:rPr>
        <w:t>ans souhaitant faire carrière dans la vie publique.</w:t>
      </w:r>
    </w:p>
    <w:p w14:paraId="4172D2C7" w14:textId="7274EDE2" w:rsidR="002E0B8B" w:rsidRPr="0037157A" w:rsidRDefault="002E0B8B" w:rsidP="009D535F">
      <w:pPr>
        <w:pStyle w:val="SingleTxt"/>
        <w:numPr>
          <w:ilvl w:val="0"/>
          <w:numId w:val="12"/>
        </w:numPr>
        <w:spacing w:line="240" w:lineRule="exact"/>
        <w:rPr>
          <w:lang w:val="fr-FR"/>
        </w:rPr>
      </w:pPr>
      <w:r w:rsidRPr="0037157A">
        <w:rPr>
          <w:lang w:val="fr-FR"/>
        </w:rPr>
        <w:t>En 2020, le nombre de femmes ministres en Hongrie est passé à trois (Ministre de la famille [sans portefeuille], Ministre de la valorisation des biens publics [sans portefeuille] et Ministre de la justice). Les données supplémentaires demandées figurent dans le tableau ci-dessous</w:t>
      </w:r>
      <w:r w:rsidR="004471C3" w:rsidRPr="0037157A">
        <w:rPr>
          <w:lang w:val="fr-FR"/>
        </w:rPr>
        <w:t> :</w:t>
      </w:r>
    </w:p>
    <w:p w14:paraId="6D0D00B2" w14:textId="4F4CE1C4" w:rsidR="002E0B8B" w:rsidRPr="0037157A" w:rsidRDefault="002E0B8B" w:rsidP="002275F8">
      <w:pPr>
        <w:pStyle w:val="SingleTxtG"/>
        <w:tabs>
          <w:tab w:val="clear" w:pos="1701"/>
          <w:tab w:val="clear" w:pos="2268"/>
          <w:tab w:val="clear" w:pos="2835"/>
        </w:tabs>
        <w:kinsoku/>
        <w:overflowPunct/>
        <w:autoSpaceDE/>
        <w:autoSpaceDN/>
        <w:adjustRightInd/>
        <w:snapToGrid/>
        <w:spacing w:after="0" w:line="120" w:lineRule="exact"/>
        <w:rPr>
          <w:sz w:val="10"/>
          <w:lang w:val="fr-FR"/>
        </w:rPr>
      </w:pPr>
    </w:p>
    <w:p w14:paraId="26E095CA" w14:textId="77777777" w:rsidR="002E0B8B" w:rsidRPr="0037157A" w:rsidRDefault="002E0B8B" w:rsidP="002275F8">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2</w:t>
      </w:r>
    </w:p>
    <w:p w14:paraId="10DF3A3B" w14:textId="46F1020C" w:rsidR="002E0B8B" w:rsidRPr="0037157A" w:rsidRDefault="002275F8" w:rsidP="002275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r>
      <w:r w:rsidR="002E0B8B" w:rsidRPr="0037157A">
        <w:rPr>
          <w:lang w:val="fr-FR"/>
        </w:rPr>
        <w:t>Part des femmes employées en 2020</w:t>
      </w:r>
    </w:p>
    <w:p w14:paraId="5EC9A6B9" w14:textId="26E858EF" w:rsidR="002E0B8B" w:rsidRPr="0037157A" w:rsidRDefault="002E0B8B" w:rsidP="002275F8">
      <w:pPr>
        <w:pStyle w:val="SingleTxt"/>
        <w:spacing w:after="0" w:line="120" w:lineRule="exact"/>
        <w:rPr>
          <w:sz w:val="10"/>
          <w:lang w:val="fr-FR"/>
        </w:rPr>
      </w:pPr>
    </w:p>
    <w:p w14:paraId="3AA882BF" w14:textId="2C5E43B4" w:rsidR="002275F8" w:rsidRPr="0037157A" w:rsidRDefault="002275F8" w:rsidP="002275F8">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0"/>
        <w:gridCol w:w="3660"/>
      </w:tblGrid>
      <w:tr w:rsidR="002275F8" w:rsidRPr="0037157A" w14:paraId="2A743F7D" w14:textId="77777777" w:rsidTr="002275F8">
        <w:tc>
          <w:tcPr>
            <w:tcW w:w="3660" w:type="dxa"/>
            <w:tcBorders>
              <w:top w:val="single" w:sz="4" w:space="0" w:color="auto"/>
            </w:tcBorders>
            <w:shd w:val="clear" w:color="auto" w:fill="auto"/>
            <w:noWrap/>
            <w:vAlign w:val="bottom"/>
          </w:tcPr>
          <w:p w14:paraId="0A415976" w14:textId="6F3883C1"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Système judiciaire et tribunaux</w:t>
            </w:r>
          </w:p>
        </w:tc>
        <w:tc>
          <w:tcPr>
            <w:tcW w:w="3660" w:type="dxa"/>
            <w:tcBorders>
              <w:top w:val="single" w:sz="4" w:space="0" w:color="auto"/>
            </w:tcBorders>
            <w:shd w:val="clear" w:color="auto" w:fill="auto"/>
            <w:noWrap/>
            <w:vAlign w:val="bottom"/>
          </w:tcPr>
          <w:p w14:paraId="0811B5B3" w14:textId="0EEBBAB3"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63,4</w:t>
            </w:r>
            <w:r w:rsidR="004471C3" w:rsidRPr="0037157A">
              <w:rPr>
                <w:sz w:val="17"/>
                <w:lang w:val="fr-FR"/>
              </w:rPr>
              <w:t> %</w:t>
            </w:r>
          </w:p>
        </w:tc>
      </w:tr>
      <w:tr w:rsidR="002275F8" w:rsidRPr="0037157A" w14:paraId="1CBCE36D" w14:textId="77777777" w:rsidTr="002275F8">
        <w:tc>
          <w:tcPr>
            <w:tcW w:w="3660" w:type="dxa"/>
            <w:shd w:val="clear" w:color="auto" w:fill="auto"/>
            <w:noWrap/>
            <w:vAlign w:val="bottom"/>
          </w:tcPr>
          <w:p w14:paraId="48B45F5F" w14:textId="79C25F91"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Recherche scientifique et développement</w:t>
            </w:r>
          </w:p>
        </w:tc>
        <w:tc>
          <w:tcPr>
            <w:tcW w:w="3660" w:type="dxa"/>
            <w:shd w:val="clear" w:color="auto" w:fill="auto"/>
            <w:noWrap/>
            <w:vAlign w:val="bottom"/>
          </w:tcPr>
          <w:p w14:paraId="4ABBABDC" w14:textId="5F0B58E6"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36,6</w:t>
            </w:r>
            <w:r w:rsidR="004471C3" w:rsidRPr="0037157A">
              <w:rPr>
                <w:sz w:val="17"/>
                <w:lang w:val="fr-FR"/>
              </w:rPr>
              <w:t> %</w:t>
            </w:r>
          </w:p>
        </w:tc>
      </w:tr>
      <w:tr w:rsidR="002275F8" w:rsidRPr="0037157A" w14:paraId="4B9F8351" w14:textId="77777777" w:rsidTr="002275F8">
        <w:tc>
          <w:tcPr>
            <w:tcW w:w="3660" w:type="dxa"/>
            <w:tcBorders>
              <w:bottom w:val="single" w:sz="12" w:space="0" w:color="auto"/>
            </w:tcBorders>
            <w:shd w:val="clear" w:color="auto" w:fill="auto"/>
            <w:noWrap/>
            <w:vAlign w:val="bottom"/>
          </w:tcPr>
          <w:p w14:paraId="156D9189" w14:textId="1AC87FA9"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Enseignement tertiaire</w:t>
            </w:r>
          </w:p>
        </w:tc>
        <w:tc>
          <w:tcPr>
            <w:tcW w:w="3660" w:type="dxa"/>
            <w:tcBorders>
              <w:bottom w:val="single" w:sz="12" w:space="0" w:color="auto"/>
            </w:tcBorders>
            <w:shd w:val="clear" w:color="auto" w:fill="auto"/>
            <w:noWrap/>
            <w:vAlign w:val="bottom"/>
          </w:tcPr>
          <w:p w14:paraId="2774EC71" w14:textId="2D62A920"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61,3</w:t>
            </w:r>
            <w:r w:rsidR="004471C3" w:rsidRPr="0037157A">
              <w:rPr>
                <w:sz w:val="17"/>
                <w:lang w:val="fr-FR"/>
              </w:rPr>
              <w:t> %</w:t>
            </w:r>
          </w:p>
        </w:tc>
      </w:tr>
    </w:tbl>
    <w:p w14:paraId="37580837" w14:textId="052EEAB3" w:rsidR="002275F8" w:rsidRPr="0037157A" w:rsidRDefault="002275F8" w:rsidP="002275F8">
      <w:pPr>
        <w:pStyle w:val="SingleTxt"/>
        <w:spacing w:after="0" w:line="120" w:lineRule="exact"/>
        <w:rPr>
          <w:sz w:val="10"/>
          <w:lang w:val="fr-FR"/>
        </w:rPr>
      </w:pPr>
    </w:p>
    <w:p w14:paraId="73EE947D" w14:textId="77777777" w:rsidR="002275F8" w:rsidRPr="0037157A" w:rsidRDefault="002275F8" w:rsidP="002275F8">
      <w:pPr>
        <w:pStyle w:val="SingleTxt"/>
        <w:spacing w:after="0" w:line="120" w:lineRule="exact"/>
        <w:rPr>
          <w:sz w:val="10"/>
          <w:lang w:val="fr-FR"/>
        </w:rPr>
      </w:pPr>
    </w:p>
    <w:p w14:paraId="42BB6CD6" w14:textId="77777777" w:rsidR="002275F8" w:rsidRPr="0037157A" w:rsidRDefault="002275F8" w:rsidP="002275F8">
      <w:pPr>
        <w:pStyle w:val="SingleTxt"/>
        <w:spacing w:after="0" w:line="120" w:lineRule="exact"/>
        <w:rPr>
          <w:sz w:val="10"/>
          <w:lang w:val="fr-FR"/>
        </w:rPr>
      </w:pPr>
    </w:p>
    <w:p w14:paraId="6C853493" w14:textId="2B4B1740" w:rsidR="002E0B8B" w:rsidRPr="0037157A" w:rsidRDefault="002E0B8B" w:rsidP="002275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Éducation</w:t>
      </w:r>
    </w:p>
    <w:p w14:paraId="7AC7ACFE" w14:textId="594475B2" w:rsidR="002275F8" w:rsidRPr="0037157A" w:rsidRDefault="002275F8" w:rsidP="002275F8">
      <w:pPr>
        <w:pStyle w:val="SingleTxt"/>
        <w:spacing w:after="0" w:line="120" w:lineRule="exact"/>
        <w:rPr>
          <w:sz w:val="10"/>
          <w:lang w:val="fr-FR"/>
        </w:rPr>
      </w:pPr>
    </w:p>
    <w:p w14:paraId="32641D62" w14:textId="765CA453" w:rsidR="002275F8" w:rsidRPr="0037157A" w:rsidRDefault="002275F8" w:rsidP="002275F8">
      <w:pPr>
        <w:pStyle w:val="SingleTxt"/>
        <w:spacing w:after="0" w:line="120" w:lineRule="exact"/>
        <w:rPr>
          <w:sz w:val="10"/>
          <w:lang w:val="fr-FR"/>
        </w:rPr>
      </w:pPr>
    </w:p>
    <w:p w14:paraId="4D3EDB7F" w14:textId="67E597FF" w:rsidR="002E0B8B" w:rsidRPr="0037157A" w:rsidRDefault="002E0B8B" w:rsidP="00F175C0">
      <w:pPr>
        <w:pStyle w:val="SingleTxt"/>
        <w:numPr>
          <w:ilvl w:val="0"/>
          <w:numId w:val="12"/>
        </w:numPr>
        <w:spacing w:line="240" w:lineRule="exact"/>
        <w:rPr>
          <w:lang w:val="fr-FR"/>
        </w:rPr>
      </w:pPr>
      <w:bookmarkStart w:id="8" w:name="_Ref76542454"/>
      <w:r w:rsidRPr="0037157A">
        <w:rPr>
          <w:lang w:val="fr-FR"/>
        </w:rPr>
        <w:t>De manière générale, la Hongrie souhaite augmenter le nombre d</w:t>
      </w:r>
      <w:r w:rsidR="004471C3" w:rsidRPr="0037157A">
        <w:rPr>
          <w:lang w:val="fr-FR"/>
        </w:rPr>
        <w:t>’</w:t>
      </w:r>
      <w:r w:rsidRPr="0037157A">
        <w:rPr>
          <w:lang w:val="fr-FR"/>
        </w:rPr>
        <w:t>étudiants en mathématiques, en sciences, en technologie et en informatique. À cette fin, elle a adopté une stratégie intitulée « Shifting of Gears in Higher Education Mid-Term Policy Strategy 2016 » (stratégie politique à moyen terme visant à passer à la vitesse supérieure dans l</w:t>
      </w:r>
      <w:r w:rsidR="004471C3" w:rsidRPr="0037157A">
        <w:rPr>
          <w:lang w:val="fr-FR"/>
        </w:rPr>
        <w:t>’</w:t>
      </w:r>
      <w:r w:rsidRPr="0037157A">
        <w:rPr>
          <w:lang w:val="fr-FR"/>
        </w:rPr>
        <w:t>enseignement supérieur</w:t>
      </w:r>
      <w:r w:rsidR="00CB2E84" w:rsidRPr="0037157A">
        <w:rPr>
          <w:lang w:val="fr-FR"/>
        </w:rPr>
        <w:t xml:space="preserve"> </w:t>
      </w:r>
      <w:r w:rsidRPr="0037157A">
        <w:rPr>
          <w:lang w:val="fr-FR"/>
        </w:rPr>
        <w:t>2016), en vue de soutenir les étudiants, par exemple en leur offrant des bourses d</w:t>
      </w:r>
      <w:r w:rsidR="004471C3" w:rsidRPr="0037157A">
        <w:rPr>
          <w:lang w:val="fr-FR"/>
        </w:rPr>
        <w:t>’</w:t>
      </w:r>
      <w:r w:rsidRPr="0037157A">
        <w:rPr>
          <w:lang w:val="fr-FR"/>
        </w:rPr>
        <w:t>études. Comme dans le reste du monde, la représentation des femmes dans les domaines de l</w:t>
      </w:r>
      <w:r w:rsidR="004471C3" w:rsidRPr="0037157A">
        <w:rPr>
          <w:lang w:val="fr-FR"/>
        </w:rPr>
        <w:t>’</w:t>
      </w:r>
      <w:r w:rsidRPr="0037157A">
        <w:rPr>
          <w:lang w:val="fr-FR"/>
        </w:rPr>
        <w:t>informatique et de l</w:t>
      </w:r>
      <w:r w:rsidR="004471C3" w:rsidRPr="0037157A">
        <w:rPr>
          <w:lang w:val="fr-FR"/>
        </w:rPr>
        <w:t>’</w:t>
      </w:r>
      <w:r w:rsidRPr="0037157A">
        <w:rPr>
          <w:lang w:val="fr-FR"/>
        </w:rPr>
        <w:t>ingénierie est inférieure à celle des hommes (14</w:t>
      </w:r>
      <w:r w:rsidR="00F175C0">
        <w:rPr>
          <w:lang w:val="fr-FR"/>
        </w:rPr>
        <w:t> </w:t>
      </w:r>
      <w:r w:rsidR="004471C3" w:rsidRPr="0037157A">
        <w:rPr>
          <w:lang w:val="fr-FR"/>
        </w:rPr>
        <w:t>%</w:t>
      </w:r>
      <w:r w:rsidRPr="0037157A">
        <w:rPr>
          <w:lang w:val="fr-FR"/>
        </w:rPr>
        <w:t xml:space="preserve"> et </w:t>
      </w:r>
      <w:r w:rsidR="00F175C0" w:rsidRPr="0037157A">
        <w:rPr>
          <w:lang w:val="fr-FR"/>
        </w:rPr>
        <w:t>24</w:t>
      </w:r>
      <w:r w:rsidR="00F175C0">
        <w:rPr>
          <w:lang w:val="fr-FR"/>
        </w:rPr>
        <w:t> </w:t>
      </w:r>
      <w:r w:rsidR="004471C3" w:rsidRPr="0037157A">
        <w:rPr>
          <w:lang w:val="fr-FR"/>
        </w:rPr>
        <w:t>%</w:t>
      </w:r>
      <w:r w:rsidRPr="0037157A">
        <w:rPr>
          <w:lang w:val="fr-FR"/>
        </w:rPr>
        <w:t>, respectivement). Pour faire face à cette tendance généralisée, le ministère compétent prévoit d</w:t>
      </w:r>
      <w:r w:rsidR="004471C3" w:rsidRPr="0037157A">
        <w:rPr>
          <w:lang w:val="fr-FR"/>
        </w:rPr>
        <w:t>’</w:t>
      </w:r>
      <w:r w:rsidRPr="0037157A">
        <w:rPr>
          <w:lang w:val="fr-FR"/>
        </w:rPr>
        <w:t>instaurer un nouveau programme de bourses d</w:t>
      </w:r>
      <w:r w:rsidR="004471C3" w:rsidRPr="0037157A">
        <w:rPr>
          <w:lang w:val="fr-FR"/>
        </w:rPr>
        <w:t>’</w:t>
      </w:r>
      <w:r w:rsidRPr="0037157A">
        <w:rPr>
          <w:lang w:val="fr-FR"/>
        </w:rPr>
        <w:t>études. Ce programme de bourses en informatique, ingénierie, agriculture et sciences visera, entre autres, à augmenter le nombre d</w:t>
      </w:r>
      <w:r w:rsidR="004471C3" w:rsidRPr="0037157A">
        <w:rPr>
          <w:lang w:val="fr-FR"/>
        </w:rPr>
        <w:t>’</w:t>
      </w:r>
      <w:r w:rsidRPr="0037157A">
        <w:rPr>
          <w:lang w:val="fr-FR"/>
        </w:rPr>
        <w:t>étudiantes dans ces domaines. Soutenir les femmes qui souhaitent poursuivre leur carrière dans les STIM est l</w:t>
      </w:r>
      <w:r w:rsidR="004471C3" w:rsidRPr="0037157A">
        <w:rPr>
          <w:lang w:val="fr-FR"/>
        </w:rPr>
        <w:t>’</w:t>
      </w:r>
      <w:r w:rsidRPr="0037157A">
        <w:rPr>
          <w:lang w:val="fr-FR"/>
        </w:rPr>
        <w:t>un des objectifs du plan d</w:t>
      </w:r>
      <w:r w:rsidR="004471C3" w:rsidRPr="0037157A">
        <w:rPr>
          <w:lang w:val="fr-FR"/>
        </w:rPr>
        <w:t>’</w:t>
      </w:r>
      <w:r w:rsidRPr="0037157A">
        <w:rPr>
          <w:lang w:val="fr-FR"/>
        </w:rPr>
        <w:t>action</w:t>
      </w:r>
      <w:r w:rsidR="00CB2E84" w:rsidRPr="0037157A">
        <w:rPr>
          <w:lang w:val="fr-FR"/>
        </w:rPr>
        <w:t xml:space="preserve"> </w:t>
      </w:r>
      <w:r w:rsidRPr="0037157A">
        <w:rPr>
          <w:lang w:val="fr-FR"/>
        </w:rPr>
        <w:t xml:space="preserve">2021-2030 </w:t>
      </w:r>
      <w:r w:rsidR="00CB2E84" w:rsidRPr="0037157A">
        <w:rPr>
          <w:lang w:val="fr-FR"/>
        </w:rPr>
        <w:t>[</w:t>
      </w:r>
      <w:r w:rsidRPr="0037157A">
        <w:rPr>
          <w:lang w:val="fr-FR"/>
        </w:rPr>
        <w:t>voir chapitre</w:t>
      </w:r>
      <w:r w:rsidR="00CB2E84" w:rsidRPr="0037157A">
        <w:rPr>
          <w:lang w:val="fr-FR"/>
        </w:rPr>
        <w:t xml:space="preserve"> </w:t>
      </w:r>
      <w:r w:rsidRPr="0037157A">
        <w:rPr>
          <w:lang w:val="fr-FR"/>
        </w:rPr>
        <w:t>2</w:t>
      </w:r>
      <w:r w:rsidR="00CB2E84" w:rsidRPr="0037157A">
        <w:rPr>
          <w:lang w:val="fr-FR"/>
        </w:rPr>
        <w:t xml:space="preserve"> </w:t>
      </w:r>
      <w:r w:rsidRPr="0037157A">
        <w:rPr>
          <w:lang w:val="fr-FR"/>
        </w:rPr>
        <w:t>d)</w:t>
      </w:r>
      <w:r w:rsidR="00CB2E84" w:rsidRPr="0037157A">
        <w:rPr>
          <w:lang w:val="fr-FR"/>
        </w:rPr>
        <w:t>]</w:t>
      </w:r>
      <w:r w:rsidRPr="0037157A">
        <w:rPr>
          <w:lang w:val="fr-FR"/>
        </w:rPr>
        <w:t xml:space="preserve">. Comme exemple de bonne pratique institutionnelle, on peut citer le programme « Know-Ledge » et son sous-projet « MEnők </w:t>
      </w:r>
      <w:r w:rsidR="00F175C0" w:rsidRPr="00F175C0">
        <w:rPr>
          <w:lang w:val="fr-FR"/>
        </w:rPr>
        <w:t>–</w:t>
      </w:r>
      <w:r w:rsidR="00F175C0">
        <w:rPr>
          <w:lang w:val="fr-FR"/>
        </w:rPr>
        <w:t> </w:t>
      </w:r>
      <w:r w:rsidRPr="0037157A">
        <w:rPr>
          <w:lang w:val="fr-FR"/>
        </w:rPr>
        <w:t>Les femmes dans le monde de la science » mis en place par l</w:t>
      </w:r>
      <w:r w:rsidR="004471C3" w:rsidRPr="0037157A">
        <w:rPr>
          <w:lang w:val="fr-FR"/>
        </w:rPr>
        <w:t>’</w:t>
      </w:r>
      <w:r w:rsidRPr="0037157A">
        <w:rPr>
          <w:lang w:val="fr-FR"/>
        </w:rPr>
        <w:t>Université de Miskolc alors qu</w:t>
      </w:r>
      <w:r w:rsidR="004471C3" w:rsidRPr="0037157A">
        <w:rPr>
          <w:lang w:val="fr-FR"/>
        </w:rPr>
        <w:t>’</w:t>
      </w:r>
      <w:r w:rsidRPr="0037157A">
        <w:rPr>
          <w:lang w:val="fr-FR"/>
        </w:rPr>
        <w:t>elle était encore une université publique. L</w:t>
      </w:r>
      <w:r w:rsidR="004471C3" w:rsidRPr="0037157A">
        <w:rPr>
          <w:lang w:val="fr-FR"/>
        </w:rPr>
        <w:t>’</w:t>
      </w:r>
      <w:r w:rsidRPr="0037157A">
        <w:rPr>
          <w:lang w:val="fr-FR"/>
        </w:rPr>
        <w:t>université a publié un livre contenant des entretiens et des suggestions d</w:t>
      </w:r>
      <w:r w:rsidR="004471C3" w:rsidRPr="0037157A">
        <w:rPr>
          <w:lang w:val="fr-FR"/>
        </w:rPr>
        <w:t>’</w:t>
      </w:r>
      <w:r w:rsidRPr="0037157A">
        <w:rPr>
          <w:lang w:val="fr-FR"/>
        </w:rPr>
        <w:t>activités manuelles à l</w:t>
      </w:r>
      <w:r w:rsidR="004471C3" w:rsidRPr="0037157A">
        <w:rPr>
          <w:lang w:val="fr-FR"/>
        </w:rPr>
        <w:t>’</w:t>
      </w:r>
      <w:r w:rsidRPr="0037157A">
        <w:rPr>
          <w:lang w:val="fr-FR"/>
        </w:rPr>
        <w:t>intention de la jeune génération</w:t>
      </w:r>
      <w:r w:rsidR="004471C3" w:rsidRPr="0037157A">
        <w:rPr>
          <w:lang w:val="fr-FR"/>
        </w:rPr>
        <w:t> ;</w:t>
      </w:r>
      <w:r w:rsidRPr="0037157A">
        <w:rPr>
          <w:lang w:val="fr-FR"/>
        </w:rPr>
        <w:t xml:space="preserve"> les personnes interrogées sont des femmes ayant accompli des réalisations scientifiques remarquables dans des domaines universitaires liés aux STIM.</w:t>
      </w:r>
      <w:bookmarkEnd w:id="8"/>
    </w:p>
    <w:p w14:paraId="7F7766C8" w14:textId="5CB21B09" w:rsidR="002E0B8B" w:rsidRPr="0037157A" w:rsidRDefault="002E0B8B" w:rsidP="009D535F">
      <w:pPr>
        <w:pStyle w:val="SingleTxt"/>
        <w:numPr>
          <w:ilvl w:val="0"/>
          <w:numId w:val="12"/>
        </w:numPr>
        <w:spacing w:line="240" w:lineRule="exact"/>
        <w:rPr>
          <w:lang w:val="fr-FR"/>
        </w:rPr>
      </w:pPr>
      <w:r w:rsidRPr="0037157A">
        <w:rPr>
          <w:lang w:val="fr-FR"/>
        </w:rPr>
        <w:t>Pour ce qui est de l</w:t>
      </w:r>
      <w:r w:rsidR="004471C3" w:rsidRPr="0037157A">
        <w:rPr>
          <w:lang w:val="fr-FR"/>
        </w:rPr>
        <w:t>’</w:t>
      </w:r>
      <w:r w:rsidRPr="0037157A">
        <w:rPr>
          <w:lang w:val="fr-FR"/>
        </w:rPr>
        <w:t>accès à l</w:t>
      </w:r>
      <w:r w:rsidR="004471C3" w:rsidRPr="0037157A">
        <w:rPr>
          <w:lang w:val="fr-FR"/>
        </w:rPr>
        <w:t>’</w:t>
      </w:r>
      <w:r w:rsidRPr="0037157A">
        <w:rPr>
          <w:lang w:val="fr-FR"/>
        </w:rPr>
        <w:t>éducation des étudiants roms, demandeurs d</w:t>
      </w:r>
      <w:r w:rsidR="004471C3" w:rsidRPr="0037157A">
        <w:rPr>
          <w:lang w:val="fr-FR"/>
        </w:rPr>
        <w:t>’</w:t>
      </w:r>
      <w:r w:rsidRPr="0037157A">
        <w:rPr>
          <w:lang w:val="fr-FR"/>
        </w:rPr>
        <w:t>asile ou migrants, aucune statistique n</w:t>
      </w:r>
      <w:r w:rsidR="004471C3" w:rsidRPr="0037157A">
        <w:rPr>
          <w:lang w:val="fr-FR"/>
        </w:rPr>
        <w:t>’</w:t>
      </w:r>
      <w:r w:rsidRPr="0037157A">
        <w:rPr>
          <w:lang w:val="fr-FR"/>
        </w:rPr>
        <w:t>est disponible car les données sur le statut de minorité nationale, ethnique, religieuse ou linguistique ne peuvent être collectées que sur une base volontaire. En</w:t>
      </w:r>
      <w:r w:rsidR="00F175C0">
        <w:rPr>
          <w:lang w:val="fr-FR"/>
        </w:rPr>
        <w:t xml:space="preserve"> </w:t>
      </w:r>
      <w:r w:rsidRPr="0037157A">
        <w:rPr>
          <w:lang w:val="fr-FR"/>
        </w:rPr>
        <w:t>2013, un réseau des établissements professionnels roms a été mis en place et en 2020, ces établissements (11 au total) comptaient 330 étudiants. En 2016, un programme intitulé « Bari Shej – Big Girl − Fáta Máré » a été lancé pour favoriser l</w:t>
      </w:r>
      <w:r w:rsidR="004471C3" w:rsidRPr="0037157A">
        <w:rPr>
          <w:lang w:val="fr-FR"/>
        </w:rPr>
        <w:t>’</w:t>
      </w:r>
      <w:r w:rsidRPr="0037157A">
        <w:rPr>
          <w:lang w:val="fr-FR"/>
        </w:rPr>
        <w:t>éducation des filles roms.</w:t>
      </w:r>
    </w:p>
    <w:p w14:paraId="246121F5" w14:textId="7AA3D2B8" w:rsidR="004471C3" w:rsidRPr="0037157A" w:rsidRDefault="002E0B8B" w:rsidP="009D535F">
      <w:pPr>
        <w:pStyle w:val="SingleTxt"/>
        <w:numPr>
          <w:ilvl w:val="0"/>
          <w:numId w:val="12"/>
        </w:numPr>
        <w:spacing w:line="240" w:lineRule="exact"/>
        <w:rPr>
          <w:lang w:val="fr-FR"/>
        </w:rPr>
      </w:pPr>
      <w:r w:rsidRPr="0037157A">
        <w:rPr>
          <w:lang w:val="fr-FR"/>
        </w:rPr>
        <w:t>L</w:t>
      </w:r>
      <w:r w:rsidR="004471C3" w:rsidRPr="0037157A">
        <w:rPr>
          <w:lang w:val="fr-FR"/>
        </w:rPr>
        <w:t>’</w:t>
      </w:r>
      <w:r w:rsidRPr="0037157A">
        <w:rPr>
          <w:lang w:val="fr-FR"/>
        </w:rPr>
        <w:t>objectif de ce programme était de réduire le taux de décrochage scolaire des filles roms, d</w:t>
      </w:r>
      <w:r w:rsidR="004471C3" w:rsidRPr="0037157A">
        <w:rPr>
          <w:lang w:val="fr-FR"/>
        </w:rPr>
        <w:t>’</w:t>
      </w:r>
      <w:r w:rsidRPr="0037157A">
        <w:rPr>
          <w:lang w:val="fr-FR"/>
        </w:rPr>
        <w:t>augmenter leurs chances de poursuivre leurs études et de proposer une gamme de services étendue en lien avec le développement personnel. Le groupe cible était composé des jeunes filles âgées de 10 à 18</w:t>
      </w:r>
      <w:r w:rsidR="00CB2E84" w:rsidRPr="0037157A">
        <w:rPr>
          <w:lang w:val="fr-FR"/>
        </w:rPr>
        <w:t xml:space="preserve"> </w:t>
      </w:r>
      <w:r w:rsidRPr="0037157A">
        <w:rPr>
          <w:lang w:val="fr-FR"/>
        </w:rPr>
        <w:t>ans scolarisées dans les écoles primaires ou secondaires, en particulier des élèves roms, susceptibles d</w:t>
      </w:r>
      <w:r w:rsidR="004471C3" w:rsidRPr="0037157A">
        <w:rPr>
          <w:lang w:val="fr-FR"/>
        </w:rPr>
        <w:t>’</w:t>
      </w:r>
      <w:r w:rsidRPr="0037157A">
        <w:rPr>
          <w:lang w:val="fr-FR"/>
        </w:rPr>
        <w:t>abandonner l</w:t>
      </w:r>
      <w:r w:rsidR="004471C3" w:rsidRPr="0037157A">
        <w:rPr>
          <w:lang w:val="fr-FR"/>
        </w:rPr>
        <w:t>’</w:t>
      </w:r>
      <w:r w:rsidRPr="0037157A">
        <w:rPr>
          <w:lang w:val="fr-FR"/>
        </w:rPr>
        <w:t>école</w:t>
      </w:r>
      <w:r w:rsidRPr="0037157A">
        <w:rPr>
          <w:vertAlign w:val="superscript"/>
          <w:lang w:val="fr-FR"/>
        </w:rPr>
        <w:footnoteReference w:id="9"/>
      </w:r>
      <w:r w:rsidRPr="0037157A">
        <w:rPr>
          <w:lang w:val="fr-FR"/>
        </w:rPr>
        <w:t>. Celles-ci se sont vu attribuer un mentor qui les a aidées à la fois à étudier et à gérer leur vie quotidienne pendant deux ans. Elles ont également participé à des séances consacrées à la connaissance de soi et à l</w:t>
      </w:r>
      <w:r w:rsidR="004471C3" w:rsidRPr="0037157A">
        <w:rPr>
          <w:lang w:val="fr-FR"/>
        </w:rPr>
        <w:t>’</w:t>
      </w:r>
      <w:r w:rsidRPr="0037157A">
        <w:rPr>
          <w:lang w:val="fr-FR"/>
        </w:rPr>
        <w:t>orientation professionnelle, à des formations de sensibilisation aux risques de la traite des êtres humains et à des séances traitant des rôles familiaux et de l</w:t>
      </w:r>
      <w:r w:rsidR="004471C3" w:rsidRPr="0037157A">
        <w:rPr>
          <w:lang w:val="fr-FR"/>
        </w:rPr>
        <w:t>’</w:t>
      </w:r>
      <w:r w:rsidRPr="0037157A">
        <w:rPr>
          <w:lang w:val="fr-FR"/>
        </w:rPr>
        <w:t>art d</w:t>
      </w:r>
      <w:r w:rsidR="004471C3" w:rsidRPr="0037157A">
        <w:rPr>
          <w:lang w:val="fr-FR"/>
        </w:rPr>
        <w:t>’</w:t>
      </w:r>
      <w:r w:rsidRPr="0037157A">
        <w:rPr>
          <w:lang w:val="fr-FR"/>
        </w:rPr>
        <w:t>être parent. Le projet qui a pris fin en 2020 comptait environ 440</w:t>
      </w:r>
      <w:r w:rsidR="00CB2E84" w:rsidRPr="0037157A">
        <w:rPr>
          <w:lang w:val="fr-FR"/>
        </w:rPr>
        <w:t xml:space="preserve"> </w:t>
      </w:r>
      <w:r w:rsidRPr="0037157A">
        <w:rPr>
          <w:lang w:val="fr-FR"/>
        </w:rPr>
        <w:t>mentors chargés de soutenir près de 2</w:t>
      </w:r>
      <w:r w:rsidR="00F175C0">
        <w:rPr>
          <w:lang w:val="fr-FR"/>
        </w:rPr>
        <w:t xml:space="preserve"> </w:t>
      </w:r>
      <w:r w:rsidRPr="0037157A">
        <w:rPr>
          <w:lang w:val="fr-FR"/>
        </w:rPr>
        <w:t>000</w:t>
      </w:r>
      <w:r w:rsidR="00CB2E84" w:rsidRPr="0037157A">
        <w:rPr>
          <w:lang w:val="fr-FR"/>
        </w:rPr>
        <w:t xml:space="preserve"> </w:t>
      </w:r>
      <w:r w:rsidRPr="0037157A">
        <w:rPr>
          <w:lang w:val="fr-FR"/>
        </w:rPr>
        <w:t>jeunes filles (et indirectement leurs familles) dans 16</w:t>
      </w:r>
      <w:r w:rsidR="00CB2E84" w:rsidRPr="0037157A">
        <w:rPr>
          <w:lang w:val="fr-FR"/>
        </w:rPr>
        <w:t xml:space="preserve"> </w:t>
      </w:r>
      <w:r w:rsidRPr="0037157A">
        <w:rPr>
          <w:lang w:val="fr-FR"/>
        </w:rPr>
        <w:t>comitats.</w:t>
      </w:r>
    </w:p>
    <w:p w14:paraId="3022922F" w14:textId="3E5D826B" w:rsidR="002E0B8B" w:rsidRPr="0037157A" w:rsidRDefault="002E0B8B" w:rsidP="009D535F">
      <w:pPr>
        <w:pStyle w:val="SingleTxt"/>
        <w:numPr>
          <w:ilvl w:val="0"/>
          <w:numId w:val="12"/>
        </w:numPr>
        <w:spacing w:line="240" w:lineRule="exact"/>
        <w:rPr>
          <w:lang w:val="fr-FR"/>
        </w:rPr>
      </w:pPr>
      <w:r w:rsidRPr="0037157A">
        <w:rPr>
          <w:lang w:val="fr-FR"/>
        </w:rPr>
        <w:t>Pour ce qui est des programmes d</w:t>
      </w:r>
      <w:r w:rsidR="004471C3" w:rsidRPr="0037157A">
        <w:rPr>
          <w:lang w:val="fr-FR"/>
        </w:rPr>
        <w:t>’</w:t>
      </w:r>
      <w:r w:rsidRPr="0037157A">
        <w:rPr>
          <w:lang w:val="fr-FR"/>
        </w:rPr>
        <w:t>acquisition de compétences familiales, les études de maîtrise actuellement disponibles, à savoir la consultation en éducation familiale, la consultation en santé mentale familiale, la politique économique familiale, les politiques publiques pour le développement humain et les études familiales interdisciplinaires, abordent le rôle des femmes dans la famille sous différents angles et fournissent une approche équilibrée.</w:t>
      </w:r>
    </w:p>
    <w:p w14:paraId="394EE4A6" w14:textId="71A5668C" w:rsidR="002E0B8B" w:rsidRPr="0037157A" w:rsidRDefault="002E0B8B" w:rsidP="009D535F">
      <w:pPr>
        <w:pStyle w:val="SingleTxt"/>
        <w:numPr>
          <w:ilvl w:val="0"/>
          <w:numId w:val="12"/>
        </w:numPr>
        <w:spacing w:line="240" w:lineRule="exact"/>
        <w:rPr>
          <w:lang w:val="fr-FR"/>
        </w:rPr>
      </w:pPr>
      <w:r w:rsidRPr="0037157A">
        <w:rPr>
          <w:lang w:val="fr-FR"/>
        </w:rPr>
        <w:t>La plupart des établissements d</w:t>
      </w:r>
      <w:r w:rsidR="004471C3" w:rsidRPr="0037157A">
        <w:rPr>
          <w:lang w:val="fr-FR"/>
        </w:rPr>
        <w:t>’</w:t>
      </w:r>
      <w:r w:rsidRPr="0037157A">
        <w:rPr>
          <w:lang w:val="fr-FR"/>
        </w:rPr>
        <w:t>enseignement supérieur disposent de leurs propres politiques et procédures pour prévenir et combattre la violence et le harcèlement (telles qu</w:t>
      </w:r>
      <w:r w:rsidR="004471C3" w:rsidRPr="0037157A">
        <w:rPr>
          <w:lang w:val="fr-FR"/>
        </w:rPr>
        <w:t>’</w:t>
      </w:r>
      <w:r w:rsidRPr="0037157A">
        <w:rPr>
          <w:lang w:val="fr-FR"/>
        </w:rPr>
        <w:t>un code de déontologie, un code pour l</w:t>
      </w:r>
      <w:r w:rsidR="004471C3" w:rsidRPr="0037157A">
        <w:rPr>
          <w:lang w:val="fr-FR"/>
        </w:rPr>
        <w:t>’</w:t>
      </w:r>
      <w:r w:rsidRPr="0037157A">
        <w:rPr>
          <w:lang w:val="fr-FR"/>
        </w:rPr>
        <w:t>égalité des chances, des directives contre la discrimination et le harcèlement sexuel, un comité d</w:t>
      </w:r>
      <w:r w:rsidR="004471C3" w:rsidRPr="0037157A">
        <w:rPr>
          <w:lang w:val="fr-FR"/>
        </w:rPr>
        <w:t>’</w:t>
      </w:r>
      <w:r w:rsidRPr="0037157A">
        <w:rPr>
          <w:lang w:val="fr-FR"/>
        </w:rPr>
        <w:t>éthique, un plan pour l</w:t>
      </w:r>
      <w:r w:rsidR="004471C3" w:rsidRPr="0037157A">
        <w:rPr>
          <w:lang w:val="fr-FR"/>
        </w:rPr>
        <w:t>’</w:t>
      </w:r>
      <w:r w:rsidRPr="0037157A">
        <w:rPr>
          <w:lang w:val="fr-FR"/>
        </w:rPr>
        <w:t>égalité des genres, etc.).</w:t>
      </w:r>
    </w:p>
    <w:p w14:paraId="13A00457" w14:textId="7CD33CFE" w:rsidR="002275F8" w:rsidRPr="0037157A" w:rsidRDefault="002275F8" w:rsidP="002275F8">
      <w:pPr>
        <w:pStyle w:val="SingleTxt"/>
        <w:spacing w:after="0" w:line="120" w:lineRule="exact"/>
        <w:rPr>
          <w:sz w:val="10"/>
          <w:lang w:val="fr-FR"/>
        </w:rPr>
      </w:pPr>
    </w:p>
    <w:p w14:paraId="4ED7CFBD" w14:textId="48495C0D" w:rsidR="002275F8" w:rsidRPr="0037157A" w:rsidRDefault="002275F8" w:rsidP="002275F8">
      <w:pPr>
        <w:pStyle w:val="SingleTxt"/>
        <w:spacing w:after="0" w:line="120" w:lineRule="exact"/>
        <w:rPr>
          <w:sz w:val="10"/>
          <w:lang w:val="fr-FR"/>
        </w:rPr>
      </w:pPr>
    </w:p>
    <w:p w14:paraId="22A68A66" w14:textId="32CB0168" w:rsidR="002E0B8B" w:rsidRPr="0037157A" w:rsidRDefault="002E0B8B" w:rsidP="002275F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Emploi</w:t>
      </w:r>
    </w:p>
    <w:p w14:paraId="3101AFC6" w14:textId="28C1133A" w:rsidR="002275F8" w:rsidRPr="0037157A" w:rsidRDefault="002275F8" w:rsidP="002275F8">
      <w:pPr>
        <w:pStyle w:val="SingleTxt"/>
        <w:spacing w:after="0" w:line="120" w:lineRule="exact"/>
        <w:rPr>
          <w:sz w:val="10"/>
          <w:lang w:val="fr-FR"/>
        </w:rPr>
      </w:pPr>
    </w:p>
    <w:p w14:paraId="120B58D0" w14:textId="585AD4A4" w:rsidR="002275F8" w:rsidRPr="0037157A" w:rsidRDefault="002275F8" w:rsidP="002275F8">
      <w:pPr>
        <w:pStyle w:val="SingleTxt"/>
        <w:spacing w:after="0" w:line="120" w:lineRule="exact"/>
        <w:rPr>
          <w:sz w:val="10"/>
          <w:lang w:val="fr-FR"/>
        </w:rPr>
      </w:pPr>
    </w:p>
    <w:p w14:paraId="6A183994" w14:textId="4198D4EB" w:rsidR="002E0B8B" w:rsidRPr="0037157A" w:rsidRDefault="002E0B8B" w:rsidP="009D535F">
      <w:pPr>
        <w:pStyle w:val="SingleTxt"/>
        <w:numPr>
          <w:ilvl w:val="0"/>
          <w:numId w:val="12"/>
        </w:numPr>
        <w:spacing w:line="240" w:lineRule="exact"/>
        <w:rPr>
          <w:lang w:val="fr-FR"/>
        </w:rPr>
      </w:pPr>
      <w:r w:rsidRPr="0037157A">
        <w:rPr>
          <w:lang w:val="fr-FR"/>
        </w:rPr>
        <w:t>Selon Eurostat, l</w:t>
      </w:r>
      <w:r w:rsidR="004471C3" w:rsidRPr="0037157A">
        <w:rPr>
          <w:lang w:val="fr-FR"/>
        </w:rPr>
        <w:t>’</w:t>
      </w:r>
      <w:r w:rsidRPr="0037157A">
        <w:rPr>
          <w:lang w:val="fr-FR"/>
        </w:rPr>
        <w:t>écart de rémunération moyen entre les femmes et les hommes du pays a diminué entre 2012 et 2016. Cette tendance s</w:t>
      </w:r>
      <w:r w:rsidR="004471C3" w:rsidRPr="0037157A">
        <w:rPr>
          <w:lang w:val="fr-FR"/>
        </w:rPr>
        <w:t>’</w:t>
      </w:r>
      <w:r w:rsidRPr="0037157A">
        <w:rPr>
          <w:lang w:val="fr-FR"/>
        </w:rPr>
        <w:t>explique par le fait que la Hongrie a procédé à des augmentations salariales significatives dans des secteurs à taux élevé d</w:t>
      </w:r>
      <w:r w:rsidR="004471C3" w:rsidRPr="0037157A">
        <w:rPr>
          <w:lang w:val="fr-FR"/>
        </w:rPr>
        <w:t>’</w:t>
      </w:r>
      <w:r w:rsidRPr="0037157A">
        <w:rPr>
          <w:lang w:val="fr-FR"/>
        </w:rPr>
        <w:t>emploi féminin, tels que l</w:t>
      </w:r>
      <w:r w:rsidR="004471C3" w:rsidRPr="0037157A">
        <w:rPr>
          <w:lang w:val="fr-FR"/>
        </w:rPr>
        <w:t>’</w:t>
      </w:r>
      <w:r w:rsidRPr="0037157A">
        <w:rPr>
          <w:lang w:val="fr-FR"/>
        </w:rPr>
        <w:t>enseignement public, la santé et les services sociaux. Depuis 2016, cet écart fluctue.</w:t>
      </w:r>
    </w:p>
    <w:p w14:paraId="3E65CA64" w14:textId="3B05C263" w:rsidR="002E0B8B" w:rsidRPr="0037157A" w:rsidRDefault="002E0B8B" w:rsidP="009D535F">
      <w:pPr>
        <w:pStyle w:val="SingleTxt"/>
        <w:numPr>
          <w:ilvl w:val="0"/>
          <w:numId w:val="12"/>
        </w:numPr>
        <w:spacing w:line="240" w:lineRule="exact"/>
        <w:rPr>
          <w:lang w:val="fr-FR"/>
        </w:rPr>
      </w:pPr>
      <w:r w:rsidRPr="0037157A">
        <w:rPr>
          <w:lang w:val="fr-FR"/>
        </w:rPr>
        <w:t>De façon générale, les différences entre les revenus peuvent s</w:t>
      </w:r>
      <w:r w:rsidR="004471C3" w:rsidRPr="0037157A">
        <w:rPr>
          <w:lang w:val="fr-FR"/>
        </w:rPr>
        <w:t>’</w:t>
      </w:r>
      <w:r w:rsidRPr="0037157A">
        <w:rPr>
          <w:lang w:val="fr-FR"/>
        </w:rPr>
        <w:t>expliquer par des raisons objectives. Le fait que les femmes soient davantage impliquées dans la garde des enfants (d</w:t>
      </w:r>
      <w:r w:rsidR="004471C3" w:rsidRPr="0037157A">
        <w:rPr>
          <w:lang w:val="fr-FR"/>
        </w:rPr>
        <w:t>’</w:t>
      </w:r>
      <w:r w:rsidRPr="0037157A">
        <w:rPr>
          <w:lang w:val="fr-FR"/>
        </w:rPr>
        <w:t>où un retour plus tardif sur le marché du travail) et aient la possibilité de prendre leur retraite à un taux de prestations réduit au bout de 40</w:t>
      </w:r>
      <w:r w:rsidR="00CB2E84" w:rsidRPr="0037157A">
        <w:rPr>
          <w:lang w:val="fr-FR"/>
        </w:rPr>
        <w:t xml:space="preserve"> </w:t>
      </w:r>
      <w:r w:rsidRPr="0037157A">
        <w:rPr>
          <w:lang w:val="fr-FR"/>
        </w:rPr>
        <w:t>ans d</w:t>
      </w:r>
      <w:r w:rsidR="004471C3" w:rsidRPr="0037157A">
        <w:rPr>
          <w:lang w:val="fr-FR"/>
        </w:rPr>
        <w:t>’</w:t>
      </w:r>
      <w:r w:rsidRPr="0037157A">
        <w:rPr>
          <w:lang w:val="fr-FR"/>
        </w:rPr>
        <w:t>activité peut entraîner un écart de rémunération moyen en faveur des hommes.</w:t>
      </w:r>
    </w:p>
    <w:p w14:paraId="6212402F" w14:textId="714400C4" w:rsidR="002E0B8B" w:rsidRPr="0037157A" w:rsidRDefault="002E0B8B" w:rsidP="009D535F">
      <w:pPr>
        <w:pStyle w:val="SingleTxt"/>
        <w:numPr>
          <w:ilvl w:val="0"/>
          <w:numId w:val="12"/>
        </w:numPr>
        <w:spacing w:line="240" w:lineRule="exact"/>
        <w:rPr>
          <w:lang w:val="fr-FR"/>
        </w:rPr>
      </w:pPr>
      <w:r w:rsidRPr="0037157A">
        <w:rPr>
          <w:lang w:val="fr-FR"/>
        </w:rPr>
        <w:t>Néanmoins, en vue de promouvoir les droits des femmes, les lois hongroises disposent que toute discrimination en matière de rémunération entre les hommes et les femmes sur un même lieu de travail et pour un même poste est contraire au principe d</w:t>
      </w:r>
      <w:r w:rsidR="004471C3" w:rsidRPr="0037157A">
        <w:rPr>
          <w:lang w:val="fr-FR"/>
        </w:rPr>
        <w:t>’</w:t>
      </w:r>
      <w:r w:rsidRPr="0037157A">
        <w:rPr>
          <w:lang w:val="fr-FR"/>
        </w:rPr>
        <w:t>égalité de traitement. Le salaire minimum obligatoire et le salaire minimum garanti, fixés par le Gouvernement, sont les mêmes pour les femmes et les hommes. Au-delà de cette législation, le Gouvernement n</w:t>
      </w:r>
      <w:r w:rsidR="004471C3" w:rsidRPr="0037157A">
        <w:rPr>
          <w:lang w:val="fr-FR"/>
        </w:rPr>
        <w:t>’</w:t>
      </w:r>
      <w:r w:rsidRPr="0037157A">
        <w:rPr>
          <w:lang w:val="fr-FR"/>
        </w:rPr>
        <w:t>a pas le droit d</w:t>
      </w:r>
      <w:r w:rsidR="004471C3" w:rsidRPr="0037157A">
        <w:rPr>
          <w:lang w:val="fr-FR"/>
        </w:rPr>
        <w:t>’</w:t>
      </w:r>
      <w:r w:rsidRPr="0037157A">
        <w:rPr>
          <w:lang w:val="fr-FR"/>
        </w:rPr>
        <w:t>intervenir directement dans les négociations salariales des entreprises privées. Le régime de rémunération du secteur public ne fait pas de distinction entre les femmes et les hommes.</w:t>
      </w:r>
    </w:p>
    <w:p w14:paraId="71352D74" w14:textId="37C3FFB6" w:rsidR="002E0B8B" w:rsidRPr="0037157A" w:rsidRDefault="002E0B8B" w:rsidP="009D535F">
      <w:pPr>
        <w:pStyle w:val="SingleTxt"/>
        <w:numPr>
          <w:ilvl w:val="0"/>
          <w:numId w:val="12"/>
        </w:numPr>
        <w:spacing w:line="240" w:lineRule="exact"/>
        <w:rPr>
          <w:lang w:val="fr-FR"/>
        </w:rPr>
      </w:pPr>
      <w:r w:rsidRPr="0037157A">
        <w:rPr>
          <w:lang w:val="fr-FR"/>
        </w:rPr>
        <w:t>Au cours des trois dernières années, les augmentations les plus significatives de la part des femmes ont été enregistrées dans les services administratifs (+3,3 points de pourcentage), l</w:t>
      </w:r>
      <w:r w:rsidR="004471C3" w:rsidRPr="0037157A">
        <w:rPr>
          <w:lang w:val="fr-FR"/>
        </w:rPr>
        <w:t>’</w:t>
      </w:r>
      <w:r w:rsidRPr="0037157A">
        <w:rPr>
          <w:lang w:val="fr-FR"/>
        </w:rPr>
        <w:t>administration publique (+3 points de pourcentage) et le secteur des technologies de l</w:t>
      </w:r>
      <w:r w:rsidR="004471C3" w:rsidRPr="0037157A">
        <w:rPr>
          <w:lang w:val="fr-FR"/>
        </w:rPr>
        <w:t>’</w:t>
      </w:r>
      <w:r w:rsidRPr="0037157A">
        <w:rPr>
          <w:lang w:val="fr-FR"/>
        </w:rPr>
        <w:t>information (+2,7 points de pourcentage). Pour maintenir cette tendance favorable, le Gouvernement encourage les femmes et les filles à faire carrière dans les STIM (</w:t>
      </w:r>
      <w:r w:rsidR="00315AA6" w:rsidRPr="0037157A">
        <w:rPr>
          <w:lang w:val="fr-FR"/>
        </w:rPr>
        <w:t>voir par.</w:t>
      </w:r>
      <w:r w:rsidRPr="0037157A">
        <w:rPr>
          <w:lang w:val="fr-FR"/>
        </w:rPr>
        <w:t> 42).</w:t>
      </w:r>
    </w:p>
    <w:p w14:paraId="39516A1F" w14:textId="7A477FD4" w:rsidR="004471C3" w:rsidRPr="0037157A" w:rsidRDefault="002E0B8B" w:rsidP="009D535F">
      <w:pPr>
        <w:pStyle w:val="SingleTxt"/>
        <w:numPr>
          <w:ilvl w:val="0"/>
          <w:numId w:val="12"/>
        </w:numPr>
        <w:spacing w:line="240" w:lineRule="exact"/>
        <w:rPr>
          <w:lang w:val="fr-FR"/>
        </w:rPr>
      </w:pPr>
      <w:r w:rsidRPr="0037157A">
        <w:rPr>
          <w:lang w:val="fr-FR"/>
        </w:rPr>
        <w:t>Conformément au mandat que lui confère la loi sur l</w:t>
      </w:r>
      <w:r w:rsidR="004471C3" w:rsidRPr="0037157A">
        <w:rPr>
          <w:lang w:val="fr-FR"/>
        </w:rPr>
        <w:t>’</w:t>
      </w:r>
      <w:r w:rsidRPr="0037157A">
        <w:rPr>
          <w:lang w:val="fr-FR"/>
        </w:rPr>
        <w:t>égalité de traitement,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est l</w:t>
      </w:r>
      <w:r w:rsidR="004471C3" w:rsidRPr="0037157A">
        <w:rPr>
          <w:lang w:val="fr-FR"/>
        </w:rPr>
        <w:t>’</w:t>
      </w:r>
      <w:r w:rsidRPr="0037157A">
        <w:rPr>
          <w:lang w:val="fr-FR"/>
        </w:rPr>
        <w:t>organe compétent pour examiner les cas de discrimination et prendre des décisions à leur sujet. En janvier</w:t>
      </w:r>
      <w:r w:rsidR="00CB2E84" w:rsidRPr="0037157A">
        <w:rPr>
          <w:lang w:val="fr-FR"/>
        </w:rPr>
        <w:t xml:space="preserve"> </w:t>
      </w:r>
      <w:r w:rsidRPr="0037157A">
        <w:rPr>
          <w:lang w:val="fr-FR"/>
        </w:rPr>
        <w:t>2021,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a été rattachée au Bureau du (de la) Commissaire aux droits fondamentaux (</w:t>
      </w:r>
      <w:r w:rsidR="00315AA6" w:rsidRPr="0037157A">
        <w:rPr>
          <w:lang w:val="fr-FR"/>
        </w:rPr>
        <w:t xml:space="preserve"> voir par.</w:t>
      </w:r>
      <w:r w:rsidR="00CB2E84" w:rsidRPr="0037157A">
        <w:rPr>
          <w:lang w:val="fr-FR"/>
        </w:rPr>
        <w:t xml:space="preserve"> </w:t>
      </w:r>
      <w:r w:rsidRPr="0037157A">
        <w:rPr>
          <w:lang w:val="fr-FR"/>
        </w:rPr>
        <w:t>21 ci-dessus).</w:t>
      </w:r>
    </w:p>
    <w:p w14:paraId="37E4DD1D" w14:textId="3B59AC1D" w:rsidR="004471C3" w:rsidRPr="0037157A" w:rsidRDefault="002E0B8B" w:rsidP="009D535F">
      <w:pPr>
        <w:pStyle w:val="SingleTxt"/>
        <w:numPr>
          <w:ilvl w:val="0"/>
          <w:numId w:val="12"/>
        </w:numPr>
        <w:spacing w:line="240" w:lineRule="exact"/>
        <w:rPr>
          <w:lang w:val="fr-FR"/>
        </w:rPr>
      </w:pPr>
      <w:r w:rsidRPr="0037157A">
        <w:rPr>
          <w:lang w:val="fr-FR"/>
        </w:rPr>
        <w:t>Les mesures prises par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pour sensibiliser les employeurs comprennent</w:t>
      </w:r>
      <w:r w:rsidR="00CB2E84" w:rsidRPr="0037157A">
        <w:rPr>
          <w:lang w:val="fr-FR"/>
        </w:rPr>
        <w:t> </w:t>
      </w:r>
      <w:r w:rsidR="004471C3" w:rsidRPr="0037157A">
        <w:rPr>
          <w:lang w:val="fr-FR"/>
        </w:rPr>
        <w:t>:</w:t>
      </w:r>
      <w:r w:rsidRPr="0037157A">
        <w:rPr>
          <w:lang w:val="fr-FR"/>
        </w:rPr>
        <w:t xml:space="preserve"> la publication sur son site Web de résumés de ses décisions concluant à une violation du principe d</w:t>
      </w:r>
      <w:r w:rsidR="004471C3" w:rsidRPr="0037157A">
        <w:rPr>
          <w:lang w:val="fr-FR"/>
        </w:rPr>
        <w:t>’</w:t>
      </w:r>
      <w:r w:rsidRPr="0037157A">
        <w:rPr>
          <w:lang w:val="fr-FR"/>
        </w:rPr>
        <w:t>égalité de traitement et des affaires réglées, des campagnes de sensibilisation à toutes les formes de discrimination, ainsi que l</w:t>
      </w:r>
      <w:r w:rsidR="004471C3" w:rsidRPr="0037157A">
        <w:rPr>
          <w:lang w:val="fr-FR"/>
        </w:rPr>
        <w:t>’</w:t>
      </w:r>
      <w:r w:rsidRPr="0037157A">
        <w:rPr>
          <w:lang w:val="fr-FR"/>
        </w:rPr>
        <w:t>organisation dans le cadre des ententes conclues de cours de courte durée à l</w:t>
      </w:r>
      <w:r w:rsidR="004471C3" w:rsidRPr="0037157A">
        <w:rPr>
          <w:lang w:val="fr-FR"/>
        </w:rPr>
        <w:t>’</w:t>
      </w:r>
      <w:r w:rsidRPr="0037157A">
        <w:rPr>
          <w:lang w:val="fr-FR"/>
        </w:rPr>
        <w:t>intention du personnel des employeurs contre lesquels des plaintes avaient été déposées. L</w:t>
      </w:r>
      <w:r w:rsidR="004471C3" w:rsidRPr="0037157A">
        <w:rPr>
          <w:lang w:val="fr-FR"/>
        </w:rPr>
        <w:t>’</w:t>
      </w:r>
      <w:r w:rsidRPr="0037157A">
        <w:rPr>
          <w:lang w:val="fr-FR"/>
        </w:rPr>
        <w:t>Autorité a également commandé des recherches sur la perception de la discrimination et publié les résultats sur ses sites Web.</w:t>
      </w:r>
    </w:p>
    <w:p w14:paraId="6DE77B49" w14:textId="0360E95A" w:rsidR="002E0B8B" w:rsidRPr="0037157A" w:rsidRDefault="002E0B8B" w:rsidP="009D535F">
      <w:pPr>
        <w:pStyle w:val="SingleTxt"/>
        <w:numPr>
          <w:ilvl w:val="0"/>
          <w:numId w:val="12"/>
        </w:numPr>
        <w:spacing w:line="240" w:lineRule="exact"/>
        <w:rPr>
          <w:lang w:val="fr-FR"/>
        </w:rPr>
      </w:pPr>
      <w:r w:rsidRPr="0037157A">
        <w:rPr>
          <w:lang w:val="fr-FR"/>
        </w:rPr>
        <w:t>L</w:t>
      </w:r>
      <w:r w:rsidR="004471C3" w:rsidRPr="0037157A">
        <w:rPr>
          <w:lang w:val="fr-FR"/>
        </w:rPr>
        <w:t>’</w:t>
      </w:r>
      <w:r w:rsidRPr="0037157A">
        <w:rPr>
          <w:lang w:val="fr-FR"/>
        </w:rPr>
        <w:t>Autorité n</w:t>
      </w:r>
      <w:r w:rsidR="004471C3" w:rsidRPr="0037157A">
        <w:rPr>
          <w:lang w:val="fr-FR"/>
        </w:rPr>
        <w:t>’</w:t>
      </w:r>
      <w:r w:rsidRPr="0037157A">
        <w:rPr>
          <w:lang w:val="fr-FR"/>
        </w:rPr>
        <w:t>a pas participé directement à l</w:t>
      </w:r>
      <w:r w:rsidR="004471C3" w:rsidRPr="0037157A">
        <w:rPr>
          <w:lang w:val="fr-FR"/>
        </w:rPr>
        <w:t>’</w:t>
      </w:r>
      <w:r w:rsidRPr="0037157A">
        <w:rPr>
          <w:lang w:val="fr-FR"/>
        </w:rPr>
        <w:t>élaboration de mécanismes d</w:t>
      </w:r>
      <w:r w:rsidR="004471C3" w:rsidRPr="0037157A">
        <w:rPr>
          <w:lang w:val="fr-FR"/>
        </w:rPr>
        <w:t>’</w:t>
      </w:r>
      <w:r w:rsidRPr="0037157A">
        <w:rPr>
          <w:lang w:val="fr-FR"/>
        </w:rPr>
        <w:t>évaluation des emplois. Elle a toutefois estimé dans les affaires d</w:t>
      </w:r>
      <w:r w:rsidR="004471C3" w:rsidRPr="0037157A">
        <w:rPr>
          <w:lang w:val="fr-FR"/>
        </w:rPr>
        <w:t>’</w:t>
      </w:r>
      <w:r w:rsidRPr="0037157A">
        <w:rPr>
          <w:lang w:val="fr-FR"/>
        </w:rPr>
        <w:t>égalité de rémunération que l</w:t>
      </w:r>
      <w:r w:rsidR="004471C3" w:rsidRPr="0037157A">
        <w:rPr>
          <w:lang w:val="fr-FR"/>
        </w:rPr>
        <w:t>’</w:t>
      </w:r>
      <w:r w:rsidRPr="0037157A">
        <w:rPr>
          <w:lang w:val="fr-FR"/>
        </w:rPr>
        <w:t>existence de systèmes objectifs d</w:t>
      </w:r>
      <w:r w:rsidR="004471C3" w:rsidRPr="0037157A">
        <w:rPr>
          <w:lang w:val="fr-FR"/>
        </w:rPr>
        <w:t>’</w:t>
      </w:r>
      <w:r w:rsidRPr="0037157A">
        <w:rPr>
          <w:lang w:val="fr-FR"/>
        </w:rPr>
        <w:t>évaluation des emplois dans la pratique des employeurs facilitait l</w:t>
      </w:r>
      <w:r w:rsidR="004471C3" w:rsidRPr="0037157A">
        <w:rPr>
          <w:lang w:val="fr-FR"/>
        </w:rPr>
        <w:t>’</w:t>
      </w:r>
      <w:r w:rsidRPr="0037157A">
        <w:rPr>
          <w:lang w:val="fr-FR"/>
        </w:rPr>
        <w:t>identification des employés se trouvant dans une situation comparable à celle du (de la) plaignant(e).</w:t>
      </w:r>
    </w:p>
    <w:p w14:paraId="64717FCD" w14:textId="20977A20" w:rsidR="002E0B8B" w:rsidRPr="0037157A" w:rsidRDefault="002E0B8B" w:rsidP="009D535F">
      <w:pPr>
        <w:pStyle w:val="SingleTxt"/>
        <w:numPr>
          <w:ilvl w:val="0"/>
          <w:numId w:val="12"/>
        </w:numPr>
        <w:spacing w:line="240" w:lineRule="exact"/>
        <w:rPr>
          <w:lang w:val="fr-FR"/>
        </w:rPr>
      </w:pPr>
      <w:r w:rsidRPr="0037157A">
        <w:rPr>
          <w:lang w:val="fr-FR"/>
        </w:rPr>
        <w:t>Le Code du travail hongrois autorise déjà divers types d</w:t>
      </w:r>
      <w:r w:rsidR="004471C3" w:rsidRPr="0037157A">
        <w:rPr>
          <w:lang w:val="fr-FR"/>
        </w:rPr>
        <w:t>’</w:t>
      </w:r>
      <w:r w:rsidRPr="0037157A">
        <w:rPr>
          <w:lang w:val="fr-FR"/>
        </w:rPr>
        <w:t>emplois atypiques (comme le partage de poste, le télétravail et le système de banque de temps). Le plan d</w:t>
      </w:r>
      <w:r w:rsidR="004471C3" w:rsidRPr="0037157A">
        <w:rPr>
          <w:lang w:val="fr-FR"/>
        </w:rPr>
        <w:t>’</w:t>
      </w:r>
      <w:r w:rsidRPr="0037157A">
        <w:rPr>
          <w:lang w:val="fr-FR"/>
        </w:rPr>
        <w:t>action</w:t>
      </w:r>
      <w:r w:rsidR="00CB2E84" w:rsidRPr="0037157A">
        <w:rPr>
          <w:lang w:val="fr-FR"/>
        </w:rPr>
        <w:t xml:space="preserve"> </w:t>
      </w:r>
      <w:r w:rsidRPr="0037157A">
        <w:rPr>
          <w:lang w:val="fr-FR"/>
        </w:rPr>
        <w:t>2021-2030 vise expressément à promouvoir les formes d</w:t>
      </w:r>
      <w:r w:rsidR="004471C3" w:rsidRPr="0037157A">
        <w:rPr>
          <w:lang w:val="fr-FR"/>
        </w:rPr>
        <w:t>’</w:t>
      </w:r>
      <w:r w:rsidRPr="0037157A">
        <w:rPr>
          <w:lang w:val="fr-FR"/>
        </w:rPr>
        <w:t>emploi atypiques, par exemple en élargissant l</w:t>
      </w:r>
      <w:r w:rsidR="004471C3" w:rsidRPr="0037157A">
        <w:rPr>
          <w:lang w:val="fr-FR"/>
        </w:rPr>
        <w:t>’</w:t>
      </w:r>
      <w:r w:rsidRPr="0037157A">
        <w:rPr>
          <w:lang w:val="fr-FR"/>
        </w:rPr>
        <w:t>appel d</w:t>
      </w:r>
      <w:r w:rsidR="004471C3" w:rsidRPr="0037157A">
        <w:rPr>
          <w:lang w:val="fr-FR"/>
        </w:rPr>
        <w:t>’</w:t>
      </w:r>
      <w:r w:rsidRPr="0037157A">
        <w:rPr>
          <w:lang w:val="fr-FR"/>
        </w:rPr>
        <w:t>offres annuel visant à offrir un soutien financier non remboursable aux entreprises tant publiques que privées qui adoptent des mesures favorables à la famille.</w:t>
      </w:r>
    </w:p>
    <w:p w14:paraId="7140C50B" w14:textId="1C0F6547" w:rsidR="002E0B8B" w:rsidRPr="0037157A" w:rsidRDefault="002E0B8B" w:rsidP="009D535F">
      <w:pPr>
        <w:pStyle w:val="SingleTxt"/>
        <w:numPr>
          <w:ilvl w:val="0"/>
          <w:numId w:val="12"/>
        </w:numPr>
        <w:spacing w:line="240" w:lineRule="exact"/>
        <w:rPr>
          <w:lang w:val="fr-FR"/>
        </w:rPr>
      </w:pPr>
      <w:r w:rsidRPr="0037157A">
        <w:rPr>
          <w:lang w:val="fr-FR"/>
        </w:rPr>
        <w:t>Le Code du travail hongrois prévoit un congé payé supplémentaire pour les deux parents chaque année, ainsi qu</w:t>
      </w:r>
      <w:r w:rsidR="004471C3" w:rsidRPr="0037157A">
        <w:rPr>
          <w:lang w:val="fr-FR"/>
        </w:rPr>
        <w:t>’</w:t>
      </w:r>
      <w:r w:rsidRPr="0037157A">
        <w:rPr>
          <w:lang w:val="fr-FR"/>
        </w:rPr>
        <w:t>un congé de paternité rémunéré à la naissance d</w:t>
      </w:r>
      <w:r w:rsidR="004471C3" w:rsidRPr="0037157A">
        <w:rPr>
          <w:lang w:val="fr-FR"/>
        </w:rPr>
        <w:t>’</w:t>
      </w:r>
      <w:r w:rsidRPr="0037157A">
        <w:rPr>
          <w:lang w:val="fr-FR"/>
        </w:rPr>
        <w:t>un enfant. Les dispositions relatives au congé de paternité et au congé parental seront modifiées en raison de la transposition dans la législation nationale de la Directive 2019/1158 du Parlement européen et du Conseil concernant l</w:t>
      </w:r>
      <w:r w:rsidR="004471C3" w:rsidRPr="0037157A">
        <w:rPr>
          <w:lang w:val="fr-FR"/>
        </w:rPr>
        <w:t>’</w:t>
      </w:r>
      <w:r w:rsidRPr="0037157A">
        <w:rPr>
          <w:lang w:val="fr-FR"/>
        </w:rPr>
        <w:t>équilibre entre vie professionnelle et vie privée des parents et des aidants. La date limite pour la première étape de la transposition est le 2</w:t>
      </w:r>
      <w:r w:rsidR="00CB2E84" w:rsidRPr="0037157A">
        <w:rPr>
          <w:lang w:val="fr-FR"/>
        </w:rPr>
        <w:t xml:space="preserve"> </w:t>
      </w:r>
      <w:r w:rsidRPr="0037157A">
        <w:rPr>
          <w:lang w:val="fr-FR"/>
        </w:rPr>
        <w:t>août</w:t>
      </w:r>
      <w:r w:rsidR="00CB2E84" w:rsidRPr="0037157A">
        <w:rPr>
          <w:lang w:val="fr-FR"/>
        </w:rPr>
        <w:t xml:space="preserve"> </w:t>
      </w:r>
      <w:r w:rsidRPr="0037157A">
        <w:rPr>
          <w:lang w:val="fr-FR"/>
        </w:rPr>
        <w:t>2022.</w:t>
      </w:r>
    </w:p>
    <w:p w14:paraId="5CD43493" w14:textId="3ED9CF4C" w:rsidR="002E0B8B" w:rsidRPr="0037157A" w:rsidRDefault="002E0B8B" w:rsidP="009D535F">
      <w:pPr>
        <w:pStyle w:val="SingleTxt"/>
        <w:numPr>
          <w:ilvl w:val="0"/>
          <w:numId w:val="12"/>
        </w:numPr>
        <w:spacing w:line="240" w:lineRule="exact"/>
        <w:rPr>
          <w:lang w:val="fr-FR"/>
        </w:rPr>
      </w:pPr>
      <w:r w:rsidRPr="0037157A">
        <w:rPr>
          <w:lang w:val="fr-FR"/>
        </w:rPr>
        <w:t>Avant la pandémie de 2020, l</w:t>
      </w:r>
      <w:r w:rsidR="004471C3" w:rsidRPr="0037157A">
        <w:rPr>
          <w:lang w:val="fr-FR"/>
        </w:rPr>
        <w:t>’</w:t>
      </w:r>
      <w:r w:rsidRPr="0037157A">
        <w:rPr>
          <w:lang w:val="fr-FR"/>
        </w:rPr>
        <w:t>emploi des femmes connaissait une amélioration régulière. Entre 2010 et 2019, le nombre de femmes employées a augmenté de 15</w:t>
      </w:r>
      <w:r w:rsidR="004471C3" w:rsidRPr="0037157A">
        <w:rPr>
          <w:lang w:val="fr-FR"/>
        </w:rPr>
        <w:t> %</w:t>
      </w:r>
      <w:r w:rsidRPr="0037157A">
        <w:rPr>
          <w:lang w:val="fr-FR"/>
        </w:rPr>
        <w:t> et le taux de chômage des femmes est passé de 10</w:t>
      </w:r>
      <w:r w:rsidR="004471C3" w:rsidRPr="0037157A">
        <w:rPr>
          <w:lang w:val="fr-FR"/>
        </w:rPr>
        <w:t> %</w:t>
      </w:r>
      <w:r w:rsidRPr="0037157A">
        <w:rPr>
          <w:lang w:val="fr-FR"/>
        </w:rPr>
        <w:t xml:space="preserve"> à 3,3</w:t>
      </w:r>
      <w:r w:rsidR="004471C3" w:rsidRPr="0037157A">
        <w:rPr>
          <w:lang w:val="fr-FR"/>
        </w:rPr>
        <w:t> %</w:t>
      </w:r>
      <w:r w:rsidRPr="0037157A">
        <w:rPr>
          <w:lang w:val="fr-FR"/>
        </w:rPr>
        <w:t xml:space="preserve"> (un record historique depuis le changement de régime). Cette tendance a été rompue par la pandémie qui a frappé de plein fouet les secteurs dans lesquels les femmes étaient fréquemment employées. Si le taux d</w:t>
      </w:r>
      <w:r w:rsidR="004471C3" w:rsidRPr="0037157A">
        <w:rPr>
          <w:lang w:val="fr-FR"/>
        </w:rPr>
        <w:t>’</w:t>
      </w:r>
      <w:r w:rsidRPr="0037157A">
        <w:rPr>
          <w:lang w:val="fr-FR"/>
        </w:rPr>
        <w:t>emploi des femmes a diminué de 2</w:t>
      </w:r>
      <w:r w:rsidR="004471C3" w:rsidRPr="0037157A">
        <w:rPr>
          <w:lang w:val="fr-FR"/>
        </w:rPr>
        <w:t> %</w:t>
      </w:r>
      <w:r w:rsidRPr="0037157A">
        <w:rPr>
          <w:lang w:val="fr-FR"/>
        </w:rPr>
        <w:t>, on estime toutefois que cette chute indique une période exceptionnelle, plutôt qu</w:t>
      </w:r>
      <w:r w:rsidR="004471C3" w:rsidRPr="0037157A">
        <w:rPr>
          <w:lang w:val="fr-FR"/>
        </w:rPr>
        <w:t>’</w:t>
      </w:r>
      <w:r w:rsidRPr="0037157A">
        <w:rPr>
          <w:lang w:val="fr-FR"/>
        </w:rPr>
        <w:t>un changement de tendance. Comme en témoigne son plan d</w:t>
      </w:r>
      <w:r w:rsidR="004471C3" w:rsidRPr="0037157A">
        <w:rPr>
          <w:lang w:val="fr-FR"/>
        </w:rPr>
        <w:t>’</w:t>
      </w:r>
      <w:r w:rsidRPr="0037157A">
        <w:rPr>
          <w:lang w:val="fr-FR"/>
        </w:rPr>
        <w:t>action pour la protection de l</w:t>
      </w:r>
      <w:r w:rsidR="004471C3" w:rsidRPr="0037157A">
        <w:rPr>
          <w:lang w:val="fr-FR"/>
        </w:rPr>
        <w:t>’</w:t>
      </w:r>
      <w:r w:rsidRPr="0037157A">
        <w:rPr>
          <w:lang w:val="fr-FR"/>
        </w:rPr>
        <w:t>économie, le Gouvernement hongrois soutient vigoureusement la reprise après la crise de COVID-19.</w:t>
      </w:r>
    </w:p>
    <w:p w14:paraId="7FA110BD" w14:textId="0A91F04A" w:rsidR="002E0B8B" w:rsidRPr="0037157A" w:rsidRDefault="002E0B8B" w:rsidP="00CB2E84">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3</w:t>
      </w:r>
    </w:p>
    <w:p w14:paraId="610C307F" w14:textId="2160F878" w:rsidR="002E0B8B" w:rsidRPr="0037157A" w:rsidRDefault="002275F8" w:rsidP="00CB2E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r>
      <w:r w:rsidR="002E0B8B" w:rsidRPr="0037157A">
        <w:rPr>
          <w:lang w:val="fr-FR"/>
        </w:rPr>
        <w:t>Données sur l</w:t>
      </w:r>
      <w:r w:rsidR="004471C3" w:rsidRPr="0037157A">
        <w:rPr>
          <w:lang w:val="fr-FR"/>
        </w:rPr>
        <w:t>’</w:t>
      </w:r>
      <w:r w:rsidR="002E0B8B" w:rsidRPr="0037157A">
        <w:rPr>
          <w:lang w:val="fr-FR"/>
        </w:rPr>
        <w:t>emploi des femmes</w:t>
      </w:r>
      <w:r w:rsidR="007F3F16" w:rsidRPr="007F3F16">
        <w:rPr>
          <w:noProof/>
          <w:w w:val="100"/>
          <w:lang w:val="fr-FR"/>
        </w:rPr>
        <w:t xml:space="preserve"> </w:t>
      </w:r>
    </w:p>
    <w:p w14:paraId="4188DBBE" w14:textId="77C5D781" w:rsidR="002275F8" w:rsidRPr="0037157A" w:rsidRDefault="002275F8" w:rsidP="00CB2E84">
      <w:pPr>
        <w:pStyle w:val="SingleTxt"/>
        <w:keepNext/>
        <w:keepLines/>
        <w:spacing w:after="0" w:line="120" w:lineRule="exact"/>
        <w:rPr>
          <w:sz w:val="10"/>
          <w:lang w:val="fr-FR"/>
        </w:rPr>
      </w:pPr>
    </w:p>
    <w:p w14:paraId="0D607D27" w14:textId="57853FB8" w:rsidR="002275F8" w:rsidRPr="0037157A" w:rsidRDefault="002275F8" w:rsidP="00CB2E84">
      <w:pPr>
        <w:pStyle w:val="SingleTxt"/>
        <w:keepNext/>
        <w:keepLines/>
        <w:spacing w:after="0" w:line="120" w:lineRule="exact"/>
        <w:rPr>
          <w:sz w:val="10"/>
          <w:lang w:val="fr-FR"/>
        </w:rPr>
      </w:pPr>
    </w:p>
    <w:p w14:paraId="326C85A8" w14:textId="6BFAF836" w:rsidR="002275F8" w:rsidRPr="0037157A" w:rsidRDefault="002275F8" w:rsidP="00CB2E84">
      <w:pPr>
        <w:pStyle w:val="SingleTxt"/>
        <w:keepNext/>
        <w:keepLines/>
        <w:spacing w:after="0" w:line="240" w:lineRule="auto"/>
        <w:rPr>
          <w:lang w:val="fr-FR"/>
        </w:rPr>
      </w:pPr>
      <w:r w:rsidRPr="0037157A">
        <w:rPr>
          <w:noProof/>
          <w:lang w:val="fr-FR"/>
        </w:rPr>
        <w:drawing>
          <wp:inline distT="0" distB="0" distL="0" distR="0" wp14:anchorId="6CDE80DC" wp14:editId="302EC11A">
            <wp:extent cx="4773246" cy="314692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2109" b="4718"/>
                    <a:stretch/>
                  </pic:blipFill>
                  <pic:spPr bwMode="auto">
                    <a:xfrm>
                      <a:off x="0" y="0"/>
                      <a:ext cx="4773246" cy="3146928"/>
                    </a:xfrm>
                    <a:prstGeom prst="rect">
                      <a:avLst/>
                    </a:prstGeom>
                    <a:noFill/>
                    <a:ln>
                      <a:noFill/>
                    </a:ln>
                    <a:extLst>
                      <a:ext uri="{53640926-AAD7-44D8-BBD7-CCE9431645EC}">
                        <a14:shadowObscured xmlns:a14="http://schemas.microsoft.com/office/drawing/2010/main"/>
                      </a:ext>
                    </a:extLst>
                  </pic:spPr>
                </pic:pic>
              </a:graphicData>
            </a:graphic>
          </wp:inline>
        </w:drawing>
      </w:r>
    </w:p>
    <w:p w14:paraId="7D9117B0" w14:textId="0BA0610C" w:rsidR="002275F8" w:rsidRPr="0037157A" w:rsidRDefault="002275F8" w:rsidP="00CB2E84">
      <w:pPr>
        <w:pStyle w:val="SingleTxt"/>
        <w:keepNext/>
        <w:keepLines/>
        <w:spacing w:after="0" w:line="120" w:lineRule="exact"/>
        <w:rPr>
          <w:sz w:val="10"/>
          <w:lang w:val="fr-FR"/>
        </w:rPr>
      </w:pPr>
    </w:p>
    <w:p w14:paraId="22B7CCF2" w14:textId="003E339D" w:rsidR="002275F8" w:rsidRPr="0037157A" w:rsidRDefault="002275F8" w:rsidP="002275F8">
      <w:pPr>
        <w:pStyle w:val="SingleTxt"/>
        <w:spacing w:after="0" w:line="120" w:lineRule="exact"/>
        <w:rPr>
          <w:sz w:val="10"/>
          <w:lang w:val="fr-FR"/>
        </w:rPr>
      </w:pPr>
    </w:p>
    <w:p w14:paraId="1AB120AF" w14:textId="77777777" w:rsidR="002275F8" w:rsidRPr="0037157A" w:rsidRDefault="002275F8" w:rsidP="009D535F">
      <w:pPr>
        <w:pStyle w:val="SingleTxt"/>
        <w:numPr>
          <w:ilvl w:val="0"/>
          <w:numId w:val="12"/>
        </w:numPr>
        <w:spacing w:line="240" w:lineRule="exact"/>
        <w:rPr>
          <w:lang w:val="fr-FR"/>
        </w:rPr>
      </w:pPr>
      <w:r w:rsidRPr="0037157A">
        <w:rPr>
          <w:lang w:val="fr-FR"/>
        </w:rPr>
        <w:t>Bien que leur part soit traditionnellement faible en Hongrie, on constate une augmentation continue du nombre de travailleurs à temps partiel.</w:t>
      </w:r>
    </w:p>
    <w:p w14:paraId="183F9598" w14:textId="77777777" w:rsidR="002275F8" w:rsidRPr="0037157A" w:rsidRDefault="002275F8" w:rsidP="002275F8">
      <w:pPr>
        <w:pStyle w:val="SingleTxtG"/>
        <w:tabs>
          <w:tab w:val="clear" w:pos="1701"/>
          <w:tab w:val="clear" w:pos="2268"/>
          <w:tab w:val="clear" w:pos="2835"/>
        </w:tabs>
        <w:kinsoku/>
        <w:overflowPunct/>
        <w:autoSpaceDE/>
        <w:autoSpaceDN/>
        <w:adjustRightInd/>
        <w:snapToGrid/>
        <w:spacing w:after="0"/>
        <w:rPr>
          <w:sz w:val="10"/>
          <w:szCs w:val="10"/>
          <w:lang w:val="fr-FR"/>
        </w:rPr>
      </w:pPr>
    </w:p>
    <w:p w14:paraId="5A5AAEA6" w14:textId="77777777" w:rsidR="002275F8" w:rsidRPr="0037157A" w:rsidRDefault="002275F8" w:rsidP="002275F8">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4</w:t>
      </w:r>
    </w:p>
    <w:p w14:paraId="63EB0C9D" w14:textId="220D2F93" w:rsidR="002275F8" w:rsidRPr="0037157A" w:rsidRDefault="002275F8" w:rsidP="002275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Données sur l</w:t>
      </w:r>
      <w:r w:rsidR="004471C3" w:rsidRPr="0037157A">
        <w:rPr>
          <w:lang w:val="fr-FR"/>
        </w:rPr>
        <w:t>’</w:t>
      </w:r>
      <w:r w:rsidRPr="0037157A">
        <w:rPr>
          <w:lang w:val="fr-FR"/>
        </w:rPr>
        <w:t>emploi à temps plein et à temps partiel des femmes</w:t>
      </w:r>
    </w:p>
    <w:p w14:paraId="4B4FDBF8" w14:textId="2FBBD6E8" w:rsidR="002275F8" w:rsidRPr="0037157A" w:rsidRDefault="002275F8" w:rsidP="002275F8">
      <w:pPr>
        <w:pStyle w:val="SingleTxt"/>
        <w:spacing w:after="0" w:line="120" w:lineRule="exact"/>
        <w:rPr>
          <w:sz w:val="10"/>
          <w:lang w:val="fr-FR"/>
        </w:rPr>
      </w:pPr>
    </w:p>
    <w:p w14:paraId="543051C7" w14:textId="5CBE34C7" w:rsidR="002275F8" w:rsidRPr="0037157A" w:rsidRDefault="002275F8" w:rsidP="002275F8">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150"/>
        <w:gridCol w:w="3630"/>
      </w:tblGrid>
      <w:tr w:rsidR="002275F8" w:rsidRPr="0037157A" w14:paraId="7C28C3B4" w14:textId="77777777" w:rsidTr="00B06C44">
        <w:trPr>
          <w:tblHeader/>
        </w:trPr>
        <w:tc>
          <w:tcPr>
            <w:tcW w:w="540" w:type="dxa"/>
            <w:tcBorders>
              <w:top w:val="single" w:sz="4" w:space="0" w:color="auto"/>
              <w:bottom w:val="single" w:sz="12" w:space="0" w:color="auto"/>
            </w:tcBorders>
            <w:shd w:val="clear" w:color="auto" w:fill="auto"/>
            <w:noWrap/>
            <w:vAlign w:val="bottom"/>
          </w:tcPr>
          <w:p w14:paraId="51B69960" w14:textId="77777777" w:rsidR="002275F8" w:rsidRPr="0037157A" w:rsidRDefault="002275F8" w:rsidP="002275F8">
            <w:pPr>
              <w:spacing w:before="81" w:after="81" w:line="160" w:lineRule="exact"/>
              <w:ind w:right="40"/>
              <w:rPr>
                <w:i/>
                <w:sz w:val="14"/>
                <w:lang w:val="fr-FR"/>
              </w:rPr>
            </w:pPr>
            <w:r w:rsidRPr="0037157A">
              <w:rPr>
                <w:i/>
                <w:sz w:val="14"/>
                <w:lang w:val="fr-FR"/>
              </w:rPr>
              <w:t>Année</w:t>
            </w:r>
          </w:p>
        </w:tc>
        <w:tc>
          <w:tcPr>
            <w:tcW w:w="3150" w:type="dxa"/>
            <w:tcBorders>
              <w:top w:val="single" w:sz="4" w:space="0" w:color="auto"/>
              <w:bottom w:val="single" w:sz="12" w:space="0" w:color="auto"/>
            </w:tcBorders>
            <w:shd w:val="clear" w:color="auto" w:fill="auto"/>
            <w:noWrap/>
            <w:vAlign w:val="bottom"/>
          </w:tcPr>
          <w:p w14:paraId="6526E15F" w14:textId="7535C1FB" w:rsidR="002275F8" w:rsidRPr="0037157A" w:rsidRDefault="002275F8" w:rsidP="002275F8">
            <w:pPr>
              <w:spacing w:before="81" w:after="81" w:line="160" w:lineRule="exact"/>
              <w:ind w:right="43"/>
              <w:jc w:val="right"/>
              <w:rPr>
                <w:i/>
                <w:sz w:val="14"/>
                <w:lang w:val="fr-FR"/>
              </w:rPr>
            </w:pPr>
            <w:r w:rsidRPr="0037157A">
              <w:rPr>
                <w:i/>
                <w:sz w:val="14"/>
                <w:lang w:val="fr-FR"/>
              </w:rPr>
              <w:t>Femmes employées à temps partiel,</w:t>
            </w:r>
            <w:r w:rsidRPr="0037157A">
              <w:rPr>
                <w:i/>
                <w:sz w:val="14"/>
                <w:lang w:val="fr-FR"/>
              </w:rPr>
              <w:br/>
              <w:t>en milliers</w:t>
            </w:r>
          </w:p>
        </w:tc>
        <w:tc>
          <w:tcPr>
            <w:tcW w:w="3630" w:type="dxa"/>
            <w:tcBorders>
              <w:top w:val="single" w:sz="4" w:space="0" w:color="auto"/>
              <w:bottom w:val="single" w:sz="12" w:space="0" w:color="auto"/>
            </w:tcBorders>
            <w:shd w:val="clear" w:color="auto" w:fill="auto"/>
            <w:noWrap/>
            <w:vAlign w:val="bottom"/>
          </w:tcPr>
          <w:p w14:paraId="1FA0F020" w14:textId="22A00B29" w:rsidR="002275F8" w:rsidRPr="0037157A" w:rsidRDefault="002275F8" w:rsidP="002275F8">
            <w:pPr>
              <w:spacing w:before="81" w:after="81" w:line="160" w:lineRule="exact"/>
              <w:ind w:right="43"/>
              <w:jc w:val="right"/>
              <w:rPr>
                <w:i/>
                <w:sz w:val="14"/>
                <w:lang w:val="fr-FR"/>
              </w:rPr>
            </w:pPr>
            <w:r w:rsidRPr="0037157A">
              <w:rPr>
                <w:i/>
                <w:sz w:val="14"/>
                <w:lang w:val="fr-FR"/>
              </w:rPr>
              <w:t>Taux de femmes occupant un emploi</w:t>
            </w:r>
            <w:r w:rsidRPr="0037157A">
              <w:rPr>
                <w:i/>
                <w:sz w:val="14"/>
                <w:lang w:val="fr-FR"/>
              </w:rPr>
              <w:br/>
              <w:t xml:space="preserve"> à temps partiel, en</w:t>
            </w:r>
            <w:r w:rsidR="004471C3" w:rsidRPr="0037157A">
              <w:rPr>
                <w:i/>
                <w:sz w:val="14"/>
                <w:lang w:val="fr-FR"/>
              </w:rPr>
              <w:t> %</w:t>
            </w:r>
          </w:p>
        </w:tc>
      </w:tr>
      <w:tr w:rsidR="002275F8" w:rsidRPr="0037157A" w14:paraId="557ADE8C" w14:textId="77777777" w:rsidTr="00B06C44">
        <w:trPr>
          <w:trHeight w:hRule="exact" w:val="115"/>
          <w:tblHeader/>
        </w:trPr>
        <w:tc>
          <w:tcPr>
            <w:tcW w:w="540" w:type="dxa"/>
            <w:tcBorders>
              <w:top w:val="single" w:sz="12" w:space="0" w:color="auto"/>
            </w:tcBorders>
            <w:shd w:val="clear" w:color="auto" w:fill="auto"/>
            <w:noWrap/>
            <w:vAlign w:val="bottom"/>
          </w:tcPr>
          <w:p w14:paraId="2EB15F0B" w14:textId="77777777" w:rsidR="002275F8" w:rsidRPr="0037157A" w:rsidRDefault="002275F8" w:rsidP="002275F8">
            <w:pPr>
              <w:spacing w:before="40" w:after="40" w:line="210" w:lineRule="exact"/>
              <w:ind w:right="40"/>
              <w:rPr>
                <w:sz w:val="17"/>
                <w:lang w:val="fr-FR"/>
              </w:rPr>
            </w:pPr>
          </w:p>
        </w:tc>
        <w:tc>
          <w:tcPr>
            <w:tcW w:w="3150" w:type="dxa"/>
            <w:tcBorders>
              <w:top w:val="single" w:sz="12" w:space="0" w:color="auto"/>
            </w:tcBorders>
            <w:shd w:val="clear" w:color="auto" w:fill="auto"/>
            <w:noWrap/>
            <w:vAlign w:val="bottom"/>
          </w:tcPr>
          <w:p w14:paraId="6597F3FF" w14:textId="77777777" w:rsidR="002275F8" w:rsidRPr="0037157A" w:rsidRDefault="002275F8" w:rsidP="002275F8">
            <w:pPr>
              <w:spacing w:before="40" w:after="40" w:line="210" w:lineRule="exact"/>
              <w:ind w:right="43"/>
              <w:jc w:val="right"/>
              <w:rPr>
                <w:sz w:val="17"/>
                <w:lang w:val="fr-FR"/>
              </w:rPr>
            </w:pPr>
          </w:p>
        </w:tc>
        <w:tc>
          <w:tcPr>
            <w:tcW w:w="3630" w:type="dxa"/>
            <w:tcBorders>
              <w:top w:val="single" w:sz="12" w:space="0" w:color="auto"/>
            </w:tcBorders>
            <w:shd w:val="clear" w:color="auto" w:fill="auto"/>
            <w:noWrap/>
            <w:vAlign w:val="bottom"/>
          </w:tcPr>
          <w:p w14:paraId="11787706" w14:textId="77777777" w:rsidR="002275F8" w:rsidRPr="0037157A" w:rsidRDefault="002275F8" w:rsidP="002275F8">
            <w:pPr>
              <w:spacing w:before="40" w:after="40" w:line="210" w:lineRule="exact"/>
              <w:ind w:right="43"/>
              <w:jc w:val="right"/>
              <w:rPr>
                <w:sz w:val="17"/>
                <w:lang w:val="fr-FR"/>
              </w:rPr>
            </w:pPr>
          </w:p>
        </w:tc>
      </w:tr>
      <w:tr w:rsidR="002275F8" w:rsidRPr="0037157A" w14:paraId="494C7D4A" w14:textId="77777777" w:rsidTr="00B06C44">
        <w:tc>
          <w:tcPr>
            <w:tcW w:w="540" w:type="dxa"/>
            <w:shd w:val="clear" w:color="auto" w:fill="auto"/>
            <w:noWrap/>
            <w:vAlign w:val="bottom"/>
          </w:tcPr>
          <w:p w14:paraId="42E8C68D" w14:textId="77777777"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2018</w:t>
            </w:r>
          </w:p>
        </w:tc>
        <w:tc>
          <w:tcPr>
            <w:tcW w:w="3150" w:type="dxa"/>
            <w:shd w:val="clear" w:color="auto" w:fill="auto"/>
            <w:noWrap/>
            <w:vAlign w:val="bottom"/>
          </w:tcPr>
          <w:p w14:paraId="7715FA4B"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139,6</w:t>
            </w:r>
          </w:p>
        </w:tc>
        <w:tc>
          <w:tcPr>
            <w:tcW w:w="3630" w:type="dxa"/>
            <w:shd w:val="clear" w:color="auto" w:fill="auto"/>
            <w:noWrap/>
            <w:vAlign w:val="bottom"/>
          </w:tcPr>
          <w:p w14:paraId="212FFEBE"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6,9</w:t>
            </w:r>
          </w:p>
        </w:tc>
      </w:tr>
      <w:tr w:rsidR="002275F8" w:rsidRPr="0037157A" w14:paraId="04486E56" w14:textId="77777777" w:rsidTr="00B06C44">
        <w:tc>
          <w:tcPr>
            <w:tcW w:w="540" w:type="dxa"/>
            <w:shd w:val="clear" w:color="auto" w:fill="auto"/>
            <w:noWrap/>
            <w:vAlign w:val="bottom"/>
          </w:tcPr>
          <w:p w14:paraId="166F578D" w14:textId="77777777"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2019</w:t>
            </w:r>
          </w:p>
        </w:tc>
        <w:tc>
          <w:tcPr>
            <w:tcW w:w="3150" w:type="dxa"/>
            <w:shd w:val="clear" w:color="auto" w:fill="auto"/>
            <w:noWrap/>
            <w:vAlign w:val="bottom"/>
          </w:tcPr>
          <w:p w14:paraId="487E83A1"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152,8</w:t>
            </w:r>
          </w:p>
        </w:tc>
        <w:tc>
          <w:tcPr>
            <w:tcW w:w="3630" w:type="dxa"/>
            <w:shd w:val="clear" w:color="auto" w:fill="auto"/>
            <w:noWrap/>
            <w:vAlign w:val="bottom"/>
          </w:tcPr>
          <w:p w14:paraId="388C954D"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7,5</w:t>
            </w:r>
          </w:p>
        </w:tc>
      </w:tr>
      <w:tr w:rsidR="002275F8" w:rsidRPr="0037157A" w14:paraId="0A7C09D1" w14:textId="77777777" w:rsidTr="00B06C44">
        <w:tc>
          <w:tcPr>
            <w:tcW w:w="540" w:type="dxa"/>
            <w:tcBorders>
              <w:bottom w:val="single" w:sz="12" w:space="0" w:color="auto"/>
            </w:tcBorders>
            <w:shd w:val="clear" w:color="auto" w:fill="auto"/>
            <w:noWrap/>
            <w:vAlign w:val="bottom"/>
          </w:tcPr>
          <w:p w14:paraId="69BD9808" w14:textId="77777777" w:rsidR="002275F8" w:rsidRPr="0037157A" w:rsidRDefault="002275F8" w:rsidP="002275F8">
            <w:pPr>
              <w:tabs>
                <w:tab w:val="left" w:pos="288"/>
                <w:tab w:val="left" w:pos="576"/>
                <w:tab w:val="left" w:pos="864"/>
                <w:tab w:val="left" w:pos="1152"/>
              </w:tabs>
              <w:spacing w:before="40" w:after="40" w:line="210" w:lineRule="exact"/>
              <w:ind w:right="40"/>
              <w:rPr>
                <w:sz w:val="17"/>
                <w:lang w:val="fr-FR"/>
              </w:rPr>
            </w:pPr>
            <w:r w:rsidRPr="0037157A">
              <w:rPr>
                <w:sz w:val="17"/>
                <w:lang w:val="fr-FR"/>
              </w:rPr>
              <w:t>2020</w:t>
            </w:r>
          </w:p>
        </w:tc>
        <w:tc>
          <w:tcPr>
            <w:tcW w:w="3150" w:type="dxa"/>
            <w:tcBorders>
              <w:bottom w:val="single" w:sz="12" w:space="0" w:color="auto"/>
            </w:tcBorders>
            <w:shd w:val="clear" w:color="auto" w:fill="auto"/>
            <w:noWrap/>
            <w:vAlign w:val="bottom"/>
          </w:tcPr>
          <w:p w14:paraId="297E4CFD"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164,7</w:t>
            </w:r>
          </w:p>
        </w:tc>
        <w:tc>
          <w:tcPr>
            <w:tcW w:w="3630" w:type="dxa"/>
            <w:tcBorders>
              <w:bottom w:val="single" w:sz="12" w:space="0" w:color="auto"/>
            </w:tcBorders>
            <w:shd w:val="clear" w:color="auto" w:fill="auto"/>
            <w:noWrap/>
            <w:vAlign w:val="bottom"/>
          </w:tcPr>
          <w:p w14:paraId="6D5C56D5" w14:textId="77777777" w:rsidR="002275F8" w:rsidRPr="0037157A" w:rsidRDefault="002275F8" w:rsidP="002275F8">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8,2</w:t>
            </w:r>
          </w:p>
        </w:tc>
      </w:tr>
    </w:tbl>
    <w:p w14:paraId="539141B5" w14:textId="68B41A26" w:rsidR="002275F8" w:rsidRPr="0037157A" w:rsidRDefault="002275F8" w:rsidP="002275F8">
      <w:pPr>
        <w:pStyle w:val="SingleTxt"/>
        <w:spacing w:after="0" w:line="120" w:lineRule="exact"/>
        <w:rPr>
          <w:sz w:val="10"/>
          <w:lang w:val="fr-FR"/>
        </w:rPr>
      </w:pPr>
    </w:p>
    <w:p w14:paraId="3ADD40D5" w14:textId="77777777" w:rsidR="004471C3" w:rsidRPr="0037157A" w:rsidRDefault="002275F8" w:rsidP="002275F8">
      <w:pPr>
        <w:pStyle w:val="FootnoteText"/>
        <w:tabs>
          <w:tab w:val="right" w:pos="1476"/>
          <w:tab w:val="left" w:pos="1548"/>
          <w:tab w:val="right" w:pos="1836"/>
          <w:tab w:val="left" w:pos="1908"/>
        </w:tabs>
        <w:ind w:left="1548" w:right="1267" w:hanging="288"/>
        <w:rPr>
          <w:lang w:val="fr-FR"/>
        </w:rPr>
      </w:pPr>
      <w:r w:rsidRPr="0037157A">
        <w:rPr>
          <w:i/>
          <w:iCs/>
          <w:lang w:val="fr-FR"/>
        </w:rPr>
        <w:t>Source</w:t>
      </w:r>
      <w:r w:rsidR="004471C3" w:rsidRPr="0037157A">
        <w:rPr>
          <w:lang w:val="fr-FR"/>
        </w:rPr>
        <w:t> :</w:t>
      </w:r>
      <w:r w:rsidRPr="0037157A">
        <w:rPr>
          <w:lang w:val="fr-FR"/>
        </w:rPr>
        <w:t xml:space="preserve"> Office central des statistiques hongrois</w:t>
      </w:r>
    </w:p>
    <w:p w14:paraId="44C7076E" w14:textId="62037CF2" w:rsidR="002275F8" w:rsidRPr="0037157A" w:rsidRDefault="002275F8" w:rsidP="002275F8">
      <w:pPr>
        <w:pStyle w:val="SingleTxt"/>
        <w:spacing w:after="0" w:line="120" w:lineRule="exact"/>
        <w:rPr>
          <w:sz w:val="10"/>
          <w:lang w:val="fr-FR"/>
        </w:rPr>
      </w:pPr>
    </w:p>
    <w:p w14:paraId="30ABD20F" w14:textId="4AA64BC3" w:rsidR="002275F8" w:rsidRPr="0037157A" w:rsidRDefault="002275F8" w:rsidP="002275F8">
      <w:pPr>
        <w:pStyle w:val="SingleTxt"/>
        <w:spacing w:after="0" w:line="120" w:lineRule="exact"/>
        <w:rPr>
          <w:sz w:val="10"/>
          <w:lang w:val="fr-FR"/>
        </w:rPr>
      </w:pPr>
    </w:p>
    <w:p w14:paraId="2274D018" w14:textId="1D3E23C6" w:rsidR="002275F8" w:rsidRPr="0037157A" w:rsidRDefault="002275F8" w:rsidP="009D535F">
      <w:pPr>
        <w:pStyle w:val="SingleTxt"/>
        <w:numPr>
          <w:ilvl w:val="0"/>
          <w:numId w:val="12"/>
        </w:numPr>
        <w:spacing w:line="240" w:lineRule="exact"/>
        <w:rPr>
          <w:lang w:val="fr-FR"/>
        </w:rPr>
      </w:pPr>
      <w:r w:rsidRPr="0037157A">
        <w:rPr>
          <w:lang w:val="fr-FR"/>
        </w:rPr>
        <w:t>Bien que le taux d</w:t>
      </w:r>
      <w:r w:rsidR="004471C3" w:rsidRPr="0037157A">
        <w:rPr>
          <w:lang w:val="fr-FR"/>
        </w:rPr>
        <w:t>’</w:t>
      </w:r>
      <w:r w:rsidRPr="0037157A">
        <w:rPr>
          <w:lang w:val="fr-FR"/>
        </w:rPr>
        <w:t>activité des personnes handicapées soit nettement inférieur à celui de la population totale, leur situation au regard l</w:t>
      </w:r>
      <w:r w:rsidR="004471C3" w:rsidRPr="0037157A">
        <w:rPr>
          <w:lang w:val="fr-FR"/>
        </w:rPr>
        <w:t>’</w:t>
      </w:r>
      <w:r w:rsidRPr="0037157A">
        <w:rPr>
          <w:lang w:val="fr-FR"/>
        </w:rPr>
        <w:t>emploi s</w:t>
      </w:r>
      <w:r w:rsidR="004471C3" w:rsidRPr="0037157A">
        <w:rPr>
          <w:lang w:val="fr-FR"/>
        </w:rPr>
        <w:t>’</w:t>
      </w:r>
      <w:r w:rsidRPr="0037157A">
        <w:rPr>
          <w:lang w:val="fr-FR"/>
        </w:rPr>
        <w:t>est améliorée au cours de ces dernières années.</w:t>
      </w:r>
    </w:p>
    <w:p w14:paraId="765FE6FB" w14:textId="77777777" w:rsidR="002275F8" w:rsidRPr="0037157A" w:rsidRDefault="002275F8" w:rsidP="002275F8">
      <w:pPr>
        <w:pStyle w:val="SingleTxtG"/>
        <w:tabs>
          <w:tab w:val="clear" w:pos="1701"/>
          <w:tab w:val="clear" w:pos="2268"/>
          <w:tab w:val="clear" w:pos="2835"/>
        </w:tabs>
        <w:kinsoku/>
        <w:overflowPunct/>
        <w:autoSpaceDE/>
        <w:autoSpaceDN/>
        <w:adjustRightInd/>
        <w:snapToGrid/>
        <w:spacing w:after="0"/>
        <w:rPr>
          <w:sz w:val="10"/>
          <w:szCs w:val="10"/>
          <w:lang w:val="fr-FR"/>
        </w:rPr>
      </w:pPr>
    </w:p>
    <w:p w14:paraId="582D2936" w14:textId="77777777" w:rsidR="002275F8" w:rsidRPr="0037157A" w:rsidRDefault="002275F8" w:rsidP="00B06C44">
      <w:pPr>
        <w:pStyle w:val="H56"/>
        <w:keepLines w:val="0"/>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5</w:t>
      </w:r>
    </w:p>
    <w:p w14:paraId="5792EA89" w14:textId="67C47DB1" w:rsidR="002275F8" w:rsidRPr="0037157A" w:rsidRDefault="002275F8" w:rsidP="00B06C4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Données sur la situation des femmes handicapées âgées de 19 à 64 ans </w:t>
      </w:r>
      <w:r w:rsidR="00047FA3">
        <w:rPr>
          <w:lang w:val="fr-FR"/>
        </w:rPr>
        <w:br/>
      </w:r>
      <w:r w:rsidRPr="0037157A">
        <w:rPr>
          <w:lang w:val="fr-FR"/>
        </w:rPr>
        <w:t>au regard de l</w:t>
      </w:r>
      <w:r w:rsidR="004471C3" w:rsidRPr="0037157A">
        <w:rPr>
          <w:lang w:val="fr-FR"/>
        </w:rPr>
        <w:t>’</w:t>
      </w:r>
      <w:r w:rsidRPr="0037157A">
        <w:rPr>
          <w:lang w:val="fr-FR"/>
        </w:rPr>
        <w:t>emploi</w:t>
      </w:r>
    </w:p>
    <w:p w14:paraId="3A3C7584" w14:textId="6115FA3F" w:rsidR="002275F8" w:rsidRPr="0037157A" w:rsidRDefault="002275F8" w:rsidP="00B06C44">
      <w:pPr>
        <w:pStyle w:val="SingleTxt"/>
        <w:keepNext/>
        <w:spacing w:after="0" w:line="120" w:lineRule="exact"/>
        <w:rPr>
          <w:sz w:val="10"/>
          <w:lang w:val="fr-FR"/>
        </w:rPr>
      </w:pPr>
    </w:p>
    <w:p w14:paraId="232E27E4" w14:textId="3CBD29F9" w:rsidR="002275F8" w:rsidRPr="0037157A" w:rsidRDefault="002275F8" w:rsidP="00B06C44">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1220"/>
        <w:gridCol w:w="1220"/>
        <w:gridCol w:w="1220"/>
        <w:gridCol w:w="1220"/>
        <w:gridCol w:w="1220"/>
      </w:tblGrid>
      <w:tr w:rsidR="00A61186" w:rsidRPr="0037157A" w14:paraId="24903E07" w14:textId="77777777" w:rsidTr="00B06C44">
        <w:trPr>
          <w:tblHeader/>
        </w:trPr>
        <w:tc>
          <w:tcPr>
            <w:tcW w:w="1220" w:type="dxa"/>
            <w:tcBorders>
              <w:top w:val="single" w:sz="4" w:space="0" w:color="auto"/>
              <w:bottom w:val="single" w:sz="12" w:space="0" w:color="auto"/>
            </w:tcBorders>
            <w:shd w:val="clear" w:color="auto" w:fill="auto"/>
            <w:noWrap/>
            <w:vAlign w:val="bottom"/>
          </w:tcPr>
          <w:p w14:paraId="3C752A6F" w14:textId="77777777" w:rsidR="002275F8" w:rsidRPr="0037157A" w:rsidRDefault="002275F8" w:rsidP="00B06C44">
            <w:pPr>
              <w:keepNext/>
              <w:spacing w:before="81" w:after="81" w:line="160" w:lineRule="exact"/>
              <w:ind w:right="40"/>
              <w:rPr>
                <w:i/>
                <w:sz w:val="14"/>
                <w:lang w:val="fr-FR"/>
              </w:rPr>
            </w:pPr>
            <w:r w:rsidRPr="0037157A">
              <w:rPr>
                <w:i/>
                <w:sz w:val="14"/>
                <w:lang w:val="fr-FR"/>
              </w:rPr>
              <w:t>Année</w:t>
            </w:r>
          </w:p>
        </w:tc>
        <w:tc>
          <w:tcPr>
            <w:tcW w:w="1220" w:type="dxa"/>
            <w:tcBorders>
              <w:top w:val="single" w:sz="4" w:space="0" w:color="auto"/>
              <w:bottom w:val="single" w:sz="12" w:space="0" w:color="auto"/>
            </w:tcBorders>
            <w:shd w:val="clear" w:color="auto" w:fill="auto"/>
            <w:noWrap/>
            <w:vAlign w:val="bottom"/>
          </w:tcPr>
          <w:p w14:paraId="75E9CA39" w14:textId="775F14B7" w:rsidR="002275F8" w:rsidRPr="0037157A" w:rsidRDefault="002275F8" w:rsidP="00B06C44">
            <w:pPr>
              <w:keepNext/>
              <w:spacing w:before="81" w:after="81" w:line="160" w:lineRule="exact"/>
              <w:ind w:right="43"/>
              <w:jc w:val="right"/>
              <w:rPr>
                <w:i/>
                <w:sz w:val="14"/>
                <w:lang w:val="fr-FR"/>
              </w:rPr>
            </w:pPr>
            <w:r w:rsidRPr="0037157A">
              <w:rPr>
                <w:i/>
                <w:sz w:val="14"/>
                <w:lang w:val="fr-FR"/>
              </w:rPr>
              <w:t xml:space="preserve">Employées, </w:t>
            </w:r>
            <w:r w:rsidR="00A61186" w:rsidRPr="0037157A">
              <w:rPr>
                <w:i/>
                <w:sz w:val="14"/>
                <w:lang w:val="fr-FR"/>
              </w:rPr>
              <w:br/>
            </w:r>
            <w:r w:rsidRPr="0037157A">
              <w:rPr>
                <w:i/>
                <w:sz w:val="14"/>
                <w:lang w:val="fr-FR"/>
              </w:rPr>
              <w:t>en milliers</w:t>
            </w:r>
          </w:p>
        </w:tc>
        <w:tc>
          <w:tcPr>
            <w:tcW w:w="1220" w:type="dxa"/>
            <w:tcBorders>
              <w:top w:val="single" w:sz="4" w:space="0" w:color="auto"/>
              <w:bottom w:val="single" w:sz="12" w:space="0" w:color="auto"/>
            </w:tcBorders>
            <w:shd w:val="clear" w:color="auto" w:fill="auto"/>
            <w:noWrap/>
            <w:vAlign w:val="bottom"/>
          </w:tcPr>
          <w:p w14:paraId="24FFEE1C" w14:textId="7DA1932B" w:rsidR="002275F8" w:rsidRPr="0037157A" w:rsidRDefault="002275F8" w:rsidP="00B06C44">
            <w:pPr>
              <w:keepNext/>
              <w:spacing w:before="81" w:after="81" w:line="160" w:lineRule="exact"/>
              <w:ind w:right="43"/>
              <w:jc w:val="right"/>
              <w:rPr>
                <w:i/>
                <w:sz w:val="14"/>
                <w:lang w:val="fr-FR"/>
              </w:rPr>
            </w:pPr>
            <w:r w:rsidRPr="0037157A">
              <w:rPr>
                <w:i/>
                <w:sz w:val="14"/>
                <w:lang w:val="fr-FR"/>
              </w:rPr>
              <w:t xml:space="preserve">Taux </w:t>
            </w:r>
            <w:r w:rsidR="00EE5260">
              <w:rPr>
                <w:i/>
                <w:sz w:val="14"/>
                <w:lang w:val="fr-FR"/>
              </w:rPr>
              <w:br/>
            </w:r>
            <w:r w:rsidRPr="0037157A">
              <w:rPr>
                <w:i/>
                <w:sz w:val="14"/>
                <w:lang w:val="fr-FR"/>
              </w:rPr>
              <w:t>d</w:t>
            </w:r>
            <w:r w:rsidR="004471C3" w:rsidRPr="0037157A">
              <w:rPr>
                <w:i/>
                <w:sz w:val="14"/>
                <w:lang w:val="fr-FR"/>
              </w:rPr>
              <w:t>’</w:t>
            </w:r>
            <w:r w:rsidRPr="0037157A">
              <w:rPr>
                <w:i/>
                <w:sz w:val="14"/>
                <w:lang w:val="fr-FR"/>
              </w:rPr>
              <w:t>emploi,</w:t>
            </w:r>
            <w:r w:rsidR="004471C3" w:rsidRPr="0037157A">
              <w:rPr>
                <w:i/>
                <w:sz w:val="14"/>
                <w:lang w:val="fr-FR"/>
              </w:rPr>
              <w:t> %</w:t>
            </w:r>
          </w:p>
        </w:tc>
        <w:tc>
          <w:tcPr>
            <w:tcW w:w="1220" w:type="dxa"/>
            <w:tcBorders>
              <w:top w:val="single" w:sz="4" w:space="0" w:color="auto"/>
              <w:bottom w:val="single" w:sz="12" w:space="0" w:color="auto"/>
            </w:tcBorders>
            <w:shd w:val="clear" w:color="auto" w:fill="auto"/>
            <w:noWrap/>
            <w:vAlign w:val="bottom"/>
          </w:tcPr>
          <w:p w14:paraId="095E7653" w14:textId="2A5FA45C" w:rsidR="002275F8" w:rsidRPr="0037157A" w:rsidRDefault="002275F8" w:rsidP="00B06C44">
            <w:pPr>
              <w:keepNext/>
              <w:spacing w:before="81" w:after="81" w:line="160" w:lineRule="exact"/>
              <w:ind w:right="43"/>
              <w:jc w:val="right"/>
              <w:rPr>
                <w:i/>
                <w:sz w:val="14"/>
                <w:lang w:val="fr-FR"/>
              </w:rPr>
            </w:pPr>
            <w:r w:rsidRPr="0037157A">
              <w:rPr>
                <w:i/>
                <w:sz w:val="14"/>
                <w:lang w:val="fr-FR"/>
              </w:rPr>
              <w:t>Au chômage,</w:t>
            </w:r>
            <w:r w:rsidR="00EE5260">
              <w:rPr>
                <w:i/>
                <w:sz w:val="14"/>
                <w:lang w:val="fr-FR"/>
              </w:rPr>
              <w:t xml:space="preserve"> </w:t>
            </w:r>
            <w:r w:rsidR="00A61186" w:rsidRPr="0037157A">
              <w:rPr>
                <w:i/>
                <w:sz w:val="14"/>
                <w:lang w:val="fr-FR"/>
              </w:rPr>
              <w:br/>
            </w:r>
            <w:r w:rsidRPr="0037157A">
              <w:rPr>
                <w:i/>
                <w:sz w:val="14"/>
                <w:lang w:val="fr-FR"/>
              </w:rPr>
              <w:t>en milliers</w:t>
            </w:r>
          </w:p>
        </w:tc>
        <w:tc>
          <w:tcPr>
            <w:tcW w:w="1220" w:type="dxa"/>
            <w:tcBorders>
              <w:top w:val="single" w:sz="4" w:space="0" w:color="auto"/>
              <w:bottom w:val="single" w:sz="12" w:space="0" w:color="auto"/>
            </w:tcBorders>
            <w:shd w:val="clear" w:color="auto" w:fill="auto"/>
            <w:noWrap/>
            <w:vAlign w:val="bottom"/>
          </w:tcPr>
          <w:p w14:paraId="07EE12F1" w14:textId="633A8F20" w:rsidR="002275F8" w:rsidRPr="0037157A" w:rsidRDefault="002275F8" w:rsidP="00B06C44">
            <w:pPr>
              <w:keepNext/>
              <w:spacing w:before="81" w:after="81" w:line="160" w:lineRule="exact"/>
              <w:ind w:right="43"/>
              <w:jc w:val="right"/>
              <w:rPr>
                <w:i/>
                <w:sz w:val="14"/>
                <w:lang w:val="fr-FR"/>
              </w:rPr>
            </w:pPr>
            <w:r w:rsidRPr="0037157A">
              <w:rPr>
                <w:i/>
                <w:sz w:val="14"/>
                <w:lang w:val="fr-FR"/>
              </w:rPr>
              <w:t>Taux de chômage,</w:t>
            </w:r>
            <w:r w:rsidR="004471C3" w:rsidRPr="0037157A">
              <w:rPr>
                <w:i/>
                <w:sz w:val="14"/>
                <w:lang w:val="fr-FR"/>
              </w:rPr>
              <w:t> %</w:t>
            </w:r>
          </w:p>
        </w:tc>
        <w:tc>
          <w:tcPr>
            <w:tcW w:w="1220" w:type="dxa"/>
            <w:tcBorders>
              <w:top w:val="single" w:sz="4" w:space="0" w:color="auto"/>
              <w:bottom w:val="single" w:sz="12" w:space="0" w:color="auto"/>
            </w:tcBorders>
            <w:shd w:val="clear" w:color="auto" w:fill="auto"/>
            <w:noWrap/>
            <w:vAlign w:val="bottom"/>
          </w:tcPr>
          <w:p w14:paraId="53595149" w14:textId="3A97C318" w:rsidR="002275F8" w:rsidRPr="0037157A" w:rsidRDefault="002275F8" w:rsidP="00B06C44">
            <w:pPr>
              <w:keepNext/>
              <w:spacing w:before="81" w:after="81" w:line="160" w:lineRule="exact"/>
              <w:ind w:right="43"/>
              <w:jc w:val="right"/>
              <w:rPr>
                <w:i/>
                <w:sz w:val="14"/>
                <w:lang w:val="fr-FR"/>
              </w:rPr>
            </w:pPr>
            <w:r w:rsidRPr="0037157A">
              <w:rPr>
                <w:i/>
                <w:sz w:val="14"/>
                <w:lang w:val="fr-FR"/>
              </w:rPr>
              <w:t xml:space="preserve">Taux </w:t>
            </w:r>
            <w:r w:rsidR="00EE5260">
              <w:rPr>
                <w:i/>
                <w:sz w:val="14"/>
                <w:lang w:val="fr-FR"/>
              </w:rPr>
              <w:br/>
            </w:r>
            <w:r w:rsidRPr="0037157A">
              <w:rPr>
                <w:i/>
                <w:sz w:val="14"/>
                <w:lang w:val="fr-FR"/>
              </w:rPr>
              <w:t>d</w:t>
            </w:r>
            <w:r w:rsidR="004471C3" w:rsidRPr="0037157A">
              <w:rPr>
                <w:i/>
                <w:sz w:val="14"/>
                <w:lang w:val="fr-FR"/>
              </w:rPr>
              <w:t>’</w:t>
            </w:r>
            <w:r w:rsidRPr="0037157A">
              <w:rPr>
                <w:i/>
                <w:sz w:val="14"/>
                <w:lang w:val="fr-FR"/>
              </w:rPr>
              <w:t>activité</w:t>
            </w:r>
          </w:p>
        </w:tc>
      </w:tr>
      <w:tr w:rsidR="002275F8" w:rsidRPr="0037157A" w14:paraId="616F86A0" w14:textId="77777777" w:rsidTr="00B06C44">
        <w:trPr>
          <w:trHeight w:hRule="exact" w:val="115"/>
          <w:tblHeader/>
        </w:trPr>
        <w:tc>
          <w:tcPr>
            <w:tcW w:w="1220" w:type="dxa"/>
            <w:tcBorders>
              <w:top w:val="single" w:sz="12" w:space="0" w:color="auto"/>
            </w:tcBorders>
            <w:shd w:val="clear" w:color="auto" w:fill="auto"/>
            <w:noWrap/>
            <w:vAlign w:val="bottom"/>
          </w:tcPr>
          <w:p w14:paraId="5C7BEDB9" w14:textId="77777777" w:rsidR="002275F8" w:rsidRPr="0037157A" w:rsidRDefault="002275F8" w:rsidP="00B06C44">
            <w:pPr>
              <w:keepNext/>
              <w:spacing w:before="40" w:after="40" w:line="210" w:lineRule="exact"/>
              <w:ind w:right="40"/>
              <w:rPr>
                <w:sz w:val="17"/>
                <w:lang w:val="fr-FR"/>
              </w:rPr>
            </w:pPr>
          </w:p>
        </w:tc>
        <w:tc>
          <w:tcPr>
            <w:tcW w:w="1220" w:type="dxa"/>
            <w:tcBorders>
              <w:top w:val="single" w:sz="12" w:space="0" w:color="auto"/>
            </w:tcBorders>
            <w:shd w:val="clear" w:color="auto" w:fill="auto"/>
            <w:noWrap/>
            <w:vAlign w:val="bottom"/>
          </w:tcPr>
          <w:p w14:paraId="195BC394" w14:textId="77777777" w:rsidR="002275F8" w:rsidRPr="0037157A" w:rsidRDefault="002275F8" w:rsidP="00B06C44">
            <w:pPr>
              <w:keepNext/>
              <w:spacing w:before="40" w:after="40" w:line="210" w:lineRule="exact"/>
              <w:ind w:right="43"/>
              <w:jc w:val="right"/>
              <w:rPr>
                <w:sz w:val="17"/>
                <w:lang w:val="fr-FR"/>
              </w:rPr>
            </w:pPr>
          </w:p>
        </w:tc>
        <w:tc>
          <w:tcPr>
            <w:tcW w:w="1220" w:type="dxa"/>
            <w:tcBorders>
              <w:top w:val="single" w:sz="12" w:space="0" w:color="auto"/>
            </w:tcBorders>
            <w:shd w:val="clear" w:color="auto" w:fill="auto"/>
            <w:noWrap/>
            <w:vAlign w:val="bottom"/>
          </w:tcPr>
          <w:p w14:paraId="706AB16C" w14:textId="77777777" w:rsidR="002275F8" w:rsidRPr="0037157A" w:rsidRDefault="002275F8" w:rsidP="00B06C44">
            <w:pPr>
              <w:keepNext/>
              <w:spacing w:before="40" w:after="40" w:line="210" w:lineRule="exact"/>
              <w:ind w:right="43"/>
              <w:jc w:val="right"/>
              <w:rPr>
                <w:sz w:val="17"/>
                <w:lang w:val="fr-FR"/>
              </w:rPr>
            </w:pPr>
          </w:p>
        </w:tc>
        <w:tc>
          <w:tcPr>
            <w:tcW w:w="1220" w:type="dxa"/>
            <w:tcBorders>
              <w:top w:val="single" w:sz="12" w:space="0" w:color="auto"/>
            </w:tcBorders>
            <w:shd w:val="clear" w:color="auto" w:fill="auto"/>
            <w:noWrap/>
            <w:vAlign w:val="bottom"/>
          </w:tcPr>
          <w:p w14:paraId="48255FF7" w14:textId="77777777" w:rsidR="002275F8" w:rsidRPr="0037157A" w:rsidRDefault="002275F8" w:rsidP="00B06C44">
            <w:pPr>
              <w:keepNext/>
              <w:spacing w:before="40" w:after="40" w:line="210" w:lineRule="exact"/>
              <w:ind w:right="43"/>
              <w:jc w:val="right"/>
              <w:rPr>
                <w:sz w:val="17"/>
                <w:lang w:val="fr-FR"/>
              </w:rPr>
            </w:pPr>
          </w:p>
        </w:tc>
        <w:tc>
          <w:tcPr>
            <w:tcW w:w="1220" w:type="dxa"/>
            <w:tcBorders>
              <w:top w:val="single" w:sz="12" w:space="0" w:color="auto"/>
            </w:tcBorders>
            <w:shd w:val="clear" w:color="auto" w:fill="auto"/>
            <w:noWrap/>
            <w:vAlign w:val="bottom"/>
          </w:tcPr>
          <w:p w14:paraId="5CDF5794" w14:textId="77777777" w:rsidR="002275F8" w:rsidRPr="0037157A" w:rsidRDefault="002275F8" w:rsidP="00B06C44">
            <w:pPr>
              <w:keepNext/>
              <w:spacing w:before="40" w:after="40" w:line="210" w:lineRule="exact"/>
              <w:ind w:right="43"/>
              <w:jc w:val="right"/>
              <w:rPr>
                <w:sz w:val="17"/>
                <w:lang w:val="fr-FR"/>
              </w:rPr>
            </w:pPr>
          </w:p>
        </w:tc>
        <w:tc>
          <w:tcPr>
            <w:tcW w:w="1220" w:type="dxa"/>
            <w:tcBorders>
              <w:top w:val="single" w:sz="12" w:space="0" w:color="auto"/>
            </w:tcBorders>
            <w:shd w:val="clear" w:color="auto" w:fill="auto"/>
            <w:noWrap/>
            <w:vAlign w:val="bottom"/>
          </w:tcPr>
          <w:p w14:paraId="7F2FA23A" w14:textId="77777777" w:rsidR="002275F8" w:rsidRPr="0037157A" w:rsidRDefault="002275F8" w:rsidP="00B06C44">
            <w:pPr>
              <w:keepNext/>
              <w:spacing w:before="40" w:after="40" w:line="210" w:lineRule="exact"/>
              <w:ind w:right="43"/>
              <w:jc w:val="right"/>
              <w:rPr>
                <w:sz w:val="17"/>
                <w:lang w:val="fr-FR"/>
              </w:rPr>
            </w:pPr>
          </w:p>
        </w:tc>
      </w:tr>
      <w:tr w:rsidR="00A61186" w:rsidRPr="0037157A" w14:paraId="01AF4999" w14:textId="77777777" w:rsidTr="00B06C44">
        <w:tc>
          <w:tcPr>
            <w:tcW w:w="1220" w:type="dxa"/>
            <w:shd w:val="clear" w:color="auto" w:fill="auto"/>
            <w:noWrap/>
            <w:vAlign w:val="bottom"/>
          </w:tcPr>
          <w:p w14:paraId="7D5BF0A8"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2018</w:t>
            </w:r>
          </w:p>
        </w:tc>
        <w:tc>
          <w:tcPr>
            <w:tcW w:w="1220" w:type="dxa"/>
            <w:shd w:val="clear" w:color="auto" w:fill="auto"/>
            <w:noWrap/>
            <w:vAlign w:val="bottom"/>
          </w:tcPr>
          <w:p w14:paraId="4B2C55D1"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60,6</w:t>
            </w:r>
          </w:p>
        </w:tc>
        <w:tc>
          <w:tcPr>
            <w:tcW w:w="1220" w:type="dxa"/>
            <w:shd w:val="clear" w:color="auto" w:fill="auto"/>
            <w:noWrap/>
            <w:vAlign w:val="bottom"/>
          </w:tcPr>
          <w:p w14:paraId="7EE50545"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22,2</w:t>
            </w:r>
          </w:p>
        </w:tc>
        <w:tc>
          <w:tcPr>
            <w:tcW w:w="1220" w:type="dxa"/>
            <w:shd w:val="clear" w:color="auto" w:fill="auto"/>
            <w:noWrap/>
            <w:vAlign w:val="bottom"/>
          </w:tcPr>
          <w:p w14:paraId="330819CF"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5,3</w:t>
            </w:r>
          </w:p>
        </w:tc>
        <w:tc>
          <w:tcPr>
            <w:tcW w:w="1220" w:type="dxa"/>
            <w:shd w:val="clear" w:color="auto" w:fill="auto"/>
            <w:noWrap/>
            <w:vAlign w:val="bottom"/>
          </w:tcPr>
          <w:p w14:paraId="58D2E9D9"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8,1</w:t>
            </w:r>
          </w:p>
        </w:tc>
        <w:tc>
          <w:tcPr>
            <w:tcW w:w="1220" w:type="dxa"/>
            <w:shd w:val="clear" w:color="auto" w:fill="auto"/>
            <w:noWrap/>
            <w:vAlign w:val="bottom"/>
          </w:tcPr>
          <w:p w14:paraId="2E6206E5"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24,2</w:t>
            </w:r>
          </w:p>
        </w:tc>
      </w:tr>
      <w:tr w:rsidR="00A61186" w:rsidRPr="0037157A" w14:paraId="63A3CD47" w14:textId="77777777" w:rsidTr="00B06C44">
        <w:tc>
          <w:tcPr>
            <w:tcW w:w="1220" w:type="dxa"/>
            <w:shd w:val="clear" w:color="auto" w:fill="auto"/>
            <w:noWrap/>
            <w:vAlign w:val="bottom"/>
          </w:tcPr>
          <w:p w14:paraId="3CA73438"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2019</w:t>
            </w:r>
          </w:p>
        </w:tc>
        <w:tc>
          <w:tcPr>
            <w:tcW w:w="1220" w:type="dxa"/>
            <w:shd w:val="clear" w:color="auto" w:fill="auto"/>
            <w:noWrap/>
            <w:vAlign w:val="bottom"/>
          </w:tcPr>
          <w:p w14:paraId="758B26AE"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60,5</w:t>
            </w:r>
          </w:p>
        </w:tc>
        <w:tc>
          <w:tcPr>
            <w:tcW w:w="1220" w:type="dxa"/>
            <w:shd w:val="clear" w:color="auto" w:fill="auto"/>
            <w:noWrap/>
            <w:vAlign w:val="bottom"/>
          </w:tcPr>
          <w:p w14:paraId="7657C5FD"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22,6</w:t>
            </w:r>
          </w:p>
        </w:tc>
        <w:tc>
          <w:tcPr>
            <w:tcW w:w="1220" w:type="dxa"/>
            <w:shd w:val="clear" w:color="auto" w:fill="auto"/>
            <w:noWrap/>
            <w:vAlign w:val="bottom"/>
          </w:tcPr>
          <w:p w14:paraId="20536097"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5,9</w:t>
            </w:r>
          </w:p>
        </w:tc>
        <w:tc>
          <w:tcPr>
            <w:tcW w:w="1220" w:type="dxa"/>
            <w:shd w:val="clear" w:color="auto" w:fill="auto"/>
            <w:noWrap/>
            <w:vAlign w:val="bottom"/>
          </w:tcPr>
          <w:p w14:paraId="39AD4710"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8,9</w:t>
            </w:r>
          </w:p>
        </w:tc>
        <w:tc>
          <w:tcPr>
            <w:tcW w:w="1220" w:type="dxa"/>
            <w:shd w:val="clear" w:color="auto" w:fill="auto"/>
            <w:noWrap/>
            <w:vAlign w:val="bottom"/>
          </w:tcPr>
          <w:p w14:paraId="478C1238"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24,9</w:t>
            </w:r>
          </w:p>
        </w:tc>
      </w:tr>
      <w:tr w:rsidR="00A61186" w:rsidRPr="0037157A" w14:paraId="1FD00909" w14:textId="77777777" w:rsidTr="00B06C44">
        <w:tc>
          <w:tcPr>
            <w:tcW w:w="1220" w:type="dxa"/>
            <w:tcBorders>
              <w:bottom w:val="single" w:sz="12" w:space="0" w:color="auto"/>
            </w:tcBorders>
            <w:shd w:val="clear" w:color="auto" w:fill="auto"/>
            <w:noWrap/>
            <w:vAlign w:val="bottom"/>
          </w:tcPr>
          <w:p w14:paraId="1E06FBF4"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2020</w:t>
            </w:r>
          </w:p>
        </w:tc>
        <w:tc>
          <w:tcPr>
            <w:tcW w:w="1220" w:type="dxa"/>
            <w:tcBorders>
              <w:bottom w:val="single" w:sz="12" w:space="0" w:color="auto"/>
            </w:tcBorders>
            <w:shd w:val="clear" w:color="auto" w:fill="auto"/>
            <w:noWrap/>
            <w:vAlign w:val="bottom"/>
          </w:tcPr>
          <w:p w14:paraId="0CFC8D58"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59,7</w:t>
            </w:r>
          </w:p>
        </w:tc>
        <w:tc>
          <w:tcPr>
            <w:tcW w:w="1220" w:type="dxa"/>
            <w:tcBorders>
              <w:bottom w:val="single" w:sz="12" w:space="0" w:color="auto"/>
            </w:tcBorders>
            <w:shd w:val="clear" w:color="auto" w:fill="auto"/>
            <w:noWrap/>
            <w:vAlign w:val="bottom"/>
          </w:tcPr>
          <w:p w14:paraId="4FC72A4E"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25,2</w:t>
            </w:r>
          </w:p>
        </w:tc>
        <w:tc>
          <w:tcPr>
            <w:tcW w:w="1220" w:type="dxa"/>
            <w:tcBorders>
              <w:bottom w:val="single" w:sz="12" w:space="0" w:color="auto"/>
            </w:tcBorders>
            <w:shd w:val="clear" w:color="auto" w:fill="auto"/>
            <w:noWrap/>
            <w:vAlign w:val="bottom"/>
          </w:tcPr>
          <w:p w14:paraId="26AEDB2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4,3</w:t>
            </w:r>
          </w:p>
        </w:tc>
        <w:tc>
          <w:tcPr>
            <w:tcW w:w="1220" w:type="dxa"/>
            <w:tcBorders>
              <w:bottom w:val="single" w:sz="12" w:space="0" w:color="auto"/>
            </w:tcBorders>
            <w:shd w:val="clear" w:color="auto" w:fill="auto"/>
            <w:noWrap/>
            <w:vAlign w:val="bottom"/>
          </w:tcPr>
          <w:p w14:paraId="1D1A9228"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6,7</w:t>
            </w:r>
          </w:p>
        </w:tc>
        <w:tc>
          <w:tcPr>
            <w:tcW w:w="1220" w:type="dxa"/>
            <w:tcBorders>
              <w:bottom w:val="single" w:sz="12" w:space="0" w:color="auto"/>
            </w:tcBorders>
            <w:shd w:val="clear" w:color="auto" w:fill="auto"/>
            <w:noWrap/>
            <w:vAlign w:val="bottom"/>
          </w:tcPr>
          <w:p w14:paraId="1F65CF57"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27,0</w:t>
            </w:r>
          </w:p>
        </w:tc>
      </w:tr>
    </w:tbl>
    <w:p w14:paraId="0AF75C3D" w14:textId="572B3271" w:rsidR="002275F8" w:rsidRPr="0037157A" w:rsidRDefault="002275F8" w:rsidP="00622C56">
      <w:pPr>
        <w:pStyle w:val="SingleTxt"/>
        <w:keepNext/>
        <w:keepLines/>
        <w:spacing w:after="0" w:line="120" w:lineRule="exact"/>
        <w:rPr>
          <w:sz w:val="10"/>
          <w:lang w:val="fr-FR"/>
        </w:rPr>
      </w:pPr>
    </w:p>
    <w:p w14:paraId="4E9A4BF4" w14:textId="1A8F4207" w:rsidR="002275F8" w:rsidRPr="0037157A" w:rsidRDefault="002275F8" w:rsidP="00622C56">
      <w:pPr>
        <w:pStyle w:val="FootnoteText"/>
        <w:keepNext/>
        <w:keepLines/>
        <w:tabs>
          <w:tab w:val="right" w:pos="1476"/>
          <w:tab w:val="left" w:pos="1548"/>
          <w:tab w:val="right" w:pos="1836"/>
          <w:tab w:val="left" w:pos="1908"/>
        </w:tabs>
        <w:ind w:left="1548" w:right="1267" w:hanging="288"/>
        <w:rPr>
          <w:lang w:val="fr-FR"/>
        </w:rPr>
      </w:pPr>
      <w:r w:rsidRPr="0037157A">
        <w:rPr>
          <w:i/>
          <w:iCs/>
          <w:lang w:val="fr-FR"/>
        </w:rPr>
        <w:t>Source</w:t>
      </w:r>
      <w:r w:rsidR="004471C3" w:rsidRPr="0037157A">
        <w:rPr>
          <w:lang w:val="fr-FR"/>
        </w:rPr>
        <w:t> :</w:t>
      </w:r>
      <w:r w:rsidRPr="0037157A">
        <w:rPr>
          <w:lang w:val="fr-FR"/>
        </w:rPr>
        <w:t xml:space="preserve"> Office central des statistiques hongrois</w:t>
      </w:r>
    </w:p>
    <w:p w14:paraId="1060A789" w14:textId="15277371" w:rsidR="002275F8" w:rsidRPr="0037157A" w:rsidRDefault="002275F8" w:rsidP="00622C56">
      <w:pPr>
        <w:pStyle w:val="SingleTxt"/>
        <w:keepNext/>
        <w:keepLines/>
        <w:spacing w:after="0" w:line="120" w:lineRule="exact"/>
        <w:rPr>
          <w:sz w:val="10"/>
          <w:lang w:val="fr-FR"/>
        </w:rPr>
      </w:pPr>
    </w:p>
    <w:p w14:paraId="258484F4" w14:textId="67ED4261" w:rsidR="00A61186" w:rsidRPr="0037157A" w:rsidRDefault="00A61186" w:rsidP="00A61186">
      <w:pPr>
        <w:pStyle w:val="SingleTxt"/>
        <w:spacing w:after="0" w:line="120" w:lineRule="exact"/>
        <w:rPr>
          <w:sz w:val="10"/>
          <w:lang w:val="fr-FR"/>
        </w:rPr>
      </w:pPr>
    </w:p>
    <w:p w14:paraId="6707E8B7" w14:textId="4AE664F7" w:rsidR="002275F8" w:rsidRPr="0037157A" w:rsidRDefault="002275F8" w:rsidP="009D535F">
      <w:pPr>
        <w:pStyle w:val="SingleTxt"/>
        <w:numPr>
          <w:ilvl w:val="0"/>
          <w:numId w:val="12"/>
        </w:numPr>
        <w:spacing w:line="240" w:lineRule="exact"/>
        <w:rPr>
          <w:lang w:val="fr-FR"/>
        </w:rPr>
      </w:pPr>
      <w:r w:rsidRPr="0037157A">
        <w:rPr>
          <w:lang w:val="fr-FR"/>
        </w:rPr>
        <w:t>Indépendamment du genre, la situation de la population rom au regard de l</w:t>
      </w:r>
      <w:r w:rsidR="004471C3" w:rsidRPr="0037157A">
        <w:rPr>
          <w:lang w:val="fr-FR"/>
        </w:rPr>
        <w:t>’</w:t>
      </w:r>
      <w:r w:rsidRPr="0037157A">
        <w:rPr>
          <w:lang w:val="fr-FR"/>
        </w:rPr>
        <w:t>emploi est généralement moins bonne que celle de la population totale. Les données des trois dernières années figurent dans le tableau ci-dessous.</w:t>
      </w:r>
    </w:p>
    <w:p w14:paraId="3577AC4B" w14:textId="09946D74" w:rsidR="002275F8" w:rsidRPr="0037157A" w:rsidRDefault="002275F8" w:rsidP="00A61186">
      <w:pPr>
        <w:pStyle w:val="SingleTxt"/>
        <w:spacing w:after="0" w:line="120" w:lineRule="exact"/>
        <w:rPr>
          <w:sz w:val="10"/>
          <w:lang w:val="fr-FR"/>
        </w:rPr>
      </w:pPr>
    </w:p>
    <w:p w14:paraId="4B197DBB" w14:textId="77777777" w:rsidR="002275F8" w:rsidRPr="0037157A" w:rsidRDefault="002275F8" w:rsidP="00A61186">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6</w:t>
      </w:r>
    </w:p>
    <w:p w14:paraId="2BF94986" w14:textId="64790EB6" w:rsidR="002275F8" w:rsidRPr="0037157A" w:rsidRDefault="00A61186" w:rsidP="00A611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szCs w:val="20"/>
          <w:lang w:val="fr-FR"/>
        </w:rPr>
        <w:tab/>
      </w:r>
      <w:r w:rsidRPr="0037157A">
        <w:rPr>
          <w:szCs w:val="20"/>
          <w:lang w:val="fr-FR"/>
        </w:rPr>
        <w:tab/>
      </w:r>
      <w:r w:rsidR="002275F8" w:rsidRPr="0037157A">
        <w:rPr>
          <w:szCs w:val="20"/>
          <w:lang w:val="fr-FR"/>
        </w:rPr>
        <w:t>Données</w:t>
      </w:r>
      <w:r w:rsidR="002275F8" w:rsidRPr="0037157A">
        <w:rPr>
          <w:lang w:val="fr-FR"/>
        </w:rPr>
        <w:t xml:space="preserve"> sur la situation des femmes roms et des autres femmes au regard </w:t>
      </w:r>
      <w:r w:rsidRPr="0037157A">
        <w:rPr>
          <w:lang w:val="fr-FR"/>
        </w:rPr>
        <w:br/>
      </w:r>
      <w:r w:rsidR="002275F8" w:rsidRPr="0037157A">
        <w:rPr>
          <w:lang w:val="fr-FR"/>
        </w:rPr>
        <w:t>de l</w:t>
      </w:r>
      <w:r w:rsidR="004471C3" w:rsidRPr="0037157A">
        <w:rPr>
          <w:lang w:val="fr-FR"/>
        </w:rPr>
        <w:t>’</w:t>
      </w:r>
      <w:r w:rsidR="002275F8" w:rsidRPr="0037157A">
        <w:rPr>
          <w:lang w:val="fr-FR"/>
        </w:rPr>
        <w:t>emploi</w:t>
      </w:r>
    </w:p>
    <w:p w14:paraId="15866450" w14:textId="1D1A9456" w:rsidR="002275F8" w:rsidRPr="0037157A" w:rsidRDefault="002275F8" w:rsidP="00A61186">
      <w:pPr>
        <w:pStyle w:val="SingleTxt"/>
        <w:spacing w:after="0" w:line="120" w:lineRule="exact"/>
        <w:rPr>
          <w:sz w:val="10"/>
          <w:lang w:val="fr-FR"/>
        </w:rPr>
      </w:pPr>
    </w:p>
    <w:p w14:paraId="1FB959AC" w14:textId="24B1D854" w:rsidR="00A61186" w:rsidRPr="0037157A" w:rsidRDefault="00A61186" w:rsidP="00A61186">
      <w:pPr>
        <w:pStyle w:val="SingleTxt"/>
        <w:spacing w:after="0" w:line="120" w:lineRule="exact"/>
        <w:rPr>
          <w:sz w:val="10"/>
          <w:lang w:val="fr-FR"/>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1080"/>
        <w:gridCol w:w="1080"/>
        <w:gridCol w:w="1080"/>
        <w:gridCol w:w="1260"/>
        <w:gridCol w:w="36"/>
        <w:gridCol w:w="954"/>
        <w:gridCol w:w="1206"/>
      </w:tblGrid>
      <w:tr w:rsidR="00A61186" w:rsidRPr="0037157A" w14:paraId="25AF92EE" w14:textId="77777777" w:rsidTr="00CB2E84">
        <w:trPr>
          <w:tblHeader/>
        </w:trPr>
        <w:tc>
          <w:tcPr>
            <w:tcW w:w="531" w:type="dxa"/>
            <w:vMerge w:val="restart"/>
            <w:tcBorders>
              <w:top w:val="single" w:sz="4" w:space="0" w:color="auto"/>
            </w:tcBorders>
            <w:shd w:val="clear" w:color="auto" w:fill="auto"/>
            <w:vAlign w:val="bottom"/>
          </w:tcPr>
          <w:p w14:paraId="5FC3013D" w14:textId="77777777" w:rsidR="00A61186" w:rsidRPr="0037157A" w:rsidRDefault="00A61186" w:rsidP="00A61186">
            <w:pPr>
              <w:spacing w:before="81" w:after="81" w:line="160" w:lineRule="exact"/>
              <w:ind w:right="40"/>
              <w:rPr>
                <w:i/>
                <w:sz w:val="14"/>
                <w:lang w:val="fr-FR"/>
              </w:rPr>
            </w:pPr>
            <w:r w:rsidRPr="0037157A">
              <w:rPr>
                <w:i/>
                <w:sz w:val="14"/>
                <w:lang w:val="fr-FR"/>
              </w:rPr>
              <w:t>Année</w:t>
            </w:r>
          </w:p>
        </w:tc>
        <w:tc>
          <w:tcPr>
            <w:tcW w:w="1080" w:type="dxa"/>
            <w:vMerge w:val="restart"/>
            <w:tcBorders>
              <w:top w:val="single" w:sz="4" w:space="0" w:color="auto"/>
            </w:tcBorders>
            <w:shd w:val="clear" w:color="auto" w:fill="auto"/>
            <w:vAlign w:val="bottom"/>
          </w:tcPr>
          <w:p w14:paraId="5713797E" w14:textId="7CCB3A9E" w:rsidR="00A61186" w:rsidRPr="0037157A" w:rsidRDefault="00A61186" w:rsidP="00A61186">
            <w:pPr>
              <w:spacing w:before="81" w:after="81" w:line="160" w:lineRule="exact"/>
              <w:ind w:right="43"/>
              <w:jc w:val="right"/>
              <w:rPr>
                <w:i/>
                <w:sz w:val="14"/>
                <w:lang w:val="fr-FR"/>
              </w:rPr>
            </w:pPr>
            <w:r w:rsidRPr="0037157A">
              <w:rPr>
                <w:i/>
                <w:sz w:val="14"/>
                <w:lang w:val="fr-FR"/>
              </w:rPr>
              <w:t xml:space="preserve">Femmes roms employées, </w:t>
            </w:r>
            <w:r w:rsidRPr="0037157A">
              <w:rPr>
                <w:i/>
                <w:sz w:val="14"/>
                <w:lang w:val="fr-FR"/>
              </w:rPr>
              <w:br/>
              <w:t>en milliers</w:t>
            </w:r>
          </w:p>
        </w:tc>
        <w:tc>
          <w:tcPr>
            <w:tcW w:w="1080" w:type="dxa"/>
            <w:vMerge w:val="restart"/>
            <w:tcBorders>
              <w:top w:val="single" w:sz="4" w:space="0" w:color="auto"/>
            </w:tcBorders>
            <w:shd w:val="clear" w:color="auto" w:fill="auto"/>
            <w:vAlign w:val="bottom"/>
          </w:tcPr>
          <w:p w14:paraId="2128CC0A" w14:textId="70DD81D8" w:rsidR="00A61186" w:rsidRPr="0037157A" w:rsidRDefault="00A61186" w:rsidP="00A61186">
            <w:pPr>
              <w:spacing w:before="81" w:after="81" w:line="160" w:lineRule="exact"/>
              <w:ind w:right="43"/>
              <w:jc w:val="right"/>
              <w:rPr>
                <w:i/>
                <w:sz w:val="14"/>
                <w:lang w:val="fr-FR"/>
              </w:rPr>
            </w:pPr>
            <w:r w:rsidRPr="0037157A">
              <w:rPr>
                <w:i/>
                <w:sz w:val="14"/>
                <w:lang w:val="fr-FR"/>
              </w:rPr>
              <w:t xml:space="preserve">Femmes roms </w:t>
            </w:r>
            <w:r w:rsidRPr="0037157A">
              <w:rPr>
                <w:i/>
                <w:sz w:val="14"/>
                <w:lang w:val="fr-FR"/>
              </w:rPr>
              <w:br/>
              <w:t>au chômage,</w:t>
            </w:r>
            <w:r w:rsidRPr="0037157A">
              <w:rPr>
                <w:i/>
                <w:sz w:val="14"/>
                <w:lang w:val="fr-FR"/>
              </w:rPr>
              <w:br/>
              <w:t>en milliers</w:t>
            </w:r>
          </w:p>
        </w:tc>
        <w:tc>
          <w:tcPr>
            <w:tcW w:w="2340" w:type="dxa"/>
            <w:gridSpan w:val="2"/>
            <w:tcBorders>
              <w:top w:val="single" w:sz="4" w:space="0" w:color="auto"/>
              <w:bottom w:val="single" w:sz="4" w:space="0" w:color="auto"/>
            </w:tcBorders>
            <w:shd w:val="clear" w:color="auto" w:fill="auto"/>
            <w:vAlign w:val="bottom"/>
          </w:tcPr>
          <w:p w14:paraId="35285960" w14:textId="6921EA65" w:rsidR="00A61186" w:rsidRPr="0037157A" w:rsidRDefault="00A61186" w:rsidP="00A61186">
            <w:pPr>
              <w:spacing w:before="81" w:after="81" w:line="160" w:lineRule="exact"/>
              <w:ind w:right="43"/>
              <w:jc w:val="center"/>
              <w:rPr>
                <w:i/>
                <w:sz w:val="14"/>
                <w:lang w:val="fr-FR"/>
              </w:rPr>
            </w:pPr>
            <w:r w:rsidRPr="0037157A">
              <w:rPr>
                <w:i/>
                <w:sz w:val="14"/>
                <w:lang w:val="fr-FR"/>
              </w:rPr>
              <w:t>Taux d</w:t>
            </w:r>
            <w:r w:rsidR="004471C3" w:rsidRPr="0037157A">
              <w:rPr>
                <w:i/>
                <w:sz w:val="14"/>
                <w:lang w:val="fr-FR"/>
              </w:rPr>
              <w:t>’</w:t>
            </w:r>
            <w:r w:rsidRPr="0037157A">
              <w:rPr>
                <w:i/>
                <w:sz w:val="14"/>
                <w:lang w:val="fr-FR"/>
              </w:rPr>
              <w:t>emploi,</w:t>
            </w:r>
            <w:r w:rsidR="004471C3" w:rsidRPr="0037157A">
              <w:rPr>
                <w:i/>
                <w:sz w:val="14"/>
                <w:lang w:val="fr-FR"/>
              </w:rPr>
              <w:t> %</w:t>
            </w:r>
          </w:p>
        </w:tc>
        <w:tc>
          <w:tcPr>
            <w:tcW w:w="36" w:type="dxa"/>
            <w:tcBorders>
              <w:top w:val="single" w:sz="4" w:space="0" w:color="auto"/>
            </w:tcBorders>
            <w:shd w:val="clear" w:color="auto" w:fill="auto"/>
            <w:vAlign w:val="bottom"/>
          </w:tcPr>
          <w:p w14:paraId="5BAB0446" w14:textId="1765FC64" w:rsidR="00A61186" w:rsidRPr="0037157A" w:rsidRDefault="00A61186" w:rsidP="00A61186">
            <w:pPr>
              <w:spacing w:before="81" w:after="81" w:line="160" w:lineRule="exact"/>
              <w:ind w:right="43"/>
              <w:jc w:val="center"/>
              <w:rPr>
                <w:i/>
                <w:sz w:val="14"/>
                <w:lang w:val="fr-FR"/>
              </w:rPr>
            </w:pPr>
          </w:p>
        </w:tc>
        <w:tc>
          <w:tcPr>
            <w:tcW w:w="2160" w:type="dxa"/>
            <w:gridSpan w:val="2"/>
            <w:tcBorders>
              <w:top w:val="single" w:sz="4" w:space="0" w:color="auto"/>
              <w:bottom w:val="single" w:sz="4" w:space="0" w:color="auto"/>
            </w:tcBorders>
            <w:shd w:val="clear" w:color="auto" w:fill="auto"/>
            <w:vAlign w:val="bottom"/>
          </w:tcPr>
          <w:p w14:paraId="6A7500E0" w14:textId="493E603F" w:rsidR="00A61186" w:rsidRPr="0037157A" w:rsidRDefault="00A61186" w:rsidP="00A61186">
            <w:pPr>
              <w:spacing w:before="81" w:after="81" w:line="160" w:lineRule="exact"/>
              <w:ind w:right="43"/>
              <w:jc w:val="center"/>
              <w:rPr>
                <w:i/>
                <w:sz w:val="14"/>
                <w:lang w:val="fr-FR"/>
              </w:rPr>
            </w:pPr>
            <w:r w:rsidRPr="0037157A">
              <w:rPr>
                <w:i/>
                <w:sz w:val="14"/>
                <w:lang w:val="fr-FR"/>
              </w:rPr>
              <w:t>Taux de chômage,</w:t>
            </w:r>
            <w:r w:rsidR="004471C3" w:rsidRPr="0037157A">
              <w:rPr>
                <w:i/>
                <w:sz w:val="14"/>
                <w:lang w:val="fr-FR"/>
              </w:rPr>
              <w:t> %</w:t>
            </w:r>
          </w:p>
        </w:tc>
      </w:tr>
      <w:tr w:rsidR="00A61186" w:rsidRPr="0037157A" w14:paraId="03465ADE" w14:textId="77777777" w:rsidTr="00CB2E84">
        <w:trPr>
          <w:tblHeader/>
        </w:trPr>
        <w:tc>
          <w:tcPr>
            <w:tcW w:w="531" w:type="dxa"/>
            <w:vMerge/>
            <w:tcBorders>
              <w:bottom w:val="single" w:sz="12" w:space="0" w:color="auto"/>
            </w:tcBorders>
            <w:shd w:val="clear" w:color="auto" w:fill="auto"/>
            <w:vAlign w:val="bottom"/>
          </w:tcPr>
          <w:p w14:paraId="5BA46A1C"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p>
        </w:tc>
        <w:tc>
          <w:tcPr>
            <w:tcW w:w="1080" w:type="dxa"/>
            <w:vMerge/>
            <w:tcBorders>
              <w:bottom w:val="single" w:sz="12" w:space="0" w:color="auto"/>
            </w:tcBorders>
            <w:shd w:val="clear" w:color="auto" w:fill="auto"/>
            <w:vAlign w:val="bottom"/>
          </w:tcPr>
          <w:p w14:paraId="4D87901C"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p>
        </w:tc>
        <w:tc>
          <w:tcPr>
            <w:tcW w:w="1080" w:type="dxa"/>
            <w:vMerge/>
            <w:tcBorders>
              <w:bottom w:val="single" w:sz="12" w:space="0" w:color="auto"/>
            </w:tcBorders>
            <w:shd w:val="clear" w:color="auto" w:fill="auto"/>
            <w:vAlign w:val="bottom"/>
          </w:tcPr>
          <w:p w14:paraId="64B05723"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p>
        </w:tc>
        <w:tc>
          <w:tcPr>
            <w:tcW w:w="1080" w:type="dxa"/>
            <w:tcBorders>
              <w:bottom w:val="single" w:sz="12" w:space="0" w:color="auto"/>
            </w:tcBorders>
            <w:shd w:val="clear" w:color="auto" w:fill="auto"/>
            <w:vAlign w:val="bottom"/>
          </w:tcPr>
          <w:p w14:paraId="5C0BD92B" w14:textId="77777777" w:rsidR="00A61186" w:rsidRPr="0037157A" w:rsidRDefault="00A61186" w:rsidP="00A61186">
            <w:pPr>
              <w:spacing w:before="81" w:after="81" w:line="160" w:lineRule="exact"/>
              <w:ind w:right="43"/>
              <w:jc w:val="right"/>
              <w:rPr>
                <w:i/>
                <w:sz w:val="14"/>
                <w:lang w:val="fr-FR"/>
              </w:rPr>
            </w:pPr>
            <w:r w:rsidRPr="0037157A">
              <w:rPr>
                <w:i/>
                <w:sz w:val="14"/>
                <w:lang w:val="fr-FR"/>
              </w:rPr>
              <w:t>Femmes roms</w:t>
            </w:r>
          </w:p>
        </w:tc>
        <w:tc>
          <w:tcPr>
            <w:tcW w:w="1260" w:type="dxa"/>
            <w:tcBorders>
              <w:bottom w:val="single" w:sz="12" w:space="0" w:color="auto"/>
            </w:tcBorders>
            <w:shd w:val="clear" w:color="auto" w:fill="auto"/>
            <w:vAlign w:val="bottom"/>
          </w:tcPr>
          <w:p w14:paraId="4D971F56" w14:textId="77777777" w:rsidR="00A61186" w:rsidRPr="0037157A" w:rsidRDefault="00A61186" w:rsidP="00A61186">
            <w:pPr>
              <w:spacing w:before="81" w:after="81" w:line="160" w:lineRule="exact"/>
              <w:ind w:right="43"/>
              <w:jc w:val="right"/>
              <w:rPr>
                <w:i/>
                <w:sz w:val="14"/>
                <w:lang w:val="fr-FR"/>
              </w:rPr>
            </w:pPr>
            <w:r w:rsidRPr="0037157A">
              <w:rPr>
                <w:i/>
                <w:sz w:val="14"/>
                <w:lang w:val="fr-FR"/>
              </w:rPr>
              <w:t>Autres femmes</w:t>
            </w:r>
          </w:p>
        </w:tc>
        <w:tc>
          <w:tcPr>
            <w:tcW w:w="990" w:type="dxa"/>
            <w:gridSpan w:val="2"/>
            <w:tcBorders>
              <w:bottom w:val="single" w:sz="12" w:space="0" w:color="auto"/>
            </w:tcBorders>
            <w:shd w:val="clear" w:color="auto" w:fill="auto"/>
            <w:vAlign w:val="bottom"/>
          </w:tcPr>
          <w:p w14:paraId="399A027B" w14:textId="77777777" w:rsidR="00A61186" w:rsidRPr="0037157A" w:rsidRDefault="00A61186" w:rsidP="00A61186">
            <w:pPr>
              <w:spacing w:before="81" w:after="81" w:line="160" w:lineRule="exact"/>
              <w:ind w:right="43"/>
              <w:jc w:val="right"/>
              <w:rPr>
                <w:i/>
                <w:sz w:val="14"/>
                <w:lang w:val="fr-FR"/>
              </w:rPr>
            </w:pPr>
            <w:r w:rsidRPr="0037157A">
              <w:rPr>
                <w:i/>
                <w:sz w:val="14"/>
                <w:lang w:val="fr-FR"/>
              </w:rPr>
              <w:t>Femmes roms</w:t>
            </w:r>
          </w:p>
        </w:tc>
        <w:tc>
          <w:tcPr>
            <w:tcW w:w="1206" w:type="dxa"/>
            <w:tcBorders>
              <w:top w:val="single" w:sz="4" w:space="0" w:color="auto"/>
              <w:bottom w:val="single" w:sz="12" w:space="0" w:color="auto"/>
            </w:tcBorders>
            <w:shd w:val="clear" w:color="auto" w:fill="auto"/>
            <w:vAlign w:val="bottom"/>
          </w:tcPr>
          <w:p w14:paraId="645DF329" w14:textId="77777777" w:rsidR="00A61186" w:rsidRPr="0037157A" w:rsidRDefault="00A61186" w:rsidP="00A61186">
            <w:pPr>
              <w:spacing w:before="81" w:after="81" w:line="160" w:lineRule="exact"/>
              <w:ind w:right="43"/>
              <w:jc w:val="right"/>
              <w:rPr>
                <w:i/>
                <w:sz w:val="14"/>
                <w:lang w:val="fr-FR"/>
              </w:rPr>
            </w:pPr>
            <w:r w:rsidRPr="0037157A">
              <w:rPr>
                <w:i/>
                <w:sz w:val="14"/>
                <w:lang w:val="fr-FR"/>
              </w:rPr>
              <w:t>Autres femmes</w:t>
            </w:r>
          </w:p>
        </w:tc>
      </w:tr>
      <w:tr w:rsidR="002275F8" w:rsidRPr="0037157A" w14:paraId="7A07764A" w14:textId="77777777" w:rsidTr="00CB2E84">
        <w:trPr>
          <w:trHeight w:hRule="exact" w:val="115"/>
          <w:tblHeader/>
        </w:trPr>
        <w:tc>
          <w:tcPr>
            <w:tcW w:w="531" w:type="dxa"/>
            <w:tcBorders>
              <w:top w:val="single" w:sz="12" w:space="0" w:color="auto"/>
            </w:tcBorders>
            <w:shd w:val="clear" w:color="auto" w:fill="auto"/>
            <w:vAlign w:val="bottom"/>
          </w:tcPr>
          <w:p w14:paraId="3D18AA80"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1080" w:type="dxa"/>
            <w:tcBorders>
              <w:top w:val="single" w:sz="12" w:space="0" w:color="auto"/>
            </w:tcBorders>
            <w:shd w:val="clear" w:color="auto" w:fill="auto"/>
            <w:vAlign w:val="bottom"/>
          </w:tcPr>
          <w:p w14:paraId="7651BEA6"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080" w:type="dxa"/>
            <w:tcBorders>
              <w:top w:val="single" w:sz="12" w:space="0" w:color="auto"/>
            </w:tcBorders>
            <w:shd w:val="clear" w:color="auto" w:fill="auto"/>
            <w:vAlign w:val="bottom"/>
          </w:tcPr>
          <w:p w14:paraId="390BE875"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080" w:type="dxa"/>
            <w:tcBorders>
              <w:top w:val="single" w:sz="12" w:space="0" w:color="auto"/>
            </w:tcBorders>
            <w:shd w:val="clear" w:color="auto" w:fill="auto"/>
            <w:vAlign w:val="bottom"/>
          </w:tcPr>
          <w:p w14:paraId="18E1979D"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260" w:type="dxa"/>
            <w:tcBorders>
              <w:top w:val="single" w:sz="12" w:space="0" w:color="auto"/>
            </w:tcBorders>
            <w:shd w:val="clear" w:color="auto" w:fill="auto"/>
            <w:vAlign w:val="bottom"/>
          </w:tcPr>
          <w:p w14:paraId="218223F9"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90" w:type="dxa"/>
            <w:gridSpan w:val="2"/>
            <w:tcBorders>
              <w:top w:val="single" w:sz="12" w:space="0" w:color="auto"/>
            </w:tcBorders>
            <w:shd w:val="clear" w:color="auto" w:fill="auto"/>
            <w:vAlign w:val="bottom"/>
          </w:tcPr>
          <w:p w14:paraId="18AADB4E"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206" w:type="dxa"/>
            <w:tcBorders>
              <w:top w:val="single" w:sz="12" w:space="0" w:color="auto"/>
            </w:tcBorders>
            <w:shd w:val="clear" w:color="auto" w:fill="auto"/>
            <w:vAlign w:val="bottom"/>
          </w:tcPr>
          <w:p w14:paraId="6DABFCA0" w14:textId="77777777" w:rsidR="002275F8" w:rsidRPr="0037157A" w:rsidRDefault="002275F8"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2275F8" w:rsidRPr="0037157A" w14:paraId="548C0E16" w14:textId="77777777" w:rsidTr="00BE1017">
        <w:tc>
          <w:tcPr>
            <w:tcW w:w="531" w:type="dxa"/>
            <w:shd w:val="clear" w:color="auto" w:fill="auto"/>
            <w:vAlign w:val="bottom"/>
          </w:tcPr>
          <w:p w14:paraId="0B51F1F1"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2018</w:t>
            </w:r>
          </w:p>
        </w:tc>
        <w:tc>
          <w:tcPr>
            <w:tcW w:w="1080" w:type="dxa"/>
            <w:shd w:val="clear" w:color="auto" w:fill="auto"/>
            <w:vAlign w:val="bottom"/>
          </w:tcPr>
          <w:p w14:paraId="61BB642B"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32,9</w:t>
            </w:r>
          </w:p>
        </w:tc>
        <w:tc>
          <w:tcPr>
            <w:tcW w:w="1080" w:type="dxa"/>
            <w:shd w:val="clear" w:color="auto" w:fill="auto"/>
            <w:vAlign w:val="bottom"/>
          </w:tcPr>
          <w:p w14:paraId="6CFEB99C"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7,4</w:t>
            </w:r>
          </w:p>
        </w:tc>
        <w:tc>
          <w:tcPr>
            <w:tcW w:w="1080" w:type="dxa"/>
            <w:shd w:val="clear" w:color="auto" w:fill="auto"/>
            <w:vAlign w:val="bottom"/>
          </w:tcPr>
          <w:p w14:paraId="03237669"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35,6</w:t>
            </w:r>
          </w:p>
        </w:tc>
        <w:tc>
          <w:tcPr>
            <w:tcW w:w="1260" w:type="dxa"/>
            <w:shd w:val="clear" w:color="auto" w:fill="auto"/>
            <w:vAlign w:val="bottom"/>
          </w:tcPr>
          <w:p w14:paraId="02823A71"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67,5</w:t>
            </w:r>
          </w:p>
        </w:tc>
        <w:tc>
          <w:tcPr>
            <w:tcW w:w="990" w:type="dxa"/>
            <w:gridSpan w:val="2"/>
            <w:shd w:val="clear" w:color="auto" w:fill="auto"/>
            <w:vAlign w:val="bottom"/>
          </w:tcPr>
          <w:p w14:paraId="5908BF8B"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18,3</w:t>
            </w:r>
          </w:p>
        </w:tc>
        <w:tc>
          <w:tcPr>
            <w:tcW w:w="1206" w:type="dxa"/>
            <w:shd w:val="clear" w:color="auto" w:fill="auto"/>
            <w:vAlign w:val="bottom"/>
          </w:tcPr>
          <w:p w14:paraId="3FA914B4"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3,5</w:t>
            </w:r>
          </w:p>
        </w:tc>
      </w:tr>
      <w:tr w:rsidR="002275F8" w:rsidRPr="0037157A" w14:paraId="69FCA531" w14:textId="77777777" w:rsidTr="00CB2E84">
        <w:tc>
          <w:tcPr>
            <w:tcW w:w="531" w:type="dxa"/>
            <w:shd w:val="clear" w:color="auto" w:fill="auto"/>
            <w:vAlign w:val="bottom"/>
          </w:tcPr>
          <w:p w14:paraId="1C0553E3"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2019</w:t>
            </w:r>
          </w:p>
        </w:tc>
        <w:tc>
          <w:tcPr>
            <w:tcW w:w="1080" w:type="dxa"/>
            <w:shd w:val="clear" w:color="auto" w:fill="auto"/>
            <w:vAlign w:val="bottom"/>
          </w:tcPr>
          <w:p w14:paraId="136FE28A"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31,5</w:t>
            </w:r>
          </w:p>
        </w:tc>
        <w:tc>
          <w:tcPr>
            <w:tcW w:w="1080" w:type="dxa"/>
            <w:shd w:val="clear" w:color="auto" w:fill="auto"/>
            <w:vAlign w:val="bottom"/>
          </w:tcPr>
          <w:p w14:paraId="46528F04"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5,1</w:t>
            </w:r>
          </w:p>
        </w:tc>
        <w:tc>
          <w:tcPr>
            <w:tcW w:w="1080" w:type="dxa"/>
            <w:shd w:val="clear" w:color="auto" w:fill="auto"/>
            <w:vAlign w:val="bottom"/>
          </w:tcPr>
          <w:p w14:paraId="68455FD9"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38,7</w:t>
            </w:r>
          </w:p>
        </w:tc>
        <w:tc>
          <w:tcPr>
            <w:tcW w:w="1260" w:type="dxa"/>
            <w:shd w:val="clear" w:color="auto" w:fill="auto"/>
            <w:vAlign w:val="bottom"/>
          </w:tcPr>
          <w:p w14:paraId="487AE80A"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67,8</w:t>
            </w:r>
          </w:p>
        </w:tc>
        <w:tc>
          <w:tcPr>
            <w:tcW w:w="990" w:type="dxa"/>
            <w:gridSpan w:val="2"/>
            <w:shd w:val="clear" w:color="auto" w:fill="auto"/>
            <w:vAlign w:val="bottom"/>
          </w:tcPr>
          <w:p w14:paraId="2E24AA2A"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13,8</w:t>
            </w:r>
          </w:p>
        </w:tc>
        <w:tc>
          <w:tcPr>
            <w:tcW w:w="1206" w:type="dxa"/>
            <w:shd w:val="clear" w:color="auto" w:fill="auto"/>
            <w:vAlign w:val="bottom"/>
          </w:tcPr>
          <w:p w14:paraId="4FA0E1A0"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3,1</w:t>
            </w:r>
          </w:p>
        </w:tc>
      </w:tr>
      <w:tr w:rsidR="002275F8" w:rsidRPr="0037157A" w14:paraId="310BB52E" w14:textId="77777777" w:rsidTr="00CB2E84">
        <w:tc>
          <w:tcPr>
            <w:tcW w:w="531" w:type="dxa"/>
            <w:tcBorders>
              <w:bottom w:val="single" w:sz="12" w:space="0" w:color="auto"/>
            </w:tcBorders>
            <w:shd w:val="clear" w:color="auto" w:fill="auto"/>
            <w:vAlign w:val="bottom"/>
          </w:tcPr>
          <w:p w14:paraId="1C5A427D"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2020</w:t>
            </w:r>
          </w:p>
        </w:tc>
        <w:tc>
          <w:tcPr>
            <w:tcW w:w="1080" w:type="dxa"/>
            <w:tcBorders>
              <w:bottom w:val="single" w:sz="12" w:space="0" w:color="auto"/>
            </w:tcBorders>
            <w:shd w:val="clear" w:color="auto" w:fill="auto"/>
            <w:vAlign w:val="bottom"/>
          </w:tcPr>
          <w:p w14:paraId="4DB56849"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28,2</w:t>
            </w:r>
          </w:p>
        </w:tc>
        <w:tc>
          <w:tcPr>
            <w:tcW w:w="1080" w:type="dxa"/>
            <w:tcBorders>
              <w:bottom w:val="single" w:sz="12" w:space="0" w:color="auto"/>
            </w:tcBorders>
            <w:shd w:val="clear" w:color="auto" w:fill="auto"/>
            <w:vAlign w:val="bottom"/>
          </w:tcPr>
          <w:p w14:paraId="436E9F2C"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6,1</w:t>
            </w:r>
          </w:p>
        </w:tc>
        <w:tc>
          <w:tcPr>
            <w:tcW w:w="1080" w:type="dxa"/>
            <w:tcBorders>
              <w:bottom w:val="single" w:sz="12" w:space="0" w:color="auto"/>
            </w:tcBorders>
            <w:shd w:val="clear" w:color="auto" w:fill="auto"/>
            <w:vAlign w:val="bottom"/>
          </w:tcPr>
          <w:p w14:paraId="05DD2EFC"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35,1</w:t>
            </w:r>
          </w:p>
        </w:tc>
        <w:tc>
          <w:tcPr>
            <w:tcW w:w="1260" w:type="dxa"/>
            <w:tcBorders>
              <w:bottom w:val="single" w:sz="12" w:space="0" w:color="auto"/>
            </w:tcBorders>
            <w:shd w:val="clear" w:color="auto" w:fill="auto"/>
            <w:vAlign w:val="bottom"/>
          </w:tcPr>
          <w:p w14:paraId="11601E6A"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67,7</w:t>
            </w:r>
          </w:p>
        </w:tc>
        <w:tc>
          <w:tcPr>
            <w:tcW w:w="990" w:type="dxa"/>
            <w:gridSpan w:val="2"/>
            <w:tcBorders>
              <w:bottom w:val="single" w:sz="12" w:space="0" w:color="auto"/>
            </w:tcBorders>
            <w:shd w:val="clear" w:color="auto" w:fill="auto"/>
            <w:vAlign w:val="bottom"/>
          </w:tcPr>
          <w:p w14:paraId="2F7B8A12"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17,8</w:t>
            </w:r>
          </w:p>
        </w:tc>
        <w:tc>
          <w:tcPr>
            <w:tcW w:w="1206" w:type="dxa"/>
            <w:tcBorders>
              <w:bottom w:val="single" w:sz="12" w:space="0" w:color="auto"/>
            </w:tcBorders>
            <w:shd w:val="clear" w:color="auto" w:fill="auto"/>
            <w:vAlign w:val="bottom"/>
          </w:tcPr>
          <w:p w14:paraId="316CABE8" w14:textId="77777777" w:rsidR="002275F8" w:rsidRPr="0037157A" w:rsidRDefault="002275F8" w:rsidP="00A61186">
            <w:pPr>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4,0</w:t>
            </w:r>
          </w:p>
        </w:tc>
      </w:tr>
    </w:tbl>
    <w:p w14:paraId="29326DA5" w14:textId="299F69AD" w:rsidR="002275F8" w:rsidRPr="0037157A" w:rsidRDefault="002275F8" w:rsidP="00A61186">
      <w:pPr>
        <w:pStyle w:val="SingleTxt"/>
        <w:spacing w:after="0" w:line="120" w:lineRule="exact"/>
        <w:rPr>
          <w:sz w:val="10"/>
          <w:lang w:val="fr-FR"/>
        </w:rPr>
      </w:pPr>
    </w:p>
    <w:p w14:paraId="0EA514CF" w14:textId="5819E875" w:rsidR="002275F8" w:rsidRPr="0037157A" w:rsidRDefault="002275F8" w:rsidP="00A61186">
      <w:pPr>
        <w:pStyle w:val="FootnoteText"/>
        <w:tabs>
          <w:tab w:val="right" w:pos="1476"/>
          <w:tab w:val="left" w:pos="1548"/>
          <w:tab w:val="right" w:pos="1836"/>
          <w:tab w:val="left" w:pos="1908"/>
        </w:tabs>
        <w:ind w:left="1548" w:right="1267" w:hanging="288"/>
        <w:rPr>
          <w:lang w:val="fr-FR"/>
        </w:rPr>
      </w:pPr>
      <w:r w:rsidRPr="0037157A">
        <w:rPr>
          <w:i/>
          <w:iCs/>
          <w:lang w:val="fr-FR"/>
        </w:rPr>
        <w:t>Source</w:t>
      </w:r>
      <w:r w:rsidR="004471C3" w:rsidRPr="0037157A">
        <w:rPr>
          <w:lang w:val="fr-FR"/>
        </w:rPr>
        <w:t> :</w:t>
      </w:r>
      <w:r w:rsidRPr="0037157A">
        <w:rPr>
          <w:lang w:val="fr-FR"/>
        </w:rPr>
        <w:t xml:space="preserve"> Office central des statistiques hongrois</w:t>
      </w:r>
    </w:p>
    <w:p w14:paraId="6E1BEFB6" w14:textId="6B3C1F8D" w:rsidR="002275F8" w:rsidRPr="0037157A" w:rsidRDefault="002275F8" w:rsidP="00A61186">
      <w:pPr>
        <w:pStyle w:val="SingleTxt"/>
        <w:spacing w:after="0" w:line="120" w:lineRule="exact"/>
        <w:rPr>
          <w:sz w:val="10"/>
          <w:lang w:val="fr-FR"/>
        </w:rPr>
      </w:pPr>
    </w:p>
    <w:p w14:paraId="7C9363BF" w14:textId="3D669C95" w:rsidR="00A61186" w:rsidRPr="0037157A" w:rsidRDefault="00A61186" w:rsidP="00A61186">
      <w:pPr>
        <w:pStyle w:val="SingleTxt"/>
        <w:spacing w:after="0" w:line="120" w:lineRule="exact"/>
        <w:rPr>
          <w:sz w:val="10"/>
          <w:lang w:val="fr-FR"/>
        </w:rPr>
      </w:pPr>
    </w:p>
    <w:p w14:paraId="40C800E5" w14:textId="7BE2C005" w:rsidR="002275F8" w:rsidRPr="0037157A" w:rsidRDefault="002275F8" w:rsidP="009D535F">
      <w:pPr>
        <w:pStyle w:val="SingleTxt"/>
        <w:numPr>
          <w:ilvl w:val="0"/>
          <w:numId w:val="12"/>
        </w:numPr>
        <w:spacing w:line="240" w:lineRule="exact"/>
        <w:rPr>
          <w:lang w:val="fr-FR"/>
        </w:rPr>
      </w:pPr>
      <w:r w:rsidRPr="0037157A">
        <w:rPr>
          <w:lang w:val="fr-FR"/>
        </w:rPr>
        <w:t>Les données sur les migrations internationales ventilées par sexe publiées par l</w:t>
      </w:r>
      <w:r w:rsidR="004471C3" w:rsidRPr="0037157A">
        <w:rPr>
          <w:lang w:val="fr-FR"/>
        </w:rPr>
        <w:t>’</w:t>
      </w:r>
      <w:r w:rsidRPr="0037157A">
        <w:rPr>
          <w:lang w:val="fr-FR"/>
        </w:rPr>
        <w:t>Office central des statistiques hongrois ne sont pas disponibles.</w:t>
      </w:r>
    </w:p>
    <w:p w14:paraId="53D71AB2" w14:textId="1F0782E6" w:rsidR="002275F8" w:rsidRPr="0037157A" w:rsidRDefault="002275F8" w:rsidP="009D535F">
      <w:pPr>
        <w:pStyle w:val="SingleTxt"/>
        <w:numPr>
          <w:ilvl w:val="0"/>
          <w:numId w:val="12"/>
        </w:numPr>
        <w:spacing w:line="240" w:lineRule="exact"/>
        <w:rPr>
          <w:lang w:val="fr-FR"/>
        </w:rPr>
      </w:pPr>
      <w:r w:rsidRPr="0037157A">
        <w:rPr>
          <w:lang w:val="fr-FR"/>
        </w:rPr>
        <w:t>Afin de lutter contre le harcèlement sexuel sur le lieu de travail, l</w:t>
      </w:r>
      <w:r w:rsidR="004471C3" w:rsidRPr="0037157A">
        <w:rPr>
          <w:lang w:val="fr-FR"/>
        </w:rPr>
        <w:t>’</w:t>
      </w:r>
      <w:r w:rsidRPr="0037157A">
        <w:rPr>
          <w:lang w:val="fr-FR"/>
        </w:rPr>
        <w:t>Autorité pour l</w:t>
      </w:r>
      <w:r w:rsidR="004471C3" w:rsidRPr="0037157A">
        <w:rPr>
          <w:lang w:val="fr-FR"/>
        </w:rPr>
        <w:t>’</w:t>
      </w:r>
      <w:r w:rsidRPr="0037157A">
        <w:rPr>
          <w:lang w:val="fr-FR"/>
        </w:rPr>
        <w:t>égalité de traitement a publié en 2015 une brochure d</w:t>
      </w:r>
      <w:r w:rsidR="004471C3" w:rsidRPr="0037157A">
        <w:rPr>
          <w:lang w:val="fr-FR"/>
        </w:rPr>
        <w:t>’</w:t>
      </w:r>
      <w:r w:rsidRPr="0037157A">
        <w:rPr>
          <w:lang w:val="fr-FR"/>
        </w:rPr>
        <w:t xml:space="preserve">information intitulée « Prévention du harcèlement sur le lieu de travail et recours juridiques possibles », a mené des campagnes de sensibilisation </w:t>
      </w:r>
      <w:r w:rsidR="00047FA3">
        <w:rPr>
          <w:lang w:val="fr-FR"/>
        </w:rPr>
        <w:t xml:space="preserve">relatives </w:t>
      </w:r>
      <w:r w:rsidRPr="0037157A">
        <w:rPr>
          <w:lang w:val="fr-FR"/>
        </w:rPr>
        <w:t>à toutes les formes de discrimination, et a organisé dans le cadre des ententes conclues des cours de courte durée à l</w:t>
      </w:r>
      <w:r w:rsidR="004471C3" w:rsidRPr="0037157A">
        <w:rPr>
          <w:lang w:val="fr-FR"/>
        </w:rPr>
        <w:t>’</w:t>
      </w:r>
      <w:r w:rsidRPr="0037157A">
        <w:rPr>
          <w:lang w:val="fr-FR"/>
        </w:rPr>
        <w:t>intention du personnel des employeurs contre lesquels des plaintes avaient été déposées.</w:t>
      </w:r>
    </w:p>
    <w:p w14:paraId="7E27FFC5" w14:textId="4279BCBD" w:rsidR="002275F8" w:rsidRPr="00B06C44" w:rsidRDefault="002275F8" w:rsidP="009D535F">
      <w:pPr>
        <w:pStyle w:val="SingleTxt"/>
        <w:numPr>
          <w:ilvl w:val="0"/>
          <w:numId w:val="12"/>
        </w:numPr>
        <w:spacing w:line="240" w:lineRule="exact"/>
        <w:rPr>
          <w:spacing w:val="0"/>
          <w:lang w:val="fr-FR"/>
        </w:rPr>
      </w:pPr>
      <w:r w:rsidRPr="00B06C44">
        <w:rPr>
          <w:spacing w:val="0"/>
          <w:lang w:val="fr-FR"/>
        </w:rPr>
        <w:t>On trouvera ci-après un tableau présentant le nombre d</w:t>
      </w:r>
      <w:r w:rsidR="004471C3" w:rsidRPr="00B06C44">
        <w:rPr>
          <w:spacing w:val="0"/>
          <w:lang w:val="fr-FR"/>
        </w:rPr>
        <w:t>’</w:t>
      </w:r>
      <w:r w:rsidRPr="00B06C44">
        <w:rPr>
          <w:spacing w:val="0"/>
          <w:lang w:val="fr-FR"/>
        </w:rPr>
        <w:t>affaires examinées par l</w:t>
      </w:r>
      <w:r w:rsidR="004471C3" w:rsidRPr="00B06C44">
        <w:rPr>
          <w:spacing w:val="0"/>
          <w:lang w:val="fr-FR"/>
        </w:rPr>
        <w:t>’</w:t>
      </w:r>
      <w:r w:rsidRPr="00B06C44">
        <w:rPr>
          <w:spacing w:val="0"/>
          <w:lang w:val="fr-FR"/>
        </w:rPr>
        <w:t>Autorité pour l</w:t>
      </w:r>
      <w:r w:rsidR="004471C3" w:rsidRPr="00B06C44">
        <w:rPr>
          <w:spacing w:val="0"/>
          <w:lang w:val="fr-FR"/>
        </w:rPr>
        <w:t>’</w:t>
      </w:r>
      <w:r w:rsidRPr="00B06C44">
        <w:rPr>
          <w:spacing w:val="0"/>
          <w:lang w:val="fr-FR"/>
        </w:rPr>
        <w:t>égalité de traitement sur la base de plaintes soumises par des femmes pour harcèlement sexuel au cours de la période</w:t>
      </w:r>
      <w:r w:rsidR="00A61186" w:rsidRPr="00B06C44">
        <w:rPr>
          <w:spacing w:val="0"/>
          <w:lang w:val="fr-FR"/>
        </w:rPr>
        <w:t xml:space="preserve"> </w:t>
      </w:r>
      <w:r w:rsidRPr="00B06C44">
        <w:rPr>
          <w:spacing w:val="0"/>
          <w:lang w:val="fr-FR"/>
        </w:rPr>
        <w:t>2016-2020, ainsi que leur issue. Jusqu</w:t>
      </w:r>
      <w:r w:rsidR="004471C3" w:rsidRPr="00B06C44">
        <w:rPr>
          <w:spacing w:val="0"/>
          <w:lang w:val="fr-FR"/>
        </w:rPr>
        <w:t>’</w:t>
      </w:r>
      <w:r w:rsidRPr="00B06C44">
        <w:rPr>
          <w:spacing w:val="0"/>
          <w:lang w:val="fr-FR"/>
        </w:rPr>
        <w:t>à ce jour, aucune plainte pour harcèlement sexuel au travail n</w:t>
      </w:r>
      <w:r w:rsidR="004471C3" w:rsidRPr="00B06C44">
        <w:rPr>
          <w:spacing w:val="0"/>
          <w:lang w:val="fr-FR"/>
        </w:rPr>
        <w:t>’</w:t>
      </w:r>
      <w:r w:rsidRPr="00B06C44">
        <w:rPr>
          <w:spacing w:val="0"/>
          <w:lang w:val="fr-FR"/>
        </w:rPr>
        <w:t>a été reçue en 2021.</w:t>
      </w:r>
    </w:p>
    <w:p w14:paraId="5F8C11FD" w14:textId="518624FE" w:rsidR="002275F8" w:rsidRPr="0037157A" w:rsidRDefault="002275F8" w:rsidP="00A61186">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5"/>
        <w:gridCol w:w="1085"/>
        <w:gridCol w:w="1086"/>
        <w:gridCol w:w="1085"/>
        <w:gridCol w:w="1085"/>
        <w:gridCol w:w="1086"/>
      </w:tblGrid>
      <w:tr w:rsidR="00A61186" w:rsidRPr="0037157A" w14:paraId="2BD26AB4" w14:textId="77777777" w:rsidTr="00A61186">
        <w:trPr>
          <w:tblHeader/>
        </w:trPr>
        <w:tc>
          <w:tcPr>
            <w:tcW w:w="810" w:type="dxa"/>
            <w:tcBorders>
              <w:top w:val="single" w:sz="4" w:space="0" w:color="auto"/>
              <w:bottom w:val="single" w:sz="12" w:space="0" w:color="auto"/>
            </w:tcBorders>
            <w:shd w:val="clear" w:color="auto" w:fill="auto"/>
            <w:noWrap/>
            <w:vAlign w:val="bottom"/>
          </w:tcPr>
          <w:p w14:paraId="1B9B06A1" w14:textId="77777777" w:rsidR="002275F8" w:rsidRPr="0037157A" w:rsidRDefault="002275F8" w:rsidP="00B06C44">
            <w:pPr>
              <w:keepNext/>
              <w:spacing w:before="81" w:after="81" w:line="160" w:lineRule="exact"/>
              <w:ind w:right="40"/>
              <w:rPr>
                <w:i/>
                <w:sz w:val="14"/>
                <w:lang w:val="fr-FR"/>
              </w:rPr>
            </w:pPr>
            <w:r w:rsidRPr="0037157A">
              <w:rPr>
                <w:i/>
                <w:sz w:val="14"/>
                <w:lang w:val="fr-FR"/>
              </w:rPr>
              <w:t>Année</w:t>
            </w:r>
          </w:p>
        </w:tc>
        <w:tc>
          <w:tcPr>
            <w:tcW w:w="1085" w:type="dxa"/>
            <w:tcBorders>
              <w:top w:val="single" w:sz="4" w:space="0" w:color="auto"/>
              <w:bottom w:val="single" w:sz="12" w:space="0" w:color="auto"/>
            </w:tcBorders>
            <w:shd w:val="clear" w:color="auto" w:fill="auto"/>
            <w:noWrap/>
            <w:vAlign w:val="bottom"/>
          </w:tcPr>
          <w:p w14:paraId="255A21A9" w14:textId="683A77FC" w:rsidR="002275F8" w:rsidRPr="0037157A" w:rsidRDefault="002275F8" w:rsidP="00B06C44">
            <w:pPr>
              <w:keepNext/>
              <w:spacing w:before="81" w:after="81" w:line="160" w:lineRule="exact"/>
              <w:ind w:right="43"/>
              <w:jc w:val="right"/>
              <w:rPr>
                <w:i/>
                <w:sz w:val="14"/>
                <w:lang w:val="fr-FR"/>
              </w:rPr>
            </w:pPr>
            <w:r w:rsidRPr="0037157A">
              <w:rPr>
                <w:i/>
                <w:sz w:val="14"/>
                <w:lang w:val="fr-FR"/>
              </w:rPr>
              <w:t>Nombre d</w:t>
            </w:r>
            <w:r w:rsidR="004471C3" w:rsidRPr="0037157A">
              <w:rPr>
                <w:i/>
                <w:sz w:val="14"/>
                <w:lang w:val="fr-FR"/>
              </w:rPr>
              <w:t>’</w:t>
            </w:r>
            <w:r w:rsidRPr="0037157A">
              <w:rPr>
                <w:i/>
                <w:sz w:val="14"/>
                <w:lang w:val="fr-FR"/>
              </w:rPr>
              <w:t>affaires</w:t>
            </w:r>
          </w:p>
        </w:tc>
        <w:tc>
          <w:tcPr>
            <w:tcW w:w="1085" w:type="dxa"/>
            <w:tcBorders>
              <w:top w:val="single" w:sz="4" w:space="0" w:color="auto"/>
              <w:bottom w:val="single" w:sz="12" w:space="0" w:color="auto"/>
            </w:tcBorders>
            <w:shd w:val="clear" w:color="auto" w:fill="auto"/>
            <w:noWrap/>
            <w:vAlign w:val="bottom"/>
          </w:tcPr>
          <w:p w14:paraId="0DCA1BB3" w14:textId="4AF08438" w:rsidR="002275F8" w:rsidRPr="0037157A" w:rsidRDefault="002275F8" w:rsidP="00B06C44">
            <w:pPr>
              <w:keepNext/>
              <w:spacing w:before="81" w:after="81" w:line="160" w:lineRule="exact"/>
              <w:ind w:right="43"/>
              <w:jc w:val="right"/>
              <w:rPr>
                <w:i/>
                <w:sz w:val="14"/>
                <w:lang w:val="fr-FR"/>
              </w:rPr>
            </w:pPr>
            <w:r w:rsidRPr="0037157A">
              <w:rPr>
                <w:i/>
                <w:sz w:val="14"/>
                <w:lang w:val="fr-FR"/>
              </w:rPr>
              <w:t xml:space="preserve">Décision constatant </w:t>
            </w:r>
            <w:r w:rsidR="00A61186" w:rsidRPr="0037157A">
              <w:rPr>
                <w:i/>
                <w:sz w:val="14"/>
                <w:lang w:val="fr-FR"/>
              </w:rPr>
              <w:br/>
            </w:r>
            <w:r w:rsidRPr="0037157A">
              <w:rPr>
                <w:i/>
                <w:sz w:val="14"/>
                <w:lang w:val="fr-FR"/>
              </w:rPr>
              <w:t xml:space="preserve">une violation </w:t>
            </w:r>
            <w:r w:rsidR="00A61186" w:rsidRPr="0037157A">
              <w:rPr>
                <w:i/>
                <w:sz w:val="14"/>
                <w:lang w:val="fr-FR"/>
              </w:rPr>
              <w:br/>
            </w:r>
            <w:r w:rsidRPr="0037157A">
              <w:rPr>
                <w:i/>
                <w:sz w:val="14"/>
                <w:lang w:val="fr-FR"/>
              </w:rPr>
              <w:t>du principe d</w:t>
            </w:r>
            <w:r w:rsidR="004471C3" w:rsidRPr="0037157A">
              <w:rPr>
                <w:i/>
                <w:sz w:val="14"/>
                <w:lang w:val="fr-FR"/>
              </w:rPr>
              <w:t>’</w:t>
            </w:r>
            <w:r w:rsidRPr="0037157A">
              <w:rPr>
                <w:i/>
                <w:sz w:val="14"/>
                <w:lang w:val="fr-FR"/>
              </w:rPr>
              <w:t xml:space="preserve">égalité </w:t>
            </w:r>
            <w:r w:rsidR="00A61186" w:rsidRPr="0037157A">
              <w:rPr>
                <w:i/>
                <w:sz w:val="14"/>
                <w:lang w:val="fr-FR"/>
              </w:rPr>
              <w:br/>
            </w:r>
            <w:r w:rsidRPr="0037157A">
              <w:rPr>
                <w:i/>
                <w:sz w:val="14"/>
                <w:lang w:val="fr-FR"/>
              </w:rPr>
              <w:t>de traitement</w:t>
            </w:r>
          </w:p>
        </w:tc>
        <w:tc>
          <w:tcPr>
            <w:tcW w:w="1086" w:type="dxa"/>
            <w:tcBorders>
              <w:top w:val="single" w:sz="4" w:space="0" w:color="auto"/>
              <w:bottom w:val="single" w:sz="12" w:space="0" w:color="auto"/>
            </w:tcBorders>
            <w:shd w:val="clear" w:color="auto" w:fill="auto"/>
            <w:noWrap/>
            <w:vAlign w:val="bottom"/>
          </w:tcPr>
          <w:p w14:paraId="1D956A8F" w14:textId="77777777" w:rsidR="002275F8" w:rsidRPr="0037157A" w:rsidRDefault="002275F8" w:rsidP="00B06C44">
            <w:pPr>
              <w:keepNext/>
              <w:spacing w:before="81" w:after="81" w:line="160" w:lineRule="exact"/>
              <w:ind w:right="43"/>
              <w:jc w:val="right"/>
              <w:rPr>
                <w:i/>
                <w:sz w:val="14"/>
                <w:lang w:val="fr-FR"/>
              </w:rPr>
            </w:pPr>
            <w:r w:rsidRPr="0037157A">
              <w:rPr>
                <w:i/>
                <w:sz w:val="14"/>
                <w:lang w:val="fr-FR"/>
              </w:rPr>
              <w:t>Règlement</w:t>
            </w:r>
          </w:p>
        </w:tc>
        <w:tc>
          <w:tcPr>
            <w:tcW w:w="1085" w:type="dxa"/>
            <w:tcBorders>
              <w:top w:val="single" w:sz="4" w:space="0" w:color="auto"/>
              <w:bottom w:val="single" w:sz="12" w:space="0" w:color="auto"/>
            </w:tcBorders>
            <w:shd w:val="clear" w:color="auto" w:fill="auto"/>
            <w:noWrap/>
            <w:vAlign w:val="bottom"/>
          </w:tcPr>
          <w:p w14:paraId="0825C333" w14:textId="51A8EA25" w:rsidR="002275F8" w:rsidRPr="0037157A" w:rsidRDefault="002275F8" w:rsidP="00B06C44">
            <w:pPr>
              <w:keepNext/>
              <w:spacing w:before="81" w:after="81" w:line="160" w:lineRule="exact"/>
              <w:ind w:right="43"/>
              <w:jc w:val="right"/>
              <w:rPr>
                <w:i/>
                <w:sz w:val="14"/>
                <w:lang w:val="fr-FR"/>
              </w:rPr>
            </w:pPr>
            <w:r w:rsidRPr="0037157A">
              <w:rPr>
                <w:i/>
                <w:sz w:val="14"/>
                <w:lang w:val="fr-FR"/>
              </w:rPr>
              <w:t xml:space="preserve">Rejet fondé sur le fond de </w:t>
            </w:r>
            <w:r w:rsidR="00A61186" w:rsidRPr="0037157A">
              <w:rPr>
                <w:i/>
                <w:sz w:val="14"/>
                <w:lang w:val="fr-FR"/>
              </w:rPr>
              <w:br/>
            </w:r>
            <w:r w:rsidRPr="0037157A">
              <w:rPr>
                <w:i/>
                <w:sz w:val="14"/>
                <w:lang w:val="fr-FR"/>
              </w:rPr>
              <w:t>la plainte</w:t>
            </w:r>
          </w:p>
        </w:tc>
        <w:tc>
          <w:tcPr>
            <w:tcW w:w="1085" w:type="dxa"/>
            <w:tcBorders>
              <w:top w:val="single" w:sz="4" w:space="0" w:color="auto"/>
              <w:bottom w:val="single" w:sz="12" w:space="0" w:color="auto"/>
            </w:tcBorders>
            <w:shd w:val="clear" w:color="auto" w:fill="auto"/>
            <w:noWrap/>
            <w:vAlign w:val="bottom"/>
          </w:tcPr>
          <w:p w14:paraId="2BBE2770" w14:textId="32311FBC" w:rsidR="002275F8" w:rsidRPr="0037157A" w:rsidRDefault="002275F8" w:rsidP="00B06C44">
            <w:pPr>
              <w:keepNext/>
              <w:spacing w:before="81" w:after="81" w:line="160" w:lineRule="exact"/>
              <w:ind w:right="43"/>
              <w:jc w:val="right"/>
              <w:rPr>
                <w:i/>
                <w:sz w:val="14"/>
                <w:lang w:val="fr-FR"/>
              </w:rPr>
            </w:pPr>
            <w:r w:rsidRPr="0037157A">
              <w:rPr>
                <w:i/>
                <w:sz w:val="14"/>
                <w:lang w:val="fr-FR"/>
              </w:rPr>
              <w:t>Abandon de</w:t>
            </w:r>
            <w:r w:rsidR="00047FA3">
              <w:rPr>
                <w:i/>
                <w:sz w:val="14"/>
                <w:lang w:val="fr-FR"/>
              </w:rPr>
              <w:t xml:space="preserve"> </w:t>
            </w:r>
            <w:r w:rsidR="00A61186" w:rsidRPr="0037157A">
              <w:rPr>
                <w:i/>
                <w:sz w:val="14"/>
                <w:lang w:val="fr-FR"/>
              </w:rPr>
              <w:br/>
            </w:r>
            <w:r w:rsidRPr="0037157A">
              <w:rPr>
                <w:i/>
                <w:sz w:val="14"/>
                <w:lang w:val="fr-FR"/>
              </w:rPr>
              <w:t>la procédure</w:t>
            </w:r>
          </w:p>
        </w:tc>
        <w:tc>
          <w:tcPr>
            <w:tcW w:w="1086" w:type="dxa"/>
            <w:tcBorders>
              <w:top w:val="single" w:sz="4" w:space="0" w:color="auto"/>
              <w:bottom w:val="single" w:sz="12" w:space="0" w:color="auto"/>
            </w:tcBorders>
            <w:shd w:val="clear" w:color="auto" w:fill="auto"/>
            <w:noWrap/>
            <w:vAlign w:val="bottom"/>
          </w:tcPr>
          <w:p w14:paraId="38FBB819" w14:textId="77777777" w:rsidR="002275F8" w:rsidRPr="0037157A" w:rsidRDefault="002275F8" w:rsidP="00B06C44">
            <w:pPr>
              <w:keepNext/>
              <w:spacing w:before="81" w:after="81" w:line="160" w:lineRule="exact"/>
              <w:ind w:right="43"/>
              <w:jc w:val="right"/>
              <w:rPr>
                <w:i/>
                <w:sz w:val="14"/>
                <w:lang w:val="fr-FR"/>
              </w:rPr>
            </w:pPr>
            <w:r w:rsidRPr="0037157A">
              <w:rPr>
                <w:i/>
                <w:sz w:val="14"/>
                <w:lang w:val="fr-FR"/>
              </w:rPr>
              <w:t>Rejet de la plainte pour vice de forme</w:t>
            </w:r>
          </w:p>
        </w:tc>
      </w:tr>
      <w:tr w:rsidR="00A61186" w:rsidRPr="0037157A" w14:paraId="2FEDC59D" w14:textId="77777777" w:rsidTr="00A61186">
        <w:trPr>
          <w:trHeight w:hRule="exact" w:val="115"/>
          <w:tblHeader/>
        </w:trPr>
        <w:tc>
          <w:tcPr>
            <w:tcW w:w="810" w:type="dxa"/>
            <w:tcBorders>
              <w:top w:val="single" w:sz="12" w:space="0" w:color="auto"/>
            </w:tcBorders>
            <w:shd w:val="clear" w:color="auto" w:fill="auto"/>
            <w:noWrap/>
            <w:vAlign w:val="bottom"/>
          </w:tcPr>
          <w:p w14:paraId="2D825AA3" w14:textId="77777777" w:rsidR="00A61186" w:rsidRPr="0037157A" w:rsidRDefault="00A61186" w:rsidP="00B06C44">
            <w:pPr>
              <w:keepNext/>
              <w:spacing w:before="40" w:after="40" w:line="210" w:lineRule="exact"/>
              <w:ind w:right="40"/>
              <w:rPr>
                <w:sz w:val="17"/>
                <w:lang w:val="fr-FR"/>
              </w:rPr>
            </w:pPr>
          </w:p>
        </w:tc>
        <w:tc>
          <w:tcPr>
            <w:tcW w:w="1085" w:type="dxa"/>
            <w:tcBorders>
              <w:top w:val="single" w:sz="12" w:space="0" w:color="auto"/>
            </w:tcBorders>
            <w:shd w:val="clear" w:color="auto" w:fill="auto"/>
            <w:noWrap/>
            <w:vAlign w:val="bottom"/>
          </w:tcPr>
          <w:p w14:paraId="7CDBF8E7" w14:textId="77777777" w:rsidR="00A61186" w:rsidRPr="0037157A" w:rsidRDefault="00A61186" w:rsidP="00B06C44">
            <w:pPr>
              <w:keepNext/>
              <w:spacing w:before="40" w:after="40" w:line="210" w:lineRule="exact"/>
              <w:ind w:right="43"/>
              <w:jc w:val="right"/>
              <w:rPr>
                <w:sz w:val="17"/>
                <w:lang w:val="fr-FR"/>
              </w:rPr>
            </w:pPr>
          </w:p>
        </w:tc>
        <w:tc>
          <w:tcPr>
            <w:tcW w:w="1085" w:type="dxa"/>
            <w:tcBorders>
              <w:top w:val="single" w:sz="12" w:space="0" w:color="auto"/>
            </w:tcBorders>
            <w:shd w:val="clear" w:color="auto" w:fill="auto"/>
            <w:noWrap/>
            <w:vAlign w:val="bottom"/>
          </w:tcPr>
          <w:p w14:paraId="1DE8A005" w14:textId="77777777" w:rsidR="00A61186" w:rsidRPr="0037157A" w:rsidRDefault="00A61186" w:rsidP="00B06C44">
            <w:pPr>
              <w:keepNext/>
              <w:spacing w:before="40" w:after="40" w:line="210" w:lineRule="exact"/>
              <w:ind w:right="43"/>
              <w:jc w:val="right"/>
              <w:rPr>
                <w:sz w:val="17"/>
                <w:lang w:val="fr-FR"/>
              </w:rPr>
            </w:pPr>
          </w:p>
        </w:tc>
        <w:tc>
          <w:tcPr>
            <w:tcW w:w="1086" w:type="dxa"/>
            <w:tcBorders>
              <w:top w:val="single" w:sz="12" w:space="0" w:color="auto"/>
            </w:tcBorders>
            <w:shd w:val="clear" w:color="auto" w:fill="auto"/>
            <w:noWrap/>
            <w:vAlign w:val="bottom"/>
          </w:tcPr>
          <w:p w14:paraId="004F9B17" w14:textId="77777777" w:rsidR="00A61186" w:rsidRPr="0037157A" w:rsidRDefault="00A61186" w:rsidP="00B06C44">
            <w:pPr>
              <w:keepNext/>
              <w:spacing w:before="40" w:after="40" w:line="210" w:lineRule="exact"/>
              <w:ind w:right="43"/>
              <w:jc w:val="right"/>
              <w:rPr>
                <w:sz w:val="17"/>
                <w:lang w:val="fr-FR"/>
              </w:rPr>
            </w:pPr>
          </w:p>
        </w:tc>
        <w:tc>
          <w:tcPr>
            <w:tcW w:w="1085" w:type="dxa"/>
            <w:tcBorders>
              <w:top w:val="single" w:sz="12" w:space="0" w:color="auto"/>
            </w:tcBorders>
            <w:shd w:val="clear" w:color="auto" w:fill="auto"/>
            <w:noWrap/>
            <w:vAlign w:val="bottom"/>
          </w:tcPr>
          <w:p w14:paraId="08FD6879" w14:textId="77777777" w:rsidR="00A61186" w:rsidRPr="0037157A" w:rsidRDefault="00A61186" w:rsidP="00B06C44">
            <w:pPr>
              <w:keepNext/>
              <w:spacing w:before="40" w:after="40" w:line="210" w:lineRule="exact"/>
              <w:ind w:right="43"/>
              <w:jc w:val="right"/>
              <w:rPr>
                <w:sz w:val="17"/>
                <w:lang w:val="fr-FR"/>
              </w:rPr>
            </w:pPr>
          </w:p>
        </w:tc>
        <w:tc>
          <w:tcPr>
            <w:tcW w:w="1085" w:type="dxa"/>
            <w:tcBorders>
              <w:top w:val="single" w:sz="12" w:space="0" w:color="auto"/>
            </w:tcBorders>
            <w:shd w:val="clear" w:color="auto" w:fill="auto"/>
            <w:noWrap/>
            <w:vAlign w:val="bottom"/>
          </w:tcPr>
          <w:p w14:paraId="7C9D9663" w14:textId="77777777" w:rsidR="00A61186" w:rsidRPr="0037157A" w:rsidRDefault="00A61186" w:rsidP="00B06C44">
            <w:pPr>
              <w:keepNext/>
              <w:spacing w:before="40" w:after="40" w:line="210" w:lineRule="exact"/>
              <w:ind w:right="43"/>
              <w:jc w:val="right"/>
              <w:rPr>
                <w:sz w:val="17"/>
                <w:lang w:val="fr-FR"/>
              </w:rPr>
            </w:pPr>
          </w:p>
        </w:tc>
        <w:tc>
          <w:tcPr>
            <w:tcW w:w="1086" w:type="dxa"/>
            <w:tcBorders>
              <w:top w:val="single" w:sz="12" w:space="0" w:color="auto"/>
            </w:tcBorders>
            <w:shd w:val="clear" w:color="auto" w:fill="auto"/>
            <w:noWrap/>
            <w:vAlign w:val="bottom"/>
          </w:tcPr>
          <w:p w14:paraId="449F5788" w14:textId="77777777" w:rsidR="00A61186" w:rsidRPr="0037157A" w:rsidRDefault="00A61186" w:rsidP="00B06C44">
            <w:pPr>
              <w:keepNext/>
              <w:spacing w:before="40" w:after="40" w:line="210" w:lineRule="exact"/>
              <w:ind w:right="43"/>
              <w:jc w:val="right"/>
              <w:rPr>
                <w:sz w:val="17"/>
                <w:lang w:val="fr-FR"/>
              </w:rPr>
            </w:pPr>
          </w:p>
        </w:tc>
      </w:tr>
      <w:tr w:rsidR="00A61186" w:rsidRPr="0037157A" w14:paraId="482029E3" w14:textId="77777777" w:rsidTr="00A61186">
        <w:tc>
          <w:tcPr>
            <w:tcW w:w="810" w:type="dxa"/>
            <w:shd w:val="clear" w:color="auto" w:fill="auto"/>
            <w:noWrap/>
            <w:vAlign w:val="bottom"/>
          </w:tcPr>
          <w:p w14:paraId="7DCC4C73"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2016</w:t>
            </w:r>
          </w:p>
        </w:tc>
        <w:tc>
          <w:tcPr>
            <w:tcW w:w="1085" w:type="dxa"/>
            <w:shd w:val="clear" w:color="auto" w:fill="auto"/>
            <w:noWrap/>
            <w:vAlign w:val="bottom"/>
          </w:tcPr>
          <w:p w14:paraId="219DC433"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085" w:type="dxa"/>
            <w:shd w:val="clear" w:color="auto" w:fill="auto"/>
            <w:noWrap/>
            <w:vAlign w:val="bottom"/>
          </w:tcPr>
          <w:p w14:paraId="3C7CAC13"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6" w:type="dxa"/>
            <w:shd w:val="clear" w:color="auto" w:fill="auto"/>
            <w:noWrap/>
            <w:vAlign w:val="bottom"/>
          </w:tcPr>
          <w:p w14:paraId="15E21CB0"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1E733FDD"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5" w:type="dxa"/>
            <w:shd w:val="clear" w:color="auto" w:fill="auto"/>
            <w:noWrap/>
            <w:vAlign w:val="bottom"/>
          </w:tcPr>
          <w:p w14:paraId="4665D667"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w:t>
            </w:r>
          </w:p>
        </w:tc>
        <w:tc>
          <w:tcPr>
            <w:tcW w:w="1086" w:type="dxa"/>
            <w:shd w:val="clear" w:color="auto" w:fill="auto"/>
            <w:noWrap/>
            <w:vAlign w:val="bottom"/>
          </w:tcPr>
          <w:p w14:paraId="4BDF1472"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r>
      <w:tr w:rsidR="00A61186" w:rsidRPr="0037157A" w14:paraId="40C6A393" w14:textId="77777777" w:rsidTr="00A61186">
        <w:tc>
          <w:tcPr>
            <w:tcW w:w="810" w:type="dxa"/>
            <w:shd w:val="clear" w:color="auto" w:fill="auto"/>
            <w:noWrap/>
            <w:vAlign w:val="bottom"/>
          </w:tcPr>
          <w:p w14:paraId="14F3C674"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2017</w:t>
            </w:r>
          </w:p>
        </w:tc>
        <w:tc>
          <w:tcPr>
            <w:tcW w:w="1085" w:type="dxa"/>
            <w:shd w:val="clear" w:color="auto" w:fill="auto"/>
            <w:noWrap/>
            <w:vAlign w:val="bottom"/>
          </w:tcPr>
          <w:p w14:paraId="67111393"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085" w:type="dxa"/>
            <w:shd w:val="clear" w:color="auto" w:fill="auto"/>
            <w:noWrap/>
            <w:vAlign w:val="bottom"/>
          </w:tcPr>
          <w:p w14:paraId="1528DA87"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6" w:type="dxa"/>
            <w:shd w:val="clear" w:color="auto" w:fill="auto"/>
            <w:noWrap/>
            <w:vAlign w:val="bottom"/>
          </w:tcPr>
          <w:p w14:paraId="5B5424A3"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460E78E0"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3440064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2</w:t>
            </w:r>
          </w:p>
        </w:tc>
        <w:tc>
          <w:tcPr>
            <w:tcW w:w="1086" w:type="dxa"/>
            <w:shd w:val="clear" w:color="auto" w:fill="auto"/>
            <w:noWrap/>
            <w:vAlign w:val="bottom"/>
          </w:tcPr>
          <w:p w14:paraId="173E015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r>
      <w:tr w:rsidR="00A61186" w:rsidRPr="0037157A" w14:paraId="03B21D19" w14:textId="77777777" w:rsidTr="00A61186">
        <w:tc>
          <w:tcPr>
            <w:tcW w:w="810" w:type="dxa"/>
            <w:shd w:val="clear" w:color="auto" w:fill="auto"/>
            <w:noWrap/>
            <w:vAlign w:val="bottom"/>
          </w:tcPr>
          <w:p w14:paraId="1F7E1BFD"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2018</w:t>
            </w:r>
          </w:p>
        </w:tc>
        <w:tc>
          <w:tcPr>
            <w:tcW w:w="1085" w:type="dxa"/>
            <w:shd w:val="clear" w:color="auto" w:fill="auto"/>
            <w:noWrap/>
            <w:vAlign w:val="bottom"/>
          </w:tcPr>
          <w:p w14:paraId="44048DBB"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4</w:t>
            </w:r>
          </w:p>
        </w:tc>
        <w:tc>
          <w:tcPr>
            <w:tcW w:w="1085" w:type="dxa"/>
            <w:shd w:val="clear" w:color="auto" w:fill="auto"/>
            <w:noWrap/>
            <w:vAlign w:val="bottom"/>
          </w:tcPr>
          <w:p w14:paraId="7DBE0A15"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6" w:type="dxa"/>
            <w:shd w:val="clear" w:color="auto" w:fill="auto"/>
            <w:noWrap/>
            <w:vAlign w:val="bottom"/>
          </w:tcPr>
          <w:p w14:paraId="7E95CEF2"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54311BE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3</w:t>
            </w:r>
          </w:p>
        </w:tc>
        <w:tc>
          <w:tcPr>
            <w:tcW w:w="1085" w:type="dxa"/>
            <w:shd w:val="clear" w:color="auto" w:fill="auto"/>
            <w:noWrap/>
            <w:vAlign w:val="bottom"/>
          </w:tcPr>
          <w:p w14:paraId="7B08BF8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6" w:type="dxa"/>
            <w:shd w:val="clear" w:color="auto" w:fill="auto"/>
            <w:noWrap/>
            <w:vAlign w:val="bottom"/>
          </w:tcPr>
          <w:p w14:paraId="19A901AE"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r>
      <w:tr w:rsidR="00A61186" w:rsidRPr="0037157A" w14:paraId="6770B7E7" w14:textId="77777777" w:rsidTr="00A61186">
        <w:tc>
          <w:tcPr>
            <w:tcW w:w="810" w:type="dxa"/>
            <w:shd w:val="clear" w:color="auto" w:fill="auto"/>
            <w:noWrap/>
            <w:vAlign w:val="bottom"/>
          </w:tcPr>
          <w:p w14:paraId="6312F3FD" w14:textId="77777777" w:rsidR="002275F8" w:rsidRPr="0037157A" w:rsidRDefault="002275F8" w:rsidP="00B06C44">
            <w:pPr>
              <w:keepNext/>
              <w:tabs>
                <w:tab w:val="left" w:pos="288"/>
                <w:tab w:val="left" w:pos="576"/>
                <w:tab w:val="left" w:pos="864"/>
                <w:tab w:val="left" w:pos="1152"/>
              </w:tabs>
              <w:spacing w:before="40" w:after="40" w:line="210" w:lineRule="exact"/>
              <w:ind w:right="40"/>
              <w:rPr>
                <w:sz w:val="17"/>
                <w:lang w:val="fr-FR"/>
              </w:rPr>
            </w:pPr>
            <w:r w:rsidRPr="0037157A">
              <w:rPr>
                <w:sz w:val="17"/>
                <w:lang w:val="fr-FR"/>
              </w:rPr>
              <w:t>2019</w:t>
            </w:r>
          </w:p>
        </w:tc>
        <w:tc>
          <w:tcPr>
            <w:tcW w:w="1085" w:type="dxa"/>
            <w:shd w:val="clear" w:color="auto" w:fill="auto"/>
            <w:noWrap/>
            <w:vAlign w:val="bottom"/>
          </w:tcPr>
          <w:p w14:paraId="69271BAE"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1C5DDC32"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6" w:type="dxa"/>
            <w:shd w:val="clear" w:color="auto" w:fill="auto"/>
            <w:noWrap/>
            <w:vAlign w:val="bottom"/>
          </w:tcPr>
          <w:p w14:paraId="57D538EA"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5" w:type="dxa"/>
            <w:shd w:val="clear" w:color="auto" w:fill="auto"/>
            <w:noWrap/>
            <w:vAlign w:val="bottom"/>
          </w:tcPr>
          <w:p w14:paraId="29F53F2D"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r w:rsidRPr="0037157A">
              <w:rPr>
                <w:sz w:val="17"/>
                <w:lang w:val="fr-FR"/>
              </w:rPr>
              <w:t>1</w:t>
            </w:r>
          </w:p>
        </w:tc>
        <w:tc>
          <w:tcPr>
            <w:tcW w:w="1085" w:type="dxa"/>
            <w:shd w:val="clear" w:color="auto" w:fill="auto"/>
            <w:noWrap/>
            <w:vAlign w:val="bottom"/>
          </w:tcPr>
          <w:p w14:paraId="408576D7"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c>
          <w:tcPr>
            <w:tcW w:w="1086" w:type="dxa"/>
            <w:shd w:val="clear" w:color="auto" w:fill="auto"/>
            <w:noWrap/>
            <w:vAlign w:val="bottom"/>
          </w:tcPr>
          <w:p w14:paraId="5B2CF99C" w14:textId="77777777" w:rsidR="002275F8" w:rsidRPr="0037157A" w:rsidRDefault="002275F8" w:rsidP="00B06C44">
            <w:pPr>
              <w:keepNext/>
              <w:tabs>
                <w:tab w:val="left" w:pos="288"/>
                <w:tab w:val="left" w:pos="576"/>
                <w:tab w:val="left" w:pos="864"/>
                <w:tab w:val="left" w:pos="1152"/>
              </w:tabs>
              <w:spacing w:before="40" w:after="40" w:line="210" w:lineRule="exact"/>
              <w:ind w:right="43"/>
              <w:jc w:val="right"/>
              <w:rPr>
                <w:sz w:val="17"/>
                <w:lang w:val="fr-FR"/>
              </w:rPr>
            </w:pPr>
          </w:p>
        </w:tc>
      </w:tr>
      <w:tr w:rsidR="00A61186" w:rsidRPr="0037157A" w14:paraId="1A2F372C" w14:textId="77777777" w:rsidTr="00A61186">
        <w:tc>
          <w:tcPr>
            <w:tcW w:w="810" w:type="dxa"/>
            <w:tcBorders>
              <w:bottom w:val="single" w:sz="4" w:space="0" w:color="auto"/>
            </w:tcBorders>
            <w:shd w:val="clear" w:color="auto" w:fill="auto"/>
            <w:noWrap/>
            <w:vAlign w:val="bottom"/>
          </w:tcPr>
          <w:p w14:paraId="6A4BF7C6" w14:textId="77777777" w:rsidR="002275F8" w:rsidRPr="0037157A" w:rsidRDefault="002275F8" w:rsidP="00B06C44">
            <w:pPr>
              <w:keepNext/>
              <w:tabs>
                <w:tab w:val="left" w:pos="288"/>
                <w:tab w:val="left" w:pos="576"/>
                <w:tab w:val="left" w:pos="864"/>
                <w:tab w:val="left" w:pos="1152"/>
              </w:tabs>
              <w:spacing w:before="40" w:after="81" w:line="210" w:lineRule="exact"/>
              <w:ind w:right="40"/>
              <w:rPr>
                <w:sz w:val="17"/>
                <w:lang w:val="fr-FR"/>
              </w:rPr>
            </w:pPr>
            <w:r w:rsidRPr="0037157A">
              <w:rPr>
                <w:sz w:val="17"/>
                <w:lang w:val="fr-FR"/>
              </w:rPr>
              <w:t>2020</w:t>
            </w:r>
          </w:p>
        </w:tc>
        <w:tc>
          <w:tcPr>
            <w:tcW w:w="1085" w:type="dxa"/>
            <w:tcBorders>
              <w:bottom w:val="single" w:sz="4" w:space="0" w:color="auto"/>
            </w:tcBorders>
            <w:shd w:val="clear" w:color="auto" w:fill="auto"/>
            <w:noWrap/>
            <w:vAlign w:val="bottom"/>
          </w:tcPr>
          <w:p w14:paraId="7F6D657B"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r w:rsidRPr="0037157A">
              <w:rPr>
                <w:sz w:val="17"/>
                <w:lang w:val="fr-FR"/>
              </w:rPr>
              <w:t>5</w:t>
            </w:r>
          </w:p>
        </w:tc>
        <w:tc>
          <w:tcPr>
            <w:tcW w:w="1085" w:type="dxa"/>
            <w:tcBorders>
              <w:bottom w:val="single" w:sz="4" w:space="0" w:color="auto"/>
            </w:tcBorders>
            <w:shd w:val="clear" w:color="auto" w:fill="auto"/>
            <w:noWrap/>
            <w:vAlign w:val="bottom"/>
          </w:tcPr>
          <w:p w14:paraId="22DB17DF"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p>
        </w:tc>
        <w:tc>
          <w:tcPr>
            <w:tcW w:w="1086" w:type="dxa"/>
            <w:tcBorders>
              <w:bottom w:val="single" w:sz="4" w:space="0" w:color="auto"/>
            </w:tcBorders>
            <w:shd w:val="clear" w:color="auto" w:fill="auto"/>
            <w:noWrap/>
            <w:vAlign w:val="bottom"/>
          </w:tcPr>
          <w:p w14:paraId="4A2F86F9"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p>
        </w:tc>
        <w:tc>
          <w:tcPr>
            <w:tcW w:w="1085" w:type="dxa"/>
            <w:tcBorders>
              <w:bottom w:val="single" w:sz="4" w:space="0" w:color="auto"/>
            </w:tcBorders>
            <w:shd w:val="clear" w:color="auto" w:fill="auto"/>
            <w:noWrap/>
            <w:vAlign w:val="bottom"/>
          </w:tcPr>
          <w:p w14:paraId="1C59EACE"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r w:rsidRPr="0037157A">
              <w:rPr>
                <w:sz w:val="17"/>
                <w:lang w:val="fr-FR"/>
              </w:rPr>
              <w:t>3</w:t>
            </w:r>
          </w:p>
        </w:tc>
        <w:tc>
          <w:tcPr>
            <w:tcW w:w="1085" w:type="dxa"/>
            <w:tcBorders>
              <w:bottom w:val="single" w:sz="4" w:space="0" w:color="auto"/>
            </w:tcBorders>
            <w:shd w:val="clear" w:color="auto" w:fill="auto"/>
            <w:noWrap/>
            <w:vAlign w:val="bottom"/>
          </w:tcPr>
          <w:p w14:paraId="4091AD57"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r w:rsidRPr="0037157A">
              <w:rPr>
                <w:sz w:val="17"/>
                <w:lang w:val="fr-FR"/>
              </w:rPr>
              <w:t>1</w:t>
            </w:r>
          </w:p>
        </w:tc>
        <w:tc>
          <w:tcPr>
            <w:tcW w:w="1086" w:type="dxa"/>
            <w:tcBorders>
              <w:bottom w:val="single" w:sz="4" w:space="0" w:color="auto"/>
            </w:tcBorders>
            <w:shd w:val="clear" w:color="auto" w:fill="auto"/>
            <w:noWrap/>
            <w:vAlign w:val="bottom"/>
          </w:tcPr>
          <w:p w14:paraId="2FB3A78A" w14:textId="77777777" w:rsidR="002275F8" w:rsidRPr="0037157A" w:rsidRDefault="002275F8" w:rsidP="00B06C44">
            <w:pPr>
              <w:keepNext/>
              <w:tabs>
                <w:tab w:val="left" w:pos="288"/>
                <w:tab w:val="left" w:pos="576"/>
                <w:tab w:val="left" w:pos="864"/>
                <w:tab w:val="left" w:pos="1152"/>
              </w:tabs>
              <w:spacing w:before="40" w:after="81" w:line="210" w:lineRule="exact"/>
              <w:ind w:right="43"/>
              <w:jc w:val="right"/>
              <w:rPr>
                <w:sz w:val="17"/>
                <w:lang w:val="fr-FR"/>
              </w:rPr>
            </w:pPr>
            <w:r w:rsidRPr="0037157A">
              <w:rPr>
                <w:sz w:val="17"/>
                <w:lang w:val="fr-FR"/>
              </w:rPr>
              <w:t>1</w:t>
            </w:r>
          </w:p>
        </w:tc>
      </w:tr>
      <w:tr w:rsidR="00A61186" w:rsidRPr="0037157A" w14:paraId="6CA20F92" w14:textId="77777777" w:rsidTr="00A61186">
        <w:tc>
          <w:tcPr>
            <w:tcW w:w="810" w:type="dxa"/>
            <w:tcBorders>
              <w:top w:val="single" w:sz="4" w:space="0" w:color="auto"/>
              <w:bottom w:val="single" w:sz="12" w:space="0" w:color="auto"/>
            </w:tcBorders>
            <w:shd w:val="clear" w:color="auto" w:fill="auto"/>
            <w:noWrap/>
            <w:vAlign w:val="bottom"/>
          </w:tcPr>
          <w:p w14:paraId="206444E4" w14:textId="77777777" w:rsidR="002275F8" w:rsidRPr="0037157A" w:rsidRDefault="002275F8" w:rsidP="00B06C44">
            <w:pPr>
              <w:keepNext/>
              <w:tabs>
                <w:tab w:val="left" w:pos="288"/>
                <w:tab w:val="left" w:pos="576"/>
                <w:tab w:val="left" w:pos="864"/>
                <w:tab w:val="left" w:pos="1152"/>
              </w:tabs>
              <w:spacing w:before="81" w:after="81" w:line="210" w:lineRule="exact"/>
              <w:ind w:right="40"/>
              <w:rPr>
                <w:b/>
                <w:sz w:val="17"/>
                <w:lang w:val="fr-FR"/>
              </w:rPr>
            </w:pPr>
            <w:r w:rsidRPr="0037157A">
              <w:rPr>
                <w:b/>
                <w:sz w:val="17"/>
                <w:lang w:val="fr-FR"/>
              </w:rPr>
              <w:tab/>
              <w:t>Total</w:t>
            </w:r>
          </w:p>
        </w:tc>
        <w:tc>
          <w:tcPr>
            <w:tcW w:w="1085" w:type="dxa"/>
            <w:tcBorders>
              <w:top w:val="single" w:sz="4" w:space="0" w:color="auto"/>
              <w:bottom w:val="single" w:sz="12" w:space="0" w:color="auto"/>
            </w:tcBorders>
            <w:shd w:val="clear" w:color="auto" w:fill="auto"/>
            <w:noWrap/>
            <w:vAlign w:val="bottom"/>
          </w:tcPr>
          <w:p w14:paraId="41B39141"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18</w:t>
            </w:r>
          </w:p>
        </w:tc>
        <w:tc>
          <w:tcPr>
            <w:tcW w:w="1085" w:type="dxa"/>
            <w:tcBorders>
              <w:top w:val="single" w:sz="4" w:space="0" w:color="auto"/>
              <w:bottom w:val="single" w:sz="12" w:space="0" w:color="auto"/>
            </w:tcBorders>
            <w:shd w:val="clear" w:color="auto" w:fill="auto"/>
            <w:noWrap/>
            <w:vAlign w:val="bottom"/>
          </w:tcPr>
          <w:p w14:paraId="20D84DD2"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1</w:t>
            </w:r>
          </w:p>
        </w:tc>
        <w:tc>
          <w:tcPr>
            <w:tcW w:w="1086" w:type="dxa"/>
            <w:tcBorders>
              <w:top w:val="single" w:sz="4" w:space="0" w:color="auto"/>
              <w:bottom w:val="single" w:sz="12" w:space="0" w:color="auto"/>
            </w:tcBorders>
            <w:shd w:val="clear" w:color="auto" w:fill="auto"/>
            <w:noWrap/>
            <w:vAlign w:val="bottom"/>
          </w:tcPr>
          <w:p w14:paraId="252E37A6"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3</w:t>
            </w:r>
          </w:p>
        </w:tc>
        <w:tc>
          <w:tcPr>
            <w:tcW w:w="1085" w:type="dxa"/>
            <w:tcBorders>
              <w:top w:val="single" w:sz="4" w:space="0" w:color="auto"/>
              <w:bottom w:val="single" w:sz="12" w:space="0" w:color="auto"/>
            </w:tcBorders>
            <w:shd w:val="clear" w:color="auto" w:fill="auto"/>
            <w:noWrap/>
            <w:vAlign w:val="bottom"/>
          </w:tcPr>
          <w:p w14:paraId="7919A448"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8</w:t>
            </w:r>
          </w:p>
        </w:tc>
        <w:tc>
          <w:tcPr>
            <w:tcW w:w="1085" w:type="dxa"/>
            <w:tcBorders>
              <w:top w:val="single" w:sz="4" w:space="0" w:color="auto"/>
              <w:bottom w:val="single" w:sz="12" w:space="0" w:color="auto"/>
            </w:tcBorders>
            <w:shd w:val="clear" w:color="auto" w:fill="auto"/>
            <w:noWrap/>
            <w:vAlign w:val="bottom"/>
          </w:tcPr>
          <w:p w14:paraId="67C05B36"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5</w:t>
            </w:r>
          </w:p>
        </w:tc>
        <w:tc>
          <w:tcPr>
            <w:tcW w:w="1086" w:type="dxa"/>
            <w:tcBorders>
              <w:top w:val="single" w:sz="4" w:space="0" w:color="auto"/>
              <w:bottom w:val="single" w:sz="12" w:space="0" w:color="auto"/>
            </w:tcBorders>
            <w:shd w:val="clear" w:color="auto" w:fill="auto"/>
            <w:noWrap/>
            <w:vAlign w:val="bottom"/>
          </w:tcPr>
          <w:p w14:paraId="59780699" w14:textId="77777777" w:rsidR="002275F8" w:rsidRPr="0037157A" w:rsidRDefault="002275F8" w:rsidP="00B06C44">
            <w:pPr>
              <w:keepNext/>
              <w:tabs>
                <w:tab w:val="left" w:pos="288"/>
                <w:tab w:val="left" w:pos="576"/>
                <w:tab w:val="left" w:pos="864"/>
                <w:tab w:val="left" w:pos="1152"/>
              </w:tabs>
              <w:spacing w:before="81" w:after="81" w:line="210" w:lineRule="exact"/>
              <w:ind w:right="43"/>
              <w:jc w:val="right"/>
              <w:rPr>
                <w:b/>
                <w:sz w:val="17"/>
                <w:lang w:val="fr-FR"/>
              </w:rPr>
            </w:pPr>
            <w:r w:rsidRPr="0037157A">
              <w:rPr>
                <w:b/>
                <w:sz w:val="17"/>
                <w:lang w:val="fr-FR"/>
              </w:rPr>
              <w:t>1</w:t>
            </w:r>
          </w:p>
        </w:tc>
      </w:tr>
    </w:tbl>
    <w:p w14:paraId="203C34C6" w14:textId="29505C98" w:rsidR="002275F8" w:rsidRPr="0037157A" w:rsidRDefault="002275F8" w:rsidP="00B06C44">
      <w:pPr>
        <w:pStyle w:val="SingleTxt"/>
        <w:keepNext/>
        <w:spacing w:after="0" w:line="120" w:lineRule="exact"/>
        <w:rPr>
          <w:sz w:val="10"/>
          <w:lang w:val="fr-FR"/>
        </w:rPr>
      </w:pPr>
    </w:p>
    <w:p w14:paraId="0AFCEB7E" w14:textId="7122DA0D" w:rsidR="00A61186" w:rsidRPr="0037157A" w:rsidRDefault="00A61186" w:rsidP="00A61186">
      <w:pPr>
        <w:pStyle w:val="SingleTxt"/>
        <w:spacing w:after="0" w:line="120" w:lineRule="exact"/>
        <w:rPr>
          <w:sz w:val="10"/>
          <w:lang w:val="fr-FR"/>
        </w:rPr>
      </w:pPr>
    </w:p>
    <w:p w14:paraId="40C15696" w14:textId="219B3F9F" w:rsidR="002275F8" w:rsidRPr="0037157A" w:rsidRDefault="002275F8" w:rsidP="009D535F">
      <w:pPr>
        <w:pStyle w:val="SingleTxt"/>
        <w:numPr>
          <w:ilvl w:val="0"/>
          <w:numId w:val="12"/>
        </w:numPr>
        <w:spacing w:line="240" w:lineRule="exact"/>
        <w:rPr>
          <w:bCs/>
          <w:lang w:val="fr-FR"/>
        </w:rPr>
      </w:pPr>
      <w:bookmarkStart w:id="9" w:name="_Ref76542024"/>
      <w:r w:rsidRPr="0037157A">
        <w:rPr>
          <w:lang w:val="fr-FR"/>
        </w:rPr>
        <w:t>Le 11 mai 2021, la Hongrie a présenté à la Commission européenne son plan de relèvement et de résilience</w:t>
      </w:r>
      <w:r w:rsidR="00BE1017">
        <w:rPr>
          <w:lang w:val="fr-FR"/>
        </w:rPr>
        <w:t xml:space="preserve"> </w:t>
      </w:r>
      <w:r w:rsidRPr="0037157A">
        <w:rPr>
          <w:lang w:val="fr-FR"/>
        </w:rPr>
        <w:t>2021, qui est actuellement en cours d</w:t>
      </w:r>
      <w:r w:rsidR="004471C3" w:rsidRPr="0037157A">
        <w:rPr>
          <w:lang w:val="fr-FR"/>
        </w:rPr>
        <w:t>’</w:t>
      </w:r>
      <w:r w:rsidRPr="0037157A">
        <w:rPr>
          <w:lang w:val="fr-FR"/>
        </w:rPr>
        <w:t>acceptation. Le document soumis prévoit un soutien important pour accroître le nombre de places en crèche. La raison de ce choix est que l</w:t>
      </w:r>
      <w:r w:rsidR="004471C3" w:rsidRPr="0037157A">
        <w:rPr>
          <w:lang w:val="fr-FR"/>
        </w:rPr>
        <w:t>’</w:t>
      </w:r>
      <w:r w:rsidRPr="0037157A">
        <w:rPr>
          <w:lang w:val="fr-FR"/>
        </w:rPr>
        <w:t>écart entre les femmes et les hommes en matière d</w:t>
      </w:r>
      <w:r w:rsidR="004471C3" w:rsidRPr="0037157A">
        <w:rPr>
          <w:lang w:val="fr-FR"/>
        </w:rPr>
        <w:t>’</w:t>
      </w:r>
      <w:r w:rsidRPr="0037157A">
        <w:rPr>
          <w:lang w:val="fr-FR"/>
        </w:rPr>
        <w:t>emploi peut être réduit en encourageant la conciliation de la vie professionnelle et de la vie familiale, et donc en augmentant le nombre de places en crèche et en favorisant l</w:t>
      </w:r>
      <w:r w:rsidR="004471C3" w:rsidRPr="0037157A">
        <w:rPr>
          <w:lang w:val="fr-FR"/>
        </w:rPr>
        <w:t>’</w:t>
      </w:r>
      <w:r w:rsidRPr="0037157A">
        <w:rPr>
          <w:lang w:val="fr-FR"/>
        </w:rPr>
        <w:t>accès à des services de garde d</w:t>
      </w:r>
      <w:r w:rsidR="004471C3" w:rsidRPr="0037157A">
        <w:rPr>
          <w:lang w:val="fr-FR"/>
        </w:rPr>
        <w:t>’</w:t>
      </w:r>
      <w:r w:rsidRPr="0037157A">
        <w:rPr>
          <w:lang w:val="fr-FR"/>
        </w:rPr>
        <w:t>enfants abordables, durables et de qualité. En outre, le développement de services de garde d</w:t>
      </w:r>
      <w:r w:rsidR="004471C3" w:rsidRPr="0037157A">
        <w:rPr>
          <w:lang w:val="fr-FR"/>
        </w:rPr>
        <w:t>’</w:t>
      </w:r>
      <w:r w:rsidRPr="0037157A">
        <w:rPr>
          <w:lang w:val="fr-FR"/>
        </w:rPr>
        <w:t>enfants de qualité contribue à créer de nouvelles institutions, de nouveaux services et de nouveaux emplois, ce qui aide les femmes élevant des enfants de moins de trois ans à réintégrer le marché du travail.</w:t>
      </w:r>
      <w:bookmarkEnd w:id="9"/>
    </w:p>
    <w:p w14:paraId="04C0E279" w14:textId="44A2B3A0" w:rsidR="00A61186" w:rsidRPr="0037157A" w:rsidRDefault="00A61186" w:rsidP="00A61186">
      <w:pPr>
        <w:pStyle w:val="SingleTxt"/>
        <w:spacing w:after="0" w:line="120" w:lineRule="exact"/>
        <w:rPr>
          <w:sz w:val="10"/>
          <w:lang w:val="fr-FR"/>
        </w:rPr>
      </w:pPr>
    </w:p>
    <w:p w14:paraId="30D1E7DA" w14:textId="7FB87128" w:rsidR="00A61186" w:rsidRPr="0037157A" w:rsidRDefault="00A61186" w:rsidP="00A61186">
      <w:pPr>
        <w:pStyle w:val="SingleTxt"/>
        <w:spacing w:after="0" w:line="120" w:lineRule="exact"/>
        <w:rPr>
          <w:bCs/>
          <w:sz w:val="10"/>
          <w:lang w:val="fr-FR"/>
        </w:rPr>
      </w:pPr>
    </w:p>
    <w:p w14:paraId="54239D58" w14:textId="50D92C1A" w:rsidR="002275F8" w:rsidRPr="0037157A" w:rsidRDefault="002275F8" w:rsidP="00A611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7157A">
        <w:rPr>
          <w:lang w:val="fr-FR"/>
        </w:rPr>
        <w:tab/>
      </w:r>
      <w:r w:rsidRPr="0037157A">
        <w:rPr>
          <w:lang w:val="fr-FR"/>
        </w:rPr>
        <w:tab/>
        <w:t>Santé</w:t>
      </w:r>
    </w:p>
    <w:p w14:paraId="367DC4CD" w14:textId="11F3C0C5" w:rsidR="00A61186" w:rsidRPr="0037157A" w:rsidRDefault="00A61186" w:rsidP="00A61186">
      <w:pPr>
        <w:pStyle w:val="SingleTxt"/>
        <w:spacing w:after="0" w:line="120" w:lineRule="exact"/>
        <w:rPr>
          <w:sz w:val="10"/>
          <w:lang w:val="fr-FR"/>
        </w:rPr>
      </w:pPr>
    </w:p>
    <w:p w14:paraId="4F37064E" w14:textId="0CF9B5C8" w:rsidR="00A61186" w:rsidRPr="0037157A" w:rsidRDefault="00A61186" w:rsidP="00A61186">
      <w:pPr>
        <w:pStyle w:val="SingleTxt"/>
        <w:spacing w:after="0" w:line="120" w:lineRule="exact"/>
        <w:rPr>
          <w:sz w:val="10"/>
          <w:lang w:val="fr-FR"/>
        </w:rPr>
      </w:pPr>
    </w:p>
    <w:p w14:paraId="75582589" w14:textId="0EBCAE2C" w:rsidR="002275F8" w:rsidRPr="0037157A" w:rsidRDefault="002275F8" w:rsidP="00A6118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Espérance de vie</w:t>
      </w:r>
    </w:p>
    <w:p w14:paraId="77728AE6" w14:textId="00478D40" w:rsidR="00A61186" w:rsidRPr="0037157A" w:rsidRDefault="00A61186" w:rsidP="00A61186">
      <w:pPr>
        <w:pStyle w:val="SingleTxt"/>
        <w:spacing w:after="0" w:line="120" w:lineRule="exact"/>
        <w:rPr>
          <w:sz w:val="10"/>
          <w:lang w:val="fr-FR"/>
        </w:rPr>
      </w:pPr>
    </w:p>
    <w:p w14:paraId="51A5008A" w14:textId="2E5BF76B" w:rsidR="002275F8" w:rsidRPr="0037157A" w:rsidRDefault="002275F8" w:rsidP="009D535F">
      <w:pPr>
        <w:pStyle w:val="SingleTxt"/>
        <w:numPr>
          <w:ilvl w:val="0"/>
          <w:numId w:val="12"/>
        </w:numPr>
        <w:spacing w:line="240" w:lineRule="exact"/>
        <w:rPr>
          <w:lang w:val="fr-FR"/>
        </w:rPr>
      </w:pPr>
      <w:r w:rsidRPr="0037157A">
        <w:rPr>
          <w:lang w:val="fr-FR"/>
        </w:rPr>
        <w:t>En Hongrie, l</w:t>
      </w:r>
      <w:r w:rsidR="004471C3" w:rsidRPr="0037157A">
        <w:rPr>
          <w:lang w:val="fr-FR"/>
        </w:rPr>
        <w:t>’</w:t>
      </w:r>
      <w:r w:rsidRPr="0037157A">
        <w:rPr>
          <w:lang w:val="fr-FR"/>
        </w:rPr>
        <w:t>espérance de vie à la naissance a considérablement augmenté entre 2000 et 2017 (passant de 71,9 ans à 76,0 ans), une augmentation légèrement supérieure à la moyenne de l</w:t>
      </w:r>
      <w:r w:rsidR="004471C3" w:rsidRPr="0037157A">
        <w:rPr>
          <w:lang w:val="fr-FR"/>
        </w:rPr>
        <w:t>’</w:t>
      </w:r>
      <w:r w:rsidRPr="0037157A">
        <w:rPr>
          <w:lang w:val="fr-FR"/>
        </w:rPr>
        <w:t>Union européenne (3,6 ans). Cette augmentation est principalement due à une réduction de la mortalité causée par les maladies cardiovasculaires, en particulier les accidents vasculaires cérébraux.</w:t>
      </w:r>
    </w:p>
    <w:p w14:paraId="42128D11" w14:textId="162DEBD0" w:rsidR="002275F8" w:rsidRPr="0037157A" w:rsidRDefault="002275F8" w:rsidP="00A61186">
      <w:pPr>
        <w:pStyle w:val="SingleTxt"/>
        <w:spacing w:after="0" w:line="120" w:lineRule="exact"/>
        <w:rPr>
          <w:sz w:val="10"/>
          <w:lang w:val="fr-FR"/>
        </w:rPr>
      </w:pPr>
    </w:p>
    <w:p w14:paraId="5CBAA455" w14:textId="77777777" w:rsidR="002275F8" w:rsidRPr="0037157A" w:rsidRDefault="002275F8" w:rsidP="00A61186">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37157A">
        <w:rPr>
          <w:lang w:val="fr-FR"/>
        </w:rPr>
        <w:tab/>
      </w:r>
      <w:r w:rsidRPr="0037157A">
        <w:rPr>
          <w:lang w:val="fr-FR"/>
        </w:rPr>
        <w:tab/>
        <w:t>Tableau</w:t>
      </w:r>
      <w:r w:rsidRPr="0037157A">
        <w:rPr>
          <w:bCs/>
          <w:lang w:val="fr-FR"/>
        </w:rPr>
        <w:t> 7</w:t>
      </w:r>
    </w:p>
    <w:p w14:paraId="7F3F44F0" w14:textId="52F5DE76" w:rsidR="002275F8" w:rsidRPr="0037157A" w:rsidRDefault="00A61186" w:rsidP="00A61186">
      <w:pPr>
        <w:pStyle w:val="H23G"/>
        <w:tabs>
          <w:tab w:val="clear" w:pos="851"/>
          <w:tab w:val="right" w:pos="1022"/>
          <w:tab w:val="left" w:pos="1267"/>
          <w:tab w:val="left" w:pos="2218"/>
          <w:tab w:val="left" w:pos="2693"/>
          <w:tab w:val="left" w:pos="3182"/>
          <w:tab w:val="left" w:pos="3658"/>
          <w:tab w:val="left" w:pos="4133"/>
          <w:tab w:val="left" w:pos="4622"/>
          <w:tab w:val="left" w:pos="5098"/>
          <w:tab w:val="left" w:pos="5573"/>
          <w:tab w:val="left" w:pos="6048"/>
        </w:tabs>
        <w:spacing w:before="0" w:after="0"/>
        <w:ind w:left="0" w:right="0" w:firstLine="0"/>
        <w:rPr>
          <w:bCs/>
          <w:lang w:val="fr-FR"/>
        </w:rPr>
      </w:pPr>
      <w:r w:rsidRPr="0037157A">
        <w:rPr>
          <w:bCs/>
          <w:lang w:val="fr-FR"/>
        </w:rPr>
        <w:tab/>
      </w:r>
      <w:r w:rsidRPr="0037157A">
        <w:rPr>
          <w:bCs/>
          <w:lang w:val="fr-FR"/>
        </w:rPr>
        <w:tab/>
      </w:r>
      <w:r w:rsidR="002275F8" w:rsidRPr="0037157A">
        <w:rPr>
          <w:bCs/>
          <w:lang w:val="fr-FR"/>
        </w:rPr>
        <w:t xml:space="preserve">Espérance </w:t>
      </w:r>
      <w:r w:rsidR="002275F8" w:rsidRPr="0037157A">
        <w:rPr>
          <w:spacing w:val="2"/>
          <w:w w:val="103"/>
          <w:kern w:val="14"/>
          <w:szCs w:val="22"/>
          <w:lang w:val="fr-FR"/>
        </w:rPr>
        <w:t>de</w:t>
      </w:r>
      <w:r w:rsidR="002275F8" w:rsidRPr="0037157A">
        <w:rPr>
          <w:bCs/>
          <w:lang w:val="fr-FR"/>
        </w:rPr>
        <w:t xml:space="preserve"> vie dans l</w:t>
      </w:r>
      <w:r w:rsidR="004471C3" w:rsidRPr="0037157A">
        <w:rPr>
          <w:bCs/>
          <w:lang w:val="fr-FR"/>
        </w:rPr>
        <w:t>’</w:t>
      </w:r>
      <w:r w:rsidR="002275F8" w:rsidRPr="0037157A">
        <w:rPr>
          <w:bCs/>
          <w:lang w:val="fr-FR"/>
        </w:rPr>
        <w:t>Union européenne et en Hongrie</w:t>
      </w:r>
    </w:p>
    <w:p w14:paraId="6D4EBD63" w14:textId="60FA08AC" w:rsidR="002275F8" w:rsidRPr="0037157A" w:rsidRDefault="002275F8" w:rsidP="00A61186">
      <w:pPr>
        <w:pStyle w:val="SingleTxt"/>
        <w:spacing w:after="0" w:line="120" w:lineRule="exact"/>
        <w:rPr>
          <w:sz w:val="10"/>
          <w:lang w:val="fr-FR"/>
        </w:rPr>
      </w:pPr>
    </w:p>
    <w:p w14:paraId="732B9270" w14:textId="699DB85D" w:rsidR="00A61186" w:rsidRPr="0037157A" w:rsidRDefault="00A61186" w:rsidP="00A61186">
      <w:pPr>
        <w:pStyle w:val="SingleTxt"/>
        <w:spacing w:after="0" w:line="120" w:lineRule="exact"/>
        <w:rPr>
          <w:sz w:val="10"/>
          <w:lang w:val="fr-FR"/>
        </w:rPr>
      </w:pPr>
    </w:p>
    <w:p w14:paraId="62B6B45B" w14:textId="276A686D" w:rsidR="00A61186" w:rsidRPr="0037157A" w:rsidRDefault="00A61186" w:rsidP="00A61186">
      <w:pPr>
        <w:pStyle w:val="SingleTxt"/>
        <w:spacing w:after="0" w:line="240" w:lineRule="auto"/>
        <w:rPr>
          <w:lang w:val="fr-FR"/>
        </w:rPr>
      </w:pPr>
      <w:r w:rsidRPr="0037157A">
        <w:rPr>
          <w:noProof/>
          <w:lang w:val="fr-FR"/>
        </w:rPr>
        <w:drawing>
          <wp:inline distT="0" distB="0" distL="0" distR="0" wp14:anchorId="3501528F" wp14:editId="1CA76EEA">
            <wp:extent cx="4688205" cy="220531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6715" cy="2209321"/>
                    </a:xfrm>
                    <a:prstGeom prst="rect">
                      <a:avLst/>
                    </a:prstGeom>
                    <a:noFill/>
                  </pic:spPr>
                </pic:pic>
              </a:graphicData>
            </a:graphic>
          </wp:inline>
        </w:drawing>
      </w:r>
    </w:p>
    <w:p w14:paraId="2BAD727F" w14:textId="3834DA54" w:rsidR="002E0B8B" w:rsidRPr="0037157A" w:rsidRDefault="002E0B8B" w:rsidP="00A61186">
      <w:pPr>
        <w:pStyle w:val="SingleTxt"/>
        <w:spacing w:after="0" w:line="120" w:lineRule="exact"/>
        <w:rPr>
          <w:sz w:val="10"/>
          <w:lang w:val="fr-FR"/>
        </w:rPr>
      </w:pPr>
    </w:p>
    <w:p w14:paraId="5EA8979A" w14:textId="39FB79B2" w:rsidR="00A61186" w:rsidRPr="0037157A" w:rsidRDefault="00A61186" w:rsidP="00A61186">
      <w:pPr>
        <w:pStyle w:val="SingleTxt"/>
        <w:spacing w:after="0" w:line="120" w:lineRule="exact"/>
        <w:rPr>
          <w:sz w:val="10"/>
          <w:lang w:val="fr-FR"/>
        </w:rPr>
      </w:pPr>
    </w:p>
    <w:p w14:paraId="6E0438BB" w14:textId="77777777" w:rsidR="004471C3" w:rsidRPr="0037157A" w:rsidRDefault="00A61186" w:rsidP="009D535F">
      <w:pPr>
        <w:pStyle w:val="SingleTxt"/>
        <w:numPr>
          <w:ilvl w:val="0"/>
          <w:numId w:val="12"/>
        </w:numPr>
        <w:spacing w:line="240" w:lineRule="exact"/>
        <w:rPr>
          <w:lang w:val="fr-FR"/>
        </w:rPr>
      </w:pPr>
      <w:r w:rsidRPr="0037157A">
        <w:rPr>
          <w:lang w:val="fr-FR"/>
        </w:rPr>
        <w:t>L</w:t>
      </w:r>
      <w:r w:rsidR="004471C3" w:rsidRPr="0037157A">
        <w:rPr>
          <w:lang w:val="fr-FR"/>
        </w:rPr>
        <w:t>’</w:t>
      </w:r>
      <w:r w:rsidRPr="0037157A">
        <w:rPr>
          <w:lang w:val="fr-FR"/>
        </w:rPr>
        <w:t>espérance de vie en bonne santé à la naissance des femmes est passée de 59 ans en 2010 à 61,5 ans en 2018, soit une augmentation de 2,5 ans.</w:t>
      </w:r>
    </w:p>
    <w:p w14:paraId="070568D1" w14:textId="550CFAF4" w:rsidR="00A61186" w:rsidRPr="0037157A" w:rsidRDefault="00A61186" w:rsidP="009D535F">
      <w:pPr>
        <w:pStyle w:val="SingleTxt"/>
        <w:numPr>
          <w:ilvl w:val="0"/>
          <w:numId w:val="12"/>
        </w:numPr>
        <w:spacing w:line="240" w:lineRule="exact"/>
        <w:rPr>
          <w:lang w:val="fr-FR"/>
        </w:rPr>
      </w:pPr>
      <w:r w:rsidRPr="0037157A">
        <w:rPr>
          <w:lang w:val="fr-FR"/>
        </w:rPr>
        <w:t>En 2019, les femmes hongroises ont perdu 35 503 années de vie en bonne santé pour 100 000 personnes. Les maladies chroniques non transmissibles représentent 90</w:t>
      </w:r>
      <w:r w:rsidR="004471C3" w:rsidRPr="0037157A">
        <w:rPr>
          <w:lang w:val="fr-FR"/>
        </w:rPr>
        <w:t> %</w:t>
      </w:r>
      <w:r w:rsidRPr="0037157A">
        <w:rPr>
          <w:lang w:val="fr-FR"/>
        </w:rPr>
        <w:t xml:space="preserve"> des problèmes de santé des femmes, tandis que 7</w:t>
      </w:r>
      <w:r w:rsidR="004471C3" w:rsidRPr="0037157A">
        <w:rPr>
          <w:lang w:val="fr-FR"/>
        </w:rPr>
        <w:t> %</w:t>
      </w:r>
      <w:r w:rsidRPr="0037157A">
        <w:rPr>
          <w:lang w:val="fr-FR"/>
        </w:rPr>
        <w:t xml:space="preserve"> sont dus à des blessures et 3</w:t>
      </w:r>
      <w:r w:rsidR="004471C3" w:rsidRPr="0037157A">
        <w:rPr>
          <w:lang w:val="fr-FR"/>
        </w:rPr>
        <w:t> %</w:t>
      </w:r>
      <w:r w:rsidRPr="0037157A">
        <w:rPr>
          <w:lang w:val="fr-FR"/>
        </w:rPr>
        <w:t xml:space="preserve"> à des maladies infectieuses, maternelles, néonatales et nutritionnelles.</w:t>
      </w:r>
    </w:p>
    <w:p w14:paraId="7592D87D" w14:textId="77777777" w:rsidR="00A61186" w:rsidRPr="0037157A" w:rsidRDefault="00A61186" w:rsidP="009D535F">
      <w:pPr>
        <w:pStyle w:val="SingleTxt"/>
        <w:numPr>
          <w:ilvl w:val="0"/>
          <w:numId w:val="12"/>
        </w:numPr>
        <w:spacing w:line="240" w:lineRule="exact"/>
        <w:rPr>
          <w:lang w:val="fr-FR"/>
        </w:rPr>
      </w:pPr>
      <w:r w:rsidRPr="0037157A">
        <w:rPr>
          <w:lang w:val="fr-FR"/>
        </w:rPr>
        <w:t>Comme le montre le tableau ci-dessous, les principales causes de décès chez les hommes comme chez les femmes sont les maladies cardiovasculaires, les cancers et les maladies respiratoires.</w:t>
      </w:r>
    </w:p>
    <w:p w14:paraId="1D8826F4" w14:textId="120ECF2F" w:rsidR="00A61186" w:rsidRPr="0037157A" w:rsidRDefault="00A61186" w:rsidP="00A61186">
      <w:pPr>
        <w:pStyle w:val="SingleTxt"/>
        <w:spacing w:after="0" w:line="120" w:lineRule="exact"/>
        <w:rPr>
          <w:sz w:val="10"/>
          <w:lang w:val="fr-FR"/>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1"/>
        <w:gridCol w:w="1166"/>
        <w:gridCol w:w="1077"/>
        <w:gridCol w:w="89"/>
        <w:gridCol w:w="1118"/>
        <w:gridCol w:w="1169"/>
        <w:gridCol w:w="1080"/>
        <w:gridCol w:w="1299"/>
      </w:tblGrid>
      <w:tr w:rsidR="00A61186" w:rsidRPr="0037157A" w14:paraId="6DD08CE6" w14:textId="77777777" w:rsidTr="00BE1017">
        <w:trPr>
          <w:tblHeader/>
        </w:trPr>
        <w:tc>
          <w:tcPr>
            <w:tcW w:w="2851" w:type="dxa"/>
            <w:tcBorders>
              <w:top w:val="single" w:sz="4" w:space="0" w:color="auto"/>
            </w:tcBorders>
            <w:shd w:val="clear" w:color="auto" w:fill="auto"/>
            <w:vAlign w:val="bottom"/>
          </w:tcPr>
          <w:p w14:paraId="0B4B15B7"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p>
        </w:tc>
        <w:tc>
          <w:tcPr>
            <w:tcW w:w="2243" w:type="dxa"/>
            <w:gridSpan w:val="2"/>
            <w:tcBorders>
              <w:top w:val="single" w:sz="4" w:space="0" w:color="auto"/>
              <w:bottom w:val="single" w:sz="4" w:space="0" w:color="auto"/>
            </w:tcBorders>
            <w:shd w:val="clear" w:color="auto" w:fill="auto"/>
            <w:vAlign w:val="bottom"/>
          </w:tcPr>
          <w:p w14:paraId="5A8CD45D"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szCs w:val="14"/>
                <w:lang w:val="fr-FR"/>
              </w:rPr>
            </w:pPr>
            <w:r w:rsidRPr="0037157A">
              <w:rPr>
                <w:i/>
                <w:iCs/>
                <w:sz w:val="14"/>
                <w:szCs w:val="14"/>
                <w:lang w:val="fr-FR"/>
              </w:rPr>
              <w:t>Taux brut de mortalité, 2018</w:t>
            </w:r>
          </w:p>
        </w:tc>
        <w:tc>
          <w:tcPr>
            <w:tcW w:w="89" w:type="dxa"/>
            <w:tcBorders>
              <w:top w:val="single" w:sz="4" w:space="0" w:color="auto"/>
            </w:tcBorders>
            <w:shd w:val="clear" w:color="auto" w:fill="auto"/>
            <w:vAlign w:val="bottom"/>
          </w:tcPr>
          <w:p w14:paraId="67BBC72E"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szCs w:val="14"/>
                <w:lang w:val="fr-FR"/>
              </w:rPr>
            </w:pPr>
          </w:p>
        </w:tc>
        <w:tc>
          <w:tcPr>
            <w:tcW w:w="4666" w:type="dxa"/>
            <w:gridSpan w:val="4"/>
            <w:tcBorders>
              <w:top w:val="single" w:sz="4" w:space="0" w:color="auto"/>
              <w:bottom w:val="single" w:sz="4" w:space="0" w:color="auto"/>
            </w:tcBorders>
            <w:shd w:val="clear" w:color="auto" w:fill="auto"/>
            <w:vAlign w:val="bottom"/>
          </w:tcPr>
          <w:p w14:paraId="29D50FEC"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szCs w:val="14"/>
                <w:lang w:val="fr-FR"/>
              </w:rPr>
            </w:pPr>
            <w:r w:rsidRPr="0037157A">
              <w:rPr>
                <w:i/>
                <w:iCs/>
                <w:sz w:val="14"/>
                <w:szCs w:val="14"/>
                <w:lang w:val="fr-FR"/>
              </w:rPr>
              <w:t>Taux de mortalité standardisé, 2018</w:t>
            </w:r>
          </w:p>
        </w:tc>
      </w:tr>
      <w:tr w:rsidR="00A61186" w:rsidRPr="0037157A" w14:paraId="37295E26" w14:textId="77777777" w:rsidTr="00BE1017">
        <w:trPr>
          <w:tblHeader/>
        </w:trPr>
        <w:tc>
          <w:tcPr>
            <w:tcW w:w="2851" w:type="dxa"/>
            <w:tcBorders>
              <w:bottom w:val="single" w:sz="12" w:space="0" w:color="auto"/>
            </w:tcBorders>
            <w:shd w:val="clear" w:color="auto" w:fill="auto"/>
            <w:vAlign w:val="bottom"/>
          </w:tcPr>
          <w:p w14:paraId="74BA4E49"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p>
        </w:tc>
        <w:tc>
          <w:tcPr>
            <w:tcW w:w="1166" w:type="dxa"/>
            <w:tcBorders>
              <w:bottom w:val="single" w:sz="12" w:space="0" w:color="auto"/>
            </w:tcBorders>
            <w:shd w:val="clear" w:color="auto" w:fill="auto"/>
            <w:vAlign w:val="bottom"/>
          </w:tcPr>
          <w:p w14:paraId="2A5A34BE"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Nombre de décès</w:t>
            </w:r>
          </w:p>
        </w:tc>
        <w:tc>
          <w:tcPr>
            <w:tcW w:w="1166" w:type="dxa"/>
            <w:gridSpan w:val="2"/>
            <w:tcBorders>
              <w:bottom w:val="single" w:sz="12" w:space="0" w:color="auto"/>
            </w:tcBorders>
            <w:shd w:val="clear" w:color="auto" w:fill="auto"/>
            <w:vAlign w:val="bottom"/>
          </w:tcPr>
          <w:p w14:paraId="61A617FE" w14:textId="3C128FBB"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Nombre total de décès en</w:t>
            </w:r>
            <w:r w:rsidR="004471C3" w:rsidRPr="0037157A">
              <w:rPr>
                <w:i/>
                <w:iCs/>
                <w:sz w:val="14"/>
                <w:szCs w:val="14"/>
                <w:lang w:val="fr-FR"/>
              </w:rPr>
              <w:t> %</w:t>
            </w:r>
          </w:p>
        </w:tc>
        <w:tc>
          <w:tcPr>
            <w:tcW w:w="1118" w:type="dxa"/>
            <w:tcBorders>
              <w:top w:val="single" w:sz="4" w:space="0" w:color="auto"/>
              <w:bottom w:val="single" w:sz="12" w:space="0" w:color="auto"/>
            </w:tcBorders>
            <w:shd w:val="clear" w:color="auto" w:fill="auto"/>
            <w:vAlign w:val="bottom"/>
          </w:tcPr>
          <w:p w14:paraId="3BF3433D"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Nombre de décès pour 100 000 habitants</w:t>
            </w:r>
          </w:p>
        </w:tc>
        <w:tc>
          <w:tcPr>
            <w:tcW w:w="1169" w:type="dxa"/>
            <w:tcBorders>
              <w:top w:val="single" w:sz="4" w:space="0" w:color="auto"/>
              <w:bottom w:val="single" w:sz="12" w:space="0" w:color="auto"/>
            </w:tcBorders>
            <w:shd w:val="clear" w:color="auto" w:fill="auto"/>
            <w:vAlign w:val="bottom"/>
          </w:tcPr>
          <w:p w14:paraId="7E675E70" w14:textId="252752D1"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En comparaison avec l</w:t>
            </w:r>
            <w:r w:rsidR="004471C3" w:rsidRPr="0037157A">
              <w:rPr>
                <w:i/>
                <w:iCs/>
                <w:sz w:val="14"/>
                <w:szCs w:val="14"/>
                <w:lang w:val="fr-FR"/>
              </w:rPr>
              <w:t>’</w:t>
            </w:r>
            <w:r w:rsidRPr="0037157A">
              <w:rPr>
                <w:i/>
                <w:iCs/>
                <w:sz w:val="14"/>
                <w:szCs w:val="14"/>
                <w:lang w:val="fr-FR"/>
              </w:rPr>
              <w:t>UE des 28 (2016)</w:t>
            </w:r>
            <w:r w:rsidRPr="0037157A">
              <w:rPr>
                <w:sz w:val="14"/>
                <w:szCs w:val="14"/>
                <w:lang w:val="fr-FR"/>
              </w:rPr>
              <w:t xml:space="preserve"> </w:t>
            </w:r>
          </w:p>
        </w:tc>
        <w:tc>
          <w:tcPr>
            <w:tcW w:w="1080" w:type="dxa"/>
            <w:tcBorders>
              <w:top w:val="single" w:sz="4" w:space="0" w:color="auto"/>
              <w:bottom w:val="single" w:sz="12" w:space="0" w:color="auto"/>
            </w:tcBorders>
            <w:shd w:val="clear" w:color="auto" w:fill="auto"/>
            <w:vAlign w:val="bottom"/>
          </w:tcPr>
          <w:p w14:paraId="5E9EE260"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Évolution par rapport à 2011</w:t>
            </w:r>
          </w:p>
        </w:tc>
        <w:tc>
          <w:tcPr>
            <w:tcW w:w="1299" w:type="dxa"/>
            <w:tcBorders>
              <w:top w:val="single" w:sz="4" w:space="0" w:color="auto"/>
              <w:bottom w:val="single" w:sz="12" w:space="0" w:color="auto"/>
            </w:tcBorders>
            <w:shd w:val="clear" w:color="auto" w:fill="auto"/>
            <w:vAlign w:val="bottom"/>
          </w:tcPr>
          <w:p w14:paraId="105F681A" w14:textId="649D6FF3"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fr-FR"/>
              </w:rPr>
            </w:pPr>
            <w:r w:rsidRPr="0037157A">
              <w:rPr>
                <w:i/>
                <w:iCs/>
                <w:sz w:val="14"/>
                <w:szCs w:val="14"/>
                <w:lang w:val="fr-FR"/>
              </w:rPr>
              <w:t>Évolution en comparaison avec l</w:t>
            </w:r>
            <w:r w:rsidR="004471C3" w:rsidRPr="0037157A">
              <w:rPr>
                <w:i/>
                <w:iCs/>
                <w:sz w:val="14"/>
                <w:szCs w:val="14"/>
                <w:lang w:val="fr-FR"/>
              </w:rPr>
              <w:t>’</w:t>
            </w:r>
            <w:r w:rsidRPr="0037157A">
              <w:rPr>
                <w:i/>
                <w:iCs/>
                <w:sz w:val="14"/>
                <w:szCs w:val="14"/>
                <w:lang w:val="fr-FR"/>
              </w:rPr>
              <w:t>UE des 28 depuis 2011</w:t>
            </w:r>
          </w:p>
        </w:tc>
      </w:tr>
      <w:tr w:rsidR="00A61186" w:rsidRPr="0037157A" w14:paraId="4976A254" w14:textId="77777777" w:rsidTr="00BE1017">
        <w:trPr>
          <w:trHeight w:hRule="exact" w:val="115"/>
          <w:tblHeader/>
        </w:trPr>
        <w:tc>
          <w:tcPr>
            <w:tcW w:w="2851" w:type="dxa"/>
            <w:tcBorders>
              <w:top w:val="single" w:sz="12" w:space="0" w:color="auto"/>
            </w:tcBorders>
            <w:shd w:val="clear" w:color="auto" w:fill="auto"/>
            <w:vAlign w:val="bottom"/>
          </w:tcPr>
          <w:p w14:paraId="490DB431"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fr-FR"/>
              </w:rPr>
            </w:pPr>
          </w:p>
        </w:tc>
        <w:tc>
          <w:tcPr>
            <w:tcW w:w="1166" w:type="dxa"/>
            <w:tcBorders>
              <w:top w:val="single" w:sz="12" w:space="0" w:color="auto"/>
            </w:tcBorders>
            <w:shd w:val="clear" w:color="auto" w:fill="auto"/>
            <w:vAlign w:val="bottom"/>
          </w:tcPr>
          <w:p w14:paraId="2DC69438"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166" w:type="dxa"/>
            <w:gridSpan w:val="2"/>
            <w:tcBorders>
              <w:top w:val="single" w:sz="12" w:space="0" w:color="auto"/>
            </w:tcBorders>
            <w:shd w:val="clear" w:color="auto" w:fill="auto"/>
            <w:vAlign w:val="bottom"/>
          </w:tcPr>
          <w:p w14:paraId="3630E8B5"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118" w:type="dxa"/>
            <w:tcBorders>
              <w:top w:val="single" w:sz="12" w:space="0" w:color="auto"/>
            </w:tcBorders>
            <w:shd w:val="clear" w:color="auto" w:fill="auto"/>
            <w:vAlign w:val="bottom"/>
          </w:tcPr>
          <w:p w14:paraId="0D5C42B8"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169" w:type="dxa"/>
            <w:tcBorders>
              <w:top w:val="single" w:sz="12" w:space="0" w:color="auto"/>
            </w:tcBorders>
            <w:shd w:val="clear" w:color="auto" w:fill="auto"/>
            <w:vAlign w:val="bottom"/>
          </w:tcPr>
          <w:p w14:paraId="277853F4"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080" w:type="dxa"/>
            <w:tcBorders>
              <w:top w:val="single" w:sz="12" w:space="0" w:color="auto"/>
            </w:tcBorders>
            <w:shd w:val="clear" w:color="auto" w:fill="auto"/>
            <w:vAlign w:val="bottom"/>
          </w:tcPr>
          <w:p w14:paraId="4E397994"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299" w:type="dxa"/>
            <w:tcBorders>
              <w:top w:val="single" w:sz="12" w:space="0" w:color="auto"/>
            </w:tcBorders>
            <w:shd w:val="clear" w:color="auto" w:fill="auto"/>
            <w:vAlign w:val="bottom"/>
          </w:tcPr>
          <w:p w14:paraId="0DF9F69D" w14:textId="77777777" w:rsidR="00A61186" w:rsidRPr="0037157A" w:rsidRDefault="00A61186" w:rsidP="00BE10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A61186" w:rsidRPr="0037157A" w14:paraId="59503268" w14:textId="77777777" w:rsidTr="00BE1017">
        <w:tc>
          <w:tcPr>
            <w:tcW w:w="9849" w:type="dxa"/>
            <w:gridSpan w:val="8"/>
            <w:tcBorders>
              <w:bottom w:val="single" w:sz="4" w:space="0" w:color="auto"/>
            </w:tcBorders>
            <w:shd w:val="clear" w:color="auto" w:fill="auto"/>
            <w:vAlign w:val="bottom"/>
          </w:tcPr>
          <w:p w14:paraId="673E3A51"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center"/>
              <w:rPr>
                <w:b/>
                <w:bCs/>
                <w:sz w:val="17"/>
                <w:szCs w:val="17"/>
                <w:lang w:val="fr-FR"/>
              </w:rPr>
            </w:pPr>
            <w:r w:rsidRPr="0037157A">
              <w:rPr>
                <w:b/>
                <w:bCs/>
                <w:sz w:val="17"/>
                <w:szCs w:val="17"/>
                <w:lang w:val="fr-FR"/>
              </w:rPr>
              <w:t>Femmes</w:t>
            </w:r>
          </w:p>
        </w:tc>
      </w:tr>
      <w:tr w:rsidR="00A61186" w:rsidRPr="0037157A" w14:paraId="6A85A354" w14:textId="77777777" w:rsidTr="00BE1017">
        <w:tc>
          <w:tcPr>
            <w:tcW w:w="2851" w:type="dxa"/>
            <w:tcBorders>
              <w:top w:val="single" w:sz="4" w:space="0" w:color="auto"/>
              <w:bottom w:val="single" w:sz="4" w:space="0" w:color="auto"/>
            </w:tcBorders>
            <w:shd w:val="clear" w:color="auto" w:fill="auto"/>
            <w:vAlign w:val="bottom"/>
          </w:tcPr>
          <w:p w14:paraId="74AA98B8"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szCs w:val="17"/>
                <w:lang w:val="fr-FR"/>
              </w:rPr>
            </w:pPr>
            <w:r w:rsidRPr="0037157A">
              <w:rPr>
                <w:sz w:val="17"/>
                <w:szCs w:val="17"/>
                <w:lang w:val="fr-FR"/>
              </w:rPr>
              <w:tab/>
            </w:r>
            <w:r w:rsidRPr="0037157A">
              <w:rPr>
                <w:b/>
                <w:bCs/>
                <w:sz w:val="17"/>
                <w:szCs w:val="17"/>
                <w:lang w:val="fr-FR"/>
              </w:rPr>
              <w:t>Mortalité totale</w:t>
            </w:r>
          </w:p>
        </w:tc>
        <w:tc>
          <w:tcPr>
            <w:tcW w:w="1166" w:type="dxa"/>
            <w:tcBorders>
              <w:top w:val="single" w:sz="4" w:space="0" w:color="auto"/>
              <w:bottom w:val="single" w:sz="4" w:space="0" w:color="auto"/>
            </w:tcBorders>
            <w:shd w:val="clear" w:color="auto" w:fill="auto"/>
            <w:vAlign w:val="bottom"/>
          </w:tcPr>
          <w:p w14:paraId="4FB1BBFC"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67 029</w:t>
            </w:r>
            <w:r w:rsidRPr="0037157A">
              <w:rPr>
                <w:sz w:val="17"/>
                <w:szCs w:val="17"/>
                <w:lang w:val="fr-FR"/>
              </w:rPr>
              <w:t xml:space="preserve"> </w:t>
            </w:r>
          </w:p>
        </w:tc>
        <w:tc>
          <w:tcPr>
            <w:tcW w:w="1166" w:type="dxa"/>
            <w:gridSpan w:val="2"/>
            <w:tcBorders>
              <w:top w:val="single" w:sz="4" w:space="0" w:color="auto"/>
              <w:bottom w:val="single" w:sz="4" w:space="0" w:color="auto"/>
            </w:tcBorders>
            <w:shd w:val="clear" w:color="auto" w:fill="auto"/>
            <w:vAlign w:val="bottom"/>
          </w:tcPr>
          <w:p w14:paraId="7085972C" w14:textId="47E0A92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100</w:t>
            </w:r>
            <w:r w:rsidR="00F175C0" w:rsidRPr="00F175C0">
              <w:rPr>
                <w:b/>
                <w:bCs/>
                <w:sz w:val="17"/>
                <w:szCs w:val="17"/>
                <w:lang w:val="fr-FR"/>
              </w:rPr>
              <w:t> %</w:t>
            </w:r>
          </w:p>
        </w:tc>
        <w:tc>
          <w:tcPr>
            <w:tcW w:w="1118" w:type="dxa"/>
            <w:tcBorders>
              <w:top w:val="single" w:sz="4" w:space="0" w:color="auto"/>
              <w:bottom w:val="single" w:sz="4" w:space="0" w:color="auto"/>
            </w:tcBorders>
            <w:shd w:val="clear" w:color="auto" w:fill="auto"/>
            <w:vAlign w:val="bottom"/>
          </w:tcPr>
          <w:p w14:paraId="5005710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1 179</w:t>
            </w:r>
          </w:p>
        </w:tc>
        <w:tc>
          <w:tcPr>
            <w:tcW w:w="1169" w:type="dxa"/>
            <w:tcBorders>
              <w:top w:val="single" w:sz="4" w:space="0" w:color="auto"/>
              <w:bottom w:val="single" w:sz="4" w:space="0" w:color="auto"/>
            </w:tcBorders>
            <w:shd w:val="clear" w:color="auto" w:fill="auto"/>
            <w:vAlign w:val="bottom"/>
          </w:tcPr>
          <w:p w14:paraId="7BCD6E02" w14:textId="10C695A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Cs/>
                <w:sz w:val="17"/>
                <w:szCs w:val="17"/>
                <w:lang w:val="fr-FR"/>
              </w:rPr>
            </w:pPr>
            <w:r w:rsidRPr="0037157A">
              <w:rPr>
                <w:b/>
                <w:bCs/>
                <w:sz w:val="17"/>
                <w:szCs w:val="17"/>
                <w:lang w:val="fr-FR"/>
              </w:rPr>
              <w:t>144</w:t>
            </w:r>
            <w:r w:rsidR="00F175C0" w:rsidRPr="00F175C0">
              <w:rPr>
                <w:b/>
                <w:bCs/>
                <w:sz w:val="17"/>
                <w:szCs w:val="17"/>
                <w:lang w:val="fr-FR"/>
              </w:rPr>
              <w:t> %</w:t>
            </w:r>
          </w:p>
        </w:tc>
        <w:tc>
          <w:tcPr>
            <w:tcW w:w="1080" w:type="dxa"/>
            <w:tcBorders>
              <w:top w:val="single" w:sz="4" w:space="0" w:color="auto"/>
              <w:bottom w:val="single" w:sz="4" w:space="0" w:color="auto"/>
            </w:tcBorders>
            <w:shd w:val="clear" w:color="auto" w:fill="auto"/>
            <w:vAlign w:val="bottom"/>
          </w:tcPr>
          <w:p w14:paraId="13022E7A" w14:textId="2D6775D8"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-4</w:t>
            </w:r>
            <w:r w:rsidR="00F175C0" w:rsidRPr="00F175C0">
              <w:rPr>
                <w:b/>
                <w:bCs/>
                <w:sz w:val="17"/>
                <w:szCs w:val="17"/>
                <w:lang w:val="fr-FR"/>
              </w:rPr>
              <w:t> %</w:t>
            </w:r>
          </w:p>
        </w:tc>
        <w:tc>
          <w:tcPr>
            <w:tcW w:w="1299" w:type="dxa"/>
            <w:tcBorders>
              <w:top w:val="single" w:sz="4" w:space="0" w:color="auto"/>
              <w:bottom w:val="single" w:sz="4" w:space="0" w:color="auto"/>
            </w:tcBorders>
            <w:shd w:val="clear" w:color="auto" w:fill="auto"/>
            <w:vAlign w:val="bottom"/>
          </w:tcPr>
          <w:p w14:paraId="55BDB996" w14:textId="75209AF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-2</w:t>
            </w:r>
            <w:r w:rsidR="00F175C0" w:rsidRPr="00F175C0">
              <w:rPr>
                <w:b/>
                <w:bCs/>
                <w:sz w:val="17"/>
                <w:szCs w:val="17"/>
                <w:lang w:val="fr-FR"/>
              </w:rPr>
              <w:t> %</w:t>
            </w:r>
          </w:p>
        </w:tc>
      </w:tr>
      <w:tr w:rsidR="00A61186" w:rsidRPr="0037157A" w14:paraId="275E56CE" w14:textId="77777777" w:rsidTr="00BE1017">
        <w:tc>
          <w:tcPr>
            <w:tcW w:w="2851" w:type="dxa"/>
            <w:tcBorders>
              <w:top w:val="single" w:sz="4" w:space="0" w:color="auto"/>
            </w:tcBorders>
            <w:shd w:val="clear" w:color="auto" w:fill="auto"/>
            <w:vAlign w:val="bottom"/>
          </w:tcPr>
          <w:p w14:paraId="23D7C6A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80" w:right="43" w:hanging="180"/>
              <w:jc w:val="left"/>
              <w:rPr>
                <w:b/>
                <w:bCs/>
                <w:sz w:val="17"/>
                <w:szCs w:val="17"/>
                <w:lang w:val="fr-FR"/>
              </w:rPr>
            </w:pPr>
            <w:r w:rsidRPr="0037157A">
              <w:rPr>
                <w:b/>
                <w:bCs/>
                <w:sz w:val="17"/>
                <w:szCs w:val="17"/>
                <w:lang w:val="fr-FR"/>
              </w:rPr>
              <w:t>Maladies cardiovasculaires</w:t>
            </w:r>
          </w:p>
        </w:tc>
        <w:tc>
          <w:tcPr>
            <w:tcW w:w="1166" w:type="dxa"/>
            <w:tcBorders>
              <w:top w:val="single" w:sz="4" w:space="0" w:color="auto"/>
            </w:tcBorders>
            <w:shd w:val="clear" w:color="auto" w:fill="auto"/>
            <w:vAlign w:val="bottom"/>
          </w:tcPr>
          <w:p w14:paraId="27EDA9A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36 156</w:t>
            </w:r>
          </w:p>
        </w:tc>
        <w:tc>
          <w:tcPr>
            <w:tcW w:w="1166" w:type="dxa"/>
            <w:gridSpan w:val="2"/>
            <w:tcBorders>
              <w:top w:val="single" w:sz="4" w:space="0" w:color="auto"/>
            </w:tcBorders>
            <w:shd w:val="clear" w:color="auto" w:fill="auto"/>
            <w:vAlign w:val="bottom"/>
          </w:tcPr>
          <w:p w14:paraId="6393089E" w14:textId="7EE5B1B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54</w:t>
            </w:r>
            <w:r w:rsidR="00F175C0" w:rsidRPr="00F175C0">
              <w:rPr>
                <w:b/>
                <w:bCs/>
                <w:sz w:val="17"/>
                <w:szCs w:val="17"/>
                <w:lang w:val="fr-FR"/>
              </w:rPr>
              <w:t> %</w:t>
            </w:r>
          </w:p>
        </w:tc>
        <w:tc>
          <w:tcPr>
            <w:tcW w:w="1118" w:type="dxa"/>
            <w:tcBorders>
              <w:top w:val="single" w:sz="4" w:space="0" w:color="auto"/>
            </w:tcBorders>
            <w:shd w:val="clear" w:color="auto" w:fill="auto"/>
            <w:vAlign w:val="bottom"/>
          </w:tcPr>
          <w:p w14:paraId="1ABE8D2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636</w:t>
            </w:r>
          </w:p>
        </w:tc>
        <w:tc>
          <w:tcPr>
            <w:tcW w:w="1169" w:type="dxa"/>
            <w:tcBorders>
              <w:top w:val="single" w:sz="4" w:space="0" w:color="auto"/>
            </w:tcBorders>
            <w:shd w:val="clear" w:color="auto" w:fill="auto"/>
            <w:vAlign w:val="bottom"/>
          </w:tcPr>
          <w:p w14:paraId="1B39353C" w14:textId="4CE0D94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210</w:t>
            </w:r>
            <w:r w:rsidR="00F175C0" w:rsidRPr="00F175C0">
              <w:rPr>
                <w:b/>
                <w:bCs/>
                <w:sz w:val="17"/>
                <w:szCs w:val="17"/>
                <w:lang w:val="fr-FR"/>
              </w:rPr>
              <w:t> %</w:t>
            </w:r>
          </w:p>
        </w:tc>
        <w:tc>
          <w:tcPr>
            <w:tcW w:w="1080" w:type="dxa"/>
            <w:tcBorders>
              <w:top w:val="single" w:sz="4" w:space="0" w:color="auto"/>
            </w:tcBorders>
            <w:shd w:val="clear" w:color="auto" w:fill="auto"/>
            <w:vAlign w:val="bottom"/>
          </w:tcPr>
          <w:p w14:paraId="7CBBF724" w14:textId="68FB8FF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-7</w:t>
            </w:r>
            <w:r w:rsidR="00F175C0" w:rsidRPr="00F175C0">
              <w:rPr>
                <w:b/>
                <w:bCs/>
                <w:sz w:val="17"/>
                <w:szCs w:val="17"/>
                <w:lang w:val="fr-FR"/>
              </w:rPr>
              <w:t> %</w:t>
            </w:r>
          </w:p>
        </w:tc>
        <w:tc>
          <w:tcPr>
            <w:tcW w:w="1299" w:type="dxa"/>
            <w:tcBorders>
              <w:top w:val="single" w:sz="4" w:space="0" w:color="auto"/>
            </w:tcBorders>
            <w:shd w:val="clear" w:color="auto" w:fill="auto"/>
            <w:vAlign w:val="bottom"/>
          </w:tcPr>
          <w:p w14:paraId="520510B2" w14:textId="15CEF28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8</w:t>
            </w:r>
            <w:r w:rsidR="00F175C0" w:rsidRPr="00F175C0">
              <w:rPr>
                <w:b/>
                <w:bCs/>
                <w:sz w:val="17"/>
                <w:szCs w:val="17"/>
                <w:lang w:val="fr-FR"/>
              </w:rPr>
              <w:t> %</w:t>
            </w:r>
          </w:p>
        </w:tc>
      </w:tr>
      <w:tr w:rsidR="00A61186" w:rsidRPr="0037157A" w14:paraId="39356E87" w14:textId="77777777" w:rsidTr="00BE1017">
        <w:tc>
          <w:tcPr>
            <w:tcW w:w="2851" w:type="dxa"/>
            <w:shd w:val="clear" w:color="auto" w:fill="auto"/>
            <w:vAlign w:val="bottom"/>
          </w:tcPr>
          <w:p w14:paraId="6934E404"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Ischémie myocardique</w:t>
            </w:r>
          </w:p>
        </w:tc>
        <w:tc>
          <w:tcPr>
            <w:tcW w:w="1166" w:type="dxa"/>
            <w:shd w:val="clear" w:color="auto" w:fill="auto"/>
            <w:vAlign w:val="bottom"/>
          </w:tcPr>
          <w:p w14:paraId="2D1C5CB9"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17 435</w:t>
            </w:r>
          </w:p>
        </w:tc>
        <w:tc>
          <w:tcPr>
            <w:tcW w:w="1166" w:type="dxa"/>
            <w:gridSpan w:val="2"/>
            <w:shd w:val="clear" w:color="auto" w:fill="auto"/>
            <w:vAlign w:val="bottom"/>
          </w:tcPr>
          <w:p w14:paraId="341DF4EF" w14:textId="4C2DF75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26</w:t>
            </w:r>
            <w:r w:rsidR="004471C3" w:rsidRPr="0037157A">
              <w:rPr>
                <w:sz w:val="17"/>
                <w:szCs w:val="17"/>
                <w:lang w:val="fr-FR"/>
              </w:rPr>
              <w:t> %</w:t>
            </w:r>
          </w:p>
        </w:tc>
        <w:tc>
          <w:tcPr>
            <w:tcW w:w="1118" w:type="dxa"/>
            <w:shd w:val="clear" w:color="auto" w:fill="auto"/>
            <w:vAlign w:val="bottom"/>
          </w:tcPr>
          <w:p w14:paraId="7C4A327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307</w:t>
            </w:r>
          </w:p>
        </w:tc>
        <w:tc>
          <w:tcPr>
            <w:tcW w:w="1169" w:type="dxa"/>
            <w:shd w:val="clear" w:color="auto" w:fill="auto"/>
            <w:vAlign w:val="bottom"/>
          </w:tcPr>
          <w:p w14:paraId="457FD20E" w14:textId="0208F6F9"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354</w:t>
            </w:r>
            <w:r w:rsidR="004471C3" w:rsidRPr="0037157A">
              <w:rPr>
                <w:sz w:val="17"/>
                <w:szCs w:val="17"/>
                <w:lang w:val="fr-FR"/>
              </w:rPr>
              <w:t> %</w:t>
            </w:r>
            <w:r w:rsidRPr="0037157A">
              <w:rPr>
                <w:sz w:val="17"/>
                <w:szCs w:val="17"/>
                <w:lang w:val="fr-FR"/>
              </w:rPr>
              <w:t xml:space="preserve"> </w:t>
            </w:r>
          </w:p>
        </w:tc>
        <w:tc>
          <w:tcPr>
            <w:tcW w:w="1080" w:type="dxa"/>
            <w:shd w:val="clear" w:color="auto" w:fill="auto"/>
            <w:vAlign w:val="bottom"/>
          </w:tcPr>
          <w:p w14:paraId="53AA4B9C" w14:textId="2B63494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-11</w:t>
            </w:r>
            <w:r w:rsidR="004471C3" w:rsidRPr="0037157A">
              <w:rPr>
                <w:sz w:val="17"/>
                <w:szCs w:val="17"/>
                <w:lang w:val="fr-FR"/>
              </w:rPr>
              <w:t> %</w:t>
            </w:r>
          </w:p>
        </w:tc>
        <w:tc>
          <w:tcPr>
            <w:tcW w:w="1299" w:type="dxa"/>
            <w:shd w:val="clear" w:color="auto" w:fill="auto"/>
            <w:vAlign w:val="bottom"/>
          </w:tcPr>
          <w:p w14:paraId="4723886C" w14:textId="223A3871"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26</w:t>
            </w:r>
            <w:r w:rsidR="004471C3" w:rsidRPr="0037157A">
              <w:rPr>
                <w:sz w:val="17"/>
                <w:szCs w:val="17"/>
                <w:lang w:val="fr-FR"/>
              </w:rPr>
              <w:t> %</w:t>
            </w:r>
          </w:p>
        </w:tc>
      </w:tr>
      <w:tr w:rsidR="00A61186" w:rsidRPr="0037157A" w14:paraId="6053643F" w14:textId="77777777" w:rsidTr="00BE1017">
        <w:tc>
          <w:tcPr>
            <w:tcW w:w="2851" w:type="dxa"/>
            <w:tcBorders>
              <w:bottom w:val="single" w:sz="4" w:space="0" w:color="auto"/>
            </w:tcBorders>
            <w:shd w:val="clear" w:color="auto" w:fill="auto"/>
            <w:vAlign w:val="bottom"/>
          </w:tcPr>
          <w:p w14:paraId="51DDFBF8"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Maladies cérébrovasculaires</w:t>
            </w:r>
          </w:p>
        </w:tc>
        <w:tc>
          <w:tcPr>
            <w:tcW w:w="1166" w:type="dxa"/>
            <w:tcBorders>
              <w:bottom w:val="single" w:sz="4" w:space="0" w:color="auto"/>
            </w:tcBorders>
            <w:shd w:val="clear" w:color="auto" w:fill="auto"/>
            <w:vAlign w:val="bottom"/>
          </w:tcPr>
          <w:p w14:paraId="4C184B82"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6 416</w:t>
            </w:r>
          </w:p>
        </w:tc>
        <w:tc>
          <w:tcPr>
            <w:tcW w:w="1166" w:type="dxa"/>
            <w:gridSpan w:val="2"/>
            <w:tcBorders>
              <w:bottom w:val="single" w:sz="4" w:space="0" w:color="auto"/>
            </w:tcBorders>
            <w:shd w:val="clear" w:color="auto" w:fill="auto"/>
            <w:vAlign w:val="bottom"/>
          </w:tcPr>
          <w:p w14:paraId="5B15A213" w14:textId="02F8456D"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10</w:t>
            </w:r>
            <w:r w:rsidR="004471C3" w:rsidRPr="0037157A">
              <w:rPr>
                <w:sz w:val="17"/>
                <w:szCs w:val="17"/>
                <w:lang w:val="fr-FR"/>
              </w:rPr>
              <w:t> %</w:t>
            </w:r>
          </w:p>
        </w:tc>
        <w:tc>
          <w:tcPr>
            <w:tcW w:w="1118" w:type="dxa"/>
            <w:tcBorders>
              <w:bottom w:val="single" w:sz="4" w:space="0" w:color="auto"/>
            </w:tcBorders>
            <w:shd w:val="clear" w:color="auto" w:fill="auto"/>
            <w:vAlign w:val="bottom"/>
          </w:tcPr>
          <w:p w14:paraId="67F7A9A9"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112</w:t>
            </w:r>
          </w:p>
        </w:tc>
        <w:tc>
          <w:tcPr>
            <w:tcW w:w="1169" w:type="dxa"/>
            <w:tcBorders>
              <w:bottom w:val="single" w:sz="4" w:space="0" w:color="auto"/>
            </w:tcBorders>
            <w:shd w:val="clear" w:color="auto" w:fill="auto"/>
            <w:vAlign w:val="bottom"/>
          </w:tcPr>
          <w:p w14:paraId="2334B4C7" w14:textId="611E621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154</w:t>
            </w:r>
            <w:r w:rsidR="004471C3" w:rsidRPr="0037157A">
              <w:rPr>
                <w:sz w:val="17"/>
                <w:szCs w:val="17"/>
                <w:lang w:val="fr-FR"/>
              </w:rPr>
              <w:t> %</w:t>
            </w:r>
          </w:p>
        </w:tc>
        <w:tc>
          <w:tcPr>
            <w:tcW w:w="1080" w:type="dxa"/>
            <w:tcBorders>
              <w:bottom w:val="single" w:sz="4" w:space="0" w:color="auto"/>
            </w:tcBorders>
            <w:shd w:val="clear" w:color="auto" w:fill="auto"/>
            <w:vAlign w:val="bottom"/>
          </w:tcPr>
          <w:p w14:paraId="3807FDDA" w14:textId="037FEBD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-25</w:t>
            </w:r>
            <w:r w:rsidR="004471C3" w:rsidRPr="0037157A">
              <w:rPr>
                <w:sz w:val="17"/>
                <w:szCs w:val="17"/>
                <w:lang w:val="fr-FR"/>
              </w:rPr>
              <w:t> %</w:t>
            </w:r>
          </w:p>
        </w:tc>
        <w:tc>
          <w:tcPr>
            <w:tcW w:w="1299" w:type="dxa"/>
            <w:tcBorders>
              <w:bottom w:val="single" w:sz="4" w:space="0" w:color="auto"/>
            </w:tcBorders>
            <w:shd w:val="clear" w:color="auto" w:fill="auto"/>
            <w:vAlign w:val="bottom"/>
          </w:tcPr>
          <w:p w14:paraId="25A25995" w14:textId="17C3DCE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-17</w:t>
            </w:r>
            <w:r w:rsidR="004471C3" w:rsidRPr="0037157A">
              <w:rPr>
                <w:sz w:val="17"/>
                <w:szCs w:val="17"/>
                <w:lang w:val="fr-FR"/>
              </w:rPr>
              <w:t> %</w:t>
            </w:r>
          </w:p>
        </w:tc>
      </w:tr>
      <w:tr w:rsidR="00A61186" w:rsidRPr="0037157A" w14:paraId="4CE79C44" w14:textId="77777777" w:rsidTr="00BE1017">
        <w:tc>
          <w:tcPr>
            <w:tcW w:w="2851" w:type="dxa"/>
            <w:tcBorders>
              <w:top w:val="single" w:sz="4" w:space="0" w:color="auto"/>
            </w:tcBorders>
            <w:shd w:val="clear" w:color="auto" w:fill="auto"/>
            <w:vAlign w:val="bottom"/>
          </w:tcPr>
          <w:p w14:paraId="7A39AAC9"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szCs w:val="17"/>
                <w:lang w:val="fr-FR"/>
              </w:rPr>
            </w:pPr>
            <w:r w:rsidRPr="0037157A">
              <w:rPr>
                <w:b/>
                <w:bCs/>
                <w:sz w:val="17"/>
                <w:szCs w:val="17"/>
                <w:lang w:val="fr-FR"/>
              </w:rPr>
              <w:t>Tumeurs malignes</w:t>
            </w:r>
            <w:r w:rsidRPr="0037157A">
              <w:rPr>
                <w:sz w:val="17"/>
                <w:szCs w:val="17"/>
                <w:lang w:val="fr-FR"/>
              </w:rPr>
              <w:t xml:space="preserve"> </w:t>
            </w:r>
          </w:p>
        </w:tc>
        <w:tc>
          <w:tcPr>
            <w:tcW w:w="1166" w:type="dxa"/>
            <w:tcBorders>
              <w:top w:val="single" w:sz="4" w:space="0" w:color="auto"/>
            </w:tcBorders>
            <w:shd w:val="clear" w:color="auto" w:fill="auto"/>
            <w:vAlign w:val="bottom"/>
          </w:tcPr>
          <w:p w14:paraId="1159E26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15 297</w:t>
            </w:r>
          </w:p>
        </w:tc>
        <w:tc>
          <w:tcPr>
            <w:tcW w:w="1166" w:type="dxa"/>
            <w:gridSpan w:val="2"/>
            <w:tcBorders>
              <w:top w:val="single" w:sz="4" w:space="0" w:color="auto"/>
            </w:tcBorders>
            <w:shd w:val="clear" w:color="auto" w:fill="auto"/>
            <w:vAlign w:val="bottom"/>
          </w:tcPr>
          <w:p w14:paraId="40501763" w14:textId="3F3A682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23</w:t>
            </w:r>
            <w:r w:rsidR="00F175C0" w:rsidRPr="00F175C0">
              <w:rPr>
                <w:b/>
                <w:bCs/>
                <w:sz w:val="17"/>
                <w:szCs w:val="17"/>
                <w:lang w:val="fr-FR"/>
              </w:rPr>
              <w:t> %</w:t>
            </w:r>
          </w:p>
        </w:tc>
        <w:tc>
          <w:tcPr>
            <w:tcW w:w="1118" w:type="dxa"/>
            <w:tcBorders>
              <w:top w:val="single" w:sz="4" w:space="0" w:color="auto"/>
            </w:tcBorders>
            <w:shd w:val="clear" w:color="auto" w:fill="auto"/>
            <w:vAlign w:val="bottom"/>
          </w:tcPr>
          <w:p w14:paraId="5B9DF5BF"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267</w:t>
            </w:r>
          </w:p>
        </w:tc>
        <w:tc>
          <w:tcPr>
            <w:tcW w:w="1169" w:type="dxa"/>
            <w:tcBorders>
              <w:top w:val="single" w:sz="4" w:space="0" w:color="auto"/>
            </w:tcBorders>
            <w:shd w:val="clear" w:color="auto" w:fill="auto"/>
            <w:vAlign w:val="bottom"/>
          </w:tcPr>
          <w:p w14:paraId="55E996D9" w14:textId="3EB979F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128</w:t>
            </w:r>
            <w:r w:rsidR="00F175C0" w:rsidRPr="00F175C0">
              <w:rPr>
                <w:b/>
                <w:bCs/>
                <w:sz w:val="17"/>
                <w:szCs w:val="17"/>
                <w:lang w:val="fr-FR"/>
              </w:rPr>
              <w:t> %</w:t>
            </w:r>
          </w:p>
        </w:tc>
        <w:tc>
          <w:tcPr>
            <w:tcW w:w="1080" w:type="dxa"/>
            <w:tcBorders>
              <w:top w:val="single" w:sz="4" w:space="0" w:color="auto"/>
            </w:tcBorders>
            <w:shd w:val="clear" w:color="auto" w:fill="auto"/>
            <w:vAlign w:val="bottom"/>
          </w:tcPr>
          <w:p w14:paraId="7D4CE356" w14:textId="6C894A4D"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-2</w:t>
            </w:r>
            <w:r w:rsidR="00F175C0" w:rsidRPr="00F175C0">
              <w:rPr>
                <w:b/>
                <w:bCs/>
                <w:sz w:val="17"/>
                <w:szCs w:val="17"/>
                <w:lang w:val="fr-FR"/>
              </w:rPr>
              <w:t> %</w:t>
            </w:r>
          </w:p>
        </w:tc>
        <w:tc>
          <w:tcPr>
            <w:tcW w:w="1299" w:type="dxa"/>
            <w:tcBorders>
              <w:top w:val="single" w:sz="4" w:space="0" w:color="auto"/>
            </w:tcBorders>
            <w:shd w:val="clear" w:color="auto" w:fill="auto"/>
            <w:vAlign w:val="bottom"/>
          </w:tcPr>
          <w:p w14:paraId="09BA58A6" w14:textId="69F46E0C"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-4</w:t>
            </w:r>
            <w:r w:rsidR="00F175C0" w:rsidRPr="00F175C0">
              <w:rPr>
                <w:b/>
                <w:bCs/>
                <w:sz w:val="17"/>
                <w:szCs w:val="17"/>
                <w:lang w:val="fr-FR"/>
              </w:rPr>
              <w:t> %</w:t>
            </w:r>
          </w:p>
        </w:tc>
      </w:tr>
      <w:tr w:rsidR="00A61186" w:rsidRPr="0037157A" w14:paraId="325E2BA3" w14:textId="77777777" w:rsidTr="00BE1017">
        <w:tc>
          <w:tcPr>
            <w:tcW w:w="2851" w:type="dxa"/>
            <w:shd w:val="clear" w:color="auto" w:fill="auto"/>
            <w:vAlign w:val="bottom"/>
          </w:tcPr>
          <w:p w14:paraId="6C62ACE0"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Poumon</w:t>
            </w:r>
          </w:p>
        </w:tc>
        <w:tc>
          <w:tcPr>
            <w:tcW w:w="1166" w:type="dxa"/>
            <w:shd w:val="clear" w:color="auto" w:fill="auto"/>
            <w:vAlign w:val="bottom"/>
          </w:tcPr>
          <w:p w14:paraId="208EF4DA"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3 375</w:t>
            </w:r>
          </w:p>
        </w:tc>
        <w:tc>
          <w:tcPr>
            <w:tcW w:w="1166" w:type="dxa"/>
            <w:gridSpan w:val="2"/>
            <w:shd w:val="clear" w:color="auto" w:fill="auto"/>
            <w:vAlign w:val="bottom"/>
          </w:tcPr>
          <w:p w14:paraId="27542331" w14:textId="012ADF08"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w:t>
            </w:r>
            <w:r w:rsidR="004471C3" w:rsidRPr="0037157A">
              <w:rPr>
                <w:sz w:val="17"/>
                <w:szCs w:val="17"/>
                <w:lang w:val="fr-FR"/>
              </w:rPr>
              <w:t> %</w:t>
            </w:r>
          </w:p>
        </w:tc>
        <w:tc>
          <w:tcPr>
            <w:tcW w:w="1118" w:type="dxa"/>
            <w:shd w:val="clear" w:color="auto" w:fill="auto"/>
            <w:vAlign w:val="bottom"/>
          </w:tcPr>
          <w:p w14:paraId="61D6DA07"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59</w:t>
            </w:r>
          </w:p>
        </w:tc>
        <w:tc>
          <w:tcPr>
            <w:tcW w:w="1169" w:type="dxa"/>
            <w:shd w:val="clear" w:color="auto" w:fill="auto"/>
            <w:vAlign w:val="bottom"/>
          </w:tcPr>
          <w:p w14:paraId="0A772679" w14:textId="71E8A2A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184</w:t>
            </w:r>
            <w:r w:rsidR="004471C3" w:rsidRPr="0037157A">
              <w:rPr>
                <w:sz w:val="17"/>
                <w:szCs w:val="17"/>
                <w:lang w:val="fr-FR"/>
              </w:rPr>
              <w:t> %</w:t>
            </w:r>
          </w:p>
        </w:tc>
        <w:tc>
          <w:tcPr>
            <w:tcW w:w="1080" w:type="dxa"/>
            <w:shd w:val="clear" w:color="auto" w:fill="auto"/>
            <w:vAlign w:val="bottom"/>
          </w:tcPr>
          <w:p w14:paraId="180BA0F7" w14:textId="25FEEC8E"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w:t>
            </w:r>
            <w:r w:rsidR="004471C3" w:rsidRPr="0037157A">
              <w:rPr>
                <w:sz w:val="17"/>
                <w:szCs w:val="17"/>
                <w:lang w:val="fr-FR"/>
              </w:rPr>
              <w:t> %</w:t>
            </w:r>
          </w:p>
        </w:tc>
        <w:tc>
          <w:tcPr>
            <w:tcW w:w="1299" w:type="dxa"/>
            <w:shd w:val="clear" w:color="auto" w:fill="auto"/>
            <w:vAlign w:val="bottom"/>
          </w:tcPr>
          <w:p w14:paraId="112ACF44" w14:textId="24BE10EB"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w:t>
            </w:r>
            <w:r w:rsidR="004471C3" w:rsidRPr="0037157A">
              <w:rPr>
                <w:sz w:val="17"/>
                <w:szCs w:val="17"/>
                <w:lang w:val="fr-FR"/>
              </w:rPr>
              <w:t> %</w:t>
            </w:r>
          </w:p>
        </w:tc>
      </w:tr>
      <w:tr w:rsidR="00A61186" w:rsidRPr="0037157A" w14:paraId="091BA135" w14:textId="77777777" w:rsidTr="00BE1017">
        <w:tc>
          <w:tcPr>
            <w:tcW w:w="2851" w:type="dxa"/>
            <w:shd w:val="clear" w:color="auto" w:fill="auto"/>
            <w:vAlign w:val="bottom"/>
          </w:tcPr>
          <w:p w14:paraId="61BCCE1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Sein</w:t>
            </w:r>
          </w:p>
        </w:tc>
        <w:tc>
          <w:tcPr>
            <w:tcW w:w="1166" w:type="dxa"/>
            <w:shd w:val="clear" w:color="auto" w:fill="auto"/>
            <w:vAlign w:val="bottom"/>
          </w:tcPr>
          <w:p w14:paraId="233AA22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2 127</w:t>
            </w:r>
          </w:p>
        </w:tc>
        <w:tc>
          <w:tcPr>
            <w:tcW w:w="1166" w:type="dxa"/>
            <w:gridSpan w:val="2"/>
            <w:shd w:val="clear" w:color="auto" w:fill="auto"/>
            <w:vAlign w:val="bottom"/>
          </w:tcPr>
          <w:p w14:paraId="1B6B26DB" w14:textId="366125B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w:t>
            </w:r>
            <w:r w:rsidR="004471C3" w:rsidRPr="0037157A">
              <w:rPr>
                <w:sz w:val="17"/>
                <w:szCs w:val="17"/>
                <w:lang w:val="fr-FR"/>
              </w:rPr>
              <w:t> %</w:t>
            </w:r>
          </w:p>
        </w:tc>
        <w:tc>
          <w:tcPr>
            <w:tcW w:w="1118" w:type="dxa"/>
            <w:shd w:val="clear" w:color="auto" w:fill="auto"/>
            <w:vAlign w:val="bottom"/>
          </w:tcPr>
          <w:p w14:paraId="78BE68FC"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37</w:t>
            </w:r>
          </w:p>
        </w:tc>
        <w:tc>
          <w:tcPr>
            <w:tcW w:w="1169" w:type="dxa"/>
            <w:shd w:val="clear" w:color="auto" w:fill="auto"/>
            <w:vAlign w:val="bottom"/>
          </w:tcPr>
          <w:p w14:paraId="3BCE8C0D" w14:textId="793CB061"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113</w:t>
            </w:r>
            <w:r w:rsidR="004471C3" w:rsidRPr="0037157A">
              <w:rPr>
                <w:sz w:val="17"/>
                <w:szCs w:val="17"/>
                <w:lang w:val="fr-FR"/>
              </w:rPr>
              <w:t> %</w:t>
            </w:r>
          </w:p>
        </w:tc>
        <w:tc>
          <w:tcPr>
            <w:tcW w:w="1080" w:type="dxa"/>
            <w:shd w:val="clear" w:color="auto" w:fill="auto"/>
            <w:vAlign w:val="bottom"/>
          </w:tcPr>
          <w:p w14:paraId="7DDF95FA" w14:textId="58B199BB"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-7</w:t>
            </w:r>
            <w:r w:rsidR="004471C3" w:rsidRPr="0037157A">
              <w:rPr>
                <w:sz w:val="17"/>
                <w:szCs w:val="17"/>
                <w:lang w:val="fr-FR"/>
              </w:rPr>
              <w:t> %</w:t>
            </w:r>
          </w:p>
        </w:tc>
        <w:tc>
          <w:tcPr>
            <w:tcW w:w="1299" w:type="dxa"/>
            <w:shd w:val="clear" w:color="auto" w:fill="auto"/>
            <w:vAlign w:val="bottom"/>
          </w:tcPr>
          <w:p w14:paraId="05898E10" w14:textId="74582C8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6</w:t>
            </w:r>
            <w:r w:rsidR="004471C3" w:rsidRPr="0037157A">
              <w:rPr>
                <w:sz w:val="17"/>
                <w:szCs w:val="17"/>
                <w:lang w:val="fr-FR"/>
              </w:rPr>
              <w:t> %</w:t>
            </w:r>
          </w:p>
        </w:tc>
      </w:tr>
      <w:tr w:rsidR="00A61186" w:rsidRPr="0037157A" w14:paraId="06DBAFFA" w14:textId="77777777" w:rsidTr="00BE1017">
        <w:tc>
          <w:tcPr>
            <w:tcW w:w="2851" w:type="dxa"/>
            <w:shd w:val="clear" w:color="auto" w:fill="auto"/>
            <w:vAlign w:val="bottom"/>
          </w:tcPr>
          <w:p w14:paraId="040413DF"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Côlon et rectum</w:t>
            </w:r>
          </w:p>
        </w:tc>
        <w:tc>
          <w:tcPr>
            <w:tcW w:w="1166" w:type="dxa"/>
            <w:shd w:val="clear" w:color="auto" w:fill="auto"/>
            <w:vAlign w:val="bottom"/>
          </w:tcPr>
          <w:p w14:paraId="2B7B0C88"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2 198</w:t>
            </w:r>
          </w:p>
        </w:tc>
        <w:tc>
          <w:tcPr>
            <w:tcW w:w="1166" w:type="dxa"/>
            <w:gridSpan w:val="2"/>
            <w:shd w:val="clear" w:color="auto" w:fill="auto"/>
            <w:vAlign w:val="bottom"/>
          </w:tcPr>
          <w:p w14:paraId="2A9C91ED" w14:textId="1C22448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w:t>
            </w:r>
            <w:r w:rsidR="004471C3" w:rsidRPr="0037157A">
              <w:rPr>
                <w:sz w:val="17"/>
                <w:szCs w:val="17"/>
                <w:lang w:val="fr-FR"/>
              </w:rPr>
              <w:t> %</w:t>
            </w:r>
          </w:p>
        </w:tc>
        <w:tc>
          <w:tcPr>
            <w:tcW w:w="1118" w:type="dxa"/>
            <w:shd w:val="clear" w:color="auto" w:fill="auto"/>
            <w:vAlign w:val="bottom"/>
          </w:tcPr>
          <w:p w14:paraId="539706B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38</w:t>
            </w:r>
          </w:p>
        </w:tc>
        <w:tc>
          <w:tcPr>
            <w:tcW w:w="1169" w:type="dxa"/>
            <w:shd w:val="clear" w:color="auto" w:fill="auto"/>
            <w:vAlign w:val="bottom"/>
          </w:tcPr>
          <w:p w14:paraId="63EA721A" w14:textId="70E3F1ED"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sz w:val="17"/>
                <w:szCs w:val="17"/>
                <w:lang w:val="fr-FR"/>
              </w:rPr>
              <w:t>165</w:t>
            </w:r>
            <w:r w:rsidR="004471C3" w:rsidRPr="0037157A">
              <w:rPr>
                <w:sz w:val="17"/>
                <w:szCs w:val="17"/>
                <w:lang w:val="fr-FR"/>
              </w:rPr>
              <w:t> %</w:t>
            </w:r>
          </w:p>
        </w:tc>
        <w:tc>
          <w:tcPr>
            <w:tcW w:w="1080" w:type="dxa"/>
            <w:shd w:val="clear" w:color="auto" w:fill="auto"/>
            <w:vAlign w:val="bottom"/>
          </w:tcPr>
          <w:p w14:paraId="3428296F" w14:textId="6A69466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sz w:val="17"/>
                <w:szCs w:val="17"/>
                <w:lang w:val="fr-FR"/>
              </w:rPr>
              <w:t>-6</w:t>
            </w:r>
            <w:r w:rsidR="004471C3" w:rsidRPr="0037157A">
              <w:rPr>
                <w:sz w:val="17"/>
                <w:szCs w:val="17"/>
                <w:lang w:val="fr-FR"/>
              </w:rPr>
              <w:t> %</w:t>
            </w:r>
          </w:p>
        </w:tc>
        <w:tc>
          <w:tcPr>
            <w:tcW w:w="1299" w:type="dxa"/>
            <w:shd w:val="clear" w:color="auto" w:fill="auto"/>
            <w:vAlign w:val="bottom"/>
          </w:tcPr>
          <w:p w14:paraId="03CA66F0" w14:textId="16A8A78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0</w:t>
            </w:r>
            <w:r w:rsidR="004471C3" w:rsidRPr="0037157A">
              <w:rPr>
                <w:sz w:val="17"/>
                <w:szCs w:val="17"/>
                <w:lang w:val="fr-FR"/>
              </w:rPr>
              <w:t> %</w:t>
            </w:r>
          </w:p>
        </w:tc>
      </w:tr>
      <w:tr w:rsidR="00A61186" w:rsidRPr="0037157A" w14:paraId="3D9AEA72" w14:textId="77777777" w:rsidTr="00BE1017">
        <w:tc>
          <w:tcPr>
            <w:tcW w:w="2851" w:type="dxa"/>
            <w:shd w:val="clear" w:color="auto" w:fill="auto"/>
            <w:vAlign w:val="bottom"/>
          </w:tcPr>
          <w:p w14:paraId="34FAB26F"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Pancréas</w:t>
            </w:r>
          </w:p>
        </w:tc>
        <w:tc>
          <w:tcPr>
            <w:tcW w:w="1166" w:type="dxa"/>
            <w:shd w:val="clear" w:color="auto" w:fill="auto"/>
            <w:vAlign w:val="bottom"/>
          </w:tcPr>
          <w:p w14:paraId="109C1109"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1 082</w:t>
            </w:r>
          </w:p>
        </w:tc>
        <w:tc>
          <w:tcPr>
            <w:tcW w:w="1166" w:type="dxa"/>
            <w:gridSpan w:val="2"/>
            <w:shd w:val="clear" w:color="auto" w:fill="auto"/>
            <w:vAlign w:val="bottom"/>
          </w:tcPr>
          <w:p w14:paraId="4E464F66" w14:textId="33F5612E"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w:t>
            </w:r>
            <w:r w:rsidR="004471C3" w:rsidRPr="0037157A">
              <w:rPr>
                <w:sz w:val="17"/>
                <w:szCs w:val="17"/>
                <w:lang w:val="fr-FR"/>
              </w:rPr>
              <w:t> %</w:t>
            </w:r>
          </w:p>
        </w:tc>
        <w:tc>
          <w:tcPr>
            <w:tcW w:w="1118" w:type="dxa"/>
            <w:shd w:val="clear" w:color="auto" w:fill="auto"/>
            <w:vAlign w:val="bottom"/>
          </w:tcPr>
          <w:p w14:paraId="7A60E0AE"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19</w:t>
            </w:r>
          </w:p>
        </w:tc>
        <w:tc>
          <w:tcPr>
            <w:tcW w:w="1169" w:type="dxa"/>
            <w:shd w:val="clear" w:color="auto" w:fill="auto"/>
            <w:vAlign w:val="bottom"/>
          </w:tcPr>
          <w:p w14:paraId="7198713D" w14:textId="2F868766"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126</w:t>
            </w:r>
            <w:r w:rsidR="004471C3" w:rsidRPr="0037157A">
              <w:rPr>
                <w:sz w:val="17"/>
                <w:szCs w:val="17"/>
                <w:lang w:val="fr-FR"/>
              </w:rPr>
              <w:t> %</w:t>
            </w:r>
          </w:p>
        </w:tc>
        <w:tc>
          <w:tcPr>
            <w:tcW w:w="1080" w:type="dxa"/>
            <w:shd w:val="clear" w:color="auto" w:fill="auto"/>
            <w:vAlign w:val="bottom"/>
          </w:tcPr>
          <w:p w14:paraId="003D1F16" w14:textId="7D8D728C"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-11</w:t>
            </w:r>
            <w:r w:rsidR="004471C3" w:rsidRPr="0037157A">
              <w:rPr>
                <w:sz w:val="17"/>
                <w:szCs w:val="17"/>
                <w:lang w:val="fr-FR"/>
              </w:rPr>
              <w:t> %</w:t>
            </w:r>
          </w:p>
        </w:tc>
        <w:tc>
          <w:tcPr>
            <w:tcW w:w="1299" w:type="dxa"/>
            <w:shd w:val="clear" w:color="auto" w:fill="auto"/>
            <w:vAlign w:val="bottom"/>
          </w:tcPr>
          <w:p w14:paraId="43DE2E16" w14:textId="125797C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-25</w:t>
            </w:r>
            <w:r w:rsidR="004471C3" w:rsidRPr="0037157A">
              <w:rPr>
                <w:sz w:val="17"/>
                <w:szCs w:val="17"/>
                <w:lang w:val="fr-FR"/>
              </w:rPr>
              <w:t> %</w:t>
            </w:r>
          </w:p>
        </w:tc>
      </w:tr>
      <w:tr w:rsidR="00A61186" w:rsidRPr="0037157A" w14:paraId="687C7932" w14:textId="77777777" w:rsidTr="00BE1017">
        <w:tc>
          <w:tcPr>
            <w:tcW w:w="2851" w:type="dxa"/>
            <w:shd w:val="clear" w:color="auto" w:fill="auto"/>
            <w:vAlign w:val="bottom"/>
          </w:tcPr>
          <w:p w14:paraId="7B20E137"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Ovaire</w:t>
            </w:r>
          </w:p>
        </w:tc>
        <w:tc>
          <w:tcPr>
            <w:tcW w:w="1166" w:type="dxa"/>
            <w:shd w:val="clear" w:color="auto" w:fill="auto"/>
            <w:vAlign w:val="bottom"/>
          </w:tcPr>
          <w:p w14:paraId="376CF7F6"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716</w:t>
            </w:r>
          </w:p>
        </w:tc>
        <w:tc>
          <w:tcPr>
            <w:tcW w:w="1166" w:type="dxa"/>
            <w:gridSpan w:val="2"/>
            <w:shd w:val="clear" w:color="auto" w:fill="auto"/>
            <w:vAlign w:val="bottom"/>
          </w:tcPr>
          <w:p w14:paraId="6A71714E" w14:textId="5C8AD929"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w:t>
            </w:r>
            <w:r w:rsidR="004471C3" w:rsidRPr="0037157A">
              <w:rPr>
                <w:sz w:val="17"/>
                <w:szCs w:val="17"/>
                <w:lang w:val="fr-FR"/>
              </w:rPr>
              <w:t> %</w:t>
            </w:r>
          </w:p>
        </w:tc>
        <w:tc>
          <w:tcPr>
            <w:tcW w:w="1118" w:type="dxa"/>
            <w:shd w:val="clear" w:color="auto" w:fill="auto"/>
            <w:vAlign w:val="bottom"/>
          </w:tcPr>
          <w:p w14:paraId="1D14AE7B"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13</w:t>
            </w:r>
          </w:p>
        </w:tc>
        <w:tc>
          <w:tcPr>
            <w:tcW w:w="1169" w:type="dxa"/>
            <w:shd w:val="clear" w:color="auto" w:fill="auto"/>
            <w:vAlign w:val="bottom"/>
          </w:tcPr>
          <w:p w14:paraId="3D7662CD" w14:textId="59101606"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120</w:t>
            </w:r>
            <w:r w:rsidR="004471C3" w:rsidRPr="0037157A">
              <w:rPr>
                <w:sz w:val="17"/>
                <w:szCs w:val="17"/>
                <w:lang w:val="fr-FR"/>
              </w:rPr>
              <w:t> %</w:t>
            </w:r>
          </w:p>
        </w:tc>
        <w:tc>
          <w:tcPr>
            <w:tcW w:w="1080" w:type="dxa"/>
            <w:shd w:val="clear" w:color="auto" w:fill="auto"/>
            <w:vAlign w:val="bottom"/>
          </w:tcPr>
          <w:p w14:paraId="01B91C35" w14:textId="3162F7E1"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-9</w:t>
            </w:r>
            <w:r w:rsidR="004471C3" w:rsidRPr="0037157A">
              <w:rPr>
                <w:sz w:val="17"/>
                <w:szCs w:val="17"/>
                <w:lang w:val="fr-FR"/>
              </w:rPr>
              <w:t> %</w:t>
            </w:r>
          </w:p>
        </w:tc>
        <w:tc>
          <w:tcPr>
            <w:tcW w:w="1299" w:type="dxa"/>
            <w:shd w:val="clear" w:color="auto" w:fill="auto"/>
            <w:vAlign w:val="bottom"/>
          </w:tcPr>
          <w:p w14:paraId="357BC68A" w14:textId="00ABE918"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w:t>
            </w:r>
            <w:r w:rsidR="004471C3" w:rsidRPr="0037157A">
              <w:rPr>
                <w:sz w:val="17"/>
                <w:szCs w:val="17"/>
                <w:lang w:val="fr-FR"/>
              </w:rPr>
              <w:t> %</w:t>
            </w:r>
          </w:p>
        </w:tc>
      </w:tr>
      <w:tr w:rsidR="00A61186" w:rsidRPr="0037157A" w14:paraId="6DD306B8" w14:textId="77777777" w:rsidTr="00BE1017">
        <w:tc>
          <w:tcPr>
            <w:tcW w:w="2851" w:type="dxa"/>
            <w:tcBorders>
              <w:bottom w:val="single" w:sz="12" w:space="0" w:color="auto"/>
            </w:tcBorders>
            <w:shd w:val="clear" w:color="auto" w:fill="auto"/>
            <w:vAlign w:val="bottom"/>
          </w:tcPr>
          <w:p w14:paraId="0A425493" w14:textId="5ACE86D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Col de l</w:t>
            </w:r>
            <w:r w:rsidR="004471C3" w:rsidRPr="0037157A">
              <w:rPr>
                <w:sz w:val="17"/>
                <w:szCs w:val="17"/>
                <w:lang w:val="fr-FR"/>
              </w:rPr>
              <w:t>’</w:t>
            </w:r>
            <w:r w:rsidRPr="0037157A">
              <w:rPr>
                <w:sz w:val="17"/>
                <w:szCs w:val="17"/>
                <w:lang w:val="fr-FR"/>
              </w:rPr>
              <w:t>utérus</w:t>
            </w:r>
          </w:p>
        </w:tc>
        <w:tc>
          <w:tcPr>
            <w:tcW w:w="1166" w:type="dxa"/>
            <w:tcBorders>
              <w:bottom w:val="single" w:sz="12" w:space="0" w:color="auto"/>
            </w:tcBorders>
            <w:shd w:val="clear" w:color="auto" w:fill="auto"/>
            <w:vAlign w:val="bottom"/>
          </w:tcPr>
          <w:p w14:paraId="2DB343FA"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408</w:t>
            </w:r>
          </w:p>
        </w:tc>
        <w:tc>
          <w:tcPr>
            <w:tcW w:w="1166" w:type="dxa"/>
            <w:gridSpan w:val="2"/>
            <w:tcBorders>
              <w:bottom w:val="single" w:sz="12" w:space="0" w:color="auto"/>
            </w:tcBorders>
            <w:shd w:val="clear" w:color="auto" w:fill="auto"/>
            <w:vAlign w:val="bottom"/>
          </w:tcPr>
          <w:p w14:paraId="5143869D" w14:textId="23BFC2EB"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w:t>
            </w:r>
            <w:r w:rsidR="004471C3" w:rsidRPr="0037157A">
              <w:rPr>
                <w:sz w:val="17"/>
                <w:szCs w:val="17"/>
                <w:lang w:val="fr-FR"/>
              </w:rPr>
              <w:t> %</w:t>
            </w:r>
          </w:p>
        </w:tc>
        <w:tc>
          <w:tcPr>
            <w:tcW w:w="1118" w:type="dxa"/>
            <w:tcBorders>
              <w:bottom w:val="single" w:sz="12" w:space="0" w:color="auto"/>
            </w:tcBorders>
            <w:shd w:val="clear" w:color="auto" w:fill="auto"/>
            <w:vAlign w:val="bottom"/>
          </w:tcPr>
          <w:p w14:paraId="2690291A"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7</w:t>
            </w:r>
          </w:p>
        </w:tc>
        <w:tc>
          <w:tcPr>
            <w:tcW w:w="1169" w:type="dxa"/>
            <w:tcBorders>
              <w:bottom w:val="single" w:sz="12" w:space="0" w:color="auto"/>
            </w:tcBorders>
            <w:shd w:val="clear" w:color="auto" w:fill="auto"/>
            <w:vAlign w:val="bottom"/>
          </w:tcPr>
          <w:p w14:paraId="03858BC9" w14:textId="7C09144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193</w:t>
            </w:r>
            <w:r w:rsidR="004471C3" w:rsidRPr="0037157A">
              <w:rPr>
                <w:sz w:val="17"/>
                <w:szCs w:val="17"/>
                <w:lang w:val="fr-FR"/>
              </w:rPr>
              <w:t> %</w:t>
            </w:r>
          </w:p>
        </w:tc>
        <w:tc>
          <w:tcPr>
            <w:tcW w:w="1080" w:type="dxa"/>
            <w:tcBorders>
              <w:bottom w:val="single" w:sz="12" w:space="0" w:color="auto"/>
            </w:tcBorders>
            <w:shd w:val="clear" w:color="auto" w:fill="auto"/>
            <w:vAlign w:val="bottom"/>
          </w:tcPr>
          <w:p w14:paraId="3550607B" w14:textId="58529EC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w:t>
            </w:r>
            <w:r w:rsidR="004471C3" w:rsidRPr="0037157A">
              <w:rPr>
                <w:sz w:val="17"/>
                <w:szCs w:val="17"/>
                <w:lang w:val="fr-FR"/>
              </w:rPr>
              <w:t> %</w:t>
            </w:r>
          </w:p>
        </w:tc>
        <w:tc>
          <w:tcPr>
            <w:tcW w:w="1299" w:type="dxa"/>
            <w:tcBorders>
              <w:bottom w:val="single" w:sz="12" w:space="0" w:color="auto"/>
            </w:tcBorders>
            <w:shd w:val="clear" w:color="auto" w:fill="auto"/>
            <w:vAlign w:val="bottom"/>
          </w:tcPr>
          <w:p w14:paraId="67922CF1" w14:textId="1A030BB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8</w:t>
            </w:r>
            <w:r w:rsidR="004471C3" w:rsidRPr="0037157A">
              <w:rPr>
                <w:sz w:val="17"/>
                <w:szCs w:val="17"/>
                <w:lang w:val="fr-FR"/>
              </w:rPr>
              <w:t> %</w:t>
            </w:r>
          </w:p>
        </w:tc>
      </w:tr>
      <w:tr w:rsidR="00A61186" w:rsidRPr="0037157A" w14:paraId="7CB9322D" w14:textId="77777777" w:rsidTr="00BE1017">
        <w:tc>
          <w:tcPr>
            <w:tcW w:w="9849" w:type="dxa"/>
            <w:gridSpan w:val="8"/>
            <w:tcBorders>
              <w:top w:val="single" w:sz="12" w:space="0" w:color="auto"/>
              <w:bottom w:val="single" w:sz="4" w:space="0" w:color="auto"/>
            </w:tcBorders>
            <w:shd w:val="clear" w:color="auto" w:fill="auto"/>
            <w:vAlign w:val="bottom"/>
          </w:tcPr>
          <w:p w14:paraId="53B5B3A2"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center"/>
              <w:rPr>
                <w:b/>
                <w:bCs/>
                <w:sz w:val="17"/>
                <w:szCs w:val="17"/>
                <w:lang w:val="fr-FR"/>
              </w:rPr>
            </w:pPr>
            <w:r w:rsidRPr="0037157A">
              <w:rPr>
                <w:b/>
                <w:bCs/>
                <w:sz w:val="17"/>
                <w:szCs w:val="17"/>
                <w:lang w:val="fr-FR"/>
              </w:rPr>
              <w:t>Hommes</w:t>
            </w:r>
          </w:p>
        </w:tc>
      </w:tr>
      <w:tr w:rsidR="00A61186" w:rsidRPr="0037157A" w14:paraId="1C7A3EC0" w14:textId="77777777" w:rsidTr="00BE1017">
        <w:tc>
          <w:tcPr>
            <w:tcW w:w="2851" w:type="dxa"/>
            <w:tcBorders>
              <w:top w:val="single" w:sz="4" w:space="0" w:color="auto"/>
              <w:bottom w:val="single" w:sz="4" w:space="0" w:color="auto"/>
            </w:tcBorders>
            <w:shd w:val="clear" w:color="auto" w:fill="auto"/>
            <w:vAlign w:val="bottom"/>
          </w:tcPr>
          <w:p w14:paraId="67C6F0DD"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szCs w:val="17"/>
                <w:lang w:val="fr-FR"/>
              </w:rPr>
            </w:pPr>
            <w:r w:rsidRPr="0037157A">
              <w:rPr>
                <w:sz w:val="17"/>
                <w:szCs w:val="17"/>
                <w:lang w:val="fr-FR"/>
              </w:rPr>
              <w:tab/>
            </w:r>
            <w:r w:rsidRPr="0037157A">
              <w:rPr>
                <w:b/>
                <w:bCs/>
                <w:sz w:val="17"/>
                <w:szCs w:val="17"/>
                <w:lang w:val="fr-FR"/>
              </w:rPr>
              <w:t>Mortalité totale</w:t>
            </w:r>
          </w:p>
        </w:tc>
        <w:tc>
          <w:tcPr>
            <w:tcW w:w="1166" w:type="dxa"/>
            <w:tcBorders>
              <w:top w:val="single" w:sz="4" w:space="0" w:color="auto"/>
              <w:bottom w:val="single" w:sz="4" w:space="0" w:color="auto"/>
            </w:tcBorders>
            <w:shd w:val="clear" w:color="auto" w:fill="auto"/>
            <w:vAlign w:val="bottom"/>
          </w:tcPr>
          <w:p w14:paraId="56134CB0"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64 016</w:t>
            </w:r>
          </w:p>
        </w:tc>
        <w:tc>
          <w:tcPr>
            <w:tcW w:w="1166" w:type="dxa"/>
            <w:gridSpan w:val="2"/>
            <w:tcBorders>
              <w:top w:val="single" w:sz="4" w:space="0" w:color="auto"/>
              <w:bottom w:val="single" w:sz="4" w:space="0" w:color="auto"/>
            </w:tcBorders>
            <w:shd w:val="clear" w:color="auto" w:fill="auto"/>
            <w:vAlign w:val="bottom"/>
          </w:tcPr>
          <w:p w14:paraId="3D71E630" w14:textId="612EA8C9"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100</w:t>
            </w:r>
            <w:r w:rsidR="00F175C0" w:rsidRPr="00F175C0">
              <w:rPr>
                <w:b/>
                <w:bCs/>
                <w:sz w:val="17"/>
                <w:szCs w:val="17"/>
                <w:lang w:val="fr-FR"/>
              </w:rPr>
              <w:t> %</w:t>
            </w:r>
          </w:p>
        </w:tc>
        <w:tc>
          <w:tcPr>
            <w:tcW w:w="1118" w:type="dxa"/>
            <w:tcBorders>
              <w:top w:val="single" w:sz="4" w:space="0" w:color="auto"/>
              <w:bottom w:val="single" w:sz="4" w:space="0" w:color="auto"/>
            </w:tcBorders>
            <w:shd w:val="clear" w:color="auto" w:fill="auto"/>
            <w:vAlign w:val="bottom"/>
          </w:tcPr>
          <w:p w14:paraId="559888A4"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1 833</w:t>
            </w:r>
          </w:p>
        </w:tc>
        <w:tc>
          <w:tcPr>
            <w:tcW w:w="1169" w:type="dxa"/>
            <w:tcBorders>
              <w:top w:val="single" w:sz="4" w:space="0" w:color="auto"/>
              <w:bottom w:val="single" w:sz="4" w:space="0" w:color="auto"/>
            </w:tcBorders>
            <w:shd w:val="clear" w:color="auto" w:fill="auto"/>
            <w:vAlign w:val="bottom"/>
          </w:tcPr>
          <w:p w14:paraId="57BEE72D" w14:textId="67E2F3C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sz w:val="17"/>
                <w:szCs w:val="17"/>
                <w:lang w:val="fr-FR"/>
              </w:rPr>
              <w:t>147</w:t>
            </w:r>
            <w:r w:rsidR="004471C3" w:rsidRPr="0037157A">
              <w:rPr>
                <w:sz w:val="17"/>
                <w:szCs w:val="17"/>
                <w:lang w:val="fr-FR"/>
              </w:rPr>
              <w:t> %</w:t>
            </w:r>
          </w:p>
        </w:tc>
        <w:tc>
          <w:tcPr>
            <w:tcW w:w="1080" w:type="dxa"/>
            <w:tcBorders>
              <w:top w:val="single" w:sz="4" w:space="0" w:color="auto"/>
              <w:bottom w:val="single" w:sz="4" w:space="0" w:color="auto"/>
            </w:tcBorders>
            <w:shd w:val="clear" w:color="auto" w:fill="auto"/>
            <w:vAlign w:val="bottom"/>
          </w:tcPr>
          <w:p w14:paraId="51B77CE4" w14:textId="560E0C79"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-9</w:t>
            </w:r>
            <w:r w:rsidR="00F175C0" w:rsidRPr="00F175C0">
              <w:rPr>
                <w:b/>
                <w:bCs/>
                <w:sz w:val="17"/>
                <w:szCs w:val="17"/>
                <w:lang w:val="fr-FR"/>
              </w:rPr>
              <w:t> %</w:t>
            </w:r>
          </w:p>
        </w:tc>
        <w:tc>
          <w:tcPr>
            <w:tcW w:w="1299" w:type="dxa"/>
            <w:tcBorders>
              <w:top w:val="single" w:sz="4" w:space="0" w:color="auto"/>
              <w:bottom w:val="single" w:sz="4" w:space="0" w:color="auto"/>
            </w:tcBorders>
            <w:shd w:val="clear" w:color="auto" w:fill="auto"/>
            <w:vAlign w:val="bottom"/>
          </w:tcPr>
          <w:p w14:paraId="073F24FA" w14:textId="7401558C"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szCs w:val="17"/>
                <w:lang w:val="fr-FR"/>
              </w:rPr>
            </w:pPr>
            <w:r w:rsidRPr="0037157A">
              <w:rPr>
                <w:b/>
                <w:bCs/>
                <w:sz w:val="17"/>
                <w:szCs w:val="17"/>
                <w:lang w:val="fr-FR"/>
              </w:rPr>
              <w:t>-10</w:t>
            </w:r>
            <w:r w:rsidR="00F175C0" w:rsidRPr="00F175C0">
              <w:rPr>
                <w:b/>
                <w:bCs/>
                <w:sz w:val="17"/>
                <w:szCs w:val="17"/>
                <w:lang w:val="fr-FR"/>
              </w:rPr>
              <w:t> %</w:t>
            </w:r>
          </w:p>
        </w:tc>
      </w:tr>
      <w:tr w:rsidR="00A61186" w:rsidRPr="0037157A" w14:paraId="775723BE" w14:textId="77777777" w:rsidTr="00BE1017">
        <w:tc>
          <w:tcPr>
            <w:tcW w:w="2851" w:type="dxa"/>
            <w:tcBorders>
              <w:top w:val="single" w:sz="4" w:space="0" w:color="auto"/>
            </w:tcBorders>
            <w:shd w:val="clear" w:color="auto" w:fill="auto"/>
            <w:vAlign w:val="bottom"/>
          </w:tcPr>
          <w:p w14:paraId="18C5FA82"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left"/>
              <w:rPr>
                <w:b/>
                <w:bCs/>
                <w:sz w:val="17"/>
                <w:szCs w:val="17"/>
                <w:lang w:val="fr-FR"/>
              </w:rPr>
            </w:pPr>
            <w:r w:rsidRPr="0037157A">
              <w:rPr>
                <w:b/>
                <w:bCs/>
                <w:sz w:val="17"/>
                <w:szCs w:val="17"/>
                <w:lang w:val="fr-FR"/>
              </w:rPr>
              <w:t>Maladies cardiovasculaires</w:t>
            </w:r>
          </w:p>
        </w:tc>
        <w:tc>
          <w:tcPr>
            <w:tcW w:w="1166" w:type="dxa"/>
            <w:tcBorders>
              <w:top w:val="single" w:sz="4" w:space="0" w:color="auto"/>
            </w:tcBorders>
            <w:shd w:val="clear" w:color="auto" w:fill="auto"/>
            <w:vAlign w:val="bottom"/>
          </w:tcPr>
          <w:p w14:paraId="7E280DE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28 539</w:t>
            </w:r>
          </w:p>
        </w:tc>
        <w:tc>
          <w:tcPr>
            <w:tcW w:w="1166" w:type="dxa"/>
            <w:gridSpan w:val="2"/>
            <w:tcBorders>
              <w:top w:val="single" w:sz="4" w:space="0" w:color="auto"/>
            </w:tcBorders>
            <w:shd w:val="clear" w:color="auto" w:fill="auto"/>
            <w:vAlign w:val="bottom"/>
          </w:tcPr>
          <w:p w14:paraId="61A9B44D" w14:textId="723BC2A9"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45</w:t>
            </w:r>
            <w:r w:rsidR="00F175C0" w:rsidRPr="00F175C0">
              <w:rPr>
                <w:b/>
                <w:bCs/>
                <w:sz w:val="17"/>
                <w:szCs w:val="17"/>
                <w:lang w:val="fr-FR"/>
              </w:rPr>
              <w:t> %</w:t>
            </w:r>
          </w:p>
        </w:tc>
        <w:tc>
          <w:tcPr>
            <w:tcW w:w="1118" w:type="dxa"/>
            <w:tcBorders>
              <w:top w:val="single" w:sz="4" w:space="0" w:color="auto"/>
            </w:tcBorders>
            <w:shd w:val="clear" w:color="auto" w:fill="auto"/>
            <w:vAlign w:val="bottom"/>
          </w:tcPr>
          <w:p w14:paraId="4676CB1C"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888</w:t>
            </w:r>
          </w:p>
        </w:tc>
        <w:tc>
          <w:tcPr>
            <w:tcW w:w="1169" w:type="dxa"/>
            <w:tcBorders>
              <w:top w:val="single" w:sz="4" w:space="0" w:color="auto"/>
            </w:tcBorders>
            <w:shd w:val="clear" w:color="auto" w:fill="auto"/>
            <w:vAlign w:val="bottom"/>
          </w:tcPr>
          <w:p w14:paraId="565AC28B" w14:textId="79A7AF5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208</w:t>
            </w:r>
            <w:r w:rsidR="00F175C0" w:rsidRPr="00F175C0">
              <w:rPr>
                <w:b/>
                <w:bCs/>
                <w:sz w:val="17"/>
                <w:szCs w:val="17"/>
                <w:lang w:val="fr-FR"/>
              </w:rPr>
              <w:t> %</w:t>
            </w:r>
          </w:p>
        </w:tc>
        <w:tc>
          <w:tcPr>
            <w:tcW w:w="1080" w:type="dxa"/>
            <w:tcBorders>
              <w:top w:val="single" w:sz="4" w:space="0" w:color="auto"/>
            </w:tcBorders>
            <w:shd w:val="clear" w:color="auto" w:fill="auto"/>
            <w:vAlign w:val="bottom"/>
          </w:tcPr>
          <w:p w14:paraId="72E6325F" w14:textId="30FDEC9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-11</w:t>
            </w:r>
            <w:r w:rsidR="00F175C0" w:rsidRPr="00F175C0">
              <w:rPr>
                <w:b/>
                <w:bCs/>
                <w:sz w:val="17"/>
                <w:szCs w:val="17"/>
                <w:lang w:val="fr-FR"/>
              </w:rPr>
              <w:t> %</w:t>
            </w:r>
          </w:p>
        </w:tc>
        <w:tc>
          <w:tcPr>
            <w:tcW w:w="1299" w:type="dxa"/>
            <w:tcBorders>
              <w:top w:val="single" w:sz="4" w:space="0" w:color="auto"/>
            </w:tcBorders>
            <w:shd w:val="clear" w:color="auto" w:fill="auto"/>
            <w:vAlign w:val="bottom"/>
          </w:tcPr>
          <w:p w14:paraId="04276B97" w14:textId="1869B32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right"/>
              <w:rPr>
                <w:b/>
                <w:bCs/>
                <w:sz w:val="17"/>
                <w:szCs w:val="17"/>
                <w:lang w:val="fr-FR"/>
              </w:rPr>
            </w:pPr>
            <w:r w:rsidRPr="0037157A">
              <w:rPr>
                <w:b/>
                <w:bCs/>
                <w:sz w:val="17"/>
                <w:szCs w:val="17"/>
                <w:lang w:val="fr-FR"/>
              </w:rPr>
              <w:t>-8</w:t>
            </w:r>
            <w:r w:rsidR="00F175C0" w:rsidRPr="00F175C0">
              <w:rPr>
                <w:b/>
                <w:bCs/>
                <w:sz w:val="17"/>
                <w:szCs w:val="17"/>
                <w:lang w:val="fr-FR"/>
              </w:rPr>
              <w:t> %</w:t>
            </w:r>
          </w:p>
        </w:tc>
      </w:tr>
      <w:tr w:rsidR="00A61186" w:rsidRPr="0037157A" w14:paraId="5D6D8F3E" w14:textId="77777777" w:rsidTr="00BE1017">
        <w:tc>
          <w:tcPr>
            <w:tcW w:w="2851" w:type="dxa"/>
            <w:shd w:val="clear" w:color="auto" w:fill="auto"/>
            <w:vAlign w:val="bottom"/>
          </w:tcPr>
          <w:p w14:paraId="6503307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Ischémie myocardique</w:t>
            </w:r>
          </w:p>
        </w:tc>
        <w:tc>
          <w:tcPr>
            <w:tcW w:w="1166" w:type="dxa"/>
            <w:shd w:val="clear" w:color="auto" w:fill="auto"/>
            <w:vAlign w:val="bottom"/>
          </w:tcPr>
          <w:p w14:paraId="46669281"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14 667</w:t>
            </w:r>
          </w:p>
        </w:tc>
        <w:tc>
          <w:tcPr>
            <w:tcW w:w="1166" w:type="dxa"/>
            <w:gridSpan w:val="2"/>
            <w:shd w:val="clear" w:color="auto" w:fill="auto"/>
            <w:vAlign w:val="bottom"/>
          </w:tcPr>
          <w:p w14:paraId="680F39D3" w14:textId="69E9461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23</w:t>
            </w:r>
            <w:r w:rsidR="004471C3" w:rsidRPr="0037157A">
              <w:rPr>
                <w:sz w:val="17"/>
                <w:szCs w:val="17"/>
                <w:lang w:val="fr-FR"/>
              </w:rPr>
              <w:t> %</w:t>
            </w:r>
          </w:p>
        </w:tc>
        <w:tc>
          <w:tcPr>
            <w:tcW w:w="1118" w:type="dxa"/>
            <w:shd w:val="clear" w:color="auto" w:fill="auto"/>
            <w:vAlign w:val="bottom"/>
          </w:tcPr>
          <w:p w14:paraId="2B2A4120"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460</w:t>
            </w:r>
          </w:p>
        </w:tc>
        <w:tc>
          <w:tcPr>
            <w:tcW w:w="1169" w:type="dxa"/>
            <w:shd w:val="clear" w:color="auto" w:fill="auto"/>
            <w:vAlign w:val="bottom"/>
          </w:tcPr>
          <w:p w14:paraId="0F112A91" w14:textId="79317E66"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283</w:t>
            </w:r>
            <w:r w:rsidR="004471C3" w:rsidRPr="0037157A">
              <w:rPr>
                <w:sz w:val="17"/>
                <w:szCs w:val="17"/>
                <w:lang w:val="fr-FR"/>
              </w:rPr>
              <w:t> %</w:t>
            </w:r>
          </w:p>
        </w:tc>
        <w:tc>
          <w:tcPr>
            <w:tcW w:w="1080" w:type="dxa"/>
            <w:shd w:val="clear" w:color="auto" w:fill="auto"/>
            <w:vAlign w:val="bottom"/>
          </w:tcPr>
          <w:p w14:paraId="209AAA29" w14:textId="5885C63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sz w:val="17"/>
                <w:szCs w:val="17"/>
                <w:lang w:val="fr-FR"/>
              </w:rPr>
              <w:t>14</w:t>
            </w:r>
            <w:r w:rsidR="004471C3" w:rsidRPr="0037157A">
              <w:rPr>
                <w:sz w:val="17"/>
                <w:szCs w:val="17"/>
                <w:lang w:val="fr-FR"/>
              </w:rPr>
              <w:t> %</w:t>
            </w:r>
          </w:p>
        </w:tc>
        <w:tc>
          <w:tcPr>
            <w:tcW w:w="1299" w:type="dxa"/>
            <w:shd w:val="clear" w:color="auto" w:fill="auto"/>
            <w:vAlign w:val="bottom"/>
          </w:tcPr>
          <w:p w14:paraId="687EA42F" w14:textId="09C7F36C"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6</w:t>
            </w:r>
            <w:r w:rsidR="004471C3" w:rsidRPr="0037157A">
              <w:rPr>
                <w:sz w:val="17"/>
                <w:szCs w:val="17"/>
                <w:lang w:val="fr-FR"/>
              </w:rPr>
              <w:t> %</w:t>
            </w:r>
          </w:p>
        </w:tc>
      </w:tr>
      <w:tr w:rsidR="00A61186" w:rsidRPr="0037157A" w14:paraId="4966BF57" w14:textId="77777777" w:rsidTr="00BE1017">
        <w:tc>
          <w:tcPr>
            <w:tcW w:w="2851" w:type="dxa"/>
            <w:tcBorders>
              <w:bottom w:val="single" w:sz="4" w:space="0" w:color="auto"/>
            </w:tcBorders>
            <w:shd w:val="clear" w:color="auto" w:fill="auto"/>
            <w:vAlign w:val="bottom"/>
          </w:tcPr>
          <w:p w14:paraId="4F1D1424"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Maladies cérébrovasculaires</w:t>
            </w:r>
          </w:p>
        </w:tc>
        <w:tc>
          <w:tcPr>
            <w:tcW w:w="1166" w:type="dxa"/>
            <w:tcBorders>
              <w:bottom w:val="single" w:sz="4" w:space="0" w:color="auto"/>
            </w:tcBorders>
            <w:shd w:val="clear" w:color="auto" w:fill="auto"/>
            <w:vAlign w:val="bottom"/>
          </w:tcPr>
          <w:p w14:paraId="299A820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4 851</w:t>
            </w:r>
          </w:p>
        </w:tc>
        <w:tc>
          <w:tcPr>
            <w:tcW w:w="1166" w:type="dxa"/>
            <w:gridSpan w:val="2"/>
            <w:tcBorders>
              <w:bottom w:val="single" w:sz="4" w:space="0" w:color="auto"/>
            </w:tcBorders>
            <w:shd w:val="clear" w:color="auto" w:fill="auto"/>
            <w:vAlign w:val="bottom"/>
          </w:tcPr>
          <w:p w14:paraId="277AC499" w14:textId="5A431E0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8</w:t>
            </w:r>
            <w:r w:rsidR="004471C3" w:rsidRPr="0037157A">
              <w:rPr>
                <w:sz w:val="17"/>
                <w:szCs w:val="17"/>
                <w:lang w:val="fr-FR"/>
              </w:rPr>
              <w:t> %</w:t>
            </w:r>
          </w:p>
        </w:tc>
        <w:tc>
          <w:tcPr>
            <w:tcW w:w="1118" w:type="dxa"/>
            <w:tcBorders>
              <w:bottom w:val="single" w:sz="4" w:space="0" w:color="auto"/>
            </w:tcBorders>
            <w:shd w:val="clear" w:color="auto" w:fill="auto"/>
            <w:vAlign w:val="bottom"/>
          </w:tcPr>
          <w:p w14:paraId="2BD4DFB3"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150</w:t>
            </w:r>
          </w:p>
        </w:tc>
        <w:tc>
          <w:tcPr>
            <w:tcW w:w="1169" w:type="dxa"/>
            <w:tcBorders>
              <w:bottom w:val="single" w:sz="4" w:space="0" w:color="auto"/>
            </w:tcBorders>
            <w:shd w:val="clear" w:color="auto" w:fill="auto"/>
            <w:vAlign w:val="bottom"/>
          </w:tcPr>
          <w:p w14:paraId="20969FC2" w14:textId="32D2CC6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172</w:t>
            </w:r>
            <w:r w:rsidR="004471C3" w:rsidRPr="0037157A">
              <w:rPr>
                <w:sz w:val="17"/>
                <w:szCs w:val="17"/>
                <w:lang w:val="fr-FR"/>
              </w:rPr>
              <w:t> %</w:t>
            </w:r>
          </w:p>
        </w:tc>
        <w:tc>
          <w:tcPr>
            <w:tcW w:w="1080" w:type="dxa"/>
            <w:tcBorders>
              <w:bottom w:val="single" w:sz="4" w:space="0" w:color="auto"/>
            </w:tcBorders>
            <w:shd w:val="clear" w:color="auto" w:fill="auto"/>
            <w:vAlign w:val="bottom"/>
          </w:tcPr>
          <w:p w14:paraId="4D7BA520" w14:textId="73546E3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-27</w:t>
            </w:r>
            <w:r w:rsidR="004471C3" w:rsidRPr="0037157A">
              <w:rPr>
                <w:sz w:val="17"/>
                <w:szCs w:val="17"/>
                <w:lang w:val="fr-FR"/>
              </w:rPr>
              <w:t> %</w:t>
            </w:r>
          </w:p>
        </w:tc>
        <w:tc>
          <w:tcPr>
            <w:tcW w:w="1299" w:type="dxa"/>
            <w:tcBorders>
              <w:bottom w:val="single" w:sz="4" w:space="0" w:color="auto"/>
            </w:tcBorders>
            <w:shd w:val="clear" w:color="auto" w:fill="auto"/>
            <w:vAlign w:val="bottom"/>
          </w:tcPr>
          <w:p w14:paraId="1B7A99B0" w14:textId="1D9F871D"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-30</w:t>
            </w:r>
            <w:r w:rsidR="004471C3" w:rsidRPr="0037157A">
              <w:rPr>
                <w:sz w:val="17"/>
                <w:szCs w:val="17"/>
                <w:lang w:val="fr-FR"/>
              </w:rPr>
              <w:t> %</w:t>
            </w:r>
          </w:p>
        </w:tc>
      </w:tr>
      <w:tr w:rsidR="00A61186" w:rsidRPr="0037157A" w14:paraId="3798CD3A" w14:textId="77777777" w:rsidTr="00BE1017">
        <w:tc>
          <w:tcPr>
            <w:tcW w:w="2851" w:type="dxa"/>
            <w:tcBorders>
              <w:top w:val="single" w:sz="4" w:space="0" w:color="auto"/>
            </w:tcBorders>
            <w:shd w:val="clear" w:color="auto" w:fill="auto"/>
            <w:vAlign w:val="bottom"/>
          </w:tcPr>
          <w:p w14:paraId="05C7549C"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szCs w:val="17"/>
                <w:lang w:val="fr-FR"/>
              </w:rPr>
            </w:pPr>
            <w:r w:rsidRPr="0037157A">
              <w:rPr>
                <w:b/>
                <w:bCs/>
                <w:sz w:val="17"/>
                <w:szCs w:val="17"/>
                <w:lang w:val="fr-FR"/>
              </w:rPr>
              <w:t>Tumeurs malignes</w:t>
            </w:r>
          </w:p>
        </w:tc>
        <w:tc>
          <w:tcPr>
            <w:tcW w:w="1166" w:type="dxa"/>
            <w:tcBorders>
              <w:top w:val="single" w:sz="4" w:space="0" w:color="auto"/>
            </w:tcBorders>
            <w:shd w:val="clear" w:color="auto" w:fill="auto"/>
            <w:vAlign w:val="bottom"/>
          </w:tcPr>
          <w:p w14:paraId="4B059CA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17 953</w:t>
            </w:r>
          </w:p>
        </w:tc>
        <w:tc>
          <w:tcPr>
            <w:tcW w:w="1166" w:type="dxa"/>
            <w:gridSpan w:val="2"/>
            <w:tcBorders>
              <w:top w:val="single" w:sz="4" w:space="0" w:color="auto"/>
            </w:tcBorders>
            <w:shd w:val="clear" w:color="auto" w:fill="auto"/>
            <w:vAlign w:val="bottom"/>
          </w:tcPr>
          <w:p w14:paraId="315733B8" w14:textId="2A097F6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28</w:t>
            </w:r>
            <w:r w:rsidR="00F175C0" w:rsidRPr="00F175C0">
              <w:rPr>
                <w:b/>
                <w:bCs/>
                <w:sz w:val="17"/>
                <w:szCs w:val="17"/>
                <w:lang w:val="fr-FR"/>
              </w:rPr>
              <w:t> %</w:t>
            </w:r>
          </w:p>
        </w:tc>
        <w:tc>
          <w:tcPr>
            <w:tcW w:w="1118" w:type="dxa"/>
            <w:tcBorders>
              <w:top w:val="single" w:sz="4" w:space="0" w:color="auto"/>
            </w:tcBorders>
            <w:shd w:val="clear" w:color="auto" w:fill="auto"/>
            <w:vAlign w:val="bottom"/>
          </w:tcPr>
          <w:p w14:paraId="7967E22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468</w:t>
            </w:r>
          </w:p>
        </w:tc>
        <w:tc>
          <w:tcPr>
            <w:tcW w:w="1169" w:type="dxa"/>
            <w:tcBorders>
              <w:top w:val="single" w:sz="4" w:space="0" w:color="auto"/>
            </w:tcBorders>
            <w:shd w:val="clear" w:color="auto" w:fill="auto"/>
            <w:vAlign w:val="bottom"/>
          </w:tcPr>
          <w:p w14:paraId="215BB083" w14:textId="496A90A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131</w:t>
            </w:r>
            <w:r w:rsidR="00F175C0" w:rsidRPr="00F175C0">
              <w:rPr>
                <w:b/>
                <w:bCs/>
                <w:sz w:val="17"/>
                <w:szCs w:val="17"/>
                <w:lang w:val="fr-FR"/>
              </w:rPr>
              <w:t> %</w:t>
            </w:r>
          </w:p>
        </w:tc>
        <w:tc>
          <w:tcPr>
            <w:tcW w:w="1080" w:type="dxa"/>
            <w:tcBorders>
              <w:top w:val="single" w:sz="4" w:space="0" w:color="auto"/>
            </w:tcBorders>
            <w:shd w:val="clear" w:color="auto" w:fill="auto"/>
            <w:vAlign w:val="bottom"/>
          </w:tcPr>
          <w:p w14:paraId="558F49DC" w14:textId="183B3906"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-7</w:t>
            </w:r>
            <w:r w:rsidR="00F175C0" w:rsidRPr="00F175C0">
              <w:rPr>
                <w:b/>
                <w:bCs/>
                <w:sz w:val="17"/>
                <w:szCs w:val="17"/>
                <w:lang w:val="fr-FR"/>
              </w:rPr>
              <w:t> %</w:t>
            </w:r>
          </w:p>
        </w:tc>
        <w:tc>
          <w:tcPr>
            <w:tcW w:w="1299" w:type="dxa"/>
            <w:tcBorders>
              <w:top w:val="single" w:sz="4" w:space="0" w:color="auto"/>
            </w:tcBorders>
            <w:shd w:val="clear" w:color="auto" w:fill="auto"/>
            <w:vAlign w:val="bottom"/>
          </w:tcPr>
          <w:p w14:paraId="75116691" w14:textId="3307481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b/>
                <w:bCs/>
                <w:sz w:val="17"/>
                <w:szCs w:val="17"/>
                <w:lang w:val="fr-FR"/>
              </w:rPr>
              <w:t>-8</w:t>
            </w:r>
            <w:r w:rsidR="00F175C0" w:rsidRPr="00F175C0">
              <w:rPr>
                <w:b/>
                <w:bCs/>
                <w:sz w:val="17"/>
                <w:szCs w:val="17"/>
                <w:lang w:val="fr-FR"/>
              </w:rPr>
              <w:t> %</w:t>
            </w:r>
          </w:p>
        </w:tc>
      </w:tr>
      <w:tr w:rsidR="00A61186" w:rsidRPr="0037157A" w14:paraId="33F3AF20" w14:textId="77777777" w:rsidTr="00BE1017">
        <w:tc>
          <w:tcPr>
            <w:tcW w:w="2851" w:type="dxa"/>
            <w:shd w:val="clear" w:color="auto" w:fill="auto"/>
            <w:vAlign w:val="bottom"/>
          </w:tcPr>
          <w:p w14:paraId="7C05E9FB"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Poumon</w:t>
            </w:r>
          </w:p>
        </w:tc>
        <w:tc>
          <w:tcPr>
            <w:tcW w:w="1166" w:type="dxa"/>
            <w:shd w:val="clear" w:color="auto" w:fill="auto"/>
            <w:vAlign w:val="bottom"/>
          </w:tcPr>
          <w:p w14:paraId="09EE4011"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5 341</w:t>
            </w:r>
          </w:p>
        </w:tc>
        <w:tc>
          <w:tcPr>
            <w:tcW w:w="1166" w:type="dxa"/>
            <w:gridSpan w:val="2"/>
            <w:shd w:val="clear" w:color="auto" w:fill="auto"/>
            <w:vAlign w:val="bottom"/>
          </w:tcPr>
          <w:p w14:paraId="141C85A6" w14:textId="23E467C0"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8</w:t>
            </w:r>
            <w:r w:rsidR="004471C3" w:rsidRPr="0037157A">
              <w:rPr>
                <w:sz w:val="17"/>
                <w:szCs w:val="17"/>
                <w:lang w:val="fr-FR"/>
              </w:rPr>
              <w:t> %</w:t>
            </w:r>
          </w:p>
        </w:tc>
        <w:tc>
          <w:tcPr>
            <w:tcW w:w="1118" w:type="dxa"/>
            <w:shd w:val="clear" w:color="auto" w:fill="auto"/>
            <w:vAlign w:val="bottom"/>
          </w:tcPr>
          <w:p w14:paraId="253FF0FF"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131</w:t>
            </w:r>
          </w:p>
        </w:tc>
        <w:tc>
          <w:tcPr>
            <w:tcW w:w="1169" w:type="dxa"/>
            <w:shd w:val="clear" w:color="auto" w:fill="auto"/>
            <w:vAlign w:val="bottom"/>
          </w:tcPr>
          <w:p w14:paraId="210D2940" w14:textId="4A11A48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159</w:t>
            </w:r>
            <w:r w:rsidR="004471C3" w:rsidRPr="0037157A">
              <w:rPr>
                <w:sz w:val="17"/>
                <w:szCs w:val="17"/>
                <w:lang w:val="fr-FR"/>
              </w:rPr>
              <w:t> %</w:t>
            </w:r>
          </w:p>
        </w:tc>
        <w:tc>
          <w:tcPr>
            <w:tcW w:w="1080" w:type="dxa"/>
            <w:shd w:val="clear" w:color="auto" w:fill="auto"/>
            <w:vAlign w:val="bottom"/>
          </w:tcPr>
          <w:p w14:paraId="10F44216" w14:textId="4B712D5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-16</w:t>
            </w:r>
            <w:r w:rsidR="004471C3" w:rsidRPr="0037157A">
              <w:rPr>
                <w:sz w:val="17"/>
                <w:szCs w:val="17"/>
                <w:lang w:val="fr-FR"/>
              </w:rPr>
              <w:t> %</w:t>
            </w:r>
          </w:p>
        </w:tc>
        <w:tc>
          <w:tcPr>
            <w:tcW w:w="1299" w:type="dxa"/>
            <w:shd w:val="clear" w:color="auto" w:fill="auto"/>
            <w:vAlign w:val="bottom"/>
          </w:tcPr>
          <w:p w14:paraId="05980490" w14:textId="0F84B08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-13</w:t>
            </w:r>
            <w:r w:rsidR="004471C3" w:rsidRPr="0037157A">
              <w:rPr>
                <w:sz w:val="17"/>
                <w:szCs w:val="17"/>
                <w:lang w:val="fr-FR"/>
              </w:rPr>
              <w:t> %</w:t>
            </w:r>
          </w:p>
        </w:tc>
      </w:tr>
      <w:tr w:rsidR="00A61186" w:rsidRPr="0037157A" w14:paraId="6AAC9AA1" w14:textId="77777777" w:rsidTr="00BE1017">
        <w:tc>
          <w:tcPr>
            <w:tcW w:w="2851" w:type="dxa"/>
            <w:shd w:val="clear" w:color="auto" w:fill="auto"/>
            <w:vAlign w:val="bottom"/>
          </w:tcPr>
          <w:p w14:paraId="26923BEA"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Côlon et rectum</w:t>
            </w:r>
          </w:p>
        </w:tc>
        <w:tc>
          <w:tcPr>
            <w:tcW w:w="1166" w:type="dxa"/>
            <w:shd w:val="clear" w:color="auto" w:fill="auto"/>
            <w:vAlign w:val="bottom"/>
          </w:tcPr>
          <w:p w14:paraId="531138F4"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2 836</w:t>
            </w:r>
          </w:p>
        </w:tc>
        <w:tc>
          <w:tcPr>
            <w:tcW w:w="1166" w:type="dxa"/>
            <w:gridSpan w:val="2"/>
            <w:shd w:val="clear" w:color="auto" w:fill="auto"/>
            <w:vAlign w:val="bottom"/>
          </w:tcPr>
          <w:p w14:paraId="56C2C447" w14:textId="37EF0A5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4</w:t>
            </w:r>
            <w:r w:rsidR="004471C3" w:rsidRPr="0037157A">
              <w:rPr>
                <w:sz w:val="17"/>
                <w:szCs w:val="17"/>
                <w:lang w:val="fr-FR"/>
              </w:rPr>
              <w:t> %</w:t>
            </w:r>
          </w:p>
        </w:tc>
        <w:tc>
          <w:tcPr>
            <w:tcW w:w="1118" w:type="dxa"/>
            <w:shd w:val="clear" w:color="auto" w:fill="auto"/>
            <w:vAlign w:val="bottom"/>
          </w:tcPr>
          <w:p w14:paraId="08F0B741"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77</w:t>
            </w:r>
          </w:p>
        </w:tc>
        <w:tc>
          <w:tcPr>
            <w:tcW w:w="1169" w:type="dxa"/>
            <w:shd w:val="clear" w:color="auto" w:fill="auto"/>
            <w:vAlign w:val="bottom"/>
          </w:tcPr>
          <w:p w14:paraId="15B2FBD4" w14:textId="0ADCB3E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191</w:t>
            </w:r>
            <w:r w:rsidR="004471C3" w:rsidRPr="0037157A">
              <w:rPr>
                <w:sz w:val="17"/>
                <w:szCs w:val="17"/>
                <w:lang w:val="fr-FR"/>
              </w:rPr>
              <w:t> %</w:t>
            </w:r>
          </w:p>
        </w:tc>
        <w:tc>
          <w:tcPr>
            <w:tcW w:w="1080" w:type="dxa"/>
            <w:shd w:val="clear" w:color="auto" w:fill="auto"/>
            <w:vAlign w:val="bottom"/>
          </w:tcPr>
          <w:p w14:paraId="0E73A4DF" w14:textId="078DD7AD"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-11</w:t>
            </w:r>
            <w:r w:rsidR="004471C3" w:rsidRPr="0037157A">
              <w:rPr>
                <w:sz w:val="17"/>
                <w:szCs w:val="17"/>
                <w:lang w:val="fr-FR"/>
              </w:rPr>
              <w:t> %</w:t>
            </w:r>
          </w:p>
        </w:tc>
        <w:tc>
          <w:tcPr>
            <w:tcW w:w="1299" w:type="dxa"/>
            <w:shd w:val="clear" w:color="auto" w:fill="auto"/>
            <w:vAlign w:val="bottom"/>
          </w:tcPr>
          <w:p w14:paraId="0588C2FA" w14:textId="41D4FE04"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-13</w:t>
            </w:r>
            <w:r w:rsidR="004471C3" w:rsidRPr="0037157A">
              <w:rPr>
                <w:sz w:val="17"/>
                <w:szCs w:val="17"/>
                <w:lang w:val="fr-FR"/>
              </w:rPr>
              <w:t> %</w:t>
            </w:r>
          </w:p>
        </w:tc>
      </w:tr>
      <w:tr w:rsidR="00A61186" w:rsidRPr="0037157A" w14:paraId="3ADA6C4D" w14:textId="77777777" w:rsidTr="00BE1017">
        <w:tc>
          <w:tcPr>
            <w:tcW w:w="2851" w:type="dxa"/>
            <w:shd w:val="clear" w:color="auto" w:fill="auto"/>
            <w:vAlign w:val="bottom"/>
          </w:tcPr>
          <w:p w14:paraId="7AB4F9F6"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Prostate</w:t>
            </w:r>
          </w:p>
        </w:tc>
        <w:tc>
          <w:tcPr>
            <w:tcW w:w="1166" w:type="dxa"/>
            <w:shd w:val="clear" w:color="auto" w:fill="auto"/>
            <w:vAlign w:val="bottom"/>
          </w:tcPr>
          <w:p w14:paraId="0BE64CA7"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1 314</w:t>
            </w:r>
          </w:p>
        </w:tc>
        <w:tc>
          <w:tcPr>
            <w:tcW w:w="1166" w:type="dxa"/>
            <w:gridSpan w:val="2"/>
            <w:shd w:val="clear" w:color="auto" w:fill="auto"/>
            <w:vAlign w:val="bottom"/>
          </w:tcPr>
          <w:p w14:paraId="1D1766EE" w14:textId="5F7DC78A"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w:t>
            </w:r>
            <w:r w:rsidR="004471C3" w:rsidRPr="0037157A">
              <w:rPr>
                <w:sz w:val="17"/>
                <w:szCs w:val="17"/>
                <w:lang w:val="fr-FR"/>
              </w:rPr>
              <w:t> %</w:t>
            </w:r>
          </w:p>
        </w:tc>
        <w:tc>
          <w:tcPr>
            <w:tcW w:w="1118" w:type="dxa"/>
            <w:shd w:val="clear" w:color="auto" w:fill="auto"/>
            <w:vAlign w:val="bottom"/>
          </w:tcPr>
          <w:p w14:paraId="25D47E2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42</w:t>
            </w:r>
          </w:p>
        </w:tc>
        <w:tc>
          <w:tcPr>
            <w:tcW w:w="1169" w:type="dxa"/>
            <w:shd w:val="clear" w:color="auto" w:fill="auto"/>
            <w:vAlign w:val="bottom"/>
          </w:tcPr>
          <w:p w14:paraId="63F8286E" w14:textId="3F10AC63"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106</w:t>
            </w:r>
            <w:r w:rsidR="004471C3" w:rsidRPr="0037157A">
              <w:rPr>
                <w:sz w:val="17"/>
                <w:szCs w:val="17"/>
                <w:lang w:val="fr-FR"/>
              </w:rPr>
              <w:t> %</w:t>
            </w:r>
          </w:p>
        </w:tc>
        <w:tc>
          <w:tcPr>
            <w:tcW w:w="1080" w:type="dxa"/>
            <w:shd w:val="clear" w:color="auto" w:fill="auto"/>
            <w:vAlign w:val="bottom"/>
          </w:tcPr>
          <w:p w14:paraId="4233FFBE" w14:textId="3872420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-5</w:t>
            </w:r>
            <w:r w:rsidR="004471C3" w:rsidRPr="0037157A">
              <w:rPr>
                <w:sz w:val="17"/>
                <w:szCs w:val="17"/>
                <w:lang w:val="fr-FR"/>
              </w:rPr>
              <w:t> %</w:t>
            </w:r>
          </w:p>
        </w:tc>
        <w:tc>
          <w:tcPr>
            <w:tcW w:w="1299" w:type="dxa"/>
            <w:shd w:val="clear" w:color="auto" w:fill="auto"/>
            <w:vAlign w:val="bottom"/>
          </w:tcPr>
          <w:p w14:paraId="5FE6F88F" w14:textId="16B15B7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0</w:t>
            </w:r>
            <w:r w:rsidR="004471C3" w:rsidRPr="0037157A">
              <w:rPr>
                <w:sz w:val="17"/>
                <w:szCs w:val="17"/>
                <w:lang w:val="fr-FR"/>
              </w:rPr>
              <w:t> %</w:t>
            </w:r>
          </w:p>
        </w:tc>
      </w:tr>
      <w:tr w:rsidR="00A61186" w:rsidRPr="0037157A" w14:paraId="5A075AB3" w14:textId="77777777" w:rsidTr="00BE1017">
        <w:tc>
          <w:tcPr>
            <w:tcW w:w="2851" w:type="dxa"/>
            <w:tcBorders>
              <w:bottom w:val="single" w:sz="12" w:space="0" w:color="auto"/>
            </w:tcBorders>
            <w:shd w:val="clear" w:color="auto" w:fill="auto"/>
            <w:vAlign w:val="bottom"/>
          </w:tcPr>
          <w:p w14:paraId="6879A475"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fr-FR"/>
              </w:rPr>
            </w:pPr>
            <w:r w:rsidRPr="0037157A">
              <w:rPr>
                <w:sz w:val="17"/>
                <w:szCs w:val="17"/>
                <w:lang w:val="fr-FR"/>
              </w:rPr>
              <w:tab/>
              <w:t>Pancréas</w:t>
            </w:r>
          </w:p>
        </w:tc>
        <w:tc>
          <w:tcPr>
            <w:tcW w:w="1166" w:type="dxa"/>
            <w:tcBorders>
              <w:bottom w:val="single" w:sz="12" w:space="0" w:color="auto"/>
            </w:tcBorders>
            <w:shd w:val="clear" w:color="auto" w:fill="auto"/>
            <w:vAlign w:val="bottom"/>
          </w:tcPr>
          <w:p w14:paraId="1DA6F838"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1 071</w:t>
            </w:r>
          </w:p>
        </w:tc>
        <w:tc>
          <w:tcPr>
            <w:tcW w:w="1166" w:type="dxa"/>
            <w:gridSpan w:val="2"/>
            <w:tcBorders>
              <w:bottom w:val="single" w:sz="12" w:space="0" w:color="auto"/>
            </w:tcBorders>
            <w:shd w:val="clear" w:color="auto" w:fill="auto"/>
            <w:vAlign w:val="bottom"/>
          </w:tcPr>
          <w:p w14:paraId="298D3C69" w14:textId="17A19965"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w:t>
            </w:r>
            <w:r w:rsidR="004471C3" w:rsidRPr="0037157A">
              <w:rPr>
                <w:sz w:val="17"/>
                <w:szCs w:val="17"/>
                <w:lang w:val="fr-FR"/>
              </w:rPr>
              <w:t> %</w:t>
            </w:r>
          </w:p>
        </w:tc>
        <w:tc>
          <w:tcPr>
            <w:tcW w:w="1118" w:type="dxa"/>
            <w:tcBorders>
              <w:bottom w:val="single" w:sz="12" w:space="0" w:color="auto"/>
            </w:tcBorders>
            <w:shd w:val="clear" w:color="auto" w:fill="auto"/>
            <w:vAlign w:val="bottom"/>
          </w:tcPr>
          <w:p w14:paraId="2A53473C" w14:textId="77777777"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27</w:t>
            </w:r>
          </w:p>
        </w:tc>
        <w:tc>
          <w:tcPr>
            <w:tcW w:w="1169" w:type="dxa"/>
            <w:tcBorders>
              <w:bottom w:val="single" w:sz="12" w:space="0" w:color="auto"/>
            </w:tcBorders>
            <w:shd w:val="clear" w:color="auto" w:fill="auto"/>
            <w:vAlign w:val="bottom"/>
          </w:tcPr>
          <w:p w14:paraId="57E0A063" w14:textId="193D1D1F"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137</w:t>
            </w:r>
            <w:r w:rsidR="004471C3" w:rsidRPr="0037157A">
              <w:rPr>
                <w:sz w:val="17"/>
                <w:szCs w:val="17"/>
                <w:lang w:val="fr-FR"/>
              </w:rPr>
              <w:t> %</w:t>
            </w:r>
          </w:p>
        </w:tc>
        <w:tc>
          <w:tcPr>
            <w:tcW w:w="1080" w:type="dxa"/>
            <w:tcBorders>
              <w:bottom w:val="single" w:sz="12" w:space="0" w:color="auto"/>
            </w:tcBorders>
            <w:shd w:val="clear" w:color="auto" w:fill="auto"/>
            <w:vAlign w:val="bottom"/>
          </w:tcPr>
          <w:p w14:paraId="5F75DCC4" w14:textId="19E4738E"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fr-FR"/>
              </w:rPr>
            </w:pPr>
            <w:r w:rsidRPr="0037157A">
              <w:rPr>
                <w:sz w:val="17"/>
                <w:szCs w:val="17"/>
                <w:lang w:val="fr-FR"/>
              </w:rPr>
              <w:t>-12</w:t>
            </w:r>
            <w:r w:rsidR="004471C3" w:rsidRPr="0037157A">
              <w:rPr>
                <w:sz w:val="17"/>
                <w:szCs w:val="17"/>
                <w:lang w:val="fr-FR"/>
              </w:rPr>
              <w:t> %</w:t>
            </w:r>
          </w:p>
        </w:tc>
        <w:tc>
          <w:tcPr>
            <w:tcW w:w="1299" w:type="dxa"/>
            <w:tcBorders>
              <w:bottom w:val="single" w:sz="12" w:space="0" w:color="auto"/>
            </w:tcBorders>
            <w:shd w:val="clear" w:color="auto" w:fill="auto"/>
            <w:vAlign w:val="bottom"/>
          </w:tcPr>
          <w:p w14:paraId="47A32D22" w14:textId="4BB53412" w:rsidR="00A61186" w:rsidRPr="0037157A" w:rsidRDefault="00A61186" w:rsidP="00A61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szCs w:val="17"/>
                <w:lang w:val="fr-FR"/>
              </w:rPr>
            </w:pPr>
            <w:r w:rsidRPr="0037157A">
              <w:rPr>
                <w:sz w:val="17"/>
                <w:szCs w:val="17"/>
                <w:lang w:val="fr-FR"/>
              </w:rPr>
              <w:t>-23</w:t>
            </w:r>
            <w:r w:rsidR="004471C3" w:rsidRPr="0037157A">
              <w:rPr>
                <w:sz w:val="17"/>
                <w:szCs w:val="17"/>
                <w:lang w:val="fr-FR"/>
              </w:rPr>
              <w:t> %</w:t>
            </w:r>
          </w:p>
        </w:tc>
      </w:tr>
    </w:tbl>
    <w:p w14:paraId="672F6DB3" w14:textId="7A2B2FF4" w:rsidR="00A61186" w:rsidRPr="0037157A" w:rsidRDefault="00A61186" w:rsidP="00EB0DAE">
      <w:pPr>
        <w:pStyle w:val="SingleTxt"/>
        <w:spacing w:after="0" w:line="120" w:lineRule="exact"/>
        <w:rPr>
          <w:sz w:val="10"/>
          <w:lang w:val="fr-FR"/>
        </w:rPr>
      </w:pPr>
    </w:p>
    <w:p w14:paraId="65DB98E7" w14:textId="3485BA19" w:rsidR="00EB0DAE" w:rsidRPr="0037157A" w:rsidRDefault="00EB0DAE" w:rsidP="00EB0DAE">
      <w:pPr>
        <w:pStyle w:val="SingleTxt"/>
        <w:spacing w:after="0" w:line="120" w:lineRule="exact"/>
        <w:rPr>
          <w:sz w:val="10"/>
          <w:lang w:val="fr-FR"/>
        </w:rPr>
      </w:pPr>
    </w:p>
    <w:p w14:paraId="219062B7" w14:textId="39646016" w:rsidR="00A61186" w:rsidRPr="0037157A" w:rsidRDefault="00A61186" w:rsidP="009D535F">
      <w:pPr>
        <w:pStyle w:val="SingleTxt"/>
        <w:numPr>
          <w:ilvl w:val="0"/>
          <w:numId w:val="12"/>
        </w:numPr>
        <w:spacing w:line="240" w:lineRule="exact"/>
        <w:rPr>
          <w:bCs/>
          <w:iCs/>
          <w:lang w:val="fr-FR"/>
        </w:rPr>
      </w:pPr>
      <w:r w:rsidRPr="0037157A">
        <w:rPr>
          <w:lang w:val="fr-FR"/>
        </w:rPr>
        <w:t>Entre 2011 et 2018, le taux de mortalité totale chez les femmes a diminué de 4</w:t>
      </w:r>
      <w:r w:rsidR="004471C3" w:rsidRPr="0037157A">
        <w:rPr>
          <w:lang w:val="fr-FR"/>
        </w:rPr>
        <w:t> %</w:t>
      </w:r>
      <w:r w:rsidRPr="0037157A">
        <w:rPr>
          <w:lang w:val="fr-FR"/>
        </w:rPr>
        <w:t>, tandis que le taux de mortalité due aux maladies cérébrovasculaires a diminué de 27</w:t>
      </w:r>
      <w:r w:rsidR="004471C3" w:rsidRPr="0037157A">
        <w:rPr>
          <w:lang w:val="fr-FR"/>
        </w:rPr>
        <w:t> %</w:t>
      </w:r>
      <w:r w:rsidRPr="0037157A">
        <w:rPr>
          <w:lang w:val="fr-FR"/>
        </w:rPr>
        <w:t>. Au cours de la même période, le taux de mortalité précoce a diminué chez les femmes comme chez les hommes. Entre 2011 et 2016, on a également constaté une tendance positive dans la prévention des décès évitables, soit une diminution de 11</w:t>
      </w:r>
      <w:r w:rsidR="00CB2E84" w:rsidRPr="0037157A">
        <w:rPr>
          <w:lang w:val="fr-FR"/>
        </w:rPr>
        <w:t> </w:t>
      </w:r>
      <w:r w:rsidR="004471C3" w:rsidRPr="0037157A">
        <w:rPr>
          <w:lang w:val="fr-FR"/>
        </w:rPr>
        <w:t>%</w:t>
      </w:r>
      <w:r w:rsidRPr="0037157A">
        <w:rPr>
          <w:lang w:val="fr-FR"/>
        </w:rPr>
        <w:t xml:space="preserve"> sur </w:t>
      </w:r>
      <w:r w:rsidR="00DC71DA">
        <w:rPr>
          <w:lang w:val="fr-FR"/>
        </w:rPr>
        <w:t>cinq</w:t>
      </w:r>
      <w:r w:rsidR="00CB2E84" w:rsidRPr="0037157A">
        <w:rPr>
          <w:lang w:val="fr-FR"/>
        </w:rPr>
        <w:t xml:space="preserve"> </w:t>
      </w:r>
      <w:r w:rsidRPr="0037157A">
        <w:rPr>
          <w:lang w:val="fr-FR"/>
        </w:rPr>
        <w:t>ans. Pour ce qui est de la mortalité maternelle, en 2015, 15</w:t>
      </w:r>
      <w:r w:rsidR="00CB2E84" w:rsidRPr="0037157A">
        <w:rPr>
          <w:lang w:val="fr-FR"/>
        </w:rPr>
        <w:t xml:space="preserve"> </w:t>
      </w:r>
      <w:r w:rsidRPr="0037157A">
        <w:rPr>
          <w:lang w:val="fr-FR"/>
        </w:rPr>
        <w:t>mères sont décédées en Hongrie entre le début de la grossesse et le 42</w:t>
      </w:r>
      <w:r w:rsidRPr="0037157A">
        <w:rPr>
          <w:vertAlign w:val="superscript"/>
          <w:lang w:val="fr-FR"/>
        </w:rPr>
        <w:t>e</w:t>
      </w:r>
      <w:r w:rsidR="00CB2E84" w:rsidRPr="0037157A">
        <w:rPr>
          <w:lang w:val="fr-FR"/>
        </w:rPr>
        <w:t xml:space="preserve"> </w:t>
      </w:r>
      <w:r w:rsidRPr="0037157A">
        <w:rPr>
          <w:lang w:val="fr-FR"/>
        </w:rPr>
        <w:t>jour après l</w:t>
      </w:r>
      <w:r w:rsidR="004471C3" w:rsidRPr="0037157A">
        <w:rPr>
          <w:lang w:val="fr-FR"/>
        </w:rPr>
        <w:t>’</w:t>
      </w:r>
      <w:r w:rsidRPr="0037157A">
        <w:rPr>
          <w:lang w:val="fr-FR"/>
        </w:rPr>
        <w:t>accouchement. Selon un rapport publié en 2015 par Save the Children, le rapport de mortalité maternelle du pays s</w:t>
      </w:r>
      <w:r w:rsidR="004471C3" w:rsidRPr="0037157A">
        <w:rPr>
          <w:lang w:val="fr-FR"/>
        </w:rPr>
        <w:t>’</w:t>
      </w:r>
      <w:r w:rsidRPr="0037157A">
        <w:rPr>
          <w:lang w:val="fr-FR"/>
        </w:rPr>
        <w:t>élève à</w:t>
      </w:r>
      <w:r w:rsidR="00CB2E84" w:rsidRPr="0037157A">
        <w:rPr>
          <w:lang w:val="fr-FR"/>
        </w:rPr>
        <w:t xml:space="preserve"> </w:t>
      </w:r>
      <w:r w:rsidRPr="0037157A">
        <w:rPr>
          <w:lang w:val="fr-FR"/>
        </w:rPr>
        <w:t>17, ce qui place la Hongrie au 51</w:t>
      </w:r>
      <w:r w:rsidRPr="0037157A">
        <w:rPr>
          <w:vertAlign w:val="superscript"/>
          <w:lang w:val="fr-FR"/>
        </w:rPr>
        <w:t>e</w:t>
      </w:r>
      <w:r w:rsidR="00CB2E84" w:rsidRPr="0037157A">
        <w:rPr>
          <w:lang w:val="fr-FR"/>
        </w:rPr>
        <w:t xml:space="preserve"> </w:t>
      </w:r>
      <w:r w:rsidRPr="0037157A">
        <w:rPr>
          <w:lang w:val="fr-FR"/>
        </w:rPr>
        <w:t>rang parmi les 179</w:t>
      </w:r>
      <w:r w:rsidR="00CB2E84" w:rsidRPr="0037157A">
        <w:rPr>
          <w:lang w:val="fr-FR"/>
        </w:rPr>
        <w:t xml:space="preserve"> </w:t>
      </w:r>
      <w:r w:rsidRPr="0037157A">
        <w:rPr>
          <w:lang w:val="fr-FR"/>
        </w:rPr>
        <w:t>pays étudiés. Les causes les plus fréquentes de mortalité maternelle en Hongrie sont les hémorragies graves incontrôlables pendant la grossesse ou l</w:t>
      </w:r>
      <w:r w:rsidR="004471C3" w:rsidRPr="0037157A">
        <w:rPr>
          <w:lang w:val="fr-FR"/>
        </w:rPr>
        <w:t>’</w:t>
      </w:r>
      <w:r w:rsidRPr="0037157A">
        <w:rPr>
          <w:lang w:val="fr-FR"/>
        </w:rPr>
        <w:t>accouchement, les maladies cardiaques, les intoxications liées à la grossesse et les thromboses. Près d</w:t>
      </w:r>
      <w:r w:rsidR="004471C3" w:rsidRPr="0037157A">
        <w:rPr>
          <w:lang w:val="fr-FR"/>
        </w:rPr>
        <w:t>’</w:t>
      </w:r>
      <w:r w:rsidRPr="0037157A">
        <w:rPr>
          <w:lang w:val="fr-FR"/>
        </w:rPr>
        <w:t>un quart (22,9</w:t>
      </w:r>
      <w:r w:rsidR="004471C3" w:rsidRPr="0037157A">
        <w:rPr>
          <w:lang w:val="fr-FR"/>
        </w:rPr>
        <w:t> %</w:t>
      </w:r>
      <w:r w:rsidRPr="0037157A">
        <w:rPr>
          <w:lang w:val="fr-FR"/>
        </w:rPr>
        <w:t>) de l</w:t>
      </w:r>
      <w:r w:rsidR="004471C3" w:rsidRPr="0037157A">
        <w:rPr>
          <w:lang w:val="fr-FR"/>
        </w:rPr>
        <w:t>’</w:t>
      </w:r>
      <w:r w:rsidRPr="0037157A">
        <w:rPr>
          <w:lang w:val="fr-FR"/>
        </w:rPr>
        <w:t>ensemble des décès chez les femmes ont été causés par le cancer.</w:t>
      </w:r>
    </w:p>
    <w:p w14:paraId="1F108C18" w14:textId="6095B83E" w:rsidR="00EB0DAE" w:rsidRPr="0037157A" w:rsidRDefault="00EB0DAE" w:rsidP="00EB0DAE">
      <w:pPr>
        <w:pStyle w:val="SingleTxt"/>
        <w:spacing w:after="0" w:line="120" w:lineRule="exact"/>
        <w:rPr>
          <w:sz w:val="10"/>
          <w:lang w:val="fr-FR"/>
        </w:rPr>
      </w:pPr>
    </w:p>
    <w:p w14:paraId="3B27D588" w14:textId="6545B9E5" w:rsidR="00A61186" w:rsidRPr="0037157A" w:rsidRDefault="00A61186" w:rsidP="00EB0D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Fréquence des comportements à risque</w:t>
      </w:r>
    </w:p>
    <w:p w14:paraId="3EF974C9" w14:textId="4D05C4C1" w:rsidR="00EB0DAE" w:rsidRPr="0037157A" w:rsidRDefault="00EB0DAE" w:rsidP="00EB0DAE">
      <w:pPr>
        <w:pStyle w:val="SingleTxt"/>
        <w:spacing w:after="0" w:line="120" w:lineRule="exact"/>
        <w:rPr>
          <w:sz w:val="10"/>
          <w:lang w:val="fr-FR"/>
        </w:rPr>
      </w:pPr>
    </w:p>
    <w:p w14:paraId="02378E17" w14:textId="6C8B243E" w:rsidR="00A61186" w:rsidRPr="0037157A" w:rsidRDefault="00A61186" w:rsidP="009D535F">
      <w:pPr>
        <w:pStyle w:val="SingleTxt"/>
        <w:numPr>
          <w:ilvl w:val="0"/>
          <w:numId w:val="12"/>
        </w:numPr>
        <w:spacing w:line="240" w:lineRule="exact"/>
        <w:rPr>
          <w:lang w:val="fr-FR"/>
        </w:rPr>
      </w:pPr>
      <w:r w:rsidRPr="0037157A">
        <w:rPr>
          <w:lang w:val="fr-FR"/>
        </w:rPr>
        <w:t>Tant en 2010 qu</w:t>
      </w:r>
      <w:r w:rsidR="004471C3" w:rsidRPr="0037157A">
        <w:rPr>
          <w:lang w:val="fr-FR"/>
        </w:rPr>
        <w:t>’</w:t>
      </w:r>
      <w:r w:rsidRPr="0037157A">
        <w:rPr>
          <w:lang w:val="fr-FR"/>
        </w:rPr>
        <w:t xml:space="preserve">en 2019, la majorité des problèmes de santé liés à des facteurs de risque chez les </w:t>
      </w:r>
      <w:r w:rsidRPr="0037157A">
        <w:rPr>
          <w:szCs w:val="20"/>
          <w:lang w:val="fr-FR"/>
        </w:rPr>
        <w:t>femmes</w:t>
      </w:r>
      <w:r w:rsidRPr="0037157A">
        <w:rPr>
          <w:lang w:val="fr-FR"/>
        </w:rPr>
        <w:t xml:space="preserve"> étaient dus, par ordre de prévalence, à l</w:t>
      </w:r>
      <w:r w:rsidR="004471C3" w:rsidRPr="0037157A">
        <w:rPr>
          <w:lang w:val="fr-FR"/>
        </w:rPr>
        <w:t>’</w:t>
      </w:r>
      <w:r w:rsidRPr="0037157A">
        <w:rPr>
          <w:lang w:val="fr-FR"/>
        </w:rPr>
        <w:t>hypertension, à un indice de masse corporelle élevé, à l</w:t>
      </w:r>
      <w:r w:rsidR="004471C3" w:rsidRPr="0037157A">
        <w:rPr>
          <w:lang w:val="fr-FR"/>
        </w:rPr>
        <w:t>’</w:t>
      </w:r>
      <w:r w:rsidRPr="0037157A">
        <w:rPr>
          <w:lang w:val="fr-FR"/>
        </w:rPr>
        <w:t>hyperglycémie et au cholestérol, au tabagisme et à une consommation élevée de sel.</w:t>
      </w:r>
    </w:p>
    <w:p w14:paraId="2852A701" w14:textId="048B6A49" w:rsidR="00A61186" w:rsidRPr="0037157A" w:rsidRDefault="00A61186" w:rsidP="009D535F">
      <w:pPr>
        <w:pStyle w:val="SingleTxt"/>
        <w:numPr>
          <w:ilvl w:val="0"/>
          <w:numId w:val="12"/>
        </w:numPr>
        <w:spacing w:line="240" w:lineRule="exact"/>
        <w:rPr>
          <w:lang w:val="fr-FR"/>
        </w:rPr>
      </w:pPr>
      <w:r w:rsidRPr="0037157A">
        <w:rPr>
          <w:lang w:val="fr-FR"/>
        </w:rPr>
        <w:t>Selon la dernière enquête européenne par interview sur la santé menée dans le pays en 2019, 27</w:t>
      </w:r>
      <w:r w:rsidR="004471C3" w:rsidRPr="0037157A">
        <w:rPr>
          <w:lang w:val="fr-FR"/>
        </w:rPr>
        <w:t> %</w:t>
      </w:r>
      <w:r w:rsidRPr="0037157A">
        <w:rPr>
          <w:lang w:val="fr-FR"/>
        </w:rPr>
        <w:t xml:space="preserve"> de la </w:t>
      </w:r>
      <w:r w:rsidRPr="0037157A">
        <w:rPr>
          <w:szCs w:val="20"/>
          <w:lang w:val="fr-FR"/>
        </w:rPr>
        <w:t>population</w:t>
      </w:r>
      <w:r w:rsidRPr="0037157A">
        <w:rPr>
          <w:lang w:val="fr-FR"/>
        </w:rPr>
        <w:t xml:space="preserve"> de plus de 15 ans fume, et 25</w:t>
      </w:r>
      <w:r w:rsidR="004471C3" w:rsidRPr="0037157A">
        <w:rPr>
          <w:lang w:val="fr-FR"/>
        </w:rPr>
        <w:t> %</w:t>
      </w:r>
      <w:r w:rsidRPr="0037157A">
        <w:rPr>
          <w:lang w:val="fr-FR"/>
        </w:rPr>
        <w:t xml:space="preserve"> déclarent fumer tous les jours. C</w:t>
      </w:r>
      <w:r w:rsidR="004471C3" w:rsidRPr="0037157A">
        <w:rPr>
          <w:lang w:val="fr-FR"/>
        </w:rPr>
        <w:t>’</w:t>
      </w:r>
      <w:r w:rsidRPr="0037157A">
        <w:rPr>
          <w:lang w:val="fr-FR"/>
        </w:rPr>
        <w:t>est chez les hommes et les femmes de 18 à 34 ans que l</w:t>
      </w:r>
      <w:r w:rsidR="004471C3" w:rsidRPr="0037157A">
        <w:rPr>
          <w:lang w:val="fr-FR"/>
        </w:rPr>
        <w:t>’</w:t>
      </w:r>
      <w:r w:rsidRPr="0037157A">
        <w:rPr>
          <w:lang w:val="fr-FR"/>
        </w:rPr>
        <w:t>on trouve la plus grande proportion de fumeurs quotidiens</w:t>
      </w:r>
      <w:r w:rsidRPr="0037157A">
        <w:rPr>
          <w:vertAlign w:val="superscript"/>
          <w:lang w:val="fr-FR"/>
        </w:rPr>
        <w:footnoteReference w:id="10"/>
      </w:r>
      <w:r w:rsidRPr="0037157A">
        <w:rPr>
          <w:lang w:val="fr-FR"/>
        </w:rPr>
        <w:t>.</w:t>
      </w:r>
    </w:p>
    <w:p w14:paraId="05DD9002" w14:textId="5DA21070" w:rsidR="00A61186" w:rsidRPr="0037157A" w:rsidRDefault="00A61186" w:rsidP="009D535F">
      <w:pPr>
        <w:pStyle w:val="SingleTxt"/>
        <w:numPr>
          <w:ilvl w:val="0"/>
          <w:numId w:val="12"/>
        </w:numPr>
        <w:spacing w:line="240" w:lineRule="exact"/>
        <w:rPr>
          <w:iCs/>
          <w:lang w:val="fr-FR"/>
        </w:rPr>
      </w:pPr>
      <w:r w:rsidRPr="0037157A">
        <w:rPr>
          <w:lang w:val="fr-FR"/>
        </w:rPr>
        <w:t>En 2019, 1,5</w:t>
      </w:r>
      <w:r w:rsidR="004471C3" w:rsidRPr="0037157A">
        <w:rPr>
          <w:lang w:val="fr-FR"/>
        </w:rPr>
        <w:t> %</w:t>
      </w:r>
      <w:r w:rsidRPr="0037157A">
        <w:rPr>
          <w:lang w:val="fr-FR"/>
        </w:rPr>
        <w:t xml:space="preserve"> </w:t>
      </w:r>
      <w:r w:rsidRPr="0037157A">
        <w:rPr>
          <w:szCs w:val="20"/>
          <w:lang w:val="fr-FR"/>
        </w:rPr>
        <w:t>des</w:t>
      </w:r>
      <w:r w:rsidRPr="0037157A">
        <w:rPr>
          <w:lang w:val="fr-FR"/>
        </w:rPr>
        <w:t xml:space="preserve"> femmes étaient de grandes buveuses. La proportion de grandes buveuses chez les femmes a augmenté entre 2009 et 2019, passant de 1,1</w:t>
      </w:r>
      <w:r w:rsidR="004471C3" w:rsidRPr="0037157A">
        <w:rPr>
          <w:lang w:val="fr-FR"/>
        </w:rPr>
        <w:t> %</w:t>
      </w:r>
      <w:r w:rsidRPr="0037157A">
        <w:rPr>
          <w:lang w:val="fr-FR"/>
        </w:rPr>
        <w:t xml:space="preserve"> à 1,4</w:t>
      </w:r>
      <w:r w:rsidR="004471C3" w:rsidRPr="0037157A">
        <w:rPr>
          <w:lang w:val="fr-FR"/>
        </w:rPr>
        <w:t> %</w:t>
      </w:r>
      <w:r w:rsidRPr="0037157A">
        <w:rPr>
          <w:vertAlign w:val="superscript"/>
          <w:lang w:val="fr-FR"/>
        </w:rPr>
        <w:footnoteReference w:id="11"/>
      </w:r>
      <w:r w:rsidRPr="0037157A">
        <w:rPr>
          <w:lang w:val="fr-FR"/>
        </w:rPr>
        <w:t>.</w:t>
      </w:r>
    </w:p>
    <w:p w14:paraId="1FEA6183" w14:textId="2B1B4BF0" w:rsidR="00A61186" w:rsidRPr="0037157A" w:rsidRDefault="00A61186" w:rsidP="009D535F">
      <w:pPr>
        <w:pStyle w:val="SingleTxt"/>
        <w:numPr>
          <w:ilvl w:val="0"/>
          <w:numId w:val="12"/>
        </w:numPr>
        <w:spacing w:line="240" w:lineRule="exact"/>
        <w:rPr>
          <w:lang w:val="fr-FR"/>
        </w:rPr>
      </w:pPr>
      <w:r w:rsidRPr="0037157A">
        <w:rPr>
          <w:lang w:val="fr-FR"/>
        </w:rPr>
        <w:t>En ce qui concerne la population adulte, les hommes consomment davantage de drogues illicites au cours de leur vie que les femmes (voir annexe).</w:t>
      </w:r>
    </w:p>
    <w:p w14:paraId="513D0114" w14:textId="2C5F3804" w:rsidR="00EB0DAE" w:rsidRPr="0037157A" w:rsidRDefault="00EB0DAE" w:rsidP="00EB0DAE">
      <w:pPr>
        <w:pStyle w:val="SingleTxt"/>
        <w:spacing w:after="0" w:line="120" w:lineRule="exact"/>
        <w:rPr>
          <w:sz w:val="10"/>
          <w:lang w:val="fr-FR"/>
        </w:rPr>
      </w:pPr>
    </w:p>
    <w:p w14:paraId="7DABAEAF" w14:textId="58B1F338" w:rsidR="00A61186" w:rsidRPr="0037157A" w:rsidRDefault="00A61186" w:rsidP="00EB0D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Pr="0037157A">
        <w:rPr>
          <w:lang w:val="fr-FR"/>
        </w:rPr>
        <w:tab/>
        <w:t>Prévalence du VIH</w:t>
      </w:r>
    </w:p>
    <w:p w14:paraId="3816F5CD" w14:textId="35ACF1D6" w:rsidR="00EB0DAE" w:rsidRPr="0037157A" w:rsidRDefault="00EB0DAE" w:rsidP="00EB0DAE">
      <w:pPr>
        <w:pStyle w:val="SingleTxt"/>
        <w:spacing w:after="0" w:line="120" w:lineRule="exact"/>
        <w:rPr>
          <w:sz w:val="10"/>
          <w:lang w:val="fr-FR"/>
        </w:rPr>
      </w:pPr>
    </w:p>
    <w:p w14:paraId="3E597672" w14:textId="3E9CFDD4" w:rsidR="00A61186" w:rsidRPr="0037157A" w:rsidRDefault="00A61186" w:rsidP="009D535F">
      <w:pPr>
        <w:pStyle w:val="SingleTxt"/>
        <w:numPr>
          <w:ilvl w:val="0"/>
          <w:numId w:val="12"/>
        </w:numPr>
        <w:spacing w:line="240" w:lineRule="exact"/>
        <w:rPr>
          <w:lang w:val="fr-FR"/>
        </w:rPr>
      </w:pPr>
      <w:r w:rsidRPr="0037157A">
        <w:rPr>
          <w:lang w:val="fr-FR"/>
        </w:rPr>
        <w:t>En 2020, 201</w:t>
      </w:r>
      <w:r w:rsidR="00CB2E84" w:rsidRPr="0037157A">
        <w:rPr>
          <w:lang w:val="fr-FR"/>
        </w:rPr>
        <w:t xml:space="preserve"> </w:t>
      </w:r>
      <w:r w:rsidRPr="0037157A">
        <w:rPr>
          <w:lang w:val="fr-FR"/>
        </w:rPr>
        <w:t>nouveaux cas de VIH ont été enregistrés, dont 15</w:t>
      </w:r>
      <w:r w:rsidR="00CB2E84" w:rsidRPr="0037157A">
        <w:rPr>
          <w:lang w:val="fr-FR"/>
        </w:rPr>
        <w:t xml:space="preserve"> </w:t>
      </w:r>
      <w:r w:rsidRPr="0037157A">
        <w:rPr>
          <w:lang w:val="fr-FR"/>
        </w:rPr>
        <w:t>femmes (voir annexe). La répartition par âge et par sexe des 2 129</w:t>
      </w:r>
      <w:r w:rsidR="00CB2E84" w:rsidRPr="0037157A">
        <w:rPr>
          <w:lang w:val="fr-FR"/>
        </w:rPr>
        <w:t xml:space="preserve"> </w:t>
      </w:r>
      <w:r w:rsidRPr="0037157A">
        <w:rPr>
          <w:lang w:val="fr-FR"/>
        </w:rPr>
        <w:t>patients traités pour le VIH en 2019 est présentée ci-dessous. La représentation des femmes est nettement inférieure à celle des hommes (12</w:t>
      </w:r>
      <w:r w:rsidR="004471C3" w:rsidRPr="0037157A">
        <w:rPr>
          <w:lang w:val="fr-FR"/>
        </w:rPr>
        <w:t> %</w:t>
      </w:r>
      <w:r w:rsidRPr="0037157A">
        <w:rPr>
          <w:lang w:val="fr-FR"/>
        </w:rPr>
        <w:t>), et la majorité des patients séropositifs sont âgés de 30 à 49 ans</w:t>
      </w:r>
      <w:r w:rsidRPr="0037157A">
        <w:rPr>
          <w:vertAlign w:val="superscript"/>
          <w:lang w:val="fr-FR"/>
        </w:rPr>
        <w:footnoteReference w:id="12"/>
      </w:r>
      <w:r w:rsidR="004471C3" w:rsidRPr="0037157A">
        <w:rPr>
          <w:lang w:val="fr-FR"/>
        </w:rPr>
        <w:t> :</w:t>
      </w:r>
    </w:p>
    <w:p w14:paraId="0921CB75" w14:textId="27C293B2" w:rsidR="00A61186" w:rsidRPr="0037157A" w:rsidRDefault="00A61186" w:rsidP="00CB2E84">
      <w:pPr>
        <w:pStyle w:val="SingleTxt"/>
        <w:spacing w:after="0" w:line="120" w:lineRule="exact"/>
        <w:rPr>
          <w:sz w:val="10"/>
          <w:lang w:val="fr-FR"/>
        </w:rPr>
      </w:pPr>
    </w:p>
    <w:p w14:paraId="70870B63" w14:textId="77777777" w:rsidR="00A61186" w:rsidRPr="0037157A" w:rsidRDefault="00A61186" w:rsidP="00B06C44">
      <w:pPr>
        <w:pStyle w:val="H56"/>
        <w:keepLines w:val="0"/>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37157A">
        <w:rPr>
          <w:lang w:val="fr-FR"/>
        </w:rPr>
        <w:tab/>
      </w:r>
      <w:r w:rsidRPr="0037157A">
        <w:rPr>
          <w:lang w:val="fr-FR"/>
        </w:rPr>
        <w:tab/>
        <w:t>Tableau 8</w:t>
      </w:r>
    </w:p>
    <w:p w14:paraId="07CCC489" w14:textId="0D74C3D5" w:rsidR="00A61186" w:rsidRPr="0037157A" w:rsidRDefault="00A61186" w:rsidP="00B06C44">
      <w:pPr>
        <w:pStyle w:val="H23"/>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157A">
        <w:rPr>
          <w:lang w:val="fr-FR"/>
        </w:rPr>
        <w:tab/>
      </w:r>
      <w:r w:rsidR="00EB0DAE" w:rsidRPr="0037157A">
        <w:rPr>
          <w:lang w:val="fr-FR"/>
        </w:rPr>
        <w:tab/>
      </w:r>
      <w:r w:rsidRPr="0037157A">
        <w:rPr>
          <w:lang w:val="fr-FR"/>
        </w:rPr>
        <w:t>Répartition par âge et par sexe du nombre de patients traités pour le VIH</w:t>
      </w:r>
    </w:p>
    <w:p w14:paraId="559C8114" w14:textId="4471497E" w:rsidR="00A61186" w:rsidRPr="0037157A" w:rsidRDefault="00A61186" w:rsidP="00B06C44">
      <w:pPr>
        <w:pStyle w:val="SingleTxt"/>
        <w:keepNext/>
        <w:spacing w:after="0" w:line="120" w:lineRule="exact"/>
        <w:rPr>
          <w:sz w:val="10"/>
          <w:lang w:val="fr-FR"/>
        </w:rPr>
      </w:pPr>
    </w:p>
    <w:p w14:paraId="491D3F90" w14:textId="021C5A86" w:rsidR="00EB0DAE" w:rsidRPr="0037157A" w:rsidRDefault="00EB0DAE" w:rsidP="00B06C44">
      <w:pPr>
        <w:pStyle w:val="SingleTxt"/>
        <w:keepNext/>
        <w:spacing w:after="0" w:line="120" w:lineRule="exact"/>
        <w:rPr>
          <w:sz w:val="10"/>
          <w:lang w:val="fr-FR"/>
        </w:rPr>
      </w:pPr>
    </w:p>
    <w:p w14:paraId="7010B6C7" w14:textId="77777777" w:rsidR="00A61186" w:rsidRPr="0037157A" w:rsidRDefault="00A61186" w:rsidP="00B06C44">
      <w:pPr>
        <w:pStyle w:val="SingleTxtG"/>
        <w:keepNext/>
        <w:ind w:left="1287"/>
        <w:rPr>
          <w:b/>
          <w:bCs/>
          <w:iCs/>
          <w:lang w:val="fr-FR"/>
        </w:rPr>
      </w:pPr>
      <w:r w:rsidRPr="0037157A">
        <w:rPr>
          <w:b/>
          <w:bCs/>
          <w:iCs/>
          <w:noProof/>
          <w:lang w:val="fr-FR" w:eastAsia="en-GB"/>
        </w:rPr>
        <w:drawing>
          <wp:inline distT="0" distB="0" distL="0" distR="0" wp14:anchorId="6F043029" wp14:editId="7576D702">
            <wp:extent cx="4670768" cy="3399913"/>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0797" cy="3436330"/>
                    </a:xfrm>
                    <a:prstGeom prst="rect">
                      <a:avLst/>
                    </a:prstGeom>
                    <a:noFill/>
                  </pic:spPr>
                </pic:pic>
              </a:graphicData>
            </a:graphic>
          </wp:inline>
        </w:drawing>
      </w:r>
    </w:p>
    <w:p w14:paraId="2117C143" w14:textId="1DA1A153" w:rsidR="00EB0DAE" w:rsidRPr="0037157A" w:rsidRDefault="00EB0DAE" w:rsidP="00CB2E84">
      <w:pPr>
        <w:pStyle w:val="SingleTxt"/>
        <w:spacing w:after="0" w:line="120" w:lineRule="exact"/>
        <w:rPr>
          <w:sz w:val="10"/>
          <w:lang w:val="fr-FR"/>
        </w:rPr>
      </w:pPr>
    </w:p>
    <w:p w14:paraId="4C40DA51" w14:textId="2D9D56F4" w:rsidR="00A61186" w:rsidRPr="0037157A" w:rsidRDefault="00A61186" w:rsidP="00EB0DAE">
      <w:pPr>
        <w:pStyle w:val="FootnoteText"/>
        <w:tabs>
          <w:tab w:val="right" w:pos="1476"/>
          <w:tab w:val="left" w:pos="1548"/>
          <w:tab w:val="right" w:pos="1836"/>
          <w:tab w:val="left" w:pos="1908"/>
        </w:tabs>
        <w:ind w:left="1548" w:right="1267" w:hanging="288"/>
        <w:rPr>
          <w:bCs/>
          <w:lang w:val="fr-FR"/>
        </w:rPr>
      </w:pPr>
      <w:r w:rsidRPr="0037157A">
        <w:rPr>
          <w:i/>
          <w:iCs/>
          <w:lang w:val="fr-FR"/>
        </w:rPr>
        <w:t>Source</w:t>
      </w:r>
      <w:r w:rsidR="004471C3" w:rsidRPr="0037157A">
        <w:rPr>
          <w:lang w:val="fr-FR"/>
        </w:rPr>
        <w:t> :</w:t>
      </w:r>
      <w:r w:rsidRPr="0037157A">
        <w:rPr>
          <w:lang w:val="fr-FR"/>
        </w:rPr>
        <w:t xml:space="preserve"> Institut national de gestion des fonds d</w:t>
      </w:r>
      <w:r w:rsidR="004471C3" w:rsidRPr="0037157A">
        <w:rPr>
          <w:lang w:val="fr-FR"/>
        </w:rPr>
        <w:t>’</w:t>
      </w:r>
      <w:r w:rsidRPr="0037157A">
        <w:rPr>
          <w:lang w:val="fr-FR"/>
        </w:rPr>
        <w:t>assurance maladie</w:t>
      </w:r>
    </w:p>
    <w:p w14:paraId="7F786EEA" w14:textId="275DE7DB" w:rsidR="00A61186" w:rsidRPr="0037157A" w:rsidRDefault="00A61186" w:rsidP="00EB0DAE">
      <w:pPr>
        <w:pStyle w:val="SingleTxt"/>
        <w:spacing w:after="0" w:line="120" w:lineRule="exact"/>
        <w:rPr>
          <w:sz w:val="10"/>
          <w:lang w:val="fr-FR"/>
        </w:rPr>
      </w:pPr>
    </w:p>
    <w:p w14:paraId="58947F18" w14:textId="2ADA1659" w:rsidR="00EB0DAE" w:rsidRPr="0037157A" w:rsidRDefault="00EB0DAE" w:rsidP="00EB0DAE">
      <w:pPr>
        <w:pStyle w:val="SingleTxt"/>
        <w:spacing w:after="0" w:line="120" w:lineRule="exact"/>
        <w:rPr>
          <w:sz w:val="10"/>
          <w:lang w:val="fr-FR"/>
        </w:rPr>
      </w:pPr>
    </w:p>
    <w:p w14:paraId="0B982FD3" w14:textId="77777777" w:rsidR="00EB0DAE" w:rsidRPr="0037157A" w:rsidRDefault="00EB0DAE" w:rsidP="00EB0DAE">
      <w:pPr>
        <w:pStyle w:val="SingleTxt"/>
        <w:spacing w:after="0" w:line="120" w:lineRule="exact"/>
        <w:rPr>
          <w:sz w:val="10"/>
          <w:lang w:val="fr-FR"/>
        </w:rPr>
      </w:pPr>
    </w:p>
    <w:p w14:paraId="37962314" w14:textId="6ECF628E"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Mesures adoptées </w:t>
      </w:r>
      <w:r w:rsidRPr="0037157A">
        <w:rPr>
          <w:lang w:val="fr-FR"/>
        </w:rPr>
        <w:noBreakHyphen/>
        <w:t xml:space="preserve"> mise en place d</w:t>
      </w:r>
      <w:r w:rsidR="004471C3" w:rsidRPr="0037157A">
        <w:rPr>
          <w:lang w:val="fr-FR"/>
        </w:rPr>
        <w:t>’</w:t>
      </w:r>
      <w:r w:rsidRPr="0037157A">
        <w:rPr>
          <w:lang w:val="fr-FR"/>
        </w:rPr>
        <w:t>un système de dépistage</w:t>
      </w:r>
    </w:p>
    <w:p w14:paraId="13D7CDF2" w14:textId="59046753" w:rsidR="00EB0DAE" w:rsidRPr="0037157A" w:rsidRDefault="00EB0DAE" w:rsidP="00EB0DAE">
      <w:pPr>
        <w:pStyle w:val="SingleTxt"/>
        <w:spacing w:after="0" w:line="120" w:lineRule="exact"/>
        <w:rPr>
          <w:sz w:val="10"/>
          <w:lang w:val="fr-FR"/>
        </w:rPr>
      </w:pPr>
    </w:p>
    <w:p w14:paraId="15CC86BE" w14:textId="5AC6F067" w:rsidR="00EB0DAE" w:rsidRPr="0037157A" w:rsidRDefault="00EB0DAE" w:rsidP="009D535F">
      <w:pPr>
        <w:pStyle w:val="SingleTxt"/>
        <w:numPr>
          <w:ilvl w:val="0"/>
          <w:numId w:val="12"/>
        </w:numPr>
        <w:spacing w:line="240" w:lineRule="exact"/>
        <w:rPr>
          <w:bCs/>
          <w:iCs/>
          <w:lang w:val="fr-FR"/>
        </w:rPr>
      </w:pPr>
      <w:r w:rsidRPr="0037157A">
        <w:rPr>
          <w:lang w:val="fr-FR"/>
        </w:rPr>
        <w:t>Actuellement, trois types de dépistages médicaux sont organisés pour les groupes d</w:t>
      </w:r>
      <w:r w:rsidR="004471C3" w:rsidRPr="0037157A">
        <w:rPr>
          <w:lang w:val="fr-FR"/>
        </w:rPr>
        <w:t>’</w:t>
      </w:r>
      <w:r w:rsidRPr="0037157A">
        <w:rPr>
          <w:lang w:val="fr-FR"/>
        </w:rPr>
        <w:t>âge à risque</w:t>
      </w:r>
      <w:r w:rsidR="004471C3" w:rsidRPr="0037157A">
        <w:rPr>
          <w:lang w:val="fr-FR"/>
        </w:rPr>
        <w:t> :</w:t>
      </w:r>
      <w:r w:rsidRPr="0037157A">
        <w:rPr>
          <w:lang w:val="fr-FR"/>
        </w:rPr>
        <w:t xml:space="preserve"> i) un dépistage semestriel du cancer du sein (mammographie)</w:t>
      </w:r>
      <w:r w:rsidR="004471C3" w:rsidRPr="0037157A">
        <w:rPr>
          <w:lang w:val="fr-FR"/>
        </w:rPr>
        <w:t> ;</w:t>
      </w:r>
      <w:r w:rsidRPr="0037157A">
        <w:rPr>
          <w:lang w:val="fr-FR"/>
        </w:rPr>
        <w:t xml:space="preserve"> ii) un dépistage du cancer du col de l</w:t>
      </w:r>
      <w:r w:rsidR="004471C3" w:rsidRPr="0037157A">
        <w:rPr>
          <w:lang w:val="fr-FR"/>
        </w:rPr>
        <w:t>’</w:t>
      </w:r>
      <w:r w:rsidRPr="0037157A">
        <w:rPr>
          <w:lang w:val="fr-FR"/>
        </w:rPr>
        <w:t xml:space="preserve">utérus (cytologie) tous les </w:t>
      </w:r>
      <w:r w:rsidR="00104031">
        <w:rPr>
          <w:lang w:val="fr-FR"/>
        </w:rPr>
        <w:t>trois</w:t>
      </w:r>
      <w:r w:rsidRPr="0037157A">
        <w:rPr>
          <w:lang w:val="fr-FR"/>
        </w:rPr>
        <w:t> ans pour les femmes âgées de 25 à 65</w:t>
      </w:r>
      <w:r w:rsidR="00CB2E84" w:rsidRPr="0037157A">
        <w:rPr>
          <w:lang w:val="fr-FR"/>
        </w:rPr>
        <w:t xml:space="preserve"> </w:t>
      </w:r>
      <w:r w:rsidRPr="0037157A">
        <w:rPr>
          <w:lang w:val="fr-FR"/>
        </w:rPr>
        <w:t>ans dont le test précédent était négatif</w:t>
      </w:r>
      <w:r w:rsidR="00CB2E84" w:rsidRPr="0037157A">
        <w:rPr>
          <w:lang w:val="fr-FR"/>
        </w:rPr>
        <w:t> </w:t>
      </w:r>
      <w:r w:rsidR="004471C3" w:rsidRPr="0037157A">
        <w:rPr>
          <w:lang w:val="fr-FR"/>
        </w:rPr>
        <w:t>;</w:t>
      </w:r>
      <w:r w:rsidRPr="0037157A">
        <w:rPr>
          <w:lang w:val="fr-FR"/>
        </w:rPr>
        <w:t xml:space="preserve"> et, depuis 2018, iii) un dépistage du cancer colorectal. L</w:t>
      </w:r>
      <w:r w:rsidR="004471C3" w:rsidRPr="0037157A">
        <w:rPr>
          <w:lang w:val="fr-FR"/>
        </w:rPr>
        <w:t>’</w:t>
      </w:r>
      <w:r w:rsidRPr="0037157A">
        <w:rPr>
          <w:lang w:val="fr-FR"/>
        </w:rPr>
        <w:t>organisation, la supervision et le suivi des examens de dépistage sont coordonnés par le Centre national de santé publique au niveau central et par les coordinateurs du dépistage des comitats au niveau territorial.</w:t>
      </w:r>
    </w:p>
    <w:p w14:paraId="4E6BA505" w14:textId="12A680B1" w:rsidR="00EB0DAE" w:rsidRPr="0037157A" w:rsidRDefault="00EB0DAE" w:rsidP="00EB0DAE">
      <w:pPr>
        <w:pStyle w:val="SingleTxt"/>
        <w:spacing w:after="0" w:line="120" w:lineRule="exact"/>
        <w:rPr>
          <w:sz w:val="10"/>
          <w:lang w:val="fr-FR"/>
        </w:rPr>
      </w:pPr>
    </w:p>
    <w:p w14:paraId="6259DDA5" w14:textId="5FB86F52"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Dépistage organisé du cancer du sein (mammographie)</w:t>
      </w:r>
    </w:p>
    <w:p w14:paraId="033E8E6B" w14:textId="11EA54F9" w:rsidR="00EB0DAE" w:rsidRPr="0037157A" w:rsidRDefault="00EB0DAE" w:rsidP="00EB0DAE">
      <w:pPr>
        <w:pStyle w:val="SingleTxt"/>
        <w:spacing w:after="0" w:line="120" w:lineRule="exact"/>
        <w:rPr>
          <w:sz w:val="10"/>
          <w:lang w:val="fr-FR"/>
        </w:rPr>
      </w:pPr>
    </w:p>
    <w:p w14:paraId="2C98ECBE" w14:textId="54C6C455" w:rsidR="00EB0DAE" w:rsidRPr="0037157A" w:rsidRDefault="00EB0DAE" w:rsidP="009D535F">
      <w:pPr>
        <w:pStyle w:val="SingleTxt"/>
        <w:numPr>
          <w:ilvl w:val="0"/>
          <w:numId w:val="12"/>
        </w:numPr>
        <w:spacing w:line="240" w:lineRule="exact"/>
        <w:rPr>
          <w:bCs/>
          <w:iCs/>
          <w:lang w:val="fr-FR"/>
        </w:rPr>
      </w:pPr>
      <w:r w:rsidRPr="0037157A">
        <w:rPr>
          <w:lang w:val="fr-FR"/>
        </w:rPr>
        <w:t>Chaque année, plus de 9 000</w:t>
      </w:r>
      <w:r w:rsidR="00CB2E84" w:rsidRPr="0037157A">
        <w:rPr>
          <w:lang w:val="fr-FR"/>
        </w:rPr>
        <w:t xml:space="preserve"> </w:t>
      </w:r>
      <w:r w:rsidRPr="0037157A">
        <w:rPr>
          <w:lang w:val="fr-FR"/>
        </w:rPr>
        <w:t>nouveaux cas de cancer du sein malin sont diagnostiqués et près de 2 200</w:t>
      </w:r>
      <w:r w:rsidR="00CB2E84" w:rsidRPr="0037157A">
        <w:rPr>
          <w:lang w:val="fr-FR"/>
        </w:rPr>
        <w:t xml:space="preserve"> </w:t>
      </w:r>
      <w:r w:rsidRPr="0037157A">
        <w:rPr>
          <w:lang w:val="fr-FR"/>
        </w:rPr>
        <w:t>femmes décèdent des suites de cette maladie. Depuis le lancement du dépistage organisé du cancer du sein en 2002, 10 595</w:t>
      </w:r>
      <w:r w:rsidR="00CB2E84" w:rsidRPr="0037157A">
        <w:rPr>
          <w:lang w:val="fr-FR"/>
        </w:rPr>
        <w:t xml:space="preserve"> </w:t>
      </w:r>
      <w:r w:rsidRPr="0037157A">
        <w:rPr>
          <w:lang w:val="fr-FR"/>
        </w:rPr>
        <w:t>cancers malins ont été diagnostiqués. La population cible compte environ 1 500 000 femmes âgées de 45 à 65 ans. En moyenne, 40</w:t>
      </w:r>
      <w:r w:rsidR="004471C3" w:rsidRPr="0037157A">
        <w:rPr>
          <w:lang w:val="fr-FR"/>
        </w:rPr>
        <w:t> %</w:t>
      </w:r>
      <w:r w:rsidRPr="0037157A">
        <w:rPr>
          <w:lang w:val="fr-FR"/>
        </w:rPr>
        <w:t xml:space="preserve"> des femmes invitées participent au dépistage organisé du cancer du sein. Toutefois, la proportion de femmes testées est plus élevée (environ 70</w:t>
      </w:r>
      <w:r w:rsidR="004471C3" w:rsidRPr="0037157A">
        <w:rPr>
          <w:lang w:val="fr-FR"/>
        </w:rPr>
        <w:t> %</w:t>
      </w:r>
      <w:r w:rsidRPr="0037157A">
        <w:rPr>
          <w:lang w:val="fr-FR"/>
        </w:rPr>
        <w:t>), car bon nombre d</w:t>
      </w:r>
      <w:r w:rsidR="004471C3" w:rsidRPr="0037157A">
        <w:rPr>
          <w:lang w:val="fr-FR"/>
        </w:rPr>
        <w:t>’</w:t>
      </w:r>
      <w:r w:rsidRPr="0037157A">
        <w:rPr>
          <w:lang w:val="fr-FR"/>
        </w:rPr>
        <w:t>entre elles réalisent leur mammographie de dépistage dans les services de santé publics ou privés.</w:t>
      </w:r>
    </w:p>
    <w:p w14:paraId="01BEFAC9" w14:textId="4B5BFC6E" w:rsidR="00EB0DAE" w:rsidRPr="0037157A" w:rsidRDefault="00EB0DAE" w:rsidP="009D535F">
      <w:pPr>
        <w:pStyle w:val="SingleTxt"/>
        <w:numPr>
          <w:ilvl w:val="0"/>
          <w:numId w:val="12"/>
        </w:numPr>
        <w:spacing w:line="240" w:lineRule="exact"/>
        <w:rPr>
          <w:bCs/>
          <w:iCs/>
          <w:lang w:val="fr-FR"/>
        </w:rPr>
      </w:pPr>
      <w:r w:rsidRPr="0037157A">
        <w:rPr>
          <w:lang w:val="fr-FR"/>
        </w:rPr>
        <w:t>La capacité du service est suffisante, même en cas de participation totale</w:t>
      </w:r>
      <w:r w:rsidR="004471C3" w:rsidRPr="0037157A">
        <w:rPr>
          <w:lang w:val="fr-FR"/>
        </w:rPr>
        <w:t> :</w:t>
      </w:r>
      <w:r w:rsidRPr="0037157A">
        <w:rPr>
          <w:lang w:val="fr-FR"/>
        </w:rPr>
        <w:t xml:space="preserve"> 39 centres de mammographie et 10</w:t>
      </w:r>
      <w:r w:rsidR="00CB2E84" w:rsidRPr="0037157A">
        <w:rPr>
          <w:lang w:val="fr-FR"/>
        </w:rPr>
        <w:t xml:space="preserve"> </w:t>
      </w:r>
      <w:r w:rsidRPr="0037157A">
        <w:rPr>
          <w:lang w:val="fr-FR"/>
        </w:rPr>
        <w:t>installations de dépistage par mammographie assurent une prise en charge territoriale, couvrant tout le pays.</w:t>
      </w:r>
    </w:p>
    <w:p w14:paraId="4252CEBB" w14:textId="7DD1C6B4" w:rsidR="00EB0DAE" w:rsidRPr="0037157A" w:rsidRDefault="00EB0DAE" w:rsidP="00EB0DAE">
      <w:pPr>
        <w:pStyle w:val="SingleTxt"/>
        <w:spacing w:after="0" w:line="120" w:lineRule="exact"/>
        <w:rPr>
          <w:sz w:val="10"/>
          <w:lang w:val="fr-FR"/>
        </w:rPr>
      </w:pPr>
    </w:p>
    <w:p w14:paraId="16A7A89F" w14:textId="6F5827AA" w:rsidR="00EB0DAE" w:rsidRPr="0037157A" w:rsidRDefault="00EB0DAE" w:rsidP="00B06C4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Dépistage organisé du cancer du col de l</w:t>
      </w:r>
      <w:r w:rsidR="004471C3" w:rsidRPr="0037157A">
        <w:rPr>
          <w:lang w:val="fr-FR"/>
        </w:rPr>
        <w:t>’</w:t>
      </w:r>
      <w:r w:rsidRPr="0037157A">
        <w:rPr>
          <w:lang w:val="fr-FR"/>
        </w:rPr>
        <w:t>utérus</w:t>
      </w:r>
    </w:p>
    <w:p w14:paraId="24D9465F" w14:textId="3E6D609C" w:rsidR="00EB0DAE" w:rsidRPr="0037157A" w:rsidRDefault="00EB0DAE" w:rsidP="00B06C44">
      <w:pPr>
        <w:pStyle w:val="SingleTxt"/>
        <w:keepNext/>
        <w:spacing w:after="0" w:line="120" w:lineRule="exact"/>
        <w:rPr>
          <w:sz w:val="10"/>
          <w:lang w:val="fr-FR"/>
        </w:rPr>
      </w:pPr>
    </w:p>
    <w:p w14:paraId="38FC86B3" w14:textId="55B44680" w:rsidR="00EB0DAE" w:rsidRPr="0037157A" w:rsidRDefault="00EB0DAE" w:rsidP="00B06C44">
      <w:pPr>
        <w:pStyle w:val="SingleTxt"/>
        <w:keepNext/>
        <w:numPr>
          <w:ilvl w:val="0"/>
          <w:numId w:val="12"/>
        </w:numPr>
        <w:spacing w:line="240" w:lineRule="exact"/>
        <w:rPr>
          <w:bCs/>
          <w:iCs/>
          <w:lang w:val="fr-FR"/>
        </w:rPr>
      </w:pPr>
      <w:r w:rsidRPr="0037157A">
        <w:rPr>
          <w:lang w:val="fr-FR"/>
        </w:rPr>
        <w:t>En Hongrie, plus de 1 000</w:t>
      </w:r>
      <w:r w:rsidR="00CB2E84" w:rsidRPr="0037157A">
        <w:rPr>
          <w:lang w:val="fr-FR"/>
        </w:rPr>
        <w:t xml:space="preserve"> </w:t>
      </w:r>
      <w:r w:rsidRPr="0037157A">
        <w:rPr>
          <w:lang w:val="fr-FR"/>
        </w:rPr>
        <w:t>nouveaux cas de cancer du col de l</w:t>
      </w:r>
      <w:r w:rsidR="004471C3" w:rsidRPr="0037157A">
        <w:rPr>
          <w:lang w:val="fr-FR"/>
        </w:rPr>
        <w:t>’</w:t>
      </w:r>
      <w:r w:rsidRPr="0037157A">
        <w:rPr>
          <w:lang w:val="fr-FR"/>
        </w:rPr>
        <w:t>utérus sont diagnostiqués et plus de 400</w:t>
      </w:r>
      <w:r w:rsidR="00CB2E84" w:rsidRPr="0037157A">
        <w:rPr>
          <w:lang w:val="fr-FR"/>
        </w:rPr>
        <w:t xml:space="preserve"> </w:t>
      </w:r>
      <w:r w:rsidRPr="0037157A">
        <w:rPr>
          <w:lang w:val="fr-FR"/>
        </w:rPr>
        <w:t>femmes décèdent des suites de cette maladie chaque année. Le dépistage cible les femmes âgées de 25 à 65</w:t>
      </w:r>
      <w:r w:rsidR="00CB2E84" w:rsidRPr="0037157A">
        <w:rPr>
          <w:lang w:val="fr-FR"/>
        </w:rPr>
        <w:t xml:space="preserve"> </w:t>
      </w:r>
      <w:r w:rsidRPr="0037157A">
        <w:rPr>
          <w:lang w:val="fr-FR"/>
        </w:rPr>
        <w:t>ans (environ 2 700 000 personnes). Le nombre annuel de personnes pouvant bénéficier du dépistage organisé est de 400 000. Selon les données du Centre national de santé publique, la proportion de femmes testées est d</w:t>
      </w:r>
      <w:r w:rsidR="004471C3" w:rsidRPr="0037157A">
        <w:rPr>
          <w:lang w:val="fr-FR"/>
        </w:rPr>
        <w:t>’</w:t>
      </w:r>
      <w:r w:rsidRPr="0037157A">
        <w:rPr>
          <w:lang w:val="fr-FR"/>
        </w:rPr>
        <w:t>environ 60</w:t>
      </w:r>
      <w:r w:rsidR="004471C3" w:rsidRPr="0037157A">
        <w:rPr>
          <w:lang w:val="fr-FR"/>
        </w:rPr>
        <w:t> %</w:t>
      </w:r>
      <w:r w:rsidRPr="0037157A">
        <w:rPr>
          <w:lang w:val="fr-FR"/>
        </w:rPr>
        <w:t>. Les ressources humaines et les infrastructures sont suffisantes et permettent à l</w:t>
      </w:r>
      <w:r w:rsidR="004471C3" w:rsidRPr="0037157A">
        <w:rPr>
          <w:lang w:val="fr-FR"/>
        </w:rPr>
        <w:t>’</w:t>
      </w:r>
      <w:r w:rsidRPr="0037157A">
        <w:rPr>
          <w:lang w:val="fr-FR"/>
        </w:rPr>
        <w:t>ensemble du groupe cible de participer.</w:t>
      </w:r>
    </w:p>
    <w:p w14:paraId="4AC84E94" w14:textId="2E1EDB4D" w:rsidR="00EB0DAE" w:rsidRPr="0037157A" w:rsidRDefault="00EB0DAE" w:rsidP="009D535F">
      <w:pPr>
        <w:pStyle w:val="SingleTxt"/>
        <w:numPr>
          <w:ilvl w:val="0"/>
          <w:numId w:val="12"/>
        </w:numPr>
        <w:spacing w:line="240" w:lineRule="exact"/>
        <w:rPr>
          <w:bCs/>
          <w:iCs/>
          <w:lang w:val="fr-FR"/>
        </w:rPr>
      </w:pPr>
      <w:r w:rsidRPr="0037157A">
        <w:rPr>
          <w:lang w:val="fr-FR"/>
        </w:rPr>
        <w:t>Si le dépistage permet de détecter précocement les lésions précancéreuses ou cancéreuses, la vaccination contre le papillomavirus humain (PVH) permet de prévenir l</w:t>
      </w:r>
      <w:r w:rsidR="004471C3" w:rsidRPr="0037157A">
        <w:rPr>
          <w:lang w:val="fr-FR"/>
        </w:rPr>
        <w:t>’</w:t>
      </w:r>
      <w:r w:rsidRPr="0037157A">
        <w:rPr>
          <w:lang w:val="fr-FR"/>
        </w:rPr>
        <w:t>infection qui provoque la maladie. Comme indiqué au paragraphe</w:t>
      </w:r>
      <w:r w:rsidR="00CB2E84" w:rsidRPr="0037157A">
        <w:rPr>
          <w:lang w:val="fr-FR"/>
        </w:rPr>
        <w:t xml:space="preserve"> </w:t>
      </w:r>
      <w:r w:rsidRPr="0037157A">
        <w:rPr>
          <w:lang w:val="fr-FR"/>
        </w:rPr>
        <w:t>220 du neuvième rapport périodique, le Gouvernement hongrois fournit des vaccins contre le PVH aux filles âgées d</w:t>
      </w:r>
      <w:r w:rsidR="004471C3" w:rsidRPr="0037157A">
        <w:rPr>
          <w:lang w:val="fr-FR"/>
        </w:rPr>
        <w:t>’</w:t>
      </w:r>
      <w:r w:rsidRPr="0037157A">
        <w:rPr>
          <w:lang w:val="fr-FR"/>
        </w:rPr>
        <w:t>au moins 12</w:t>
      </w:r>
      <w:r w:rsidR="00CB2E84" w:rsidRPr="0037157A">
        <w:rPr>
          <w:lang w:val="fr-FR"/>
        </w:rPr>
        <w:t xml:space="preserve"> </w:t>
      </w:r>
      <w:r w:rsidRPr="0037157A">
        <w:rPr>
          <w:lang w:val="fr-FR"/>
        </w:rPr>
        <w:t>ans en septième année de l</w:t>
      </w:r>
      <w:r w:rsidR="004471C3" w:rsidRPr="0037157A">
        <w:rPr>
          <w:lang w:val="fr-FR"/>
        </w:rPr>
        <w:t>’</w:t>
      </w:r>
      <w:r w:rsidRPr="0037157A">
        <w:rPr>
          <w:lang w:val="fr-FR"/>
        </w:rPr>
        <w:t>école primaire. Au cours de l</w:t>
      </w:r>
      <w:r w:rsidR="004471C3" w:rsidRPr="0037157A">
        <w:rPr>
          <w:lang w:val="fr-FR"/>
        </w:rPr>
        <w:t>’</w:t>
      </w:r>
      <w:r w:rsidRPr="0037157A">
        <w:rPr>
          <w:lang w:val="fr-FR"/>
        </w:rPr>
        <w:t>année scolaire</w:t>
      </w:r>
      <w:r w:rsidR="00CB2E84" w:rsidRPr="0037157A">
        <w:rPr>
          <w:lang w:val="fr-FR"/>
        </w:rPr>
        <w:t xml:space="preserve"> </w:t>
      </w:r>
      <w:r w:rsidRPr="0037157A">
        <w:rPr>
          <w:lang w:val="fr-FR"/>
        </w:rPr>
        <w:t>2019-2020, 83,5</w:t>
      </w:r>
      <w:r w:rsidR="004471C3" w:rsidRPr="0037157A">
        <w:rPr>
          <w:lang w:val="fr-FR"/>
        </w:rPr>
        <w:t> %</w:t>
      </w:r>
      <w:r w:rsidRPr="0037157A">
        <w:rPr>
          <w:lang w:val="fr-FR"/>
        </w:rPr>
        <w:t xml:space="preserve"> des filles éligibles ont été vaccinées. Depuis 2020, ce programme de vaccination gratuite s</w:t>
      </w:r>
      <w:r w:rsidR="004471C3" w:rsidRPr="0037157A">
        <w:rPr>
          <w:lang w:val="fr-FR"/>
        </w:rPr>
        <w:t>’</w:t>
      </w:r>
      <w:r w:rsidRPr="0037157A">
        <w:rPr>
          <w:lang w:val="fr-FR"/>
        </w:rPr>
        <w:t>est étendu aux garçons âgés d</w:t>
      </w:r>
      <w:r w:rsidR="004471C3" w:rsidRPr="0037157A">
        <w:rPr>
          <w:lang w:val="fr-FR"/>
        </w:rPr>
        <w:t>’</w:t>
      </w:r>
      <w:r w:rsidRPr="0037157A">
        <w:rPr>
          <w:lang w:val="fr-FR"/>
        </w:rPr>
        <w:t>au moins 12 ans en septième année de l</w:t>
      </w:r>
      <w:r w:rsidR="004471C3" w:rsidRPr="0037157A">
        <w:rPr>
          <w:lang w:val="fr-FR"/>
        </w:rPr>
        <w:t>’</w:t>
      </w:r>
      <w:r w:rsidRPr="0037157A">
        <w:rPr>
          <w:lang w:val="fr-FR"/>
        </w:rPr>
        <w:t>école primaire, ce qui permet de prévenir plus efficacement la propagation de la maladie.</w:t>
      </w:r>
    </w:p>
    <w:p w14:paraId="768C4729" w14:textId="7E92E9F3" w:rsidR="00EB0DAE" w:rsidRPr="0037157A" w:rsidRDefault="00EB0DAE" w:rsidP="00EB0DAE">
      <w:pPr>
        <w:pStyle w:val="SingleTxt"/>
        <w:spacing w:after="0" w:line="120" w:lineRule="exact"/>
        <w:rPr>
          <w:sz w:val="10"/>
          <w:lang w:val="fr-FR"/>
        </w:rPr>
      </w:pPr>
    </w:p>
    <w:p w14:paraId="017B5D89" w14:textId="7F917A69"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Dépistage organisé du cancer colorectal</w:t>
      </w:r>
    </w:p>
    <w:p w14:paraId="0B120D3A" w14:textId="4E921FF1" w:rsidR="00EB0DAE" w:rsidRPr="0037157A" w:rsidRDefault="00EB0DAE" w:rsidP="00EB0DAE">
      <w:pPr>
        <w:pStyle w:val="SingleTxt"/>
        <w:spacing w:after="0" w:line="120" w:lineRule="exact"/>
        <w:rPr>
          <w:sz w:val="10"/>
          <w:lang w:val="fr-FR"/>
        </w:rPr>
      </w:pPr>
    </w:p>
    <w:p w14:paraId="74BFF51B" w14:textId="247E3784" w:rsidR="00EB0DAE" w:rsidRPr="0037157A" w:rsidRDefault="00EB0DAE" w:rsidP="009D535F">
      <w:pPr>
        <w:pStyle w:val="SingleTxt"/>
        <w:numPr>
          <w:ilvl w:val="0"/>
          <w:numId w:val="12"/>
        </w:numPr>
        <w:spacing w:line="240" w:lineRule="exact"/>
        <w:rPr>
          <w:bCs/>
          <w:iCs/>
          <w:lang w:val="fr-FR"/>
        </w:rPr>
      </w:pPr>
      <w:r w:rsidRPr="0037157A">
        <w:rPr>
          <w:lang w:val="fr-FR"/>
        </w:rPr>
        <w:t>En Hongrie, plus de 11 000</w:t>
      </w:r>
      <w:r w:rsidR="00CB2E84" w:rsidRPr="0037157A">
        <w:rPr>
          <w:lang w:val="fr-FR"/>
        </w:rPr>
        <w:t> </w:t>
      </w:r>
      <w:r w:rsidRPr="0037157A">
        <w:rPr>
          <w:lang w:val="fr-FR"/>
        </w:rPr>
        <w:t>nouveaux cas de cancer colorectal sont diagnostiqués et plus de 5 000</w:t>
      </w:r>
      <w:r w:rsidR="00CB2E84" w:rsidRPr="0037157A">
        <w:rPr>
          <w:lang w:val="fr-FR"/>
        </w:rPr>
        <w:t xml:space="preserve"> </w:t>
      </w:r>
      <w:r w:rsidRPr="0037157A">
        <w:rPr>
          <w:lang w:val="fr-FR"/>
        </w:rPr>
        <w:t>personnes décèdent des suites de cette maladie chaque année. Afin de dépister, de traiter et d</w:t>
      </w:r>
      <w:r w:rsidR="004471C3" w:rsidRPr="0037157A">
        <w:rPr>
          <w:lang w:val="fr-FR"/>
        </w:rPr>
        <w:t>’</w:t>
      </w:r>
      <w:r w:rsidRPr="0037157A">
        <w:rPr>
          <w:lang w:val="fr-FR"/>
        </w:rPr>
        <w:t>éliminer rapidement les formes précoces de cancer du côlon chez les sujets à risque moyen, des dépistages semestriels du cancer colorectal sont organisés pour les femmes et les hommes âgés de 50 à 70 ans (environ 2 600 000 personnes).</w:t>
      </w:r>
    </w:p>
    <w:p w14:paraId="7B1CADCD" w14:textId="16447C9F" w:rsidR="00EB0DAE" w:rsidRPr="0037157A" w:rsidRDefault="00EB0DAE" w:rsidP="00EB0DAE">
      <w:pPr>
        <w:pStyle w:val="SingleTxt"/>
        <w:spacing w:after="0" w:line="120" w:lineRule="exact"/>
        <w:rPr>
          <w:sz w:val="10"/>
          <w:lang w:val="fr-FR"/>
        </w:rPr>
      </w:pPr>
    </w:p>
    <w:p w14:paraId="032B10B0" w14:textId="5BA71562" w:rsidR="00EB0DAE" w:rsidRPr="0037157A" w:rsidRDefault="00EB0DAE" w:rsidP="001040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Mesures adoptées </w:t>
      </w:r>
      <w:r w:rsidR="00104031" w:rsidRPr="00104031">
        <w:rPr>
          <w:lang w:val="fr-FR"/>
        </w:rPr>
        <w:t>–</w:t>
      </w:r>
      <w:r w:rsidR="00104031">
        <w:rPr>
          <w:lang w:val="fr-FR"/>
        </w:rPr>
        <w:t> </w:t>
      </w:r>
      <w:r w:rsidRPr="0037157A">
        <w:rPr>
          <w:lang w:val="fr-FR"/>
        </w:rPr>
        <w:t>prise en charge de la santé des femmes roms et des femmes vivant dans les zones rurales</w:t>
      </w:r>
    </w:p>
    <w:p w14:paraId="691811BA" w14:textId="5B6CFC10" w:rsidR="00EB0DAE" w:rsidRPr="0037157A" w:rsidRDefault="00EB0DAE" w:rsidP="00EB0DAE">
      <w:pPr>
        <w:pStyle w:val="SingleTxt"/>
        <w:spacing w:after="0" w:line="120" w:lineRule="exact"/>
        <w:rPr>
          <w:sz w:val="10"/>
          <w:lang w:val="fr-FR"/>
        </w:rPr>
      </w:pPr>
    </w:p>
    <w:p w14:paraId="262BE2F7" w14:textId="396C07F4" w:rsidR="00EB0DAE" w:rsidRPr="0037157A" w:rsidRDefault="00EB0DAE" w:rsidP="00EB0D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Programme de dépistage mobile «</w:t>
      </w:r>
      <w:r w:rsidR="00104031">
        <w:rPr>
          <w:lang w:val="fr-FR"/>
        </w:rPr>
        <w:t> </w:t>
      </w:r>
      <w:r w:rsidRPr="0037157A">
        <w:rPr>
          <w:lang w:val="fr-FR"/>
        </w:rPr>
        <w:t>Un dépistage au plus proche des gens</w:t>
      </w:r>
      <w:r w:rsidR="00104031">
        <w:rPr>
          <w:lang w:val="fr-FR"/>
        </w:rPr>
        <w:t> </w:t>
      </w:r>
      <w:r w:rsidR="00104031" w:rsidRPr="0037157A">
        <w:rPr>
          <w:lang w:val="fr-FR"/>
        </w:rPr>
        <w:t>»</w:t>
      </w:r>
    </w:p>
    <w:p w14:paraId="6A298AE0" w14:textId="56C19BD3" w:rsidR="00EB0DAE" w:rsidRPr="0037157A" w:rsidRDefault="00EB0DAE" w:rsidP="00EB0DAE">
      <w:pPr>
        <w:pStyle w:val="SingleTxt"/>
        <w:spacing w:after="0" w:line="120" w:lineRule="exact"/>
        <w:rPr>
          <w:sz w:val="10"/>
          <w:lang w:val="fr-FR"/>
        </w:rPr>
      </w:pPr>
    </w:p>
    <w:p w14:paraId="7CAEEBF4" w14:textId="3B1B8FAD" w:rsidR="00EB0DAE" w:rsidRPr="0037157A" w:rsidRDefault="00EB0DAE" w:rsidP="009D535F">
      <w:pPr>
        <w:pStyle w:val="SingleTxt"/>
        <w:numPr>
          <w:ilvl w:val="0"/>
          <w:numId w:val="12"/>
        </w:numPr>
        <w:spacing w:line="240" w:lineRule="exact"/>
        <w:rPr>
          <w:bCs/>
          <w:iCs/>
          <w:lang w:val="fr-FR"/>
        </w:rPr>
      </w:pPr>
      <w:bookmarkStart w:id="10" w:name="_Ref76542127"/>
      <w:r w:rsidRPr="0037157A">
        <w:rPr>
          <w:lang w:val="fr-FR"/>
        </w:rPr>
        <w:t>Ce programme vise à augmenter le taux de participation aux dépistages. Dix bus médicaux offrent des services de dépistage à proximité du lieu de résidence, principalement dans les zones en phase de « rattrapage ». Ils proposent des bilans de santé généraux, des examens cardiologiques et gynécologiques et des tests de dépistage du cancer du côlon aux personnes éligibles de façon uniforme dans toutes les zones. Il est possible de réaliser d</w:t>
      </w:r>
      <w:r w:rsidR="004471C3" w:rsidRPr="0037157A">
        <w:rPr>
          <w:lang w:val="fr-FR"/>
        </w:rPr>
        <w:t>’</w:t>
      </w:r>
      <w:r w:rsidRPr="0037157A">
        <w:rPr>
          <w:lang w:val="fr-FR"/>
        </w:rPr>
        <w:t>autres tests (angiologie, dermatologie, oto-rhino-laryngologie et conseils diététiques) en fonction des disponibilités des prestataires de services de santé locaux et régionaux sous contrat avec le Centre national de santé publique. Le taux de participation est détaillé en annexe.</w:t>
      </w:r>
      <w:bookmarkEnd w:id="10"/>
    </w:p>
    <w:p w14:paraId="5D9EF8C2" w14:textId="0079FDE0" w:rsidR="00EB0DAE" w:rsidRPr="0037157A" w:rsidRDefault="00EB0DAE" w:rsidP="009D535F">
      <w:pPr>
        <w:pStyle w:val="SingleTxt"/>
        <w:numPr>
          <w:ilvl w:val="0"/>
          <w:numId w:val="12"/>
        </w:numPr>
        <w:spacing w:line="240" w:lineRule="exact"/>
        <w:rPr>
          <w:bCs/>
          <w:iCs/>
          <w:u w:val="single"/>
          <w:lang w:val="fr-FR"/>
        </w:rPr>
      </w:pPr>
      <w:r w:rsidRPr="0037157A">
        <w:rPr>
          <w:lang w:val="fr-FR"/>
        </w:rPr>
        <w:t xml:space="preserve">Pendant la pandémie, les </w:t>
      </w:r>
      <w:r w:rsidRPr="0037157A">
        <w:rPr>
          <w:szCs w:val="20"/>
          <w:lang w:val="fr-FR"/>
        </w:rPr>
        <w:t>bus</w:t>
      </w:r>
      <w:r w:rsidRPr="0037157A">
        <w:rPr>
          <w:lang w:val="fr-FR"/>
        </w:rPr>
        <w:t xml:space="preserve"> médicaux ont également proposé des tests COVID</w:t>
      </w:r>
      <w:r w:rsidR="00104031">
        <w:rPr>
          <w:lang w:val="fr-FR"/>
        </w:rPr>
        <w:noBreakHyphen/>
      </w:r>
      <w:r w:rsidRPr="0037157A">
        <w:rPr>
          <w:lang w:val="fr-FR"/>
        </w:rPr>
        <w:t>19 dans la région de Hongrie centrale.</w:t>
      </w:r>
    </w:p>
    <w:p w14:paraId="6A870BAD" w14:textId="59D7E0BC" w:rsidR="00EB0DAE" w:rsidRPr="0037157A" w:rsidRDefault="00EB0DAE" w:rsidP="00EB0DAE">
      <w:pPr>
        <w:pStyle w:val="SingleTxt"/>
        <w:spacing w:after="0" w:line="120" w:lineRule="exact"/>
        <w:rPr>
          <w:bCs/>
          <w:iCs/>
          <w:sz w:val="10"/>
          <w:u w:val="single"/>
          <w:lang w:val="fr-FR"/>
        </w:rPr>
      </w:pPr>
    </w:p>
    <w:p w14:paraId="36BA13E7" w14:textId="0082B13E" w:rsidR="00EB0DAE" w:rsidRPr="0037157A" w:rsidRDefault="00EB0DAE" w:rsidP="00EB0D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Programme scolaire visant à promouvoir la santé physique et mentale et à réduire </w:t>
      </w:r>
      <w:r w:rsidRPr="0037157A">
        <w:rPr>
          <w:lang w:val="fr-FR"/>
        </w:rPr>
        <w:br/>
        <w:t>les dépendances</w:t>
      </w:r>
    </w:p>
    <w:p w14:paraId="30D63798" w14:textId="251F922C" w:rsidR="00EB0DAE" w:rsidRPr="0037157A" w:rsidRDefault="00EB0DAE" w:rsidP="00EB0DAE">
      <w:pPr>
        <w:pStyle w:val="SingleTxt"/>
        <w:spacing w:after="0" w:line="120" w:lineRule="exact"/>
        <w:rPr>
          <w:sz w:val="10"/>
          <w:lang w:val="fr-FR"/>
        </w:rPr>
      </w:pPr>
    </w:p>
    <w:p w14:paraId="1B9A4E33" w14:textId="7AF02F33" w:rsidR="00EB0DAE" w:rsidRPr="0037157A" w:rsidRDefault="00EB0DAE" w:rsidP="009D535F">
      <w:pPr>
        <w:pStyle w:val="SingleTxt"/>
        <w:numPr>
          <w:ilvl w:val="0"/>
          <w:numId w:val="12"/>
        </w:numPr>
        <w:spacing w:line="240" w:lineRule="exact"/>
        <w:rPr>
          <w:bCs/>
          <w:iCs/>
          <w:lang w:val="fr-FR"/>
        </w:rPr>
      </w:pPr>
      <w:r w:rsidRPr="0037157A">
        <w:rPr>
          <w:lang w:val="fr-FR"/>
        </w:rPr>
        <w:t>En 2020, le Secrétariat d</w:t>
      </w:r>
      <w:r w:rsidR="004471C3" w:rsidRPr="0037157A">
        <w:rPr>
          <w:lang w:val="fr-FR"/>
        </w:rPr>
        <w:t>’</w:t>
      </w:r>
      <w:r w:rsidRPr="0037157A">
        <w:rPr>
          <w:lang w:val="fr-FR"/>
        </w:rPr>
        <w:t>État à la santé a lancé, en association avec le Secrétariat d</w:t>
      </w:r>
      <w:r w:rsidR="004471C3" w:rsidRPr="0037157A">
        <w:rPr>
          <w:lang w:val="fr-FR"/>
        </w:rPr>
        <w:t>’</w:t>
      </w:r>
      <w:r w:rsidRPr="0037157A">
        <w:rPr>
          <w:lang w:val="fr-FR"/>
        </w:rPr>
        <w:t>État à l</w:t>
      </w:r>
      <w:r w:rsidR="004471C3" w:rsidRPr="0037157A">
        <w:rPr>
          <w:lang w:val="fr-FR"/>
        </w:rPr>
        <w:t>’</w:t>
      </w:r>
      <w:r w:rsidRPr="0037157A">
        <w:rPr>
          <w:lang w:val="fr-FR"/>
        </w:rPr>
        <w:t>éducation publique et conformément aux principes de la Fédération hongroise du sport scolaire, un programme de prévention scolaire complexe visant à promouvoir la santé physique et mentale et à réduire les dépendances. Le programme a pour objet de limiter les comportements agressifs à l</w:t>
      </w:r>
      <w:r w:rsidR="004471C3" w:rsidRPr="0037157A">
        <w:rPr>
          <w:lang w:val="fr-FR"/>
        </w:rPr>
        <w:t>’</w:t>
      </w:r>
      <w:r w:rsidRPr="0037157A">
        <w:rPr>
          <w:lang w:val="fr-FR"/>
        </w:rPr>
        <w:t>école et le décrochage scolaire précoce et de prévenir les dépendances, en veillant à la santé psychologique des enfants et de leurs enseignants, en permettant aux enseignants d</w:t>
      </w:r>
      <w:r w:rsidR="004471C3" w:rsidRPr="0037157A">
        <w:rPr>
          <w:lang w:val="fr-FR"/>
        </w:rPr>
        <w:t>’</w:t>
      </w:r>
      <w:r w:rsidRPr="0037157A">
        <w:rPr>
          <w:lang w:val="fr-FR"/>
        </w:rPr>
        <w:t>enrichir leurs connaissances méthodologiques et en organisant des exercices préventifs de promotion de la santé et d</w:t>
      </w:r>
      <w:r w:rsidR="004471C3" w:rsidRPr="0037157A">
        <w:rPr>
          <w:lang w:val="fr-FR"/>
        </w:rPr>
        <w:t>’</w:t>
      </w:r>
      <w:r w:rsidRPr="0037157A">
        <w:rPr>
          <w:lang w:val="fr-FR"/>
        </w:rPr>
        <w:t>autres activités dans les établissements d</w:t>
      </w:r>
      <w:r w:rsidR="004471C3" w:rsidRPr="0037157A">
        <w:rPr>
          <w:lang w:val="fr-FR"/>
        </w:rPr>
        <w:t>’</w:t>
      </w:r>
      <w:r w:rsidRPr="0037157A">
        <w:rPr>
          <w:lang w:val="fr-FR"/>
        </w:rPr>
        <w:t>enseignement public. Le programme se compose de quatre sous-programmes et de plusieurs actions (détails en annexe).</w:t>
      </w:r>
    </w:p>
    <w:p w14:paraId="01F32363" w14:textId="67A13A4B" w:rsidR="00EB0DAE" w:rsidRPr="0037157A" w:rsidRDefault="00EB0DAE" w:rsidP="00EB0DAE">
      <w:pPr>
        <w:pStyle w:val="SingleTxt"/>
        <w:spacing w:after="0" w:line="120" w:lineRule="exact"/>
        <w:rPr>
          <w:sz w:val="10"/>
          <w:lang w:val="fr-FR"/>
        </w:rPr>
      </w:pPr>
    </w:p>
    <w:p w14:paraId="09B6C6BC" w14:textId="1ED37013" w:rsidR="00EB0DAE" w:rsidRPr="0037157A" w:rsidRDefault="00EB0DAE" w:rsidP="00EB0D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Centre de formation supérieure des infirmiers d</w:t>
      </w:r>
      <w:r w:rsidR="004471C3" w:rsidRPr="0037157A">
        <w:rPr>
          <w:lang w:val="fr-FR"/>
        </w:rPr>
        <w:t>’</w:t>
      </w:r>
      <w:r w:rsidRPr="0037157A">
        <w:rPr>
          <w:lang w:val="fr-FR"/>
        </w:rPr>
        <w:t>Europe de l</w:t>
      </w:r>
      <w:r w:rsidR="004471C3" w:rsidRPr="0037157A">
        <w:rPr>
          <w:lang w:val="fr-FR"/>
        </w:rPr>
        <w:t>’</w:t>
      </w:r>
      <w:r w:rsidRPr="0037157A">
        <w:rPr>
          <w:lang w:val="fr-FR"/>
        </w:rPr>
        <w:t>Est pour la lutte</w:t>
      </w:r>
      <w:r w:rsidRPr="0037157A">
        <w:rPr>
          <w:lang w:val="fr-FR"/>
        </w:rPr>
        <w:br/>
        <w:t>contre le tabagisme</w:t>
      </w:r>
    </w:p>
    <w:p w14:paraId="34CF8D7A" w14:textId="19736221" w:rsidR="00EB0DAE" w:rsidRPr="0037157A" w:rsidRDefault="00EB0DAE" w:rsidP="00EB0DAE">
      <w:pPr>
        <w:pStyle w:val="SingleTxt"/>
        <w:spacing w:after="0" w:line="120" w:lineRule="exact"/>
        <w:rPr>
          <w:sz w:val="10"/>
          <w:lang w:val="fr-FR"/>
        </w:rPr>
      </w:pPr>
    </w:p>
    <w:p w14:paraId="43F2C35C" w14:textId="2A1B412E" w:rsidR="00EB0DAE" w:rsidRPr="0037157A" w:rsidRDefault="00EB0DAE" w:rsidP="009D535F">
      <w:pPr>
        <w:pStyle w:val="SingleTxt"/>
        <w:numPr>
          <w:ilvl w:val="0"/>
          <w:numId w:val="12"/>
        </w:numPr>
        <w:spacing w:line="240" w:lineRule="exact"/>
        <w:rPr>
          <w:bCs/>
          <w:iCs/>
          <w:lang w:val="fr-FR"/>
        </w:rPr>
      </w:pPr>
      <w:r w:rsidRPr="0037157A">
        <w:rPr>
          <w:lang w:val="fr-FR"/>
        </w:rPr>
        <w:t>Entre 2014 et 2019, l</w:t>
      </w:r>
      <w:r w:rsidR="004471C3" w:rsidRPr="0037157A">
        <w:rPr>
          <w:lang w:val="fr-FR"/>
        </w:rPr>
        <w:t>’</w:t>
      </w:r>
      <w:r w:rsidRPr="0037157A">
        <w:rPr>
          <w:lang w:val="fr-FR"/>
        </w:rPr>
        <w:t xml:space="preserve">Institut national de pneumologie Korányi a participé au projet international </w:t>
      </w:r>
      <w:r w:rsidR="007A4B41" w:rsidRPr="0037157A">
        <w:rPr>
          <w:lang w:val="fr-FR"/>
        </w:rPr>
        <w:t>«</w:t>
      </w:r>
      <w:r w:rsidR="007A4B41">
        <w:rPr>
          <w:lang w:val="fr-FR"/>
        </w:rPr>
        <w:t> </w:t>
      </w:r>
      <w:r w:rsidRPr="0037157A">
        <w:rPr>
          <w:lang w:val="fr-FR"/>
        </w:rPr>
        <w:t>Centre de formation supérieure des infirmiers d</w:t>
      </w:r>
      <w:r w:rsidR="004471C3" w:rsidRPr="0037157A">
        <w:rPr>
          <w:lang w:val="fr-FR"/>
        </w:rPr>
        <w:t>’</w:t>
      </w:r>
      <w:r w:rsidRPr="0037157A">
        <w:rPr>
          <w:lang w:val="fr-FR"/>
        </w:rPr>
        <w:t>Europe de l</w:t>
      </w:r>
      <w:r w:rsidR="004471C3" w:rsidRPr="0037157A">
        <w:rPr>
          <w:lang w:val="fr-FR"/>
        </w:rPr>
        <w:t>’</w:t>
      </w:r>
      <w:r w:rsidRPr="0037157A">
        <w:rPr>
          <w:lang w:val="fr-FR"/>
        </w:rPr>
        <w:t>Est pour la lutte contre le tabagisme</w:t>
      </w:r>
      <w:r w:rsidR="007A4B41">
        <w:rPr>
          <w:lang w:val="fr-FR"/>
        </w:rPr>
        <w:t> </w:t>
      </w:r>
      <w:r w:rsidR="007A4B41" w:rsidRPr="0037157A">
        <w:rPr>
          <w:lang w:val="fr-FR"/>
        </w:rPr>
        <w:t xml:space="preserve">», </w:t>
      </w:r>
      <w:r w:rsidRPr="0037157A">
        <w:rPr>
          <w:lang w:val="fr-FR"/>
        </w:rPr>
        <w:t>qui visait à étudier les habitudes tabagiques des professionnels de la santé et à former ces derniers à l</w:t>
      </w:r>
      <w:r w:rsidR="004471C3" w:rsidRPr="0037157A">
        <w:rPr>
          <w:lang w:val="fr-FR"/>
        </w:rPr>
        <w:t>’</w:t>
      </w:r>
      <w:r w:rsidRPr="0037157A">
        <w:rPr>
          <w:lang w:val="fr-FR"/>
        </w:rPr>
        <w:t>organisation d</w:t>
      </w:r>
      <w:r w:rsidR="004471C3" w:rsidRPr="0037157A">
        <w:rPr>
          <w:lang w:val="fr-FR"/>
        </w:rPr>
        <w:t>’</w:t>
      </w:r>
      <w:r w:rsidRPr="0037157A">
        <w:rPr>
          <w:lang w:val="fr-FR"/>
        </w:rPr>
        <w:t>activités visant à promouvoir l</w:t>
      </w:r>
      <w:r w:rsidR="004471C3" w:rsidRPr="0037157A">
        <w:rPr>
          <w:lang w:val="fr-FR"/>
        </w:rPr>
        <w:t>’</w:t>
      </w:r>
      <w:r w:rsidRPr="0037157A">
        <w:rPr>
          <w:lang w:val="fr-FR"/>
        </w:rPr>
        <w:t>abandon du tabac. En 2018-2019, 43</w:t>
      </w:r>
      <w:r w:rsidR="00CB2E84" w:rsidRPr="0037157A">
        <w:rPr>
          <w:lang w:val="fr-FR"/>
        </w:rPr>
        <w:t xml:space="preserve"> </w:t>
      </w:r>
      <w:r w:rsidRPr="0037157A">
        <w:rPr>
          <w:lang w:val="fr-FR"/>
        </w:rPr>
        <w:t>infirmiers ont été formés dans le comitat de Szabolcs-Szatmár-Bereg pour accompagner les fumeuses enceintes et allaitantes. Au bout d</w:t>
      </w:r>
      <w:r w:rsidR="004471C3" w:rsidRPr="0037157A">
        <w:rPr>
          <w:lang w:val="fr-FR"/>
        </w:rPr>
        <w:t>’</w:t>
      </w:r>
      <w:r w:rsidRPr="0037157A">
        <w:rPr>
          <w:lang w:val="fr-FR"/>
        </w:rPr>
        <w:t>un an, 18 infirmiers avaient pris en charge 57</w:t>
      </w:r>
      <w:r w:rsidR="00CB2E84" w:rsidRPr="0037157A">
        <w:rPr>
          <w:lang w:val="fr-FR"/>
        </w:rPr>
        <w:t xml:space="preserve"> </w:t>
      </w:r>
      <w:r w:rsidRPr="0037157A">
        <w:rPr>
          <w:lang w:val="fr-FR"/>
        </w:rPr>
        <w:t>patientes, parmi lesquelles 43</w:t>
      </w:r>
      <w:r w:rsidR="00CB2E84" w:rsidRPr="0037157A">
        <w:rPr>
          <w:lang w:val="fr-FR"/>
        </w:rPr>
        <w:t xml:space="preserve"> </w:t>
      </w:r>
      <w:r w:rsidRPr="0037157A">
        <w:rPr>
          <w:lang w:val="fr-FR"/>
        </w:rPr>
        <w:t>personnes étaient restées abstinentes jusqu</w:t>
      </w:r>
      <w:r w:rsidR="004471C3" w:rsidRPr="0037157A">
        <w:rPr>
          <w:lang w:val="fr-FR"/>
        </w:rPr>
        <w:t>’</w:t>
      </w:r>
      <w:r w:rsidRPr="0037157A">
        <w:rPr>
          <w:lang w:val="fr-FR"/>
        </w:rPr>
        <w:t>à la fin de leur grossesse et 19 avaient arrêté de fumer.</w:t>
      </w:r>
    </w:p>
    <w:p w14:paraId="2CAA980B" w14:textId="2797AE05" w:rsidR="00EB0DAE" w:rsidRPr="0037157A" w:rsidRDefault="00EB0DAE" w:rsidP="00EB0DAE">
      <w:pPr>
        <w:pStyle w:val="SingleTxt"/>
        <w:spacing w:after="0" w:line="120" w:lineRule="exact"/>
        <w:rPr>
          <w:sz w:val="10"/>
          <w:lang w:val="fr-FR"/>
        </w:rPr>
      </w:pPr>
    </w:p>
    <w:p w14:paraId="533D6894" w14:textId="1267BFF1"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 xml:space="preserve">Mesures visant à réduire la consommation de drogues dans les zones sujettes </w:t>
      </w:r>
      <w:r w:rsidR="00CB2E84" w:rsidRPr="0037157A">
        <w:rPr>
          <w:lang w:val="fr-FR"/>
        </w:rPr>
        <w:br/>
      </w:r>
      <w:r w:rsidRPr="0037157A">
        <w:rPr>
          <w:lang w:val="fr-FR"/>
        </w:rPr>
        <w:t>à ségrégation</w:t>
      </w:r>
    </w:p>
    <w:p w14:paraId="0117F839" w14:textId="0F9A548A" w:rsidR="00EB0DAE" w:rsidRPr="0037157A" w:rsidRDefault="00EB0DAE" w:rsidP="00EB0DAE">
      <w:pPr>
        <w:pStyle w:val="SingleTxt"/>
        <w:spacing w:after="0" w:line="120" w:lineRule="exact"/>
        <w:rPr>
          <w:sz w:val="10"/>
          <w:lang w:val="fr-FR"/>
        </w:rPr>
      </w:pPr>
    </w:p>
    <w:p w14:paraId="75E1CC88" w14:textId="45A6DCAF" w:rsidR="00EB0DAE" w:rsidRPr="0037157A" w:rsidRDefault="00EB0DAE" w:rsidP="009D535F">
      <w:pPr>
        <w:pStyle w:val="SingleTxt"/>
        <w:numPr>
          <w:ilvl w:val="0"/>
          <w:numId w:val="12"/>
        </w:numPr>
        <w:spacing w:line="240" w:lineRule="exact"/>
        <w:rPr>
          <w:bCs/>
          <w:iCs/>
          <w:lang w:val="fr-FR"/>
        </w:rPr>
      </w:pPr>
      <w:r w:rsidRPr="0037157A">
        <w:rPr>
          <w:lang w:val="fr-FR"/>
        </w:rPr>
        <w:t>Depuis 2016, de nombreux experts dénoncent et démontrent dans leurs recherches exploratoires une augmentation significative de la consommation de nouvelles substances psychoactives parmi les populations défavorisées (parfois à plusieurs égards) dans les zones rurales et urbaines sujettes à ségrégation. Pour résoudre ce problème, le Ministère des ressources humaines a lancé un programme global (détaillé en annexe).</w:t>
      </w:r>
    </w:p>
    <w:p w14:paraId="2AF129C4" w14:textId="4A57BD48" w:rsidR="00EB0DAE" w:rsidRPr="0037157A" w:rsidRDefault="00EB0DAE" w:rsidP="00622C56">
      <w:pPr>
        <w:pStyle w:val="SingleTxt"/>
        <w:spacing w:after="0" w:line="120" w:lineRule="exact"/>
        <w:rPr>
          <w:bCs/>
          <w:iCs/>
          <w:sz w:val="10"/>
          <w:lang w:val="fr-FR"/>
        </w:rPr>
      </w:pPr>
    </w:p>
    <w:p w14:paraId="23055E61" w14:textId="77777777" w:rsidR="00622C56" w:rsidRPr="0037157A" w:rsidRDefault="00622C56" w:rsidP="00EB0DAE">
      <w:pPr>
        <w:pStyle w:val="SingleTxt"/>
        <w:spacing w:after="0" w:line="120" w:lineRule="exact"/>
        <w:rPr>
          <w:bCs/>
          <w:iCs/>
          <w:sz w:val="10"/>
          <w:lang w:val="fr-FR"/>
        </w:rPr>
      </w:pPr>
    </w:p>
    <w:p w14:paraId="72706448" w14:textId="356C8AD5" w:rsidR="00EB0DAE" w:rsidRPr="0037157A" w:rsidRDefault="00EB0DAE"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Avantages économiques et sociaux</w:t>
      </w:r>
    </w:p>
    <w:p w14:paraId="2016D191" w14:textId="14C78900" w:rsidR="00EB0DAE" w:rsidRPr="0037157A" w:rsidRDefault="00EB0DAE" w:rsidP="00622C56">
      <w:pPr>
        <w:pStyle w:val="SingleTxt"/>
        <w:spacing w:after="0" w:line="120" w:lineRule="exact"/>
        <w:rPr>
          <w:sz w:val="10"/>
          <w:lang w:val="fr-FR"/>
        </w:rPr>
      </w:pPr>
    </w:p>
    <w:p w14:paraId="45DF73D5" w14:textId="286B7A03" w:rsidR="00622C56" w:rsidRPr="0037157A" w:rsidRDefault="00622C56" w:rsidP="00622C56">
      <w:pPr>
        <w:pStyle w:val="SingleTxt"/>
        <w:spacing w:after="0" w:line="120" w:lineRule="exact"/>
        <w:rPr>
          <w:sz w:val="10"/>
          <w:lang w:val="fr-FR"/>
        </w:rPr>
      </w:pPr>
    </w:p>
    <w:p w14:paraId="54D329EA" w14:textId="77777777" w:rsidR="004471C3" w:rsidRPr="0037157A" w:rsidRDefault="00EB0DAE" w:rsidP="00CB2E84">
      <w:pPr>
        <w:pStyle w:val="SingleTxt"/>
        <w:keepNext/>
        <w:keepLines/>
        <w:numPr>
          <w:ilvl w:val="0"/>
          <w:numId w:val="12"/>
        </w:numPr>
        <w:spacing w:line="240" w:lineRule="exact"/>
        <w:rPr>
          <w:lang w:val="fr-FR"/>
        </w:rPr>
      </w:pPr>
      <w:r w:rsidRPr="0037157A">
        <w:rPr>
          <w:lang w:val="fr-FR"/>
        </w:rPr>
        <w:t>Les mesures adoptées par le Gouvernement hongrois pour lutter contre la pauvreté et l</w:t>
      </w:r>
      <w:r w:rsidR="004471C3" w:rsidRPr="0037157A">
        <w:rPr>
          <w:lang w:val="fr-FR"/>
        </w:rPr>
        <w:t>’</w:t>
      </w:r>
      <w:r w:rsidRPr="0037157A">
        <w:rPr>
          <w:lang w:val="fr-FR"/>
        </w:rPr>
        <w:t>exclusion ciblent de manière égale les femmes et les hommes. Nous notons cependant qu</w:t>
      </w:r>
      <w:r w:rsidR="004471C3" w:rsidRPr="0037157A">
        <w:rPr>
          <w:lang w:val="fr-FR"/>
        </w:rPr>
        <w:t>’</w:t>
      </w:r>
      <w:r w:rsidRPr="0037157A">
        <w:rPr>
          <w:lang w:val="fr-FR"/>
        </w:rPr>
        <w:t>en raison de la surreprésentation des femmes dans les familles monoparentales, les bénéficiaires des mesures y relatives sont principalement des mères. La Hongrie soutient les familles monoparentales en leur fournissant</w:t>
      </w:r>
      <w:r w:rsidR="004471C3" w:rsidRPr="0037157A">
        <w:rPr>
          <w:lang w:val="fr-FR"/>
        </w:rPr>
        <w:t> :</w:t>
      </w:r>
    </w:p>
    <w:p w14:paraId="2F951BAB" w14:textId="77777777" w:rsidR="004471C3" w:rsidRPr="0037157A" w:rsidRDefault="00EB0DAE" w:rsidP="00EB0DAE">
      <w:pPr>
        <w:pStyle w:val="SingleTxt"/>
        <w:tabs>
          <w:tab w:val="right" w:pos="1685"/>
        </w:tabs>
        <w:ind w:left="1742" w:hanging="475"/>
        <w:rPr>
          <w:lang w:val="fr-FR"/>
        </w:rPr>
      </w:pPr>
      <w:r w:rsidRPr="0037157A">
        <w:rPr>
          <w:lang w:val="fr-FR"/>
        </w:rPr>
        <w:tab/>
        <w:t>•</w:t>
      </w:r>
      <w:r w:rsidRPr="0037157A">
        <w:rPr>
          <w:lang w:val="fr-FR"/>
        </w:rPr>
        <w:tab/>
        <w:t>des allocations familiales plus élevées, déductibles à la fois de l</w:t>
      </w:r>
      <w:r w:rsidR="004471C3" w:rsidRPr="0037157A">
        <w:rPr>
          <w:lang w:val="fr-FR"/>
        </w:rPr>
        <w:t>’</w:t>
      </w:r>
      <w:r w:rsidRPr="0037157A">
        <w:rPr>
          <w:lang w:val="fr-FR"/>
        </w:rPr>
        <w:t>impôt sur le revenu des personnes physiques et des cotisations de retraite et d</w:t>
      </w:r>
      <w:r w:rsidR="004471C3" w:rsidRPr="0037157A">
        <w:rPr>
          <w:lang w:val="fr-FR"/>
        </w:rPr>
        <w:t>’</w:t>
      </w:r>
      <w:r w:rsidRPr="0037157A">
        <w:rPr>
          <w:lang w:val="fr-FR"/>
        </w:rPr>
        <w:t>assurance maladie</w:t>
      </w:r>
      <w:r w:rsidR="004471C3" w:rsidRPr="0037157A">
        <w:rPr>
          <w:lang w:val="fr-FR"/>
        </w:rPr>
        <w:t> ;</w:t>
      </w:r>
    </w:p>
    <w:p w14:paraId="413A5889" w14:textId="34F8513E" w:rsidR="004471C3" w:rsidRPr="0037157A" w:rsidRDefault="00EB0DAE" w:rsidP="00EB0DAE">
      <w:pPr>
        <w:pStyle w:val="SingleTxt"/>
        <w:tabs>
          <w:tab w:val="right" w:pos="1685"/>
        </w:tabs>
        <w:ind w:left="1742" w:hanging="475"/>
        <w:rPr>
          <w:lang w:val="fr-FR"/>
        </w:rPr>
      </w:pPr>
      <w:r w:rsidRPr="0037157A">
        <w:rPr>
          <w:lang w:val="fr-FR"/>
        </w:rPr>
        <w:tab/>
        <w:t>•</w:t>
      </w:r>
      <w:r w:rsidRPr="0037157A">
        <w:rPr>
          <w:lang w:val="fr-FR"/>
        </w:rPr>
        <w:tab/>
        <w:t>une assistance aux orphelins (cette prestation mensuelle passera de 24 250</w:t>
      </w:r>
      <w:r w:rsidR="00CB2E84" w:rsidRPr="0037157A">
        <w:rPr>
          <w:lang w:val="fr-FR"/>
        </w:rPr>
        <w:t xml:space="preserve"> </w:t>
      </w:r>
      <w:r w:rsidRPr="0037157A">
        <w:rPr>
          <w:lang w:val="fr-FR"/>
        </w:rPr>
        <w:t>forints hongrois [85</w:t>
      </w:r>
      <w:r w:rsidR="00CB2E84" w:rsidRPr="0037157A">
        <w:rPr>
          <w:lang w:val="fr-FR"/>
        </w:rPr>
        <w:t xml:space="preserve"> </w:t>
      </w:r>
      <w:r w:rsidRPr="0037157A">
        <w:rPr>
          <w:lang w:val="fr-FR"/>
        </w:rPr>
        <w:t>dollars É.-U.] à 50 000</w:t>
      </w:r>
      <w:r w:rsidR="00CB2E84" w:rsidRPr="0037157A">
        <w:rPr>
          <w:lang w:val="fr-FR"/>
        </w:rPr>
        <w:t xml:space="preserve"> </w:t>
      </w:r>
      <w:r w:rsidRPr="0037157A">
        <w:rPr>
          <w:lang w:val="fr-FR"/>
        </w:rPr>
        <w:t>forints hongrois [175</w:t>
      </w:r>
      <w:r w:rsidR="00CB2E84" w:rsidRPr="0037157A">
        <w:rPr>
          <w:lang w:val="fr-FR"/>
        </w:rPr>
        <w:t xml:space="preserve"> </w:t>
      </w:r>
      <w:r w:rsidRPr="0037157A">
        <w:rPr>
          <w:lang w:val="fr-FR"/>
        </w:rPr>
        <w:t>dollars É.-U.] en 2022)</w:t>
      </w:r>
      <w:r w:rsidR="004471C3" w:rsidRPr="0037157A">
        <w:rPr>
          <w:lang w:val="fr-FR"/>
        </w:rPr>
        <w:t> ;</w:t>
      </w:r>
    </w:p>
    <w:p w14:paraId="236AFE6F" w14:textId="0653358F"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A</w:t>
      </w:r>
    </w:p>
    <w:p w14:paraId="5AAF9F9F" w14:textId="2AA95A8D"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un paiement anticipé de la pension alimentaire</w:t>
      </w:r>
      <w:r w:rsidR="004471C3" w:rsidRPr="0037157A">
        <w:rPr>
          <w:lang w:val="fr-FR"/>
        </w:rPr>
        <w:t> ;</w:t>
      </w:r>
    </w:p>
    <w:p w14:paraId="5B5AB3E3" w14:textId="77777777" w:rsidR="004471C3" w:rsidRPr="0037157A"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des jours de congé supplémentaires pour s</w:t>
      </w:r>
      <w:r w:rsidR="004471C3" w:rsidRPr="0037157A">
        <w:rPr>
          <w:lang w:val="fr-FR"/>
        </w:rPr>
        <w:t>’</w:t>
      </w:r>
      <w:r w:rsidRPr="00EB0DAE">
        <w:rPr>
          <w:lang w:val="fr-FR"/>
        </w:rPr>
        <w:t>occuper des enfants</w:t>
      </w:r>
      <w:r w:rsidR="004471C3" w:rsidRPr="0037157A">
        <w:rPr>
          <w:lang w:val="fr-FR"/>
        </w:rPr>
        <w:t> ;</w:t>
      </w:r>
    </w:p>
    <w:p w14:paraId="66B65241" w14:textId="76635256"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une protection complémentaire en matière de droit du travail (protection contre le licenciement et emploi atypique)</w:t>
      </w:r>
      <w:r w:rsidR="004471C3" w:rsidRPr="0037157A">
        <w:rPr>
          <w:lang w:val="fr-FR"/>
        </w:rPr>
        <w:t> ;</w:t>
      </w:r>
      <w:r w:rsidRPr="00EB0DAE">
        <w:rPr>
          <w:lang w:val="fr-FR"/>
        </w:rPr>
        <w:t xml:space="preserve"> et</w:t>
      </w:r>
    </w:p>
    <w:p w14:paraId="7B7E68F1" w14:textId="3A049A94"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une subvention spéciale permettant aux enfants de partir en vacances dans des camps « Elizabeth » sur les rives du lac Balaton.</w:t>
      </w:r>
    </w:p>
    <w:p w14:paraId="3B8CE3E1" w14:textId="38567A5D" w:rsidR="00EB0DAE" w:rsidRPr="0037157A" w:rsidRDefault="00EB0DAE" w:rsidP="009D535F">
      <w:pPr>
        <w:pStyle w:val="SingleTxt"/>
        <w:numPr>
          <w:ilvl w:val="0"/>
          <w:numId w:val="12"/>
        </w:numPr>
        <w:spacing w:line="240" w:lineRule="exact"/>
        <w:rPr>
          <w:bCs/>
          <w:iCs/>
          <w:lang w:val="fr-FR"/>
        </w:rPr>
      </w:pPr>
      <w:r w:rsidRPr="0037157A">
        <w:rPr>
          <w:lang w:val="fr-FR"/>
        </w:rPr>
        <w:t>En outre, les familles monoparentales peuvent avoir droit à l</w:t>
      </w:r>
      <w:r w:rsidR="004471C3" w:rsidRPr="0037157A">
        <w:rPr>
          <w:lang w:val="fr-FR"/>
        </w:rPr>
        <w:t>’</w:t>
      </w:r>
      <w:r w:rsidRPr="0037157A">
        <w:rPr>
          <w:lang w:val="fr-FR"/>
        </w:rPr>
        <w:t>allocation familiale ordinaire à des conditions plus favorables que les familles biparentales, car le plafond de revenus en dessous duquel l</w:t>
      </w:r>
      <w:r w:rsidR="004471C3" w:rsidRPr="0037157A">
        <w:rPr>
          <w:lang w:val="fr-FR"/>
        </w:rPr>
        <w:t>’</w:t>
      </w:r>
      <w:r w:rsidRPr="0037157A">
        <w:rPr>
          <w:lang w:val="fr-FR"/>
        </w:rPr>
        <w:t>allocation est accordée est plus bas (depuis 2018, 145</w:t>
      </w:r>
      <w:r w:rsidR="004471C3" w:rsidRPr="0037157A">
        <w:rPr>
          <w:lang w:val="fr-FR"/>
        </w:rPr>
        <w:t> %</w:t>
      </w:r>
      <w:r w:rsidRPr="0037157A">
        <w:rPr>
          <w:lang w:val="fr-FR"/>
        </w:rPr>
        <w:t xml:space="preserve"> de la pension minimale de retraite). Depuis 2017, les enfants issus de familles monoparentales sont prioritaires à l</w:t>
      </w:r>
      <w:r w:rsidR="004471C3" w:rsidRPr="0037157A">
        <w:rPr>
          <w:lang w:val="fr-FR"/>
        </w:rPr>
        <w:t>’</w:t>
      </w:r>
      <w:r w:rsidRPr="0037157A">
        <w:rPr>
          <w:lang w:val="fr-FR"/>
        </w:rPr>
        <w:t>admission en crèche. Une autre décision importante du Gouvernement a été d</w:t>
      </w:r>
      <w:r w:rsidR="004471C3" w:rsidRPr="0037157A">
        <w:rPr>
          <w:lang w:val="fr-FR"/>
        </w:rPr>
        <w:t>’</w:t>
      </w:r>
      <w:r w:rsidRPr="0037157A">
        <w:rPr>
          <w:lang w:val="fr-FR"/>
        </w:rPr>
        <w:t>investir un demi-milliard de forints hongrois (environ</w:t>
      </w:r>
      <w:r w:rsidR="00CB2E84" w:rsidRPr="0037157A">
        <w:rPr>
          <w:lang w:val="fr-FR"/>
        </w:rPr>
        <w:t xml:space="preserve"> </w:t>
      </w:r>
      <w:r w:rsidRPr="0037157A">
        <w:rPr>
          <w:lang w:val="fr-FR"/>
        </w:rPr>
        <w:t>1 700 680</w:t>
      </w:r>
      <w:r w:rsidR="00CB2E84" w:rsidRPr="0037157A">
        <w:rPr>
          <w:lang w:val="fr-FR"/>
        </w:rPr>
        <w:t xml:space="preserve"> </w:t>
      </w:r>
      <w:r w:rsidRPr="0037157A">
        <w:rPr>
          <w:lang w:val="fr-FR"/>
        </w:rPr>
        <w:t>dollars É.-U.) dans la création d</w:t>
      </w:r>
      <w:r w:rsidR="004471C3" w:rsidRPr="0037157A">
        <w:rPr>
          <w:lang w:val="fr-FR"/>
        </w:rPr>
        <w:t>’</w:t>
      </w:r>
      <w:r w:rsidRPr="0037157A">
        <w:rPr>
          <w:lang w:val="fr-FR"/>
        </w:rPr>
        <w:t>un centre où des juristes, des travailleurs familiaux, des psychologues et d</w:t>
      </w:r>
      <w:r w:rsidR="004471C3" w:rsidRPr="0037157A">
        <w:rPr>
          <w:lang w:val="fr-FR"/>
        </w:rPr>
        <w:t>’</w:t>
      </w:r>
      <w:r w:rsidRPr="0037157A">
        <w:rPr>
          <w:lang w:val="fr-FR"/>
        </w:rPr>
        <w:t>autres professionnels viennent en aide aux familles monoparentales</w:t>
      </w:r>
      <w:r w:rsidRPr="0037157A">
        <w:rPr>
          <w:vertAlign w:val="superscript"/>
          <w:lang w:val="fr-FR"/>
        </w:rPr>
        <w:footnoteReference w:id="13"/>
      </w:r>
      <w:r w:rsidRPr="0037157A">
        <w:rPr>
          <w:lang w:val="fr-FR"/>
        </w:rPr>
        <w:t>.</w:t>
      </w:r>
    </w:p>
    <w:p w14:paraId="270F122C" w14:textId="2A295DD1" w:rsidR="00EB0DAE" w:rsidRPr="0037157A" w:rsidRDefault="00EB0DAE" w:rsidP="009D535F">
      <w:pPr>
        <w:pStyle w:val="SingleTxt"/>
        <w:numPr>
          <w:ilvl w:val="0"/>
          <w:numId w:val="12"/>
        </w:numPr>
        <w:spacing w:line="240" w:lineRule="exact"/>
        <w:rPr>
          <w:bCs/>
          <w:iCs/>
          <w:lang w:val="fr-FR"/>
        </w:rPr>
      </w:pPr>
      <w:r w:rsidRPr="0037157A">
        <w:rPr>
          <w:lang w:val="fr-FR"/>
        </w:rPr>
        <w:t>Les couples mariés, les partenaires et les parents isolés peuvent demander une aide au logement familial en fonction des enfants qu</w:t>
      </w:r>
      <w:r w:rsidR="004471C3" w:rsidRPr="0037157A">
        <w:rPr>
          <w:lang w:val="fr-FR"/>
        </w:rPr>
        <w:t>’</w:t>
      </w:r>
      <w:r w:rsidRPr="0037157A">
        <w:rPr>
          <w:lang w:val="fr-FR"/>
        </w:rPr>
        <w:t>ils ont déjà. Les familles monoparentales peuvent en outre bénéficier de toutes les mesures de soutien prévues dans le nouveau programme de création d</w:t>
      </w:r>
      <w:r w:rsidR="004471C3" w:rsidRPr="0037157A">
        <w:rPr>
          <w:lang w:val="fr-FR"/>
        </w:rPr>
        <w:t>’</w:t>
      </w:r>
      <w:r w:rsidRPr="0037157A">
        <w:rPr>
          <w:lang w:val="fr-FR"/>
        </w:rPr>
        <w:t>un foyer, lancé en 2021.</w:t>
      </w:r>
    </w:p>
    <w:p w14:paraId="0838D6E3" w14:textId="0429E348" w:rsidR="00EB0DAE" w:rsidRPr="0037157A" w:rsidRDefault="00EB0DAE" w:rsidP="009D535F">
      <w:pPr>
        <w:pStyle w:val="SingleTxt"/>
        <w:numPr>
          <w:ilvl w:val="0"/>
          <w:numId w:val="12"/>
        </w:numPr>
        <w:spacing w:line="240" w:lineRule="exact"/>
        <w:rPr>
          <w:bCs/>
          <w:iCs/>
          <w:lang w:val="fr-FR"/>
        </w:rPr>
      </w:pPr>
      <w:r w:rsidRPr="0037157A">
        <w:rPr>
          <w:lang w:val="fr-FR"/>
        </w:rPr>
        <w:t>La couverture de la nouvelle forme de retraite anticipée, telle que prévue par la loi</w:t>
      </w:r>
      <w:r w:rsidR="00CB2E84" w:rsidRPr="0037157A">
        <w:rPr>
          <w:lang w:val="fr-FR"/>
        </w:rPr>
        <w:t xml:space="preserve"> </w:t>
      </w:r>
      <w:r w:rsidRPr="0037157A">
        <w:rPr>
          <w:lang w:val="fr-FR"/>
        </w:rPr>
        <w:t>LXXX de 1997 sur les prestations de retraite de la sécurité sociale, ne s</w:t>
      </w:r>
      <w:r w:rsidR="004471C3" w:rsidRPr="0037157A">
        <w:rPr>
          <w:lang w:val="fr-FR"/>
        </w:rPr>
        <w:t>’</w:t>
      </w:r>
      <w:r w:rsidRPr="0037157A">
        <w:rPr>
          <w:lang w:val="fr-FR"/>
        </w:rPr>
        <w:t>étend pas aux femmes travaillant dans l</w:t>
      </w:r>
      <w:r w:rsidR="004471C3" w:rsidRPr="0037157A">
        <w:rPr>
          <w:lang w:val="fr-FR"/>
        </w:rPr>
        <w:t>’</w:t>
      </w:r>
      <w:r w:rsidRPr="0037157A">
        <w:rPr>
          <w:lang w:val="fr-FR"/>
        </w:rPr>
        <w:t>économie informelle, mais tient compte des périodes pendant lesquelles les femmes ont élevé leurs enfants ou se sont occupées de leur enfant gravement handicapé.</w:t>
      </w:r>
    </w:p>
    <w:p w14:paraId="07987F16" w14:textId="72A03AA7" w:rsidR="00EB0DAE" w:rsidRPr="0037157A" w:rsidRDefault="00EB0DAE" w:rsidP="00D62ADF">
      <w:pPr>
        <w:pStyle w:val="SingleTxt"/>
        <w:numPr>
          <w:ilvl w:val="0"/>
          <w:numId w:val="12"/>
        </w:numPr>
        <w:spacing w:line="240" w:lineRule="exact"/>
        <w:rPr>
          <w:bCs/>
          <w:iCs/>
          <w:lang w:val="fr-FR"/>
        </w:rPr>
      </w:pPr>
      <w:r w:rsidRPr="0037157A">
        <w:rPr>
          <w:lang w:val="fr-FR"/>
        </w:rPr>
        <w:t>Pour promouvoir l</w:t>
      </w:r>
      <w:r w:rsidR="004471C3" w:rsidRPr="0037157A">
        <w:rPr>
          <w:lang w:val="fr-FR"/>
        </w:rPr>
        <w:t>’</w:t>
      </w:r>
      <w:r w:rsidRPr="0037157A">
        <w:rPr>
          <w:lang w:val="fr-FR"/>
        </w:rPr>
        <w:t xml:space="preserve">entrepreneuriat féminin, la Foundation for Small Enterprise Economic Development (SEED) </w:t>
      </w:r>
      <w:r w:rsidRPr="0037157A">
        <w:rPr>
          <w:lang w:val="fr-FR"/>
        </w:rPr>
        <w:noBreakHyphen/>
      </w:r>
      <w:r w:rsidR="00CB2E84" w:rsidRPr="0037157A">
        <w:rPr>
          <w:lang w:val="fr-FR"/>
        </w:rPr>
        <w:t> </w:t>
      </w:r>
      <w:r w:rsidRPr="0037157A">
        <w:rPr>
          <w:lang w:val="fr-FR"/>
        </w:rPr>
        <w:t>fondée par des ministères, des associations professionnelles, une université et un établissement de crédit</w:t>
      </w:r>
      <w:r w:rsidR="00CB2E84" w:rsidRPr="0037157A">
        <w:rPr>
          <w:lang w:val="fr-FR"/>
        </w:rPr>
        <w:t> </w:t>
      </w:r>
      <w:r w:rsidR="00D62ADF" w:rsidRPr="00D62ADF">
        <w:rPr>
          <w:lang w:val="fr-FR"/>
        </w:rPr>
        <w:t>–</w:t>
      </w:r>
      <w:r w:rsidRPr="0037157A">
        <w:rPr>
          <w:lang w:val="fr-FR"/>
        </w:rPr>
        <w:t xml:space="preserve"> a mis en œuvre divers programmes, présentés ci-dessous</w:t>
      </w:r>
      <w:r w:rsidR="004471C3" w:rsidRPr="0037157A">
        <w:rPr>
          <w:lang w:val="fr-FR"/>
        </w:rPr>
        <w:t> :</w:t>
      </w:r>
    </w:p>
    <w:p w14:paraId="30D1D938" w14:textId="7D870CA9" w:rsidR="00EB0DAE" w:rsidRPr="0037157A" w:rsidRDefault="00EB0DAE" w:rsidP="00EB0DAE">
      <w:pPr>
        <w:pStyle w:val="SingleTxt"/>
        <w:spacing w:after="0" w:line="120" w:lineRule="exact"/>
        <w:rPr>
          <w:sz w:val="10"/>
          <w:lang w:val="fr-FR"/>
        </w:rPr>
      </w:pPr>
    </w:p>
    <w:p w14:paraId="00502073" w14:textId="36D0A268"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Programme d</w:t>
      </w:r>
      <w:r w:rsidR="004471C3" w:rsidRPr="0037157A">
        <w:rPr>
          <w:lang w:val="fr-FR"/>
        </w:rPr>
        <w:t>’</w:t>
      </w:r>
      <w:r w:rsidRPr="0037157A">
        <w:rPr>
          <w:lang w:val="fr-FR"/>
        </w:rPr>
        <w:t>entrepreneuriat féminin « Dobbantó »</w:t>
      </w:r>
    </w:p>
    <w:p w14:paraId="359DF1C0" w14:textId="075019DC" w:rsidR="00EB0DAE" w:rsidRPr="0037157A" w:rsidRDefault="00EB0DAE" w:rsidP="00EB0DAE">
      <w:pPr>
        <w:pStyle w:val="SingleTxt"/>
        <w:spacing w:after="0" w:line="120" w:lineRule="exact"/>
        <w:rPr>
          <w:sz w:val="10"/>
          <w:lang w:val="fr-FR"/>
        </w:rPr>
      </w:pPr>
    </w:p>
    <w:p w14:paraId="1CF98AC3" w14:textId="07215385" w:rsidR="00EB0DAE" w:rsidRPr="0037157A" w:rsidRDefault="00EB0DAE" w:rsidP="009D535F">
      <w:pPr>
        <w:pStyle w:val="SingleTxt"/>
        <w:numPr>
          <w:ilvl w:val="0"/>
          <w:numId w:val="12"/>
        </w:numPr>
        <w:spacing w:line="240" w:lineRule="exact"/>
        <w:rPr>
          <w:bCs/>
          <w:iCs/>
          <w:lang w:val="fr-FR"/>
        </w:rPr>
      </w:pPr>
      <w:r w:rsidRPr="0037157A">
        <w:rPr>
          <w:lang w:val="fr-FR"/>
        </w:rPr>
        <w:t>Ce programme de développement des compétences, soutenu par la Banque de Budapest, est une formation de douze jours destinée aux entrepreneuses et aux femmes qui souhaitent créer une entreprise</w:t>
      </w:r>
      <w:r w:rsidRPr="0037157A">
        <w:rPr>
          <w:vertAlign w:val="superscript"/>
          <w:lang w:val="fr-FR"/>
        </w:rPr>
        <w:footnoteReference w:id="14"/>
      </w:r>
      <w:r w:rsidRPr="0037157A">
        <w:rPr>
          <w:lang w:val="fr-FR"/>
        </w:rPr>
        <w:t>. L</w:t>
      </w:r>
      <w:r w:rsidR="004471C3" w:rsidRPr="0037157A">
        <w:rPr>
          <w:lang w:val="fr-FR"/>
        </w:rPr>
        <w:t>’</w:t>
      </w:r>
      <w:r w:rsidRPr="0037157A">
        <w:rPr>
          <w:lang w:val="fr-FR"/>
        </w:rPr>
        <w:t>objectif du programme est de doter les participantes de solides connaissances entrepreneuriales et de les aider à se constituer un réseau. En général, sur les 50 à 65</w:t>
      </w:r>
      <w:r w:rsidR="00CB2E84" w:rsidRPr="0037157A">
        <w:rPr>
          <w:lang w:val="fr-FR"/>
        </w:rPr>
        <w:t xml:space="preserve"> </w:t>
      </w:r>
      <w:r w:rsidRPr="0037157A">
        <w:rPr>
          <w:lang w:val="fr-FR"/>
        </w:rPr>
        <w:t>femmes posant leur candidature, 20</w:t>
      </w:r>
      <w:r w:rsidR="00CB2E84" w:rsidRPr="0037157A">
        <w:rPr>
          <w:lang w:val="fr-FR"/>
        </w:rPr>
        <w:t> </w:t>
      </w:r>
      <w:r w:rsidRPr="0037157A">
        <w:rPr>
          <w:lang w:val="fr-FR"/>
        </w:rPr>
        <w:t>à 22 sont sélectionnées pour participer à la formation. Au cours des douze dernières années, SEED a formé environ 500 entrepreneuses, la plupart d</w:t>
      </w:r>
      <w:r w:rsidR="004471C3" w:rsidRPr="0037157A">
        <w:rPr>
          <w:lang w:val="fr-FR"/>
        </w:rPr>
        <w:t>’</w:t>
      </w:r>
      <w:r w:rsidRPr="0037157A">
        <w:rPr>
          <w:lang w:val="fr-FR"/>
        </w:rPr>
        <w:t>entre elles étant toujours des membres actifs du réseau d</w:t>
      </w:r>
      <w:r w:rsidR="004471C3" w:rsidRPr="0037157A">
        <w:rPr>
          <w:lang w:val="fr-FR"/>
        </w:rPr>
        <w:t>’</w:t>
      </w:r>
      <w:r w:rsidRPr="0037157A">
        <w:rPr>
          <w:lang w:val="fr-FR"/>
        </w:rPr>
        <w:t>entrepreneuriat. Si l</w:t>
      </w:r>
      <w:r w:rsidR="004471C3" w:rsidRPr="0037157A">
        <w:rPr>
          <w:lang w:val="fr-FR"/>
        </w:rPr>
        <w:t>’</w:t>
      </w:r>
      <w:r w:rsidRPr="0037157A">
        <w:rPr>
          <w:lang w:val="fr-FR"/>
        </w:rPr>
        <w:t>on tient compte des participantes aux événements du club, ce sont au total 2 000 entrepreneuses qui ont participé au programme.</w:t>
      </w:r>
    </w:p>
    <w:p w14:paraId="2C4D0A0C" w14:textId="34C8A8BC" w:rsidR="00EB0DAE" w:rsidRPr="0037157A" w:rsidRDefault="00EB0DAE" w:rsidP="009D535F">
      <w:pPr>
        <w:pStyle w:val="SingleTxt"/>
        <w:numPr>
          <w:ilvl w:val="0"/>
          <w:numId w:val="12"/>
        </w:numPr>
        <w:spacing w:line="240" w:lineRule="exact"/>
        <w:rPr>
          <w:lang w:val="fr-FR"/>
        </w:rPr>
      </w:pPr>
      <w:r w:rsidRPr="0037157A">
        <w:rPr>
          <w:lang w:val="fr-FR"/>
        </w:rPr>
        <w:t xml:space="preserve">En 2014, la Fondation </w:t>
      </w:r>
      <w:r w:rsidRPr="0037157A">
        <w:rPr>
          <w:szCs w:val="20"/>
          <w:lang w:val="fr-FR"/>
        </w:rPr>
        <w:t>européenne</w:t>
      </w:r>
      <w:r w:rsidRPr="0037157A">
        <w:rPr>
          <w:lang w:val="fr-FR"/>
        </w:rPr>
        <w:t xml:space="preserve"> pour la formation et l</w:t>
      </w:r>
      <w:r w:rsidR="004471C3" w:rsidRPr="0037157A">
        <w:rPr>
          <w:lang w:val="fr-FR"/>
        </w:rPr>
        <w:t>’</w:t>
      </w:r>
      <w:r w:rsidRPr="0037157A">
        <w:rPr>
          <w:lang w:val="fr-FR"/>
        </w:rPr>
        <w:t>Institut européen pour l</w:t>
      </w:r>
      <w:r w:rsidR="004471C3" w:rsidRPr="0037157A">
        <w:rPr>
          <w:lang w:val="fr-FR"/>
        </w:rPr>
        <w:t>’</w:t>
      </w:r>
      <w:r w:rsidRPr="0037157A">
        <w:rPr>
          <w:lang w:val="fr-FR"/>
        </w:rPr>
        <w:t>égalité entre les hommes et les femmes ont classé le programme dans les 12 « meilleures pratiques » européennes. Une courte vidéo d</w:t>
      </w:r>
      <w:r w:rsidR="004471C3" w:rsidRPr="0037157A">
        <w:rPr>
          <w:lang w:val="fr-FR"/>
        </w:rPr>
        <w:t>’</w:t>
      </w:r>
      <w:r w:rsidRPr="0037157A">
        <w:rPr>
          <w:lang w:val="fr-FR"/>
        </w:rPr>
        <w:t>introduction est disponible à l</w:t>
      </w:r>
      <w:r w:rsidR="004471C3" w:rsidRPr="0037157A">
        <w:rPr>
          <w:lang w:val="fr-FR"/>
        </w:rPr>
        <w:t>’</w:t>
      </w:r>
      <w:r w:rsidRPr="0037157A">
        <w:rPr>
          <w:lang w:val="fr-FR"/>
        </w:rPr>
        <w:t>adresse suivante</w:t>
      </w:r>
      <w:r w:rsidR="004471C3" w:rsidRPr="0037157A">
        <w:rPr>
          <w:lang w:val="fr-FR"/>
        </w:rPr>
        <w:t> :</w:t>
      </w:r>
      <w:r w:rsidRPr="0037157A">
        <w:rPr>
          <w:lang w:val="fr-FR"/>
        </w:rPr>
        <w:t xml:space="preserve"> </w:t>
      </w:r>
      <w:hyperlink r:id="rId21" w:history="1">
        <w:r w:rsidR="00CB2E84" w:rsidRPr="0037157A">
          <w:rPr>
            <w:rStyle w:val="Hyperlink"/>
            <w:lang w:val="fr-FR"/>
          </w:rPr>
          <w:t>https://youtu.be/9uI_e3Fg_X8</w:t>
        </w:r>
      </w:hyperlink>
      <w:r w:rsidRPr="0037157A">
        <w:rPr>
          <w:lang w:val="fr-FR"/>
        </w:rPr>
        <w:t>.</w:t>
      </w:r>
    </w:p>
    <w:p w14:paraId="3982BFDC" w14:textId="680724B9" w:rsidR="00EB0DAE" w:rsidRPr="0037157A" w:rsidRDefault="00EB0DAE" w:rsidP="00EB0DAE">
      <w:pPr>
        <w:pStyle w:val="SingleTxt"/>
        <w:spacing w:after="0" w:line="120" w:lineRule="exact"/>
        <w:rPr>
          <w:sz w:val="10"/>
          <w:lang w:val="fr-FR"/>
        </w:rPr>
      </w:pPr>
    </w:p>
    <w:p w14:paraId="228740DC" w14:textId="0BE483D8"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Ateliers en ligne sur la création d</w:t>
      </w:r>
      <w:r w:rsidR="004471C3" w:rsidRPr="0037157A">
        <w:rPr>
          <w:lang w:val="fr-FR"/>
        </w:rPr>
        <w:t>’</w:t>
      </w:r>
      <w:r w:rsidRPr="0037157A">
        <w:rPr>
          <w:lang w:val="fr-FR"/>
        </w:rPr>
        <w:t>un modèle d</w:t>
      </w:r>
      <w:r w:rsidR="004471C3" w:rsidRPr="0037157A">
        <w:rPr>
          <w:lang w:val="fr-FR"/>
        </w:rPr>
        <w:t>’</w:t>
      </w:r>
      <w:r w:rsidRPr="0037157A">
        <w:rPr>
          <w:lang w:val="fr-FR"/>
        </w:rPr>
        <w:t>entreprise</w:t>
      </w:r>
    </w:p>
    <w:p w14:paraId="5E779017" w14:textId="2BDFADCE" w:rsidR="00EB0DAE" w:rsidRPr="0037157A" w:rsidRDefault="00EB0DAE" w:rsidP="00EB0DAE">
      <w:pPr>
        <w:pStyle w:val="SingleTxt"/>
        <w:spacing w:after="0" w:line="120" w:lineRule="exact"/>
        <w:rPr>
          <w:sz w:val="10"/>
          <w:lang w:val="fr-FR"/>
        </w:rPr>
      </w:pPr>
    </w:p>
    <w:p w14:paraId="39CFEAE0" w14:textId="5475FC56" w:rsidR="00EB0DAE" w:rsidRPr="0037157A" w:rsidRDefault="00EB0DAE" w:rsidP="009D535F">
      <w:pPr>
        <w:pStyle w:val="SingleTxt"/>
        <w:numPr>
          <w:ilvl w:val="0"/>
          <w:numId w:val="12"/>
        </w:numPr>
        <w:spacing w:line="240" w:lineRule="exact"/>
        <w:rPr>
          <w:lang w:val="fr-FR"/>
        </w:rPr>
      </w:pPr>
      <w:r w:rsidRPr="0037157A">
        <w:rPr>
          <w:lang w:val="fr-FR"/>
        </w:rPr>
        <w:t>Il s</w:t>
      </w:r>
      <w:r w:rsidR="004471C3" w:rsidRPr="0037157A">
        <w:rPr>
          <w:lang w:val="fr-FR"/>
        </w:rPr>
        <w:t>’</w:t>
      </w:r>
      <w:r w:rsidRPr="0037157A">
        <w:rPr>
          <w:lang w:val="fr-FR"/>
        </w:rPr>
        <w:t>agit d</w:t>
      </w:r>
      <w:r w:rsidR="004471C3" w:rsidRPr="0037157A">
        <w:rPr>
          <w:lang w:val="fr-FR"/>
        </w:rPr>
        <w:t>’</w:t>
      </w:r>
      <w:r w:rsidRPr="0037157A">
        <w:rPr>
          <w:lang w:val="fr-FR"/>
        </w:rPr>
        <w:t>un atelier intensif de 8</w:t>
      </w:r>
      <w:r w:rsidR="00CB2E84" w:rsidRPr="0037157A">
        <w:rPr>
          <w:lang w:val="fr-FR"/>
        </w:rPr>
        <w:t xml:space="preserve"> </w:t>
      </w:r>
      <w:r w:rsidRPr="0037157A">
        <w:rPr>
          <w:lang w:val="fr-FR"/>
        </w:rPr>
        <w:t>heures qui vous guide à travers les étapes de la création d</w:t>
      </w:r>
      <w:r w:rsidR="004471C3" w:rsidRPr="0037157A">
        <w:rPr>
          <w:lang w:val="fr-FR"/>
        </w:rPr>
        <w:t>’</w:t>
      </w:r>
      <w:r w:rsidRPr="0037157A">
        <w:rPr>
          <w:lang w:val="fr-FR"/>
        </w:rPr>
        <w:t>un modèle d</w:t>
      </w:r>
      <w:r w:rsidR="004471C3" w:rsidRPr="0037157A">
        <w:rPr>
          <w:lang w:val="fr-FR"/>
        </w:rPr>
        <w:t>’</w:t>
      </w:r>
      <w:r w:rsidRPr="0037157A">
        <w:rPr>
          <w:lang w:val="fr-FR"/>
        </w:rPr>
        <w:t>entreprise.</w:t>
      </w:r>
    </w:p>
    <w:p w14:paraId="03EFB276" w14:textId="77777777" w:rsidR="00EB0DAE" w:rsidRPr="0037157A" w:rsidRDefault="00EB0DAE" w:rsidP="00EB0DAE">
      <w:pPr>
        <w:pStyle w:val="SingleTxt"/>
        <w:spacing w:after="0" w:line="120" w:lineRule="exact"/>
        <w:rPr>
          <w:sz w:val="10"/>
          <w:lang w:val="fr-FR"/>
        </w:rPr>
      </w:pPr>
    </w:p>
    <w:p w14:paraId="78725AA1" w14:textId="31F5C251"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Ateliers QuickIT et digITall</w:t>
      </w:r>
    </w:p>
    <w:p w14:paraId="3C2C686E" w14:textId="0EAF16FC" w:rsidR="00EB0DAE" w:rsidRPr="0037157A" w:rsidRDefault="00EB0DAE" w:rsidP="00EB0DAE">
      <w:pPr>
        <w:pStyle w:val="SingleTxt"/>
        <w:spacing w:after="0" w:line="120" w:lineRule="exact"/>
        <w:rPr>
          <w:sz w:val="10"/>
          <w:lang w:val="fr-FR"/>
        </w:rPr>
      </w:pPr>
    </w:p>
    <w:p w14:paraId="560BC8B9" w14:textId="2DC6F1A8" w:rsidR="00EB0DAE" w:rsidRPr="0037157A" w:rsidRDefault="00EB0DAE" w:rsidP="009D535F">
      <w:pPr>
        <w:pStyle w:val="SingleTxt"/>
        <w:numPr>
          <w:ilvl w:val="0"/>
          <w:numId w:val="12"/>
        </w:numPr>
        <w:spacing w:line="240" w:lineRule="exact"/>
        <w:rPr>
          <w:lang w:val="fr-FR"/>
        </w:rPr>
      </w:pPr>
      <w:r w:rsidRPr="0037157A">
        <w:rPr>
          <w:lang w:val="fr-FR"/>
        </w:rPr>
        <w:t xml:space="preserve">En 2020, SEED a lancé, avec le soutien de la Banque de Budapest, une formation de </w:t>
      </w:r>
      <w:r w:rsidR="006615F3">
        <w:rPr>
          <w:lang w:val="fr-FR"/>
        </w:rPr>
        <w:t xml:space="preserve">deux </w:t>
      </w:r>
      <w:r w:rsidRPr="0037157A">
        <w:rPr>
          <w:lang w:val="fr-FR"/>
        </w:rPr>
        <w:t>demi-journées sur la transition numérique des entreprises baptisée « QuickIT » à l</w:t>
      </w:r>
      <w:r w:rsidR="004471C3" w:rsidRPr="0037157A">
        <w:rPr>
          <w:lang w:val="fr-FR"/>
        </w:rPr>
        <w:t>’</w:t>
      </w:r>
      <w:r w:rsidRPr="0037157A">
        <w:rPr>
          <w:lang w:val="fr-FR"/>
        </w:rPr>
        <w:t>intention des entrepreneuses. L</w:t>
      </w:r>
      <w:r w:rsidR="004471C3" w:rsidRPr="0037157A">
        <w:rPr>
          <w:lang w:val="fr-FR"/>
        </w:rPr>
        <w:t>’</w:t>
      </w:r>
      <w:r w:rsidRPr="0037157A">
        <w:rPr>
          <w:lang w:val="fr-FR"/>
        </w:rPr>
        <w:t>objectif est de permettre aux femmes d</w:t>
      </w:r>
      <w:r w:rsidR="004471C3" w:rsidRPr="0037157A">
        <w:rPr>
          <w:lang w:val="fr-FR"/>
        </w:rPr>
        <w:t>’</w:t>
      </w:r>
      <w:r w:rsidRPr="0037157A">
        <w:rPr>
          <w:lang w:val="fr-FR"/>
        </w:rPr>
        <w:t xml:space="preserve">accroître leur compétitivité en améliorant leur aptitude à se servir des outils numériques. Par la suite, la fondation a étendu la durée de la formation à </w:t>
      </w:r>
      <w:r w:rsidR="006615F3">
        <w:rPr>
          <w:lang w:val="fr-FR"/>
        </w:rPr>
        <w:t xml:space="preserve">quatre </w:t>
      </w:r>
      <w:r w:rsidRPr="0037157A">
        <w:rPr>
          <w:lang w:val="fr-FR"/>
        </w:rPr>
        <w:t>jours et l</w:t>
      </w:r>
      <w:r w:rsidR="004471C3" w:rsidRPr="0037157A">
        <w:rPr>
          <w:lang w:val="fr-FR"/>
        </w:rPr>
        <w:t>’</w:t>
      </w:r>
      <w:r w:rsidRPr="0037157A">
        <w:rPr>
          <w:lang w:val="fr-FR"/>
        </w:rPr>
        <w:t>a intégrée au programme Dobbantó (voir ci-dessus).</w:t>
      </w:r>
    </w:p>
    <w:p w14:paraId="7DE6233B" w14:textId="77777777" w:rsidR="00EB0DAE" w:rsidRPr="0037157A" w:rsidRDefault="00EB0DAE" w:rsidP="00EB0DAE">
      <w:pPr>
        <w:pStyle w:val="SingleTxt"/>
        <w:spacing w:after="0" w:line="120" w:lineRule="exact"/>
        <w:rPr>
          <w:sz w:val="10"/>
          <w:lang w:val="fr-FR"/>
        </w:rPr>
      </w:pPr>
    </w:p>
    <w:p w14:paraId="1D205353" w14:textId="634859EE"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Programme national de mentorat</w:t>
      </w:r>
    </w:p>
    <w:p w14:paraId="69AEDCE5" w14:textId="745D2A6F" w:rsidR="00EB0DAE" w:rsidRPr="0037157A" w:rsidRDefault="00EB0DAE" w:rsidP="00EB0DAE">
      <w:pPr>
        <w:pStyle w:val="SingleTxt"/>
        <w:spacing w:after="0" w:line="120" w:lineRule="exact"/>
        <w:rPr>
          <w:sz w:val="10"/>
          <w:lang w:val="fr-FR"/>
        </w:rPr>
      </w:pPr>
    </w:p>
    <w:p w14:paraId="7C296320" w14:textId="21D1D6D1" w:rsidR="00EB0DAE" w:rsidRPr="0037157A" w:rsidRDefault="00EB0DAE" w:rsidP="009D535F">
      <w:pPr>
        <w:pStyle w:val="SingleTxt"/>
        <w:numPr>
          <w:ilvl w:val="0"/>
          <w:numId w:val="12"/>
        </w:numPr>
        <w:spacing w:line="240" w:lineRule="exact"/>
        <w:rPr>
          <w:lang w:val="fr-FR"/>
        </w:rPr>
      </w:pPr>
      <w:r w:rsidRPr="0037157A">
        <w:rPr>
          <w:lang w:val="fr-FR"/>
        </w:rPr>
        <w:t>Ce programme, d</w:t>
      </w:r>
      <w:r w:rsidR="004471C3" w:rsidRPr="0037157A">
        <w:rPr>
          <w:lang w:val="fr-FR"/>
        </w:rPr>
        <w:t>’</w:t>
      </w:r>
      <w:r w:rsidRPr="0037157A">
        <w:rPr>
          <w:lang w:val="fr-FR"/>
        </w:rPr>
        <w:t xml:space="preserve">une durée de </w:t>
      </w:r>
      <w:r w:rsidR="006615F3">
        <w:rPr>
          <w:lang w:val="fr-FR"/>
        </w:rPr>
        <w:t>six</w:t>
      </w:r>
      <w:r w:rsidRPr="0037157A">
        <w:rPr>
          <w:lang w:val="fr-FR"/>
        </w:rPr>
        <w:t xml:space="preserve"> à 12</w:t>
      </w:r>
      <w:r w:rsidR="00CB2E84" w:rsidRPr="0037157A">
        <w:rPr>
          <w:lang w:val="fr-FR"/>
        </w:rPr>
        <w:t xml:space="preserve"> </w:t>
      </w:r>
      <w:r w:rsidRPr="0037157A">
        <w:rPr>
          <w:lang w:val="fr-FR"/>
        </w:rPr>
        <w:t>mois, met en relation avec un mentor les entrepreneurs qui souhaitent obtenir des conseils sur certains aspects de leur entreprise. Les mentors sont des entrepreneurs bénévoles possédant une grande expérience et d</w:t>
      </w:r>
      <w:r w:rsidR="004471C3" w:rsidRPr="0037157A">
        <w:rPr>
          <w:lang w:val="fr-FR"/>
        </w:rPr>
        <w:t>’</w:t>
      </w:r>
      <w:r w:rsidRPr="0037157A">
        <w:rPr>
          <w:lang w:val="fr-FR"/>
        </w:rPr>
        <w:t>excellentes connaissances</w:t>
      </w:r>
      <w:r w:rsidR="006615F3">
        <w:rPr>
          <w:lang w:val="fr-FR"/>
        </w:rPr>
        <w:t> </w:t>
      </w:r>
      <w:r w:rsidR="004471C3" w:rsidRPr="0037157A">
        <w:rPr>
          <w:lang w:val="fr-FR"/>
        </w:rPr>
        <w:t>;</w:t>
      </w:r>
      <w:r w:rsidRPr="0037157A">
        <w:rPr>
          <w:lang w:val="fr-FR"/>
        </w:rPr>
        <w:t xml:space="preserve"> ils sont chargés de conseiller les entrepreneurs mentorés lors de réunions mensuelles. Près de 200</w:t>
      </w:r>
      <w:r w:rsidR="00CB2E84" w:rsidRPr="0037157A">
        <w:rPr>
          <w:lang w:val="fr-FR"/>
        </w:rPr>
        <w:t xml:space="preserve"> </w:t>
      </w:r>
      <w:r w:rsidRPr="0037157A">
        <w:rPr>
          <w:lang w:val="fr-FR"/>
        </w:rPr>
        <w:t>entrepreneurs mentorés ont participé au programme après avoir été sélectionnés au cours d</w:t>
      </w:r>
      <w:r w:rsidR="004471C3" w:rsidRPr="0037157A">
        <w:rPr>
          <w:lang w:val="fr-FR"/>
        </w:rPr>
        <w:t>’</w:t>
      </w:r>
      <w:r w:rsidRPr="0037157A">
        <w:rPr>
          <w:lang w:val="fr-FR"/>
        </w:rPr>
        <w:t>entretiens.</w:t>
      </w:r>
    </w:p>
    <w:p w14:paraId="5ACCC9DF" w14:textId="2E60C643" w:rsidR="00EB0DAE" w:rsidRPr="0037157A" w:rsidRDefault="00EB0DAE" w:rsidP="009D535F">
      <w:pPr>
        <w:pStyle w:val="SingleTxt"/>
        <w:numPr>
          <w:ilvl w:val="0"/>
          <w:numId w:val="12"/>
        </w:numPr>
        <w:spacing w:line="240" w:lineRule="exact"/>
        <w:rPr>
          <w:lang w:val="fr-FR"/>
        </w:rPr>
      </w:pPr>
      <w:r w:rsidRPr="0037157A">
        <w:rPr>
          <w:lang w:val="fr-FR"/>
        </w:rPr>
        <w:t>Un sous-groupe consacré aux entreprises féminines a été instauré dans le cadre du programme, et 92 des 201</w:t>
      </w:r>
      <w:r w:rsidR="00CB2E84" w:rsidRPr="0037157A">
        <w:rPr>
          <w:lang w:val="fr-FR"/>
        </w:rPr>
        <w:t xml:space="preserve"> </w:t>
      </w:r>
      <w:r w:rsidRPr="0037157A">
        <w:rPr>
          <w:lang w:val="fr-FR"/>
        </w:rPr>
        <w:t>entreprises mentorées sont dirigées et détenues par des femmes. En outre, près de la moitié des mentors sont des femmes chefs d</w:t>
      </w:r>
      <w:r w:rsidR="004471C3" w:rsidRPr="0037157A">
        <w:rPr>
          <w:lang w:val="fr-FR"/>
        </w:rPr>
        <w:t>’</w:t>
      </w:r>
      <w:r w:rsidRPr="0037157A">
        <w:rPr>
          <w:lang w:val="fr-FR"/>
        </w:rPr>
        <w:t>entreprise bien établies qui sont familiarisées avec les questions relatives aux différences entre les sexes dans le monde des affaires et les autres particularités de l</w:t>
      </w:r>
      <w:r w:rsidR="004471C3" w:rsidRPr="0037157A">
        <w:rPr>
          <w:lang w:val="fr-FR"/>
        </w:rPr>
        <w:t>’</w:t>
      </w:r>
      <w:r w:rsidRPr="0037157A">
        <w:rPr>
          <w:lang w:val="fr-FR"/>
        </w:rPr>
        <w:t>entrepreneuriat féminin, et peuvent fournir des conseils à ce sujet.</w:t>
      </w:r>
      <w:bookmarkStart w:id="11" w:name="_heading=h.cc0y9658vhnh"/>
      <w:bookmarkEnd w:id="11"/>
    </w:p>
    <w:p w14:paraId="07CCF326" w14:textId="5C98A2B0" w:rsidR="00EB0DAE" w:rsidRPr="0037157A" w:rsidRDefault="00EB0DAE" w:rsidP="00EB0DAE">
      <w:pPr>
        <w:pStyle w:val="SingleTxt"/>
        <w:spacing w:after="0" w:line="120" w:lineRule="exact"/>
        <w:rPr>
          <w:sz w:val="10"/>
          <w:lang w:val="fr-FR"/>
        </w:rPr>
      </w:pPr>
    </w:p>
    <w:p w14:paraId="7D69449A" w14:textId="0AA68CCB" w:rsidR="00EB0DAE" w:rsidRPr="0037157A" w:rsidRDefault="00EB0DAE" w:rsidP="00EB0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Forum en ligne de réflexion sur l</w:t>
      </w:r>
      <w:r w:rsidR="004471C3" w:rsidRPr="0037157A">
        <w:rPr>
          <w:lang w:val="fr-FR"/>
        </w:rPr>
        <w:t>’</w:t>
      </w:r>
      <w:r w:rsidRPr="0037157A">
        <w:rPr>
          <w:lang w:val="fr-FR"/>
        </w:rPr>
        <w:t>entrepreneuriat</w:t>
      </w:r>
      <w:bookmarkStart w:id="12" w:name="_heading=h.pgw0fado1777"/>
      <w:bookmarkEnd w:id="12"/>
    </w:p>
    <w:p w14:paraId="19BE4782" w14:textId="6BDDCB94" w:rsidR="00EB0DAE" w:rsidRPr="0037157A" w:rsidRDefault="00EB0DAE" w:rsidP="00EB0DAE">
      <w:pPr>
        <w:pStyle w:val="SingleTxt"/>
        <w:spacing w:after="0" w:line="120" w:lineRule="exact"/>
        <w:rPr>
          <w:sz w:val="10"/>
          <w:lang w:val="fr-FR"/>
        </w:rPr>
      </w:pPr>
    </w:p>
    <w:p w14:paraId="4A79CAEB" w14:textId="1F535888" w:rsidR="00EB0DAE" w:rsidRPr="0037157A" w:rsidRDefault="00EB0DAE" w:rsidP="009D535F">
      <w:pPr>
        <w:pStyle w:val="SingleTxt"/>
        <w:numPr>
          <w:ilvl w:val="0"/>
          <w:numId w:val="12"/>
        </w:numPr>
        <w:spacing w:line="240" w:lineRule="exact"/>
        <w:rPr>
          <w:lang w:val="fr-FR"/>
        </w:rPr>
      </w:pPr>
      <w:r w:rsidRPr="0037157A">
        <w:rPr>
          <w:lang w:val="fr-FR"/>
        </w:rPr>
        <w:t>Le Forum en ligne de réflexion sur l</w:t>
      </w:r>
      <w:r w:rsidR="004471C3" w:rsidRPr="0037157A">
        <w:rPr>
          <w:lang w:val="fr-FR"/>
        </w:rPr>
        <w:t>’</w:t>
      </w:r>
      <w:r w:rsidRPr="0037157A">
        <w:rPr>
          <w:lang w:val="fr-FR"/>
        </w:rPr>
        <w:t>entrepreneuriat a été créé en 2020 pour permettre aux experts et aux entrepreneurs de se réunir et de partager leurs expériences et leurs connaissances. Jusqu</w:t>
      </w:r>
      <w:r w:rsidR="004471C3" w:rsidRPr="0037157A">
        <w:rPr>
          <w:lang w:val="fr-FR"/>
        </w:rPr>
        <w:t>’</w:t>
      </w:r>
      <w:r w:rsidRPr="0037157A">
        <w:rPr>
          <w:lang w:val="fr-FR"/>
        </w:rPr>
        <w:t>à présent, la fondation SEED a organisé 30</w:t>
      </w:r>
      <w:r w:rsidR="00CB2E84" w:rsidRPr="0037157A">
        <w:rPr>
          <w:lang w:val="fr-FR"/>
        </w:rPr>
        <w:t> </w:t>
      </w:r>
      <w:r w:rsidRPr="0037157A">
        <w:rPr>
          <w:lang w:val="fr-FR"/>
        </w:rPr>
        <w:t>de ces forums, dont un consacré au développement des entreprises féminines pendant la crise économique. Lors de ce forum, des données de recherche nationales et internationales ont été présentées, et des cas concrets ont été exposés.</w:t>
      </w:r>
    </w:p>
    <w:p w14:paraId="4FE9A56C" w14:textId="77777777" w:rsidR="00EB0DAE" w:rsidRPr="0037157A" w:rsidRDefault="00EB0DAE" w:rsidP="00EB0DAE">
      <w:pPr>
        <w:pStyle w:val="SingleTxt"/>
        <w:spacing w:after="0" w:line="120" w:lineRule="exact"/>
        <w:rPr>
          <w:sz w:val="10"/>
          <w:lang w:val="fr-FR"/>
        </w:rPr>
      </w:pPr>
    </w:p>
    <w:p w14:paraId="3D6A86B1" w14:textId="783CE965" w:rsidR="00EB0DAE" w:rsidRPr="0037157A" w:rsidRDefault="00EB0DAE" w:rsidP="00CB2E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Entreprises féminines prospères</w:t>
      </w:r>
    </w:p>
    <w:p w14:paraId="53D2B503" w14:textId="55770E87" w:rsidR="00EB0DAE" w:rsidRPr="0037157A" w:rsidRDefault="00EB0DAE" w:rsidP="00CB2E84">
      <w:pPr>
        <w:pStyle w:val="SingleTxt"/>
        <w:keepNext/>
        <w:keepLines/>
        <w:spacing w:after="0" w:line="120" w:lineRule="exact"/>
        <w:rPr>
          <w:sz w:val="10"/>
          <w:lang w:val="fr-FR"/>
        </w:rPr>
      </w:pPr>
    </w:p>
    <w:p w14:paraId="3ABE0EAA" w14:textId="035FBC2A" w:rsidR="00EB0DAE" w:rsidRPr="0037157A" w:rsidRDefault="00EB0DAE" w:rsidP="00CB2E84">
      <w:pPr>
        <w:pStyle w:val="SingleTxt"/>
        <w:keepNext/>
        <w:keepLines/>
        <w:numPr>
          <w:ilvl w:val="0"/>
          <w:numId w:val="12"/>
        </w:numPr>
        <w:spacing w:line="240" w:lineRule="exact"/>
        <w:rPr>
          <w:lang w:val="fr-FR"/>
        </w:rPr>
      </w:pPr>
      <w:r w:rsidRPr="0037157A">
        <w:rPr>
          <w:lang w:val="fr-FR"/>
        </w:rPr>
        <w:t>Depuis 2019, SEED lance chaque année un appel à candidatures pour trouver des modèles de femmes entrepreneuses et chefs d</w:t>
      </w:r>
      <w:r w:rsidR="004471C3" w:rsidRPr="0037157A">
        <w:rPr>
          <w:lang w:val="fr-FR"/>
        </w:rPr>
        <w:t>’</w:t>
      </w:r>
      <w:r w:rsidRPr="0037157A">
        <w:rPr>
          <w:lang w:val="fr-FR"/>
        </w:rPr>
        <w:t>entreprise</w:t>
      </w:r>
      <w:r w:rsidRPr="0037157A">
        <w:rPr>
          <w:vertAlign w:val="superscript"/>
          <w:lang w:val="fr-FR"/>
        </w:rPr>
        <w:footnoteReference w:id="15"/>
      </w:r>
      <w:r w:rsidRPr="0037157A">
        <w:rPr>
          <w:lang w:val="fr-FR"/>
        </w:rPr>
        <w:t>. La récompense accordée par la fondation est bénéfique tant du point de vue des relations publiques que de la création de réseaux.</w:t>
      </w:r>
    </w:p>
    <w:p w14:paraId="7D10C5B8" w14:textId="10C4A3A0" w:rsidR="00EB0DAE" w:rsidRPr="0037157A" w:rsidRDefault="00EB0DAE" w:rsidP="00622C56">
      <w:pPr>
        <w:pStyle w:val="SingleTxt"/>
        <w:spacing w:after="0" w:line="120" w:lineRule="exact"/>
        <w:rPr>
          <w:sz w:val="10"/>
          <w:lang w:val="fr-FR"/>
        </w:rPr>
      </w:pPr>
    </w:p>
    <w:p w14:paraId="62C5F17D" w14:textId="77777777" w:rsidR="00622C56" w:rsidRPr="0037157A" w:rsidRDefault="00622C56" w:rsidP="00EB0DAE">
      <w:pPr>
        <w:pStyle w:val="SingleTxt"/>
        <w:spacing w:after="0" w:line="120" w:lineRule="exact"/>
        <w:rPr>
          <w:sz w:val="10"/>
          <w:lang w:val="fr-FR"/>
        </w:rPr>
      </w:pPr>
    </w:p>
    <w:p w14:paraId="28456BD9" w14:textId="6A837E09" w:rsidR="00EB0DAE" w:rsidRPr="0037157A" w:rsidRDefault="00EB0DAE"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Groupes de femmes défavorisés</w:t>
      </w:r>
    </w:p>
    <w:p w14:paraId="4A28A25C" w14:textId="5ECE235F" w:rsidR="00EB0DAE" w:rsidRPr="0037157A" w:rsidRDefault="00EB0DAE" w:rsidP="00622C56">
      <w:pPr>
        <w:pStyle w:val="SingleTxt"/>
        <w:spacing w:after="0" w:line="120" w:lineRule="exact"/>
        <w:rPr>
          <w:sz w:val="10"/>
          <w:lang w:val="fr-FR"/>
        </w:rPr>
      </w:pPr>
    </w:p>
    <w:p w14:paraId="252FE0FC" w14:textId="77777777" w:rsidR="00622C56" w:rsidRPr="0037157A" w:rsidRDefault="00622C56" w:rsidP="00EB0DAE">
      <w:pPr>
        <w:pStyle w:val="SingleTxt"/>
        <w:spacing w:after="0" w:line="120" w:lineRule="exact"/>
        <w:rPr>
          <w:sz w:val="10"/>
          <w:lang w:val="fr-FR"/>
        </w:rPr>
      </w:pPr>
    </w:p>
    <w:p w14:paraId="0A472061" w14:textId="58E834EB" w:rsidR="00EB0DAE" w:rsidRPr="0037157A" w:rsidRDefault="00EB0DAE" w:rsidP="009D535F">
      <w:pPr>
        <w:pStyle w:val="SingleTxt"/>
        <w:numPr>
          <w:ilvl w:val="0"/>
          <w:numId w:val="12"/>
        </w:numPr>
        <w:spacing w:line="240" w:lineRule="exact"/>
        <w:rPr>
          <w:lang w:val="fr-FR"/>
        </w:rPr>
      </w:pPr>
      <w:r w:rsidRPr="0037157A">
        <w:rPr>
          <w:lang w:val="fr-FR"/>
        </w:rPr>
        <w:t>La police ne dispose pas d</w:t>
      </w:r>
      <w:r w:rsidR="004471C3" w:rsidRPr="0037157A">
        <w:rPr>
          <w:lang w:val="fr-FR"/>
        </w:rPr>
        <w:t>’</w:t>
      </w:r>
      <w:r w:rsidRPr="0037157A">
        <w:rPr>
          <w:lang w:val="fr-FR"/>
        </w:rPr>
        <w:t>un registre des origines raciales, en particulier des groupes de femmes défavorisés, des femmes âgées, des femmes handicapées, des femmes rurales et des femmes appartenant à des minorités, dont les femmes roms.</w:t>
      </w:r>
    </w:p>
    <w:p w14:paraId="2FCC57DA" w14:textId="284DE35E" w:rsidR="004471C3" w:rsidRPr="0037157A" w:rsidRDefault="00EB0DAE" w:rsidP="009D535F">
      <w:pPr>
        <w:pStyle w:val="SingleTxt"/>
        <w:numPr>
          <w:ilvl w:val="0"/>
          <w:numId w:val="12"/>
        </w:numPr>
        <w:spacing w:line="240" w:lineRule="exact"/>
        <w:rPr>
          <w:lang w:val="fr-FR"/>
        </w:rPr>
      </w:pPr>
      <w:r w:rsidRPr="0037157A">
        <w:rPr>
          <w:lang w:val="fr-FR"/>
        </w:rPr>
        <w:t>Selon la loi</w:t>
      </w:r>
      <w:r w:rsidR="00CB2E84" w:rsidRPr="0037157A">
        <w:rPr>
          <w:lang w:val="fr-FR"/>
        </w:rPr>
        <w:t xml:space="preserve"> </w:t>
      </w:r>
      <w:r w:rsidRPr="0037157A">
        <w:rPr>
          <w:lang w:val="fr-FR"/>
        </w:rPr>
        <w:t>XXXIV de 1994 sur la police, les agents de police doivent agir sans parti pris. Le quartier général de la police nationale et la collectivité autonome nationale rom ont conclu un accord de coopération, dont l</w:t>
      </w:r>
      <w:r w:rsidR="004471C3" w:rsidRPr="0037157A">
        <w:rPr>
          <w:lang w:val="fr-FR"/>
        </w:rPr>
        <w:t>’</w:t>
      </w:r>
      <w:r w:rsidRPr="0037157A">
        <w:rPr>
          <w:lang w:val="fr-FR"/>
        </w:rPr>
        <w:t>objectif est d</w:t>
      </w:r>
      <w:r w:rsidR="004471C3" w:rsidRPr="0037157A">
        <w:rPr>
          <w:lang w:val="fr-FR"/>
        </w:rPr>
        <w:t>’</w:t>
      </w:r>
      <w:r w:rsidRPr="0037157A">
        <w:rPr>
          <w:lang w:val="fr-FR"/>
        </w:rPr>
        <w:t>établir une relation sans conflits ni préjugés entre la police et la minorité rom. En vue de garantir le respect de l</w:t>
      </w:r>
      <w:r w:rsidR="004471C3" w:rsidRPr="0037157A">
        <w:rPr>
          <w:lang w:val="fr-FR"/>
        </w:rPr>
        <w:t>’</w:t>
      </w:r>
      <w:r w:rsidRPr="0037157A">
        <w:rPr>
          <w:lang w:val="fr-FR"/>
        </w:rPr>
        <w:t>accord de coopération, une évaluation est menée chaque année et les tâches à réaliser sont intégrées dans un plan d</w:t>
      </w:r>
      <w:r w:rsidR="004471C3" w:rsidRPr="0037157A">
        <w:rPr>
          <w:lang w:val="fr-FR"/>
        </w:rPr>
        <w:t>’</w:t>
      </w:r>
      <w:r w:rsidRPr="0037157A">
        <w:rPr>
          <w:lang w:val="fr-FR"/>
        </w:rPr>
        <w:t>action annuel</w:t>
      </w:r>
      <w:r w:rsidRPr="0037157A">
        <w:rPr>
          <w:vertAlign w:val="superscript"/>
          <w:lang w:val="fr-FR"/>
        </w:rPr>
        <w:footnoteReference w:id="16"/>
      </w:r>
      <w:r w:rsidRPr="0037157A">
        <w:rPr>
          <w:lang w:val="fr-FR"/>
        </w:rPr>
        <w:t>.</w:t>
      </w:r>
    </w:p>
    <w:p w14:paraId="721439AB" w14:textId="763C6931" w:rsidR="00EB0DAE" w:rsidRPr="0037157A" w:rsidRDefault="00EB0DAE" w:rsidP="009D535F">
      <w:pPr>
        <w:pStyle w:val="SingleTxt"/>
        <w:numPr>
          <w:ilvl w:val="0"/>
          <w:numId w:val="12"/>
        </w:numPr>
        <w:spacing w:line="240" w:lineRule="exact"/>
        <w:rPr>
          <w:lang w:val="fr-FR"/>
        </w:rPr>
      </w:pPr>
      <w:r w:rsidRPr="0037157A">
        <w:rPr>
          <w:lang w:val="fr-FR"/>
        </w:rPr>
        <w:t>La loi</w:t>
      </w:r>
      <w:r w:rsidR="00CB2E84" w:rsidRPr="0037157A">
        <w:rPr>
          <w:lang w:val="fr-FR"/>
        </w:rPr>
        <w:t xml:space="preserve"> </w:t>
      </w:r>
      <w:r w:rsidRPr="0037157A">
        <w:rPr>
          <w:lang w:val="fr-FR"/>
        </w:rPr>
        <w:t>II de 2007 sur l</w:t>
      </w:r>
      <w:r w:rsidR="004471C3" w:rsidRPr="0037157A">
        <w:rPr>
          <w:lang w:val="fr-FR"/>
        </w:rPr>
        <w:t>’</w:t>
      </w:r>
      <w:r w:rsidRPr="0037157A">
        <w:rPr>
          <w:lang w:val="fr-FR"/>
        </w:rPr>
        <w:t>entrée et le séjour de ressortissants de pays tiers (la loi sur l</w:t>
      </w:r>
      <w:r w:rsidR="004471C3" w:rsidRPr="0037157A">
        <w:rPr>
          <w:lang w:val="fr-FR"/>
        </w:rPr>
        <w:t>’</w:t>
      </w:r>
      <w:r w:rsidRPr="0037157A">
        <w:rPr>
          <w:lang w:val="fr-FR"/>
        </w:rPr>
        <w:t>entrée et le séjour) introduit la notion de « personnes pouvant bénéficier d</w:t>
      </w:r>
      <w:r w:rsidR="004471C3" w:rsidRPr="0037157A">
        <w:rPr>
          <w:lang w:val="fr-FR"/>
        </w:rPr>
        <w:t>’</w:t>
      </w:r>
      <w:r w:rsidRPr="0037157A">
        <w:rPr>
          <w:lang w:val="fr-FR"/>
        </w:rPr>
        <w:t>un traitement préférentiel », laquelle englobe les mineurs non accompagnés, les mineurs, les personnes âgées, les personnes handicapées, les femmes enceintes, les parents isolés avec enfants mineurs et les victimes d</w:t>
      </w:r>
      <w:r w:rsidR="004471C3" w:rsidRPr="0037157A">
        <w:rPr>
          <w:lang w:val="fr-FR"/>
        </w:rPr>
        <w:t>’</w:t>
      </w:r>
      <w:r w:rsidRPr="0037157A">
        <w:rPr>
          <w:lang w:val="fr-FR"/>
        </w:rPr>
        <w:t>actes de torture, de viol ou d</w:t>
      </w:r>
      <w:r w:rsidR="004471C3" w:rsidRPr="0037157A">
        <w:rPr>
          <w:lang w:val="fr-FR"/>
        </w:rPr>
        <w:t>’</w:t>
      </w:r>
      <w:r w:rsidRPr="0037157A">
        <w:rPr>
          <w:lang w:val="fr-FR"/>
        </w:rPr>
        <w:t>autres formes graves de violence psychologique, physique ou sexuelle. Ces personnes doivent faire l</w:t>
      </w:r>
      <w:r w:rsidR="004471C3" w:rsidRPr="0037157A">
        <w:rPr>
          <w:lang w:val="fr-FR"/>
        </w:rPr>
        <w:t>’</w:t>
      </w:r>
      <w:r w:rsidRPr="0037157A">
        <w:rPr>
          <w:lang w:val="fr-FR"/>
        </w:rPr>
        <w:t>objet d</w:t>
      </w:r>
      <w:r w:rsidR="004471C3" w:rsidRPr="0037157A">
        <w:rPr>
          <w:lang w:val="fr-FR"/>
        </w:rPr>
        <w:t>’</w:t>
      </w:r>
      <w:r w:rsidRPr="0037157A">
        <w:rPr>
          <w:lang w:val="fr-FR"/>
        </w:rPr>
        <w:t>une attention particulière au cours de la procédure administrative.</w:t>
      </w:r>
    </w:p>
    <w:p w14:paraId="0CF550AE" w14:textId="3CE3544A" w:rsidR="00EB0DAE" w:rsidRPr="0037157A" w:rsidRDefault="00EB0DAE" w:rsidP="009D535F">
      <w:pPr>
        <w:pStyle w:val="SingleTxt"/>
        <w:numPr>
          <w:ilvl w:val="0"/>
          <w:numId w:val="12"/>
        </w:numPr>
        <w:spacing w:line="240" w:lineRule="exact"/>
        <w:rPr>
          <w:lang w:val="fr-FR"/>
        </w:rPr>
      </w:pPr>
      <w:r w:rsidRPr="0037157A">
        <w:rPr>
          <w:lang w:val="fr-FR"/>
        </w:rPr>
        <w:t>Dans le cadre de la procédure d</w:t>
      </w:r>
      <w:r w:rsidR="004471C3" w:rsidRPr="0037157A">
        <w:rPr>
          <w:lang w:val="fr-FR"/>
        </w:rPr>
        <w:t>’</w:t>
      </w:r>
      <w:r w:rsidRPr="0037157A">
        <w:rPr>
          <w:lang w:val="fr-FR"/>
        </w:rPr>
        <w:t>asile, les femmes peuvent choisir le sexe de leur interprète ou de l</w:t>
      </w:r>
      <w:r w:rsidR="004471C3" w:rsidRPr="0037157A">
        <w:rPr>
          <w:lang w:val="fr-FR"/>
        </w:rPr>
        <w:t>’</w:t>
      </w:r>
      <w:r w:rsidRPr="0037157A">
        <w:rPr>
          <w:lang w:val="fr-FR"/>
        </w:rPr>
        <w:t>agent chargé de procéder à leur entretien personnel</w:t>
      </w:r>
      <w:r w:rsidRPr="0037157A">
        <w:rPr>
          <w:vertAlign w:val="superscript"/>
          <w:lang w:val="fr-FR"/>
        </w:rPr>
        <w:footnoteReference w:id="17"/>
      </w:r>
      <w:r w:rsidRPr="0037157A">
        <w:rPr>
          <w:lang w:val="fr-FR"/>
        </w:rPr>
        <w:t>. Si un sujet tel que le harcèlement sexuel ou la violence domestique est abordé au cours de l</w:t>
      </w:r>
      <w:r w:rsidR="004471C3" w:rsidRPr="0037157A">
        <w:rPr>
          <w:lang w:val="fr-FR"/>
        </w:rPr>
        <w:t>’</w:t>
      </w:r>
      <w:r w:rsidRPr="0037157A">
        <w:rPr>
          <w:lang w:val="fr-FR"/>
        </w:rPr>
        <w:t>entretien, l</w:t>
      </w:r>
      <w:r w:rsidR="004471C3" w:rsidRPr="0037157A">
        <w:rPr>
          <w:lang w:val="fr-FR"/>
        </w:rPr>
        <w:t>’</w:t>
      </w:r>
      <w:r w:rsidRPr="0037157A">
        <w:rPr>
          <w:lang w:val="fr-FR"/>
        </w:rPr>
        <w:t>autorité se doit d</w:t>
      </w:r>
      <w:r w:rsidR="004471C3" w:rsidRPr="0037157A">
        <w:rPr>
          <w:lang w:val="fr-FR"/>
        </w:rPr>
        <w:t>’</w:t>
      </w:r>
      <w:r w:rsidRPr="0037157A">
        <w:rPr>
          <w:lang w:val="fr-FR"/>
        </w:rPr>
        <w:t>y prêter une attention particulière.</w:t>
      </w:r>
    </w:p>
    <w:p w14:paraId="3A24EAEB" w14:textId="204E87A9" w:rsidR="00EB0DAE" w:rsidRPr="0037157A" w:rsidRDefault="00EB0DAE" w:rsidP="009D535F">
      <w:pPr>
        <w:pStyle w:val="SingleTxt"/>
        <w:numPr>
          <w:ilvl w:val="0"/>
          <w:numId w:val="12"/>
        </w:numPr>
        <w:spacing w:line="240" w:lineRule="exact"/>
        <w:rPr>
          <w:lang w:val="fr-FR"/>
        </w:rPr>
      </w:pPr>
      <w:r w:rsidRPr="0037157A">
        <w:rPr>
          <w:lang w:val="fr-FR"/>
        </w:rPr>
        <w:t>Lors de leur accueil, les femmes sont logées séparément des hommes, à l</w:t>
      </w:r>
      <w:r w:rsidR="004471C3" w:rsidRPr="0037157A">
        <w:rPr>
          <w:lang w:val="fr-FR"/>
        </w:rPr>
        <w:t>’</w:t>
      </w:r>
      <w:r w:rsidRPr="0037157A">
        <w:rPr>
          <w:lang w:val="fr-FR"/>
        </w:rPr>
        <w:t>exception des couples mariés et des familles avec mineurs. Les besoins des personnes pouvant bénéficier d</w:t>
      </w:r>
      <w:r w:rsidR="004471C3" w:rsidRPr="0037157A">
        <w:rPr>
          <w:lang w:val="fr-FR"/>
        </w:rPr>
        <w:t>’</w:t>
      </w:r>
      <w:r w:rsidRPr="0037157A">
        <w:rPr>
          <w:lang w:val="fr-FR"/>
        </w:rPr>
        <w:t>un traitement préférentiel et l</w:t>
      </w:r>
      <w:r w:rsidR="004471C3" w:rsidRPr="0037157A">
        <w:rPr>
          <w:lang w:val="fr-FR"/>
        </w:rPr>
        <w:t>’</w:t>
      </w:r>
      <w:r w:rsidRPr="0037157A">
        <w:rPr>
          <w:lang w:val="fr-FR"/>
        </w:rPr>
        <w:t>identité de genre du demandeur d</w:t>
      </w:r>
      <w:r w:rsidR="004471C3" w:rsidRPr="0037157A">
        <w:rPr>
          <w:lang w:val="fr-FR"/>
        </w:rPr>
        <w:t>’</w:t>
      </w:r>
      <w:r w:rsidRPr="0037157A">
        <w:rPr>
          <w:lang w:val="fr-FR"/>
        </w:rPr>
        <w:t>asile sont également pris en compte.</w:t>
      </w:r>
    </w:p>
    <w:p w14:paraId="35550CB1" w14:textId="30A7E1FB" w:rsidR="00EB0DAE" w:rsidRPr="0037157A" w:rsidRDefault="00EB0DAE" w:rsidP="009D535F">
      <w:pPr>
        <w:pStyle w:val="SingleTxt"/>
        <w:numPr>
          <w:ilvl w:val="0"/>
          <w:numId w:val="12"/>
        </w:numPr>
        <w:spacing w:line="240" w:lineRule="exact"/>
        <w:rPr>
          <w:lang w:val="fr-FR"/>
        </w:rPr>
      </w:pPr>
      <w:r w:rsidRPr="0037157A">
        <w:rPr>
          <w:lang w:val="fr-FR"/>
        </w:rPr>
        <w:t>Les personnes ayant des besoins particuliers peuvent avoir droit gratuitement à des services supplémentaires de soins de santé, d</w:t>
      </w:r>
      <w:r w:rsidR="004471C3" w:rsidRPr="0037157A">
        <w:rPr>
          <w:lang w:val="fr-FR"/>
        </w:rPr>
        <w:t>’</w:t>
      </w:r>
      <w:r w:rsidRPr="0037157A">
        <w:rPr>
          <w:lang w:val="fr-FR"/>
        </w:rPr>
        <w:t>aide à la réadaptation, de soutien psychologique clinique ou de psychothérapie.</w:t>
      </w:r>
    </w:p>
    <w:p w14:paraId="1AD4BB8B" w14:textId="7E0ADB12" w:rsidR="00EB0DAE" w:rsidRPr="0037157A" w:rsidRDefault="00EB0DAE" w:rsidP="009D535F">
      <w:pPr>
        <w:pStyle w:val="SingleTxt"/>
        <w:numPr>
          <w:ilvl w:val="0"/>
          <w:numId w:val="12"/>
        </w:numPr>
        <w:spacing w:line="240" w:lineRule="exact"/>
        <w:rPr>
          <w:lang w:val="fr-FR"/>
        </w:rPr>
      </w:pPr>
      <w:r w:rsidRPr="0037157A">
        <w:rPr>
          <w:lang w:val="fr-FR"/>
        </w:rPr>
        <w:t>Dans les structures d</w:t>
      </w:r>
      <w:r w:rsidR="004471C3" w:rsidRPr="0037157A">
        <w:rPr>
          <w:lang w:val="fr-FR"/>
        </w:rPr>
        <w:t>’</w:t>
      </w:r>
      <w:r w:rsidRPr="0037157A">
        <w:rPr>
          <w:lang w:val="fr-FR"/>
        </w:rPr>
        <w:t>accueil, les travailleurs sociaux incluent des activités de pré-intégration dans les programmes de loisirs (tels que des cours de hongrois) et organisent des programmes séparés pour les femmes (par exemple des travaux manuels).</w:t>
      </w:r>
    </w:p>
    <w:p w14:paraId="05B970B5" w14:textId="77777777" w:rsidR="004471C3" w:rsidRPr="0037157A" w:rsidRDefault="00EB0DAE" w:rsidP="009D535F">
      <w:pPr>
        <w:pStyle w:val="SingleTxt"/>
        <w:numPr>
          <w:ilvl w:val="0"/>
          <w:numId w:val="12"/>
        </w:numPr>
        <w:spacing w:line="240" w:lineRule="exact"/>
        <w:rPr>
          <w:lang w:val="fr-FR"/>
        </w:rPr>
      </w:pPr>
      <w:r w:rsidRPr="0037157A">
        <w:rPr>
          <w:lang w:val="fr-FR"/>
        </w:rPr>
        <w:t>Conformément à la loi sur l</w:t>
      </w:r>
      <w:r w:rsidR="004471C3" w:rsidRPr="0037157A">
        <w:rPr>
          <w:lang w:val="fr-FR"/>
        </w:rPr>
        <w:t>’</w:t>
      </w:r>
      <w:r w:rsidRPr="0037157A">
        <w:rPr>
          <w:lang w:val="fr-FR"/>
        </w:rPr>
        <w:t>entrée et le séjour, un permis de séjour peut être délivré pour des raisons de regroupement familial, notamment mais non exclusivement, à un ressortissant d</w:t>
      </w:r>
      <w:r w:rsidR="004471C3" w:rsidRPr="0037157A">
        <w:rPr>
          <w:lang w:val="fr-FR"/>
        </w:rPr>
        <w:t>’</w:t>
      </w:r>
      <w:r w:rsidRPr="0037157A">
        <w:rPr>
          <w:lang w:val="fr-FR"/>
        </w:rPr>
        <w:t>un pays tiers qui est le conjoint, l</w:t>
      </w:r>
      <w:r w:rsidR="004471C3" w:rsidRPr="0037157A">
        <w:rPr>
          <w:lang w:val="fr-FR"/>
        </w:rPr>
        <w:t>’</w:t>
      </w:r>
      <w:r w:rsidRPr="0037157A">
        <w:rPr>
          <w:lang w:val="fr-FR"/>
        </w:rPr>
        <w:t>enfant mineur (y compris adopté ou placé dans une famille d</w:t>
      </w:r>
      <w:r w:rsidR="004471C3" w:rsidRPr="0037157A">
        <w:rPr>
          <w:lang w:val="fr-FR"/>
        </w:rPr>
        <w:t>’</w:t>
      </w:r>
      <w:r w:rsidRPr="0037157A">
        <w:rPr>
          <w:lang w:val="fr-FR"/>
        </w:rPr>
        <w:t>accueil) ou, dans des conditions particulières, le parent, le frère ou la sœur</w:t>
      </w:r>
      <w:r w:rsidR="004471C3" w:rsidRPr="0037157A">
        <w:rPr>
          <w:lang w:val="fr-FR"/>
        </w:rPr>
        <w:t> :</w:t>
      </w:r>
    </w:p>
    <w:p w14:paraId="166B8A04" w14:textId="4D530A28"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d</w:t>
      </w:r>
      <w:r w:rsidR="004471C3" w:rsidRPr="0037157A">
        <w:rPr>
          <w:lang w:val="fr-FR"/>
        </w:rPr>
        <w:t>’</w:t>
      </w:r>
      <w:r w:rsidRPr="00EB0DAE">
        <w:rPr>
          <w:lang w:val="fr-FR"/>
        </w:rPr>
        <w:t>un citoyen hongrois</w:t>
      </w:r>
      <w:r w:rsidR="004471C3" w:rsidRPr="0037157A">
        <w:rPr>
          <w:lang w:val="fr-FR"/>
        </w:rPr>
        <w:t> ;</w:t>
      </w:r>
    </w:p>
    <w:p w14:paraId="369A86C2" w14:textId="6CCE5D7A"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d</w:t>
      </w:r>
      <w:r w:rsidR="004471C3" w:rsidRPr="0037157A">
        <w:rPr>
          <w:lang w:val="fr-FR"/>
        </w:rPr>
        <w:t>’</w:t>
      </w:r>
      <w:r w:rsidRPr="00EB0DAE">
        <w:rPr>
          <w:lang w:val="fr-FR"/>
        </w:rPr>
        <w:t>un ressortissant d</w:t>
      </w:r>
      <w:r w:rsidR="004471C3" w:rsidRPr="0037157A">
        <w:rPr>
          <w:lang w:val="fr-FR"/>
        </w:rPr>
        <w:t>’</w:t>
      </w:r>
      <w:r w:rsidRPr="00EB0DAE">
        <w:rPr>
          <w:lang w:val="fr-FR"/>
        </w:rPr>
        <w:t>un pays tiers titulaire d</w:t>
      </w:r>
      <w:r w:rsidR="004471C3" w:rsidRPr="0037157A">
        <w:rPr>
          <w:lang w:val="fr-FR"/>
        </w:rPr>
        <w:t>’</w:t>
      </w:r>
      <w:r w:rsidRPr="00EB0DAE">
        <w:rPr>
          <w:lang w:val="fr-FR"/>
        </w:rPr>
        <w:t>un visa de longue durée, d</w:t>
      </w:r>
      <w:r w:rsidR="004471C3" w:rsidRPr="0037157A">
        <w:rPr>
          <w:lang w:val="fr-FR"/>
        </w:rPr>
        <w:t>’</w:t>
      </w:r>
      <w:r w:rsidRPr="00EB0DAE">
        <w:rPr>
          <w:lang w:val="fr-FR"/>
        </w:rPr>
        <w:t>un permis de séjour ou d</w:t>
      </w:r>
      <w:r w:rsidR="004471C3" w:rsidRPr="0037157A">
        <w:rPr>
          <w:lang w:val="fr-FR"/>
        </w:rPr>
        <w:t>’</w:t>
      </w:r>
      <w:r w:rsidRPr="00EB0DAE">
        <w:rPr>
          <w:lang w:val="fr-FR"/>
        </w:rPr>
        <w:t>un permis d</w:t>
      </w:r>
      <w:r w:rsidR="004471C3" w:rsidRPr="0037157A">
        <w:rPr>
          <w:lang w:val="fr-FR"/>
        </w:rPr>
        <w:t>’</w:t>
      </w:r>
      <w:r w:rsidRPr="00EB0DAE">
        <w:rPr>
          <w:lang w:val="fr-FR"/>
        </w:rPr>
        <w:t>immigration</w:t>
      </w:r>
      <w:r w:rsidR="004471C3" w:rsidRPr="0037157A">
        <w:rPr>
          <w:lang w:val="fr-FR"/>
        </w:rPr>
        <w:t> ;</w:t>
      </w:r>
    </w:p>
    <w:p w14:paraId="61308901" w14:textId="67F74B08" w:rsidR="00EB0DAE" w:rsidRPr="00EB0DAE" w:rsidRDefault="00EB0DAE" w:rsidP="00EB0DAE">
      <w:pPr>
        <w:pStyle w:val="SingleTxt"/>
        <w:tabs>
          <w:tab w:val="right" w:pos="1685"/>
        </w:tabs>
        <w:ind w:left="1742" w:hanging="475"/>
        <w:rPr>
          <w:lang w:val="fr-FR"/>
        </w:rPr>
      </w:pPr>
      <w:r w:rsidRPr="0037157A">
        <w:rPr>
          <w:lang w:val="fr-FR"/>
        </w:rPr>
        <w:tab/>
        <w:t>•</w:t>
      </w:r>
      <w:r w:rsidRPr="0037157A">
        <w:rPr>
          <w:lang w:val="fr-FR"/>
        </w:rPr>
        <w:tab/>
      </w:r>
      <w:r w:rsidRPr="00EB0DAE">
        <w:rPr>
          <w:lang w:val="fr-FR"/>
        </w:rPr>
        <w:t>ou d</w:t>
      </w:r>
      <w:r w:rsidR="004471C3" w:rsidRPr="0037157A">
        <w:rPr>
          <w:lang w:val="fr-FR"/>
        </w:rPr>
        <w:t>’</w:t>
      </w:r>
      <w:r w:rsidRPr="00EB0DAE">
        <w:rPr>
          <w:lang w:val="fr-FR"/>
        </w:rPr>
        <w:t>une personne réfugiée en Hongrie.</w:t>
      </w:r>
    </w:p>
    <w:p w14:paraId="1E04E4F9" w14:textId="3C8489B7" w:rsidR="00EB0DAE" w:rsidRPr="0037157A" w:rsidRDefault="00EB0DAE" w:rsidP="009D535F">
      <w:pPr>
        <w:pStyle w:val="SingleTxt"/>
        <w:numPr>
          <w:ilvl w:val="0"/>
          <w:numId w:val="12"/>
        </w:numPr>
        <w:spacing w:line="240" w:lineRule="exact"/>
        <w:rPr>
          <w:lang w:val="fr-FR"/>
        </w:rPr>
      </w:pPr>
      <w:r w:rsidRPr="0037157A">
        <w:rPr>
          <w:lang w:val="fr-FR"/>
        </w:rPr>
        <w:t>Un certificat de séjour temporaire est délivré aux personnes qui sont restées en Hongrie au-delà de la durée du séjour légal pour des raisons humanitaires ou liées à leur activité professionnelle, et aux victimes de la traite des êtres humains. En outre, même si les critères d</w:t>
      </w:r>
      <w:r w:rsidR="004471C3" w:rsidRPr="0037157A">
        <w:rPr>
          <w:lang w:val="fr-FR"/>
        </w:rPr>
        <w:t>’</w:t>
      </w:r>
      <w:r w:rsidRPr="0037157A">
        <w:rPr>
          <w:lang w:val="fr-FR"/>
        </w:rPr>
        <w:t>admissibilité habituels ne sont pas remplis, un permis de séjour peut être délivré aux migrants qui ont été soumis à des conditions de travail particulièrement abusives, ou aux mineurs ressortissants de pays tiers qui ont été employés illégalement. Conformément à la loi sur l</w:t>
      </w:r>
      <w:r w:rsidR="004471C3" w:rsidRPr="0037157A">
        <w:rPr>
          <w:lang w:val="fr-FR"/>
        </w:rPr>
        <w:t>’</w:t>
      </w:r>
      <w:r w:rsidRPr="0037157A">
        <w:rPr>
          <w:lang w:val="fr-FR"/>
        </w:rPr>
        <w:t>entrée et le séjour, les « conditions de travail particulièrement abusives » désignent, entre autres, les conditions de travail, notamment celles résultant d</w:t>
      </w:r>
      <w:r w:rsidR="004471C3" w:rsidRPr="0037157A">
        <w:rPr>
          <w:lang w:val="fr-FR"/>
        </w:rPr>
        <w:t>’</w:t>
      </w:r>
      <w:r w:rsidRPr="0037157A">
        <w:rPr>
          <w:lang w:val="fr-FR"/>
        </w:rPr>
        <w:t>une discrimination fondée sur le genre, qui nuisent à la santé et à la sécurité des travailleurs et portent atteinte à la dignité humaine.</w:t>
      </w:r>
    </w:p>
    <w:p w14:paraId="510BB8FB" w14:textId="6B3FA2CF" w:rsidR="00EB0DAE" w:rsidRPr="0037157A" w:rsidRDefault="00EB0DAE" w:rsidP="00622C56">
      <w:pPr>
        <w:pStyle w:val="SingleTxt"/>
        <w:spacing w:after="0" w:line="120" w:lineRule="exact"/>
        <w:rPr>
          <w:sz w:val="10"/>
          <w:lang w:val="fr-FR"/>
        </w:rPr>
      </w:pPr>
    </w:p>
    <w:p w14:paraId="0355DE82" w14:textId="77777777" w:rsidR="00622C56" w:rsidRPr="0037157A" w:rsidRDefault="00622C56" w:rsidP="00EB0DAE">
      <w:pPr>
        <w:pStyle w:val="SingleTxt"/>
        <w:spacing w:after="0" w:line="120" w:lineRule="exact"/>
        <w:rPr>
          <w:sz w:val="10"/>
          <w:lang w:val="fr-FR"/>
        </w:rPr>
      </w:pPr>
    </w:p>
    <w:p w14:paraId="3CD0F6BB" w14:textId="22E46848" w:rsidR="00EB0DAE" w:rsidRPr="0037157A" w:rsidRDefault="00EB0DAE"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Mariage et rapports familiaux</w:t>
      </w:r>
    </w:p>
    <w:p w14:paraId="2F816015" w14:textId="41D2A37C" w:rsidR="00EB0DAE" w:rsidRPr="0037157A" w:rsidRDefault="00EB0DAE" w:rsidP="00622C56">
      <w:pPr>
        <w:pStyle w:val="SingleTxt"/>
        <w:spacing w:after="0" w:line="120" w:lineRule="exact"/>
        <w:rPr>
          <w:sz w:val="10"/>
          <w:lang w:val="fr-FR"/>
        </w:rPr>
      </w:pPr>
    </w:p>
    <w:p w14:paraId="48D695DA" w14:textId="77777777" w:rsidR="00622C56" w:rsidRPr="0037157A" w:rsidRDefault="00622C56" w:rsidP="00EB0DAE">
      <w:pPr>
        <w:pStyle w:val="SingleTxt"/>
        <w:spacing w:after="0" w:line="120" w:lineRule="exact"/>
        <w:rPr>
          <w:sz w:val="10"/>
          <w:lang w:val="fr-FR"/>
        </w:rPr>
      </w:pPr>
    </w:p>
    <w:p w14:paraId="5A336891" w14:textId="77777777" w:rsidR="004471C3" w:rsidRPr="0037157A" w:rsidRDefault="00EB0DAE" w:rsidP="009D535F">
      <w:pPr>
        <w:pStyle w:val="SingleTxt"/>
        <w:numPr>
          <w:ilvl w:val="0"/>
          <w:numId w:val="12"/>
        </w:numPr>
        <w:spacing w:line="240" w:lineRule="exact"/>
        <w:rPr>
          <w:lang w:val="fr-FR"/>
        </w:rPr>
      </w:pPr>
      <w:r w:rsidRPr="0037157A">
        <w:rPr>
          <w:lang w:val="fr-FR"/>
        </w:rPr>
        <w:t>La famille constitue une unité fondamentale de la société et la pierre angulaire de la survie de la nation </w:t>
      </w:r>
      <w:r w:rsidR="004471C3" w:rsidRPr="0037157A">
        <w:rPr>
          <w:lang w:val="fr-FR"/>
        </w:rPr>
        <w:t> ;</w:t>
      </w:r>
      <w:r w:rsidRPr="0037157A">
        <w:rPr>
          <w:lang w:val="fr-FR"/>
        </w:rPr>
        <w:t xml:space="preserve"> c</w:t>
      </w:r>
      <w:r w:rsidR="004471C3" w:rsidRPr="0037157A">
        <w:rPr>
          <w:lang w:val="fr-FR"/>
        </w:rPr>
        <w:t>’</w:t>
      </w:r>
      <w:r w:rsidRPr="0037157A">
        <w:rPr>
          <w:lang w:val="fr-FR"/>
        </w:rPr>
        <w:t>est pourquoi il est particulièrement important pour la Hongrie de la protéger. La loi fondamentale protège l</w:t>
      </w:r>
      <w:r w:rsidR="004471C3" w:rsidRPr="0037157A">
        <w:rPr>
          <w:lang w:val="fr-FR"/>
        </w:rPr>
        <w:t>’</w:t>
      </w:r>
      <w:r w:rsidRPr="0037157A">
        <w:rPr>
          <w:lang w:val="fr-FR"/>
        </w:rPr>
        <w:t>institution du mariage en tant qu</w:t>
      </w:r>
      <w:r w:rsidR="004471C3" w:rsidRPr="0037157A">
        <w:rPr>
          <w:lang w:val="fr-FR"/>
        </w:rPr>
        <w:t>’</w:t>
      </w:r>
      <w:r w:rsidRPr="0037157A">
        <w:rPr>
          <w:lang w:val="fr-FR"/>
        </w:rPr>
        <w:t>union volontaire d</w:t>
      </w:r>
      <w:r w:rsidR="004471C3" w:rsidRPr="0037157A">
        <w:rPr>
          <w:lang w:val="fr-FR"/>
        </w:rPr>
        <w:t>’</w:t>
      </w:r>
      <w:r w:rsidRPr="0037157A">
        <w:rPr>
          <w:lang w:val="fr-FR"/>
        </w:rPr>
        <w:t>un homme et d</w:t>
      </w:r>
      <w:r w:rsidR="004471C3" w:rsidRPr="0037157A">
        <w:rPr>
          <w:lang w:val="fr-FR"/>
        </w:rPr>
        <w:t>’</w:t>
      </w:r>
      <w:r w:rsidRPr="0037157A">
        <w:rPr>
          <w:lang w:val="fr-FR"/>
        </w:rPr>
        <w:t>une femme, et dispose que les rapports familiaux doivent être fondés sur le mariage et la relation entre les parents et les enfants.</w:t>
      </w:r>
    </w:p>
    <w:p w14:paraId="16968B97" w14:textId="362590DE" w:rsidR="00EB0DAE" w:rsidRPr="0037157A" w:rsidRDefault="00EB0DAE" w:rsidP="009D535F">
      <w:pPr>
        <w:pStyle w:val="SingleTxt"/>
        <w:numPr>
          <w:ilvl w:val="0"/>
          <w:numId w:val="12"/>
        </w:numPr>
        <w:spacing w:line="240" w:lineRule="exact"/>
        <w:rPr>
          <w:lang w:val="fr-FR"/>
        </w:rPr>
      </w:pPr>
      <w:r w:rsidRPr="0037157A">
        <w:rPr>
          <w:lang w:val="fr-FR"/>
        </w:rPr>
        <w:t>Les mesures de soutien du plan d</w:t>
      </w:r>
      <w:r w:rsidR="004471C3" w:rsidRPr="0037157A">
        <w:rPr>
          <w:lang w:val="fr-FR"/>
        </w:rPr>
        <w:t>’</w:t>
      </w:r>
      <w:r w:rsidRPr="0037157A">
        <w:rPr>
          <w:lang w:val="fr-FR"/>
        </w:rPr>
        <w:t>action pour la protection de la famille profitent au plus grand nombre, sans distinction entre les familles. La Hongrie fournit un appui considérable aux couples qui, sans cette aide, ne seraient pas en mesure de créer un foyer, de fonder une famille ou de l</w:t>
      </w:r>
      <w:r w:rsidR="004471C3" w:rsidRPr="0037157A">
        <w:rPr>
          <w:lang w:val="fr-FR"/>
        </w:rPr>
        <w:t>’</w:t>
      </w:r>
      <w:r w:rsidRPr="0037157A">
        <w:rPr>
          <w:lang w:val="fr-FR"/>
        </w:rPr>
        <w:t>élargir comme ils le souhaitent.</w:t>
      </w:r>
    </w:p>
    <w:p w14:paraId="2875EE9B" w14:textId="37BC40BE" w:rsidR="00EB0DAE" w:rsidRPr="0037157A" w:rsidRDefault="00EB0DAE" w:rsidP="009D535F">
      <w:pPr>
        <w:pStyle w:val="SingleTxt"/>
        <w:numPr>
          <w:ilvl w:val="0"/>
          <w:numId w:val="12"/>
        </w:numPr>
        <w:spacing w:line="240" w:lineRule="exact"/>
        <w:rPr>
          <w:lang w:val="fr-FR"/>
        </w:rPr>
      </w:pPr>
      <w:r w:rsidRPr="0037157A">
        <w:rPr>
          <w:lang w:val="fr-FR"/>
        </w:rPr>
        <w:t>Pour ce qui est d</w:t>
      </w:r>
      <w:r w:rsidR="004471C3" w:rsidRPr="0037157A">
        <w:rPr>
          <w:lang w:val="fr-FR"/>
        </w:rPr>
        <w:t>’</w:t>
      </w:r>
      <w:r w:rsidRPr="0037157A">
        <w:rPr>
          <w:lang w:val="fr-FR"/>
        </w:rPr>
        <w:t>aider les femmes prises dans une relation abusive, les services de soutien détaillés aux paragraphes</w:t>
      </w:r>
      <w:r w:rsidR="00CB2E84" w:rsidRPr="0037157A">
        <w:rPr>
          <w:lang w:val="fr-FR"/>
        </w:rPr>
        <w:t xml:space="preserve"> </w:t>
      </w:r>
      <w:r w:rsidRPr="0037157A">
        <w:rPr>
          <w:lang w:val="fr-FR"/>
        </w:rPr>
        <w:t>25</w:t>
      </w:r>
      <w:r w:rsidR="00CB2E84" w:rsidRPr="0037157A">
        <w:rPr>
          <w:lang w:val="fr-FR"/>
        </w:rPr>
        <w:t xml:space="preserve"> </w:t>
      </w:r>
      <w:r w:rsidRPr="0037157A">
        <w:rPr>
          <w:lang w:val="fr-FR"/>
        </w:rPr>
        <w:t>à</w:t>
      </w:r>
      <w:r w:rsidR="00CB2E84" w:rsidRPr="0037157A">
        <w:rPr>
          <w:lang w:val="fr-FR"/>
        </w:rPr>
        <w:t xml:space="preserve"> </w:t>
      </w:r>
      <w:r w:rsidRPr="0037157A">
        <w:rPr>
          <w:lang w:val="fr-FR"/>
        </w:rPr>
        <w:t>30 ont été largement déployés dans tout le pays.</w:t>
      </w:r>
    </w:p>
    <w:p w14:paraId="4F4F867A" w14:textId="158E2673" w:rsidR="00EB0DAE" w:rsidRPr="0037157A" w:rsidRDefault="00EB0DAE" w:rsidP="009D535F">
      <w:pPr>
        <w:pStyle w:val="SingleTxt"/>
        <w:numPr>
          <w:ilvl w:val="0"/>
          <w:numId w:val="12"/>
        </w:numPr>
        <w:spacing w:line="240" w:lineRule="exact"/>
        <w:rPr>
          <w:lang w:val="fr-FR"/>
        </w:rPr>
      </w:pPr>
      <w:r w:rsidRPr="0037157A">
        <w:rPr>
          <w:lang w:val="fr-FR"/>
        </w:rPr>
        <w:t>Selon le Code civil, bien que l</w:t>
      </w:r>
      <w:r w:rsidR="004471C3" w:rsidRPr="0037157A">
        <w:rPr>
          <w:lang w:val="fr-FR"/>
        </w:rPr>
        <w:t>’</w:t>
      </w:r>
      <w:r w:rsidRPr="0037157A">
        <w:rPr>
          <w:lang w:val="fr-FR"/>
        </w:rPr>
        <w:t>âge légal du mariage soit fixé à 18 ans, les mineurs de plus de 16</w:t>
      </w:r>
      <w:r w:rsidR="00CB2E84" w:rsidRPr="0037157A">
        <w:rPr>
          <w:lang w:val="fr-FR"/>
        </w:rPr>
        <w:t xml:space="preserve"> </w:t>
      </w:r>
      <w:r w:rsidRPr="0037157A">
        <w:rPr>
          <w:lang w:val="fr-FR"/>
        </w:rPr>
        <w:t>ans sont autorisés à se marier dans des cas exceptionnels. Il convient pour ce faire d</w:t>
      </w:r>
      <w:r w:rsidR="004471C3" w:rsidRPr="0037157A">
        <w:rPr>
          <w:lang w:val="fr-FR"/>
        </w:rPr>
        <w:t>’</w:t>
      </w:r>
      <w:r w:rsidRPr="0037157A">
        <w:rPr>
          <w:lang w:val="fr-FR"/>
        </w:rPr>
        <w:t>obtenir le consentement préalable de l</w:t>
      </w:r>
      <w:r w:rsidR="004471C3" w:rsidRPr="0037157A">
        <w:rPr>
          <w:lang w:val="fr-FR"/>
        </w:rPr>
        <w:t>’</w:t>
      </w:r>
      <w:r w:rsidRPr="0037157A">
        <w:rPr>
          <w:lang w:val="fr-FR"/>
        </w:rPr>
        <w:t>autorité de tutelle après avoir participé à une enquête méticuleuse (comprenant des entretiens personnels, l</w:t>
      </w:r>
      <w:r w:rsidR="004471C3" w:rsidRPr="0037157A">
        <w:rPr>
          <w:lang w:val="fr-FR"/>
        </w:rPr>
        <w:t>’</w:t>
      </w:r>
      <w:r w:rsidRPr="0037157A">
        <w:rPr>
          <w:lang w:val="fr-FR"/>
        </w:rPr>
        <w:t>autorisation du représentant légal, l</w:t>
      </w:r>
      <w:r w:rsidR="004471C3" w:rsidRPr="0037157A">
        <w:rPr>
          <w:lang w:val="fr-FR"/>
        </w:rPr>
        <w:t>’</w:t>
      </w:r>
      <w:r w:rsidRPr="0037157A">
        <w:rPr>
          <w:lang w:val="fr-FR"/>
        </w:rPr>
        <w:t>avis du médecin généraliste sur son état mental et physique, l</w:t>
      </w:r>
      <w:r w:rsidR="004471C3" w:rsidRPr="0037157A">
        <w:rPr>
          <w:lang w:val="fr-FR"/>
        </w:rPr>
        <w:t>’</w:t>
      </w:r>
      <w:r w:rsidRPr="0037157A">
        <w:rPr>
          <w:lang w:val="fr-FR"/>
        </w:rPr>
        <w:t>évaluation des revenus personnels, etc.). Le mariage d</w:t>
      </w:r>
      <w:r w:rsidR="004471C3" w:rsidRPr="0037157A">
        <w:rPr>
          <w:lang w:val="fr-FR"/>
        </w:rPr>
        <w:t>’</w:t>
      </w:r>
      <w:r w:rsidRPr="0037157A">
        <w:rPr>
          <w:lang w:val="fr-FR"/>
        </w:rPr>
        <w:t>un mineur contracté sans le consentement préalable de l</w:t>
      </w:r>
      <w:r w:rsidR="004471C3" w:rsidRPr="0037157A">
        <w:rPr>
          <w:lang w:val="fr-FR"/>
        </w:rPr>
        <w:t>’</w:t>
      </w:r>
      <w:r w:rsidRPr="0037157A">
        <w:rPr>
          <w:lang w:val="fr-FR"/>
        </w:rPr>
        <w:t>autorité de tutelle est nul. Pour cette raison, il n</w:t>
      </w:r>
      <w:r w:rsidR="004471C3" w:rsidRPr="0037157A">
        <w:rPr>
          <w:lang w:val="fr-FR"/>
        </w:rPr>
        <w:t>’</w:t>
      </w:r>
      <w:r w:rsidRPr="0037157A">
        <w:rPr>
          <w:lang w:val="fr-FR"/>
        </w:rPr>
        <w:t>existe pas d</w:t>
      </w:r>
      <w:r w:rsidR="004471C3" w:rsidRPr="0037157A">
        <w:rPr>
          <w:lang w:val="fr-FR"/>
        </w:rPr>
        <w:t>’</w:t>
      </w:r>
      <w:r w:rsidRPr="0037157A">
        <w:rPr>
          <w:lang w:val="fr-FR"/>
        </w:rPr>
        <w:t>infraction pénale de « mariage d</w:t>
      </w:r>
      <w:r w:rsidR="004471C3" w:rsidRPr="0037157A">
        <w:rPr>
          <w:lang w:val="fr-FR"/>
        </w:rPr>
        <w:t>’</w:t>
      </w:r>
      <w:r w:rsidRPr="0037157A">
        <w:rPr>
          <w:lang w:val="fr-FR"/>
        </w:rPr>
        <w:t>enfants », et donc pas de jurisprudence en la matière. En 2019, sur 438 demandes d</w:t>
      </w:r>
      <w:r w:rsidR="004471C3" w:rsidRPr="0037157A">
        <w:rPr>
          <w:lang w:val="fr-FR"/>
        </w:rPr>
        <w:t>’</w:t>
      </w:r>
      <w:r w:rsidRPr="0037157A">
        <w:rPr>
          <w:lang w:val="fr-FR"/>
        </w:rPr>
        <w:t>autorisation de mariage déposées par des mineurs, 65 ont été rejetées.</w:t>
      </w:r>
    </w:p>
    <w:p w14:paraId="28ADDDF7" w14:textId="39FAB812" w:rsidR="00EB0DAE" w:rsidRPr="0037157A" w:rsidRDefault="00EB0DAE" w:rsidP="00622C56">
      <w:pPr>
        <w:pStyle w:val="SingleTxt"/>
        <w:spacing w:after="0" w:line="120" w:lineRule="exact"/>
        <w:rPr>
          <w:sz w:val="10"/>
          <w:lang w:val="fr-FR"/>
        </w:rPr>
      </w:pPr>
    </w:p>
    <w:p w14:paraId="62745A90" w14:textId="77777777" w:rsidR="00622C56" w:rsidRPr="0037157A" w:rsidRDefault="00622C56" w:rsidP="00EB0DAE">
      <w:pPr>
        <w:pStyle w:val="SingleTxt"/>
        <w:spacing w:after="0" w:line="120" w:lineRule="exact"/>
        <w:rPr>
          <w:sz w:val="10"/>
          <w:lang w:val="fr-FR"/>
        </w:rPr>
      </w:pPr>
    </w:p>
    <w:p w14:paraId="38E6CBD0" w14:textId="3CDB519B" w:rsidR="00EB0DAE" w:rsidRPr="0037157A" w:rsidRDefault="00EB0DAE" w:rsidP="00622C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57A">
        <w:rPr>
          <w:lang w:val="fr-FR"/>
        </w:rPr>
        <w:tab/>
      </w:r>
      <w:r w:rsidRPr="0037157A">
        <w:rPr>
          <w:lang w:val="fr-FR"/>
        </w:rPr>
        <w:tab/>
        <w:t>Changements climatiques et réduction des risques de catastrophes</w:t>
      </w:r>
    </w:p>
    <w:p w14:paraId="44D68857" w14:textId="24C31FDB" w:rsidR="00EB0DAE" w:rsidRPr="0037157A" w:rsidRDefault="00EB0DAE" w:rsidP="00622C56">
      <w:pPr>
        <w:pStyle w:val="SingleTxt"/>
        <w:spacing w:after="0" w:line="120" w:lineRule="exact"/>
        <w:rPr>
          <w:sz w:val="10"/>
          <w:lang w:val="fr-FR"/>
        </w:rPr>
      </w:pPr>
    </w:p>
    <w:p w14:paraId="6CA9CA5B" w14:textId="77777777" w:rsidR="00622C56" w:rsidRPr="0037157A" w:rsidRDefault="00622C56" w:rsidP="00EB0DAE">
      <w:pPr>
        <w:pStyle w:val="SingleTxt"/>
        <w:spacing w:after="0" w:line="120" w:lineRule="exact"/>
        <w:rPr>
          <w:sz w:val="10"/>
          <w:lang w:val="fr-FR"/>
        </w:rPr>
      </w:pPr>
    </w:p>
    <w:p w14:paraId="0925CE12" w14:textId="26A64FCA" w:rsidR="00EB0DAE" w:rsidRPr="0037157A" w:rsidRDefault="00EB0DAE" w:rsidP="009D535F">
      <w:pPr>
        <w:pStyle w:val="SingleTxt"/>
        <w:numPr>
          <w:ilvl w:val="0"/>
          <w:numId w:val="12"/>
        </w:numPr>
        <w:spacing w:line="240" w:lineRule="exact"/>
        <w:rPr>
          <w:lang w:val="fr-FR"/>
        </w:rPr>
      </w:pPr>
      <w:r w:rsidRPr="0037157A">
        <w:rPr>
          <w:lang w:val="fr-FR"/>
        </w:rPr>
        <w:t>Dans le cadre de l</w:t>
      </w:r>
      <w:r w:rsidR="004471C3" w:rsidRPr="0037157A">
        <w:rPr>
          <w:lang w:val="fr-FR"/>
        </w:rPr>
        <w:t>’</w:t>
      </w:r>
      <w:r w:rsidRPr="0037157A">
        <w:rPr>
          <w:lang w:val="fr-FR"/>
        </w:rPr>
        <w:t>objectif intitulé « Favoriser l</w:t>
      </w:r>
      <w:r w:rsidR="004471C3" w:rsidRPr="0037157A">
        <w:rPr>
          <w:lang w:val="fr-FR"/>
        </w:rPr>
        <w:t>’</w:t>
      </w:r>
      <w:r w:rsidRPr="0037157A">
        <w:rPr>
          <w:lang w:val="fr-FR"/>
        </w:rPr>
        <w:t>adaptation aux changements climatiques et la prévention des risques », les États membres de l</w:t>
      </w:r>
      <w:r w:rsidR="004471C3" w:rsidRPr="0037157A">
        <w:rPr>
          <w:lang w:val="fr-FR"/>
        </w:rPr>
        <w:t>’</w:t>
      </w:r>
      <w:r w:rsidRPr="0037157A">
        <w:rPr>
          <w:lang w:val="fr-FR"/>
        </w:rPr>
        <w:t>Union européenne doivent mener une évaluation nationale ou régionale des risques pour la gestion des catastrophes, couvrant l</w:t>
      </w:r>
      <w:r w:rsidR="004471C3" w:rsidRPr="0037157A">
        <w:rPr>
          <w:lang w:val="fr-FR"/>
        </w:rPr>
        <w:t>’</w:t>
      </w:r>
      <w:r w:rsidRPr="0037157A">
        <w:rPr>
          <w:lang w:val="fr-FR"/>
        </w:rPr>
        <w:t>adaptation aux changements climatiques, afin de réaliser les investissements nécessaires. Conformément à l</w:t>
      </w:r>
      <w:r w:rsidR="004471C3" w:rsidRPr="0037157A">
        <w:rPr>
          <w:lang w:val="fr-FR"/>
        </w:rPr>
        <w:t>’</w:t>
      </w:r>
      <w:r w:rsidRPr="0037157A">
        <w:rPr>
          <w:lang w:val="fr-FR"/>
        </w:rPr>
        <w:t>article</w:t>
      </w:r>
      <w:r w:rsidR="00CB2E84" w:rsidRPr="0037157A">
        <w:rPr>
          <w:lang w:val="fr-FR"/>
        </w:rPr>
        <w:t xml:space="preserve"> </w:t>
      </w:r>
      <w:r w:rsidRPr="0037157A">
        <w:rPr>
          <w:lang w:val="fr-FR"/>
        </w:rPr>
        <w:t>6</w:t>
      </w:r>
      <w:r w:rsidR="00CB2E84" w:rsidRPr="0037157A">
        <w:rPr>
          <w:lang w:val="fr-FR"/>
        </w:rPr>
        <w:t xml:space="preserve"> </w:t>
      </w:r>
      <w:r w:rsidRPr="0037157A">
        <w:rPr>
          <w:lang w:val="fr-FR"/>
        </w:rPr>
        <w:t>a) de la décision n</w:t>
      </w:r>
      <w:r w:rsidR="003C3986" w:rsidRPr="0037157A">
        <w:rPr>
          <w:vertAlign w:val="superscript"/>
          <w:lang w:val="fr-FR"/>
        </w:rPr>
        <w:t>o</w:t>
      </w:r>
      <w:r w:rsidRPr="0037157A">
        <w:rPr>
          <w:lang w:val="fr-FR"/>
        </w:rPr>
        <w:t>°1313/2013/UE du Parlement européen et du Conseil du 17 décembre 2013 relative au mécanisme de protection civile de l</w:t>
      </w:r>
      <w:r w:rsidR="004471C3" w:rsidRPr="0037157A">
        <w:rPr>
          <w:lang w:val="fr-FR"/>
        </w:rPr>
        <w:t>’</w:t>
      </w:r>
      <w:r w:rsidRPr="0037157A">
        <w:rPr>
          <w:lang w:val="fr-FR"/>
        </w:rPr>
        <w:t>Union, la Hongrie a préparé un rapport national d</w:t>
      </w:r>
      <w:r w:rsidR="004471C3" w:rsidRPr="0037157A">
        <w:rPr>
          <w:lang w:val="fr-FR"/>
        </w:rPr>
        <w:t>’</w:t>
      </w:r>
      <w:r w:rsidRPr="0037157A">
        <w:rPr>
          <w:lang w:val="fr-FR"/>
        </w:rPr>
        <w:t>évaluation des risques de catastrophes en 2014, lequel a été révisé en 2020.</w:t>
      </w:r>
    </w:p>
    <w:p w14:paraId="0A5F4469" w14:textId="733CA8E9" w:rsidR="00EB0DAE" w:rsidRPr="0037157A" w:rsidRDefault="00EB0DAE" w:rsidP="009D535F">
      <w:pPr>
        <w:pStyle w:val="SingleTxt"/>
        <w:numPr>
          <w:ilvl w:val="0"/>
          <w:numId w:val="12"/>
        </w:numPr>
        <w:spacing w:line="240" w:lineRule="exact"/>
        <w:rPr>
          <w:lang w:val="fr-FR"/>
        </w:rPr>
      </w:pPr>
      <w:r w:rsidRPr="0037157A">
        <w:rPr>
          <w:lang w:val="fr-FR"/>
        </w:rPr>
        <w:t>Le rapport a permis de recenser 12</w:t>
      </w:r>
      <w:r w:rsidR="00CB2E84" w:rsidRPr="0037157A">
        <w:rPr>
          <w:lang w:val="fr-FR"/>
        </w:rPr>
        <w:t xml:space="preserve"> </w:t>
      </w:r>
      <w:r w:rsidRPr="0037157A">
        <w:rPr>
          <w:lang w:val="fr-FR"/>
        </w:rPr>
        <w:t>types de risques, en mettant tout particulièrement l</w:t>
      </w:r>
      <w:r w:rsidR="004471C3" w:rsidRPr="0037157A">
        <w:rPr>
          <w:lang w:val="fr-FR"/>
        </w:rPr>
        <w:t>’</w:t>
      </w:r>
      <w:r w:rsidRPr="0037157A">
        <w:rPr>
          <w:lang w:val="fr-FR"/>
        </w:rPr>
        <w:t>accent sur les risques liés aux changements climatiques (par exemple, les vagues de chaleur et de froid, la sécheresse et les inondations), et d</w:t>
      </w:r>
      <w:r w:rsidR="004471C3" w:rsidRPr="0037157A">
        <w:rPr>
          <w:lang w:val="fr-FR"/>
        </w:rPr>
        <w:t>’</w:t>
      </w:r>
      <w:r w:rsidRPr="0037157A">
        <w:rPr>
          <w:lang w:val="fr-FR"/>
        </w:rPr>
        <w:t>élaborer 30</w:t>
      </w:r>
      <w:r w:rsidR="00CB2E84" w:rsidRPr="0037157A">
        <w:rPr>
          <w:lang w:val="fr-FR"/>
        </w:rPr>
        <w:t xml:space="preserve"> </w:t>
      </w:r>
      <w:r w:rsidRPr="0037157A">
        <w:rPr>
          <w:lang w:val="fr-FR"/>
        </w:rPr>
        <w:t>scénarios et 72</w:t>
      </w:r>
      <w:r w:rsidR="00CB2E84" w:rsidRPr="0037157A">
        <w:rPr>
          <w:lang w:val="fr-FR"/>
        </w:rPr>
        <w:t xml:space="preserve"> </w:t>
      </w:r>
      <w:r w:rsidRPr="0037157A">
        <w:rPr>
          <w:lang w:val="fr-FR"/>
        </w:rPr>
        <w:t>sous-scénarios de risque, en fonction des conséquences possibles. Le rapport s</w:t>
      </w:r>
      <w:r w:rsidR="004471C3" w:rsidRPr="0037157A">
        <w:rPr>
          <w:lang w:val="fr-FR"/>
        </w:rPr>
        <w:t>’</w:t>
      </w:r>
      <w:r w:rsidRPr="0037157A">
        <w:rPr>
          <w:lang w:val="fr-FR"/>
        </w:rPr>
        <w:t>appuie sur une approche globale et intégrée, prenant en compte les incidences potentielles sur la stabilité de la société sans discrimination d</w:t>
      </w:r>
      <w:r w:rsidR="004471C3" w:rsidRPr="0037157A">
        <w:rPr>
          <w:lang w:val="fr-FR"/>
        </w:rPr>
        <w:t>’</w:t>
      </w:r>
      <w:r w:rsidRPr="0037157A">
        <w:rPr>
          <w:lang w:val="fr-FR"/>
        </w:rPr>
        <w:t>aucune sorte (dans cette optique, sans évoquer expressément la dimension de genre).</w:t>
      </w:r>
    </w:p>
    <w:p w14:paraId="03D028A5" w14:textId="0821BD24" w:rsidR="00EB0DAE" w:rsidRPr="0037157A" w:rsidRDefault="00EB0DAE" w:rsidP="009D535F">
      <w:pPr>
        <w:pStyle w:val="SingleTxt"/>
        <w:numPr>
          <w:ilvl w:val="0"/>
          <w:numId w:val="12"/>
        </w:numPr>
        <w:spacing w:line="240" w:lineRule="exact"/>
        <w:rPr>
          <w:lang w:val="fr-FR"/>
        </w:rPr>
      </w:pPr>
      <w:r w:rsidRPr="0037157A">
        <w:rPr>
          <w:lang w:val="fr-FR"/>
        </w:rPr>
        <w:t>Pour ce qui est des mécanismes de prise de décisions compétents, notamment concernant la réduction des risques de catastrophes et l</w:t>
      </w:r>
      <w:r w:rsidR="004471C3" w:rsidRPr="0037157A">
        <w:rPr>
          <w:lang w:val="fr-FR"/>
        </w:rPr>
        <w:t>’</w:t>
      </w:r>
      <w:r w:rsidRPr="0037157A">
        <w:rPr>
          <w:lang w:val="fr-FR"/>
        </w:rPr>
        <w:t>adaptation aux changements climatiques, les femmes sont représentées à tous les niveaux de la structure de gestion des catastrophes. La Direction générale nationale de gestion des catastrophes a publié un plan d</w:t>
      </w:r>
      <w:r w:rsidR="004471C3" w:rsidRPr="0037157A">
        <w:rPr>
          <w:lang w:val="fr-FR"/>
        </w:rPr>
        <w:t>’</w:t>
      </w:r>
      <w:r w:rsidRPr="0037157A">
        <w:rPr>
          <w:lang w:val="fr-FR"/>
        </w:rPr>
        <w:t>égalité d</w:t>
      </w:r>
      <w:r w:rsidR="004471C3" w:rsidRPr="0037157A">
        <w:rPr>
          <w:lang w:val="fr-FR"/>
        </w:rPr>
        <w:t>’</w:t>
      </w:r>
      <w:r w:rsidRPr="0037157A">
        <w:rPr>
          <w:lang w:val="fr-FR"/>
        </w:rPr>
        <w:t>accès aux emplois de l</w:t>
      </w:r>
      <w:r w:rsidR="004471C3" w:rsidRPr="0037157A">
        <w:rPr>
          <w:lang w:val="fr-FR"/>
        </w:rPr>
        <w:t>’</w:t>
      </w:r>
      <w:r w:rsidRPr="0037157A">
        <w:rPr>
          <w:lang w:val="fr-FR"/>
        </w:rPr>
        <w:t>Organisation de gestion des catastrophes en vue de garantir l</w:t>
      </w:r>
      <w:r w:rsidR="004471C3" w:rsidRPr="0037157A">
        <w:rPr>
          <w:lang w:val="fr-FR"/>
        </w:rPr>
        <w:t>’</w:t>
      </w:r>
      <w:r w:rsidRPr="0037157A">
        <w:rPr>
          <w:lang w:val="fr-FR"/>
        </w:rPr>
        <w:t>égalité de traitement et l</w:t>
      </w:r>
      <w:r w:rsidR="004471C3" w:rsidRPr="0037157A">
        <w:rPr>
          <w:lang w:val="fr-FR"/>
        </w:rPr>
        <w:t>’</w:t>
      </w:r>
      <w:r w:rsidRPr="0037157A">
        <w:rPr>
          <w:lang w:val="fr-FR"/>
        </w:rPr>
        <w:t>égalité des chances des employés. Le principe d</w:t>
      </w:r>
      <w:r w:rsidR="004471C3" w:rsidRPr="0037157A">
        <w:rPr>
          <w:lang w:val="fr-FR"/>
        </w:rPr>
        <w:t>’</w:t>
      </w:r>
      <w:r w:rsidRPr="0037157A">
        <w:rPr>
          <w:lang w:val="fr-FR"/>
        </w:rPr>
        <w:t>égalité tel qu</w:t>
      </w:r>
      <w:r w:rsidR="004471C3" w:rsidRPr="0037157A">
        <w:rPr>
          <w:lang w:val="fr-FR"/>
        </w:rPr>
        <w:t>’</w:t>
      </w:r>
      <w:r w:rsidRPr="0037157A">
        <w:rPr>
          <w:lang w:val="fr-FR"/>
        </w:rPr>
        <w:t>établi dans le plan interdit la discrimination directe et indirecte, en particulier la discrimination fondée sur le genre.</w:t>
      </w:r>
    </w:p>
    <w:p w14:paraId="4AE94DBF" w14:textId="0C1662F0" w:rsidR="002E0B8B" w:rsidRPr="0037157A" w:rsidRDefault="003C3986" w:rsidP="003C3986">
      <w:pPr>
        <w:pStyle w:val="SingleTxt"/>
        <w:spacing w:after="0" w:line="240" w:lineRule="auto"/>
        <w:rPr>
          <w:lang w:val="fr-FR"/>
        </w:rPr>
      </w:pPr>
      <w:r w:rsidRPr="0037157A">
        <w:rPr>
          <w:noProof/>
          <w:w w:val="100"/>
          <w:lang w:val="fr-FR"/>
        </w:rPr>
        <mc:AlternateContent>
          <mc:Choice Requires="wps">
            <w:drawing>
              <wp:anchor distT="0" distB="0" distL="114300" distR="114300" simplePos="0" relativeHeight="251660288" behindDoc="0" locked="0" layoutInCell="1" allowOverlap="1" wp14:anchorId="51DE543F" wp14:editId="3558194A">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4C7C2"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E0B8B" w:rsidRPr="0037157A" w:rsidSect="002E0B8B">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7T12:47:00Z" w:initials="Start">
    <w:p w14:paraId="39C149DC" w14:textId="77777777" w:rsidR="00C959FC" w:rsidRPr="00A8072A" w:rsidRDefault="00C959FC">
      <w:pPr>
        <w:pStyle w:val="CommentText"/>
        <w:rPr>
          <w:lang w:val="en-US"/>
        </w:rPr>
      </w:pPr>
      <w:r>
        <w:rPr>
          <w:rStyle w:val="CommentReference"/>
        </w:rPr>
        <w:annotationRef/>
      </w:r>
      <w:r w:rsidRPr="00A8072A">
        <w:rPr>
          <w:lang w:val="en-US"/>
        </w:rPr>
        <w:t>&lt;&lt;ODS JOB NO&gt;&gt;N2226946F&lt;&lt;ODS JOB NO&gt;&gt;</w:t>
      </w:r>
    </w:p>
    <w:p w14:paraId="4C0BD689" w14:textId="77777777" w:rsidR="00C959FC" w:rsidRDefault="00C959FC">
      <w:pPr>
        <w:pStyle w:val="CommentText"/>
      </w:pPr>
      <w:r>
        <w:t>&lt;&lt;ODS DOC SYMBOL1&gt;&gt;CEDAW/C/HUN/RQ/9&lt;&lt;ODS DOC SYMBOL1&gt;&gt;</w:t>
      </w:r>
    </w:p>
    <w:p w14:paraId="6BB084B6" w14:textId="7D3221C7" w:rsidR="00C959FC" w:rsidRDefault="00C959F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08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AC53" w16cex:dateUtc="2022-03-1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084B6" w16cid:durableId="25DDA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0626" w14:textId="77777777" w:rsidR="00605121" w:rsidRDefault="00605121" w:rsidP="00101B18">
      <w:pPr>
        <w:spacing w:line="240" w:lineRule="auto"/>
      </w:pPr>
      <w:r>
        <w:separator/>
      </w:r>
    </w:p>
  </w:endnote>
  <w:endnote w:type="continuationSeparator" w:id="0">
    <w:p w14:paraId="04BA6FCE" w14:textId="77777777" w:rsidR="00605121" w:rsidRDefault="0060512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59FC" w14:paraId="6B838678" w14:textId="77777777" w:rsidTr="00C959FC">
      <w:tc>
        <w:tcPr>
          <w:tcW w:w="4920" w:type="dxa"/>
          <w:shd w:val="clear" w:color="auto" w:fill="auto"/>
        </w:tcPr>
        <w:p w14:paraId="762025B1" w14:textId="493B24D3" w:rsidR="00C959FC" w:rsidRPr="00C959FC" w:rsidRDefault="00C959FC" w:rsidP="00C959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7F61">
            <w:rPr>
              <w:b w:val="0"/>
              <w:w w:val="103"/>
              <w:sz w:val="14"/>
            </w:rPr>
            <w:t>22-02795</w:t>
          </w:r>
          <w:r>
            <w:rPr>
              <w:b w:val="0"/>
              <w:w w:val="103"/>
              <w:sz w:val="14"/>
            </w:rPr>
            <w:fldChar w:fldCharType="end"/>
          </w:r>
        </w:p>
      </w:tc>
      <w:tc>
        <w:tcPr>
          <w:tcW w:w="4920" w:type="dxa"/>
          <w:shd w:val="clear" w:color="auto" w:fill="auto"/>
        </w:tcPr>
        <w:p w14:paraId="4A52F4BB" w14:textId="472811A9" w:rsidR="00C959FC" w:rsidRPr="00C959FC" w:rsidRDefault="00C959FC" w:rsidP="00C959F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CA071B0" w14:textId="77777777" w:rsidR="00C959FC" w:rsidRPr="00C959FC" w:rsidRDefault="00C959FC" w:rsidP="00C95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59FC" w14:paraId="1A711DC1" w14:textId="77777777" w:rsidTr="00C959FC">
      <w:tc>
        <w:tcPr>
          <w:tcW w:w="4920" w:type="dxa"/>
          <w:shd w:val="clear" w:color="auto" w:fill="auto"/>
        </w:tcPr>
        <w:p w14:paraId="4178ABE7" w14:textId="425028BD" w:rsidR="00C959FC" w:rsidRPr="00C959FC" w:rsidRDefault="00C959FC" w:rsidP="00C959F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D67994E" w14:textId="188DCCCA" w:rsidR="00C959FC" w:rsidRPr="00C959FC" w:rsidRDefault="00C959FC" w:rsidP="00C959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7F61">
            <w:rPr>
              <w:b w:val="0"/>
              <w:w w:val="103"/>
              <w:sz w:val="14"/>
            </w:rPr>
            <w:t>22-02795</w:t>
          </w:r>
          <w:r>
            <w:rPr>
              <w:b w:val="0"/>
              <w:w w:val="103"/>
              <w:sz w:val="14"/>
            </w:rPr>
            <w:fldChar w:fldCharType="end"/>
          </w:r>
        </w:p>
      </w:tc>
    </w:tr>
  </w:tbl>
  <w:p w14:paraId="6FBEB433" w14:textId="77777777" w:rsidR="00C959FC" w:rsidRPr="00C959FC" w:rsidRDefault="00C959FC" w:rsidP="00C95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079" w14:textId="35BEAA3D" w:rsidR="00C959FC" w:rsidRDefault="00C959FC">
    <w:pPr>
      <w:pStyle w:val="Footer"/>
    </w:pPr>
    <w:r>
      <w:rPr>
        <w:noProof/>
      </w:rPr>
      <w:drawing>
        <wp:anchor distT="0" distB="0" distL="114300" distR="114300" simplePos="0" relativeHeight="251658240" behindDoc="0" locked="0" layoutInCell="1" allowOverlap="1" wp14:anchorId="138811DC" wp14:editId="57489D0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959FC" w14:paraId="0DDFB8BB" w14:textId="77777777" w:rsidTr="00C959FC">
      <w:tc>
        <w:tcPr>
          <w:tcW w:w="3758" w:type="dxa"/>
        </w:tcPr>
        <w:p w14:paraId="30C88951" w14:textId="597BA5BB" w:rsidR="00C959FC" w:rsidRDefault="006C5A5D" w:rsidP="00C959FC">
          <w:pPr>
            <w:pStyle w:val="Footer"/>
            <w:rPr>
              <w:b w:val="0"/>
              <w:sz w:val="20"/>
            </w:rPr>
          </w:pPr>
          <w:r>
            <w:rPr>
              <w:b w:val="0"/>
              <w:sz w:val="20"/>
            </w:rPr>
            <w:t>22-02795</w:t>
          </w:r>
          <w:r w:rsidR="00960147">
            <w:rPr>
              <w:b w:val="0"/>
              <w:sz w:val="20"/>
            </w:rPr>
            <w:t>X</w:t>
          </w:r>
          <w:r>
            <w:rPr>
              <w:b w:val="0"/>
              <w:sz w:val="20"/>
            </w:rPr>
            <w:t xml:space="preserve"> (F)</w:t>
          </w:r>
        </w:p>
        <w:p w14:paraId="7ACA4420" w14:textId="05A20C90" w:rsidR="00C959FC" w:rsidRPr="00C959FC" w:rsidRDefault="00C959FC" w:rsidP="00C959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F7F61">
            <w:rPr>
              <w:rFonts w:ascii="Barcode 3 of 9 by request" w:hAnsi="Barcode 3 of 9 by request"/>
              <w:spacing w:val="0"/>
              <w:w w:val="100"/>
              <w:sz w:val="24"/>
            </w:rPr>
            <w:t>*2202795*</w:t>
          </w:r>
          <w:r>
            <w:rPr>
              <w:rFonts w:ascii="Barcode 3 of 9 by request" w:hAnsi="Barcode 3 of 9 by request"/>
              <w:spacing w:val="0"/>
              <w:w w:val="100"/>
              <w:sz w:val="24"/>
            </w:rPr>
            <w:fldChar w:fldCharType="end"/>
          </w:r>
        </w:p>
      </w:tc>
      <w:tc>
        <w:tcPr>
          <w:tcW w:w="4920" w:type="dxa"/>
        </w:tcPr>
        <w:p w14:paraId="3CA4806D" w14:textId="50B1ECB1" w:rsidR="00C959FC" w:rsidRDefault="00C959FC" w:rsidP="00C959FC">
          <w:pPr>
            <w:pStyle w:val="Footer"/>
            <w:spacing w:line="240" w:lineRule="atLeast"/>
            <w:jc w:val="right"/>
            <w:rPr>
              <w:b w:val="0"/>
              <w:sz w:val="20"/>
            </w:rPr>
          </w:pPr>
          <w:r>
            <w:rPr>
              <w:b w:val="0"/>
              <w:noProof/>
              <w:sz w:val="20"/>
            </w:rPr>
            <w:drawing>
              <wp:inline distT="0" distB="0" distL="0" distR="0" wp14:anchorId="54D226DB" wp14:editId="59C45F8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4DF5D72" w14:textId="77777777" w:rsidR="00C959FC" w:rsidRPr="00C959FC" w:rsidRDefault="00C959FC" w:rsidP="00C959F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7D01" w14:textId="77777777" w:rsidR="00605121" w:rsidRPr="00315AA6" w:rsidRDefault="00605121" w:rsidP="00315AA6">
      <w:pPr>
        <w:pStyle w:val="Footer"/>
        <w:spacing w:after="80"/>
        <w:ind w:left="792"/>
        <w:rPr>
          <w:sz w:val="16"/>
        </w:rPr>
      </w:pPr>
      <w:r w:rsidRPr="00315AA6">
        <w:rPr>
          <w:sz w:val="16"/>
        </w:rPr>
        <w:t>__________________</w:t>
      </w:r>
    </w:p>
  </w:footnote>
  <w:footnote w:type="continuationSeparator" w:id="0">
    <w:p w14:paraId="043756B8" w14:textId="77777777" w:rsidR="00605121" w:rsidRPr="00315AA6" w:rsidRDefault="00605121" w:rsidP="00315AA6">
      <w:pPr>
        <w:pStyle w:val="Footer"/>
        <w:spacing w:after="80"/>
        <w:ind w:left="792"/>
        <w:rPr>
          <w:sz w:val="16"/>
        </w:rPr>
      </w:pPr>
      <w:r w:rsidRPr="00315AA6">
        <w:rPr>
          <w:sz w:val="16"/>
        </w:rPr>
        <w:t>__________________</w:t>
      </w:r>
    </w:p>
  </w:footnote>
  <w:footnote w:id="1">
    <w:p w14:paraId="6BFD4D04" w14:textId="10FE0586" w:rsidR="002E0B8B" w:rsidRPr="00315AA6" w:rsidRDefault="002E0B8B" w:rsidP="00315AA6">
      <w:pPr>
        <w:pStyle w:val="FootnoteText"/>
        <w:widowControl w:val="0"/>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r>
      <w:hyperlink r:id="rId1" w:history="1">
        <w:r w:rsidRPr="00315AA6">
          <w:rPr>
            <w:rStyle w:val="Hyperlink"/>
            <w:szCs w:val="17"/>
            <w:lang w:val="fr-FR"/>
          </w:rPr>
          <w:t>https://www.ksh.hu/docs/hun/xftp/idoszaki/mikrocenzus2016/mikrocenzus_2016_4.pdf</w:t>
        </w:r>
      </w:hyperlink>
      <w:r w:rsidRPr="00315AA6">
        <w:rPr>
          <w:szCs w:val="17"/>
          <w:lang w:val="fr-FR"/>
        </w:rPr>
        <w:t>, tableau</w:t>
      </w:r>
      <w:r w:rsidR="00315AA6">
        <w:rPr>
          <w:szCs w:val="17"/>
          <w:lang w:val="fr-FR"/>
        </w:rPr>
        <w:t> </w:t>
      </w:r>
      <w:r w:rsidRPr="00315AA6">
        <w:rPr>
          <w:szCs w:val="17"/>
          <w:lang w:val="fr-FR"/>
        </w:rPr>
        <w:t>2.3.</w:t>
      </w:r>
    </w:p>
  </w:footnote>
  <w:footnote w:id="2">
    <w:p w14:paraId="6F8082C5" w14:textId="77777777" w:rsidR="002E0B8B" w:rsidRPr="00315AA6" w:rsidRDefault="002E0B8B" w:rsidP="00315AA6">
      <w:pPr>
        <w:pStyle w:val="FootnoteText"/>
        <w:widowControl w:val="0"/>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Voir décision gouvernementale 1685/2020. (X. 22.).</w:t>
      </w:r>
    </w:p>
  </w:footnote>
  <w:footnote w:id="3">
    <w:p w14:paraId="380E3D5E" w14:textId="7C269541"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r>
      <w:hyperlink r:id="rId2" w:history="1">
        <w:r w:rsidRPr="00315AA6">
          <w:rPr>
            <w:rStyle w:val="Hyperlink"/>
            <w:szCs w:val="17"/>
            <w:lang w:val="fr-FR"/>
          </w:rPr>
          <w:t>https://www.mcc.hu/en/women-public-leadership-programme</w:t>
        </w:r>
      </w:hyperlink>
      <w:r w:rsidRPr="00315AA6">
        <w:rPr>
          <w:szCs w:val="17"/>
          <w:lang w:val="fr-FR"/>
        </w:rPr>
        <w:t>.</w:t>
      </w:r>
    </w:p>
  </w:footnote>
  <w:footnote w:id="4">
    <w:p w14:paraId="155500B7" w14:textId="77777777"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Décret gouvernemental 110/2012. (VI. 4.) sur l’adoption et la mise en œuvre du programme d’enseignement national de base.</w:t>
      </w:r>
    </w:p>
  </w:footnote>
  <w:footnote w:id="5">
    <w:p w14:paraId="79091D7B" w14:textId="4AE7DCB3"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Éducation à la citoyenneté mondiale (UNESCO).</w:t>
      </w:r>
    </w:p>
  </w:footnote>
  <w:footnote w:id="6">
    <w:p w14:paraId="6DBCEFF1" w14:textId="6F38EBED"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r>
      <w:hyperlink r:id="rId3" w:history="1">
        <w:r w:rsidRPr="00315AA6">
          <w:rPr>
            <w:rStyle w:val="Hyperlink"/>
            <w:szCs w:val="17"/>
            <w:lang w:val="fr-FR"/>
          </w:rPr>
          <w:t>https://njt.hu/translation/J2012T0100P_20200716_FIN.PDF</w:t>
        </w:r>
      </w:hyperlink>
      <w:r w:rsidRPr="00315AA6">
        <w:rPr>
          <w:szCs w:val="17"/>
          <w:lang w:val="fr-FR"/>
        </w:rPr>
        <w:t>.</w:t>
      </w:r>
    </w:p>
  </w:footnote>
  <w:footnote w:id="7">
    <w:p w14:paraId="044DDEED" w14:textId="77777777"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Entrée en vigueur : 1</w:t>
      </w:r>
      <w:r w:rsidRPr="00315AA6">
        <w:rPr>
          <w:szCs w:val="17"/>
          <w:vertAlign w:val="superscript"/>
          <w:lang w:val="fr-FR"/>
        </w:rPr>
        <w:t>er</w:t>
      </w:r>
      <w:r w:rsidRPr="00315AA6">
        <w:rPr>
          <w:szCs w:val="17"/>
          <w:lang w:val="fr-FR"/>
        </w:rPr>
        <w:t xml:space="preserve"> juillet 2020.</w:t>
      </w:r>
    </w:p>
  </w:footnote>
  <w:footnote w:id="8">
    <w:p w14:paraId="3A6DCCA4" w14:textId="75BFD31D"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r>
      <w:hyperlink r:id="rId4" w:history="1">
        <w:r w:rsidRPr="00315AA6">
          <w:rPr>
            <w:rStyle w:val="Hyperlink"/>
            <w:szCs w:val="17"/>
            <w:lang w:val="fr-FR"/>
          </w:rPr>
          <w:t>https://www.nokmagyarorszagert.hu/dij/</w:t>
        </w:r>
      </w:hyperlink>
      <w:r w:rsidRPr="00315AA6">
        <w:rPr>
          <w:szCs w:val="17"/>
          <w:lang w:val="fr-FR"/>
        </w:rPr>
        <w:t>.</w:t>
      </w:r>
    </w:p>
  </w:footnote>
  <w:footnote w:id="9">
    <w:p w14:paraId="21507F4E" w14:textId="77777777" w:rsidR="002E0B8B" w:rsidRPr="00315AA6" w:rsidRDefault="002E0B8B"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Parmi les indicateurs figuraient le redoublement, le fait d’avoir des frères et sœurs plus âgés ayant abandonné l’école, le fait d’avoir des parents peu qualifiés, l’absence de logement, etc.</w:t>
      </w:r>
    </w:p>
  </w:footnote>
  <w:footnote w:id="10">
    <w:p w14:paraId="5A0BD41A" w14:textId="5B12EEA7" w:rsidR="00A61186" w:rsidRPr="00315AA6" w:rsidRDefault="00A61186" w:rsidP="00315AA6">
      <w:pPr>
        <w:pStyle w:val="FootnoteText"/>
        <w:tabs>
          <w:tab w:val="right" w:pos="1195"/>
          <w:tab w:val="left" w:pos="1267"/>
          <w:tab w:val="left" w:pos="1742"/>
          <w:tab w:val="left" w:pos="2218"/>
          <w:tab w:val="left" w:pos="2693"/>
        </w:tabs>
        <w:ind w:left="1267" w:right="1260" w:hanging="576"/>
        <w:rPr>
          <w:rStyle w:val="Hyperlink"/>
          <w:szCs w:val="17"/>
          <w:lang w:val="fr-FR"/>
        </w:rPr>
      </w:pPr>
      <w:r w:rsidRPr="002D0D3F">
        <w:rPr>
          <w:szCs w:val="17"/>
          <w:lang w:val="fr-FR"/>
        </w:rPr>
        <w:tab/>
      </w:r>
      <w:r w:rsidRPr="00315AA6">
        <w:rPr>
          <w:rStyle w:val="FootnoteReference"/>
          <w:spacing w:val="4"/>
          <w:lang w:val="fr-FR"/>
        </w:rPr>
        <w:footnoteRef/>
      </w:r>
      <w:r w:rsidRPr="00315AA6">
        <w:rPr>
          <w:szCs w:val="17"/>
          <w:lang w:val="fr-FR"/>
        </w:rPr>
        <w:tab/>
        <w:t xml:space="preserve">Eurostat. </w:t>
      </w:r>
      <w:hyperlink r:id="rId5" w:anchor="dohnyzssalkoholfogyaszts" w:history="1">
        <w:r w:rsidRPr="00315AA6">
          <w:rPr>
            <w:rStyle w:val="Hyperlink"/>
            <w:szCs w:val="17"/>
            <w:lang w:val="fr-FR"/>
          </w:rPr>
          <w:t>https://www.ksh.hu/docs/hun/xftp/idoszaki/elef/te_2019/index.html#dohnyzssalkoholfogyaszts</w:t>
        </w:r>
      </w:hyperlink>
      <w:r w:rsidRPr="00315AA6">
        <w:rPr>
          <w:szCs w:val="17"/>
          <w:lang w:val="fr-FR"/>
        </w:rPr>
        <w:t>.</w:t>
      </w:r>
    </w:p>
  </w:footnote>
  <w:footnote w:id="11">
    <w:p w14:paraId="12D4CA1B" w14:textId="005A64E6" w:rsidR="00A61186" w:rsidRPr="00315AA6" w:rsidRDefault="00A61186"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 xml:space="preserve">Office central des statistiques hongrois : </w:t>
      </w:r>
      <w:hyperlink r:id="rId6" w:history="1">
        <w:r w:rsidRPr="00315AA6">
          <w:rPr>
            <w:rStyle w:val="Hyperlink"/>
            <w:szCs w:val="17"/>
            <w:lang w:val="fr-FR"/>
          </w:rPr>
          <w:t>https://www.ksh.hu/stadat_files/ege/hu/ege0038.html</w:t>
        </w:r>
      </w:hyperlink>
      <w:r w:rsidRPr="00315AA6">
        <w:rPr>
          <w:szCs w:val="17"/>
          <w:lang w:val="fr-FR"/>
        </w:rPr>
        <w:t>.</w:t>
      </w:r>
    </w:p>
  </w:footnote>
  <w:footnote w:id="12">
    <w:p w14:paraId="085A2D6D" w14:textId="26DD7212" w:rsidR="00A61186" w:rsidRPr="00315AA6" w:rsidRDefault="00A61186" w:rsidP="00315AA6">
      <w:pPr>
        <w:pStyle w:val="FootnoteText"/>
        <w:tabs>
          <w:tab w:val="right" w:pos="1195"/>
          <w:tab w:val="left" w:pos="1267"/>
          <w:tab w:val="left" w:pos="1742"/>
          <w:tab w:val="left" w:pos="2218"/>
          <w:tab w:val="left" w:pos="2693"/>
        </w:tabs>
        <w:ind w:left="1267" w:right="1260" w:hanging="576"/>
        <w:rPr>
          <w:szCs w:val="17"/>
        </w:rPr>
      </w:pPr>
      <w:r w:rsidRPr="002D0D3F">
        <w:rPr>
          <w:szCs w:val="17"/>
          <w:lang w:val="fr-FR"/>
        </w:rPr>
        <w:tab/>
      </w:r>
      <w:r w:rsidRPr="00315AA6">
        <w:rPr>
          <w:rStyle w:val="FootnoteReference"/>
          <w:spacing w:val="4"/>
          <w:lang w:val="fr-FR"/>
        </w:rPr>
        <w:footnoteRef/>
      </w:r>
      <w:r w:rsidRPr="00315AA6">
        <w:rPr>
          <w:szCs w:val="17"/>
          <w:lang w:val="fr-FR"/>
        </w:rPr>
        <w:tab/>
        <w:t xml:space="preserve">Centre national de santé publique, Journée mondiale du sida </w:t>
      </w:r>
      <w:r w:rsidR="00EB0DAE" w:rsidRPr="00315AA6">
        <w:rPr>
          <w:szCs w:val="17"/>
          <w:lang w:val="fr-FR"/>
        </w:rPr>
        <w:noBreakHyphen/>
      </w:r>
      <w:r w:rsidRPr="00315AA6">
        <w:rPr>
          <w:szCs w:val="17"/>
          <w:lang w:val="fr-FR"/>
        </w:rPr>
        <w:t xml:space="preserve"> 1</w:t>
      </w:r>
      <w:r w:rsidRPr="00315AA6">
        <w:rPr>
          <w:szCs w:val="17"/>
          <w:vertAlign w:val="superscript"/>
          <w:lang w:val="fr-FR"/>
        </w:rPr>
        <w:t>er</w:t>
      </w:r>
      <w:r w:rsidRPr="00315AA6">
        <w:rPr>
          <w:szCs w:val="17"/>
          <w:lang w:val="fr-FR"/>
        </w:rPr>
        <w:t xml:space="preserve"> décembre (information datant du 01.12.2020).</w:t>
      </w:r>
      <w:r w:rsidR="00CB2E84">
        <w:rPr>
          <w:szCs w:val="17"/>
          <w:lang w:val="fr-FR"/>
        </w:rPr>
        <w:t xml:space="preserve"> </w:t>
      </w:r>
      <w:hyperlink r:id="rId7" w:history="1">
        <w:r w:rsidR="00CB2E84" w:rsidRPr="00617EA2">
          <w:rPr>
            <w:rStyle w:val="Hyperlink"/>
            <w:szCs w:val="17"/>
          </w:rPr>
          <w:t>http://neak.gov.hu/sajtoszoba/kozlemenyek_eu_napok/egeszsegugyi_vilagnapok_</w:t>
        </w:r>
        <w:r w:rsidR="00CB2E84" w:rsidRPr="00617EA2">
          <w:rPr>
            <w:rStyle w:val="Hyperlink"/>
            <w:szCs w:val="17"/>
          </w:rPr>
          <w:br/>
          <w:t>aids</w:t>
        </w:r>
      </w:hyperlink>
      <w:r w:rsidRPr="00315AA6">
        <w:rPr>
          <w:szCs w:val="17"/>
        </w:rPr>
        <w:t>.</w:t>
      </w:r>
    </w:p>
  </w:footnote>
  <w:footnote w:id="13">
    <w:p w14:paraId="63B3F3C4" w14:textId="186DDDF5" w:rsidR="00EB0DAE" w:rsidRPr="00315AA6" w:rsidRDefault="00EB0DAE" w:rsidP="00315AA6">
      <w:pPr>
        <w:pStyle w:val="FootnoteText"/>
        <w:tabs>
          <w:tab w:val="right" w:pos="1195"/>
          <w:tab w:val="left" w:pos="1267"/>
          <w:tab w:val="left" w:pos="1742"/>
          <w:tab w:val="left" w:pos="2218"/>
          <w:tab w:val="left" w:pos="2693"/>
        </w:tabs>
        <w:ind w:left="1267" w:right="1260" w:hanging="576"/>
        <w:rPr>
          <w:szCs w:val="17"/>
          <w:lang w:val="fr-FR"/>
        </w:rPr>
      </w:pPr>
      <w:r w:rsidRPr="00425FA3">
        <w:rPr>
          <w:szCs w:val="17"/>
        </w:rPr>
        <w:tab/>
      </w:r>
      <w:r w:rsidRPr="00315AA6">
        <w:rPr>
          <w:rStyle w:val="FootnoteReference"/>
          <w:spacing w:val="4"/>
          <w:lang w:val="fr-FR"/>
        </w:rPr>
        <w:footnoteRef/>
      </w:r>
      <w:r w:rsidRPr="00315AA6">
        <w:rPr>
          <w:szCs w:val="17"/>
          <w:lang w:val="fr-FR"/>
        </w:rPr>
        <w:tab/>
        <w:t xml:space="preserve">Voir </w:t>
      </w:r>
      <w:hyperlink r:id="rId8" w:history="1">
        <w:r w:rsidRPr="00315AA6">
          <w:rPr>
            <w:rStyle w:val="Hyperlink"/>
            <w:szCs w:val="17"/>
            <w:lang w:val="fr-FR"/>
          </w:rPr>
          <w:t>https://egyszulo.hu/english</w:t>
        </w:r>
      </w:hyperlink>
      <w:r w:rsidRPr="00315AA6">
        <w:rPr>
          <w:szCs w:val="17"/>
          <w:lang w:val="fr-FR"/>
        </w:rPr>
        <w:t>.</w:t>
      </w:r>
    </w:p>
  </w:footnote>
  <w:footnote w:id="14">
    <w:p w14:paraId="099B9E64" w14:textId="49E8B175" w:rsidR="00EB0DAE" w:rsidRPr="00315AA6" w:rsidRDefault="00EB0DAE"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 xml:space="preserve">Voir </w:t>
      </w:r>
      <w:hyperlink r:id="rId9" w:history="1">
        <w:r w:rsidRPr="00315AA6">
          <w:rPr>
            <w:rStyle w:val="Hyperlink"/>
            <w:szCs w:val="17"/>
            <w:lang w:val="fr-FR"/>
          </w:rPr>
          <w:t>https://youtu.be/DV2ZQMjelOg</w:t>
        </w:r>
      </w:hyperlink>
      <w:r w:rsidRPr="00315AA6">
        <w:rPr>
          <w:szCs w:val="17"/>
          <w:lang w:val="fr-FR"/>
        </w:rPr>
        <w:t>.</w:t>
      </w:r>
    </w:p>
  </w:footnote>
  <w:footnote w:id="15">
    <w:p w14:paraId="3218234B" w14:textId="7EECAAD8" w:rsidR="00EB0DAE" w:rsidRPr="00315AA6" w:rsidRDefault="00EB0DAE"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 xml:space="preserve">L’appel pour cette année est déjà ouvert et disponible à l’adresse suivante : </w:t>
      </w:r>
      <w:hyperlink r:id="rId10" w:history="1">
        <w:r w:rsidRPr="00315AA6">
          <w:rPr>
            <w:rStyle w:val="Hyperlink"/>
            <w:szCs w:val="17"/>
            <w:lang w:val="fr-FR"/>
          </w:rPr>
          <w:t>https://seed.hu/hirek/a-tortenet-folytatodik-sikeres-vallalkozonok-es-noi-vallalatvezetok-kerestetnek-2021-ben-is</w:t>
        </w:r>
      </w:hyperlink>
      <w:r w:rsidRPr="00315AA6">
        <w:rPr>
          <w:szCs w:val="17"/>
          <w:lang w:val="fr-FR"/>
        </w:rPr>
        <w:t>.</w:t>
      </w:r>
    </w:p>
  </w:footnote>
  <w:footnote w:id="16">
    <w:p w14:paraId="630EBA3A" w14:textId="3A88D727" w:rsidR="00EB0DAE" w:rsidRPr="00315AA6" w:rsidRDefault="00EB0DAE"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Décret 22/2011</w:t>
      </w:r>
      <w:r w:rsidR="00CB2E84">
        <w:rPr>
          <w:szCs w:val="17"/>
          <w:lang w:val="fr-FR"/>
        </w:rPr>
        <w:t xml:space="preserve"> </w:t>
      </w:r>
      <w:r w:rsidRPr="00315AA6">
        <w:rPr>
          <w:szCs w:val="17"/>
          <w:lang w:val="fr-FR"/>
        </w:rPr>
        <w:t>(X. 21.) du quartier général de la police nationale hongroise sur la coopération et les contacts entre la police et les collectivités autonomes de la minorité rom.</w:t>
      </w:r>
    </w:p>
  </w:footnote>
  <w:footnote w:id="17">
    <w:p w14:paraId="470B35EF" w14:textId="124AA5F5" w:rsidR="00EB0DAE" w:rsidRPr="00315AA6" w:rsidRDefault="00EB0DAE" w:rsidP="00315AA6">
      <w:pPr>
        <w:pStyle w:val="FootnoteText"/>
        <w:tabs>
          <w:tab w:val="right" w:pos="1195"/>
          <w:tab w:val="left" w:pos="1267"/>
          <w:tab w:val="left" w:pos="1742"/>
          <w:tab w:val="left" w:pos="2218"/>
          <w:tab w:val="left" w:pos="2693"/>
        </w:tabs>
        <w:ind w:left="1267" w:right="1260" w:hanging="576"/>
        <w:rPr>
          <w:szCs w:val="17"/>
          <w:lang w:val="fr-FR"/>
        </w:rPr>
      </w:pPr>
      <w:r w:rsidRPr="002D0D3F">
        <w:rPr>
          <w:szCs w:val="17"/>
          <w:lang w:val="fr-FR"/>
        </w:rPr>
        <w:tab/>
      </w:r>
      <w:r w:rsidRPr="00315AA6">
        <w:rPr>
          <w:rStyle w:val="FootnoteReference"/>
          <w:spacing w:val="4"/>
          <w:lang w:val="fr-FR"/>
        </w:rPr>
        <w:footnoteRef/>
      </w:r>
      <w:r w:rsidRPr="00315AA6">
        <w:rPr>
          <w:szCs w:val="17"/>
          <w:lang w:val="fr-FR"/>
        </w:rPr>
        <w:tab/>
        <w:t>Décret gouvernemental 301/2007 (XI. 9.) sur l’application de la loi LXXX de 2007 sur l’asile.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959FC" w14:paraId="78E2113C" w14:textId="77777777" w:rsidTr="00C959FC">
      <w:trPr>
        <w:trHeight w:hRule="exact" w:val="864"/>
      </w:trPr>
      <w:tc>
        <w:tcPr>
          <w:tcW w:w="4920" w:type="dxa"/>
          <w:shd w:val="clear" w:color="auto" w:fill="auto"/>
          <w:vAlign w:val="bottom"/>
        </w:tcPr>
        <w:p w14:paraId="08A1C2A5" w14:textId="2493FDB1" w:rsidR="00C959FC" w:rsidRPr="00C959FC" w:rsidRDefault="00C959FC" w:rsidP="00C959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7F61">
            <w:rPr>
              <w:b/>
              <w:color w:val="000000"/>
            </w:rPr>
            <w:t>CEDAW/C/HUN/RQ/9</w:t>
          </w:r>
          <w:r>
            <w:rPr>
              <w:b/>
              <w:color w:val="000000"/>
            </w:rPr>
            <w:fldChar w:fldCharType="end"/>
          </w:r>
        </w:p>
      </w:tc>
      <w:tc>
        <w:tcPr>
          <w:tcW w:w="4920" w:type="dxa"/>
          <w:shd w:val="clear" w:color="auto" w:fill="auto"/>
          <w:vAlign w:val="bottom"/>
        </w:tcPr>
        <w:p w14:paraId="40B4F32E" w14:textId="77777777" w:rsidR="00C959FC" w:rsidRDefault="00C959FC" w:rsidP="00C959FC">
          <w:pPr>
            <w:pStyle w:val="Header"/>
          </w:pPr>
        </w:p>
      </w:tc>
    </w:tr>
  </w:tbl>
  <w:p w14:paraId="0EEF6FBC" w14:textId="77777777" w:rsidR="00C959FC" w:rsidRPr="00C959FC" w:rsidRDefault="00C959FC" w:rsidP="00C959F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959FC" w14:paraId="01F05E00" w14:textId="77777777" w:rsidTr="00C959FC">
      <w:trPr>
        <w:trHeight w:hRule="exact" w:val="864"/>
      </w:trPr>
      <w:tc>
        <w:tcPr>
          <w:tcW w:w="4920" w:type="dxa"/>
          <w:shd w:val="clear" w:color="auto" w:fill="auto"/>
          <w:vAlign w:val="bottom"/>
        </w:tcPr>
        <w:p w14:paraId="11229AA9" w14:textId="77777777" w:rsidR="00C959FC" w:rsidRDefault="00C959FC" w:rsidP="00C959FC">
          <w:pPr>
            <w:pStyle w:val="Header"/>
          </w:pPr>
        </w:p>
      </w:tc>
      <w:tc>
        <w:tcPr>
          <w:tcW w:w="4920" w:type="dxa"/>
          <w:shd w:val="clear" w:color="auto" w:fill="auto"/>
          <w:vAlign w:val="bottom"/>
        </w:tcPr>
        <w:p w14:paraId="7793F379" w14:textId="0C7868D1" w:rsidR="00C959FC" w:rsidRPr="00C959FC" w:rsidRDefault="00C959FC" w:rsidP="00C959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7F61">
            <w:rPr>
              <w:b/>
              <w:color w:val="000000"/>
            </w:rPr>
            <w:t>CEDAW/C/HUN/RQ/9</w:t>
          </w:r>
          <w:r>
            <w:rPr>
              <w:b/>
              <w:color w:val="000000"/>
            </w:rPr>
            <w:fldChar w:fldCharType="end"/>
          </w:r>
        </w:p>
      </w:tc>
    </w:tr>
  </w:tbl>
  <w:p w14:paraId="1DD43AB7" w14:textId="77777777" w:rsidR="00C959FC" w:rsidRPr="00C959FC" w:rsidRDefault="00C959FC" w:rsidP="00C959F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959FC" w:rsidRPr="0037157A" w14:paraId="27C93DFD" w14:textId="77777777" w:rsidTr="00C959FC">
      <w:trPr>
        <w:trHeight w:hRule="exact" w:val="864"/>
      </w:trPr>
      <w:tc>
        <w:tcPr>
          <w:tcW w:w="1267" w:type="dxa"/>
          <w:tcBorders>
            <w:bottom w:val="single" w:sz="4" w:space="0" w:color="auto"/>
          </w:tcBorders>
          <w:shd w:val="clear" w:color="auto" w:fill="auto"/>
          <w:vAlign w:val="bottom"/>
        </w:tcPr>
        <w:p w14:paraId="7F4E05ED" w14:textId="77777777" w:rsidR="00C959FC" w:rsidRPr="0037157A" w:rsidRDefault="00C959FC" w:rsidP="00C959FC">
          <w:pPr>
            <w:pStyle w:val="Header"/>
            <w:spacing w:after="120"/>
            <w:rPr>
              <w:lang w:val="fr-FR"/>
            </w:rPr>
          </w:pPr>
        </w:p>
      </w:tc>
      <w:tc>
        <w:tcPr>
          <w:tcW w:w="2059" w:type="dxa"/>
          <w:tcBorders>
            <w:bottom w:val="single" w:sz="4" w:space="0" w:color="auto"/>
          </w:tcBorders>
          <w:shd w:val="clear" w:color="auto" w:fill="auto"/>
          <w:vAlign w:val="bottom"/>
        </w:tcPr>
        <w:p w14:paraId="6F464BB5" w14:textId="03121994" w:rsidR="00C959FC" w:rsidRPr="0037157A" w:rsidRDefault="00C959FC" w:rsidP="00C959FC">
          <w:pPr>
            <w:pStyle w:val="HCH"/>
            <w:spacing w:after="80"/>
            <w:rPr>
              <w:b w:val="0"/>
              <w:color w:val="010000"/>
              <w:spacing w:val="2"/>
              <w:w w:val="96"/>
              <w:lang w:val="fr-FR"/>
            </w:rPr>
          </w:pPr>
          <w:r w:rsidRPr="0037157A">
            <w:rPr>
              <w:b w:val="0"/>
              <w:color w:val="010000"/>
              <w:spacing w:val="2"/>
              <w:w w:val="96"/>
              <w:lang w:val="fr-FR"/>
            </w:rPr>
            <w:t>Nations Unies</w:t>
          </w:r>
        </w:p>
      </w:tc>
      <w:tc>
        <w:tcPr>
          <w:tcW w:w="58" w:type="dxa"/>
          <w:tcBorders>
            <w:bottom w:val="single" w:sz="4" w:space="0" w:color="auto"/>
          </w:tcBorders>
          <w:shd w:val="clear" w:color="auto" w:fill="auto"/>
          <w:vAlign w:val="bottom"/>
        </w:tcPr>
        <w:p w14:paraId="76D34D45" w14:textId="77777777" w:rsidR="00C959FC" w:rsidRPr="0037157A" w:rsidRDefault="00C959FC" w:rsidP="00C959FC">
          <w:pPr>
            <w:pStyle w:val="Header"/>
            <w:spacing w:after="120"/>
            <w:rPr>
              <w:lang w:val="fr-FR"/>
            </w:rPr>
          </w:pPr>
        </w:p>
      </w:tc>
      <w:tc>
        <w:tcPr>
          <w:tcW w:w="6466" w:type="dxa"/>
          <w:gridSpan w:val="3"/>
          <w:tcBorders>
            <w:bottom w:val="single" w:sz="4" w:space="0" w:color="auto"/>
          </w:tcBorders>
          <w:shd w:val="clear" w:color="auto" w:fill="auto"/>
          <w:vAlign w:val="bottom"/>
        </w:tcPr>
        <w:p w14:paraId="23484D46" w14:textId="107F1DF4" w:rsidR="00C959FC" w:rsidRPr="0037157A" w:rsidRDefault="00C959FC" w:rsidP="00C959FC">
          <w:pPr>
            <w:spacing w:after="80" w:line="240" w:lineRule="auto"/>
            <w:jc w:val="right"/>
            <w:rPr>
              <w:position w:val="-4"/>
              <w:lang w:val="fr-FR"/>
            </w:rPr>
          </w:pPr>
          <w:r w:rsidRPr="0037157A">
            <w:rPr>
              <w:position w:val="-4"/>
              <w:sz w:val="40"/>
              <w:lang w:val="fr-FR"/>
            </w:rPr>
            <w:t>CEDAW</w:t>
          </w:r>
          <w:r w:rsidRPr="0037157A">
            <w:rPr>
              <w:position w:val="-4"/>
              <w:lang w:val="fr-FR"/>
            </w:rPr>
            <w:t>/C/HUN/RQ/9</w:t>
          </w:r>
        </w:p>
      </w:tc>
    </w:tr>
    <w:tr w:rsidR="00C959FC" w:rsidRPr="0037157A" w14:paraId="0A62959B" w14:textId="77777777" w:rsidTr="00C959FC">
      <w:trPr>
        <w:trHeight w:hRule="exact" w:val="2880"/>
      </w:trPr>
      <w:tc>
        <w:tcPr>
          <w:tcW w:w="1267" w:type="dxa"/>
          <w:tcBorders>
            <w:top w:val="single" w:sz="4" w:space="0" w:color="auto"/>
            <w:bottom w:val="single" w:sz="12" w:space="0" w:color="auto"/>
          </w:tcBorders>
          <w:shd w:val="clear" w:color="auto" w:fill="auto"/>
        </w:tcPr>
        <w:p w14:paraId="6E5BD84B" w14:textId="2F3CCE1C" w:rsidR="00C959FC" w:rsidRPr="0037157A" w:rsidRDefault="00C959FC" w:rsidP="00C959FC">
          <w:pPr>
            <w:pStyle w:val="Header"/>
            <w:spacing w:before="120" w:line="240" w:lineRule="auto"/>
            <w:ind w:left="-72"/>
            <w:jc w:val="center"/>
            <w:rPr>
              <w:lang w:val="fr-FR"/>
            </w:rPr>
          </w:pPr>
          <w:r w:rsidRPr="0037157A">
            <w:rPr>
              <w:lang w:val="fr-FR"/>
            </w:rPr>
            <w:t xml:space="preserve">  </w:t>
          </w:r>
          <w:r w:rsidRPr="0037157A">
            <w:rPr>
              <w:noProof/>
              <w:lang w:val="fr-FR"/>
            </w:rPr>
            <w:drawing>
              <wp:inline distT="0" distB="0" distL="0" distR="0" wp14:anchorId="4ABBC9E2" wp14:editId="02F747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8596BA" w14:textId="636DE316" w:rsidR="00C959FC" w:rsidRPr="0037157A" w:rsidRDefault="00C959FC" w:rsidP="00C959FC">
          <w:pPr>
            <w:pStyle w:val="XLarge"/>
            <w:spacing w:before="120" w:line="360" w:lineRule="exact"/>
            <w:rPr>
              <w:sz w:val="36"/>
              <w:lang w:val="fr-FR"/>
            </w:rPr>
          </w:pPr>
          <w:r w:rsidRPr="0037157A">
            <w:rPr>
              <w:sz w:val="36"/>
              <w:lang w:val="fr-FR"/>
            </w:rPr>
            <w:t>Convention sur l’élimination</w:t>
          </w:r>
          <w:r w:rsidRPr="0037157A">
            <w:rPr>
              <w:sz w:val="36"/>
              <w:lang w:val="fr-FR"/>
            </w:rPr>
            <w:br/>
            <w:t>de toutes les formes</w:t>
          </w:r>
          <w:r w:rsidRPr="0037157A">
            <w:rPr>
              <w:sz w:val="36"/>
              <w:lang w:val="fr-FR"/>
            </w:rPr>
            <w:br/>
            <w:t>de discrimination à l’égard</w:t>
          </w:r>
          <w:r w:rsidRPr="0037157A">
            <w:rPr>
              <w:sz w:val="36"/>
              <w:lang w:val="fr-FR"/>
            </w:rPr>
            <w:br/>
            <w:t xml:space="preserve">des femmes </w:t>
          </w:r>
        </w:p>
      </w:tc>
      <w:tc>
        <w:tcPr>
          <w:tcW w:w="245" w:type="dxa"/>
          <w:tcBorders>
            <w:top w:val="single" w:sz="4" w:space="0" w:color="auto"/>
            <w:bottom w:val="single" w:sz="12" w:space="0" w:color="auto"/>
          </w:tcBorders>
          <w:shd w:val="clear" w:color="auto" w:fill="auto"/>
        </w:tcPr>
        <w:p w14:paraId="23F4438D" w14:textId="77777777" w:rsidR="00C959FC" w:rsidRPr="0037157A" w:rsidRDefault="00C959FC" w:rsidP="00C959FC">
          <w:pPr>
            <w:pStyle w:val="Header"/>
            <w:spacing w:before="109"/>
            <w:rPr>
              <w:lang w:val="fr-FR"/>
            </w:rPr>
          </w:pPr>
        </w:p>
      </w:tc>
      <w:tc>
        <w:tcPr>
          <w:tcW w:w="3110" w:type="dxa"/>
          <w:tcBorders>
            <w:top w:val="single" w:sz="4" w:space="0" w:color="auto"/>
            <w:bottom w:val="single" w:sz="12" w:space="0" w:color="auto"/>
          </w:tcBorders>
          <w:shd w:val="clear" w:color="auto" w:fill="auto"/>
        </w:tcPr>
        <w:p w14:paraId="7688FBA3" w14:textId="77777777" w:rsidR="00C959FC" w:rsidRPr="0037157A" w:rsidRDefault="00C959FC" w:rsidP="00C959FC">
          <w:pPr>
            <w:pStyle w:val="Distribution"/>
            <w:rPr>
              <w:color w:val="000000"/>
              <w:lang w:val="fr-FR"/>
            </w:rPr>
          </w:pPr>
          <w:r w:rsidRPr="0037157A">
            <w:rPr>
              <w:color w:val="000000"/>
              <w:lang w:val="fr-FR"/>
            </w:rPr>
            <w:t>Distr. générale</w:t>
          </w:r>
        </w:p>
        <w:p w14:paraId="0C110ADC" w14:textId="77777777" w:rsidR="00C959FC" w:rsidRPr="0037157A" w:rsidRDefault="00C959FC" w:rsidP="00C959FC">
          <w:pPr>
            <w:pStyle w:val="Publication"/>
            <w:rPr>
              <w:color w:val="000000"/>
              <w:lang w:val="fr-FR"/>
            </w:rPr>
          </w:pPr>
          <w:r w:rsidRPr="0037157A">
            <w:rPr>
              <w:color w:val="000000"/>
              <w:lang w:val="fr-FR"/>
            </w:rPr>
            <w:t>25 février 2022</w:t>
          </w:r>
        </w:p>
        <w:p w14:paraId="65FA7166" w14:textId="77777777" w:rsidR="00C959FC" w:rsidRPr="0037157A" w:rsidRDefault="00C959FC" w:rsidP="00C959FC">
          <w:pPr>
            <w:rPr>
              <w:lang w:val="fr-FR"/>
            </w:rPr>
          </w:pPr>
          <w:r w:rsidRPr="0037157A">
            <w:rPr>
              <w:lang w:val="fr-FR"/>
            </w:rPr>
            <w:t>Français</w:t>
          </w:r>
        </w:p>
        <w:p w14:paraId="787A3080" w14:textId="77777777" w:rsidR="00C959FC" w:rsidRPr="0037157A" w:rsidRDefault="00C959FC" w:rsidP="00C959FC">
          <w:pPr>
            <w:pStyle w:val="Original"/>
            <w:rPr>
              <w:color w:val="000000"/>
              <w:lang w:val="fr-FR"/>
            </w:rPr>
          </w:pPr>
          <w:r w:rsidRPr="0037157A">
            <w:rPr>
              <w:color w:val="000000"/>
              <w:lang w:val="fr-FR"/>
            </w:rPr>
            <w:t>Original : anglais</w:t>
          </w:r>
        </w:p>
        <w:p w14:paraId="6CD033DD" w14:textId="1364CC72" w:rsidR="00315AA6" w:rsidRPr="0037157A" w:rsidRDefault="00315AA6" w:rsidP="00315AA6">
          <w:pPr>
            <w:rPr>
              <w:lang w:val="fr-FR"/>
            </w:rPr>
          </w:pPr>
          <w:r w:rsidRPr="0037157A">
            <w:rPr>
              <w:lang w:val="fr-FR"/>
            </w:rPr>
            <w:t>Anglais, espagnol et français seulement</w:t>
          </w:r>
        </w:p>
      </w:tc>
    </w:tr>
  </w:tbl>
  <w:p w14:paraId="46E92758" w14:textId="77777777" w:rsidR="00C959FC" w:rsidRPr="0037157A" w:rsidRDefault="00C959FC" w:rsidP="00C959F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4F872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82BCF1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1166F24" w:tentative="1">
      <w:start w:val="1"/>
      <w:numFmt w:val="lowerLetter"/>
      <w:lvlText w:val="%2."/>
      <w:lvlJc w:val="left"/>
      <w:pPr>
        <w:tabs>
          <w:tab w:val="num" w:pos="1440"/>
        </w:tabs>
        <w:ind w:left="1440" w:hanging="360"/>
      </w:pPr>
    </w:lvl>
    <w:lvl w:ilvl="2" w:tplc="1AA4682A" w:tentative="1">
      <w:start w:val="1"/>
      <w:numFmt w:val="lowerRoman"/>
      <w:lvlText w:val="%3."/>
      <w:lvlJc w:val="right"/>
      <w:pPr>
        <w:tabs>
          <w:tab w:val="num" w:pos="2160"/>
        </w:tabs>
        <w:ind w:left="2160" w:hanging="180"/>
      </w:pPr>
    </w:lvl>
    <w:lvl w:ilvl="3" w:tplc="7738FCDC" w:tentative="1">
      <w:start w:val="1"/>
      <w:numFmt w:val="decimal"/>
      <w:lvlText w:val="%4."/>
      <w:lvlJc w:val="left"/>
      <w:pPr>
        <w:tabs>
          <w:tab w:val="num" w:pos="2880"/>
        </w:tabs>
        <w:ind w:left="2880" w:hanging="360"/>
      </w:pPr>
    </w:lvl>
    <w:lvl w:ilvl="4" w:tplc="2DC2E3C6" w:tentative="1">
      <w:start w:val="1"/>
      <w:numFmt w:val="lowerLetter"/>
      <w:lvlText w:val="%5."/>
      <w:lvlJc w:val="left"/>
      <w:pPr>
        <w:tabs>
          <w:tab w:val="num" w:pos="3600"/>
        </w:tabs>
        <w:ind w:left="3600" w:hanging="360"/>
      </w:pPr>
    </w:lvl>
    <w:lvl w:ilvl="5" w:tplc="C0F4CD10" w:tentative="1">
      <w:start w:val="1"/>
      <w:numFmt w:val="lowerRoman"/>
      <w:lvlText w:val="%6."/>
      <w:lvlJc w:val="right"/>
      <w:pPr>
        <w:tabs>
          <w:tab w:val="num" w:pos="4320"/>
        </w:tabs>
        <w:ind w:left="4320" w:hanging="180"/>
      </w:pPr>
    </w:lvl>
    <w:lvl w:ilvl="6" w:tplc="857094A8" w:tentative="1">
      <w:start w:val="1"/>
      <w:numFmt w:val="decimal"/>
      <w:lvlText w:val="%7."/>
      <w:lvlJc w:val="left"/>
      <w:pPr>
        <w:tabs>
          <w:tab w:val="num" w:pos="5040"/>
        </w:tabs>
        <w:ind w:left="5040" w:hanging="360"/>
      </w:pPr>
    </w:lvl>
    <w:lvl w:ilvl="7" w:tplc="5B2646FE" w:tentative="1">
      <w:start w:val="1"/>
      <w:numFmt w:val="lowerLetter"/>
      <w:lvlText w:val="%8."/>
      <w:lvlJc w:val="left"/>
      <w:pPr>
        <w:tabs>
          <w:tab w:val="num" w:pos="5760"/>
        </w:tabs>
        <w:ind w:left="5760" w:hanging="360"/>
      </w:pPr>
    </w:lvl>
    <w:lvl w:ilvl="8" w:tplc="01D0F3D0"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566FE"/>
    <w:multiLevelType w:val="multilevel"/>
    <w:tmpl w:val="A6DE3D9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CF4EB2"/>
    <w:multiLevelType w:val="hybridMultilevel"/>
    <w:tmpl w:val="CB6C816A"/>
    <w:lvl w:ilvl="0" w:tplc="1A440C2E">
      <w:start w:val="1"/>
      <w:numFmt w:val="bullet"/>
      <w:pStyle w:val="Bullet2G"/>
      <w:lvlText w:val="•"/>
      <w:lvlJc w:val="left"/>
      <w:pPr>
        <w:tabs>
          <w:tab w:val="num" w:pos="2268"/>
        </w:tabs>
        <w:ind w:left="2268" w:hanging="170"/>
      </w:pPr>
      <w:rPr>
        <w:rFonts w:ascii="Times New Roman" w:hAnsi="Times New Roman" w:cs="Times New Roman" w:hint="default"/>
      </w:rPr>
    </w:lvl>
    <w:lvl w:ilvl="1" w:tplc="92321C5E" w:tentative="1">
      <w:start w:val="1"/>
      <w:numFmt w:val="bullet"/>
      <w:lvlText w:val="o"/>
      <w:lvlJc w:val="left"/>
      <w:pPr>
        <w:tabs>
          <w:tab w:val="num" w:pos="3708"/>
        </w:tabs>
        <w:ind w:left="3708" w:hanging="360"/>
      </w:pPr>
      <w:rPr>
        <w:rFonts w:ascii="Courier New" w:hAnsi="Courier New" w:hint="default"/>
      </w:rPr>
    </w:lvl>
    <w:lvl w:ilvl="2" w:tplc="9594F534" w:tentative="1">
      <w:start w:val="1"/>
      <w:numFmt w:val="bullet"/>
      <w:lvlText w:val=""/>
      <w:lvlJc w:val="left"/>
      <w:pPr>
        <w:tabs>
          <w:tab w:val="num" w:pos="4428"/>
        </w:tabs>
        <w:ind w:left="4428" w:hanging="360"/>
      </w:pPr>
      <w:rPr>
        <w:rFonts w:ascii="Wingdings" w:hAnsi="Wingdings" w:hint="default"/>
      </w:rPr>
    </w:lvl>
    <w:lvl w:ilvl="3" w:tplc="9788C212" w:tentative="1">
      <w:start w:val="1"/>
      <w:numFmt w:val="bullet"/>
      <w:lvlText w:val=""/>
      <w:lvlJc w:val="left"/>
      <w:pPr>
        <w:tabs>
          <w:tab w:val="num" w:pos="5148"/>
        </w:tabs>
        <w:ind w:left="5148" w:hanging="360"/>
      </w:pPr>
      <w:rPr>
        <w:rFonts w:ascii="Symbol" w:hAnsi="Symbol" w:hint="default"/>
      </w:rPr>
    </w:lvl>
    <w:lvl w:ilvl="4" w:tplc="D9504DBE" w:tentative="1">
      <w:start w:val="1"/>
      <w:numFmt w:val="bullet"/>
      <w:lvlText w:val="o"/>
      <w:lvlJc w:val="left"/>
      <w:pPr>
        <w:tabs>
          <w:tab w:val="num" w:pos="5868"/>
        </w:tabs>
        <w:ind w:left="5868" w:hanging="360"/>
      </w:pPr>
      <w:rPr>
        <w:rFonts w:ascii="Courier New" w:hAnsi="Courier New" w:hint="default"/>
      </w:rPr>
    </w:lvl>
    <w:lvl w:ilvl="5" w:tplc="BF6C44FA" w:tentative="1">
      <w:start w:val="1"/>
      <w:numFmt w:val="bullet"/>
      <w:lvlText w:val=""/>
      <w:lvlJc w:val="left"/>
      <w:pPr>
        <w:tabs>
          <w:tab w:val="num" w:pos="6588"/>
        </w:tabs>
        <w:ind w:left="6588" w:hanging="360"/>
      </w:pPr>
      <w:rPr>
        <w:rFonts w:ascii="Wingdings" w:hAnsi="Wingdings" w:hint="default"/>
      </w:rPr>
    </w:lvl>
    <w:lvl w:ilvl="6" w:tplc="9216F3DA" w:tentative="1">
      <w:start w:val="1"/>
      <w:numFmt w:val="bullet"/>
      <w:lvlText w:val=""/>
      <w:lvlJc w:val="left"/>
      <w:pPr>
        <w:tabs>
          <w:tab w:val="num" w:pos="7308"/>
        </w:tabs>
        <w:ind w:left="7308" w:hanging="360"/>
      </w:pPr>
      <w:rPr>
        <w:rFonts w:ascii="Symbol" w:hAnsi="Symbol" w:hint="default"/>
      </w:rPr>
    </w:lvl>
    <w:lvl w:ilvl="7" w:tplc="7BEED592" w:tentative="1">
      <w:start w:val="1"/>
      <w:numFmt w:val="bullet"/>
      <w:lvlText w:val="o"/>
      <w:lvlJc w:val="left"/>
      <w:pPr>
        <w:tabs>
          <w:tab w:val="num" w:pos="8028"/>
        </w:tabs>
        <w:ind w:left="8028" w:hanging="360"/>
      </w:pPr>
      <w:rPr>
        <w:rFonts w:ascii="Courier New" w:hAnsi="Courier New" w:hint="default"/>
      </w:rPr>
    </w:lvl>
    <w:lvl w:ilvl="8" w:tplc="EBDA95E4"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930EE6D2">
      <w:start w:val="1"/>
      <w:numFmt w:val="bullet"/>
      <w:pStyle w:val="Bullet1G"/>
      <w:lvlText w:val="•"/>
      <w:lvlJc w:val="left"/>
      <w:pPr>
        <w:tabs>
          <w:tab w:val="num" w:pos="1701"/>
        </w:tabs>
        <w:ind w:left="1701" w:hanging="170"/>
      </w:pPr>
      <w:rPr>
        <w:rFonts w:ascii="Times New Roman" w:hAnsi="Times New Roman" w:cs="Times New Roman" w:hint="default"/>
      </w:rPr>
    </w:lvl>
    <w:lvl w:ilvl="1" w:tplc="960A9F28" w:tentative="1">
      <w:start w:val="1"/>
      <w:numFmt w:val="bullet"/>
      <w:lvlText w:val="o"/>
      <w:lvlJc w:val="left"/>
      <w:pPr>
        <w:tabs>
          <w:tab w:val="num" w:pos="3141"/>
        </w:tabs>
        <w:ind w:left="3141" w:hanging="360"/>
      </w:pPr>
      <w:rPr>
        <w:rFonts w:ascii="Courier New" w:hAnsi="Courier New" w:hint="default"/>
      </w:rPr>
    </w:lvl>
    <w:lvl w:ilvl="2" w:tplc="29866D86" w:tentative="1">
      <w:start w:val="1"/>
      <w:numFmt w:val="bullet"/>
      <w:lvlText w:val=""/>
      <w:lvlJc w:val="left"/>
      <w:pPr>
        <w:tabs>
          <w:tab w:val="num" w:pos="3861"/>
        </w:tabs>
        <w:ind w:left="3861" w:hanging="360"/>
      </w:pPr>
      <w:rPr>
        <w:rFonts w:ascii="Wingdings" w:hAnsi="Wingdings" w:hint="default"/>
      </w:rPr>
    </w:lvl>
    <w:lvl w:ilvl="3" w:tplc="4EA0DFDA" w:tentative="1">
      <w:start w:val="1"/>
      <w:numFmt w:val="bullet"/>
      <w:lvlText w:val=""/>
      <w:lvlJc w:val="left"/>
      <w:pPr>
        <w:tabs>
          <w:tab w:val="num" w:pos="4581"/>
        </w:tabs>
        <w:ind w:left="4581" w:hanging="360"/>
      </w:pPr>
      <w:rPr>
        <w:rFonts w:ascii="Symbol" w:hAnsi="Symbol" w:hint="default"/>
      </w:rPr>
    </w:lvl>
    <w:lvl w:ilvl="4" w:tplc="31C23C18" w:tentative="1">
      <w:start w:val="1"/>
      <w:numFmt w:val="bullet"/>
      <w:lvlText w:val="o"/>
      <w:lvlJc w:val="left"/>
      <w:pPr>
        <w:tabs>
          <w:tab w:val="num" w:pos="5301"/>
        </w:tabs>
        <w:ind w:left="5301" w:hanging="360"/>
      </w:pPr>
      <w:rPr>
        <w:rFonts w:ascii="Courier New" w:hAnsi="Courier New" w:hint="default"/>
      </w:rPr>
    </w:lvl>
    <w:lvl w:ilvl="5" w:tplc="B7CECD9A" w:tentative="1">
      <w:start w:val="1"/>
      <w:numFmt w:val="bullet"/>
      <w:lvlText w:val=""/>
      <w:lvlJc w:val="left"/>
      <w:pPr>
        <w:tabs>
          <w:tab w:val="num" w:pos="6021"/>
        </w:tabs>
        <w:ind w:left="6021" w:hanging="360"/>
      </w:pPr>
      <w:rPr>
        <w:rFonts w:ascii="Wingdings" w:hAnsi="Wingdings" w:hint="default"/>
      </w:rPr>
    </w:lvl>
    <w:lvl w:ilvl="6" w:tplc="2F10E0EC" w:tentative="1">
      <w:start w:val="1"/>
      <w:numFmt w:val="bullet"/>
      <w:lvlText w:val=""/>
      <w:lvlJc w:val="left"/>
      <w:pPr>
        <w:tabs>
          <w:tab w:val="num" w:pos="6741"/>
        </w:tabs>
        <w:ind w:left="6741" w:hanging="360"/>
      </w:pPr>
      <w:rPr>
        <w:rFonts w:ascii="Symbol" w:hAnsi="Symbol" w:hint="default"/>
      </w:rPr>
    </w:lvl>
    <w:lvl w:ilvl="7" w:tplc="53DA4A08" w:tentative="1">
      <w:start w:val="1"/>
      <w:numFmt w:val="bullet"/>
      <w:lvlText w:val="o"/>
      <w:lvlJc w:val="left"/>
      <w:pPr>
        <w:tabs>
          <w:tab w:val="num" w:pos="7461"/>
        </w:tabs>
        <w:ind w:left="7461" w:hanging="360"/>
      </w:pPr>
      <w:rPr>
        <w:rFonts w:ascii="Courier New" w:hAnsi="Courier New" w:hint="default"/>
      </w:rPr>
    </w:lvl>
    <w:lvl w:ilvl="8" w:tplc="86A26440"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8AD7261"/>
    <w:multiLevelType w:val="singleLevel"/>
    <w:tmpl w:val="089204BA"/>
    <w:lvl w:ilvl="0">
      <w:start w:val="1"/>
      <w:numFmt w:val="decimal"/>
      <w:lvlRestart w:val="0"/>
      <w:lvlText w:val="%1."/>
      <w:lvlJc w:val="left"/>
      <w:pPr>
        <w:tabs>
          <w:tab w:val="num" w:pos="475"/>
        </w:tabs>
        <w:ind w:left="0" w:firstLine="0"/>
      </w:pPr>
      <w:rPr>
        <w:b w:val="0"/>
        <w:bCs/>
        <w:w w:val="100"/>
      </w:rPr>
    </w:lvl>
  </w:abstractNum>
  <w:abstractNum w:abstractNumId="10" w15:restartNumberingAfterBreak="0">
    <w:nsid w:val="70EC6EA4"/>
    <w:multiLevelType w:val="singleLevel"/>
    <w:tmpl w:val="7ECE396A"/>
    <w:lvl w:ilvl="0">
      <w:start w:val="27"/>
      <w:numFmt w:val="decimal"/>
      <w:lvlRestart w:val="0"/>
      <w:lvlText w:val="%1."/>
      <w:lvlJc w:val="left"/>
      <w:pPr>
        <w:tabs>
          <w:tab w:val="num" w:pos="1742"/>
        </w:tabs>
        <w:ind w:left="1267" w:firstLine="0"/>
      </w:pPr>
      <w:rPr>
        <w:w w:val="100"/>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0"/>
  </w:num>
  <w:num w:numId="4">
    <w:abstractNumId w:val="2"/>
  </w:num>
  <w:num w:numId="5">
    <w:abstractNumId w:val="4"/>
  </w:num>
  <w:num w:numId="6">
    <w:abstractNumId w:val="9"/>
  </w:num>
  <w:num w:numId="7">
    <w:abstractNumId w:val="8"/>
  </w:num>
  <w:num w:numId="8">
    <w:abstractNumId w:val="5"/>
  </w:num>
  <w:num w:numId="9">
    <w:abstractNumId w:val="1"/>
  </w:num>
  <w:num w:numId="10">
    <w:abstractNumId w:val="7"/>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defaultTabStop w:val="475"/>
  <w:hyphenationZone w:val="425"/>
  <w:doNotHyphenateCaps/>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2795*"/>
    <w:docVar w:name="CreationDt" w:val="17/03/2022 12:47:13"/>
    <w:docVar w:name="DocCategory" w:val="Doc"/>
    <w:docVar w:name="DocType" w:val="Final"/>
    <w:docVar w:name="DutyStation" w:val="New York"/>
    <w:docVar w:name="FooterJN" w:val="22-02795"/>
    <w:docVar w:name="jobn" w:val="22-02795 (F)"/>
    <w:docVar w:name="jobnDT" w:val="22-02795 (F)   170322"/>
    <w:docVar w:name="jobnDTDT" w:val="22-02795 (F)   170322   170322"/>
    <w:docVar w:name="JobNo" w:val="2202795F"/>
    <w:docVar w:name="JobNo2" w:val="2226946F"/>
    <w:docVar w:name="LocalDrive" w:val="-1"/>
    <w:docVar w:name="OandT" w:val="Moise"/>
    <w:docVar w:name="Session1" w:val="Quatre-vingt-deuxième session_x000d_"/>
    <w:docVar w:name="sss1" w:val="CEDAW/C/HUN/RQ/9"/>
    <w:docVar w:name="sss2" w:val="-"/>
    <w:docVar w:name="Symbol1" w:val="CEDAW/C/HUN/RQ/9"/>
    <w:docVar w:name="Symbol2" w:val="-"/>
    <w:docVar w:name="Title1" w:val="_x0009__x0009_Réponses de la Hongrie à la liste de points et de questions concernant son neuvième rapport périodique*, **_x000d_"/>
  </w:docVars>
  <w:rsids>
    <w:rsidRoot w:val="00294864"/>
    <w:rsid w:val="00002584"/>
    <w:rsid w:val="00047FA3"/>
    <w:rsid w:val="0006491F"/>
    <w:rsid w:val="00071D43"/>
    <w:rsid w:val="00082144"/>
    <w:rsid w:val="000A3215"/>
    <w:rsid w:val="000A4D00"/>
    <w:rsid w:val="000C689C"/>
    <w:rsid w:val="000F676F"/>
    <w:rsid w:val="00101B18"/>
    <w:rsid w:val="00104031"/>
    <w:rsid w:val="00122A56"/>
    <w:rsid w:val="00126CC1"/>
    <w:rsid w:val="0013360D"/>
    <w:rsid w:val="00134FEE"/>
    <w:rsid w:val="00146C6A"/>
    <w:rsid w:val="0015754A"/>
    <w:rsid w:val="00166A0D"/>
    <w:rsid w:val="00177A62"/>
    <w:rsid w:val="00180189"/>
    <w:rsid w:val="0018165E"/>
    <w:rsid w:val="001C159C"/>
    <w:rsid w:val="001D065F"/>
    <w:rsid w:val="001E2379"/>
    <w:rsid w:val="001E4B50"/>
    <w:rsid w:val="002275F8"/>
    <w:rsid w:val="00245107"/>
    <w:rsid w:val="00245FDC"/>
    <w:rsid w:val="002478A0"/>
    <w:rsid w:val="00294864"/>
    <w:rsid w:val="002A5E20"/>
    <w:rsid w:val="002D6372"/>
    <w:rsid w:val="002D7091"/>
    <w:rsid w:val="002E0B8B"/>
    <w:rsid w:val="002F1E5C"/>
    <w:rsid w:val="0030765E"/>
    <w:rsid w:val="0031564C"/>
    <w:rsid w:val="00315AA6"/>
    <w:rsid w:val="003162D0"/>
    <w:rsid w:val="003607C4"/>
    <w:rsid w:val="00366D21"/>
    <w:rsid w:val="0037157A"/>
    <w:rsid w:val="0038509E"/>
    <w:rsid w:val="003905FA"/>
    <w:rsid w:val="003A675A"/>
    <w:rsid w:val="003C3986"/>
    <w:rsid w:val="003C7E55"/>
    <w:rsid w:val="003D7E2E"/>
    <w:rsid w:val="003F61E1"/>
    <w:rsid w:val="003F6594"/>
    <w:rsid w:val="00410BE8"/>
    <w:rsid w:val="00440C93"/>
    <w:rsid w:val="004471C3"/>
    <w:rsid w:val="00472B7F"/>
    <w:rsid w:val="00480B84"/>
    <w:rsid w:val="004B01D0"/>
    <w:rsid w:val="004B3372"/>
    <w:rsid w:val="004B64F9"/>
    <w:rsid w:val="004C1A25"/>
    <w:rsid w:val="004D7273"/>
    <w:rsid w:val="00515991"/>
    <w:rsid w:val="005225EC"/>
    <w:rsid w:val="00525097"/>
    <w:rsid w:val="005509B6"/>
    <w:rsid w:val="00571235"/>
    <w:rsid w:val="00577A36"/>
    <w:rsid w:val="00580CF2"/>
    <w:rsid w:val="005B398E"/>
    <w:rsid w:val="005B5EF2"/>
    <w:rsid w:val="005C03A7"/>
    <w:rsid w:val="005C5330"/>
    <w:rsid w:val="005F1F5F"/>
    <w:rsid w:val="00605121"/>
    <w:rsid w:val="00622C56"/>
    <w:rsid w:val="00632C10"/>
    <w:rsid w:val="006615F3"/>
    <w:rsid w:val="00690698"/>
    <w:rsid w:val="006A48EB"/>
    <w:rsid w:val="006A72AB"/>
    <w:rsid w:val="006B0226"/>
    <w:rsid w:val="006C0D4B"/>
    <w:rsid w:val="006C5A5D"/>
    <w:rsid w:val="006E4A4B"/>
    <w:rsid w:val="006E5107"/>
    <w:rsid w:val="00703106"/>
    <w:rsid w:val="007459AE"/>
    <w:rsid w:val="007531A5"/>
    <w:rsid w:val="00771C9E"/>
    <w:rsid w:val="007745AD"/>
    <w:rsid w:val="007A1C57"/>
    <w:rsid w:val="007A4B41"/>
    <w:rsid w:val="007E1619"/>
    <w:rsid w:val="007F3F16"/>
    <w:rsid w:val="008132A7"/>
    <w:rsid w:val="0082045E"/>
    <w:rsid w:val="008222A3"/>
    <w:rsid w:val="00834E0B"/>
    <w:rsid w:val="00883D3C"/>
    <w:rsid w:val="00886CF2"/>
    <w:rsid w:val="008911F6"/>
    <w:rsid w:val="008F3462"/>
    <w:rsid w:val="0090104D"/>
    <w:rsid w:val="00910411"/>
    <w:rsid w:val="009202F3"/>
    <w:rsid w:val="009221D1"/>
    <w:rsid w:val="009237A6"/>
    <w:rsid w:val="00935932"/>
    <w:rsid w:val="00940BC0"/>
    <w:rsid w:val="009547DC"/>
    <w:rsid w:val="00960147"/>
    <w:rsid w:val="00993CB7"/>
    <w:rsid w:val="00994877"/>
    <w:rsid w:val="009C3BFE"/>
    <w:rsid w:val="009C76EF"/>
    <w:rsid w:val="009D0EE3"/>
    <w:rsid w:val="009D535F"/>
    <w:rsid w:val="009E3220"/>
    <w:rsid w:val="009F40B9"/>
    <w:rsid w:val="00A06FE3"/>
    <w:rsid w:val="00A2494D"/>
    <w:rsid w:val="00A464B5"/>
    <w:rsid w:val="00A536A1"/>
    <w:rsid w:val="00A61186"/>
    <w:rsid w:val="00A8072A"/>
    <w:rsid w:val="00AB0B7D"/>
    <w:rsid w:val="00AD5F2F"/>
    <w:rsid w:val="00B06C44"/>
    <w:rsid w:val="00B24C23"/>
    <w:rsid w:val="00B514F7"/>
    <w:rsid w:val="00B858D5"/>
    <w:rsid w:val="00BC6F0B"/>
    <w:rsid w:val="00BE1017"/>
    <w:rsid w:val="00BE5692"/>
    <w:rsid w:val="00C138C6"/>
    <w:rsid w:val="00C233BE"/>
    <w:rsid w:val="00C4590A"/>
    <w:rsid w:val="00C959FC"/>
    <w:rsid w:val="00CB06FB"/>
    <w:rsid w:val="00CB2E84"/>
    <w:rsid w:val="00CB63C5"/>
    <w:rsid w:val="00D0042C"/>
    <w:rsid w:val="00D10EA4"/>
    <w:rsid w:val="00D11486"/>
    <w:rsid w:val="00D17B24"/>
    <w:rsid w:val="00D30EED"/>
    <w:rsid w:val="00D477D3"/>
    <w:rsid w:val="00D62ADF"/>
    <w:rsid w:val="00DA0209"/>
    <w:rsid w:val="00DB0DA8"/>
    <w:rsid w:val="00DC71DA"/>
    <w:rsid w:val="00DC7881"/>
    <w:rsid w:val="00DF7F61"/>
    <w:rsid w:val="00E126C3"/>
    <w:rsid w:val="00E31BE9"/>
    <w:rsid w:val="00E343A6"/>
    <w:rsid w:val="00E443AC"/>
    <w:rsid w:val="00E47A1E"/>
    <w:rsid w:val="00E7105F"/>
    <w:rsid w:val="00E7792F"/>
    <w:rsid w:val="00EB0DAE"/>
    <w:rsid w:val="00EE37EC"/>
    <w:rsid w:val="00EE5260"/>
    <w:rsid w:val="00EF2DFA"/>
    <w:rsid w:val="00EF428F"/>
    <w:rsid w:val="00F12A93"/>
    <w:rsid w:val="00F175C0"/>
    <w:rsid w:val="00F313F6"/>
    <w:rsid w:val="00F5012D"/>
    <w:rsid w:val="00F73093"/>
    <w:rsid w:val="00FA3D05"/>
    <w:rsid w:val="00FA5CC9"/>
    <w:rsid w:val="00FB0A2C"/>
    <w:rsid w:val="00FB6F1B"/>
    <w:rsid w:val="00FC59F1"/>
    <w:rsid w:val="00FD4A13"/>
    <w:rsid w:val="00FF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F9FD322"/>
  <w15:chartTrackingRefBased/>
  <w15:docId w15:val="{D3A6B162-2768-4AE6-AE09-49E39886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D477D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477D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477D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D477D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477D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477D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477D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D477D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D477D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77D3"/>
    <w:pPr>
      <w:keepNext/>
      <w:keepLines/>
      <w:suppressAutoHyphens/>
      <w:spacing w:line="270" w:lineRule="exact"/>
      <w:outlineLvl w:val="0"/>
    </w:pPr>
    <w:rPr>
      <w:b/>
      <w:sz w:val="24"/>
    </w:rPr>
  </w:style>
  <w:style w:type="paragraph" w:customStyle="1" w:styleId="HCH">
    <w:name w:val="_ H _CH"/>
    <w:basedOn w:val="H1"/>
    <w:next w:val="SingleTxt"/>
    <w:qFormat/>
    <w:rsid w:val="00D477D3"/>
    <w:pPr>
      <w:spacing w:line="300" w:lineRule="exact"/>
    </w:pPr>
    <w:rPr>
      <w:spacing w:val="-2"/>
      <w:sz w:val="28"/>
    </w:rPr>
  </w:style>
  <w:style w:type="paragraph" w:customStyle="1" w:styleId="HM">
    <w:name w:val="_ H __M"/>
    <w:basedOn w:val="HCH"/>
    <w:next w:val="Normal"/>
    <w:qFormat/>
    <w:rsid w:val="00D477D3"/>
    <w:pPr>
      <w:spacing w:line="360" w:lineRule="exact"/>
    </w:pPr>
    <w:rPr>
      <w:spacing w:val="-3"/>
      <w:w w:val="99"/>
      <w:sz w:val="34"/>
    </w:rPr>
  </w:style>
  <w:style w:type="paragraph" w:customStyle="1" w:styleId="H23">
    <w:name w:val="_ H_2/3"/>
    <w:basedOn w:val="H1"/>
    <w:next w:val="SingleTxt"/>
    <w:qFormat/>
    <w:rsid w:val="00D477D3"/>
    <w:pPr>
      <w:spacing w:line="240" w:lineRule="exact"/>
      <w:outlineLvl w:val="1"/>
    </w:pPr>
    <w:rPr>
      <w:spacing w:val="2"/>
      <w:sz w:val="20"/>
    </w:rPr>
  </w:style>
  <w:style w:type="paragraph" w:customStyle="1" w:styleId="H4">
    <w:name w:val="_ H_4"/>
    <w:basedOn w:val="Normal"/>
    <w:next w:val="SingleTxt"/>
    <w:qFormat/>
    <w:rsid w:val="00D477D3"/>
    <w:pPr>
      <w:keepNext/>
      <w:keepLines/>
      <w:tabs>
        <w:tab w:val="right" w:pos="360"/>
      </w:tabs>
      <w:suppressAutoHyphens/>
      <w:outlineLvl w:val="3"/>
    </w:pPr>
    <w:rPr>
      <w:i/>
      <w:spacing w:val="3"/>
    </w:rPr>
  </w:style>
  <w:style w:type="paragraph" w:customStyle="1" w:styleId="H56">
    <w:name w:val="_ H_5/6"/>
    <w:basedOn w:val="Normal"/>
    <w:next w:val="Normal"/>
    <w:qFormat/>
    <w:rsid w:val="00D477D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477D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477D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477D3"/>
    <w:pPr>
      <w:spacing w:line="540" w:lineRule="exact"/>
    </w:pPr>
    <w:rPr>
      <w:spacing w:val="-8"/>
      <w:w w:val="96"/>
      <w:sz w:val="57"/>
    </w:rPr>
  </w:style>
  <w:style w:type="paragraph" w:customStyle="1" w:styleId="SS">
    <w:name w:val="__S_S"/>
    <w:basedOn w:val="HCH"/>
    <w:next w:val="Normal"/>
    <w:qFormat/>
    <w:rsid w:val="00D477D3"/>
    <w:pPr>
      <w:ind w:left="1267" w:right="1267"/>
    </w:pPr>
  </w:style>
  <w:style w:type="paragraph" w:customStyle="1" w:styleId="SingleTxt">
    <w:name w:val="__Single Txt"/>
    <w:basedOn w:val="Normal"/>
    <w:qFormat/>
    <w:rsid w:val="00D477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477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477D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477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7D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477D3"/>
    <w:pPr>
      <w:numPr>
        <w:numId w:val="1"/>
      </w:numPr>
      <w:spacing w:after="120"/>
      <w:ind w:right="1267"/>
      <w:jc w:val="both"/>
    </w:pPr>
  </w:style>
  <w:style w:type="paragraph" w:customStyle="1" w:styleId="Bullet2">
    <w:name w:val="Bullet 2"/>
    <w:basedOn w:val="Normal"/>
    <w:qFormat/>
    <w:rsid w:val="00D477D3"/>
    <w:pPr>
      <w:numPr>
        <w:numId w:val="2"/>
      </w:numPr>
      <w:spacing w:after="120"/>
      <w:ind w:right="1264"/>
      <w:jc w:val="both"/>
    </w:pPr>
  </w:style>
  <w:style w:type="paragraph" w:customStyle="1" w:styleId="Bullet3">
    <w:name w:val="Bullet 3"/>
    <w:basedOn w:val="SingleTxt"/>
    <w:qFormat/>
    <w:rsid w:val="00D477D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77D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D477D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D477D3"/>
    <w:pPr>
      <w:spacing w:line="210" w:lineRule="exact"/>
    </w:pPr>
    <w:rPr>
      <w:sz w:val="17"/>
      <w:szCs w:val="20"/>
    </w:rPr>
  </w:style>
  <w:style w:type="character" w:customStyle="1" w:styleId="EndnoteTextChar">
    <w:name w:val="Endnote Text Char"/>
    <w:aliases w:val="2_G Char"/>
    <w:link w:val="EndnoteText"/>
    <w:rsid w:val="00D477D3"/>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D477D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D477D3"/>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 symbol,BVI fnr,(Diplomarbeit FZ),(Diplomarbeit FZ)1,(Diplomarbeit FZ)2,(Diplomarbeit FZ)3,(Diplomarbeit FZ)4,(Diplomarbeit FZ)5,SUPERS,Footnote Reference Arial,Footnote Reference Superscript"/>
    <w:link w:val="FootnotesymbolCarZchn"/>
    <w:uiPriority w:val="99"/>
    <w:qFormat/>
    <w:rsid w:val="00D477D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Char1,labjegyzet_szo,Fußnotentext Char2,Fußnotentext Char Char1,Fußnotentext Char1 Char1 Char,Fußnotentext Char Char Char Char Char,Fußnotentext Char1 Char Char Char Char1,Fußnotentext Char Char Char,Footnote Text Imre"/>
    <w:basedOn w:val="Normal"/>
    <w:link w:val="FootnoteTextChar"/>
    <w:uiPriority w:val="99"/>
    <w:qFormat/>
    <w:rsid w:val="00D477D3"/>
    <w:pPr>
      <w:spacing w:line="210" w:lineRule="exact"/>
    </w:pPr>
    <w:rPr>
      <w:sz w:val="17"/>
      <w:szCs w:val="20"/>
    </w:rPr>
  </w:style>
  <w:style w:type="character" w:customStyle="1" w:styleId="FootnoteTextChar">
    <w:name w:val="Footnote Text Char"/>
    <w:aliases w:val="5_G Char,Footnote Char,Char1 Char,labjegyzet_szo Char,Fußnotentext Char2 Char,Fußnotentext Char Char1 Char,Fußnotentext Char1 Char1 Char Char,Fußnotentext Char Char Char Char Char Char,Fußnotentext Char1 Char Char Char Char1 Char"/>
    <w:link w:val="FootnoteText"/>
    <w:uiPriority w:val="99"/>
    <w:qFormat/>
    <w:rsid w:val="00D477D3"/>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D477D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D477D3"/>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D477D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477D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477D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477D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D477D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477D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D477D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D477D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D477D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477D3"/>
    <w:rPr>
      <w:sz w:val="14"/>
    </w:rPr>
  </w:style>
  <w:style w:type="paragraph" w:styleId="ListParagraph">
    <w:name w:val="List Paragraph"/>
    <w:aliases w:val="Számozott lista 1,Eszeri felsorolás,List Paragraph à moi,lista_2,List Paragraph1,Welt L Char,Welt L,Bullet List,FooterText,numbered,Paragraphe de liste1,Bulletr List Paragraph,列出段落,列出段落1,Listeafsnit1,リスト段落1,LISTA"/>
    <w:basedOn w:val="Normal"/>
    <w:link w:val="ListParagraphChar"/>
    <w:uiPriority w:val="34"/>
    <w:qFormat/>
    <w:rsid w:val="00D477D3"/>
    <w:pPr>
      <w:ind w:left="720"/>
      <w:contextualSpacing/>
    </w:pPr>
  </w:style>
  <w:style w:type="paragraph" w:styleId="NoSpacing">
    <w:name w:val="No Spacing"/>
    <w:uiPriority w:val="1"/>
    <w:qFormat/>
    <w:rsid w:val="00D477D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477D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77D3"/>
    <w:pPr>
      <w:tabs>
        <w:tab w:val="right" w:pos="9965"/>
      </w:tabs>
      <w:spacing w:line="210" w:lineRule="exact"/>
    </w:pPr>
    <w:rPr>
      <w:spacing w:val="5"/>
      <w:w w:val="104"/>
      <w:sz w:val="17"/>
    </w:rPr>
  </w:style>
  <w:style w:type="paragraph" w:customStyle="1" w:styleId="SmallX">
    <w:name w:val="SmallX"/>
    <w:basedOn w:val="Small"/>
    <w:next w:val="Normal"/>
    <w:qFormat/>
    <w:rsid w:val="00D477D3"/>
    <w:pPr>
      <w:spacing w:line="180" w:lineRule="exact"/>
      <w:jc w:val="right"/>
    </w:pPr>
    <w:rPr>
      <w:spacing w:val="6"/>
      <w:w w:val="106"/>
      <w:sz w:val="14"/>
    </w:rPr>
  </w:style>
  <w:style w:type="character" w:styleId="Strong">
    <w:name w:val="Strong"/>
    <w:uiPriority w:val="22"/>
    <w:qFormat/>
    <w:rsid w:val="00D477D3"/>
    <w:rPr>
      <w:b/>
      <w:bCs/>
    </w:rPr>
  </w:style>
  <w:style w:type="paragraph" w:customStyle="1" w:styleId="Style1">
    <w:name w:val="Style1"/>
    <w:basedOn w:val="Normal"/>
    <w:qFormat/>
    <w:rsid w:val="00D477D3"/>
  </w:style>
  <w:style w:type="paragraph" w:customStyle="1" w:styleId="Style2">
    <w:name w:val="Style2"/>
    <w:basedOn w:val="Normal"/>
    <w:autoRedefine/>
    <w:qFormat/>
    <w:rsid w:val="00D477D3"/>
  </w:style>
  <w:style w:type="paragraph" w:customStyle="1" w:styleId="TitleHCH">
    <w:name w:val="Title_H_CH"/>
    <w:basedOn w:val="H1"/>
    <w:next w:val="SingleTxt"/>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477D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959FC"/>
    <w:rPr>
      <w:sz w:val="16"/>
      <w:szCs w:val="16"/>
    </w:rPr>
  </w:style>
  <w:style w:type="paragraph" w:styleId="CommentText">
    <w:name w:val="annotation text"/>
    <w:basedOn w:val="Normal"/>
    <w:link w:val="CommentTextChar"/>
    <w:uiPriority w:val="99"/>
    <w:semiHidden/>
    <w:unhideWhenUsed/>
    <w:rsid w:val="00C959FC"/>
    <w:pPr>
      <w:spacing w:line="240" w:lineRule="auto"/>
    </w:pPr>
    <w:rPr>
      <w:szCs w:val="20"/>
    </w:rPr>
  </w:style>
  <w:style w:type="character" w:customStyle="1" w:styleId="CommentTextChar">
    <w:name w:val="Comment Text Char"/>
    <w:basedOn w:val="DefaultParagraphFont"/>
    <w:link w:val="CommentText"/>
    <w:uiPriority w:val="99"/>
    <w:semiHidden/>
    <w:rsid w:val="00C959F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959FC"/>
    <w:rPr>
      <w:b/>
      <w:bCs/>
    </w:rPr>
  </w:style>
  <w:style w:type="character" w:customStyle="1" w:styleId="CommentSubjectChar">
    <w:name w:val="Comment Subject Char"/>
    <w:basedOn w:val="CommentTextChar"/>
    <w:link w:val="CommentSubject"/>
    <w:uiPriority w:val="99"/>
    <w:semiHidden/>
    <w:rsid w:val="00C959F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rsid w:val="002E0B8B"/>
    <w:rPr>
      <w:color w:val="0000FF"/>
      <w:u w:val="none"/>
    </w:rPr>
  </w:style>
  <w:style w:type="paragraph" w:customStyle="1" w:styleId="HMG">
    <w:name w:val="_ H __M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2E0B8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2E0B8B"/>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2E0B8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2E0B8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2E0B8B"/>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2E0B8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2E0B8B"/>
    <w:pPr>
      <w:numPr>
        <w:numId w:val="7"/>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2E0B8B"/>
    <w:pPr>
      <w:numPr>
        <w:numId w:val="8"/>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2E0B8B"/>
    <w:pPr>
      <w:numPr>
        <w:numId w:val="9"/>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uiPriority w:val="39"/>
    <w:rsid w:val="002E0B8B"/>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2E0B8B"/>
    <w:rPr>
      <w:color w:val="0000FF"/>
      <w:u w:val="none"/>
    </w:rPr>
  </w:style>
  <w:style w:type="character" w:styleId="PageNumber">
    <w:name w:val="page number"/>
    <w:aliases w:val="7_G"/>
    <w:basedOn w:val="DefaultParagraphFont"/>
    <w:qFormat/>
    <w:rsid w:val="002E0B8B"/>
    <w:rPr>
      <w:rFonts w:ascii="Times New Roman" w:hAnsi="Times New Roman"/>
      <w:b/>
      <w:sz w:val="18"/>
      <w:lang w:val="en-GB"/>
    </w:rPr>
  </w:style>
  <w:style w:type="character" w:customStyle="1" w:styleId="SingleTxtGChar">
    <w:name w:val="_ Single Txt_G Char"/>
    <w:link w:val="SingleTxtG"/>
    <w:locked/>
    <w:rsid w:val="002E0B8B"/>
    <w:rPr>
      <w:rFonts w:ascii="Times New Roman" w:eastAsiaTheme="minorHAnsi" w:hAnsi="Times New Roman" w:cs="Times New Roman"/>
      <w:sz w:val="20"/>
      <w:szCs w:val="20"/>
      <w:lang w:eastAsia="en-US"/>
    </w:rPr>
  </w:style>
  <w:style w:type="numbering" w:styleId="111111">
    <w:name w:val="Outline List 2"/>
    <w:basedOn w:val="NoList"/>
    <w:semiHidden/>
    <w:rsid w:val="002E0B8B"/>
    <w:pPr>
      <w:numPr>
        <w:numId w:val="10"/>
      </w:numPr>
    </w:pPr>
  </w:style>
  <w:style w:type="numbering" w:styleId="1ai">
    <w:name w:val="Outline List 1"/>
    <w:basedOn w:val="NoList"/>
    <w:semiHidden/>
    <w:rsid w:val="002E0B8B"/>
    <w:pPr>
      <w:numPr>
        <w:numId w:val="11"/>
      </w:numPr>
    </w:pPr>
  </w:style>
  <w:style w:type="table" w:customStyle="1" w:styleId="TableGrid1">
    <w:name w:val="Table Grid1"/>
    <w:basedOn w:val="TableNormal"/>
    <w:rsid w:val="002E0B8B"/>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uiPriority w:val="10"/>
    <w:qFormat/>
    <w:rsid w:val="002E0B8B"/>
    <w:pPr>
      <w:spacing w:line="240" w:lineRule="auto"/>
      <w:contextualSpacing/>
    </w:pPr>
    <w:rPr>
      <w:rFonts w:asciiTheme="majorHAnsi" w:eastAsiaTheme="majorEastAsia" w:hAnsiTheme="majorHAnsi" w:cstheme="majorBidi"/>
      <w:spacing w:val="-10"/>
      <w:w w:val="100"/>
      <w:kern w:val="28"/>
      <w:sz w:val="56"/>
      <w:szCs w:val="56"/>
      <w:lang w:val="hu-HU"/>
    </w:rPr>
  </w:style>
  <w:style w:type="character" w:customStyle="1" w:styleId="TitleChar">
    <w:name w:val="Title Char"/>
    <w:basedOn w:val="DefaultParagraphFont"/>
    <w:link w:val="Title"/>
    <w:uiPriority w:val="10"/>
    <w:rsid w:val="002E0B8B"/>
    <w:rPr>
      <w:rFonts w:asciiTheme="majorHAnsi" w:eastAsiaTheme="majorEastAsia" w:hAnsiTheme="majorHAnsi" w:cstheme="majorBidi"/>
      <w:spacing w:val="-10"/>
      <w:kern w:val="28"/>
      <w:sz w:val="56"/>
      <w:szCs w:val="56"/>
      <w:lang w:val="hu-HU" w:eastAsia="en-US"/>
    </w:rPr>
  </w:style>
  <w:style w:type="character" w:customStyle="1" w:styleId="ListParagraphChar">
    <w:name w:val="List Paragraph Char"/>
    <w:aliases w:val="Számozott lista 1 Char,Eszeri felsorolás Char,List Paragraph à moi Char,lista_2 Char,List Paragraph1 Char,Welt L Char Char,Welt L Char1,Bullet List Char,FooterText Char,numbered Char,Paragraphe de liste1 Char,列出段落 Char,列出段落1 Char"/>
    <w:link w:val="ListParagraph"/>
    <w:uiPriority w:val="34"/>
    <w:qFormat/>
    <w:locked/>
    <w:rsid w:val="002E0B8B"/>
    <w:rPr>
      <w:rFonts w:ascii="Times New Roman" w:eastAsiaTheme="minorHAnsi" w:hAnsi="Times New Roman" w:cs="Times New Roman"/>
      <w:spacing w:val="4"/>
      <w:w w:val="103"/>
      <w:kern w:val="14"/>
      <w:sz w:val="20"/>
      <w:lang w:val="fr-CA"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2E0B8B"/>
    <w:pPr>
      <w:spacing w:after="160"/>
      <w:jc w:val="both"/>
    </w:pPr>
    <w:rPr>
      <w:rFonts w:asciiTheme="minorHAnsi" w:eastAsiaTheme="minorEastAsia" w:hAnsiTheme="minorHAnsi" w:cstheme="minorBidi"/>
      <w:spacing w:val="5"/>
      <w:sz w:val="17"/>
      <w:szCs w:val="17"/>
      <w:vertAlign w:val="superscript"/>
      <w:lang w:val="en-GB" w:eastAsia="zh-CN"/>
    </w:rPr>
  </w:style>
  <w:style w:type="paragraph" w:styleId="NormalWeb">
    <w:name w:val="Normal (Web)"/>
    <w:link w:val="NormalWebChar"/>
    <w:uiPriority w:val="99"/>
    <w:rsid w:val="002E0B8B"/>
    <w:pPr>
      <w:spacing w:beforeAutospacing="1" w:after="0" w:afterAutospacing="1"/>
    </w:pPr>
    <w:rPr>
      <w:rFonts w:ascii="Times New Roman" w:eastAsia="SimSun" w:hAnsi="Times New Roman" w:cs="Times New Roman"/>
      <w:sz w:val="24"/>
      <w:szCs w:val="24"/>
      <w:lang w:val="en-US"/>
    </w:rPr>
  </w:style>
  <w:style w:type="character" w:customStyle="1" w:styleId="NormalWebChar">
    <w:name w:val="Normal (Web) Char"/>
    <w:basedOn w:val="DefaultParagraphFont"/>
    <w:link w:val="NormalWeb"/>
    <w:uiPriority w:val="99"/>
    <w:locked/>
    <w:rsid w:val="002E0B8B"/>
    <w:rPr>
      <w:rFonts w:ascii="Times New Roman" w:eastAsia="SimSun" w:hAnsi="Times New Roman" w:cs="Times New Roman"/>
      <w:sz w:val="24"/>
      <w:szCs w:val="24"/>
      <w:lang w:val="en-US"/>
    </w:rPr>
  </w:style>
  <w:style w:type="character" w:styleId="Emphasis">
    <w:name w:val="Emphasis"/>
    <w:uiPriority w:val="20"/>
    <w:qFormat/>
    <w:rsid w:val="002E0B8B"/>
    <w:rPr>
      <w:i/>
      <w:iCs/>
    </w:rPr>
  </w:style>
  <w:style w:type="paragraph" w:customStyle="1" w:styleId="Default">
    <w:name w:val="Default"/>
    <w:link w:val="DefaultChar"/>
    <w:rsid w:val="002E0B8B"/>
    <w:pPr>
      <w:autoSpaceDE w:val="0"/>
      <w:autoSpaceDN w:val="0"/>
      <w:adjustRightInd w:val="0"/>
      <w:spacing w:after="0" w:line="240" w:lineRule="auto"/>
    </w:pPr>
    <w:rPr>
      <w:rFonts w:ascii="Arial" w:eastAsia="Times New Roman" w:hAnsi="Arial" w:cs="Arial"/>
      <w:color w:val="000000"/>
      <w:sz w:val="24"/>
      <w:szCs w:val="24"/>
      <w:lang w:val="hu-HU" w:eastAsia="en-GB"/>
    </w:rPr>
  </w:style>
  <w:style w:type="character" w:customStyle="1" w:styleId="DefaultChar">
    <w:name w:val="Default Char"/>
    <w:basedOn w:val="DefaultParagraphFont"/>
    <w:link w:val="Default"/>
    <w:locked/>
    <w:rsid w:val="002E0B8B"/>
    <w:rPr>
      <w:rFonts w:ascii="Arial" w:eastAsia="Times New Roman" w:hAnsi="Arial" w:cs="Arial"/>
      <w:color w:val="000000"/>
      <w:sz w:val="24"/>
      <w:szCs w:val="24"/>
      <w:lang w:val="hu-HU" w:eastAsia="en-GB"/>
    </w:rPr>
  </w:style>
  <w:style w:type="paragraph" w:styleId="TOCHeading">
    <w:name w:val="TOC Heading"/>
    <w:basedOn w:val="Heading1"/>
    <w:next w:val="Normal"/>
    <w:uiPriority w:val="39"/>
    <w:unhideWhenUsed/>
    <w:qFormat/>
    <w:rsid w:val="002E0B8B"/>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hu-HU" w:eastAsia="hu-HU"/>
    </w:rPr>
  </w:style>
  <w:style w:type="paragraph" w:styleId="TOC1">
    <w:name w:val="toc 1"/>
    <w:basedOn w:val="Normal"/>
    <w:next w:val="Normal"/>
    <w:autoRedefine/>
    <w:uiPriority w:val="39"/>
    <w:unhideWhenUsed/>
    <w:rsid w:val="002E0B8B"/>
    <w:pPr>
      <w:spacing w:after="100" w:line="259" w:lineRule="auto"/>
    </w:pPr>
    <w:rPr>
      <w:rFonts w:asciiTheme="minorHAnsi" w:hAnsiTheme="minorHAnsi" w:cstheme="minorBidi"/>
      <w:spacing w:val="0"/>
      <w:w w:val="100"/>
      <w:kern w:val="0"/>
      <w:sz w:val="22"/>
      <w:lang w:val="hu-HU"/>
    </w:rPr>
  </w:style>
  <w:style w:type="paragraph" w:styleId="TOC2">
    <w:name w:val="toc 2"/>
    <w:basedOn w:val="Normal"/>
    <w:next w:val="Normal"/>
    <w:autoRedefine/>
    <w:uiPriority w:val="39"/>
    <w:unhideWhenUsed/>
    <w:rsid w:val="002E0B8B"/>
    <w:pPr>
      <w:spacing w:after="100" w:line="259" w:lineRule="auto"/>
      <w:ind w:left="220"/>
    </w:pPr>
    <w:rPr>
      <w:rFonts w:asciiTheme="minorHAnsi" w:hAnsiTheme="minorHAnsi" w:cstheme="minorBidi"/>
      <w:spacing w:val="0"/>
      <w:w w:val="100"/>
      <w:kern w:val="0"/>
      <w:sz w:val="22"/>
      <w:lang w:val="hu-HU"/>
    </w:rPr>
  </w:style>
  <w:style w:type="paragraph" w:styleId="TOC3">
    <w:name w:val="toc 3"/>
    <w:basedOn w:val="Normal"/>
    <w:next w:val="Normal"/>
    <w:autoRedefine/>
    <w:uiPriority w:val="39"/>
    <w:unhideWhenUsed/>
    <w:rsid w:val="002E0B8B"/>
    <w:pPr>
      <w:spacing w:after="100" w:line="259" w:lineRule="auto"/>
      <w:ind w:left="440"/>
    </w:pPr>
    <w:rPr>
      <w:rFonts w:asciiTheme="minorHAnsi" w:eastAsiaTheme="minorEastAsia" w:hAnsiTheme="minorHAnsi"/>
      <w:spacing w:val="0"/>
      <w:w w:val="100"/>
      <w:kern w:val="0"/>
      <w:sz w:val="22"/>
      <w:lang w:val="hu-HU" w:eastAsia="hu-HU"/>
    </w:rPr>
  </w:style>
  <w:style w:type="character" w:customStyle="1" w:styleId="normaltextrun">
    <w:name w:val="normaltextrun"/>
    <w:basedOn w:val="DefaultParagraphFont"/>
    <w:rsid w:val="002E0B8B"/>
  </w:style>
  <w:style w:type="character" w:customStyle="1" w:styleId="jlqj4b">
    <w:name w:val="jlqj4b"/>
    <w:basedOn w:val="DefaultParagraphFont"/>
    <w:rsid w:val="002E0B8B"/>
  </w:style>
  <w:style w:type="paragraph" w:styleId="PlainText">
    <w:name w:val="Plain Text"/>
    <w:basedOn w:val="Normal"/>
    <w:link w:val="PlainTextChar"/>
    <w:uiPriority w:val="99"/>
    <w:unhideWhenUsed/>
    <w:rsid w:val="002E0B8B"/>
    <w:pPr>
      <w:spacing w:line="240" w:lineRule="auto"/>
    </w:pPr>
    <w:rPr>
      <w:rFonts w:ascii="Consolas" w:hAnsi="Consolas" w:cstheme="minorBidi"/>
      <w:spacing w:val="0"/>
      <w:w w:val="100"/>
      <w:kern w:val="0"/>
      <w:sz w:val="21"/>
      <w:szCs w:val="21"/>
      <w:lang w:val="hu-HU"/>
    </w:rPr>
  </w:style>
  <w:style w:type="character" w:customStyle="1" w:styleId="PlainTextChar">
    <w:name w:val="Plain Text Char"/>
    <w:basedOn w:val="DefaultParagraphFont"/>
    <w:link w:val="PlainText"/>
    <w:uiPriority w:val="99"/>
    <w:rsid w:val="002E0B8B"/>
    <w:rPr>
      <w:rFonts w:ascii="Consolas" w:eastAsiaTheme="minorHAnsi" w:hAnsi="Consolas"/>
      <w:sz w:val="21"/>
      <w:szCs w:val="21"/>
      <w:lang w:val="hu-HU" w:eastAsia="en-US"/>
    </w:rPr>
  </w:style>
  <w:style w:type="character" w:styleId="UnresolvedMention">
    <w:name w:val="Unresolved Mention"/>
    <w:basedOn w:val="DefaultParagraphFont"/>
    <w:uiPriority w:val="99"/>
    <w:semiHidden/>
    <w:unhideWhenUsed/>
    <w:rsid w:val="002E0B8B"/>
    <w:rPr>
      <w:color w:val="605E5C"/>
      <w:shd w:val="clear" w:color="auto" w:fill="E1DFDD"/>
    </w:rPr>
  </w:style>
  <w:style w:type="paragraph" w:styleId="Revision">
    <w:name w:val="Revision"/>
    <w:hidden/>
    <w:uiPriority w:val="99"/>
    <w:semiHidden/>
    <w:rsid w:val="002E0B8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youtu.be/9uI_e3Fg_X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egyszulo.hu/english" TargetMode="External"/><Relationship Id="rId3" Type="http://schemas.openxmlformats.org/officeDocument/2006/relationships/hyperlink" Target="https://njt.hu/translation/J2012T0100P_20200716_FIN.PDF" TargetMode="External"/><Relationship Id="rId7" Type="http://schemas.openxmlformats.org/officeDocument/2006/relationships/hyperlink" Target="http://neak.gov.hu/sajtoszoba/kozlemenyek_eu_napok/egeszsegugyi_vilagnapok_aids" TargetMode="External"/><Relationship Id="rId2" Type="http://schemas.openxmlformats.org/officeDocument/2006/relationships/hyperlink" Target="https://www.mcc.hu/en/women-public-leadership-programme" TargetMode="External"/><Relationship Id="rId1" Type="http://schemas.openxmlformats.org/officeDocument/2006/relationships/hyperlink" Target="https://www.ksh.hu/docs/hun/xftp/idoszaki/mikrocenzus2016/mikrocenzus_2016_4.pdf" TargetMode="External"/><Relationship Id="rId6" Type="http://schemas.openxmlformats.org/officeDocument/2006/relationships/hyperlink" Target="https://www.ksh.hu/stadat_files/ege/hu/ege0038.html" TargetMode="External"/><Relationship Id="rId5" Type="http://schemas.openxmlformats.org/officeDocument/2006/relationships/hyperlink" Target="https://www.ksh.hu/docs/hun/xftp/idoszaki/elef/te_2019/index.html" TargetMode="External"/><Relationship Id="rId10" Type="http://schemas.openxmlformats.org/officeDocument/2006/relationships/hyperlink" Target="https://seed.hu/hirek/a-tortenet-folytatodik-sikeres-vallalkozonok-es-noi-vallalatvezetok-kerestetnek-2021-ben-is" TargetMode="External"/><Relationship Id="rId4" Type="http://schemas.openxmlformats.org/officeDocument/2006/relationships/hyperlink" Target="https://www.nokmagyarorszagert.hu/dij/" TargetMode="External"/><Relationship Id="rId9" Type="http://schemas.openxmlformats.org/officeDocument/2006/relationships/hyperlink" Target="https://youtu.be/DV2ZQMjelO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10DD-122C-44E6-86DE-27087AB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12841</Words>
  <Characters>73198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Marieme Gueye</cp:lastModifiedBy>
  <cp:revision>3</cp:revision>
  <cp:lastPrinted>2022-03-22T16:59:00Z</cp:lastPrinted>
  <dcterms:created xsi:type="dcterms:W3CDTF">2022-03-22T16:59:00Z</dcterms:created>
  <dcterms:modified xsi:type="dcterms:W3CDTF">2022-03-22T16:59:00Z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2202795F</vt:lpwstr>
  </property>
  <property fmtid="{D5CDD505-2E9C-101B-9397-08002B2CF9AE}" pid="3" name="ODSRefJobNo">
    <vt:lpwstr>2226946F</vt:lpwstr>
  </property>
  <property fmtid="{D5CDD505-2E9C-101B-9397-08002B2CF9AE}" pid="4" name="Symbol1">
    <vt:lpwstr>CEDAW/C/HUN/RQ/9</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Quatre-vingt-deuxième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la Hongrie à la liste de points et de questions concernant son neuvième rapport périodique*, **_x000d_</vt:lpwstr>
  </property>
</Properties>
</file>