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57" w:rsidRDefault="00D07B57" w:rsidP="00D07B57">
      <w:pPr>
        <w:spacing w:line="60" w:lineRule="exact"/>
        <w:sectPr w:rsidR="00D07B57" w:rsidSect="00D07B5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2" o:title="Add"/>
            <w10:wrap anchorx="page" anchory="page"/>
          </v:shape>
        </w:pict>
      </w:r>
      <w:commentRangeEnd w:id="0"/>
      <w:r>
        <w:rPr>
          <w:rStyle w:val="CommentReference"/>
        </w:rPr>
        <w:commentReference w:id="0"/>
      </w:r>
    </w:p>
    <w:p w:rsidR="00D07B57" w:rsidRDefault="00D07B57" w:rsidP="00D07B57">
      <w:pPr>
        <w:spacing w:line="60" w:lineRule="exact"/>
      </w:pPr>
    </w:p>
    <w:p w:rsidR="00A055D5" w:rsidRDefault="00A055D5" w:rsidP="00A055D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A055D5" w:rsidRPr="00A055D5" w:rsidRDefault="00A055D5" w:rsidP="00A055D5">
      <w:pPr>
        <w:pStyle w:val="SingleTxt"/>
        <w:spacing w:after="0" w:line="120" w:lineRule="exact"/>
        <w:ind w:right="0"/>
        <w:rPr>
          <w:rFonts w:hint="eastAsia"/>
          <w:sz w:val="10"/>
        </w:rPr>
      </w:pPr>
    </w:p>
    <w:p w:rsidR="00A055D5" w:rsidRPr="00A055D5" w:rsidRDefault="00A055D5" w:rsidP="00A055D5">
      <w:pPr>
        <w:pStyle w:val="SingleTxt"/>
        <w:spacing w:after="0" w:line="120" w:lineRule="exact"/>
        <w:ind w:right="0"/>
        <w:rPr>
          <w:rFonts w:hint="eastAsia"/>
          <w:sz w:val="10"/>
        </w:rPr>
      </w:pPr>
    </w:p>
    <w:p w:rsidR="00A055D5" w:rsidRPr="00A055D5" w:rsidRDefault="00A055D5" w:rsidP="00A055D5">
      <w:pPr>
        <w:pStyle w:val="SingleTxt"/>
        <w:spacing w:after="0" w:line="120" w:lineRule="exact"/>
        <w:ind w:right="0"/>
        <w:rPr>
          <w:rFonts w:hint="eastAsia"/>
          <w:sz w:val="10"/>
        </w:rPr>
      </w:pPr>
    </w:p>
    <w:p w:rsidR="00A055D5" w:rsidRPr="006B2FCF" w:rsidRDefault="00A055D5" w:rsidP="00A055D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6B2FCF">
        <w:rPr>
          <w:rFonts w:hint="eastAsia"/>
        </w:rPr>
        <w:t>与印度第四和第五次合并定期报告有关的议题和问题清单</w:t>
      </w:r>
    </w:p>
    <w:p w:rsidR="00A055D5" w:rsidRPr="00A055D5" w:rsidRDefault="00A055D5" w:rsidP="00A055D5">
      <w:pPr>
        <w:pStyle w:val="SingleTxt"/>
        <w:spacing w:after="0" w:line="120" w:lineRule="exact"/>
        <w:ind w:right="0"/>
        <w:rPr>
          <w:rFonts w:hint="eastAsia"/>
          <w:sz w:val="10"/>
        </w:rPr>
      </w:pPr>
    </w:p>
    <w:p w:rsidR="00A055D5" w:rsidRPr="00A055D5" w:rsidRDefault="00A055D5" w:rsidP="00A055D5">
      <w:pPr>
        <w:pStyle w:val="SingleTxt"/>
        <w:spacing w:after="0" w:line="120" w:lineRule="exact"/>
        <w:ind w:right="0"/>
        <w:rPr>
          <w:rFonts w:hint="eastAsia"/>
          <w:sz w:val="10"/>
        </w:rPr>
      </w:pPr>
    </w:p>
    <w:p w:rsidR="00A055D5" w:rsidRDefault="00A055D5" w:rsidP="00A055D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增编</w:t>
      </w:r>
    </w:p>
    <w:p w:rsidR="00A055D5" w:rsidRPr="00A055D5" w:rsidRDefault="00A055D5" w:rsidP="00A055D5">
      <w:pPr>
        <w:pStyle w:val="SingleTxt"/>
        <w:spacing w:after="0" w:line="120" w:lineRule="exact"/>
        <w:ind w:right="0"/>
        <w:rPr>
          <w:rFonts w:hint="eastAsia"/>
          <w:sz w:val="10"/>
        </w:rPr>
      </w:pPr>
    </w:p>
    <w:p w:rsidR="00A055D5" w:rsidRPr="00A055D5" w:rsidRDefault="00A055D5" w:rsidP="00A055D5">
      <w:pPr>
        <w:pStyle w:val="SingleTxt"/>
        <w:spacing w:after="0" w:line="120" w:lineRule="exact"/>
        <w:ind w:right="0"/>
        <w:rPr>
          <w:rFonts w:hint="eastAsia"/>
          <w:sz w:val="10"/>
        </w:rPr>
      </w:pPr>
    </w:p>
    <w:p w:rsidR="00A055D5" w:rsidRPr="006B2FCF" w:rsidRDefault="00A055D5" w:rsidP="00A471EC">
      <w:pPr>
        <w:framePr w:w="9792" w:h="432" w:hSpace="180" w:wrap="around" w:hAnchor="page" w:x="1210" w:yAlign="bottom"/>
        <w:spacing w:line="100" w:lineRule="exact"/>
        <w:rPr>
          <w:sz w:val="10"/>
        </w:rPr>
      </w:pPr>
    </w:p>
    <w:p w:rsidR="00A055D5" w:rsidRPr="006B2FCF" w:rsidRDefault="00A055D5" w:rsidP="00A471EC">
      <w:pPr>
        <w:framePr w:w="9792" w:h="432" w:hSpace="180" w:wrap="around" w:hAnchor="page" w:x="1210" w:yAlign="bottom"/>
        <w:spacing w:line="60" w:lineRule="exact"/>
        <w:rPr>
          <w:sz w:val="6"/>
        </w:rPr>
      </w:pPr>
      <w:r w:rsidRPr="006B2FCF">
        <w:rPr>
          <w:noProof/>
          <w:sz w:val="6"/>
        </w:rPr>
        <w:pict>
          <v:line id="_x0000_s1027" style="position:absolute;left:0;text-align:left;z-index:2;mso-position-horizontal-relative:page" from="108pt,-1pt" to="180pt,-1pt" strokeweight=".25pt">
            <w10:wrap anchorx="page"/>
          </v:line>
        </w:pict>
      </w:r>
    </w:p>
    <w:p w:rsidR="00A055D5" w:rsidRPr="006B2FCF" w:rsidRDefault="00A055D5" w:rsidP="00A471EC">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6B2FCF">
        <w:rPr>
          <w:rFonts w:ascii="Times New Roman"/>
          <w:sz w:val="18"/>
          <w:vertAlign w:val="superscript"/>
        </w:rPr>
        <w:t>*</w:t>
      </w:r>
      <w:r>
        <w:rPr>
          <w:sz w:val="18"/>
        </w:rPr>
        <w:tab/>
      </w:r>
      <w:r w:rsidRPr="006B2FCF">
        <w:rPr>
          <w:rFonts w:hint="eastAsia"/>
          <w:sz w:val="18"/>
        </w:rPr>
        <w:t>本文件印发前未经正式编辑。</w:t>
      </w:r>
    </w:p>
    <w:p w:rsidR="00A055D5" w:rsidRDefault="00A055D5" w:rsidP="00A471E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印度的答复</w:t>
      </w:r>
      <w:r w:rsidRPr="006B2FCF">
        <w:rPr>
          <w:rFonts w:ascii="Times New Roman"/>
          <w:vertAlign w:val="superscript"/>
        </w:rPr>
        <w:t>*</w:t>
      </w:r>
    </w:p>
    <w:p w:rsidR="00A055D5" w:rsidRPr="006B2FCF" w:rsidRDefault="00A055D5" w:rsidP="00A471EC">
      <w:pPr>
        <w:pStyle w:val="SingleTxt"/>
        <w:spacing w:after="0" w:line="120" w:lineRule="exact"/>
        <w:rPr>
          <w:rFonts w:hint="eastAsia"/>
          <w:sz w:val="10"/>
        </w:rPr>
      </w:pPr>
    </w:p>
    <w:p w:rsidR="00A055D5" w:rsidRPr="006B2FCF" w:rsidRDefault="00A055D5" w:rsidP="00A471EC">
      <w:pPr>
        <w:pStyle w:val="SingleTxt"/>
        <w:spacing w:after="0" w:line="120" w:lineRule="exact"/>
        <w:rPr>
          <w:rFonts w:hint="eastAsia"/>
          <w:sz w:val="10"/>
        </w:rPr>
      </w:pPr>
    </w:p>
    <w:p w:rsidR="00A055D5" w:rsidRPr="00A055D5" w:rsidRDefault="00A055D5" w:rsidP="00A055D5">
      <w:pPr>
        <w:pStyle w:val="SingleTxt"/>
        <w:spacing w:after="0" w:line="120" w:lineRule="exact"/>
        <w:jc w:val="right"/>
        <w:rPr>
          <w:rFonts w:hint="eastAsia"/>
          <w:sz w:val="10"/>
        </w:rPr>
      </w:pPr>
    </w:p>
    <w:p w:rsidR="00A055D5" w:rsidRDefault="00A055D5" w:rsidP="00A471EC">
      <w:pPr>
        <w:pStyle w:val="SingleTxt"/>
        <w:jc w:val="right"/>
        <w:rPr>
          <w:rFonts w:hint="eastAsia"/>
        </w:rPr>
      </w:pPr>
      <w:r>
        <w:rPr>
          <w:rFonts w:hint="eastAsia"/>
        </w:rPr>
        <w:t>[收到日期：2014年1月20日]</w:t>
      </w:r>
    </w:p>
    <w:p w:rsidR="00A055D5" w:rsidRPr="00A055D5" w:rsidRDefault="00A055D5" w:rsidP="00A055D5">
      <w:pPr>
        <w:pStyle w:val="SingleTxt"/>
        <w:spacing w:after="0" w:line="120" w:lineRule="exact"/>
        <w:rPr>
          <w:rFonts w:ascii="SimHei" w:eastAsia="SimHei" w:hint="eastAsia"/>
          <w:sz w:val="10"/>
        </w:rPr>
      </w:pPr>
    </w:p>
    <w:p w:rsidR="00A055D5" w:rsidRPr="006B2FCF" w:rsidRDefault="00A055D5" w:rsidP="00A471EC">
      <w:pPr>
        <w:pStyle w:val="SingleTxt"/>
        <w:rPr>
          <w:rFonts w:ascii="SimHei" w:eastAsia="SimHei" w:hint="eastAsia"/>
        </w:rPr>
      </w:pPr>
      <w:r w:rsidRPr="006B2FCF">
        <w:rPr>
          <w:rFonts w:ascii="SimHei" w:eastAsia="SimHei" w:hint="eastAsia"/>
        </w:rPr>
        <w:t>例外报告的后续行动</w:t>
      </w:r>
    </w:p>
    <w:p w:rsidR="00A055D5" w:rsidRPr="00A055D5" w:rsidRDefault="00A055D5" w:rsidP="00A055D5">
      <w:pPr>
        <w:pStyle w:val="SingleTxt"/>
        <w:spacing w:after="0" w:line="120" w:lineRule="exact"/>
        <w:rPr>
          <w:rFonts w:hint="eastAsia"/>
          <w:sz w:val="10"/>
        </w:rPr>
      </w:pPr>
    </w:p>
    <w:p w:rsidR="00A055D5" w:rsidRDefault="00A055D5" w:rsidP="00A471EC">
      <w:pPr>
        <w:pStyle w:val="SingleTxt"/>
        <w:rPr>
          <w:rFonts w:hint="eastAsia"/>
        </w:rPr>
      </w:pPr>
      <w:r>
        <w:rPr>
          <w:rFonts w:hint="eastAsia"/>
        </w:rPr>
        <w:t>1.</w:t>
      </w:r>
      <w:r>
        <w:tab/>
      </w:r>
      <w:r w:rsidRPr="006B2FCF">
        <w:rPr>
          <w:rFonts w:ascii="SimHei" w:eastAsia="SimHei" w:hint="eastAsia"/>
        </w:rPr>
        <w:t>答复</w:t>
      </w:r>
      <w:r>
        <w:rPr>
          <w:rFonts w:hint="eastAsia"/>
        </w:rPr>
        <w:t>：自2002年在古吉拉特不幸发生的暴乱事件以来，印度已通过法律和为受害人伸张正义的方式，努力维持和平和惩罚罪犯。现已对委员会的建议给予应有的考虑，并采取了各种措施，使受害人恢复健康，给她们赔偿，并继续为她们提供保护。国内司法机构继续在审查与2002年古吉拉特事件有关的起诉案件。</w:t>
      </w:r>
    </w:p>
    <w:p w:rsidR="00A055D5" w:rsidRDefault="00A055D5" w:rsidP="00A471EC">
      <w:pPr>
        <w:pStyle w:val="SingleTxt"/>
        <w:rPr>
          <w:rFonts w:hint="eastAsia"/>
        </w:rPr>
      </w:pPr>
      <w:r>
        <w:tab/>
      </w:r>
      <w:r>
        <w:rPr>
          <w:rFonts w:hint="eastAsia"/>
        </w:rPr>
        <w:t>为了加强对强奸和其他暴力、特别是侵害妇女的性暴力的惩罚，印度还采取了法律改革措施。在这方面，印度与包括妇女团体在内的各种利益攸关方进行了广泛磋商。</w:t>
      </w:r>
    </w:p>
    <w:p w:rsidR="00A055D5" w:rsidRDefault="00A055D5" w:rsidP="00A471EC">
      <w:pPr>
        <w:pStyle w:val="SingleTxt"/>
        <w:rPr>
          <w:rFonts w:hint="eastAsia"/>
        </w:rPr>
      </w:pPr>
      <w:r>
        <w:tab/>
      </w:r>
      <w:r>
        <w:rPr>
          <w:rFonts w:hint="eastAsia"/>
        </w:rPr>
        <w:t>2013年《刑法修正案》修正了《印度刑法典》、《刑事诉讼法》、《印度证据法》和《保护儿童免遭性犯罪法》的有关各节。《刑法修正案》的目的是对强奸等罪行规定更有力的威慑力，包括对先前因这种罪行而被定罪的累犯判处死刑。《刑法修正案》还将盯梢骚扰和窥淫癖定为两次重犯就不得保释的罪行，对浇酸液者判处十年徒刑。</w:t>
      </w:r>
    </w:p>
    <w:p w:rsidR="00A055D5" w:rsidRDefault="00A055D5" w:rsidP="00A471EC">
      <w:pPr>
        <w:pStyle w:val="SingleTxt"/>
        <w:rPr>
          <w:rFonts w:hint="eastAsia"/>
        </w:rPr>
      </w:pPr>
      <w:r>
        <w:tab/>
      </w:r>
      <w:r>
        <w:rPr>
          <w:rFonts w:hint="eastAsia"/>
        </w:rPr>
        <w:t xml:space="preserve">迄今已对包括性侵犯在内的暴力侵害妇女和女童行为开展调查，一些人已被定罪，包括逮捕并惩罚了犯有同谋罪的邦官员。 </w:t>
      </w:r>
    </w:p>
    <w:p w:rsidR="00A055D5" w:rsidRDefault="00A055D5" w:rsidP="00A471EC">
      <w:pPr>
        <w:pStyle w:val="SingleTxt"/>
        <w:rPr>
          <w:rFonts w:hint="eastAsia"/>
        </w:rPr>
      </w:pPr>
      <w:r>
        <w:tab/>
      </w:r>
      <w:r>
        <w:rPr>
          <w:rFonts w:hint="eastAsia"/>
        </w:rPr>
        <w:t>关于所报告的一些性侵犯和暴力侵害妇女的信息以及处理这些案件的现况见附件一。</w:t>
      </w:r>
    </w:p>
    <w:p w:rsidR="00A055D5" w:rsidRDefault="00A055D5" w:rsidP="00A471EC">
      <w:pPr>
        <w:pStyle w:val="SingleTxt"/>
        <w:rPr>
          <w:rFonts w:hint="eastAsia"/>
        </w:rPr>
      </w:pPr>
      <w:r>
        <w:tab/>
      </w:r>
      <w:r>
        <w:rPr>
          <w:rFonts w:hint="eastAsia"/>
        </w:rPr>
        <w:t xml:space="preserve">所报告的性侵犯和暴力侵害妇女案件总共有8起，即Dahod和Anand县各1起，Panchamahal(Godhara)和Ahmedabad市各3起。 </w:t>
      </w:r>
    </w:p>
    <w:p w:rsidR="00A055D5" w:rsidRDefault="00A055D5" w:rsidP="00A471EC">
      <w:pPr>
        <w:pStyle w:val="SingleTxt"/>
        <w:rPr>
          <w:rFonts w:hint="eastAsia"/>
        </w:rPr>
      </w:pPr>
      <w:r>
        <w:tab/>
      </w:r>
      <w:r>
        <w:rPr>
          <w:rFonts w:hint="eastAsia"/>
        </w:rPr>
        <w:t>已经制定的保护受害人的措施和帮助受害人的其他措施以及这种措施的影响这方面的信息见附件二。</w:t>
      </w:r>
    </w:p>
    <w:p w:rsidR="00A055D5" w:rsidRDefault="00A055D5" w:rsidP="00A471EC">
      <w:pPr>
        <w:pStyle w:val="SingleTxt"/>
        <w:rPr>
          <w:rFonts w:hint="eastAsia"/>
        </w:rPr>
      </w:pPr>
      <w:r>
        <w:tab/>
      </w:r>
      <w:r>
        <w:rPr>
          <w:rFonts w:hint="eastAsia"/>
        </w:rPr>
        <w:t xml:space="preserve">此外，Ahmedabad市目前正在采取特别步骤，具体如下： </w:t>
      </w:r>
    </w:p>
    <w:p w:rsidR="00A055D5" w:rsidRDefault="00A055D5" w:rsidP="00A471EC">
      <w:pPr>
        <w:pStyle w:val="SingleTxt"/>
        <w:rPr>
          <w:rFonts w:hint="eastAsia"/>
        </w:rPr>
      </w:pPr>
      <w:r>
        <w:tab/>
      </w:r>
      <w:r>
        <w:rPr>
          <w:rFonts w:hint="eastAsia"/>
        </w:rPr>
        <w:t xml:space="preserve">Ahmedabad市警察根据请求和必要与否，并考虑所看到的危险和案件的性质，为受害人提供保护。Ahmedabad市警察还根据印度最高法院的指令，从2003年起为Godhara暴乱案件的受害者提供保护。上述保护由警察总部的武装警察和中央工业安全部队的人员提供。当地警察局的机动车辆和其他车辆在其负责的居民区定期巡逻。邦预备役警察在其负责的居民区固定设点。此外还建立了有效的制约制度。因此，Ahmedabad市警察已尽最大努力，采取所有必要的措施，保护受害者及其安全。 </w:t>
      </w:r>
    </w:p>
    <w:p w:rsidR="00A055D5" w:rsidRDefault="00A055D5" w:rsidP="00A471EC">
      <w:pPr>
        <w:pStyle w:val="SingleTxt"/>
        <w:rPr>
          <w:rFonts w:hint="eastAsia"/>
        </w:rPr>
      </w:pPr>
      <w:r>
        <w:tab/>
      </w:r>
      <w:r>
        <w:rPr>
          <w:rFonts w:hint="eastAsia"/>
        </w:rPr>
        <w:t>关于所作的逮捕和给予的惩罚包括发现在这类罪行中充当同谋犯的邦官员的信息见附件三。</w:t>
      </w:r>
    </w:p>
    <w:p w:rsidR="00A055D5" w:rsidRDefault="00A055D5" w:rsidP="00A471EC">
      <w:pPr>
        <w:pStyle w:val="SingleTxt"/>
        <w:rPr>
          <w:rFonts w:hint="eastAsia"/>
        </w:rPr>
      </w:pPr>
      <w:r>
        <w:tab/>
      </w:r>
      <w:r>
        <w:rPr>
          <w:rFonts w:hint="eastAsia"/>
        </w:rPr>
        <w:t>此外还采取了针对不同性别的措施。使包括性暴力在内的暴力受害妇女及其家人恢复健康，并对她们进行补偿，而且还通过各种措施，包括通过有收益资产提供援助的方式，力求使受到暴乱影响的妇女恢复经济常态。因这种措施和补偿而获益的妇女人数如下：</w:t>
      </w:r>
    </w:p>
    <w:p w:rsidR="00A055D5" w:rsidRDefault="00A055D5" w:rsidP="00A471EC">
      <w:pPr>
        <w:pStyle w:val="SingleTxt"/>
        <w:ind w:left="2126" w:hanging="431"/>
        <w:rPr>
          <w:rFonts w:hint="eastAsia"/>
        </w:rPr>
      </w:pPr>
      <w:r>
        <w:rPr>
          <w:rFonts w:hint="eastAsia"/>
        </w:rPr>
        <w:sym w:font="Symbol" w:char="F0B7"/>
      </w:r>
      <w:r>
        <w:tab/>
      </w:r>
      <w:r>
        <w:rPr>
          <w:rFonts w:hint="eastAsia"/>
        </w:rPr>
        <w:t>住房援助——总数为30</w:t>
      </w:r>
      <w:r>
        <w:t xml:space="preserve"> </w:t>
      </w:r>
      <w:r>
        <w:rPr>
          <w:rFonts w:hint="eastAsia"/>
        </w:rPr>
        <w:t>848人，其中有5</w:t>
      </w:r>
      <w:r>
        <w:t xml:space="preserve"> </w:t>
      </w:r>
      <w:r>
        <w:rPr>
          <w:rFonts w:hint="eastAsia"/>
        </w:rPr>
        <w:t>097名妇女。</w:t>
      </w:r>
      <w:r w:rsidRPr="00EA33E2">
        <w:rPr>
          <w:rFonts w:hint="eastAsia"/>
          <w:spacing w:val="4"/>
        </w:rPr>
        <w:t>总共支付援助30.326亿卢比(4 920万美元)。每人拿到邦政府所给数额的10倍，减去已经支付的数额。受影响妇女所拿到的援助总额为4.773亿卢比</w:t>
      </w:r>
      <w:r>
        <w:rPr>
          <w:rFonts w:hint="eastAsia"/>
        </w:rPr>
        <w:t>(774万美元)。</w:t>
      </w:r>
    </w:p>
    <w:p w:rsidR="00A055D5" w:rsidRDefault="00A055D5" w:rsidP="00A471EC">
      <w:pPr>
        <w:pStyle w:val="SingleTxt"/>
        <w:ind w:left="2126" w:hanging="431"/>
        <w:rPr>
          <w:rFonts w:hint="eastAsia"/>
        </w:rPr>
      </w:pPr>
      <w:r>
        <w:rPr>
          <w:rFonts w:hint="eastAsia"/>
        </w:rPr>
        <w:sym w:font="Symbol" w:char="F0B7"/>
      </w:r>
      <w:r>
        <w:tab/>
      </w:r>
      <w:r>
        <w:rPr>
          <w:rFonts w:hint="eastAsia"/>
        </w:rPr>
        <w:t>伤者援助：伤者总数为2</w:t>
      </w:r>
      <w:r>
        <w:t xml:space="preserve"> </w:t>
      </w:r>
      <w:r>
        <w:rPr>
          <w:rFonts w:hint="eastAsia"/>
        </w:rPr>
        <w:t>548人，其中有378名妇女。总共支付援助3.185亿卢比(516万美元)。每位受伤妇女拿到125 000卢比(2028.23美元)，总共支付援助额4 730万卢比(76万美元)。</w:t>
      </w:r>
    </w:p>
    <w:p w:rsidR="00A055D5" w:rsidRDefault="00A055D5" w:rsidP="00A471EC">
      <w:pPr>
        <w:pStyle w:val="SingleTxt"/>
        <w:ind w:left="2126" w:hanging="431"/>
        <w:rPr>
          <w:rFonts w:hint="eastAsia"/>
        </w:rPr>
      </w:pPr>
      <w:r>
        <w:rPr>
          <w:rFonts w:hint="eastAsia"/>
        </w:rPr>
        <w:sym w:font="Symbol" w:char="F0B7"/>
      </w:r>
      <w:r>
        <w:tab/>
      </w:r>
      <w:r>
        <w:rPr>
          <w:rFonts w:hint="eastAsia"/>
        </w:rPr>
        <w:t>抚恤援助：死亡总数为1</w:t>
      </w:r>
      <w:r>
        <w:t xml:space="preserve"> </w:t>
      </w:r>
      <w:r>
        <w:rPr>
          <w:rFonts w:hint="eastAsia"/>
        </w:rPr>
        <w:t>169人，其中有284名妇女。总共支付援助5.845亿卢比(948万美元)。每位已故妇女的合法继承人拿到500 000卢比(8112.93美元)。已故妇女的继承人总共拿到1.42亿卢比(230万美元)。</w:t>
      </w:r>
    </w:p>
    <w:p w:rsidR="00A055D5" w:rsidRDefault="00A055D5" w:rsidP="00A471EC">
      <w:pPr>
        <w:pStyle w:val="SingleTxt"/>
        <w:ind w:left="2126" w:hanging="431"/>
        <w:rPr>
          <w:rFonts w:hint="eastAsia"/>
        </w:rPr>
      </w:pPr>
      <w:r>
        <w:rPr>
          <w:rFonts w:hint="eastAsia"/>
        </w:rPr>
        <w:sym w:font="Symbol" w:char="F0B7"/>
      </w:r>
      <w:r>
        <w:tab/>
      </w:r>
      <w:r>
        <w:rPr>
          <w:rFonts w:hint="eastAsia"/>
        </w:rPr>
        <w:t>有收益资产：总数为19</w:t>
      </w:r>
      <w:r>
        <w:t xml:space="preserve"> </w:t>
      </w:r>
      <w:r>
        <w:rPr>
          <w:rFonts w:hint="eastAsia"/>
        </w:rPr>
        <w:t>373人，其中有2</w:t>
      </w:r>
      <w:r>
        <w:t xml:space="preserve"> </w:t>
      </w:r>
      <w:r>
        <w:rPr>
          <w:rFonts w:hint="eastAsia"/>
        </w:rPr>
        <w:t>332名妇女。总共支付援助</w:t>
      </w:r>
    </w:p>
    <w:p w:rsidR="00A055D5" w:rsidRDefault="00A055D5" w:rsidP="00A471EC">
      <w:pPr>
        <w:pStyle w:val="SingleTxt"/>
        <w:rPr>
          <w:rFonts w:hint="eastAsia"/>
        </w:rPr>
      </w:pPr>
      <w:r>
        <w:tab/>
      </w:r>
      <w:r>
        <w:rPr>
          <w:rFonts w:hint="eastAsia"/>
        </w:rPr>
        <w:t>8.575亿卢比(1 391万美元)。每人拿到邦政府所给数额的10倍，减去已经支付的数额。受影响妇女所拿到的援助总额为6 850万卢比(111万美元)。</w:t>
      </w:r>
    </w:p>
    <w:p w:rsidR="00A055D5" w:rsidRPr="006B2FCF" w:rsidRDefault="00A055D5" w:rsidP="00A471EC">
      <w:pPr>
        <w:pStyle w:val="SingleTxt"/>
        <w:rPr>
          <w:rFonts w:ascii="SimHei" w:eastAsia="SimHei"/>
        </w:rPr>
      </w:pPr>
      <w:r w:rsidRPr="006B2FCF">
        <w:rPr>
          <w:rFonts w:ascii="SimHei" w:eastAsia="SimHei" w:hint="eastAsia"/>
        </w:rPr>
        <w:t>族群暴力</w:t>
      </w:r>
    </w:p>
    <w:p w:rsidR="00A055D5" w:rsidRDefault="00A055D5" w:rsidP="00A471EC">
      <w:pPr>
        <w:pStyle w:val="SingleTxt"/>
        <w:rPr>
          <w:rFonts w:hint="eastAsia"/>
        </w:rPr>
      </w:pPr>
      <w:r>
        <w:rPr>
          <w:rFonts w:hint="eastAsia"/>
        </w:rPr>
        <w:t>2.</w:t>
      </w:r>
      <w:r>
        <w:tab/>
      </w:r>
      <w:r w:rsidRPr="006B2FCF">
        <w:rPr>
          <w:rFonts w:ascii="SimHei" w:eastAsia="SimHei" w:hint="eastAsia"/>
        </w:rPr>
        <w:t>答复</w:t>
      </w:r>
      <w:r>
        <w:rPr>
          <w:rFonts w:hint="eastAsia"/>
        </w:rPr>
        <w:t>：《2005年族群暴力(预防、控制和受害人康复)法案》于2005年12月在联邦院提出，以期在全国以一致的方式解决族群暴力的各方面问题。之后，该法案经过全面磋商，几度修改。2011年，政府批准题为《预防族群和有针对性的暴力(司法救助和赔偿)法案》，供在议会提出。该法案力求包括与族群暴力和赔偿受害者有关的各种问题。</w:t>
      </w:r>
    </w:p>
    <w:p w:rsidR="00A055D5" w:rsidRDefault="00A055D5" w:rsidP="00A471EC">
      <w:pPr>
        <w:pStyle w:val="SingleTxt"/>
        <w:rPr>
          <w:rFonts w:hint="eastAsia"/>
        </w:rPr>
      </w:pPr>
      <w:r>
        <w:tab/>
      </w:r>
      <w:r>
        <w:rPr>
          <w:rFonts w:hint="eastAsia"/>
        </w:rPr>
        <w:t xml:space="preserve">如修正标题所示，拟议法案考虑了委员会在上一次结论意见中提出的许多问题/建议。拟议法案第9节论述了族群暴力发生时对妇女犯下的性罪行和性别罪行。发生第9节所述的针对性暴力时，除了负责公共事务的警察进行调查外(第69节)，罪行发生地的邦政府应下令由该邦高等法院的一名法官进行调查。 </w:t>
      </w:r>
    </w:p>
    <w:p w:rsidR="00A055D5" w:rsidRDefault="00A055D5" w:rsidP="00A471EC">
      <w:pPr>
        <w:pStyle w:val="SingleTxt"/>
        <w:rPr>
          <w:rFonts w:hint="eastAsia"/>
        </w:rPr>
      </w:pPr>
      <w:r>
        <w:tab/>
      </w:r>
      <w:r>
        <w:rPr>
          <w:rFonts w:hint="eastAsia"/>
        </w:rPr>
        <w:t>该法案第69节提议，只要有性暴力受害者一人作证，根据该法案指定的法</w:t>
      </w:r>
      <w:r w:rsidRPr="00BE0338">
        <w:rPr>
          <w:rFonts w:hint="eastAsia"/>
          <w:spacing w:val="-2"/>
        </w:rPr>
        <w:t>官就可以认定发生了侵害该受害人的性暴力罪行。在对该性暴力罪行进行起诉时，不得允许盘问该受害人的人品或依据任何说明该受害人以往行为的任何证据。</w:t>
      </w:r>
      <w:r>
        <w:rPr>
          <w:rFonts w:hint="eastAsia"/>
        </w:rPr>
        <w:t xml:space="preserve"> </w:t>
      </w:r>
    </w:p>
    <w:p w:rsidR="00A055D5" w:rsidRDefault="00A055D5" w:rsidP="00A471EC">
      <w:pPr>
        <w:pStyle w:val="SingleTxt"/>
        <w:rPr>
          <w:rFonts w:hint="eastAsia"/>
        </w:rPr>
      </w:pPr>
      <w:r>
        <w:tab/>
      </w:r>
      <w:r>
        <w:rPr>
          <w:rFonts w:hint="eastAsia"/>
        </w:rPr>
        <w:t xml:space="preserve">《印度宪法》禁止宗教歧视和性别歧视。因此，宗教或文化少数民族妇女和女童都有机会享有保护公民的所有现有措施。《宪法》在禁止性别歧视的同时，允许采取优待措施，促进妇女和儿童的福祉。因此，各邦已制定以妇女为中心的具体立法，保护她们不受各种暴力的侵害。这些立法文书适用所有妇女和女童，包括属于宗教和文化少数民族的妇女和女童。警察和其他政府机构在现有法律框架内，当预见会发生任何动乱时，特别警惕地保护宗教和文化少数民族。 </w:t>
      </w:r>
    </w:p>
    <w:p w:rsidR="00A055D5" w:rsidRDefault="00A055D5" w:rsidP="00A471EC">
      <w:pPr>
        <w:pStyle w:val="SingleTxt"/>
        <w:rPr>
          <w:rFonts w:hint="eastAsia"/>
        </w:rPr>
      </w:pPr>
      <w:r>
        <w:tab/>
      </w:r>
      <w:r>
        <w:rPr>
          <w:rFonts w:hint="eastAsia"/>
        </w:rPr>
        <w:t>各邦执行《援助平民受害者/恐怖行动、族群暴力和纳萨尔派暴力行径的受害者家庭》计划。该计划规定，当受害者在恐怖行动、族群暴力和纳萨尔派暴力行径中死亡或永久残废时，向家人提供财政援助。此外，邦政府还向族群暴力的受害者/幸存者提供惠给金。根据《刑事诉讼法》(第357和357</w:t>
      </w:r>
      <w:r>
        <w:t xml:space="preserve"> </w:t>
      </w:r>
      <w:r>
        <w:rPr>
          <w:rFonts w:hint="eastAsia"/>
        </w:rPr>
        <w:t>A节)的规定，法院还命令向各种罪行的受害者提供补偿。族群暴力的受害妇女也可以得到这种补偿。</w:t>
      </w:r>
    </w:p>
    <w:p w:rsidR="00A055D5" w:rsidRDefault="00A055D5" w:rsidP="00A471EC">
      <w:pPr>
        <w:pStyle w:val="SingleTxt"/>
        <w:rPr>
          <w:rFonts w:hint="eastAsia"/>
        </w:rPr>
      </w:pPr>
      <w:r>
        <w:tab/>
      </w:r>
      <w:r>
        <w:rPr>
          <w:rFonts w:hint="eastAsia"/>
        </w:rPr>
        <w:t xml:space="preserve">内政部定期向邦政府发出公告，以遏制暴力，并增派中央准军事部队协助邦政府恢复和平与正常秩序。为了反映已经变化的情况，现已对1997年发布的促进社区和谐的导则作了广泛修订。2008年6月，这些导则发给了所有邦政府/中央直辖区。内政部与邦政府密切协调，采取一切必要步骤，通过建立救济营的方式，向受影响者提供救助，并满足他们的日常需要。 </w:t>
      </w:r>
    </w:p>
    <w:p w:rsidR="00A055D5" w:rsidRDefault="00A055D5" w:rsidP="00A471EC">
      <w:pPr>
        <w:pStyle w:val="SingleTxt"/>
        <w:rPr>
          <w:rFonts w:hint="eastAsia"/>
        </w:rPr>
      </w:pPr>
      <w:r>
        <w:tab/>
      </w:r>
      <w:r>
        <w:rPr>
          <w:rFonts w:hint="eastAsia"/>
        </w:rPr>
        <w:t>国家社区和谐基金会是内政部行政管辖的自治机构，宗旨是促进社区和谐、博爱和民族团结。所有宗教原教旨组织或团体的活动，凡与国家和平、社区和谐与安全有关的，都在执法机构的随时监控之下，只要有必要，就对他们采取必要行动，包括强行禁止。</w:t>
      </w:r>
    </w:p>
    <w:p w:rsidR="00A055D5" w:rsidRPr="00BE0338" w:rsidRDefault="00A055D5" w:rsidP="00A471EC">
      <w:pPr>
        <w:pStyle w:val="SingleTxt"/>
        <w:rPr>
          <w:rFonts w:hint="eastAsia"/>
          <w:spacing w:val="-2"/>
        </w:rPr>
      </w:pPr>
      <w:r>
        <w:tab/>
      </w:r>
      <w:r>
        <w:rPr>
          <w:rFonts w:hint="eastAsia"/>
        </w:rPr>
        <w:t>国</w:t>
      </w:r>
      <w:r w:rsidRPr="00BE0338">
        <w:rPr>
          <w:rFonts w:hint="eastAsia"/>
          <w:spacing w:val="-2"/>
        </w:rPr>
        <w:t>家一体化理事会始终在讨论如何找到打击地方自治主义、种姓制度、地方主义、地方语言主义和心胸狭窄这些弊端的方式方法，并提出明确的结论意见，在全国发挥领导作用。邦一级的一体化理事会和县一级的社区和谐委员会也是如此。</w:t>
      </w:r>
    </w:p>
    <w:p w:rsidR="00A055D5" w:rsidRDefault="00A055D5" w:rsidP="00A471EC">
      <w:pPr>
        <w:pStyle w:val="SingleTxt"/>
        <w:rPr>
          <w:rFonts w:hint="eastAsia"/>
        </w:rPr>
      </w:pPr>
      <w:r>
        <w:tab/>
      </w:r>
      <w:r>
        <w:rPr>
          <w:rFonts w:hint="eastAsia"/>
        </w:rPr>
        <w:t>更重要的是，在直辖区或地方受到族群暴力影响时，地方行政当局除了依法采取行动和提供救助外，还召集宗教领袖和社区领导人，以便恢复常态，并使他们明白维持法律和秩序的必要性。</w:t>
      </w:r>
    </w:p>
    <w:p w:rsidR="00A055D5" w:rsidRPr="006B2FCF" w:rsidRDefault="00A055D5" w:rsidP="00A471EC">
      <w:pPr>
        <w:pStyle w:val="SingleTxt"/>
        <w:rPr>
          <w:rFonts w:ascii="SimHei" w:eastAsia="SimHei" w:hint="eastAsia"/>
        </w:rPr>
      </w:pPr>
      <w:r w:rsidRPr="006B2FCF">
        <w:rPr>
          <w:rFonts w:ascii="SimHei" w:eastAsia="SimHei" w:hint="eastAsia"/>
        </w:rPr>
        <w:t>宪法和法律框架</w:t>
      </w:r>
    </w:p>
    <w:p w:rsidR="00A055D5" w:rsidRDefault="00A055D5" w:rsidP="00A471EC">
      <w:pPr>
        <w:pStyle w:val="SingleTxt"/>
        <w:rPr>
          <w:rFonts w:hint="eastAsia"/>
        </w:rPr>
      </w:pPr>
      <w:r>
        <w:rPr>
          <w:rFonts w:hint="eastAsia"/>
        </w:rPr>
        <w:t>3.</w:t>
      </w:r>
      <w:r>
        <w:tab/>
      </w:r>
      <w:r w:rsidRPr="006B2FCF">
        <w:rPr>
          <w:rFonts w:ascii="SimHei" w:eastAsia="SimHei" w:hint="eastAsia"/>
        </w:rPr>
        <w:t>答复</w:t>
      </w:r>
      <w:r>
        <w:rPr>
          <w:rFonts w:hint="eastAsia"/>
        </w:rPr>
        <w:t>：需要重申，《印度宪法》禁止任何性别歧视。中央政府和邦政府的管</w:t>
      </w:r>
      <w:r w:rsidRPr="00A055D5">
        <w:rPr>
          <w:rFonts w:hint="eastAsia"/>
          <w:spacing w:val="-2"/>
        </w:rPr>
        <w:t>辖权都得服从《宪法》的规定，而《宪法》采取的政策并不歧视妇女。因此，无论是邦政府还是中央政府制定的所有政策、方案和法律文书均以不歧视的方式处理所有问题。中央政府在颁布涉及共管清单所列事项的条例时，总是与邦政府协商。</w:t>
      </w:r>
    </w:p>
    <w:p w:rsidR="00A055D5" w:rsidRDefault="00A055D5" w:rsidP="00A471EC">
      <w:pPr>
        <w:pStyle w:val="SingleTxt"/>
        <w:rPr>
          <w:rFonts w:hint="eastAsia"/>
        </w:rPr>
      </w:pPr>
      <w:r>
        <w:tab/>
      </w:r>
      <w:r>
        <w:rPr>
          <w:rFonts w:hint="eastAsia"/>
        </w:rPr>
        <w:t xml:space="preserve">尽管查谟和克什米尔邦享有特殊地位，但生活在查谟和克什米尔邦的人民都平等地享有《宪法》框架规定的基本权利和其他权利。查谟和克什米尔邦政府已经并将继续在宪法规定的范围内，制定方案、政策和法律文书，为查谟和克什米尔邦的人民造福。 </w:t>
      </w:r>
    </w:p>
    <w:p w:rsidR="00A055D5" w:rsidRDefault="00A055D5" w:rsidP="00A471EC">
      <w:pPr>
        <w:pStyle w:val="SingleTxt"/>
        <w:rPr>
          <w:rFonts w:hint="eastAsia"/>
        </w:rPr>
      </w:pPr>
      <w:r>
        <w:tab/>
      </w:r>
      <w:r>
        <w:rPr>
          <w:rFonts w:hint="eastAsia"/>
        </w:rPr>
        <w:t xml:space="preserve">这就确保了包括妇女福祉措施在内的必要方案在该邦的一贯实施，从而消除对妇女的一切暴力形式。查谟和克什米尔邦有邦妇女委员会这样一个体制机制，负责切实保护妇女权利，就有关妇女问题的现有法律框架中存在的缺陷向邦政府提出建议。 </w:t>
      </w:r>
    </w:p>
    <w:p w:rsidR="00A055D5" w:rsidRPr="006B2FCF" w:rsidRDefault="00A055D5" w:rsidP="00A471EC">
      <w:pPr>
        <w:pStyle w:val="SingleTxt"/>
        <w:rPr>
          <w:rFonts w:ascii="SimHei" w:eastAsia="SimHei" w:hint="eastAsia"/>
        </w:rPr>
      </w:pPr>
      <w:r w:rsidRPr="006B2FCF">
        <w:rPr>
          <w:rFonts w:ascii="SimHei" w:eastAsia="SimHei" w:hint="eastAsia"/>
        </w:rPr>
        <w:t>法律投诉机制</w:t>
      </w:r>
    </w:p>
    <w:p w:rsidR="00A055D5" w:rsidRPr="00BE0338" w:rsidRDefault="00A055D5" w:rsidP="00A471EC">
      <w:pPr>
        <w:pStyle w:val="SingleTxt"/>
        <w:rPr>
          <w:rFonts w:hint="eastAsia"/>
          <w:spacing w:val="-2"/>
        </w:rPr>
      </w:pPr>
      <w:r>
        <w:rPr>
          <w:rFonts w:hint="eastAsia"/>
        </w:rPr>
        <w:t>4.</w:t>
      </w:r>
      <w:r>
        <w:tab/>
      </w:r>
      <w:r w:rsidRPr="006B2FCF">
        <w:rPr>
          <w:rFonts w:ascii="SimHei" w:eastAsia="SimHei" w:hint="eastAsia"/>
        </w:rPr>
        <w:t>答复</w:t>
      </w:r>
      <w:r>
        <w:rPr>
          <w:rFonts w:hint="eastAsia"/>
        </w:rPr>
        <w:t>：除了《宪法》</w:t>
      </w:r>
      <w:r w:rsidRPr="00BE0338">
        <w:rPr>
          <w:rFonts w:hint="eastAsia"/>
          <w:spacing w:val="2"/>
        </w:rPr>
        <w:t>第</w:t>
      </w:r>
      <w:r w:rsidRPr="00BE0338">
        <w:rPr>
          <w:rFonts w:hint="eastAsia"/>
          <w:spacing w:val="-2"/>
        </w:rPr>
        <w:t>14条(法律面前平等和法律的平等保护)和第15条(禁止性别歧视)规定的保障措施外，第15(3)条还允许邦对妇女和儿童作出特殊规定。</w:t>
      </w:r>
    </w:p>
    <w:p w:rsidR="00A055D5" w:rsidRDefault="00A055D5" w:rsidP="00A471EC">
      <w:pPr>
        <w:pStyle w:val="SingleTxt"/>
        <w:rPr>
          <w:rFonts w:hint="eastAsia"/>
        </w:rPr>
      </w:pPr>
      <w:r>
        <w:tab/>
      </w:r>
      <w:r>
        <w:rPr>
          <w:rFonts w:hint="eastAsia"/>
        </w:rPr>
        <w:t>除了针对妇女的具体立法和方案外，《刑法典》和《刑事诉讼法》还作出规定，以利司法救助和克服歧视性惯例。其中包括：</w:t>
      </w:r>
    </w:p>
    <w:p w:rsidR="00A055D5" w:rsidRDefault="00A055D5" w:rsidP="00A471EC">
      <w:pPr>
        <w:pStyle w:val="SingleTxt"/>
        <w:rPr>
          <w:rFonts w:hint="eastAsia"/>
        </w:rPr>
      </w:pPr>
      <w:r>
        <w:tab/>
      </w:r>
      <w:r>
        <w:rPr>
          <w:rFonts w:hint="eastAsia"/>
        </w:rPr>
        <w:t>对不记录向其报告《印度刑法典》第326、354、375和376节(被浇酸液、侮辱妇女贞节和强奸)所列罪行的公务员予以惩罚。</w:t>
      </w:r>
    </w:p>
    <w:p w:rsidR="00A055D5" w:rsidRDefault="00A055D5" w:rsidP="00A471EC">
      <w:pPr>
        <w:pStyle w:val="SingleTxt"/>
        <w:ind w:left="2126" w:hanging="431"/>
        <w:rPr>
          <w:rFonts w:hint="eastAsia"/>
        </w:rPr>
      </w:pPr>
      <w:r>
        <w:rPr>
          <w:rFonts w:hint="eastAsia"/>
        </w:rPr>
        <w:sym w:font="Symbol" w:char="F0B7"/>
      </w:r>
      <w:r>
        <w:tab/>
      </w:r>
      <w:r>
        <w:rPr>
          <w:rFonts w:hint="eastAsia"/>
        </w:rPr>
        <w:t>中央政府或邦政府经办的所有公私医院有责任免费向被浇酸液或强奸的受害者提供急救或治疗。</w:t>
      </w:r>
    </w:p>
    <w:p w:rsidR="00A055D5" w:rsidRDefault="00A055D5" w:rsidP="00A471EC">
      <w:pPr>
        <w:pStyle w:val="SingleTxt"/>
        <w:ind w:left="2126" w:hanging="431"/>
        <w:rPr>
          <w:rFonts w:hint="eastAsia"/>
        </w:rPr>
      </w:pPr>
      <w:r>
        <w:rPr>
          <w:rFonts w:hint="eastAsia"/>
        </w:rPr>
        <w:sym w:font="Symbol" w:char="F0B7"/>
      </w:r>
      <w:r>
        <w:tab/>
      </w:r>
      <w:r>
        <w:rPr>
          <w:rFonts w:hint="eastAsia"/>
        </w:rPr>
        <w:t>禁止在日落后和日出前逮捕妇女。</w:t>
      </w:r>
    </w:p>
    <w:p w:rsidR="00A055D5" w:rsidRDefault="00A055D5" w:rsidP="00A471EC">
      <w:pPr>
        <w:pStyle w:val="SingleTxt"/>
        <w:ind w:left="2126" w:hanging="431"/>
        <w:rPr>
          <w:rFonts w:hint="eastAsia"/>
        </w:rPr>
      </w:pPr>
      <w:r>
        <w:rPr>
          <w:rFonts w:hint="eastAsia"/>
        </w:rPr>
        <w:sym w:font="Symbol" w:char="F0B7"/>
      </w:r>
      <w:r>
        <w:tab/>
      </w:r>
      <w:r>
        <w:rPr>
          <w:rFonts w:hint="eastAsia"/>
        </w:rPr>
        <w:t>只要实际可行，女警官在强奸受害者家里或其选择的地方记录证词。</w:t>
      </w:r>
    </w:p>
    <w:p w:rsidR="00A055D5" w:rsidRDefault="00A055D5" w:rsidP="00A471EC">
      <w:pPr>
        <w:pStyle w:val="SingleTxt"/>
        <w:ind w:left="2126" w:hanging="431"/>
        <w:rPr>
          <w:rFonts w:hint="eastAsia"/>
        </w:rPr>
      </w:pPr>
      <w:r>
        <w:rPr>
          <w:rFonts w:hint="eastAsia"/>
        </w:rPr>
        <w:sym w:font="Symbol" w:char="F0B7"/>
      </w:r>
      <w:r>
        <w:tab/>
      </w:r>
      <w:r>
        <w:rPr>
          <w:rFonts w:hint="eastAsia"/>
        </w:rPr>
        <w:t>在逮捕妇女时，应将其服从口头逮捕令的行为视为同意表示，除非具体情况使然或警官为女性，否则警察不得在逮捕妇女时接触其身体。</w:t>
      </w:r>
    </w:p>
    <w:p w:rsidR="00A055D5" w:rsidRDefault="00A055D5" w:rsidP="00A471EC">
      <w:pPr>
        <w:pStyle w:val="SingleTxt"/>
        <w:ind w:left="2126" w:hanging="431"/>
        <w:rPr>
          <w:rFonts w:hint="eastAsia"/>
        </w:rPr>
      </w:pPr>
      <w:r>
        <w:rPr>
          <w:rFonts w:hint="eastAsia"/>
        </w:rPr>
        <w:sym w:font="Symbol" w:char="F0B7"/>
      </w:r>
      <w:r>
        <w:tab/>
      </w:r>
      <w:r>
        <w:rPr>
          <w:rFonts w:hint="eastAsia"/>
        </w:rPr>
        <w:t>尽可能由女法官审理所有强奸案。</w:t>
      </w:r>
    </w:p>
    <w:p w:rsidR="00A055D5" w:rsidRDefault="00A055D5" w:rsidP="00A471EC">
      <w:pPr>
        <w:pStyle w:val="SingleTxt"/>
        <w:ind w:left="2126" w:hanging="431"/>
        <w:rPr>
          <w:rFonts w:hint="eastAsia"/>
        </w:rPr>
      </w:pPr>
      <w:r>
        <w:rPr>
          <w:rFonts w:hint="eastAsia"/>
        </w:rPr>
        <w:sym w:font="Symbol" w:char="F0B7"/>
      </w:r>
      <w:r>
        <w:tab/>
      </w:r>
      <w:r>
        <w:rPr>
          <w:rFonts w:hint="eastAsia"/>
        </w:rPr>
        <w:t>尽可能由女法官审理不公开审理的性犯罪案件。</w:t>
      </w:r>
    </w:p>
    <w:p w:rsidR="00A055D5" w:rsidRDefault="00A055D5" w:rsidP="00A471EC">
      <w:pPr>
        <w:pStyle w:val="SingleTxt"/>
        <w:ind w:left="2126" w:hanging="431"/>
        <w:rPr>
          <w:rFonts w:hint="eastAsia"/>
        </w:rPr>
      </w:pPr>
      <w:r>
        <w:rPr>
          <w:rFonts w:hint="eastAsia"/>
        </w:rPr>
        <w:sym w:font="Symbol" w:char="F0B7"/>
      </w:r>
      <w:r>
        <w:tab/>
      </w:r>
      <w:r>
        <w:rPr>
          <w:rFonts w:hint="eastAsia"/>
        </w:rPr>
        <w:t xml:space="preserve">从开始盘问证人之日起的两个月内结束强奸案的审理工作。 </w:t>
      </w:r>
    </w:p>
    <w:p w:rsidR="00A055D5" w:rsidRDefault="00A055D5" w:rsidP="00A471EC">
      <w:pPr>
        <w:pStyle w:val="SingleTxt"/>
        <w:rPr>
          <w:rFonts w:hint="eastAsia"/>
        </w:rPr>
      </w:pPr>
      <w:r>
        <w:tab/>
      </w:r>
      <w:r>
        <w:rPr>
          <w:rFonts w:hint="eastAsia"/>
        </w:rPr>
        <w:t xml:space="preserve">根据1987年的《法律服务局法》，每位妇女都有权获得免费的法律服务，可联系县/镇一级的法律服务局办公室，获得这种服务。 </w:t>
      </w:r>
    </w:p>
    <w:p w:rsidR="00A055D5" w:rsidRDefault="00A055D5" w:rsidP="00A471EC">
      <w:pPr>
        <w:pStyle w:val="SingleTxt"/>
        <w:rPr>
          <w:rFonts w:hint="eastAsia"/>
        </w:rPr>
      </w:pPr>
      <w:r>
        <w:tab/>
      </w:r>
      <w:r>
        <w:rPr>
          <w:rFonts w:hint="eastAsia"/>
        </w:rPr>
        <w:t>此外，政府根据与妇女有关的各种立法，确认并建立了方便妇女获得法律救助的特殊机制。</w:t>
      </w:r>
    </w:p>
    <w:p w:rsidR="00A055D5" w:rsidRDefault="00A055D5" w:rsidP="00A471EC">
      <w:pPr>
        <w:pStyle w:val="SingleTxt"/>
        <w:ind w:left="2126" w:hanging="431"/>
        <w:rPr>
          <w:rFonts w:hint="eastAsia"/>
        </w:rPr>
      </w:pPr>
      <w:r>
        <w:rPr>
          <w:rFonts w:hint="eastAsia"/>
        </w:rPr>
        <w:sym w:font="Symbol" w:char="F0B7"/>
      </w:r>
      <w:r>
        <w:tab/>
      </w:r>
      <w:r>
        <w:rPr>
          <w:rFonts w:hint="eastAsia"/>
        </w:rPr>
        <w:t>2005年的《保护妇女免受家庭暴力法案》力求在发生家庭暴力的情况下，立即为妇女提供救助。邦政府任命了保护干事，并登记了该法案规定的服务提供者，以方便妇女获得该法案规定的救助。</w:t>
      </w:r>
    </w:p>
    <w:p w:rsidR="00A055D5" w:rsidRDefault="00A055D5" w:rsidP="00A471EC">
      <w:pPr>
        <w:pStyle w:val="SingleTxt"/>
        <w:ind w:left="2126" w:hanging="431"/>
        <w:rPr>
          <w:rFonts w:hint="eastAsia"/>
        </w:rPr>
      </w:pPr>
      <w:r>
        <w:rPr>
          <w:rFonts w:hint="eastAsia"/>
        </w:rPr>
        <w:sym w:font="Symbol" w:char="F0B7"/>
      </w:r>
      <w:r>
        <w:tab/>
      </w:r>
      <w:r>
        <w:rPr>
          <w:rFonts w:hint="eastAsia"/>
        </w:rPr>
        <w:t xml:space="preserve">2013年《打击在工作场所对妇女进行性骚扰(预防、禁止和矫正)法》和有关规则已于2013年12月生效。根据该法案，所有雇主都必须组建投诉委员会，以便调查性骚扰投诉。法案还规定每个县的县行政当局组建一个委员会，以便为在非正规部门或雇员不足10人的单位工作的妇女提供一个机制。 </w:t>
      </w:r>
    </w:p>
    <w:p w:rsidR="00A055D5" w:rsidRDefault="00A055D5" w:rsidP="00A471EC">
      <w:pPr>
        <w:pStyle w:val="SingleTxt"/>
        <w:rPr>
          <w:rFonts w:hint="eastAsia"/>
        </w:rPr>
      </w:pPr>
      <w:r>
        <w:tab/>
      </w:r>
      <w:r>
        <w:rPr>
          <w:rFonts w:hint="eastAsia"/>
        </w:rPr>
        <w:t xml:space="preserve">1984年的《家庭法院法》规定邦政府与高等法院协商，设立家庭法院，以促进和解，确保迅速解决涉及婚姻和家庭事务的纠纷，并处理有关事项。虽然设立家庭法院的责任在于有关邦政府，但印度政府向各邦提供财政援助，以发展该司法机构所需的基础设施。如今共有212个家庭法院在全国各地运作。 </w:t>
      </w:r>
    </w:p>
    <w:p w:rsidR="00A055D5" w:rsidRDefault="00A055D5" w:rsidP="00A471EC">
      <w:pPr>
        <w:pStyle w:val="SingleTxt"/>
      </w:pPr>
      <w:r>
        <w:tab/>
      </w:r>
      <w:r>
        <w:rPr>
          <w:rFonts w:hint="eastAsia"/>
        </w:rPr>
        <w:t>速审法院是邦政府与有关高等法院协商设立的。联邦政府提供财政援助，在全国各地设立了1</w:t>
      </w:r>
      <w:r>
        <w:t xml:space="preserve"> </w:t>
      </w:r>
      <w:r>
        <w:rPr>
          <w:rFonts w:hint="eastAsia"/>
        </w:rPr>
        <w:t>734个速审法院，处理长期悬而不决的官司和其他案件。2005-06年至2010-11年期间，提供资金如下：</w:t>
      </w:r>
    </w:p>
    <w:tbl>
      <w:tblPr>
        <w:tblW w:w="0" w:type="auto"/>
        <w:tblInd w:w="1260" w:type="dxa"/>
        <w:tblLayout w:type="fixed"/>
        <w:tblCellMar>
          <w:left w:w="0" w:type="dxa"/>
          <w:right w:w="0" w:type="dxa"/>
        </w:tblCellMar>
        <w:tblLook w:val="0000"/>
      </w:tblPr>
      <w:tblGrid>
        <w:gridCol w:w="5040"/>
        <w:gridCol w:w="2280"/>
      </w:tblGrid>
      <w:tr w:rsidR="00A055D5" w:rsidRPr="006B2FCF" w:rsidTr="00A471EC">
        <w:tblPrEx>
          <w:tblCellMar>
            <w:top w:w="0" w:type="dxa"/>
            <w:bottom w:w="0" w:type="dxa"/>
          </w:tblCellMar>
        </w:tblPrEx>
        <w:trPr>
          <w:tblHeader/>
        </w:trPr>
        <w:tc>
          <w:tcPr>
            <w:tcW w:w="5040" w:type="dxa"/>
            <w:tcBorders>
              <w:top w:val="single" w:sz="4" w:space="0" w:color="auto"/>
              <w:bottom w:val="single" w:sz="12" w:space="0" w:color="auto"/>
            </w:tcBorders>
            <w:shd w:val="clear" w:color="auto" w:fill="auto"/>
            <w:vAlign w:val="bottom"/>
          </w:tcPr>
          <w:p w:rsidR="00A055D5" w:rsidRPr="006B2FCF" w:rsidRDefault="00A055D5" w:rsidP="00A471EC">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6B2FCF">
              <w:rPr>
                <w:rFonts w:ascii="KaiTi_GB2312" w:eastAsia="KaiTi_GB2312" w:hint="eastAsia"/>
                <w:sz w:val="15"/>
              </w:rPr>
              <w:t>年份</w:t>
            </w:r>
          </w:p>
        </w:tc>
        <w:tc>
          <w:tcPr>
            <w:tcW w:w="2280" w:type="dxa"/>
            <w:tcBorders>
              <w:top w:val="single" w:sz="4" w:space="0" w:color="auto"/>
              <w:bottom w:val="single" w:sz="12" w:space="0" w:color="auto"/>
            </w:tcBorders>
            <w:shd w:val="clear" w:color="auto" w:fill="auto"/>
            <w:vAlign w:val="bottom"/>
          </w:tcPr>
          <w:p w:rsidR="00A055D5" w:rsidRPr="006B2FCF" w:rsidRDefault="00A055D5" w:rsidP="00A471EC">
            <w:pPr>
              <w:tabs>
                <w:tab w:val="left" w:pos="360"/>
                <w:tab w:val="left" w:pos="720"/>
                <w:tab w:val="left" w:pos="1080"/>
                <w:tab w:val="left" w:pos="1440"/>
              </w:tabs>
              <w:suppressAutoHyphens/>
              <w:spacing w:before="60" w:after="60" w:line="200" w:lineRule="exact"/>
              <w:ind w:right="57"/>
              <w:jc w:val="left"/>
              <w:rPr>
                <w:rFonts w:ascii="KaiTi_GB2312" w:eastAsia="KaiTi_GB2312"/>
                <w:sz w:val="15"/>
              </w:rPr>
            </w:pPr>
            <w:r w:rsidRPr="006B2FCF">
              <w:rPr>
                <w:rFonts w:ascii="KaiTi_GB2312" w:eastAsia="KaiTi_GB2312" w:hint="eastAsia"/>
                <w:sz w:val="15"/>
              </w:rPr>
              <w:t>提供的赠款</w:t>
            </w:r>
          </w:p>
        </w:tc>
      </w:tr>
      <w:tr w:rsidR="00A055D5" w:rsidRPr="006B2FCF" w:rsidTr="00A471EC">
        <w:tblPrEx>
          <w:tblCellMar>
            <w:top w:w="0" w:type="dxa"/>
            <w:bottom w:w="0" w:type="dxa"/>
          </w:tblCellMar>
        </w:tblPrEx>
        <w:trPr>
          <w:trHeight w:hRule="exact" w:val="115"/>
          <w:tblHeader/>
        </w:trPr>
        <w:tc>
          <w:tcPr>
            <w:tcW w:w="5040"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c>
          <w:tcPr>
            <w:tcW w:w="2280"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r>
      <w:tr w:rsidR="00A055D5" w:rsidRPr="006B2FCF" w:rsidTr="00A471EC">
        <w:tblPrEx>
          <w:tblCellMar>
            <w:top w:w="0" w:type="dxa"/>
            <w:bottom w:w="0" w:type="dxa"/>
          </w:tblCellMar>
        </w:tblPrEx>
        <w:tc>
          <w:tcPr>
            <w:tcW w:w="504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2005-06</w:t>
            </w:r>
          </w:p>
        </w:tc>
        <w:tc>
          <w:tcPr>
            <w:tcW w:w="228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10</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(1</w:t>
            </w:r>
            <w:r>
              <w:rPr>
                <w:rFonts w:ascii="SimSun" w:eastAsia="SimSun" w:hAnsi="SimSun"/>
                <w:sz w:val="17"/>
                <w:szCs w:val="24"/>
              </w:rPr>
              <w:t xml:space="preserve"> </w:t>
            </w:r>
            <w:r w:rsidRPr="006B2FCF">
              <w:rPr>
                <w:rFonts w:ascii="SimSun" w:eastAsia="SimSun" w:hAnsi="SimSun"/>
                <w:sz w:val="17"/>
                <w:szCs w:val="24"/>
              </w:rPr>
              <w:t>622</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r w:rsidR="00A055D5" w:rsidRPr="006B2FCF" w:rsidTr="00A471EC">
        <w:tblPrEx>
          <w:tblCellMar>
            <w:top w:w="0" w:type="dxa"/>
            <w:bottom w:w="0" w:type="dxa"/>
          </w:tblCellMar>
        </w:tblPrEx>
        <w:tc>
          <w:tcPr>
            <w:tcW w:w="504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2006-07</w:t>
            </w:r>
          </w:p>
        </w:tc>
        <w:tc>
          <w:tcPr>
            <w:tcW w:w="228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hint="eastAsia"/>
                <w:sz w:val="17"/>
                <w:szCs w:val="24"/>
                <w:lang w:eastAsia="zh-CN"/>
              </w:rPr>
              <w:t>1</w:t>
            </w:r>
            <w:r w:rsidRPr="006B2FCF">
              <w:rPr>
                <w:rFonts w:ascii="SimSun" w:eastAsia="SimSun" w:hAnsi="SimSun"/>
                <w:sz w:val="17"/>
                <w:szCs w:val="24"/>
              </w:rPr>
              <w:t>0</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(1</w:t>
            </w:r>
            <w:r>
              <w:rPr>
                <w:rFonts w:ascii="SimSun" w:eastAsia="SimSun" w:hAnsi="SimSun"/>
                <w:sz w:val="17"/>
                <w:szCs w:val="24"/>
              </w:rPr>
              <w:t xml:space="preserve"> </w:t>
            </w:r>
            <w:r w:rsidRPr="006B2FCF">
              <w:rPr>
                <w:rFonts w:ascii="SimSun" w:eastAsia="SimSun" w:hAnsi="SimSun"/>
                <w:sz w:val="17"/>
                <w:szCs w:val="24"/>
              </w:rPr>
              <w:t>622</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r w:rsidR="00A055D5" w:rsidRPr="006B2FCF" w:rsidTr="00A471EC">
        <w:tblPrEx>
          <w:tblCellMar>
            <w:top w:w="0" w:type="dxa"/>
            <w:bottom w:w="0" w:type="dxa"/>
          </w:tblCellMar>
        </w:tblPrEx>
        <w:tc>
          <w:tcPr>
            <w:tcW w:w="504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2007-08</w:t>
            </w:r>
          </w:p>
        </w:tc>
        <w:tc>
          <w:tcPr>
            <w:tcW w:w="228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5.72</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(928</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r w:rsidR="00A055D5" w:rsidRPr="006B2FCF" w:rsidTr="00A471EC">
        <w:tblPrEx>
          <w:tblCellMar>
            <w:top w:w="0" w:type="dxa"/>
            <w:bottom w:w="0" w:type="dxa"/>
          </w:tblCellMar>
        </w:tblPrEx>
        <w:tc>
          <w:tcPr>
            <w:tcW w:w="504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2008-09</w:t>
            </w:r>
          </w:p>
        </w:tc>
        <w:tc>
          <w:tcPr>
            <w:tcW w:w="228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5.456</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(885</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r w:rsidR="00A055D5" w:rsidRPr="006B2FCF" w:rsidTr="00A471EC">
        <w:tblPrEx>
          <w:tblCellMar>
            <w:top w:w="0" w:type="dxa"/>
            <w:bottom w:w="0" w:type="dxa"/>
          </w:tblCellMar>
        </w:tblPrEx>
        <w:tc>
          <w:tcPr>
            <w:tcW w:w="504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2009-10</w:t>
            </w:r>
          </w:p>
        </w:tc>
        <w:tc>
          <w:tcPr>
            <w:tcW w:w="2280"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5.613</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(910</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r w:rsidR="00A055D5" w:rsidRPr="006B2FCF" w:rsidTr="00A471EC">
        <w:tblPrEx>
          <w:tblCellMar>
            <w:top w:w="0" w:type="dxa"/>
            <w:bottom w:w="0" w:type="dxa"/>
          </w:tblCellMar>
        </w:tblPrEx>
        <w:tc>
          <w:tcPr>
            <w:tcW w:w="5040"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2010-11</w:t>
            </w:r>
          </w:p>
        </w:tc>
        <w:tc>
          <w:tcPr>
            <w:tcW w:w="2280"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7.316</w:t>
            </w:r>
            <w:r w:rsidRPr="006B2FCF">
              <w:rPr>
                <w:rFonts w:ascii="SimSun" w:eastAsia="SimSun" w:hAnsi="SimSun" w:hint="eastAsia"/>
                <w:sz w:val="17"/>
                <w:szCs w:val="24"/>
                <w:lang w:eastAsia="zh-CN"/>
              </w:rPr>
              <w:t>亿</w:t>
            </w:r>
            <w:r w:rsidRPr="006B2FCF">
              <w:rPr>
                <w:rFonts w:ascii="SimSun" w:eastAsia="SimSun" w:hAnsi="SimSun" w:cs="SimSun" w:hint="eastAsia"/>
                <w:sz w:val="17"/>
                <w:szCs w:val="24"/>
              </w:rPr>
              <w:t>卢比</w:t>
            </w:r>
            <w:r w:rsidRPr="006B2FCF">
              <w:rPr>
                <w:rFonts w:ascii="SimSun" w:eastAsia="SimSun" w:hAnsi="SimSun"/>
                <w:sz w:val="17"/>
                <w:szCs w:val="24"/>
              </w:rPr>
              <w:t>(1</w:t>
            </w:r>
            <w:r>
              <w:rPr>
                <w:rFonts w:ascii="SimSun" w:eastAsia="SimSun" w:hAnsi="SimSun"/>
                <w:sz w:val="17"/>
                <w:szCs w:val="24"/>
              </w:rPr>
              <w:t xml:space="preserve"> </w:t>
            </w:r>
            <w:r w:rsidRPr="006B2FCF">
              <w:rPr>
                <w:rFonts w:ascii="SimSun" w:eastAsia="SimSun" w:hAnsi="SimSun"/>
                <w:sz w:val="17"/>
                <w:szCs w:val="24"/>
              </w:rPr>
              <w:t>187</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bl>
    <w:p w:rsidR="00A055D5" w:rsidRPr="006B2FCF" w:rsidRDefault="00A055D5" w:rsidP="00A471EC">
      <w:pPr>
        <w:pStyle w:val="SingleTxt"/>
        <w:spacing w:after="0" w:line="120" w:lineRule="exact"/>
        <w:rPr>
          <w:rFonts w:hint="eastAsia"/>
          <w:sz w:val="10"/>
        </w:rPr>
      </w:pPr>
    </w:p>
    <w:p w:rsidR="00A055D5" w:rsidRPr="006B2FCF" w:rsidRDefault="00A055D5" w:rsidP="00A471EC">
      <w:pPr>
        <w:pStyle w:val="SingleTxt"/>
        <w:spacing w:after="0" w:line="120" w:lineRule="exact"/>
        <w:rPr>
          <w:rFonts w:hint="eastAsia"/>
          <w:sz w:val="10"/>
        </w:rPr>
      </w:pPr>
    </w:p>
    <w:p w:rsidR="00A055D5" w:rsidRDefault="00A055D5" w:rsidP="00A471EC">
      <w:pPr>
        <w:pStyle w:val="SingleTxt"/>
        <w:rPr>
          <w:rFonts w:hint="eastAsia"/>
        </w:rPr>
      </w:pPr>
      <w:r>
        <w:tab/>
      </w:r>
      <w:r>
        <w:rPr>
          <w:rFonts w:hint="eastAsia"/>
        </w:rPr>
        <w:t>速审法院其后的开支是有关邦政府的责任。根据现有资料，在转交这些法院处理的389万起案件中，已处理其中的323.4万起，剩下65.6万起尚未处理。虽然速审法院具有的专门知识与普通法院的相同，但与其他法院相比，速审法院负责的案件数量有限，而且需要处理的是某些罪行/案件，因此处理案件方面的效率较高。</w:t>
      </w:r>
    </w:p>
    <w:p w:rsidR="00A055D5" w:rsidRDefault="00A055D5" w:rsidP="00A471EC">
      <w:pPr>
        <w:pStyle w:val="SingleTxt"/>
        <w:rPr>
          <w:rFonts w:hint="eastAsia"/>
        </w:rPr>
      </w:pPr>
      <w:r>
        <w:tab/>
      </w:r>
      <w:r>
        <w:rPr>
          <w:rFonts w:hint="eastAsia"/>
        </w:rPr>
        <w:t>除此之外，有关高等法院对速审法院和下级司法机构进行审查和监测，因此，公益诉讼这一特殊机制和法律投诉机制中的其他司法审查程序也在发挥作用。</w:t>
      </w:r>
    </w:p>
    <w:p w:rsidR="00A055D5" w:rsidRDefault="00A055D5" w:rsidP="00A471EC">
      <w:pPr>
        <w:pStyle w:val="SingleTxt"/>
        <w:rPr>
          <w:rFonts w:hint="eastAsia"/>
        </w:rPr>
      </w:pPr>
      <w:r>
        <w:tab/>
      </w:r>
      <w:r>
        <w:rPr>
          <w:rFonts w:hint="eastAsia"/>
        </w:rPr>
        <w:t xml:space="preserve">2012年期间登记的侵害妇女罪行案件总共有232 528起。警方案情记录和判罪率等详情见附件四。 </w:t>
      </w:r>
    </w:p>
    <w:p w:rsidR="00A055D5" w:rsidRPr="006B2FCF" w:rsidRDefault="00A055D5" w:rsidP="00A471EC">
      <w:pPr>
        <w:pStyle w:val="SingleTxt"/>
        <w:rPr>
          <w:rFonts w:ascii="SimHei" w:eastAsia="SimHei" w:hint="eastAsia"/>
        </w:rPr>
      </w:pPr>
      <w:r w:rsidRPr="006B2FCF">
        <w:rPr>
          <w:rFonts w:ascii="SimHei" w:eastAsia="SimHei" w:hint="eastAsia"/>
        </w:rPr>
        <w:t>提高妇女地位国家机构</w:t>
      </w:r>
    </w:p>
    <w:p w:rsidR="00A055D5" w:rsidRDefault="00A055D5" w:rsidP="00A471EC">
      <w:pPr>
        <w:pStyle w:val="SingleTxt"/>
        <w:rPr>
          <w:rFonts w:hint="eastAsia"/>
        </w:rPr>
      </w:pPr>
      <w:r>
        <w:rPr>
          <w:rFonts w:hint="eastAsia"/>
        </w:rPr>
        <w:t>5.</w:t>
      </w:r>
      <w:r>
        <w:tab/>
      </w:r>
      <w:r w:rsidRPr="006B2FCF">
        <w:rPr>
          <w:rFonts w:ascii="SimHei" w:eastAsia="SimHei" w:hint="eastAsia"/>
        </w:rPr>
        <w:t>答复</w:t>
      </w:r>
      <w:r>
        <w:rPr>
          <w:rFonts w:hint="eastAsia"/>
        </w:rPr>
        <w:t>：全国增强妇女权能特派团设立了专门的体制机制，以便以统筹方式，在中央和邦一级解决妇女问题，并开展行动研究和试点项目，展示实地一级的共同行动和提高认识活动。迄今已在32个邦/中央直辖区建立由有关邦首席部长/行政长官领导的部际平台，并已发出通知。此外，在30个邦/中央直辖区建立了邦妇女问题资源中心这一负责规划、执行和向邦增强妇女权能特派团提供技术支持的技术单位。</w:t>
      </w:r>
    </w:p>
    <w:p w:rsidR="00A055D5" w:rsidRDefault="00A055D5" w:rsidP="00A471EC">
      <w:pPr>
        <w:pStyle w:val="SingleTxt"/>
        <w:rPr>
          <w:rFonts w:hint="eastAsia"/>
        </w:rPr>
      </w:pPr>
      <w:r>
        <w:tab/>
      </w:r>
      <w:r>
        <w:rPr>
          <w:rFonts w:hint="eastAsia"/>
        </w:rPr>
        <w:t>由妇女和儿童发展部长领导、5个参加的部/司代表、邦政府官员和具体领域的专家组成的中央监测委员会已经举行5次会议，以订定行动计划，确定路线图和干预措施的优先领域，并审查全国增强妇女权能特派团的进展情况。</w:t>
      </w:r>
    </w:p>
    <w:p w:rsidR="00A055D5" w:rsidRDefault="00A055D5" w:rsidP="00A471EC">
      <w:pPr>
        <w:pStyle w:val="SingleTxt"/>
        <w:rPr>
          <w:rFonts w:hint="eastAsia"/>
        </w:rPr>
      </w:pPr>
      <w:r>
        <w:tab/>
      </w:r>
      <w:r>
        <w:rPr>
          <w:rFonts w:hint="eastAsia"/>
        </w:rPr>
        <w:t>内阁秘书领导的部际协调委员会由参加的14个部/司的秘书组成，迄今已举行4次会议，讨论部门间/部际的共同问题，着重改善男女儿童的比例。这些系列会议产生的重大成果是各部就其在政策、方案措施和社区宣传方面采取集体行动从而改善男女儿童比例的作用和责任达成了共识，并形成了共同的主人翁感。</w:t>
      </w:r>
    </w:p>
    <w:p w:rsidR="00A055D5" w:rsidRDefault="00A055D5" w:rsidP="00A471EC">
      <w:pPr>
        <w:pStyle w:val="SingleTxt"/>
        <w:rPr>
          <w:rFonts w:hint="eastAsia"/>
        </w:rPr>
      </w:pPr>
      <w:r>
        <w:tab/>
      </w:r>
      <w:r>
        <w:rPr>
          <w:rFonts w:hint="eastAsia"/>
        </w:rPr>
        <w:t>确定这一进程后，便起草了改善男女儿童比例的国家行动计划。国家特派团还在男女儿童比例失调的10个县开展了主题相同的项目，以展示改善男女儿童比例的协同努力。这些项目是通过评议会 (农村地方机构)开展的。E-Vidya方案力求使农村妇女掌握数码技术，从而增强她们的权能。该方案培训了22</w:t>
      </w:r>
      <w:r>
        <w:t xml:space="preserve"> </w:t>
      </w:r>
      <w:r>
        <w:rPr>
          <w:rFonts w:hint="eastAsia"/>
        </w:rPr>
        <w:t xml:space="preserve">764名农村妇女。为了改善妇女利用分散在不同部委的政府计划和方案的机会，全国增强妇女权能特派团正在县和县以下各级为妇女建立协同和促进中心，称之为全功率中心。这一模式目前在两个县实施，不久将推广到19个县。 </w:t>
      </w:r>
    </w:p>
    <w:p w:rsidR="00A055D5" w:rsidRPr="006B2FCF" w:rsidRDefault="00A055D5" w:rsidP="00A471EC">
      <w:pPr>
        <w:pStyle w:val="SingleTxt"/>
        <w:rPr>
          <w:rFonts w:ascii="SimHei" w:eastAsia="SimHei" w:hint="eastAsia"/>
        </w:rPr>
      </w:pPr>
      <w:r w:rsidRPr="006B2FCF">
        <w:rPr>
          <w:rFonts w:ascii="SimHei" w:eastAsia="SimHei" w:hint="eastAsia"/>
        </w:rPr>
        <w:t>国家人权机构</w:t>
      </w:r>
    </w:p>
    <w:p w:rsidR="00A055D5" w:rsidRDefault="00A055D5" w:rsidP="00A471EC">
      <w:pPr>
        <w:pStyle w:val="SingleTxt"/>
        <w:rPr>
          <w:rFonts w:hint="eastAsia"/>
        </w:rPr>
      </w:pPr>
      <w:r>
        <w:rPr>
          <w:rFonts w:hint="eastAsia"/>
        </w:rPr>
        <w:t>6.</w:t>
      </w:r>
      <w:r>
        <w:tab/>
      </w:r>
      <w:r w:rsidRPr="006B2FCF">
        <w:rPr>
          <w:rFonts w:ascii="SimHei" w:eastAsia="SimHei" w:hint="eastAsia"/>
        </w:rPr>
        <w:t>答复</w:t>
      </w:r>
      <w:r>
        <w:rPr>
          <w:rFonts w:hint="eastAsia"/>
        </w:rPr>
        <w:t xml:space="preserve">：国家妇女委员会是根据1990年《国家妇女委员会法案》的规定建立的一个法定机构。委员会由一名致力于妇女事业的主席领导，其5名成员由联邦政府提名。候选人具有法律或立法、工会、管理妇女的行业潜力、妇女自愿组织(包括妇女活动家)、行政、经济发展、卫生、教育或社会福利方面经验的能干、正直和有名望的人。这5名成员中，至少有一名成员属于在册种姓和在册部落，此外还指定管理、组织结构或社会学运动领域的一名专家或具有适当经验的一名官员担任成员秘书。 </w:t>
      </w:r>
    </w:p>
    <w:p w:rsidR="00A055D5" w:rsidRPr="006B2FCF" w:rsidRDefault="00A055D5" w:rsidP="00A471EC">
      <w:pPr>
        <w:pStyle w:val="SingleTxt"/>
        <w:rPr>
          <w:rFonts w:ascii="SimHei" w:eastAsia="SimHei" w:hint="eastAsia"/>
        </w:rPr>
      </w:pPr>
      <w:r w:rsidRPr="006B2FCF">
        <w:rPr>
          <w:rFonts w:ascii="SimHei" w:eastAsia="SimHei" w:hint="eastAsia"/>
        </w:rPr>
        <w:t>国家妇女委员会的任务</w:t>
      </w:r>
    </w:p>
    <w:p w:rsidR="00A055D5" w:rsidRDefault="00A055D5" w:rsidP="00A471EC">
      <w:pPr>
        <w:pStyle w:val="SingleTxt"/>
        <w:ind w:left="1695"/>
        <w:rPr>
          <w:rFonts w:hint="eastAsia"/>
        </w:rPr>
      </w:pPr>
      <w:r>
        <w:rPr>
          <w:rFonts w:hint="eastAsia"/>
        </w:rPr>
        <w:t>一.</w:t>
      </w:r>
      <w:r>
        <w:rPr>
          <w:rFonts w:hint="eastAsia"/>
        </w:rPr>
        <w:tab/>
        <w:t>调查并审查《宪法》和其他法律为妇女规定的法律保障措施，就补救性立法措施提出建议，以弥补这些法律中存在的缺陷</w:t>
      </w:r>
    </w:p>
    <w:p w:rsidR="00A055D5" w:rsidRDefault="00A055D5" w:rsidP="00A471EC">
      <w:pPr>
        <w:pStyle w:val="SingleTxt"/>
        <w:ind w:left="1695"/>
        <w:rPr>
          <w:rFonts w:hint="eastAsia"/>
        </w:rPr>
      </w:pPr>
      <w:r>
        <w:rPr>
          <w:rFonts w:hint="eastAsia"/>
        </w:rPr>
        <w:t>二.</w:t>
      </w:r>
      <w:r>
        <w:rPr>
          <w:rFonts w:hint="eastAsia"/>
        </w:rPr>
        <w:tab/>
        <w:t>推动伸冤/调查与剥夺妇女权利有关的投诉</w:t>
      </w:r>
    </w:p>
    <w:p w:rsidR="00A055D5" w:rsidRDefault="00A055D5" w:rsidP="00A471EC">
      <w:pPr>
        <w:pStyle w:val="SingleTxt"/>
        <w:ind w:left="1695"/>
        <w:rPr>
          <w:rFonts w:hint="eastAsia"/>
        </w:rPr>
      </w:pPr>
      <w:r>
        <w:rPr>
          <w:rFonts w:hint="eastAsia"/>
        </w:rPr>
        <w:t>三.</w:t>
      </w:r>
      <w:r>
        <w:rPr>
          <w:rFonts w:hint="eastAsia"/>
        </w:rPr>
        <w:tab/>
        <w:t>就所有与妇女有关的政策事项向政府提供咨询意见</w:t>
      </w:r>
    </w:p>
    <w:p w:rsidR="00A055D5" w:rsidRDefault="00A055D5" w:rsidP="00A471EC">
      <w:pPr>
        <w:pStyle w:val="SingleTxt"/>
        <w:ind w:left="1695"/>
        <w:rPr>
          <w:rFonts w:hint="eastAsia"/>
        </w:rPr>
      </w:pPr>
      <w:r>
        <w:rPr>
          <w:rFonts w:hint="eastAsia"/>
        </w:rPr>
        <w:t>四.</w:t>
      </w:r>
      <w:r>
        <w:rPr>
          <w:rFonts w:hint="eastAsia"/>
        </w:rPr>
        <w:tab/>
        <w:t>评价妇女发展方面的进展情况</w:t>
      </w:r>
    </w:p>
    <w:p w:rsidR="00A055D5" w:rsidRDefault="00A055D5" w:rsidP="00A471EC">
      <w:pPr>
        <w:pStyle w:val="SingleTxt"/>
        <w:ind w:left="1695"/>
        <w:rPr>
          <w:rFonts w:hint="eastAsia"/>
        </w:rPr>
      </w:pPr>
      <w:r>
        <w:rPr>
          <w:rFonts w:hint="eastAsia"/>
        </w:rPr>
        <w:t>五.</w:t>
      </w:r>
      <w:r>
        <w:rPr>
          <w:rFonts w:hint="eastAsia"/>
        </w:rPr>
        <w:tab/>
        <w:t>组织与增强妇女权能有关的专门研究</w:t>
      </w:r>
    </w:p>
    <w:p w:rsidR="00A055D5" w:rsidRDefault="00A055D5" w:rsidP="00A471EC">
      <w:pPr>
        <w:pStyle w:val="SingleTxt"/>
        <w:ind w:left="1695"/>
        <w:rPr>
          <w:rFonts w:hint="eastAsia"/>
        </w:rPr>
      </w:pPr>
      <w:r>
        <w:rPr>
          <w:rFonts w:hint="eastAsia"/>
        </w:rPr>
        <w:t>六.</w:t>
      </w:r>
      <w:r>
        <w:rPr>
          <w:rFonts w:hint="eastAsia"/>
        </w:rPr>
        <w:tab/>
        <w:t>视察监狱</w:t>
      </w:r>
    </w:p>
    <w:p w:rsidR="00A055D5" w:rsidRDefault="00A055D5" w:rsidP="00A471EC">
      <w:pPr>
        <w:pStyle w:val="SingleTxt"/>
        <w:ind w:left="1695"/>
        <w:rPr>
          <w:rFonts w:hint="eastAsia"/>
        </w:rPr>
      </w:pPr>
      <w:r>
        <w:rPr>
          <w:rFonts w:hint="eastAsia"/>
        </w:rPr>
        <w:t>七.</w:t>
      </w:r>
      <w:r>
        <w:rPr>
          <w:rFonts w:hint="eastAsia"/>
        </w:rPr>
        <w:tab/>
        <w:t>资助就涉及所有妇女的问题而进行的诉讼</w:t>
      </w:r>
    </w:p>
    <w:p w:rsidR="00A055D5" w:rsidRDefault="00A055D5" w:rsidP="00A471EC">
      <w:pPr>
        <w:pStyle w:val="SingleTxt"/>
        <w:ind w:left="1695"/>
        <w:rPr>
          <w:rFonts w:hint="eastAsia"/>
        </w:rPr>
      </w:pPr>
      <w:r>
        <w:rPr>
          <w:rFonts w:hint="eastAsia"/>
        </w:rPr>
        <w:t>八.</w:t>
      </w:r>
      <w:r>
        <w:rPr>
          <w:rFonts w:hint="eastAsia"/>
        </w:rPr>
        <w:tab/>
        <w:t>向政府提交年度报告</w:t>
      </w:r>
    </w:p>
    <w:p w:rsidR="00A055D5" w:rsidRDefault="00A055D5" w:rsidP="00A471EC">
      <w:pPr>
        <w:pStyle w:val="SingleTxt"/>
        <w:rPr>
          <w:rFonts w:hint="eastAsia"/>
        </w:rPr>
      </w:pPr>
      <w:r>
        <w:tab/>
      </w:r>
      <w:r>
        <w:rPr>
          <w:rFonts w:hint="eastAsia"/>
        </w:rPr>
        <w:t>委员会在调查向其提出的所有问题时，将具有民事法院审理案件的所有权力，特别是在以下方面：</w:t>
      </w:r>
    </w:p>
    <w:p w:rsidR="00A055D5" w:rsidRDefault="00A055D5" w:rsidP="00A471EC">
      <w:pPr>
        <w:pStyle w:val="SingleTxt"/>
      </w:pPr>
      <w:r>
        <w:rPr>
          <w:rFonts w:hAnsi="SimSun"/>
        </w:rPr>
        <w:tab/>
      </w:r>
      <w:r>
        <w:rPr>
          <w:rFonts w:hAnsi="SimSun" w:hint="eastAsia"/>
        </w:rPr>
        <w:t>㈠</w:t>
      </w:r>
      <w:r>
        <w:rPr>
          <w:rFonts w:hAnsi="SimSun" w:hint="eastAsia"/>
        </w:rPr>
        <w:tab/>
      </w:r>
      <w:r>
        <w:rPr>
          <w:rFonts w:hint="eastAsia"/>
        </w:rPr>
        <w:t>传讯和强迫印度任何地方的任何人出庭，并在他发誓后对他进行盘问；</w:t>
      </w:r>
    </w:p>
    <w:p w:rsidR="00A055D5" w:rsidRDefault="00A055D5" w:rsidP="00A471EC">
      <w:pPr>
        <w:pStyle w:val="SingleTxt"/>
      </w:pPr>
      <w:r>
        <w:tab/>
      </w:r>
      <w:r>
        <w:rPr>
          <w:rFonts w:hAnsi="SimSun" w:hint="eastAsia"/>
        </w:rPr>
        <w:t>㈡</w:t>
      </w:r>
      <w:r>
        <w:rPr>
          <w:rFonts w:hAnsi="SimSun"/>
        </w:rPr>
        <w:tab/>
      </w:r>
      <w:r>
        <w:rPr>
          <w:rFonts w:hint="eastAsia"/>
        </w:rPr>
        <w:t>要求告知并提供任何材料；</w:t>
      </w:r>
    </w:p>
    <w:p w:rsidR="00A055D5" w:rsidRDefault="00A055D5" w:rsidP="00A471EC">
      <w:pPr>
        <w:pStyle w:val="SingleTxt"/>
      </w:pPr>
      <w:r>
        <w:tab/>
      </w:r>
      <w:r>
        <w:rPr>
          <w:rFonts w:hAnsi="SimSun" w:hint="eastAsia"/>
        </w:rPr>
        <w:t>㈢</w:t>
      </w:r>
      <w:r>
        <w:rPr>
          <w:rFonts w:hAnsi="SimSun"/>
        </w:rPr>
        <w:tab/>
      </w:r>
      <w:r>
        <w:rPr>
          <w:rFonts w:hint="eastAsia"/>
        </w:rPr>
        <w:t>接受宣誓证词；</w:t>
      </w:r>
    </w:p>
    <w:p w:rsidR="00A055D5" w:rsidRDefault="00A055D5" w:rsidP="00A471EC">
      <w:pPr>
        <w:pStyle w:val="SingleTxt"/>
      </w:pPr>
      <w:r>
        <w:tab/>
      </w:r>
      <w:r>
        <w:rPr>
          <w:rFonts w:hAnsi="SimSun" w:hint="eastAsia"/>
        </w:rPr>
        <w:t>㈣</w:t>
      </w:r>
      <w:r>
        <w:rPr>
          <w:rFonts w:hAnsi="SimSun"/>
        </w:rPr>
        <w:tab/>
      </w:r>
      <w:r>
        <w:rPr>
          <w:rFonts w:hint="eastAsia"/>
        </w:rPr>
        <w:t>要求任何法院或办公室提供备案材料或其副本；</w:t>
      </w:r>
    </w:p>
    <w:p w:rsidR="00A055D5" w:rsidRDefault="00A055D5" w:rsidP="00A471EC">
      <w:pPr>
        <w:pStyle w:val="SingleTxt"/>
      </w:pPr>
      <w:r>
        <w:tab/>
      </w:r>
      <w:r>
        <w:rPr>
          <w:rFonts w:hAnsi="SimSun" w:hint="eastAsia"/>
        </w:rPr>
        <w:t>㈤</w:t>
      </w:r>
      <w:r>
        <w:rPr>
          <w:rFonts w:hAnsi="SimSun"/>
        </w:rPr>
        <w:tab/>
      </w:r>
      <w:r>
        <w:rPr>
          <w:rFonts w:hint="eastAsia"/>
        </w:rPr>
        <w:t>签发审查证人和文件的委托书。</w:t>
      </w:r>
    </w:p>
    <w:p w:rsidR="00A055D5" w:rsidRDefault="00A055D5" w:rsidP="00A471EC">
      <w:pPr>
        <w:pStyle w:val="SingleTxt"/>
      </w:pPr>
      <w:r>
        <w:tab/>
      </w:r>
      <w:r>
        <w:rPr>
          <w:rFonts w:hint="eastAsia"/>
        </w:rPr>
        <w:t>联邦政府为国家妇女委员会执行其任务提供必要的人力和财政资源。目前，委员会共有94名成员，包括主席和成员。委员会在过去三年和本年度获得的预算资金如下：</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A055D5" w:rsidRPr="006B2FCF" w:rsidTr="00A471EC">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hint="eastAsia"/>
                <w:bCs/>
                <w:sz w:val="15"/>
                <w:szCs w:val="24"/>
                <w:lang w:eastAsia="zh-CN"/>
              </w:rPr>
            </w:pPr>
            <w:r w:rsidRPr="006B2FCF">
              <w:rPr>
                <w:rFonts w:ascii="KaiTi_GB2312" w:eastAsia="KaiTi_GB2312" w:hint="eastAsia"/>
                <w:bCs/>
                <w:sz w:val="15"/>
                <w:szCs w:val="24"/>
                <w:lang w:eastAsia="zh-CN"/>
              </w:rPr>
              <w:t>年份</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bCs/>
                <w:sz w:val="15"/>
                <w:szCs w:val="24"/>
              </w:rPr>
            </w:pPr>
            <w:r w:rsidRPr="006B2FCF">
              <w:rPr>
                <w:rFonts w:ascii="KaiTi_GB2312" w:eastAsia="KaiTi_GB2312"/>
                <w:bCs/>
                <w:sz w:val="15"/>
                <w:szCs w:val="24"/>
              </w:rPr>
              <w:t>2010-2011</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bCs/>
                <w:sz w:val="15"/>
                <w:szCs w:val="24"/>
              </w:rPr>
            </w:pPr>
            <w:r w:rsidRPr="006B2FCF">
              <w:rPr>
                <w:rFonts w:ascii="KaiTi_GB2312" w:eastAsia="KaiTi_GB2312"/>
                <w:bCs/>
                <w:sz w:val="15"/>
                <w:szCs w:val="24"/>
              </w:rPr>
              <w:t>2011-2012</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bCs/>
                <w:sz w:val="15"/>
                <w:szCs w:val="24"/>
              </w:rPr>
            </w:pPr>
            <w:r w:rsidRPr="006B2FCF">
              <w:rPr>
                <w:rFonts w:ascii="KaiTi_GB2312" w:eastAsia="KaiTi_GB2312"/>
                <w:bCs/>
                <w:sz w:val="15"/>
                <w:szCs w:val="24"/>
              </w:rPr>
              <w:t>2012-2013</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bCs/>
                <w:sz w:val="15"/>
                <w:szCs w:val="24"/>
              </w:rPr>
            </w:pPr>
            <w:r w:rsidRPr="006B2FCF">
              <w:rPr>
                <w:rFonts w:ascii="KaiTi_GB2312" w:eastAsia="KaiTi_GB2312"/>
                <w:bCs/>
                <w:sz w:val="15"/>
                <w:szCs w:val="24"/>
              </w:rPr>
              <w:t>2013-14</w:t>
            </w:r>
          </w:p>
        </w:tc>
      </w:tr>
      <w:tr w:rsidR="00A055D5" w:rsidRPr="006B2FCF" w:rsidTr="00A471EC">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hint="eastAsia"/>
                <w:bCs/>
                <w:sz w:val="17"/>
                <w:szCs w:val="24"/>
                <w:lang w:eastAsia="zh-CN"/>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r>
      <w:tr w:rsidR="00A055D5" w:rsidRPr="006B2FCF" w:rsidTr="00A471EC">
        <w:tblPrEx>
          <w:tblCellMar>
            <w:top w:w="0" w:type="dxa"/>
            <w:bottom w:w="0" w:type="dxa"/>
          </w:tblCellMar>
        </w:tblPrEx>
        <w:tc>
          <w:tcPr>
            <w:tcW w:w="1464" w:type="dxa"/>
            <w:shd w:val="clear" w:color="auto" w:fill="auto"/>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eastAsia="SimSun" w:hint="eastAsia"/>
                <w:bCs/>
                <w:sz w:val="17"/>
                <w:szCs w:val="24"/>
                <w:lang w:eastAsia="zh-CN"/>
              </w:rPr>
            </w:pPr>
            <w:r w:rsidRPr="006B2FCF">
              <w:rPr>
                <w:rFonts w:eastAsia="SimSun" w:hint="eastAsia"/>
                <w:bCs/>
                <w:sz w:val="17"/>
                <w:szCs w:val="24"/>
                <w:lang w:eastAsia="zh-CN"/>
              </w:rPr>
              <w:t>数额</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eastAsia="zh-CN"/>
              </w:rPr>
            </w:pPr>
            <w:r w:rsidRPr="006B2FCF">
              <w:rPr>
                <w:rFonts w:ascii="SimSun" w:eastAsia="SimSun" w:hAnsi="SimSun"/>
                <w:sz w:val="17"/>
                <w:szCs w:val="24"/>
              </w:rPr>
              <w:t>8</w:t>
            </w:r>
            <w:r>
              <w:rPr>
                <w:rFonts w:ascii="SimSun" w:eastAsia="SimSun" w:hAnsi="SimSun"/>
                <w:sz w:val="17"/>
                <w:szCs w:val="24"/>
              </w:rPr>
              <w:t xml:space="preserve"> </w:t>
            </w:r>
            <w:r w:rsidRPr="006B2FCF">
              <w:rPr>
                <w:rFonts w:ascii="SimSun" w:eastAsia="SimSun" w:hAnsi="SimSun"/>
                <w:sz w:val="17"/>
                <w:szCs w:val="24"/>
              </w:rPr>
              <w:t>25</w:t>
            </w:r>
            <w:r w:rsidRPr="006B2FCF">
              <w:rPr>
                <w:rFonts w:ascii="SimSun" w:eastAsia="SimSun" w:hAnsi="SimSun" w:hint="eastAsia"/>
                <w:sz w:val="17"/>
                <w:szCs w:val="24"/>
                <w:lang w:eastAsia="zh-CN"/>
              </w:rPr>
              <w:t>0万卢比</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eastAsia="zh-CN"/>
              </w:rPr>
            </w:pPr>
            <w:r w:rsidRPr="006B2FCF">
              <w:rPr>
                <w:rFonts w:ascii="SimSun" w:eastAsia="SimSun" w:hAnsi="SimSun"/>
                <w:sz w:val="17"/>
                <w:szCs w:val="24"/>
              </w:rPr>
              <w:t>1</w:t>
            </w:r>
            <w:r w:rsidRPr="006B2FCF">
              <w:rPr>
                <w:rFonts w:ascii="SimSun" w:eastAsia="SimSun" w:hAnsi="SimSun" w:hint="eastAsia"/>
                <w:sz w:val="17"/>
                <w:szCs w:val="24"/>
                <w:lang w:eastAsia="zh-CN"/>
              </w:rPr>
              <w:t>.</w:t>
            </w:r>
            <w:r w:rsidRPr="006B2FCF">
              <w:rPr>
                <w:rFonts w:ascii="SimSun" w:eastAsia="SimSun" w:hAnsi="SimSun"/>
                <w:sz w:val="17"/>
                <w:szCs w:val="24"/>
              </w:rPr>
              <w:t>23</w:t>
            </w:r>
            <w:r w:rsidRPr="006B2FCF">
              <w:rPr>
                <w:rFonts w:ascii="SimSun" w:eastAsia="SimSun" w:hAnsi="SimSun" w:hint="eastAsia"/>
                <w:sz w:val="17"/>
                <w:szCs w:val="24"/>
                <w:lang w:eastAsia="zh-CN"/>
              </w:rPr>
              <w:t>亿卢比</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eastAsia="zh-CN"/>
              </w:rPr>
            </w:pPr>
            <w:r w:rsidRPr="006B2FCF">
              <w:rPr>
                <w:rFonts w:ascii="SimSun" w:eastAsia="SimSun" w:hAnsi="SimSun"/>
                <w:sz w:val="17"/>
                <w:szCs w:val="24"/>
              </w:rPr>
              <w:t>1.513</w:t>
            </w:r>
            <w:r w:rsidRPr="006B2FCF">
              <w:rPr>
                <w:rFonts w:ascii="SimSun" w:eastAsia="SimSun" w:hAnsi="SimSun" w:hint="eastAsia"/>
                <w:sz w:val="17"/>
                <w:szCs w:val="24"/>
                <w:lang w:eastAsia="zh-CN"/>
              </w:rPr>
              <w:t>亿卢比</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eastAsia="zh-CN"/>
              </w:rPr>
            </w:pPr>
            <w:r w:rsidRPr="006B2FCF">
              <w:rPr>
                <w:rFonts w:ascii="SimSun" w:eastAsia="SimSun" w:hAnsi="SimSun"/>
                <w:sz w:val="17"/>
                <w:szCs w:val="24"/>
              </w:rPr>
              <w:t>1.495</w:t>
            </w:r>
            <w:r w:rsidRPr="006B2FCF">
              <w:rPr>
                <w:rFonts w:ascii="SimSun" w:eastAsia="SimSun" w:hAnsi="SimSun" w:hint="eastAsia"/>
                <w:sz w:val="17"/>
                <w:szCs w:val="24"/>
                <w:lang w:eastAsia="zh-CN"/>
              </w:rPr>
              <w:t>亿卢比</w:t>
            </w:r>
          </w:p>
        </w:tc>
      </w:tr>
      <w:tr w:rsidR="00A055D5" w:rsidRPr="006B2FCF" w:rsidTr="00A471EC">
        <w:tblPrEx>
          <w:tblCellMar>
            <w:top w:w="0" w:type="dxa"/>
            <w:bottom w:w="0" w:type="dxa"/>
          </w:tblCellMar>
        </w:tblPrEx>
        <w:tc>
          <w:tcPr>
            <w:tcW w:w="1464" w:type="dxa"/>
            <w:tcBorders>
              <w:bottom w:val="single" w:sz="12" w:space="0" w:color="auto"/>
            </w:tcBorders>
            <w:shd w:val="clear" w:color="auto" w:fill="auto"/>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eastAsia="SimSun" w:hint="eastAsia"/>
                <w:bCs/>
                <w:sz w:val="17"/>
                <w:szCs w:val="24"/>
                <w:lang w:eastAsia="zh-CN"/>
              </w:rPr>
            </w:pPr>
          </w:p>
        </w:tc>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(133</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(199</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(245</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rPr>
            </w:pPr>
            <w:r w:rsidRPr="006B2FCF">
              <w:rPr>
                <w:rFonts w:ascii="SimSun" w:eastAsia="SimSun" w:hAnsi="SimSun"/>
                <w:sz w:val="17"/>
                <w:szCs w:val="24"/>
              </w:rPr>
              <w:t>(242</w:t>
            </w:r>
            <w:r w:rsidRPr="006B2FCF">
              <w:rPr>
                <w:rFonts w:ascii="SimSun" w:eastAsia="SimSun" w:hAnsi="SimSun" w:hint="eastAsia"/>
                <w:sz w:val="17"/>
                <w:szCs w:val="24"/>
                <w:lang w:eastAsia="zh-CN"/>
              </w:rPr>
              <w:t>万</w:t>
            </w:r>
            <w:r w:rsidRPr="006B2FCF">
              <w:rPr>
                <w:rFonts w:ascii="SimSun" w:eastAsia="SimSun" w:hAnsi="SimSun" w:cs="SimSun" w:hint="eastAsia"/>
                <w:sz w:val="17"/>
                <w:szCs w:val="24"/>
              </w:rPr>
              <w:t>美元</w:t>
            </w:r>
            <w:r w:rsidRPr="006B2FCF">
              <w:rPr>
                <w:rFonts w:ascii="SimSun" w:eastAsia="SimSun" w:hAnsi="SimSun"/>
                <w:sz w:val="17"/>
                <w:szCs w:val="24"/>
              </w:rPr>
              <w:t>)</w:t>
            </w:r>
          </w:p>
        </w:tc>
      </w:tr>
    </w:tbl>
    <w:p w:rsidR="00A055D5" w:rsidRPr="006B2FCF" w:rsidRDefault="00A055D5" w:rsidP="00A471EC">
      <w:pPr>
        <w:pStyle w:val="SingleTxt"/>
        <w:spacing w:after="0" w:line="120" w:lineRule="exact"/>
        <w:rPr>
          <w:rFonts w:hint="eastAsia"/>
          <w:sz w:val="10"/>
        </w:rPr>
      </w:pPr>
    </w:p>
    <w:p w:rsidR="00A055D5" w:rsidRPr="006B2FCF" w:rsidRDefault="00A055D5" w:rsidP="00A471EC">
      <w:pPr>
        <w:pStyle w:val="SingleTxt"/>
        <w:spacing w:after="0" w:line="120" w:lineRule="exact"/>
        <w:rPr>
          <w:rFonts w:hint="eastAsia"/>
          <w:sz w:val="10"/>
        </w:rPr>
      </w:pPr>
    </w:p>
    <w:p w:rsidR="00A055D5" w:rsidRDefault="00A055D5" w:rsidP="00A471EC">
      <w:pPr>
        <w:pStyle w:val="SingleTxt"/>
        <w:rPr>
          <w:rFonts w:hint="eastAsia"/>
        </w:rPr>
      </w:pPr>
      <w:r>
        <w:tab/>
      </w:r>
      <w:r>
        <w:rPr>
          <w:rFonts w:hint="eastAsia"/>
        </w:rPr>
        <w:t>国家妇女委员会处理收到的口头和书面投诉，或上网通过其网站</w:t>
      </w:r>
      <w:r w:rsidRPr="000C5754">
        <w:rPr>
          <w:rFonts w:ascii="Times New Roman"/>
        </w:rPr>
        <w:t>www.ncw.nic.in</w:t>
      </w:r>
      <w:r>
        <w:rPr>
          <w:rFonts w:hint="eastAsia"/>
        </w:rPr>
        <w:t>.提交的投诉。此外，委员会还根据1990年《国家妇女委员会法案》第10节，主动注意与侵犯妇女的邪恶罪行有关的事件。总的来说，委员会对投诉采取行动的方式如下：</w:t>
      </w:r>
    </w:p>
    <w:p w:rsidR="00A055D5" w:rsidRDefault="00A055D5" w:rsidP="00BE0338">
      <w:pPr>
        <w:pStyle w:val="SingleTxt"/>
        <w:spacing w:line="340" w:lineRule="exact"/>
        <w:ind w:left="1695"/>
      </w:pPr>
      <w:r>
        <w:rPr>
          <w:rFonts w:hAnsi="SimSun" w:hint="eastAsia"/>
        </w:rPr>
        <w:t>㈠</w:t>
      </w:r>
      <w:r>
        <w:rPr>
          <w:rFonts w:hAnsi="SimSun"/>
        </w:rPr>
        <w:tab/>
      </w:r>
      <w:r>
        <w:rPr>
          <w:rFonts w:hint="eastAsia"/>
        </w:rPr>
        <w:t>将警察漠不关心/警察无动于衷的投诉转交给有关邦政府，以确保及时并公平地对事件进行调查。之后检查并进一步监测从相应的邦政府那里收到的《已采取的行动报告》；</w:t>
      </w:r>
    </w:p>
    <w:p w:rsidR="00A055D5" w:rsidRDefault="00A055D5" w:rsidP="00BE0338">
      <w:pPr>
        <w:pStyle w:val="SingleTxt"/>
        <w:spacing w:line="340" w:lineRule="exact"/>
        <w:ind w:left="1695"/>
      </w:pPr>
      <w:r>
        <w:rPr>
          <w:rFonts w:hAnsi="SimSun" w:hint="eastAsia"/>
        </w:rPr>
        <w:t>㈡</w:t>
      </w:r>
      <w:r>
        <w:rPr>
          <w:rFonts w:hAnsi="SimSun"/>
        </w:rPr>
        <w:tab/>
      </w:r>
      <w:r>
        <w:rPr>
          <w:rFonts w:hint="eastAsia"/>
        </w:rPr>
        <w:t>通过咨询解决家庭纠纷/夫妻争端。将当事双方叫到国家妇女委员会面前，当面陈述情况，并接受咨询，以解决冲突；</w:t>
      </w:r>
    </w:p>
    <w:p w:rsidR="00A055D5" w:rsidRDefault="00A055D5" w:rsidP="00BE0338">
      <w:pPr>
        <w:pStyle w:val="SingleTxt"/>
        <w:spacing w:line="340" w:lineRule="exact"/>
        <w:ind w:left="1695"/>
      </w:pPr>
      <w:r>
        <w:rPr>
          <w:rFonts w:hAnsi="SimSun" w:hint="eastAsia"/>
        </w:rPr>
        <w:t>㈢</w:t>
      </w:r>
      <w:r>
        <w:rPr>
          <w:rFonts w:hAnsi="SimSun"/>
        </w:rPr>
        <w:tab/>
      </w:r>
      <w:r>
        <w:rPr>
          <w:rFonts w:hint="eastAsia"/>
        </w:rPr>
        <w:t>委员会对严重的罪行组成调查委员会。调查委员会进行现场调查，查问各种证人，收集证据，并提交附带建议的报告。这种调查有助于使暴力受害者和罪恶行为的受害者立即得到救助，并为其伸张正义。委员会通过与有关邦政府/当局讨论该事项的方式，监测调查委员会建议的执行情况；</w:t>
      </w:r>
    </w:p>
    <w:p w:rsidR="00A055D5" w:rsidRDefault="00A055D5" w:rsidP="00BE0338">
      <w:pPr>
        <w:pStyle w:val="SingleTxt"/>
        <w:spacing w:line="340" w:lineRule="exact"/>
        <w:ind w:left="1695"/>
      </w:pPr>
      <w:r>
        <w:rPr>
          <w:rFonts w:hAnsi="SimSun" w:hint="eastAsia"/>
        </w:rPr>
        <w:t>㈣</w:t>
      </w:r>
      <w:r>
        <w:rPr>
          <w:rFonts w:hAnsi="SimSun"/>
        </w:rPr>
        <w:tab/>
      </w:r>
      <w:r>
        <w:rPr>
          <w:rFonts w:hint="eastAsia"/>
        </w:rPr>
        <w:t>此外还将妇女提交的一些投诉转给各种邦妇女委员会、全国人权委员会、在册种姓和在册部落全国委员会及其邦一级的对口机构，供它们采取适当行动。这些投诉与剥夺妇女权利没有直接关系。</w:t>
      </w:r>
    </w:p>
    <w:tbl>
      <w:tblPr>
        <w:tblW w:w="7320" w:type="dxa"/>
        <w:tblInd w:w="1260" w:type="dxa"/>
        <w:tblLayout w:type="fixed"/>
        <w:tblCellMar>
          <w:left w:w="0" w:type="dxa"/>
          <w:right w:w="0" w:type="dxa"/>
        </w:tblCellMar>
        <w:tblLook w:val="0000"/>
      </w:tblPr>
      <w:tblGrid>
        <w:gridCol w:w="1464"/>
        <w:gridCol w:w="1464"/>
        <w:gridCol w:w="1464"/>
        <w:gridCol w:w="1464"/>
        <w:gridCol w:w="1464"/>
      </w:tblGrid>
      <w:tr w:rsidR="00A055D5" w:rsidRPr="006B2FCF" w:rsidTr="00A471EC">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left"/>
              <w:rPr>
                <w:rFonts w:ascii="KaiTi_GB2312" w:eastAsia="KaiTi_GB2312" w:hint="eastAsia"/>
                <w:sz w:val="15"/>
                <w:szCs w:val="24"/>
                <w:lang w:eastAsia="zh-CN"/>
              </w:rPr>
            </w:pPr>
            <w:r w:rsidRPr="006B2FCF">
              <w:rPr>
                <w:rFonts w:ascii="KaiTi_GB2312" w:eastAsia="KaiTi_GB2312" w:hint="eastAsia"/>
                <w:sz w:val="15"/>
                <w:szCs w:val="24"/>
                <w:lang w:eastAsia="zh-CN"/>
              </w:rPr>
              <w:t>年份</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right"/>
              <w:rPr>
                <w:rFonts w:ascii="KaiTi_GB2312" w:eastAsia="KaiTi_GB2312"/>
                <w:sz w:val="15"/>
                <w:szCs w:val="24"/>
              </w:rPr>
            </w:pPr>
            <w:r w:rsidRPr="006B2FCF">
              <w:rPr>
                <w:rFonts w:ascii="KaiTi_GB2312" w:eastAsia="KaiTi_GB2312" w:hint="eastAsia"/>
                <w:sz w:val="15"/>
                <w:szCs w:val="24"/>
                <w:lang w:eastAsia="zh-CN"/>
              </w:rPr>
              <w:t>收到的投诉</w:t>
            </w:r>
            <w:r w:rsidRPr="006B2FCF">
              <w:rPr>
                <w:rFonts w:ascii="KaiTi_GB2312" w:eastAsia="KaiTi_GB2312"/>
                <w:sz w:val="15"/>
                <w:szCs w:val="24"/>
              </w:rPr>
              <w:t xml:space="preserve"> </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right"/>
              <w:rPr>
                <w:rFonts w:ascii="KaiTi_GB2312" w:eastAsia="KaiTi_GB2312" w:hint="eastAsia"/>
                <w:sz w:val="15"/>
                <w:szCs w:val="24"/>
                <w:lang w:eastAsia="zh-CN"/>
              </w:rPr>
            </w:pPr>
            <w:r w:rsidRPr="006B2FCF">
              <w:rPr>
                <w:rFonts w:ascii="KaiTi_GB2312" w:eastAsia="KaiTi_GB2312" w:hint="eastAsia"/>
                <w:sz w:val="15"/>
                <w:szCs w:val="24"/>
                <w:lang w:eastAsia="zh-CN"/>
              </w:rPr>
              <w:t>采取的行动</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right"/>
              <w:rPr>
                <w:rFonts w:ascii="KaiTi_GB2312" w:eastAsia="KaiTi_GB2312" w:hint="eastAsia"/>
                <w:sz w:val="15"/>
                <w:szCs w:val="24"/>
                <w:lang w:eastAsia="zh-CN"/>
              </w:rPr>
            </w:pPr>
            <w:r w:rsidRPr="006B2FCF">
              <w:rPr>
                <w:rFonts w:ascii="KaiTi_GB2312" w:eastAsia="KaiTi_GB2312" w:hint="eastAsia"/>
                <w:sz w:val="15"/>
                <w:szCs w:val="24"/>
                <w:lang w:eastAsia="zh-CN"/>
              </w:rPr>
              <w:t>已结案</w:t>
            </w:r>
          </w:p>
        </w:tc>
        <w:tc>
          <w:tcPr>
            <w:tcW w:w="1464" w:type="dxa"/>
            <w:tcBorders>
              <w:top w:val="single" w:sz="4" w:space="0" w:color="auto"/>
              <w:bottom w:val="single" w:sz="12" w:space="0" w:color="auto"/>
            </w:tcBorders>
            <w:shd w:val="clear" w:color="auto" w:fill="auto"/>
            <w:vAlign w:val="bottom"/>
          </w:tcPr>
          <w:p w:rsidR="00A055D5" w:rsidRPr="006B2FCF" w:rsidRDefault="00A055D5" w:rsidP="00A471EC">
            <w:pPr>
              <w:pStyle w:val="SingleTxtG"/>
              <w:tabs>
                <w:tab w:val="left" w:pos="720"/>
              </w:tabs>
              <w:spacing w:before="60" w:after="60" w:line="200" w:lineRule="exact"/>
              <w:ind w:left="0" w:right="57"/>
              <w:jc w:val="right"/>
              <w:rPr>
                <w:rFonts w:ascii="KaiTi_GB2312" w:eastAsia="KaiTi_GB2312" w:hint="eastAsia"/>
                <w:sz w:val="15"/>
                <w:szCs w:val="24"/>
                <w:lang w:eastAsia="zh-CN"/>
              </w:rPr>
            </w:pPr>
            <w:r w:rsidRPr="006B2FCF">
              <w:rPr>
                <w:rFonts w:ascii="KaiTi_GB2312" w:eastAsia="KaiTi_GB2312" w:hint="eastAsia"/>
                <w:sz w:val="15"/>
                <w:szCs w:val="24"/>
                <w:lang w:eastAsia="zh-CN"/>
              </w:rPr>
              <w:t>有待采取行动</w:t>
            </w:r>
          </w:p>
        </w:tc>
      </w:tr>
      <w:tr w:rsidR="00A055D5" w:rsidRPr="006B2FCF" w:rsidTr="00A471EC">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lef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righ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righ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right"/>
              <w:rPr>
                <w:rFonts w:eastAsia="SimSun"/>
                <w:sz w:val="17"/>
                <w:szCs w:val="24"/>
              </w:rPr>
            </w:pPr>
          </w:p>
        </w:tc>
        <w:tc>
          <w:tcPr>
            <w:tcW w:w="1464" w:type="dxa"/>
            <w:tcBorders>
              <w:top w:val="single" w:sz="12" w:space="0" w:color="auto"/>
            </w:tcBorders>
            <w:shd w:val="clear" w:color="auto" w:fill="auto"/>
            <w:vAlign w:val="bottom"/>
          </w:tcPr>
          <w:p w:rsidR="00A055D5" w:rsidRPr="006B2FCF" w:rsidRDefault="00A055D5" w:rsidP="00A471EC">
            <w:pPr>
              <w:pStyle w:val="SingleTxtG"/>
              <w:tabs>
                <w:tab w:val="left" w:pos="720"/>
              </w:tabs>
              <w:spacing w:after="60" w:line="280" w:lineRule="exact"/>
              <w:ind w:left="0" w:right="57"/>
              <w:jc w:val="right"/>
              <w:rPr>
                <w:rFonts w:eastAsia="SimSun"/>
                <w:sz w:val="17"/>
                <w:szCs w:val="24"/>
              </w:rPr>
            </w:pPr>
          </w:p>
        </w:tc>
      </w:tr>
      <w:tr w:rsidR="00A055D5" w:rsidRPr="006B2FCF" w:rsidTr="00A471EC">
        <w:tblPrEx>
          <w:tblCellMar>
            <w:top w:w="0" w:type="dxa"/>
            <w:bottom w:w="0" w:type="dxa"/>
          </w:tblCellMar>
        </w:tblPrEx>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2011</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15</w:t>
            </w:r>
            <w:r>
              <w:rPr>
                <w:rFonts w:ascii="SimSun" w:eastAsia="SimSun" w:hAnsi="SimSun"/>
                <w:sz w:val="17"/>
                <w:szCs w:val="24"/>
              </w:rPr>
              <w:t xml:space="preserve"> </w:t>
            </w:r>
            <w:r w:rsidRPr="006B2FCF">
              <w:rPr>
                <w:rFonts w:ascii="SimSun" w:eastAsia="SimSun" w:hAnsi="SimSun"/>
                <w:sz w:val="17"/>
                <w:szCs w:val="24"/>
              </w:rPr>
              <w:t>870</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15</w:t>
            </w:r>
            <w:r>
              <w:rPr>
                <w:rFonts w:ascii="SimSun" w:eastAsia="SimSun" w:hAnsi="SimSun"/>
                <w:sz w:val="17"/>
                <w:szCs w:val="24"/>
              </w:rPr>
              <w:t xml:space="preserve"> </w:t>
            </w:r>
            <w:r w:rsidRPr="006B2FCF">
              <w:rPr>
                <w:rFonts w:ascii="SimSun" w:eastAsia="SimSun" w:hAnsi="SimSun"/>
                <w:sz w:val="17"/>
                <w:szCs w:val="24"/>
              </w:rPr>
              <w:t>870</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4</w:t>
            </w:r>
            <w:r>
              <w:rPr>
                <w:rFonts w:ascii="SimSun" w:eastAsia="SimSun" w:hAnsi="SimSun"/>
                <w:sz w:val="17"/>
                <w:szCs w:val="24"/>
              </w:rPr>
              <w:t xml:space="preserve"> </w:t>
            </w:r>
            <w:r w:rsidRPr="006B2FCF">
              <w:rPr>
                <w:rFonts w:ascii="SimSun" w:eastAsia="SimSun" w:hAnsi="SimSun"/>
                <w:sz w:val="17"/>
                <w:szCs w:val="24"/>
              </w:rPr>
              <w:t>701</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0</w:t>
            </w:r>
          </w:p>
        </w:tc>
      </w:tr>
      <w:tr w:rsidR="00A055D5" w:rsidRPr="006B2FCF" w:rsidTr="00A471EC">
        <w:tblPrEx>
          <w:tblCellMar>
            <w:top w:w="0" w:type="dxa"/>
            <w:bottom w:w="0" w:type="dxa"/>
          </w:tblCellMar>
        </w:tblPrEx>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rPr>
            </w:pPr>
            <w:r w:rsidRPr="006B2FCF">
              <w:rPr>
                <w:rFonts w:ascii="SimSun" w:eastAsia="SimSun" w:hAnsi="SimSun"/>
                <w:sz w:val="17"/>
                <w:szCs w:val="24"/>
              </w:rPr>
              <w:t>2012</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16</w:t>
            </w:r>
            <w:r>
              <w:rPr>
                <w:rFonts w:ascii="SimSun" w:eastAsia="SimSun" w:hAnsi="SimSun"/>
                <w:sz w:val="17"/>
                <w:szCs w:val="24"/>
              </w:rPr>
              <w:t xml:space="preserve"> </w:t>
            </w:r>
            <w:r w:rsidRPr="006B2FCF">
              <w:rPr>
                <w:rFonts w:ascii="SimSun" w:eastAsia="SimSun" w:hAnsi="SimSun"/>
                <w:sz w:val="17"/>
                <w:szCs w:val="24"/>
              </w:rPr>
              <w:t>557</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16</w:t>
            </w:r>
            <w:r>
              <w:rPr>
                <w:rFonts w:ascii="SimSun" w:eastAsia="SimSun" w:hAnsi="SimSun"/>
                <w:sz w:val="17"/>
                <w:szCs w:val="24"/>
              </w:rPr>
              <w:t xml:space="preserve"> </w:t>
            </w:r>
            <w:r w:rsidRPr="006B2FCF">
              <w:rPr>
                <w:rFonts w:ascii="SimSun" w:eastAsia="SimSun" w:hAnsi="SimSun"/>
                <w:sz w:val="17"/>
                <w:szCs w:val="24"/>
              </w:rPr>
              <w:t>557</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7</w:t>
            </w:r>
            <w:r>
              <w:rPr>
                <w:rFonts w:ascii="SimSun" w:eastAsia="SimSun" w:hAnsi="SimSun"/>
                <w:sz w:val="17"/>
                <w:szCs w:val="24"/>
              </w:rPr>
              <w:t xml:space="preserve"> </w:t>
            </w:r>
            <w:r w:rsidRPr="006B2FCF">
              <w:rPr>
                <w:rFonts w:ascii="SimSun" w:eastAsia="SimSun" w:hAnsi="SimSun"/>
                <w:sz w:val="17"/>
                <w:szCs w:val="24"/>
              </w:rPr>
              <w:t>074</w:t>
            </w:r>
          </w:p>
        </w:tc>
        <w:tc>
          <w:tcPr>
            <w:tcW w:w="1464" w:type="dxa"/>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0</w:t>
            </w:r>
          </w:p>
        </w:tc>
      </w:tr>
      <w:tr w:rsidR="00A055D5" w:rsidRPr="006B2FCF" w:rsidTr="00A471EC">
        <w:tblPrEx>
          <w:tblCellMar>
            <w:top w:w="0" w:type="dxa"/>
            <w:bottom w:w="0" w:type="dxa"/>
          </w:tblCellMar>
        </w:tblPrEx>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rPr>
                <w:rFonts w:ascii="SimSun" w:eastAsia="SimSun" w:hAnsi="SimSun"/>
                <w:sz w:val="17"/>
                <w:szCs w:val="24"/>
                <w:lang w:eastAsia="zh-CN"/>
              </w:rPr>
            </w:pPr>
            <w:r w:rsidRPr="006B2FCF">
              <w:rPr>
                <w:rFonts w:ascii="SimSun" w:eastAsia="SimSun" w:hAnsi="SimSun"/>
                <w:sz w:val="17"/>
                <w:szCs w:val="24"/>
              </w:rPr>
              <w:t>2013</w:t>
            </w:r>
          </w:p>
        </w:tc>
        <w:tc>
          <w:tcPr>
            <w:tcW w:w="1464" w:type="dxa"/>
            <w:tcBorders>
              <w:bottom w:val="single" w:sz="12" w:space="0" w:color="auto"/>
            </w:tcBorders>
            <w:shd w:val="clear" w:color="auto" w:fill="auto"/>
            <w:vAlign w:val="bottom"/>
          </w:tcPr>
          <w:p w:rsidR="00A055D5" w:rsidRPr="006B2FCF" w:rsidRDefault="00A055D5" w:rsidP="00A471EC">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rPr>
            </w:pPr>
            <w:r w:rsidRPr="006B2FCF">
              <w:rPr>
                <w:rFonts w:ascii="SimSun" w:eastAsia="SimSun" w:hAnsi="SimSun"/>
                <w:sz w:val="17"/>
                <w:szCs w:val="24"/>
              </w:rPr>
              <w:t>16</w:t>
            </w:r>
            <w:r>
              <w:rPr>
                <w:rFonts w:ascii="SimSun" w:eastAsia="SimSun" w:hAnsi="SimSun"/>
                <w:sz w:val="17"/>
                <w:szCs w:val="24"/>
              </w:rPr>
              <w:t xml:space="preserve"> </w:t>
            </w:r>
            <w:r w:rsidRPr="006B2FCF">
              <w:rPr>
                <w:rFonts w:ascii="SimSun" w:eastAsia="SimSun" w:hAnsi="SimSun"/>
                <w:sz w:val="17"/>
                <w:szCs w:val="24"/>
              </w:rPr>
              <w:t>701</w:t>
            </w:r>
          </w:p>
        </w:tc>
        <w:tc>
          <w:tcPr>
            <w:tcW w:w="1464" w:type="dxa"/>
            <w:tcBorders>
              <w:bottom w:val="single" w:sz="12" w:space="0" w:color="auto"/>
            </w:tcBorders>
            <w:shd w:val="clear" w:color="auto" w:fill="auto"/>
            <w:vAlign w:val="bottom"/>
          </w:tcPr>
          <w:p w:rsidR="00A055D5" w:rsidRPr="006B2FCF" w:rsidRDefault="00A055D5" w:rsidP="00A471EC">
            <w:pPr>
              <w:pStyle w:val="H23"/>
              <w:tabs>
                <w:tab w:val="left" w:pos="334"/>
                <w:tab w:val="left" w:pos="669"/>
                <w:tab w:val="left" w:pos="1003"/>
                <w:tab w:val="left" w:pos="1338"/>
              </w:tabs>
              <w:suppressAutoHyphens/>
              <w:spacing w:after="60" w:line="280" w:lineRule="exact"/>
              <w:ind w:right="57"/>
              <w:jc w:val="right"/>
              <w:outlineLvl w:val="9"/>
              <w:rPr>
                <w:rFonts w:ascii="SimSun" w:eastAsia="SimSun" w:hAnsi="SimSun"/>
                <w:sz w:val="17"/>
                <w:szCs w:val="24"/>
              </w:rPr>
            </w:pPr>
            <w:r w:rsidRPr="006B2FCF">
              <w:rPr>
                <w:rFonts w:ascii="SimSun" w:eastAsia="SimSun" w:hAnsi="SimSun"/>
                <w:sz w:val="17"/>
                <w:szCs w:val="24"/>
              </w:rPr>
              <w:t>16</w:t>
            </w:r>
            <w:r>
              <w:rPr>
                <w:rFonts w:ascii="SimSun" w:eastAsia="SimSun" w:hAnsi="SimSun"/>
                <w:sz w:val="17"/>
                <w:szCs w:val="24"/>
              </w:rPr>
              <w:t xml:space="preserve"> </w:t>
            </w:r>
            <w:r w:rsidRPr="006B2FCF">
              <w:rPr>
                <w:rFonts w:ascii="SimSun" w:eastAsia="SimSun" w:hAnsi="SimSun"/>
                <w:sz w:val="17"/>
                <w:szCs w:val="24"/>
              </w:rPr>
              <w:t>599</w:t>
            </w:r>
          </w:p>
        </w:tc>
        <w:tc>
          <w:tcPr>
            <w:tcW w:w="1464" w:type="dxa"/>
            <w:tcBorders>
              <w:bottom w:val="single" w:sz="12" w:space="0" w:color="auto"/>
            </w:tcBorders>
            <w:shd w:val="clear" w:color="auto" w:fill="auto"/>
            <w:vAlign w:val="bottom"/>
          </w:tcPr>
          <w:p w:rsidR="00A055D5" w:rsidRPr="006B2FCF" w:rsidRDefault="00A055D5" w:rsidP="00A471EC">
            <w:pPr>
              <w:pStyle w:val="H23"/>
              <w:tabs>
                <w:tab w:val="left" w:pos="334"/>
                <w:tab w:val="left" w:pos="669"/>
                <w:tab w:val="left" w:pos="1003"/>
                <w:tab w:val="left" w:pos="1338"/>
              </w:tabs>
              <w:suppressAutoHyphens/>
              <w:spacing w:after="60" w:line="280" w:lineRule="exact"/>
              <w:ind w:right="57"/>
              <w:jc w:val="right"/>
              <w:outlineLvl w:val="9"/>
              <w:rPr>
                <w:rFonts w:ascii="SimSun" w:eastAsia="SimSun" w:hAnsi="SimSun"/>
                <w:sz w:val="17"/>
                <w:szCs w:val="24"/>
              </w:rPr>
            </w:pPr>
            <w:r w:rsidRPr="006B2FCF">
              <w:rPr>
                <w:rFonts w:ascii="SimSun" w:eastAsia="SimSun" w:hAnsi="SimSun"/>
                <w:sz w:val="17"/>
                <w:szCs w:val="24"/>
              </w:rPr>
              <w:t>5</w:t>
            </w:r>
            <w:r>
              <w:rPr>
                <w:rFonts w:ascii="SimSun" w:eastAsia="SimSun" w:hAnsi="SimSun"/>
                <w:sz w:val="17"/>
                <w:szCs w:val="24"/>
              </w:rPr>
              <w:t xml:space="preserve"> </w:t>
            </w:r>
            <w:r w:rsidRPr="006B2FCF">
              <w:rPr>
                <w:rFonts w:ascii="SimSun" w:eastAsia="SimSun" w:hAnsi="SimSun"/>
                <w:sz w:val="17"/>
                <w:szCs w:val="24"/>
              </w:rPr>
              <w:t>479</w:t>
            </w:r>
          </w:p>
        </w:tc>
        <w:tc>
          <w:tcPr>
            <w:tcW w:w="1464" w:type="dxa"/>
            <w:tcBorders>
              <w:bottom w:val="single" w:sz="12" w:space="0" w:color="auto"/>
            </w:tcBorders>
            <w:shd w:val="clear" w:color="auto" w:fill="auto"/>
            <w:vAlign w:val="bottom"/>
          </w:tcPr>
          <w:p w:rsidR="00A055D5" w:rsidRPr="006B2FCF" w:rsidRDefault="00A055D5" w:rsidP="00A471EC">
            <w:pPr>
              <w:pStyle w:val="H23"/>
              <w:tabs>
                <w:tab w:val="left" w:pos="334"/>
                <w:tab w:val="left" w:pos="669"/>
                <w:tab w:val="left" w:pos="1003"/>
                <w:tab w:val="left" w:pos="1338"/>
              </w:tabs>
              <w:suppressAutoHyphens/>
              <w:spacing w:after="60" w:line="280" w:lineRule="exact"/>
              <w:ind w:right="57"/>
              <w:jc w:val="right"/>
              <w:outlineLvl w:val="9"/>
              <w:rPr>
                <w:rFonts w:ascii="SimSun" w:eastAsia="SimSun" w:hAnsi="SimSun"/>
                <w:sz w:val="17"/>
                <w:szCs w:val="24"/>
              </w:rPr>
            </w:pPr>
            <w:r w:rsidRPr="006B2FCF">
              <w:rPr>
                <w:rFonts w:ascii="SimSun" w:eastAsia="SimSun" w:hAnsi="SimSun"/>
                <w:sz w:val="17"/>
                <w:szCs w:val="24"/>
              </w:rPr>
              <w:t>102</w:t>
            </w:r>
          </w:p>
        </w:tc>
      </w:tr>
    </w:tbl>
    <w:p w:rsidR="00A055D5" w:rsidRPr="006B2FCF" w:rsidRDefault="00A055D5" w:rsidP="00A471EC">
      <w:pPr>
        <w:pStyle w:val="SingleTxt"/>
        <w:spacing w:after="0" w:line="120" w:lineRule="exact"/>
        <w:rPr>
          <w:sz w:val="10"/>
        </w:rPr>
      </w:pPr>
    </w:p>
    <w:p w:rsidR="00A055D5" w:rsidRPr="006B2FCF" w:rsidRDefault="00A055D5" w:rsidP="00A471EC">
      <w:pPr>
        <w:pStyle w:val="SingleTxt"/>
        <w:spacing w:after="0" w:line="120" w:lineRule="exact"/>
        <w:rPr>
          <w:sz w:val="10"/>
        </w:rPr>
      </w:pPr>
    </w:p>
    <w:p w:rsidR="00A055D5" w:rsidRDefault="00A055D5" w:rsidP="00BE0338">
      <w:pPr>
        <w:pStyle w:val="SingleTxt"/>
        <w:spacing w:line="330" w:lineRule="exact"/>
        <w:rPr>
          <w:rFonts w:hint="eastAsia"/>
        </w:rPr>
      </w:pPr>
      <w:r>
        <w:tab/>
      </w:r>
      <w:r>
        <w:rPr>
          <w:rFonts w:hint="eastAsia"/>
        </w:rPr>
        <w:t>如第四次和第五次定期报告所示，邦妇女委员会是各邦政府根据邦法规或行政命令设立的实体，从邦政府那里获得经费。</w:t>
      </w:r>
    </w:p>
    <w:p w:rsidR="00A055D5" w:rsidRDefault="00A055D5" w:rsidP="00BE0338">
      <w:pPr>
        <w:pStyle w:val="SingleTxt"/>
        <w:spacing w:line="330" w:lineRule="exact"/>
        <w:rPr>
          <w:rFonts w:hint="eastAsia"/>
        </w:rPr>
      </w:pPr>
      <w:r>
        <w:tab/>
      </w:r>
      <w:r>
        <w:rPr>
          <w:rFonts w:hint="eastAsia"/>
        </w:rPr>
        <w:t>除了查谟和克什米尔以外，国家妇女委员会在全国范围都有管辖权，邦委员会在各自的邦有管辖权。就投诉而言，两者的管辖权同时存在，而国家委员会的管辖权至上。换言之，国家妇女委员会可以在一个邦执行任务，而不必依靠邦委员会或影响邦委员会的授权。如第3段已经提到的，查谟和克什米尔邦有自己的邦妇女委员会。这就保证了能够超越各邦的管辖权保护妇女的所有权利。</w:t>
      </w:r>
    </w:p>
    <w:p w:rsidR="00A055D5" w:rsidRDefault="00A055D5" w:rsidP="00BE0338">
      <w:pPr>
        <w:pStyle w:val="SingleTxt"/>
        <w:spacing w:line="330" w:lineRule="exact"/>
        <w:rPr>
          <w:rFonts w:hint="eastAsia"/>
        </w:rPr>
      </w:pPr>
      <w:r>
        <w:tab/>
      </w:r>
      <w:r>
        <w:rPr>
          <w:rFonts w:hint="eastAsia"/>
        </w:rPr>
        <w:t>根据1990年《国家妇女委员会法案》建立的国家妇女委员会和根据1993年的《保护人权法案》建立的全国人权委员会在调查任何事项时具有与民事法院同等的权力。虽然全国人权委员会的任务规定更广，但国家妇女委员会承担着保护妇女等具体群体的权利这项任务。全国人权委员会还享有其他权力，如在进行调查期间有权进入任何大楼或地方，并缉获文件。这项规定对全国人权委员会来说是必要的，因为它的任务是调查侵犯人权的行为。全国人权委员会由担任过印度首席法官的人领导，由此可评估交给该委员会的职责。国家妇女委员会的主席被视为负责具体职能的全国人权委员会成员。全国人权委员会和国家妇女委员会在影响妇女的所有重大政策事项上进行相互磋商。</w:t>
      </w:r>
    </w:p>
    <w:p w:rsidR="00076E86" w:rsidRPr="00B6595F" w:rsidRDefault="00076E86" w:rsidP="00A471EC">
      <w:pPr>
        <w:pStyle w:val="SingleTxt"/>
        <w:rPr>
          <w:rFonts w:ascii="SimHei" w:eastAsia="SimHei" w:hint="eastAsia"/>
        </w:rPr>
      </w:pPr>
      <w:r w:rsidRPr="00B6595F">
        <w:rPr>
          <w:rFonts w:ascii="SimHei" w:eastAsia="SimHei" w:hint="eastAsia"/>
        </w:rPr>
        <w:t>暂行特别措施</w:t>
      </w:r>
    </w:p>
    <w:p w:rsidR="00076E86" w:rsidRDefault="00076E86" w:rsidP="00A471EC">
      <w:pPr>
        <w:pStyle w:val="SingleTxt"/>
        <w:rPr>
          <w:rFonts w:hint="eastAsia"/>
        </w:rPr>
      </w:pPr>
      <w:r>
        <w:rPr>
          <w:rFonts w:hint="eastAsia"/>
        </w:rPr>
        <w:t>7.</w:t>
      </w:r>
      <w:r>
        <w:rPr>
          <w:rFonts w:hint="eastAsia"/>
        </w:rPr>
        <w:tab/>
      </w:r>
      <w:r w:rsidRPr="00B6595F">
        <w:rPr>
          <w:rFonts w:ascii="SimHei" w:eastAsia="SimHei" w:hint="eastAsia"/>
        </w:rPr>
        <w:t>答复</w:t>
      </w:r>
      <w:r>
        <w:rPr>
          <w:rFonts w:hint="eastAsia"/>
        </w:rPr>
        <w:t>：《印度宪法》第14条保障法律面前平等和法律的平等保护。第15条禁止基于性别的歧视，与此同时，第15条第3款允许国家为妇女和儿童作出特别规定。为实现实质性平等，采取了优待措施形式的暂行特别措施，包括保护性立法及方案的干预，具体如下：</w:t>
      </w:r>
    </w:p>
    <w:p w:rsidR="00076E86" w:rsidRDefault="00076E86" w:rsidP="00A471EC">
      <w:pPr>
        <w:pStyle w:val="SingleTxt"/>
        <w:ind w:left="2126" w:hanging="431"/>
        <w:rPr>
          <w:rFonts w:hint="eastAsia"/>
        </w:rPr>
      </w:pPr>
      <w:r>
        <w:rPr>
          <w:rFonts w:hint="eastAsia"/>
        </w:rPr>
        <w:sym w:font="Symbol" w:char="F0B7"/>
      </w:r>
      <w:r>
        <w:tab/>
      </w:r>
      <w:r>
        <w:rPr>
          <w:rFonts w:hint="eastAsia"/>
        </w:rPr>
        <w:t>组建了国家妇女委员会和国家保护儿童权利委员会等各种宪法和法定委员会，以研究与妇女和儿童(包括女童)有关的问题，保护她们的利益，并向政府提出建议。</w:t>
      </w:r>
    </w:p>
    <w:p w:rsidR="00076E86" w:rsidRDefault="00076E86" w:rsidP="00A471EC">
      <w:pPr>
        <w:pStyle w:val="SingleTxt"/>
        <w:ind w:left="2126" w:hanging="431"/>
        <w:rPr>
          <w:rFonts w:hint="eastAsia"/>
        </w:rPr>
      </w:pPr>
      <w:r>
        <w:rPr>
          <w:rFonts w:hint="eastAsia"/>
        </w:rPr>
        <w:sym w:font="Symbol" w:char="F0B7"/>
      </w:r>
      <w:r>
        <w:tab/>
      </w:r>
      <w:r>
        <w:rPr>
          <w:rFonts w:hint="eastAsia"/>
        </w:rPr>
        <w:t>《宪法》第73次和第74次修正案规定，农村自治机构Panchayati Raj全部席位的三分之一以及主席职位留给妇女。</w:t>
      </w:r>
    </w:p>
    <w:p w:rsidR="00076E86" w:rsidRDefault="00076E86" w:rsidP="00A471EC">
      <w:pPr>
        <w:pStyle w:val="SingleTxt"/>
        <w:ind w:left="2126" w:hanging="431"/>
        <w:rPr>
          <w:rFonts w:hint="eastAsia"/>
        </w:rPr>
      </w:pPr>
      <w:r>
        <w:rPr>
          <w:rFonts w:hint="eastAsia"/>
        </w:rPr>
        <w:sym w:font="Symbol" w:char="F0B7"/>
      </w:r>
      <w:r>
        <w:tab/>
      </w:r>
      <w:r>
        <w:rPr>
          <w:rFonts w:hint="eastAsia"/>
        </w:rPr>
        <w:t>印度政府在2005年采用了纳入性别平等观点的预算编制，以此为工具，将性别平等观点纳入政府的所有政策和方案。迄今为止，已在56个部委设立性别平等预算编制委员会，作为协调部委内和部委间将性别平等观点纳入预算编制举措的协调中心。</w:t>
      </w:r>
    </w:p>
    <w:p w:rsidR="00076E86" w:rsidRDefault="00076E86" w:rsidP="00A471EC">
      <w:pPr>
        <w:pStyle w:val="SingleTxt"/>
        <w:ind w:left="2126" w:hanging="431"/>
        <w:rPr>
          <w:rFonts w:hint="eastAsia"/>
        </w:rPr>
      </w:pPr>
      <w:r>
        <w:rPr>
          <w:rFonts w:hint="eastAsia"/>
        </w:rPr>
        <w:sym w:font="Symbol" w:char="F0B7"/>
      </w:r>
      <w:r>
        <w:tab/>
      </w:r>
      <w:r w:rsidRPr="00BE0338">
        <w:rPr>
          <w:rFonts w:hint="eastAsia"/>
          <w:spacing w:val="-4"/>
        </w:rPr>
        <w:t>2005年颁布了《印度教继承法(修正案)》，保障女儿的财产权，并赋予她与印度教大家庭的儿子或任何男性成员同等地位。这一修正法案使女儿成为独立的共同继承人，对共同继承的财产拥有与儿子相同的权利和责任。</w:t>
      </w:r>
      <w:r>
        <w:rPr>
          <w:rFonts w:hint="eastAsia"/>
        </w:rPr>
        <w:t xml:space="preserve"> </w:t>
      </w:r>
    </w:p>
    <w:p w:rsidR="00076E86" w:rsidRDefault="00076E86" w:rsidP="00A471EC">
      <w:pPr>
        <w:pStyle w:val="SingleTxt"/>
        <w:ind w:left="2126" w:hanging="431"/>
        <w:rPr>
          <w:rFonts w:hint="eastAsia"/>
        </w:rPr>
      </w:pPr>
      <w:r>
        <w:rPr>
          <w:rFonts w:hint="eastAsia"/>
        </w:rPr>
        <w:sym w:font="Symbol" w:char="F0B7"/>
      </w:r>
      <w:r>
        <w:tab/>
      </w:r>
      <w:r>
        <w:rPr>
          <w:rFonts w:hint="eastAsia"/>
        </w:rPr>
        <w:t xml:space="preserve">2005年的《保护妇女免受家庭暴力法案》是针对具体性别的立法，目的是向任何面临家庭暴力的妇女提供紧急救助。 </w:t>
      </w:r>
    </w:p>
    <w:p w:rsidR="00076E86" w:rsidRDefault="00076E86" w:rsidP="00A471EC">
      <w:pPr>
        <w:pStyle w:val="SingleTxt"/>
        <w:ind w:left="2126" w:hanging="431"/>
        <w:rPr>
          <w:rFonts w:hint="eastAsia"/>
        </w:rPr>
      </w:pPr>
      <w:r>
        <w:rPr>
          <w:rFonts w:hint="eastAsia"/>
        </w:rPr>
        <w:sym w:font="Symbol" w:char="F0B7"/>
      </w:r>
      <w:r>
        <w:tab/>
      </w:r>
      <w:r w:rsidRPr="00BE0338">
        <w:rPr>
          <w:rFonts w:hint="eastAsia"/>
          <w:spacing w:val="-6"/>
        </w:rPr>
        <w:t>2013年12月颁布了2013年《打击在工作场所对妇女进行性骚扰(预防、禁止和矫正)法》及《细则》，为所有妇女提供一个安全和有保障的工作环境。</w:t>
      </w:r>
      <w:r>
        <w:rPr>
          <w:rFonts w:hint="eastAsia"/>
        </w:rPr>
        <w:t xml:space="preserve"> </w:t>
      </w:r>
    </w:p>
    <w:p w:rsidR="00076E86" w:rsidRDefault="00076E86" w:rsidP="00A471EC">
      <w:pPr>
        <w:pStyle w:val="SingleTxt"/>
        <w:ind w:left="2126" w:hanging="431"/>
        <w:rPr>
          <w:rFonts w:hint="eastAsia"/>
        </w:rPr>
      </w:pPr>
      <w:r>
        <w:rPr>
          <w:rFonts w:hint="eastAsia"/>
        </w:rPr>
        <w:sym w:font="Symbol" w:char="F0B7"/>
      </w:r>
      <w:r>
        <w:tab/>
      </w:r>
      <w:r>
        <w:rPr>
          <w:rFonts w:hint="eastAsia"/>
        </w:rPr>
        <w:t>2006年的《禁止童婚法》禁止18岁以下女孩及21岁以下男孩结婚。该法案规定惩处任何从事、实施、指挥或教唆童婚者。</w:t>
      </w:r>
    </w:p>
    <w:p w:rsidR="00076E86" w:rsidRDefault="00076E86" w:rsidP="00A471EC">
      <w:pPr>
        <w:pStyle w:val="SingleTxt"/>
        <w:ind w:left="2126" w:hanging="431"/>
        <w:rPr>
          <w:rFonts w:hint="eastAsia"/>
        </w:rPr>
      </w:pPr>
      <w:r>
        <w:rPr>
          <w:rFonts w:hint="eastAsia"/>
        </w:rPr>
        <w:sym w:font="Symbol" w:char="F0B7"/>
      </w:r>
      <w:r>
        <w:tab/>
      </w:r>
      <w:r w:rsidRPr="00B6595F">
        <w:rPr>
          <w:rFonts w:hint="eastAsia"/>
          <w:spacing w:val="-2"/>
        </w:rPr>
        <w:t>2013年《刑法修正案》——通过2013年的这一法案，制定了性侵犯/强</w:t>
      </w:r>
      <w:r>
        <w:rPr>
          <w:rFonts w:hint="eastAsia"/>
        </w:rPr>
        <w:t>奸妇女方面的特别规定，并实施了对妇女有利的刑事司法程序。</w:t>
      </w:r>
    </w:p>
    <w:p w:rsidR="00076E86" w:rsidRPr="00076E86" w:rsidRDefault="00076E86" w:rsidP="00A471EC">
      <w:pPr>
        <w:pStyle w:val="SingleTxt"/>
        <w:ind w:left="2126" w:hanging="431"/>
        <w:rPr>
          <w:rFonts w:hint="eastAsia"/>
          <w:spacing w:val="2"/>
        </w:rPr>
      </w:pPr>
      <w:r>
        <w:rPr>
          <w:rFonts w:hint="eastAsia"/>
        </w:rPr>
        <w:sym w:font="Symbol" w:char="F0B7"/>
      </w:r>
      <w:r>
        <w:tab/>
      </w:r>
      <w:r w:rsidRPr="00076E86">
        <w:rPr>
          <w:rFonts w:hint="eastAsia"/>
          <w:spacing w:val="2"/>
        </w:rPr>
        <w:t>2012年2月27日设立了妇女地位高级别委员会，以进行一次全面研究，了解妇女的状况，并根据当前对妇女需求的评估，制定适当的政策措施。</w:t>
      </w:r>
    </w:p>
    <w:p w:rsidR="00076E86" w:rsidRPr="00CB2177" w:rsidRDefault="00076E86" w:rsidP="00A471EC">
      <w:pPr>
        <w:pStyle w:val="SingleTxt"/>
        <w:rPr>
          <w:rFonts w:ascii="SimHei" w:eastAsia="SimHei" w:hint="eastAsia"/>
        </w:rPr>
      </w:pPr>
      <w:r w:rsidRPr="00CB2177">
        <w:rPr>
          <w:rFonts w:ascii="SimHei" w:eastAsia="SimHei" w:hint="eastAsia"/>
        </w:rPr>
        <w:t>陈规定型观念与有害习俗</w:t>
      </w:r>
    </w:p>
    <w:p w:rsidR="00076E86" w:rsidRDefault="00076E86" w:rsidP="00A471EC">
      <w:pPr>
        <w:pStyle w:val="SingleTxt"/>
        <w:rPr>
          <w:rFonts w:hint="eastAsia"/>
        </w:rPr>
      </w:pPr>
      <w:r>
        <w:rPr>
          <w:rFonts w:hint="eastAsia"/>
        </w:rPr>
        <w:t>8.</w:t>
      </w:r>
      <w:r>
        <w:rPr>
          <w:rFonts w:hint="eastAsia"/>
        </w:rPr>
        <w:tab/>
      </w:r>
      <w:r w:rsidRPr="00CB2177">
        <w:rPr>
          <w:rFonts w:ascii="SimHei" w:eastAsia="SimHei" w:hint="eastAsia"/>
        </w:rPr>
        <w:t>答复</w:t>
      </w:r>
      <w:r>
        <w:rPr>
          <w:rFonts w:hint="eastAsia"/>
        </w:rPr>
        <w:t>：</w:t>
      </w:r>
    </w:p>
    <w:p w:rsidR="00076E86" w:rsidRDefault="00076E86" w:rsidP="00A471EC">
      <w:pPr>
        <w:pStyle w:val="SingleTxt"/>
        <w:ind w:left="2126" w:hanging="431"/>
        <w:rPr>
          <w:rFonts w:hint="eastAsia"/>
        </w:rPr>
      </w:pPr>
      <w:r>
        <w:rPr>
          <w:rFonts w:hint="eastAsia"/>
        </w:rPr>
        <w:sym w:font="Symbol" w:char="F0B7"/>
      </w:r>
      <w:r>
        <w:tab/>
      </w:r>
      <w:r>
        <w:rPr>
          <w:rFonts w:hint="eastAsia"/>
        </w:rPr>
        <w:t>嫁妆——根据关于1961年《禁止嫁妆法》对社会变革的影响这项研究，答复者认为，《禁止嫁妆法》不符合生活现实——当事方在最初接受求婚时并不反对嫁妆等等。国家妇女委员会按照与各利益攸关方协商拟订的建议，对1961年《禁止嫁妆法》进行了审查。所提出的主要修正有：修订嫁妆的定义，以“赠品”取代礼物一词，以表明交换的自愿性；为嫁妆的提供者和接受者规定不同的处罚；将各项规定与2005年的《家庭暴力法》统一起来。</w:t>
      </w:r>
    </w:p>
    <w:p w:rsidR="00076E86" w:rsidRDefault="00076E86" w:rsidP="00A471EC">
      <w:pPr>
        <w:pStyle w:val="SingleTxt"/>
        <w:ind w:left="2126" w:hanging="431"/>
        <w:rPr>
          <w:rFonts w:hint="eastAsia"/>
        </w:rPr>
      </w:pPr>
      <w:r>
        <w:rPr>
          <w:rFonts w:hint="eastAsia"/>
        </w:rPr>
        <w:sym w:font="Symbol" w:char="F0B7"/>
      </w:r>
      <w:r>
        <w:tab/>
      </w:r>
      <w:r>
        <w:rPr>
          <w:rFonts w:hint="eastAsia"/>
        </w:rPr>
        <w:t>为维护名誉而杀人——在一些邦对维护名誉而杀人的问题进行的研究发现，在长老评议会活跃的地区，有为维护名誉而杀人的报告，不仅农村地区有关于暴力侵害情侣/夫妻的报告，城市也有，而执法机构未能向她们提供必要的保护。名誉杀人问题按照现行刑法中的谋杀规定处理。印度政府向各邦政府发布了咨询意见，其中除其他外，建议采取特殊措施，制止借所谓名誉杀人侵犯妇女的权利，以防止本国某些地区的强迫婚姻。</w:t>
      </w:r>
    </w:p>
    <w:p w:rsidR="00076E86" w:rsidRDefault="00076E86" w:rsidP="00A471EC">
      <w:pPr>
        <w:pStyle w:val="SingleTxt"/>
        <w:ind w:left="2126" w:hanging="431"/>
        <w:rPr>
          <w:rFonts w:hint="eastAsia"/>
        </w:rPr>
      </w:pPr>
      <w:r>
        <w:rPr>
          <w:rFonts w:hint="eastAsia"/>
        </w:rPr>
        <w:sym w:font="Symbol" w:char="F0B7"/>
      </w:r>
      <w:r>
        <w:tab/>
      </w:r>
      <w:r>
        <w:rPr>
          <w:rFonts w:hint="eastAsia"/>
        </w:rPr>
        <w:t>童婚——2006年废除了《限制童婚法》，通过了《禁止童婚法》，将童婚定为犯罪行为，并规定了对实施、教唆、宣传和举行童婚仪式者的处罚。</w:t>
      </w:r>
    </w:p>
    <w:p w:rsidR="00076E86" w:rsidRDefault="00076E86" w:rsidP="00A471EC">
      <w:pPr>
        <w:pStyle w:val="SingleTxt"/>
        <w:ind w:left="2126" w:hanging="431"/>
        <w:rPr>
          <w:rFonts w:hint="eastAsia"/>
        </w:rPr>
      </w:pPr>
      <w:r>
        <w:rPr>
          <w:rFonts w:hint="eastAsia"/>
        </w:rPr>
        <w:sym w:font="Symbol" w:char="F0B7"/>
      </w:r>
      <w:r>
        <w:tab/>
      </w:r>
      <w:r>
        <w:rPr>
          <w:rFonts w:hint="eastAsia"/>
        </w:rPr>
        <w:t>针对胎儿性别进行选择性人工流产——1994年的《孕产前诊断技术(禁止选择性别)法》于2003年修订，禁止利用技术手段鉴定和透露胎儿性别。该法案并不对妇女进行处罚。</w:t>
      </w:r>
    </w:p>
    <w:p w:rsidR="00076E86" w:rsidRDefault="00076E86" w:rsidP="00A471EC">
      <w:pPr>
        <w:pStyle w:val="SingleTxt"/>
        <w:ind w:left="2126" w:hanging="431"/>
        <w:rPr>
          <w:rFonts w:hint="eastAsia"/>
        </w:rPr>
      </w:pPr>
      <w:r>
        <w:rPr>
          <w:rFonts w:hint="eastAsia"/>
        </w:rPr>
        <w:sym w:font="Symbol" w:char="F0B7"/>
      </w:r>
      <w:r>
        <w:tab/>
      </w:r>
      <w:r>
        <w:rPr>
          <w:rFonts w:hint="eastAsia"/>
        </w:rPr>
        <w:t>殉夫自焚——1987年颁布了《殉夫自焚(预防)法》，通过处罚任何殉夫自焚企图、教唆这种自焚和美化这种做法的行为，防止殉夫自焚的做法和对这种做法的美化。</w:t>
      </w:r>
    </w:p>
    <w:p w:rsidR="00076E86" w:rsidRDefault="00076E86" w:rsidP="00A471EC">
      <w:pPr>
        <w:pStyle w:val="SingleTxt"/>
        <w:ind w:left="2126" w:hanging="431"/>
        <w:rPr>
          <w:rFonts w:hint="eastAsia"/>
        </w:rPr>
      </w:pPr>
      <w:r>
        <w:rPr>
          <w:rFonts w:hint="eastAsia"/>
        </w:rPr>
        <w:sym w:font="Symbol" w:char="F0B7"/>
      </w:r>
      <w:r>
        <w:tab/>
      </w:r>
      <w:r>
        <w:rPr>
          <w:rFonts w:hint="eastAsia"/>
        </w:rPr>
        <w:t>神妓——为了根除这一世代延续的制度，第一步是教育整个社会反对这一罪恶现象。因此，通过宣传运动、街头戏剧、歌曲、分发小册子等开展了提高人们认识的活动。此外还在集市期间在神庙前组织宣传活动，这些神庙曾经是举行与神妓制度有关的许多习俗的地方。卡纳塔克邦政府已推出了神妓重返社会方案，该方案除其他外，为创收活动提供银行贷款，其中60%的单位成本得到补贴。</w:t>
      </w:r>
    </w:p>
    <w:p w:rsidR="00076E86" w:rsidRDefault="00076E86" w:rsidP="00A471EC">
      <w:pPr>
        <w:pStyle w:val="SingleTxt"/>
        <w:ind w:left="2126" w:hanging="431"/>
        <w:rPr>
          <w:rFonts w:hint="eastAsia"/>
        </w:rPr>
      </w:pPr>
      <w:r>
        <w:rPr>
          <w:rFonts w:hint="eastAsia"/>
        </w:rPr>
        <w:sym w:font="Symbol" w:char="F0B7"/>
      </w:r>
      <w:r>
        <w:tab/>
      </w:r>
      <w:r>
        <w:rPr>
          <w:rFonts w:hint="eastAsia"/>
        </w:rPr>
        <w:t xml:space="preserve">猎巫——猎巫事件通常是局部性的。这一问题较为集中的一些邦和中央直辖区已颁布了防止巫术和类似习俗的立法。 </w:t>
      </w:r>
    </w:p>
    <w:p w:rsidR="00076E86" w:rsidRDefault="00076E86" w:rsidP="00A471EC">
      <w:pPr>
        <w:pStyle w:val="SingleTxt"/>
        <w:ind w:left="2126" w:hanging="431"/>
        <w:rPr>
          <w:rFonts w:hint="eastAsia"/>
        </w:rPr>
      </w:pPr>
      <w:r>
        <w:rPr>
          <w:rFonts w:hint="eastAsia"/>
        </w:rPr>
        <w:sym w:font="Symbol" w:char="F0B7"/>
      </w:r>
      <w:r>
        <w:tab/>
      </w:r>
      <w:r>
        <w:rPr>
          <w:rFonts w:hint="eastAsia"/>
        </w:rPr>
        <w:t>被浇酸液——2013年的《刑法修正法》推出了一项新的条款，针对印度《刑法典》中的浇酸液的罪行。第326</w:t>
      </w:r>
      <w:r>
        <w:t xml:space="preserve"> </w:t>
      </w:r>
      <w:r>
        <w:rPr>
          <w:rFonts w:hint="eastAsia"/>
        </w:rPr>
        <w:t>A节规定，任何人向人泼洒酸液或使用酸液，导致其永久或部分受伤或畸形，或导致其身体的一个或多个部位烧伤、致残、变形或残疾，应处以十年以上有期徒刑乃至无期徒刑，并处以罚款。罚款应支付给受害人。此外，第326</w:t>
      </w:r>
      <w:r>
        <w:t xml:space="preserve"> </w:t>
      </w:r>
      <w:r>
        <w:rPr>
          <w:rFonts w:hint="eastAsia"/>
        </w:rPr>
        <w:t>B节还规定，任何人向人泼酸液或企图泼酸液，或企图对人使用酸液，应处以五年以上七年以下有期徒刑，并可处以罚款。</w:t>
      </w:r>
    </w:p>
    <w:p w:rsidR="00076E86" w:rsidRDefault="00076E86" w:rsidP="00A471EC">
      <w:pPr>
        <w:pStyle w:val="SingleTxt"/>
        <w:ind w:left="2126" w:hanging="431"/>
        <w:rPr>
          <w:rFonts w:hint="eastAsia"/>
        </w:rPr>
      </w:pPr>
      <w:r>
        <w:rPr>
          <w:rFonts w:hint="eastAsia"/>
        </w:rPr>
        <w:sym w:font="Symbol" w:char="F0B7"/>
      </w:r>
      <w:r>
        <w:tab/>
      </w:r>
      <w:r>
        <w:rPr>
          <w:rFonts w:hint="eastAsia"/>
        </w:rPr>
        <w:t>为了管制酸液销售并尽量降低获得酸液的方便程度，防止被浇酸液的危险，已向各邦/中央直辖区分发关于“防止被浇酸液和帮助幸存者康复治疗应采取的措施”的咨询意见。</w:t>
      </w:r>
    </w:p>
    <w:p w:rsidR="00076E86" w:rsidRDefault="00076E86" w:rsidP="00A471EC">
      <w:pPr>
        <w:pStyle w:val="SingleTxt"/>
        <w:ind w:left="2126" w:hanging="431"/>
        <w:rPr>
          <w:rFonts w:hint="eastAsia"/>
        </w:rPr>
      </w:pPr>
      <w:r>
        <w:rPr>
          <w:rFonts w:hint="eastAsia"/>
        </w:rPr>
        <w:sym w:font="Symbol" w:char="F0B7"/>
      </w:r>
      <w:r>
        <w:tab/>
      </w:r>
      <w:r>
        <w:rPr>
          <w:rFonts w:hint="eastAsia"/>
        </w:rPr>
        <w:t>为了保护妇女，不让人对其进行负面描绘或将其置于从属地位：已制定以下适当法律框架，这些法律包括：</w:t>
      </w:r>
    </w:p>
    <w:p w:rsidR="00076E86" w:rsidRDefault="00076E86" w:rsidP="00A471EC">
      <w:pPr>
        <w:pStyle w:val="SingleTxt"/>
        <w:ind w:left="2557" w:hanging="431"/>
        <w:rPr>
          <w:rFonts w:hint="eastAsia"/>
        </w:rPr>
      </w:pPr>
      <w:r>
        <w:rPr>
          <w:rFonts w:hint="eastAsia"/>
        </w:rPr>
        <w:sym w:font="Symbol" w:char="F0B7"/>
      </w:r>
      <w:r>
        <w:tab/>
      </w:r>
      <w:r>
        <w:rPr>
          <w:rFonts w:hint="eastAsia"/>
        </w:rPr>
        <w:t>印度《刑法典》对销售淫秽书籍、向年轻人销售淫秽物品以及淫秽行为和歌曲规定了处罚措施。</w:t>
      </w:r>
    </w:p>
    <w:p w:rsidR="00076E86" w:rsidRDefault="00076E86" w:rsidP="00A471EC">
      <w:pPr>
        <w:pStyle w:val="SingleTxt"/>
        <w:ind w:left="2557" w:hanging="431"/>
        <w:rPr>
          <w:rFonts w:hint="eastAsia"/>
        </w:rPr>
      </w:pPr>
      <w:r>
        <w:rPr>
          <w:rFonts w:hint="eastAsia"/>
        </w:rPr>
        <w:sym w:font="Symbol" w:char="F0B7"/>
      </w:r>
      <w:r>
        <w:tab/>
      </w:r>
      <w:r>
        <w:rPr>
          <w:rFonts w:hint="eastAsia"/>
        </w:rPr>
        <w:t>2000年《信息技术法》对以电子形式出版或传播淫秽材料规定了处罚措施。</w:t>
      </w:r>
    </w:p>
    <w:p w:rsidR="00076E86" w:rsidRDefault="00076E86" w:rsidP="00A471EC">
      <w:pPr>
        <w:pStyle w:val="SingleTxt"/>
        <w:ind w:left="2557" w:hanging="431"/>
        <w:rPr>
          <w:rFonts w:hint="eastAsia"/>
        </w:rPr>
      </w:pPr>
      <w:r>
        <w:rPr>
          <w:rFonts w:hint="eastAsia"/>
        </w:rPr>
        <w:sym w:font="Symbol" w:char="F0B7"/>
      </w:r>
      <w:r>
        <w:tab/>
      </w:r>
      <w:r>
        <w:rPr>
          <w:rFonts w:hint="eastAsia"/>
        </w:rPr>
        <w:t>1986年《(禁止)有伤风化表现妇女法》禁止通过广告、出版物、写作、绘画或任何其他方式对妇女进行有伤风化的描写，还禁止以任何形式在任何广告和出版物等媒体中进行此种描写，并禁止销售、分发、传播含有对妇女有伤风化的描写的任何书籍、小册子和其他此类材料。</w:t>
      </w:r>
    </w:p>
    <w:p w:rsidR="00076E86" w:rsidRDefault="00076E86" w:rsidP="00A471EC">
      <w:pPr>
        <w:pStyle w:val="SingleTxt"/>
        <w:ind w:left="2557" w:hanging="431"/>
        <w:rPr>
          <w:rFonts w:hint="eastAsia"/>
        </w:rPr>
      </w:pPr>
      <w:r>
        <w:rPr>
          <w:rFonts w:hint="eastAsia"/>
        </w:rPr>
        <w:sym w:font="Symbol" w:char="F0B7"/>
      </w:r>
      <w:r>
        <w:tab/>
      </w:r>
      <w:r w:rsidRPr="00BE0338">
        <w:rPr>
          <w:rFonts w:hint="eastAsia"/>
          <w:spacing w:val="-6"/>
        </w:rPr>
        <w:t>1952年《电影法》对展出或允许展出未经审核确定适合公映或限制放映的电影的任何人规定了处罚措施，并涵盖在审核后篡改电影的情况。</w:t>
      </w:r>
    </w:p>
    <w:p w:rsidR="00076E86" w:rsidRDefault="00076E86" w:rsidP="00A471EC">
      <w:pPr>
        <w:pStyle w:val="SingleTxt"/>
        <w:ind w:left="2557" w:hanging="431"/>
        <w:rPr>
          <w:rFonts w:hint="eastAsia"/>
        </w:rPr>
      </w:pPr>
      <w:r>
        <w:rPr>
          <w:rFonts w:hint="eastAsia"/>
        </w:rPr>
        <w:sym w:font="Symbol" w:char="F0B7"/>
      </w:r>
      <w:r>
        <w:tab/>
      </w:r>
      <w:r>
        <w:rPr>
          <w:rFonts w:hint="eastAsia"/>
        </w:rPr>
        <w:t>1978年的《新闻理事会法》涉及的是理事会在某一新闻机构或一家报纸违反新闻道德标准或公众口味，或一名编辑或在职记者犯有不当职业行为的情况下，对其采取的行动。</w:t>
      </w:r>
    </w:p>
    <w:p w:rsidR="00076E86" w:rsidRDefault="00076E86" w:rsidP="00A471EC">
      <w:pPr>
        <w:pStyle w:val="SingleTxt"/>
        <w:ind w:left="2557" w:hanging="431"/>
        <w:rPr>
          <w:rFonts w:hint="eastAsia"/>
        </w:rPr>
      </w:pPr>
      <w:r>
        <w:rPr>
          <w:rFonts w:hint="eastAsia"/>
        </w:rPr>
        <w:sym w:font="Symbol" w:char="F0B7"/>
      </w:r>
      <w:r>
        <w:tab/>
      </w:r>
      <w:r>
        <w:rPr>
          <w:rFonts w:hint="eastAsia"/>
        </w:rPr>
        <w:t>1994年的《有线电视网条例》规定，任何有线电视服务均不得播放通过对妇女、其体形或身体或其任何部位以任何形式带有猥亵或贬损妇女效果的描绘而贬低妇女的节目。</w:t>
      </w:r>
    </w:p>
    <w:p w:rsidR="00076E86" w:rsidRPr="00604ED0" w:rsidRDefault="00076E86" w:rsidP="00A471EC">
      <w:pPr>
        <w:pStyle w:val="SingleTxt"/>
        <w:rPr>
          <w:rFonts w:ascii="SimHei" w:eastAsia="SimHei" w:hint="eastAsia"/>
        </w:rPr>
      </w:pPr>
      <w:r w:rsidRPr="00604ED0">
        <w:rPr>
          <w:rFonts w:ascii="SimHei" w:eastAsia="SimHei" w:hint="eastAsia"/>
        </w:rPr>
        <w:t xml:space="preserve">暴力侵害妇女行为 </w:t>
      </w:r>
    </w:p>
    <w:p w:rsidR="00076E86" w:rsidRDefault="00076E86" w:rsidP="00A471EC">
      <w:pPr>
        <w:pStyle w:val="SingleTxt"/>
        <w:rPr>
          <w:rFonts w:hint="eastAsia"/>
        </w:rPr>
      </w:pPr>
      <w:r>
        <w:rPr>
          <w:rFonts w:hint="eastAsia"/>
        </w:rPr>
        <w:t>9.</w:t>
      </w:r>
      <w:r>
        <w:rPr>
          <w:rFonts w:hint="eastAsia"/>
        </w:rPr>
        <w:tab/>
      </w:r>
      <w:r w:rsidRPr="00604ED0">
        <w:rPr>
          <w:rFonts w:ascii="SimHei" w:eastAsia="SimHei" w:hint="eastAsia"/>
        </w:rPr>
        <w:t>答复</w:t>
      </w:r>
      <w:r>
        <w:rPr>
          <w:rFonts w:hint="eastAsia"/>
        </w:rPr>
        <w:t>：在缺乏任何可比国际数据的情况下，不清楚委员会根据什么依据提出以“鉴于缔约国境内暴力侵害妇女的行为极为普遍”这样的措词开头的问题。</w:t>
      </w:r>
    </w:p>
    <w:p w:rsidR="00076E86" w:rsidRDefault="00076E86" w:rsidP="00A471EC">
      <w:pPr>
        <w:pStyle w:val="SingleTxt"/>
        <w:rPr>
          <w:rFonts w:hint="eastAsia"/>
        </w:rPr>
      </w:pPr>
      <w:r>
        <w:rPr>
          <w:rFonts w:hint="eastAsia"/>
        </w:rPr>
        <w:tab/>
        <w:t>2005年《保护妇女免受家庭暴力法案》于2006年10月生效。为有效落实这一法案，要求各邦政府任命保护干事，并登记可协助妇女依据该法获得救助的服务提供机构。到目前为止，各邦均已任命保护干事，大多数登记了服务提供机构。包括在册种姓、在册部落、少数族裔妇女和其他落后阶层妇女在内的所有妇女均可根据该法申请救助。</w:t>
      </w:r>
    </w:p>
    <w:p w:rsidR="00076E86" w:rsidRDefault="00076E86" w:rsidP="00A471EC">
      <w:pPr>
        <w:pStyle w:val="SingleTxt"/>
        <w:rPr>
          <w:rFonts w:hint="eastAsia"/>
        </w:rPr>
      </w:pPr>
      <w:r>
        <w:rPr>
          <w:rFonts w:hint="eastAsia"/>
        </w:rPr>
        <w:tab/>
        <w:t>政府还就家庭暴力等问题定期开展提高认识的宣传活动。为提高对家庭暴力问题的认识，在国家一级开展了“敲钟”运动。还定期在各种全国性报纸上刊登与妇女有关的各项法律的广告。</w:t>
      </w:r>
    </w:p>
    <w:p w:rsidR="00076E86" w:rsidRDefault="00076E86" w:rsidP="00A471EC">
      <w:pPr>
        <w:pStyle w:val="SingleTxt"/>
        <w:rPr>
          <w:rFonts w:hint="eastAsia"/>
        </w:rPr>
      </w:pPr>
      <w:r>
        <w:rPr>
          <w:rFonts w:hint="eastAsia"/>
        </w:rPr>
        <w:tab/>
        <w:t>根据维尔马法官委员会的建议，2013年的《刑法修正案》得以通过并生效。该法案的主要特色如下：</w:t>
      </w:r>
    </w:p>
    <w:p w:rsidR="00076E86" w:rsidRDefault="00076E86" w:rsidP="00A471EC">
      <w:pPr>
        <w:pStyle w:val="SingleTxt"/>
        <w:ind w:left="2126" w:hanging="431"/>
        <w:rPr>
          <w:rFonts w:hint="eastAsia"/>
        </w:rPr>
      </w:pPr>
      <w:r>
        <w:rPr>
          <w:rFonts w:hint="eastAsia"/>
        </w:rPr>
        <w:sym w:font="Symbol" w:char="F0B7"/>
      </w:r>
      <w:r>
        <w:tab/>
      </w:r>
      <w:r>
        <w:rPr>
          <w:rFonts w:hint="eastAsia"/>
        </w:rPr>
        <w:t>加入惩处浇酸液、性骚扰、窥阴癖和跟踪骚扰行为的新规定。</w:t>
      </w:r>
    </w:p>
    <w:p w:rsidR="00076E86" w:rsidRDefault="00076E86" w:rsidP="00A471EC">
      <w:pPr>
        <w:pStyle w:val="SingleTxt"/>
        <w:ind w:left="2126" w:hanging="431"/>
        <w:rPr>
          <w:rFonts w:hint="eastAsia"/>
        </w:rPr>
      </w:pPr>
      <w:r>
        <w:rPr>
          <w:rFonts w:hint="eastAsia"/>
        </w:rPr>
        <w:sym w:font="Symbol" w:char="F0B7"/>
      </w:r>
      <w:r>
        <w:tab/>
      </w:r>
      <w:r>
        <w:rPr>
          <w:rFonts w:hint="eastAsia"/>
        </w:rPr>
        <w:t>扩大强奸的定义，将非性交形式的性侵犯也包括在内。</w:t>
      </w:r>
    </w:p>
    <w:p w:rsidR="00076E86" w:rsidRDefault="00076E86" w:rsidP="00A471EC">
      <w:pPr>
        <w:pStyle w:val="SingleTxt"/>
        <w:ind w:left="2126" w:hanging="431"/>
        <w:rPr>
          <w:rFonts w:hint="eastAsia"/>
        </w:rPr>
      </w:pPr>
      <w:r>
        <w:rPr>
          <w:rFonts w:hint="eastAsia"/>
        </w:rPr>
        <w:sym w:font="Symbol" w:char="F0B7"/>
      </w:r>
      <w:r>
        <w:tab/>
      </w:r>
      <w:r>
        <w:rPr>
          <w:rFonts w:hint="eastAsia"/>
        </w:rPr>
        <w:t>对处于支配地位者、部署在某地的武装部队成员所施行的强奸或对无同意能力的妇女施行的强奸规定了严厉的处罚。</w:t>
      </w:r>
    </w:p>
    <w:p w:rsidR="00076E86" w:rsidRDefault="00076E86" w:rsidP="00A471EC">
      <w:pPr>
        <w:pStyle w:val="SingleTxt"/>
        <w:ind w:left="2126" w:hanging="431"/>
        <w:rPr>
          <w:rFonts w:hint="eastAsia"/>
        </w:rPr>
      </w:pPr>
      <w:r>
        <w:rPr>
          <w:rFonts w:hint="eastAsia"/>
        </w:rPr>
        <w:sym w:font="Symbol" w:char="F0B7"/>
      </w:r>
      <w:r>
        <w:tab/>
      </w:r>
      <w:r>
        <w:rPr>
          <w:rFonts w:hint="eastAsia"/>
        </w:rPr>
        <w:t>加重对轮奸和对受害人造成严重伤害导致其陷入植物人状态的行为的处罚。</w:t>
      </w:r>
    </w:p>
    <w:p w:rsidR="00076E86" w:rsidRDefault="00076E86" w:rsidP="00A471EC">
      <w:pPr>
        <w:pStyle w:val="SingleTxt"/>
        <w:rPr>
          <w:rFonts w:hint="eastAsia"/>
        </w:rPr>
      </w:pPr>
      <w:r>
        <w:rPr>
          <w:rFonts w:hint="eastAsia"/>
        </w:rPr>
        <w:tab/>
        <w:t>政府针对侵害妇女的犯罪问题采取的干预措施主要是立法或制度性措施。</w:t>
      </w:r>
    </w:p>
    <w:p w:rsidR="00076E86" w:rsidRPr="00B00C93" w:rsidRDefault="00076E86" w:rsidP="00A471EC">
      <w:pPr>
        <w:pStyle w:val="SingleTxt"/>
        <w:rPr>
          <w:rFonts w:ascii="SimHei" w:eastAsia="SimHei" w:hint="eastAsia"/>
        </w:rPr>
      </w:pPr>
      <w:r w:rsidRPr="00B00C93">
        <w:rPr>
          <w:rFonts w:ascii="SimHei" w:eastAsia="SimHei" w:hint="eastAsia"/>
        </w:rPr>
        <w:t>立法和制度性干预措施</w:t>
      </w:r>
      <w:r w:rsidRPr="00B00C93">
        <w:rPr>
          <w:rFonts w:ascii="SimHei" w:eastAsia="SimHei" w:hint="eastAsia"/>
        </w:rPr>
        <w:tab/>
      </w:r>
    </w:p>
    <w:p w:rsidR="00076E86" w:rsidRDefault="00076E86" w:rsidP="00A471EC">
      <w:pPr>
        <w:pStyle w:val="SingleTxt"/>
        <w:rPr>
          <w:rFonts w:hint="eastAsia"/>
        </w:rPr>
      </w:pPr>
      <w:r>
        <w:rPr>
          <w:rFonts w:hint="eastAsia"/>
        </w:rPr>
        <w:tab/>
        <w:t>迄今已颁布了许多立法保护妇女。尽管印度《刑法典》载列的某些条款对各种侵害妇女罪行规定了处罚，但也有一些专门立法处理具体的罪行。此外还不时对现行法律进行审查，以提高其效力，并在必要时进行修正。</w:t>
      </w:r>
    </w:p>
    <w:p w:rsidR="00076E86" w:rsidRPr="00891CF6" w:rsidRDefault="00891CF6" w:rsidP="00A471EC">
      <w:pPr>
        <w:pStyle w:val="SingleTxt"/>
        <w:rPr>
          <w:rFonts w:hint="eastAsia"/>
          <w:spacing w:val="-2"/>
        </w:rPr>
      </w:pPr>
      <w:r>
        <w:tab/>
      </w:r>
      <w:r w:rsidR="00076E86">
        <w:rPr>
          <w:rFonts w:hint="eastAsia"/>
        </w:rPr>
        <w:t>a.</w:t>
      </w:r>
      <w:r w:rsidR="00076E86">
        <w:rPr>
          <w:rFonts w:hint="eastAsia"/>
        </w:rPr>
        <w:tab/>
      </w:r>
      <w:r w:rsidR="00076E86" w:rsidRPr="00891CF6">
        <w:rPr>
          <w:rFonts w:hint="eastAsia"/>
          <w:spacing w:val="-2"/>
        </w:rPr>
        <w:t>1860年印度《刑法典》：规定对各种侵害妇女罪行进行惩处的条款有：第354节(对妇女进行人身侵害或非法使用武力意图践踏其尊严)、第375和376节(强奸和监护人强奸)、第304</w:t>
      </w:r>
      <w:r w:rsidR="00076E86" w:rsidRPr="00891CF6">
        <w:rPr>
          <w:spacing w:val="-2"/>
        </w:rPr>
        <w:t xml:space="preserve"> </w:t>
      </w:r>
      <w:r w:rsidR="00076E86" w:rsidRPr="00891CF6">
        <w:rPr>
          <w:rFonts w:hint="eastAsia"/>
          <w:spacing w:val="-2"/>
        </w:rPr>
        <w:t>B节——新娘嫁妆不足受屈死亡、第498</w:t>
      </w:r>
      <w:r w:rsidR="00076E86" w:rsidRPr="00891CF6">
        <w:rPr>
          <w:spacing w:val="-2"/>
        </w:rPr>
        <w:t xml:space="preserve"> </w:t>
      </w:r>
      <w:r w:rsidR="00076E86" w:rsidRPr="00891CF6">
        <w:rPr>
          <w:rFonts w:hint="eastAsia"/>
          <w:spacing w:val="-2"/>
        </w:rPr>
        <w:t>A节——丈夫或丈夫亲属虐待、第509节——以言词、姿态或行为侮辱妇女、第366</w:t>
      </w:r>
      <w:r w:rsidR="00076E86" w:rsidRPr="00891CF6">
        <w:rPr>
          <w:spacing w:val="-2"/>
        </w:rPr>
        <w:t xml:space="preserve"> </w:t>
      </w:r>
      <w:r w:rsidR="00076E86" w:rsidRPr="00891CF6">
        <w:rPr>
          <w:rFonts w:hint="eastAsia"/>
          <w:spacing w:val="-2"/>
        </w:rPr>
        <w:t xml:space="preserve">A节——诱使未成年少女当娼妓、第372和373节——买卖或雇用/获取未成年人卖淫。 </w:t>
      </w:r>
    </w:p>
    <w:p w:rsidR="00076E86" w:rsidRDefault="00891CF6" w:rsidP="00A471EC">
      <w:pPr>
        <w:pStyle w:val="SingleTxt"/>
        <w:rPr>
          <w:rFonts w:hint="eastAsia"/>
        </w:rPr>
      </w:pPr>
      <w:r>
        <w:tab/>
      </w:r>
      <w:r w:rsidR="00076E86">
        <w:rPr>
          <w:rFonts w:hint="eastAsia"/>
        </w:rPr>
        <w:t>b.</w:t>
      </w:r>
      <w:r w:rsidR="00076E86">
        <w:rPr>
          <w:rFonts w:hint="eastAsia"/>
        </w:rPr>
        <w:tab/>
        <w:t>已采取的专门立法措施有：</w:t>
      </w:r>
    </w:p>
    <w:p w:rsidR="00076E86" w:rsidRDefault="00076E86" w:rsidP="00A471EC">
      <w:pPr>
        <w:pStyle w:val="SingleTxt"/>
        <w:ind w:left="2126" w:hanging="431"/>
        <w:rPr>
          <w:rFonts w:hint="eastAsia"/>
        </w:rPr>
      </w:pPr>
      <w:r>
        <w:rPr>
          <w:rFonts w:hint="eastAsia"/>
        </w:rPr>
        <w:sym w:font="Symbol" w:char="F0B7"/>
      </w:r>
      <w:r>
        <w:tab/>
      </w:r>
      <w:r>
        <w:rPr>
          <w:rFonts w:hint="eastAsia"/>
        </w:rPr>
        <w:t xml:space="preserve">2005年《保护妇女免受家庭暴力法》——该法是一部民法，力求以保护令、居留令、货币救济和赔偿令的形式向妇女提供紧急救助。该法还规定了一个促进整个司法救助制度的内在机制。该法确定了具体职司，如保护干事和服务提供机构，他们的主要职责是协助妇女获得法律规定的救济。 </w:t>
      </w:r>
    </w:p>
    <w:p w:rsidR="00076E86" w:rsidRDefault="00076E86" w:rsidP="00A471EC">
      <w:pPr>
        <w:pStyle w:val="SingleTxt"/>
        <w:ind w:left="2126" w:hanging="431"/>
        <w:rPr>
          <w:rFonts w:hint="eastAsia"/>
        </w:rPr>
      </w:pPr>
      <w:r>
        <w:rPr>
          <w:rFonts w:hint="eastAsia"/>
        </w:rPr>
        <w:sym w:font="Symbol" w:char="F0B7"/>
      </w:r>
      <w:r>
        <w:tab/>
      </w:r>
      <w:r>
        <w:rPr>
          <w:rFonts w:hint="eastAsia"/>
        </w:rPr>
        <w:t>1961年《禁止嫁妆法》——由于认识到有必要解决嫁妆这一社会丑恶现象，1961年颁布了《禁止嫁妆法》。该法案规定了“嫁妆”的定义，对给予、收取或怂恿给予和收取嫁妆的行为处于至少五年的有期徒刑，并处以不少于15 000卢比的罚款。该法还规定了禁止嫁妆干事这一形式的内在执行机制，以确保切实有效地执行这一法律。</w:t>
      </w:r>
    </w:p>
    <w:p w:rsidR="00076E86" w:rsidRDefault="00076E86" w:rsidP="00A471EC">
      <w:pPr>
        <w:pStyle w:val="SingleTxt"/>
        <w:ind w:left="2126" w:hanging="431"/>
        <w:rPr>
          <w:rFonts w:hint="eastAsia"/>
        </w:rPr>
      </w:pPr>
      <w:r>
        <w:rPr>
          <w:rFonts w:hint="eastAsia"/>
        </w:rPr>
        <w:sym w:font="Symbol" w:char="F0B7"/>
      </w:r>
      <w:r>
        <w:tab/>
      </w:r>
      <w:r>
        <w:rPr>
          <w:rFonts w:hint="eastAsia"/>
        </w:rPr>
        <w:t xml:space="preserve">1986年《(禁止)有伤风化表现妇女法》——颁布该法的具体目的是禁止通过广告、出版物、写作、绘画或任何其他方式对妇女进行有伤风化的描写。该法还禁止以任何形式在任何广告和出版物等中进行此种描写，并禁止销售、分发、传播含有对妇女进行有伤风化的描写的任何书籍、小册子和其他此类材料。 </w:t>
      </w:r>
    </w:p>
    <w:p w:rsidR="00076E86" w:rsidRPr="00076E86" w:rsidRDefault="00076E86" w:rsidP="00A471EC">
      <w:pPr>
        <w:pStyle w:val="SingleTxt"/>
        <w:ind w:left="2126" w:hanging="431"/>
        <w:rPr>
          <w:rFonts w:hint="eastAsia"/>
          <w:spacing w:val="2"/>
        </w:rPr>
      </w:pPr>
      <w:r>
        <w:rPr>
          <w:rFonts w:hint="eastAsia"/>
        </w:rPr>
        <w:sym w:font="Symbol" w:char="F0B7"/>
      </w:r>
      <w:r>
        <w:tab/>
      </w:r>
      <w:r>
        <w:rPr>
          <w:rFonts w:hint="eastAsia"/>
        </w:rPr>
        <w:t>工作场所的性骚扰——</w:t>
      </w:r>
      <w:r w:rsidRPr="00076E86">
        <w:rPr>
          <w:rFonts w:hint="eastAsia"/>
          <w:spacing w:val="2"/>
        </w:rPr>
        <w:t>为了向工作场所的妇女提供一个安全和有保障的环境，2013年12月颁布了2013年《打击在工作场所对妇女进行性骚扰(预防、禁止和矫正)法》。该法力求涵盖有组织和无组织部门的工作场所，并以一个内部/地方申诉委员会的形式建立有效的申诉和纠正机制。</w:t>
      </w:r>
    </w:p>
    <w:p w:rsidR="00076E86" w:rsidRDefault="00076E86" w:rsidP="00A471EC">
      <w:pPr>
        <w:pStyle w:val="SingleTxt"/>
        <w:ind w:left="2126" w:hanging="431"/>
        <w:rPr>
          <w:rFonts w:hint="eastAsia"/>
        </w:rPr>
      </w:pPr>
      <w:r>
        <w:rPr>
          <w:rFonts w:hint="eastAsia"/>
        </w:rPr>
        <w:sym w:font="Symbol" w:char="F0B7"/>
      </w:r>
      <w:r>
        <w:tab/>
      </w:r>
      <w:r>
        <w:rPr>
          <w:rFonts w:hint="eastAsia"/>
        </w:rPr>
        <w:t>各种方案和支助服务，即Swadhar方案和暂住收容所、Ujjwala方案、妇女求助热线、Ahimsa信使，并正定期实施提高认识方案。</w:t>
      </w:r>
    </w:p>
    <w:p w:rsidR="00076E86" w:rsidRDefault="00076E86" w:rsidP="00A471EC">
      <w:pPr>
        <w:pStyle w:val="SingleTxt"/>
        <w:ind w:left="2126" w:hanging="431"/>
        <w:rPr>
          <w:rFonts w:hint="eastAsia"/>
        </w:rPr>
      </w:pPr>
      <w:r>
        <w:rPr>
          <w:rFonts w:hint="eastAsia"/>
        </w:rPr>
        <w:sym w:font="Symbol" w:char="F0B7"/>
      </w:r>
      <w:r>
        <w:tab/>
      </w:r>
      <w:r>
        <w:rPr>
          <w:rFonts w:hint="eastAsia"/>
        </w:rPr>
        <w:t>此外，根据《刑事诉讼法》的规定，各邦政府还制定了受害人赔偿方案，向各种罪行的受害人提供补偿。</w:t>
      </w:r>
    </w:p>
    <w:p w:rsidR="00076E86" w:rsidRDefault="00076E86" w:rsidP="00A471EC">
      <w:pPr>
        <w:pStyle w:val="SingleTxt"/>
        <w:ind w:left="2126" w:hanging="431"/>
        <w:rPr>
          <w:rFonts w:hint="eastAsia"/>
        </w:rPr>
      </w:pPr>
      <w:r>
        <w:rPr>
          <w:rFonts w:hint="eastAsia"/>
        </w:rPr>
        <w:sym w:font="Symbol" w:char="F0B7"/>
      </w:r>
      <w:r>
        <w:tab/>
      </w:r>
      <w:r>
        <w:rPr>
          <w:rFonts w:hint="eastAsia"/>
        </w:rPr>
        <w:t xml:space="preserve">制定了具体的法律规定，规定各公立和私立医院向强奸和被泼酸液的受害人提供免费医疗。 </w:t>
      </w:r>
    </w:p>
    <w:p w:rsidR="00076E86" w:rsidRDefault="00076E86" w:rsidP="00A471EC">
      <w:pPr>
        <w:pStyle w:val="SingleTxt"/>
        <w:rPr>
          <w:rFonts w:hint="eastAsia"/>
        </w:rPr>
      </w:pPr>
      <w:r>
        <w:rPr>
          <w:rFonts w:hint="eastAsia"/>
        </w:rPr>
        <w:t>10.</w:t>
      </w:r>
      <w:r>
        <w:rPr>
          <w:rFonts w:hint="eastAsia"/>
        </w:rPr>
        <w:tab/>
      </w:r>
      <w:r w:rsidRPr="003445C8">
        <w:rPr>
          <w:rFonts w:ascii="SimHei" w:eastAsia="SimHei" w:hint="eastAsia"/>
        </w:rPr>
        <w:t>答复</w:t>
      </w:r>
      <w:r>
        <w:rPr>
          <w:rFonts w:hint="eastAsia"/>
        </w:rPr>
        <w:t>：《刑法典》和各项专门法律提供充分的法律规定，保护妇女和女童免受性暴力等暴力侵害。联邦政府不时就为控制暴力侵害妇女和女童行为而应采取的措施向各邦政府和各中央直辖区政府提供咨询意见。</w:t>
      </w:r>
    </w:p>
    <w:p w:rsidR="00076E86" w:rsidRDefault="00076E86" w:rsidP="00A471EC">
      <w:pPr>
        <w:pStyle w:val="SingleTxt"/>
        <w:rPr>
          <w:rFonts w:hint="eastAsia"/>
        </w:rPr>
      </w:pPr>
      <w:r>
        <w:rPr>
          <w:rFonts w:hint="eastAsia"/>
        </w:rPr>
        <w:tab/>
      </w:r>
      <w:r w:rsidRPr="003445C8">
        <w:rPr>
          <w:rFonts w:hint="eastAsia"/>
          <w:spacing w:val="-2"/>
        </w:rPr>
        <w:t>2009年9月4日向各邦/各中央直辖区政府发布的详细咨询意见建议各邦/各</w:t>
      </w:r>
      <w:r>
        <w:rPr>
          <w:rFonts w:hint="eastAsia"/>
        </w:rPr>
        <w:t>中央直辖区对其确保妇女获得安全保障并控制侵害妇女的罪行的机制进行一次全面审查。该咨询意见所建议的一些具体步骤如下：</w:t>
      </w:r>
    </w:p>
    <w:p w:rsidR="00076E86" w:rsidRDefault="00076E86" w:rsidP="00A471EC">
      <w:pPr>
        <w:pStyle w:val="SingleTxt"/>
        <w:ind w:left="1695"/>
        <w:rPr>
          <w:rFonts w:hint="eastAsia"/>
        </w:rPr>
      </w:pPr>
      <w:r>
        <w:rPr>
          <w:rFonts w:hAnsi="SimSun" w:hint="eastAsia"/>
        </w:rPr>
        <w:t>㈠</w:t>
      </w:r>
      <w:r>
        <w:rPr>
          <w:rFonts w:hint="eastAsia"/>
        </w:rPr>
        <w:tab/>
        <w:t>严格执行现行立法，并确保与妇女有关的法律得到应有的执行，与妇女有关的罪行被正当定罪。</w:t>
      </w:r>
    </w:p>
    <w:p w:rsidR="00076E86" w:rsidRDefault="00076E86" w:rsidP="00A471EC">
      <w:pPr>
        <w:pStyle w:val="SingleTxt"/>
        <w:ind w:left="1695"/>
        <w:rPr>
          <w:rFonts w:hint="eastAsia"/>
        </w:rPr>
      </w:pPr>
      <w:r>
        <w:rPr>
          <w:rFonts w:hint="eastAsia"/>
        </w:rPr>
        <w:t>㈡</w:t>
      </w:r>
      <w:r>
        <w:rPr>
          <w:rFonts w:hint="eastAsia"/>
        </w:rPr>
        <w:tab/>
        <w:t xml:space="preserve">行政当局和警方应当更积极主动地侦查和调查侵害妇女的罪行，并确保没有举报不足的问题。 </w:t>
      </w:r>
    </w:p>
    <w:p w:rsidR="00076E86" w:rsidRDefault="00076E86" w:rsidP="00A471EC">
      <w:pPr>
        <w:pStyle w:val="SingleTxt"/>
        <w:ind w:left="1695"/>
        <w:rPr>
          <w:rFonts w:hint="eastAsia"/>
        </w:rPr>
      </w:pPr>
      <w:r>
        <w:rPr>
          <w:rFonts w:hint="eastAsia"/>
        </w:rPr>
        <w:t>㈢</w:t>
      </w:r>
      <w:r>
        <w:rPr>
          <w:rFonts w:hint="eastAsia"/>
        </w:rPr>
        <w:tab/>
        <w:t>提高妇女在警察队伍中的总体代表性。</w:t>
      </w:r>
    </w:p>
    <w:p w:rsidR="00076E86" w:rsidRDefault="00076E86" w:rsidP="00A471EC">
      <w:pPr>
        <w:pStyle w:val="SingleTxt"/>
        <w:ind w:left="1695"/>
        <w:rPr>
          <w:rFonts w:hint="eastAsia"/>
        </w:rPr>
      </w:pPr>
      <w:r>
        <w:rPr>
          <w:rFonts w:hAnsi="SimSun" w:hint="eastAsia"/>
        </w:rPr>
        <w:t>㈣</w:t>
      </w:r>
      <w:r>
        <w:rPr>
          <w:rFonts w:hint="eastAsia"/>
        </w:rPr>
        <w:tab/>
        <w:t>通过为各级警务人员以及刑事司法制度的其他职司人员开展组织良好的培训和提高认识方案以及举行会议和研讨会等，提高执法机构对侵害妇女罪行的认识。</w:t>
      </w:r>
    </w:p>
    <w:p w:rsidR="00076E86" w:rsidRDefault="00076E86" w:rsidP="00A471EC">
      <w:pPr>
        <w:pStyle w:val="SingleTxt"/>
        <w:ind w:left="1695"/>
        <w:rPr>
          <w:rFonts w:hint="eastAsia"/>
        </w:rPr>
      </w:pPr>
      <w:r>
        <w:rPr>
          <w:rFonts w:hAnsi="SimSun" w:hint="eastAsia"/>
        </w:rPr>
        <w:t>㈤</w:t>
      </w:r>
      <w:r>
        <w:rPr>
          <w:rFonts w:hint="eastAsia"/>
        </w:rPr>
        <w:tab/>
      </w:r>
      <w:r w:rsidRPr="00BE0338">
        <w:rPr>
          <w:rFonts w:hint="eastAsia"/>
          <w:spacing w:val="-4"/>
        </w:rPr>
        <w:t>所有侵害妇女的犯罪案件都不应在初步案情报告的登记方面有任何拖延。</w:t>
      </w:r>
      <w:r>
        <w:rPr>
          <w:rFonts w:hint="eastAsia"/>
        </w:rPr>
        <w:t xml:space="preserve"> </w:t>
      </w:r>
    </w:p>
    <w:p w:rsidR="00076E86" w:rsidRDefault="00076E86" w:rsidP="00A471EC">
      <w:pPr>
        <w:pStyle w:val="SingleTxt"/>
        <w:ind w:left="1695"/>
        <w:rPr>
          <w:rFonts w:hint="eastAsia"/>
        </w:rPr>
      </w:pPr>
      <w:r>
        <w:rPr>
          <w:rFonts w:hAnsi="SimSun" w:hint="eastAsia"/>
        </w:rPr>
        <w:t>㈥</w:t>
      </w:r>
      <w:r>
        <w:rPr>
          <w:rFonts w:hint="eastAsia"/>
        </w:rPr>
        <w:tab/>
        <w:t>侵害妇女罪行小组的求助热线号码应以醒目的方式张贴在医院/学校/高校场所和其他适当的场所。</w:t>
      </w:r>
    </w:p>
    <w:p w:rsidR="00076E86" w:rsidRDefault="00076E86" w:rsidP="00A471EC">
      <w:pPr>
        <w:pStyle w:val="SingleTxt"/>
        <w:ind w:left="1695"/>
        <w:rPr>
          <w:rFonts w:hint="eastAsia"/>
        </w:rPr>
      </w:pPr>
      <w:r>
        <w:rPr>
          <w:rFonts w:hAnsi="SimSun" w:hint="eastAsia"/>
        </w:rPr>
        <w:t>㈦</w:t>
      </w:r>
      <w:r>
        <w:rPr>
          <w:rFonts w:hint="eastAsia"/>
        </w:rPr>
        <w:tab/>
        <w:t>在每个警察局设立专门处理“侵害妇女和儿童罪行”的服务台，并视需要在各警察局和所有女警分局设立女警特别股。</w:t>
      </w:r>
    </w:p>
    <w:p w:rsidR="00076E86" w:rsidRDefault="00076E86" w:rsidP="00A471EC">
      <w:pPr>
        <w:pStyle w:val="SingleTxt"/>
        <w:ind w:left="1695"/>
        <w:rPr>
          <w:rFonts w:hint="eastAsia"/>
        </w:rPr>
      </w:pPr>
      <w:r>
        <w:rPr>
          <w:rFonts w:hAnsi="SimSun" w:hint="eastAsia"/>
        </w:rPr>
        <w:t>㈧</w:t>
      </w:r>
      <w:r>
        <w:rPr>
          <w:rFonts w:hAnsi="SimSun" w:hint="eastAsia"/>
        </w:rPr>
        <w:tab/>
      </w:r>
      <w:r>
        <w:rPr>
          <w:rFonts w:hint="eastAsia"/>
        </w:rPr>
        <w:t>为改善路上的安全状况，邦政府的有关部门必须采取适当步骤：</w:t>
      </w:r>
    </w:p>
    <w:p w:rsidR="00076E86" w:rsidRDefault="00076E86" w:rsidP="00A471EC">
      <w:pPr>
        <w:pStyle w:val="SingleTxt"/>
        <w:ind w:left="2126"/>
        <w:rPr>
          <w:rFonts w:hint="eastAsia"/>
        </w:rPr>
      </w:pPr>
      <w:r>
        <w:t>(</w:t>
      </w:r>
      <w:r>
        <w:rPr>
          <w:rFonts w:hint="eastAsia"/>
        </w:rPr>
        <w:t>a)</w:t>
      </w:r>
      <w:r>
        <w:rPr>
          <w:rFonts w:hint="eastAsia"/>
        </w:rPr>
        <w:tab/>
        <w:t>增加警察台站/岗哨，特别是偏僻地带的警察台站/岗哨的数量；</w:t>
      </w:r>
    </w:p>
    <w:p w:rsidR="00076E86" w:rsidRDefault="00076E86" w:rsidP="00A471EC">
      <w:pPr>
        <w:pStyle w:val="SingleTxt"/>
        <w:ind w:left="2126"/>
        <w:rPr>
          <w:rFonts w:hint="eastAsia"/>
        </w:rPr>
      </w:pPr>
      <w:r>
        <w:t>(</w:t>
      </w:r>
      <w:r>
        <w:rPr>
          <w:rFonts w:hint="eastAsia"/>
        </w:rPr>
        <w:t>b)</w:t>
      </w:r>
      <w:r>
        <w:rPr>
          <w:rFonts w:hint="eastAsia"/>
        </w:rPr>
        <w:tab/>
        <w:t>加强警察巡逻，特别是夜间巡逻；</w:t>
      </w:r>
    </w:p>
    <w:p w:rsidR="00076E86" w:rsidRDefault="00076E86" w:rsidP="00A471EC">
      <w:pPr>
        <w:pStyle w:val="SingleTxt"/>
        <w:ind w:left="2126"/>
        <w:rPr>
          <w:rFonts w:hint="eastAsia"/>
        </w:rPr>
      </w:pPr>
      <w:r>
        <w:t>(</w:t>
      </w:r>
      <w:r>
        <w:rPr>
          <w:rFonts w:hint="eastAsia"/>
        </w:rPr>
        <w:t>c)</w:t>
      </w:r>
      <w:r>
        <w:rPr>
          <w:rFonts w:hint="eastAsia"/>
        </w:rPr>
        <w:tab/>
        <w:t>增加流动警车中的女警官数量；</w:t>
      </w:r>
    </w:p>
    <w:p w:rsidR="00076E86" w:rsidRDefault="00076E86" w:rsidP="00A471EC">
      <w:pPr>
        <w:pStyle w:val="SingleTxt"/>
        <w:ind w:left="2126"/>
        <w:rPr>
          <w:rFonts w:hint="eastAsia"/>
        </w:rPr>
      </w:pPr>
      <w:r>
        <w:t>(</w:t>
      </w:r>
      <w:r>
        <w:rPr>
          <w:rFonts w:hint="eastAsia"/>
        </w:rPr>
        <w:t>d)</w:t>
      </w:r>
      <w:r>
        <w:rPr>
          <w:rFonts w:hint="eastAsia"/>
        </w:rPr>
        <w:tab/>
        <w:t>设立方便呼叫警察的电话亭；</w:t>
      </w:r>
    </w:p>
    <w:p w:rsidR="00076E86" w:rsidRDefault="00076E86" w:rsidP="00A471EC">
      <w:pPr>
        <w:pStyle w:val="SingleTxt"/>
        <w:ind w:left="2126"/>
        <w:rPr>
          <w:rFonts w:hint="eastAsia"/>
        </w:rPr>
      </w:pPr>
      <w:r>
        <w:t>(</w:t>
      </w:r>
      <w:r>
        <w:rPr>
          <w:rFonts w:hint="eastAsia"/>
        </w:rPr>
        <w:t>e)</w:t>
      </w:r>
      <w:r>
        <w:rPr>
          <w:rFonts w:hint="eastAsia"/>
        </w:rPr>
        <w:tab/>
        <w:t>在所有道路、僻静地带和小巷安装路灯。</w:t>
      </w:r>
    </w:p>
    <w:p w:rsidR="00076E86" w:rsidRDefault="00076E86" w:rsidP="00A471EC">
      <w:pPr>
        <w:pStyle w:val="SingleTxt"/>
        <w:ind w:left="1695"/>
        <w:rPr>
          <w:rFonts w:hint="eastAsia"/>
        </w:rPr>
      </w:pPr>
      <w:r>
        <w:rPr>
          <w:rFonts w:hAnsi="SimSun" w:hint="eastAsia"/>
        </w:rPr>
        <w:t>㈨</w:t>
      </w:r>
      <w:r>
        <w:rPr>
          <w:rFonts w:hAnsi="SimSun" w:hint="eastAsia"/>
        </w:rPr>
        <w:tab/>
      </w:r>
      <w:r>
        <w:rPr>
          <w:rFonts w:hint="eastAsia"/>
        </w:rPr>
        <w:t>为呼叫中心夜班妇女的安全采取特别措施。</w:t>
      </w:r>
    </w:p>
    <w:p w:rsidR="00076E86" w:rsidRDefault="00076E86" w:rsidP="00BE0338">
      <w:pPr>
        <w:pStyle w:val="SingleTxt"/>
        <w:spacing w:line="340" w:lineRule="exact"/>
        <w:ind w:left="1695"/>
        <w:rPr>
          <w:rFonts w:hint="eastAsia"/>
        </w:rPr>
      </w:pPr>
      <w:r>
        <w:rPr>
          <w:rFonts w:hAnsi="SimSun" w:hint="eastAsia"/>
        </w:rPr>
        <w:t>㈩</w:t>
      </w:r>
      <w:r>
        <w:rPr>
          <w:rFonts w:hAnsi="SimSun" w:hint="eastAsia"/>
        </w:rPr>
        <w:tab/>
      </w:r>
      <w:r>
        <w:rPr>
          <w:rFonts w:hint="eastAsia"/>
        </w:rPr>
        <w:t>可建议所有警察局展示根据2005年《家庭暴力法》任命的该区域保护干事的姓名和详细情况。</w:t>
      </w:r>
    </w:p>
    <w:p w:rsidR="00076E86" w:rsidRDefault="00076E86" w:rsidP="00BE0338">
      <w:pPr>
        <w:pStyle w:val="SingleTxt"/>
        <w:spacing w:line="340" w:lineRule="exact"/>
        <w:rPr>
          <w:rFonts w:hint="eastAsia"/>
        </w:rPr>
      </w:pPr>
      <w:r>
        <w:rPr>
          <w:rFonts w:hint="eastAsia"/>
        </w:rPr>
        <w:tab/>
        <w:t>通过2013年《刑法修正案》，对中央或邦政府部署在某地区的警察、公务员、武装部队成员所犯强奸罪规定了严厉的处罚。在根据相关法律和程序进行适当调查之后，对投诉的真实性作出裁定。</w:t>
      </w:r>
    </w:p>
    <w:p w:rsidR="00BC3062" w:rsidRPr="0063505D" w:rsidRDefault="00BC3062" w:rsidP="00BE0338">
      <w:pPr>
        <w:pStyle w:val="SingleTxt"/>
        <w:spacing w:line="340" w:lineRule="exact"/>
        <w:rPr>
          <w:rFonts w:ascii="SimHei" w:eastAsia="SimHei"/>
        </w:rPr>
      </w:pPr>
      <w:r>
        <w:rPr>
          <w:rFonts w:ascii="SimHei" w:eastAsia="SimHei" w:hint="eastAsia"/>
        </w:rPr>
        <w:t>贩运和利用妇女</w:t>
      </w:r>
      <w:r w:rsidRPr="0063505D">
        <w:rPr>
          <w:rFonts w:ascii="SimHei" w:eastAsia="SimHei" w:hint="eastAsia"/>
        </w:rPr>
        <w:t>卖淫</w:t>
      </w:r>
      <w:r>
        <w:rPr>
          <w:rFonts w:ascii="SimHei" w:eastAsia="SimHei" w:hint="eastAsia"/>
        </w:rPr>
        <w:t>营利</w:t>
      </w:r>
    </w:p>
    <w:p w:rsidR="00BC3062" w:rsidRDefault="00BC3062" w:rsidP="00BE0338">
      <w:pPr>
        <w:pStyle w:val="SingleTxt"/>
        <w:spacing w:line="340" w:lineRule="exact"/>
        <w:rPr>
          <w:rFonts w:hint="eastAsia"/>
        </w:rPr>
      </w:pPr>
      <w:r>
        <w:rPr>
          <w:rFonts w:hint="eastAsia"/>
        </w:rPr>
        <w:t>11.</w:t>
      </w:r>
      <w:r>
        <w:tab/>
      </w:r>
      <w:r w:rsidRPr="00506AEA">
        <w:rPr>
          <w:rFonts w:ascii="SimHei" w:eastAsia="SimHei" w:hint="eastAsia"/>
        </w:rPr>
        <w:t>答复</w:t>
      </w:r>
      <w:r>
        <w:rPr>
          <w:rFonts w:hint="eastAsia"/>
        </w:rPr>
        <w:t>：如第4次和第5次定期报告第29段已答复的，现已通过各种立法建立了必要的法律框架，以履行《宪法》第23条规定的任务。国家妇女委员会和国家保护儿童权利委员会等国家及法定机构不时审查各种立法规定的各种保障措施，并查明执行中的差距，从而使国家能为有效执行采取纠正行动，并为堵塞漏洞进行必要的修正。国家在这项工作中努力采用国际标准，同时也铭记本地情况。因此，在此阶段并未感觉到需要就贩运人口问题另行全面立法。</w:t>
      </w:r>
    </w:p>
    <w:p w:rsidR="00BC3062" w:rsidRDefault="00BC3062" w:rsidP="00BE0338">
      <w:pPr>
        <w:pStyle w:val="SingleTxt"/>
        <w:spacing w:line="340" w:lineRule="exact"/>
        <w:rPr>
          <w:rFonts w:hint="eastAsia"/>
        </w:rPr>
      </w:pPr>
      <w:r>
        <w:rPr>
          <w:rFonts w:hint="eastAsia"/>
        </w:rPr>
        <w:tab/>
        <w:t>贩运妇女和女童主要是为了商业性剥削，其方法包括许以报酬丰厚诱人的工作、拐骗和以虚假承诺欺骗女童。因为作业的隐秘性和这种罪行的有组织性，因此，难以估计被贩运和受到商业性剥削的女童/妇女的确切人数。</w:t>
      </w:r>
    </w:p>
    <w:p w:rsidR="00BC3062" w:rsidRDefault="00BC3062" w:rsidP="00BE0338">
      <w:pPr>
        <w:pStyle w:val="SingleTxt"/>
        <w:spacing w:line="340" w:lineRule="exact"/>
        <w:rPr>
          <w:rFonts w:hint="eastAsia"/>
        </w:rPr>
      </w:pPr>
      <w:r>
        <w:rPr>
          <w:rFonts w:hint="eastAsia"/>
        </w:rPr>
        <w:tab/>
      </w:r>
      <w:r w:rsidRPr="00506AEA">
        <w:rPr>
          <w:rFonts w:ascii="SimHei" w:eastAsia="SimHei" w:hint="eastAsia"/>
        </w:rPr>
        <w:t>打击人口贩运队</w:t>
      </w:r>
      <w:r>
        <w:rPr>
          <w:rFonts w:hint="eastAsia"/>
        </w:rPr>
        <w:t>——打击人口贩运队是综合工作队，任务是预防和打击人口贩运，由警方、邦妇女和儿童福利部以及具有声望的当地非政府组织的一些训练有素觉悟较高的官员组成。它们作为协调一致单位发挥职能。</w:t>
      </w:r>
    </w:p>
    <w:p w:rsidR="00BC3062" w:rsidRPr="005A61D8" w:rsidRDefault="00BC3062" w:rsidP="00BE0338">
      <w:pPr>
        <w:pStyle w:val="SingleTxt"/>
        <w:spacing w:line="340" w:lineRule="exact"/>
        <w:ind w:left="2126" w:hanging="431"/>
        <w:rPr>
          <w:rFonts w:hint="eastAsia"/>
        </w:rPr>
      </w:pPr>
      <w:r>
        <w:rPr>
          <w:rFonts w:hint="eastAsia"/>
        </w:rPr>
        <w:sym w:font="Symbol" w:char="F0B7"/>
      </w:r>
      <w:r>
        <w:tab/>
      </w:r>
      <w:r>
        <w:rPr>
          <w:rFonts w:hint="eastAsia"/>
        </w:rPr>
        <w:t>打击人口贩运队是邦政府向其通报全县与贩运人口罪有关的所有案件的登记和调查情况的警察局，此外，还有县里的其他警察局。</w:t>
      </w:r>
    </w:p>
    <w:p w:rsidR="00BC3062" w:rsidRPr="005A61D8" w:rsidRDefault="00BC3062" w:rsidP="00BE0338">
      <w:pPr>
        <w:pStyle w:val="SingleTxt"/>
        <w:spacing w:line="340" w:lineRule="exact"/>
        <w:ind w:left="2126" w:hanging="431"/>
        <w:rPr>
          <w:rFonts w:hint="eastAsia"/>
        </w:rPr>
      </w:pPr>
      <w:r>
        <w:rPr>
          <w:rFonts w:hint="eastAsia"/>
        </w:rPr>
        <w:sym w:font="Symbol" w:char="F0B7"/>
      </w:r>
      <w:r>
        <w:tab/>
      </w:r>
      <w:r>
        <w:rPr>
          <w:rFonts w:hint="eastAsia"/>
        </w:rPr>
        <w:t>打击人口贩运队将关注贩运的所有三个方面，即预防、保护和起诉。它们还将开发贩运者数据库，并视需要与所有相关机构建立联系。因此，打击人口贩运队将是以全面方式处理人口贩运问题的实地职能单位。</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因此，打击人口贩运队将处理应对贩运问题的执法工作中的现有差距，并充当打击这种犯罪的体制机制，与警方、检方、救援、非政府组织等所有利益攸关方一道开展工作。它们将帮助加强执法机构、有关政府部门以及具备协助贩运受害者专门知识和能力的非政府组织之间的合作，使这种合作制度化。</w:t>
      </w:r>
    </w:p>
    <w:p w:rsidR="00BC3062" w:rsidRDefault="00BC3062" w:rsidP="00A471EC">
      <w:pPr>
        <w:pStyle w:val="SingleTxt"/>
        <w:ind w:left="2126" w:hanging="431"/>
        <w:rPr>
          <w:rFonts w:hint="eastAsia"/>
        </w:rPr>
      </w:pPr>
      <w:r>
        <w:rPr>
          <w:rFonts w:hint="eastAsia"/>
        </w:rPr>
        <w:sym w:font="Symbol" w:char="F0B7"/>
      </w:r>
      <w:r>
        <w:tab/>
      </w:r>
      <w:r>
        <w:rPr>
          <w:rFonts w:hint="eastAsia"/>
        </w:rPr>
        <w:t>打击人口贩运队的任务规定。</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确保集中关注处理人口贩运罪行，并提供一种多学科办法，由所有利益攸关方采取联合对策。</w:t>
      </w:r>
    </w:p>
    <w:p w:rsidR="00BC3062" w:rsidRDefault="00BC3062" w:rsidP="00A471EC">
      <w:pPr>
        <w:pStyle w:val="SingleTxt"/>
        <w:ind w:left="2126" w:hanging="431"/>
        <w:rPr>
          <w:rFonts w:hint="eastAsia"/>
        </w:rPr>
      </w:pPr>
      <w:r>
        <w:rPr>
          <w:rFonts w:hint="eastAsia"/>
        </w:rPr>
        <w:sym w:font="Symbol" w:char="F0B7"/>
      </w:r>
      <w:r>
        <w:tab/>
      </w:r>
      <w:r>
        <w:rPr>
          <w:rFonts w:hint="eastAsia"/>
        </w:rPr>
        <w:t>确保从“有组织犯罪”的角度处理贩运罪行。</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在警方和妇女及儿童、劳工、卫生等所有政府机构及部门之间开展部门间协作。</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只要从警方或非政府组织或民间社会那里收到关于贩运活动的消息，就在非政府组织协助下开展救援行动。</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确保采取以受害者为中心的方针，以切实保障“受害者/幸存者的最佳利益”和防止受害者“二次受害/再次受害”，并确保在处理贩运受害者时采取对性别问题具有敏感认识和对儿童问题具有敏感认识的办法。</w:t>
      </w:r>
    </w:p>
    <w:p w:rsidR="00BC3062" w:rsidRDefault="00BC3062" w:rsidP="00A471EC">
      <w:pPr>
        <w:pStyle w:val="SingleTxt"/>
        <w:ind w:left="2126" w:hanging="431"/>
        <w:rPr>
          <w:rFonts w:hint="eastAsia"/>
        </w:rPr>
      </w:pPr>
      <w:r>
        <w:rPr>
          <w:rFonts w:hint="eastAsia"/>
        </w:rPr>
        <w:sym w:font="Symbol" w:char="F0B7"/>
      </w:r>
      <w:r>
        <w:tab/>
      </w:r>
      <w:r>
        <w:rPr>
          <w:rFonts w:hint="eastAsia"/>
        </w:rPr>
        <w:t>作为基层单位发挥职能，收集和开发关于这种罪行的所有执法方面的详尽数据库，包括关于贩运者和贩运团伙的信息，并将其转给县和邦犯罪记录局，由其进一步传递给国家犯罪记录局。因此，打击人口贩运队将协助提供关于此类犯罪活动的国家级综合数据。</w:t>
      </w:r>
    </w:p>
    <w:p w:rsidR="00BC3062" w:rsidRPr="005A61D8" w:rsidRDefault="00BC3062" w:rsidP="00A471EC">
      <w:pPr>
        <w:pStyle w:val="SingleTxt"/>
        <w:ind w:left="2126" w:hanging="431"/>
        <w:rPr>
          <w:rFonts w:hint="eastAsia"/>
        </w:rPr>
      </w:pPr>
      <w:r>
        <w:rPr>
          <w:rFonts w:hint="eastAsia"/>
        </w:rPr>
        <w:sym w:font="Symbol" w:char="F0B7"/>
      </w:r>
      <w:r>
        <w:tab/>
      </w:r>
      <w:r w:rsidRPr="00BE0338">
        <w:rPr>
          <w:rFonts w:hint="eastAsia"/>
          <w:spacing w:val="4"/>
        </w:rPr>
        <w:t>迄今已设立了225支打击人口贩运队，并培训了超过10 000名警务人员</w:t>
      </w:r>
      <w:r>
        <w:rPr>
          <w:rFonts w:hint="eastAsia"/>
        </w:rPr>
        <w:t>。</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Ujjawala是一个打击贩运妇女和儿童进行商业性剥削行为的全面计划，于2007年12月4日启动，目前正主要通过非政府组织实施。该计划有五个组成部分——预防贩运、援救、康复、重返社会和遣返商业性剥削的贩运受害者。</w:t>
      </w:r>
    </w:p>
    <w:p w:rsidR="00BC3062" w:rsidRDefault="00BC3062" w:rsidP="00A471EC">
      <w:pPr>
        <w:pStyle w:val="SingleTxt"/>
        <w:rPr>
          <w:rFonts w:hint="eastAsia"/>
        </w:rPr>
      </w:pPr>
      <w:r>
        <w:rPr>
          <w:rFonts w:hint="eastAsia"/>
        </w:rPr>
        <w:tab/>
        <w:t>该计划设想的一些活动是：</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组建社区守望团体、青少年团体，提交觉悟，编制信息、教育和宣传材料，举办讲习班，等等(预防)。</w:t>
      </w:r>
    </w:p>
    <w:p w:rsidR="00BC3062" w:rsidRPr="005A61D8" w:rsidRDefault="00BC3062" w:rsidP="00A471EC">
      <w:pPr>
        <w:pStyle w:val="SingleTxt"/>
        <w:ind w:left="2126" w:hanging="431"/>
        <w:rPr>
          <w:rFonts w:hint="eastAsia"/>
        </w:rPr>
      </w:pPr>
      <w:r>
        <w:rPr>
          <w:rFonts w:hint="eastAsia"/>
        </w:rPr>
        <w:sym w:font="Symbol" w:char="F0B7"/>
      </w:r>
      <w:r>
        <w:tab/>
      </w:r>
      <w:r>
        <w:rPr>
          <w:rFonts w:hint="eastAsia"/>
        </w:rPr>
        <w:t>使受害者安全脱离受剥削之处(援救)。</w:t>
      </w:r>
    </w:p>
    <w:p w:rsidR="00BC3062" w:rsidRDefault="00BC3062" w:rsidP="00A471EC">
      <w:pPr>
        <w:pStyle w:val="SingleTxt"/>
        <w:ind w:left="2126" w:hanging="431"/>
        <w:rPr>
          <w:rFonts w:hint="eastAsia"/>
        </w:rPr>
      </w:pPr>
      <w:r>
        <w:rPr>
          <w:rFonts w:hint="eastAsia"/>
        </w:rPr>
        <w:sym w:font="Symbol" w:char="F0B7"/>
      </w:r>
      <w:r>
        <w:tab/>
      </w:r>
      <w:r>
        <w:rPr>
          <w:rFonts w:hint="eastAsia"/>
        </w:rPr>
        <w:t>受害者康复，为她们提供安全住所、基本设施、医疗、法律援助、职业培训和创收活动。</w:t>
      </w:r>
    </w:p>
    <w:p w:rsidR="00BC3062" w:rsidRDefault="00BC3062" w:rsidP="00A471EC">
      <w:pPr>
        <w:pStyle w:val="SingleTxt"/>
        <w:ind w:left="2126" w:hanging="431"/>
        <w:rPr>
          <w:rFonts w:hint="eastAsia"/>
        </w:rPr>
      </w:pPr>
      <w:r>
        <w:rPr>
          <w:rFonts w:hint="eastAsia"/>
        </w:rPr>
        <w:sym w:font="Symbol" w:char="F0B7"/>
      </w:r>
      <w:r>
        <w:tab/>
      </w:r>
      <w:r>
        <w:rPr>
          <w:rFonts w:hint="eastAsia"/>
        </w:rPr>
        <w:t>受害者重返社会。</w:t>
      </w:r>
    </w:p>
    <w:p w:rsidR="00BC3062" w:rsidRDefault="00BC3062" w:rsidP="00A471EC">
      <w:pPr>
        <w:pStyle w:val="SingleTxt"/>
        <w:ind w:left="2126" w:hanging="431"/>
        <w:rPr>
          <w:rFonts w:hint="eastAsia"/>
        </w:rPr>
      </w:pPr>
      <w:r>
        <w:rPr>
          <w:rFonts w:hint="eastAsia"/>
        </w:rPr>
        <w:sym w:font="Symbol" w:char="F0B7"/>
      </w:r>
      <w:r>
        <w:tab/>
      </w:r>
      <w:r>
        <w:rPr>
          <w:rFonts w:hint="eastAsia"/>
        </w:rPr>
        <w:t>为跨界受害者安全遣返原籍国提供支助。</w:t>
      </w:r>
    </w:p>
    <w:p w:rsidR="00BC3062" w:rsidRDefault="00BC3062" w:rsidP="00A471EC">
      <w:pPr>
        <w:pStyle w:val="SingleTxt"/>
        <w:rPr>
          <w:rFonts w:hint="eastAsia"/>
        </w:rPr>
      </w:pPr>
      <w:r>
        <w:rPr>
          <w:rFonts w:hint="eastAsia"/>
        </w:rPr>
        <w:tab/>
        <w:t>根据该计划，向开展上述活动的合格机构提供了财政援助。到目前为止，已批准151所康复之家，可容纳受害者7 000余人。</w:t>
      </w:r>
    </w:p>
    <w:p w:rsidR="00BC3062" w:rsidRDefault="00BC3062" w:rsidP="00A471EC">
      <w:pPr>
        <w:pStyle w:val="SingleTxt"/>
        <w:rPr>
          <w:rFonts w:hint="eastAsia"/>
        </w:rPr>
      </w:pPr>
      <w:r>
        <w:rPr>
          <w:rFonts w:hint="eastAsia"/>
        </w:rPr>
        <w:tab/>
        <w:t>印度政府时常为各邦政府提供咨询，以改进打击贩运妇女和儿童行为的执法机制，并建议警方与其他机构和利益攸关方合作，以确保已经获救者不至于再次被贩运，而且区别对待受害者与参加贩运人口的人。</w:t>
      </w:r>
    </w:p>
    <w:p w:rsidR="00BC3062" w:rsidRPr="003B4249" w:rsidRDefault="00BC3062" w:rsidP="00A471EC">
      <w:pPr>
        <w:pStyle w:val="SingleTxt"/>
        <w:rPr>
          <w:rFonts w:hint="eastAsia"/>
        </w:rPr>
      </w:pPr>
      <w:r>
        <w:rPr>
          <w:rFonts w:hint="eastAsia"/>
        </w:rPr>
        <w:tab/>
        <w:t>印度最高法院2010年第135号刑事上诉案(Budhadev Karmaskar诉西孟加拉邦)任命了由一名资深律师、一批倡导者和非政府组织组成的一个小组，负责研究下列问题并提出适当建议：预防贩运；希望脱离性工作的性工作者的康复；有利于性工作者依照《宪法》第21条(有尊严的生命权)的规定，有尊严地生活的条件。</w:t>
      </w:r>
    </w:p>
    <w:p w:rsidR="00BC3062" w:rsidRDefault="00BC3062" w:rsidP="00A471EC">
      <w:pPr>
        <w:pStyle w:val="SingleTxt"/>
        <w:rPr>
          <w:rFonts w:hint="eastAsia"/>
        </w:rPr>
      </w:pPr>
      <w:r>
        <w:rPr>
          <w:rFonts w:hint="eastAsia"/>
        </w:rPr>
        <w:tab/>
        <w:t>该小组迄今已向最高法院提交了12份临时报告。最高法院接受了第7份临时报告，其中提出了一个行动计划，为性工作者子女提供托婴所、学前班、昼夜照管中心和辅导。政府一直在为儿童实施各种福利方案，而根据这类方案提供的上述设施也向性工作者子女开放。</w:t>
      </w:r>
    </w:p>
    <w:p w:rsidR="00BC3062" w:rsidRPr="003B4249" w:rsidRDefault="00BC3062" w:rsidP="00A471EC">
      <w:pPr>
        <w:pStyle w:val="SingleTxt"/>
        <w:rPr>
          <w:rFonts w:hint="eastAsia"/>
        </w:rPr>
      </w:pPr>
      <w:r>
        <w:rPr>
          <w:rFonts w:hint="eastAsia"/>
        </w:rPr>
        <w:tab/>
        <w:t>目前正在根据最新动态更新特别针对妇女和儿童的预防和打击人口贩运综合行动计划草案。</w:t>
      </w:r>
    </w:p>
    <w:p w:rsidR="00BC3062" w:rsidRPr="003B4249" w:rsidRDefault="00BC3062" w:rsidP="00A471EC">
      <w:pPr>
        <w:pStyle w:val="SingleTxt"/>
        <w:rPr>
          <w:rFonts w:ascii="SimHei" w:eastAsia="SimHei" w:hint="eastAsia"/>
        </w:rPr>
      </w:pPr>
      <w:r w:rsidRPr="003B4249">
        <w:rPr>
          <w:rFonts w:ascii="SimHei" w:eastAsia="SimHei" w:hint="eastAsia"/>
        </w:rPr>
        <w:t>参与政治和公共生活</w:t>
      </w:r>
    </w:p>
    <w:p w:rsidR="00BC3062" w:rsidRDefault="00BC3062" w:rsidP="00A471EC">
      <w:pPr>
        <w:pStyle w:val="SingleTxt"/>
        <w:rPr>
          <w:rFonts w:hint="eastAsia"/>
        </w:rPr>
      </w:pPr>
      <w:r>
        <w:rPr>
          <w:rFonts w:hint="eastAsia"/>
        </w:rPr>
        <w:t>12</w:t>
      </w:r>
      <w:r>
        <w:t>.</w:t>
      </w:r>
      <w:r>
        <w:tab/>
      </w:r>
      <w:r>
        <w:rPr>
          <w:rFonts w:ascii="SimHei" w:eastAsia="SimHei" w:hint="eastAsia"/>
        </w:rPr>
        <w:t>答复</w:t>
      </w:r>
      <w:r>
        <w:rPr>
          <w:rFonts w:hint="eastAsia"/>
        </w:rPr>
        <w:t>：政府致力于确保在议会和各邦立法机构中为妇女保留33%的配额。《宪法(第108次修正)法案》已于2010年3月9日获得联邦院通过，现正由议会另一院审议。</w:t>
      </w:r>
    </w:p>
    <w:p w:rsidR="00BC3062" w:rsidRDefault="00BC3062" w:rsidP="00A471EC">
      <w:pPr>
        <w:pStyle w:val="SingleTxt"/>
        <w:rPr>
          <w:rFonts w:hint="eastAsia"/>
        </w:rPr>
      </w:pPr>
      <w:r>
        <w:rPr>
          <w:rFonts w:hint="eastAsia"/>
        </w:rPr>
        <w:tab/>
        <w:t>2012年《妇女(职位保留)法案》(下院议员法案)还有待在人民院(议会下院)审议。</w:t>
      </w:r>
    </w:p>
    <w:p w:rsidR="00BC3062" w:rsidRDefault="00BC3062" w:rsidP="00A471EC">
      <w:pPr>
        <w:pStyle w:val="SingleTxt"/>
        <w:rPr>
          <w:rFonts w:hint="eastAsia"/>
        </w:rPr>
      </w:pPr>
      <w:r>
        <w:rPr>
          <w:rFonts w:hint="eastAsia"/>
        </w:rPr>
        <w:tab/>
        <w:t>《宪法》强行规定必须在各级评议会机构中为妇女保留三分之一的席位和主席职务。</w:t>
      </w:r>
    </w:p>
    <w:p w:rsidR="00BC3062" w:rsidRDefault="00BC3062" w:rsidP="00A471EC">
      <w:pPr>
        <w:pStyle w:val="SingleTxt"/>
        <w:rPr>
          <w:rFonts w:hint="eastAsia"/>
        </w:rPr>
      </w:pPr>
      <w:r>
        <w:rPr>
          <w:rFonts w:hint="eastAsia"/>
        </w:rPr>
        <w:tab/>
        <w:t>议会正在审议关于把评议会中为妇女保留的配额增至50%的提案。有15个邦已通过立法，在评议会中为妇女保留至少50%的席位。有一个邦在评议会中为妇女保留了40%。</w:t>
      </w:r>
    </w:p>
    <w:p w:rsidR="00BC3062" w:rsidRDefault="00BC3062" w:rsidP="00A471EC">
      <w:pPr>
        <w:pStyle w:val="SingleTxt"/>
        <w:rPr>
          <w:rFonts w:hint="eastAsia"/>
        </w:rPr>
      </w:pPr>
      <w:r>
        <w:rPr>
          <w:rFonts w:hint="eastAsia"/>
        </w:rPr>
        <w:tab/>
        <w:t>在总共280万名当选代表中，评议会中的当选女代表超过了100万名。</w:t>
      </w:r>
    </w:p>
    <w:p w:rsidR="00BC3062" w:rsidRDefault="00BC3062" w:rsidP="00A471EC">
      <w:pPr>
        <w:pStyle w:val="SingleTxt"/>
        <w:rPr>
          <w:rFonts w:hint="eastAsia"/>
        </w:rPr>
      </w:pPr>
      <w:r>
        <w:rPr>
          <w:rFonts w:hint="eastAsia"/>
        </w:rPr>
        <w:tab/>
        <w:t>当选代表的能力建设在一个特别计划方案下进行，其中也培养当选妇女代表，帮助她们承担更多责任和在政治系统中晋升。</w:t>
      </w:r>
    </w:p>
    <w:p w:rsidR="00BC3062" w:rsidRPr="00AD41B0" w:rsidRDefault="00BC3062" w:rsidP="00A471EC">
      <w:pPr>
        <w:pStyle w:val="SingleTxt"/>
        <w:rPr>
          <w:rFonts w:hint="eastAsia"/>
        </w:rPr>
      </w:pPr>
      <w:r>
        <w:rPr>
          <w:rFonts w:hint="eastAsia"/>
        </w:rPr>
        <w:tab/>
        <w:t>印度《宪法》第15条禁止基于宗教、种族、种姓、阶级和性别的歧视。它允许国家作出特殊规定，以提高妇女以及在社会和教育方面落后的社会阶层的地位。按照实质平等的精神对第15条作出的解释允许为解决普遍的社会不平等而采取区别对待的办法，正如喜马偕尔邦政府已做的那样，即废除了在参加评议会选举时的两个孩子规范政策。</w:t>
      </w:r>
    </w:p>
    <w:p w:rsidR="00BC3062" w:rsidRPr="00AD41B0" w:rsidRDefault="00BC3062" w:rsidP="00A471EC">
      <w:pPr>
        <w:pStyle w:val="SingleTxt"/>
        <w:rPr>
          <w:rFonts w:hint="eastAsia"/>
        </w:rPr>
      </w:pPr>
      <w:r>
        <w:rPr>
          <w:rFonts w:hint="eastAsia"/>
        </w:rPr>
        <w:tab/>
        <w:t>关于最高法院的女法官，需要提及的是，法官的甄选通过一个完善的制度进行，其中没有基于性别、宗教等因素的歧视。</w:t>
      </w:r>
    </w:p>
    <w:p w:rsidR="00BC3062" w:rsidRPr="00AD41B0" w:rsidRDefault="00BC3062" w:rsidP="00A471EC">
      <w:pPr>
        <w:pStyle w:val="SingleTxt"/>
        <w:rPr>
          <w:rFonts w:ascii="SimHei" w:eastAsia="SimHei" w:hint="eastAsia"/>
        </w:rPr>
      </w:pPr>
      <w:r w:rsidRPr="00AD41B0">
        <w:rPr>
          <w:rFonts w:ascii="SimHei" w:eastAsia="SimHei" w:hint="eastAsia"/>
        </w:rPr>
        <w:t>教育</w:t>
      </w:r>
    </w:p>
    <w:p w:rsidR="00BC3062" w:rsidRDefault="00BC3062" w:rsidP="00A471EC">
      <w:pPr>
        <w:pStyle w:val="SingleTxt"/>
        <w:rPr>
          <w:rFonts w:hint="eastAsia"/>
        </w:rPr>
      </w:pPr>
      <w:r>
        <w:rPr>
          <w:rFonts w:hint="eastAsia"/>
        </w:rPr>
        <w:t>13</w:t>
      </w:r>
      <w:r>
        <w:t>.</w:t>
      </w:r>
      <w:r>
        <w:tab/>
      </w:r>
      <w:r w:rsidRPr="00AD41B0">
        <w:rPr>
          <w:rFonts w:ascii="SimHei" w:eastAsia="SimHei" w:hint="eastAsia"/>
        </w:rPr>
        <w:t>答复</w:t>
      </w:r>
      <w:r>
        <w:rPr>
          <w:rFonts w:hint="eastAsia"/>
        </w:rPr>
        <w:t>：Sarva Shiksha Abhiyan(普教方案)是普及初等教育的一项国家旗舰方案，已使印度接近于实现普及初等教育的目标。2009年《教育权利法》使8年初等教育(年龄6-14岁)成为所有儿童的一项根本权利。实施普教方案的规范已根据《教育权利法》的规定进行了修订。</w:t>
      </w:r>
    </w:p>
    <w:p w:rsidR="00BC3062" w:rsidRPr="00AD41B0" w:rsidRDefault="00BC3062" w:rsidP="00A471EC">
      <w:pPr>
        <w:pStyle w:val="SingleTxt"/>
        <w:rPr>
          <w:rFonts w:hint="eastAsia"/>
        </w:rPr>
      </w:pPr>
      <w:r>
        <w:rPr>
          <w:rFonts w:hint="eastAsia"/>
        </w:rPr>
        <w:tab/>
        <w:t>为使教育系统符合女童的需要，已采取了双管齐下的性别平等战略，采取了一些可发挥吸引作用的定向措施，以提高女童的入学率和保留率，另一方面则通过培训和动员在社区产生对女童教育的需求。</w:t>
      </w:r>
    </w:p>
    <w:p w:rsidR="00BC3062" w:rsidRPr="00AD41B0" w:rsidRDefault="00BC3062" w:rsidP="00A471EC">
      <w:pPr>
        <w:pStyle w:val="SingleTxt"/>
        <w:rPr>
          <w:rFonts w:hint="eastAsia"/>
        </w:rPr>
      </w:pPr>
      <w:r w:rsidRPr="00AD41B0">
        <w:rPr>
          <w:rFonts w:hint="eastAsia"/>
        </w:rPr>
        <w:t>普教方案针对女童的干预措施包括：</w:t>
      </w:r>
    </w:p>
    <w:p w:rsidR="00BC3062" w:rsidRDefault="00BC3062" w:rsidP="00A471EC">
      <w:pPr>
        <w:pStyle w:val="SingleTxt"/>
        <w:ind w:left="2126" w:hanging="431"/>
        <w:rPr>
          <w:rFonts w:hint="eastAsia"/>
        </w:rPr>
      </w:pPr>
      <w:r>
        <w:rPr>
          <w:rFonts w:hint="eastAsia"/>
        </w:rPr>
        <w:sym w:font="Symbol" w:char="F0B7"/>
      </w:r>
      <w:r>
        <w:tab/>
      </w:r>
      <w:r w:rsidRPr="00AD41B0">
        <w:rPr>
          <w:rFonts w:hint="eastAsia"/>
          <w:spacing w:val="6"/>
        </w:rPr>
        <w:t>在社区开设小学，方便女童上学。普教方案已批准至2013-14年开设</w:t>
      </w:r>
      <w:r>
        <w:rPr>
          <w:rFonts w:hint="eastAsia"/>
        </w:rPr>
        <w:t>208 731所小学、159 499所高等小学(高小)、建造197 206所小学和109 631所高小以及增设教室1 803 935间。</w:t>
      </w:r>
    </w:p>
    <w:p w:rsidR="00BC3062" w:rsidRPr="00AD41B0" w:rsidRDefault="00BC3062" w:rsidP="00A471EC">
      <w:pPr>
        <w:pStyle w:val="SingleTxt"/>
        <w:ind w:left="2126" w:hanging="431"/>
        <w:rPr>
          <w:rFonts w:hint="eastAsia"/>
        </w:rPr>
      </w:pPr>
      <w:r>
        <w:rPr>
          <w:rFonts w:hint="eastAsia"/>
        </w:rPr>
        <w:sym w:font="Symbol" w:char="F0B7"/>
      </w:r>
      <w:r>
        <w:tab/>
      </w:r>
      <w:r>
        <w:rPr>
          <w:rFonts w:hint="eastAsia"/>
        </w:rPr>
        <w:t>增加任用教师，包括女教师——迄今为止，普教方案已批准任用198.4万名教师，其中141.5万名已征聘。</w:t>
      </w:r>
    </w:p>
    <w:p w:rsidR="00BC3062" w:rsidRPr="00AD41B0" w:rsidRDefault="00BC3062" w:rsidP="00A471EC">
      <w:pPr>
        <w:pStyle w:val="SingleTxt"/>
        <w:ind w:left="2126" w:hanging="431"/>
        <w:rPr>
          <w:rFonts w:hint="eastAsia"/>
        </w:rPr>
      </w:pPr>
      <w:r>
        <w:rPr>
          <w:rFonts w:hint="eastAsia"/>
        </w:rPr>
        <w:sym w:font="Symbol" w:char="F0B7"/>
      </w:r>
      <w:r>
        <w:tab/>
      </w:r>
      <w:r>
        <w:rPr>
          <w:rFonts w:hint="eastAsia"/>
        </w:rPr>
        <w:t>免费教科书——普教方案正每年向超过8 850万名儿童免费提供教科书。</w:t>
      </w:r>
    </w:p>
    <w:p w:rsidR="00BC3062" w:rsidRPr="00AD41B0" w:rsidRDefault="00BC3062" w:rsidP="00A471EC">
      <w:pPr>
        <w:pStyle w:val="SingleTxt"/>
        <w:ind w:left="2126" w:hanging="431"/>
        <w:rPr>
          <w:rFonts w:hint="eastAsia"/>
        </w:rPr>
      </w:pPr>
      <w:r>
        <w:rPr>
          <w:rFonts w:hint="eastAsia"/>
        </w:rPr>
        <w:sym w:font="Symbol" w:char="F0B7"/>
      </w:r>
      <w:r>
        <w:tab/>
      </w:r>
      <w:r>
        <w:rPr>
          <w:rFonts w:hint="eastAsia"/>
        </w:rPr>
        <w:t>免费制服——普教方案每年向超过8 010万名女童、贱民阶层男童、在册部落男童和贫困线以下男童免费发放制服。</w:t>
      </w:r>
    </w:p>
    <w:p w:rsidR="00BC3062" w:rsidRPr="00AD41B0" w:rsidRDefault="00BC3062" w:rsidP="00A471EC">
      <w:pPr>
        <w:pStyle w:val="SingleTxt"/>
        <w:ind w:left="2126" w:hanging="431"/>
        <w:rPr>
          <w:rFonts w:hint="eastAsia"/>
        </w:rPr>
      </w:pPr>
      <w:r>
        <w:rPr>
          <w:rFonts w:hint="eastAsia"/>
        </w:rPr>
        <w:sym w:font="Symbol" w:char="F0B7"/>
      </w:r>
      <w:r>
        <w:tab/>
      </w:r>
      <w:r>
        <w:rPr>
          <w:rFonts w:hint="eastAsia"/>
        </w:rPr>
        <w:t>女童专用厕所——普教方案已批准至2013-14年修建881 437间厕所，其中包括女厕所。</w:t>
      </w:r>
    </w:p>
    <w:p w:rsidR="00BC3062" w:rsidRDefault="00BC3062" w:rsidP="00A471EC">
      <w:pPr>
        <w:pStyle w:val="SingleTxt"/>
        <w:ind w:left="2126" w:hanging="431"/>
        <w:rPr>
          <w:rFonts w:hint="eastAsia"/>
        </w:rPr>
      </w:pPr>
      <w:r>
        <w:rPr>
          <w:rFonts w:hint="eastAsia"/>
        </w:rPr>
        <w:sym w:font="Symbol" w:char="F0B7"/>
      </w:r>
      <w:r>
        <w:tab/>
      </w:r>
      <w:r>
        <w:rPr>
          <w:rFonts w:hint="eastAsia"/>
        </w:rPr>
        <w:t>促进女童参与的教师提高认识方案——目前正在修订在职教师培训设计，以纳入对所有小学教师的性别平等教育，并为女童参加学校活动创造一个支持和有利的环境。</w:t>
      </w:r>
    </w:p>
    <w:p w:rsidR="00BC3062" w:rsidRPr="006D564A" w:rsidRDefault="00BC3062" w:rsidP="00A471EC">
      <w:pPr>
        <w:pStyle w:val="SingleTxt"/>
        <w:ind w:left="2126" w:hanging="431"/>
        <w:rPr>
          <w:rFonts w:hint="eastAsia"/>
        </w:rPr>
      </w:pPr>
      <w:r>
        <w:rPr>
          <w:rFonts w:hint="eastAsia"/>
        </w:rPr>
        <w:sym w:font="Symbol" w:char="F0B7"/>
      </w:r>
      <w:r>
        <w:tab/>
      </w:r>
      <w:r>
        <w:rPr>
          <w:rFonts w:hint="eastAsia"/>
        </w:rPr>
        <w:t>包括教科书在内的对性别问题具有敏感认识的教学材料——2005年国家教学大纲工作强调平等的核心价值。它强调需要从学校课程和教科书中清除性别偏见，并着重指出必须提高所有学校工作人员的认识，通过一个对性别问题具有敏感认识和具有性别包容度的课程及其贯彻落实使性别平等深入人心。清除教科书中现有偏见的举措由各邦在审查课程和教科书时进行。教育系统中的挑战是在入学机会、继续就读和成绩方面的性别差距以及在不平等、歧视、基于性别的包容等方面。教育系统应同时实现两个目标。一是制定和建立一个没有性别歧视的包容系统的挑战。二是这一系统本身将必须肩负重任，提供能够发挥作用推动社会变革的教育。在这方面，正在根据普教方案作出以下层面的努力：</w:t>
      </w:r>
    </w:p>
    <w:p w:rsidR="00BC3062" w:rsidRDefault="00BC3062" w:rsidP="00A471EC">
      <w:pPr>
        <w:pStyle w:val="SingleTxt"/>
        <w:rPr>
          <w:rFonts w:hint="eastAsia"/>
        </w:rPr>
      </w:pPr>
      <w:r>
        <w:rPr>
          <w:rFonts w:hint="eastAsia"/>
        </w:rPr>
        <w:tab/>
        <w:t>1.</w:t>
      </w:r>
      <w:r>
        <w:rPr>
          <w:rFonts w:hint="eastAsia"/>
        </w:rPr>
        <w:tab/>
        <w:t>通过教师培训模块发展一个包含一些关键教学变革的系统，具体做法是开发教师培训模块。</w:t>
      </w:r>
    </w:p>
    <w:p w:rsidR="00BC3062" w:rsidRPr="006D564A" w:rsidRDefault="00BC3062" w:rsidP="00A471EC">
      <w:pPr>
        <w:pStyle w:val="SingleTxt"/>
        <w:rPr>
          <w:rFonts w:hint="eastAsia"/>
        </w:rPr>
      </w:pPr>
      <w:r>
        <w:rPr>
          <w:rFonts w:hint="eastAsia"/>
        </w:rPr>
        <w:tab/>
        <w:t>2．</w:t>
      </w:r>
      <w:r>
        <w:rPr>
          <w:rFonts w:hint="eastAsia"/>
        </w:rPr>
        <w:tab/>
        <w:t>学校/课堂环境具有改变学生态度和行为的潜力，并间接改变家长。人们已发现我们的学校在为所有儿童提供食物、水、分担责任、教师一视同仁等方面有了积极和包容的做法，最重要的因素是校长对促进种姓、阶级、性别或残疾等各种类型和形式的包容表现出来的兴趣和承诺以及教师为此自愿采取的举措。</w:t>
      </w:r>
    </w:p>
    <w:p w:rsidR="00BC3062" w:rsidRPr="00B67505" w:rsidRDefault="00BC3062" w:rsidP="00A471EC">
      <w:pPr>
        <w:pStyle w:val="SingleTxt"/>
        <w:rPr>
          <w:rFonts w:hint="eastAsia"/>
        </w:rPr>
      </w:pPr>
      <w:r>
        <w:rPr>
          <w:rFonts w:hint="eastAsia"/>
        </w:rPr>
        <w:tab/>
        <w:t>3．</w:t>
      </w:r>
      <w:r>
        <w:rPr>
          <w:rFonts w:hint="eastAsia"/>
        </w:rPr>
        <w:tab/>
        <w:t>对性别问题具有敏感认识的课程、教学大纲和教科书：根据2005年国家教学大纲导则，各邦认真地作出了决定，把性别平等作为关键的转变标志，为此增加女童及妇女的形象图片，并促进“角色逆转”。</w:t>
      </w:r>
    </w:p>
    <w:p w:rsidR="00BC3062" w:rsidRDefault="00BC3062" w:rsidP="00A471EC">
      <w:pPr>
        <w:pStyle w:val="SingleTxt"/>
        <w:rPr>
          <w:rFonts w:hint="eastAsia"/>
        </w:rPr>
      </w:pPr>
      <w:r>
        <w:rPr>
          <w:rFonts w:hint="eastAsia"/>
        </w:rPr>
        <w:tab/>
        <w:t>4．</w:t>
      </w:r>
      <w:r>
        <w:rPr>
          <w:rFonts w:hint="eastAsia"/>
        </w:rPr>
        <w:tab/>
        <w:t>学校管理委员会(校管委)：《教育权利法》明确规定，在学校一级，校管委的构成中必须有50%的妇女。根据普教方案的规定，招生、基建、确保可用资源等校级任务由校管委管理，而且还要负责在学校开展提高对性别平等问题敏感度的宣传。</w:t>
      </w:r>
    </w:p>
    <w:p w:rsidR="00BC3062" w:rsidRDefault="00BC3062" w:rsidP="00A471EC">
      <w:pPr>
        <w:pStyle w:val="SingleTxt"/>
        <w:ind w:left="2126" w:hanging="431"/>
        <w:rPr>
          <w:rFonts w:hint="eastAsia"/>
        </w:rPr>
      </w:pPr>
      <w:r>
        <w:rPr>
          <w:rFonts w:hint="eastAsia"/>
        </w:rPr>
        <w:sym w:font="Symbol" w:char="F0B7"/>
      </w:r>
      <w:r>
        <w:tab/>
      </w:r>
      <w:r>
        <w:rPr>
          <w:rFonts w:hint="eastAsia"/>
        </w:rPr>
        <w:t>大力开展社区动员努力，促进女童教育：使用普教方案资金培训校管委成员是一个常见特色。校管委培训模块纳入了对社区的性别平等宣传，以鼓励女童在小学入学、上学和继续就读，并使社区认识到女童教育的好处和维持一个对性别问题具有敏感认识的学校环境的必要性。普教方案规定，该计划向县级提供的经费中的0.5%须用于社区动员，重点问题是社会机会、儿童正常上学、所有儿童完成初等教育、《教育权利法》规则规定的儿童应享权利和提高公众对与女童有关的问题等问题的认识。</w:t>
      </w:r>
    </w:p>
    <w:p w:rsidR="00BC3062" w:rsidRDefault="00BC3062" w:rsidP="00BE0338">
      <w:pPr>
        <w:pStyle w:val="SingleTxt"/>
        <w:spacing w:line="306" w:lineRule="exact"/>
        <w:ind w:left="2126" w:hanging="431"/>
        <w:rPr>
          <w:rFonts w:hint="eastAsia"/>
        </w:rPr>
      </w:pPr>
      <w:r>
        <w:rPr>
          <w:rFonts w:hint="eastAsia"/>
        </w:rPr>
        <w:sym w:font="Symbol" w:char="F0B7"/>
      </w:r>
      <w:r>
        <w:tab/>
      </w:r>
      <w:r>
        <w:rPr>
          <w:rFonts w:hint="eastAsia"/>
        </w:rPr>
        <w:t>已在农村女性识字率低于全国平均水平的教育落后区开展了Kasturba Gandhi Balika Vidyalaya(KGBV)项目，为女童提供住读的高等小学教育。KGBV项目的援助对象是(a)</w:t>
      </w:r>
      <w:r>
        <w:t xml:space="preserve"> </w:t>
      </w:r>
      <w:r>
        <w:rPr>
          <w:rFonts w:hint="eastAsia"/>
        </w:rPr>
        <w:t>无法上正规学校的女童；(b)</w:t>
      </w:r>
      <w:r>
        <w:t xml:space="preserve"> </w:t>
      </w:r>
      <w:r>
        <w:rPr>
          <w:rFonts w:hint="eastAsia"/>
        </w:rPr>
        <w:t>10岁以上的无法读完小学的的辍学女童；(c)</w:t>
      </w:r>
      <w:r>
        <w:t xml:space="preserve"> </w:t>
      </w:r>
      <w:r>
        <w:rPr>
          <w:rFonts w:hint="eastAsia"/>
        </w:rPr>
        <w:t>无资格上小学/高小的在住地分散的困难地区散居的移徙人口的较年幼女童。在这些女童中，KGBV项目为属于贱民阶层、在册部落、其他落后阶层和少数群体社区的75%的女童提供预留名额。余下的25%优先给予贫穷线以下家庭的女童。迄今为止，在已批准的3 609个KGBV项目中，有3 573个正在运作，招收女童349 037人，其中106 572人(30.53%)来自贱民阶层社区，87 224人(24.99%)来自在册部落社区，26 164人(7.5%)属于穆斯林少数民族，还有22 594人(6.47%)来自贫困线以下家庭。</w:t>
      </w:r>
    </w:p>
    <w:p w:rsidR="00BC3062" w:rsidRPr="00AD26D5" w:rsidRDefault="00BC3062" w:rsidP="00BE0338">
      <w:pPr>
        <w:pStyle w:val="SingleTxt"/>
        <w:spacing w:line="306" w:lineRule="exact"/>
        <w:ind w:left="2126" w:hanging="431"/>
        <w:rPr>
          <w:rFonts w:hint="eastAsia"/>
        </w:rPr>
      </w:pPr>
      <w:r>
        <w:rPr>
          <w:rFonts w:hint="eastAsia"/>
        </w:rPr>
        <w:sym w:font="Symbol" w:char="F0B7"/>
      </w:r>
      <w:r>
        <w:tab/>
      </w:r>
      <w:r>
        <w:rPr>
          <w:rFonts w:hint="eastAsia"/>
        </w:rPr>
        <w:t>普教方案在特殊重点县为女童教育采取的战略包括针对性别差距大的县和贱民阶层、在册部落和穆斯林女童采取干预措施，为此特批在这些县新建小学、新建高小、增设教室和教师。</w:t>
      </w:r>
    </w:p>
    <w:p w:rsidR="00BC3062" w:rsidRPr="00AD26D5" w:rsidRDefault="00891CF6" w:rsidP="00BE0338">
      <w:pPr>
        <w:pStyle w:val="SingleTxt"/>
        <w:spacing w:line="306" w:lineRule="exact"/>
        <w:rPr>
          <w:rFonts w:hint="eastAsia"/>
        </w:rPr>
      </w:pPr>
      <w:r>
        <w:tab/>
      </w:r>
      <w:r w:rsidR="00BC3062">
        <w:rPr>
          <w:rFonts w:hint="eastAsia"/>
        </w:rPr>
        <w:t>女童方面的改进后指标见</w:t>
      </w:r>
      <w:r w:rsidR="00BC3062" w:rsidRPr="00506AEA">
        <w:rPr>
          <w:rFonts w:ascii="SimHei" w:eastAsia="SimHei" w:hint="eastAsia"/>
        </w:rPr>
        <w:t>附件五</w:t>
      </w:r>
      <w:r w:rsidR="00BC3062">
        <w:rPr>
          <w:rFonts w:hint="eastAsia"/>
        </w:rPr>
        <w:t>。</w:t>
      </w:r>
    </w:p>
    <w:p w:rsidR="00BC3062" w:rsidRPr="00891CF6" w:rsidRDefault="00BC3062" w:rsidP="00BE0338">
      <w:pPr>
        <w:pStyle w:val="SingleTxt"/>
        <w:spacing w:line="306" w:lineRule="exact"/>
        <w:rPr>
          <w:rFonts w:ascii="SimHei" w:eastAsia="SimHei" w:hint="eastAsia"/>
        </w:rPr>
      </w:pPr>
      <w:r w:rsidRPr="00891CF6">
        <w:rPr>
          <w:rFonts w:ascii="SimHei" w:eastAsia="SimHei"/>
        </w:rPr>
        <w:t>Rashtriya Madhyamik Shiksha Abhiyan(RMSA)</w:t>
      </w:r>
    </w:p>
    <w:p w:rsidR="00BC3062" w:rsidRPr="00AD26D5" w:rsidRDefault="00BC3062" w:rsidP="00BE0338">
      <w:pPr>
        <w:pStyle w:val="SingleTxt"/>
        <w:spacing w:line="306" w:lineRule="exact"/>
        <w:rPr>
          <w:rFonts w:hint="eastAsia"/>
        </w:rPr>
      </w:pPr>
      <w:r>
        <w:rPr>
          <w:rFonts w:hint="eastAsia"/>
        </w:rPr>
        <w:tab/>
        <w:t>RMSA于2009年3月启动，其目的是增强提供中学教育并改进其质量。这一计划的实施始于2009-10年，并设想通过在任何居住区的合理距离内提供一所中学的办法，在实施该计划的5年内使中学入学率达到75%，而2005-06年是52.26%。其他目标包括改善中等教育质量，办法是要求所有中学都符合规定的标准，消除性别、社会经济和残疾障碍，至迟于2017年即第12个五年计划结束时普及中等教育，并且不迟于2020年实现普遍继续就读。</w:t>
      </w:r>
    </w:p>
    <w:p w:rsidR="00BC3062" w:rsidRDefault="00BC3062" w:rsidP="00BE0338">
      <w:pPr>
        <w:pStyle w:val="SingleTxt"/>
        <w:spacing w:line="306" w:lineRule="exact"/>
        <w:rPr>
          <w:rFonts w:hint="eastAsia"/>
        </w:rPr>
      </w:pPr>
      <w:r>
        <w:rPr>
          <w:rFonts w:hint="eastAsia"/>
        </w:rPr>
        <w:tab/>
        <w:t>根据该计划提供的重要物质设施是</w:t>
      </w:r>
      <w:r>
        <w:rPr>
          <w:rFonts w:hAnsi="SimSun" w:hint="eastAsia"/>
        </w:rPr>
        <w:t>㈠</w:t>
      </w:r>
      <w:r>
        <w:rPr>
          <w:rFonts w:hAnsi="SimSun"/>
        </w:rPr>
        <w:t xml:space="preserve"> </w:t>
      </w:r>
      <w:r>
        <w:rPr>
          <w:rFonts w:hint="eastAsia"/>
        </w:rPr>
        <w:t>增加教室；</w:t>
      </w:r>
      <w:r>
        <w:rPr>
          <w:rFonts w:hAnsi="SimSun" w:hint="eastAsia"/>
        </w:rPr>
        <w:t>㈡</w:t>
      </w:r>
      <w:r>
        <w:rPr>
          <w:rFonts w:hAnsi="SimSun"/>
        </w:rPr>
        <w:t xml:space="preserve"> </w:t>
      </w:r>
      <w:r>
        <w:rPr>
          <w:rFonts w:hint="eastAsia"/>
        </w:rPr>
        <w:t>实验室；</w:t>
      </w:r>
      <w:r>
        <w:rPr>
          <w:rFonts w:hAnsi="SimSun" w:hint="eastAsia"/>
        </w:rPr>
        <w:t>㈢</w:t>
      </w:r>
      <w:r>
        <w:rPr>
          <w:rFonts w:hAnsi="SimSun"/>
        </w:rPr>
        <w:t xml:space="preserve"> </w:t>
      </w:r>
      <w:r>
        <w:rPr>
          <w:rFonts w:hint="eastAsia"/>
        </w:rPr>
        <w:t>图书馆；</w:t>
      </w:r>
      <w:r>
        <w:rPr>
          <w:rFonts w:hAnsi="SimSun" w:hint="eastAsia"/>
        </w:rPr>
        <w:t>㈣</w:t>
      </w:r>
      <w:r>
        <w:rPr>
          <w:rFonts w:hAnsi="SimSun"/>
        </w:rPr>
        <w:t xml:space="preserve"> </w:t>
      </w:r>
      <w:r>
        <w:rPr>
          <w:rFonts w:hint="eastAsia"/>
        </w:rPr>
        <w:t>艺术和手工室；</w:t>
      </w:r>
      <w:r>
        <w:rPr>
          <w:rFonts w:hAnsi="SimSun" w:hint="eastAsia"/>
        </w:rPr>
        <w:t>㈤</w:t>
      </w:r>
      <w:r>
        <w:rPr>
          <w:rFonts w:hAnsi="SimSun"/>
        </w:rPr>
        <w:t xml:space="preserve"> </w:t>
      </w:r>
      <w:r>
        <w:rPr>
          <w:rFonts w:hint="eastAsia"/>
        </w:rPr>
        <w:t>厕所；</w:t>
      </w:r>
      <w:r>
        <w:rPr>
          <w:rFonts w:hAnsi="SimSun" w:hint="eastAsia"/>
        </w:rPr>
        <w:t>㈥</w:t>
      </w:r>
      <w:r>
        <w:rPr>
          <w:rFonts w:hAnsi="SimSun"/>
        </w:rPr>
        <w:t xml:space="preserve"> </w:t>
      </w:r>
      <w:r>
        <w:rPr>
          <w:rFonts w:hint="eastAsia"/>
        </w:rPr>
        <w:t>饮水设施；</w:t>
      </w:r>
      <w:r>
        <w:rPr>
          <w:rFonts w:hAnsi="SimSun" w:hint="eastAsia"/>
        </w:rPr>
        <w:t>㈦</w:t>
      </w:r>
      <w:r>
        <w:rPr>
          <w:rFonts w:hAnsi="SimSun"/>
        </w:rPr>
        <w:t xml:space="preserve"> </w:t>
      </w:r>
      <w:r>
        <w:rPr>
          <w:rFonts w:hint="eastAsia"/>
        </w:rPr>
        <w:t>偏远地区的教师招待所。</w:t>
      </w:r>
    </w:p>
    <w:p w:rsidR="00BC3062" w:rsidRDefault="00BC3062" w:rsidP="00BE0338">
      <w:pPr>
        <w:pStyle w:val="SingleTxt"/>
        <w:spacing w:line="306" w:lineRule="exact"/>
        <w:rPr>
          <w:rFonts w:hint="eastAsia"/>
        </w:rPr>
      </w:pPr>
      <w:r>
        <w:rPr>
          <w:rFonts w:hAnsi="SimSun"/>
        </w:rPr>
        <w:tab/>
      </w:r>
      <w:r>
        <w:rPr>
          <w:rFonts w:hint="eastAsia"/>
        </w:rPr>
        <w:t>计划中提供的重要平等措施是</w:t>
      </w:r>
      <w:r>
        <w:rPr>
          <w:rFonts w:hAnsi="SimSun" w:hint="eastAsia"/>
        </w:rPr>
        <w:t>㈠</w:t>
      </w:r>
      <w:r>
        <w:rPr>
          <w:rFonts w:hAnsi="SimSun"/>
        </w:rPr>
        <w:t xml:space="preserve"> </w:t>
      </w:r>
      <w:r>
        <w:rPr>
          <w:rFonts w:hint="eastAsia"/>
        </w:rPr>
        <w:t>对微观规划给予特别关注；</w:t>
      </w:r>
      <w:r>
        <w:rPr>
          <w:rFonts w:hAnsi="SimSun" w:hint="eastAsia"/>
        </w:rPr>
        <w:t>㈡</w:t>
      </w:r>
      <w:r>
        <w:rPr>
          <w:rFonts w:hAnsi="SimSun"/>
        </w:rPr>
        <w:t xml:space="preserve"> </w:t>
      </w:r>
      <w:r>
        <w:rPr>
          <w:rFonts w:hint="eastAsia"/>
        </w:rPr>
        <w:t>贫民学校优先升级；</w:t>
      </w:r>
      <w:r>
        <w:rPr>
          <w:rFonts w:hAnsi="SimSun" w:hint="eastAsia"/>
        </w:rPr>
        <w:t>㈢</w:t>
      </w:r>
      <w:r>
        <w:rPr>
          <w:rFonts w:hAnsi="SimSun"/>
        </w:rPr>
        <w:t xml:space="preserve"> </w:t>
      </w:r>
      <w:r>
        <w:rPr>
          <w:rFonts w:hint="eastAsia"/>
        </w:rPr>
        <w:t>对贱民阶层/在册部落/少数群体聚居地区给予优先；</w:t>
      </w:r>
      <w:r>
        <w:rPr>
          <w:rFonts w:hAnsi="SimSun" w:hint="eastAsia"/>
        </w:rPr>
        <w:t>㈣</w:t>
      </w:r>
      <w:r>
        <w:rPr>
          <w:rFonts w:hAnsi="SimSun"/>
        </w:rPr>
        <w:t xml:space="preserve"> </w:t>
      </w:r>
      <w:r>
        <w:rPr>
          <w:rFonts w:hint="eastAsia"/>
        </w:rPr>
        <w:t>为较弱势阶层开展特别招生活动；</w:t>
      </w:r>
      <w:r>
        <w:rPr>
          <w:rFonts w:hAnsi="SimSun" w:hint="eastAsia"/>
        </w:rPr>
        <w:t>㈤</w:t>
      </w:r>
      <w:r>
        <w:rPr>
          <w:rFonts w:hAnsi="SimSun"/>
        </w:rPr>
        <w:t xml:space="preserve"> </w:t>
      </w:r>
      <w:r>
        <w:rPr>
          <w:rFonts w:hint="eastAsia"/>
        </w:rPr>
        <w:t>增加学校里的女教师；</w:t>
      </w:r>
      <w:r>
        <w:rPr>
          <w:rFonts w:hAnsi="SimSun" w:hint="eastAsia"/>
        </w:rPr>
        <w:t>㈥</w:t>
      </w:r>
      <w:r>
        <w:rPr>
          <w:rFonts w:hAnsi="SimSun"/>
        </w:rPr>
        <w:t xml:space="preserve"> </w:t>
      </w:r>
      <w:r>
        <w:rPr>
          <w:rFonts w:hint="eastAsia"/>
        </w:rPr>
        <w:t>女童专用厕所。</w:t>
      </w:r>
    </w:p>
    <w:p w:rsidR="00BC3062" w:rsidRDefault="00BC3062" w:rsidP="00BE0338">
      <w:pPr>
        <w:pStyle w:val="SingleTxt"/>
        <w:spacing w:line="306" w:lineRule="exact"/>
        <w:rPr>
          <w:rFonts w:hint="eastAsia"/>
        </w:rPr>
      </w:pPr>
      <w:r>
        <w:rPr>
          <w:rFonts w:hint="eastAsia"/>
        </w:rPr>
        <w:tab/>
        <w:t>第十一个五年计划期间，中央政府承担了十一五期间项目支出的75%，其余25%由邦政府承担。不过，对东北各邦(包括阿萨姆)而言，出资模式是90:10。</w:t>
      </w:r>
    </w:p>
    <w:p w:rsidR="00BC3062" w:rsidRDefault="00BC3062" w:rsidP="00BE0338">
      <w:pPr>
        <w:pStyle w:val="SingleTxt"/>
        <w:spacing w:line="306" w:lineRule="exact"/>
        <w:rPr>
          <w:rFonts w:hint="eastAsia"/>
        </w:rPr>
      </w:pPr>
      <w:r>
        <w:rPr>
          <w:rFonts w:hint="eastAsia"/>
        </w:rPr>
        <w:tab/>
        <w:t>RMSA中针对女童的特别措施——儿童、尤其是女童的教育发展是RMSA的特别重点，其中提供了各种措施，包括住区/村庄/城市贫民窟层面的社区动员，分发制服、奖学金、教科书和文具等教育用品，提供交通便利和女教师，在偏远/山区/地形困难地区建造教师住所和女童宿舍等等。此外，该计划还专门为在教育上属于少数群体的女童和成绩不佳儿童开设特别辅导班/补习班、教师提高认识方案、女童专用厕所、女童活动室等等。</w:t>
      </w:r>
    </w:p>
    <w:p w:rsidR="00BC3062" w:rsidRDefault="00BC3062" w:rsidP="00BE0338">
      <w:pPr>
        <w:pStyle w:val="SingleTxt"/>
        <w:spacing w:line="306" w:lineRule="exact"/>
        <w:rPr>
          <w:rFonts w:hint="eastAsia"/>
        </w:rPr>
      </w:pPr>
      <w:r>
        <w:tab/>
      </w:r>
      <w:r>
        <w:rPr>
          <w:rFonts w:hint="eastAsia"/>
        </w:rPr>
        <w:t>女童宿舍计划——该计划名为“初中和高中女生宿舍的建造和运营”，于2008-09年启动，2009-10年起实施。该计划设想在全国3 479个教育落后区中的每一个都建造一座可容纳100名女生的宿舍。</w:t>
      </w:r>
    </w:p>
    <w:p w:rsidR="00BC3062" w:rsidRDefault="00BC3062" w:rsidP="00BE0338">
      <w:pPr>
        <w:pStyle w:val="SingleTxt"/>
        <w:spacing w:line="306" w:lineRule="exact"/>
        <w:rPr>
          <w:rFonts w:hint="eastAsia"/>
        </w:rPr>
      </w:pPr>
      <w:r>
        <w:tab/>
      </w:r>
      <w:r>
        <w:rPr>
          <w:rFonts w:hint="eastAsia"/>
        </w:rPr>
        <w:t>该计划的主要目的是改善女童的上学机会和继续就读情况，重点是中学和高中班级(九至十二年级)里属于贱民阶层、在册部落、其他落后阶层、少数群体和贫穷线以下家庭的女生。</w:t>
      </w:r>
    </w:p>
    <w:p w:rsidR="00BC3062" w:rsidRPr="0063505D" w:rsidRDefault="00BC3062" w:rsidP="00A471EC">
      <w:pPr>
        <w:pStyle w:val="SingleTxt"/>
        <w:rPr>
          <w:lang w:val="es-ES_tradnl"/>
        </w:rPr>
      </w:pPr>
      <w:r>
        <w:tab/>
      </w:r>
      <w:r>
        <w:rPr>
          <w:rFonts w:hint="eastAsia"/>
        </w:rPr>
        <w:t>女童中等教育国家奖励计划——这个名为“女童中等教育国家奖励计划”的计划于2008年5月启动，目的是建立一个有利环境，以降低主要属于贱民阶层/在册部落的女童的中学辍学率并提高她们的入学率。根据该计划，以未婚合格女童的名字存入3 000卢比(48.67美元)的一笔钱，作为定期存款，女童年满18岁而且通过十年级考试，就可连本带利提取这笔存款。该计划涵盖</w:t>
      </w:r>
      <w:r>
        <w:rPr>
          <w:rFonts w:hAnsi="SimSun" w:hint="eastAsia"/>
        </w:rPr>
        <w:t>㈠</w:t>
      </w:r>
      <w:r>
        <w:rPr>
          <w:rFonts w:hAnsi="SimSun"/>
        </w:rPr>
        <w:t xml:space="preserve"> </w:t>
      </w:r>
      <w:r>
        <w:rPr>
          <w:rFonts w:hint="eastAsia"/>
        </w:rPr>
        <w:t>从八年级毕业的所有属于贱民阶层/在册部落的女童；</w:t>
      </w:r>
      <w:r>
        <w:rPr>
          <w:rFonts w:hAnsi="SimSun" w:hint="eastAsia"/>
        </w:rPr>
        <w:t>㈡</w:t>
      </w:r>
      <w:r>
        <w:rPr>
          <w:rFonts w:hAnsi="SimSun"/>
        </w:rPr>
        <w:t xml:space="preserve"> </w:t>
      </w:r>
      <w:r>
        <w:rPr>
          <w:rFonts w:hint="eastAsia"/>
        </w:rPr>
        <w:t>参加Kasturba Gandhi Balika Vidyalayas方案的所有通过八年级考试并入读政府、政府援助和本地机构学校九年级的女童(无论是否属于贱民阶层/在册部落)。受益女童中超过95%属于贱民阶层和在册部落社区。</w:t>
      </w:r>
    </w:p>
    <w:p w:rsidR="00BC3062" w:rsidRDefault="00BC3062" w:rsidP="00A471EC">
      <w:pPr>
        <w:pStyle w:val="SingleTxt"/>
        <w:rPr>
          <w:rFonts w:hint="eastAsia"/>
        </w:rPr>
      </w:pPr>
      <w:r>
        <w:tab/>
      </w:r>
      <w:r>
        <w:rPr>
          <w:rFonts w:hint="eastAsia"/>
        </w:rPr>
        <w:t>Kendriya Vidyalayas——Kendriya Vidyalayas遵循的支持女童教育的各项规定包括一年级至十二年级的所有女生免缴学费；六年级至十二年级的独生女童免缴一切费用；在规定的班级人数之外为录取独生女童提供预留名额，并通过全国青年团、巴拉特童子军先导队、向导及体育和游戏等各种活动为女童提供全面发展的机会。</w:t>
      </w:r>
    </w:p>
    <w:p w:rsidR="00BC3062" w:rsidRDefault="00BC3062" w:rsidP="00A471EC">
      <w:pPr>
        <w:pStyle w:val="SingleTxt"/>
        <w:rPr>
          <w:rFonts w:hint="eastAsia"/>
        </w:rPr>
      </w:pPr>
      <w:r>
        <w:tab/>
      </w:r>
      <w:r>
        <w:rPr>
          <w:rFonts w:hint="eastAsia"/>
        </w:rPr>
        <w:t>Navodaya Vidyalaya系统是一个独特的试验，在印度学校教育史上和在印度政府领导下的自治机构管理的其他地方的教育史上都没有先例。支持农村女童获得机会和接受教育的特色是：</w:t>
      </w:r>
    </w:p>
    <w:p w:rsidR="00BC3062" w:rsidRDefault="00BC3062" w:rsidP="00A471EC">
      <w:pPr>
        <w:pStyle w:val="SingleTxt"/>
        <w:ind w:left="2126" w:hanging="431"/>
        <w:rPr>
          <w:rFonts w:hint="eastAsia"/>
        </w:rPr>
      </w:pPr>
      <w:r>
        <w:rPr>
          <w:rFonts w:hint="eastAsia"/>
        </w:rPr>
        <w:sym w:font="Symbol" w:char="F0B7"/>
      </w:r>
      <w:r>
        <w:tab/>
      </w:r>
      <w:r>
        <w:rPr>
          <w:rFonts w:hint="eastAsia"/>
        </w:rPr>
        <w:t>全国每一个县都有一个Navodaya Vidyalaya项目。</w:t>
      </w:r>
    </w:p>
    <w:p w:rsidR="00BC3062" w:rsidRDefault="00BC3062" w:rsidP="00A471EC">
      <w:pPr>
        <w:pStyle w:val="SingleTxt"/>
        <w:ind w:left="2126" w:hanging="431"/>
        <w:rPr>
          <w:rFonts w:hint="eastAsia"/>
        </w:rPr>
      </w:pPr>
      <w:r>
        <w:rPr>
          <w:rFonts w:hint="eastAsia"/>
        </w:rPr>
        <w:sym w:font="Symbol" w:char="F0B7"/>
      </w:r>
      <w:r>
        <w:tab/>
      </w:r>
      <w:r>
        <w:rPr>
          <w:rFonts w:hint="eastAsia"/>
        </w:rPr>
        <w:t>位置——在农村地区。</w:t>
      </w:r>
    </w:p>
    <w:p w:rsidR="00BC3062" w:rsidRDefault="00BC3062" w:rsidP="00A471EC">
      <w:pPr>
        <w:pStyle w:val="SingleTxt"/>
        <w:ind w:left="2126" w:hanging="431"/>
        <w:rPr>
          <w:rFonts w:hint="eastAsia"/>
        </w:rPr>
      </w:pPr>
      <w:r>
        <w:rPr>
          <w:rFonts w:hint="eastAsia"/>
        </w:rPr>
        <w:sym w:font="Symbol" w:char="F0B7"/>
      </w:r>
      <w:r>
        <w:tab/>
      </w:r>
      <w:r>
        <w:rPr>
          <w:rFonts w:hint="eastAsia"/>
        </w:rPr>
        <w:t>免费教育包括食宿。</w:t>
      </w:r>
    </w:p>
    <w:p w:rsidR="00BC3062" w:rsidRDefault="00BC3062" w:rsidP="00A471EC">
      <w:pPr>
        <w:pStyle w:val="SingleTxt"/>
        <w:ind w:left="2126" w:hanging="431"/>
        <w:rPr>
          <w:rFonts w:hint="eastAsia"/>
        </w:rPr>
      </w:pPr>
      <w:r>
        <w:rPr>
          <w:rFonts w:hint="eastAsia"/>
        </w:rPr>
        <w:sym w:font="Symbol" w:char="F0B7"/>
      </w:r>
      <w:r>
        <w:tab/>
      </w:r>
      <w:r>
        <w:rPr>
          <w:rFonts w:hint="eastAsia"/>
        </w:rPr>
        <w:t>授课语言——六至八年级为地区语言，此后为印地文和英文。</w:t>
      </w:r>
    </w:p>
    <w:p w:rsidR="00BC3062" w:rsidRDefault="00BC3062" w:rsidP="00A471EC">
      <w:pPr>
        <w:pStyle w:val="SingleTxt"/>
        <w:ind w:left="2126" w:hanging="431"/>
        <w:rPr>
          <w:rFonts w:hint="eastAsia"/>
        </w:rPr>
      </w:pPr>
      <w:r>
        <w:rPr>
          <w:rFonts w:hint="eastAsia"/>
        </w:rPr>
        <w:sym w:font="Symbol" w:char="F0B7"/>
      </w:r>
      <w:r>
        <w:tab/>
      </w:r>
      <w:r>
        <w:rPr>
          <w:rFonts w:hint="eastAsia"/>
        </w:rPr>
        <w:t>为女童预留33%的座位。</w:t>
      </w:r>
    </w:p>
    <w:p w:rsidR="00BC3062" w:rsidRDefault="00BC3062" w:rsidP="00A471EC">
      <w:pPr>
        <w:pStyle w:val="SingleTxt"/>
        <w:ind w:left="2126" w:hanging="431"/>
        <w:rPr>
          <w:rFonts w:hint="eastAsia"/>
        </w:rPr>
      </w:pPr>
      <w:r>
        <w:rPr>
          <w:rFonts w:hint="eastAsia"/>
        </w:rPr>
        <w:sym w:font="Symbol" w:char="F0B7"/>
      </w:r>
      <w:r>
        <w:tab/>
      </w:r>
      <w:r>
        <w:rPr>
          <w:rFonts w:hint="eastAsia"/>
        </w:rPr>
        <w:t>为农村学生余留75%的座位。</w:t>
      </w:r>
    </w:p>
    <w:p w:rsidR="00BC3062" w:rsidRDefault="00BC3062" w:rsidP="00A471EC">
      <w:pPr>
        <w:pStyle w:val="SingleTxt"/>
        <w:ind w:left="2126" w:hanging="431"/>
        <w:rPr>
          <w:rFonts w:hint="eastAsia"/>
        </w:rPr>
      </w:pPr>
      <w:r>
        <w:rPr>
          <w:rFonts w:hint="eastAsia"/>
        </w:rPr>
        <w:sym w:font="Symbol" w:char="F0B7"/>
      </w:r>
      <w:r>
        <w:tab/>
      </w:r>
      <w:r>
        <w:rPr>
          <w:rFonts w:hint="eastAsia"/>
        </w:rPr>
        <w:t>交换学生方案——30%九年级学生在使用印地文的县和不使用印地文的县易地学习一学年。</w:t>
      </w:r>
    </w:p>
    <w:p w:rsidR="00BC3062" w:rsidRDefault="00BC3062" w:rsidP="00A471EC">
      <w:pPr>
        <w:pStyle w:val="SingleTxt"/>
        <w:rPr>
          <w:rFonts w:hint="eastAsia"/>
        </w:rPr>
      </w:pPr>
      <w:r>
        <w:rPr>
          <w:rFonts w:hint="eastAsia"/>
        </w:rPr>
        <w:t>中学女童方面的改进后指标见</w:t>
      </w:r>
      <w:r w:rsidRPr="00506AEA">
        <w:rPr>
          <w:rFonts w:ascii="SimHei" w:eastAsia="SimHei" w:hint="eastAsia"/>
        </w:rPr>
        <w:t>附件六</w:t>
      </w:r>
      <w:r>
        <w:rPr>
          <w:rFonts w:hint="eastAsia"/>
        </w:rPr>
        <w:t>。</w:t>
      </w:r>
    </w:p>
    <w:p w:rsidR="00BC3062" w:rsidRDefault="00BC3062" w:rsidP="00A471EC">
      <w:pPr>
        <w:pStyle w:val="SingleTxt"/>
        <w:rPr>
          <w:rFonts w:hint="eastAsia"/>
        </w:rPr>
      </w:pPr>
      <w:r>
        <w:rPr>
          <w:rFonts w:hint="eastAsia"/>
        </w:rPr>
        <w:tab/>
        <w:t>教科书评价——2011-12年，国家教育研究和培训委员会以及各邦根据2005</w:t>
      </w:r>
      <w:r w:rsidRPr="00BE0338">
        <w:rPr>
          <w:rFonts w:hint="eastAsia"/>
          <w:spacing w:val="2"/>
        </w:rPr>
        <w:t>年国家教学大纲从性别平等角度对高小阶段教科书进行分析。对社会科学、科学和数学领域的课本进行的分析发现，国家教育研究和培训委员会的教科书基本上符合性别包容性的要求。在某些情况下是性别中立的，而且培养儿童解决问题和进行批判性思维的能力。社会科学、科学和数学教科书的封面和背面都有女童形象，有时显示男童和女童在一起开展活动。课本还具有正面的性别平等信息。</w:t>
      </w:r>
    </w:p>
    <w:p w:rsidR="00BC3062" w:rsidRDefault="00BC3062" w:rsidP="00A471EC">
      <w:pPr>
        <w:pStyle w:val="SingleTxt"/>
        <w:rPr>
          <w:rFonts w:hint="eastAsia"/>
        </w:rPr>
      </w:pPr>
      <w:r>
        <w:rPr>
          <w:rFonts w:hint="eastAsia"/>
        </w:rPr>
        <w:tab/>
        <w:t>目前，已采取多管齐下的战略，解决穆斯林社区教育落后的问题，包括萨哈尔委员会提出的问题。为确保增强少数群体在教育方面的权能，政府已启动若干措施，如</w:t>
      </w:r>
      <w:r w:rsidRPr="00506AEA">
        <w:rPr>
          <w:rFonts w:ascii="SimHei" w:eastAsia="SimHei" w:hint="eastAsia"/>
        </w:rPr>
        <w:t>附件七</w:t>
      </w:r>
      <w:r>
        <w:rPr>
          <w:rFonts w:hint="eastAsia"/>
        </w:rPr>
        <w:t>中所列。</w:t>
      </w:r>
    </w:p>
    <w:p w:rsidR="005D2060" w:rsidRPr="00F967C5" w:rsidRDefault="005D2060" w:rsidP="00A471EC">
      <w:pPr>
        <w:pStyle w:val="SingleTxt"/>
        <w:rPr>
          <w:rFonts w:ascii="SimHei" w:eastAsia="SimHei" w:hint="eastAsia"/>
        </w:rPr>
      </w:pPr>
      <w:r w:rsidRPr="00F967C5">
        <w:rPr>
          <w:rFonts w:ascii="SimHei" w:eastAsia="SimHei" w:hint="eastAsia"/>
        </w:rPr>
        <w:t>就业</w:t>
      </w:r>
    </w:p>
    <w:p w:rsidR="005D2060" w:rsidRDefault="005D2060" w:rsidP="00A471EC">
      <w:pPr>
        <w:pStyle w:val="SingleTxt"/>
        <w:rPr>
          <w:rFonts w:hint="eastAsia"/>
        </w:rPr>
      </w:pPr>
      <w:r w:rsidRPr="00F967C5">
        <w:rPr>
          <w:rFonts w:ascii="SimHei" w:eastAsia="SimHei" w:hint="eastAsia"/>
        </w:rPr>
        <w:t>14.</w:t>
      </w:r>
      <w:r w:rsidRPr="00F967C5">
        <w:rPr>
          <w:rFonts w:ascii="SimHei" w:eastAsia="SimHei" w:hint="eastAsia"/>
        </w:rPr>
        <w:tab/>
        <w:t>答复</w:t>
      </w:r>
      <w:r>
        <w:rPr>
          <w:rFonts w:hint="eastAsia"/>
        </w:rPr>
        <w:t>：国家在公共部门就业中没有基于性别的歧视。国家通过各种措施鼓励妇女加入劳动队伍，包括免除女性候选人的征聘费，提供产假补助金和育儿假，为从业母亲的孩子提供托儿所,设立从业妇女招待所，努力使夫妻能在同一单位工作。</w:t>
      </w:r>
    </w:p>
    <w:p w:rsidR="005D2060" w:rsidRDefault="005D2060" w:rsidP="00A471EC">
      <w:pPr>
        <w:pStyle w:val="SingleTxt"/>
        <w:rPr>
          <w:rFonts w:hint="eastAsia"/>
        </w:rPr>
      </w:pPr>
      <w:r>
        <w:tab/>
      </w:r>
      <w:r>
        <w:rPr>
          <w:rFonts w:hint="eastAsia"/>
        </w:rPr>
        <w:t>妇女职业培训方案通过使妇女更多地参与根据工匠培训方案和工艺老师培训方案提供的技能培训，促进妇女在产业(主要是有组织的部门)中作为半熟练/熟练和高度熟练的工人就业。为实现这一目标，中央政府和邦政府设立了仅供妇女参与的1 431个妇女产业培训所，并在普通常规产业培训所中设立妇女分部。该方案自1977年诞生以来，为100 000多名妇女提供了培训。</w:t>
      </w:r>
    </w:p>
    <w:p w:rsidR="005D2060" w:rsidRDefault="005D2060" w:rsidP="00A471EC">
      <w:pPr>
        <w:pStyle w:val="SingleTxt"/>
        <w:rPr>
          <w:rFonts w:hint="eastAsia"/>
        </w:rPr>
      </w:pPr>
      <w:r>
        <w:tab/>
      </w:r>
      <w:r>
        <w:rPr>
          <w:rFonts w:hint="eastAsia"/>
        </w:rPr>
        <w:t>从业妇女招待所计划为从业妇女、离家工作的妇女和接受就业培训的妇女提供安全和廉价的招待所。自1972-1973年推出培训计划以来，至今已设立了911个招待所。</w:t>
      </w:r>
    </w:p>
    <w:p w:rsidR="005D2060" w:rsidRDefault="005D2060" w:rsidP="00A471EC">
      <w:pPr>
        <w:pStyle w:val="SingleTxt"/>
        <w:rPr>
          <w:rFonts w:hint="eastAsia"/>
        </w:rPr>
      </w:pPr>
      <w:r>
        <w:tab/>
      </w:r>
      <w:r>
        <w:rPr>
          <w:rFonts w:hint="eastAsia"/>
        </w:rPr>
        <w:t>妇女培训和就业方案支持计划旨在提升就业技能和技能创收，以帮助城乡边缘化和资产较少的妇女实现自给自足。</w:t>
      </w:r>
    </w:p>
    <w:p w:rsidR="005D2060" w:rsidRDefault="005D2060" w:rsidP="00A471EC">
      <w:pPr>
        <w:pStyle w:val="SingleTxt"/>
        <w:rPr>
          <w:rFonts w:hint="eastAsia"/>
        </w:rPr>
      </w:pPr>
      <w:r>
        <w:tab/>
      </w:r>
      <w:r>
        <w:rPr>
          <w:rFonts w:hint="eastAsia"/>
        </w:rPr>
        <w:t>国家农村生计任务旨在减少贫穷，使贫困家庭能够获得有工资报酬、又有技能的就业机会。方案的主要目标是帮助贫困妇女增加家庭收入。Mahila Sashaktikaran Kisan Pariyojana(MKSP)是在国家农村生计任务下推出的独立生计措施，针对生产部门(农业及相关部门)中的妇女。</w:t>
      </w:r>
    </w:p>
    <w:p w:rsidR="005D2060" w:rsidRDefault="005D2060" w:rsidP="00A471EC">
      <w:pPr>
        <w:pStyle w:val="SingleTxt"/>
        <w:rPr>
          <w:rFonts w:hint="eastAsia"/>
        </w:rPr>
      </w:pPr>
      <w:r>
        <w:tab/>
      </w:r>
      <w:r>
        <w:rPr>
          <w:rFonts w:hint="eastAsia"/>
        </w:rPr>
        <w:t>圣雄甘地国家农村就业保障计划保证每个家庭每年有100天在农村地区的公共工程项目中从事非技术工作。该计划33%的资源必须分配给妇女。</w:t>
      </w:r>
    </w:p>
    <w:p w:rsidR="005D2060" w:rsidRDefault="005D2060" w:rsidP="00A471EC">
      <w:pPr>
        <w:pStyle w:val="SingleTxt"/>
        <w:rPr>
          <w:rFonts w:hint="eastAsia"/>
        </w:rPr>
      </w:pPr>
      <w:r>
        <w:tab/>
      </w:r>
      <w:r>
        <w:rPr>
          <w:rFonts w:hint="eastAsia"/>
        </w:rPr>
        <w:t>关于2009年《薪酬支付拟议规定》，此类规定具有法定性质，因此每个员工都必须遵守有关要求。</w:t>
      </w:r>
    </w:p>
    <w:p w:rsidR="005D2060" w:rsidRDefault="005D2060" w:rsidP="00A471EC">
      <w:pPr>
        <w:pStyle w:val="SingleTxt"/>
        <w:rPr>
          <w:rFonts w:hint="eastAsia"/>
        </w:rPr>
      </w:pPr>
      <w:r>
        <w:tab/>
      </w:r>
      <w:r>
        <w:rPr>
          <w:rFonts w:hint="eastAsia"/>
        </w:rPr>
        <w:t>根据有关法律制订了2009年《无劳工组织部门的社会保障规则》，并于2009年8月18日成立了全国社会保障委员会。全国委员会建议将</w:t>
      </w:r>
      <w:r>
        <w:t xml:space="preserve">Rashtriya </w:t>
      </w:r>
      <w:r>
        <w:rPr>
          <w:rFonts w:hint="eastAsia"/>
        </w:rPr>
        <w:t>Swasthya Bima Yojana(RSBY)、Janashree Bima Yojana和老年退休金的覆盖范围拓展到某些类别的无组织工人。</w:t>
      </w:r>
    </w:p>
    <w:p w:rsidR="005D2060" w:rsidRPr="005D2060" w:rsidRDefault="005D2060" w:rsidP="00A471EC">
      <w:pPr>
        <w:pStyle w:val="SingleTxt"/>
        <w:rPr>
          <w:rFonts w:hint="eastAsia"/>
          <w:spacing w:val="-2"/>
        </w:rPr>
      </w:pPr>
      <w:r>
        <w:tab/>
      </w:r>
      <w:r w:rsidRPr="005D2060">
        <w:rPr>
          <w:rFonts w:hint="eastAsia"/>
          <w:spacing w:val="-2"/>
        </w:rPr>
        <w:t>在无组织工人可用的各种计划中，Janani Suraksha Yojana只针对妇女。该计划为母亲和保健工作者提供财政支持，促进机构服务的提供。截至2013年11月，在提供无现金医疗保险的RSBY计划使妇女在享用住院福利的受益者中占48%。</w:t>
      </w:r>
    </w:p>
    <w:p w:rsidR="005D2060" w:rsidRDefault="005D2060" w:rsidP="00BE0338">
      <w:pPr>
        <w:pStyle w:val="SingleTxt"/>
        <w:spacing w:line="310" w:lineRule="exact"/>
        <w:rPr>
          <w:rFonts w:hint="eastAsia"/>
        </w:rPr>
      </w:pPr>
      <w:r>
        <w:tab/>
      </w:r>
      <w:r>
        <w:rPr>
          <w:rFonts w:hint="eastAsia"/>
        </w:rPr>
        <w:t xml:space="preserve">为鼓励包括妇女在内的无组织部门的人员为退休自愿储蓄，降低新养老金制度因此类用户产生的业务费用，政府将每年为2010至2011年开设的每个新养老金制度账户贡献1 000卢比(16.22美元)。该措施名为“Swavalamban”，加入新养老金制度的每个人都可享受，每个财年最少贡献1 000卢比(16.22美元)，最多贡献12 000卢比(194.71美元)。对2010至2013年加入的受益人而言，Swavalamban计划现已延长至5年。 </w:t>
      </w:r>
    </w:p>
    <w:p w:rsidR="005D2060" w:rsidRDefault="005D2060" w:rsidP="00BE0338">
      <w:pPr>
        <w:pStyle w:val="SingleTxt"/>
        <w:spacing w:line="310" w:lineRule="exact"/>
        <w:rPr>
          <w:rFonts w:hint="eastAsia"/>
        </w:rPr>
      </w:pPr>
      <w:r>
        <w:tab/>
      </w:r>
      <w:r>
        <w:rPr>
          <w:rFonts w:hint="eastAsia"/>
        </w:rPr>
        <w:t>Aam Admi Bima Yojana是印度政府2007年10月为农村没有土地的家庭启动的社会保障计划。此类家庭的家长或有收入的一位家庭成员可享受该计划。每人每年200卢比(3.24美元)的保险费由中央政府和邦政府均担。参保人的年龄应该在18岁至59岁之间。中央政府为支付其分摊费用设立了名为“Aam Admi Bima Yojana保险基金”的独立基金，由LIC维护。该计划还为儿童提供奖学金形式的免费附加福利。</w:t>
      </w:r>
    </w:p>
    <w:p w:rsidR="005D2060" w:rsidRDefault="005D2060" w:rsidP="00BE0338">
      <w:pPr>
        <w:pStyle w:val="SingleTxt"/>
        <w:spacing w:line="310" w:lineRule="exact"/>
        <w:rPr>
          <w:rFonts w:hint="eastAsia"/>
        </w:rPr>
      </w:pPr>
      <w:r>
        <w:tab/>
      </w:r>
      <w:r>
        <w:rPr>
          <w:rFonts w:hint="eastAsia"/>
        </w:rPr>
        <w:t>《打击在工作场所对妇女进行性骚扰(预防、禁止和矫正)法》于2013年12月9日生效。《打击在工作场所对妇女进行性骚扰(预防、禁止和矫正)条例》也于2013年12月9日下达。该法案力求囊括所有妇女，不论其年龄或就业状况，并保护公私部门中的所有工作场所的妇女免受性骚扰，不论她们是否加入劳工组织。法案设想建立内部投诉委员会和地方投诉委员会这一机制。按照该法案，所有雇佣10人或10人以上的工作单位都必须设立内部投诉委员会。在雇用不到10人的工作场所发生的投诉或针对雇主的投诉将由地方投诉委员会审理。法案使每个雇主都有责任创造一个无性骚扰的环境，并要求雇主定期组织讲习班和提高认识活动，帮助雇员了解该法的规定。在等待调查结果期间，受害妇女可申请调任和带薪休假，作为临时补救措施。此外，在确定处罚性质时，投诉委员会可下令向受害妇女支付赔偿金。</w:t>
      </w:r>
    </w:p>
    <w:p w:rsidR="005D2060" w:rsidRPr="00F967C5" w:rsidRDefault="005D2060" w:rsidP="00BE0338">
      <w:pPr>
        <w:pStyle w:val="SingleTxt"/>
        <w:spacing w:line="310" w:lineRule="exact"/>
        <w:rPr>
          <w:rFonts w:ascii="SimHei" w:eastAsia="SimHei" w:hint="eastAsia"/>
        </w:rPr>
      </w:pPr>
      <w:r w:rsidRPr="00F967C5">
        <w:rPr>
          <w:rFonts w:ascii="SimHei" w:eastAsia="SimHei" w:hint="eastAsia"/>
        </w:rPr>
        <w:t>保健</w:t>
      </w:r>
    </w:p>
    <w:p w:rsidR="005D2060" w:rsidRDefault="005D2060" w:rsidP="00BE0338">
      <w:pPr>
        <w:pStyle w:val="SingleTxt"/>
        <w:spacing w:line="310" w:lineRule="exact"/>
        <w:rPr>
          <w:rFonts w:hint="eastAsia"/>
        </w:rPr>
      </w:pPr>
      <w:r w:rsidRPr="00F967C5">
        <w:rPr>
          <w:rFonts w:ascii="SimHei" w:eastAsia="SimHei" w:hint="eastAsia"/>
        </w:rPr>
        <w:t>15.</w:t>
      </w:r>
      <w:r w:rsidRPr="00F967C5">
        <w:rPr>
          <w:rFonts w:ascii="SimHei" w:eastAsia="SimHei" w:hint="eastAsia"/>
        </w:rPr>
        <w:tab/>
        <w:t>答复</w:t>
      </w:r>
      <w:r>
        <w:rPr>
          <w:rFonts w:hint="eastAsia"/>
        </w:rPr>
        <w:t>：政府即可启动国家城市保健计划，作为总的国家保健计划下的分计划。计划设想为每5万到6万人口设立1个城市初级保健中心；在大城市中为每5个到6个城市初级保健中心设立1个城市社区保健中心；为每10 000人提供1名辅助护理助产士；为每200至500户家庭设立1名注册社会保健活动者(社区联络人员)。</w:t>
      </w:r>
    </w:p>
    <w:p w:rsidR="005D2060" w:rsidRDefault="005D2060" w:rsidP="00BE0338">
      <w:pPr>
        <w:pStyle w:val="SingleTxt"/>
        <w:spacing w:line="310" w:lineRule="exact"/>
        <w:rPr>
          <w:rFonts w:hint="eastAsia"/>
        </w:rPr>
      </w:pPr>
      <w:r>
        <w:tab/>
      </w:r>
      <w:r>
        <w:rPr>
          <w:rFonts w:hint="eastAsia"/>
        </w:rPr>
        <w:t>该计划将侧重于城市贫困人口的初级保健需求，包括妇女和女孩的需求。计划将在有50 000以上人口的779个城市和城镇执行，惠及约7 750万人。分计划规定的干预措施将降低婴儿死亡率和孕产妇死亡率，普及生殖保健服务并整合所有与保健有关的干预措施。</w:t>
      </w:r>
    </w:p>
    <w:p w:rsidR="005D2060" w:rsidRDefault="005D2060" w:rsidP="00BE0338">
      <w:pPr>
        <w:pStyle w:val="SingleTxt"/>
        <w:spacing w:line="310" w:lineRule="exact"/>
        <w:rPr>
          <w:rFonts w:hint="eastAsia"/>
        </w:rPr>
      </w:pPr>
      <w:r>
        <w:tab/>
      </w:r>
      <w:r>
        <w:rPr>
          <w:rFonts w:hint="eastAsia"/>
        </w:rPr>
        <w:t>国家城市保健计划旨在改善城市人口的普遍健康状况，特别是穷人和其他弱势群体，通过完善初级公共保健系统、提供有针对性的外联服务、使社区和城市地方机关参与进来的方式，促进公平获得高质量保健服务的机会。</w:t>
      </w:r>
    </w:p>
    <w:p w:rsidR="005D2060" w:rsidRDefault="005D2060" w:rsidP="00A471EC">
      <w:pPr>
        <w:pStyle w:val="SingleTxt"/>
        <w:rPr>
          <w:rFonts w:hint="eastAsia"/>
        </w:rPr>
      </w:pPr>
      <w:r>
        <w:tab/>
      </w:r>
      <w:r>
        <w:rPr>
          <w:rFonts w:hint="eastAsia"/>
        </w:rPr>
        <w:t>孕产妇死亡率情况详见附件八。全国农村保健方案的进展情况详见附件九。</w:t>
      </w:r>
    </w:p>
    <w:p w:rsidR="005D2060" w:rsidRDefault="005D2060" w:rsidP="00A471EC">
      <w:pPr>
        <w:pStyle w:val="SingleTxt"/>
        <w:rPr>
          <w:rFonts w:hint="eastAsia"/>
        </w:rPr>
      </w:pPr>
      <w:r>
        <w:tab/>
      </w:r>
      <w:r>
        <w:rPr>
          <w:rFonts w:hint="eastAsia"/>
        </w:rPr>
        <w:t>改善印度城乡妇幼营养状况是印度政府的高度优先任务。政府通过妇女和儿童发展部及其他部的各种方案，集中力量开展针对儿童、母亲和少女的工作。这些努力在2005年后更加突出。国家营养理事会作出的4项重要决定也推动了这些努力，即加强和调整儿童发展综合服务方案；在200个负担沉重地区制定多部门方案；在全国开展防治营养不良的信息、教育和宣传活动；使不同部委的各种方案重点关注营养问题。</w:t>
      </w:r>
    </w:p>
    <w:p w:rsidR="005D2060" w:rsidRDefault="005D2060" w:rsidP="00A471EC">
      <w:pPr>
        <w:pStyle w:val="SingleTxt"/>
        <w:rPr>
          <w:rFonts w:hint="eastAsia"/>
        </w:rPr>
      </w:pPr>
      <w:r>
        <w:tab/>
      </w:r>
      <w:r>
        <w:rPr>
          <w:rFonts w:hint="eastAsia"/>
        </w:rPr>
        <w:t>除了通过方案、管理和体制改革(包括财政和人力资源改革)加强和调整儿童发展综合服务以外，还制订并核准了加强儿童发展综合服务系统和改善营养项目，以补充现有的儿童发展综合服务方案，创造附加价值。政府还批准在200个负担沉重地区实施多部门营养行动方案，使关注或着重实现营养目标的各种部门方案重点明确，步调一致。此外，还在这200个重负地区开展了宣传营养谷物的方案。</w:t>
      </w:r>
    </w:p>
    <w:p w:rsidR="005D2060" w:rsidRDefault="005D2060" w:rsidP="00A471EC">
      <w:pPr>
        <w:pStyle w:val="SingleTxt"/>
        <w:rPr>
          <w:rFonts w:hint="eastAsia"/>
        </w:rPr>
      </w:pPr>
      <w:r>
        <w:tab/>
      </w:r>
      <w:r>
        <w:rPr>
          <w:rFonts w:hint="eastAsia"/>
        </w:rPr>
        <w:t>妇女和儿童发展部还推出了英迪拉·甘地Matritva Sahyog Yojana(IGMSY)计划。该计划是利用儿童发展综合服务方案平台的有条件产妇津贴计划。如果19岁及以上女性符合产妇和儿童保健与营养方面的特定条件，该计划将为其头两个活产直接提供4 000卢比(64.9美元)的现金补贴。</w:t>
      </w:r>
    </w:p>
    <w:p w:rsidR="005D2060" w:rsidRDefault="005D2060" w:rsidP="00A471EC">
      <w:pPr>
        <w:pStyle w:val="SingleTxt"/>
        <w:rPr>
          <w:rFonts w:hint="eastAsia"/>
        </w:rPr>
      </w:pPr>
      <w:r>
        <w:tab/>
      </w:r>
      <w:r>
        <w:rPr>
          <w:rFonts w:hint="eastAsia"/>
        </w:rPr>
        <w:t>近期颁布的《2013年国家粮食安全法》旨在保证粮食和营养安全，确保人民能以负担得起的价格获得充足的优质粮食。该法还纳入了儿童发展综合服务方案规定的营养服务以及为孕妇和授乳母亲提供的产假福利。</w:t>
      </w:r>
    </w:p>
    <w:p w:rsidR="005D2060" w:rsidRDefault="005D2060" w:rsidP="00A471EC">
      <w:pPr>
        <w:pStyle w:val="SingleTxt"/>
        <w:rPr>
          <w:rFonts w:hint="eastAsia"/>
        </w:rPr>
      </w:pPr>
      <w:r>
        <w:tab/>
      </w:r>
      <w:r>
        <w:rPr>
          <w:rFonts w:hint="eastAsia"/>
        </w:rPr>
        <w:t>在全国农村保健方案的框架下，为防控儿童和孕妇贫血症执行了各种干预措施。这些步骤包括在产前护理中普及孕妇贫血症检查，以及为所有孕妇和哺乳期妇女补充铁片和叶酸片。孕妇和授乳妇女在怀孕期间得以服用100天的铁片和叶酸片；安放宫内节育器的妇女一年也可服用100天的铁片和叶酸片；近期还为政府经办的学校和政府资助的学校中的少男少女及辍学少女每周一次补充铁质叶酸，以提高其孕前的铁储备，减少贫血症；6个月至10岁的儿童每年获得至少100天的铁和叶酸补充剂/片；在所有次级中心和初级保健中心发现并跟踪严重贫血的孕妇，及时为她们作出处理；在村保健和营养日开展保健和营养教育，促进饮食多样化，在饮食中加入富含铁和叶酸的食品，并食用促进铁吸收的食品；在疟疾流行地区发放长效驱虫蚊帐和驱虫床帐，解决因疟疾造成贫血的问题，特别是在孕妇和儿童当中。</w:t>
      </w:r>
    </w:p>
    <w:p w:rsidR="005D2060" w:rsidRPr="005D2060" w:rsidRDefault="005D2060" w:rsidP="00A471EC">
      <w:pPr>
        <w:pStyle w:val="SingleTxt"/>
        <w:rPr>
          <w:rFonts w:hint="eastAsia"/>
          <w:spacing w:val="-4"/>
        </w:rPr>
      </w:pPr>
      <w:r>
        <w:tab/>
      </w:r>
      <w:r w:rsidRPr="005D2060">
        <w:rPr>
          <w:rFonts w:hint="eastAsia"/>
          <w:spacing w:val="-4"/>
        </w:rPr>
        <w:t>为减少印度的不安全堕胎数目，政府在全国农村保健计划下，采取了下列步骤：</w:t>
      </w:r>
    </w:p>
    <w:p w:rsidR="005D2060" w:rsidRDefault="00891CF6" w:rsidP="00A471EC">
      <w:pPr>
        <w:pStyle w:val="SingleTxt"/>
        <w:ind w:left="1695"/>
        <w:rPr>
          <w:rFonts w:hint="eastAsia"/>
        </w:rPr>
      </w:pPr>
      <w:r>
        <w:rPr>
          <w:rFonts w:hAnsi="SimSun" w:hint="eastAsia"/>
        </w:rPr>
        <w:t>㈠</w:t>
      </w:r>
      <w:r w:rsidR="005D2060">
        <w:rPr>
          <w:rFonts w:hint="eastAsia"/>
        </w:rPr>
        <w:tab/>
        <w:t>向各邦分发堕胎护理服务与培训综合准则。</w:t>
      </w:r>
    </w:p>
    <w:p w:rsidR="005D2060" w:rsidRDefault="00891CF6" w:rsidP="00A471EC">
      <w:pPr>
        <w:pStyle w:val="SingleTxt"/>
        <w:ind w:left="1695"/>
        <w:rPr>
          <w:rFonts w:hint="eastAsia"/>
        </w:rPr>
      </w:pPr>
      <w:r>
        <w:rPr>
          <w:rFonts w:hAnsi="SimSun" w:hint="eastAsia"/>
        </w:rPr>
        <w:t>㈡</w:t>
      </w:r>
      <w:r w:rsidR="005D2060">
        <w:rPr>
          <w:rFonts w:hint="eastAsia"/>
        </w:rPr>
        <w:tab/>
        <w:t>在初级保健中心提供每周7天每天24小时的安全堕胎服务。</w:t>
      </w:r>
    </w:p>
    <w:p w:rsidR="005D2060" w:rsidRDefault="00891CF6" w:rsidP="00BE0338">
      <w:pPr>
        <w:pStyle w:val="SingleTxt"/>
        <w:spacing w:after="120"/>
        <w:ind w:left="1695"/>
        <w:rPr>
          <w:rFonts w:hint="eastAsia"/>
        </w:rPr>
      </w:pPr>
      <w:r>
        <w:rPr>
          <w:rFonts w:hAnsi="SimSun" w:hint="eastAsia"/>
        </w:rPr>
        <w:t>㈢</w:t>
      </w:r>
      <w:r w:rsidR="005D2060">
        <w:rPr>
          <w:rFonts w:hint="eastAsia"/>
        </w:rPr>
        <w:tab/>
        <w:t>为邦/中央直辖区提供资金，使保健中心能够提供安全的堕胎服务，包括采购设备和药品。</w:t>
      </w:r>
    </w:p>
    <w:p w:rsidR="005D2060" w:rsidRDefault="00891CF6" w:rsidP="00BE0338">
      <w:pPr>
        <w:pStyle w:val="SingleTxt"/>
        <w:spacing w:after="120"/>
        <w:ind w:left="1695"/>
        <w:rPr>
          <w:rFonts w:hint="eastAsia"/>
        </w:rPr>
      </w:pPr>
      <w:r>
        <w:rPr>
          <w:rFonts w:hAnsi="SimSun" w:hint="eastAsia"/>
        </w:rPr>
        <w:t>㈣</w:t>
      </w:r>
      <w:r w:rsidR="005D2060">
        <w:rPr>
          <w:rFonts w:hint="eastAsia"/>
        </w:rPr>
        <w:tab/>
        <w:t>培养医务人员的安全堕胎技术能力，为注册社会保健活动者、辅助助产士和其他现场工作人员开展能力建设，使他们能提供安全堕胎方面的保密咨询并促进堕胎后护理，包括实行避孕。</w:t>
      </w:r>
    </w:p>
    <w:p w:rsidR="005D2060" w:rsidRDefault="00891CF6" w:rsidP="00BE0338">
      <w:pPr>
        <w:pStyle w:val="SingleTxt"/>
        <w:spacing w:after="120"/>
        <w:ind w:left="1695"/>
        <w:rPr>
          <w:rFonts w:hint="eastAsia"/>
        </w:rPr>
      </w:pPr>
      <w:r>
        <w:rPr>
          <w:rFonts w:hAnsi="SimSun" w:hint="eastAsia"/>
        </w:rPr>
        <w:t>㈤</w:t>
      </w:r>
      <w:r w:rsidR="005D2060">
        <w:rPr>
          <w:rFonts w:hint="eastAsia"/>
        </w:rPr>
        <w:tab/>
        <w:t>通过县级委员会为私营部门和非政府组织的设施进行认证，以提供优质的终止妊娠服务。</w:t>
      </w:r>
    </w:p>
    <w:p w:rsidR="005D2060" w:rsidRDefault="005D2060" w:rsidP="00BE0338">
      <w:pPr>
        <w:pStyle w:val="SingleTxt"/>
        <w:spacing w:after="120"/>
        <w:rPr>
          <w:rFonts w:hint="eastAsia"/>
        </w:rPr>
      </w:pPr>
      <w:r>
        <w:tab/>
      </w:r>
      <w:r>
        <w:rPr>
          <w:rFonts w:hint="eastAsia"/>
        </w:rPr>
        <w:t>根据2011年人口普查，尽管总体的儿童性别比率进一步失衡，但有少数的邦呈现出扭转趋势。此外，出生时的性别比率在全国显示出一定的改善。预计改善儿童性别比率的国家行动计划将由多个利益攸关方在各级以全面、综合、战略性的办法实施，以制止失衡趋势，并大幅改善儿童的性别比率。首先，儿童性别比率行动计划拟在遍布12个州的100个性别比例严重失衡的地区作为特别措施实施。为此制订了名为“关爱和保护女童”的多部门行动计划，以便在这100个性别比例严重失衡地区改善儿童性别比率。</w:t>
      </w:r>
    </w:p>
    <w:p w:rsidR="005D2060" w:rsidRDefault="005D2060" w:rsidP="00BE0338">
      <w:pPr>
        <w:pStyle w:val="SingleTxt"/>
        <w:spacing w:after="120"/>
        <w:rPr>
          <w:rFonts w:hint="eastAsia"/>
        </w:rPr>
      </w:pPr>
      <w:r>
        <w:tab/>
      </w:r>
      <w:r>
        <w:rPr>
          <w:rFonts w:hint="eastAsia"/>
        </w:rPr>
        <w:t>截至2013年6月30日，向法院提起的各种违反《孕前和产前诊断法(禁止性别选择)法案》的案件共计1 833起。在违反该法案的行为中，共有143起被定罪，65名被定罪医生的医疗执照被吊销。此外，记录在案的违反《刑法》的杀婴案件有226起，95起被定罪。</w:t>
      </w:r>
    </w:p>
    <w:p w:rsidR="005D2060" w:rsidRPr="00F967C5" w:rsidRDefault="005D2060" w:rsidP="00BE0338">
      <w:pPr>
        <w:pStyle w:val="SingleTxt"/>
        <w:spacing w:after="120"/>
        <w:rPr>
          <w:rFonts w:ascii="SimHei" w:eastAsia="SimHei" w:hint="eastAsia"/>
        </w:rPr>
      </w:pPr>
      <w:r w:rsidRPr="00F967C5">
        <w:rPr>
          <w:rFonts w:ascii="SimHei" w:eastAsia="SimHei" w:hint="eastAsia"/>
        </w:rPr>
        <w:t>农村妇女</w:t>
      </w:r>
    </w:p>
    <w:p w:rsidR="005D2060" w:rsidRDefault="005D2060" w:rsidP="00BE0338">
      <w:pPr>
        <w:pStyle w:val="SingleTxt"/>
        <w:spacing w:after="120"/>
        <w:rPr>
          <w:rFonts w:hint="eastAsia"/>
        </w:rPr>
      </w:pPr>
      <w:r w:rsidRPr="00F967C5">
        <w:rPr>
          <w:rFonts w:ascii="SimHei" w:eastAsia="SimHei" w:hint="eastAsia"/>
        </w:rPr>
        <w:t>16.</w:t>
      </w:r>
      <w:r w:rsidRPr="00F967C5">
        <w:rPr>
          <w:rFonts w:ascii="SimHei" w:eastAsia="SimHei" w:hint="eastAsia"/>
        </w:rPr>
        <w:tab/>
        <w:t>答复</w:t>
      </w:r>
      <w:r>
        <w:rPr>
          <w:rFonts w:hint="eastAsia"/>
        </w:rPr>
        <w:t>：《国家农村就业保障法》要求将33%的就业机会留给妇女。但自该法生效以来，创造了133.8亿人日的就业，其中妇女占了51%。为最贫困人口开立了近1亿个银行/邮局账户，该计划支付的80%的款额都通过这一渠道进行，是朝包容性金融方向迈出的前所未有的一步。此外还通过银行和非银行金融机构，为妇女提供小额金融。印度政府还设立了妇女国家信贷基金(Rashtriya Mahila Kosh)，为妇女群体提供小额信贷。近期，政府成立了专为妇女服务的银行，即Bharatiya Mahila银行。</w:t>
      </w:r>
    </w:p>
    <w:p w:rsidR="005D2060" w:rsidRDefault="005D2060" w:rsidP="00BE0338">
      <w:pPr>
        <w:pStyle w:val="SingleTxt"/>
        <w:spacing w:after="120"/>
        <w:rPr>
          <w:rFonts w:hint="eastAsia"/>
        </w:rPr>
      </w:pPr>
      <w:r>
        <w:tab/>
      </w:r>
      <w:r>
        <w:rPr>
          <w:rFonts w:hint="eastAsia"/>
        </w:rPr>
        <w:t>2000年国家农业政策将性别平等问题纳入农业发展议程，承认妇女作为农民及作物和生畜的生产者，技术使用者，粮食营销、加工和储藏的积极推动者以及农业劳动者所发挥的作用。该政策规定，应优先承认妇女在农业方面发挥的作用并使其主流化。拟推出适当的结构、职能和体制措施，以增强妇女权能，加强她们的能力，增加她们获得土地、信贷和农业技术等生产投入的机会。因此，出于对可持续性和公平这两方面的考虑，农业研究和推广工作更加以妇女为中心，反映妇女作为农民发挥的作用。</w:t>
      </w:r>
    </w:p>
    <w:p w:rsidR="005D2060" w:rsidRDefault="005D2060" w:rsidP="00A471EC">
      <w:pPr>
        <w:pStyle w:val="SingleTxt"/>
        <w:rPr>
          <w:rFonts w:hint="eastAsia"/>
        </w:rPr>
      </w:pPr>
      <w:r>
        <w:tab/>
      </w:r>
      <w:r>
        <w:rPr>
          <w:rFonts w:hint="eastAsia"/>
        </w:rPr>
        <w:t>为统一处理与“农业中的性别平等问题”有关的所有问题，在农业部成立了性别平等问题资源中心，以发挥协调中心的作用。中心将确保在农业政策中反映国家对增强妇女权能的承诺。中心不仅将就农业与自然资源管理方面的性别平等问题开展并支持培训、研究和宣传工作，还将与其他有关部委、机构和组织建立有效的职能联系。</w:t>
      </w:r>
    </w:p>
    <w:p w:rsidR="005D2060" w:rsidRDefault="005D2060" w:rsidP="00A471EC">
      <w:pPr>
        <w:pStyle w:val="SingleTxt"/>
        <w:rPr>
          <w:rFonts w:hint="eastAsia"/>
        </w:rPr>
      </w:pPr>
      <w:r>
        <w:tab/>
      </w:r>
      <w:r>
        <w:rPr>
          <w:rFonts w:hint="eastAsia"/>
        </w:rPr>
        <w:t>农业普查显示，女性经营者的比例从2000-2001年的10.83%、2005-2006年的11.70%提高到2010-2011年的12.79%。这说明有越来越多的妇女参与印度农业资产的经营和管理。</w:t>
      </w:r>
    </w:p>
    <w:p w:rsidR="005D2060" w:rsidRDefault="005D2060" w:rsidP="00A471EC">
      <w:pPr>
        <w:pStyle w:val="SingleTxt"/>
        <w:rPr>
          <w:rFonts w:hint="eastAsia"/>
        </w:rPr>
      </w:pPr>
      <w:r>
        <w:tab/>
      </w:r>
      <w:r>
        <w:rPr>
          <w:rFonts w:hint="eastAsia"/>
        </w:rPr>
        <w:t>此外，女农民还可得到Kisan呼叫中心的帮助，通过拨打免费电话，得到农科毕业生、农业专家、奶制品和禽类发展方案有关人员的解答。关于妇女在农业部门的方案/计划中得到的优惠待遇详见附件十。</w:t>
      </w:r>
    </w:p>
    <w:p w:rsidR="005D2060" w:rsidRPr="00F967C5" w:rsidRDefault="005D2060" w:rsidP="00A471EC">
      <w:pPr>
        <w:pStyle w:val="SingleTxt"/>
        <w:rPr>
          <w:rFonts w:ascii="SimHei" w:eastAsia="SimHei" w:hint="eastAsia"/>
        </w:rPr>
      </w:pPr>
      <w:r w:rsidRPr="00F967C5">
        <w:rPr>
          <w:rFonts w:ascii="SimHei" w:eastAsia="SimHei" w:hint="eastAsia"/>
        </w:rPr>
        <w:t>妇女中的弱势群体</w:t>
      </w:r>
    </w:p>
    <w:p w:rsidR="005D2060" w:rsidRDefault="005D2060" w:rsidP="00A471EC">
      <w:pPr>
        <w:pStyle w:val="SingleTxt"/>
        <w:rPr>
          <w:rFonts w:hint="eastAsia"/>
        </w:rPr>
      </w:pPr>
      <w:r w:rsidRPr="00F967C5">
        <w:rPr>
          <w:rFonts w:ascii="SimHei" w:eastAsia="SimHei" w:hint="eastAsia"/>
        </w:rPr>
        <w:t>17.</w:t>
      </w:r>
      <w:r w:rsidRPr="00F967C5">
        <w:rPr>
          <w:rFonts w:ascii="SimHei" w:eastAsia="SimHei" w:hint="eastAsia"/>
        </w:rPr>
        <w:tab/>
        <w:t>答复</w:t>
      </w:r>
      <w:r>
        <w:rPr>
          <w:rFonts w:hint="eastAsia"/>
        </w:rPr>
        <w:t>：《印度宪法》允许国家采取优待措施，保护社会弱势群体的利益。防止暴力侵害妇女的国家法律框架对达利特妇女也同样有效。此外，根据宪法规定制定的特别法《在册种姓和在册部落(预防暴行)法》(1989)现已生效，保护在册种姓和在册部落的成员免受暴力侵害，其中包括属于这些群体的妇女。</w:t>
      </w:r>
    </w:p>
    <w:p w:rsidR="005D2060" w:rsidRDefault="005D2060" w:rsidP="00A471EC">
      <w:pPr>
        <w:pStyle w:val="SingleTxt"/>
        <w:rPr>
          <w:rFonts w:hint="eastAsia"/>
        </w:rPr>
      </w:pPr>
      <w:r>
        <w:tab/>
      </w:r>
      <w:r>
        <w:rPr>
          <w:rFonts w:hint="eastAsia"/>
        </w:rPr>
        <w:t>印度政府与各邦政府一直重点关注完善刑事司法系统的问题，特别是确保预防针对在册种姓、在册部落和社会其他弱势群体的暴行。有关指导方针包括提高警察人员对执行《保护公民权利法》和《在册种性和在册部落(预防暴行)法》的认识，指示警察以更具同情心的办法处理针对弱势群体的暴行案件，在外勤警官中分发警务人员调查此类犯罪的范围和责任的详细说明，招募足够数量的属于在册种姓/在册部落/少数民族的警察人员，特别是在高层级别，成立特别小组处理此类罪行，制订方案提高社会弱势群体的认识，向弱势群体开放法律资源，评价特别法庭的工作，发现暴行易发地区以预防犯罪，采取措施帮助暴行受害者恢复经济和社会常态。</w:t>
      </w:r>
    </w:p>
    <w:p w:rsidR="005D2060" w:rsidRDefault="005D2060" w:rsidP="00A471EC">
      <w:pPr>
        <w:pStyle w:val="SingleTxt"/>
        <w:rPr>
          <w:rFonts w:hint="eastAsia"/>
        </w:rPr>
      </w:pPr>
      <w:r>
        <w:tab/>
      </w:r>
      <w:r>
        <w:rPr>
          <w:rFonts w:hint="eastAsia"/>
        </w:rPr>
        <w:t>根据1989年《在册种姓和在册部落(预防暴行)法》，有些邦已对雇佣人力掏粪的单位提出刑事诉讼。</w:t>
      </w:r>
    </w:p>
    <w:p w:rsidR="005D2060" w:rsidRDefault="005D2060" w:rsidP="00A471EC">
      <w:pPr>
        <w:pStyle w:val="SingleTxt"/>
        <w:rPr>
          <w:rFonts w:hint="eastAsia"/>
        </w:rPr>
      </w:pPr>
      <w:r>
        <w:tab/>
      </w:r>
      <w:r>
        <w:rPr>
          <w:rFonts w:hint="eastAsia"/>
        </w:rPr>
        <w:t>政府为陶粪工的转业实施了自营职业计划，以有时限的办法帮助尚存的掏粪工及其家属转业。根据该计划，政府向确认的掏粪工(每个家庭一名)提供一次性现金援助、带津贴的两年技能培训、有末期资金补贴的项目支持以及从事自营职业活动的优惠贷款。</w:t>
      </w:r>
    </w:p>
    <w:p w:rsidR="005D2060" w:rsidRDefault="005D2060" w:rsidP="00A471EC">
      <w:pPr>
        <w:pStyle w:val="SingleTxt"/>
        <w:rPr>
          <w:rFonts w:hint="eastAsia"/>
        </w:rPr>
      </w:pPr>
      <w:r>
        <w:tab/>
      </w:r>
      <w:r>
        <w:rPr>
          <w:rFonts w:hint="eastAsia"/>
        </w:rPr>
        <w:t>2012年9月，在议会提出了2012年《禁止雇用掏粪工及其转业问题法案》。该法案于2013年9月在印度议会下院(人民院)通过，并已提交上院(联邦院)。</w:t>
      </w:r>
    </w:p>
    <w:p w:rsidR="005D2060" w:rsidRDefault="005D2060" w:rsidP="00A471EC">
      <w:pPr>
        <w:pStyle w:val="SingleTxt"/>
        <w:rPr>
          <w:rFonts w:hint="eastAsia"/>
        </w:rPr>
      </w:pPr>
      <w:r w:rsidRPr="00F967C5">
        <w:rPr>
          <w:rFonts w:ascii="SimHei" w:eastAsia="SimHei" w:hint="eastAsia"/>
        </w:rPr>
        <w:t>18.</w:t>
      </w:r>
      <w:r w:rsidRPr="00F967C5">
        <w:rPr>
          <w:rFonts w:ascii="SimHei" w:eastAsia="SimHei" w:hint="eastAsia"/>
        </w:rPr>
        <w:tab/>
        <w:t>答复</w:t>
      </w:r>
      <w:r>
        <w:rPr>
          <w:rFonts w:hint="eastAsia"/>
        </w:rPr>
        <w:t>：为了继续在整体上提升妇女的福祉，包括少数宗教群体妇女的福祉，政府与中央政府各部委及各邦政府保持协调。按萨哈尔委员会的建议采取的后续行动详见附件十一。</w:t>
      </w:r>
    </w:p>
    <w:p w:rsidR="005D2060" w:rsidRDefault="005D2060" w:rsidP="00A471EC">
      <w:pPr>
        <w:pStyle w:val="SingleTxt"/>
        <w:rPr>
          <w:rFonts w:hint="eastAsia"/>
        </w:rPr>
      </w:pPr>
      <w:r w:rsidRPr="00F967C5">
        <w:rPr>
          <w:rFonts w:ascii="SimHei" w:eastAsia="SimHei" w:hint="eastAsia"/>
        </w:rPr>
        <w:t>19.</w:t>
      </w:r>
      <w:r w:rsidRPr="00F967C5">
        <w:rPr>
          <w:rFonts w:ascii="SimHei" w:eastAsia="SimHei" w:hint="eastAsia"/>
        </w:rPr>
        <w:tab/>
        <w:t>答复</w:t>
      </w:r>
      <w:r>
        <w:rPr>
          <w:rFonts w:hint="eastAsia"/>
        </w:rPr>
        <w:t>：政府致力于残疾人事业，近期单独新设了残疾人事务部，而该单位原是社会公平和权利的一部分。单独设立这一的新部门后，政策问题和根据《残疾人国家政策》解决残疾人问题、包括残疾妇女和女童问题的工作得到了进一步的重视。</w:t>
      </w:r>
    </w:p>
    <w:p w:rsidR="005D2060" w:rsidRDefault="005D2060" w:rsidP="00A471EC">
      <w:pPr>
        <w:pStyle w:val="SingleTxt"/>
        <w:rPr>
          <w:rFonts w:hint="eastAsia"/>
        </w:rPr>
      </w:pPr>
      <w:r>
        <w:rPr>
          <w:rFonts w:hint="eastAsia"/>
        </w:rPr>
        <w:tab/>
        <w:t>政府制定了老年人国家政策，通过国家支持确保老年人的金融和粮食安全、保健、住房和其他需求、公平享受发展成果、保护老年人免遭虐待和剥削。政府关于老年人包括老年妇女的政策和方案与这项政策的目标保持一致。</w:t>
      </w:r>
    </w:p>
    <w:p w:rsidR="005D2060" w:rsidRDefault="005D2060" w:rsidP="00A471EC">
      <w:pPr>
        <w:pStyle w:val="SingleTxt"/>
        <w:rPr>
          <w:rFonts w:hint="eastAsia"/>
        </w:rPr>
      </w:pPr>
      <w:r>
        <w:tab/>
      </w:r>
      <w:r>
        <w:rPr>
          <w:rFonts w:hint="eastAsia"/>
        </w:rPr>
        <w:t>政府于2007年12月颁布了2007年《父母和老年公民赡养和福利法》，确保根据父母和老年公民的需求对他们进行赡养并保障他们的福祉。该法对遗弃老年公民规定了刑罚条款。</w:t>
      </w:r>
    </w:p>
    <w:p w:rsidR="005D2060" w:rsidRPr="005D2060" w:rsidRDefault="005D2060" w:rsidP="00A471EC">
      <w:pPr>
        <w:pStyle w:val="SingleTxt"/>
        <w:rPr>
          <w:rFonts w:hint="eastAsia"/>
          <w:spacing w:val="-4"/>
        </w:rPr>
      </w:pPr>
      <w:r>
        <w:tab/>
      </w:r>
      <w:r w:rsidRPr="005D2060">
        <w:rPr>
          <w:rFonts w:hint="eastAsia"/>
          <w:spacing w:val="-4"/>
        </w:rPr>
        <w:t>2013年《刑法修正案》规定，强奸身体或精神残疾的妇女将受到更严重的惩罚。</w:t>
      </w:r>
    </w:p>
    <w:p w:rsidR="005D2060" w:rsidRPr="00F967C5" w:rsidRDefault="005D2060" w:rsidP="00A471EC">
      <w:pPr>
        <w:pStyle w:val="SingleTxt"/>
        <w:rPr>
          <w:rFonts w:ascii="SimHei" w:eastAsia="SimHei" w:hint="eastAsia"/>
        </w:rPr>
      </w:pPr>
      <w:r w:rsidRPr="00F967C5">
        <w:rPr>
          <w:rFonts w:ascii="SimHei" w:eastAsia="SimHei" w:hint="eastAsia"/>
        </w:rPr>
        <w:t>难民和寻求庇护的妇女</w:t>
      </w:r>
    </w:p>
    <w:p w:rsidR="005D2060" w:rsidRDefault="005D2060" w:rsidP="00A471EC">
      <w:pPr>
        <w:pStyle w:val="SingleTxt"/>
        <w:rPr>
          <w:rFonts w:hint="eastAsia"/>
        </w:rPr>
      </w:pPr>
      <w:r w:rsidRPr="00F967C5">
        <w:rPr>
          <w:rFonts w:ascii="SimHei" w:eastAsia="SimHei" w:hint="eastAsia"/>
        </w:rPr>
        <w:t>20.</w:t>
      </w:r>
      <w:r w:rsidRPr="00F967C5">
        <w:rPr>
          <w:rFonts w:ascii="SimHei" w:eastAsia="SimHei" w:hint="eastAsia"/>
        </w:rPr>
        <w:tab/>
        <w:t>答复</w:t>
      </w:r>
      <w:r>
        <w:rPr>
          <w:rFonts w:hint="eastAsia"/>
        </w:rPr>
        <w:t>：印度虽然没有签署联合国1951年《关于难民地位的公约》及其1967年的议定书，但一直遵循不驱回和自愿遣返原则，奉行难民法面前人人平等。</w:t>
      </w:r>
    </w:p>
    <w:p w:rsidR="005D2060" w:rsidRDefault="005D2060" w:rsidP="00A471EC">
      <w:pPr>
        <w:pStyle w:val="SingleTxt"/>
        <w:rPr>
          <w:rFonts w:hint="eastAsia"/>
        </w:rPr>
      </w:pPr>
      <w:r>
        <w:tab/>
      </w:r>
      <w:r>
        <w:rPr>
          <w:rFonts w:hint="eastAsia"/>
        </w:rPr>
        <w:t>因此，印度接纳了来自邻国的大量难民。印度政府允许难民署确认的难民申请长期签证。他们可使用保健和教育等基本政府设施。</w:t>
      </w:r>
    </w:p>
    <w:p w:rsidR="005D2060" w:rsidRDefault="005D2060" w:rsidP="00A471EC">
      <w:pPr>
        <w:pStyle w:val="SingleTxt"/>
        <w:rPr>
          <w:rFonts w:hint="eastAsia"/>
        </w:rPr>
      </w:pPr>
      <w:r>
        <w:tab/>
      </w:r>
      <w:r>
        <w:rPr>
          <w:rFonts w:hint="eastAsia"/>
        </w:rPr>
        <w:t>印度的难民保护框架堪称一流。</w:t>
      </w:r>
    </w:p>
    <w:p w:rsidR="005D2060" w:rsidRPr="00F967C5" w:rsidRDefault="005D2060" w:rsidP="00A471EC">
      <w:pPr>
        <w:pStyle w:val="SingleTxt"/>
        <w:rPr>
          <w:rFonts w:ascii="SimHei" w:eastAsia="SimHei" w:hint="eastAsia"/>
        </w:rPr>
      </w:pPr>
      <w:r w:rsidRPr="00F967C5">
        <w:rPr>
          <w:rFonts w:ascii="SimHei" w:eastAsia="SimHei" w:hint="eastAsia"/>
        </w:rPr>
        <w:t>婚姻和家庭关系</w:t>
      </w:r>
    </w:p>
    <w:p w:rsidR="005D2060" w:rsidRDefault="005D2060" w:rsidP="00A471EC">
      <w:pPr>
        <w:pStyle w:val="SingleTxt"/>
        <w:rPr>
          <w:rFonts w:hint="eastAsia"/>
        </w:rPr>
      </w:pPr>
      <w:r w:rsidRPr="00F967C5">
        <w:rPr>
          <w:rFonts w:ascii="SimHei" w:eastAsia="SimHei" w:hint="eastAsia"/>
        </w:rPr>
        <w:t>21.</w:t>
      </w:r>
      <w:r w:rsidRPr="00F967C5">
        <w:rPr>
          <w:rFonts w:ascii="SimHei" w:eastAsia="SimHei" w:hint="eastAsia"/>
        </w:rPr>
        <w:tab/>
        <w:t>答复</w:t>
      </w:r>
      <w:r>
        <w:rPr>
          <w:rFonts w:hint="eastAsia"/>
        </w:rPr>
        <w:t>：2012年《出生和死亡登记法(修正)案》旨在修订1969年的《出生和死亡登记法》，以规定结婚必须登记，不论双方信奉的宗教如何。该法案已在印度议会上院(联邦院)通过，尚待下院(人民院)审议。</w:t>
      </w:r>
    </w:p>
    <w:p w:rsidR="005D2060" w:rsidRDefault="005D2060" w:rsidP="00A471EC">
      <w:pPr>
        <w:pStyle w:val="SingleTxt"/>
        <w:rPr>
          <w:rFonts w:hint="eastAsia"/>
        </w:rPr>
      </w:pPr>
      <w:r>
        <w:tab/>
      </w:r>
      <w:r>
        <w:rPr>
          <w:rFonts w:hint="eastAsia"/>
        </w:rPr>
        <w:t>2005年《印度教继承法(修正)案》于2005年9月9日生效。该修正案删除了1956年《印度教继承法》第6节的歧视性条款，规定女儿与儿子平等享有印度米塔克萨拉教法规定的共同财产继承权。该修正案还删除了女性继承人在男性继承人选择彼此分开居住之前，无权要求将大家庭共同居住的房子隔开的规定。</w:t>
      </w:r>
    </w:p>
    <w:p w:rsidR="005D2060" w:rsidRDefault="005D2060" w:rsidP="00A471EC">
      <w:pPr>
        <w:pStyle w:val="SingleTxt"/>
        <w:rPr>
          <w:rFonts w:hint="eastAsia"/>
        </w:rPr>
      </w:pPr>
      <w:r>
        <w:tab/>
      </w:r>
      <w:r>
        <w:rPr>
          <w:rFonts w:hint="eastAsia"/>
        </w:rPr>
        <w:t>2010年《属人法(修正)案》修订了1890年的《监护人和受监护人法》及1956年的《印度领养和赡养法》，规定母亲与父亲同样是可指定为监护人的合适人选，并删除了已婚妇女不可以领养的规定，进而规定在征得父亲同意的条件下(反之亦然)，母亲有同等权利将子女送人领养。</w:t>
      </w:r>
    </w:p>
    <w:p w:rsidR="005D2060" w:rsidRDefault="005D2060" w:rsidP="00A471EC">
      <w:pPr>
        <w:pStyle w:val="SingleTxt"/>
        <w:rPr>
          <w:rFonts w:hint="eastAsia"/>
        </w:rPr>
      </w:pPr>
      <w:r>
        <w:tab/>
      </w:r>
      <w:r>
        <w:rPr>
          <w:rFonts w:hint="eastAsia"/>
        </w:rPr>
        <w:t>政府积极鼓励在该领域工作的所有利益相关者和政府官员制止童婚，并努力转变社会对童婚的认可态度，为此既要有效执行2006年《防止童婚法》，也要开展实地宣传活动。印度政府建议各邦政府确保各机构协调执行该法的各项条款，并向邦政府发出一项公告，要求邦政府确保初步案情报告的登记，在接到童婚投诉后即根据《刑事诉讼法》展开调查。公告还强调必须立即逮捕罪犯。</w:t>
      </w:r>
    </w:p>
    <w:p w:rsidR="005D2060" w:rsidRDefault="005D2060" w:rsidP="00A471EC">
      <w:pPr>
        <w:pStyle w:val="SingleTxt"/>
        <w:rPr>
          <w:rFonts w:hint="eastAsia"/>
        </w:rPr>
      </w:pPr>
      <w:r>
        <w:tab/>
      </w:r>
      <w:r>
        <w:rPr>
          <w:rFonts w:hint="eastAsia"/>
        </w:rPr>
        <w:t>政府采取了多项措施，提高女童地位，解决童婚问题：</w:t>
      </w:r>
    </w:p>
    <w:p w:rsidR="005D2060" w:rsidRDefault="005D2060" w:rsidP="00A471EC">
      <w:pPr>
        <w:pStyle w:val="SingleTxt"/>
        <w:ind w:left="2126" w:hanging="431"/>
        <w:rPr>
          <w:rFonts w:hint="eastAsia"/>
        </w:rPr>
      </w:pPr>
      <w:r>
        <w:rPr>
          <w:rFonts w:hint="eastAsia"/>
        </w:rPr>
        <w:sym w:font="Symbol" w:char="F0B7"/>
      </w:r>
      <w:r>
        <w:tab/>
      </w:r>
      <w:r>
        <w:rPr>
          <w:rFonts w:hint="eastAsia"/>
        </w:rPr>
        <w:t>为开展宣传并提高人们对女童问题的认识，政府宣布每年的1月24日为“全国女童日”。</w:t>
      </w:r>
    </w:p>
    <w:p w:rsidR="005D2060" w:rsidRDefault="005D2060" w:rsidP="00A471EC">
      <w:pPr>
        <w:pStyle w:val="SingleTxt"/>
        <w:ind w:left="2126" w:hanging="431"/>
        <w:rPr>
          <w:rFonts w:hint="eastAsia"/>
        </w:rPr>
      </w:pPr>
      <w:r>
        <w:rPr>
          <w:rFonts w:hint="eastAsia"/>
        </w:rPr>
        <w:sym w:font="Symbol" w:char="F0B7"/>
      </w:r>
      <w:r>
        <w:tab/>
      </w:r>
      <w:r>
        <w:rPr>
          <w:rFonts w:hint="eastAsia"/>
        </w:rPr>
        <w:t>每年要求邦政府协调努力，采取特别措施，延迟在吉提节(举行婚礼的传统时间)期间成婚。</w:t>
      </w:r>
    </w:p>
    <w:p w:rsidR="005D2060" w:rsidRDefault="005D2060" w:rsidP="00A471EC">
      <w:pPr>
        <w:pStyle w:val="SingleTxt"/>
        <w:ind w:left="2126" w:hanging="431"/>
        <w:rPr>
          <w:rFonts w:hint="eastAsia"/>
        </w:rPr>
      </w:pPr>
      <w:r>
        <w:rPr>
          <w:rFonts w:hint="eastAsia"/>
        </w:rPr>
        <w:sym w:font="Symbol" w:char="F0B7"/>
      </w:r>
      <w:r>
        <w:tab/>
      </w:r>
      <w:r>
        <w:rPr>
          <w:rFonts w:hint="eastAsia"/>
        </w:rPr>
        <w:t>组织讲习班、研讨会和法律意识培训班，促使人们转变态度，防止童婚。</w:t>
      </w:r>
    </w:p>
    <w:p w:rsidR="005D2060" w:rsidRDefault="005D2060" w:rsidP="00A471EC">
      <w:pPr>
        <w:pStyle w:val="SingleTxt"/>
        <w:ind w:left="2126" w:hanging="431"/>
        <w:rPr>
          <w:rFonts w:hint="eastAsia"/>
        </w:rPr>
      </w:pPr>
      <w:r>
        <w:rPr>
          <w:rFonts w:hint="eastAsia"/>
        </w:rPr>
        <w:sym w:font="Symbol" w:char="F0B7"/>
      </w:r>
      <w:r>
        <w:tab/>
      </w:r>
      <w:r>
        <w:rPr>
          <w:rFonts w:hint="eastAsia"/>
        </w:rPr>
        <w:t>SABLA是增强少女权能的一项计划，于2010年11月19日在印度200个县推出。计划旨在增强少女(11</w:t>
      </w:r>
      <w:r>
        <w:t>-</w:t>
      </w:r>
      <w:r>
        <w:rPr>
          <w:rFonts w:hint="eastAsia"/>
        </w:rPr>
        <w:t>18岁)的权能，改善她们的营养和健康状况，提升她们在家务、生活、职业等方面的各种技能，提高她们对各种问题的认识，此外还帮助她们认识到在适当年龄结婚的重要性。通过增强少女的权能，让她们可以拒绝早婚，该计划也将有助于解决童婚问题。</w:t>
      </w:r>
    </w:p>
    <w:p w:rsidR="005D2060" w:rsidRPr="00DD640F" w:rsidRDefault="005D2060" w:rsidP="00A471EC">
      <w:pPr>
        <w:pStyle w:val="SingleTxt"/>
        <w:rPr>
          <w:rFonts w:ascii="SimHei" w:eastAsia="SimHei" w:hint="eastAsia"/>
        </w:rPr>
      </w:pPr>
      <w:r>
        <w:rPr>
          <w:rFonts w:ascii="SimHei" w:eastAsia="SimHei" w:hint="eastAsia"/>
        </w:rPr>
        <w:t>关于</w:t>
      </w:r>
      <w:r w:rsidRPr="00DD640F">
        <w:rPr>
          <w:rFonts w:ascii="SimHei" w:eastAsia="SimHei" w:hint="eastAsia"/>
        </w:rPr>
        <w:t>《公约》任择议定书</w:t>
      </w:r>
      <w:r>
        <w:rPr>
          <w:rFonts w:ascii="SimHei" w:eastAsia="SimHei" w:hint="eastAsia"/>
        </w:rPr>
        <w:t>及《公约》</w:t>
      </w:r>
      <w:r w:rsidRPr="00DD640F">
        <w:rPr>
          <w:rFonts w:ascii="SimHei" w:eastAsia="SimHei" w:hint="eastAsia"/>
        </w:rPr>
        <w:t>第</w:t>
      </w:r>
      <w:r>
        <w:rPr>
          <w:rFonts w:ascii="SimHei" w:eastAsia="SimHei" w:hint="eastAsia"/>
        </w:rPr>
        <w:t>二十</w:t>
      </w:r>
      <w:r w:rsidRPr="00DD640F">
        <w:rPr>
          <w:rFonts w:ascii="SimHei" w:eastAsia="SimHei" w:hint="eastAsia"/>
        </w:rPr>
        <w:t>条第</w:t>
      </w:r>
      <w:r>
        <w:rPr>
          <w:rFonts w:ascii="SimHei" w:eastAsia="SimHei" w:hint="eastAsia"/>
        </w:rPr>
        <w:t>一</w:t>
      </w:r>
      <w:r w:rsidRPr="00DD640F">
        <w:rPr>
          <w:rFonts w:ascii="SimHei" w:eastAsia="SimHei" w:hint="eastAsia"/>
        </w:rPr>
        <w:t>款修正案</w:t>
      </w:r>
    </w:p>
    <w:p w:rsidR="005D2060" w:rsidRDefault="005D2060" w:rsidP="00A471EC">
      <w:pPr>
        <w:pStyle w:val="SingleTxt"/>
        <w:rPr>
          <w:rFonts w:hint="eastAsia"/>
        </w:rPr>
      </w:pPr>
      <w:r w:rsidRPr="00DD640F">
        <w:rPr>
          <w:rFonts w:ascii="SimHei" w:eastAsia="SimHei" w:hint="eastAsia"/>
        </w:rPr>
        <w:t>22.</w:t>
      </w:r>
      <w:r w:rsidRPr="00DD640F">
        <w:rPr>
          <w:rFonts w:ascii="SimHei" w:eastAsia="SimHei" w:hint="eastAsia"/>
        </w:rPr>
        <w:tab/>
        <w:t>答复</w:t>
      </w:r>
      <w:r>
        <w:rPr>
          <w:rFonts w:hint="eastAsia"/>
        </w:rPr>
        <w:t>：印度不是《公约任择议定书》的缔约方。</w:t>
      </w:r>
    </w:p>
    <w:p w:rsidR="005D2060" w:rsidRPr="00DA1636" w:rsidRDefault="00DA1636" w:rsidP="00DA1636">
      <w:pPr>
        <w:pStyle w:val="SingleTxt"/>
        <w:spacing w:after="0" w:line="240" w:lineRule="auto"/>
        <w:rPr>
          <w:rFonts w:hint="eastAsia"/>
          <w:sz w:val="20"/>
        </w:rPr>
      </w:pPr>
      <w:r>
        <w:rPr>
          <w:rFonts w:hint="eastAsia"/>
          <w:noProof/>
          <w:sz w:val="20"/>
        </w:rPr>
        <w:pict>
          <v:line id="_x0000_s1028" style="position:absolute;left:0;text-align:left;z-index:3;mso-position-horizontal:center" from="0,30pt" to="1in,30pt" strokeweight=".25pt"/>
        </w:pict>
      </w:r>
    </w:p>
    <w:sectPr w:rsidR="005D2060" w:rsidRPr="00DA1636" w:rsidSect="00D07B57">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04T18:14:00Z" w:initials="Start">
    <w:p w:rsidR="00A471EC" w:rsidRDefault="00A471E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891CF6">
        <w:fldChar w:fldCharType="separate"/>
      </w:r>
      <w:r w:rsidR="00891CF6">
        <w:rPr>
          <w:rFonts w:hint="eastAsia"/>
          <w:noProof/>
        </w:rPr>
        <w:t xml:space="preserve">页: </w:t>
      </w:r>
      <w:r w:rsidR="00891CF6">
        <w:rPr>
          <w:noProof/>
        </w:rPr>
        <w:t>1</w:t>
      </w:r>
      <w:r w:rsidR="00891CF6">
        <w:rPr>
          <w:rFonts w:hint="eastAsia"/>
          <w:noProof/>
        </w:rPr>
        <w:br/>
      </w:r>
      <w:r>
        <w:fldChar w:fldCharType="end"/>
      </w:r>
      <w:r>
        <w:rPr>
          <w:rStyle w:val="CommentReference"/>
        </w:rPr>
        <w:annotationRef/>
      </w:r>
      <w:r>
        <w:t>&lt;&lt;ODS JOB NO&gt;&gt;N1421451C&lt;&lt;ODS JOB NO&gt;&gt;</w:t>
      </w:r>
    </w:p>
    <w:p w:rsidR="00A471EC" w:rsidRDefault="00A471EC">
      <w:pPr>
        <w:pStyle w:val="CommentText"/>
      </w:pPr>
      <w:r>
        <w:t>&lt;&lt;ODS DOC SYMBOL1&gt;&gt;CEDAW/C/IND/Q/4-5/Add.1&lt;&lt;ODS DOC SYMBOL1&gt;&gt;</w:t>
      </w:r>
    </w:p>
    <w:p w:rsidR="00A471EC" w:rsidRDefault="00A471E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4D" w:rsidRDefault="00AC634D">
      <w:r>
        <w:separator/>
      </w:r>
    </w:p>
  </w:endnote>
  <w:endnote w:type="continuationSeparator" w:id="0">
    <w:p w:rsidR="00AC634D" w:rsidRDefault="00AC6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471EC" w:rsidTr="00D07B57">
      <w:tblPrEx>
        <w:tblCellMar>
          <w:top w:w="0" w:type="dxa"/>
          <w:bottom w:w="0" w:type="dxa"/>
        </w:tblCellMar>
      </w:tblPrEx>
      <w:tc>
        <w:tcPr>
          <w:tcW w:w="5033" w:type="dxa"/>
          <w:shd w:val="clear" w:color="auto" w:fill="auto"/>
        </w:tcPr>
        <w:p w:rsidR="00A471EC" w:rsidRPr="00D07B57" w:rsidRDefault="00A471EC" w:rsidP="00D07B57">
          <w:pPr>
            <w:pStyle w:val="Footer"/>
            <w:jc w:val="right"/>
            <w:rPr>
              <w:b w:val="0"/>
              <w:w w:val="103"/>
              <w:sz w:val="14"/>
            </w:rPr>
          </w:pPr>
          <w:fldSimple w:instr=" DOCVARIABLE &quot;FooterJN&quot; \* MERGEFORMAT ">
            <w:r w:rsidR="00891CF6">
              <w:rPr>
                <w:b w:val="0"/>
                <w:w w:val="103"/>
                <w:sz w:val="14"/>
              </w:rPr>
              <w:t>14-21451 (C)</w:t>
            </w:r>
          </w:fldSimple>
        </w:p>
      </w:tc>
      <w:tc>
        <w:tcPr>
          <w:tcW w:w="5033" w:type="dxa"/>
          <w:shd w:val="clear" w:color="auto" w:fill="auto"/>
        </w:tcPr>
        <w:p w:rsidR="00A471EC" w:rsidRPr="00D07B57" w:rsidRDefault="00A471EC" w:rsidP="00D07B57">
          <w:pPr>
            <w:pStyle w:val="Footer"/>
            <w:jc w:val="left"/>
            <w:rPr>
              <w:w w:val="103"/>
            </w:rPr>
          </w:pPr>
          <w:r>
            <w:rPr>
              <w:w w:val="103"/>
            </w:rPr>
            <w:fldChar w:fldCharType="begin"/>
          </w:r>
          <w:r>
            <w:rPr>
              <w:w w:val="103"/>
            </w:rPr>
            <w:instrText xml:space="preserve"> PAGE  \* Arabic  \* MERGEFORMAT </w:instrText>
          </w:r>
          <w:r>
            <w:rPr>
              <w:w w:val="103"/>
            </w:rPr>
            <w:fldChar w:fldCharType="separate"/>
          </w:r>
          <w:r w:rsidR="00891CF6">
            <w:rPr>
              <w:w w:val="103"/>
            </w:rPr>
            <w:t>27</w:t>
          </w:r>
          <w:r>
            <w:rPr>
              <w:w w:val="103"/>
            </w:rPr>
            <w:fldChar w:fldCharType="end"/>
          </w:r>
          <w:r>
            <w:rPr>
              <w:w w:val="103"/>
            </w:rPr>
            <w:t>/</w:t>
          </w:r>
          <w:fldSimple w:instr=" NUMPAGES  \* Arabic  \* MERGEFORMAT ">
            <w:r w:rsidR="00891CF6">
              <w:rPr>
                <w:w w:val="103"/>
              </w:rPr>
              <w:t>27</w:t>
            </w:r>
          </w:fldSimple>
        </w:p>
      </w:tc>
    </w:tr>
  </w:tbl>
  <w:p w:rsidR="00A471EC" w:rsidRPr="00D07B57" w:rsidRDefault="00A471EC" w:rsidP="00D07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471EC" w:rsidTr="00D07B57">
      <w:tblPrEx>
        <w:tblCellMar>
          <w:top w:w="0" w:type="dxa"/>
          <w:bottom w:w="0" w:type="dxa"/>
        </w:tblCellMar>
      </w:tblPrEx>
      <w:tc>
        <w:tcPr>
          <w:tcW w:w="5033" w:type="dxa"/>
          <w:shd w:val="clear" w:color="auto" w:fill="auto"/>
        </w:tcPr>
        <w:p w:rsidR="00A471EC" w:rsidRPr="00D07B57" w:rsidRDefault="00A471EC" w:rsidP="00D07B57">
          <w:pPr>
            <w:pStyle w:val="Footer"/>
            <w:jc w:val="right"/>
          </w:pPr>
          <w:fldSimple w:instr=" PAGE  \* Arabic  \* MERGEFORMAT ">
            <w:r w:rsidR="00891CF6">
              <w:t>25</w:t>
            </w:r>
          </w:fldSimple>
          <w:r>
            <w:t>/</w:t>
          </w:r>
          <w:fldSimple w:instr=" NUMPAGES  \* Arabic  \* MERGEFORMAT ">
            <w:r w:rsidR="00891CF6">
              <w:t>27</w:t>
            </w:r>
          </w:fldSimple>
        </w:p>
      </w:tc>
      <w:tc>
        <w:tcPr>
          <w:tcW w:w="5033" w:type="dxa"/>
          <w:shd w:val="clear" w:color="auto" w:fill="auto"/>
        </w:tcPr>
        <w:p w:rsidR="00A471EC" w:rsidRPr="00D07B57" w:rsidRDefault="00A471EC" w:rsidP="00D07B57">
          <w:pPr>
            <w:pStyle w:val="Footer"/>
            <w:jc w:val="left"/>
            <w:rPr>
              <w:b w:val="0"/>
              <w:w w:val="103"/>
              <w:sz w:val="14"/>
            </w:rPr>
          </w:pPr>
          <w:fldSimple w:instr=" DOCVARIABLE &quot;FooterJN&quot; \* MERGEFORMAT ">
            <w:r w:rsidR="00891CF6">
              <w:rPr>
                <w:b w:val="0"/>
                <w:w w:val="103"/>
                <w:sz w:val="14"/>
              </w:rPr>
              <w:t>14-21451 (C)</w:t>
            </w:r>
          </w:fldSimple>
        </w:p>
      </w:tc>
    </w:tr>
  </w:tbl>
  <w:p w:rsidR="00A471EC" w:rsidRPr="00D07B57" w:rsidRDefault="00A471EC" w:rsidP="00D07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471EC" w:rsidTr="00D07B57">
      <w:tblPrEx>
        <w:tblCellMar>
          <w:top w:w="0" w:type="dxa"/>
          <w:bottom w:w="0" w:type="dxa"/>
        </w:tblCellMar>
      </w:tblPrEx>
      <w:tc>
        <w:tcPr>
          <w:tcW w:w="5033" w:type="dxa"/>
        </w:tcPr>
        <w:p w:rsidR="00A471EC" w:rsidRDefault="00A471EC" w:rsidP="00D07B57">
          <w:pPr>
            <w:pStyle w:val="Footer"/>
            <w:rPr>
              <w:b w:val="0"/>
              <w:sz w:val="21"/>
            </w:rPr>
          </w:pPr>
          <w:fldSimple w:instr=" DOCVARIABLE &quot;jobn&quot; \* MERGEFORMAT ">
            <w:r w:rsidR="00891CF6">
              <w:rPr>
                <w:b w:val="0"/>
                <w:sz w:val="21"/>
              </w:rPr>
              <w:t>14-21451 (C)</w:t>
            </w:r>
          </w:fldSimple>
          <w:r>
            <w:rPr>
              <w:b w:val="0"/>
              <w:sz w:val="21"/>
            </w:rPr>
            <w:t xml:space="preserve">    </w:t>
          </w:r>
          <w:r>
            <w:rPr>
              <w:rFonts w:hint="eastAsia"/>
              <w:b w:val="0"/>
              <w:sz w:val="21"/>
            </w:rPr>
            <w:t>2102</w:t>
          </w:r>
          <w:r>
            <w:rPr>
              <w:b w:val="0"/>
              <w:sz w:val="21"/>
            </w:rPr>
            <w:t>14    040314</w:t>
          </w:r>
        </w:p>
        <w:p w:rsidR="00A471EC" w:rsidRPr="00D07B57" w:rsidRDefault="00A471EC" w:rsidP="00D07B57">
          <w:pPr>
            <w:spacing w:before="80" w:line="210" w:lineRule="exact"/>
            <w:rPr>
              <w:rFonts w:ascii="Barcode 3 of 9 by request" w:hAnsi="Barcode 3 of 9 by request"/>
              <w:sz w:val="24"/>
            </w:rPr>
          </w:pPr>
          <w:r>
            <w:rPr>
              <w:rFonts w:ascii="Barcode 3 of 9 by request" w:hAnsi="Barcode 3 of 9 by request" w:hint="eastAsia"/>
              <w:sz w:val="24"/>
            </w:rPr>
            <w:t>*1421451*</w:t>
          </w:r>
        </w:p>
      </w:tc>
      <w:tc>
        <w:tcPr>
          <w:tcW w:w="3686" w:type="dxa"/>
        </w:tcPr>
        <w:p w:rsidR="00A471EC" w:rsidRDefault="00A471EC" w:rsidP="00D07B57">
          <w:pPr>
            <w:pStyle w:val="Footer"/>
            <w:jc w:val="right"/>
            <w:rPr>
              <w:b w:val="0"/>
              <w:sz w:val="21"/>
            </w:rPr>
          </w:pPr>
          <w:r w:rsidRPr="00D07B57">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A471EC" w:rsidRPr="00D07B57" w:rsidRDefault="00A471EC" w:rsidP="00D07B57">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4D" w:rsidRDefault="00AC634D">
      <w:r>
        <w:separator/>
      </w:r>
    </w:p>
  </w:footnote>
  <w:footnote w:type="continuationSeparator" w:id="0">
    <w:p w:rsidR="00AC634D" w:rsidRDefault="00AC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471EC" w:rsidTr="00D07B57">
      <w:tblPrEx>
        <w:tblCellMar>
          <w:top w:w="0" w:type="dxa"/>
          <w:bottom w:w="0" w:type="dxa"/>
        </w:tblCellMar>
      </w:tblPrEx>
      <w:trPr>
        <w:trHeight w:hRule="exact" w:val="864"/>
      </w:trPr>
      <w:tc>
        <w:tcPr>
          <w:tcW w:w="4838" w:type="dxa"/>
          <w:shd w:val="clear" w:color="auto" w:fill="auto"/>
          <w:vAlign w:val="bottom"/>
        </w:tcPr>
        <w:p w:rsidR="00A471EC" w:rsidRPr="00D07B57" w:rsidRDefault="00A471EC" w:rsidP="00D07B57">
          <w:pPr>
            <w:pStyle w:val="Header"/>
            <w:spacing w:after="80"/>
            <w:jc w:val="left"/>
            <w:rPr>
              <w:b/>
              <w:sz w:val="17"/>
            </w:rPr>
          </w:pPr>
          <w:fldSimple w:instr=" DOCVARIABLE &quot;sss1&quot; \* MERGEFORMAT ">
            <w:r w:rsidR="00891CF6">
              <w:rPr>
                <w:b/>
                <w:sz w:val="17"/>
              </w:rPr>
              <w:t>CEDAW/C/IND/Q/4-5/Add.1</w:t>
            </w:r>
          </w:fldSimple>
        </w:p>
      </w:tc>
      <w:tc>
        <w:tcPr>
          <w:tcW w:w="5033" w:type="dxa"/>
          <w:shd w:val="clear" w:color="auto" w:fill="auto"/>
          <w:vAlign w:val="bottom"/>
        </w:tcPr>
        <w:p w:rsidR="00A471EC" w:rsidRDefault="00A471EC" w:rsidP="00D07B57">
          <w:pPr>
            <w:pStyle w:val="Header"/>
          </w:pPr>
        </w:p>
      </w:tc>
    </w:tr>
  </w:tbl>
  <w:p w:rsidR="00A471EC" w:rsidRPr="00D07B57" w:rsidRDefault="00A471EC" w:rsidP="00D07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471EC" w:rsidTr="00D07B57">
      <w:tblPrEx>
        <w:tblCellMar>
          <w:top w:w="0" w:type="dxa"/>
          <w:bottom w:w="0" w:type="dxa"/>
        </w:tblCellMar>
      </w:tblPrEx>
      <w:trPr>
        <w:trHeight w:hRule="exact" w:val="864"/>
      </w:trPr>
      <w:tc>
        <w:tcPr>
          <w:tcW w:w="4838" w:type="dxa"/>
          <w:shd w:val="clear" w:color="auto" w:fill="auto"/>
          <w:vAlign w:val="bottom"/>
        </w:tcPr>
        <w:p w:rsidR="00A471EC" w:rsidRDefault="00A471EC" w:rsidP="00D07B57">
          <w:pPr>
            <w:pStyle w:val="Header"/>
          </w:pPr>
        </w:p>
      </w:tc>
      <w:tc>
        <w:tcPr>
          <w:tcW w:w="5033" w:type="dxa"/>
          <w:shd w:val="clear" w:color="auto" w:fill="auto"/>
          <w:vAlign w:val="bottom"/>
        </w:tcPr>
        <w:p w:rsidR="00A471EC" w:rsidRPr="00D07B57" w:rsidRDefault="00A471EC" w:rsidP="00D07B57">
          <w:pPr>
            <w:pStyle w:val="Header"/>
            <w:spacing w:after="80"/>
            <w:jc w:val="right"/>
            <w:rPr>
              <w:b/>
              <w:sz w:val="17"/>
            </w:rPr>
          </w:pPr>
          <w:fldSimple w:instr=" DOCVARIABLE &quot;sss1&quot; \* MERGEFORMAT ">
            <w:r w:rsidR="00891CF6">
              <w:rPr>
                <w:b/>
                <w:sz w:val="17"/>
              </w:rPr>
              <w:t>CEDAW/C/IND/Q/4-5/Add.1</w:t>
            </w:r>
          </w:fldSimple>
        </w:p>
      </w:tc>
    </w:tr>
  </w:tbl>
  <w:p w:rsidR="00A471EC" w:rsidRPr="00D07B57" w:rsidRDefault="00A471EC" w:rsidP="00D07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A471EC" w:rsidTr="00D07B5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471EC" w:rsidRDefault="00A471EC" w:rsidP="00D07B57">
          <w:pPr>
            <w:pStyle w:val="Header"/>
            <w:spacing w:after="120"/>
          </w:pPr>
        </w:p>
      </w:tc>
      <w:tc>
        <w:tcPr>
          <w:tcW w:w="1872" w:type="dxa"/>
          <w:tcBorders>
            <w:bottom w:val="single" w:sz="4" w:space="0" w:color="auto"/>
          </w:tcBorders>
          <w:shd w:val="clear" w:color="auto" w:fill="auto"/>
          <w:vAlign w:val="bottom"/>
        </w:tcPr>
        <w:p w:rsidR="00A471EC" w:rsidRPr="00D07B57" w:rsidRDefault="00A471EC" w:rsidP="00D07B5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471EC" w:rsidRDefault="00A471EC" w:rsidP="00D07B57">
          <w:pPr>
            <w:pStyle w:val="Header"/>
            <w:spacing w:after="120"/>
          </w:pPr>
        </w:p>
      </w:tc>
      <w:tc>
        <w:tcPr>
          <w:tcW w:w="6523" w:type="dxa"/>
          <w:gridSpan w:val="3"/>
          <w:tcBorders>
            <w:bottom w:val="single" w:sz="4" w:space="0" w:color="auto"/>
          </w:tcBorders>
          <w:shd w:val="clear" w:color="auto" w:fill="auto"/>
          <w:vAlign w:val="bottom"/>
        </w:tcPr>
        <w:p w:rsidR="00A471EC" w:rsidRPr="00D07B57" w:rsidRDefault="00A471EC" w:rsidP="00D07B57">
          <w:pPr>
            <w:spacing w:after="80" w:line="240" w:lineRule="auto"/>
            <w:jc w:val="right"/>
            <w:rPr>
              <w:rFonts w:ascii="Times New Roman"/>
              <w:position w:val="-4"/>
            </w:rPr>
          </w:pPr>
          <w:r>
            <w:rPr>
              <w:rFonts w:ascii="Times New Roman"/>
              <w:position w:val="-4"/>
              <w:sz w:val="40"/>
            </w:rPr>
            <w:t>CEDAW</w:t>
          </w:r>
          <w:r>
            <w:rPr>
              <w:rFonts w:ascii="Times New Roman"/>
              <w:position w:val="-4"/>
            </w:rPr>
            <w:t>/C/IND/Q/4-5/Add.1</w:t>
          </w:r>
        </w:p>
      </w:tc>
    </w:tr>
    <w:tr w:rsidR="00A471EC" w:rsidRPr="00D07B57" w:rsidTr="00D07B5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471EC" w:rsidRDefault="00A471EC" w:rsidP="00D07B5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471EC" w:rsidRPr="00D07B57" w:rsidRDefault="00A471EC" w:rsidP="00D07B57">
          <w:pPr>
            <w:pStyle w:val="Header"/>
            <w:spacing w:before="109"/>
            <w:ind w:left="-72"/>
          </w:pPr>
        </w:p>
      </w:tc>
      <w:tc>
        <w:tcPr>
          <w:tcW w:w="5227" w:type="dxa"/>
          <w:gridSpan w:val="3"/>
          <w:tcBorders>
            <w:top w:val="single" w:sz="4" w:space="0" w:color="auto"/>
            <w:bottom w:val="single" w:sz="12" w:space="0" w:color="auto"/>
          </w:tcBorders>
          <w:shd w:val="clear" w:color="auto" w:fill="auto"/>
        </w:tcPr>
        <w:p w:rsidR="00A471EC" w:rsidRPr="00D07B57" w:rsidRDefault="00A471EC" w:rsidP="00D07B5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471EC" w:rsidRPr="00D07B57" w:rsidRDefault="00A471EC" w:rsidP="00D07B57">
          <w:pPr>
            <w:pStyle w:val="Header"/>
            <w:spacing w:before="109"/>
          </w:pPr>
        </w:p>
      </w:tc>
      <w:tc>
        <w:tcPr>
          <w:tcW w:w="3180" w:type="dxa"/>
          <w:gridSpan w:val="2"/>
          <w:tcBorders>
            <w:top w:val="single" w:sz="4" w:space="0" w:color="auto"/>
            <w:bottom w:val="single" w:sz="12" w:space="0" w:color="auto"/>
          </w:tcBorders>
          <w:shd w:val="clear" w:color="auto" w:fill="auto"/>
        </w:tcPr>
        <w:p w:rsidR="00A471EC" w:rsidRDefault="00A471EC" w:rsidP="00D07B57">
          <w:pPr>
            <w:spacing w:before="240" w:line="240" w:lineRule="exact"/>
            <w:rPr>
              <w:rFonts w:ascii="Times New Roman"/>
            </w:rPr>
          </w:pPr>
          <w:r>
            <w:rPr>
              <w:rFonts w:ascii="Times New Roman"/>
            </w:rPr>
            <w:t>Distr.: General</w:t>
          </w:r>
        </w:p>
        <w:p w:rsidR="00A471EC" w:rsidRDefault="00A471EC" w:rsidP="00D07B57">
          <w:pPr>
            <w:spacing w:line="240" w:lineRule="exact"/>
            <w:rPr>
              <w:rFonts w:ascii="Times New Roman"/>
            </w:rPr>
          </w:pPr>
          <w:r>
            <w:rPr>
              <w:rFonts w:ascii="Times New Roman"/>
            </w:rPr>
            <w:t>23 January 2014</w:t>
          </w:r>
        </w:p>
        <w:p w:rsidR="00A471EC" w:rsidRDefault="00A471EC" w:rsidP="00D07B57">
          <w:pPr>
            <w:spacing w:line="240" w:lineRule="exact"/>
            <w:rPr>
              <w:rFonts w:ascii="Times New Roman"/>
            </w:rPr>
          </w:pPr>
          <w:r>
            <w:rPr>
              <w:rFonts w:ascii="Times New Roman"/>
            </w:rPr>
            <w:t>Chinese</w:t>
          </w:r>
        </w:p>
        <w:p w:rsidR="00A471EC" w:rsidRPr="00D07B57" w:rsidRDefault="00A471EC" w:rsidP="00D07B57">
          <w:pPr>
            <w:spacing w:line="240" w:lineRule="exact"/>
            <w:rPr>
              <w:rFonts w:ascii="Times New Roman"/>
            </w:rPr>
          </w:pPr>
          <w:r>
            <w:rPr>
              <w:rFonts w:ascii="Times New Roman"/>
            </w:rPr>
            <w:t>Original: English</w:t>
          </w:r>
        </w:p>
      </w:tc>
    </w:tr>
  </w:tbl>
  <w:p w:rsidR="00A471EC" w:rsidRPr="00D07B57" w:rsidRDefault="00A471EC" w:rsidP="00D07B5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51*"/>
    <w:docVar w:name="CreationDt" w:val="04/03/2014 16:22:20"/>
    <w:docVar w:name="DocCategory" w:val="Doc"/>
    <w:docVar w:name="DocType" w:val="Final"/>
    <w:docVar w:name="FooterJN" w:val="14-21451 (C)"/>
    <w:docVar w:name="jobn" w:val="14-21451 (C)"/>
    <w:docVar w:name="jobnDT" w:val="14-21451 (C)   040314"/>
    <w:docVar w:name="jobnDTDT" w:val="14-21451 (C)   040314   040314"/>
    <w:docVar w:name="JobNo" w:val="1421451C"/>
    <w:docVar w:name="OandT" w:val="DONG"/>
    <w:docVar w:name="sss1" w:val="CEDAW/C/IND/Q/4-5/Add.1"/>
    <w:docVar w:name="sss2" w:val="-"/>
    <w:docVar w:name="Symbol1" w:val="CEDAW/C/IND/Q/4-5/Add.1"/>
    <w:docVar w:name="Symbol2" w:val="-"/>
  </w:docVars>
  <w:rsids>
    <w:rsidRoot w:val="00E6692E"/>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86"/>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327F"/>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060"/>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1691"/>
    <w:rsid w:val="00891CF6"/>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55D5"/>
    <w:rsid w:val="00A069AD"/>
    <w:rsid w:val="00A17A85"/>
    <w:rsid w:val="00A20856"/>
    <w:rsid w:val="00A24399"/>
    <w:rsid w:val="00A24CA5"/>
    <w:rsid w:val="00A252DF"/>
    <w:rsid w:val="00A27E35"/>
    <w:rsid w:val="00A33D6D"/>
    <w:rsid w:val="00A37345"/>
    <w:rsid w:val="00A40AAE"/>
    <w:rsid w:val="00A40EA9"/>
    <w:rsid w:val="00A4532A"/>
    <w:rsid w:val="00A471EC"/>
    <w:rsid w:val="00A5206D"/>
    <w:rsid w:val="00A55E9E"/>
    <w:rsid w:val="00A652D9"/>
    <w:rsid w:val="00A72E47"/>
    <w:rsid w:val="00A750A5"/>
    <w:rsid w:val="00A778F1"/>
    <w:rsid w:val="00A90956"/>
    <w:rsid w:val="00A95404"/>
    <w:rsid w:val="00A968C5"/>
    <w:rsid w:val="00AA3C28"/>
    <w:rsid w:val="00AA759D"/>
    <w:rsid w:val="00AB15BB"/>
    <w:rsid w:val="00AB2786"/>
    <w:rsid w:val="00AC550F"/>
    <w:rsid w:val="00AC634D"/>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C3062"/>
    <w:rsid w:val="00BD1B08"/>
    <w:rsid w:val="00BD1BFF"/>
    <w:rsid w:val="00BD2150"/>
    <w:rsid w:val="00BE0338"/>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25AE"/>
    <w:rsid w:val="00CC3E8B"/>
    <w:rsid w:val="00CC4E84"/>
    <w:rsid w:val="00CD5641"/>
    <w:rsid w:val="00CE474E"/>
    <w:rsid w:val="00CE64AC"/>
    <w:rsid w:val="00CE7DFC"/>
    <w:rsid w:val="00CF02D3"/>
    <w:rsid w:val="00CF49BA"/>
    <w:rsid w:val="00CF7718"/>
    <w:rsid w:val="00D07B57"/>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1636"/>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6692E"/>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SingleTxtG">
    <w:name w:val="_ Single Txt_G"/>
    <w:basedOn w:val="Normal"/>
    <w:rsid w:val="00A055D5"/>
    <w:pPr>
      <w:suppressAutoHyphens/>
      <w:spacing w:after="120" w:line="240" w:lineRule="atLeast"/>
      <w:ind w:left="1134" w:right="1134"/>
    </w:pPr>
    <w:rPr>
      <w:rFonts w:ascii="Times New Roman" w:eastAsia="Times New Roman"/>
      <w:kern w:val="0"/>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1</Pages>
  <Words>12239</Words>
  <Characters>13097</Characters>
  <Application>Microsoft Office Outlook</Application>
  <DocSecurity>4</DocSecurity>
  <Lines>503</Lines>
  <Paragraphs>351</Paragraphs>
  <ScaleCrop>false</ScaleCrop>
  <Company>United Nations</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DLH</dc:creator>
  <cp:keywords/>
  <dc:description/>
  <cp:lastModifiedBy>CTPU DLH</cp:lastModifiedBy>
  <cp:revision>11</cp:revision>
  <cp:lastPrinted>2014-03-04T16:23:00Z</cp:lastPrinted>
  <dcterms:created xsi:type="dcterms:W3CDTF">2014-03-04T14:20:00Z</dcterms:created>
  <dcterms:modified xsi:type="dcterms:W3CDTF">2014-03-04T16:24:00Z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1421451</vt:lpwstr>
  </property>
  <property fmtid="{D5CDD505-2E9C-101B-9397-08002B2CF9AE}" pid="3" name="Symbol1">
    <vt:lpwstr>CEDAW/C/IND/Q/4-5/Add.1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DONG</vt:lpwstr>
  </property>
</Properties>
</file>