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C84" w:rsidRDefault="00FD4C84" w:rsidP="00FD4C84">
      <w:pPr>
        <w:spacing w:line="240" w:lineRule="auto"/>
        <w:jc w:val="left"/>
        <w:rPr>
          <w:szCs w:val="6"/>
        </w:rPr>
        <w:sectPr w:rsidR="00FD4C84" w:rsidSect="00FD4C84">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195" w:bottom="1898" w:left="1195" w:header="576" w:footer="1030" w:gutter="0"/>
          <w:cols w:space="720"/>
          <w:titlePg/>
          <w:bidi/>
          <w:rtlGutter/>
          <w:docGrid w:linePitch="280"/>
        </w:sectPr>
      </w:pPr>
      <w:r>
        <w:rPr>
          <w:rStyle w:val="CommentReference"/>
        </w:rPr>
        <w:commentReference w:id="0"/>
      </w:r>
    </w:p>
    <w:p w:rsidR="00EC5909" w:rsidRPr="00EC5909" w:rsidRDefault="00EC5909" w:rsidP="000B5924">
      <w:pPr>
        <w:pStyle w:val="H1"/>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rPr>
          <w:rFonts w:hint="cs"/>
          <w:rtl/>
        </w:rPr>
      </w:pPr>
      <w:r w:rsidRPr="00EC5909">
        <w:rPr>
          <w:rFonts w:hint="cs"/>
          <w:rtl/>
        </w:rPr>
        <w:t>اللجنة المعنية بالقضاء على التمييز ضد المرأة</w:t>
      </w:r>
    </w:p>
    <w:p w:rsidR="00EC5909" w:rsidRPr="00EC5909" w:rsidRDefault="00EC5909" w:rsidP="000B5924">
      <w:pPr>
        <w:pStyle w:val="H23"/>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jc w:val="lowKashida"/>
        <w:rPr>
          <w:rFonts w:hint="cs"/>
          <w:rtl/>
        </w:rPr>
      </w:pPr>
      <w:r w:rsidRPr="00EC5909">
        <w:rPr>
          <w:rFonts w:hint="cs"/>
          <w:rtl/>
        </w:rPr>
        <w:t>الفريق العامل لما قبل الدورة</w:t>
      </w:r>
    </w:p>
    <w:p w:rsidR="00EC5909" w:rsidRPr="00EC5909" w:rsidRDefault="00EC5909" w:rsidP="000B5924">
      <w:pPr>
        <w:pStyle w:val="H23"/>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jc w:val="lowKashida"/>
        <w:rPr>
          <w:rFonts w:hint="cs"/>
          <w:rtl/>
        </w:rPr>
      </w:pPr>
      <w:r w:rsidRPr="00EC5909">
        <w:rPr>
          <w:rFonts w:hint="cs"/>
          <w:rtl/>
        </w:rPr>
        <w:t>الدورة التاسعة والثلاثون</w:t>
      </w:r>
    </w:p>
    <w:p w:rsidR="00EC5909" w:rsidRPr="00EC5909" w:rsidRDefault="00EC5909" w:rsidP="000B5924">
      <w:pPr>
        <w:tabs>
          <w:tab w:val="left" w:pos="662"/>
          <w:tab w:val="left" w:pos="1267"/>
          <w:tab w:val="left" w:pos="1987"/>
          <w:tab w:val="left" w:pos="2650"/>
        </w:tabs>
        <w:rPr>
          <w:rFonts w:hint="cs"/>
          <w:rtl/>
        </w:rPr>
      </w:pPr>
      <w:r w:rsidRPr="00EC5909">
        <w:rPr>
          <w:rFonts w:hint="cs"/>
          <w:rtl/>
        </w:rPr>
        <w:t>2</w:t>
      </w:r>
      <w:r>
        <w:rPr>
          <w:rFonts w:hint="cs"/>
          <w:rtl/>
        </w:rPr>
        <w:t>3 تموز/</w:t>
      </w:r>
      <w:r w:rsidRPr="00EC5909">
        <w:rPr>
          <w:rFonts w:hint="cs"/>
          <w:rtl/>
        </w:rPr>
        <w:t>يوليه</w:t>
      </w:r>
      <w:r w:rsidR="000B5924">
        <w:rPr>
          <w:rFonts w:hint="cs"/>
          <w:rtl/>
        </w:rPr>
        <w:t xml:space="preserve"> -</w:t>
      </w:r>
      <w:r w:rsidRPr="00EC5909">
        <w:rPr>
          <w:rFonts w:hint="cs"/>
          <w:rtl/>
        </w:rPr>
        <w:t xml:space="preserve"> </w:t>
      </w:r>
      <w:r>
        <w:rPr>
          <w:rFonts w:hint="cs"/>
          <w:rtl/>
        </w:rPr>
        <w:t>10 آب/</w:t>
      </w:r>
      <w:r w:rsidRPr="00EC5909">
        <w:rPr>
          <w:rFonts w:hint="cs"/>
          <w:rtl/>
        </w:rPr>
        <w:t>أغسطس 2007</w:t>
      </w:r>
    </w:p>
    <w:p w:rsidR="00EC5909" w:rsidRPr="00EC5909" w:rsidRDefault="00EC5909" w:rsidP="00EC5909">
      <w:pPr>
        <w:pStyle w:val="SingleTxt"/>
        <w:spacing w:after="0" w:line="120" w:lineRule="exact"/>
        <w:rPr>
          <w:rFonts w:hint="cs"/>
          <w:b/>
          <w:bCs/>
          <w:sz w:val="10"/>
          <w:rtl/>
        </w:rPr>
      </w:pPr>
    </w:p>
    <w:p w:rsidR="00EC5909" w:rsidRPr="00EC5909" w:rsidRDefault="00EC5909" w:rsidP="00EC5909">
      <w:pPr>
        <w:pStyle w:val="SingleTxt"/>
        <w:spacing w:after="0" w:line="120" w:lineRule="exact"/>
        <w:rPr>
          <w:rFonts w:hint="cs"/>
          <w:b/>
          <w:bCs/>
          <w:sz w:val="10"/>
          <w:rtl/>
        </w:rPr>
      </w:pPr>
    </w:p>
    <w:p w:rsidR="00EC5909" w:rsidRPr="00EC5909" w:rsidRDefault="00EC5909" w:rsidP="00EC5909">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bookmarkStart w:id="1" w:name="TmpSave"/>
      <w:bookmarkEnd w:id="1"/>
      <w:r>
        <w:rPr>
          <w:rFonts w:hint="cs"/>
          <w:rtl/>
        </w:rPr>
        <w:tab/>
      </w:r>
      <w:r>
        <w:rPr>
          <w:rFonts w:hint="cs"/>
          <w:rtl/>
        </w:rPr>
        <w:tab/>
      </w:r>
      <w:r w:rsidRPr="00EC5909">
        <w:rPr>
          <w:rFonts w:hint="cs"/>
          <w:rtl/>
        </w:rPr>
        <w:t xml:space="preserve">قائمة بالقضايا والأسئلة المطروحة فيما يتصل بالنظر في التقارير الدورية </w:t>
      </w:r>
    </w:p>
    <w:p w:rsidR="00EC5909" w:rsidRPr="00EC5909" w:rsidRDefault="000B5924" w:rsidP="000B5924">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r>
      <w:r w:rsidR="00EC5909" w:rsidRPr="00EC5909">
        <w:rPr>
          <w:rFonts w:hint="cs"/>
          <w:rtl/>
        </w:rPr>
        <w:t>إندونيسيا</w:t>
      </w:r>
    </w:p>
    <w:p w:rsidR="00EC5909" w:rsidRPr="00EC5909" w:rsidRDefault="00EC5909" w:rsidP="00EC5909">
      <w:pPr>
        <w:pStyle w:val="SingleTxt"/>
        <w:rPr>
          <w:rFonts w:hint="cs"/>
          <w:rtl/>
        </w:rPr>
      </w:pPr>
      <w:r w:rsidRPr="00EC5909">
        <w:rPr>
          <w:rFonts w:hint="cs"/>
          <w:rtl/>
        </w:rPr>
        <w:t>1</w:t>
      </w:r>
      <w:r>
        <w:rPr>
          <w:rFonts w:hint="cs"/>
          <w:rtl/>
        </w:rPr>
        <w:t xml:space="preserve"> </w:t>
      </w:r>
      <w:r w:rsidRPr="00EC5909">
        <w:rPr>
          <w:rFonts w:hint="cs"/>
          <w:rtl/>
        </w:rPr>
        <w:t>-</w:t>
      </w:r>
      <w:r>
        <w:rPr>
          <w:rFonts w:hint="cs"/>
          <w:rtl/>
        </w:rPr>
        <w:tab/>
      </w:r>
      <w:r w:rsidRPr="00EC5909">
        <w:rPr>
          <w:rFonts w:hint="cs"/>
          <w:rtl/>
        </w:rPr>
        <w:t xml:space="preserve">نظر الفريق العامل لما قبل الدورة في تقرير إندونيسيا الجامع للتقريرين الدوريين الرابع والخامس </w:t>
      </w:r>
      <w:r w:rsidRPr="00EC5909">
        <w:t>(CEDAW/C/IDN/4-5)</w:t>
      </w:r>
      <w:r w:rsidRPr="00EC5909">
        <w:rPr>
          <w:rFonts w:hint="cs"/>
          <w:rtl/>
        </w:rPr>
        <w:t>.</w:t>
      </w:r>
    </w:p>
    <w:p w:rsidR="00EC5909" w:rsidRPr="00EC5909" w:rsidRDefault="00EC5909" w:rsidP="00EC5909">
      <w:pPr>
        <w:pStyle w:val="SingleTxt"/>
        <w:spacing w:after="0" w:line="120" w:lineRule="exact"/>
        <w:rPr>
          <w:rFonts w:hint="cs"/>
          <w:b/>
          <w:bCs/>
          <w:sz w:val="10"/>
          <w:rtl/>
        </w:rPr>
      </w:pPr>
    </w:p>
    <w:p w:rsidR="00EC5909" w:rsidRPr="00EC5909" w:rsidRDefault="000B5924" w:rsidP="000B5924">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لمحة عامة</w:t>
      </w:r>
    </w:p>
    <w:p w:rsidR="00EC5909" w:rsidRPr="00EC5909" w:rsidRDefault="00EC5909" w:rsidP="00EC5909">
      <w:pPr>
        <w:pStyle w:val="SingleTxt"/>
        <w:rPr>
          <w:rFonts w:hint="cs"/>
          <w:rtl/>
        </w:rPr>
      </w:pPr>
      <w:r w:rsidRPr="00EC5909">
        <w:rPr>
          <w:rFonts w:hint="cs"/>
          <w:rtl/>
        </w:rPr>
        <w:t>2</w:t>
      </w:r>
      <w:r>
        <w:rPr>
          <w:rFonts w:hint="cs"/>
          <w:rtl/>
        </w:rPr>
        <w:t xml:space="preserve"> </w:t>
      </w:r>
      <w:r w:rsidRPr="00EC5909">
        <w:rPr>
          <w:rFonts w:hint="cs"/>
          <w:rtl/>
        </w:rPr>
        <w:t>-</w:t>
      </w:r>
      <w:r>
        <w:rPr>
          <w:rFonts w:hint="cs"/>
          <w:rtl/>
        </w:rPr>
        <w:tab/>
      </w:r>
      <w:r w:rsidRPr="00EC5909">
        <w:rPr>
          <w:rFonts w:hint="cs"/>
          <w:rtl/>
        </w:rPr>
        <w:t xml:space="preserve">يرجى ذكر ما إذا كانت الحكومة اعتمدت التقرير، وما إذا جرت مشاورات مع منظمات غير حكومية، وما إذا كان التقرير عرِض على البرلمان. </w:t>
      </w:r>
    </w:p>
    <w:p w:rsidR="00EC5909" w:rsidRPr="00EC5909" w:rsidRDefault="00EC5909" w:rsidP="00EC5909">
      <w:pPr>
        <w:pStyle w:val="SingleTxt"/>
        <w:spacing w:after="0" w:line="120" w:lineRule="exact"/>
        <w:rPr>
          <w:rFonts w:hint="cs"/>
          <w:b/>
          <w:bCs/>
          <w:sz w:val="10"/>
          <w:rtl/>
        </w:rPr>
      </w:pPr>
    </w:p>
    <w:p w:rsidR="00EC5909" w:rsidRPr="00EC5909" w:rsidRDefault="000B5924" w:rsidP="000B5924">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r>
      <w:r w:rsidR="00EC5909" w:rsidRPr="00EC5909">
        <w:rPr>
          <w:rFonts w:hint="cs"/>
          <w:rtl/>
        </w:rPr>
        <w:t>الإطار الدستوري والتشريعي والمؤسسي</w:t>
      </w:r>
    </w:p>
    <w:p w:rsidR="00EC5909" w:rsidRPr="00EC5909" w:rsidRDefault="00EC5909" w:rsidP="000B5924">
      <w:pPr>
        <w:pStyle w:val="SingleTxt"/>
        <w:rPr>
          <w:rFonts w:hint="cs"/>
          <w:rtl/>
        </w:rPr>
      </w:pPr>
      <w:r w:rsidRPr="00EC5909">
        <w:rPr>
          <w:rFonts w:hint="cs"/>
          <w:rtl/>
        </w:rPr>
        <w:t>3</w:t>
      </w:r>
      <w:r>
        <w:rPr>
          <w:rFonts w:hint="cs"/>
          <w:rtl/>
        </w:rPr>
        <w:t xml:space="preserve"> </w:t>
      </w:r>
      <w:r w:rsidRPr="00EC5909">
        <w:rPr>
          <w:rFonts w:hint="cs"/>
          <w:rtl/>
        </w:rPr>
        <w:t>-</w:t>
      </w:r>
      <w:r>
        <w:rPr>
          <w:rFonts w:hint="cs"/>
          <w:rtl/>
        </w:rPr>
        <w:tab/>
      </w:r>
      <w:r w:rsidRPr="00EC5909">
        <w:rPr>
          <w:rFonts w:hint="cs"/>
          <w:rtl/>
        </w:rPr>
        <w:t>بينما يقدم الدستور الإندونيسي لعام 1945 (التعديل الثاني، 2000) والقانون رقم</w:t>
      </w:r>
      <w:r w:rsidR="000B5924">
        <w:rPr>
          <w:rFonts w:hint="eastAsia"/>
          <w:rtl/>
        </w:rPr>
        <w:t> </w:t>
      </w:r>
      <w:r w:rsidRPr="00EC5909">
        <w:rPr>
          <w:rFonts w:hint="cs"/>
          <w:rtl/>
        </w:rPr>
        <w:t xml:space="preserve">39 لعام 1999 بشأن حقوق الإنسان تعريفاً للتمييز، يشمل التمييز القائم على أساس </w:t>
      </w:r>
      <w:r>
        <w:rPr>
          <w:rFonts w:hint="cs"/>
          <w:rtl/>
        </w:rPr>
        <w:t xml:space="preserve">نوع </w:t>
      </w:r>
      <w:r w:rsidRPr="00EC5909">
        <w:rPr>
          <w:rFonts w:hint="cs"/>
          <w:rtl/>
        </w:rPr>
        <w:t>الجنس (الفقرتان 25 و</w:t>
      </w:r>
      <w:r>
        <w:rPr>
          <w:rFonts w:hint="cs"/>
          <w:rtl/>
        </w:rPr>
        <w:t xml:space="preserve"> </w:t>
      </w:r>
      <w:r w:rsidRPr="00EC5909">
        <w:rPr>
          <w:rFonts w:hint="cs"/>
          <w:rtl/>
        </w:rPr>
        <w:t xml:space="preserve">26)، </w:t>
      </w:r>
      <w:r>
        <w:rPr>
          <w:rFonts w:hint="cs"/>
          <w:rtl/>
        </w:rPr>
        <w:t>ف</w:t>
      </w:r>
      <w:r w:rsidRPr="00EC5909">
        <w:rPr>
          <w:rFonts w:hint="cs"/>
          <w:rtl/>
        </w:rPr>
        <w:t xml:space="preserve">لا يوجد تعريف واضح </w:t>
      </w:r>
      <w:r>
        <w:rPr>
          <w:rFonts w:hint="eastAsia"/>
          <w:rtl/>
        </w:rPr>
        <w:t>”</w:t>
      </w:r>
      <w:r w:rsidRPr="00EC5909">
        <w:rPr>
          <w:rFonts w:hint="cs"/>
          <w:rtl/>
        </w:rPr>
        <w:t>للتمييز ضد المرأة</w:t>
      </w:r>
      <w:r>
        <w:rPr>
          <w:rFonts w:hint="eastAsia"/>
          <w:rtl/>
        </w:rPr>
        <w:t>“</w:t>
      </w:r>
      <w:r w:rsidRPr="00EC5909">
        <w:rPr>
          <w:rFonts w:hint="cs"/>
          <w:rtl/>
        </w:rPr>
        <w:t xml:space="preserve">، </w:t>
      </w:r>
      <w:r>
        <w:rPr>
          <w:rFonts w:hint="cs"/>
          <w:rtl/>
        </w:rPr>
        <w:t>معد وفقا ل</w:t>
      </w:r>
      <w:r w:rsidRPr="00EC5909">
        <w:rPr>
          <w:rFonts w:hint="cs"/>
          <w:rtl/>
        </w:rPr>
        <w:t xml:space="preserve">لمادة 1 من الاتفاقية، </w:t>
      </w:r>
      <w:r>
        <w:rPr>
          <w:rFonts w:hint="cs"/>
          <w:rtl/>
        </w:rPr>
        <w:t xml:space="preserve">على نحو ما </w:t>
      </w:r>
      <w:r w:rsidRPr="00EC5909">
        <w:rPr>
          <w:rFonts w:hint="cs"/>
          <w:rtl/>
        </w:rPr>
        <w:t>لاحظت اللجنة مع القلق في تعليقاتها الختامية السابقة</w:t>
      </w:r>
      <w:r w:rsidRPr="00EC5909">
        <w:rPr>
          <w:vertAlign w:val="superscript"/>
          <w:rtl/>
        </w:rPr>
        <w:t>(</w:t>
      </w:r>
      <w:r>
        <w:rPr>
          <w:rStyle w:val="FootnoteReference"/>
          <w:rtl/>
        </w:rPr>
        <w:footnoteReference w:id="1"/>
      </w:r>
      <w:r w:rsidRPr="00EC5909">
        <w:rPr>
          <w:vertAlign w:val="superscript"/>
          <w:rtl/>
        </w:rPr>
        <w:t>)</w:t>
      </w:r>
      <w:r w:rsidRPr="00EC5909">
        <w:rPr>
          <w:rFonts w:hint="cs"/>
          <w:rtl/>
        </w:rPr>
        <w:t xml:space="preserve">. ويرجى بيان أي خطة لسن تشريعات </w:t>
      </w:r>
      <w:r>
        <w:rPr>
          <w:rFonts w:hint="cs"/>
          <w:rtl/>
        </w:rPr>
        <w:t xml:space="preserve">بشأن </w:t>
      </w:r>
      <w:r w:rsidRPr="00EC5909">
        <w:rPr>
          <w:rFonts w:hint="cs"/>
          <w:rtl/>
        </w:rPr>
        <w:t xml:space="preserve">هذا الموضوع، </w:t>
      </w:r>
      <w:r>
        <w:rPr>
          <w:rFonts w:hint="cs"/>
          <w:rtl/>
        </w:rPr>
        <w:t xml:space="preserve">في </w:t>
      </w:r>
      <w:r w:rsidRPr="00EC5909">
        <w:rPr>
          <w:rFonts w:hint="cs"/>
          <w:rtl/>
        </w:rPr>
        <w:t>إطار زمني محدد</w:t>
      </w:r>
      <w:r>
        <w:rPr>
          <w:rFonts w:hint="cs"/>
          <w:rtl/>
        </w:rPr>
        <w:t>.</w:t>
      </w:r>
    </w:p>
    <w:p w:rsidR="00EC5909" w:rsidRPr="00EC5909" w:rsidRDefault="00EC5909" w:rsidP="000B5924">
      <w:pPr>
        <w:pStyle w:val="SingleTxt"/>
        <w:rPr>
          <w:rFonts w:hint="cs"/>
          <w:rtl/>
        </w:rPr>
      </w:pPr>
      <w:r w:rsidRPr="00EC5909">
        <w:rPr>
          <w:rFonts w:hint="cs"/>
          <w:rtl/>
        </w:rPr>
        <w:t>4</w:t>
      </w:r>
      <w:r>
        <w:rPr>
          <w:rFonts w:hint="cs"/>
          <w:rtl/>
        </w:rPr>
        <w:t xml:space="preserve"> </w:t>
      </w:r>
      <w:r w:rsidRPr="00EC5909">
        <w:rPr>
          <w:rFonts w:hint="cs"/>
          <w:rtl/>
        </w:rPr>
        <w:t>-</w:t>
      </w:r>
      <w:r>
        <w:rPr>
          <w:rFonts w:hint="cs"/>
          <w:rtl/>
        </w:rPr>
        <w:tab/>
        <w:t>و</w:t>
      </w:r>
      <w:r w:rsidRPr="00EC5909">
        <w:rPr>
          <w:rFonts w:hint="cs"/>
          <w:rtl/>
        </w:rPr>
        <w:t xml:space="preserve">يذكر التقرير (الفقرة 40) أنه أنشئت آلية لتعميم مراعاة المنظور الجنساني بموجب </w:t>
      </w:r>
      <w:r>
        <w:rPr>
          <w:rFonts w:hint="cs"/>
          <w:rtl/>
        </w:rPr>
        <w:t xml:space="preserve">الأمر </w:t>
      </w:r>
      <w:r w:rsidRPr="00EC5909">
        <w:rPr>
          <w:rFonts w:hint="cs"/>
          <w:rtl/>
        </w:rPr>
        <w:t xml:space="preserve">الرئاسي رقم 9 لعام 2000 بشأن تعميم مراعاة المنظور الجنساني في التنمية الوطنية، </w:t>
      </w:r>
      <w:r>
        <w:rPr>
          <w:rFonts w:hint="cs"/>
          <w:rtl/>
        </w:rPr>
        <w:t xml:space="preserve">الذي يلزم </w:t>
      </w:r>
      <w:r w:rsidRPr="00EC5909">
        <w:rPr>
          <w:rFonts w:hint="cs"/>
          <w:rtl/>
        </w:rPr>
        <w:t xml:space="preserve">جميع ممثلي الحكومات والوكالات على تعميم مراعاة المنظور الجنساني في عملها. </w:t>
      </w:r>
      <w:r w:rsidR="000B5924">
        <w:rPr>
          <w:rFonts w:hint="cs"/>
          <w:rtl/>
        </w:rPr>
        <w:t>ف</w:t>
      </w:r>
      <w:r w:rsidRPr="00EC5909">
        <w:rPr>
          <w:rFonts w:hint="cs"/>
          <w:rtl/>
        </w:rPr>
        <w:t xml:space="preserve">يرجى تقديم معلومات عن مدى فاعلية عمل هذه الآلية، وعن التمويل من أجل دعم تعميم مراعاة المنظور الجنساني، </w:t>
      </w:r>
      <w:r w:rsidR="000B5924">
        <w:rPr>
          <w:rFonts w:hint="cs"/>
          <w:rtl/>
        </w:rPr>
        <w:t xml:space="preserve">بما في ذلك </w:t>
      </w:r>
      <w:r w:rsidRPr="00EC5909">
        <w:rPr>
          <w:rFonts w:hint="cs"/>
          <w:rtl/>
        </w:rPr>
        <w:t xml:space="preserve">إتباع عمليات لوضع الميزانيات تراعي </w:t>
      </w:r>
      <w:r>
        <w:rPr>
          <w:rFonts w:hint="cs"/>
          <w:rtl/>
        </w:rPr>
        <w:t>المنظور الجنساني.</w:t>
      </w:r>
    </w:p>
    <w:p w:rsidR="00EC5909" w:rsidRPr="00EC5909" w:rsidRDefault="00EC5909" w:rsidP="00EC5909">
      <w:pPr>
        <w:pStyle w:val="SingleTxt"/>
        <w:rPr>
          <w:rFonts w:hint="cs"/>
          <w:rtl/>
        </w:rPr>
      </w:pPr>
      <w:r w:rsidRPr="00EC5909">
        <w:rPr>
          <w:rFonts w:hint="cs"/>
          <w:rtl/>
        </w:rPr>
        <w:t>5</w:t>
      </w:r>
      <w:r>
        <w:rPr>
          <w:rFonts w:hint="cs"/>
          <w:rtl/>
        </w:rPr>
        <w:t xml:space="preserve"> </w:t>
      </w:r>
      <w:r w:rsidRPr="00EC5909">
        <w:rPr>
          <w:rFonts w:hint="cs"/>
          <w:rtl/>
        </w:rPr>
        <w:t>-</w:t>
      </w:r>
      <w:r>
        <w:rPr>
          <w:rFonts w:hint="cs"/>
          <w:rtl/>
        </w:rPr>
        <w:tab/>
        <w:t>و</w:t>
      </w:r>
      <w:r w:rsidRPr="00EC5909">
        <w:rPr>
          <w:rFonts w:hint="cs"/>
          <w:rtl/>
        </w:rPr>
        <w:t>في تعليقاتها الختامية السابقة، ساور اللجنة قلق شديد إزاء وجود قوانين تميز ضد النساء، فيما يتعلق بالأسرة والزواج، والحقوق الاقتصادية، والصحة</w:t>
      </w:r>
      <w:r w:rsidRPr="00EC5909">
        <w:rPr>
          <w:vertAlign w:val="superscript"/>
          <w:rtl/>
        </w:rPr>
        <w:t>(</w:t>
      </w:r>
      <w:r>
        <w:rPr>
          <w:rStyle w:val="FootnoteReference"/>
          <w:rtl/>
        </w:rPr>
        <w:footnoteReference w:id="2"/>
      </w:r>
      <w:r w:rsidRPr="00EC5909">
        <w:rPr>
          <w:vertAlign w:val="superscript"/>
          <w:rtl/>
        </w:rPr>
        <w:t>)</w:t>
      </w:r>
      <w:r w:rsidRPr="00EC5909">
        <w:rPr>
          <w:rFonts w:hint="cs"/>
          <w:rtl/>
        </w:rPr>
        <w:t xml:space="preserve">. </w:t>
      </w:r>
      <w:r>
        <w:rPr>
          <w:rFonts w:hint="cs"/>
          <w:rtl/>
        </w:rPr>
        <w:t>ف</w:t>
      </w:r>
      <w:r w:rsidRPr="00EC5909">
        <w:rPr>
          <w:rFonts w:hint="cs"/>
          <w:rtl/>
        </w:rPr>
        <w:t xml:space="preserve">يرجى وصف التدابير المتخذة لتعديل القوانين التمييزية وما تحقق من تقدم حتى الآن. </w:t>
      </w:r>
    </w:p>
    <w:p w:rsidR="00EC5909" w:rsidRPr="00EC5909" w:rsidRDefault="00EC5909" w:rsidP="00EC5909">
      <w:pPr>
        <w:pStyle w:val="SingleTxt"/>
        <w:spacing w:after="0" w:line="120" w:lineRule="exact"/>
        <w:rPr>
          <w:rFonts w:hint="cs"/>
          <w:b/>
          <w:bCs/>
          <w:sz w:val="10"/>
          <w:rtl/>
        </w:rPr>
      </w:pPr>
    </w:p>
    <w:p w:rsidR="00EC5909" w:rsidRPr="00EC5909" w:rsidRDefault="000B5924" w:rsidP="000B5924">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r>
      <w:r w:rsidR="00EC5909" w:rsidRPr="00EC5909">
        <w:rPr>
          <w:rFonts w:hint="cs"/>
          <w:rtl/>
        </w:rPr>
        <w:t>القوالب النمطية والتعليم</w:t>
      </w:r>
    </w:p>
    <w:p w:rsidR="00EC5909" w:rsidRPr="00EC5909" w:rsidRDefault="00EC5909" w:rsidP="00EC5909">
      <w:pPr>
        <w:pStyle w:val="SingleTxt"/>
        <w:rPr>
          <w:rFonts w:hint="cs"/>
          <w:rtl/>
        </w:rPr>
      </w:pPr>
      <w:r w:rsidRPr="00EC5909">
        <w:rPr>
          <w:rFonts w:hint="cs"/>
          <w:rtl/>
        </w:rPr>
        <w:t>6</w:t>
      </w:r>
      <w:r>
        <w:rPr>
          <w:rFonts w:hint="cs"/>
          <w:rtl/>
        </w:rPr>
        <w:t xml:space="preserve"> -</w:t>
      </w:r>
      <w:r>
        <w:rPr>
          <w:rFonts w:hint="cs"/>
          <w:rtl/>
        </w:rPr>
        <w:tab/>
      </w:r>
      <w:r w:rsidRPr="00EC5909">
        <w:rPr>
          <w:rFonts w:hint="cs"/>
          <w:rtl/>
        </w:rPr>
        <w:t xml:space="preserve">يبين التقرير أن تعميم مراعاة المنظور الجنساني في برامج تدريب الآباء والأمهات على </w:t>
      </w:r>
      <w:r>
        <w:rPr>
          <w:rFonts w:hint="cs"/>
          <w:rtl/>
        </w:rPr>
        <w:t>النماء و</w:t>
      </w:r>
      <w:r w:rsidRPr="00EC5909">
        <w:rPr>
          <w:rFonts w:hint="cs"/>
          <w:rtl/>
        </w:rPr>
        <w:t xml:space="preserve">الرعاية خلال مرحلة الطفولة المبكرة يهدف إلى القضاء على المفاهيم النمطية القائلة بأن النساء هن وحدهن المسؤولات عن رعاية أبنائهن وتنشئتهم (الفقرة 53). </w:t>
      </w:r>
      <w:r>
        <w:rPr>
          <w:rFonts w:hint="cs"/>
          <w:rtl/>
        </w:rPr>
        <w:t>ف</w:t>
      </w:r>
      <w:r w:rsidRPr="00EC5909">
        <w:rPr>
          <w:rFonts w:hint="cs"/>
          <w:rtl/>
        </w:rPr>
        <w:t xml:space="preserve">يرجى تقديم تفاصيل عن هذا البرنامج، تشمل معدلات مشاركة الرجال والنساء، وأي أثر </w:t>
      </w:r>
      <w:r>
        <w:rPr>
          <w:rFonts w:hint="cs"/>
          <w:rtl/>
        </w:rPr>
        <w:t xml:space="preserve">لوحظ </w:t>
      </w:r>
      <w:r w:rsidRPr="00EC5909">
        <w:rPr>
          <w:rFonts w:hint="cs"/>
          <w:rtl/>
        </w:rPr>
        <w:t xml:space="preserve">في اتجاهات المجتمع بالنسبة لمسؤولية الرجال والنساء في تنشئة أبنائهم </w:t>
      </w:r>
      <w:r>
        <w:rPr>
          <w:rFonts w:hint="cs"/>
          <w:rtl/>
        </w:rPr>
        <w:t>ونمائهم</w:t>
      </w:r>
      <w:r w:rsidRPr="00EC5909">
        <w:rPr>
          <w:rFonts w:hint="cs"/>
          <w:rtl/>
        </w:rPr>
        <w:t xml:space="preserve">. </w:t>
      </w:r>
    </w:p>
    <w:p w:rsidR="00EC5909" w:rsidRPr="00EC5909" w:rsidRDefault="00EC5909" w:rsidP="00EC5909">
      <w:pPr>
        <w:pStyle w:val="SingleTxt"/>
        <w:rPr>
          <w:rFonts w:hint="cs"/>
          <w:rtl/>
        </w:rPr>
      </w:pPr>
      <w:r w:rsidRPr="00EC5909">
        <w:rPr>
          <w:rFonts w:hint="cs"/>
          <w:rtl/>
        </w:rPr>
        <w:t>7</w:t>
      </w:r>
      <w:r>
        <w:rPr>
          <w:rFonts w:hint="cs"/>
          <w:rtl/>
        </w:rPr>
        <w:t xml:space="preserve"> </w:t>
      </w:r>
      <w:r w:rsidRPr="00EC5909">
        <w:rPr>
          <w:rFonts w:hint="cs"/>
          <w:rtl/>
        </w:rPr>
        <w:t>-</w:t>
      </w:r>
      <w:r>
        <w:rPr>
          <w:rFonts w:hint="cs"/>
          <w:rtl/>
        </w:rPr>
        <w:tab/>
        <w:t xml:space="preserve">ويقر </w:t>
      </w:r>
      <w:r w:rsidRPr="00EC5909">
        <w:rPr>
          <w:rFonts w:hint="cs"/>
          <w:rtl/>
        </w:rPr>
        <w:t>التقرير بأن الاتجاهات الاجتماعية الثقافية وسوء تفسير التعاليم الدينية يعوقان التنفيذ الكامل للاتفاقية في عدد من المجالات، منها المشاركة في الحياة العامة والسياسية، والصحة، والتعليم</w:t>
      </w:r>
      <w:r w:rsidRPr="00EC5909">
        <w:rPr>
          <w:vertAlign w:val="superscript"/>
          <w:rtl/>
        </w:rPr>
        <w:t>(</w:t>
      </w:r>
      <w:r>
        <w:rPr>
          <w:rStyle w:val="FootnoteReference"/>
          <w:rtl/>
        </w:rPr>
        <w:footnoteReference w:id="3"/>
      </w:r>
      <w:r w:rsidRPr="00EC5909">
        <w:rPr>
          <w:vertAlign w:val="superscript"/>
          <w:rtl/>
        </w:rPr>
        <w:t>)</w:t>
      </w:r>
      <w:r w:rsidRPr="00EC5909">
        <w:rPr>
          <w:rFonts w:hint="cs"/>
          <w:rtl/>
        </w:rPr>
        <w:t xml:space="preserve">. </w:t>
      </w:r>
      <w:r>
        <w:rPr>
          <w:rFonts w:hint="cs"/>
          <w:rtl/>
        </w:rPr>
        <w:t>ف</w:t>
      </w:r>
      <w:r w:rsidRPr="00EC5909">
        <w:rPr>
          <w:rFonts w:hint="cs"/>
          <w:rtl/>
        </w:rPr>
        <w:t xml:space="preserve">يرجى تقديم معلومات عن الإجراءات الملموسة التي اتخِذت في سبيل التصدي لتلك العقبة، وأثر مثل تلك التدابير، </w:t>
      </w:r>
      <w:r>
        <w:rPr>
          <w:rFonts w:hint="cs"/>
          <w:rtl/>
        </w:rPr>
        <w:t xml:space="preserve">على نحو ما </w:t>
      </w:r>
      <w:r w:rsidRPr="00EC5909">
        <w:rPr>
          <w:rFonts w:hint="cs"/>
          <w:rtl/>
        </w:rPr>
        <w:t xml:space="preserve">دعت إليه اللجنة في </w:t>
      </w:r>
      <w:r>
        <w:rPr>
          <w:rFonts w:hint="cs"/>
          <w:rtl/>
        </w:rPr>
        <w:t xml:space="preserve">تعليقاتها </w:t>
      </w:r>
      <w:r w:rsidRPr="00EC5909">
        <w:rPr>
          <w:rFonts w:hint="cs"/>
          <w:rtl/>
        </w:rPr>
        <w:t>الختامية السابقة</w:t>
      </w:r>
      <w:r w:rsidRPr="00EC5909">
        <w:rPr>
          <w:vertAlign w:val="superscript"/>
          <w:rtl/>
        </w:rPr>
        <w:t>(</w:t>
      </w:r>
      <w:r>
        <w:rPr>
          <w:rStyle w:val="FootnoteReference"/>
          <w:rtl/>
        </w:rPr>
        <w:footnoteReference w:id="4"/>
      </w:r>
      <w:r w:rsidRPr="00EC5909">
        <w:rPr>
          <w:vertAlign w:val="superscript"/>
          <w:rtl/>
        </w:rPr>
        <w:t>)</w:t>
      </w:r>
      <w:r>
        <w:rPr>
          <w:rFonts w:hint="cs"/>
          <w:rtl/>
        </w:rPr>
        <w:t>.</w:t>
      </w:r>
    </w:p>
    <w:p w:rsidR="00EC5909" w:rsidRPr="00EC5909" w:rsidRDefault="00EC5909" w:rsidP="000B5924">
      <w:pPr>
        <w:pStyle w:val="SingleTxt"/>
        <w:rPr>
          <w:rFonts w:hint="cs"/>
          <w:rtl/>
        </w:rPr>
      </w:pPr>
      <w:r w:rsidRPr="00EC5909">
        <w:rPr>
          <w:rFonts w:hint="cs"/>
          <w:rtl/>
        </w:rPr>
        <w:t>8</w:t>
      </w:r>
      <w:r>
        <w:rPr>
          <w:rFonts w:hint="cs"/>
          <w:rtl/>
        </w:rPr>
        <w:t xml:space="preserve"> </w:t>
      </w:r>
      <w:r w:rsidRPr="00EC5909">
        <w:rPr>
          <w:rFonts w:hint="cs"/>
          <w:rtl/>
        </w:rPr>
        <w:t>-</w:t>
      </w:r>
      <w:r>
        <w:rPr>
          <w:rFonts w:hint="cs"/>
          <w:rtl/>
        </w:rPr>
        <w:tab/>
        <w:t>و</w:t>
      </w:r>
      <w:r w:rsidRPr="00EC5909">
        <w:rPr>
          <w:rFonts w:hint="cs"/>
          <w:rtl/>
        </w:rPr>
        <w:t xml:space="preserve">يبين التقرير عدم وجود تكافؤ بين الجنسين على </w:t>
      </w:r>
      <w:r w:rsidR="005626CF">
        <w:rPr>
          <w:rFonts w:hint="cs"/>
          <w:rtl/>
        </w:rPr>
        <w:t>مستوى التعليم الابتدائي (الفقرة</w:t>
      </w:r>
      <w:r w:rsidR="005626CF">
        <w:rPr>
          <w:rFonts w:hint="eastAsia"/>
          <w:rtl/>
        </w:rPr>
        <w:t> </w:t>
      </w:r>
      <w:r w:rsidRPr="00EC5909">
        <w:rPr>
          <w:rFonts w:hint="cs"/>
          <w:rtl/>
        </w:rPr>
        <w:t xml:space="preserve">95)، ولكن </w:t>
      </w:r>
      <w:r>
        <w:rPr>
          <w:rFonts w:hint="cs"/>
          <w:rtl/>
        </w:rPr>
        <w:t xml:space="preserve">يبين أيضاً أنه </w:t>
      </w:r>
      <w:r>
        <w:rPr>
          <w:rFonts w:hint="eastAsia"/>
          <w:rtl/>
        </w:rPr>
        <w:t>”</w:t>
      </w:r>
      <w:r w:rsidRPr="00EC5909">
        <w:rPr>
          <w:rFonts w:hint="cs"/>
          <w:rtl/>
        </w:rPr>
        <w:t>على مستوى التعليم الإعدادي، لا توجد فجوة جنسانية بين البنات والأولاد</w:t>
      </w:r>
      <w:r>
        <w:rPr>
          <w:rFonts w:hint="eastAsia"/>
          <w:rtl/>
        </w:rPr>
        <w:t>“</w:t>
      </w:r>
      <w:r w:rsidRPr="00EC5909">
        <w:rPr>
          <w:rFonts w:hint="cs"/>
          <w:rtl/>
        </w:rPr>
        <w:t xml:space="preserve"> (الفقرة 96). ويفيد التقرير أيضاً بوجود فجوة على المستوى الأعلى من التعليم، حيث لا </w:t>
      </w:r>
      <w:r>
        <w:rPr>
          <w:rFonts w:hint="cs"/>
          <w:rtl/>
        </w:rPr>
        <w:t>ت</w:t>
      </w:r>
      <w:r w:rsidRPr="00EC5909">
        <w:rPr>
          <w:rFonts w:hint="cs"/>
          <w:rtl/>
        </w:rPr>
        <w:t xml:space="preserve">كمل سوى 12.8 في المائة من البنات التعليم الثانوي، مقارنةً بنسبة 17.5 في المائة من الأولاد (الفقرة 96). </w:t>
      </w:r>
      <w:r w:rsidR="000B5924">
        <w:rPr>
          <w:rFonts w:hint="cs"/>
          <w:rtl/>
        </w:rPr>
        <w:t>و</w:t>
      </w:r>
      <w:r w:rsidRPr="00EC5909">
        <w:rPr>
          <w:rFonts w:hint="cs"/>
          <w:rtl/>
        </w:rPr>
        <w:t>يرجى تقديم بيانات مصنفة تبعاً للجنس والسن عن التسجيل بالمراحل الابتدائية والثانوية، في المناطق الريفية والحضرية</w:t>
      </w:r>
      <w:r>
        <w:rPr>
          <w:rFonts w:hint="cs"/>
          <w:rtl/>
        </w:rPr>
        <w:t xml:space="preserve"> على السواء</w:t>
      </w:r>
      <w:r w:rsidRPr="00EC5909">
        <w:rPr>
          <w:rFonts w:hint="cs"/>
          <w:rtl/>
        </w:rPr>
        <w:t xml:space="preserve">، والاتجاهات التي تنشأ بمرور الوقت. ويرجى أيضاً توفير معلومات عن التدابير المتخذة وأثرها على زيادة التسجيل بالمدارس وتحقيق التكافؤ بين الجنسين على جميع مستويات التعليم. </w:t>
      </w:r>
    </w:p>
    <w:p w:rsidR="00EC5909" w:rsidRPr="00EC5909" w:rsidRDefault="00EC5909" w:rsidP="00EC5909">
      <w:pPr>
        <w:pStyle w:val="SingleTxt"/>
        <w:rPr>
          <w:rFonts w:hint="cs"/>
          <w:rtl/>
        </w:rPr>
      </w:pPr>
      <w:r w:rsidRPr="00EC5909">
        <w:rPr>
          <w:rFonts w:hint="cs"/>
          <w:rtl/>
        </w:rPr>
        <w:t>9</w:t>
      </w:r>
      <w:r>
        <w:rPr>
          <w:rFonts w:hint="cs"/>
          <w:rtl/>
        </w:rPr>
        <w:t xml:space="preserve"> </w:t>
      </w:r>
      <w:r w:rsidRPr="00EC5909">
        <w:rPr>
          <w:rFonts w:hint="cs"/>
          <w:rtl/>
        </w:rPr>
        <w:t>-</w:t>
      </w:r>
      <w:r>
        <w:rPr>
          <w:rFonts w:hint="cs"/>
          <w:rtl/>
        </w:rPr>
        <w:tab/>
      </w:r>
      <w:r w:rsidRPr="00EC5909">
        <w:rPr>
          <w:rFonts w:hint="cs"/>
          <w:rtl/>
        </w:rPr>
        <w:t xml:space="preserve">ويلاحظ التقرير أن غالبية المتسربين من التعليم </w:t>
      </w:r>
      <w:r w:rsidR="00FB5572">
        <w:rPr>
          <w:rFonts w:hint="cs"/>
          <w:rtl/>
        </w:rPr>
        <w:t>المدرسي هم من البنات (الفقرة</w:t>
      </w:r>
      <w:r w:rsidR="00FB5572">
        <w:rPr>
          <w:rFonts w:hint="eastAsia"/>
          <w:rtl/>
        </w:rPr>
        <w:t> </w:t>
      </w:r>
      <w:r w:rsidR="00FB5572">
        <w:rPr>
          <w:rFonts w:hint="cs"/>
          <w:rtl/>
        </w:rPr>
        <w:t>97</w:t>
      </w:r>
      <w:r w:rsidR="00FB5572">
        <w:rPr>
          <w:rFonts w:hint="eastAsia"/>
          <w:rtl/>
        </w:rPr>
        <w:t> </w:t>
      </w:r>
      <w:r w:rsidRPr="00EC5909">
        <w:rPr>
          <w:rFonts w:hint="cs"/>
          <w:rtl/>
        </w:rPr>
        <w:t xml:space="preserve">(و)). </w:t>
      </w:r>
      <w:r w:rsidR="00FB5572">
        <w:rPr>
          <w:rFonts w:hint="cs"/>
          <w:rtl/>
        </w:rPr>
        <w:t>ف</w:t>
      </w:r>
      <w:r w:rsidRPr="00EC5909">
        <w:rPr>
          <w:rFonts w:hint="cs"/>
          <w:rtl/>
        </w:rPr>
        <w:t>يرجى ذكر ال</w:t>
      </w:r>
      <w:r w:rsidR="000B5924">
        <w:rPr>
          <w:rFonts w:hint="cs"/>
          <w:rtl/>
        </w:rPr>
        <w:t>استراتيجيات</w:t>
      </w:r>
      <w:r w:rsidRPr="00EC5909">
        <w:rPr>
          <w:rFonts w:hint="cs"/>
          <w:rtl/>
        </w:rPr>
        <w:t xml:space="preserve"> المحددة المتخذة وأثرها في الحد من عدد البنات اللاتي يتسربن من المد</w:t>
      </w:r>
      <w:r w:rsidR="00FB5572">
        <w:rPr>
          <w:rFonts w:hint="cs"/>
          <w:rtl/>
        </w:rPr>
        <w:t>ارس</w:t>
      </w:r>
      <w:r w:rsidRPr="00EC5909">
        <w:rPr>
          <w:rFonts w:hint="cs"/>
          <w:rtl/>
        </w:rPr>
        <w:t xml:space="preserve">، علاوة على ما إذا كانت هناك أي برامج تعليمية موضوعة من أجل البنات والنساء، </w:t>
      </w:r>
      <w:r w:rsidR="007A0079">
        <w:rPr>
          <w:rFonts w:hint="cs"/>
          <w:rtl/>
        </w:rPr>
        <w:t>لا سيما</w:t>
      </w:r>
      <w:r w:rsidRPr="00EC5909">
        <w:rPr>
          <w:rFonts w:hint="cs"/>
          <w:rtl/>
        </w:rPr>
        <w:t xml:space="preserve"> البنات المتزوجات والقاصرات، والمراهقات الحوامل اللاتي تركن المدرسة قبل الأوان. </w:t>
      </w:r>
    </w:p>
    <w:p w:rsidR="00FB5572" w:rsidRPr="00FB5572" w:rsidRDefault="00FB5572" w:rsidP="00FB5572">
      <w:pPr>
        <w:pStyle w:val="SingleTxt"/>
        <w:spacing w:after="0" w:line="120" w:lineRule="exact"/>
        <w:rPr>
          <w:rFonts w:hint="cs"/>
          <w:b/>
          <w:bCs/>
          <w:sz w:val="10"/>
          <w:rtl/>
        </w:rPr>
      </w:pPr>
    </w:p>
    <w:p w:rsidR="00EC5909" w:rsidRPr="00EC5909" w:rsidRDefault="003E69CA" w:rsidP="003E69CA">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r>
      <w:r w:rsidR="00EC5909" w:rsidRPr="00EC5909">
        <w:rPr>
          <w:rFonts w:hint="cs"/>
          <w:rtl/>
        </w:rPr>
        <w:t>العنف ضد المرأة والاتجار</w:t>
      </w:r>
    </w:p>
    <w:p w:rsidR="00EC5909" w:rsidRPr="00EC5909" w:rsidRDefault="00EC5909" w:rsidP="00FB5572">
      <w:pPr>
        <w:pStyle w:val="SingleTxt"/>
        <w:rPr>
          <w:rFonts w:hint="cs"/>
          <w:rtl/>
        </w:rPr>
      </w:pPr>
      <w:r w:rsidRPr="00EC5909">
        <w:rPr>
          <w:rFonts w:hint="cs"/>
          <w:rtl/>
        </w:rPr>
        <w:t>10</w:t>
      </w:r>
      <w:r w:rsidR="00FB5572">
        <w:rPr>
          <w:rFonts w:hint="cs"/>
          <w:rtl/>
        </w:rPr>
        <w:t xml:space="preserve"> </w:t>
      </w:r>
      <w:r w:rsidRPr="00EC5909">
        <w:rPr>
          <w:rFonts w:hint="cs"/>
          <w:rtl/>
        </w:rPr>
        <w:t>-</w:t>
      </w:r>
      <w:r w:rsidR="00FB5572">
        <w:rPr>
          <w:rFonts w:hint="cs"/>
          <w:rtl/>
        </w:rPr>
        <w:tab/>
      </w:r>
      <w:r w:rsidRPr="00EC5909">
        <w:rPr>
          <w:rFonts w:hint="cs"/>
          <w:rtl/>
        </w:rPr>
        <w:t xml:space="preserve">يرجى توضيح حالة قانون العنف </w:t>
      </w:r>
      <w:r w:rsidR="00FB5572">
        <w:rPr>
          <w:rFonts w:hint="cs"/>
          <w:rtl/>
        </w:rPr>
        <w:t xml:space="preserve">العائلي </w:t>
      </w:r>
      <w:r w:rsidRPr="00EC5909">
        <w:rPr>
          <w:rFonts w:hint="cs"/>
          <w:rtl/>
        </w:rPr>
        <w:t xml:space="preserve">الذي صاغته اللجنة الوطنية للعنف ضد المرأة (الفقرة 73 (ب)). </w:t>
      </w:r>
    </w:p>
    <w:p w:rsidR="00EC5909" w:rsidRPr="00EC5909" w:rsidRDefault="00EC5909" w:rsidP="00FB5572">
      <w:pPr>
        <w:pStyle w:val="SingleTxt"/>
        <w:rPr>
          <w:rFonts w:hint="cs"/>
          <w:rtl/>
        </w:rPr>
      </w:pPr>
      <w:r w:rsidRPr="00EC5909">
        <w:rPr>
          <w:rFonts w:hint="cs"/>
          <w:rtl/>
        </w:rPr>
        <w:t>11</w:t>
      </w:r>
      <w:r w:rsidR="00FB5572">
        <w:rPr>
          <w:rFonts w:hint="cs"/>
          <w:rtl/>
        </w:rPr>
        <w:t xml:space="preserve"> </w:t>
      </w:r>
      <w:r w:rsidRPr="00EC5909">
        <w:rPr>
          <w:rFonts w:hint="cs"/>
          <w:rtl/>
        </w:rPr>
        <w:t>-</w:t>
      </w:r>
      <w:r w:rsidR="00FB5572">
        <w:rPr>
          <w:rFonts w:hint="cs"/>
          <w:rtl/>
        </w:rPr>
        <w:tab/>
      </w:r>
      <w:r w:rsidRPr="00EC5909">
        <w:rPr>
          <w:rFonts w:hint="cs"/>
          <w:rtl/>
        </w:rPr>
        <w:t>وفقاً للتقرير، لم ي</w:t>
      </w:r>
      <w:r w:rsidR="00FB5572">
        <w:rPr>
          <w:rFonts w:hint="cs"/>
          <w:rtl/>
        </w:rPr>
        <w:t>تسن</w:t>
      </w:r>
      <w:r w:rsidRPr="00EC5909">
        <w:rPr>
          <w:rFonts w:hint="cs"/>
          <w:rtl/>
        </w:rPr>
        <w:t xml:space="preserve"> بسهولة الحصول على بيانات عن العنف ضد المرأة، لا</w:t>
      </w:r>
      <w:r w:rsidR="00FB5572">
        <w:rPr>
          <w:rFonts w:hint="cs"/>
          <w:rtl/>
        </w:rPr>
        <w:t xml:space="preserve"> </w:t>
      </w:r>
      <w:r w:rsidRPr="00EC5909">
        <w:rPr>
          <w:rFonts w:hint="cs"/>
          <w:rtl/>
        </w:rPr>
        <w:t xml:space="preserve">سيما العنف </w:t>
      </w:r>
      <w:r w:rsidR="00FB5572">
        <w:rPr>
          <w:rFonts w:hint="cs"/>
          <w:rtl/>
        </w:rPr>
        <w:t>العائلي</w:t>
      </w:r>
      <w:r w:rsidRPr="00EC5909">
        <w:rPr>
          <w:rFonts w:hint="cs"/>
          <w:rtl/>
        </w:rPr>
        <w:t xml:space="preserve">، بسبب طبيعة المشكلة (حيث ينظَر إلى العنف </w:t>
      </w:r>
      <w:r w:rsidR="00FB5572">
        <w:rPr>
          <w:rFonts w:hint="cs"/>
          <w:rtl/>
        </w:rPr>
        <w:t xml:space="preserve">العائلي </w:t>
      </w:r>
      <w:r w:rsidRPr="00EC5909">
        <w:rPr>
          <w:rFonts w:hint="cs"/>
          <w:rtl/>
        </w:rPr>
        <w:t xml:space="preserve">على أنه مسألة خاصة، وبالتالي، فإنه لا يجري الإبلاغ عنه علناً) (الفقرة 74). </w:t>
      </w:r>
      <w:r w:rsidR="00FB5572">
        <w:rPr>
          <w:rFonts w:hint="cs"/>
          <w:rtl/>
        </w:rPr>
        <w:t>ف</w:t>
      </w:r>
      <w:r w:rsidRPr="00EC5909">
        <w:rPr>
          <w:rFonts w:hint="cs"/>
          <w:rtl/>
        </w:rPr>
        <w:t xml:space="preserve">يرجى وصف الخطوات المتخذة لجمع بيانات عن جميع أشكال العنف ضد المرأة: مداها، ومسبباتها، وعواقبها، كما هو مطلوب كأمر </w:t>
      </w:r>
      <w:r w:rsidR="00FB5572">
        <w:rPr>
          <w:rFonts w:hint="cs"/>
          <w:rtl/>
        </w:rPr>
        <w:t>حظي</w:t>
      </w:r>
      <w:r w:rsidRPr="00EC5909">
        <w:rPr>
          <w:rFonts w:hint="cs"/>
          <w:rtl/>
        </w:rPr>
        <w:t xml:space="preserve"> بالأولوية في التعليقات الختامية السابقة للجنة</w:t>
      </w:r>
      <w:r w:rsidR="00FB5572" w:rsidRPr="00FB5572">
        <w:rPr>
          <w:vertAlign w:val="superscript"/>
          <w:rtl/>
        </w:rPr>
        <w:t>(</w:t>
      </w:r>
      <w:r w:rsidR="00FB5572">
        <w:rPr>
          <w:rStyle w:val="FootnoteReference"/>
          <w:rtl/>
        </w:rPr>
        <w:footnoteReference w:id="5"/>
      </w:r>
      <w:r w:rsidR="00FB5572" w:rsidRPr="00FB5572">
        <w:rPr>
          <w:vertAlign w:val="superscript"/>
          <w:rtl/>
        </w:rPr>
        <w:t>)</w:t>
      </w:r>
      <w:r w:rsidRPr="00EC5909">
        <w:rPr>
          <w:rFonts w:hint="cs"/>
          <w:rtl/>
        </w:rPr>
        <w:t xml:space="preserve">، على سبيل المثال، عن طريق إجراء استقصاء بين السكان. </w:t>
      </w:r>
    </w:p>
    <w:p w:rsidR="00EC5909" w:rsidRPr="00EC5909" w:rsidRDefault="00EC5909" w:rsidP="000B5924">
      <w:pPr>
        <w:pStyle w:val="SingleTxt"/>
        <w:rPr>
          <w:rFonts w:hint="cs"/>
          <w:rtl/>
        </w:rPr>
      </w:pPr>
      <w:r w:rsidRPr="00EC5909">
        <w:rPr>
          <w:rFonts w:hint="cs"/>
          <w:rtl/>
        </w:rPr>
        <w:t>12</w:t>
      </w:r>
      <w:r w:rsidR="00FB5572">
        <w:rPr>
          <w:rFonts w:hint="cs"/>
          <w:rtl/>
        </w:rPr>
        <w:t xml:space="preserve"> </w:t>
      </w:r>
      <w:r w:rsidRPr="00EC5909">
        <w:rPr>
          <w:rFonts w:hint="cs"/>
          <w:rtl/>
        </w:rPr>
        <w:t>-</w:t>
      </w:r>
      <w:r w:rsidR="00FB5572">
        <w:rPr>
          <w:rFonts w:hint="cs"/>
          <w:rtl/>
        </w:rPr>
        <w:tab/>
      </w:r>
      <w:r w:rsidR="000B5924">
        <w:rPr>
          <w:rFonts w:hint="cs"/>
          <w:rtl/>
        </w:rPr>
        <w:t>و</w:t>
      </w:r>
      <w:r w:rsidRPr="00EC5909">
        <w:rPr>
          <w:rFonts w:hint="cs"/>
          <w:rtl/>
        </w:rPr>
        <w:t xml:space="preserve">يرجى بيان التدابير الأخرى التي اتخذت أو المخطط لاتخاذها من أجل إذكاء الوعي العام باتجاهات الرجال بالنسبة لانتشار العنف ضد المرأة، وعدم مقبوليته كانتهاك لحقوق الإنسان للمرأة، بما في ذلك توعية السلطات المعنية بصورة مباشرة بالقضاء على جميع أشكال العنف ضد المرأة، </w:t>
      </w:r>
      <w:r w:rsidR="00FB5572">
        <w:rPr>
          <w:rFonts w:hint="cs"/>
          <w:rtl/>
        </w:rPr>
        <w:t xml:space="preserve">على نحو ما </w:t>
      </w:r>
      <w:r w:rsidRPr="00EC5909">
        <w:rPr>
          <w:rFonts w:hint="cs"/>
          <w:rtl/>
        </w:rPr>
        <w:t>دعت إليه اللجنة في تقاريرها الختامية السابقة</w:t>
      </w:r>
      <w:r w:rsidR="000B5924" w:rsidRPr="000B5924">
        <w:rPr>
          <w:rFonts w:hint="cs"/>
          <w:vertAlign w:val="superscript"/>
          <w:rtl/>
        </w:rPr>
        <w:t>(5)</w:t>
      </w:r>
      <w:r w:rsidR="000B5924">
        <w:rPr>
          <w:rFonts w:hint="cs"/>
          <w:rtl/>
        </w:rPr>
        <w:t>.</w:t>
      </w:r>
    </w:p>
    <w:p w:rsidR="00EC5909" w:rsidRPr="00EC5909" w:rsidRDefault="00EC5909" w:rsidP="00FB5572">
      <w:pPr>
        <w:pStyle w:val="SingleTxt"/>
        <w:rPr>
          <w:rFonts w:hint="cs"/>
          <w:rtl/>
        </w:rPr>
      </w:pPr>
      <w:r w:rsidRPr="00EC5909">
        <w:rPr>
          <w:rFonts w:hint="cs"/>
          <w:rtl/>
        </w:rPr>
        <w:t>13</w:t>
      </w:r>
      <w:r w:rsidR="00FB5572">
        <w:rPr>
          <w:rFonts w:hint="cs"/>
          <w:rtl/>
        </w:rPr>
        <w:t xml:space="preserve"> </w:t>
      </w:r>
      <w:r w:rsidRPr="00EC5909">
        <w:rPr>
          <w:rFonts w:hint="cs"/>
          <w:rtl/>
        </w:rPr>
        <w:t>-</w:t>
      </w:r>
      <w:r w:rsidR="00FB5572">
        <w:rPr>
          <w:rFonts w:hint="cs"/>
          <w:rtl/>
        </w:rPr>
        <w:tab/>
        <w:t>و</w:t>
      </w:r>
      <w:r w:rsidRPr="00EC5909">
        <w:rPr>
          <w:rFonts w:hint="cs"/>
          <w:rtl/>
        </w:rPr>
        <w:t xml:space="preserve">يرجى تقديم معلومات مستكملة عن </w:t>
      </w:r>
      <w:r w:rsidR="00FB5572">
        <w:rPr>
          <w:rFonts w:hint="cs"/>
          <w:rtl/>
        </w:rPr>
        <w:t xml:space="preserve">حالة </w:t>
      </w:r>
      <w:r w:rsidRPr="00EC5909">
        <w:rPr>
          <w:rFonts w:hint="cs"/>
          <w:rtl/>
        </w:rPr>
        <w:t>تنفيذ الإجراءات المبينة في الخطة الرئيسية للأعوام 2003-2007 عن القضاء على الاتجار بالنساء والأطفال وأثر التدابير المختلفة (الفقرتان 70 و</w:t>
      </w:r>
      <w:r w:rsidR="000B5924">
        <w:rPr>
          <w:rFonts w:hint="cs"/>
          <w:rtl/>
        </w:rPr>
        <w:t xml:space="preserve"> </w:t>
      </w:r>
      <w:r w:rsidRPr="00EC5909">
        <w:rPr>
          <w:rFonts w:hint="cs"/>
          <w:rtl/>
        </w:rPr>
        <w:t xml:space="preserve">71). ويرجى تقديم إحصائيات عن عدد النساء اللاتي تم الاتجار بهن، وعدد المتجرين الذين جرت محاكمتهم خلال السنوات الخمس الماضية. </w:t>
      </w:r>
    </w:p>
    <w:p w:rsidR="00EC5909" w:rsidRPr="00EC5909" w:rsidRDefault="00EC5909" w:rsidP="00FB5572">
      <w:pPr>
        <w:pStyle w:val="SingleTxt"/>
        <w:rPr>
          <w:rFonts w:hint="cs"/>
          <w:rtl/>
        </w:rPr>
      </w:pPr>
      <w:r w:rsidRPr="00EC5909">
        <w:rPr>
          <w:rFonts w:hint="cs"/>
          <w:rtl/>
        </w:rPr>
        <w:t>14</w:t>
      </w:r>
      <w:r w:rsidR="00FB5572">
        <w:rPr>
          <w:rFonts w:hint="cs"/>
          <w:rtl/>
        </w:rPr>
        <w:t xml:space="preserve"> </w:t>
      </w:r>
      <w:r w:rsidRPr="00EC5909">
        <w:rPr>
          <w:rFonts w:hint="cs"/>
          <w:rtl/>
        </w:rPr>
        <w:t>-</w:t>
      </w:r>
      <w:r w:rsidR="00FB5572">
        <w:rPr>
          <w:rFonts w:hint="cs"/>
          <w:rtl/>
        </w:rPr>
        <w:tab/>
      </w:r>
      <w:r w:rsidRPr="00EC5909">
        <w:rPr>
          <w:rFonts w:hint="cs"/>
          <w:rtl/>
        </w:rPr>
        <w:t>ويلاحظ التقرير وجود مئات من حالات الانتهاك كل عام لما يقدّر بـ 2.5 مليون عامل إندونيسي مهاجر في الخارج، تبلغ نسبة النساء بينهم أكثر من 70 في المائة، وأنه لم</w:t>
      </w:r>
      <w:r w:rsidR="00FB5572">
        <w:rPr>
          <w:rFonts w:hint="eastAsia"/>
          <w:rtl/>
        </w:rPr>
        <w:t> </w:t>
      </w:r>
      <w:r w:rsidR="00FB5572">
        <w:rPr>
          <w:rFonts w:hint="cs"/>
          <w:rtl/>
        </w:rPr>
        <w:t xml:space="preserve">يبذل </w:t>
      </w:r>
      <w:r w:rsidRPr="00EC5909">
        <w:rPr>
          <w:rFonts w:hint="cs"/>
          <w:rtl/>
        </w:rPr>
        <w:t>سوى أقل القليل لتزويدهم بالحماية أو التأهيل الملائم قبل المغادرة (الفقرة 108). وأعربت اللجنة في تعليقاتها الختامية السابقة أيضاً عن القلق إزاء الاتجار بالنساء المهاجرات في الخارج لأغراض البغاء</w:t>
      </w:r>
      <w:r w:rsidR="00FB5572" w:rsidRPr="00FB5572">
        <w:rPr>
          <w:vertAlign w:val="superscript"/>
          <w:rtl/>
        </w:rPr>
        <w:t>(</w:t>
      </w:r>
      <w:r w:rsidR="00FB5572">
        <w:rPr>
          <w:rStyle w:val="FootnoteReference"/>
          <w:rtl/>
        </w:rPr>
        <w:footnoteReference w:id="6"/>
      </w:r>
      <w:r w:rsidR="00FB5572" w:rsidRPr="00FB5572">
        <w:rPr>
          <w:vertAlign w:val="superscript"/>
          <w:rtl/>
        </w:rPr>
        <w:t>)</w:t>
      </w:r>
      <w:r w:rsidRPr="00EC5909">
        <w:rPr>
          <w:rFonts w:hint="cs"/>
          <w:rtl/>
        </w:rPr>
        <w:t xml:space="preserve">. </w:t>
      </w:r>
      <w:r w:rsidR="00FB5572">
        <w:rPr>
          <w:rFonts w:hint="cs"/>
          <w:rtl/>
        </w:rPr>
        <w:t>ف</w:t>
      </w:r>
      <w:r w:rsidRPr="00EC5909">
        <w:rPr>
          <w:rFonts w:hint="cs"/>
          <w:rtl/>
        </w:rPr>
        <w:t xml:space="preserve">يرجى وصف التدابير المحددة المعمول بها من أجل التصدي لهذه المشكلة والإجراءات الإضافية التي سيجري اتخاذها لحماية هؤلاء النساء المهاجرات في الخارج من </w:t>
      </w:r>
      <w:r w:rsidR="00FB5572">
        <w:rPr>
          <w:rFonts w:hint="cs"/>
          <w:rtl/>
        </w:rPr>
        <w:t xml:space="preserve">الإيذاء </w:t>
      </w:r>
      <w:r w:rsidRPr="00EC5909">
        <w:rPr>
          <w:rFonts w:hint="cs"/>
          <w:rtl/>
        </w:rPr>
        <w:t xml:space="preserve">والعمل في البغاء. </w:t>
      </w:r>
    </w:p>
    <w:p w:rsidR="00FB5572" w:rsidRPr="00FB5572" w:rsidRDefault="00FB5572" w:rsidP="00FB5572">
      <w:pPr>
        <w:pStyle w:val="SingleTxt"/>
        <w:spacing w:after="0" w:line="120" w:lineRule="exact"/>
        <w:rPr>
          <w:rFonts w:hint="cs"/>
          <w:b/>
          <w:bCs/>
          <w:sz w:val="10"/>
          <w:rtl/>
        </w:rPr>
      </w:pPr>
    </w:p>
    <w:p w:rsidR="00EC5909" w:rsidRPr="00EC5909" w:rsidRDefault="000B5924" w:rsidP="000B5924">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r>
      <w:r w:rsidR="00EC5909" w:rsidRPr="00EC5909">
        <w:rPr>
          <w:rFonts w:hint="cs"/>
          <w:rtl/>
        </w:rPr>
        <w:t>المشاركة في الحياة العامة وصنع القرار</w:t>
      </w:r>
    </w:p>
    <w:p w:rsidR="00EC5909" w:rsidRPr="00EC5909" w:rsidRDefault="00EC5909" w:rsidP="00FB5572">
      <w:pPr>
        <w:pStyle w:val="SingleTxt"/>
        <w:rPr>
          <w:rFonts w:hint="cs"/>
          <w:rtl/>
        </w:rPr>
      </w:pPr>
      <w:r w:rsidRPr="00EC5909">
        <w:rPr>
          <w:rFonts w:hint="cs"/>
          <w:rtl/>
        </w:rPr>
        <w:t>15</w:t>
      </w:r>
      <w:r w:rsidR="00FB5572">
        <w:rPr>
          <w:rFonts w:hint="cs"/>
          <w:rtl/>
        </w:rPr>
        <w:t xml:space="preserve"> </w:t>
      </w:r>
      <w:r w:rsidRPr="00EC5909">
        <w:rPr>
          <w:rFonts w:hint="cs"/>
          <w:rtl/>
        </w:rPr>
        <w:t>-</w:t>
      </w:r>
      <w:r w:rsidR="00FB5572">
        <w:rPr>
          <w:rFonts w:hint="cs"/>
          <w:rtl/>
        </w:rPr>
        <w:tab/>
      </w:r>
      <w:r w:rsidRPr="00EC5909">
        <w:rPr>
          <w:rFonts w:hint="cs"/>
          <w:rtl/>
        </w:rPr>
        <w:t xml:space="preserve">على الرغم من اعتماد القانون رقم 12 لعام 2003 بشأن الانتخابات العامة، الذي ينص على ضرورة </w:t>
      </w:r>
      <w:r w:rsidR="00FB5572">
        <w:rPr>
          <w:rFonts w:hint="cs"/>
          <w:rtl/>
        </w:rPr>
        <w:t xml:space="preserve">أن تشكل </w:t>
      </w:r>
      <w:r w:rsidRPr="00EC5909">
        <w:rPr>
          <w:rFonts w:hint="cs"/>
          <w:rtl/>
        </w:rPr>
        <w:t xml:space="preserve">النساء ما لا يقل عن 30 في المائة من مرشحي الأحزاب السياسية بالمجلس التشريعي (الفقرة 76)، فإن التقرير يقر بأن عدد النساء المرشحات </w:t>
      </w:r>
      <w:r w:rsidR="00FB5572">
        <w:rPr>
          <w:rFonts w:hint="cs"/>
          <w:rtl/>
        </w:rPr>
        <w:t xml:space="preserve">في </w:t>
      </w:r>
      <w:r w:rsidRPr="00EC5909">
        <w:rPr>
          <w:rFonts w:hint="cs"/>
          <w:rtl/>
        </w:rPr>
        <w:t xml:space="preserve">أغلب الأحزاب السياسية يقل عن هذا. </w:t>
      </w:r>
      <w:r w:rsidR="000B5924">
        <w:rPr>
          <w:rFonts w:hint="cs"/>
          <w:rtl/>
        </w:rPr>
        <w:t>ف</w:t>
      </w:r>
      <w:r w:rsidRPr="00EC5909">
        <w:rPr>
          <w:rFonts w:hint="cs"/>
          <w:rtl/>
        </w:rPr>
        <w:t xml:space="preserve">يرجى بيان الجزاءات التي ينص عليها القانون في حالة عدم الامتثال، إن وجدت، والتدابير الأخرى المتخذة لتحقيق الامتثال لهذا القانون. </w:t>
      </w:r>
    </w:p>
    <w:p w:rsidR="00EC5909" w:rsidRPr="00EC5909" w:rsidRDefault="00EC5909" w:rsidP="00FB5572">
      <w:pPr>
        <w:pStyle w:val="SingleTxt"/>
        <w:rPr>
          <w:rFonts w:hint="cs"/>
          <w:rtl/>
        </w:rPr>
      </w:pPr>
      <w:r w:rsidRPr="00EC5909">
        <w:rPr>
          <w:rFonts w:hint="cs"/>
          <w:rtl/>
        </w:rPr>
        <w:t>16</w:t>
      </w:r>
      <w:r w:rsidR="00FB5572">
        <w:rPr>
          <w:rFonts w:hint="cs"/>
          <w:rtl/>
        </w:rPr>
        <w:t xml:space="preserve"> </w:t>
      </w:r>
      <w:r w:rsidRPr="00EC5909">
        <w:rPr>
          <w:rFonts w:hint="cs"/>
          <w:rtl/>
        </w:rPr>
        <w:t>-</w:t>
      </w:r>
      <w:r w:rsidR="00FB5572">
        <w:rPr>
          <w:rFonts w:hint="cs"/>
          <w:rtl/>
        </w:rPr>
        <w:tab/>
      </w:r>
      <w:r w:rsidRPr="00EC5909">
        <w:rPr>
          <w:rFonts w:hint="cs"/>
          <w:rtl/>
        </w:rPr>
        <w:t xml:space="preserve">ويبين التقرير الانخفاض الكبير في تمثيل النساء على الساحة العامة والسياسية، بما في ذلك البرلمان، والوزارات، والمؤسسات الحكومية غير الوزارية، والقضاء، والسلك الدبلوماسي. </w:t>
      </w:r>
      <w:r w:rsidR="00FB5572">
        <w:rPr>
          <w:rFonts w:hint="cs"/>
          <w:rtl/>
        </w:rPr>
        <w:t>ف</w:t>
      </w:r>
      <w:r w:rsidRPr="00EC5909">
        <w:rPr>
          <w:rFonts w:hint="cs"/>
          <w:rtl/>
        </w:rPr>
        <w:t xml:space="preserve">يرجى تقديم معلومات عن أي تدابير وأنشطة معمول بها للتصدي لهذا الوضع، بما في ذلك التدابير الخاصة المؤقتة، بما يتماشى مع الفقرة 1 من المادة 4 من الاتفاقية، والتوصية العامة للجنة رقم 25 وما لها من أثر. </w:t>
      </w:r>
    </w:p>
    <w:p w:rsidR="00FB5572" w:rsidRPr="00FB5572" w:rsidRDefault="00FB5572" w:rsidP="00FB5572">
      <w:pPr>
        <w:pStyle w:val="SingleTxt"/>
        <w:spacing w:after="0" w:line="120" w:lineRule="exact"/>
        <w:rPr>
          <w:rFonts w:hint="cs"/>
          <w:b/>
          <w:bCs/>
          <w:sz w:val="10"/>
          <w:rtl/>
        </w:rPr>
      </w:pPr>
    </w:p>
    <w:p w:rsidR="00EC5909" w:rsidRPr="00EC5909" w:rsidRDefault="000B5924" w:rsidP="000B5924">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r>
      <w:r w:rsidR="00EC5909" w:rsidRPr="00EC5909">
        <w:rPr>
          <w:rFonts w:hint="cs"/>
          <w:rtl/>
        </w:rPr>
        <w:t>الجنسي</w:t>
      </w:r>
      <w:r>
        <w:rPr>
          <w:rFonts w:hint="cs"/>
          <w:rtl/>
        </w:rPr>
        <w:t>ة</w:t>
      </w:r>
    </w:p>
    <w:p w:rsidR="00EC5909" w:rsidRPr="00EC5909" w:rsidRDefault="00EC5909" w:rsidP="000B5924">
      <w:pPr>
        <w:pStyle w:val="SingleTxt"/>
        <w:rPr>
          <w:rFonts w:hint="cs"/>
          <w:rtl/>
        </w:rPr>
      </w:pPr>
      <w:r w:rsidRPr="00EC5909">
        <w:rPr>
          <w:rFonts w:hint="cs"/>
          <w:rtl/>
        </w:rPr>
        <w:t>17</w:t>
      </w:r>
      <w:r w:rsidR="00FB5572">
        <w:rPr>
          <w:rFonts w:hint="cs"/>
          <w:rtl/>
        </w:rPr>
        <w:t xml:space="preserve"> </w:t>
      </w:r>
      <w:r w:rsidRPr="00EC5909">
        <w:rPr>
          <w:rFonts w:hint="cs"/>
          <w:rtl/>
        </w:rPr>
        <w:t>-</w:t>
      </w:r>
      <w:r w:rsidR="00FB5572">
        <w:rPr>
          <w:rFonts w:hint="cs"/>
          <w:rtl/>
        </w:rPr>
        <w:tab/>
      </w:r>
      <w:r w:rsidRPr="00EC5909">
        <w:rPr>
          <w:rFonts w:hint="cs"/>
          <w:rtl/>
        </w:rPr>
        <w:t xml:space="preserve">يرجى بيان وضع مشروع قانون الجنسية في جمهورية إندونيسيا (المعدِّل للقانون رقم 62 لعام 1958) (الفقرة 89) وتوضيح كيف سيلبي جميع متطلبات المادة 9 من الاتفاقية. </w:t>
      </w:r>
    </w:p>
    <w:p w:rsidR="00FB5572" w:rsidRPr="00FB5572" w:rsidRDefault="00FB5572" w:rsidP="00FB5572">
      <w:pPr>
        <w:pStyle w:val="SingleTxt"/>
        <w:spacing w:after="0" w:line="120" w:lineRule="exact"/>
        <w:rPr>
          <w:rFonts w:hint="cs"/>
          <w:b/>
          <w:bCs/>
          <w:sz w:val="10"/>
          <w:rtl/>
        </w:rPr>
      </w:pPr>
    </w:p>
    <w:p w:rsidR="00EC5909" w:rsidRPr="00EC5909" w:rsidRDefault="000B5924" w:rsidP="000B5924">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r>
      <w:r w:rsidR="00EC5909" w:rsidRPr="00EC5909">
        <w:rPr>
          <w:rFonts w:hint="cs"/>
          <w:rtl/>
        </w:rPr>
        <w:t>العمالة والفقر</w:t>
      </w:r>
    </w:p>
    <w:p w:rsidR="00EC5909" w:rsidRPr="00EC5909" w:rsidRDefault="00EC5909" w:rsidP="000B5924">
      <w:pPr>
        <w:pStyle w:val="SingleTxt"/>
        <w:rPr>
          <w:rFonts w:hint="cs"/>
          <w:rtl/>
        </w:rPr>
      </w:pPr>
      <w:r w:rsidRPr="00EC5909">
        <w:rPr>
          <w:rFonts w:hint="cs"/>
          <w:rtl/>
        </w:rPr>
        <w:t>18</w:t>
      </w:r>
      <w:r w:rsidR="00FB5572">
        <w:rPr>
          <w:rFonts w:hint="cs"/>
          <w:rtl/>
        </w:rPr>
        <w:t xml:space="preserve"> </w:t>
      </w:r>
      <w:r w:rsidRPr="00EC5909">
        <w:rPr>
          <w:rFonts w:hint="cs"/>
          <w:rtl/>
        </w:rPr>
        <w:t>-</w:t>
      </w:r>
      <w:r w:rsidR="00FB5572">
        <w:rPr>
          <w:rFonts w:hint="cs"/>
          <w:rtl/>
        </w:rPr>
        <w:tab/>
      </w:r>
      <w:r w:rsidRPr="00EC5909">
        <w:rPr>
          <w:rFonts w:hint="cs"/>
          <w:rtl/>
        </w:rPr>
        <w:t xml:space="preserve">يدرك التقرير أن النساء يحصلن دوماً على رواتب تقل بشكل كبير عن رواتب الرجال مقابل أداء نفس العمل (الفقرة 106) على الرغم من وجود </w:t>
      </w:r>
      <w:r w:rsidR="00FB5572">
        <w:rPr>
          <w:rFonts w:hint="cs"/>
          <w:rtl/>
        </w:rPr>
        <w:t xml:space="preserve">اللائحة </w:t>
      </w:r>
      <w:r w:rsidRPr="00EC5909">
        <w:rPr>
          <w:rFonts w:hint="cs"/>
          <w:rtl/>
        </w:rPr>
        <w:t>الحكومي</w:t>
      </w:r>
      <w:r w:rsidR="00FB5572">
        <w:rPr>
          <w:rFonts w:hint="cs"/>
          <w:rtl/>
        </w:rPr>
        <w:t>ة رقم</w:t>
      </w:r>
      <w:r w:rsidR="00FB5572">
        <w:rPr>
          <w:rFonts w:hint="eastAsia"/>
          <w:rtl/>
        </w:rPr>
        <w:t> </w:t>
      </w:r>
      <w:r w:rsidRPr="00EC5909">
        <w:rPr>
          <w:rFonts w:hint="cs"/>
          <w:rtl/>
        </w:rPr>
        <w:t xml:space="preserve">8 لعام 1981 بشأن حماية الأجور والتصديق على الاتفاقية رقم 100 الصادرة عن منظمة العمل الدولية والمتعلقة بالمساواة بين العمال والعاملات في الأجر عن العمل المتساوي في القيمة (الفقرة 115). </w:t>
      </w:r>
      <w:r w:rsidR="00FB5572">
        <w:rPr>
          <w:rFonts w:hint="cs"/>
          <w:rtl/>
        </w:rPr>
        <w:t>ف</w:t>
      </w:r>
      <w:r w:rsidRPr="00EC5909">
        <w:rPr>
          <w:rFonts w:hint="cs"/>
          <w:rtl/>
        </w:rPr>
        <w:t xml:space="preserve">يرجى بيان الخطوات التي اتخذتها الحكومة لضمان الامتثال للائحة وللاتفاقية رقم 100 الصادرة عن منظمة العمل الدولية، والتدابير المعمول بها لتعزيز معارف النساء بالقانون والقدرة على المطالبة بحقوقهن. </w:t>
      </w:r>
    </w:p>
    <w:p w:rsidR="00EC5909" w:rsidRPr="00EC5909" w:rsidRDefault="00EC5909" w:rsidP="000B5924">
      <w:pPr>
        <w:pStyle w:val="SingleTxt"/>
        <w:rPr>
          <w:rFonts w:hint="cs"/>
          <w:rtl/>
        </w:rPr>
      </w:pPr>
      <w:r w:rsidRPr="00EC5909">
        <w:rPr>
          <w:rFonts w:hint="cs"/>
          <w:rtl/>
        </w:rPr>
        <w:t>19</w:t>
      </w:r>
      <w:r w:rsidR="00FB5572">
        <w:rPr>
          <w:rFonts w:hint="cs"/>
          <w:rtl/>
        </w:rPr>
        <w:t xml:space="preserve"> </w:t>
      </w:r>
      <w:r w:rsidRPr="00EC5909">
        <w:rPr>
          <w:rFonts w:hint="cs"/>
          <w:rtl/>
        </w:rPr>
        <w:t>-</w:t>
      </w:r>
      <w:r w:rsidR="00FB5572">
        <w:rPr>
          <w:rFonts w:hint="cs"/>
          <w:rtl/>
        </w:rPr>
        <w:tab/>
      </w:r>
      <w:r w:rsidRPr="00EC5909">
        <w:rPr>
          <w:rFonts w:hint="cs"/>
          <w:rtl/>
        </w:rPr>
        <w:t xml:space="preserve">ويدرك التقرير أن الحكومة لم تتمكن من إنفاذ أحكام تتعلق بالحق في تلقي استحقاقات الأسرة عن كل المشاريع الخاصة، غير أنها تعمل على نحو وثيق مع منظمات المجتمع المدني لصياغة مبادئ توجيهية تتعلق بتكافؤ الفرص في مجال العمل بغية التعجيل بالتنفيذ الكامل لمعايير العمل الدولية (الفقرة 145). </w:t>
      </w:r>
      <w:r w:rsidR="00FB5572">
        <w:rPr>
          <w:rFonts w:hint="cs"/>
          <w:rtl/>
        </w:rPr>
        <w:t>ف</w:t>
      </w:r>
      <w:r w:rsidRPr="00EC5909">
        <w:rPr>
          <w:rFonts w:hint="cs"/>
          <w:rtl/>
        </w:rPr>
        <w:t xml:space="preserve">يرجى تقديم معلومات عن محتوى المبادئ التوجيهية ووضعها، بالإضافة إلى التدابير الأخرى المتخذة لضمان الامتثال داخل القطاع الخاص للجنة المعنية بالقضاء على التمييز ضد المرأة. </w:t>
      </w:r>
    </w:p>
    <w:p w:rsidR="00EC5909" w:rsidRPr="00EC5909" w:rsidRDefault="00EC5909" w:rsidP="000B5924">
      <w:pPr>
        <w:pStyle w:val="SingleTxt"/>
        <w:rPr>
          <w:rFonts w:hint="cs"/>
          <w:rtl/>
        </w:rPr>
      </w:pPr>
      <w:r w:rsidRPr="00EC5909">
        <w:rPr>
          <w:rFonts w:hint="cs"/>
          <w:rtl/>
        </w:rPr>
        <w:t>20</w:t>
      </w:r>
      <w:r w:rsidR="00FB5572">
        <w:rPr>
          <w:rFonts w:hint="cs"/>
          <w:rtl/>
        </w:rPr>
        <w:t xml:space="preserve"> </w:t>
      </w:r>
      <w:r w:rsidRPr="00EC5909">
        <w:rPr>
          <w:rFonts w:hint="cs"/>
          <w:rtl/>
        </w:rPr>
        <w:t>-</w:t>
      </w:r>
      <w:r w:rsidR="00FB5572">
        <w:rPr>
          <w:rFonts w:hint="cs"/>
          <w:rtl/>
        </w:rPr>
        <w:tab/>
        <w:t>و</w:t>
      </w:r>
      <w:r w:rsidRPr="00EC5909">
        <w:rPr>
          <w:rFonts w:hint="cs"/>
          <w:rtl/>
        </w:rPr>
        <w:t xml:space="preserve">يرجى توضيح ما إذا كان العاملون في القطاع غير الرسمي، ومنهم كثيرون من النساء، مؤهلين للمشاركة في نظام الضمان الاجتماعي للعاملين (جامسوستيك)، وإن كان الأمر كذلك، </w:t>
      </w:r>
      <w:r w:rsidR="00FB5572">
        <w:rPr>
          <w:rFonts w:hint="cs"/>
          <w:rtl/>
        </w:rPr>
        <w:t>ف</w:t>
      </w:r>
      <w:r w:rsidRPr="00EC5909">
        <w:rPr>
          <w:rFonts w:hint="cs"/>
          <w:rtl/>
        </w:rPr>
        <w:t xml:space="preserve">يرجى تقديم بيانات مصنفة بحسب </w:t>
      </w:r>
      <w:r w:rsidR="00FB5572">
        <w:rPr>
          <w:rFonts w:hint="cs"/>
          <w:rtl/>
        </w:rPr>
        <w:t xml:space="preserve">نوع </w:t>
      </w:r>
      <w:r w:rsidR="000B5924">
        <w:rPr>
          <w:rFonts w:hint="cs"/>
          <w:rtl/>
        </w:rPr>
        <w:t>الجنس عن نطاق تلك المشاركة.</w:t>
      </w:r>
    </w:p>
    <w:p w:rsidR="00EC5909" w:rsidRPr="00EC5909" w:rsidRDefault="00EC5909" w:rsidP="000B5924">
      <w:pPr>
        <w:pStyle w:val="SingleTxt"/>
        <w:rPr>
          <w:rFonts w:hint="cs"/>
          <w:rtl/>
        </w:rPr>
      </w:pPr>
      <w:r w:rsidRPr="00EC5909">
        <w:rPr>
          <w:rFonts w:hint="cs"/>
          <w:rtl/>
        </w:rPr>
        <w:t>21</w:t>
      </w:r>
      <w:r w:rsidR="00FB5572">
        <w:rPr>
          <w:rFonts w:hint="cs"/>
          <w:rtl/>
        </w:rPr>
        <w:t xml:space="preserve"> -</w:t>
      </w:r>
      <w:r w:rsidR="00FB5572">
        <w:rPr>
          <w:rFonts w:hint="cs"/>
          <w:rtl/>
        </w:rPr>
        <w:tab/>
      </w:r>
      <w:r w:rsidRPr="00EC5909">
        <w:rPr>
          <w:rFonts w:hint="cs"/>
          <w:rtl/>
        </w:rPr>
        <w:t>ويلاحظ التقرير أن الفريق العامل المشترك بين الإدارات لتحقيق المساواة في عالم العمل يعمل مع منظمات المجتمع المدني وغيرها على مواءمة التشريعات واللوائح من أجل تحسين سبل استفادة النساء من دعم الرعاية الاجتماعية، والقروض المصرفية، والائتمان، وفرص حصولهن عليها (الفقرتان 146 و</w:t>
      </w:r>
      <w:r w:rsidR="00FB5572">
        <w:rPr>
          <w:rFonts w:hint="cs"/>
          <w:rtl/>
        </w:rPr>
        <w:t xml:space="preserve"> </w:t>
      </w:r>
      <w:r w:rsidRPr="00EC5909">
        <w:rPr>
          <w:rFonts w:hint="cs"/>
          <w:rtl/>
        </w:rPr>
        <w:t xml:space="preserve">147). </w:t>
      </w:r>
      <w:r w:rsidR="00FB5572">
        <w:rPr>
          <w:rFonts w:hint="cs"/>
          <w:rtl/>
        </w:rPr>
        <w:t>ف</w:t>
      </w:r>
      <w:r w:rsidRPr="00EC5909">
        <w:rPr>
          <w:rFonts w:hint="cs"/>
          <w:rtl/>
        </w:rPr>
        <w:t>يرجى تقديم معلومات عن الأنشطة، و</w:t>
      </w:r>
      <w:r w:rsidR="00FB5572">
        <w:rPr>
          <w:rFonts w:hint="cs"/>
          <w:rtl/>
        </w:rPr>
        <w:t xml:space="preserve">تأثير </w:t>
      </w:r>
      <w:r w:rsidRPr="00EC5909">
        <w:rPr>
          <w:rFonts w:hint="cs"/>
          <w:rtl/>
        </w:rPr>
        <w:t>الفريق العامل المشترك بين الإدارات. ويرجى تقديم معلومات عما إذا كان فريق العمل تناول غير ذلك من القوانين التمييزية في عالم العمل، بما في ذلك الشرط الذي يقضي بحصول المرأة على موافقة أسرتها على العمل ليلاً (الفقرة 116)، والذي لوحظ مع القلق في التعليقات الختامية السابقة للجنة</w:t>
      </w:r>
      <w:r w:rsidR="00A60CFF" w:rsidRPr="00A60CFF">
        <w:rPr>
          <w:vertAlign w:val="superscript"/>
          <w:rtl/>
        </w:rPr>
        <w:t>(</w:t>
      </w:r>
      <w:r w:rsidR="00A60CFF">
        <w:rPr>
          <w:rStyle w:val="FootnoteReference"/>
          <w:rtl/>
        </w:rPr>
        <w:footnoteReference w:id="7"/>
      </w:r>
      <w:r w:rsidR="00A60CFF" w:rsidRPr="00A60CFF">
        <w:rPr>
          <w:vertAlign w:val="superscript"/>
          <w:rtl/>
        </w:rPr>
        <w:t>)</w:t>
      </w:r>
      <w:r w:rsidR="000B5924">
        <w:rPr>
          <w:rFonts w:hint="cs"/>
          <w:rtl/>
        </w:rPr>
        <w:t>.</w:t>
      </w:r>
    </w:p>
    <w:p w:rsidR="00EC5909" w:rsidRPr="00EC5909" w:rsidRDefault="00EC5909" w:rsidP="000B5924">
      <w:pPr>
        <w:pStyle w:val="SingleTxt"/>
        <w:rPr>
          <w:rFonts w:hint="cs"/>
          <w:rtl/>
        </w:rPr>
      </w:pPr>
      <w:r w:rsidRPr="00EC5909">
        <w:rPr>
          <w:rFonts w:hint="cs"/>
          <w:rtl/>
        </w:rPr>
        <w:t>22</w:t>
      </w:r>
      <w:r w:rsidR="00FB5572">
        <w:rPr>
          <w:rFonts w:hint="cs"/>
          <w:rtl/>
        </w:rPr>
        <w:t xml:space="preserve"> </w:t>
      </w:r>
      <w:r w:rsidRPr="00EC5909">
        <w:rPr>
          <w:rFonts w:hint="cs"/>
          <w:rtl/>
        </w:rPr>
        <w:t>-</w:t>
      </w:r>
      <w:r w:rsidR="00FB5572">
        <w:rPr>
          <w:rFonts w:hint="cs"/>
          <w:rtl/>
        </w:rPr>
        <w:tab/>
        <w:t>و</w:t>
      </w:r>
      <w:r w:rsidRPr="00EC5909">
        <w:rPr>
          <w:rFonts w:hint="cs"/>
          <w:rtl/>
        </w:rPr>
        <w:t xml:space="preserve">يرجى تقديم معلومات، بما في ذلك بيانات مصنفة بحسب </w:t>
      </w:r>
      <w:r w:rsidR="00FB5572">
        <w:rPr>
          <w:rFonts w:hint="cs"/>
          <w:rtl/>
        </w:rPr>
        <w:t xml:space="preserve">نوع </w:t>
      </w:r>
      <w:r w:rsidRPr="00EC5909">
        <w:rPr>
          <w:rFonts w:hint="cs"/>
          <w:rtl/>
        </w:rPr>
        <w:t xml:space="preserve">الجنس، عن استفادة النساء من الرهونات، والقروض المصرفية، وغير ذلك من أشكال الائتمان المالي. </w:t>
      </w:r>
    </w:p>
    <w:p w:rsidR="00EC5909" w:rsidRPr="00EC5909" w:rsidRDefault="00EC5909" w:rsidP="000B5924">
      <w:pPr>
        <w:pStyle w:val="SingleTxt"/>
        <w:rPr>
          <w:rFonts w:hint="cs"/>
          <w:rtl/>
        </w:rPr>
      </w:pPr>
      <w:r w:rsidRPr="00EC5909">
        <w:rPr>
          <w:rFonts w:hint="cs"/>
          <w:rtl/>
        </w:rPr>
        <w:t>23</w:t>
      </w:r>
      <w:r w:rsidR="00FB5572">
        <w:rPr>
          <w:rFonts w:hint="cs"/>
          <w:rtl/>
        </w:rPr>
        <w:t xml:space="preserve"> </w:t>
      </w:r>
      <w:r w:rsidRPr="00EC5909">
        <w:rPr>
          <w:rFonts w:hint="cs"/>
          <w:rtl/>
        </w:rPr>
        <w:t>-</w:t>
      </w:r>
      <w:r w:rsidR="00FB5572">
        <w:rPr>
          <w:rFonts w:hint="cs"/>
          <w:rtl/>
        </w:rPr>
        <w:tab/>
      </w:r>
      <w:r w:rsidRPr="00EC5909">
        <w:rPr>
          <w:rFonts w:hint="cs"/>
          <w:rtl/>
        </w:rPr>
        <w:t>و</w:t>
      </w:r>
      <w:r w:rsidR="00FB5572">
        <w:rPr>
          <w:rFonts w:hint="cs"/>
          <w:rtl/>
        </w:rPr>
        <w:t xml:space="preserve">يقر </w:t>
      </w:r>
      <w:r w:rsidRPr="00EC5909">
        <w:rPr>
          <w:rFonts w:hint="cs"/>
          <w:rtl/>
        </w:rPr>
        <w:t xml:space="preserve">التقرير </w:t>
      </w:r>
      <w:r w:rsidR="00FB5572">
        <w:rPr>
          <w:rFonts w:hint="cs"/>
          <w:rtl/>
        </w:rPr>
        <w:t xml:space="preserve">بأن </w:t>
      </w:r>
      <w:r w:rsidRPr="00EC5909">
        <w:rPr>
          <w:rFonts w:hint="cs"/>
          <w:rtl/>
        </w:rPr>
        <w:t>معاناة النساء والأطفال</w:t>
      </w:r>
      <w:r w:rsidR="00574556">
        <w:rPr>
          <w:rFonts w:hint="cs"/>
          <w:rtl/>
        </w:rPr>
        <w:t xml:space="preserve"> فاقت</w:t>
      </w:r>
      <w:r w:rsidRPr="00EC5909">
        <w:rPr>
          <w:rFonts w:hint="cs"/>
          <w:rtl/>
        </w:rPr>
        <w:t xml:space="preserve"> معاناة الرجال نتيجةً للأزمة الاقتصادية التي حدثت عام 1997 (الفقرات 8، و</w:t>
      </w:r>
      <w:r w:rsidR="00FB5572">
        <w:rPr>
          <w:rFonts w:hint="cs"/>
          <w:rtl/>
        </w:rPr>
        <w:t xml:space="preserve"> </w:t>
      </w:r>
      <w:r w:rsidRPr="00EC5909">
        <w:rPr>
          <w:rFonts w:hint="cs"/>
          <w:rtl/>
        </w:rPr>
        <w:t>111، و</w:t>
      </w:r>
      <w:r w:rsidR="00FB5572">
        <w:rPr>
          <w:rFonts w:hint="cs"/>
          <w:rtl/>
        </w:rPr>
        <w:t xml:space="preserve"> </w:t>
      </w:r>
      <w:r w:rsidRPr="00EC5909">
        <w:rPr>
          <w:rFonts w:hint="cs"/>
          <w:rtl/>
        </w:rPr>
        <w:t>148)، لا</w:t>
      </w:r>
      <w:r w:rsidR="00FB5572">
        <w:rPr>
          <w:rFonts w:hint="cs"/>
          <w:rtl/>
        </w:rPr>
        <w:t xml:space="preserve"> </w:t>
      </w:r>
      <w:r w:rsidRPr="00EC5909">
        <w:rPr>
          <w:rFonts w:hint="cs"/>
          <w:rtl/>
        </w:rPr>
        <w:t xml:space="preserve">سيما في مجال العمالة (الفقرة 113). </w:t>
      </w:r>
      <w:r w:rsidR="00574556">
        <w:rPr>
          <w:rFonts w:hint="cs"/>
          <w:rtl/>
        </w:rPr>
        <w:t>ف</w:t>
      </w:r>
      <w:r w:rsidRPr="00EC5909">
        <w:rPr>
          <w:rFonts w:hint="cs"/>
          <w:rtl/>
        </w:rPr>
        <w:t xml:space="preserve">يرجى بيان الكيفية التي تدرج بها خطط التنمية الوطنية أو </w:t>
      </w:r>
      <w:r w:rsidR="000B5924">
        <w:rPr>
          <w:rFonts w:hint="cs"/>
          <w:rtl/>
        </w:rPr>
        <w:t>استراتيجيات</w:t>
      </w:r>
      <w:r w:rsidRPr="00EC5909">
        <w:rPr>
          <w:rFonts w:hint="cs"/>
          <w:rtl/>
        </w:rPr>
        <w:t xml:space="preserve"> القضاء على الفقر المعمول بها في البلد، بما في ذلك الهادف منها إلى تحقيق الأهداف الإنمائية للألفية، المنظور الجنساني، وتسهم في تنفيذ الاتفاقية، وتستجيب لما ساور اللجنة من مخاوف في تعليقاتها الختامية السابقة</w:t>
      </w:r>
      <w:r w:rsidR="00574556" w:rsidRPr="00574556">
        <w:rPr>
          <w:vertAlign w:val="superscript"/>
          <w:rtl/>
        </w:rPr>
        <w:t>(</w:t>
      </w:r>
      <w:r w:rsidR="00574556">
        <w:rPr>
          <w:rStyle w:val="FootnoteReference"/>
          <w:rtl/>
        </w:rPr>
        <w:footnoteReference w:id="8"/>
      </w:r>
      <w:r w:rsidR="00574556" w:rsidRPr="00574556">
        <w:rPr>
          <w:vertAlign w:val="superscript"/>
          <w:rtl/>
        </w:rPr>
        <w:t>)</w:t>
      </w:r>
      <w:r w:rsidRPr="00EC5909">
        <w:rPr>
          <w:rFonts w:hint="cs"/>
          <w:rtl/>
        </w:rPr>
        <w:t>. ويرجى أيضاً تقديم معلومات عن أثر تنفيذ هذه السياسات على مستويات الفقر بين النساء، لا</w:t>
      </w:r>
      <w:r w:rsidR="00574556">
        <w:rPr>
          <w:rFonts w:hint="cs"/>
          <w:rtl/>
        </w:rPr>
        <w:t xml:space="preserve"> </w:t>
      </w:r>
      <w:r w:rsidRPr="00EC5909">
        <w:rPr>
          <w:rFonts w:hint="cs"/>
          <w:rtl/>
        </w:rPr>
        <w:t xml:space="preserve">سيما النساء الريفيات. </w:t>
      </w:r>
    </w:p>
    <w:p w:rsidR="00574556" w:rsidRPr="00574556" w:rsidRDefault="00574556" w:rsidP="00574556">
      <w:pPr>
        <w:pStyle w:val="SingleTxt"/>
        <w:spacing w:after="0" w:line="120" w:lineRule="exact"/>
        <w:rPr>
          <w:rFonts w:hint="cs"/>
          <w:b/>
          <w:bCs/>
          <w:sz w:val="10"/>
          <w:rtl/>
        </w:rPr>
      </w:pPr>
    </w:p>
    <w:p w:rsidR="00EC5909" w:rsidRPr="00EC5909" w:rsidRDefault="000B5924" w:rsidP="000B5924">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الصحة</w:t>
      </w:r>
    </w:p>
    <w:p w:rsidR="00EC5909" w:rsidRPr="000B5924" w:rsidRDefault="00EC5909" w:rsidP="00574556">
      <w:pPr>
        <w:pStyle w:val="SingleTxt"/>
        <w:rPr>
          <w:rFonts w:hint="cs"/>
          <w:w w:val="100"/>
          <w:rtl/>
        </w:rPr>
      </w:pPr>
      <w:r w:rsidRPr="000B5924">
        <w:rPr>
          <w:rFonts w:hint="cs"/>
          <w:w w:val="100"/>
          <w:rtl/>
        </w:rPr>
        <w:t>24</w:t>
      </w:r>
      <w:r w:rsidR="00574556" w:rsidRPr="000B5924">
        <w:rPr>
          <w:rFonts w:hint="cs"/>
          <w:w w:val="100"/>
          <w:rtl/>
        </w:rPr>
        <w:t xml:space="preserve"> </w:t>
      </w:r>
      <w:r w:rsidRPr="000B5924">
        <w:rPr>
          <w:rFonts w:hint="cs"/>
          <w:w w:val="100"/>
          <w:rtl/>
        </w:rPr>
        <w:t>-</w:t>
      </w:r>
      <w:r w:rsidR="00574556" w:rsidRPr="000B5924">
        <w:rPr>
          <w:rFonts w:hint="cs"/>
          <w:w w:val="100"/>
          <w:rtl/>
        </w:rPr>
        <w:tab/>
      </w:r>
      <w:r w:rsidRPr="000B5924">
        <w:rPr>
          <w:rFonts w:hint="cs"/>
          <w:w w:val="100"/>
          <w:rtl/>
        </w:rPr>
        <w:t xml:space="preserve">وفقاً للتقرير، تعد مسألة الحمل غير المرغوب </w:t>
      </w:r>
      <w:r w:rsidR="00574556" w:rsidRPr="000B5924">
        <w:rPr>
          <w:rFonts w:hint="cs"/>
          <w:w w:val="100"/>
          <w:rtl/>
        </w:rPr>
        <w:t xml:space="preserve">فيه </w:t>
      </w:r>
      <w:r w:rsidRPr="000B5924">
        <w:rPr>
          <w:rFonts w:hint="cs"/>
          <w:w w:val="100"/>
          <w:rtl/>
        </w:rPr>
        <w:t xml:space="preserve">الذي يؤدي إلى الإجهاض غير المأمون وما به من تعقيدات مشكلة رئيسية </w:t>
      </w:r>
      <w:r w:rsidR="00574556" w:rsidRPr="000B5924">
        <w:rPr>
          <w:rFonts w:hint="cs"/>
          <w:w w:val="100"/>
          <w:rtl/>
        </w:rPr>
        <w:t>ت</w:t>
      </w:r>
      <w:r w:rsidRPr="000B5924">
        <w:rPr>
          <w:rFonts w:hint="cs"/>
          <w:w w:val="100"/>
          <w:rtl/>
        </w:rPr>
        <w:t xml:space="preserve">واجهها </w:t>
      </w:r>
      <w:r w:rsidR="00574556" w:rsidRPr="000B5924">
        <w:rPr>
          <w:rFonts w:hint="cs"/>
          <w:w w:val="100"/>
          <w:rtl/>
        </w:rPr>
        <w:t xml:space="preserve">المراهقات </w:t>
      </w:r>
      <w:r w:rsidRPr="000B5924">
        <w:rPr>
          <w:rFonts w:hint="cs"/>
          <w:w w:val="100"/>
          <w:rtl/>
        </w:rPr>
        <w:t xml:space="preserve">(الفقرة 130)، </w:t>
      </w:r>
      <w:r w:rsidR="00574556" w:rsidRPr="000B5924">
        <w:rPr>
          <w:rFonts w:hint="cs"/>
          <w:w w:val="100"/>
          <w:rtl/>
        </w:rPr>
        <w:t xml:space="preserve">كما أن </w:t>
      </w:r>
      <w:r w:rsidRPr="000B5924">
        <w:rPr>
          <w:rFonts w:hint="cs"/>
          <w:w w:val="100"/>
          <w:rtl/>
        </w:rPr>
        <w:t xml:space="preserve">دراسة أجريت عام 1999 على </w:t>
      </w:r>
      <w:r w:rsidR="00574556" w:rsidRPr="000B5924">
        <w:rPr>
          <w:rFonts w:hint="cs"/>
          <w:w w:val="100"/>
          <w:rtl/>
        </w:rPr>
        <w:t>فتيات تتراوح أعمارهن</w:t>
      </w:r>
      <w:r w:rsidRPr="000B5924">
        <w:rPr>
          <w:rFonts w:hint="cs"/>
          <w:w w:val="100"/>
          <w:rtl/>
        </w:rPr>
        <w:t xml:space="preserve"> بين 15 و</w:t>
      </w:r>
      <w:r w:rsidR="00574556" w:rsidRPr="000B5924">
        <w:rPr>
          <w:rFonts w:hint="cs"/>
          <w:w w:val="100"/>
          <w:rtl/>
        </w:rPr>
        <w:t xml:space="preserve"> </w:t>
      </w:r>
      <w:r w:rsidRPr="000B5924">
        <w:rPr>
          <w:rFonts w:hint="cs"/>
          <w:w w:val="100"/>
          <w:rtl/>
        </w:rPr>
        <w:t xml:space="preserve">19 عاماً في أربع مقاطعات من إندونيسيا </w:t>
      </w:r>
      <w:r w:rsidR="00574556" w:rsidRPr="000B5924">
        <w:rPr>
          <w:rFonts w:hint="cs"/>
          <w:w w:val="100"/>
          <w:rtl/>
        </w:rPr>
        <w:t xml:space="preserve">كشفت </w:t>
      </w:r>
      <w:r w:rsidRPr="000B5924">
        <w:rPr>
          <w:rFonts w:hint="cs"/>
          <w:w w:val="100"/>
          <w:rtl/>
        </w:rPr>
        <w:t>أن 61 في المائة يحملن حملاً غير مرغوب</w:t>
      </w:r>
      <w:r w:rsidR="00574556" w:rsidRPr="000B5924">
        <w:rPr>
          <w:rFonts w:hint="cs"/>
          <w:w w:val="100"/>
          <w:rtl/>
        </w:rPr>
        <w:t xml:space="preserve"> فيه</w:t>
      </w:r>
      <w:r w:rsidRPr="000B5924">
        <w:rPr>
          <w:rFonts w:hint="cs"/>
          <w:w w:val="100"/>
          <w:rtl/>
        </w:rPr>
        <w:t>، وأن 12 في المائة منهن يقدمن على الإجهاض، و</w:t>
      </w:r>
      <w:r w:rsidR="00574556" w:rsidRPr="000B5924">
        <w:rPr>
          <w:rFonts w:hint="cs"/>
          <w:w w:val="100"/>
          <w:rtl/>
        </w:rPr>
        <w:t xml:space="preserve"> </w:t>
      </w:r>
      <w:r w:rsidRPr="000B5924">
        <w:rPr>
          <w:rFonts w:hint="cs"/>
          <w:w w:val="100"/>
          <w:rtl/>
        </w:rPr>
        <w:t xml:space="preserve">70 في المائة يجهضن أنفسهن بأنفسهن (الفقرة 131)، على الرغم من أن الإجهاض الذي يتم خارج المرافق الطبية المعتمدة أمر غير قانوني بموجب القانون الإندونيسي (الفقرة 132). </w:t>
      </w:r>
      <w:r w:rsidR="00574556" w:rsidRPr="000B5924">
        <w:rPr>
          <w:rFonts w:hint="cs"/>
          <w:w w:val="100"/>
          <w:rtl/>
        </w:rPr>
        <w:t>ف</w:t>
      </w:r>
      <w:r w:rsidRPr="000B5924">
        <w:rPr>
          <w:rFonts w:hint="cs"/>
          <w:w w:val="100"/>
          <w:rtl/>
        </w:rPr>
        <w:t xml:space="preserve">يرجى بيان التدابير الملموسة التي اتخِذت من أجل التصدي لمسألة حالات الحمل غير المرغوب </w:t>
      </w:r>
      <w:r w:rsidR="00574556" w:rsidRPr="000B5924">
        <w:rPr>
          <w:rFonts w:hint="cs"/>
          <w:w w:val="100"/>
          <w:rtl/>
        </w:rPr>
        <w:t xml:space="preserve">فيه </w:t>
      </w:r>
      <w:r w:rsidRPr="000B5924">
        <w:rPr>
          <w:rFonts w:hint="cs"/>
          <w:w w:val="100"/>
          <w:rtl/>
        </w:rPr>
        <w:t>وحالات الإجهاض، لا</w:t>
      </w:r>
      <w:r w:rsidR="00574556" w:rsidRPr="000B5924">
        <w:rPr>
          <w:rFonts w:hint="cs"/>
          <w:w w:val="100"/>
          <w:rtl/>
        </w:rPr>
        <w:t xml:space="preserve"> </w:t>
      </w:r>
      <w:r w:rsidRPr="000B5924">
        <w:rPr>
          <w:rFonts w:hint="cs"/>
          <w:w w:val="100"/>
          <w:rtl/>
        </w:rPr>
        <w:t xml:space="preserve">سيما بين المراهقات. وعلى وجه الخصوص، يرجى الاستفاضة حول توفر التعليم الجنسي المتناسب مع الأعمار، ومعلومات عن تنظيم الأسرة، ومجموعة متنوعة من وسائل تنظيم الأسرة، ومدى سهولة الحصول عليها. </w:t>
      </w:r>
    </w:p>
    <w:p w:rsidR="00EC5909" w:rsidRPr="00EC5909" w:rsidRDefault="00EC5909" w:rsidP="00574556">
      <w:pPr>
        <w:pStyle w:val="SingleTxt"/>
        <w:rPr>
          <w:rFonts w:hint="cs"/>
          <w:rtl/>
        </w:rPr>
      </w:pPr>
      <w:r w:rsidRPr="00EC5909">
        <w:rPr>
          <w:rFonts w:hint="cs"/>
          <w:rtl/>
        </w:rPr>
        <w:t>25</w:t>
      </w:r>
      <w:r w:rsidR="00574556">
        <w:rPr>
          <w:rFonts w:hint="cs"/>
          <w:rtl/>
        </w:rPr>
        <w:t xml:space="preserve"> </w:t>
      </w:r>
      <w:r w:rsidRPr="00EC5909">
        <w:rPr>
          <w:rFonts w:hint="cs"/>
          <w:rtl/>
        </w:rPr>
        <w:t>-</w:t>
      </w:r>
      <w:r w:rsidR="00574556">
        <w:rPr>
          <w:rFonts w:hint="cs"/>
          <w:rtl/>
        </w:rPr>
        <w:tab/>
        <w:t>و</w:t>
      </w:r>
      <w:r w:rsidRPr="00EC5909">
        <w:rPr>
          <w:rFonts w:hint="cs"/>
          <w:rtl/>
        </w:rPr>
        <w:t xml:space="preserve">يرجى تقديم بيانات مصنفة بحسب </w:t>
      </w:r>
      <w:r w:rsidR="00574556">
        <w:rPr>
          <w:rFonts w:hint="cs"/>
          <w:rtl/>
        </w:rPr>
        <w:t xml:space="preserve">نوع </w:t>
      </w:r>
      <w:r w:rsidRPr="00EC5909">
        <w:rPr>
          <w:rFonts w:hint="cs"/>
          <w:rtl/>
        </w:rPr>
        <w:t xml:space="preserve">الجنس عن </w:t>
      </w:r>
      <w:r w:rsidR="00574556">
        <w:rPr>
          <w:rFonts w:hint="cs"/>
          <w:rtl/>
        </w:rPr>
        <w:t>الإصابة بفيروس نقص المناعة البشرية/</w:t>
      </w:r>
      <w:r w:rsidRPr="00EC5909">
        <w:rPr>
          <w:rFonts w:hint="cs"/>
          <w:rtl/>
        </w:rPr>
        <w:t xml:space="preserve">الإيدز وانتقال العدوى من الأم إلى الطفل. </w:t>
      </w:r>
      <w:r w:rsidR="00574556">
        <w:rPr>
          <w:rFonts w:hint="cs"/>
          <w:rtl/>
        </w:rPr>
        <w:t>و</w:t>
      </w:r>
      <w:r w:rsidRPr="00EC5909">
        <w:rPr>
          <w:rFonts w:hint="cs"/>
          <w:rtl/>
        </w:rPr>
        <w:t>ما هو أثر الإجراءات المتخذة للحد من انتشار و</w:t>
      </w:r>
      <w:r w:rsidR="00574556">
        <w:rPr>
          <w:rFonts w:hint="cs"/>
          <w:rtl/>
        </w:rPr>
        <w:t>تفشي فيروس نقص المناعة البشرية/</w:t>
      </w:r>
      <w:r w:rsidRPr="00EC5909">
        <w:rPr>
          <w:rFonts w:hint="cs"/>
          <w:rtl/>
        </w:rPr>
        <w:t xml:space="preserve">الإيدز، ودحره؟ </w:t>
      </w:r>
    </w:p>
    <w:p w:rsidR="00EC5909" w:rsidRPr="00EC5909" w:rsidRDefault="00EC5909" w:rsidP="00574556">
      <w:pPr>
        <w:pStyle w:val="SingleTxt"/>
        <w:rPr>
          <w:rFonts w:hint="cs"/>
          <w:rtl/>
        </w:rPr>
      </w:pPr>
      <w:r w:rsidRPr="00EC5909">
        <w:rPr>
          <w:rFonts w:hint="cs"/>
          <w:rtl/>
        </w:rPr>
        <w:t>26</w:t>
      </w:r>
      <w:r w:rsidR="00574556">
        <w:rPr>
          <w:rFonts w:hint="cs"/>
          <w:rtl/>
        </w:rPr>
        <w:t xml:space="preserve"> </w:t>
      </w:r>
      <w:r w:rsidRPr="00EC5909">
        <w:rPr>
          <w:rFonts w:hint="cs"/>
          <w:rtl/>
        </w:rPr>
        <w:t>-</w:t>
      </w:r>
      <w:r w:rsidR="00574556">
        <w:rPr>
          <w:rFonts w:hint="cs"/>
          <w:rtl/>
        </w:rPr>
        <w:tab/>
        <w:t>و</w:t>
      </w:r>
      <w:r w:rsidRPr="00EC5909">
        <w:rPr>
          <w:rFonts w:hint="cs"/>
          <w:rtl/>
        </w:rPr>
        <w:t xml:space="preserve">يبين التقرير أن معدل وفيات الأمهات في إندونيسيا هو الأعلى بين بلدان رابطة أمم جنوب شرق آسيا (الفقرة 124). </w:t>
      </w:r>
      <w:r w:rsidR="00574556">
        <w:rPr>
          <w:rFonts w:hint="cs"/>
          <w:rtl/>
        </w:rPr>
        <w:t>و</w:t>
      </w:r>
      <w:r w:rsidRPr="00EC5909">
        <w:rPr>
          <w:rFonts w:hint="cs"/>
          <w:rtl/>
        </w:rPr>
        <w:t>يرجى وصف أي تدابير تتخذ للتصدي لهذه المشكلة، لا</w:t>
      </w:r>
      <w:r w:rsidR="00574556">
        <w:rPr>
          <w:rFonts w:hint="cs"/>
          <w:rtl/>
        </w:rPr>
        <w:t xml:space="preserve"> </w:t>
      </w:r>
      <w:r w:rsidRPr="00EC5909">
        <w:rPr>
          <w:rFonts w:hint="cs"/>
          <w:rtl/>
        </w:rPr>
        <w:t xml:space="preserve">سيما أي سياسات أو إجراءات تضمن وصول النساء إلى مرافق الصحة الإنجابية، خاصة بالنسبة لفقيرات الحضر، والنساء الريفيات، ونساء </w:t>
      </w:r>
      <w:r w:rsidR="00574556">
        <w:rPr>
          <w:rFonts w:hint="cs"/>
          <w:rtl/>
        </w:rPr>
        <w:t>المناطق النائية</w:t>
      </w:r>
      <w:r w:rsidRPr="00EC5909">
        <w:rPr>
          <w:rFonts w:hint="cs"/>
          <w:rtl/>
        </w:rPr>
        <w:t xml:space="preserve">. </w:t>
      </w:r>
    </w:p>
    <w:p w:rsidR="00574556" w:rsidRPr="00574556" w:rsidRDefault="00574556" w:rsidP="00574556">
      <w:pPr>
        <w:pStyle w:val="SingleTxt"/>
        <w:spacing w:after="0" w:line="120" w:lineRule="exact"/>
        <w:rPr>
          <w:rFonts w:hint="cs"/>
          <w:b/>
          <w:bCs/>
          <w:sz w:val="10"/>
          <w:rtl/>
        </w:rPr>
      </w:pPr>
    </w:p>
    <w:p w:rsidR="00EC5909" w:rsidRPr="00EC5909" w:rsidRDefault="003E69CA" w:rsidP="003E69CA">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r>
      <w:r w:rsidR="00EC5909" w:rsidRPr="00EC5909">
        <w:rPr>
          <w:rFonts w:hint="cs"/>
          <w:rtl/>
        </w:rPr>
        <w:t>الزوا</w:t>
      </w:r>
      <w:r>
        <w:rPr>
          <w:rFonts w:hint="cs"/>
          <w:rtl/>
        </w:rPr>
        <w:t>ج والعلاقات الأسرية</w:t>
      </w:r>
    </w:p>
    <w:p w:rsidR="00EC5909" w:rsidRPr="00EC5909" w:rsidRDefault="00EC5909" w:rsidP="00830596">
      <w:pPr>
        <w:pStyle w:val="SingleTxt"/>
        <w:spacing w:line="380" w:lineRule="exact"/>
        <w:rPr>
          <w:rFonts w:hint="cs"/>
          <w:rtl/>
        </w:rPr>
      </w:pPr>
      <w:r w:rsidRPr="00EC5909">
        <w:rPr>
          <w:rFonts w:hint="cs"/>
          <w:rtl/>
        </w:rPr>
        <w:t>27</w:t>
      </w:r>
      <w:r w:rsidR="00574556">
        <w:rPr>
          <w:rFonts w:hint="cs"/>
          <w:rtl/>
        </w:rPr>
        <w:t xml:space="preserve"> </w:t>
      </w:r>
      <w:r w:rsidRPr="00EC5909">
        <w:rPr>
          <w:rFonts w:hint="cs"/>
          <w:rtl/>
        </w:rPr>
        <w:t>-</w:t>
      </w:r>
      <w:r w:rsidR="00574556">
        <w:rPr>
          <w:rFonts w:hint="cs"/>
          <w:rtl/>
        </w:rPr>
        <w:tab/>
      </w:r>
      <w:r w:rsidRPr="00EC5909">
        <w:rPr>
          <w:rFonts w:hint="cs"/>
          <w:rtl/>
        </w:rPr>
        <w:t xml:space="preserve">يبين التقرير أن السن القانونية للزواج هي 16 </w:t>
      </w:r>
      <w:r w:rsidR="00574556">
        <w:rPr>
          <w:rFonts w:hint="cs"/>
          <w:rtl/>
        </w:rPr>
        <w:t xml:space="preserve">سنة للفتيات </w:t>
      </w:r>
      <w:r w:rsidRPr="00EC5909">
        <w:rPr>
          <w:rFonts w:hint="cs"/>
          <w:rtl/>
        </w:rPr>
        <w:t>و</w:t>
      </w:r>
      <w:r w:rsidR="00574556">
        <w:rPr>
          <w:rFonts w:hint="cs"/>
          <w:rtl/>
        </w:rPr>
        <w:t xml:space="preserve"> </w:t>
      </w:r>
      <w:r w:rsidRPr="00EC5909">
        <w:rPr>
          <w:rFonts w:hint="cs"/>
          <w:rtl/>
        </w:rPr>
        <w:t xml:space="preserve">19 </w:t>
      </w:r>
      <w:r w:rsidR="00574556">
        <w:rPr>
          <w:rFonts w:hint="cs"/>
          <w:rtl/>
        </w:rPr>
        <w:t xml:space="preserve">سنة </w:t>
      </w:r>
      <w:r w:rsidRPr="00EC5909">
        <w:rPr>
          <w:rFonts w:hint="cs"/>
          <w:rtl/>
        </w:rPr>
        <w:t>للأولاد (الفقرة 163)، الأمر الذي كان من دواعي قلق اللجنة في تعليقاتها الختامية السابقة</w:t>
      </w:r>
      <w:r w:rsidR="00574556" w:rsidRPr="00574556">
        <w:rPr>
          <w:vertAlign w:val="superscript"/>
          <w:rtl/>
        </w:rPr>
        <w:t>(</w:t>
      </w:r>
      <w:r w:rsidR="00574556">
        <w:rPr>
          <w:rStyle w:val="FootnoteReference"/>
          <w:rtl/>
        </w:rPr>
        <w:footnoteReference w:id="9"/>
      </w:r>
      <w:r w:rsidR="00574556" w:rsidRPr="00574556">
        <w:rPr>
          <w:vertAlign w:val="superscript"/>
          <w:rtl/>
        </w:rPr>
        <w:t>)</w:t>
      </w:r>
      <w:r w:rsidRPr="00EC5909">
        <w:rPr>
          <w:rFonts w:hint="cs"/>
          <w:rtl/>
        </w:rPr>
        <w:t xml:space="preserve">. </w:t>
      </w:r>
      <w:r w:rsidR="000B5924">
        <w:rPr>
          <w:rFonts w:hint="cs"/>
          <w:rtl/>
        </w:rPr>
        <w:t>ف</w:t>
      </w:r>
      <w:r w:rsidRPr="00EC5909">
        <w:rPr>
          <w:rFonts w:hint="cs"/>
          <w:rtl/>
        </w:rPr>
        <w:t xml:space="preserve">يرجى بيان الخطوات المتخذة من أجل رفع الحد الأدنى لسن زواج </w:t>
      </w:r>
      <w:r w:rsidR="00574556">
        <w:rPr>
          <w:rFonts w:hint="cs"/>
          <w:rtl/>
        </w:rPr>
        <w:t xml:space="preserve">الفتيات </w:t>
      </w:r>
      <w:r w:rsidRPr="00EC5909">
        <w:rPr>
          <w:rFonts w:hint="cs"/>
          <w:rtl/>
        </w:rPr>
        <w:t xml:space="preserve">إلى 18 عاماً، حتى يتماشى مع المادة 1 من اتفاقية حقوق الطفل، والمادة 16 من اتفاقية القضاء على جميع أشكال التمييز ضد المرأة، والتوصية العامة رقم 21 الصادرة عن اللجنة، وما إذا كان جدول زمني قد وضِع لإصدار مثل هذا التعديل. </w:t>
      </w:r>
    </w:p>
    <w:p w:rsidR="00EC5909" w:rsidRPr="00EC5909" w:rsidRDefault="00EC5909" w:rsidP="000B5924">
      <w:pPr>
        <w:pStyle w:val="SingleTxt"/>
        <w:rPr>
          <w:rFonts w:hint="cs"/>
          <w:rtl/>
        </w:rPr>
      </w:pPr>
      <w:r w:rsidRPr="00EC5909">
        <w:rPr>
          <w:rFonts w:hint="cs"/>
          <w:rtl/>
        </w:rPr>
        <w:t>28</w:t>
      </w:r>
      <w:r w:rsidR="00574556">
        <w:rPr>
          <w:rFonts w:hint="cs"/>
          <w:rtl/>
        </w:rPr>
        <w:t xml:space="preserve"> </w:t>
      </w:r>
      <w:r w:rsidRPr="00EC5909">
        <w:rPr>
          <w:rFonts w:hint="cs"/>
          <w:rtl/>
        </w:rPr>
        <w:t>-</w:t>
      </w:r>
      <w:r w:rsidR="00574556">
        <w:rPr>
          <w:rFonts w:hint="cs"/>
          <w:rtl/>
        </w:rPr>
        <w:tab/>
      </w:r>
      <w:r w:rsidRPr="00EC5909">
        <w:rPr>
          <w:rFonts w:hint="cs"/>
          <w:rtl/>
        </w:rPr>
        <w:t>و</w:t>
      </w:r>
      <w:r w:rsidR="00574556">
        <w:rPr>
          <w:rFonts w:hint="cs"/>
          <w:rtl/>
        </w:rPr>
        <w:t xml:space="preserve">يقر </w:t>
      </w:r>
      <w:r w:rsidRPr="00EC5909">
        <w:rPr>
          <w:rFonts w:hint="cs"/>
          <w:rtl/>
        </w:rPr>
        <w:t xml:space="preserve">التقرير </w:t>
      </w:r>
      <w:r w:rsidR="00574556">
        <w:rPr>
          <w:rFonts w:hint="cs"/>
          <w:rtl/>
        </w:rPr>
        <w:t>ب</w:t>
      </w:r>
      <w:r w:rsidRPr="00EC5909">
        <w:rPr>
          <w:rFonts w:hint="cs"/>
          <w:rtl/>
        </w:rPr>
        <w:t xml:space="preserve">أن زيجات الأطفال (لأشخاص تقل أعمارهم عن 16 عاماً) لا تزال منتشرة، فتصل في ارتفاعها إلى 16 في المائة في غرب </w:t>
      </w:r>
      <w:proofErr w:type="spellStart"/>
      <w:r w:rsidRPr="00EC5909">
        <w:rPr>
          <w:rFonts w:hint="cs"/>
          <w:rtl/>
        </w:rPr>
        <w:t>جاوة</w:t>
      </w:r>
      <w:proofErr w:type="spellEnd"/>
      <w:r w:rsidRPr="00EC5909">
        <w:rPr>
          <w:rFonts w:hint="cs"/>
          <w:rtl/>
        </w:rPr>
        <w:t xml:space="preserve">، وفقاً للاستقصاء الاقتصادي الاجتماعي الوطني (الفقرة 74). </w:t>
      </w:r>
      <w:r w:rsidR="000B5924">
        <w:rPr>
          <w:rFonts w:hint="cs"/>
          <w:rtl/>
        </w:rPr>
        <w:t>و</w:t>
      </w:r>
      <w:r w:rsidRPr="00EC5909">
        <w:rPr>
          <w:rFonts w:hint="cs"/>
          <w:rtl/>
        </w:rPr>
        <w:t xml:space="preserve">يرجى تفسير السبب وراء عدم الالتزام بالأحكام الواردة في القانون 23 لعام 2002. ويرجى أيضاً تقديم معلومات عن الجهود المحددة المتخذة للحد من انتشار زواج الأطفال، بما في ذلك الاقتراح بفرض جزاءات قانونية على الأفراد الذي يكرِهون طفلاً دون سن الـ 18 على الزواج (الفقرة 160 (و)). </w:t>
      </w:r>
    </w:p>
    <w:p w:rsidR="00EC5909" w:rsidRPr="00EC5909" w:rsidRDefault="00EC5909" w:rsidP="000B5924">
      <w:pPr>
        <w:pStyle w:val="SingleTxt"/>
        <w:rPr>
          <w:rFonts w:hint="cs"/>
          <w:rtl/>
        </w:rPr>
      </w:pPr>
      <w:r w:rsidRPr="00EC5909">
        <w:rPr>
          <w:rFonts w:hint="cs"/>
          <w:rtl/>
        </w:rPr>
        <w:t>29</w:t>
      </w:r>
      <w:r w:rsidR="00574556">
        <w:rPr>
          <w:rFonts w:hint="cs"/>
          <w:rtl/>
        </w:rPr>
        <w:t xml:space="preserve"> </w:t>
      </w:r>
      <w:r w:rsidRPr="00EC5909">
        <w:rPr>
          <w:rFonts w:hint="cs"/>
          <w:rtl/>
        </w:rPr>
        <w:t>-</w:t>
      </w:r>
      <w:r w:rsidR="00574556">
        <w:rPr>
          <w:rFonts w:hint="cs"/>
          <w:rtl/>
        </w:rPr>
        <w:tab/>
      </w:r>
      <w:r w:rsidRPr="00EC5909">
        <w:rPr>
          <w:rFonts w:hint="cs"/>
          <w:rtl/>
        </w:rPr>
        <w:t xml:space="preserve">ويلاحظ التقرير أن الاستنتاج الذي تم التوصل إليه بعد المراجعة الدقيقة لقانون الزواج رقم 1 لعام 1974، </w:t>
      </w:r>
      <w:r w:rsidR="00E5145E">
        <w:rPr>
          <w:rFonts w:hint="cs"/>
          <w:rtl/>
        </w:rPr>
        <w:t xml:space="preserve">المعمول </w:t>
      </w:r>
      <w:r w:rsidRPr="00EC5909">
        <w:rPr>
          <w:rFonts w:hint="cs"/>
          <w:rtl/>
        </w:rPr>
        <w:t>به منذ التصديق على اتفاقية القضاء على جميع أشكال التمييز ضد المرأة، أوصى بإدخال تنقيحات على القانون استناداً إلى كون بعض مواده تميز ضد المرأة، لا</w:t>
      </w:r>
      <w:r w:rsidR="00E5145E">
        <w:rPr>
          <w:rFonts w:hint="cs"/>
          <w:rtl/>
        </w:rPr>
        <w:t xml:space="preserve"> </w:t>
      </w:r>
      <w:r w:rsidRPr="00EC5909">
        <w:rPr>
          <w:rFonts w:hint="cs"/>
          <w:rtl/>
        </w:rPr>
        <w:t>سيما بالنسبة للمسؤوليات داخل الأسر</w:t>
      </w:r>
      <w:r w:rsidR="00E5145E">
        <w:rPr>
          <w:rFonts w:hint="cs"/>
          <w:rtl/>
        </w:rPr>
        <w:t xml:space="preserve"> المعيشية وتعدد الزوجات (الفقرة</w:t>
      </w:r>
      <w:r w:rsidR="00E5145E">
        <w:rPr>
          <w:rFonts w:hint="eastAsia"/>
          <w:rtl/>
        </w:rPr>
        <w:t> </w:t>
      </w:r>
      <w:r w:rsidRPr="00EC5909">
        <w:rPr>
          <w:rFonts w:hint="cs"/>
          <w:rtl/>
        </w:rPr>
        <w:t xml:space="preserve">161). </w:t>
      </w:r>
      <w:r w:rsidR="000B5924">
        <w:rPr>
          <w:rFonts w:hint="cs"/>
          <w:rtl/>
        </w:rPr>
        <w:t>ف</w:t>
      </w:r>
      <w:r w:rsidRPr="00EC5909">
        <w:rPr>
          <w:rFonts w:hint="cs"/>
          <w:rtl/>
        </w:rPr>
        <w:t xml:space="preserve">يرجى بيان الخطوات المتخذة لتنفيذ هذه التوصيات ولتعديل القانون، </w:t>
      </w:r>
      <w:r w:rsidR="00E5145E">
        <w:rPr>
          <w:rFonts w:hint="cs"/>
          <w:rtl/>
        </w:rPr>
        <w:t xml:space="preserve">على نحو ما </w:t>
      </w:r>
      <w:r w:rsidRPr="00EC5909">
        <w:rPr>
          <w:rFonts w:hint="cs"/>
          <w:rtl/>
        </w:rPr>
        <w:t>نص عليه في التعليقات الختامية السابقة للجنة</w:t>
      </w:r>
      <w:r w:rsidR="00E5145E" w:rsidRPr="00E5145E">
        <w:rPr>
          <w:vertAlign w:val="superscript"/>
          <w:rtl/>
        </w:rPr>
        <w:t>(</w:t>
      </w:r>
      <w:r w:rsidR="00E5145E">
        <w:rPr>
          <w:rStyle w:val="FootnoteReference"/>
          <w:rtl/>
        </w:rPr>
        <w:footnoteReference w:id="10"/>
      </w:r>
      <w:r w:rsidR="00E5145E" w:rsidRPr="00E5145E">
        <w:rPr>
          <w:vertAlign w:val="superscript"/>
          <w:rtl/>
        </w:rPr>
        <w:t>)</w:t>
      </w:r>
      <w:r w:rsidR="00E5145E">
        <w:rPr>
          <w:rFonts w:hint="cs"/>
          <w:rtl/>
        </w:rPr>
        <w:t>.</w:t>
      </w:r>
    </w:p>
    <w:p w:rsidR="00EC5909" w:rsidRPr="00EC5909" w:rsidRDefault="00EC5909" w:rsidP="000B5924">
      <w:pPr>
        <w:pStyle w:val="SingleTxt"/>
        <w:rPr>
          <w:rFonts w:hint="cs"/>
          <w:rtl/>
        </w:rPr>
      </w:pPr>
      <w:r w:rsidRPr="00EC5909">
        <w:rPr>
          <w:rFonts w:hint="cs"/>
          <w:rtl/>
        </w:rPr>
        <w:t>30</w:t>
      </w:r>
      <w:r w:rsidR="00E5145E">
        <w:rPr>
          <w:rFonts w:hint="cs"/>
          <w:rtl/>
        </w:rPr>
        <w:t xml:space="preserve"> -</w:t>
      </w:r>
      <w:r w:rsidR="00E5145E">
        <w:rPr>
          <w:rFonts w:hint="cs"/>
          <w:rtl/>
        </w:rPr>
        <w:tab/>
      </w:r>
      <w:r w:rsidRPr="00EC5909">
        <w:rPr>
          <w:rFonts w:hint="cs"/>
          <w:rtl/>
        </w:rPr>
        <w:t xml:space="preserve">وفي عام 2005، اعتمدت اتفاقية القضاء على جميع أشكال التمييز ضد المرأة بياناً يتعلق بكارثة </w:t>
      </w:r>
      <w:proofErr w:type="spellStart"/>
      <w:r w:rsidRPr="00EC5909">
        <w:rPr>
          <w:rFonts w:hint="cs"/>
          <w:rtl/>
        </w:rPr>
        <w:t>التسونامي</w:t>
      </w:r>
      <w:proofErr w:type="spellEnd"/>
      <w:r w:rsidRPr="00EC5909">
        <w:rPr>
          <w:rFonts w:hint="cs"/>
          <w:rtl/>
        </w:rPr>
        <w:t xml:space="preserve"> التي حلت بجنوب شرق آسيا في كانون الأول</w:t>
      </w:r>
      <w:r w:rsidR="00830596">
        <w:rPr>
          <w:rFonts w:hint="cs"/>
          <w:rtl/>
        </w:rPr>
        <w:t>/</w:t>
      </w:r>
      <w:r w:rsidRPr="00EC5909">
        <w:rPr>
          <w:rFonts w:hint="cs"/>
          <w:rtl/>
        </w:rPr>
        <w:t>ديسمبر 2004</w:t>
      </w:r>
      <w:r w:rsidR="00E5145E" w:rsidRPr="00E5145E">
        <w:rPr>
          <w:vertAlign w:val="superscript"/>
          <w:rtl/>
        </w:rPr>
        <w:t>(</w:t>
      </w:r>
      <w:r w:rsidR="00E5145E">
        <w:rPr>
          <w:rStyle w:val="FootnoteReference"/>
          <w:rtl/>
        </w:rPr>
        <w:footnoteReference w:id="11"/>
      </w:r>
      <w:r w:rsidR="00E5145E" w:rsidRPr="00E5145E">
        <w:rPr>
          <w:vertAlign w:val="superscript"/>
          <w:rtl/>
        </w:rPr>
        <w:t>)</w:t>
      </w:r>
      <w:r w:rsidRPr="00EC5909">
        <w:rPr>
          <w:rFonts w:hint="cs"/>
          <w:rtl/>
        </w:rPr>
        <w:t xml:space="preserve">، شددت فيه على ضرورة التعرف على احتياجات </w:t>
      </w:r>
      <w:r w:rsidR="00E5145E">
        <w:rPr>
          <w:rFonts w:hint="cs"/>
          <w:rtl/>
        </w:rPr>
        <w:t xml:space="preserve">الجنسين </w:t>
      </w:r>
      <w:r w:rsidRPr="00EC5909">
        <w:rPr>
          <w:rFonts w:hint="cs"/>
          <w:rtl/>
        </w:rPr>
        <w:t xml:space="preserve">وأوجه </w:t>
      </w:r>
      <w:r w:rsidR="00E5145E">
        <w:rPr>
          <w:rFonts w:hint="cs"/>
          <w:rtl/>
        </w:rPr>
        <w:t xml:space="preserve">ضعفهم </w:t>
      </w:r>
      <w:r w:rsidRPr="00EC5909">
        <w:rPr>
          <w:rFonts w:hint="cs"/>
          <w:rtl/>
        </w:rPr>
        <w:t xml:space="preserve">في جميع </w:t>
      </w:r>
      <w:r w:rsidR="00E5145E">
        <w:rPr>
          <w:rFonts w:hint="cs"/>
          <w:rtl/>
        </w:rPr>
        <w:t>الاستجابات ل</w:t>
      </w:r>
      <w:r w:rsidRPr="00EC5909">
        <w:rPr>
          <w:rFonts w:hint="cs"/>
          <w:rtl/>
        </w:rPr>
        <w:t>لجهود الإنسانية وجهود الإنعاش، لا</w:t>
      </w:r>
      <w:r w:rsidR="00E5145E">
        <w:rPr>
          <w:rFonts w:hint="cs"/>
          <w:rtl/>
        </w:rPr>
        <w:t xml:space="preserve"> </w:t>
      </w:r>
      <w:r w:rsidRPr="00EC5909">
        <w:rPr>
          <w:rFonts w:hint="cs"/>
          <w:rtl/>
        </w:rPr>
        <w:t xml:space="preserve">سيما بالنسبة للصحة، والأمن، وسبل </w:t>
      </w:r>
      <w:r w:rsidR="00E5145E">
        <w:rPr>
          <w:rFonts w:hint="cs"/>
          <w:rtl/>
        </w:rPr>
        <w:t xml:space="preserve">كسب </w:t>
      </w:r>
      <w:r w:rsidRPr="00EC5909">
        <w:rPr>
          <w:rFonts w:hint="cs"/>
          <w:rtl/>
        </w:rPr>
        <w:t xml:space="preserve">الرزق. </w:t>
      </w:r>
      <w:r w:rsidR="000B5924">
        <w:rPr>
          <w:rFonts w:hint="cs"/>
          <w:rtl/>
        </w:rPr>
        <w:t>ف</w:t>
      </w:r>
      <w:r w:rsidRPr="00EC5909">
        <w:rPr>
          <w:rFonts w:hint="cs"/>
          <w:rtl/>
        </w:rPr>
        <w:t xml:space="preserve">يرجى تقديم تقييم عما للتدابير التي تتخذها البلاد خلال بذلها لجهود الإنعاش وإعادة التأهيل من أثر على استفادة النساء من الخدمات والفرص. </w:t>
      </w:r>
    </w:p>
    <w:p w:rsidR="00EC5909" w:rsidRPr="00EC5909" w:rsidRDefault="003E69CA" w:rsidP="003E69CA">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r>
      <w:r w:rsidR="00EC5909" w:rsidRPr="00EC5909">
        <w:rPr>
          <w:rFonts w:hint="cs"/>
          <w:rtl/>
        </w:rPr>
        <w:t>البروتوكول الاختياري وتعديل الفقرة 1 من المادة 20</w:t>
      </w:r>
    </w:p>
    <w:p w:rsidR="00830596" w:rsidRDefault="00830596" w:rsidP="000B5924">
      <w:pPr>
        <w:pStyle w:val="SingleTxt"/>
        <w:spacing w:after="0" w:line="240" w:lineRule="auto"/>
        <w:rPr>
          <w:rFonts w:hint="cs"/>
          <w:rtl/>
        </w:rPr>
      </w:pPr>
      <w:r>
        <w:rPr>
          <w:rFonts w:hint="cs"/>
          <w:noProof/>
          <w:w w:val="100"/>
          <w:rtl/>
        </w:rPr>
        <w:pict>
          <v:line id="_x0000_s1029" style="position:absolute;left:0;text-align:left;z-index:1" from="206.6pt,97.6pt" to="278.6pt,97.6pt" strokeweight=".25pt">
            <w10:wrap anchorx="page"/>
          </v:line>
        </w:pict>
      </w:r>
      <w:r w:rsidR="00EC5909" w:rsidRPr="00EC5909">
        <w:rPr>
          <w:rFonts w:hint="cs"/>
          <w:rtl/>
        </w:rPr>
        <w:t>31</w:t>
      </w:r>
      <w:r w:rsidR="00E5145E">
        <w:rPr>
          <w:rFonts w:hint="cs"/>
          <w:rtl/>
        </w:rPr>
        <w:t xml:space="preserve"> </w:t>
      </w:r>
      <w:r w:rsidR="00EC5909" w:rsidRPr="00EC5909">
        <w:rPr>
          <w:rFonts w:hint="cs"/>
          <w:rtl/>
        </w:rPr>
        <w:t>-</w:t>
      </w:r>
      <w:r w:rsidR="00E5145E">
        <w:rPr>
          <w:rFonts w:hint="cs"/>
          <w:rtl/>
        </w:rPr>
        <w:tab/>
      </w:r>
      <w:r w:rsidR="00EC5909" w:rsidRPr="00EC5909">
        <w:rPr>
          <w:rFonts w:hint="cs"/>
          <w:rtl/>
        </w:rPr>
        <w:t>صارت إندونيسيا دولة موقعة على البروتوكول الاختياري لاتفاقية القضاء على جميع أشكا</w:t>
      </w:r>
      <w:r>
        <w:rPr>
          <w:rFonts w:hint="cs"/>
          <w:rtl/>
        </w:rPr>
        <w:t>ل التمييز ضد المرأة في 28 شباط/</w:t>
      </w:r>
      <w:r w:rsidR="00EC5909" w:rsidRPr="00EC5909">
        <w:rPr>
          <w:rFonts w:hint="cs"/>
          <w:rtl/>
        </w:rPr>
        <w:t xml:space="preserve">فبراير 2000. </w:t>
      </w:r>
      <w:r w:rsidR="000B5924">
        <w:rPr>
          <w:rFonts w:hint="cs"/>
          <w:rtl/>
        </w:rPr>
        <w:t>ف</w:t>
      </w:r>
      <w:r w:rsidR="00EC5909" w:rsidRPr="00EC5909">
        <w:rPr>
          <w:rFonts w:hint="cs"/>
          <w:rtl/>
        </w:rPr>
        <w:t xml:space="preserve">يرجى بيان أي تقدم تحقق بالنسبة للتصديق على البروتوكول الاختياري أو الانضمام إليه. ويرجى أيضاً بيان أي تقدم تحقق على صعيد </w:t>
      </w:r>
      <w:r w:rsidR="00E5145E">
        <w:rPr>
          <w:rFonts w:hint="cs"/>
          <w:rtl/>
        </w:rPr>
        <w:t xml:space="preserve">الموافقة على </w:t>
      </w:r>
      <w:r w:rsidR="00EC5909" w:rsidRPr="00EC5909">
        <w:rPr>
          <w:rFonts w:hint="cs"/>
          <w:rtl/>
        </w:rPr>
        <w:t>تعديل الفقرة 1 من المادة 20 من الاتفاقية.</w:t>
      </w:r>
    </w:p>
    <w:p w:rsidR="000B5924" w:rsidRPr="00830596" w:rsidRDefault="000B5924" w:rsidP="000B5924">
      <w:pPr>
        <w:pStyle w:val="SingleTxt"/>
        <w:spacing w:after="0" w:line="240" w:lineRule="auto"/>
        <w:rPr>
          <w:rFonts w:hint="cs"/>
          <w:rtl/>
        </w:rPr>
      </w:pPr>
    </w:p>
    <w:sectPr w:rsidR="000B5924" w:rsidRPr="00830596" w:rsidSect="00FD4C84">
      <w:endnotePr>
        <w:numFmt w:val="decimal"/>
      </w:endnotePr>
      <w:type w:val="continuous"/>
      <w:pgSz w:w="12240" w:h="15840" w:code="1"/>
      <w:pgMar w:top="1742" w:right="1195" w:bottom="1898" w:left="1195" w:header="576" w:footer="1030" w:gutter="0"/>
      <w:cols w:space="720"/>
      <w:noEndnote/>
      <w:bidi/>
      <w:rtlGutter/>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7-03-15T14:41:00Z" w:initials="Start">
    <w:p w:rsidR="003E69CA" w:rsidRDefault="003E69CA">
      <w:pPr>
        <w:pStyle w:val="CommentText"/>
        <w:rPr>
          <w:rtl/>
        </w:rPr>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rPr>
          <w:rtl/>
        </w:rPr>
        <w:t>&lt;&lt;</w:t>
      </w:r>
      <w:r>
        <w:t>ODS JOB NO&gt;&gt;N0725133A&lt;&lt;ODS JOB NO</w:t>
      </w:r>
      <w:r>
        <w:rPr>
          <w:rtl/>
        </w:rPr>
        <w:t>&gt;&gt;</w:t>
      </w:r>
    </w:p>
    <w:p w:rsidR="003E69CA" w:rsidRDefault="003E69CA">
      <w:pPr>
        <w:pStyle w:val="CommentText"/>
        <w:rPr>
          <w:rtl/>
        </w:rPr>
      </w:pPr>
      <w:r>
        <w:rPr>
          <w:rtl/>
        </w:rPr>
        <w:t>&lt;&lt;</w:t>
      </w:r>
      <w:r>
        <w:t>ODS DOC SYMBOL1&gt;&gt;CEDAW/C/IDN/Q/5&lt;&lt;ODS DOC SYMBOL1</w:t>
      </w:r>
      <w:r>
        <w:rPr>
          <w:rtl/>
        </w:rPr>
        <w:t>&gt;&gt;</w:t>
      </w:r>
    </w:p>
    <w:p w:rsidR="003E69CA" w:rsidRDefault="003E69CA">
      <w:pPr>
        <w:pStyle w:val="CommentText"/>
      </w:pPr>
      <w:r>
        <w:rPr>
          <w:rtl/>
        </w:rPr>
        <w:t>&lt;&lt;</w:t>
      </w:r>
      <w:r>
        <w:t>ODS DOC SYMBOL2&gt;&gt;&lt;&lt;ODS DOC SYMBOL2</w:t>
      </w:r>
      <w:r>
        <w:rPr>
          <w:rtl/>
        </w:rPr>
        <w:t>&gt;&gt;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9CA" w:rsidRDefault="003E69CA" w:rsidP="00FD4C84">
      <w:pPr>
        <w:pStyle w:val="Footer"/>
      </w:pPr>
      <w:r>
        <w:separator/>
      </w:r>
    </w:p>
  </w:endnote>
  <w:endnote w:type="continuationSeparator" w:id="0">
    <w:p w:rsidR="003E69CA" w:rsidRDefault="003E69CA" w:rsidP="00FD4C84">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3E69CA">
      <w:tblPrEx>
        <w:tblCellMar>
          <w:top w:w="0" w:type="dxa"/>
          <w:bottom w:w="0" w:type="dxa"/>
        </w:tblCellMar>
      </w:tblPrEx>
      <w:tc>
        <w:tcPr>
          <w:tcW w:w="5033" w:type="dxa"/>
          <w:shd w:val="clear" w:color="auto" w:fill="auto"/>
        </w:tcPr>
        <w:p w:rsidR="003E69CA" w:rsidRPr="00FD4C84" w:rsidRDefault="003E69CA" w:rsidP="00FD4C84">
          <w:pPr>
            <w:pStyle w:val="Footer"/>
            <w:jc w:val="right"/>
            <w:rPr>
              <w:w w:val="103"/>
            </w:rPr>
          </w:pPr>
          <w:r>
            <w:rPr>
              <w:w w:val="103"/>
            </w:rPr>
            <w:fldChar w:fldCharType="begin"/>
          </w:r>
          <w:r>
            <w:rPr>
              <w:w w:val="103"/>
            </w:rPr>
            <w:instrText xml:space="preserve"> PAGE  \* MERGEFORMAT </w:instrText>
          </w:r>
          <w:r>
            <w:rPr>
              <w:w w:val="103"/>
            </w:rPr>
            <w:fldChar w:fldCharType="separate"/>
          </w:r>
          <w:r>
            <w:rPr>
              <w:w w:val="103"/>
            </w:rPr>
            <w:t>2</w:t>
          </w:r>
          <w:r>
            <w:rPr>
              <w:w w:val="103"/>
            </w:rPr>
            <w:fldChar w:fldCharType="end"/>
          </w:r>
        </w:p>
      </w:tc>
      <w:tc>
        <w:tcPr>
          <w:tcW w:w="5033" w:type="dxa"/>
          <w:shd w:val="clear" w:color="auto" w:fill="auto"/>
        </w:tcPr>
        <w:p w:rsidR="003E69CA" w:rsidRPr="00FD4C84" w:rsidRDefault="003E69CA" w:rsidP="00FD4C84">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07-25133</w:t>
          </w:r>
          <w:r>
            <w:rPr>
              <w:b w:val="0"/>
              <w:w w:val="103"/>
            </w:rPr>
            <w:fldChar w:fldCharType="end"/>
          </w:r>
        </w:p>
      </w:tc>
    </w:tr>
  </w:tbl>
  <w:p w:rsidR="003E69CA" w:rsidRPr="00FD4C84" w:rsidRDefault="003E69CA" w:rsidP="00FD4C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3E69CA">
      <w:tblPrEx>
        <w:tblCellMar>
          <w:top w:w="0" w:type="dxa"/>
          <w:bottom w:w="0" w:type="dxa"/>
        </w:tblCellMar>
      </w:tblPrEx>
      <w:tc>
        <w:tcPr>
          <w:tcW w:w="5033" w:type="dxa"/>
          <w:shd w:val="clear" w:color="auto" w:fill="auto"/>
        </w:tcPr>
        <w:p w:rsidR="003E69CA" w:rsidRPr="00FD4C84" w:rsidRDefault="003E69CA" w:rsidP="00FD4C84">
          <w:pPr>
            <w:pStyle w:val="Footer"/>
            <w:jc w:val="righ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07-25133</w:t>
          </w:r>
          <w:r>
            <w:rPr>
              <w:b w:val="0"/>
              <w:w w:val="103"/>
            </w:rPr>
            <w:fldChar w:fldCharType="end"/>
          </w:r>
        </w:p>
      </w:tc>
      <w:tc>
        <w:tcPr>
          <w:tcW w:w="5033" w:type="dxa"/>
          <w:shd w:val="clear" w:color="auto" w:fill="auto"/>
        </w:tcPr>
        <w:p w:rsidR="003E69CA" w:rsidRPr="00FD4C84" w:rsidRDefault="003E69CA" w:rsidP="00FD4C84">
          <w:pPr>
            <w:pStyle w:val="Footer"/>
            <w:rPr>
              <w:w w:val="103"/>
            </w:rPr>
          </w:pPr>
          <w:r>
            <w:rPr>
              <w:w w:val="103"/>
            </w:rPr>
            <w:fldChar w:fldCharType="begin"/>
          </w:r>
          <w:r>
            <w:rPr>
              <w:w w:val="103"/>
            </w:rPr>
            <w:instrText xml:space="preserve"> PAGE  \* MERGEFORMAT </w:instrText>
          </w:r>
          <w:r>
            <w:rPr>
              <w:w w:val="103"/>
            </w:rPr>
            <w:fldChar w:fldCharType="separate"/>
          </w:r>
          <w:r>
            <w:rPr>
              <w:w w:val="103"/>
            </w:rPr>
            <w:t>3</w:t>
          </w:r>
          <w:r>
            <w:rPr>
              <w:w w:val="103"/>
            </w:rPr>
            <w:fldChar w:fldCharType="end"/>
          </w:r>
        </w:p>
      </w:tc>
    </w:tr>
  </w:tbl>
  <w:p w:rsidR="003E69CA" w:rsidRPr="00FD4C84" w:rsidRDefault="003E69CA" w:rsidP="00FD4C8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9CA" w:rsidRDefault="003E69CA">
    <w:pPr>
      <w:pStyle w:val="Footer"/>
    </w:pPr>
  </w:p>
  <w:p w:rsidR="003E69CA" w:rsidRDefault="003E69CA" w:rsidP="000B5924">
    <w:pPr>
      <w:pStyle w:val="Footer"/>
      <w:jc w:val="right"/>
      <w:rPr>
        <w:rFonts w:cs="Times New Roman"/>
        <w:b w:val="0"/>
        <w:w w:val="103"/>
        <w:sz w:val="20"/>
      </w:rPr>
    </w:pPr>
    <w:r>
      <w:rPr>
        <w:rFonts w:cs="Times New Roman"/>
        <w:b w:val="0"/>
        <w:w w:val="103"/>
        <w:sz w:val="20"/>
      </w:rPr>
      <w:t xml:space="preserve">160307    150307    </w:t>
    </w:r>
    <w:r>
      <w:rPr>
        <w:rFonts w:cs="Times New Roman"/>
        <w:b w:val="0"/>
        <w:w w:val="103"/>
        <w:sz w:val="20"/>
      </w:rPr>
      <w:fldChar w:fldCharType="begin"/>
    </w:r>
    <w:r>
      <w:rPr>
        <w:rFonts w:cs="Times New Roman"/>
        <w:b w:val="0"/>
        <w:w w:val="103"/>
        <w:sz w:val="20"/>
      </w:rPr>
      <w:instrText xml:space="preserve"> DOCVARIABLE "jobn" \* MERGEFORMAT </w:instrText>
    </w:r>
    <w:r>
      <w:rPr>
        <w:rFonts w:cs="Times New Roman"/>
        <w:b w:val="0"/>
        <w:w w:val="103"/>
        <w:sz w:val="20"/>
      </w:rPr>
      <w:fldChar w:fldCharType="separate"/>
    </w:r>
    <w:r>
      <w:rPr>
        <w:rFonts w:cs="Times New Roman"/>
        <w:b w:val="0"/>
        <w:w w:val="103"/>
        <w:sz w:val="20"/>
      </w:rPr>
      <w:t>07-25133 (A)</w:t>
    </w:r>
    <w:r>
      <w:rPr>
        <w:rFonts w:cs="Times New Roman"/>
        <w:b w:val="0"/>
        <w:w w:val="103"/>
        <w:sz w:val="20"/>
      </w:rPr>
      <w:fldChar w:fldCharType="end"/>
    </w:r>
  </w:p>
  <w:p w:rsidR="003E69CA" w:rsidRPr="00FD4C84" w:rsidRDefault="003E69CA" w:rsidP="00FD4C84">
    <w:pPr>
      <w:pStyle w:val="Footer"/>
      <w:spacing w:before="80"/>
      <w:jc w:val="right"/>
      <w:rPr>
        <w:rFonts w:ascii="Barcode 3 of 9 by request" w:hAnsi="Barcode 3 of 9 by request" w:cs="Times New Roman"/>
        <w:b w:val="0"/>
        <w:sz w:val="24"/>
      </w:rPr>
    </w:pPr>
    <w:r>
      <w:rPr>
        <w:rFonts w:ascii="Barcode 3 of 9 by request" w:hAnsi="Barcode 3 of 9 by request" w:cs="Times New Roman"/>
        <w:b w:val="0"/>
        <w:sz w:val="24"/>
      </w:rPr>
      <w:fldChar w:fldCharType="begin"/>
    </w:r>
    <w:r>
      <w:rPr>
        <w:rFonts w:ascii="Barcode 3 of 9 by request" w:hAnsi="Barcode 3 of 9 by request" w:cs="Times New Roman"/>
        <w:b w:val="0"/>
        <w:sz w:val="24"/>
      </w:rPr>
      <w:instrText xml:space="preserve"> DOCVARIABLE "Barcode" \* MERGEFORMAT </w:instrText>
    </w:r>
    <w:r>
      <w:rPr>
        <w:rFonts w:ascii="Barcode 3 of 9 by request" w:hAnsi="Barcode 3 of 9 by request" w:cs="Times New Roman"/>
        <w:b w:val="0"/>
        <w:sz w:val="24"/>
      </w:rPr>
      <w:fldChar w:fldCharType="separate"/>
    </w:r>
    <w:r>
      <w:rPr>
        <w:rFonts w:ascii="Barcode 3 of 9 by request" w:hAnsi="Barcode 3 of 9 by request" w:cs="Times New Roman"/>
        <w:b w:val="0"/>
        <w:sz w:val="24"/>
      </w:rPr>
      <w:t>*0725133*</w:t>
    </w:r>
    <w:r>
      <w:rPr>
        <w:rFonts w:ascii="Barcode 3 of 9 by request" w:hAnsi="Barcode 3 of 9 by request" w:cs="Times New Roman"/>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9CA" w:rsidRPr="00A60CFF" w:rsidRDefault="003E69CA" w:rsidP="00A60CFF">
      <w:pPr>
        <w:pStyle w:val="Footer"/>
        <w:bidi/>
        <w:spacing w:after="80"/>
        <w:ind w:left="792"/>
        <w:rPr>
          <w:sz w:val="16"/>
        </w:rPr>
      </w:pPr>
      <w:r w:rsidRPr="00A60CFF">
        <w:rPr>
          <w:sz w:val="16"/>
          <w:rtl/>
        </w:rPr>
        <w:t>__________</w:t>
      </w:r>
    </w:p>
  </w:footnote>
  <w:footnote w:type="continuationSeparator" w:id="0">
    <w:p w:rsidR="003E69CA" w:rsidRPr="00A60CFF" w:rsidRDefault="003E69CA" w:rsidP="00A60CFF">
      <w:pPr>
        <w:pStyle w:val="Footer"/>
        <w:spacing w:after="80"/>
        <w:ind w:left="792"/>
        <w:rPr>
          <w:sz w:val="16"/>
        </w:rPr>
      </w:pPr>
      <w:r w:rsidRPr="00A60CFF">
        <w:rPr>
          <w:sz w:val="16"/>
        </w:rPr>
        <w:t>__________</w:t>
      </w:r>
    </w:p>
  </w:footnote>
  <w:footnote w:id="1">
    <w:p w:rsidR="003E69CA" w:rsidRPr="00EC5909" w:rsidRDefault="003E69CA" w:rsidP="00EC5909">
      <w:pPr>
        <w:pStyle w:val="FootnoteText"/>
        <w:tabs>
          <w:tab w:val="clear" w:pos="418"/>
          <w:tab w:val="right" w:pos="1195"/>
          <w:tab w:val="left" w:pos="1267"/>
          <w:tab w:val="left" w:pos="1656"/>
          <w:tab w:val="left" w:pos="2088"/>
        </w:tabs>
        <w:spacing w:after="80"/>
        <w:ind w:left="1267" w:right="1267" w:hanging="547"/>
        <w:rPr>
          <w:rFonts w:hint="cs"/>
          <w:w w:val="103"/>
          <w:rtl/>
        </w:rPr>
      </w:pPr>
      <w:r>
        <w:rPr>
          <w:rtl/>
        </w:rPr>
        <w:tab/>
      </w:r>
      <w:r w:rsidRPr="00EC5909">
        <w:rPr>
          <w:w w:val="103"/>
          <w:rtl/>
        </w:rPr>
        <w:t>(</w:t>
      </w:r>
      <w:r w:rsidRPr="00EC5909">
        <w:rPr>
          <w:rStyle w:val="FootnoteReference"/>
          <w:spacing w:val="0"/>
          <w:w w:val="103"/>
          <w:vertAlign w:val="baseline"/>
          <w:rtl/>
        </w:rPr>
        <w:footnoteRef/>
      </w:r>
      <w:r w:rsidRPr="00EC5909">
        <w:rPr>
          <w:w w:val="103"/>
          <w:rtl/>
        </w:rPr>
        <w:t>)</w:t>
      </w:r>
      <w:r w:rsidRPr="00EC5909">
        <w:rPr>
          <w:w w:val="103"/>
          <w:rtl/>
        </w:rPr>
        <w:tab/>
      </w:r>
      <w:r>
        <w:rPr>
          <w:rFonts w:hint="cs"/>
          <w:rtl/>
        </w:rPr>
        <w:t xml:space="preserve">انظر </w:t>
      </w:r>
      <w:r w:rsidRPr="00C927BD">
        <w:rPr>
          <w:rFonts w:hint="cs"/>
          <w:i/>
          <w:iCs/>
          <w:rtl/>
        </w:rPr>
        <w:t>الوثائق الرسمية للجمعية العامة، الدورة الثالثة والخمسون، الملحق رقم 38</w:t>
      </w:r>
      <w:r>
        <w:rPr>
          <w:rFonts w:hint="cs"/>
          <w:rtl/>
        </w:rPr>
        <w:t xml:space="preserve"> </w:t>
      </w:r>
      <w:r>
        <w:t>(A/53/38/Rev.1)</w:t>
      </w:r>
      <w:r>
        <w:rPr>
          <w:rFonts w:hint="cs"/>
          <w:rtl/>
        </w:rPr>
        <w:t>، الجزء الأول، الفصل الرابع، الفرع باء، الفقرة 285.</w:t>
      </w:r>
    </w:p>
  </w:footnote>
  <w:footnote w:id="2">
    <w:p w:rsidR="003E69CA" w:rsidRPr="00EC5909" w:rsidRDefault="003E69CA" w:rsidP="00EC5909">
      <w:pPr>
        <w:pStyle w:val="FootnoteText"/>
        <w:tabs>
          <w:tab w:val="clear" w:pos="418"/>
          <w:tab w:val="right" w:pos="1195"/>
          <w:tab w:val="left" w:pos="1267"/>
          <w:tab w:val="left" w:pos="1656"/>
          <w:tab w:val="left" w:pos="2088"/>
        </w:tabs>
        <w:spacing w:after="80"/>
        <w:ind w:left="1267" w:right="1267" w:hanging="547"/>
        <w:rPr>
          <w:rFonts w:hint="cs"/>
          <w:w w:val="103"/>
          <w:rtl/>
        </w:rPr>
      </w:pPr>
      <w:r>
        <w:rPr>
          <w:rtl/>
        </w:rPr>
        <w:tab/>
      </w:r>
      <w:r w:rsidRPr="00EC5909">
        <w:rPr>
          <w:w w:val="103"/>
          <w:rtl/>
        </w:rPr>
        <w:t>(</w:t>
      </w:r>
      <w:r w:rsidRPr="00EC5909">
        <w:rPr>
          <w:rStyle w:val="FootnoteReference"/>
          <w:spacing w:val="0"/>
          <w:w w:val="103"/>
          <w:vertAlign w:val="baseline"/>
          <w:rtl/>
        </w:rPr>
        <w:footnoteRef/>
      </w:r>
      <w:r w:rsidRPr="00EC5909">
        <w:rPr>
          <w:w w:val="103"/>
          <w:rtl/>
        </w:rPr>
        <w:t>)</w:t>
      </w:r>
      <w:r w:rsidRPr="00EC5909">
        <w:rPr>
          <w:w w:val="103"/>
          <w:rtl/>
        </w:rPr>
        <w:tab/>
      </w:r>
      <w:r>
        <w:rPr>
          <w:rFonts w:hint="cs"/>
          <w:rtl/>
        </w:rPr>
        <w:t>المرجع نفسه، الفقرة 284.</w:t>
      </w:r>
    </w:p>
  </w:footnote>
  <w:footnote w:id="3">
    <w:p w:rsidR="003E69CA" w:rsidRPr="00EC5909" w:rsidRDefault="003E69CA" w:rsidP="00EC5909">
      <w:pPr>
        <w:pStyle w:val="FootnoteText"/>
        <w:tabs>
          <w:tab w:val="clear" w:pos="418"/>
          <w:tab w:val="right" w:pos="1195"/>
          <w:tab w:val="left" w:pos="1267"/>
          <w:tab w:val="left" w:pos="1656"/>
          <w:tab w:val="left" w:pos="2088"/>
        </w:tabs>
        <w:spacing w:after="80"/>
        <w:ind w:left="1267" w:right="1267" w:hanging="547"/>
        <w:rPr>
          <w:rFonts w:hint="cs"/>
          <w:w w:val="103"/>
          <w:rtl/>
        </w:rPr>
      </w:pPr>
      <w:r>
        <w:rPr>
          <w:rtl/>
        </w:rPr>
        <w:tab/>
      </w:r>
      <w:r w:rsidRPr="00EC5909">
        <w:rPr>
          <w:w w:val="103"/>
          <w:rtl/>
        </w:rPr>
        <w:t>(</w:t>
      </w:r>
      <w:r w:rsidRPr="00EC5909">
        <w:rPr>
          <w:rStyle w:val="FootnoteReference"/>
          <w:spacing w:val="0"/>
          <w:w w:val="103"/>
          <w:vertAlign w:val="baseline"/>
          <w:rtl/>
        </w:rPr>
        <w:footnoteRef/>
      </w:r>
      <w:r w:rsidRPr="00EC5909">
        <w:rPr>
          <w:w w:val="103"/>
          <w:rtl/>
        </w:rPr>
        <w:t>)</w:t>
      </w:r>
      <w:r w:rsidRPr="00EC5909">
        <w:rPr>
          <w:w w:val="103"/>
          <w:rtl/>
        </w:rPr>
        <w:tab/>
      </w:r>
      <w:r>
        <w:rPr>
          <w:rFonts w:hint="cs"/>
          <w:rtl/>
        </w:rPr>
        <w:t>المرجع نفسه، الفقرات 59، و 78، و 93، و 124، و 139.</w:t>
      </w:r>
    </w:p>
  </w:footnote>
  <w:footnote w:id="4">
    <w:p w:rsidR="003E69CA" w:rsidRPr="00EC5909" w:rsidRDefault="003E69CA" w:rsidP="00EC5909">
      <w:pPr>
        <w:pStyle w:val="FootnoteText"/>
        <w:tabs>
          <w:tab w:val="clear" w:pos="418"/>
          <w:tab w:val="right" w:pos="1195"/>
          <w:tab w:val="left" w:pos="1267"/>
          <w:tab w:val="left" w:pos="1656"/>
          <w:tab w:val="left" w:pos="2088"/>
        </w:tabs>
        <w:spacing w:after="80"/>
        <w:ind w:left="1267" w:right="1267" w:hanging="547"/>
        <w:rPr>
          <w:rFonts w:hint="cs"/>
          <w:w w:val="103"/>
          <w:rtl/>
        </w:rPr>
      </w:pPr>
      <w:r>
        <w:rPr>
          <w:rtl/>
        </w:rPr>
        <w:tab/>
      </w:r>
      <w:r w:rsidRPr="00EC5909">
        <w:rPr>
          <w:w w:val="103"/>
          <w:rtl/>
        </w:rPr>
        <w:t>(</w:t>
      </w:r>
      <w:r w:rsidRPr="00EC5909">
        <w:rPr>
          <w:rStyle w:val="FootnoteReference"/>
          <w:spacing w:val="0"/>
          <w:w w:val="103"/>
          <w:vertAlign w:val="baseline"/>
          <w:rtl/>
        </w:rPr>
        <w:footnoteRef/>
      </w:r>
      <w:r w:rsidRPr="00EC5909">
        <w:rPr>
          <w:w w:val="103"/>
          <w:rtl/>
        </w:rPr>
        <w:t>)</w:t>
      </w:r>
      <w:r w:rsidRPr="00EC5909">
        <w:rPr>
          <w:w w:val="103"/>
          <w:rtl/>
        </w:rPr>
        <w:tab/>
      </w:r>
      <w:r>
        <w:rPr>
          <w:rFonts w:hint="cs"/>
          <w:rtl/>
        </w:rPr>
        <w:t>المرجع نفسه، الفقرة 301.</w:t>
      </w:r>
    </w:p>
  </w:footnote>
  <w:footnote w:id="5">
    <w:p w:rsidR="003E69CA" w:rsidRPr="00FB5572" w:rsidRDefault="003E69CA" w:rsidP="00FB5572">
      <w:pPr>
        <w:pStyle w:val="FootnoteText"/>
        <w:tabs>
          <w:tab w:val="clear" w:pos="418"/>
          <w:tab w:val="right" w:pos="1195"/>
          <w:tab w:val="left" w:pos="1267"/>
          <w:tab w:val="left" w:pos="1656"/>
          <w:tab w:val="left" w:pos="2088"/>
        </w:tabs>
        <w:spacing w:after="80"/>
        <w:ind w:left="1267" w:right="1267" w:hanging="547"/>
        <w:rPr>
          <w:rFonts w:hint="cs"/>
          <w:w w:val="103"/>
          <w:rtl/>
        </w:rPr>
      </w:pPr>
      <w:r>
        <w:rPr>
          <w:rtl/>
        </w:rPr>
        <w:tab/>
      </w:r>
      <w:r w:rsidRPr="00FB5572">
        <w:rPr>
          <w:w w:val="103"/>
          <w:rtl/>
        </w:rPr>
        <w:t>(</w:t>
      </w:r>
      <w:r w:rsidRPr="00FB5572">
        <w:rPr>
          <w:rStyle w:val="FootnoteReference"/>
          <w:spacing w:val="0"/>
          <w:w w:val="103"/>
          <w:vertAlign w:val="baseline"/>
          <w:rtl/>
        </w:rPr>
        <w:footnoteRef/>
      </w:r>
      <w:r w:rsidRPr="00FB5572">
        <w:rPr>
          <w:w w:val="103"/>
          <w:rtl/>
        </w:rPr>
        <w:t>)</w:t>
      </w:r>
      <w:r w:rsidRPr="00FB5572">
        <w:rPr>
          <w:w w:val="103"/>
          <w:rtl/>
        </w:rPr>
        <w:tab/>
      </w:r>
      <w:r>
        <w:rPr>
          <w:rFonts w:hint="cs"/>
          <w:rtl/>
        </w:rPr>
        <w:t>المرجع نفسه، الفقرة 303.</w:t>
      </w:r>
    </w:p>
  </w:footnote>
  <w:footnote w:id="6">
    <w:p w:rsidR="003E69CA" w:rsidRPr="00FB5572" w:rsidRDefault="003E69CA" w:rsidP="00FB5572">
      <w:pPr>
        <w:pStyle w:val="FootnoteText"/>
        <w:tabs>
          <w:tab w:val="clear" w:pos="418"/>
          <w:tab w:val="right" w:pos="1195"/>
          <w:tab w:val="left" w:pos="1267"/>
          <w:tab w:val="left" w:pos="1656"/>
          <w:tab w:val="left" w:pos="2088"/>
        </w:tabs>
        <w:spacing w:after="80"/>
        <w:ind w:left="1267" w:right="1267" w:hanging="547"/>
        <w:rPr>
          <w:rFonts w:hint="cs"/>
          <w:w w:val="103"/>
          <w:rtl/>
        </w:rPr>
      </w:pPr>
      <w:r>
        <w:rPr>
          <w:rtl/>
        </w:rPr>
        <w:tab/>
      </w:r>
      <w:r w:rsidRPr="00FB5572">
        <w:rPr>
          <w:w w:val="103"/>
          <w:rtl/>
        </w:rPr>
        <w:t>(</w:t>
      </w:r>
      <w:r w:rsidRPr="00FB5572">
        <w:rPr>
          <w:rStyle w:val="FootnoteReference"/>
          <w:spacing w:val="0"/>
          <w:w w:val="103"/>
          <w:vertAlign w:val="baseline"/>
          <w:rtl/>
        </w:rPr>
        <w:footnoteRef/>
      </w:r>
      <w:r w:rsidRPr="00FB5572">
        <w:rPr>
          <w:w w:val="103"/>
          <w:rtl/>
        </w:rPr>
        <w:t>)</w:t>
      </w:r>
      <w:r w:rsidRPr="00FB5572">
        <w:rPr>
          <w:w w:val="103"/>
          <w:rtl/>
        </w:rPr>
        <w:tab/>
      </w:r>
      <w:r>
        <w:rPr>
          <w:rFonts w:hint="cs"/>
          <w:w w:val="103"/>
          <w:rtl/>
        </w:rPr>
        <w:t>المرجع نفسه، الفقرة 296.</w:t>
      </w:r>
    </w:p>
  </w:footnote>
  <w:footnote w:id="7">
    <w:p w:rsidR="003E69CA" w:rsidRPr="00A60CFF" w:rsidRDefault="003E69CA" w:rsidP="00A60CFF">
      <w:pPr>
        <w:pStyle w:val="FootnoteText"/>
        <w:tabs>
          <w:tab w:val="clear" w:pos="418"/>
          <w:tab w:val="right" w:pos="1195"/>
          <w:tab w:val="left" w:pos="1267"/>
          <w:tab w:val="left" w:pos="1656"/>
          <w:tab w:val="left" w:pos="2088"/>
        </w:tabs>
        <w:spacing w:after="80"/>
        <w:ind w:left="1267" w:right="1267" w:hanging="547"/>
        <w:rPr>
          <w:rFonts w:hint="cs"/>
          <w:w w:val="103"/>
          <w:rtl/>
        </w:rPr>
      </w:pPr>
      <w:r>
        <w:rPr>
          <w:rtl/>
        </w:rPr>
        <w:tab/>
      </w:r>
      <w:r w:rsidRPr="00A60CFF">
        <w:rPr>
          <w:w w:val="103"/>
          <w:rtl/>
        </w:rPr>
        <w:t>(</w:t>
      </w:r>
      <w:r w:rsidRPr="00A60CFF">
        <w:rPr>
          <w:rStyle w:val="FootnoteReference"/>
          <w:spacing w:val="0"/>
          <w:w w:val="103"/>
          <w:vertAlign w:val="baseline"/>
          <w:rtl/>
        </w:rPr>
        <w:footnoteRef/>
      </w:r>
      <w:r w:rsidRPr="00A60CFF">
        <w:rPr>
          <w:w w:val="103"/>
          <w:rtl/>
        </w:rPr>
        <w:t>)</w:t>
      </w:r>
      <w:r w:rsidRPr="00A60CFF">
        <w:rPr>
          <w:w w:val="103"/>
          <w:rtl/>
        </w:rPr>
        <w:tab/>
      </w:r>
      <w:r>
        <w:rPr>
          <w:rFonts w:hint="cs"/>
          <w:w w:val="103"/>
          <w:rtl/>
        </w:rPr>
        <w:t>المرجع نفسه، الفقرة 284 (ب).</w:t>
      </w:r>
    </w:p>
  </w:footnote>
  <w:footnote w:id="8">
    <w:p w:rsidR="003E69CA" w:rsidRPr="00574556" w:rsidRDefault="003E69CA" w:rsidP="00574556">
      <w:pPr>
        <w:pStyle w:val="FootnoteText"/>
        <w:tabs>
          <w:tab w:val="clear" w:pos="418"/>
          <w:tab w:val="right" w:pos="1195"/>
          <w:tab w:val="left" w:pos="1267"/>
          <w:tab w:val="left" w:pos="1656"/>
          <w:tab w:val="left" w:pos="2088"/>
        </w:tabs>
        <w:spacing w:after="80"/>
        <w:ind w:left="1267" w:right="1267" w:hanging="547"/>
        <w:rPr>
          <w:rFonts w:hint="cs"/>
          <w:w w:val="103"/>
          <w:rtl/>
        </w:rPr>
      </w:pPr>
      <w:r>
        <w:rPr>
          <w:rtl/>
        </w:rPr>
        <w:tab/>
      </w:r>
      <w:r w:rsidRPr="00574556">
        <w:rPr>
          <w:w w:val="103"/>
          <w:rtl/>
        </w:rPr>
        <w:t>(</w:t>
      </w:r>
      <w:r w:rsidRPr="00574556">
        <w:rPr>
          <w:rStyle w:val="FootnoteReference"/>
          <w:spacing w:val="0"/>
          <w:w w:val="103"/>
          <w:vertAlign w:val="baseline"/>
          <w:rtl/>
        </w:rPr>
        <w:footnoteRef/>
      </w:r>
      <w:r w:rsidRPr="00574556">
        <w:rPr>
          <w:w w:val="103"/>
          <w:rtl/>
        </w:rPr>
        <w:t>)</w:t>
      </w:r>
      <w:r w:rsidRPr="00574556">
        <w:rPr>
          <w:w w:val="103"/>
          <w:rtl/>
        </w:rPr>
        <w:tab/>
      </w:r>
      <w:r>
        <w:rPr>
          <w:rFonts w:hint="cs"/>
          <w:rtl/>
        </w:rPr>
        <w:t>المرجع نفسه، الفقرتان 281 و 302.</w:t>
      </w:r>
    </w:p>
  </w:footnote>
  <w:footnote w:id="9">
    <w:p w:rsidR="003E69CA" w:rsidRPr="00574556" w:rsidRDefault="003E69CA" w:rsidP="00574556">
      <w:pPr>
        <w:pStyle w:val="FootnoteText"/>
        <w:tabs>
          <w:tab w:val="clear" w:pos="418"/>
          <w:tab w:val="right" w:pos="1195"/>
          <w:tab w:val="left" w:pos="1267"/>
          <w:tab w:val="left" w:pos="1656"/>
          <w:tab w:val="left" w:pos="2088"/>
        </w:tabs>
        <w:spacing w:after="80"/>
        <w:ind w:left="1267" w:right="1267" w:hanging="547"/>
        <w:rPr>
          <w:rFonts w:hint="cs"/>
          <w:w w:val="103"/>
          <w:rtl/>
        </w:rPr>
      </w:pPr>
      <w:r>
        <w:rPr>
          <w:rtl/>
        </w:rPr>
        <w:tab/>
      </w:r>
      <w:r w:rsidRPr="00574556">
        <w:rPr>
          <w:w w:val="103"/>
          <w:rtl/>
        </w:rPr>
        <w:t>(</w:t>
      </w:r>
      <w:r w:rsidRPr="00574556">
        <w:rPr>
          <w:rStyle w:val="FootnoteReference"/>
          <w:spacing w:val="0"/>
          <w:w w:val="103"/>
          <w:vertAlign w:val="baseline"/>
          <w:rtl/>
        </w:rPr>
        <w:footnoteRef/>
      </w:r>
      <w:r w:rsidRPr="00574556">
        <w:rPr>
          <w:w w:val="103"/>
          <w:rtl/>
        </w:rPr>
        <w:t>)</w:t>
      </w:r>
      <w:r w:rsidRPr="00574556">
        <w:rPr>
          <w:w w:val="103"/>
          <w:rtl/>
        </w:rPr>
        <w:tab/>
      </w:r>
      <w:r>
        <w:rPr>
          <w:rFonts w:hint="cs"/>
          <w:rtl/>
        </w:rPr>
        <w:t>المرجع نفسه، الفقرة 284 (أ).</w:t>
      </w:r>
    </w:p>
  </w:footnote>
  <w:footnote w:id="10">
    <w:p w:rsidR="003E69CA" w:rsidRPr="00E5145E" w:rsidRDefault="003E69CA" w:rsidP="00E5145E">
      <w:pPr>
        <w:pStyle w:val="FootnoteText"/>
        <w:tabs>
          <w:tab w:val="clear" w:pos="418"/>
          <w:tab w:val="right" w:pos="1195"/>
          <w:tab w:val="left" w:pos="1267"/>
          <w:tab w:val="left" w:pos="1656"/>
          <w:tab w:val="left" w:pos="2088"/>
        </w:tabs>
        <w:spacing w:after="80"/>
        <w:ind w:left="1267" w:right="1267" w:hanging="547"/>
        <w:rPr>
          <w:rFonts w:hint="cs"/>
          <w:w w:val="103"/>
          <w:rtl/>
        </w:rPr>
      </w:pPr>
      <w:r>
        <w:rPr>
          <w:rtl/>
        </w:rPr>
        <w:tab/>
      </w:r>
      <w:r w:rsidRPr="00E5145E">
        <w:rPr>
          <w:w w:val="103"/>
          <w:rtl/>
        </w:rPr>
        <w:t>(</w:t>
      </w:r>
      <w:r w:rsidRPr="00E5145E">
        <w:rPr>
          <w:rStyle w:val="FootnoteReference"/>
          <w:spacing w:val="0"/>
          <w:w w:val="103"/>
          <w:vertAlign w:val="baseline"/>
          <w:rtl/>
        </w:rPr>
        <w:footnoteRef/>
      </w:r>
      <w:r w:rsidRPr="00E5145E">
        <w:rPr>
          <w:w w:val="103"/>
          <w:rtl/>
        </w:rPr>
        <w:t>)</w:t>
      </w:r>
      <w:r w:rsidRPr="00E5145E">
        <w:rPr>
          <w:w w:val="103"/>
          <w:rtl/>
        </w:rPr>
        <w:tab/>
      </w:r>
      <w:r>
        <w:rPr>
          <w:rFonts w:hint="cs"/>
          <w:rtl/>
        </w:rPr>
        <w:t>المرجع نفسه، الفقرة 307.</w:t>
      </w:r>
    </w:p>
  </w:footnote>
  <w:footnote w:id="11">
    <w:p w:rsidR="003E69CA" w:rsidRPr="00E5145E" w:rsidRDefault="003E69CA" w:rsidP="000B5924">
      <w:pPr>
        <w:pStyle w:val="FootnoteText"/>
        <w:tabs>
          <w:tab w:val="clear" w:pos="418"/>
          <w:tab w:val="right" w:pos="1195"/>
          <w:tab w:val="left" w:pos="1267"/>
          <w:tab w:val="left" w:pos="1656"/>
          <w:tab w:val="left" w:pos="2088"/>
        </w:tabs>
        <w:spacing w:after="80"/>
        <w:ind w:left="1267" w:right="1267" w:hanging="547"/>
        <w:rPr>
          <w:rFonts w:hint="cs"/>
          <w:w w:val="103"/>
          <w:rtl/>
        </w:rPr>
      </w:pPr>
      <w:r>
        <w:rPr>
          <w:rtl/>
        </w:rPr>
        <w:tab/>
      </w:r>
      <w:r w:rsidRPr="00E5145E">
        <w:rPr>
          <w:w w:val="103"/>
          <w:rtl/>
        </w:rPr>
        <w:t>(</w:t>
      </w:r>
      <w:r w:rsidRPr="00E5145E">
        <w:rPr>
          <w:rStyle w:val="FootnoteReference"/>
          <w:spacing w:val="0"/>
          <w:w w:val="103"/>
          <w:vertAlign w:val="baseline"/>
          <w:rtl/>
        </w:rPr>
        <w:footnoteRef/>
      </w:r>
      <w:r w:rsidRPr="00E5145E">
        <w:rPr>
          <w:w w:val="103"/>
          <w:rtl/>
        </w:rPr>
        <w:t>)</w:t>
      </w:r>
      <w:r w:rsidRPr="00E5145E">
        <w:rPr>
          <w:w w:val="103"/>
          <w:rtl/>
        </w:rPr>
        <w:tab/>
      </w:r>
      <w:r>
        <w:rPr>
          <w:rFonts w:hint="cs"/>
          <w:rtl/>
        </w:rPr>
        <w:t xml:space="preserve">انظر </w:t>
      </w:r>
      <w:r w:rsidRPr="00C927BD">
        <w:rPr>
          <w:rFonts w:hint="cs"/>
          <w:i/>
          <w:iCs/>
          <w:rtl/>
        </w:rPr>
        <w:t xml:space="preserve">الوثائق الرسمية للجمعية العامة، الدورة </w:t>
      </w:r>
      <w:r>
        <w:rPr>
          <w:rFonts w:hint="cs"/>
          <w:i/>
          <w:iCs/>
          <w:rtl/>
        </w:rPr>
        <w:t>الستون</w:t>
      </w:r>
      <w:r w:rsidRPr="00C927BD">
        <w:rPr>
          <w:rFonts w:hint="cs"/>
          <w:i/>
          <w:iCs/>
          <w:rtl/>
        </w:rPr>
        <w:t>، الملحق رقم 38</w:t>
      </w:r>
      <w:r>
        <w:rPr>
          <w:rFonts w:hint="cs"/>
          <w:rtl/>
        </w:rPr>
        <w:t xml:space="preserve"> </w:t>
      </w:r>
      <w:r>
        <w:t>(A/60/38)</w:t>
      </w:r>
      <w:r>
        <w:rPr>
          <w:rFonts w:hint="cs"/>
          <w:rtl/>
        </w:rPr>
        <w:t>، المرفق الثاني.</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06"/>
      <w:gridCol w:w="4944"/>
    </w:tblGrid>
    <w:tr w:rsidR="003E69CA">
      <w:tblPrEx>
        <w:tblCellMar>
          <w:top w:w="0" w:type="dxa"/>
          <w:bottom w:w="0" w:type="dxa"/>
        </w:tblCellMar>
      </w:tblPrEx>
      <w:trPr>
        <w:trHeight w:hRule="exact" w:val="864"/>
        <w:jc w:val="center"/>
      </w:trPr>
      <w:tc>
        <w:tcPr>
          <w:tcW w:w="5033" w:type="dxa"/>
          <w:shd w:val="clear" w:color="auto" w:fill="auto"/>
          <w:vAlign w:val="bottom"/>
        </w:tcPr>
        <w:p w:rsidR="003E69CA" w:rsidRDefault="003E69CA" w:rsidP="00FD4C84">
          <w:pPr>
            <w:pStyle w:val="Header"/>
            <w:bidi/>
            <w:jc w:val="right"/>
          </w:pPr>
        </w:p>
      </w:tc>
      <w:tc>
        <w:tcPr>
          <w:tcW w:w="5033" w:type="dxa"/>
          <w:shd w:val="clear" w:color="auto" w:fill="auto"/>
          <w:vAlign w:val="bottom"/>
        </w:tcPr>
        <w:p w:rsidR="003E69CA" w:rsidRPr="00FD4C84" w:rsidRDefault="003E69CA" w:rsidP="00FD4C84">
          <w:pPr>
            <w:pStyle w:val="Header"/>
            <w:spacing w:after="80"/>
            <w:jc w:val="right"/>
            <w:rPr>
              <w:w w:val="103"/>
            </w:rPr>
          </w:pPr>
          <w:r>
            <w:rPr>
              <w:w w:val="103"/>
            </w:rPr>
            <w:fldChar w:fldCharType="begin"/>
          </w:r>
          <w:r>
            <w:rPr>
              <w:w w:val="103"/>
            </w:rPr>
            <w:instrText xml:space="preserve"> DOCVARIABLE  sss1  \* MERGEFORMAT </w:instrText>
          </w:r>
          <w:r>
            <w:rPr>
              <w:w w:val="103"/>
            </w:rPr>
            <w:fldChar w:fldCharType="separate"/>
          </w:r>
          <w:r>
            <w:rPr>
              <w:w w:val="103"/>
            </w:rPr>
            <w:t>CEDAW/C/IDN/Q/5</w:t>
          </w:r>
          <w:r>
            <w:rPr>
              <w:w w:val="103"/>
            </w:rPr>
            <w:fldChar w:fldCharType="end"/>
          </w:r>
        </w:p>
      </w:tc>
    </w:tr>
  </w:tbl>
  <w:p w:rsidR="003E69CA" w:rsidRPr="00FD4C84" w:rsidRDefault="003E69CA" w:rsidP="00FD4C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44"/>
      <w:gridCol w:w="4906"/>
    </w:tblGrid>
    <w:tr w:rsidR="003E69CA">
      <w:tblPrEx>
        <w:tblCellMar>
          <w:top w:w="0" w:type="dxa"/>
          <w:bottom w:w="0" w:type="dxa"/>
        </w:tblCellMar>
      </w:tblPrEx>
      <w:trPr>
        <w:trHeight w:hRule="exact" w:val="864"/>
        <w:jc w:val="center"/>
      </w:trPr>
      <w:tc>
        <w:tcPr>
          <w:tcW w:w="5033" w:type="dxa"/>
          <w:shd w:val="clear" w:color="auto" w:fill="auto"/>
          <w:vAlign w:val="bottom"/>
        </w:tcPr>
        <w:p w:rsidR="003E69CA" w:rsidRPr="00FD4C84" w:rsidRDefault="003E69CA" w:rsidP="00FD4C84">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Pr>
              <w:w w:val="103"/>
            </w:rPr>
            <w:t>CEDAW/C/IDN/Q/5</w:t>
          </w:r>
          <w:r>
            <w:rPr>
              <w:w w:val="103"/>
            </w:rPr>
            <w:fldChar w:fldCharType="end"/>
          </w:r>
        </w:p>
      </w:tc>
      <w:tc>
        <w:tcPr>
          <w:tcW w:w="5033" w:type="dxa"/>
          <w:shd w:val="clear" w:color="auto" w:fill="auto"/>
          <w:vAlign w:val="bottom"/>
        </w:tcPr>
        <w:p w:rsidR="003E69CA" w:rsidRDefault="003E69CA" w:rsidP="00FD4C84">
          <w:pPr>
            <w:pStyle w:val="Header"/>
          </w:pPr>
        </w:p>
      </w:tc>
    </w:tr>
  </w:tbl>
  <w:p w:rsidR="003E69CA" w:rsidRPr="00FD4C84" w:rsidRDefault="003E69CA" w:rsidP="00FD4C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3E69CA">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3E69CA" w:rsidRDefault="003E69CA" w:rsidP="00FD4C84">
          <w:pPr>
            <w:pStyle w:val="Header"/>
            <w:spacing w:after="120"/>
          </w:pPr>
        </w:p>
      </w:tc>
      <w:tc>
        <w:tcPr>
          <w:tcW w:w="1786" w:type="dxa"/>
          <w:tcBorders>
            <w:bottom w:val="single" w:sz="4" w:space="0" w:color="auto"/>
          </w:tcBorders>
          <w:shd w:val="clear" w:color="auto" w:fill="auto"/>
          <w:vAlign w:val="bottom"/>
        </w:tcPr>
        <w:p w:rsidR="003E69CA" w:rsidRPr="00FD4C84" w:rsidRDefault="003E69CA" w:rsidP="00FD4C84">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3E69CA" w:rsidRDefault="003E69CA" w:rsidP="00FD4C84">
          <w:pPr>
            <w:pStyle w:val="Header"/>
            <w:spacing w:after="120"/>
          </w:pPr>
        </w:p>
      </w:tc>
      <w:tc>
        <w:tcPr>
          <w:tcW w:w="6523" w:type="dxa"/>
          <w:gridSpan w:val="3"/>
          <w:tcBorders>
            <w:bottom w:val="single" w:sz="4" w:space="0" w:color="auto"/>
          </w:tcBorders>
          <w:shd w:val="clear" w:color="auto" w:fill="auto"/>
          <w:vAlign w:val="bottom"/>
        </w:tcPr>
        <w:p w:rsidR="003E69CA" w:rsidRPr="00FD4C84" w:rsidRDefault="003E69CA" w:rsidP="00FD4C84">
          <w:pPr>
            <w:spacing w:line="380" w:lineRule="exact"/>
            <w:jc w:val="right"/>
          </w:pPr>
          <w:r>
            <w:rPr>
              <w:sz w:val="40"/>
            </w:rPr>
            <w:t>CEDAW</w:t>
          </w:r>
          <w:r>
            <w:t>/C/IDN/Q/5</w:t>
          </w:r>
        </w:p>
      </w:tc>
    </w:tr>
    <w:tr w:rsidR="003E69CA" w:rsidRPr="00FD4C84">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3E69CA" w:rsidRDefault="003E69CA" w:rsidP="00FD4C84">
          <w:pPr>
            <w:pStyle w:val="Header"/>
            <w:spacing w:before="109"/>
            <w:jc w:val="right"/>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3E69CA" w:rsidRPr="00FD4C84" w:rsidRDefault="003E69CA" w:rsidP="00FD4C84">
          <w:pPr>
            <w:pStyle w:val="Header"/>
            <w:spacing w:before="109"/>
            <w:jc w:val="right"/>
          </w:pPr>
        </w:p>
      </w:tc>
      <w:tc>
        <w:tcPr>
          <w:tcW w:w="5227" w:type="dxa"/>
          <w:gridSpan w:val="3"/>
          <w:tcBorders>
            <w:top w:val="single" w:sz="4" w:space="0" w:color="auto"/>
            <w:bottom w:val="single" w:sz="12" w:space="0" w:color="auto"/>
          </w:tcBorders>
          <w:shd w:val="clear" w:color="auto" w:fill="auto"/>
        </w:tcPr>
        <w:p w:rsidR="003E69CA" w:rsidRPr="00FD4C84" w:rsidRDefault="003E69CA" w:rsidP="00FD4C84">
          <w:pPr>
            <w:pStyle w:val="XLarge"/>
            <w:spacing w:before="109" w:line="520" w:lineRule="exact"/>
            <w:ind w:left="14" w:right="14"/>
            <w:jc w:val="left"/>
            <w:rPr>
              <w:szCs w:val="50"/>
            </w:rPr>
          </w:pPr>
          <w:r>
            <w:rPr>
              <w:szCs w:val="50"/>
              <w:rtl/>
            </w:rPr>
            <w:t>اتفاقية القضاء على جميـع</w:t>
          </w:r>
          <w:r>
            <w:rPr>
              <w:szCs w:val="50"/>
              <w:rtl/>
            </w:rPr>
            <w:br/>
            <w:t>أشكال التمييز ضد المرأة</w:t>
          </w:r>
        </w:p>
      </w:tc>
      <w:tc>
        <w:tcPr>
          <w:tcW w:w="245" w:type="dxa"/>
          <w:tcBorders>
            <w:top w:val="single" w:sz="4" w:space="0" w:color="auto"/>
            <w:bottom w:val="single" w:sz="12" w:space="0" w:color="auto"/>
          </w:tcBorders>
          <w:shd w:val="clear" w:color="auto" w:fill="auto"/>
        </w:tcPr>
        <w:p w:rsidR="003E69CA" w:rsidRPr="00FD4C84" w:rsidRDefault="003E69CA" w:rsidP="00FD4C84">
          <w:pPr>
            <w:pStyle w:val="Header"/>
            <w:spacing w:before="109"/>
          </w:pPr>
        </w:p>
      </w:tc>
      <w:tc>
        <w:tcPr>
          <w:tcW w:w="3100" w:type="dxa"/>
          <w:gridSpan w:val="2"/>
          <w:tcBorders>
            <w:top w:val="single" w:sz="4" w:space="0" w:color="auto"/>
            <w:bottom w:val="single" w:sz="12" w:space="0" w:color="auto"/>
          </w:tcBorders>
          <w:shd w:val="clear" w:color="auto" w:fill="auto"/>
        </w:tcPr>
        <w:p w:rsidR="003E69CA" w:rsidRDefault="003E69CA" w:rsidP="00FD4C84">
          <w:pPr>
            <w:bidi w:val="0"/>
            <w:spacing w:before="240" w:line="240" w:lineRule="exact"/>
          </w:pPr>
          <w:r>
            <w:t>Distr.: General</w:t>
          </w:r>
        </w:p>
        <w:p w:rsidR="003E69CA" w:rsidRDefault="003E69CA" w:rsidP="00FD4C84">
          <w:pPr>
            <w:bidi w:val="0"/>
            <w:spacing w:line="240" w:lineRule="exact"/>
            <w:jc w:val="left"/>
          </w:pPr>
          <w:r>
            <w:t>27 March 2007</w:t>
          </w:r>
        </w:p>
        <w:p w:rsidR="003E69CA" w:rsidRDefault="003E69CA" w:rsidP="00FD4C84">
          <w:pPr>
            <w:bidi w:val="0"/>
            <w:spacing w:line="240" w:lineRule="exact"/>
            <w:jc w:val="left"/>
          </w:pPr>
          <w:r>
            <w:t>Arabic</w:t>
          </w:r>
        </w:p>
        <w:p w:rsidR="003E69CA" w:rsidRPr="00FD4C84" w:rsidRDefault="003E69CA" w:rsidP="00FD4C84">
          <w:pPr>
            <w:bidi w:val="0"/>
            <w:spacing w:line="240" w:lineRule="exact"/>
            <w:jc w:val="left"/>
          </w:pPr>
          <w:r>
            <w:t>Original: English</w:t>
          </w:r>
        </w:p>
      </w:tc>
    </w:tr>
  </w:tbl>
  <w:p w:rsidR="003E69CA" w:rsidRPr="00FD4C84" w:rsidRDefault="003E69CA" w:rsidP="00FD4C84">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662"/>
  <w:autoHyphenation/>
  <w:evenAndOddHeaders/>
  <w:drawingGridHorizontalSpacing w:val="103"/>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pos w:val="sectEnd"/>
    <w:numFmt w:val="decimal"/>
    <w:endnote w:id="-1"/>
    <w:endnote w:id="0"/>
  </w:endnotePr>
  <w:compat>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725133*"/>
    <w:docVar w:name="CreationDt" w:val="15/03/2007 02:417 م"/>
    <w:docVar w:name="DocCategory" w:val="Doc"/>
    <w:docVar w:name="DocType" w:val="Final"/>
    <w:docVar w:name="FooterJN" w:val="07-25133"/>
    <w:docVar w:name="jobn" w:val="07-25133 (A)"/>
    <w:docVar w:name="jobnDT" w:val="07-25133 (A)   150307"/>
    <w:docVar w:name="jobnDTDT" w:val="07-25133 (A)   150307   150307"/>
    <w:docVar w:name="JobNo" w:val="0725133A"/>
    <w:docVar w:name="OandT" w:val=" "/>
    <w:docVar w:name="sss1" w:val="CEDAW/C/IDN/Q/5"/>
    <w:docVar w:name="sss2" w:val="-"/>
    <w:docVar w:name="Symbol1" w:val="CEDAW/C/IDN/Q/5"/>
    <w:docVar w:name="Symbol2" w:val="-"/>
  </w:docVars>
  <w:rsids>
    <w:rsidRoot w:val="00A222B9"/>
    <w:rsid w:val="00005972"/>
    <w:rsid w:val="00042425"/>
    <w:rsid w:val="0006648F"/>
    <w:rsid w:val="00087310"/>
    <w:rsid w:val="0009732C"/>
    <w:rsid w:val="000B5924"/>
    <w:rsid w:val="000C4EED"/>
    <w:rsid w:val="000D2CEC"/>
    <w:rsid w:val="00101EE8"/>
    <w:rsid w:val="001074F3"/>
    <w:rsid w:val="00113349"/>
    <w:rsid w:val="001519A9"/>
    <w:rsid w:val="001737F8"/>
    <w:rsid w:val="00187870"/>
    <w:rsid w:val="001A4583"/>
    <w:rsid w:val="001F6786"/>
    <w:rsid w:val="002416C5"/>
    <w:rsid w:val="00262B04"/>
    <w:rsid w:val="00266F59"/>
    <w:rsid w:val="00272B6C"/>
    <w:rsid w:val="0027623A"/>
    <w:rsid w:val="00290F2F"/>
    <w:rsid w:val="002937DA"/>
    <w:rsid w:val="002A09C6"/>
    <w:rsid w:val="002C2AF2"/>
    <w:rsid w:val="002C4E1B"/>
    <w:rsid w:val="002E63CF"/>
    <w:rsid w:val="00312162"/>
    <w:rsid w:val="003501D5"/>
    <w:rsid w:val="00371AC4"/>
    <w:rsid w:val="00383CA8"/>
    <w:rsid w:val="003A65ED"/>
    <w:rsid w:val="003D4612"/>
    <w:rsid w:val="003E69CA"/>
    <w:rsid w:val="003F4B8C"/>
    <w:rsid w:val="00401BDF"/>
    <w:rsid w:val="00411BBD"/>
    <w:rsid w:val="00415922"/>
    <w:rsid w:val="00423BD7"/>
    <w:rsid w:val="0042757D"/>
    <w:rsid w:val="00437C14"/>
    <w:rsid w:val="004454A0"/>
    <w:rsid w:val="004527C9"/>
    <w:rsid w:val="00453069"/>
    <w:rsid w:val="0045558E"/>
    <w:rsid w:val="00483F5B"/>
    <w:rsid w:val="00490874"/>
    <w:rsid w:val="00494EE2"/>
    <w:rsid w:val="00496E83"/>
    <w:rsid w:val="004A2886"/>
    <w:rsid w:val="004B14A0"/>
    <w:rsid w:val="004D1B0C"/>
    <w:rsid w:val="004F1402"/>
    <w:rsid w:val="0050659B"/>
    <w:rsid w:val="00524A2E"/>
    <w:rsid w:val="005279DE"/>
    <w:rsid w:val="00534772"/>
    <w:rsid w:val="00537FCD"/>
    <w:rsid w:val="00545F76"/>
    <w:rsid w:val="005545BB"/>
    <w:rsid w:val="00556882"/>
    <w:rsid w:val="00561E43"/>
    <w:rsid w:val="005626CF"/>
    <w:rsid w:val="0057078E"/>
    <w:rsid w:val="00574556"/>
    <w:rsid w:val="005838F5"/>
    <w:rsid w:val="00591B45"/>
    <w:rsid w:val="005A0F73"/>
    <w:rsid w:val="005A2EA3"/>
    <w:rsid w:val="005C2ECE"/>
    <w:rsid w:val="00616E82"/>
    <w:rsid w:val="006218A3"/>
    <w:rsid w:val="006564CE"/>
    <w:rsid w:val="00662F9E"/>
    <w:rsid w:val="00663F64"/>
    <w:rsid w:val="00696B7A"/>
    <w:rsid w:val="006A09B6"/>
    <w:rsid w:val="006C38EE"/>
    <w:rsid w:val="0071531E"/>
    <w:rsid w:val="0071645B"/>
    <w:rsid w:val="00716E9D"/>
    <w:rsid w:val="0074257B"/>
    <w:rsid w:val="00747B9E"/>
    <w:rsid w:val="007524BE"/>
    <w:rsid w:val="007525FA"/>
    <w:rsid w:val="00774FF0"/>
    <w:rsid w:val="0079046D"/>
    <w:rsid w:val="0079753A"/>
    <w:rsid w:val="007A0079"/>
    <w:rsid w:val="007A6DD9"/>
    <w:rsid w:val="007D60E0"/>
    <w:rsid w:val="007D6B8D"/>
    <w:rsid w:val="007E32B9"/>
    <w:rsid w:val="0081284F"/>
    <w:rsid w:val="00814843"/>
    <w:rsid w:val="008170DE"/>
    <w:rsid w:val="00830596"/>
    <w:rsid w:val="00830E32"/>
    <w:rsid w:val="00873A11"/>
    <w:rsid w:val="00873AF9"/>
    <w:rsid w:val="008D1C04"/>
    <w:rsid w:val="008F04A0"/>
    <w:rsid w:val="008F64A7"/>
    <w:rsid w:val="0090012B"/>
    <w:rsid w:val="0090351F"/>
    <w:rsid w:val="00970BAD"/>
    <w:rsid w:val="009768D1"/>
    <w:rsid w:val="009829B7"/>
    <w:rsid w:val="009927C0"/>
    <w:rsid w:val="009961E6"/>
    <w:rsid w:val="00996779"/>
    <w:rsid w:val="009B6C65"/>
    <w:rsid w:val="009C0017"/>
    <w:rsid w:val="009C15F4"/>
    <w:rsid w:val="009D62A3"/>
    <w:rsid w:val="009E2A1F"/>
    <w:rsid w:val="00A222B9"/>
    <w:rsid w:val="00A37C4B"/>
    <w:rsid w:val="00A60CFF"/>
    <w:rsid w:val="00A66F66"/>
    <w:rsid w:val="00A71AE5"/>
    <w:rsid w:val="00AA1E16"/>
    <w:rsid w:val="00AC002C"/>
    <w:rsid w:val="00AC6CDD"/>
    <w:rsid w:val="00AD38D0"/>
    <w:rsid w:val="00AE108C"/>
    <w:rsid w:val="00AF1A53"/>
    <w:rsid w:val="00AF7AC7"/>
    <w:rsid w:val="00B05ADC"/>
    <w:rsid w:val="00B272BE"/>
    <w:rsid w:val="00B42AAA"/>
    <w:rsid w:val="00B9542C"/>
    <w:rsid w:val="00B95560"/>
    <w:rsid w:val="00BA7FAB"/>
    <w:rsid w:val="00BC2F4C"/>
    <w:rsid w:val="00BC4A05"/>
    <w:rsid w:val="00BF0B15"/>
    <w:rsid w:val="00C12CBB"/>
    <w:rsid w:val="00C25A2D"/>
    <w:rsid w:val="00C260F8"/>
    <w:rsid w:val="00C43FBE"/>
    <w:rsid w:val="00C449C6"/>
    <w:rsid w:val="00C564B0"/>
    <w:rsid w:val="00C6283F"/>
    <w:rsid w:val="00C814A5"/>
    <w:rsid w:val="00C96573"/>
    <w:rsid w:val="00CD0BB8"/>
    <w:rsid w:val="00CD3849"/>
    <w:rsid w:val="00CF7384"/>
    <w:rsid w:val="00D2343D"/>
    <w:rsid w:val="00D30EAE"/>
    <w:rsid w:val="00D318F1"/>
    <w:rsid w:val="00D40B0E"/>
    <w:rsid w:val="00DA66B7"/>
    <w:rsid w:val="00DB0865"/>
    <w:rsid w:val="00DE5433"/>
    <w:rsid w:val="00DE68A7"/>
    <w:rsid w:val="00DF5F38"/>
    <w:rsid w:val="00E23336"/>
    <w:rsid w:val="00E31661"/>
    <w:rsid w:val="00E32B52"/>
    <w:rsid w:val="00E47EB8"/>
    <w:rsid w:val="00E5145E"/>
    <w:rsid w:val="00E750E1"/>
    <w:rsid w:val="00E9114A"/>
    <w:rsid w:val="00EA489C"/>
    <w:rsid w:val="00EB0CA7"/>
    <w:rsid w:val="00EB4992"/>
    <w:rsid w:val="00EC5909"/>
    <w:rsid w:val="00EF2E52"/>
    <w:rsid w:val="00F24CFE"/>
    <w:rsid w:val="00F32E4A"/>
    <w:rsid w:val="00F36D8C"/>
    <w:rsid w:val="00F93545"/>
    <w:rsid w:val="00F96FBA"/>
    <w:rsid w:val="00FB4E06"/>
    <w:rsid w:val="00FB5572"/>
    <w:rsid w:val="00FC3483"/>
    <w:rsid w:val="00FC4D68"/>
    <w:rsid w:val="00FD2ADA"/>
    <w:rsid w:val="00FD4C8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992"/>
    <w:pPr>
      <w:bidi/>
      <w:spacing w:line="400" w:lineRule="exact"/>
      <w:jc w:val="lowKashida"/>
    </w:pPr>
    <w:rPr>
      <w:w w:val="103"/>
      <w:kern w:val="14"/>
      <w:szCs w:val="30"/>
      <w:lang w:val="en-US" w:eastAsia="en-US"/>
    </w:rPr>
  </w:style>
  <w:style w:type="paragraph" w:styleId="Heading1">
    <w:name w:val="heading 1"/>
    <w:basedOn w:val="Normal"/>
    <w:next w:val="Normal"/>
    <w:qFormat/>
    <w:rsid w:val="00EB4992"/>
    <w:pPr>
      <w:keepNext/>
      <w:outlineLvl w:val="0"/>
    </w:pPr>
    <w:rPr>
      <w:sz w:val="24"/>
      <w:szCs w:val="24"/>
    </w:rPr>
  </w:style>
  <w:style w:type="paragraph" w:styleId="Heading2">
    <w:name w:val="heading 2"/>
    <w:basedOn w:val="Normal"/>
    <w:next w:val="Normal"/>
    <w:qFormat/>
    <w:rsid w:val="00EB4992"/>
    <w:pPr>
      <w:keepNext/>
      <w:outlineLvl w:val="1"/>
    </w:pPr>
    <w:rPr>
      <w:sz w:val="32"/>
    </w:rPr>
  </w:style>
  <w:style w:type="character" w:default="1" w:styleId="DefaultParagraphFont">
    <w:name w:val="Default Paragraph Font"/>
    <w:semiHidden/>
    <w:rsid w:val="00EB4992"/>
  </w:style>
  <w:style w:type="table" w:default="1" w:styleId="TableNormal">
    <w:name w:val="Normal Table"/>
    <w:semiHidden/>
    <w:rsid w:val="00EB4992"/>
    <w:tblPr>
      <w:tblInd w:w="0" w:type="dxa"/>
      <w:tblCellMar>
        <w:top w:w="0" w:type="dxa"/>
        <w:left w:w="108" w:type="dxa"/>
        <w:bottom w:w="0" w:type="dxa"/>
        <w:right w:w="108" w:type="dxa"/>
      </w:tblCellMar>
    </w:tblPr>
  </w:style>
  <w:style w:type="numbering" w:default="1" w:styleId="NoList">
    <w:name w:val="No List"/>
    <w:semiHidden/>
    <w:rsid w:val="00EB4992"/>
  </w:style>
  <w:style w:type="paragraph" w:customStyle="1" w:styleId="H1">
    <w:name w:val="_ H_1"/>
    <w:basedOn w:val="Normal"/>
    <w:next w:val="SingleTxt"/>
    <w:rsid w:val="00EB4992"/>
    <w:pPr>
      <w:keepNext/>
      <w:keepLines/>
      <w:suppressAutoHyphens/>
      <w:outlineLvl w:val="0"/>
    </w:pPr>
    <w:rPr>
      <w:b/>
      <w:bCs/>
      <w:sz w:val="24"/>
      <w:szCs w:val="34"/>
    </w:rPr>
  </w:style>
  <w:style w:type="paragraph" w:customStyle="1" w:styleId="HCh">
    <w:name w:val="_ H _Ch"/>
    <w:basedOn w:val="H1"/>
    <w:next w:val="SingleTxt"/>
    <w:rsid w:val="00EB4992"/>
    <w:pPr>
      <w:spacing w:line="450" w:lineRule="exact"/>
    </w:pPr>
    <w:rPr>
      <w:spacing w:val="-2"/>
      <w:sz w:val="28"/>
      <w:szCs w:val="38"/>
    </w:rPr>
  </w:style>
  <w:style w:type="paragraph" w:customStyle="1" w:styleId="HM">
    <w:name w:val="_ H __M"/>
    <w:basedOn w:val="HCh"/>
    <w:next w:val="Normal"/>
    <w:rsid w:val="00EB4992"/>
    <w:pPr>
      <w:spacing w:line="540" w:lineRule="exact"/>
    </w:pPr>
    <w:rPr>
      <w:spacing w:val="-3"/>
      <w:w w:val="99"/>
      <w:sz w:val="34"/>
      <w:szCs w:val="51"/>
    </w:rPr>
  </w:style>
  <w:style w:type="paragraph" w:customStyle="1" w:styleId="H23">
    <w:name w:val="_ H_2/3"/>
    <w:basedOn w:val="H1"/>
    <w:next w:val="Normal"/>
    <w:rsid w:val="00EB4992"/>
    <w:pPr>
      <w:jc w:val="both"/>
      <w:outlineLvl w:val="1"/>
    </w:pPr>
    <w:rPr>
      <w:spacing w:val="2"/>
      <w:sz w:val="20"/>
      <w:szCs w:val="30"/>
    </w:rPr>
  </w:style>
  <w:style w:type="paragraph" w:customStyle="1" w:styleId="H4">
    <w:name w:val="_ H_4"/>
    <w:basedOn w:val="Normal"/>
    <w:next w:val="Normal"/>
    <w:rsid w:val="00EB4992"/>
    <w:pPr>
      <w:keepNext/>
      <w:keepLines/>
      <w:suppressAutoHyphens/>
      <w:spacing w:line="360" w:lineRule="exact"/>
      <w:outlineLvl w:val="3"/>
    </w:pPr>
    <w:rPr>
      <w:i/>
      <w:iCs/>
      <w:spacing w:val="3"/>
    </w:rPr>
  </w:style>
  <w:style w:type="paragraph" w:customStyle="1" w:styleId="H56">
    <w:name w:val="_ H_5/6"/>
    <w:basedOn w:val="Normal"/>
    <w:next w:val="Normal"/>
    <w:rsid w:val="00EB4992"/>
    <w:pPr>
      <w:keepNext/>
      <w:keepLines/>
      <w:suppressAutoHyphens/>
      <w:spacing w:line="360" w:lineRule="exact"/>
      <w:outlineLvl w:val="4"/>
    </w:pPr>
  </w:style>
  <w:style w:type="paragraph" w:customStyle="1" w:styleId="DualTxt">
    <w:name w:val="__Dual Txt"/>
    <w:basedOn w:val="Normal"/>
    <w:rsid w:val="00EB4992"/>
    <w:pPr>
      <w:tabs>
        <w:tab w:val="left" w:pos="662"/>
        <w:tab w:val="left" w:pos="1325"/>
        <w:tab w:val="left" w:pos="1987"/>
        <w:tab w:val="left" w:pos="2650"/>
        <w:tab w:val="left" w:pos="3312"/>
        <w:tab w:val="left" w:pos="3974"/>
        <w:tab w:val="left" w:pos="4637"/>
      </w:tabs>
      <w:spacing w:after="120"/>
    </w:pPr>
  </w:style>
  <w:style w:type="paragraph" w:customStyle="1" w:styleId="SingleTxt">
    <w:name w:val="__Single Txt"/>
    <w:basedOn w:val="Normal"/>
    <w:rsid w:val="00EB4992"/>
    <w:pPr>
      <w:tabs>
        <w:tab w:val="left" w:pos="1267"/>
        <w:tab w:val="left" w:pos="1930"/>
        <w:tab w:val="left" w:pos="2592"/>
        <w:tab w:val="left" w:pos="3254"/>
        <w:tab w:val="left" w:pos="3917"/>
        <w:tab w:val="left" w:pos="4579"/>
        <w:tab w:val="left" w:pos="5242"/>
        <w:tab w:val="left" w:pos="5904"/>
        <w:tab w:val="left" w:pos="6566"/>
      </w:tabs>
      <w:spacing w:after="120"/>
      <w:ind w:left="1267" w:right="1267"/>
    </w:pPr>
  </w:style>
  <w:style w:type="character" w:styleId="CommentReference">
    <w:name w:val="annotation reference"/>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rsid w:val="00EB4992"/>
    <w:pPr>
      <w:tabs>
        <w:tab w:val="center" w:pos="4320"/>
        <w:tab w:val="right" w:pos="8640"/>
      </w:tabs>
      <w:spacing w:line="210" w:lineRule="exact"/>
    </w:pPr>
    <w:rPr>
      <w:b/>
      <w:bCs/>
      <w:noProof/>
      <w:sz w:val="17"/>
      <w:szCs w:val="25"/>
      <w:lang w:val="en-US" w:eastAsia="en-US"/>
    </w:rPr>
  </w:style>
  <w:style w:type="character" w:styleId="FootnoteReference">
    <w:name w:val="footnote reference"/>
    <w:semiHidden/>
    <w:rsid w:val="00EB4992"/>
    <w:rPr>
      <w:rFonts w:ascii="Times New Roman" w:hAnsi="Times New Roman" w:cs="Traditional Arabic"/>
      <w:spacing w:val="-5"/>
      <w:w w:val="100"/>
      <w:position w:val="0"/>
      <w:sz w:val="17"/>
      <w:szCs w:val="26"/>
      <w:vertAlign w:val="superscript"/>
      <w:lang w:val="en-US" w:bidi="ar-SA"/>
    </w:rPr>
  </w:style>
  <w:style w:type="paragraph" w:styleId="Header">
    <w:name w:val="header"/>
    <w:rsid w:val="00EB4992"/>
    <w:pPr>
      <w:tabs>
        <w:tab w:val="center" w:pos="4320"/>
        <w:tab w:val="right" w:pos="8640"/>
      </w:tabs>
    </w:pPr>
    <w:rPr>
      <w:b/>
      <w:bCs/>
      <w:noProof/>
      <w:w w:val="105"/>
      <w:sz w:val="17"/>
      <w:szCs w:val="25"/>
      <w:lang w:val="en-US" w:eastAsia="en-US"/>
    </w:rPr>
  </w:style>
  <w:style w:type="character" w:styleId="LineNumber">
    <w:name w:val="line number"/>
    <w:rsid w:val="00EB4992"/>
    <w:rPr>
      <w:sz w:val="14"/>
      <w:szCs w:val="16"/>
    </w:rPr>
  </w:style>
  <w:style w:type="paragraph" w:customStyle="1" w:styleId="Small">
    <w:name w:val="Small"/>
    <w:basedOn w:val="Normal"/>
    <w:next w:val="Normal"/>
    <w:rsid w:val="00EB4992"/>
    <w:pPr>
      <w:tabs>
        <w:tab w:val="right" w:leader="dot" w:pos="360"/>
      </w:tabs>
      <w:spacing w:line="310" w:lineRule="exact"/>
      <w:jc w:val="right"/>
    </w:pPr>
    <w:rPr>
      <w:spacing w:val="5"/>
      <w:w w:val="104"/>
      <w:sz w:val="17"/>
      <w:szCs w:val="25"/>
    </w:rPr>
  </w:style>
  <w:style w:type="paragraph" w:customStyle="1" w:styleId="SmallX">
    <w:name w:val="SmallX"/>
    <w:basedOn w:val="Small"/>
    <w:next w:val="Normal"/>
    <w:rsid w:val="00EB4992"/>
    <w:pPr>
      <w:spacing w:line="240" w:lineRule="exact"/>
    </w:pPr>
    <w:rPr>
      <w:spacing w:val="6"/>
      <w:w w:val="106"/>
      <w:sz w:val="14"/>
      <w:szCs w:val="21"/>
    </w:rPr>
  </w:style>
  <w:style w:type="paragraph" w:customStyle="1" w:styleId="XLarge">
    <w:name w:val="XLarge"/>
    <w:basedOn w:val="HM"/>
    <w:rsid w:val="00EB4992"/>
    <w:pPr>
      <w:tabs>
        <w:tab w:val="right" w:leader="dot" w:pos="360"/>
      </w:tabs>
      <w:spacing w:line="580" w:lineRule="exact"/>
      <w:jc w:val="right"/>
    </w:pPr>
    <w:rPr>
      <w:spacing w:val="-4"/>
      <w:w w:val="98"/>
      <w:sz w:val="40"/>
      <w:szCs w:val="60"/>
    </w:rPr>
  </w:style>
  <w:style w:type="paragraph" w:customStyle="1" w:styleId="XXLarge">
    <w:name w:val="XXLarge"/>
    <w:basedOn w:val="XLarge"/>
    <w:next w:val="Normal"/>
    <w:rsid w:val="00EB4992"/>
    <w:pPr>
      <w:spacing w:line="820" w:lineRule="exact"/>
    </w:pPr>
    <w:rPr>
      <w:spacing w:val="-8"/>
      <w:w w:val="96"/>
      <w:sz w:val="57"/>
      <w:szCs w:val="86"/>
    </w:rPr>
  </w:style>
  <w:style w:type="paragraph" w:customStyle="1" w:styleId="JDualTxt">
    <w:name w:val="J__Dual Txt"/>
    <w:basedOn w:val="Normal"/>
    <w:rsid w:val="00EB4992"/>
    <w:pPr>
      <w:tabs>
        <w:tab w:val="left" w:pos="475"/>
        <w:tab w:val="left" w:pos="950"/>
        <w:tab w:val="left" w:pos="1426"/>
        <w:tab w:val="left" w:pos="1901"/>
        <w:tab w:val="center" w:pos="2563"/>
        <w:tab w:val="right" w:pos="5040"/>
      </w:tabs>
      <w:spacing w:after="80" w:line="300" w:lineRule="exact"/>
    </w:pPr>
    <w:rPr>
      <w:sz w:val="17"/>
      <w:szCs w:val="26"/>
    </w:rPr>
  </w:style>
  <w:style w:type="paragraph" w:customStyle="1" w:styleId="JSingleTxt">
    <w:name w:val="J__Single Txt"/>
    <w:basedOn w:val="Normal"/>
    <w:rsid w:val="00EB4992"/>
    <w:pPr>
      <w:tabs>
        <w:tab w:val="left" w:pos="1843"/>
        <w:tab w:val="left" w:pos="2419"/>
        <w:tab w:val="left" w:pos="2995"/>
        <w:tab w:val="left" w:pos="3571"/>
        <w:tab w:val="left" w:pos="4147"/>
        <w:tab w:val="left" w:pos="4723"/>
        <w:tab w:val="center" w:pos="5486"/>
        <w:tab w:val="right" w:pos="9547"/>
      </w:tabs>
      <w:spacing w:after="80" w:line="300" w:lineRule="exact"/>
      <w:ind w:left="1267" w:right="1267"/>
    </w:pPr>
    <w:rPr>
      <w:sz w:val="17"/>
      <w:szCs w:val="26"/>
    </w:rPr>
  </w:style>
  <w:style w:type="paragraph" w:customStyle="1" w:styleId="JCH">
    <w:name w:val="J_C_H"/>
    <w:basedOn w:val="JSingleTxt"/>
    <w:rsid w:val="00EB4992"/>
    <w:pPr>
      <w:tabs>
        <w:tab w:val="clear" w:pos="4147"/>
        <w:tab w:val="clear" w:pos="4723"/>
        <w:tab w:val="clear" w:pos="5486"/>
        <w:tab w:val="center" w:pos="5400"/>
      </w:tabs>
      <w:spacing w:after="120" w:line="440" w:lineRule="exact"/>
      <w:ind w:left="0" w:right="0"/>
      <w:jc w:val="center"/>
    </w:pPr>
    <w:rPr>
      <w:b/>
      <w:bCs/>
      <w:sz w:val="25"/>
      <w:szCs w:val="38"/>
    </w:rPr>
  </w:style>
  <w:style w:type="paragraph" w:customStyle="1" w:styleId="JH1">
    <w:name w:val="J_H_1"/>
    <w:basedOn w:val="JCH"/>
    <w:rsid w:val="00EB4992"/>
    <w:pPr>
      <w:spacing w:line="420" w:lineRule="exact"/>
    </w:pPr>
    <w:rPr>
      <w:sz w:val="23"/>
      <w:szCs w:val="34"/>
    </w:rPr>
  </w:style>
  <w:style w:type="paragraph" w:customStyle="1" w:styleId="JH2">
    <w:name w:val="J_H_2"/>
    <w:basedOn w:val="JH1"/>
    <w:rsid w:val="00EB4992"/>
    <w:pPr>
      <w:spacing w:line="400" w:lineRule="exact"/>
    </w:pPr>
    <w:rPr>
      <w:sz w:val="20"/>
      <w:szCs w:val="30"/>
    </w:rPr>
  </w:style>
  <w:style w:type="paragraph" w:styleId="BalloonText">
    <w:name w:val="Balloon Text"/>
    <w:basedOn w:val="Normal"/>
    <w:semiHidden/>
    <w:rsid w:val="00EB4992"/>
    <w:rPr>
      <w:rFonts w:ascii="Tahoma" w:hAnsi="Tahoma" w:cs="Tahoma"/>
      <w:sz w:val="16"/>
      <w:szCs w:val="16"/>
    </w:rPr>
  </w:style>
  <w:style w:type="paragraph" w:customStyle="1" w:styleId="JSmall">
    <w:name w:val="J_Small"/>
    <w:basedOn w:val="JSingleTxt"/>
    <w:next w:val="JSingleTxt"/>
    <w:rsid w:val="00EF2E52"/>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styleId="CommentText">
    <w:name w:val="annotation text"/>
    <w:basedOn w:val="Normal"/>
    <w:semiHidden/>
    <w:rsid w:val="00FD4C84"/>
    <w:rPr>
      <w:szCs w:val="20"/>
    </w:rPr>
  </w:style>
  <w:style w:type="paragraph" w:styleId="CommentSubject">
    <w:name w:val="annotation subject"/>
    <w:basedOn w:val="CommentText"/>
    <w:next w:val="CommentText"/>
    <w:semiHidden/>
    <w:rsid w:val="00FD4C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TotalTime>
  <Pages>7</Pages>
  <Words>1813</Words>
  <Characters>10337</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Normal.dot</vt:lpstr>
    </vt:vector>
  </TitlesOfParts>
  <Company>United Nations</Company>
  <LinksUpToDate>false</LinksUpToDate>
  <CharactersWithSpaces>12126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DAHSHOURY</dc:creator>
  <cp:keywords/>
  <dc:description/>
  <cp:lastModifiedBy>Heyam Kawas</cp:lastModifiedBy>
  <cp:revision>8</cp:revision>
  <cp:lastPrinted>2007-03-15T15:36:00Z</cp:lastPrinted>
  <dcterms:created xsi:type="dcterms:W3CDTF">2007-03-15T15:20:00Z</dcterms:created>
  <dcterms:modified xsi:type="dcterms:W3CDTF">2007-03-15T15:37:00Z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0725133</vt:lpwstr>
  </property>
  <property fmtid="{D5CDD505-2E9C-101B-9397-08002B2CF9AE}" pid="3" name="Symbol1">
    <vt:lpwstr>CEDAW/C/IDN/Q/5</vt:lpwstr>
  </property>
  <property fmtid="{D5CDD505-2E9C-101B-9397-08002B2CF9AE}" pid="4" name="Symbol2">
    <vt:lpwstr/>
  </property>
  <property fmtid="{D5CDD505-2E9C-101B-9397-08002B2CF9AE}" pid="5" name="Translator">
    <vt:lpwstr/>
  </property>
  <property fmtid="{D5CDD505-2E9C-101B-9397-08002B2CF9AE}" pid="6" name="Operator">
    <vt:lpwstr/>
  </property>
  <property fmtid="{D5CDD505-2E9C-101B-9397-08002B2CF9AE}" pid="7" name="DraftPages">
    <vt:lpwstr> </vt:lpwstr>
  </property>
  <property fmtid="{D5CDD505-2E9C-101B-9397-08002B2CF9AE}" pid="8" name="Comment">
    <vt:lpwstr/>
  </property>
</Properties>
</file>