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0B" w:rsidRDefault="00E96A0B">
      <w:pPr>
        <w:spacing w:line="60" w:lineRule="exact"/>
        <w:rPr>
          <w:sz w:val="6"/>
        </w:rPr>
        <w:sectPr w:rsidR="00E96A0B">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742" w:right="1195" w:bottom="1898" w:left="1195" w:header="576" w:footer="1030" w:gutter="0"/>
          <w:pgNumType w:start="1"/>
          <w:cols w:space="425"/>
          <w:titlePg/>
          <w:docGrid w:type="lines" w:linePitch="312"/>
        </w:sectPr>
      </w:pPr>
      <w:r>
        <w:rPr>
          <w:rStyle w:val="CommentReference"/>
          <w:rFonts w:hint="eastAsia"/>
          <w:vanish/>
        </w:rPr>
        <w:commentReference w:id="0"/>
      </w:r>
    </w:p>
    <w:p w:rsidR="00E96A0B" w:rsidRDefault="00E96A0B">
      <w:pPr>
        <w:spacing w:line="60" w:lineRule="exact"/>
        <w:rPr>
          <w:sz w:val="6"/>
        </w:rPr>
      </w:pP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40"/>
        <w:ind w:left="1264" w:right="1264" w:hanging="1264"/>
        <w:jc w:val="both"/>
      </w:pPr>
      <w:r>
        <w:rPr>
          <w:rFonts w:hint="eastAsia"/>
        </w:rPr>
        <w:t>消除对妇女歧视委员会</w:t>
      </w:r>
    </w:p>
    <w:p w:rsidR="00E96A0B" w:rsidRDefault="00E96A0B">
      <w:pPr>
        <w:pStyle w:val="HCh"/>
        <w:tabs>
          <w:tab w:val="clear" w:pos="57"/>
        </w:tabs>
        <w:spacing w:after="140" w:line="320" w:lineRule="exact"/>
        <w:ind w:left="1265" w:right="1264" w:hanging="6"/>
        <w:jc w:val="both"/>
        <w:rPr>
          <w:spacing w:val="4"/>
        </w:rPr>
      </w:pPr>
    </w:p>
    <w:p w:rsidR="00E96A0B" w:rsidRDefault="00E96A0B">
      <w:pPr>
        <w:pStyle w:val="HCh"/>
        <w:tabs>
          <w:tab w:val="clear" w:pos="57"/>
        </w:tabs>
        <w:spacing w:after="140" w:line="320" w:lineRule="exact"/>
        <w:ind w:left="1265" w:right="1264" w:hanging="6"/>
        <w:jc w:val="both"/>
        <w:rPr>
          <w:rFonts w:hint="eastAsia"/>
          <w:spacing w:val="4"/>
        </w:rPr>
      </w:pPr>
      <w:r>
        <w:rPr>
          <w:rFonts w:hint="eastAsia"/>
          <w:spacing w:val="4"/>
        </w:rPr>
        <w:t>审议缔约国根据《消除对妇女一切形式歧视公约》第18条提交的报告</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1264" w:right="1264" w:hanging="1264"/>
        <w:jc w:val="both"/>
        <w:rPr>
          <w:sz w:val="10"/>
        </w:rPr>
      </w:pP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264" w:right="1264" w:hanging="1264"/>
        <w:jc w:val="both"/>
        <w:rPr>
          <w:rFonts w:hint="eastAsia"/>
        </w:rPr>
      </w:pPr>
      <w:r>
        <w:tab/>
      </w:r>
      <w:r>
        <w:tab/>
      </w:r>
      <w:r>
        <w:rPr>
          <w:rFonts w:hint="eastAsia"/>
        </w:rPr>
        <w:t>缔约国的第五次定期报告</w:t>
      </w:r>
    </w:p>
    <w:p w:rsidR="00E96A0B" w:rsidRDefault="00E96A0B" w:rsidP="004907F9">
      <w:pPr>
        <w:pStyle w:val="H23"/>
        <w:spacing w:line="120" w:lineRule="exact"/>
        <w:ind w:leftChars="600" w:left="31680" w:rightChars="600" w:right="31680"/>
        <w:jc w:val="both"/>
        <w:rPr>
          <w:rFonts w:hint="eastAsia"/>
          <w:sz w:val="10"/>
        </w:rPr>
      </w:pP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4" w:right="1264" w:hanging="1264"/>
        <w:jc w:val="both"/>
        <w:rPr>
          <w:rFonts w:hint="eastAsia"/>
          <w:sz w:val="10"/>
        </w:rPr>
      </w:pP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line="120" w:lineRule="exact"/>
        <w:ind w:left="2524" w:right="1264" w:hanging="1264"/>
        <w:jc w:val="both"/>
        <w:rPr>
          <w:rFonts w:hint="eastAsia"/>
          <w:sz w:val="10"/>
        </w:rPr>
      </w:pP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pPr>
      <w:r>
        <w:rPr>
          <w:rFonts w:hint="eastAsia"/>
        </w:rPr>
        <w:t>冰岛</w:t>
      </w:r>
      <w:r>
        <w:rPr>
          <w:rStyle w:val="FootnoteReference"/>
          <w:rFonts w:ascii="Times New Roman"/>
          <w:color w:val="FF0000"/>
          <w:sz w:val="21"/>
        </w:rPr>
        <w:footnoteReference w:customMarkFollows="1" w:id="1"/>
        <w:sym w:font="Symbol" w:char="F02A"/>
      </w:r>
    </w:p>
    <w:p w:rsidR="00E96A0B" w:rsidRDefault="00E96A0B">
      <w:pPr>
        <w:pStyle w:val="BodyText"/>
        <w:spacing w:after="140"/>
      </w:pPr>
    </w:p>
    <w:p w:rsidR="00E96A0B" w:rsidRDefault="00E96A0B">
      <w:pPr>
        <w:pStyle w:val="BodyText"/>
        <w:spacing w:after="140"/>
      </w:pPr>
    </w:p>
    <w:p w:rsidR="00E96A0B" w:rsidRDefault="00E96A0B">
      <w:pPr>
        <w:pStyle w:val="BodyText"/>
        <w:spacing w:after="140"/>
      </w:pPr>
    </w:p>
    <w:p w:rsidR="00E96A0B" w:rsidRDefault="00E96A0B">
      <w:pPr>
        <w:pStyle w:val="SingleTxt"/>
      </w:pPr>
      <w:r>
        <w:br w:type="page"/>
      </w:r>
    </w:p>
    <w:p w:rsidR="00E96A0B" w:rsidRDefault="00E96A0B">
      <w:pPr>
        <w:pStyle w:val="SingleTxt"/>
      </w:pPr>
    </w:p>
    <w:p w:rsidR="00E96A0B" w:rsidRDefault="00E96A0B">
      <w:pPr>
        <w:pStyle w:val="SingleTxt"/>
      </w:pPr>
    </w:p>
    <w:p w:rsidR="00E96A0B" w:rsidRDefault="00E96A0B">
      <w:pPr>
        <w:pStyle w:val="SingleTxt"/>
      </w:pPr>
    </w:p>
    <w:p w:rsidR="00E96A0B" w:rsidRDefault="00E96A0B">
      <w:pPr>
        <w:pStyle w:val="HCh"/>
        <w:tabs>
          <w:tab w:val="clear" w:pos="57"/>
        </w:tabs>
        <w:spacing w:after="140" w:line="320" w:lineRule="exact"/>
        <w:ind w:left="1264" w:right="1264" w:hanging="4"/>
        <w:jc w:val="both"/>
        <w:rPr>
          <w:rFonts w:hint="eastAsia"/>
        </w:rPr>
      </w:pPr>
      <w:r>
        <w:rPr>
          <w:rFonts w:hint="eastAsia"/>
        </w:rPr>
        <w:t>消除对妇女一切形式歧视公约</w:t>
      </w:r>
    </w:p>
    <w:p w:rsidR="00E96A0B" w:rsidRDefault="00E96A0B">
      <w:pPr>
        <w:spacing w:after="140"/>
        <w:rPr>
          <w:rFonts w:hint="eastAsia"/>
          <w:sz w:val="24"/>
        </w:rPr>
      </w:pPr>
    </w:p>
    <w:p w:rsidR="00E96A0B" w:rsidRDefault="00E96A0B">
      <w:pPr>
        <w:pStyle w:val="HCh"/>
        <w:tabs>
          <w:tab w:val="clear" w:pos="57"/>
        </w:tabs>
        <w:spacing w:after="140" w:line="320" w:lineRule="exact"/>
        <w:ind w:left="1264" w:right="1264" w:hanging="4"/>
        <w:jc w:val="both"/>
      </w:pPr>
      <w:r>
        <w:rPr>
          <w:rFonts w:hint="eastAsia"/>
        </w:rPr>
        <w:t>关于《消除对妇女一切形式歧视公约》执行情况的</w:t>
      </w:r>
    </w:p>
    <w:p w:rsidR="00E96A0B" w:rsidRDefault="00E96A0B">
      <w:pPr>
        <w:pStyle w:val="HCh"/>
        <w:tabs>
          <w:tab w:val="clear" w:pos="57"/>
        </w:tabs>
        <w:spacing w:after="140" w:line="320" w:lineRule="exact"/>
        <w:ind w:left="1264" w:right="1264" w:hanging="4"/>
        <w:jc w:val="both"/>
        <w:rPr>
          <w:rFonts w:hint="eastAsia"/>
        </w:rPr>
      </w:pPr>
      <w:r>
        <w:rPr>
          <w:rFonts w:hint="eastAsia"/>
        </w:rPr>
        <w:t>第五次报告</w:t>
      </w:r>
    </w:p>
    <w:p w:rsidR="00E96A0B" w:rsidRDefault="00E96A0B">
      <w:pPr>
        <w:spacing w:after="140"/>
        <w:rPr>
          <w:rFonts w:hint="eastAsia"/>
          <w:sz w:val="24"/>
        </w:rPr>
      </w:pPr>
      <w:r>
        <w:rPr>
          <w:noProof/>
          <w:sz w:val="20"/>
        </w:rPr>
        <w:pict>
          <v:shapetype id="_x0000_t202" coordsize="21600,21600" o:spt="202" path="m,l,21600r21600,l21600,xe">
            <v:stroke joinstyle="miter"/>
            <v:path gradientshapeok="t" o:connecttype="rect"/>
          </v:shapetype>
          <v:shape id="_x0000_s2050" type="#_x0000_t202" style="position:absolute;margin-left:57.75pt;margin-top:19.6pt;width:147pt;height:156pt;z-index:1" filled="f" stroked="f">
            <v:textbox style="mso-next-textbox:#_x0000_s2050">
              <w:txbxContent>
                <w:p w:rsidR="00E96A0B" w:rsidRDefault="00E96A0B">
                  <w:pPr>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26pt">
                        <v:imagedata r:id="rId14" o:title=""/>
                      </v:shape>
                    </w:pict>
                  </w:r>
                </w:p>
                <w:p w:rsidR="00E96A0B" w:rsidRDefault="00E96A0B"/>
              </w:txbxContent>
            </v:textbox>
          </v:shape>
        </w:pict>
      </w:r>
    </w:p>
    <w:p w:rsidR="00E96A0B" w:rsidRDefault="00E96A0B">
      <w:pPr>
        <w:spacing w:after="140"/>
        <w:rPr>
          <w:rFonts w:hint="eastAsia"/>
          <w:sz w:val="24"/>
        </w:rPr>
      </w:pPr>
    </w:p>
    <w:p w:rsidR="00E96A0B" w:rsidRDefault="00E96A0B">
      <w:pPr>
        <w:spacing w:after="140"/>
        <w:rPr>
          <w:sz w:val="24"/>
        </w:rPr>
      </w:pPr>
    </w:p>
    <w:p w:rsidR="00E96A0B" w:rsidRDefault="00E96A0B">
      <w:pPr>
        <w:spacing w:after="140"/>
        <w:rPr>
          <w:sz w:val="24"/>
        </w:rPr>
      </w:pPr>
    </w:p>
    <w:p w:rsidR="00E96A0B" w:rsidRDefault="00E96A0B">
      <w:pPr>
        <w:spacing w:after="140"/>
        <w:rPr>
          <w:sz w:val="24"/>
        </w:rPr>
      </w:pPr>
    </w:p>
    <w:p w:rsidR="00E96A0B" w:rsidRDefault="00E96A0B">
      <w:pPr>
        <w:spacing w:after="140"/>
        <w:rPr>
          <w:sz w:val="24"/>
        </w:rPr>
      </w:pPr>
    </w:p>
    <w:p w:rsidR="00E96A0B" w:rsidRDefault="00E96A0B">
      <w:pPr>
        <w:spacing w:after="140"/>
        <w:rPr>
          <w:sz w:val="24"/>
        </w:rPr>
      </w:pPr>
    </w:p>
    <w:p w:rsidR="00E96A0B" w:rsidRDefault="00E96A0B">
      <w:pPr>
        <w:pStyle w:val="H23"/>
        <w:spacing w:after="140"/>
        <w:ind w:left="1264" w:right="1264" w:hanging="4"/>
        <w:jc w:val="both"/>
        <w:rPr>
          <w:sz w:val="24"/>
        </w:rPr>
      </w:pPr>
    </w:p>
    <w:p w:rsidR="00E96A0B" w:rsidRDefault="00E96A0B">
      <w:pPr>
        <w:pStyle w:val="H23"/>
        <w:spacing w:after="140"/>
        <w:ind w:left="1264" w:right="1264" w:hanging="4"/>
        <w:jc w:val="both"/>
        <w:rPr>
          <w:rFonts w:hint="eastAsia"/>
          <w:sz w:val="24"/>
        </w:rPr>
      </w:pPr>
      <w:r>
        <w:rPr>
          <w:rFonts w:hint="eastAsia"/>
          <w:sz w:val="24"/>
        </w:rPr>
        <w:t>提交者</w:t>
      </w:r>
    </w:p>
    <w:p w:rsidR="00E96A0B" w:rsidRDefault="00E96A0B">
      <w:pPr>
        <w:spacing w:after="140"/>
        <w:rPr>
          <w:rFonts w:hint="eastAsia"/>
          <w:sz w:val="24"/>
        </w:rPr>
      </w:pPr>
    </w:p>
    <w:p w:rsidR="00E96A0B" w:rsidRDefault="00E96A0B">
      <w:pPr>
        <w:pStyle w:val="HCh"/>
        <w:tabs>
          <w:tab w:val="clear" w:pos="57"/>
        </w:tabs>
        <w:spacing w:after="140" w:line="320" w:lineRule="exact"/>
        <w:ind w:left="1264" w:right="1264" w:hanging="4"/>
        <w:jc w:val="both"/>
      </w:pPr>
      <w:r>
        <w:rPr>
          <w:rFonts w:hint="eastAsia"/>
        </w:rPr>
        <w:t>冰岛政府</w:t>
      </w:r>
    </w:p>
    <w:p w:rsidR="00E96A0B" w:rsidRDefault="00E96A0B">
      <w:pPr>
        <w:pStyle w:val="SingleTxt"/>
      </w:pPr>
    </w:p>
    <w:p w:rsidR="00E96A0B" w:rsidRDefault="00E96A0B">
      <w:pPr>
        <w:pStyle w:val="H23"/>
        <w:spacing w:after="140"/>
        <w:ind w:left="1264" w:right="1264" w:hanging="4"/>
        <w:jc w:val="both"/>
        <w:rPr>
          <w:sz w:val="24"/>
        </w:rPr>
      </w:pPr>
      <w:r>
        <w:rPr>
          <w:rFonts w:hint="eastAsia"/>
          <w:sz w:val="24"/>
        </w:rPr>
        <w:t>社会事务部</w:t>
      </w:r>
    </w:p>
    <w:p w:rsidR="00E96A0B" w:rsidRDefault="00E96A0B">
      <w:pPr>
        <w:pStyle w:val="SingleTxt"/>
      </w:pPr>
    </w:p>
    <w:p w:rsidR="00E96A0B" w:rsidRDefault="00E96A0B">
      <w:pPr>
        <w:pStyle w:val="H23"/>
        <w:spacing w:after="140"/>
        <w:ind w:left="1264" w:right="1264" w:hanging="4"/>
        <w:jc w:val="both"/>
        <w:rPr>
          <w:rFonts w:hint="eastAsia"/>
        </w:rPr>
      </w:pPr>
      <w:r>
        <w:rPr>
          <w:rFonts w:hint="eastAsia"/>
        </w:rPr>
        <w:t>（所涉期间：1998年1月1日至2003年3月31日）</w:t>
      </w:r>
    </w:p>
    <w:p w:rsidR="00E96A0B" w:rsidRDefault="00E96A0B" w:rsidP="004907F9">
      <w:pPr>
        <w:pStyle w:val="HCh"/>
        <w:spacing w:beforeLines="50" w:before="156" w:afterLines="50" w:after="156" w:line="320" w:lineRule="exact"/>
        <w:ind w:leftChars="600" w:left="31680" w:rightChars="600" w:right="31680"/>
        <w:rPr>
          <w:rFonts w:hint="eastAsia"/>
        </w:rPr>
      </w:pPr>
      <w:r>
        <w:br w:type="page"/>
      </w:r>
      <w:r>
        <w:rPr>
          <w:rFonts w:hint="eastAsia"/>
        </w:rPr>
        <w:t>第一部分</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第1条</w:t>
      </w: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hAnsi="SimSun" w:hint="eastAsia"/>
        </w:rPr>
      </w:pPr>
      <w:r>
        <w:rPr>
          <w:rFonts w:hAnsi="SimSun" w:hint="eastAsia"/>
        </w:rPr>
        <w:t>在对冰岛政府提交的第三次和第四次定期报告所提出的结论性意见中，消除对妇女歧视委员会关切地注意到《公约》还没有纳入国内立法。尤其令委员会感到遗憾的是，《公约》第1条所定义的“对妇女的歧视”尚未成为冰岛法规的一部分。</w:t>
      </w:r>
    </w:p>
    <w:p w:rsidR="00E96A0B" w:rsidRDefault="00E96A0B" w:rsidP="004907F9">
      <w:pPr>
        <w:spacing w:after="140"/>
        <w:ind w:left="1264" w:right="1264" w:firstLineChars="200" w:firstLine="31680"/>
        <w:jc w:val="both"/>
        <w:rPr>
          <w:rFonts w:hAnsi="SimSun" w:hint="eastAsia"/>
        </w:rPr>
      </w:pPr>
      <w:r>
        <w:rPr>
          <w:rFonts w:hAnsi="SimSun" w:hint="eastAsia"/>
        </w:rPr>
        <w:t>对于此条意见，冰岛政府想强调，1995年，根据第97/1995号宪法法令，对《冰岛宪法》的人权条款进行了广泛修订。对《宪法》中有关经济、社会和文化权利的条款做了几处修改，增加了一些新的权利。另外，《宪法》中增加了一条重要规定，即平等原则。《宪法》第65条条文如下：</w:t>
      </w:r>
    </w:p>
    <w:p w:rsidR="00E96A0B" w:rsidRDefault="00E96A0B" w:rsidP="004907F9">
      <w:pPr>
        <w:spacing w:after="140"/>
        <w:ind w:left="1684" w:right="1264" w:firstLineChars="200" w:firstLine="31680"/>
        <w:jc w:val="both"/>
        <w:rPr>
          <w:rFonts w:hAnsi="SimSun" w:hint="eastAsia"/>
        </w:rPr>
      </w:pPr>
      <w:r>
        <w:rPr>
          <w:rFonts w:hAnsi="SimSun" w:hint="eastAsia"/>
        </w:rPr>
        <w:t>“法律面前人人平等，人人都享有人权，无论性别、宗教、观点、民族血统、种族、肤色、经济地位、门第和其他地位。</w:t>
      </w:r>
    </w:p>
    <w:p w:rsidR="00E96A0B" w:rsidRDefault="00E96A0B" w:rsidP="004907F9">
      <w:pPr>
        <w:spacing w:after="140"/>
        <w:ind w:left="1684" w:right="1264" w:firstLineChars="200" w:firstLine="31680"/>
        <w:jc w:val="both"/>
        <w:rPr>
          <w:rFonts w:hAnsi="SimSun" w:hint="eastAsia"/>
        </w:rPr>
      </w:pPr>
      <w:r>
        <w:rPr>
          <w:rFonts w:hAnsi="SimSun" w:hint="eastAsia"/>
        </w:rPr>
        <w:t>男女在各个方面均享有同等权利。”</w:t>
      </w:r>
    </w:p>
    <w:p w:rsidR="00E96A0B" w:rsidRDefault="00E96A0B" w:rsidP="004907F9">
      <w:pPr>
        <w:spacing w:after="140"/>
        <w:ind w:left="1264" w:right="1264" w:firstLineChars="200" w:firstLine="31680"/>
        <w:jc w:val="both"/>
        <w:rPr>
          <w:rFonts w:hAnsi="SimSun" w:hint="eastAsia"/>
        </w:rPr>
      </w:pPr>
      <w:r>
        <w:rPr>
          <w:rFonts w:hAnsi="SimSun" w:hint="eastAsia"/>
        </w:rPr>
        <w:t>应当指出，在《宪法》修正案的解释性报告中，明确提到了在解释《宪法》时要以人权领域里的国际公约为指导原则。例如，《宪法》第65条提及了《消除对妇女一切形式歧视公约》。</w:t>
      </w:r>
    </w:p>
    <w:p w:rsidR="00E96A0B" w:rsidRDefault="00E96A0B" w:rsidP="004907F9">
      <w:pPr>
        <w:spacing w:after="140"/>
        <w:ind w:left="1264" w:right="1264" w:firstLineChars="200" w:firstLine="31680"/>
        <w:jc w:val="both"/>
        <w:rPr>
          <w:rFonts w:hAnsi="SimSun" w:hint="eastAsia"/>
        </w:rPr>
      </w:pPr>
      <w:r>
        <w:rPr>
          <w:rFonts w:hAnsi="SimSun" w:hint="eastAsia"/>
        </w:rPr>
        <w:t>事实是，近几年来，国际人权公约在冰岛法律制度和冰岛法律的应用中的影响显著提高,可以说《宪法》新增人权规定扩大了宪法对国际人权公约所保障的各种权利的保护，这表现在最高法院和其他法院的各种判决中，它们在应用和解释冰岛法律时都越来越多地参考国际人权公约。这些公约尽管在冰岛法律制度中没有直接的法律效力，却得到了《宪法》的保护，因为法院在实践中都是根据国际义务来解释宪法规定的。在审理各种人权案件时，参照《宪法》关于平等原则第65条的现象也大量增加。</w:t>
      </w:r>
    </w:p>
    <w:p w:rsidR="00E96A0B" w:rsidRDefault="00E96A0B" w:rsidP="004907F9">
      <w:pPr>
        <w:spacing w:after="140"/>
        <w:ind w:left="1264" w:right="1264" w:firstLineChars="200" w:firstLine="31680"/>
        <w:jc w:val="both"/>
        <w:rPr>
          <w:rFonts w:hAnsi="SimSun" w:hint="eastAsia"/>
        </w:rPr>
      </w:pPr>
      <w:r>
        <w:rPr>
          <w:rFonts w:hAnsi="SimSun" w:hint="eastAsia"/>
        </w:rPr>
        <w:t xml:space="preserve">《消除对妇女一切形式歧视公约》从来没有在国内法院中援引过。但有一个案件，请平等地位投诉委员会对《公约》作出解释，该案件，即起诉司法部长的第6/1996号案件，涉及一位与外籍男子结婚的妇女所生孩子的国籍问题。根据以前的立法，冰岛父母婚生子女的法律地位根据其性别而不同。 </w:t>
      </w:r>
    </w:p>
    <w:p w:rsidR="00E96A0B" w:rsidRDefault="00E96A0B" w:rsidP="004907F9">
      <w:pPr>
        <w:spacing w:after="140"/>
        <w:ind w:left="1264" w:right="1264" w:firstLineChars="200" w:firstLine="31680"/>
        <w:jc w:val="both"/>
        <w:rPr>
          <w:rFonts w:hAnsi="SimSun" w:hint="eastAsia"/>
        </w:rPr>
      </w:pPr>
      <w:r>
        <w:rPr>
          <w:rFonts w:hAnsi="SimSun" w:hint="eastAsia"/>
        </w:rPr>
        <w:t>应该指出的是，根据近几年宪法修正案和法院的实践，冰岛社会展开了一场热烈的争论，公众对人权的意识也在觉醒。因此，冰岛人民比以前更熟悉他们的权利，知道这些权利通过冰岛法律制度和国际监督机构是可强制执行的。</w:t>
      </w:r>
    </w:p>
    <w:p w:rsidR="00E96A0B" w:rsidRDefault="00E96A0B" w:rsidP="004907F9">
      <w:pPr>
        <w:spacing w:after="140"/>
        <w:ind w:left="1264" w:right="1264" w:firstLineChars="200" w:firstLine="31680"/>
        <w:jc w:val="both"/>
        <w:rPr>
          <w:rFonts w:hAnsi="SimSun" w:hint="eastAsia"/>
        </w:rPr>
      </w:pPr>
      <w:r>
        <w:rPr>
          <w:rFonts w:hAnsi="SimSun" w:hint="eastAsia"/>
        </w:rPr>
        <w:t>正如对冰岛第三次和第四次定期报告的补充资料中所述，新的《男女平等地位和平等权利法》（以下称《两性平等法》）已于2000年6月生效，该法的第22条规定完全禁止歧视，这意味着禁止任何形式的性别歧视，不论是直接的还是间接的。不过，为保证男女平等和男女地位平等而采取的提高妇女或男子地位的临时特别措施不被视为违反该法。同样，专门为促进男女平等以及提高男女地位平等而增加妇女或男子的机会的措施也是如此。还应指出，因怀孕或分娩而给妇女发放的特殊补贴不被视为是歧视。</w:t>
      </w:r>
    </w:p>
    <w:p w:rsidR="00E96A0B" w:rsidRDefault="00E96A0B" w:rsidP="004907F9">
      <w:pPr>
        <w:spacing w:after="140"/>
        <w:ind w:left="1264" w:right="1264" w:firstLineChars="200" w:firstLine="31680"/>
        <w:jc w:val="both"/>
        <w:rPr>
          <w:rFonts w:hAnsi="SimSun" w:hint="eastAsia"/>
        </w:rPr>
      </w:pPr>
      <w:r>
        <w:rPr>
          <w:rFonts w:hAnsi="SimSun" w:hint="eastAsia"/>
        </w:rPr>
        <w:t>还颁布了关于两性平等中心职能的第47/2003号条例，作为第96/2000号法的补充。它们都包含这样一部分内容：禁止歧视，重申《两性平等法》第22条的规定，并定义了直接和间接的歧视。《条例》第15和第16条案文如下：</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695" w:right="1264"/>
        <w:jc w:val="both"/>
        <w:rPr>
          <w:rFonts w:ascii="KaiTi_GB2312" w:eastAsia="KaiTi_GB2312"/>
          <w:color w:val="0000FF"/>
          <w:sz w:val="21"/>
        </w:rPr>
      </w:pPr>
      <w:r>
        <w:rPr>
          <w:rFonts w:hint="eastAsia"/>
          <w:sz w:val="21"/>
        </w:rPr>
        <w:t>“第15条</w:t>
      </w:r>
      <w:r>
        <w:rPr>
          <w:rFonts w:ascii="KaiTi_GB2312" w:eastAsia="KaiTi_GB2312"/>
          <w:color w:val="0000FF"/>
          <w:sz w:val="21"/>
        </w:rPr>
        <w:br/>
      </w:r>
      <w:r>
        <w:rPr>
          <w:rFonts w:ascii="KaiTi_GB2312" w:eastAsia="KaiTi_GB2312" w:hint="eastAsia"/>
          <w:color w:val="0000FF"/>
          <w:sz w:val="21"/>
        </w:rPr>
        <w:t>直接歧视</w:t>
      </w: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700" w:right="1264" w:firstLineChars="200" w:firstLine="31680"/>
        <w:jc w:val="both"/>
        <w:rPr>
          <w:rFonts w:ascii="Times New Roman" w:hint="eastAsia"/>
        </w:rPr>
      </w:pPr>
      <w:r>
        <w:rPr>
          <w:rFonts w:ascii="Times New Roman" w:hint="eastAsia"/>
        </w:rPr>
        <w:t>直接歧视是指任何基于性别的区分、排除或限制，其结果或目的是被另一性别削弱或消除了对人权或政治、经济、社会、文化、民事等领域基本自由的认识、享有或行使。</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1695" w:right="1264"/>
        <w:jc w:val="both"/>
        <w:rPr>
          <w:rFonts w:hint="eastAsia"/>
        </w:rPr>
      </w:pPr>
      <w:r>
        <w:rPr>
          <w:rFonts w:hint="eastAsia"/>
          <w:sz w:val="21"/>
        </w:rPr>
        <w:t>第16条</w:t>
      </w:r>
      <w:r>
        <w:br/>
      </w:r>
      <w:r>
        <w:rPr>
          <w:rFonts w:ascii="KaiTi_GB2312" w:eastAsia="KaiTi_GB2312" w:hint="eastAsia"/>
          <w:color w:val="0000FF"/>
          <w:sz w:val="21"/>
        </w:rPr>
        <w:t>间接歧视</w:t>
      </w: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700" w:right="1264" w:firstLineChars="200" w:firstLine="31680"/>
        <w:jc w:val="both"/>
        <w:rPr>
          <w:rFonts w:ascii="Times New Roman" w:hint="eastAsia"/>
        </w:rPr>
      </w:pPr>
      <w:r>
        <w:rPr>
          <w:rFonts w:ascii="Times New Roman" w:hint="eastAsia"/>
        </w:rPr>
        <w:t>间接歧视是指有一种中性的规定、标准或惯例，使某一性别中的绝大部分人处于劣势地位，除非这种规定、标准或惯例是合适的、必要的或者经与性别无关的客观因素证明是正当的。”</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第</w:t>
      </w:r>
      <w:r>
        <w:rPr>
          <w:rFonts w:ascii="Times New Roman" w:hint="eastAsia"/>
        </w:rPr>
        <w:t>47/2003</w:t>
      </w:r>
      <w:r>
        <w:rPr>
          <w:rFonts w:ascii="Times New Roman" w:hint="eastAsia"/>
        </w:rPr>
        <w:t>号条例第</w:t>
      </w:r>
      <w:r>
        <w:rPr>
          <w:rFonts w:ascii="Times New Roman" w:hint="eastAsia"/>
        </w:rPr>
        <w:t>15</w:t>
      </w:r>
      <w:r>
        <w:rPr>
          <w:rFonts w:ascii="Times New Roman" w:hint="eastAsia"/>
        </w:rPr>
        <w:t>条是根据《消除对妇女一切形式歧视公约》第</w:t>
      </w:r>
      <w:r>
        <w:rPr>
          <w:rFonts w:ascii="Times New Roman" w:hint="eastAsia"/>
        </w:rPr>
        <w:t>1</w:t>
      </w:r>
      <w:r>
        <w:rPr>
          <w:rFonts w:ascii="Times New Roman" w:hint="eastAsia"/>
        </w:rPr>
        <w:t>条的措词制订的，冰岛政府希望在这一条中强调，《公约》中关于歧视的定义已经成为冰岛法律的一部分，间接歧视是以欧共体委员会关于性别歧视案件中的举证责任的第</w:t>
      </w:r>
      <w:r>
        <w:rPr>
          <w:rFonts w:ascii="Times New Roman" w:hint="eastAsia"/>
        </w:rPr>
        <w:t>97/80/EC</w:t>
      </w:r>
      <w:r>
        <w:rPr>
          <w:rFonts w:ascii="Times New Roman" w:hint="eastAsia"/>
        </w:rPr>
        <w:t>号指示为模本。应该指出，《两性平等法》适用于公共机构，也适用于私营部门和个人。</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冰岛政府已于</w:t>
      </w:r>
      <w:r>
        <w:rPr>
          <w:rFonts w:ascii="Times New Roman" w:hint="eastAsia"/>
        </w:rPr>
        <w:t>2002</w:t>
      </w:r>
      <w:r>
        <w:rPr>
          <w:rFonts w:ascii="Times New Roman" w:hint="eastAsia"/>
        </w:rPr>
        <w:t>年</w:t>
      </w:r>
      <w:r>
        <w:rPr>
          <w:rFonts w:ascii="Times New Roman" w:hint="eastAsia"/>
        </w:rPr>
        <w:t>5</w:t>
      </w:r>
      <w:r>
        <w:rPr>
          <w:rFonts w:ascii="Times New Roman" w:hint="eastAsia"/>
        </w:rPr>
        <w:t>月接受了对《消除对妇女一切形式歧视公约》第</w:t>
      </w:r>
      <w:r>
        <w:rPr>
          <w:rFonts w:ascii="Times New Roman" w:hint="eastAsia"/>
        </w:rPr>
        <w:t>20</w:t>
      </w:r>
      <w:r>
        <w:rPr>
          <w:rFonts w:ascii="Times New Roman" w:hint="eastAsia"/>
        </w:rPr>
        <w:t>条第</w:t>
      </w:r>
      <w:r>
        <w:rPr>
          <w:rFonts w:ascii="Times New Roman" w:hint="eastAsia"/>
        </w:rPr>
        <w:t>1</w:t>
      </w:r>
      <w:r>
        <w:rPr>
          <w:rFonts w:ascii="Times New Roman" w:hint="eastAsia"/>
        </w:rPr>
        <w:t>款的修正。</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第2条</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t>(</w:t>
      </w:r>
      <w:r>
        <w:rPr>
          <w:rFonts w:hint="eastAsia"/>
        </w:rPr>
        <w:t>a)项和</w:t>
      </w:r>
      <w:r>
        <w:t>(</w:t>
      </w:r>
      <w:r>
        <w:rPr>
          <w:rFonts w:hint="eastAsia"/>
        </w:rPr>
        <w:t>b)</w:t>
      </w:r>
    </w:p>
    <w:p w:rsidR="00E96A0B" w:rsidRDefault="00E96A0B">
      <w:pPr>
        <w:pStyle w:val="SingleTxt"/>
        <w:spacing w:after="0" w:line="120" w:lineRule="exact"/>
        <w:rPr>
          <w:rFonts w:ascii="KaiTi_GB2312" w:eastAsia="KaiTi_GB2312" w:hint="eastAsia"/>
          <w:color w:val="0000FF"/>
          <w:sz w:val="10"/>
        </w:rPr>
      </w:pPr>
    </w:p>
    <w:p w:rsidR="00E96A0B" w:rsidRDefault="00E96A0B">
      <w:pPr>
        <w:pStyle w:val="SingleTxt"/>
        <w:rPr>
          <w:rFonts w:ascii="SimHei" w:eastAsia="SimHei" w:hint="eastAsia"/>
          <w:color w:val="FF0000"/>
        </w:rPr>
      </w:pPr>
      <w:r>
        <w:rPr>
          <w:rFonts w:ascii="SimHei" w:eastAsia="SimHei" w:hint="eastAsia"/>
          <w:color w:val="FF0000"/>
        </w:rPr>
        <w:t>男女平等立法</w:t>
      </w:r>
    </w:p>
    <w:p w:rsidR="00E96A0B" w:rsidRDefault="00E96A0B" w:rsidP="004907F9">
      <w:pPr>
        <w:spacing w:after="140"/>
        <w:ind w:left="1264" w:right="1264" w:firstLineChars="200" w:firstLine="31680"/>
        <w:jc w:val="both"/>
        <w:rPr>
          <w:rFonts w:hAnsi="SimSun" w:hint="eastAsia"/>
        </w:rPr>
      </w:pPr>
      <w:r>
        <w:rPr>
          <w:rFonts w:hAnsi="SimSun" w:hint="eastAsia"/>
        </w:rPr>
        <w:t>自1976年开始，冰岛就已经拥有一部专门法律，旨在保证男女平等和各个方面的男女平等地位。2000年新的法律废除了以前的第28/1991号《两性平等法》。</w:t>
      </w:r>
    </w:p>
    <w:p w:rsidR="00E96A0B" w:rsidRDefault="00E96A0B" w:rsidP="004907F9">
      <w:pPr>
        <w:spacing w:after="140"/>
        <w:ind w:left="1264" w:right="1264" w:firstLineChars="200" w:firstLine="31680"/>
        <w:jc w:val="both"/>
        <w:rPr>
          <w:rFonts w:hAnsi="SimSun" w:hint="eastAsia"/>
        </w:rPr>
      </w:pPr>
      <w:r>
        <w:rPr>
          <w:rFonts w:hAnsi="SimSun" w:hint="eastAsia"/>
        </w:rPr>
        <w:t>对冰岛第三次和第四次定期报告的补充材料中声明，此法修订有两大主要原因：一方面是考虑到两性平等领域里的变化以及项目与方法的重点转移；另一方面，是要刺激社会重要领域走向平等。所以，该法修订时，注意了行政管理领域的男女平等状况，确定了要开展的具体项目。还强调，男女问题必须认真对待，这是男女两性共同的责任。</w:t>
      </w: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两性平等中心</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该法成立了一个新的专门机构，即两性平等中心（</w:t>
      </w:r>
      <w:r>
        <w:rPr>
          <w:rFonts w:ascii="Times New Roman" w:hint="eastAsia"/>
        </w:rPr>
        <w:t>Jafnrettisstofa</w:t>
      </w:r>
      <w:r>
        <w:rPr>
          <w:rFonts w:ascii="Times New Roman" w:hint="eastAsia"/>
        </w:rPr>
        <w:t>，该法中称之为平等地位局），它由社会事务部管理，并被授权监测此法的实施。该新机构接管了以前平等地位局的大部分工作。其任务包括：</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提供教育和信息，</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为政府、机构、公司、个人和非政府组织提供咨询，</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为社会事务部长、男女平等委员会及其他当局就男女平等问题的活动提供意见和建议，</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促进与男女平等有关的活动，比如，让越来越多的男子参加这样的活动，</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监督社会在平等问题上的进展，比如，通过收集信息和开展调研，</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为男女平等委员会、男女平等顾问以及地方政府、机构和公司的男女平等代表提供帮助，</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按照部长的指示，开展与该法的目的和范围一致的其它工作。</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公共机构、雇主和非政府组织有义务为两性平等中心提供其运作所需的一般信息。在特别情况下，两性平等中心可以根据平等地位投诉委员会的意见，通过法律诉讼为原告获得权利。</w:t>
      </w: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男女平等理事会</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男女平等理事会成员共有由</w:t>
      </w:r>
      <w:r>
        <w:rPr>
          <w:rFonts w:ascii="Times New Roman" w:hint="eastAsia"/>
        </w:rPr>
        <w:t>9</w:t>
      </w:r>
      <w:r>
        <w:rPr>
          <w:rFonts w:ascii="Times New Roman" w:hint="eastAsia"/>
        </w:rPr>
        <w:t>人，这</w:t>
      </w:r>
      <w:r>
        <w:rPr>
          <w:rFonts w:ascii="Times New Roman" w:hint="eastAsia"/>
        </w:rPr>
        <w:t>9</w:t>
      </w:r>
      <w:r>
        <w:rPr>
          <w:rFonts w:ascii="Times New Roman" w:hint="eastAsia"/>
        </w:rPr>
        <w:t>个人由社会事务部长任命。理事会主席不经提名直接任命。冰岛劳工联合会、国家和市政雇员联合会、财政部、冰岛大学、冰岛妇女协会联盟、冰岛妇女权利协会、冰岛雇主联合会和冰岛地方政府全国协会各推荐一名理事会成员。对理事会中的每个席位，各方应尽可能推荐一男一女两名候选人，以便任命的男女委员数量大致相同。理事会应有计划地努力保证男女在劳动力市场的地位和权利平等，并应就在此领域内将采取的措施向社会事务部长提出建议。</w:t>
      </w: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男女平等协调员</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除这些结构变化外，还要求各部任命一名男女平等协调员，监督本部委及在其支持下开展工作的机构中涉及男女平等问题的活动。协调员每年向两性平等中心提交一份年度报告，汇报本部委的活动。</w:t>
      </w:r>
    </w:p>
    <w:p w:rsidR="00E96A0B" w:rsidRDefault="00E96A0B" w:rsidP="004907F9">
      <w:pPr>
        <w:spacing w:after="140"/>
        <w:ind w:leftChars="600" w:left="31680" w:right="1264"/>
        <w:jc w:val="both"/>
        <w:rPr>
          <w:rFonts w:ascii="Times New Roman" w:eastAsia="KaiTi_GB2312"/>
          <w:color w:val="FF0000"/>
        </w:rPr>
      </w:pP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统计</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在官方对个人进行统计的过程中，以及在面谈和民意测验中，信息的收集、汇编和发布应以男女性别为基础，除非隐私保护等特殊情况不允许如此。</w:t>
      </w: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男女平等计划</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有一条规定声明，雇员超过</w:t>
      </w:r>
      <w:r>
        <w:rPr>
          <w:rFonts w:ascii="Times New Roman" w:hint="eastAsia"/>
        </w:rPr>
        <w:t>25</w:t>
      </w:r>
      <w:r>
        <w:rPr>
          <w:rFonts w:ascii="Times New Roman" w:hint="eastAsia"/>
        </w:rPr>
        <w:t>人的机构和企业应制订自己的男女平等计划，或者在它们的就业政策中专门制定有关男女平等的规定。</w:t>
      </w: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性别歧视</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该法禁止基于性别的各种直接或间接的歧视。间接歧视存在于看似中性，而实际上使某一性别的相当一部分人员处于劣势的规定、标准或惯例中，除非此规定、标准或惯例是恰当而且必须的，经与性别无关的客观因素证明是正当的。不允许雇主出于性别原因在工资和其他方面歧视其雇员。此规定同样适用于提升、继续教育、职业培训、进修假、工作条件以及其他事宜。</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《两性平等法》第</w:t>
      </w:r>
      <w:r>
        <w:rPr>
          <w:rFonts w:ascii="Times New Roman" w:hint="eastAsia"/>
        </w:rPr>
        <w:t>25</w:t>
      </w:r>
      <w:r>
        <w:rPr>
          <w:rFonts w:ascii="Times New Roman" w:hint="eastAsia"/>
        </w:rPr>
        <w:t>条规定，不得因为依据此法规提出赔偿要求而解雇有关雇员。雇主应保证不因雇员抱怨性骚扰或性别歧视而使他</w:t>
      </w:r>
      <w:r>
        <w:rPr>
          <w:rFonts w:ascii="Times New Roman" w:hint="eastAsia"/>
        </w:rPr>
        <w:t>/</w:t>
      </w:r>
      <w:r>
        <w:rPr>
          <w:rFonts w:ascii="Times New Roman" w:hint="eastAsia"/>
        </w:rPr>
        <w:t>她在工作中受到不公正的对待，例如，在工作中的安全和健康、工作条件或绩效评价方面。如果存在直接或间接性别歧视的证据，雇主必须证明其决定主要考虑的是性别以外的其他原因。雇主如果违反了关于禁止解雇的第</w:t>
      </w:r>
      <w:r>
        <w:rPr>
          <w:rFonts w:ascii="Times New Roman" w:hint="eastAsia"/>
        </w:rPr>
        <w:t>25</w:t>
      </w:r>
      <w:r>
        <w:rPr>
          <w:rFonts w:ascii="Times New Roman" w:hint="eastAsia"/>
        </w:rPr>
        <w:t>条，该规定同样适用，此时，雇主要说明解雇或被指控的不公正行为并不是因为雇员提出赔偿要求，也不是因为指控性骚扰或其他的性别歧视。在雇员根据该法提出赔偿的要求一年以后，雇员如果被解雇，则该规定将不再适用。</w:t>
      </w:r>
    </w:p>
    <w:p w:rsidR="00E96A0B" w:rsidRDefault="00E96A0B" w:rsidP="004907F9">
      <w:pPr>
        <w:spacing w:after="140"/>
        <w:ind w:left="1264" w:right="1264" w:firstLineChars="200" w:firstLine="31680"/>
        <w:jc w:val="both"/>
        <w:rPr>
          <w:rFonts w:hAnsi="SimSun" w:hint="eastAsia"/>
        </w:rPr>
      </w:pPr>
      <w:r>
        <w:rPr>
          <w:rFonts w:hAnsi="SimSun" w:hint="eastAsia"/>
        </w:rPr>
        <w:t>任何人，如果故意或因玩忽职守而违反了第96/2000号法，就要根据一般规定对损失进行赔偿。另外，根据第28条，如有必要，可要求当事人除赔偿受害方的经济损失之外，还要赔偿非经济损失。根据第29条，违反该法可被处以罚款，罚款上缴给国库。</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t>(</w:t>
      </w:r>
      <w:r>
        <w:rPr>
          <w:rFonts w:hint="eastAsia"/>
        </w:rPr>
        <w:t>c)项</w:t>
      </w:r>
    </w:p>
    <w:p w:rsidR="00E96A0B" w:rsidRDefault="00E96A0B" w:rsidP="004907F9">
      <w:pPr>
        <w:spacing w:line="120" w:lineRule="exact"/>
        <w:ind w:leftChars="600" w:left="31680" w:right="1264"/>
        <w:jc w:val="both"/>
        <w:rPr>
          <w:rFonts w:ascii="SimHei" w:eastAsia="SimHei" w:hint="eastAsia"/>
          <w:color w:val="FF0000"/>
          <w:sz w:val="10"/>
        </w:rPr>
      </w:pP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男女平等投诉委员会</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男女平等投诉委员会的成员为社会事务部长任命的三位律师和冰岛最高法院任命的两名律师，包括主席和副主席。投诉委员会的作用是审议并以书面形式签发关于《两性平等法》中的规定是否被违反的具体意见，对于委员会的意见不得向更高当局提出上诉。</w:t>
      </w:r>
      <w:r>
        <w:rPr>
          <w:rFonts w:ascii="Times New Roman" w:hint="eastAsia"/>
        </w:rPr>
        <w:t xml:space="preserve"> </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如果个人或非政府组织的成员认为自己成为违反该法行为的受害者，他们可以以自己的名义或代表其成员向男女平等投诉委员会投诉，要求赔偿。在特殊情况下，允许投诉委员会审理由其他方面向它提起的案件，向投诉委员会提出的大多数投诉属于劳动力市场的歧视问题，包括雇佣、解雇或工资方面的歧视。</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该委员会的结论对有关各方不具有约束力；相反，该委员会给出需加以改进的意见，即委员会是否认为某个行为违反了法律规定。消除对妇女歧视委员会关切的是，尤其是政府机构违反了法律时，投诉委员会的决定没有约束力。其主要原因是，这是一个特别执行委员会，其存在的目的是听取私人各方有关《两性平等法》的投诉，既然它实际上并不是法院，所以不应作出对各方都有约束力的裁决。另外，有必要使各方处于平等的地位，这样，对公共机构或公司决定的投诉就可以与对私人各方决定的投诉一样进行处理。同样，按其他法律成立、处理私人各方争端的投诉委员会也是如此，比如，多业主建筑投诉委员会。对判定其他政府机构决定有效性的投诉委员会有其他的考虑，比如社会服务投诉委员会和计划与建设投诉委员会。总是有这样的可能，即直接把争端提交法院而不经过男女平等投诉委员会，以获得具有约束力的裁决。争端各方如果认为他们无力支付法院诉讼的费用，可以向特别的法律援助委员会申请。</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根据原来的法律，该委员会在特殊情况下可以上诉法院，要求承认当事人的权利。根据新的法律，两性平等中心拥有同样的权力。这种变化的原因是，在某个案件中，如果委员会首先作出独立的决定，然后在法院成为该案件的原告，在公共管理中被认为是不正当的。</w:t>
      </w:r>
    </w:p>
    <w:p w:rsidR="00E96A0B" w:rsidRDefault="00E96A0B" w:rsidP="004907F9">
      <w:pPr>
        <w:spacing w:after="140"/>
        <w:ind w:left="1264" w:right="1264" w:firstLineChars="200" w:firstLine="31680"/>
        <w:jc w:val="both"/>
        <w:rPr>
          <w:rFonts w:hAnsi="SimSun" w:hint="eastAsia"/>
          <w:spacing w:val="4"/>
        </w:rPr>
      </w:pPr>
      <w:r>
        <w:rPr>
          <w:rFonts w:hAnsi="SimSun" w:hint="eastAsia"/>
          <w:spacing w:val="4"/>
        </w:rPr>
        <w:t>1998年男女平等投诉委员会受理了11个案件，委员会的意见是，其中的9个案件违反了法律规定。有两个案件不能认为是违反了法律。1999年，委员会受理了22个案件，认为其中13个案件违反了《两性平等法》，4个案例未违反该法，还有1个案件被认为是不适用的，另外4个案件被撤回。2000年，该委员会受理了8个案件，其中5个被认为违反了《两性平等法》，两个案件未违反，1个案件得到和解。2001年，委员会受理了5个案件，有一个被认为违反了该法，两个没有违反，有一个案件被撤回，还有一个被驳回。2002年，受理了11个案件，两个案件违反了《两性平等法》，7个没有违反，一个案件被驳回，还有一个未审完。</w:t>
      </w:r>
    </w:p>
    <w:p w:rsidR="00E96A0B" w:rsidRDefault="00E96A0B" w:rsidP="004907F9">
      <w:pPr>
        <w:spacing w:after="140"/>
        <w:ind w:left="1264" w:right="1264" w:firstLineChars="200" w:firstLine="31680"/>
        <w:jc w:val="both"/>
        <w:rPr>
          <w:rFonts w:hAnsi="SimSun" w:hint="eastAsia"/>
        </w:rPr>
      </w:pPr>
      <w:r>
        <w:rPr>
          <w:rFonts w:hAnsi="SimSun" w:hint="eastAsia"/>
        </w:rPr>
        <w:t>1998-2000年期间，投诉委员会根据自己的意见，向法院提起一个案件，另外两个关于男女工资差别问题的案件由有关的妇女向法院提起诉讼。三个案件的审理都以原告胜诉告终。自2000年以来，两性平等中心就一个案件提起法律诉讼，两个案件由有关的妇女提起诉讼，还有一个案件由相关的工会提起诉讼。其他所有案件都在雇主和雇员之间达成和解，都是根据投诉委员会的意见，通过协商达成的。两性平等中心在这些协商的过程中给予了积极的支持。</w:t>
      </w:r>
    </w:p>
    <w:p w:rsidR="00E96A0B" w:rsidRDefault="00E96A0B" w:rsidP="004907F9">
      <w:pPr>
        <w:spacing w:after="140"/>
        <w:ind w:leftChars="600" w:left="31680" w:right="1264"/>
        <w:jc w:val="both"/>
        <w:rPr>
          <w:rFonts w:ascii="SimHei" w:eastAsia="SimHei"/>
          <w:color w:val="FF0000"/>
        </w:rPr>
      </w:pPr>
    </w:p>
    <w:p w:rsidR="00E96A0B" w:rsidRDefault="00E96A0B" w:rsidP="004907F9">
      <w:pPr>
        <w:spacing w:after="140"/>
        <w:ind w:leftChars="600" w:left="31680" w:right="1264"/>
        <w:jc w:val="both"/>
        <w:rPr>
          <w:rFonts w:ascii="SimHei" w:eastAsia="SimHei"/>
          <w:color w:val="FF0000"/>
        </w:rPr>
      </w:pP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国家法院</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1997</w:t>
      </w:r>
      <w:r>
        <w:rPr>
          <w:rFonts w:ascii="Times New Roman" w:hint="eastAsia"/>
        </w:rPr>
        <w:t>年</w:t>
      </w:r>
      <w:r>
        <w:rPr>
          <w:rFonts w:ascii="Times New Roman" w:hint="eastAsia"/>
        </w:rPr>
        <w:t>1</w:t>
      </w:r>
      <w:r>
        <w:rPr>
          <w:rFonts w:ascii="Times New Roman" w:hint="eastAsia"/>
        </w:rPr>
        <w:t>月</w:t>
      </w:r>
      <w:r>
        <w:rPr>
          <w:rFonts w:ascii="Times New Roman" w:hint="eastAsia"/>
        </w:rPr>
        <w:t>1</w:t>
      </w:r>
      <w:r>
        <w:rPr>
          <w:rFonts w:ascii="Times New Roman" w:hint="eastAsia"/>
        </w:rPr>
        <w:t>日到</w:t>
      </w:r>
      <w:r>
        <w:rPr>
          <w:rFonts w:ascii="Times New Roman" w:hint="eastAsia"/>
        </w:rPr>
        <w:t>2002</w:t>
      </w:r>
      <w:r>
        <w:rPr>
          <w:rFonts w:ascii="Times New Roman" w:hint="eastAsia"/>
        </w:rPr>
        <w:t>年</w:t>
      </w:r>
      <w:r>
        <w:rPr>
          <w:rFonts w:ascii="Times New Roman" w:hint="eastAsia"/>
        </w:rPr>
        <w:t>12</w:t>
      </w:r>
      <w:r>
        <w:rPr>
          <w:rFonts w:ascii="Times New Roman" w:hint="eastAsia"/>
        </w:rPr>
        <w:t>月</w:t>
      </w:r>
      <w:r>
        <w:rPr>
          <w:rFonts w:ascii="Times New Roman" w:hint="eastAsia"/>
        </w:rPr>
        <w:t>31</w:t>
      </w:r>
      <w:r>
        <w:rPr>
          <w:rFonts w:ascii="Times New Roman" w:hint="eastAsia"/>
        </w:rPr>
        <w:t>日期间，最高法院对</w:t>
      </w:r>
      <w:r>
        <w:rPr>
          <w:rFonts w:ascii="Times New Roman" w:hint="eastAsia"/>
        </w:rPr>
        <w:t>12</w:t>
      </w:r>
      <w:r>
        <w:rPr>
          <w:rFonts w:ascii="Times New Roman" w:hint="eastAsia"/>
        </w:rPr>
        <w:t>个有关男女平等的案件进行了审理，其中</w:t>
      </w:r>
      <w:r>
        <w:rPr>
          <w:rFonts w:ascii="Times New Roman" w:hint="eastAsia"/>
        </w:rPr>
        <w:t>5</w:t>
      </w:r>
      <w:r>
        <w:rPr>
          <w:rFonts w:ascii="Times New Roman" w:hint="eastAsia"/>
        </w:rPr>
        <w:t>个案件违反了《两性平等法》关于雇佣的条款。在</w:t>
      </w:r>
      <w:r>
        <w:rPr>
          <w:rFonts w:ascii="Times New Roman" w:hint="eastAsia"/>
        </w:rPr>
        <w:t>3</w:t>
      </w:r>
      <w:r>
        <w:rPr>
          <w:rFonts w:ascii="Times New Roman" w:hint="eastAsia"/>
        </w:rPr>
        <w:t>个案件中，被告被免除原告要求的责任，另外两个案件中，法院认为违反了该法。</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在第</w:t>
      </w:r>
      <w:r>
        <w:rPr>
          <w:rFonts w:ascii="Times New Roman" w:hint="eastAsia"/>
        </w:rPr>
        <w:t>46/1998</w:t>
      </w:r>
      <w:r>
        <w:rPr>
          <w:rFonts w:ascii="Times New Roman" w:hint="eastAsia"/>
        </w:rPr>
        <w:t>号案件中，最高法院认定，在雇佣一个地区兽医官的过程中没有遵循男女平等原则。在原告和受雇者之间就资格进行了比较，发现原告比受雇者更具资格。另外，此时还得知地区兽医官中，妇女比男性少。原告为女性，因此得到了赔偿，赔偿大约是她在未能得到该份工作的过程估计会蒙受的经济损失。在确定赔偿的数目时，考虑到了她的工资与地区兽医官工资之间的差距，对两种收入进行了计算和估算，以</w:t>
      </w:r>
      <w:r>
        <w:rPr>
          <w:rFonts w:ascii="Times New Roman" w:hint="eastAsia"/>
        </w:rPr>
        <w:t>1994</w:t>
      </w:r>
      <w:r>
        <w:rPr>
          <w:rFonts w:ascii="Times New Roman" w:hint="eastAsia"/>
        </w:rPr>
        <w:t>年</w:t>
      </w:r>
      <w:r>
        <w:rPr>
          <w:rFonts w:ascii="Times New Roman" w:hint="eastAsia"/>
        </w:rPr>
        <w:t>4</w:t>
      </w:r>
      <w:r>
        <w:rPr>
          <w:rFonts w:ascii="Times New Roman" w:hint="eastAsia"/>
        </w:rPr>
        <w:t>月</w:t>
      </w:r>
      <w:r>
        <w:rPr>
          <w:rFonts w:ascii="Times New Roman" w:hint="eastAsia"/>
        </w:rPr>
        <w:t>1</w:t>
      </w:r>
      <w:r>
        <w:rPr>
          <w:rFonts w:ascii="Times New Roman" w:hint="eastAsia"/>
        </w:rPr>
        <w:t>日到</w:t>
      </w:r>
      <w:r>
        <w:rPr>
          <w:rFonts w:ascii="Times New Roman" w:hint="eastAsia"/>
        </w:rPr>
        <w:t>1998</w:t>
      </w:r>
      <w:r>
        <w:rPr>
          <w:rFonts w:ascii="Times New Roman" w:hint="eastAsia"/>
        </w:rPr>
        <w:t>年</w:t>
      </w:r>
      <w:r>
        <w:rPr>
          <w:rFonts w:ascii="Times New Roman" w:hint="eastAsia"/>
        </w:rPr>
        <w:t>12</w:t>
      </w:r>
      <w:r>
        <w:rPr>
          <w:rFonts w:ascii="Times New Roman" w:hint="eastAsia"/>
        </w:rPr>
        <w:t>月</w:t>
      </w:r>
      <w:r>
        <w:rPr>
          <w:rFonts w:ascii="Times New Roman" w:hint="eastAsia"/>
        </w:rPr>
        <w:t>31</w:t>
      </w:r>
      <w:r>
        <w:rPr>
          <w:rFonts w:ascii="Times New Roman" w:hint="eastAsia"/>
        </w:rPr>
        <w:t>日的工资为基准。法官们认为她没有蒙受非金钱上的损失，部分原因是她申请了而且也得到了另外一个地区兽医官的职位。</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第</w:t>
      </w:r>
      <w:r>
        <w:rPr>
          <w:rFonts w:ascii="Times New Roman" w:hint="eastAsia"/>
        </w:rPr>
        <w:t>224</w:t>
      </w:r>
      <w:r>
        <w:rPr>
          <w:rFonts w:ascii="Times New Roman"/>
        </w:rPr>
        <w:t>/</w:t>
      </w:r>
      <w:r>
        <w:rPr>
          <w:rFonts w:ascii="Times New Roman" w:hint="eastAsia"/>
        </w:rPr>
        <w:t>1998</w:t>
      </w:r>
      <w:r>
        <w:rPr>
          <w:rFonts w:ascii="Times New Roman" w:hint="eastAsia"/>
        </w:rPr>
        <w:t>号案件是关于雷克雅未克教堂墓地主任职位的。</w:t>
      </w:r>
      <w:r>
        <w:rPr>
          <w:rFonts w:ascii="Times New Roman" w:hint="eastAsia"/>
        </w:rPr>
        <w:t>33</w:t>
      </w:r>
      <w:r>
        <w:rPr>
          <w:rFonts w:ascii="Times New Roman" w:hint="eastAsia"/>
        </w:rPr>
        <w:t>位申请人中有</w:t>
      </w:r>
      <w:r>
        <w:rPr>
          <w:rFonts w:ascii="Times New Roman" w:hint="eastAsia"/>
        </w:rPr>
        <w:t>13</w:t>
      </w:r>
      <w:r>
        <w:rPr>
          <w:rFonts w:ascii="Times New Roman" w:hint="eastAsia"/>
        </w:rPr>
        <w:t>位能胜任该工作，这</w:t>
      </w:r>
      <w:r>
        <w:rPr>
          <w:rFonts w:ascii="Times New Roman" w:hint="eastAsia"/>
        </w:rPr>
        <w:t>13</w:t>
      </w:r>
      <w:r>
        <w:rPr>
          <w:rFonts w:ascii="Times New Roman" w:hint="eastAsia"/>
        </w:rPr>
        <w:t>个人被邀请来参加雷克雅未克教堂墓地管理委员会的面试。这些面试的结果是</w:t>
      </w:r>
      <w:r>
        <w:rPr>
          <w:rFonts w:ascii="Times New Roman" w:hint="eastAsia"/>
        </w:rPr>
        <w:t>5</w:t>
      </w:r>
      <w:r>
        <w:rPr>
          <w:rFonts w:ascii="Times New Roman" w:hint="eastAsia"/>
        </w:rPr>
        <w:t>位申请人的名字，包括原告的名字，欲呈交给雷克雅未克教堂墓地委员会。但是，该管理委员会这时决定，该候选人不用通过投票来决定；而委员会以前曾决定最终的人选要在它的一次大会上投票选举出来。法院认定，在这种情况下，在该职位招聘这件事上，对原告就有《两性平等法》中定义的性别歧视。但是，委员会关于投票选举候选人的决定并没有违反上述法律，因为它要求被告尊重该法要保护的那种平等。如果该法中关于申请人的性别要求得到了尊重，就不可能断言其是什么样的选举结果，所以法院认为只凭因为违反《两性平等法》她没有得到该职位这一点，是不能给予她赔偿的，所以被告被免除了赔偿要求。</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在这一期间，关于夫妻在离婚财产分割时的养恤金领取权的划分，最高法院作出了三项判决。</w:t>
      </w:r>
      <w:r>
        <w:rPr>
          <w:rFonts w:ascii="Times New Roman" w:hint="eastAsia"/>
        </w:rPr>
        <w:t>2001</w:t>
      </w:r>
      <w:r>
        <w:rPr>
          <w:rFonts w:ascii="Times New Roman" w:hint="eastAsia"/>
        </w:rPr>
        <w:t>年</w:t>
      </w:r>
      <w:r>
        <w:rPr>
          <w:rFonts w:ascii="Times New Roman" w:hint="eastAsia"/>
        </w:rPr>
        <w:t>12</w:t>
      </w:r>
      <w:r>
        <w:rPr>
          <w:rFonts w:ascii="Times New Roman" w:hint="eastAsia"/>
        </w:rPr>
        <w:t>月</w:t>
      </w:r>
      <w:r>
        <w:rPr>
          <w:rFonts w:ascii="Times New Roman" w:hint="eastAsia"/>
        </w:rPr>
        <w:t>18</w:t>
      </w:r>
      <w:r>
        <w:rPr>
          <w:rFonts w:ascii="Times New Roman" w:hint="eastAsia"/>
        </w:rPr>
        <w:t>日第</w:t>
      </w:r>
      <w:r>
        <w:rPr>
          <w:rFonts w:ascii="Times New Roman" w:hint="eastAsia"/>
        </w:rPr>
        <w:t>253/2001</w:t>
      </w:r>
      <w:r>
        <w:rPr>
          <w:rFonts w:ascii="Times New Roman" w:hint="eastAsia"/>
        </w:rPr>
        <w:t>号案件中，法院没有接受一位妇女关于根据《婚姻法》应分得她丈夫一半养恤金领取权的要求。该夫妇是在结婚近</w:t>
      </w:r>
      <w:r>
        <w:rPr>
          <w:rFonts w:ascii="Times New Roman" w:hint="eastAsia"/>
        </w:rPr>
        <w:t>34</w:t>
      </w:r>
      <w:r>
        <w:rPr>
          <w:rFonts w:ascii="Times New Roman" w:hint="eastAsia"/>
        </w:rPr>
        <w:t>年后离婚的，妻子丧失了</w:t>
      </w:r>
      <w:r>
        <w:rPr>
          <w:rFonts w:ascii="Times New Roman" w:hint="eastAsia"/>
        </w:rPr>
        <w:t>75</w:t>
      </w:r>
      <w:r>
        <w:rPr>
          <w:rFonts w:ascii="Times New Roman" w:hint="eastAsia"/>
        </w:rPr>
        <w:t>％的劳动能力，没有出去工作，而是在家里照顾孩子，做家务。丈夫是劳动力，看守机器，</w:t>
      </w:r>
      <w:r>
        <w:rPr>
          <w:rFonts w:ascii="Times New Roman" w:hint="eastAsia"/>
        </w:rPr>
        <w:t>2000</w:t>
      </w:r>
      <w:r>
        <w:rPr>
          <w:rFonts w:ascii="Times New Roman" w:hint="eastAsia"/>
        </w:rPr>
        <w:t>年秋天退休了，当时他</w:t>
      </w:r>
      <w:r>
        <w:rPr>
          <w:rFonts w:ascii="Times New Roman" w:hint="eastAsia"/>
        </w:rPr>
        <w:t>70</w:t>
      </w:r>
      <w:r>
        <w:rPr>
          <w:rFonts w:ascii="Times New Roman" w:hint="eastAsia"/>
        </w:rPr>
        <w:t>岁。最高法院对两者的收入进行了比较，丈夫的收入包括他的养老金，妻子的收入是国家社会保障所发放的病残养恤金。法院认为，在考虑分割夫妻双方的财产过程中是否不包括养恤金领取权的分割问题上，要综合考虑双方的实际情况。法院参考了《婚姻法》的解释性文件，文件中声明，在个别情况下，不分割养恤金领取权是不公平的，认为如果在财产分割中包含养恤金领取权，就要有特别的理由。法院的观点是，不能证明，不把丈夫的养恤金领取权包括在夫妻双方共同的财产中是不公平的。</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但是，在</w:t>
      </w:r>
      <w:r>
        <w:rPr>
          <w:rFonts w:ascii="Times New Roman" w:hint="eastAsia"/>
        </w:rPr>
        <w:t>2002</w:t>
      </w:r>
      <w:r>
        <w:rPr>
          <w:rFonts w:ascii="Times New Roman" w:hint="eastAsia"/>
        </w:rPr>
        <w:t>年</w:t>
      </w:r>
      <w:r>
        <w:rPr>
          <w:rFonts w:ascii="Times New Roman" w:hint="eastAsia"/>
        </w:rPr>
        <w:t>4</w:t>
      </w:r>
      <w:r>
        <w:rPr>
          <w:rFonts w:ascii="Times New Roman" w:hint="eastAsia"/>
        </w:rPr>
        <w:t>月</w:t>
      </w:r>
      <w:r>
        <w:rPr>
          <w:rFonts w:ascii="Times New Roman" w:hint="eastAsia"/>
        </w:rPr>
        <w:t>26</w:t>
      </w:r>
      <w:r>
        <w:rPr>
          <w:rFonts w:ascii="Times New Roman" w:hint="eastAsia"/>
        </w:rPr>
        <w:t>日第</w:t>
      </w:r>
      <w:r>
        <w:rPr>
          <w:rFonts w:ascii="Times New Roman" w:hint="eastAsia"/>
        </w:rPr>
        <w:t>170/2002</w:t>
      </w:r>
      <w:r>
        <w:rPr>
          <w:rFonts w:ascii="Times New Roman" w:hint="eastAsia"/>
        </w:rPr>
        <w:t>号案件的审理中，法院认为在分割夫妻双方共同的财产时，如果不把丈夫的养恤金领取权包括在内，是不公平的。最高法院的这种看法是基于区法院对同一案件的判决。在判决书中，区法院提到了第</w:t>
      </w:r>
      <w:r>
        <w:rPr>
          <w:rFonts w:ascii="Times New Roman" w:hint="eastAsia"/>
        </w:rPr>
        <w:t>253/2001</w:t>
      </w:r>
      <w:r>
        <w:rPr>
          <w:rFonts w:ascii="Times New Roman" w:hint="eastAsia"/>
        </w:rPr>
        <w:t>号案件，声明这样一个原则：有必要综合评估双方的实际情况，在有些情况下，不分割养恤金领取权是不公平的。该案件中的双方一直共同生活了</w:t>
      </w:r>
      <w:r>
        <w:rPr>
          <w:rFonts w:ascii="Times New Roman" w:hint="eastAsia"/>
        </w:rPr>
        <w:t>18</w:t>
      </w:r>
      <w:r>
        <w:rPr>
          <w:rFonts w:ascii="Times New Roman" w:hint="eastAsia"/>
        </w:rPr>
        <w:t>年，结婚</w:t>
      </w:r>
      <w:r>
        <w:rPr>
          <w:rFonts w:ascii="Times New Roman" w:hint="eastAsia"/>
        </w:rPr>
        <w:t>15</w:t>
      </w:r>
      <w:r>
        <w:rPr>
          <w:rFonts w:ascii="Times New Roman" w:hint="eastAsia"/>
        </w:rPr>
        <w:t>年。在这段时间里，妻子照顾家庭和孩子，而丈夫有一份稳定的工作，收入很高，如果情况没有什么变化，到</w:t>
      </w:r>
      <w:r>
        <w:rPr>
          <w:rFonts w:ascii="Times New Roman" w:hint="eastAsia"/>
        </w:rPr>
        <w:t>65</w:t>
      </w:r>
      <w:r>
        <w:rPr>
          <w:rFonts w:ascii="Times New Roman" w:hint="eastAsia"/>
        </w:rPr>
        <w:t>岁时，他就可以享有可观的养恤金领取权。考虑到这些情况，法院认为如果不分割丈夫的养恤金领取权就不公平了。当决定妻子该分得的数目时，法院考虑到妻子一次性分得丈夫的养恤金领取权的有利之处。另外，最高法院认为，应该考虑到妇女的年龄，以及她能够获得自己养恤金的能力。</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最后，最高法院于</w:t>
      </w:r>
      <w:r>
        <w:rPr>
          <w:rFonts w:ascii="Times New Roman" w:hint="eastAsia"/>
        </w:rPr>
        <w:t>2002</w:t>
      </w:r>
      <w:r>
        <w:rPr>
          <w:rFonts w:ascii="Times New Roman" w:hint="eastAsia"/>
        </w:rPr>
        <w:t>年</w:t>
      </w:r>
      <w:r>
        <w:rPr>
          <w:rFonts w:ascii="Times New Roman" w:hint="eastAsia"/>
        </w:rPr>
        <w:t>10</w:t>
      </w:r>
      <w:r>
        <w:rPr>
          <w:rFonts w:ascii="Times New Roman" w:hint="eastAsia"/>
        </w:rPr>
        <w:t>月</w:t>
      </w:r>
      <w:r>
        <w:rPr>
          <w:rFonts w:ascii="Times New Roman" w:hint="eastAsia"/>
        </w:rPr>
        <w:t>10</w:t>
      </w:r>
      <w:r>
        <w:rPr>
          <w:rFonts w:ascii="Times New Roman" w:hint="eastAsia"/>
        </w:rPr>
        <w:t>日对第</w:t>
      </w:r>
      <w:r>
        <w:rPr>
          <w:rFonts w:ascii="Times New Roman" w:hint="eastAsia"/>
        </w:rPr>
        <w:t>445/2002</w:t>
      </w:r>
      <w:r>
        <w:rPr>
          <w:rFonts w:ascii="Times New Roman" w:hint="eastAsia"/>
        </w:rPr>
        <w:t>号案件作出判决，认定丈夫的养恤金的一部分应该看作是夫妻的共同财产，应该根据离婚财产分割的一般规定在他和妻子之间进行分割。像上述案件一样，对双方的实际情况进行了综合评估。评估之后，法院认为，丈夫的全部养恤金不属于财产分割的范围是没有根据的。</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从上述判决中得出结论时要谨慎，但是很明显，冰岛法院已经认识到，在特别案件中，在离婚财产分割时，不考虑配偶的养恤金领取权可能是不公平的。这特别适用于配偶一方在婚姻生活或同居生活中没有出去工作的情况。</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t>(</w:t>
      </w:r>
      <w:r>
        <w:rPr>
          <w:rFonts w:hint="eastAsia"/>
        </w:rPr>
        <w:t>d</w:t>
      </w:r>
      <w:r>
        <w:t>)-(</w:t>
      </w:r>
      <w:r>
        <w:rPr>
          <w:rFonts w:hint="eastAsia"/>
        </w:rPr>
        <w:t>g)项</w:t>
      </w: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ascii="Times New Roman" w:hint="eastAsia"/>
        </w:rPr>
      </w:pPr>
      <w:r>
        <w:rPr>
          <w:rFonts w:ascii="Times New Roman" w:hint="eastAsia"/>
        </w:rPr>
        <w:t>冰岛政府已经采取系统措施在社会各个领域介绍和推广男女平等（参见第</w:t>
      </w:r>
      <w:r>
        <w:rPr>
          <w:rFonts w:ascii="Times New Roman" w:hint="eastAsia"/>
        </w:rPr>
        <w:t>96</w:t>
      </w:r>
      <w:r>
        <w:rPr>
          <w:rFonts w:ascii="Times New Roman"/>
        </w:rPr>
        <w:t>/</w:t>
      </w:r>
      <w:r>
        <w:rPr>
          <w:rFonts w:ascii="Times New Roman" w:hint="eastAsia"/>
        </w:rPr>
        <w:t>2000</w:t>
      </w:r>
      <w:r>
        <w:rPr>
          <w:rFonts w:ascii="Times New Roman" w:hint="eastAsia"/>
        </w:rPr>
        <w:t>号《两性平等法》第</w:t>
      </w:r>
      <w:r>
        <w:rPr>
          <w:rFonts w:ascii="Times New Roman" w:hint="eastAsia"/>
        </w:rPr>
        <w:t>1</w:t>
      </w:r>
      <w:r>
        <w:rPr>
          <w:rFonts w:ascii="Times New Roman" w:hint="eastAsia"/>
        </w:rPr>
        <w:t>条）。任何个人均有平等受益于自己的努力和开发自己潜力的机会，无论男女。近几年来，取得了相当大的进步，可冰岛政府很清楚，还须继续努力。</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除其他措施外，冰岛政府实施了</w:t>
      </w:r>
      <w:r>
        <w:rPr>
          <w:rFonts w:ascii="Times New Roman" w:hint="eastAsia"/>
        </w:rPr>
        <w:t>4</w:t>
      </w:r>
      <w:r>
        <w:rPr>
          <w:rFonts w:ascii="Times New Roman" w:hint="eastAsia"/>
        </w:rPr>
        <w:t>年的行动计划；根据《两性平等法》第</w:t>
      </w:r>
      <w:r>
        <w:rPr>
          <w:rFonts w:ascii="Times New Roman" w:hint="eastAsia"/>
        </w:rPr>
        <w:t>9</w:t>
      </w:r>
      <w:r>
        <w:rPr>
          <w:rFonts w:ascii="Times New Roman" w:hint="eastAsia"/>
        </w:rPr>
        <w:t>条，社会事务部长应在议会选举一年内提交给议会一份议案，提议议会在收到各部委和两性平等中心的建议后通过有关平等问题方案的决议。该方案包括详细的行动计划，并对有关平等问题的各个项目所需资金进行估算。</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目前，许多官方委员会正在调查男女平等情况，为未来制订议程。两性平等中心与各部的协调员合作，已经开始为</w:t>
      </w:r>
      <w:r>
        <w:rPr>
          <w:rFonts w:ascii="Times New Roman" w:hint="eastAsia"/>
        </w:rPr>
        <w:t>2004-2008</w:t>
      </w:r>
      <w:r>
        <w:rPr>
          <w:rFonts w:ascii="Times New Roman" w:hint="eastAsia"/>
        </w:rPr>
        <w:t>年制订一份新的行动纲领。将更加强调将这种思想和方法纳入主流，激励各部及其各机构为平等和消除歧视而努力。在这一方面，认为有必要提高男性在平等问题中的参与程度，因为性别平等是关系到男女两性的问题。</w:t>
      </w:r>
    </w:p>
    <w:p w:rsidR="00E96A0B" w:rsidRDefault="00E96A0B" w:rsidP="004907F9">
      <w:pPr>
        <w:spacing w:after="140"/>
        <w:ind w:left="1264" w:right="1264" w:firstLineChars="200" w:firstLine="31680"/>
        <w:jc w:val="both"/>
        <w:rPr>
          <w:rFonts w:hAnsi="SimSun" w:hint="eastAsia"/>
        </w:rPr>
      </w:pPr>
      <w:r>
        <w:rPr>
          <w:rFonts w:hAnsi="SimSun" w:hint="eastAsia"/>
        </w:rPr>
        <w:t>冰岛政府的一贯政策是，立法中没有性别特殊化，要求起草政府立法议案的人把这一点考虑在内。应该特别提及，第19/1940号《刑法》及以后的修正案均没有性别偏见。</w:t>
      </w:r>
    </w:p>
    <w:p w:rsidR="00E96A0B" w:rsidRDefault="00E96A0B" w:rsidP="004907F9">
      <w:pPr>
        <w:pStyle w:val="H1"/>
        <w:spacing w:afterLines="50" w:after="156"/>
        <w:ind w:leftChars="600" w:left="31680" w:rightChars="600" w:right="31680"/>
        <w:rPr>
          <w:rFonts w:hint="eastAsia"/>
        </w:rPr>
      </w:pPr>
      <w:r>
        <w:rPr>
          <w:rFonts w:hint="eastAsia"/>
        </w:rPr>
        <w:t>第3条</w:t>
      </w:r>
    </w:p>
    <w:p w:rsidR="00E96A0B" w:rsidRDefault="00E96A0B" w:rsidP="004907F9">
      <w:pPr>
        <w:spacing w:after="140"/>
        <w:ind w:leftChars="602" w:left="31680" w:right="1264" w:firstLineChars="200" w:firstLine="31680"/>
        <w:jc w:val="both"/>
        <w:rPr>
          <w:rFonts w:hAnsi="SimSun" w:hint="eastAsia"/>
        </w:rPr>
      </w:pPr>
      <w:r>
        <w:rPr>
          <w:rFonts w:hAnsi="SimSun" w:hint="eastAsia"/>
        </w:rPr>
        <w:t>《宪法》第65条和第96/2000号《两性平等法》禁止任何形式的性别歧视（另请参见第47/2003号条例）。另外，第37/1993号《管理程序法》进一步强调了男女平等。该法指出，基本原则是，在审理案件时，政府当局要保证法律的一致性和平等性，并具体指出，在审理案件时，不得因性别而对双方加以区别对待，行政尤其包括社会服务、保健制度、社会保障制度和教育制度。</w:t>
      </w:r>
    </w:p>
    <w:p w:rsidR="00E96A0B" w:rsidRDefault="00E96A0B" w:rsidP="004907F9">
      <w:pPr>
        <w:spacing w:after="140"/>
        <w:ind w:leftChars="600" w:left="31680" w:right="1264"/>
        <w:jc w:val="both"/>
        <w:rPr>
          <w:rFonts w:ascii="SimHei" w:eastAsia="SimHei" w:hint="eastAsia"/>
          <w:color w:val="FF0000"/>
        </w:rPr>
      </w:pPr>
      <w:r>
        <w:rPr>
          <w:rFonts w:ascii="SimHei" w:eastAsia="SimHei" w:hint="eastAsia"/>
          <w:color w:val="FF0000"/>
        </w:rPr>
        <w:t>男女平等行动纲领</w:t>
      </w:r>
    </w:p>
    <w:p w:rsidR="00E96A0B" w:rsidRDefault="00E96A0B" w:rsidP="004907F9">
      <w:pPr>
        <w:spacing w:after="140"/>
        <w:ind w:left="1264" w:right="1264" w:firstLineChars="200" w:firstLine="31680"/>
        <w:jc w:val="both"/>
        <w:rPr>
          <w:rFonts w:hAnsi="SimSun" w:hint="eastAsia"/>
        </w:rPr>
      </w:pPr>
      <w:r>
        <w:rPr>
          <w:rFonts w:hAnsi="SimSun" w:hint="eastAsia"/>
        </w:rPr>
        <w:t>当局在消除男女分工的陈旧观念方面发挥着重要作用。1992年以来，议会已经通过了三个关于实施男女平等措施的四年行动纲领。2003年议会选举之后，一项新的行动纲领将于2004年实施。有鉴于此，2001年决定把现在的行动纲领（1998-2001年）延长两年（2002-2003年）并利用这次机会侧重于将性别纳入主流的方法。一些要开展的项目还没有完成或需要修订，就更坚定了这一点。2002年4月，业经修订的行动纲领提交给了议会。</w:t>
      </w:r>
    </w:p>
    <w:p w:rsidR="00E96A0B" w:rsidRDefault="00E96A0B" w:rsidP="004907F9">
      <w:pPr>
        <w:spacing w:after="140"/>
        <w:ind w:left="1264" w:right="1264" w:firstLineChars="200" w:firstLine="31680"/>
        <w:jc w:val="both"/>
        <w:rPr>
          <w:rFonts w:hAnsi="SimSun" w:hint="eastAsia"/>
        </w:rPr>
      </w:pPr>
      <w:r>
        <w:rPr>
          <w:rFonts w:hAnsi="SimSun" w:hint="eastAsia"/>
        </w:rPr>
        <w:t>提交议会2001-2002年会议的上一个报告中总的结论是，该纲领已经在几乎所有的行动领域都取得了可观的效果。例如，在警察和监狱官中妇女的比例上升了；司法和宗教事务部的一个项目就是在该纲领所涉期间聘用更多的妇女作为警察和监狱官。1996年，国家警察部队中妇女占4.3％；2001年，妇女人数上升到8.02％。1997年，警察培训学院的女毕业生占总毕业生人数的7.14％，该数字已经稳步增长，到2001年春天，女毕业生达16.13%。1996年，教养机构中女狱官占了7.7％，2001年，该比例上升到15.6％。这主要归因于鼓励妇女在该系统内申请新的职位。</w:t>
      </w:r>
    </w:p>
    <w:p w:rsidR="00E96A0B" w:rsidRDefault="00E96A0B" w:rsidP="004907F9">
      <w:pPr>
        <w:spacing w:after="140"/>
        <w:ind w:left="1264" w:right="1264" w:firstLineChars="200" w:firstLine="31680"/>
        <w:jc w:val="both"/>
        <w:rPr>
          <w:rFonts w:hAnsi="SimSun" w:hint="eastAsia"/>
        </w:rPr>
      </w:pPr>
      <w:r>
        <w:rPr>
          <w:rFonts w:hAnsi="SimSun" w:hint="eastAsia"/>
        </w:rPr>
        <w:t>在某种程度上应该归因于行动纲领的另一个例子是妇女参政的范围。该纲领考虑成立一个委员会，以调查提高妇女参与一般政治活动和工作的办法。1998年9月，社会事务部长指定一个委员会负责使妇女更多地参政。1995年选举过后，妇女在议会（Althingi）中的代表人数是25％。委员会工作到2003年1月，其目标主要是教育、管理/开展信息活动和出版信息。委员会的首要任务是致力于增加1999年议会选举中妇女的人数。选举结果是，议会成员中35％是妇女。然后，委员会又致力于增加妇女在地方政府中的比例，2002年5月举行了选举，地方政府中妇女的比例由28.5%上升到了31％（另见第7条a项下关于委员会工作的讨论）。</w:t>
      </w:r>
    </w:p>
    <w:p w:rsidR="00E96A0B" w:rsidRDefault="00E96A0B" w:rsidP="004907F9">
      <w:pPr>
        <w:spacing w:after="140"/>
        <w:ind w:left="1264" w:right="1264" w:firstLineChars="200" w:firstLine="31680"/>
        <w:jc w:val="both"/>
        <w:rPr>
          <w:rFonts w:ascii="Times New Roman" w:hint="eastAsia"/>
        </w:rPr>
      </w:pPr>
      <w:r>
        <w:rPr>
          <w:rFonts w:hAnsi="SimSun" w:hint="eastAsia"/>
        </w:rPr>
        <w:t>1998-2001年期间的纲领还包括一项统计项目的特别规定，该统计项目旨在实施政府的以下决定：所有统计总表和报告中的数据均应按性别加以分析。议会</w:t>
      </w:r>
      <w:r>
        <w:rPr>
          <w:rFonts w:ascii="Times New Roman" w:hint="eastAsia"/>
        </w:rPr>
        <w:t>批准行动纲领两年后，决定把下列有关统计分析的特别规定纳入第</w:t>
      </w:r>
      <w:r>
        <w:rPr>
          <w:rFonts w:ascii="Times New Roman" w:hint="eastAsia"/>
        </w:rPr>
        <w:t>96/2000</w:t>
      </w:r>
      <w:r>
        <w:rPr>
          <w:rFonts w:ascii="Times New Roman" w:hint="eastAsia"/>
        </w:rPr>
        <w:t>号《两性平等法》：</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“在有关个人的官方统计、面谈和民意调查中，应该按性别收集、汇编、分析和提交信息，不允许这样做的特殊情况除外，比如对个人隐私的保护。”</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工商部根据</w:t>
      </w:r>
      <w:r>
        <w:rPr>
          <w:rFonts w:ascii="Times New Roman" w:hint="eastAsia"/>
        </w:rPr>
        <w:t>1998-2001</w:t>
      </w:r>
      <w:r>
        <w:rPr>
          <w:rFonts w:ascii="Times New Roman" w:hint="eastAsia"/>
        </w:rPr>
        <w:t>年行动纲领开展的项目之一是成立一个委员会，调查是否有必要对妇女的企业项目提供特别的支助。该委员会于</w:t>
      </w:r>
      <w:r>
        <w:rPr>
          <w:rFonts w:ascii="Times New Roman" w:hint="eastAsia"/>
        </w:rPr>
        <w:t>1998</w:t>
      </w:r>
      <w:r>
        <w:rPr>
          <w:rFonts w:ascii="Times New Roman" w:hint="eastAsia"/>
        </w:rPr>
        <w:t>年秋天发表了它的报告，题为“妇女的企业活动“（</w:t>
      </w:r>
      <w:r>
        <w:rPr>
          <w:rFonts w:ascii="Times New Roman" w:hint="eastAsia"/>
        </w:rPr>
        <w:t>Atvinnureksturkvenna</w:t>
      </w:r>
      <w:r>
        <w:rPr>
          <w:rFonts w:ascii="Times New Roman" w:hint="eastAsia"/>
        </w:rPr>
        <w:t>），报告载有关于妇女在企业中的地位及其工作条件的综合信息，列举了冰岛为女企业家提供的具体支助服务。委员会的主要结论是，从男女平等和家庭的角度看，为妇女企业提供支助也是非常重要的，因为它鼓励妇女参与企业活动，可以有助于缓解农村地区人口减少的速度。工商部长委派了一个工作组，为企业中的妇女成立联合会，该联合会于</w:t>
      </w:r>
      <w:r>
        <w:rPr>
          <w:rFonts w:ascii="Times New Roman" w:hint="eastAsia"/>
        </w:rPr>
        <w:t>1999</w:t>
      </w:r>
      <w:r>
        <w:rPr>
          <w:rFonts w:ascii="Times New Roman" w:hint="eastAsia"/>
        </w:rPr>
        <w:t>年</w:t>
      </w:r>
      <w:r>
        <w:rPr>
          <w:rFonts w:ascii="Times New Roman" w:hint="eastAsia"/>
        </w:rPr>
        <w:t>4</w:t>
      </w:r>
      <w:r>
        <w:rPr>
          <w:rFonts w:ascii="Times New Roman" w:hint="eastAsia"/>
        </w:rPr>
        <w:t>月成立，联合会的主要目标和宗旨是致力于在企业中的妇女之间建立合作伙伴关系和网络，建立与银行和其他贷款基金会及机构打交道的目标群体。</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业经修订的行动纲领（</w:t>
      </w:r>
      <w:r>
        <w:rPr>
          <w:rFonts w:ascii="Times New Roman" w:hint="eastAsia"/>
        </w:rPr>
        <w:t>2002-2003</w:t>
      </w:r>
      <w:r>
        <w:rPr>
          <w:rFonts w:ascii="Times New Roman" w:hint="eastAsia"/>
        </w:rPr>
        <w:t>年）应该在社会各个领域实施主流化，这要通过专门项目以及在各部任命男女平等协调员来完成。在这两年内，该纲领将启动实施以下三个项目：</w:t>
      </w:r>
    </w:p>
    <w:p w:rsidR="00E96A0B" w:rsidRDefault="00E96A0B">
      <w:pPr>
        <w:tabs>
          <w:tab w:val="left" w:pos="2205"/>
        </w:tabs>
        <w:spacing w:after="140"/>
        <w:ind w:left="844" w:right="1264"/>
        <w:jc w:val="both"/>
        <w:rPr>
          <w:rFonts w:ascii="SimHei" w:eastAsia="SimHei" w:hint="eastAsia"/>
          <w:color w:val="FF0000"/>
        </w:rPr>
      </w:pPr>
      <w:r>
        <w:rPr>
          <w:rFonts w:ascii="SimHei" w:eastAsia="SimHei"/>
          <w:color w:val="FF0000"/>
        </w:rPr>
        <w:t>1</w:t>
      </w:r>
      <w:r>
        <w:rPr>
          <w:rFonts w:ascii="SimHei" w:eastAsia="SimHei" w:hint="eastAsia"/>
          <w:color w:val="FF0000"/>
        </w:rPr>
        <w:t>.  统计分析</w:t>
      </w:r>
    </w:p>
    <w:p w:rsidR="00E96A0B" w:rsidRDefault="00E96A0B" w:rsidP="004907F9">
      <w:pPr>
        <w:spacing w:after="140"/>
        <w:ind w:left="1264" w:right="1264" w:firstLineChars="200" w:firstLine="31680"/>
        <w:jc w:val="both"/>
        <w:rPr>
          <w:rFonts w:hAnsi="SimSun" w:hint="eastAsia"/>
        </w:rPr>
      </w:pPr>
      <w:r>
        <w:rPr>
          <w:rFonts w:hAnsi="SimSun" w:hint="eastAsia"/>
        </w:rPr>
        <w:t>在该项目中，各部和其他政府机构根据《两性平等法》第21条，按性别对统计数字进行分析。冰岛统计局与两性平等中心合作，监测该规定的执行情况。</w:t>
      </w:r>
    </w:p>
    <w:p w:rsidR="00E96A0B" w:rsidRDefault="00E96A0B">
      <w:pPr>
        <w:tabs>
          <w:tab w:val="left" w:pos="2205"/>
        </w:tabs>
        <w:spacing w:after="140"/>
        <w:ind w:left="844" w:right="1264"/>
        <w:jc w:val="both"/>
        <w:rPr>
          <w:rFonts w:ascii="SimHei" w:eastAsia="SimHei" w:hint="eastAsia"/>
          <w:color w:val="FF0000"/>
        </w:rPr>
      </w:pPr>
      <w:r>
        <w:rPr>
          <w:rFonts w:ascii="SimHei" w:eastAsia="SimHei" w:hint="eastAsia"/>
          <w:color w:val="FF0000"/>
        </w:rPr>
        <w:t>2.  监测政策制定中遵守男女平等原则情况的委员会</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总理办公厅指定了一个委员会，其任务就是收集信息，看政府和地方当局的所有计划和行动是否遵守了男女平等的政策以及遵守的如何。委员会的报告已于</w:t>
      </w:r>
      <w:r>
        <w:rPr>
          <w:rFonts w:ascii="Times New Roman" w:hint="eastAsia"/>
        </w:rPr>
        <w:t>2002</w:t>
      </w:r>
      <w:r>
        <w:rPr>
          <w:rFonts w:ascii="Times New Roman" w:hint="eastAsia"/>
        </w:rPr>
        <w:t>年</w:t>
      </w:r>
      <w:r>
        <w:rPr>
          <w:rFonts w:ascii="Times New Roman" w:hint="eastAsia"/>
        </w:rPr>
        <w:t>11</w:t>
      </w:r>
      <w:r>
        <w:rPr>
          <w:rFonts w:ascii="Times New Roman" w:hint="eastAsia"/>
        </w:rPr>
        <w:t>月发表。主要结论是，各当局表现出保证男女平等的明显意愿。</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该委员会提出如下建议：</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应进一步强调对公共雇员的有关男女平等和性别主流化的教育。</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各部的男女平等协调员应该发挥更重要的作用，各部应制定男女平等计划。</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地方政府联合会应鼓励地方政府依法履行其职责，成立男女平等委员会，实施有关男女平等问题的纲领。</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应该出版男女平等指南</w:t>
      </w:r>
      <w:r>
        <w:rPr>
          <w:rFonts w:ascii="Times New Roman" w:hint="eastAsia"/>
        </w:rPr>
        <w:t>/</w:t>
      </w:r>
      <w:r>
        <w:rPr>
          <w:rFonts w:ascii="Times New Roman" w:hint="eastAsia"/>
        </w:rPr>
        <w:t>索引，以保证主流化。</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政府的男女平等行动纲领应该由一独立机构进行评估。</w:t>
      </w:r>
    </w:p>
    <w:p w:rsidR="00E96A0B" w:rsidRDefault="00E96A0B">
      <w:pPr>
        <w:tabs>
          <w:tab w:val="left" w:pos="2205"/>
        </w:tabs>
        <w:spacing w:after="140"/>
        <w:ind w:left="844" w:right="1264"/>
        <w:jc w:val="both"/>
        <w:rPr>
          <w:rFonts w:ascii="SimHei" w:eastAsia="SimHei" w:hint="eastAsia"/>
          <w:color w:val="FF0000"/>
        </w:rPr>
      </w:pPr>
      <w:r>
        <w:rPr>
          <w:rFonts w:ascii="SimHei" w:eastAsia="SimHei" w:hint="eastAsia"/>
          <w:color w:val="FF0000"/>
        </w:rPr>
        <w:t>3.  妇女经济权力委员会</w:t>
      </w:r>
    </w:p>
    <w:p w:rsidR="00E96A0B" w:rsidRDefault="00E96A0B" w:rsidP="004907F9">
      <w:pPr>
        <w:spacing w:after="140"/>
        <w:ind w:left="1264" w:right="1264" w:firstLineChars="200" w:firstLine="31680"/>
        <w:jc w:val="both"/>
        <w:rPr>
          <w:rFonts w:hAnsi="SimSun" w:hint="eastAsia"/>
        </w:rPr>
      </w:pPr>
      <w:r>
        <w:rPr>
          <w:rFonts w:hAnsi="SimSun" w:hint="eastAsia"/>
        </w:rPr>
        <w:t>2000年10月，总理指定了由三位专家组成的委员会，旨在制定一项妇女经济状况和权力的调查项目计划。根据委员会的建议，目前正在开展4个调查项目：</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统计分析。将收集显示同男性相比，妇女在冰岛经济中的地位和影响的数字。</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冰岛劳动力市场上两性薪金差距调查。该调查是在男女平等委员会的协助下进行的，其结果已于2002年9月提交（见第11条d项下的进一步讨论）。</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管理职位上妇女状况的调查。将收集有关冰岛各公司中男女经理人数的信息，公司包括私营和国有公司。</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民意调查。该计划将调查冰岛人民对于可以影响妇女经济状况和在冰岛的决策中的影响力等各种问题的看法。</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上面列出的项目具有普遍性，涉及到政府各部的活动。下面叙述了各个部管理的项目；由于项目很多，所以该清单不是详尽无遗的清单。</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司法和宗教事务部</w:t>
      </w:r>
    </w:p>
    <w:p w:rsidR="00E96A0B" w:rsidRDefault="00E96A0B">
      <w:pPr>
        <w:tabs>
          <w:tab w:val="left" w:pos="2205"/>
        </w:tabs>
        <w:spacing w:line="120" w:lineRule="exact"/>
        <w:ind w:left="844" w:right="1264"/>
        <w:jc w:val="both"/>
        <w:rPr>
          <w:rFonts w:ascii="SimHei" w:eastAsia="SimHei"/>
          <w:color w:val="FF0000"/>
          <w:sz w:val="10"/>
        </w:rPr>
      </w:pPr>
    </w:p>
    <w:p w:rsidR="00E96A0B" w:rsidRDefault="00E96A0B">
      <w:pPr>
        <w:tabs>
          <w:tab w:val="left" w:pos="2205"/>
        </w:tabs>
        <w:spacing w:after="140"/>
        <w:ind w:left="844" w:right="1264"/>
        <w:jc w:val="both"/>
        <w:rPr>
          <w:rFonts w:ascii="SimHei" w:eastAsia="SimHei" w:hint="eastAsia"/>
          <w:color w:val="FF0000"/>
        </w:rPr>
      </w:pPr>
      <w:r>
        <w:rPr>
          <w:rFonts w:ascii="SimHei" w:eastAsia="SimHei"/>
          <w:color w:val="FF0000"/>
        </w:rPr>
        <w:t>a</w:t>
      </w:r>
      <w:r>
        <w:rPr>
          <w:rFonts w:ascii="SimHei" w:eastAsia="SimHei" w:hint="eastAsia"/>
          <w:color w:val="FF0000"/>
        </w:rPr>
        <w:t>.  警察中的两性地位</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这是以前开展的增加警察中妇女人数运动的继续，特别强调增加妇女在高层职位中的人数。妇女在警察学院的学生比例越来越高；特别鼓励妇女进入该学院学习，这样就可以增加妇女在警察队伍中的人数。除鼓励更多的妇女参加警察部队外，司法部还将特别关注女警察的地位。</w:t>
      </w:r>
    </w:p>
    <w:p w:rsidR="00E96A0B" w:rsidRDefault="00E96A0B">
      <w:pPr>
        <w:tabs>
          <w:tab w:val="left" w:pos="2205"/>
        </w:tabs>
        <w:spacing w:after="140"/>
        <w:ind w:left="844" w:right="1264"/>
        <w:jc w:val="both"/>
        <w:rPr>
          <w:rFonts w:ascii="SimHei" w:eastAsia="SimHei" w:hint="eastAsia"/>
          <w:color w:val="FF0000"/>
        </w:rPr>
      </w:pPr>
      <w:r>
        <w:rPr>
          <w:rFonts w:ascii="Times New Roman" w:eastAsia="SimHei"/>
          <w:color w:val="FF0000"/>
        </w:rPr>
        <w:t>b</w:t>
      </w:r>
      <w:r>
        <w:rPr>
          <w:rFonts w:ascii="SimHei" w:eastAsia="SimHei" w:hint="eastAsia"/>
          <w:color w:val="FF0000"/>
        </w:rPr>
        <w:t>.  教会中妇女的地位</w:t>
      </w:r>
    </w:p>
    <w:p w:rsidR="00E96A0B" w:rsidRDefault="00E96A0B">
      <w:pPr>
        <w:spacing w:after="140"/>
        <w:ind w:left="1264" w:right="1264"/>
        <w:jc w:val="both"/>
        <w:rPr>
          <w:rFonts w:hAnsi="SimSun" w:hint="eastAsia"/>
          <w:spacing w:val="-4"/>
        </w:rPr>
      </w:pPr>
      <w:r>
        <w:rPr>
          <w:rFonts w:ascii="Times New Roman" w:hint="eastAsia"/>
        </w:rPr>
        <w:t xml:space="preserve">    </w:t>
      </w:r>
      <w:r>
        <w:rPr>
          <w:rFonts w:hAnsi="SimSun" w:hint="eastAsia"/>
          <w:spacing w:val="-4"/>
        </w:rPr>
        <w:t>司法和宗教事务部长要求主教办公室重视并检查妇女在国家教会中的地位。1998年，教会大会通过了一个《男女平等计划》，该计划于1999年1月1日生效。大会指定了两性平等委员会，在计划生效的同时开始运作。该计划的重点内容如下：</w:t>
      </w:r>
    </w:p>
    <w:p w:rsidR="00E96A0B" w:rsidRDefault="00E96A0B" w:rsidP="004907F9">
      <w:pPr>
        <w:numPr>
          <w:ilvl w:val="0"/>
          <w:numId w:val="15"/>
        </w:numPr>
        <w:tabs>
          <w:tab w:val="clear" w:pos="360"/>
          <w:tab w:val="num" w:pos="2100"/>
        </w:tabs>
        <w:spacing w:after="140"/>
        <w:ind w:left="1264" w:right="1264" w:firstLineChars="200" w:firstLine="31680"/>
        <w:jc w:val="both"/>
        <w:rPr>
          <w:rFonts w:ascii="Times New Roman" w:hint="eastAsia"/>
        </w:rPr>
      </w:pPr>
      <w:r>
        <w:rPr>
          <w:rFonts w:ascii="Times New Roman" w:hint="eastAsia"/>
        </w:rPr>
        <w:t>纠正教会中男女不平等状况。</w:t>
      </w:r>
    </w:p>
    <w:p w:rsidR="00E96A0B" w:rsidRDefault="00E96A0B" w:rsidP="004907F9">
      <w:pPr>
        <w:numPr>
          <w:ilvl w:val="0"/>
          <w:numId w:val="15"/>
        </w:numPr>
        <w:tabs>
          <w:tab w:val="clear" w:pos="360"/>
          <w:tab w:val="num" w:pos="2100"/>
        </w:tabs>
        <w:spacing w:after="140"/>
        <w:ind w:left="1264" w:right="1264" w:firstLineChars="200" w:firstLine="31680"/>
        <w:jc w:val="both"/>
        <w:rPr>
          <w:rFonts w:ascii="Times New Roman" w:hint="eastAsia"/>
        </w:rPr>
      </w:pPr>
      <w:r>
        <w:rPr>
          <w:rFonts w:ascii="Times New Roman" w:hint="eastAsia"/>
        </w:rPr>
        <w:t>使国家教会的理事会和委员会中的男女比例平等。</w:t>
      </w:r>
    </w:p>
    <w:p w:rsidR="00E96A0B" w:rsidRDefault="00E96A0B" w:rsidP="004907F9">
      <w:pPr>
        <w:numPr>
          <w:ilvl w:val="0"/>
          <w:numId w:val="15"/>
        </w:numPr>
        <w:tabs>
          <w:tab w:val="clear" w:pos="360"/>
          <w:tab w:val="num" w:pos="2100"/>
        </w:tabs>
        <w:spacing w:after="140"/>
        <w:ind w:left="1264" w:right="1264" w:firstLineChars="200" w:firstLine="31680"/>
        <w:jc w:val="both"/>
        <w:rPr>
          <w:rFonts w:ascii="Times New Roman" w:hint="eastAsia"/>
        </w:rPr>
      </w:pPr>
      <w:r>
        <w:rPr>
          <w:rFonts w:ascii="Times New Roman" w:hint="eastAsia"/>
        </w:rPr>
        <w:t>力争教会中男女同酬。</w:t>
      </w:r>
    </w:p>
    <w:p w:rsidR="00E96A0B" w:rsidRDefault="00E96A0B" w:rsidP="004907F9">
      <w:pPr>
        <w:numPr>
          <w:ilvl w:val="0"/>
          <w:numId w:val="15"/>
        </w:numPr>
        <w:tabs>
          <w:tab w:val="clear" w:pos="360"/>
          <w:tab w:val="num" w:pos="2100"/>
        </w:tabs>
        <w:spacing w:after="140"/>
        <w:ind w:left="1264" w:right="1264" w:firstLineChars="200" w:firstLine="31680"/>
        <w:jc w:val="both"/>
        <w:rPr>
          <w:rFonts w:ascii="Times New Roman" w:hint="eastAsia"/>
        </w:rPr>
      </w:pPr>
      <w:r>
        <w:rPr>
          <w:rFonts w:ascii="Times New Roman" w:hint="eastAsia"/>
        </w:rPr>
        <w:t>提高对男女平等问题的认识。</w:t>
      </w:r>
    </w:p>
    <w:p w:rsidR="00E96A0B" w:rsidRDefault="00E96A0B" w:rsidP="004907F9">
      <w:pPr>
        <w:numPr>
          <w:ilvl w:val="0"/>
          <w:numId w:val="15"/>
        </w:numPr>
        <w:tabs>
          <w:tab w:val="clear" w:pos="360"/>
          <w:tab w:val="num" w:pos="2100"/>
        </w:tabs>
        <w:spacing w:after="140"/>
        <w:ind w:left="1264" w:right="1264" w:firstLineChars="200" w:firstLine="31680"/>
        <w:jc w:val="both"/>
        <w:rPr>
          <w:rFonts w:ascii="Times New Roman" w:hint="eastAsia"/>
        </w:rPr>
      </w:pPr>
      <w:r>
        <w:rPr>
          <w:rFonts w:ascii="Times New Roman" w:hint="eastAsia"/>
        </w:rPr>
        <w:t>修订教会事务中所使用的语言。</w:t>
      </w:r>
    </w:p>
    <w:p w:rsidR="00E96A0B" w:rsidRDefault="00E96A0B">
      <w:pPr>
        <w:tabs>
          <w:tab w:val="left" w:pos="1680"/>
        </w:tabs>
        <w:spacing w:after="140"/>
        <w:ind w:left="1264" w:right="1264"/>
        <w:rPr>
          <w:rFonts w:ascii="SimHei" w:eastAsia="SimHei" w:hint="eastAsia"/>
          <w:color w:val="FF0000"/>
        </w:rPr>
      </w:pPr>
    </w:p>
    <w:p w:rsidR="00E96A0B" w:rsidRDefault="00E96A0B">
      <w:pPr>
        <w:tabs>
          <w:tab w:val="left" w:pos="2205"/>
        </w:tabs>
        <w:spacing w:after="140"/>
        <w:ind w:left="844" w:right="1264"/>
        <w:jc w:val="both"/>
        <w:rPr>
          <w:rFonts w:ascii="SimHei" w:eastAsia="SimHei" w:hint="eastAsia"/>
          <w:color w:val="FF0000"/>
        </w:rPr>
      </w:pPr>
      <w:r>
        <w:rPr>
          <w:rFonts w:ascii="SimHei" w:eastAsia="SimHei" w:hint="eastAsia"/>
          <w:color w:val="FF0000"/>
        </w:rPr>
        <w:t>c.</w:t>
      </w:r>
      <w:r>
        <w:rPr>
          <w:rFonts w:ascii="SimHei" w:eastAsia="SimHei"/>
          <w:color w:val="FF0000"/>
        </w:rPr>
        <w:t xml:space="preserve">  </w:t>
      </w:r>
      <w:r>
        <w:rPr>
          <w:rFonts w:ascii="SimHei" w:eastAsia="SimHei" w:hint="eastAsia"/>
          <w:color w:val="FF0000"/>
        </w:rPr>
        <w:t>平等——人权</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司法部将注意提高公众对妇女权利的认识，这样的教育将纳入有关人权问题的普及教育，将进一步强调《消除对妇女一切形式歧视公约》的重要性</w:t>
      </w:r>
      <w:r>
        <w:rPr>
          <w:rFonts w:ascii="Times New Roman" w:hint="eastAsia"/>
        </w:rPr>
        <w:t xml:space="preserve"> </w:t>
      </w:r>
      <w:r>
        <w:rPr>
          <w:rFonts w:ascii="Times New Roman" w:hint="eastAsia"/>
        </w:rPr>
        <w:t>。</w:t>
      </w:r>
    </w:p>
    <w:p w:rsidR="00E96A0B" w:rsidRDefault="00E96A0B">
      <w:pPr>
        <w:tabs>
          <w:tab w:val="left" w:pos="2205"/>
        </w:tabs>
        <w:spacing w:after="140"/>
        <w:ind w:left="844" w:right="1264"/>
        <w:jc w:val="both"/>
        <w:rPr>
          <w:rFonts w:ascii="SimHei" w:eastAsia="SimHei" w:hint="eastAsia"/>
          <w:color w:val="FF0000"/>
        </w:rPr>
      </w:pPr>
      <w:r>
        <w:rPr>
          <w:rFonts w:ascii="SimHei" w:eastAsia="SimHei" w:hint="eastAsia"/>
          <w:color w:val="FF0000"/>
        </w:rPr>
        <w:t>d.</w:t>
      </w:r>
      <w:r>
        <w:rPr>
          <w:rFonts w:ascii="SimHei" w:eastAsia="SimHei"/>
          <w:color w:val="FF0000"/>
        </w:rPr>
        <w:t xml:space="preserve">  </w:t>
      </w:r>
      <w:r>
        <w:rPr>
          <w:rFonts w:ascii="SimHei" w:eastAsia="SimHei" w:hint="eastAsia"/>
          <w:color w:val="FF0000"/>
        </w:rPr>
        <w:t>卖淫——人口贩运</w:t>
      </w:r>
    </w:p>
    <w:p w:rsidR="00E96A0B" w:rsidRDefault="00E96A0B" w:rsidP="004907F9">
      <w:pPr>
        <w:spacing w:after="140"/>
        <w:ind w:leftChars="602" w:left="31680" w:right="1264" w:firstLineChars="200" w:firstLine="31680"/>
        <w:jc w:val="both"/>
        <w:rPr>
          <w:rFonts w:hAnsi="SimSun" w:hint="eastAsia"/>
        </w:rPr>
      </w:pPr>
      <w:r>
        <w:rPr>
          <w:rFonts w:hAnsi="SimSun" w:hint="eastAsia"/>
        </w:rPr>
        <w:t>2001年4月，司法部长指定了一个委员会负责制定打击卖淫和色情的措施。该委员会于2002年4月向司法部长提交了报告，其中载有解决这些问题的建议。正在对建议进行仔细研究，以期修改立法制止卖淫活动（另见第6条下的讨论）。司法部长将重视加强国际合作和协调，特别是为制止贩卖人口而采取的措施问题。司法部参加了斯堪的纳维亚－波罗的海打击贩运妇女运动，该运动于2002年5月发起，于2003年2月的一次会议上正式结束（见第6条下的进一步讨论）。2003年2月，司法部向议会提交了一项法案，该法案严禁贩运人口，议会已于2003年3月通过了此项新法律。</w:t>
      </w:r>
    </w:p>
    <w:p w:rsidR="00E96A0B" w:rsidRDefault="00E96A0B">
      <w:pPr>
        <w:tabs>
          <w:tab w:val="left" w:pos="2205"/>
        </w:tabs>
        <w:spacing w:after="140"/>
        <w:ind w:left="844" w:right="1264"/>
        <w:jc w:val="both"/>
        <w:rPr>
          <w:rFonts w:ascii="SimHei" w:eastAsia="SimHei" w:hint="eastAsia"/>
          <w:color w:val="FF0000"/>
        </w:rPr>
      </w:pPr>
      <w:r>
        <w:rPr>
          <w:rFonts w:ascii="SimHei" w:eastAsia="SimHei" w:hint="eastAsia"/>
          <w:color w:val="FF0000"/>
        </w:rPr>
        <w:t>e.  证人保护和受害者</w:t>
      </w:r>
    </w:p>
    <w:p w:rsidR="00E96A0B" w:rsidRDefault="00E96A0B" w:rsidP="004907F9">
      <w:pPr>
        <w:pStyle w:val="BlockText"/>
        <w:spacing w:after="140" w:line="320" w:lineRule="exact"/>
        <w:ind w:firstLine="31680"/>
        <w:rPr>
          <w:rFonts w:hint="eastAsia"/>
        </w:rPr>
      </w:pPr>
      <w:r>
        <w:rPr>
          <w:rFonts w:hint="eastAsia"/>
        </w:rPr>
        <w:t>司法部内部已经努力数年，旨在改善对证人的保护和提高受害者的地位。该进程的一部分就是保护那些遭受家庭暴力或遭受丈夫或前夫威胁的妇女。冰岛立法将进一步修订，旨在必要时对其进行完善，特别是在上述情况下保护妇女。另外，斯堪的纳维亚地区的国家展开了合作，目的是改善对证人的保护以及上述问题。</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spacing w:after="120"/>
        <w:ind w:left="2523" w:right="1264" w:hanging="1264"/>
        <w:jc w:val="both"/>
        <w:rPr>
          <w:rFonts w:hint="eastAsia"/>
          <w:sz w:val="10"/>
        </w:rPr>
      </w:pPr>
      <w:r>
        <w:rPr>
          <w:rFonts w:hint="eastAsia"/>
        </w:rPr>
        <w:t>社会事务部</w:t>
      </w:r>
    </w:p>
    <w:p w:rsidR="00E96A0B" w:rsidRDefault="00E96A0B">
      <w:pPr>
        <w:tabs>
          <w:tab w:val="num" w:pos="1680"/>
          <w:tab w:val="left" w:pos="2205"/>
        </w:tabs>
        <w:spacing w:after="140"/>
        <w:ind w:left="844" w:right="1264"/>
        <w:jc w:val="both"/>
        <w:rPr>
          <w:rFonts w:ascii="SimHei" w:eastAsia="SimHei" w:hint="eastAsia"/>
          <w:color w:val="FF0000"/>
        </w:rPr>
      </w:pPr>
      <w:r>
        <w:rPr>
          <w:rFonts w:ascii="SimHei" w:eastAsia="SimHei"/>
          <w:color w:val="FF0000"/>
        </w:rPr>
        <w:t>a</w:t>
      </w:r>
      <w:r>
        <w:rPr>
          <w:rFonts w:ascii="SimHei" w:eastAsia="SimHei" w:hint="eastAsia"/>
          <w:color w:val="FF0000"/>
        </w:rPr>
        <w:t>.  两性平等问题的评估</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成立了一个工作组，作为三个部，即社会事务部、工商部和财政部之间的联络处，该工作组的任务之一就是找到一些方法，用来评估立法草案中男女平等要求的落实情况。</w:t>
      </w:r>
    </w:p>
    <w:p w:rsidR="00E96A0B" w:rsidRDefault="00E96A0B">
      <w:pPr>
        <w:tabs>
          <w:tab w:val="num" w:pos="1680"/>
          <w:tab w:val="left" w:pos="2205"/>
        </w:tabs>
        <w:spacing w:after="140"/>
        <w:ind w:left="844" w:right="1264"/>
        <w:jc w:val="both"/>
        <w:rPr>
          <w:rFonts w:ascii="SimHei" w:eastAsia="SimHei" w:hint="eastAsia"/>
          <w:color w:val="FF0000"/>
        </w:rPr>
      </w:pPr>
      <w:r>
        <w:rPr>
          <w:rFonts w:ascii="SimHei" w:eastAsia="SimHei"/>
          <w:color w:val="FF0000"/>
        </w:rPr>
        <w:t xml:space="preserve">b.  </w:t>
      </w:r>
      <w:r>
        <w:rPr>
          <w:rFonts w:ascii="SimHei" w:eastAsia="SimHei" w:hint="eastAsia"/>
          <w:color w:val="FF0000"/>
        </w:rPr>
        <w:t>给工会管事的指导</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将为工会管事出版一本手册，然后开办教育课程。该手册将包括浅显易懂的广泛信息，说明可能会导致工作场所中男女之间歧视的所有因素。两性平等中心正在偏制该手册，以便很容易在网站上找到。</w:t>
      </w:r>
    </w:p>
    <w:p w:rsidR="00E96A0B" w:rsidRDefault="00E96A0B">
      <w:pPr>
        <w:tabs>
          <w:tab w:val="num" w:pos="1680"/>
          <w:tab w:val="left" w:pos="2205"/>
        </w:tabs>
        <w:spacing w:after="140"/>
        <w:ind w:left="844" w:right="1264"/>
        <w:jc w:val="both"/>
        <w:rPr>
          <w:rFonts w:ascii="SimHei" w:eastAsia="SimHei" w:hint="eastAsia"/>
          <w:color w:val="FF0000"/>
        </w:rPr>
      </w:pPr>
      <w:r>
        <w:rPr>
          <w:rFonts w:ascii="SimHei" w:eastAsia="SimHei"/>
          <w:color w:val="FF0000"/>
        </w:rPr>
        <w:t xml:space="preserve">c.  </w:t>
      </w:r>
      <w:r>
        <w:rPr>
          <w:rFonts w:ascii="SimHei" w:eastAsia="SimHei" w:hint="eastAsia"/>
          <w:color w:val="FF0000"/>
        </w:rPr>
        <w:t>妇女贷款保险基金</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该基金是由社会事务部、工商部和雷克雅未克市合作管理的。除关注妇女如何从该基金中受益外，还对基金的总体目标和重点进行定期审查，基金委员会上一份报告中的主要结论是，一切都很成功。（另见第</w:t>
      </w:r>
      <w:r>
        <w:rPr>
          <w:rFonts w:ascii="Times New Roman" w:hint="eastAsia"/>
        </w:rPr>
        <w:t>4</w:t>
      </w:r>
      <w:r>
        <w:rPr>
          <w:rFonts w:ascii="Times New Roman" w:hint="eastAsia"/>
        </w:rPr>
        <w:t>条下的讨论）。</w:t>
      </w:r>
    </w:p>
    <w:p w:rsidR="00E96A0B" w:rsidRDefault="00E96A0B">
      <w:pPr>
        <w:tabs>
          <w:tab w:val="num" w:pos="1680"/>
          <w:tab w:val="left" w:pos="2205"/>
        </w:tabs>
        <w:spacing w:after="140"/>
        <w:ind w:left="844" w:right="1264"/>
        <w:jc w:val="both"/>
        <w:rPr>
          <w:rFonts w:ascii="SimHei" w:eastAsia="SimHei"/>
          <w:color w:val="FF0000"/>
        </w:rPr>
      </w:pPr>
    </w:p>
    <w:p w:rsidR="00E96A0B" w:rsidRDefault="00E96A0B">
      <w:pPr>
        <w:tabs>
          <w:tab w:val="num" w:pos="1680"/>
          <w:tab w:val="left" w:pos="2205"/>
        </w:tabs>
        <w:spacing w:after="140"/>
        <w:ind w:left="844" w:right="1264"/>
        <w:jc w:val="both"/>
        <w:rPr>
          <w:rFonts w:ascii="SimHei" w:eastAsia="SimHei"/>
          <w:color w:val="FF0000"/>
        </w:rPr>
      </w:pPr>
    </w:p>
    <w:p w:rsidR="00E96A0B" w:rsidRDefault="00E96A0B">
      <w:pPr>
        <w:tabs>
          <w:tab w:val="num" w:pos="1680"/>
          <w:tab w:val="left" w:pos="2205"/>
        </w:tabs>
        <w:spacing w:after="140"/>
        <w:ind w:left="844" w:right="1264"/>
        <w:jc w:val="both"/>
        <w:rPr>
          <w:rFonts w:ascii="SimHei" w:eastAsia="SimHei" w:hint="eastAsia"/>
          <w:color w:val="FF0000"/>
        </w:rPr>
      </w:pPr>
      <w:r>
        <w:rPr>
          <w:rFonts w:ascii="SimHei" w:eastAsia="SimHei"/>
          <w:color w:val="FF0000"/>
        </w:rPr>
        <w:t xml:space="preserve">d.  </w:t>
      </w:r>
      <w:r>
        <w:rPr>
          <w:rFonts w:ascii="SimHei" w:eastAsia="SimHei" w:hint="eastAsia"/>
          <w:color w:val="FF0000"/>
        </w:rPr>
        <w:t>妇女与就业</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劳动力市场的措施大部分是为失业者提供补救的办法。对妇女的就业问题给予了特殊关注，为开办公司的妇女提供特别赠款。其主要目标是扩大就业机会，刺激农村地区的就业，给与妇女更大的获得资本的机会，在妇女申请获得传统信用来源的帮助时处于弱势的情况下，这显得犹为重要。</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劳工联合会应评估这些措施，并与社会合作组织合作制订专门旨在帮助失业妇女找到工作和（或）以其他方式加强失业妇女地位的措施。</w:t>
      </w:r>
    </w:p>
    <w:p w:rsidR="00E96A0B" w:rsidRDefault="00E96A0B">
      <w:pPr>
        <w:tabs>
          <w:tab w:val="num" w:pos="1680"/>
          <w:tab w:val="left" w:pos="2205"/>
        </w:tabs>
        <w:spacing w:after="140"/>
        <w:ind w:left="844" w:right="1264"/>
        <w:jc w:val="both"/>
        <w:rPr>
          <w:rFonts w:ascii="SimHei" w:eastAsia="SimHei" w:hint="eastAsia"/>
          <w:color w:val="FF0000"/>
        </w:rPr>
      </w:pPr>
      <w:r>
        <w:rPr>
          <w:rFonts w:ascii="SimHei" w:eastAsia="SimHei"/>
          <w:color w:val="FF0000"/>
        </w:rPr>
        <w:t xml:space="preserve">e.  </w:t>
      </w:r>
      <w:r>
        <w:rPr>
          <w:rFonts w:ascii="SimHei" w:eastAsia="SimHei" w:hint="eastAsia"/>
          <w:color w:val="FF0000"/>
        </w:rPr>
        <w:t>两性平等顾问</w:t>
      </w:r>
    </w:p>
    <w:p w:rsidR="00E96A0B" w:rsidRDefault="00E96A0B" w:rsidP="004907F9">
      <w:pPr>
        <w:spacing w:after="140"/>
        <w:ind w:left="1264" w:right="1264" w:firstLineChars="200" w:firstLine="31680"/>
        <w:jc w:val="both"/>
        <w:rPr>
          <w:rFonts w:hAnsi="SimSun" w:hint="eastAsia"/>
        </w:rPr>
      </w:pPr>
      <w:r>
        <w:rPr>
          <w:rFonts w:hAnsi="SimSun" w:hint="eastAsia"/>
        </w:rPr>
        <w:t>西北部地区聘请了男女平等顾问，因为该地区与冰岛其他地区比起来，妇女的失业率很高。该项目是一个实验项目，在对它的结果进行评估以后，决定把该项目延期到2005年底。该项目也将被扩大到全国范围。自2002年10月1日以来，东北地区安排了一个男女平等顾问。2003年8月1日，西北的项目完成，自那以后，南方地区拥有了一个顾问。</w:t>
      </w:r>
    </w:p>
    <w:p w:rsidR="00E96A0B" w:rsidRDefault="00E96A0B">
      <w:pPr>
        <w:tabs>
          <w:tab w:val="num" w:pos="1680"/>
          <w:tab w:val="left" w:pos="2205"/>
        </w:tabs>
        <w:spacing w:after="140"/>
        <w:ind w:left="844" w:right="1264"/>
        <w:jc w:val="both"/>
        <w:rPr>
          <w:rFonts w:ascii="SimHei" w:eastAsia="SimHei" w:hint="eastAsia"/>
          <w:color w:val="FF0000"/>
        </w:rPr>
      </w:pPr>
      <w:r>
        <w:rPr>
          <w:rFonts w:ascii="SimHei" w:eastAsia="SimHei"/>
          <w:color w:val="FF0000"/>
        </w:rPr>
        <w:t xml:space="preserve">f.  </w:t>
      </w:r>
      <w:r>
        <w:rPr>
          <w:rFonts w:ascii="SimHei" w:eastAsia="SimHei" w:hint="eastAsia"/>
          <w:color w:val="FF0000"/>
        </w:rPr>
        <w:t>防止性骚扰的措施</w:t>
      </w:r>
    </w:p>
    <w:p w:rsidR="00E96A0B" w:rsidRDefault="00E96A0B" w:rsidP="004907F9">
      <w:pPr>
        <w:spacing w:after="140"/>
        <w:ind w:left="1264" w:right="1264" w:firstLineChars="200" w:firstLine="31680"/>
        <w:jc w:val="both"/>
        <w:rPr>
          <w:rFonts w:hAnsi="SimSun" w:hint="eastAsia"/>
        </w:rPr>
      </w:pPr>
      <w:r>
        <w:rPr>
          <w:rFonts w:hAnsi="SimSun" w:hint="eastAsia"/>
        </w:rPr>
        <w:t>1998年开展和出版的关于性骚扰的调查报告证明了该问题在劳动力市场的存在。针对这些结果，起草了第96/2000号《两性平等法》第17条来定义和禁止性骚扰。该条规定了雇主和社会活动领导者的责任，即采取特别措施阻止在工作场所和学校等出现性骚扰。与两性平等中心和职业安全和健康管理局合作，正在起草如何对付性骚扰的指南。</w:t>
      </w:r>
    </w:p>
    <w:p w:rsidR="00E96A0B" w:rsidRDefault="00E96A0B">
      <w:pPr>
        <w:tabs>
          <w:tab w:val="num" w:pos="1680"/>
          <w:tab w:val="left" w:pos="2205"/>
        </w:tabs>
        <w:spacing w:after="140"/>
        <w:ind w:left="844" w:right="1264"/>
        <w:jc w:val="both"/>
        <w:rPr>
          <w:rFonts w:ascii="SimHei" w:eastAsia="SimHei" w:hint="eastAsia"/>
          <w:color w:val="FF0000"/>
        </w:rPr>
      </w:pPr>
      <w:r>
        <w:rPr>
          <w:rFonts w:ascii="SimHei" w:eastAsia="SimHei"/>
          <w:color w:val="FF0000"/>
        </w:rPr>
        <w:t xml:space="preserve">g.  </w:t>
      </w:r>
      <w:r>
        <w:rPr>
          <w:rFonts w:ascii="SimHei" w:eastAsia="SimHei" w:hint="eastAsia"/>
          <w:color w:val="FF0000"/>
        </w:rPr>
        <w:t>男性担负起责任</w:t>
      </w:r>
    </w:p>
    <w:p w:rsidR="00E96A0B" w:rsidRDefault="00E96A0B" w:rsidP="004907F9">
      <w:pPr>
        <w:spacing w:after="140"/>
        <w:ind w:left="1264" w:right="1264" w:firstLineChars="200" w:firstLine="31680"/>
        <w:jc w:val="both"/>
        <w:rPr>
          <w:rFonts w:hAnsi="SimSun" w:hint="eastAsia"/>
        </w:rPr>
      </w:pPr>
      <w:r>
        <w:rPr>
          <w:rFonts w:hAnsi="SimSun" w:hint="eastAsia"/>
        </w:rPr>
        <w:t>“男性担负起责任”这一项目是1998年4月至2001年底作为实验开展的，这是针对那些想在性生活中不再使用暴力的男人实施的一项治疗计划。资金主要由冰岛红十字会、健康和社会保障部以及社会事务部提供。冰岛红十字会负责该计划的日常管理，两位心理学家主持治疗，以小组为单位。已经对该计划进行了评估，发现比较成功。在修订的行动纲领中，社会事务部与健康和社会保障部和冰岛红十字会合作，对以前的计划进行了跟踪，使其向着有益于更多人的方向前进。</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财政部</w:t>
      </w:r>
    </w:p>
    <w:p w:rsidR="00E96A0B" w:rsidRDefault="00E96A0B">
      <w:pPr>
        <w:spacing w:line="120" w:lineRule="exact"/>
        <w:ind w:left="1264" w:right="1264"/>
        <w:jc w:val="both"/>
        <w:rPr>
          <w:rFonts w:ascii="Times New Roman" w:eastAsia="KaiTi_GB2312"/>
          <w:color w:val="FF0000"/>
          <w:sz w:val="1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a.  </w:t>
      </w:r>
      <w:r>
        <w:rPr>
          <w:rFonts w:ascii="SimHei" w:eastAsia="SimHei" w:hint="eastAsia"/>
          <w:color w:val="FF0000"/>
        </w:rPr>
        <w:t>关于新工资制度对两性工资差额的影响的调查</w:t>
      </w:r>
    </w:p>
    <w:p w:rsidR="00E96A0B" w:rsidRDefault="00E96A0B" w:rsidP="004907F9">
      <w:pPr>
        <w:spacing w:after="140"/>
        <w:ind w:left="1264" w:right="1264" w:firstLineChars="225" w:firstLine="31680"/>
        <w:jc w:val="both"/>
        <w:rPr>
          <w:rFonts w:ascii="Times New Roman" w:hint="eastAsia"/>
        </w:rPr>
      </w:pPr>
      <w:r>
        <w:rPr>
          <w:rFonts w:hAnsi="SimSun" w:hint="eastAsia"/>
        </w:rPr>
        <w:t>财政部长代表财政部与国家和市政雇员联合会以及大学毕业生联合会的工会签订的大多数集体协议的有效期到2000年，在签订这些协议的同时，还有一份宣言，重申政府对消除男女之间只能用性别歧视来解释的工资差额的政策。还指出，新的工资制度为消除这种差额提供了机会。根据该协议，财政部和雷克雅</w:t>
      </w:r>
      <w:r>
        <w:rPr>
          <w:rFonts w:ascii="Times New Roman" w:hint="eastAsia"/>
        </w:rPr>
        <w:t>未克市共同找到了冰岛大学的社会科学研究所，请该研究所调查与性别有关的工资差额。</w:t>
      </w:r>
    </w:p>
    <w:p w:rsidR="00E96A0B" w:rsidRDefault="00E96A0B">
      <w:pPr>
        <w:spacing w:after="140"/>
        <w:ind w:left="844" w:right="1264"/>
        <w:jc w:val="both"/>
        <w:rPr>
          <w:rFonts w:ascii="SimHei" w:eastAsia="SimHei" w:hint="eastAsia"/>
          <w:color w:val="FF0000"/>
        </w:rPr>
      </w:pPr>
      <w:r>
        <w:rPr>
          <w:rFonts w:ascii="SimHei" w:eastAsia="SimHei"/>
          <w:color w:val="FF0000"/>
        </w:rPr>
        <w:t xml:space="preserve">b.  </w:t>
      </w:r>
      <w:r>
        <w:rPr>
          <w:rFonts w:ascii="SimHei" w:eastAsia="SimHei" w:hint="eastAsia"/>
          <w:color w:val="FF0000"/>
        </w:rPr>
        <w:t>提高财政部下属各部门领导意识的措施</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打算在财政部和它管理的各部门领导之间的会议上，分发提高性别平等意识的材料或作这方面的演讲。另外，计划在纲领执行期间，提高妇女在该部下属各委员会和理事会中的比例。还要强调在该部的人事政策中在一切方面尊重两性平等。</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冰岛统计局</w:t>
      </w:r>
    </w:p>
    <w:p w:rsidR="00E96A0B" w:rsidRDefault="00E96A0B">
      <w:pPr>
        <w:spacing w:line="120" w:lineRule="exact"/>
        <w:ind w:left="1264" w:right="1264"/>
        <w:jc w:val="both"/>
        <w:rPr>
          <w:rFonts w:ascii="Times New Roman" w:eastAsia="KaiTi_GB2312" w:hint="eastAsia"/>
          <w:color w:val="FF0000"/>
          <w:sz w:val="1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a.  </w:t>
      </w:r>
      <w:r>
        <w:rPr>
          <w:rFonts w:ascii="SimHei" w:eastAsia="SimHei" w:hint="eastAsia"/>
          <w:color w:val="FF0000"/>
        </w:rPr>
        <w:t>所有数据都要按性别分类</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与两性平等中心合作，冰岛统计局将监测在按性别对所有官方统计进行分析方面取得的进展，将根据法律规定，不断印发该政策的提示册。</w:t>
      </w:r>
    </w:p>
    <w:p w:rsidR="00E96A0B" w:rsidRDefault="00E96A0B">
      <w:pPr>
        <w:spacing w:after="140"/>
        <w:ind w:left="844" w:right="1264"/>
        <w:jc w:val="both"/>
        <w:rPr>
          <w:rFonts w:ascii="SimHei" w:eastAsia="SimHei" w:hint="eastAsia"/>
          <w:color w:val="FF0000"/>
        </w:rPr>
      </w:pPr>
      <w:r>
        <w:rPr>
          <w:rFonts w:ascii="SimHei" w:eastAsia="SimHei"/>
          <w:color w:val="FF0000"/>
        </w:rPr>
        <w:t xml:space="preserve">b.  </w:t>
      </w:r>
      <w:r>
        <w:rPr>
          <w:rFonts w:ascii="SimHei" w:eastAsia="SimHei" w:hint="eastAsia"/>
          <w:color w:val="FF0000"/>
        </w:rPr>
        <w:t>两性地位的统计手册</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计划分发关于行动纲领执行期间男女地位概述的统计手册。</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健康和社会保障部</w:t>
      </w:r>
    </w:p>
    <w:p w:rsidR="00E96A0B" w:rsidRDefault="00E96A0B">
      <w:pPr>
        <w:spacing w:line="120" w:lineRule="exact"/>
        <w:ind w:left="844" w:right="1264"/>
        <w:jc w:val="both"/>
        <w:rPr>
          <w:rFonts w:ascii="SimHei" w:eastAsia="SimHei"/>
          <w:color w:val="FF0000"/>
          <w:sz w:val="1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a.  </w:t>
      </w:r>
      <w:r>
        <w:rPr>
          <w:rFonts w:ascii="SimHei" w:eastAsia="SimHei" w:hint="eastAsia"/>
          <w:color w:val="FF0000"/>
        </w:rPr>
        <w:t>妇女健康问题项目委员会</w:t>
      </w:r>
    </w:p>
    <w:p w:rsidR="00E96A0B" w:rsidRDefault="00E96A0B" w:rsidP="004907F9">
      <w:pPr>
        <w:spacing w:after="140"/>
        <w:ind w:left="1264" w:right="1264" w:firstLineChars="200" w:firstLine="31680"/>
        <w:jc w:val="both"/>
        <w:rPr>
          <w:rFonts w:ascii="Times New Roman"/>
        </w:rPr>
      </w:pPr>
      <w:r>
        <w:rPr>
          <w:rFonts w:ascii="Times New Roman" w:hint="eastAsia"/>
        </w:rPr>
        <w:t>健康和社会保障部长指定了一个妇女健康问题项目委员会。该委员会将对任务和项目的轻重缓急进行排列，制定并实施行动计划。项目委员会的目的是保证保健机构和服务单位关注和强调男女不同的需求和状况。</w:t>
      </w:r>
    </w:p>
    <w:p w:rsidR="00E96A0B" w:rsidRDefault="00E96A0B">
      <w:pPr>
        <w:spacing w:after="140"/>
        <w:ind w:left="844" w:right="1264"/>
        <w:jc w:val="both"/>
        <w:rPr>
          <w:rFonts w:ascii="SimHei" w:eastAsia="SimHei" w:hint="eastAsia"/>
          <w:color w:val="FF0000"/>
        </w:rPr>
      </w:pPr>
      <w:r>
        <w:rPr>
          <w:rFonts w:ascii="SimHei" w:eastAsia="SimHei"/>
          <w:color w:val="FF0000"/>
        </w:rPr>
        <w:t xml:space="preserve">b.  </w:t>
      </w:r>
      <w:r>
        <w:rPr>
          <w:rFonts w:ascii="SimHei" w:eastAsia="SimHei" w:hint="eastAsia"/>
          <w:color w:val="FF0000"/>
        </w:rPr>
        <w:t>给准爸爸的指导计划</w:t>
      </w:r>
    </w:p>
    <w:p w:rsidR="00E96A0B" w:rsidRDefault="00E96A0B" w:rsidP="004907F9">
      <w:pPr>
        <w:pStyle w:val="BodyTextIndent2"/>
        <w:spacing w:after="140" w:line="320" w:lineRule="exact"/>
        <w:ind w:leftChars="602" w:left="31680" w:right="1264" w:firstLineChars="200" w:firstLine="31680"/>
        <w:rPr>
          <w:rFonts w:hint="eastAsia"/>
          <w:sz w:val="21"/>
        </w:rPr>
      </w:pPr>
      <w:r>
        <w:rPr>
          <w:rFonts w:hint="eastAsia"/>
          <w:sz w:val="21"/>
        </w:rPr>
        <w:t>已经为准爸爸制定了特别的指导计划，这些计划将成为准父母准备工作中的一部分。同时，还将开展一次活动，使得保健机构的工作人员更加认识到父亲在妇女妊娠期、分娩期和育儿方面能够发挥更积极作用的重要性。</w:t>
      </w:r>
    </w:p>
    <w:p w:rsidR="00E96A0B" w:rsidRDefault="00E96A0B">
      <w:pPr>
        <w:spacing w:after="140"/>
        <w:ind w:left="844" w:right="1264"/>
        <w:jc w:val="both"/>
        <w:rPr>
          <w:rFonts w:ascii="SimHei" w:eastAsia="SimHei" w:hint="eastAsia"/>
          <w:color w:val="FF0000"/>
        </w:rPr>
      </w:pPr>
      <w:r>
        <w:rPr>
          <w:rFonts w:ascii="SimHei" w:eastAsia="SimHei"/>
          <w:color w:val="FF0000"/>
        </w:rPr>
        <w:t xml:space="preserve">c.  </w:t>
      </w:r>
      <w:r>
        <w:rPr>
          <w:rFonts w:ascii="SimHei" w:eastAsia="SimHei" w:hint="eastAsia"/>
          <w:color w:val="FF0000"/>
        </w:rPr>
        <w:t>根据男女平等对残疾抚恤金的计算</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计划运用性别主流化的方法进行调查，旨在了解在残疾抚恤金的计算方面是否按传统对男女工作进行评估。</w:t>
      </w:r>
    </w:p>
    <w:p w:rsidR="00E96A0B" w:rsidRDefault="00E96A0B">
      <w:pPr>
        <w:spacing w:after="140"/>
        <w:ind w:left="844" w:right="1264"/>
        <w:jc w:val="both"/>
        <w:rPr>
          <w:rFonts w:ascii="SimHei" w:eastAsia="SimHei" w:hint="eastAsia"/>
          <w:color w:val="FF0000"/>
        </w:rPr>
      </w:pPr>
      <w:r>
        <w:rPr>
          <w:rFonts w:ascii="SimHei" w:eastAsia="SimHei"/>
          <w:color w:val="FF0000"/>
        </w:rPr>
        <w:t xml:space="preserve">d.  </w:t>
      </w:r>
      <w:r>
        <w:rPr>
          <w:rFonts w:ascii="SimHei" w:eastAsia="SimHei" w:hint="eastAsia"/>
          <w:color w:val="FF0000"/>
        </w:rPr>
        <w:t>反对毒品和烟草消费的特别预防运动</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在减少毒品和烟草消费的运动中，将考虑到妇女和女青年可能与男人与男青年的消费不同。计划进行一次实验，旨在专门对女青年进行宣传教育。</w:t>
      </w:r>
    </w:p>
    <w:p w:rsidR="00E96A0B" w:rsidRDefault="00E96A0B">
      <w:pPr>
        <w:spacing w:after="140"/>
        <w:ind w:left="844" w:right="1264"/>
        <w:jc w:val="both"/>
        <w:rPr>
          <w:rFonts w:ascii="SimHei" w:eastAsia="SimHei"/>
          <w:color w:val="FF0000"/>
        </w:rPr>
      </w:pPr>
    </w:p>
    <w:p w:rsidR="00E96A0B" w:rsidRDefault="00E96A0B">
      <w:pPr>
        <w:spacing w:after="140"/>
        <w:ind w:left="844" w:right="1264"/>
        <w:jc w:val="both"/>
        <w:rPr>
          <w:rFonts w:ascii="SimHei" w:eastAsia="SimHei"/>
          <w:color w:val="FF000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e.  </w:t>
      </w:r>
      <w:r>
        <w:rPr>
          <w:rFonts w:ascii="SimHei" w:eastAsia="SimHei" w:hint="eastAsia"/>
          <w:color w:val="FF0000"/>
        </w:rPr>
        <w:t>男性的冒险行为</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大多数受过伤、自杀和成为滥用药品的人是男人和男青年，这是一个主要的健康问题，因此有必要找到此问题的根源。健康和社会保障部将专门调查社会上在这样的行为中起着重要作用而且导致伤害、自杀和吸毒的男性形象。</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工商部</w:t>
      </w:r>
    </w:p>
    <w:p w:rsidR="00E96A0B" w:rsidRDefault="00E96A0B">
      <w:pPr>
        <w:spacing w:line="120" w:lineRule="exact"/>
        <w:ind w:left="844" w:right="1264"/>
        <w:jc w:val="both"/>
        <w:rPr>
          <w:rFonts w:ascii="SimHei" w:eastAsia="SimHei"/>
          <w:color w:val="FF0000"/>
          <w:sz w:val="1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a.  </w:t>
      </w:r>
      <w:r>
        <w:rPr>
          <w:rFonts w:ascii="SimHei" w:eastAsia="SimHei" w:hint="eastAsia"/>
          <w:color w:val="FF0000"/>
        </w:rPr>
        <w:t>新商业发展基金给妇女开办企业的支助</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新商业发展基金的作用就是鼓励冰岛商业的成长和发展，该组织的部分角色是为中小型企业提供有力的支持。中小型企业中妇女的人数在不断增加，工商部认为对这一趋势的支持很重要。工商部将敦促基金委员会保证基金在日常活动中为妇女开办企业提供支助，同时保证为这些妇女创造更多的机会。</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农业部</w:t>
      </w:r>
    </w:p>
    <w:p w:rsidR="00E96A0B" w:rsidRDefault="00E96A0B">
      <w:pPr>
        <w:spacing w:line="120" w:lineRule="exact"/>
        <w:ind w:left="1264" w:right="1264"/>
        <w:jc w:val="both"/>
        <w:rPr>
          <w:rFonts w:ascii="Times New Roman" w:eastAsia="KaiTi_GB2312"/>
          <w:color w:val="FF0000"/>
          <w:sz w:val="1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a.  </w:t>
      </w:r>
      <w:r>
        <w:rPr>
          <w:rFonts w:ascii="SimHei" w:eastAsia="SimHei" w:hint="eastAsia"/>
          <w:color w:val="FF0000"/>
        </w:rPr>
        <w:t>农业部门中妇女的社会与经济权利</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将对农业和农耕部门中所有权、参与权和义务的有关规定进行审查，如有必要，将提出修正建议，以保证男女地位的平等。</w:t>
      </w:r>
    </w:p>
    <w:p w:rsidR="00E96A0B" w:rsidRDefault="00E96A0B">
      <w:pPr>
        <w:spacing w:after="140"/>
        <w:ind w:left="844" w:right="1264"/>
        <w:jc w:val="both"/>
        <w:rPr>
          <w:rFonts w:ascii="SimHei" w:eastAsia="SimHei" w:hint="eastAsia"/>
          <w:color w:val="FF0000"/>
        </w:rPr>
      </w:pPr>
      <w:r>
        <w:rPr>
          <w:rFonts w:ascii="SimHei" w:eastAsia="SimHei"/>
          <w:color w:val="FF0000"/>
        </w:rPr>
        <w:t xml:space="preserve">b.  </w:t>
      </w:r>
      <w:r>
        <w:rPr>
          <w:rFonts w:ascii="SimHei" w:eastAsia="SimHei" w:hint="eastAsia"/>
          <w:color w:val="FF0000"/>
        </w:rPr>
        <w:t>农村地区妇女的就业机会</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农业部将采取措施，全面考虑在目前的行动纲领下开展的所有特别项目中农村地区女农民的地位，这些项目对妇女在劳动力市场上的地位，以及她们开办自己的企业和接受继续教育的机会产生了影响。</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教育、科学和文化部</w:t>
      </w:r>
    </w:p>
    <w:p w:rsidR="00E96A0B" w:rsidRDefault="00E96A0B">
      <w:pPr>
        <w:spacing w:line="120" w:lineRule="exact"/>
        <w:ind w:left="1264" w:right="1264"/>
        <w:jc w:val="both"/>
        <w:rPr>
          <w:rFonts w:ascii="Times New Roman" w:eastAsia="KaiTi_GB2312"/>
          <w:color w:val="FF0000"/>
          <w:sz w:val="1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a.  </w:t>
      </w:r>
      <w:r>
        <w:rPr>
          <w:rFonts w:ascii="SimHei" w:eastAsia="SimHei" w:hint="eastAsia"/>
          <w:color w:val="FF0000"/>
        </w:rPr>
        <w:t>促进平等、反对传统分工的工作</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教育、科学和文化部将继续把重点放在以下方面：学校一致保证男女儿童的平等权利，给学生传授有关男女地位的知识，反对传统的男女分工。重要的是，教育系统不应该助长男女工资差别，例如让女学生选择特定课程，而男学生选择其他课程。</w:t>
      </w:r>
    </w:p>
    <w:p w:rsidR="00E96A0B" w:rsidRDefault="00E96A0B">
      <w:pPr>
        <w:spacing w:after="140"/>
        <w:ind w:left="844" w:right="1264"/>
        <w:jc w:val="both"/>
        <w:rPr>
          <w:rFonts w:ascii="SimHei" w:eastAsia="SimHei" w:hint="eastAsia"/>
          <w:color w:val="FF0000"/>
        </w:rPr>
      </w:pPr>
      <w:r>
        <w:rPr>
          <w:rFonts w:ascii="SimHei" w:eastAsia="SimHei" w:hint="eastAsia"/>
          <w:color w:val="FF0000"/>
        </w:rPr>
        <w:t>b.</w:t>
      </w:r>
      <w:r>
        <w:rPr>
          <w:rFonts w:ascii="SimHei" w:eastAsia="SimHei" w:hint="eastAsia"/>
          <w:color w:val="FF0000"/>
        </w:rPr>
        <w:tab/>
        <w:t>学校里关于平等问题的教育</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将起草一份计划加强学校内平等问题的教育，提高教师和校长的认识，特别强调男女两性的长处和双方的义务与权利，还强调家庭所需材料以及中小学学术和职业教育的信息。因此，要重视教师和校长的培训与指导工作。</w:t>
      </w:r>
    </w:p>
    <w:p w:rsidR="00E96A0B" w:rsidRDefault="00E96A0B">
      <w:pPr>
        <w:spacing w:after="140"/>
        <w:ind w:left="844" w:right="1264"/>
        <w:jc w:val="both"/>
        <w:rPr>
          <w:rFonts w:ascii="SimHei" w:eastAsia="SimHei"/>
          <w:color w:val="FF0000"/>
        </w:rPr>
      </w:pPr>
    </w:p>
    <w:p w:rsidR="00E96A0B" w:rsidRDefault="00E96A0B">
      <w:pPr>
        <w:spacing w:after="140"/>
        <w:ind w:left="844" w:right="1264"/>
        <w:jc w:val="both"/>
        <w:rPr>
          <w:rFonts w:ascii="SimHei" w:eastAsia="SimHei"/>
          <w:color w:val="FF0000"/>
        </w:rPr>
      </w:pPr>
    </w:p>
    <w:p w:rsidR="00E96A0B" w:rsidRDefault="00E96A0B">
      <w:pPr>
        <w:spacing w:after="140"/>
        <w:ind w:left="844" w:right="1264"/>
        <w:jc w:val="both"/>
        <w:rPr>
          <w:rFonts w:ascii="SimHei" w:eastAsia="SimHei" w:hint="eastAsia"/>
          <w:color w:val="FF0000"/>
        </w:rPr>
      </w:pPr>
      <w:r>
        <w:rPr>
          <w:rFonts w:ascii="SimHei" w:eastAsia="SimHei" w:hint="eastAsia"/>
          <w:color w:val="FF0000"/>
        </w:rPr>
        <w:t>c.</w:t>
      </w:r>
      <w:r>
        <w:rPr>
          <w:rFonts w:ascii="SimHei" w:eastAsia="SimHei" w:hint="eastAsia"/>
          <w:color w:val="FF0000"/>
        </w:rPr>
        <w:tab/>
        <w:t>特别强调女学生的体育训练</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女学生在体育方面的流失率很高。为审查女青年和妇女体育活动政策而指定的委员会，就有关如何提高妇女和女青年参与体育活动人数的问题提交了详细的调查结论和建议。教育、科学和文化部将根据这些建议制定行动纲领。</w:t>
      </w:r>
    </w:p>
    <w:p w:rsidR="00E96A0B" w:rsidRDefault="00E96A0B">
      <w:pPr>
        <w:spacing w:after="140"/>
        <w:ind w:left="844" w:right="1264"/>
        <w:jc w:val="both"/>
        <w:rPr>
          <w:rFonts w:ascii="SimHei" w:eastAsia="SimHei" w:hint="eastAsia"/>
          <w:color w:val="FF0000"/>
        </w:rPr>
      </w:pPr>
      <w:r>
        <w:rPr>
          <w:rFonts w:ascii="SimHei" w:eastAsia="SimHei" w:hint="eastAsia"/>
          <w:color w:val="FF0000"/>
        </w:rPr>
        <w:t xml:space="preserve">d. </w:t>
      </w:r>
      <w:r>
        <w:rPr>
          <w:rFonts w:ascii="SimHei" w:eastAsia="SimHei" w:hint="eastAsia"/>
          <w:color w:val="FF0000"/>
        </w:rPr>
        <w:tab/>
        <w:t>计算机和信息技术</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教育、科学和文化部将继续优先让男女学生获得有关计算机和信息技术的技能，保证各级学校系统中，男女学生均获得相同的材料。</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交通和运输部</w:t>
      </w:r>
    </w:p>
    <w:p w:rsidR="00E96A0B" w:rsidRDefault="00E96A0B">
      <w:pPr>
        <w:spacing w:line="120" w:lineRule="exact"/>
        <w:ind w:left="1264" w:right="1264"/>
        <w:jc w:val="both"/>
        <w:rPr>
          <w:rFonts w:ascii="Times New Roman" w:eastAsia="KaiTi_GB2312"/>
          <w:color w:val="FF0000"/>
          <w:sz w:val="10"/>
        </w:rPr>
      </w:pPr>
    </w:p>
    <w:p w:rsidR="00E96A0B" w:rsidRDefault="00E96A0B">
      <w:pPr>
        <w:spacing w:after="140"/>
        <w:ind w:left="844" w:right="1264"/>
        <w:jc w:val="both"/>
        <w:rPr>
          <w:rFonts w:ascii="SimHei" w:eastAsia="SimHei" w:hint="eastAsia"/>
          <w:color w:val="FF0000"/>
        </w:rPr>
      </w:pPr>
      <w:r>
        <w:rPr>
          <w:rFonts w:ascii="SimHei" w:eastAsia="SimHei"/>
          <w:color w:val="FF0000"/>
        </w:rPr>
        <w:t xml:space="preserve">a.  </w:t>
      </w:r>
      <w:r>
        <w:rPr>
          <w:rFonts w:ascii="SimHei" w:eastAsia="SimHei" w:hint="eastAsia"/>
          <w:color w:val="FF0000"/>
        </w:rPr>
        <w:t>旅游业中的女雇员</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由于旅游业在冰岛的就业方面和总的创收方面都显得越来越重要，所以计划对妇女在旅游业的贡献进行评估。调查的目的是，审查男女在这项日益发展的产业中的参与程度，以便有可能评估变动或特别的支助政策是否会对男女有所帮助，以及评估这些变动或特别的支助政策是如何帮助他们的。</w:t>
      </w:r>
    </w:p>
    <w:p w:rsidR="00E96A0B" w:rsidRDefault="00E96A0B">
      <w:pPr>
        <w:pStyle w:val="H1"/>
        <w:tabs>
          <w:tab w:val="right" w:pos="1022"/>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6435"/>
        </w:tabs>
        <w:ind w:left="2524" w:right="1264" w:hanging="1264"/>
        <w:jc w:val="both"/>
        <w:rPr>
          <w:rFonts w:hint="eastAsia"/>
        </w:rPr>
      </w:pPr>
      <w:r>
        <w:rPr>
          <w:rFonts w:hint="eastAsia"/>
        </w:rPr>
        <w:t>渔业部</w:t>
      </w:r>
    </w:p>
    <w:p w:rsidR="00E96A0B" w:rsidRDefault="00E96A0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0" w:line="120" w:lineRule="exact"/>
        <w:rPr>
          <w:rFonts w:ascii="Times New Roman" w:eastAsia="KaiTi_GB2312" w:hint="eastAsia"/>
          <w:color w:val="FF0000"/>
          <w:sz w:val="10"/>
        </w:rPr>
      </w:pPr>
    </w:p>
    <w:p w:rsidR="00E96A0B" w:rsidRDefault="00E96A0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844"/>
        <w:rPr>
          <w:rFonts w:ascii="SimHei" w:eastAsia="SimHei" w:hint="eastAsia"/>
          <w:color w:val="FF0000"/>
        </w:rPr>
      </w:pPr>
      <w:r>
        <w:rPr>
          <w:rFonts w:ascii="SimHei" w:eastAsia="SimHei"/>
          <w:color w:val="FF0000"/>
        </w:rPr>
        <w:t xml:space="preserve">a.  </w:t>
      </w:r>
      <w:r>
        <w:rPr>
          <w:rFonts w:ascii="SimHei" w:eastAsia="SimHei" w:hint="eastAsia"/>
          <w:color w:val="FF0000"/>
        </w:rPr>
        <w:t>渔业部门的妇女和商业经营</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将对妇女是否在渔业部门建立了自己的独立雇主地位进行调查，如果已经建立，则表现在哪些领域？要特别关注妇女如何获得赠款和贷款。如果该调查发现妇女在这个领域有特别的机会，那么就要为她们提供特别的支助。同样，如果调查发现存在性别歧视，则要采取特别措施。</w:t>
      </w:r>
    </w:p>
    <w:p w:rsidR="00E96A0B" w:rsidRDefault="00E96A0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ind w:left="844"/>
        <w:rPr>
          <w:rFonts w:ascii="SimHei" w:eastAsia="SimHei" w:hint="eastAsia"/>
          <w:color w:val="FF0000"/>
        </w:rPr>
      </w:pPr>
      <w:r>
        <w:rPr>
          <w:rFonts w:ascii="SimHei" w:eastAsia="SimHei"/>
          <w:color w:val="FF0000"/>
        </w:rPr>
        <w:t xml:space="preserve">b.  </w:t>
      </w:r>
      <w:r>
        <w:rPr>
          <w:rFonts w:ascii="SimHei" w:eastAsia="SimHei" w:hint="eastAsia"/>
          <w:color w:val="FF0000"/>
        </w:rPr>
        <w:t>海员及其家属的特殊地位</w:t>
      </w:r>
    </w:p>
    <w:p w:rsidR="00E96A0B" w:rsidRDefault="00E96A0B" w:rsidP="004907F9">
      <w:pPr>
        <w:spacing w:after="140"/>
        <w:ind w:left="1264" w:right="1264" w:firstLineChars="200" w:firstLine="31680"/>
        <w:jc w:val="both"/>
        <w:rPr>
          <w:rFonts w:hAnsi="SimSun" w:hint="eastAsia"/>
        </w:rPr>
      </w:pPr>
      <w:r>
        <w:rPr>
          <w:rFonts w:hAnsi="SimSun" w:hint="eastAsia"/>
        </w:rPr>
        <w:t>将对海员长期出海而不能与家人在一起的情况进行调查，该项调查将以已经开展的初步调查为基础。</w:t>
      </w:r>
    </w:p>
    <w:p w:rsidR="00E96A0B" w:rsidRDefault="00E96A0B" w:rsidP="004907F9">
      <w:pPr>
        <w:spacing w:after="140"/>
        <w:ind w:left="1264" w:right="1264" w:firstLineChars="200" w:firstLine="31680"/>
        <w:jc w:val="both"/>
        <w:rPr>
          <w:rFonts w:hAnsi="SimSun" w:hint="eastAsia"/>
        </w:rPr>
      </w:pPr>
      <w:r>
        <w:rPr>
          <w:rFonts w:hAnsi="SimSun" w:hint="eastAsia"/>
        </w:rPr>
        <w:t>计划于2004年春天，就有关2002-2003年行动纲领的成果以及该纲领中的单个项目状况向议会提交一份报告。届时，2004-2007年的新行动纲领将一并提交。</w:t>
      </w:r>
    </w:p>
    <w:p w:rsidR="00E96A0B" w:rsidRDefault="00E96A0B">
      <w:pPr>
        <w:pStyle w:val="SingleTxt"/>
        <w:rPr>
          <w:rFonts w:ascii="SimHei" w:eastAsia="SimHei" w:hint="eastAsia"/>
          <w:color w:val="FF0000"/>
        </w:rPr>
      </w:pPr>
      <w:r>
        <w:rPr>
          <w:rFonts w:ascii="SimHei" w:eastAsia="SimHei" w:hint="eastAsia"/>
          <w:color w:val="FF0000"/>
        </w:rPr>
        <w:t>为促进男女平等与其他国家的合作</w:t>
      </w: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hAnsi="SimSun" w:hint="eastAsia"/>
        </w:rPr>
      </w:pPr>
      <w:r>
        <w:rPr>
          <w:rFonts w:hAnsi="SimSun" w:hint="eastAsia"/>
        </w:rPr>
        <w:t>正如早些时候的一些报告所提到的，冰岛参加了斯堪的纳维亚部长理事会的男女平等合作方案。该方案以2001-2005年的斯堪的纳维亚计划为基础。方案的总体目标如下：</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必须在欧洲和国际合作中拓宽斯堪的纳维亚的眼界，提高斯堪的纳维亚地区的地位。</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合作必须促进和加强斯堪的纳维亚各国在男女平等方面的努力。</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男女平等的观点必须融入社会的各个领域，包括斯堪的纳维亚部长理事会的各种活动。</w:t>
      </w:r>
    </w:p>
    <w:p w:rsidR="00E96A0B" w:rsidRDefault="00E96A0B">
      <w:pPr>
        <w:spacing w:after="140"/>
        <w:ind w:left="1264" w:right="1264"/>
        <w:jc w:val="both"/>
        <w:rPr>
          <w:rFonts w:hAnsi="SimSun" w:hint="eastAsia"/>
        </w:rPr>
      </w:pPr>
      <w:r>
        <w:rPr>
          <w:rFonts w:hAnsi="SimSun" w:hint="eastAsia"/>
        </w:rPr>
        <w:t xml:space="preserve">    1999年3月在雷克雅未克举行了一次斯堪的纳维亚男女平等会议，该会议的目标是讨论斯堪的纳维亚国家就业服务机构提供的咨询中男女平等问题。斯堪的纳维亚部长理事会为该次会议提供了资金，会议由劳工联合会主办。与会者分析了性别考虑对咨询、就业提供和解决方案的影响，确定如何把性别变成咨询和就业提供中尽可能中性的因素，以及如何与劳动力市场开展对话，以打破男女分开的劳动力市场，引起雇佣部门对男女混合的工作场所的优势的关注。与会者还关注这些目标是否可以通过性别主流化或其他方式得以最完美的实现。该次会议的结果和结论已经被劳工联合会使用，旨在促进和实施一种基于性别主流化的方法。</w:t>
      </w:r>
    </w:p>
    <w:p w:rsidR="00E96A0B" w:rsidRDefault="00E96A0B">
      <w:pPr>
        <w:spacing w:after="140"/>
        <w:ind w:left="1264" w:right="1264"/>
        <w:jc w:val="both"/>
        <w:rPr>
          <w:rFonts w:hAnsi="SimSun" w:hint="eastAsia"/>
        </w:rPr>
      </w:pPr>
      <w:r>
        <w:rPr>
          <w:rFonts w:hAnsi="SimSun" w:hint="eastAsia"/>
        </w:rPr>
        <w:t xml:space="preserve">   </w:t>
      </w:r>
      <w:r>
        <w:rPr>
          <w:rFonts w:hAnsi="SimSun"/>
        </w:rPr>
        <w:t xml:space="preserve"> </w:t>
      </w:r>
      <w:r>
        <w:rPr>
          <w:rFonts w:hAnsi="SimSun" w:hint="eastAsia"/>
        </w:rPr>
        <w:t>财政部长和两性平等中心与其它斯堪的纳维亚国家合作，正共同开展斯堪的纳维亚部长理事会的一个项目，该项目是关于斯堪的纳维亚经济政策的性别和平等观点的。将为性别预算寻找新的方法和手段。</w:t>
      </w:r>
    </w:p>
    <w:p w:rsidR="00E96A0B" w:rsidRDefault="00E96A0B">
      <w:pPr>
        <w:spacing w:after="140"/>
        <w:ind w:left="1264" w:right="1264"/>
        <w:jc w:val="both"/>
        <w:rPr>
          <w:rFonts w:hAnsi="SimSun" w:hint="eastAsia"/>
        </w:rPr>
      </w:pPr>
      <w:r>
        <w:rPr>
          <w:rFonts w:hAnsi="SimSun" w:hint="eastAsia"/>
        </w:rPr>
        <w:t xml:space="preserve">   </w:t>
      </w:r>
      <w:r>
        <w:rPr>
          <w:rFonts w:hAnsi="SimSun"/>
        </w:rPr>
        <w:t xml:space="preserve"> </w:t>
      </w:r>
      <w:r>
        <w:rPr>
          <w:rFonts w:hAnsi="SimSun" w:hint="eastAsia"/>
        </w:rPr>
        <w:t>雷克雅未克和阿库雷里市政府参加了于2000年结束的斯堪的纳维亚主流化项目。这两个城市都把重点放在青年人文体部门的主流化问题上。初步的结论是，各级雇员和公司经理以及男女青年本身都比以前更加意识到，也更加关心男女平等问题（另见第12条下的讨论）。其他城市已经开始“拷贝”该项目，有一个城市还扩大了该项目的范围，以包括老年人的娱乐和社会服务问题。</w:t>
      </w:r>
    </w:p>
    <w:p w:rsidR="00E96A0B" w:rsidRDefault="00E96A0B" w:rsidP="004907F9">
      <w:pPr>
        <w:spacing w:after="140"/>
        <w:ind w:leftChars="602" w:left="31680" w:right="1264" w:firstLineChars="200" w:firstLine="31680"/>
        <w:jc w:val="both"/>
        <w:rPr>
          <w:rFonts w:hAnsi="SimSun"/>
        </w:rPr>
      </w:pPr>
      <w:r>
        <w:rPr>
          <w:rFonts w:hAnsi="SimSun" w:hint="eastAsia"/>
        </w:rPr>
        <w:t>冰岛政府还积极参与《欧洲经济区协定》框架下的欧盟合作以及联合国组织的国际合作。冰岛于2003年春天当选为联合国妇女委员会成员，将于2004年3月正式任职，任期四年。</w:t>
      </w:r>
    </w:p>
    <w:p w:rsidR="00E96A0B" w:rsidRDefault="00E96A0B" w:rsidP="004907F9">
      <w:pPr>
        <w:pStyle w:val="H1"/>
        <w:spacing w:afterLines="50" w:after="156"/>
        <w:ind w:leftChars="600" w:left="31680" w:rightChars="600" w:right="31680"/>
        <w:rPr>
          <w:rFonts w:hint="eastAsia"/>
        </w:rPr>
      </w:pPr>
      <w:r>
        <w:rPr>
          <w:rFonts w:hint="eastAsia"/>
        </w:rPr>
        <w:t>第4条</w:t>
      </w:r>
    </w:p>
    <w:p w:rsidR="00E96A0B" w:rsidRDefault="00E96A0B" w:rsidP="004907F9">
      <w:pPr>
        <w:pStyle w:val="BodyTextIndent"/>
        <w:spacing w:after="140" w:line="320" w:lineRule="exact"/>
        <w:ind w:left="1264" w:right="1264" w:firstLine="31680"/>
        <w:rPr>
          <w:rFonts w:hint="eastAsia"/>
        </w:rPr>
      </w:pPr>
      <w:r>
        <w:rPr>
          <w:rFonts w:hint="eastAsia"/>
        </w:rPr>
        <w:t>新的《两性平等法》禁止一切形式的性别歧视，不论是直接歧视还是间接歧视。但是，为提高男女地位、保证男女平等和男女平等地位的临时特别措施都不被视为违反了该法。另外，该法禁止雇主在招聘广告中暗示哪一种性别更受欢迎，如果广告的目的意在促进某部门的男女分配比例的平衡，则该规定不适用，但这种情况要在广告中注明。如果广告招聘男性或女性有合法的原因，也应该注明。</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旨在促进男女平等的特别措施</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在旨在促进男女平等的特别措施中，以下措施应该提及：</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hAnsi="SimSun" w:hint="eastAsia"/>
        </w:rPr>
        <w:t>Au</w:t>
      </w:r>
      <w:r>
        <w:rPr>
          <w:rFonts w:hAnsi="SimSun"/>
        </w:rPr>
        <w:t>ð</w:t>
      </w:r>
      <w:r>
        <w:rPr>
          <w:rFonts w:hAnsi="SimSun" w:hint="eastAsia"/>
        </w:rPr>
        <w:t>ur 项目 （2000-2002年）：该项目旨在通过增加妇女创办企业的机会，更好地利用妇女资源，以此来推动冰岛的经济发展。项目开展时间不长，但是，已经产生了217个新工作机会，1 000多名妇女和女青年积极参加了该项目。</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KaiTi_GB2312" w:eastAsia="KaiTi_GB2312" w:hint="eastAsia"/>
          <w:color w:val="0000FF"/>
        </w:rPr>
        <w:t>企业妇女联合会：</w:t>
      </w:r>
      <w:r>
        <w:rPr>
          <w:rFonts w:ascii="Times New Roman" w:hint="eastAsia"/>
        </w:rPr>
        <w:t>参见第</w:t>
      </w:r>
      <w:r>
        <w:rPr>
          <w:rFonts w:ascii="Times New Roman" w:hint="eastAsia"/>
        </w:rPr>
        <w:t>3</w:t>
      </w:r>
      <w:r>
        <w:rPr>
          <w:rFonts w:ascii="Times New Roman" w:hint="eastAsia"/>
        </w:rPr>
        <w:t>条下的答复。</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ascii="KaiTi_GB2312" w:eastAsia="KaiTi_GB2312" w:hint="eastAsia"/>
          <w:color w:val="0000FF"/>
        </w:rPr>
        <w:t>妇女贷款担保基金：</w:t>
      </w:r>
      <w:r>
        <w:rPr>
          <w:rFonts w:hAnsi="SimSun" w:hint="eastAsia"/>
        </w:rPr>
        <w:t>自1998年以来支助的项目之一，这是为妇女提供的一个特别贷款担保基金。开始创办时试验期为三年，意在通过为贷款提供担保支助新企业中的妇女和支助她们参与到企业界；根据该基金的规则，这些担保可用作担保品。2000年试验期结束时对基金的运作和结果进行了审查，决定该基金继续运作。</w:t>
      </w:r>
    </w:p>
    <w:p w:rsidR="00E96A0B" w:rsidRDefault="00E96A0B" w:rsidP="004907F9">
      <w:pPr>
        <w:spacing w:after="140"/>
        <w:ind w:leftChars="602" w:left="31680" w:right="1264" w:firstLineChars="400" w:firstLine="31680"/>
        <w:jc w:val="both"/>
        <w:rPr>
          <w:rFonts w:hAnsi="SimSun" w:hint="eastAsia"/>
        </w:rPr>
      </w:pPr>
      <w:r>
        <w:rPr>
          <w:rFonts w:hAnsi="SimSun" w:hint="eastAsia"/>
        </w:rPr>
        <w:t>审查结果如下：</w:t>
      </w:r>
    </w:p>
    <w:p w:rsidR="00E96A0B" w:rsidRDefault="00E96A0B" w:rsidP="004907F9">
      <w:pPr>
        <w:numPr>
          <w:ilvl w:val="0"/>
          <w:numId w:val="28"/>
        </w:numPr>
        <w:tabs>
          <w:tab w:val="clear" w:pos="1545"/>
          <w:tab w:val="num" w:leader="none" w:pos="2520"/>
        </w:tabs>
        <w:spacing w:after="140"/>
        <w:ind w:leftChars="1000" w:left="31680" w:right="1264" w:hangingChars="200" w:firstLine="31680"/>
        <w:jc w:val="both"/>
        <w:rPr>
          <w:rFonts w:hAnsi="SimSun" w:hint="eastAsia"/>
        </w:rPr>
      </w:pPr>
      <w:r>
        <w:rPr>
          <w:rFonts w:hAnsi="SimSun" w:hint="eastAsia"/>
        </w:rPr>
        <w:t>基金在其运作的三年期间批准为28个项目提供担保，大部分项目都是创新企业，对农村地区的企业和就业部门起着重要作用。这些新企业许多都属于服装和纺织业，另外一些则属于其他行业以及商业和服务业。</w:t>
      </w:r>
    </w:p>
    <w:p w:rsidR="00E96A0B" w:rsidRDefault="00E96A0B" w:rsidP="004907F9">
      <w:pPr>
        <w:numPr>
          <w:ilvl w:val="0"/>
          <w:numId w:val="28"/>
        </w:numPr>
        <w:tabs>
          <w:tab w:val="clear" w:pos="1545"/>
          <w:tab w:val="num" w:leader="none" w:pos="2520"/>
        </w:tabs>
        <w:spacing w:after="140"/>
        <w:ind w:leftChars="1000" w:left="31680" w:right="1264" w:hangingChars="200" w:firstLine="31680"/>
        <w:jc w:val="both"/>
        <w:rPr>
          <w:rFonts w:ascii="Times New Roman" w:hint="eastAsia"/>
        </w:rPr>
      </w:pPr>
      <w:r>
        <w:rPr>
          <w:rFonts w:hAnsi="SimSun" w:hint="eastAsia"/>
        </w:rPr>
        <w:t>基金的存在对其提供担保的项目至关重要，如果没有基金，这些企业几乎都开办不起来。大多数情况下，提供担保的贷款达到该项目总投资的一半或一半以上。</w:t>
      </w:r>
    </w:p>
    <w:p w:rsidR="00E96A0B" w:rsidRDefault="00E96A0B" w:rsidP="004907F9">
      <w:pPr>
        <w:numPr>
          <w:ilvl w:val="0"/>
          <w:numId w:val="28"/>
        </w:numPr>
        <w:tabs>
          <w:tab w:val="clear" w:pos="1545"/>
          <w:tab w:val="num" w:leader="none" w:pos="2520"/>
        </w:tabs>
        <w:spacing w:after="140"/>
        <w:ind w:leftChars="1000" w:left="31680" w:right="1264" w:hangingChars="200" w:firstLine="31680"/>
        <w:jc w:val="both"/>
        <w:rPr>
          <w:rFonts w:hAnsi="SimSun" w:hint="eastAsia"/>
        </w:rPr>
      </w:pPr>
      <w:r>
        <w:rPr>
          <w:rFonts w:hAnsi="SimSun" w:hint="eastAsia"/>
        </w:rPr>
        <w:t>就妇女开办企业的总体情况来看，贷款担保基金活动的范围还不算广：如今，冰岛大约有5 000家公司为妇女所拥有或领导。根据基金的规定，项目必须由妇女管理，这些项目必须有创新的地方，而且与同领域的其他类似企业不构成竞争。</w:t>
      </w:r>
    </w:p>
    <w:p w:rsidR="00E96A0B" w:rsidRDefault="00E96A0B" w:rsidP="004907F9">
      <w:pPr>
        <w:numPr>
          <w:ilvl w:val="0"/>
          <w:numId w:val="28"/>
        </w:numPr>
        <w:tabs>
          <w:tab w:val="clear" w:pos="1545"/>
          <w:tab w:val="num" w:leader="none" w:pos="2520"/>
        </w:tabs>
        <w:spacing w:after="140"/>
        <w:ind w:leftChars="1000" w:left="31680" w:right="1264" w:hangingChars="200" w:firstLine="31680"/>
        <w:jc w:val="both"/>
        <w:rPr>
          <w:rFonts w:hAnsi="SimSun" w:hint="eastAsia"/>
        </w:rPr>
      </w:pPr>
      <w:r>
        <w:rPr>
          <w:rFonts w:hAnsi="SimSun" w:hint="eastAsia"/>
        </w:rPr>
        <w:t>基金的财政状况不错。大约在该基金中投入了3 000万冰岛克朗，它担保的贷款大都及时偿还。到目前为止，还没出现要求基金担保偿还贷款的现象。获得基金担保的企业一般规模小，每个工作场所平均有2个全职岗位，但雇佣了2.4个雇员；40％的企业，只有一个雇员。基金为那些有40多个全职岗位，雇佣了50多个雇员的企业提供贷款担保。另外，有三个企业雇佣了15-20人来做具体项目或做兼职，这些人在自己家里工作即可。在采访中，60％的贷款人表示该基金是很好的激励办法，但应该为更多的妇女提供帮助；还有10％的人表示怀疑如果没有基金的担保，她们自己的项目能否付诸实施。</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KaiTi_GB2312" w:eastAsia="KaiTi_GB2312" w:hint="eastAsia"/>
          <w:color w:val="0000FF"/>
        </w:rPr>
        <w:t>给予妇女企业活动的特权</w:t>
      </w:r>
      <w:r>
        <w:rPr>
          <w:rFonts w:ascii="Times New Roman" w:hint="eastAsia"/>
        </w:rPr>
        <w:t>：参见第</w:t>
      </w:r>
      <w:r>
        <w:rPr>
          <w:rFonts w:ascii="Times New Roman" w:hint="eastAsia"/>
        </w:rPr>
        <w:t>11</w:t>
      </w:r>
      <w:r>
        <w:rPr>
          <w:rFonts w:ascii="Times New Roman" w:hint="eastAsia"/>
        </w:rPr>
        <w:t>条</w:t>
      </w:r>
      <w:r>
        <w:rPr>
          <w:rFonts w:ascii="Times New Roman" w:hint="eastAsia"/>
        </w:rPr>
        <w:t>a-c</w:t>
      </w:r>
      <w:r>
        <w:rPr>
          <w:rFonts w:ascii="Times New Roman" w:hint="eastAsia"/>
        </w:rPr>
        <w:t>项下的答复。</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KaiTi_GB2312" w:eastAsia="KaiTi_GB2312" w:hint="eastAsia"/>
          <w:color w:val="0000FF"/>
        </w:rPr>
        <w:t>企业家和中小型企业服务中心：</w:t>
      </w:r>
      <w:r>
        <w:rPr>
          <w:rFonts w:ascii="Times New Roman" w:hint="eastAsia"/>
        </w:rPr>
        <w:t>该中心特别强调其通过为开办公司提供帮助而对开办企业的妇女提供服务，已经从事企业的妇女也可以为公司未来的发展而从该组织获得帮助。</w:t>
      </w:r>
    </w:p>
    <w:p w:rsidR="00E96A0B" w:rsidRDefault="00E96A0B" w:rsidP="004907F9">
      <w:pPr>
        <w:pStyle w:val="H1"/>
        <w:spacing w:afterLines="50" w:after="156"/>
        <w:ind w:leftChars="600" w:left="31680" w:rightChars="600" w:right="31680"/>
        <w:rPr>
          <w:rFonts w:hint="eastAsia"/>
        </w:rPr>
      </w:pPr>
      <w:r>
        <w:rPr>
          <w:rFonts w:hint="eastAsia"/>
        </w:rPr>
        <w:t>第5条</w:t>
      </w:r>
    </w:p>
    <w:p w:rsidR="00E96A0B" w:rsidRDefault="00E96A0B" w:rsidP="004907F9">
      <w:pPr>
        <w:pStyle w:val="BodyTextIndent3"/>
        <w:spacing w:after="140" w:line="320" w:lineRule="exact"/>
        <w:ind w:left="1264" w:right="1264" w:firstLine="31680"/>
        <w:rPr>
          <w:rFonts w:hint="eastAsia"/>
          <w:sz w:val="21"/>
        </w:rPr>
      </w:pPr>
      <w:r>
        <w:rPr>
          <w:rFonts w:hint="eastAsia"/>
          <w:sz w:val="21"/>
        </w:rPr>
        <w:t>冰岛政府的目标是，不论男女，所有的个人均有平等的机会受益于自己的努力，开发自己的潜能。为实现该目标，已经采取措施使男女能把家庭生活同事业有机地结合起来，以此来推动男女在社会决策和政策制定中具有均等的影响力。</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第95/2000号《产假、陪产假以及育儿假法》</w:t>
      </w:r>
    </w:p>
    <w:p w:rsidR="00E96A0B" w:rsidRDefault="00E96A0B" w:rsidP="004907F9">
      <w:pPr>
        <w:spacing w:after="140"/>
        <w:ind w:left="1264" w:right="1264" w:firstLineChars="200" w:firstLine="31680"/>
        <w:jc w:val="both"/>
        <w:rPr>
          <w:rFonts w:hAnsi="SimSun" w:hint="eastAsia"/>
        </w:rPr>
      </w:pPr>
      <w:r>
        <w:rPr>
          <w:rFonts w:hAnsi="SimSun" w:hint="eastAsia"/>
        </w:rPr>
        <w:t>一部新的《产假/陪产假以及育儿假法》，即第95/2000号法，于2000年生效，这是旧制度的一项根本改革。该法的主要目的是，创造条件，使男女都能平等参与家庭之外的有偿就业和其他工作，保证父母双方与子女在一起的时间。该法旨在让在外工作的父母（父母双方）更容易兼顾事业需求和家庭需求。另一个目的是促使父母双方共同承担家长责任，促进劳动力市场的男女平等（另见第11条下的讨论）。</w:t>
      </w:r>
    </w:p>
    <w:p w:rsidR="00E96A0B" w:rsidRDefault="00E96A0B" w:rsidP="004907F9">
      <w:pPr>
        <w:spacing w:after="140"/>
        <w:ind w:left="1264" w:right="1264" w:firstLineChars="200" w:firstLine="31680"/>
        <w:jc w:val="both"/>
        <w:rPr>
          <w:rFonts w:hAnsi="SimSun" w:hint="eastAsia"/>
        </w:rPr>
      </w:pPr>
      <w:r>
        <w:rPr>
          <w:rFonts w:hAnsi="SimSun" w:hint="eastAsia"/>
        </w:rPr>
        <w:t>冰岛国立大学医院的产科病房新区已于2000年秋开放。该区名叫“爱巢”，每个产妇都有单独的房间，里面拥有可供父母双方使用的齐备设施。提供指导和产前准备工作，目的是让父亲能于孩子出生时在场，保证母亲顺利分娩。目前的行动纲领的任务之一就是为准爸爸发放特别的准备材料，还计划开展一项特别的活动，以保证保健服务机构的工作人员认识到父亲积极参与产前护理、分娩和产后婴儿护理的重要性。</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第96/2000号《两性平等法》</w:t>
      </w:r>
    </w:p>
    <w:p w:rsidR="00E96A0B" w:rsidRDefault="00E96A0B" w:rsidP="004907F9">
      <w:pPr>
        <w:spacing w:after="140"/>
        <w:ind w:left="1264" w:right="1264" w:firstLineChars="200" w:firstLine="31680"/>
        <w:jc w:val="both"/>
        <w:rPr>
          <w:rFonts w:hAnsi="SimSun" w:hint="eastAsia"/>
        </w:rPr>
      </w:pPr>
      <w:r>
        <w:rPr>
          <w:rFonts w:hAnsi="SimSun" w:hint="eastAsia"/>
        </w:rPr>
        <w:t>第96/2000号《两性平等法》包括一项调和家庭与职业义务的特别规定，另外一项规定是，拥有25名以上雇员的机构和企业要制定有关雇佣政策中男女平等问题的内部计划或特别规定；这些规定旨在满足妇女日益增长的要求，即被承认是工作力量中完全有效的成员，它们还旨在使男性在家庭中扮演更重要的角色。雇主制定的措施要有提高工作时间灵活性的目的，主要是为了考虑到雇员的职业和家庭义务的需要，包括便于他们休完产假/陪产假或育儿假后回到工作岗位的措施。</w:t>
      </w:r>
    </w:p>
    <w:p w:rsidR="00E96A0B" w:rsidRDefault="00E96A0B" w:rsidP="004907F9">
      <w:pPr>
        <w:spacing w:after="140"/>
        <w:ind w:left="1264" w:right="1264" w:firstLineChars="200" w:firstLine="31680"/>
        <w:jc w:val="both"/>
        <w:rPr>
          <w:rFonts w:hAnsi="SimSun" w:hint="eastAsia"/>
        </w:rPr>
      </w:pPr>
      <w:r>
        <w:rPr>
          <w:rFonts w:hAnsi="SimSun" w:hint="eastAsia"/>
        </w:rPr>
        <w:t>有关家庭生活和工作之间调和（取得平衡）的一个主要项目是雷克雅未克市政当局、冰岛民意调查局和雷克雅未克私人和国有部门的35家公司合作的项目，该项目于2000－2001年间实施，在社会上引起了更多关于灵活工作时间重要性的讨论，灵活的工作时间能使男女雇员兼顾家庭生活和工作。该项目一直在进行，有自己的网址（</w:t>
      </w:r>
      <w:hyperlink r:id="rId15" w:history="1">
        <w:r>
          <w:rPr>
            <w:rStyle w:val="Hyperlink"/>
            <w:rFonts w:hAnsi="SimSun" w:hint="eastAsia"/>
          </w:rPr>
          <w:t>www.hgj.is</w:t>
        </w:r>
      </w:hyperlink>
      <w:r>
        <w:rPr>
          <w:rFonts w:hAnsi="SimSun" w:hint="eastAsia"/>
        </w:rPr>
        <w:t>）。</w:t>
      </w:r>
    </w:p>
    <w:p w:rsidR="00E96A0B" w:rsidRDefault="00E96A0B" w:rsidP="004907F9">
      <w:pPr>
        <w:spacing w:after="140"/>
        <w:ind w:left="1264" w:right="1264" w:firstLineChars="200" w:firstLine="31680"/>
        <w:jc w:val="both"/>
        <w:rPr>
          <w:rFonts w:hAnsi="SimSun" w:hint="eastAsia"/>
        </w:rPr>
      </w:pPr>
      <w:r>
        <w:rPr>
          <w:rFonts w:hAnsi="SimSun" w:hint="eastAsia"/>
        </w:rPr>
        <w:t>冰岛政府的上一份报告提及了在政府各部门职员中间实施灵活工作时间的计划，该项目产生了很好的效果，因此决定在规划雇员的工作时间时继续保持其灵活性。</w:t>
      </w:r>
    </w:p>
    <w:p w:rsidR="00E96A0B" w:rsidRDefault="00E96A0B">
      <w:pPr>
        <w:spacing w:after="140"/>
        <w:ind w:left="1264" w:right="1264"/>
        <w:jc w:val="both"/>
        <w:rPr>
          <w:rFonts w:ascii="SimHei" w:eastAsia="SimHei"/>
          <w:color w:val="FF0000"/>
        </w:rPr>
      </w:pPr>
    </w:p>
    <w:p w:rsidR="00E96A0B" w:rsidRDefault="00E96A0B">
      <w:pPr>
        <w:spacing w:after="140"/>
        <w:ind w:left="1264" w:right="1264"/>
        <w:jc w:val="both"/>
        <w:rPr>
          <w:rFonts w:ascii="SimHei" w:eastAsia="SimHei" w:hint="eastAsia"/>
          <w:color w:val="FF0000"/>
        </w:rPr>
      </w:pPr>
      <w:r>
        <w:rPr>
          <w:rFonts w:ascii="SimHei" w:eastAsia="SimHei" w:hint="eastAsia"/>
          <w:color w:val="FF0000"/>
        </w:rPr>
        <w:t>第27/2000号《禁止因承担家庭责任而裁员法》</w:t>
      </w:r>
    </w:p>
    <w:p w:rsidR="00E96A0B" w:rsidRDefault="00E96A0B" w:rsidP="004907F9">
      <w:pPr>
        <w:spacing w:after="140"/>
        <w:ind w:left="1264" w:right="1264" w:firstLineChars="200" w:firstLine="31680"/>
        <w:jc w:val="both"/>
        <w:rPr>
          <w:rFonts w:hAnsi="SimSun" w:hint="eastAsia"/>
        </w:rPr>
      </w:pPr>
      <w:r>
        <w:rPr>
          <w:rFonts w:hAnsi="SimSun" w:hint="eastAsia"/>
        </w:rPr>
        <w:t>第27/2000号《禁止因家庭问题而裁员法》于2000年春天生效。根据该法，不得仅仅因为一个人承担家庭责任而将其解雇。</w:t>
      </w:r>
    </w:p>
    <w:p w:rsidR="00E96A0B" w:rsidRDefault="00E96A0B" w:rsidP="004907F9">
      <w:pPr>
        <w:spacing w:after="140"/>
        <w:ind w:left="1264" w:right="1264" w:firstLineChars="200" w:firstLine="31680"/>
        <w:jc w:val="both"/>
        <w:rPr>
          <w:rFonts w:hAnsi="SimSun" w:hint="eastAsia"/>
        </w:rPr>
      </w:pPr>
      <w:r>
        <w:rPr>
          <w:rFonts w:hAnsi="SimSun" w:hint="eastAsia"/>
        </w:rPr>
        <w:t>必须满足三个主要条件，方能证明雇员负有家庭责任。第一，这些责任必须是对雇员自己的子女、配偶或近亲负有的责任。第二，所涉及之人必须住在雇员家中。第三，所涉及之人因生病、残疾或类似情况必须由雇员本人照顾或监护。必须满足所有三个条件，方可认为雇员对有关个人负有该法所说的责任。该法实际上是以国际劳工组织《负有家庭责任工人公约》（第156号）为基础的。</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特别措施</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为支持在劳动力市场处于领导地位的妇女而制定了特别措施。</w:t>
      </w:r>
      <w:r>
        <w:rPr>
          <w:rFonts w:ascii="Times New Roman" w:hint="eastAsia"/>
        </w:rPr>
        <w:t>2000</w:t>
      </w:r>
      <w:r>
        <w:rPr>
          <w:rFonts w:ascii="Times New Roman" w:hint="eastAsia"/>
        </w:rPr>
        <w:t>年</w:t>
      </w:r>
      <w:r>
        <w:rPr>
          <w:rFonts w:ascii="Times New Roman" w:hint="eastAsia"/>
        </w:rPr>
        <w:t>4</w:t>
      </w:r>
      <w:r>
        <w:rPr>
          <w:rFonts w:ascii="Times New Roman" w:hint="eastAsia"/>
        </w:rPr>
        <w:t>月，冰岛各界签署了一份两年的协议，目的是加强妇女在冰岛劳动力市场上的作用，特别强调妇女的领导作用。该示范性计划旨在使越来越多的妇女参与到经济生活的领导层，鼓励妇女选择高等教育中以男性为主导的学科领域，特别是信息和通信技术以及工程学领域（见第</w:t>
      </w:r>
      <w:r>
        <w:rPr>
          <w:rFonts w:ascii="Times New Roman" w:hint="eastAsia"/>
        </w:rPr>
        <w:t>10</w:t>
      </w:r>
      <w:r>
        <w:rPr>
          <w:rFonts w:ascii="Times New Roman" w:hint="eastAsia"/>
        </w:rPr>
        <w:t>条</w:t>
      </w:r>
      <w:r>
        <w:rPr>
          <w:rFonts w:ascii="Times New Roman" w:hint="eastAsia"/>
        </w:rPr>
        <w:t>c</w:t>
      </w:r>
      <w:r>
        <w:rPr>
          <w:rFonts w:ascii="Times New Roman" w:hint="eastAsia"/>
        </w:rPr>
        <w:t>项下的进一步讨论）。</w:t>
      </w:r>
    </w:p>
    <w:p w:rsidR="00E96A0B" w:rsidRDefault="00E96A0B">
      <w:pPr>
        <w:spacing w:after="140"/>
        <w:ind w:left="1264" w:right="1264"/>
        <w:jc w:val="both"/>
        <w:rPr>
          <w:rFonts w:ascii="SimHei" w:eastAsia="SimHei" w:hint="eastAsia"/>
          <w:color w:val="FF0000"/>
        </w:rPr>
      </w:pPr>
      <w:bookmarkStart w:id="1" w:name="OLE_LINK1"/>
      <w:r>
        <w:rPr>
          <w:rFonts w:ascii="SimHei" w:eastAsia="SimHei" w:hint="eastAsia"/>
          <w:color w:val="FF0000"/>
        </w:rPr>
        <w:t>教育计划</w:t>
      </w:r>
    </w:p>
    <w:bookmarkEnd w:id="1"/>
    <w:p w:rsidR="00E96A0B" w:rsidRDefault="00E96A0B" w:rsidP="004907F9">
      <w:pPr>
        <w:spacing w:after="140"/>
        <w:ind w:left="1264" w:right="1264" w:firstLineChars="200" w:firstLine="31680"/>
        <w:jc w:val="both"/>
        <w:rPr>
          <w:rFonts w:hAnsi="SimSun" w:hint="eastAsia"/>
        </w:rPr>
      </w:pPr>
      <w:r>
        <w:rPr>
          <w:rFonts w:hAnsi="SimSun" w:hint="eastAsia"/>
        </w:rPr>
        <w:t>于2000年生效的学校新政策中，一个主要因素或支柱就是“生活技能”的概念。“生活技能”课被描述为一门独立的学科，在新的课程表中，该课程要在4－10年级中每周至少开一课时。这些技能通过加深学生对社会、社会的文化根基、就业和生产情况、文化、自然、家庭责任、经济责任、个人责任和权利的了解，使学生更好地适应民主社会的生活和工作。自信、决心和独立决策的能力以及对新情况快速而敏感地作出反应的能力使他们更好地适应现在和将来。对价值观批评式的思考、正确的判断和评估，加上忍耐力，为成功打下基础。学校有义务使学生充满抱负，树立正面的自我形象。这样，他们就会成为更有素质的个人。学生必须会表达自己的观点，不惧怕变化，能去冒险，对自己的行为负责。要培养学生欣赏文化和艺术的能力，使他们在该领域作出自己的贡献。</w:t>
      </w:r>
    </w:p>
    <w:p w:rsidR="00E96A0B" w:rsidRDefault="00E96A0B" w:rsidP="004907F9">
      <w:pPr>
        <w:pStyle w:val="H1"/>
        <w:spacing w:afterLines="50" w:after="156"/>
        <w:ind w:leftChars="600" w:left="31680" w:rightChars="600" w:right="31680"/>
        <w:rPr>
          <w:rFonts w:hint="eastAsia"/>
          <w:kern w:val="2"/>
        </w:rPr>
      </w:pPr>
      <w:r>
        <w:rPr>
          <w:rFonts w:hint="eastAsia"/>
        </w:rPr>
        <w:t>第6条</w:t>
      </w:r>
      <w:r>
        <w:br/>
      </w:r>
      <w:r>
        <w:rPr>
          <w:rFonts w:hint="eastAsia"/>
          <w:kern w:val="2"/>
        </w:rPr>
        <w:t>人口贩运</w:t>
      </w:r>
    </w:p>
    <w:p w:rsidR="00E96A0B" w:rsidRDefault="00E96A0B" w:rsidP="004907F9">
      <w:pPr>
        <w:spacing w:after="140"/>
        <w:ind w:left="1264" w:right="1264" w:firstLineChars="200" w:firstLine="31680"/>
        <w:jc w:val="both"/>
        <w:rPr>
          <w:rFonts w:hAnsi="SimSun" w:hint="eastAsia"/>
        </w:rPr>
      </w:pPr>
      <w:r>
        <w:rPr>
          <w:rFonts w:hAnsi="SimSun" w:hint="eastAsia"/>
        </w:rPr>
        <w:t>冰岛政府一直非常重视采取防止人口贩运和卖淫的预防措施；在这一方面，冰岛已经批准了《儿童权利公约》关于买卖儿童、儿童卖淫和儿童色情制品的任择议定书，签署了《打击跨国有组织犯罪公约》及其《关于防止、禁止和惩治贩运人口议定书》，而且正在准备正式批准它们。2003年3月，议会通过了一项修正《刑法》的新法。根据该法，贩运人口可处以长达8年的监禁，相关规定如下：</w:t>
      </w:r>
    </w:p>
    <w:p w:rsidR="00E96A0B" w:rsidRDefault="00E96A0B" w:rsidP="004907F9">
      <w:pPr>
        <w:spacing w:after="140"/>
        <w:ind w:left="1264" w:right="1264" w:firstLineChars="200" w:firstLine="31680"/>
        <w:jc w:val="both"/>
        <w:rPr>
          <w:rFonts w:hAnsi="SimSun" w:hint="eastAsia"/>
        </w:rPr>
      </w:pPr>
      <w:r>
        <w:rPr>
          <w:rFonts w:hAnsi="SimSun" w:hint="eastAsia"/>
        </w:rPr>
        <w:t>“贩卖人口若以利用一个人的性别，强迫他人劳动或割去器官为目的犯下以下罪行，则可处以长达8年的监禁：</w:t>
      </w:r>
    </w:p>
    <w:p w:rsidR="00E96A0B" w:rsidRDefault="00E96A0B" w:rsidP="004907F9">
      <w:pPr>
        <w:numPr>
          <w:ilvl w:val="0"/>
          <w:numId w:val="30"/>
        </w:numPr>
        <w:tabs>
          <w:tab w:val="clear" w:pos="1155"/>
          <w:tab w:val="num" w:leader="none" w:pos="2100"/>
        </w:tabs>
        <w:spacing w:after="140"/>
        <w:ind w:leftChars="800" w:left="31680" w:right="1264" w:hangingChars="200" w:firstLine="31680"/>
        <w:jc w:val="both"/>
        <w:rPr>
          <w:rFonts w:hAnsi="SimSun" w:hint="eastAsia"/>
        </w:rPr>
      </w:pPr>
      <w:r>
        <w:rPr>
          <w:rFonts w:hAnsi="SimSun" w:hint="eastAsia"/>
        </w:rPr>
        <w:t>招募、运送、藏匿或接收任何正在或曾经遭到根据第225条可处以刑罚的非法监禁的人，或根据第226条可处以刑罚的剥夺自由的人，或根据第233条可处以刑罚的威胁的人，或通过唤起、强化或利用错误概念或通过其他不当手段而非法欺骗的人；</w:t>
      </w:r>
    </w:p>
    <w:p w:rsidR="00E96A0B" w:rsidRDefault="00E96A0B" w:rsidP="004907F9">
      <w:pPr>
        <w:numPr>
          <w:ilvl w:val="0"/>
          <w:numId w:val="30"/>
        </w:numPr>
        <w:tabs>
          <w:tab w:val="clear" w:pos="1155"/>
          <w:tab w:val="num" w:leader="none" w:pos="2100"/>
        </w:tabs>
        <w:spacing w:after="140"/>
        <w:ind w:leftChars="800" w:left="31680" w:right="1264" w:hangingChars="200" w:firstLine="31680"/>
        <w:jc w:val="both"/>
        <w:rPr>
          <w:rFonts w:hAnsi="SimSun" w:hint="eastAsia"/>
        </w:rPr>
      </w:pPr>
      <w:r>
        <w:rPr>
          <w:rFonts w:hAnsi="SimSun" w:hint="eastAsia"/>
        </w:rPr>
        <w:t>招募、运送、藏匿或接收不满18岁青少年，或提供金钱或其他好处，以获得负责该青少年的人的同意。</w:t>
      </w:r>
    </w:p>
    <w:p w:rsidR="00E96A0B" w:rsidRDefault="00E96A0B" w:rsidP="004907F9">
      <w:pPr>
        <w:spacing w:after="140"/>
        <w:ind w:left="1264" w:right="1264" w:firstLineChars="200" w:firstLine="31680"/>
        <w:jc w:val="both"/>
        <w:rPr>
          <w:rFonts w:hAnsi="SimSun" w:hint="eastAsia"/>
        </w:rPr>
      </w:pPr>
      <w:r>
        <w:rPr>
          <w:rFonts w:hAnsi="SimSun" w:hint="eastAsia"/>
        </w:rPr>
        <w:t>同样的惩罚也适用于第一款第2项规定的接受金钱或其他好处的人。</w:t>
      </w:r>
    </w:p>
    <w:p w:rsidR="00E96A0B" w:rsidRDefault="00E96A0B" w:rsidP="004907F9">
      <w:pPr>
        <w:spacing w:after="140"/>
        <w:ind w:left="1264" w:right="1264" w:firstLineChars="200" w:firstLine="31680"/>
        <w:jc w:val="both"/>
        <w:rPr>
          <w:rFonts w:hAnsi="SimSun" w:hint="eastAsia"/>
        </w:rPr>
      </w:pPr>
      <w:r>
        <w:rPr>
          <w:rFonts w:hAnsi="SimSun" w:hint="eastAsia"/>
        </w:rPr>
        <w:t>冰岛曾是一个从欧洲贩运人口到美国的中转国，第一项有关贩运人口的判决是在2003年6月作出的，案件号为735/2003，是在雷克雅未克区法院审理的。在该案件中，一位男性为营利，有系统地协助外国公民进入冰岛或其他国家，他曾帮助4名中国人（两男和两女）从中国去美国。该案件中没有说明，这些人到达美国后的前景怎样。</w:t>
      </w:r>
    </w:p>
    <w:p w:rsidR="00E96A0B" w:rsidRDefault="00E96A0B" w:rsidP="004907F9">
      <w:pPr>
        <w:spacing w:after="140"/>
        <w:ind w:left="1264" w:right="1264" w:firstLineChars="200" w:firstLine="31680"/>
        <w:jc w:val="both"/>
        <w:rPr>
          <w:rFonts w:hAnsi="SimSun" w:hint="eastAsia"/>
        </w:rPr>
      </w:pPr>
      <w:r>
        <w:rPr>
          <w:rFonts w:hAnsi="SimSun" w:hint="eastAsia"/>
        </w:rPr>
        <w:t>每年有很多外国妇女来到冰岛在夜总会作脱衣舞女。司法部长授权进行的一项调查证明，雷克雅未克的脱衣舞夜总会与卖淫之间存在着联系，因此人们开始意识到形势的严峻性。已经确认一些跳脱衣舞的外国妇女被迫卖淫。该信息对于以后打击在冰岛贩卖妇女的工作非常重要。必须利用一切手段压制这一趋势，旨在向人们宣传并提高公众的知识和认识的宣传活动具有十分重要的意义。在这方面，冰岛警察部队与斯堪的纳维亚和波罗的海国家的同行正在共同努力。</w:t>
      </w:r>
    </w:p>
    <w:p w:rsidR="00E96A0B" w:rsidRDefault="00E96A0B" w:rsidP="004907F9">
      <w:pPr>
        <w:spacing w:after="140"/>
        <w:ind w:left="1264" w:right="1264" w:firstLineChars="200" w:firstLine="31680"/>
        <w:jc w:val="both"/>
        <w:rPr>
          <w:rFonts w:hAnsi="SimSun" w:hint="eastAsia"/>
        </w:rPr>
      </w:pPr>
      <w:r>
        <w:rPr>
          <w:rFonts w:hAnsi="SimSun" w:hint="eastAsia"/>
        </w:rPr>
        <w:t>政府禁止贩运人口的一项重要行动就是修正第133/1994号《外国公民工作权利法》，主要是为了使来自非欧洲经济区国家、在冰岛当脱衣舞女的外国妇女必须申请工作许可证。2000年前，这些舞女被称为艺术家，如果她们在冰岛的逗留期不超过4个星期，则无须特别工作许可证。2000-2002年间，向脱衣舞女发放了382张工作许可证，其中有70位舞女的许可证得到了延期。这些妇女来自21个国家，大多数来自匈牙利（93人）、爱沙尼亚（81人）、捷克共和国（71人）和拉脱维亚（40人）。其他来源国还包括巴西（16人）、斯洛伐克（16人）、加拿大（11人）和俄罗斯（11人）。应该声明，冰岛政府还没有那些来自欧洲经济区内国家舞女的人数信息，因为她们在冰岛工作无需特别的工作许可证。</w:t>
      </w:r>
    </w:p>
    <w:p w:rsidR="00E96A0B" w:rsidRDefault="00E96A0B" w:rsidP="004907F9">
      <w:pPr>
        <w:spacing w:after="140"/>
        <w:ind w:left="1264" w:right="1264" w:firstLineChars="200" w:firstLine="31680"/>
        <w:jc w:val="both"/>
        <w:rPr>
          <w:rFonts w:hAnsi="SimSun" w:hint="eastAsia"/>
        </w:rPr>
      </w:pPr>
      <w:r>
        <w:rPr>
          <w:rFonts w:hAnsi="SimSun" w:hint="eastAsia"/>
        </w:rPr>
        <w:t>冰岛政府参加了斯堪的纳维亚-波罗的海打击贩运妇女运动。2002年1月16日，斯堪的纳维亚部长理事会两性平等执行委员会通过了一项决议，制定了该运动的目标。委员会决定该运动应该致力于“提高公众的知识和意识，就贩运妇女问题展开讨论。”</w:t>
      </w:r>
    </w:p>
    <w:p w:rsidR="00E96A0B" w:rsidRDefault="00E96A0B" w:rsidP="004907F9">
      <w:pPr>
        <w:spacing w:after="140"/>
        <w:ind w:left="1264" w:right="1264" w:firstLineChars="200" w:firstLine="31680"/>
        <w:jc w:val="both"/>
        <w:rPr>
          <w:rFonts w:hAnsi="SimSun" w:hint="eastAsia"/>
        </w:rPr>
      </w:pPr>
      <w:r>
        <w:rPr>
          <w:rFonts w:hAnsi="SimSun" w:hint="eastAsia"/>
        </w:rPr>
        <w:t>该运动是由斯堪的纳维亚-波罗的海打击贩运妇女工作组计划并实施的。工作组决定用《联合国打击跨国有组织犯罪公约关于防止、禁止和惩治贩运人口特别是妇女和儿童行为的补充议定书》及其有关贩运的定义作为该运动和国内运动的参照标准。</w:t>
      </w:r>
    </w:p>
    <w:p w:rsidR="00E96A0B" w:rsidRDefault="00E96A0B" w:rsidP="004907F9">
      <w:pPr>
        <w:spacing w:after="140"/>
        <w:ind w:left="1264" w:right="1264" w:firstLineChars="200" w:firstLine="31680"/>
        <w:jc w:val="both"/>
        <w:rPr>
          <w:rFonts w:hAnsi="SimSun" w:hint="eastAsia"/>
        </w:rPr>
      </w:pPr>
      <w:r>
        <w:rPr>
          <w:rFonts w:hAnsi="SimSun" w:hint="eastAsia"/>
        </w:rPr>
        <w:t>该运动的主要目的是使贩运妇女问题成为公众关注的问题，特别是有关性服务的买方或潜在买方的问题。还有一个目的是向申请工作许可证来冰岛作“舞女”的妇女说明她们的合法权利。该运动结束时召开了一次会议，会上美国和瑞典政府的代表都作了发言。社会事务部长和司法部长向大会致词，这两位部长一直在负责该运动。冰岛的一份日报出版和发行了有关该运动的一份12页的特别增刊。</w:t>
      </w:r>
    </w:p>
    <w:p w:rsidR="00E96A0B" w:rsidRDefault="00E96A0B" w:rsidP="004907F9">
      <w:pPr>
        <w:spacing w:after="140"/>
        <w:ind w:left="1264" w:right="1264" w:firstLineChars="200" w:firstLine="31680"/>
        <w:jc w:val="both"/>
        <w:rPr>
          <w:rFonts w:hAnsi="SimSun" w:hint="eastAsia"/>
        </w:rPr>
      </w:pPr>
      <w:r>
        <w:rPr>
          <w:rFonts w:hAnsi="SimSun" w:hint="eastAsia"/>
        </w:rPr>
        <w:t>政府和一些市政当局采取了严厉的措施，防止他们认为可能会鼓励贩运的非法活动，2003年2月在这方面取得了胜利，当时在第542/2002号案件中，冰岛最高法院维持了首都市政当局的一项裁决，即禁止在脱衣舞夜总会私下跳“膝舞”。虽然法律允许脱衣舞，但最高法院认为应该对活动制定一般限制条件，以保证行为得体和公共秩序。最高法院认为，第36/1988号《警察规章法》的第3条明确授权在《警察规章法》中订立这些规定，保证这些规定得以遵守以及保证饭店中不出现犯罪活动是警察的责任。最高法院注意到，在饭店的隐蔽处举行过秘密的脱衣舞表演，这种情况下，无法进行监测。最高法院裁定，对警察规章法所提出的修正案并不是禁止脱衣舞，而只是规定，禁止表演者将自己与观众隔离或在表演中在观众中间行走。最高法院指出，该一般规定是依照第36/1988号法制定的，它使当局能对脱衣舞的表演进行监测，从而保证人们遵守公共秩序，保持行为得体，保证夜总会不会出现犯罪现象。于是，最高法院得出结论说，原告经营夜总会的营业执照并不是授权他在饭店的隐蔽处举办膝舞表演，也不是允许表演者在观众中间走动。在最高法院看来，原告经营的这些活动不能被视为应该得到《宪法》第75条保护的职业活动，因此，免去了原告对冰岛政府和雷克雅未克市提出的要求。其他地方政府也效仿了雷克雅未克，禁止在辖区内的夜总会表演膝舞。</w:t>
      </w:r>
    </w:p>
    <w:p w:rsidR="00E96A0B" w:rsidRDefault="00E96A0B" w:rsidP="004907F9">
      <w:pPr>
        <w:spacing w:after="140"/>
        <w:ind w:left="1264" w:right="1264" w:firstLineChars="200" w:firstLine="31680"/>
        <w:jc w:val="both"/>
        <w:rPr>
          <w:rFonts w:hAnsi="SimSun" w:hint="eastAsia"/>
        </w:rPr>
      </w:pPr>
      <w:r>
        <w:rPr>
          <w:rFonts w:hAnsi="SimSun" w:hint="eastAsia"/>
        </w:rPr>
        <w:t>冰岛政府打算继续开展打击贩运人口的运动，继续参与实施解决这类严重问题的国际措施。</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卖淫</w:t>
      </w:r>
    </w:p>
    <w:p w:rsidR="00E96A0B" w:rsidRDefault="00E96A0B" w:rsidP="004907F9">
      <w:pPr>
        <w:spacing w:after="140"/>
        <w:ind w:left="1264" w:right="1264" w:firstLineChars="200" w:firstLine="31680"/>
        <w:jc w:val="both"/>
        <w:rPr>
          <w:rFonts w:hAnsi="SimSun" w:hint="eastAsia"/>
        </w:rPr>
      </w:pPr>
      <w:r>
        <w:rPr>
          <w:rFonts w:hAnsi="SimSun" w:hint="eastAsia"/>
        </w:rPr>
        <w:t>在上述为司法部长所做的调查中，对首都地区出现卖淫的可能性进行了调查研究，确实发现存在卖淫活动以及这方面的社会环境。这还证明了这样一个事实，即卖淫在冰岛吸毒的青年人中间以“为生存而卖淫”的形式存在，与上述脱衣舞夜总会有联系。</w:t>
      </w:r>
    </w:p>
    <w:p w:rsidR="00E96A0B" w:rsidRDefault="00E96A0B" w:rsidP="004907F9">
      <w:pPr>
        <w:spacing w:after="140"/>
        <w:ind w:left="1264" w:right="1264" w:firstLineChars="200" w:firstLine="31680"/>
        <w:jc w:val="both"/>
        <w:rPr>
          <w:rFonts w:hAnsi="SimSun" w:hint="eastAsia"/>
        </w:rPr>
      </w:pPr>
      <w:r>
        <w:rPr>
          <w:rFonts w:hAnsi="SimSun" w:hint="eastAsia"/>
        </w:rPr>
        <w:t>2002年2月制定了《刑法》修正案，规定购买18岁以下儿童的卖淫服务是非法的。</w:t>
      </w:r>
    </w:p>
    <w:p w:rsidR="00E96A0B" w:rsidRDefault="00E96A0B" w:rsidP="004907F9">
      <w:pPr>
        <w:spacing w:after="140"/>
        <w:ind w:left="1264" w:right="1264" w:firstLineChars="200" w:firstLine="31680"/>
        <w:jc w:val="both"/>
        <w:rPr>
          <w:rFonts w:hAnsi="SimSun" w:hint="eastAsia"/>
        </w:rPr>
      </w:pPr>
      <w:r>
        <w:rPr>
          <w:rFonts w:hAnsi="SimSun" w:hint="eastAsia"/>
        </w:rPr>
        <w:t>司法部长指定了一个委员会，以提出解决色情、卖淫、贩运人口问题的措施和可能的《刑法》修正案。该委员会于2002年6月完成了工作，提出的建议正由司法部进行审查。</w:t>
      </w:r>
    </w:p>
    <w:p w:rsidR="00E96A0B" w:rsidRDefault="00E96A0B">
      <w:pPr>
        <w:widowControl w:val="0"/>
        <w:spacing w:after="140"/>
        <w:ind w:left="1264" w:right="1264"/>
        <w:jc w:val="both"/>
        <w:rPr>
          <w:rFonts w:hAnsi="SimSun"/>
          <w:color w:val="FF0000"/>
          <w:kern w:val="2"/>
          <w:szCs w:val="24"/>
        </w:rPr>
      </w:pP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对妇女的暴力</w:t>
      </w:r>
    </w:p>
    <w:p w:rsidR="00E96A0B" w:rsidRDefault="00E96A0B" w:rsidP="004907F9">
      <w:pPr>
        <w:spacing w:after="140"/>
        <w:ind w:left="1264" w:right="1264" w:firstLineChars="200" w:firstLine="31680"/>
        <w:jc w:val="both"/>
        <w:rPr>
          <w:rFonts w:hAnsi="SimSun" w:hint="eastAsia"/>
        </w:rPr>
      </w:pPr>
      <w:r>
        <w:rPr>
          <w:rFonts w:hAnsi="SimSun" w:hint="eastAsia"/>
        </w:rPr>
        <w:t>根据挪威向消除对妇女歧视委员会提交的第六次报告和瑞典提交的第五次报告，已决定在第6条下报告对妇女的暴力问题，而在冰岛的上一份报告中是在第12条下报告的该问题。</w:t>
      </w:r>
    </w:p>
    <w:p w:rsidR="00E96A0B" w:rsidRDefault="00E96A0B" w:rsidP="004907F9">
      <w:pPr>
        <w:spacing w:after="140"/>
        <w:ind w:left="1264" w:right="1264" w:firstLineChars="200" w:firstLine="31680"/>
        <w:jc w:val="both"/>
        <w:rPr>
          <w:rFonts w:hAnsi="SimSun" w:hint="eastAsia"/>
        </w:rPr>
      </w:pPr>
      <w:r>
        <w:rPr>
          <w:rFonts w:hAnsi="SimSun" w:hint="eastAsia"/>
        </w:rPr>
        <w:t>正如冰岛的第三次和第四次合并定期报告中所述，司法部长在对妇女的暴力的原因、程度和特点进行了调查和讨论后，指定了三个委员会。第一个委员会研究是否有必要修订冰岛法律以反对家庭暴力，如何加强致力于反对家庭暴力的预防措施和措施的非政府组织的活动，提供关于预防措施和措施的建议以帮助家庭暴力的受害者和施暴者，研究谁该提供这样的辅助措施。要求第二个委员会研究司法系统内这些问题的处理，向司法部长提供这方面必要改革的建议，若有必要，包括《刑法》修正案和《刑事诉讼法》修正案的建议。第三个委员会关注调查中的程序和警方的行动程序。该委员会要向部长提交有关必要改革的建议，若有必要，包括《刑法》修正案和《刑事诉讼法》修正案的建议。</w:t>
      </w:r>
    </w:p>
    <w:p w:rsidR="00E96A0B" w:rsidRDefault="00E96A0B" w:rsidP="004907F9">
      <w:pPr>
        <w:spacing w:after="140"/>
        <w:ind w:left="1264" w:right="1264" w:firstLineChars="200" w:firstLine="31680"/>
        <w:jc w:val="both"/>
        <w:rPr>
          <w:rFonts w:hAnsi="SimSun" w:hint="eastAsia"/>
        </w:rPr>
      </w:pPr>
      <w:r>
        <w:rPr>
          <w:rFonts w:hAnsi="SimSun" w:hint="eastAsia"/>
        </w:rPr>
        <w:t>三个委员会的主要建议是，有必要修订有关限制行动令、证人保护和受害者有权获得法律顾问的法律。认识到警方和法院可以利用现有的法定补救方法防止进一步的暴力，保护受害者。这样，冰岛政府已经致力于制定针对暴力情况的有效补救方法，防止暴力再次发生。</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受害者保护</w:t>
      </w:r>
    </w:p>
    <w:p w:rsidR="00E96A0B" w:rsidRDefault="00E96A0B" w:rsidP="004907F9">
      <w:pPr>
        <w:spacing w:after="140"/>
        <w:ind w:left="1264" w:right="1264" w:firstLineChars="200" w:firstLine="31680"/>
        <w:jc w:val="both"/>
        <w:rPr>
          <w:rFonts w:hAnsi="SimSun" w:hint="eastAsia"/>
        </w:rPr>
      </w:pPr>
      <w:r>
        <w:rPr>
          <w:rFonts w:hAnsi="SimSun" w:hint="eastAsia"/>
        </w:rPr>
        <w:t>第19/1991号《刑事诉讼法》第七节已经第36/1999号法和第94/2000号法修订，该节以及第19/1940号《刑法》载有关于保护性虐待和身体虐待受害者的特别规定。</w:t>
      </w:r>
    </w:p>
    <w:p w:rsidR="00E96A0B" w:rsidRDefault="00E96A0B" w:rsidP="004907F9">
      <w:pPr>
        <w:spacing w:after="140"/>
        <w:ind w:left="1264" w:right="1264" w:firstLineChars="200" w:firstLine="31680"/>
        <w:jc w:val="both"/>
        <w:rPr>
          <w:rFonts w:hAnsi="SimSun" w:hint="eastAsia"/>
        </w:rPr>
      </w:pPr>
      <w:r>
        <w:rPr>
          <w:rFonts w:hAnsi="SimSun" w:hint="eastAsia"/>
        </w:rPr>
        <w:t>首先，警方必须就法律规定的权利向受害人提供指导，并通知受害人是否已经提起诉讼或是否已经终止调查。</w:t>
      </w:r>
    </w:p>
    <w:p w:rsidR="00E96A0B" w:rsidRDefault="00E96A0B" w:rsidP="004907F9">
      <w:pPr>
        <w:spacing w:after="140"/>
        <w:ind w:left="1264" w:right="1264" w:firstLineChars="200" w:firstLine="31680"/>
        <w:jc w:val="both"/>
        <w:rPr>
          <w:rFonts w:hAnsi="SimSun" w:hint="eastAsia"/>
        </w:rPr>
      </w:pPr>
      <w:r>
        <w:rPr>
          <w:rFonts w:hAnsi="SimSun" w:hint="eastAsia"/>
        </w:rPr>
        <w:t>第二，在性犯罪案件中，如果受害人愿意，他或她有权获得法律顾问的帮助。如果犯罪中牵涉到暴力或者牵涉到限制人身自由，如果受害人的身心受到严重损害或者干扰，且警方认为特别需要这样一名法律顾问，则警方有义务为受害人指定一名法律顾问。调查开始时，警方还必须为18岁以下的受害者指定一名法律顾问。法律顾问的作用是在调查中维护受害人的权益，为他或她提供帮助，包括提出私法索赔。在案件调查的各个阶段，录取受害人的陈述时，法律顾问有权在场。法律顾问还有权参加该案的所有庭审，并在法庭上进行一定程度的陈述，有权取证。顾问费用由国库支付。受害人还有权自费聘请一名律师，在案件中保护他或她的利益，并充当辩护人。根据情况，该辩护人享有与法律顾问同样的权利和义务。</w:t>
      </w:r>
    </w:p>
    <w:p w:rsidR="00E96A0B" w:rsidRDefault="00E96A0B" w:rsidP="004907F9">
      <w:pPr>
        <w:spacing w:after="140"/>
        <w:ind w:left="1264" w:right="1264" w:firstLineChars="200" w:firstLine="31680"/>
        <w:jc w:val="both"/>
        <w:rPr>
          <w:rFonts w:hAnsi="SimSun" w:hint="eastAsia"/>
        </w:rPr>
      </w:pPr>
      <w:r>
        <w:rPr>
          <w:rFonts w:hAnsi="SimSun" w:hint="eastAsia"/>
        </w:rPr>
        <w:t>第三，法官可斟酌决定或应受害人或原告的请求，下令不执行冰岛法律有关公开审理的一般原则，决定进行电视审理。在此情况下，如果法官认为被告方的出现会使有关人员感到窘迫或为难，或者影响有关人员的证词，则在向受害人或证人取证时，被告方无权进入法庭或其他审理场所。此外，在电视审理时发生的事情，未经法官的许可，不得泄露。如果陈述材料会使受害人感到非常痛苦和不适，则法官可以禁止对其他案件的公开报道。这特别适用于性犯罪和涉及家庭暴力的案件。最后，法庭笔录中所有涉及个人权益应予保密的部分都必须删除。</w:t>
      </w:r>
    </w:p>
    <w:p w:rsidR="00E96A0B" w:rsidRDefault="00E96A0B" w:rsidP="004907F9">
      <w:pPr>
        <w:spacing w:after="140"/>
        <w:ind w:left="1264" w:right="1264" w:firstLineChars="200" w:firstLine="31680"/>
        <w:jc w:val="both"/>
        <w:rPr>
          <w:rFonts w:hAnsi="SimSun" w:hint="eastAsia"/>
        </w:rPr>
      </w:pPr>
      <w:r>
        <w:rPr>
          <w:rFonts w:hAnsi="SimSun" w:hint="eastAsia"/>
        </w:rPr>
        <w:t>第四，根据第94/2000号法对《刑事诉讼法》的修订，法院可要求警方强制执行限制行动令，包括禁止某人前往特定地点或进入特定区域，或者以任何其他方式跟踪、访问或联系受到限制行动令保护的人。为强制执行此限制行动令，必须有理由相信有关人员会实施犯罪或者以其他方式妨碍另一方。此修正案的目的是保护受害人并防止再发生暴力和虐待。一般说来，只有警方才能请求法院下达限制行动令；这一般是根据需要保护的人提出的要求而进行的，但是警方也可以主动申请限制行动令。根据《刑法》的规定，违反限制行动令会被处以罚款或长达一年的监禁，在多次或暴力违反限制行动令的情况下，可处以最多长达两年的监禁。</w:t>
      </w:r>
    </w:p>
    <w:p w:rsidR="00E96A0B" w:rsidRDefault="00E96A0B" w:rsidP="004907F9">
      <w:pPr>
        <w:spacing w:after="140"/>
        <w:ind w:left="1264" w:right="1264" w:firstLineChars="200" w:firstLine="31680"/>
        <w:jc w:val="both"/>
        <w:rPr>
          <w:rFonts w:hAnsi="SimSun" w:hint="eastAsia"/>
        </w:rPr>
      </w:pPr>
      <w:r>
        <w:rPr>
          <w:rFonts w:hAnsi="SimSun" w:hint="eastAsia"/>
        </w:rPr>
        <w:t>第五，已经规定当指控涉及到家庭暴力或性犯罪，并且要求受害人提供有关犯罪的证词时，须为证人提供特别的保护。为向证人提供更好的保护，《刑法》中就惩罚因证人提供证词而引起的特定犯罪做出了规定。该条规定所适用的犯罪包括《刑法》第225条规定的人身攻击和胁迫以及《刑法》第233条规定的威胁，但适用的最高刑罚要高于通常适用于此类犯罪的刑罚。此规定不仅适用于对证人本人的犯罪，而且还适用于对证人的亲属或与证人有关的其他人员的犯罪。目的是要防止给证人造成压力或者因证人作证而遭受报复。</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家庭暴力</w:t>
      </w:r>
    </w:p>
    <w:p w:rsidR="00E96A0B" w:rsidRDefault="00E96A0B" w:rsidP="004907F9">
      <w:pPr>
        <w:spacing w:after="140"/>
        <w:ind w:left="1264" w:right="1264" w:firstLineChars="200" w:firstLine="31680"/>
        <w:jc w:val="both"/>
        <w:rPr>
          <w:rFonts w:hAnsi="SimSun" w:hint="eastAsia"/>
        </w:rPr>
      </w:pPr>
      <w:r>
        <w:rPr>
          <w:rFonts w:hAnsi="SimSun" w:hint="eastAsia"/>
        </w:rPr>
        <w:t>决定使用冰岛国立大学医院内的急救设备来救助性攻击的受害者并治疗家庭暴力的受害者。医护人员将为受害人提供特别服务，心理学家或社会工作者将向受害人提供建议和法律帮助，以使他们寻求对自己权利的补偿并与警察和法官保持联系。</w:t>
      </w:r>
    </w:p>
    <w:p w:rsidR="00E96A0B" w:rsidRDefault="00E96A0B" w:rsidP="004907F9">
      <w:pPr>
        <w:spacing w:after="140"/>
        <w:ind w:left="1264" w:right="1264" w:firstLineChars="200" w:firstLine="31680"/>
        <w:jc w:val="both"/>
        <w:rPr>
          <w:rFonts w:hAnsi="SimSun" w:hint="eastAsia"/>
        </w:rPr>
      </w:pPr>
      <w:r>
        <w:rPr>
          <w:rFonts w:hAnsi="SimSun" w:hint="eastAsia"/>
        </w:rPr>
        <w:t>妇女庇护所（Kvennaathvarf）管理机构的目标是向因家庭暴力无法在家中继续生活的妇女及其子女提供庇护设施，这些家庭暴力可以是人身攻击或精神虐待，施暴人可能是丈夫或同居伙伴或家庭中的其他成员。庇护所也向强奸罪的受害妇女提供帮助。该机构的另一个目标是，提供咨询和信息，并致力于公开宣传和讨论家庭暴力问题。表1是对1997－2002年期间庇护所接待情况的调查。</w:t>
      </w:r>
    </w:p>
    <w:p w:rsidR="00E96A0B" w:rsidRDefault="00E96A0B">
      <w:pPr>
        <w:spacing w:after="140"/>
        <w:ind w:left="1264" w:right="1264"/>
        <w:jc w:val="both"/>
        <w:rPr>
          <w:rFonts w:ascii="SimHei" w:eastAsia="SimHei"/>
        </w:rPr>
      </w:pPr>
    </w:p>
    <w:p w:rsidR="00E96A0B" w:rsidRDefault="00E96A0B">
      <w:pPr>
        <w:spacing w:after="140"/>
        <w:ind w:left="1264" w:right="1264"/>
        <w:jc w:val="both"/>
        <w:rPr>
          <w:rFonts w:ascii="SimHei" w:eastAsia="SimHei"/>
        </w:rPr>
      </w:pPr>
    </w:p>
    <w:p w:rsidR="00E96A0B" w:rsidRDefault="00E96A0B">
      <w:pPr>
        <w:spacing w:after="140"/>
        <w:ind w:left="1264" w:right="1264"/>
        <w:jc w:val="both"/>
        <w:rPr>
          <w:rFonts w:ascii="SimHei" w:eastAsia="SimHei" w:hint="eastAsia"/>
          <w:color w:val="FF0000"/>
        </w:rPr>
      </w:pPr>
      <w:r>
        <w:rPr>
          <w:rFonts w:hint="eastAsia"/>
        </w:rPr>
        <w:t>表1</w:t>
      </w:r>
      <w:r>
        <w:br/>
      </w:r>
      <w:r>
        <w:rPr>
          <w:rFonts w:ascii="SimHei" w:eastAsia="SimHei" w:hint="eastAsia"/>
          <w:color w:val="FF0000"/>
        </w:rPr>
        <w:t>1997-2002年期间妇女庇护所的接待情况</w:t>
      </w:r>
    </w:p>
    <w:tbl>
      <w:tblPr>
        <w:tblW w:w="0" w:type="auto"/>
        <w:jc w:val="center"/>
        <w:tblInd w:w="-690" w:type="dxa"/>
        <w:tblLayout w:type="fixed"/>
        <w:tblLook w:val="0000" w:firstRow="0" w:lastRow="0" w:firstColumn="0" w:lastColumn="0" w:noHBand="0" w:noVBand="0"/>
      </w:tblPr>
      <w:tblGrid>
        <w:gridCol w:w="2156"/>
        <w:gridCol w:w="846"/>
        <w:gridCol w:w="846"/>
        <w:gridCol w:w="846"/>
        <w:gridCol w:w="846"/>
        <w:gridCol w:w="846"/>
        <w:gridCol w:w="846"/>
      </w:tblGrid>
      <w:tr w:rsidR="00E96A0B">
        <w:tblPrEx>
          <w:tblCellMar>
            <w:top w:w="0" w:type="dxa"/>
            <w:bottom w:w="0" w:type="dxa"/>
          </w:tblCellMar>
        </w:tblPrEx>
        <w:trPr>
          <w:trHeight w:val="312"/>
          <w:jc w:val="center"/>
        </w:trPr>
        <w:tc>
          <w:tcPr>
            <w:tcW w:w="2156" w:type="dxa"/>
            <w:tcBorders>
              <w:top w:val="single" w:sz="4" w:space="0" w:color="auto"/>
              <w:bottom w:val="single" w:sz="12" w:space="0" w:color="auto"/>
            </w:tcBorders>
          </w:tcPr>
          <w:p w:rsidR="00E96A0B" w:rsidRDefault="00E96A0B">
            <w:pPr>
              <w:spacing w:after="140"/>
              <w:jc w:val="both"/>
              <w:rPr>
                <w:rFonts w:ascii="KaiTi_GB2312" w:eastAsia="KaiTi_GB2312" w:hAnsi="SimSun" w:hint="eastAsia"/>
                <w:color w:val="0000FF"/>
                <w:sz w:val="15"/>
              </w:rPr>
            </w:pPr>
            <w:r>
              <w:rPr>
                <w:rFonts w:ascii="KaiTi_GB2312" w:eastAsia="KaiTi_GB2312" w:hAnsi="SimSun" w:hint="eastAsia"/>
                <w:color w:val="0000FF"/>
                <w:sz w:val="15"/>
              </w:rPr>
              <w:t>年份</w:t>
            </w:r>
          </w:p>
        </w:tc>
        <w:tc>
          <w:tcPr>
            <w:tcW w:w="846"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2002</w:t>
            </w:r>
          </w:p>
        </w:tc>
        <w:tc>
          <w:tcPr>
            <w:tcW w:w="846"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2001</w:t>
            </w:r>
          </w:p>
        </w:tc>
        <w:tc>
          <w:tcPr>
            <w:tcW w:w="846"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2000</w:t>
            </w:r>
          </w:p>
        </w:tc>
        <w:tc>
          <w:tcPr>
            <w:tcW w:w="846"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1999</w:t>
            </w:r>
          </w:p>
        </w:tc>
        <w:tc>
          <w:tcPr>
            <w:tcW w:w="846"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1998</w:t>
            </w:r>
          </w:p>
        </w:tc>
        <w:tc>
          <w:tcPr>
            <w:tcW w:w="846"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1997</w:t>
            </w:r>
          </w:p>
        </w:tc>
      </w:tr>
      <w:tr w:rsidR="00E96A0B">
        <w:tblPrEx>
          <w:tblCellMar>
            <w:top w:w="0" w:type="dxa"/>
            <w:bottom w:w="0" w:type="dxa"/>
          </w:tblCellMar>
        </w:tblPrEx>
        <w:trPr>
          <w:trHeight w:val="312"/>
          <w:jc w:val="center"/>
        </w:trPr>
        <w:tc>
          <w:tcPr>
            <w:tcW w:w="2156" w:type="dxa"/>
            <w:tcBorders>
              <w:top w:val="single" w:sz="12" w:space="0" w:color="auto"/>
            </w:tcBorders>
          </w:tcPr>
          <w:p w:rsidR="00E96A0B" w:rsidRDefault="00E96A0B">
            <w:pPr>
              <w:spacing w:after="140"/>
              <w:jc w:val="both"/>
              <w:rPr>
                <w:rFonts w:hAnsi="SimSun" w:hint="eastAsia"/>
                <w:sz w:val="18"/>
              </w:rPr>
            </w:pPr>
            <w:r>
              <w:rPr>
                <w:rFonts w:hAnsi="SimSun" w:hint="eastAsia"/>
                <w:sz w:val="18"/>
              </w:rPr>
              <w:t>接待总人数</w:t>
            </w:r>
          </w:p>
        </w:tc>
        <w:tc>
          <w:tcPr>
            <w:tcW w:w="846" w:type="dxa"/>
            <w:tcBorders>
              <w:top w:val="single" w:sz="12" w:space="0" w:color="auto"/>
            </w:tcBorders>
          </w:tcPr>
          <w:p w:rsidR="00E96A0B" w:rsidRDefault="00E96A0B">
            <w:pPr>
              <w:spacing w:after="140"/>
              <w:jc w:val="right"/>
              <w:rPr>
                <w:rFonts w:hAnsi="SimSun" w:hint="eastAsia"/>
                <w:sz w:val="18"/>
              </w:rPr>
            </w:pPr>
            <w:r>
              <w:rPr>
                <w:rFonts w:hAnsi="SimSun" w:hint="eastAsia"/>
                <w:sz w:val="18"/>
              </w:rPr>
              <w:t>435</w:t>
            </w:r>
          </w:p>
        </w:tc>
        <w:tc>
          <w:tcPr>
            <w:tcW w:w="846" w:type="dxa"/>
            <w:tcBorders>
              <w:top w:val="single" w:sz="12" w:space="0" w:color="auto"/>
            </w:tcBorders>
          </w:tcPr>
          <w:p w:rsidR="00E96A0B" w:rsidRDefault="00E96A0B">
            <w:pPr>
              <w:spacing w:after="140"/>
              <w:jc w:val="right"/>
              <w:rPr>
                <w:rFonts w:hAnsi="SimSun" w:hint="eastAsia"/>
                <w:sz w:val="18"/>
              </w:rPr>
            </w:pPr>
            <w:r>
              <w:rPr>
                <w:rFonts w:hAnsi="SimSun" w:hint="eastAsia"/>
                <w:sz w:val="18"/>
              </w:rPr>
              <w:t>503</w:t>
            </w:r>
          </w:p>
        </w:tc>
        <w:tc>
          <w:tcPr>
            <w:tcW w:w="846" w:type="dxa"/>
            <w:tcBorders>
              <w:top w:val="single" w:sz="12" w:space="0" w:color="auto"/>
            </w:tcBorders>
          </w:tcPr>
          <w:p w:rsidR="00E96A0B" w:rsidRDefault="00E96A0B">
            <w:pPr>
              <w:spacing w:after="140"/>
              <w:jc w:val="right"/>
              <w:rPr>
                <w:rFonts w:hAnsi="SimSun" w:hint="eastAsia"/>
                <w:sz w:val="18"/>
              </w:rPr>
            </w:pPr>
            <w:r>
              <w:rPr>
                <w:rFonts w:hAnsi="SimSun" w:hint="eastAsia"/>
                <w:sz w:val="18"/>
              </w:rPr>
              <w:t>347</w:t>
            </w:r>
          </w:p>
        </w:tc>
        <w:tc>
          <w:tcPr>
            <w:tcW w:w="846" w:type="dxa"/>
            <w:tcBorders>
              <w:top w:val="single" w:sz="12" w:space="0" w:color="auto"/>
            </w:tcBorders>
          </w:tcPr>
          <w:p w:rsidR="00E96A0B" w:rsidRDefault="00E96A0B">
            <w:pPr>
              <w:spacing w:after="140"/>
              <w:jc w:val="right"/>
              <w:rPr>
                <w:rFonts w:hAnsi="SimSun" w:hint="eastAsia"/>
                <w:sz w:val="18"/>
              </w:rPr>
            </w:pPr>
            <w:r>
              <w:rPr>
                <w:rFonts w:hAnsi="SimSun" w:hint="eastAsia"/>
                <w:sz w:val="18"/>
              </w:rPr>
              <w:t>298</w:t>
            </w:r>
          </w:p>
        </w:tc>
        <w:tc>
          <w:tcPr>
            <w:tcW w:w="846" w:type="dxa"/>
            <w:tcBorders>
              <w:top w:val="single" w:sz="12" w:space="0" w:color="auto"/>
            </w:tcBorders>
          </w:tcPr>
          <w:p w:rsidR="00E96A0B" w:rsidRDefault="00E96A0B">
            <w:pPr>
              <w:spacing w:after="140"/>
              <w:jc w:val="right"/>
              <w:rPr>
                <w:rFonts w:hAnsi="SimSun" w:hint="eastAsia"/>
                <w:sz w:val="18"/>
              </w:rPr>
            </w:pPr>
            <w:r>
              <w:rPr>
                <w:rFonts w:hAnsi="SimSun" w:hint="eastAsia"/>
                <w:sz w:val="18"/>
              </w:rPr>
              <w:t>400</w:t>
            </w:r>
          </w:p>
        </w:tc>
        <w:tc>
          <w:tcPr>
            <w:tcW w:w="846" w:type="dxa"/>
            <w:tcBorders>
              <w:top w:val="single" w:sz="12" w:space="0" w:color="auto"/>
            </w:tcBorders>
          </w:tcPr>
          <w:p w:rsidR="00E96A0B" w:rsidRDefault="00E96A0B">
            <w:pPr>
              <w:spacing w:after="140"/>
              <w:jc w:val="right"/>
              <w:rPr>
                <w:rFonts w:hAnsi="SimSun" w:hint="eastAsia"/>
                <w:sz w:val="18"/>
              </w:rPr>
            </w:pPr>
            <w:r>
              <w:rPr>
                <w:rFonts w:hAnsi="SimSun" w:hint="eastAsia"/>
                <w:sz w:val="18"/>
              </w:rPr>
              <w:t>395</w:t>
            </w:r>
          </w:p>
        </w:tc>
      </w:tr>
      <w:tr w:rsidR="00E96A0B">
        <w:tblPrEx>
          <w:tblCellMar>
            <w:top w:w="0" w:type="dxa"/>
            <w:bottom w:w="0" w:type="dxa"/>
          </w:tblCellMar>
        </w:tblPrEx>
        <w:trPr>
          <w:trHeight w:val="312"/>
          <w:jc w:val="center"/>
        </w:trPr>
        <w:tc>
          <w:tcPr>
            <w:tcW w:w="2156" w:type="dxa"/>
          </w:tcPr>
          <w:p w:rsidR="00E96A0B" w:rsidRDefault="00E96A0B">
            <w:pPr>
              <w:spacing w:after="140"/>
              <w:jc w:val="both"/>
              <w:rPr>
                <w:rFonts w:hAnsi="SimSun" w:hint="eastAsia"/>
                <w:sz w:val="18"/>
              </w:rPr>
            </w:pPr>
            <w:r>
              <w:rPr>
                <w:rFonts w:hAnsi="SimSun" w:hint="eastAsia"/>
                <w:sz w:val="18"/>
              </w:rPr>
              <w:t>求访</w:t>
            </w:r>
          </w:p>
        </w:tc>
        <w:tc>
          <w:tcPr>
            <w:tcW w:w="846" w:type="dxa"/>
          </w:tcPr>
          <w:p w:rsidR="00E96A0B" w:rsidRDefault="00E96A0B">
            <w:pPr>
              <w:spacing w:after="140"/>
              <w:jc w:val="right"/>
              <w:rPr>
                <w:rFonts w:hAnsi="SimSun" w:hint="eastAsia"/>
                <w:sz w:val="18"/>
              </w:rPr>
            </w:pPr>
            <w:r>
              <w:rPr>
                <w:rFonts w:hAnsi="SimSun" w:hint="eastAsia"/>
                <w:sz w:val="18"/>
              </w:rPr>
              <w:t>380</w:t>
            </w:r>
          </w:p>
        </w:tc>
        <w:tc>
          <w:tcPr>
            <w:tcW w:w="846" w:type="dxa"/>
          </w:tcPr>
          <w:p w:rsidR="00E96A0B" w:rsidRDefault="00E96A0B">
            <w:pPr>
              <w:spacing w:after="140"/>
              <w:jc w:val="right"/>
              <w:rPr>
                <w:rFonts w:hAnsi="SimSun" w:hint="eastAsia"/>
                <w:sz w:val="18"/>
              </w:rPr>
            </w:pPr>
            <w:r>
              <w:rPr>
                <w:rFonts w:hAnsi="SimSun" w:hint="eastAsia"/>
                <w:sz w:val="18"/>
              </w:rPr>
              <w:t>406</w:t>
            </w:r>
          </w:p>
        </w:tc>
        <w:tc>
          <w:tcPr>
            <w:tcW w:w="846" w:type="dxa"/>
          </w:tcPr>
          <w:p w:rsidR="00E96A0B" w:rsidRDefault="00E96A0B">
            <w:pPr>
              <w:spacing w:after="140"/>
              <w:jc w:val="right"/>
              <w:rPr>
                <w:rFonts w:hAnsi="SimSun" w:hint="eastAsia"/>
                <w:sz w:val="18"/>
              </w:rPr>
            </w:pPr>
            <w:r>
              <w:rPr>
                <w:rFonts w:hAnsi="SimSun" w:hint="eastAsia"/>
                <w:sz w:val="18"/>
              </w:rPr>
              <w:t>252</w:t>
            </w:r>
          </w:p>
        </w:tc>
        <w:tc>
          <w:tcPr>
            <w:tcW w:w="846" w:type="dxa"/>
          </w:tcPr>
          <w:p w:rsidR="00E96A0B" w:rsidRDefault="00E96A0B">
            <w:pPr>
              <w:spacing w:after="140"/>
              <w:jc w:val="right"/>
              <w:rPr>
                <w:rFonts w:hAnsi="SimSun" w:hint="eastAsia"/>
                <w:sz w:val="18"/>
              </w:rPr>
            </w:pPr>
            <w:r>
              <w:rPr>
                <w:rFonts w:hAnsi="SimSun" w:hint="eastAsia"/>
                <w:sz w:val="18"/>
              </w:rPr>
              <w:t>181</w:t>
            </w:r>
          </w:p>
        </w:tc>
        <w:tc>
          <w:tcPr>
            <w:tcW w:w="846" w:type="dxa"/>
          </w:tcPr>
          <w:p w:rsidR="00E96A0B" w:rsidRDefault="00E96A0B">
            <w:pPr>
              <w:spacing w:after="140"/>
              <w:jc w:val="right"/>
              <w:rPr>
                <w:rFonts w:hAnsi="SimSun" w:hint="eastAsia"/>
                <w:sz w:val="18"/>
              </w:rPr>
            </w:pPr>
            <w:r>
              <w:rPr>
                <w:rFonts w:hAnsi="SimSun" w:hint="eastAsia"/>
                <w:sz w:val="18"/>
              </w:rPr>
              <w:t>286</w:t>
            </w:r>
          </w:p>
        </w:tc>
        <w:tc>
          <w:tcPr>
            <w:tcW w:w="846" w:type="dxa"/>
          </w:tcPr>
          <w:p w:rsidR="00E96A0B" w:rsidRDefault="00E96A0B">
            <w:pPr>
              <w:spacing w:after="140"/>
              <w:jc w:val="right"/>
              <w:rPr>
                <w:rFonts w:hAnsi="SimSun" w:hint="eastAsia"/>
                <w:sz w:val="18"/>
              </w:rPr>
            </w:pPr>
            <w:r>
              <w:rPr>
                <w:rFonts w:hAnsi="SimSun" w:hint="eastAsia"/>
                <w:sz w:val="18"/>
              </w:rPr>
              <w:t>277</w:t>
            </w:r>
          </w:p>
        </w:tc>
      </w:tr>
      <w:tr w:rsidR="00E96A0B">
        <w:tblPrEx>
          <w:tblCellMar>
            <w:top w:w="0" w:type="dxa"/>
            <w:bottom w:w="0" w:type="dxa"/>
          </w:tblCellMar>
        </w:tblPrEx>
        <w:trPr>
          <w:trHeight w:val="312"/>
          <w:jc w:val="center"/>
        </w:trPr>
        <w:tc>
          <w:tcPr>
            <w:tcW w:w="2156" w:type="dxa"/>
          </w:tcPr>
          <w:p w:rsidR="00E96A0B" w:rsidRDefault="00E96A0B">
            <w:pPr>
              <w:spacing w:after="140"/>
              <w:jc w:val="both"/>
              <w:rPr>
                <w:rFonts w:hAnsi="SimSun" w:hint="eastAsia"/>
                <w:sz w:val="18"/>
              </w:rPr>
            </w:pPr>
            <w:r>
              <w:rPr>
                <w:rFonts w:hAnsi="SimSun" w:hint="eastAsia"/>
                <w:sz w:val="18"/>
              </w:rPr>
              <w:t>居留期</w:t>
            </w:r>
          </w:p>
        </w:tc>
        <w:tc>
          <w:tcPr>
            <w:tcW w:w="846" w:type="dxa"/>
          </w:tcPr>
          <w:p w:rsidR="00E96A0B" w:rsidRDefault="00E96A0B">
            <w:pPr>
              <w:spacing w:after="140"/>
              <w:jc w:val="right"/>
              <w:rPr>
                <w:rFonts w:hAnsi="SimSun" w:hint="eastAsia"/>
                <w:sz w:val="18"/>
              </w:rPr>
            </w:pPr>
            <w:r>
              <w:rPr>
                <w:rFonts w:hAnsi="SimSun" w:hint="eastAsia"/>
                <w:sz w:val="18"/>
              </w:rPr>
              <w:t>55</w:t>
            </w:r>
          </w:p>
        </w:tc>
        <w:tc>
          <w:tcPr>
            <w:tcW w:w="846" w:type="dxa"/>
          </w:tcPr>
          <w:p w:rsidR="00E96A0B" w:rsidRDefault="00E96A0B">
            <w:pPr>
              <w:spacing w:after="140"/>
              <w:jc w:val="right"/>
              <w:rPr>
                <w:rFonts w:hAnsi="SimSun" w:hint="eastAsia"/>
                <w:sz w:val="18"/>
              </w:rPr>
            </w:pPr>
            <w:r>
              <w:rPr>
                <w:rFonts w:hAnsi="SimSun" w:hint="eastAsia"/>
                <w:sz w:val="18"/>
              </w:rPr>
              <w:t>97</w:t>
            </w:r>
          </w:p>
        </w:tc>
        <w:tc>
          <w:tcPr>
            <w:tcW w:w="846" w:type="dxa"/>
          </w:tcPr>
          <w:p w:rsidR="00E96A0B" w:rsidRDefault="00E96A0B">
            <w:pPr>
              <w:spacing w:after="140"/>
              <w:jc w:val="right"/>
              <w:rPr>
                <w:rFonts w:hAnsi="SimSun" w:hint="eastAsia"/>
                <w:sz w:val="18"/>
              </w:rPr>
            </w:pPr>
            <w:r>
              <w:rPr>
                <w:rFonts w:hAnsi="SimSun" w:hint="eastAsia"/>
                <w:sz w:val="18"/>
              </w:rPr>
              <w:t>95</w:t>
            </w:r>
          </w:p>
        </w:tc>
        <w:tc>
          <w:tcPr>
            <w:tcW w:w="846" w:type="dxa"/>
          </w:tcPr>
          <w:p w:rsidR="00E96A0B" w:rsidRDefault="00E96A0B">
            <w:pPr>
              <w:spacing w:after="140"/>
              <w:jc w:val="right"/>
              <w:rPr>
                <w:rFonts w:hAnsi="SimSun" w:hint="eastAsia"/>
                <w:sz w:val="18"/>
              </w:rPr>
            </w:pPr>
            <w:r>
              <w:rPr>
                <w:rFonts w:hAnsi="SimSun" w:hint="eastAsia"/>
                <w:sz w:val="18"/>
              </w:rPr>
              <w:t>117</w:t>
            </w:r>
          </w:p>
        </w:tc>
        <w:tc>
          <w:tcPr>
            <w:tcW w:w="846" w:type="dxa"/>
          </w:tcPr>
          <w:p w:rsidR="00E96A0B" w:rsidRDefault="00E96A0B">
            <w:pPr>
              <w:spacing w:after="140"/>
              <w:jc w:val="right"/>
              <w:rPr>
                <w:rFonts w:hAnsi="SimSun" w:hint="eastAsia"/>
                <w:sz w:val="18"/>
              </w:rPr>
            </w:pPr>
            <w:r>
              <w:rPr>
                <w:rFonts w:hAnsi="SimSun" w:hint="eastAsia"/>
                <w:sz w:val="18"/>
              </w:rPr>
              <w:t>114</w:t>
            </w:r>
          </w:p>
        </w:tc>
        <w:tc>
          <w:tcPr>
            <w:tcW w:w="846" w:type="dxa"/>
          </w:tcPr>
          <w:p w:rsidR="00E96A0B" w:rsidRDefault="00E96A0B">
            <w:pPr>
              <w:spacing w:after="140"/>
              <w:jc w:val="right"/>
              <w:rPr>
                <w:rFonts w:hAnsi="SimSun" w:hint="eastAsia"/>
                <w:sz w:val="18"/>
              </w:rPr>
            </w:pPr>
            <w:r>
              <w:rPr>
                <w:rFonts w:hAnsi="SimSun" w:hint="eastAsia"/>
                <w:sz w:val="18"/>
              </w:rPr>
              <w:t>118</w:t>
            </w:r>
          </w:p>
        </w:tc>
      </w:tr>
      <w:tr w:rsidR="00E96A0B">
        <w:tblPrEx>
          <w:tblCellMar>
            <w:top w:w="0" w:type="dxa"/>
            <w:bottom w:w="0" w:type="dxa"/>
          </w:tblCellMar>
        </w:tblPrEx>
        <w:trPr>
          <w:trHeight w:val="312"/>
          <w:jc w:val="center"/>
        </w:trPr>
        <w:tc>
          <w:tcPr>
            <w:tcW w:w="2156" w:type="dxa"/>
          </w:tcPr>
          <w:p w:rsidR="00E96A0B" w:rsidRDefault="00E96A0B">
            <w:pPr>
              <w:spacing w:after="140"/>
              <w:jc w:val="both"/>
              <w:rPr>
                <w:rFonts w:hAnsi="SimSun" w:hint="eastAsia"/>
                <w:sz w:val="18"/>
              </w:rPr>
            </w:pPr>
            <w:r>
              <w:rPr>
                <w:rFonts w:hAnsi="SimSun" w:hint="eastAsia"/>
                <w:sz w:val="18"/>
              </w:rPr>
              <w:t>儿童人数</w:t>
            </w:r>
          </w:p>
        </w:tc>
        <w:tc>
          <w:tcPr>
            <w:tcW w:w="846" w:type="dxa"/>
          </w:tcPr>
          <w:p w:rsidR="00E96A0B" w:rsidRDefault="00E96A0B">
            <w:pPr>
              <w:spacing w:after="140"/>
              <w:jc w:val="right"/>
              <w:rPr>
                <w:rFonts w:hAnsi="SimSun" w:hint="eastAsia"/>
                <w:sz w:val="18"/>
              </w:rPr>
            </w:pPr>
            <w:r>
              <w:rPr>
                <w:rFonts w:hAnsi="SimSun" w:hint="eastAsia"/>
                <w:sz w:val="18"/>
              </w:rPr>
              <w:t>41</w:t>
            </w:r>
          </w:p>
        </w:tc>
        <w:tc>
          <w:tcPr>
            <w:tcW w:w="846" w:type="dxa"/>
          </w:tcPr>
          <w:p w:rsidR="00E96A0B" w:rsidRDefault="00E96A0B">
            <w:pPr>
              <w:spacing w:after="140"/>
              <w:jc w:val="right"/>
              <w:rPr>
                <w:rFonts w:hAnsi="SimSun" w:hint="eastAsia"/>
                <w:sz w:val="18"/>
              </w:rPr>
            </w:pPr>
            <w:r>
              <w:rPr>
                <w:rFonts w:hAnsi="SimSun" w:hint="eastAsia"/>
                <w:sz w:val="18"/>
              </w:rPr>
              <w:t>74</w:t>
            </w:r>
          </w:p>
        </w:tc>
        <w:tc>
          <w:tcPr>
            <w:tcW w:w="846" w:type="dxa"/>
          </w:tcPr>
          <w:p w:rsidR="00E96A0B" w:rsidRDefault="00E96A0B">
            <w:pPr>
              <w:spacing w:after="140"/>
              <w:jc w:val="right"/>
              <w:rPr>
                <w:rFonts w:hAnsi="SimSun" w:hint="eastAsia"/>
                <w:sz w:val="18"/>
              </w:rPr>
            </w:pPr>
            <w:r>
              <w:rPr>
                <w:rFonts w:hAnsi="SimSun" w:hint="eastAsia"/>
                <w:sz w:val="18"/>
              </w:rPr>
              <w:t>61</w:t>
            </w:r>
          </w:p>
        </w:tc>
        <w:tc>
          <w:tcPr>
            <w:tcW w:w="846" w:type="dxa"/>
          </w:tcPr>
          <w:p w:rsidR="00E96A0B" w:rsidRDefault="00E96A0B">
            <w:pPr>
              <w:spacing w:after="140"/>
              <w:jc w:val="right"/>
              <w:rPr>
                <w:rFonts w:hAnsi="SimSun" w:hint="eastAsia"/>
                <w:sz w:val="18"/>
              </w:rPr>
            </w:pPr>
            <w:r>
              <w:rPr>
                <w:rFonts w:hAnsi="SimSun" w:hint="eastAsia"/>
                <w:sz w:val="18"/>
              </w:rPr>
              <w:t>80</w:t>
            </w:r>
          </w:p>
        </w:tc>
        <w:tc>
          <w:tcPr>
            <w:tcW w:w="846" w:type="dxa"/>
          </w:tcPr>
          <w:p w:rsidR="00E96A0B" w:rsidRDefault="00E96A0B">
            <w:pPr>
              <w:spacing w:after="140"/>
              <w:jc w:val="right"/>
              <w:rPr>
                <w:rFonts w:hAnsi="SimSun" w:hint="eastAsia"/>
                <w:sz w:val="18"/>
              </w:rPr>
            </w:pPr>
            <w:r>
              <w:rPr>
                <w:rFonts w:hAnsi="SimSun" w:hint="eastAsia"/>
                <w:sz w:val="18"/>
              </w:rPr>
              <w:t>98</w:t>
            </w:r>
          </w:p>
        </w:tc>
        <w:tc>
          <w:tcPr>
            <w:tcW w:w="846" w:type="dxa"/>
          </w:tcPr>
          <w:p w:rsidR="00E96A0B" w:rsidRDefault="00E96A0B">
            <w:pPr>
              <w:spacing w:after="140"/>
              <w:jc w:val="right"/>
              <w:rPr>
                <w:rFonts w:hAnsi="SimSun" w:hint="eastAsia"/>
                <w:sz w:val="18"/>
              </w:rPr>
            </w:pPr>
            <w:r>
              <w:rPr>
                <w:rFonts w:hAnsi="SimSun" w:hint="eastAsia"/>
                <w:sz w:val="18"/>
              </w:rPr>
              <w:t>113</w:t>
            </w:r>
          </w:p>
        </w:tc>
      </w:tr>
      <w:tr w:rsidR="00E96A0B">
        <w:tblPrEx>
          <w:tblCellMar>
            <w:top w:w="0" w:type="dxa"/>
            <w:bottom w:w="0" w:type="dxa"/>
          </w:tblCellMar>
        </w:tblPrEx>
        <w:trPr>
          <w:trHeight w:val="312"/>
          <w:jc w:val="center"/>
        </w:trPr>
        <w:tc>
          <w:tcPr>
            <w:tcW w:w="2156" w:type="dxa"/>
            <w:tcBorders>
              <w:bottom w:val="single" w:sz="12" w:space="0" w:color="auto"/>
            </w:tcBorders>
          </w:tcPr>
          <w:p w:rsidR="00E96A0B" w:rsidRDefault="00E96A0B">
            <w:pPr>
              <w:spacing w:after="140"/>
              <w:jc w:val="both"/>
              <w:rPr>
                <w:rFonts w:hAnsi="SimSun" w:hint="eastAsia"/>
                <w:sz w:val="18"/>
              </w:rPr>
            </w:pPr>
            <w:r>
              <w:rPr>
                <w:rFonts w:hAnsi="SimSun" w:hint="eastAsia"/>
                <w:sz w:val="18"/>
              </w:rPr>
              <w:t>拨打紧急电话的人数</w:t>
            </w:r>
          </w:p>
        </w:tc>
        <w:tc>
          <w:tcPr>
            <w:tcW w:w="846"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1 614</w:t>
            </w:r>
          </w:p>
        </w:tc>
        <w:tc>
          <w:tcPr>
            <w:tcW w:w="846"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1 880</w:t>
            </w:r>
          </w:p>
        </w:tc>
        <w:tc>
          <w:tcPr>
            <w:tcW w:w="846"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1 635</w:t>
            </w:r>
          </w:p>
        </w:tc>
        <w:tc>
          <w:tcPr>
            <w:tcW w:w="846"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1 794</w:t>
            </w:r>
          </w:p>
        </w:tc>
        <w:tc>
          <w:tcPr>
            <w:tcW w:w="846"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2 500</w:t>
            </w:r>
          </w:p>
        </w:tc>
        <w:tc>
          <w:tcPr>
            <w:tcW w:w="846"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2 274</w:t>
            </w:r>
          </w:p>
        </w:tc>
      </w:tr>
    </w:tbl>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hAnsi="SimSun" w:hint="eastAsia"/>
        </w:rPr>
      </w:pPr>
      <w:r>
        <w:rPr>
          <w:rFonts w:hAnsi="SimSun" w:hint="eastAsia"/>
        </w:rPr>
        <w:t>2001年到2002年，妇女庇护所接待的人数下降了14％。2002年新接待的人员占总人数的44％，比2001年高出11％。必须注意，庇护所接待的总人数并不是被准许在此居留的妇女人数：“接待”一词在此是指登记数量，无论其目的是求访还是居留。因此，同一妇女的求访次数可能不止一次，每次都会被单独记录。2002年所记录的435次接待涉及到约250名妇女。</w:t>
      </w:r>
    </w:p>
    <w:p w:rsidR="00E96A0B" w:rsidRDefault="00E96A0B" w:rsidP="004907F9">
      <w:pPr>
        <w:spacing w:after="140"/>
        <w:ind w:left="1264" w:right="1264" w:firstLineChars="200" w:firstLine="31680"/>
        <w:jc w:val="both"/>
        <w:rPr>
          <w:rFonts w:hAnsi="SimSun" w:hint="eastAsia"/>
          <w:spacing w:val="-2"/>
        </w:rPr>
      </w:pPr>
      <w:r>
        <w:rPr>
          <w:rFonts w:hAnsi="SimSun" w:hint="eastAsia"/>
          <w:spacing w:val="-2"/>
        </w:rPr>
        <w:t>呆在庇护所的妇女得到不同类型的支助，使她们能够自助；个人咨询求访占了这种支助的主要部分。这些都不是治疗活动，而是支助活动。为她们提供的各种行动方针要对她们进行考核，每一位妇女离开庇护所时，都被邀请来参加一次面谈活动。呆在庇护所的平均长度越来越短：1993年为18天，1999年为11天，2002年只有8天。庇护所的工作人员报告说，越来越多的妇女选择寻找解决家庭暴力问题的策略，而不是呆在庇护所，这是可以理解的，因为搬到庇护所和住在陌生的房子里对妇女和她们的孩子来说是一次巨大的变动。但是，在很多情况下，庇护所起着安全避难所的作用，在这里，她们可以积聚力量，决定她们要选择的道路。</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警察培训</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处理家庭暴力和性暴力案件是警官在警察培训学院一般训练项目中的一部分。可以这样设想，只有一小部分家庭暴力犯罪会向警方报案，而且通常在受害者受到伤害时才会报案。当警察进入住宅时，对案件事实进行正确的调查并能意识到犯罪已经发生以及情况是否危险，这些都极为重要。根据请求，警方帮助家庭暴力受害者寻求医疗救助。警方还帮助那些要离家前往其他地方，如去朋友、亲戚那儿或去妇女庇护所的受害者。</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性犯罪</w:t>
      </w:r>
    </w:p>
    <w:p w:rsidR="00E96A0B" w:rsidRDefault="00E96A0B" w:rsidP="004907F9">
      <w:pPr>
        <w:spacing w:after="140"/>
        <w:ind w:left="1264" w:right="1264" w:firstLineChars="200" w:firstLine="31680"/>
        <w:jc w:val="both"/>
        <w:rPr>
          <w:rFonts w:hAnsi="SimSun" w:hint="eastAsia"/>
        </w:rPr>
      </w:pPr>
      <w:r>
        <w:rPr>
          <w:rFonts w:hAnsi="SimSun" w:hint="eastAsia"/>
        </w:rPr>
        <w:t>1997</w:t>
      </w:r>
      <w:r>
        <w:rPr>
          <w:rFonts w:hAnsi="SimSun"/>
        </w:rPr>
        <w:t>-</w:t>
      </w:r>
      <w:r>
        <w:rPr>
          <w:rFonts w:hAnsi="SimSun" w:hint="eastAsia"/>
        </w:rPr>
        <w:t>2002年期间，大约1300名妇女求助于性虐待犯罪中心St</w:t>
      </w:r>
      <w:r>
        <w:rPr>
          <w:rFonts w:hAnsi="SimSun"/>
        </w:rPr>
        <w:t>í</w:t>
      </w:r>
      <w:r>
        <w:rPr>
          <w:rFonts w:hAnsi="SimSun" w:hint="eastAsia"/>
        </w:rPr>
        <w:t>ganm</w:t>
      </w:r>
      <w:r>
        <w:rPr>
          <w:rFonts w:hAnsi="SimSun"/>
        </w:rPr>
        <w:t>ó</w:t>
      </w:r>
      <w:r>
        <w:rPr>
          <w:rFonts w:hAnsi="SimSun" w:hint="eastAsia"/>
        </w:rPr>
        <w:t>t；2002年的人数为440人，其中255人首次向该中心求访，与上一年度相比增加了约30人，或13.3％；自1999年以来，数字一直在上升，而在1999年以前的五年中，数字一直在下降。这种变化的确切原因不明。一种解释认为，该中心建立早期之所以有大量人员与之联系，可能是由对性虐待受害者的支助需求累积造成的，因为在该中心成立前几乎没有什么途径可供受害人选择。近年来，有关性虐待问题的公开讨论已经越来越多，也许这可以对第一次前来中心的人数有所增加作出解释：受害人现在可能发现更容易谈论他们的经历并寻求帮助。表2列出了各年度求助于St</w:t>
      </w:r>
      <w:r>
        <w:rPr>
          <w:rFonts w:hAnsi="SimSun"/>
        </w:rPr>
        <w:t>í</w:t>
      </w:r>
      <w:r>
        <w:rPr>
          <w:rFonts w:hAnsi="SimSun" w:hint="eastAsia"/>
        </w:rPr>
        <w:t>ganm</w:t>
      </w:r>
      <w:r>
        <w:rPr>
          <w:rFonts w:hAnsi="SimSun"/>
        </w:rPr>
        <w:t>ó</w:t>
      </w:r>
      <w:r>
        <w:rPr>
          <w:rFonts w:hAnsi="SimSun" w:hint="eastAsia"/>
        </w:rPr>
        <w:t>t的人数：</w:t>
      </w:r>
    </w:p>
    <w:p w:rsidR="00E96A0B" w:rsidRDefault="00E96A0B">
      <w:pPr>
        <w:pStyle w:val="SingleTxt"/>
        <w:rPr>
          <w:rFonts w:hint="eastAsia"/>
        </w:rPr>
      </w:pPr>
      <w:r>
        <w:rPr>
          <w:rFonts w:hint="eastAsia"/>
        </w:rPr>
        <w:t>表2</w:t>
      </w:r>
      <w:r>
        <w:br/>
      </w:r>
      <w:r>
        <w:rPr>
          <w:rFonts w:ascii="SimHei" w:eastAsia="SimHei" w:hint="eastAsia"/>
          <w:color w:val="FF0000"/>
        </w:rPr>
        <w:t>1997－2002年求助于St</w:t>
      </w:r>
      <w:r>
        <w:rPr>
          <w:rFonts w:ascii="SimHei" w:eastAsia="SimHei"/>
          <w:color w:val="FF0000"/>
        </w:rPr>
        <w:t>í</w:t>
      </w:r>
      <w:r>
        <w:rPr>
          <w:rFonts w:ascii="SimHei" w:eastAsia="SimHei" w:hint="eastAsia"/>
          <w:color w:val="FF0000"/>
        </w:rPr>
        <w:t>ganm</w:t>
      </w:r>
      <w:r>
        <w:rPr>
          <w:rFonts w:ascii="SimHei" w:eastAsia="SimHei"/>
          <w:color w:val="FF0000"/>
        </w:rPr>
        <w:t>ó</w:t>
      </w:r>
      <w:r>
        <w:rPr>
          <w:rFonts w:ascii="SimHei" w:eastAsia="SimHei" w:hint="eastAsia"/>
          <w:color w:val="FF0000"/>
        </w:rPr>
        <w:t>t中心的人数</w:t>
      </w:r>
    </w:p>
    <w:tbl>
      <w:tblPr>
        <w:tblW w:w="0" w:type="auto"/>
        <w:tblInd w:w="1368" w:type="dxa"/>
        <w:tblLook w:val="0000" w:firstRow="0" w:lastRow="0" w:firstColumn="0" w:lastColumn="0" w:noHBand="0" w:noVBand="0"/>
      </w:tblPr>
      <w:tblGrid>
        <w:gridCol w:w="1155"/>
        <w:gridCol w:w="1032"/>
        <w:gridCol w:w="1033"/>
        <w:gridCol w:w="1032"/>
        <w:gridCol w:w="1033"/>
        <w:gridCol w:w="1032"/>
        <w:gridCol w:w="1033"/>
      </w:tblGrid>
      <w:tr w:rsidR="00E96A0B">
        <w:tblPrEx>
          <w:tblCellMar>
            <w:top w:w="0" w:type="dxa"/>
            <w:bottom w:w="0" w:type="dxa"/>
          </w:tblCellMar>
        </w:tblPrEx>
        <w:trPr>
          <w:trHeight w:val="348"/>
        </w:trPr>
        <w:tc>
          <w:tcPr>
            <w:tcW w:w="1155" w:type="dxa"/>
            <w:tcBorders>
              <w:top w:val="single" w:sz="4" w:space="0" w:color="auto"/>
              <w:bottom w:val="single" w:sz="12" w:space="0" w:color="auto"/>
            </w:tcBorders>
          </w:tcPr>
          <w:p w:rsidR="00E96A0B" w:rsidRDefault="00E96A0B">
            <w:pPr>
              <w:spacing w:after="140"/>
              <w:jc w:val="both"/>
              <w:rPr>
                <w:rFonts w:ascii="KaiTi_GB2312" w:eastAsia="KaiTi_GB2312" w:hAnsi="SimSun" w:hint="eastAsia"/>
                <w:color w:val="0000FF"/>
                <w:sz w:val="15"/>
              </w:rPr>
            </w:pPr>
            <w:r>
              <w:rPr>
                <w:rFonts w:ascii="KaiTi_GB2312" w:eastAsia="KaiTi_GB2312" w:hAnsi="SimSun" w:hint="eastAsia"/>
                <w:color w:val="0000FF"/>
                <w:sz w:val="15"/>
              </w:rPr>
              <w:t>年份</w:t>
            </w:r>
          </w:p>
        </w:tc>
        <w:tc>
          <w:tcPr>
            <w:tcW w:w="1032"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1997</w:t>
            </w:r>
          </w:p>
        </w:tc>
        <w:tc>
          <w:tcPr>
            <w:tcW w:w="1033"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1998</w:t>
            </w:r>
          </w:p>
        </w:tc>
        <w:tc>
          <w:tcPr>
            <w:tcW w:w="1032"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1999</w:t>
            </w:r>
          </w:p>
        </w:tc>
        <w:tc>
          <w:tcPr>
            <w:tcW w:w="1033"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2000</w:t>
            </w:r>
          </w:p>
        </w:tc>
        <w:tc>
          <w:tcPr>
            <w:tcW w:w="1032"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2001</w:t>
            </w:r>
          </w:p>
        </w:tc>
        <w:tc>
          <w:tcPr>
            <w:tcW w:w="1033"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2002</w:t>
            </w:r>
          </w:p>
        </w:tc>
      </w:tr>
      <w:tr w:rsidR="00E96A0B">
        <w:tblPrEx>
          <w:tblCellMar>
            <w:top w:w="0" w:type="dxa"/>
            <w:bottom w:w="0" w:type="dxa"/>
          </w:tblCellMar>
        </w:tblPrEx>
        <w:trPr>
          <w:trHeight w:val="348"/>
        </w:trPr>
        <w:tc>
          <w:tcPr>
            <w:tcW w:w="1155" w:type="dxa"/>
            <w:tcBorders>
              <w:top w:val="single" w:sz="12" w:space="0" w:color="auto"/>
              <w:bottom w:val="single" w:sz="12" w:space="0" w:color="auto"/>
            </w:tcBorders>
          </w:tcPr>
          <w:p w:rsidR="00E96A0B" w:rsidRDefault="00E96A0B">
            <w:pPr>
              <w:spacing w:after="140"/>
              <w:jc w:val="both"/>
              <w:rPr>
                <w:rFonts w:hAnsi="SimSun" w:hint="eastAsia"/>
                <w:sz w:val="18"/>
              </w:rPr>
            </w:pPr>
            <w:r>
              <w:rPr>
                <w:rFonts w:hAnsi="SimSun" w:hint="eastAsia"/>
                <w:sz w:val="18"/>
              </w:rPr>
              <w:t>人数</w:t>
            </w:r>
          </w:p>
        </w:tc>
        <w:tc>
          <w:tcPr>
            <w:tcW w:w="1032" w:type="dxa"/>
            <w:tcBorders>
              <w:top w:val="single" w:sz="12"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215</w:t>
            </w:r>
          </w:p>
        </w:tc>
        <w:tc>
          <w:tcPr>
            <w:tcW w:w="1033" w:type="dxa"/>
            <w:tcBorders>
              <w:top w:val="single" w:sz="12"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178</w:t>
            </w:r>
          </w:p>
        </w:tc>
        <w:tc>
          <w:tcPr>
            <w:tcW w:w="1032" w:type="dxa"/>
            <w:tcBorders>
              <w:top w:val="single" w:sz="12"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213</w:t>
            </w:r>
          </w:p>
        </w:tc>
        <w:tc>
          <w:tcPr>
            <w:tcW w:w="1033" w:type="dxa"/>
            <w:tcBorders>
              <w:top w:val="single" w:sz="12"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214</w:t>
            </w:r>
          </w:p>
        </w:tc>
        <w:tc>
          <w:tcPr>
            <w:tcW w:w="1032" w:type="dxa"/>
            <w:tcBorders>
              <w:top w:val="single" w:sz="12"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225</w:t>
            </w:r>
          </w:p>
        </w:tc>
        <w:tc>
          <w:tcPr>
            <w:tcW w:w="1033" w:type="dxa"/>
            <w:tcBorders>
              <w:top w:val="single" w:sz="12"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255</w:t>
            </w:r>
          </w:p>
        </w:tc>
      </w:tr>
    </w:tbl>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hAnsi="SimSun" w:hint="eastAsia"/>
        </w:rPr>
      </w:pPr>
      <w:r>
        <w:rPr>
          <w:rFonts w:hAnsi="SimSun" w:hint="eastAsia"/>
        </w:rPr>
        <w:t>个人求助于St</w:t>
      </w:r>
      <w:r>
        <w:rPr>
          <w:rFonts w:hAnsi="SimSun"/>
        </w:rPr>
        <w:t>í</w:t>
      </w:r>
      <w:r>
        <w:rPr>
          <w:rFonts w:hAnsi="SimSun" w:hint="eastAsia"/>
        </w:rPr>
        <w:t>ganm</w:t>
      </w:r>
      <w:r>
        <w:rPr>
          <w:rFonts w:hAnsi="SimSun"/>
        </w:rPr>
        <w:t>ó</w:t>
      </w:r>
      <w:r>
        <w:rPr>
          <w:rFonts w:hAnsi="SimSun" w:hint="eastAsia"/>
        </w:rPr>
        <w:t>t的原因很多：强奸、卖淫、乱伦及其后果以及性骚扰。2002年，求助于中心的人员中，115人与强奸及其后果有关，147人与乱伦及其后果有关。6名求助于中心的人员与卖淫有关，18人与性骚扰有关。</w:t>
      </w:r>
    </w:p>
    <w:p w:rsidR="00E96A0B" w:rsidRDefault="00E96A0B" w:rsidP="004907F9">
      <w:pPr>
        <w:spacing w:after="140"/>
        <w:ind w:left="1264" w:right="1264" w:firstLineChars="200" w:firstLine="31680"/>
        <w:jc w:val="both"/>
        <w:rPr>
          <w:rFonts w:hAnsi="SimSun" w:hint="eastAsia"/>
        </w:rPr>
      </w:pPr>
      <w:r>
        <w:rPr>
          <w:rFonts w:hAnsi="SimSun" w:hint="eastAsia"/>
        </w:rPr>
        <w:t>应该指出，求助于St</w:t>
      </w:r>
      <w:r>
        <w:rPr>
          <w:rFonts w:hAnsi="SimSun"/>
        </w:rPr>
        <w:t>í</w:t>
      </w:r>
      <w:r>
        <w:rPr>
          <w:rFonts w:hAnsi="SimSun" w:hint="eastAsia"/>
        </w:rPr>
        <w:t>ganm</w:t>
      </w:r>
      <w:r>
        <w:rPr>
          <w:rFonts w:hAnsi="SimSun"/>
        </w:rPr>
        <w:t>ó</w:t>
      </w:r>
      <w:r>
        <w:rPr>
          <w:rFonts w:hAnsi="SimSun" w:hint="eastAsia"/>
        </w:rPr>
        <w:t>t的人员中，24名与强奸有关的人员作为受害者前往急救中心。1997-2002年期间，大约664人，其中96％为妇女，前往急救中心；1997年为107人，1998年为102人，1999年为103人，2000年为97人，2001年为136人，2002年为119人。</w:t>
      </w:r>
    </w:p>
    <w:p w:rsidR="00E96A0B" w:rsidRDefault="00E96A0B" w:rsidP="004907F9">
      <w:pPr>
        <w:spacing w:after="140"/>
        <w:ind w:left="1264" w:right="1264" w:firstLineChars="200" w:firstLine="31680"/>
        <w:jc w:val="both"/>
        <w:rPr>
          <w:rFonts w:hAnsi="SimSun" w:hint="eastAsia"/>
        </w:rPr>
      </w:pPr>
      <w:r>
        <w:rPr>
          <w:rFonts w:hAnsi="SimSun" w:hint="eastAsia"/>
        </w:rPr>
        <w:t>1998年，冰岛有39起触犯《刑法》第194-199条的性犯罪案件在接受调查。其中起诉13起，7起案件中的被告被认定有罪。1999年，此类案件有26起；起诉7起，对其中的4起案件作出了判决；2000年，此类案件有36起，起诉10起，对其中的8起案件作出了判决；2001年有32起此类案件，起诉11起。</w:t>
      </w:r>
    </w:p>
    <w:p w:rsidR="00E96A0B" w:rsidRDefault="00E96A0B" w:rsidP="004907F9">
      <w:pPr>
        <w:spacing w:after="140"/>
        <w:ind w:left="1264" w:right="1264" w:firstLineChars="200" w:firstLine="31680"/>
        <w:jc w:val="both"/>
        <w:rPr>
          <w:rFonts w:hAnsi="SimSun" w:hint="eastAsia"/>
        </w:rPr>
      </w:pPr>
      <w:r>
        <w:rPr>
          <w:rFonts w:hAnsi="SimSun" w:hint="eastAsia"/>
        </w:rPr>
        <w:t>近几年，冰岛出现了一些有关判决的公开讨论，普遍认为处罚太轻，特别是对涉及性犯罪、暴力和毒品犯罪的案件处罚太轻。冰岛在这方面的政策是，《刑法》中已经规定了处罚的特定框架，法院在评估每个单独案件的情况并相应决定处罚时有一定的回旋余地。《刑法》第34条规定，可以判处终身监禁，也可以判处30天以上、16年以下的监禁。后面接着是各类犯罪的单独框架。《冰岛刑法》中强制性最低判决很少：强奸是规定了强制性最低判决的为数不多的犯罪之一。因此，强奸案中的判决范围是从最少1年到最高16年的监禁。强奸罪的平均判决为18到24个月的监禁。根据最高法院的一项研究，1977年到1996年间，涉及强奸的案件中，最长的判决为4年。近几年来，对强奸的处罚力度稍有加强。值得一提的是，2001年12月第290/2001号案件的判决中，最高法院对一起暴力强奸案作出了四年半监禁的判决。通常，冰岛人信任司法系统，此外，政府和其他机构尊重法院的独立性被看得很重要。如果处罚突然加强，也会被看作违背了普遍意义上的公正和法律规定下的待遇平等原则；必须通过司法实践的发展逐步实现这一点。</w:t>
      </w:r>
    </w:p>
    <w:p w:rsidR="00E96A0B" w:rsidRDefault="00E96A0B" w:rsidP="004907F9">
      <w:pPr>
        <w:spacing w:after="140"/>
        <w:ind w:left="1264" w:right="1264" w:firstLineChars="200" w:firstLine="31680"/>
        <w:jc w:val="both"/>
        <w:rPr>
          <w:rFonts w:hAnsi="SimSun" w:hint="eastAsia"/>
        </w:rPr>
      </w:pPr>
      <w:r>
        <w:rPr>
          <w:rFonts w:hAnsi="SimSun" w:hint="eastAsia"/>
        </w:rPr>
        <w:t>作为资料，应该说明，检察长始终呼吁对强奸案实行比法院的实际判决更为严厉的处罚。如果检察长不同意地方法院的判决，可以向最高法院上诉。</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对妇女的暴力委员会</w:t>
      </w:r>
    </w:p>
    <w:p w:rsidR="00E96A0B" w:rsidRDefault="00E96A0B" w:rsidP="004907F9">
      <w:pPr>
        <w:spacing w:after="140"/>
        <w:ind w:left="1264" w:right="1264" w:firstLineChars="200" w:firstLine="31680"/>
        <w:jc w:val="both"/>
        <w:rPr>
          <w:rFonts w:hAnsi="SimSun" w:hint="eastAsia"/>
        </w:rPr>
      </w:pPr>
      <w:r>
        <w:rPr>
          <w:rFonts w:hAnsi="SimSun" w:hint="eastAsia"/>
        </w:rPr>
        <w:t>2003年1月，社会事务部长任命了一个防止对妇女的暴力措施委员会。司法部、社会事务部、教育、文化和科学部、健康和社会保障部以及地方政府联盟都是该委员会的成员。该委员会任期四年，任务是协调各部门为防止对妇女的暴力而采取的行动。委员会将就该领域内已经采取的行动和进一步改革的建议进行调查。委员会还组织旨在使公众了解对妇女的暴力的宣传和行动方案。委员会将高度重视与非政府组织就有关事宜密切合作。</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暴力的受害儿童</w:t>
      </w:r>
    </w:p>
    <w:p w:rsidR="00E96A0B" w:rsidRDefault="00E96A0B" w:rsidP="004907F9">
      <w:pPr>
        <w:spacing w:after="140"/>
        <w:ind w:left="1264" w:right="1264" w:firstLineChars="200" w:firstLine="31680"/>
        <w:jc w:val="both"/>
        <w:rPr>
          <w:rFonts w:hAnsi="SimSun" w:hint="eastAsia"/>
        </w:rPr>
      </w:pPr>
      <w:r>
        <w:rPr>
          <w:rFonts w:hAnsi="SimSun" w:hint="eastAsia"/>
        </w:rPr>
        <w:t>如果性犯罪触犯了第19/1940号《刑法》第二十二节，且调查开始时受害人的年龄不满18岁，则按照《刑事诉讼法》第74</w:t>
      </w:r>
      <w:r>
        <w:rPr>
          <w:rFonts w:hAnsi="SimSun"/>
        </w:rPr>
        <w:t>a</w:t>
      </w:r>
      <w:r>
        <w:rPr>
          <w:rFonts w:hAnsi="SimSun" w:hint="eastAsia"/>
        </w:rPr>
        <w:t>条的规定，警方必须请求法官的帮助，法官安排录取受害人的陈述。</w:t>
      </w:r>
    </w:p>
    <w:p w:rsidR="00E96A0B" w:rsidRDefault="00E96A0B" w:rsidP="004907F9">
      <w:pPr>
        <w:spacing w:after="140"/>
        <w:ind w:left="1264" w:right="1264" w:firstLineChars="200" w:firstLine="31680"/>
        <w:jc w:val="both"/>
        <w:rPr>
          <w:rFonts w:hAnsi="SimSun" w:hint="eastAsia"/>
        </w:rPr>
      </w:pPr>
      <w:r>
        <w:rPr>
          <w:rFonts w:hAnsi="SimSun" w:hint="eastAsia"/>
        </w:rPr>
        <w:t>已采取特别措施录取暴力犯罪受害儿童的陈述，受害儿童往往是女孩。1998年，一个特别的儿童中心成立，该中心由社会事务部领导。设立该中心的最大好处在于，儿童只需前往一处即可进行陈述、得到医疗检查并接受随后的治疗。此外，雷克雅未克地区法院还备有特殊设施，以便对孩子进行询问并录取他们的陈述。这些设施远比正式的法庭更适于录取儿童的陈述。儿童中心还提供大量与调查和录取儿童陈述有关的服务，包括在案件初期阶段提供咨询，例如涉及到儿童的性犯罪、录取陈述、医疗检查等。这些服务由相关领域的专家提供。</w:t>
      </w:r>
    </w:p>
    <w:p w:rsidR="00E96A0B" w:rsidRDefault="00E96A0B" w:rsidP="004907F9">
      <w:pPr>
        <w:spacing w:after="140"/>
        <w:ind w:left="1264" w:right="1264" w:firstLineChars="200" w:firstLine="31680"/>
        <w:jc w:val="both"/>
        <w:rPr>
          <w:rFonts w:hAnsi="SimSun" w:hint="eastAsia"/>
        </w:rPr>
      </w:pPr>
      <w:r>
        <w:rPr>
          <w:rFonts w:hAnsi="SimSun" w:hint="eastAsia"/>
        </w:rPr>
        <w:t>第63/1998号法令修改了《刑法》中适用于对儿童的性犯罪的时效（刑事责任的有效期）法规。此修正案规定，如果犯罪针对的是儿童，只有当该儿童的年龄达到14岁时才开始计算时效期。该修正案的理论基础是，如果不这样规定，则存在着当该儿童达到可以意识到其所经历的是犯罪的年龄时，却无法起诉该罪行。还应考虑到，受害儿童往往与罪犯之间存在着某种特殊的联系或关系，使他们实际上不可能提出起诉。在确定作为基数的参考时间时，尝试在这些考虑与法定时效所依据的法律论据之间寻求一种可以接受的平衡。包括被告因很久没有对他或她起诉而得到的好处，而且如果起诉推迟得太晚，往往也很难进行调查和取证。</w:t>
      </w:r>
    </w:p>
    <w:p w:rsidR="00E96A0B" w:rsidRDefault="00E96A0B" w:rsidP="004907F9">
      <w:pPr>
        <w:spacing w:after="140"/>
        <w:ind w:left="1264" w:right="1264" w:firstLineChars="200" w:firstLine="31680"/>
        <w:jc w:val="both"/>
        <w:rPr>
          <w:rFonts w:ascii="Times New Roman" w:hint="eastAsia"/>
        </w:rPr>
      </w:pPr>
      <w:r>
        <w:rPr>
          <w:rFonts w:hAnsi="SimSun" w:hint="eastAsia"/>
        </w:rPr>
        <w:t>第40/2003号法对《刑法》进行了修正，在乱伦案中，如果受害儿童的年龄低于18岁，则判决框架增至8年；如果受害儿童年龄低于16岁，则增至12年。这意味着最高刑罚增加了两年。这一变化反映了近年来儿童遭受多少性虐待的事实。后果的持续时间可能会非常长，甚至是永久性的。尽管没有单独解释，但是在过去的10-15年间，法院受理的此类案件的数量仍然有显著的增加。这也许是因为这些犯罪正变得日益普遍，但也许是因为这些案件没有在更早的时期报案。但是，涉及儿童的性犯罪显然被长期隐瞒了，而这种沉默现在被打破了。人们认为，此类犯罪的严重性应根据其后果来评估。特别指出的是，在儿童受害者和犯罪人之间存在着巨大的年龄差距，使犯罪人很容易骗取儿童的信任。可以预期，随着该法律修正案的通过，对此类犯罪的刑罚会变得更为严厉。</w:t>
      </w:r>
    </w:p>
    <w:p w:rsidR="00E96A0B" w:rsidRDefault="00E96A0B">
      <w:pPr>
        <w:pStyle w:val="HCh"/>
        <w:tabs>
          <w:tab w:val="clear" w:pos="57"/>
        </w:tabs>
        <w:spacing w:after="140" w:line="320" w:lineRule="exact"/>
        <w:ind w:left="1265" w:right="1264" w:hanging="6"/>
        <w:jc w:val="both"/>
        <w:rPr>
          <w:rFonts w:ascii="Times New Roman"/>
          <w:b/>
          <w:bCs/>
        </w:rPr>
      </w:pPr>
    </w:p>
    <w:p w:rsidR="00E96A0B" w:rsidRDefault="00E96A0B">
      <w:pPr>
        <w:pStyle w:val="HCh"/>
        <w:tabs>
          <w:tab w:val="clear" w:pos="57"/>
        </w:tabs>
        <w:spacing w:after="140" w:line="320" w:lineRule="exact"/>
        <w:ind w:left="1265" w:right="1264" w:hanging="6"/>
        <w:jc w:val="both"/>
        <w:rPr>
          <w:rFonts w:hint="eastAsia"/>
        </w:rPr>
      </w:pPr>
      <w:r>
        <w:br w:type="page"/>
      </w:r>
      <w:r>
        <w:rPr>
          <w:rFonts w:hint="eastAsia"/>
        </w:rPr>
        <w:t>第二部分</w:t>
      </w:r>
    </w:p>
    <w:p w:rsidR="00E96A0B" w:rsidRDefault="00E96A0B">
      <w:pPr>
        <w:pStyle w:val="HCh"/>
        <w:tabs>
          <w:tab w:val="clear" w:pos="57"/>
        </w:tabs>
        <w:spacing w:beforeLines="50" w:before="156" w:after="140" w:line="320" w:lineRule="exact"/>
        <w:ind w:left="1264" w:right="1264" w:hanging="4"/>
        <w:jc w:val="both"/>
        <w:rPr>
          <w:rFonts w:ascii="Times New Roman" w:hint="eastAsia"/>
          <w:sz w:val="24"/>
        </w:rPr>
      </w:pPr>
      <w:r>
        <w:rPr>
          <w:rFonts w:ascii="Times New Roman" w:hint="eastAsia"/>
          <w:sz w:val="24"/>
        </w:rPr>
        <w:t>第</w:t>
      </w:r>
      <w:r>
        <w:rPr>
          <w:rFonts w:ascii="Times New Roman" w:hint="eastAsia"/>
          <w:sz w:val="24"/>
        </w:rPr>
        <w:t>7</w:t>
      </w:r>
      <w:r>
        <w:rPr>
          <w:rFonts w:ascii="Times New Roman" w:hint="eastAsia"/>
          <w:sz w:val="24"/>
        </w:rPr>
        <w:t>条</w:t>
      </w:r>
    </w:p>
    <w:p w:rsidR="00E96A0B" w:rsidRDefault="00E96A0B" w:rsidP="004907F9">
      <w:pPr>
        <w:pStyle w:val="H23"/>
        <w:spacing w:after="140"/>
        <w:ind w:leftChars="600" w:left="31680" w:rightChars="600" w:right="31680"/>
        <w:rPr>
          <w:rFonts w:hint="eastAsia"/>
        </w:rPr>
      </w:pPr>
      <w:r>
        <w:t>(</w:t>
      </w:r>
      <w:r>
        <w:rPr>
          <w:rFonts w:hint="eastAsia"/>
        </w:rPr>
        <w:t>a)项</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议会和地方政府中的妇女代表</w:t>
      </w:r>
    </w:p>
    <w:p w:rsidR="00E96A0B" w:rsidRDefault="00E96A0B" w:rsidP="004907F9">
      <w:pPr>
        <w:spacing w:after="140"/>
        <w:ind w:left="1264" w:right="1264" w:firstLineChars="200" w:firstLine="31680"/>
        <w:jc w:val="both"/>
        <w:rPr>
          <w:rFonts w:hAnsi="SimSun" w:hint="eastAsia"/>
        </w:rPr>
      </w:pPr>
      <w:r>
        <w:rPr>
          <w:rFonts w:hAnsi="SimSun" w:hint="eastAsia"/>
        </w:rPr>
        <w:t>冰岛的第三次和第四次定期报告中包括了一项对妇女和政治历史的综合调查。1998年9月，社会事务部长任命了一个委员会以促进妇女参政（另见第3条下的讨论）。该委员会包括1998年Althingi（议会）中的各政党以及妇女权利联合会和男女平等理事会的代表。2003年初，该委员会提交了它的报告。该委员会的首要任务是在1999年选举中增加妇女在议会中的人数。为开始其工作，委员会请市场研究公司Gallup以三个妇女参政问题为基础进行调查。调查对国家人口登记局所登记的本国居民进行随机抽样，回答率为72.7％。结果为，大部分（79.7%）人认为妇女在政治中的作用应得到加强；只有3.5％的人反对加强妇女在政治上的地位。妇女对此的支持率超过了男子：83％的妇女表示支持，男子表示支持的比例为75％。在工作中，该委员会优先向政党中的妇女运动征求意见，并在1999年大选前与她们举行了几次会议。该委员会还展开了特别的广告宣传，引起了人们极大的关注。在宣传中，各政党领袖联合展示男女在许多方面是不同的，不能完全互相取代。这一宣传的目的是为了影响政治领袖，促使人们关注候选人在选举单上的排列方式，并激发媒体和普通公众对此的讨论，促使人们思考为什么政治中需要更多的女性参与。该委员会还寻求与媒体进行合作，与冰岛主要媒体的编辑、新闻编辑和策划人举行会议。1999年选举之后，议会成员中的35％是妇女。</w:t>
      </w:r>
    </w:p>
    <w:p w:rsidR="00E96A0B" w:rsidRDefault="00E96A0B" w:rsidP="004907F9">
      <w:pPr>
        <w:spacing w:after="140"/>
        <w:ind w:left="1264" w:right="1264" w:firstLineChars="200" w:firstLine="31680"/>
        <w:jc w:val="both"/>
        <w:rPr>
          <w:rFonts w:hAnsi="SimSun" w:hint="eastAsia"/>
        </w:rPr>
      </w:pPr>
      <w:r>
        <w:rPr>
          <w:rFonts w:hAnsi="SimSun" w:hint="eastAsia"/>
        </w:rPr>
        <w:t>1999年选举之后，该委员会继续开展工作，将其注意力转向2002年春季举行的下一届地方政府选举。该委员会在全国各地举办名为《支持妇女从政——社会事务、演讲、文章和媒体》的课程。该委员会还组织出版了有关妇女和媒体的宣传材料，其目的是促使媒体尽可能给予妇女和男子同样的机会在媒体中表达自己。委员会成员还参加了在冰岛和国外举办的各种会议，并在冰岛选民中举行公开会议。</w:t>
      </w:r>
    </w:p>
    <w:p w:rsidR="00E96A0B" w:rsidRDefault="00E96A0B" w:rsidP="004907F9">
      <w:pPr>
        <w:spacing w:after="140"/>
        <w:ind w:left="1264" w:right="1264" w:firstLineChars="200" w:firstLine="31680"/>
        <w:jc w:val="both"/>
        <w:rPr>
          <w:rFonts w:hAnsi="SimSun" w:hint="eastAsia"/>
        </w:rPr>
      </w:pPr>
      <w:r>
        <w:rPr>
          <w:rFonts w:hAnsi="SimSun" w:hint="eastAsia"/>
        </w:rPr>
        <w:t>2002年地方选举中，选举名单上候选人的男女比例为：男子59％，妇女41%。（与此相对照，1998年选举中的相应数字为男子62％，妇女38％。）2002年选举中，80％的男性候选人进入了选举名单，女性候选人为20％；选举名单上第二个名字中，58％为男性的名字，42％为女性的名字。</w:t>
      </w:r>
    </w:p>
    <w:p w:rsidR="00E96A0B" w:rsidRDefault="00E96A0B" w:rsidP="004907F9">
      <w:pPr>
        <w:spacing w:after="140"/>
        <w:ind w:left="1264" w:right="1264" w:firstLineChars="200" w:firstLine="31680"/>
        <w:jc w:val="both"/>
        <w:rPr>
          <w:rFonts w:hAnsi="SimSun" w:hint="eastAsia"/>
        </w:rPr>
      </w:pPr>
      <w:r>
        <w:rPr>
          <w:rFonts w:hAnsi="SimSun" w:hint="eastAsia"/>
        </w:rPr>
        <w:t>与1998年选举后的情况相比，妇女在市政议会和各部门中的人数略有增加，从28％增加到31％。在10个市的地方政府中，妇女现在占据了多数。但是，在九个地方政府中，还没有妇女代表；与此相对照，1998年选举后有15个地方政府，1994年选举后有32个地方政府中没有妇女代表。大雷克雅未克地区的妇女比例最高，妇女代表的比例为44％，男子代表比例为56％。</w:t>
      </w:r>
    </w:p>
    <w:p w:rsidR="00E96A0B" w:rsidRDefault="00E96A0B" w:rsidP="004907F9">
      <w:pPr>
        <w:spacing w:after="140"/>
        <w:ind w:left="1264" w:right="1264" w:firstLineChars="200" w:firstLine="31680"/>
        <w:jc w:val="both"/>
        <w:rPr>
          <w:rFonts w:hAnsi="SimSun" w:hint="eastAsia"/>
        </w:rPr>
      </w:pPr>
      <w:r>
        <w:rPr>
          <w:rFonts w:hAnsi="SimSun" w:hint="eastAsia"/>
        </w:rPr>
        <w:t>长期以来，冰岛的选举投票率一直较高。1999年的选举中，总投票率为84.1%；妇女的投票率为84.4％，男子为83.8％。</w:t>
      </w:r>
    </w:p>
    <w:p w:rsidR="00E96A0B" w:rsidRDefault="00E96A0B" w:rsidP="004907F9">
      <w:pPr>
        <w:spacing w:after="140"/>
        <w:ind w:left="1264" w:right="1264" w:firstLineChars="200" w:firstLine="31680"/>
        <w:jc w:val="both"/>
        <w:rPr>
          <w:rFonts w:hAnsi="SimSun" w:hint="eastAsia"/>
        </w:rPr>
      </w:pPr>
      <w:r>
        <w:rPr>
          <w:rFonts w:hAnsi="SimSun" w:hint="eastAsia"/>
        </w:rPr>
        <w:t>上次报告中曾说明，妇女联盟（Kvennalistinn）在增加议会女性候选人的人数方面发挥了重要作用。在冰岛的政治生活中，妇女联盟已不再是一个独立实体。1999年，国家政治中发生了一些重要的变化，三个前政党，即社会民主党、人民联盟和妇女联盟联合建了两个政党，即联盟和左翼绿色运动。</w:t>
      </w:r>
    </w:p>
    <w:p w:rsidR="00E96A0B" w:rsidRDefault="00E96A0B" w:rsidP="004907F9">
      <w:pPr>
        <w:spacing w:after="140"/>
        <w:ind w:left="1264" w:right="1264" w:firstLineChars="200" w:firstLine="31680"/>
        <w:jc w:val="both"/>
        <w:rPr>
          <w:rFonts w:ascii="Times New Roman" w:hint="eastAsia"/>
        </w:rPr>
      </w:pPr>
      <w:r>
        <w:rPr>
          <w:rFonts w:hAnsi="SimSun" w:hint="eastAsia"/>
        </w:rPr>
        <w:t>在其就政府上一次报告而向政府提出的补充问题中，消除对妇女歧视委员会提出了有关妇女联盟的问题。委员会询问在议会和/或市政选举中，妇女组织赢得了多少席位，妇女组织的议程有哪些是有关妇女事务的以及它为议会带来了多少倡议。1982年的第一次市政选举中，妇女联盟在阿库雷里赢得了两个席位，在雷克雅未克也赢得了两个席位。在随后的选举中，妇女联盟的妇女在全国大部分地区与其他人进行了联合。在第一次全国选举中，妇女</w:t>
      </w:r>
      <w:r>
        <w:rPr>
          <w:rFonts w:ascii="Times New Roman" w:hint="eastAsia"/>
        </w:rPr>
        <w:t>联盟赢得了三个席位，四年之后，这一数字上升为六，但是</w:t>
      </w:r>
      <w:r>
        <w:rPr>
          <w:rFonts w:ascii="Times New Roman" w:hint="eastAsia"/>
        </w:rPr>
        <w:t>1995</w:t>
      </w:r>
      <w:r>
        <w:rPr>
          <w:rFonts w:ascii="Times New Roman" w:hint="eastAsia"/>
        </w:rPr>
        <w:t>年，它只有三个代表入选议会。妇女联盟在议会中始终居于反对派的地位，但是在几个市政当局中，占据了部分优势。</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妇女联盟对冰岛政治和男女平等的影响逐渐变得无可争议。它为其他政党内的妇女扫清了道路，也曾使议案在议会成功通过。其中一项是关于在冰岛设立调查强奸问题的工作委员的议案，其结果是在雷克雅未克和阿库雷里的主要医院建立了针对强奸案受害者的急救部门。毫无疑问，该政党的存在使现在有更多的妇女参与政治生活。因此，妇女事务进入了政治辩论的主流，所有各主要政党都至少有一名妇女居于重要的领导岗位。</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（b）项和（c）项</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妇女参与公共决策</w:t>
      </w:r>
    </w:p>
    <w:p w:rsidR="00E96A0B" w:rsidRDefault="00E96A0B" w:rsidP="004907F9">
      <w:pPr>
        <w:spacing w:after="140"/>
        <w:ind w:left="1264" w:right="1264" w:firstLineChars="200" w:firstLine="31680"/>
        <w:jc w:val="both"/>
        <w:rPr>
          <w:rFonts w:hAnsi="SimSun" w:hint="eastAsia"/>
        </w:rPr>
      </w:pPr>
      <w:r>
        <w:rPr>
          <w:rFonts w:hAnsi="SimSun" w:hint="eastAsia"/>
        </w:rPr>
        <w:t>在2003年选举之前，冰岛政府由九名男子和三名妇女组成。2002年，各部委担任常任秘书的妇女比例为15.4％。2002年中期，在各政府部门主任中妇女的比例为18.7％，高于2001年14.4％。担任部长级官员的妇女比例为26.3％。</w:t>
      </w:r>
    </w:p>
    <w:p w:rsidR="00E96A0B" w:rsidRDefault="00E96A0B" w:rsidP="004907F9">
      <w:pPr>
        <w:spacing w:after="140"/>
        <w:ind w:left="1264" w:right="1264" w:firstLineChars="200" w:firstLine="31680"/>
        <w:jc w:val="both"/>
        <w:rPr>
          <w:rFonts w:hAnsi="SimSun" w:hint="eastAsia"/>
          <w:spacing w:val="2"/>
        </w:rPr>
      </w:pPr>
      <w:r>
        <w:rPr>
          <w:rFonts w:hAnsi="SimSun" w:hint="eastAsia"/>
          <w:spacing w:val="2"/>
        </w:rPr>
        <w:t>过去10年间，公共委员会和部门中妇女的比例稳步增加。2000年，公共委员会中的妇女比例为26.5％，从健康和社会保障部的38.9％和社会事务部的37％到农业部的10.1％不等。2002年，公共委员会和部门中的妇女比例为30%；在这方面，卫生部的妇女比例最高，达42％，而农业部和外交部的妇女比例仅为14％。</w:t>
      </w:r>
    </w:p>
    <w:p w:rsidR="00E96A0B" w:rsidRDefault="00E96A0B">
      <w:pPr>
        <w:widowControl w:val="0"/>
        <w:spacing w:after="140"/>
        <w:ind w:left="1264" w:right="1264"/>
        <w:jc w:val="both"/>
        <w:rPr>
          <w:rFonts w:ascii="SimHei" w:eastAsia="SimHei"/>
          <w:color w:val="FF0000"/>
          <w:kern w:val="2"/>
          <w:szCs w:val="24"/>
        </w:rPr>
      </w:pPr>
    </w:p>
    <w:p w:rsidR="00E96A0B" w:rsidRDefault="00E96A0B">
      <w:pPr>
        <w:widowControl w:val="0"/>
        <w:spacing w:after="140"/>
        <w:ind w:left="1264" w:right="1264"/>
        <w:jc w:val="both"/>
        <w:rPr>
          <w:rFonts w:ascii="SimHei" w:eastAsia="SimHei" w:hint="eastAsia"/>
          <w:color w:val="FF0000"/>
          <w:kern w:val="2"/>
          <w:szCs w:val="24"/>
        </w:rPr>
      </w:pPr>
      <w:r>
        <w:rPr>
          <w:rFonts w:hint="eastAsia"/>
        </w:rPr>
        <w:t>表3</w:t>
      </w:r>
      <w:r>
        <w:rPr>
          <w:rFonts w:ascii="SimHei" w:eastAsia="SimHei" w:hint="eastAsia"/>
          <w:color w:val="FF0000"/>
          <w:kern w:val="2"/>
          <w:szCs w:val="24"/>
        </w:rPr>
        <w:t xml:space="preserve">  </w:t>
      </w:r>
      <w:r>
        <w:rPr>
          <w:rFonts w:ascii="SimHei" w:eastAsia="SimHei"/>
          <w:color w:val="FF0000"/>
          <w:kern w:val="2"/>
          <w:szCs w:val="24"/>
        </w:rPr>
        <w:br/>
      </w:r>
      <w:r>
        <w:rPr>
          <w:rFonts w:ascii="SimHei" w:eastAsia="SimHei" w:hint="eastAsia"/>
          <w:color w:val="FF0000"/>
          <w:kern w:val="2"/>
          <w:szCs w:val="24"/>
        </w:rPr>
        <w:t>2002年委员会、部门和理事会中的男女比例</w:t>
      </w:r>
    </w:p>
    <w:tbl>
      <w:tblPr>
        <w:tblW w:w="0" w:type="auto"/>
        <w:tblInd w:w="1368" w:type="dxa"/>
        <w:tblLook w:val="0000" w:firstRow="0" w:lastRow="0" w:firstColumn="0" w:lastColumn="0" w:noHBand="0" w:noVBand="0"/>
      </w:tblPr>
      <w:tblGrid>
        <w:gridCol w:w="3972"/>
        <w:gridCol w:w="1074"/>
        <w:gridCol w:w="2304"/>
      </w:tblGrid>
      <w:tr w:rsidR="00E96A0B">
        <w:tblPrEx>
          <w:tblCellMar>
            <w:top w:w="0" w:type="dxa"/>
            <w:bottom w:w="0" w:type="dxa"/>
          </w:tblCellMar>
        </w:tblPrEx>
        <w:trPr>
          <w:trHeight w:val="300"/>
        </w:trPr>
        <w:tc>
          <w:tcPr>
            <w:tcW w:w="3972" w:type="dxa"/>
            <w:tcBorders>
              <w:top w:val="single" w:sz="4" w:space="0" w:color="auto"/>
              <w:bottom w:val="single" w:sz="12" w:space="0" w:color="auto"/>
            </w:tcBorders>
          </w:tcPr>
          <w:p w:rsidR="00E96A0B" w:rsidRDefault="00E96A0B">
            <w:pPr>
              <w:spacing w:after="140"/>
              <w:jc w:val="both"/>
              <w:rPr>
                <w:rFonts w:ascii="KaiTi_GB2312" w:eastAsia="KaiTi_GB2312" w:hAnsi="SimSun"/>
                <w:color w:val="0000FF"/>
                <w:sz w:val="15"/>
              </w:rPr>
            </w:pPr>
          </w:p>
        </w:tc>
        <w:tc>
          <w:tcPr>
            <w:tcW w:w="1074"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男子</w:t>
            </w:r>
          </w:p>
        </w:tc>
        <w:tc>
          <w:tcPr>
            <w:tcW w:w="2304"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妇女</w:t>
            </w:r>
          </w:p>
        </w:tc>
      </w:tr>
      <w:tr w:rsidR="00E96A0B">
        <w:tblPrEx>
          <w:tblCellMar>
            <w:top w:w="0" w:type="dxa"/>
            <w:bottom w:w="0" w:type="dxa"/>
          </w:tblCellMar>
        </w:tblPrEx>
        <w:trPr>
          <w:trHeight w:val="300"/>
        </w:trPr>
        <w:tc>
          <w:tcPr>
            <w:tcW w:w="3972" w:type="dxa"/>
            <w:tcBorders>
              <w:top w:val="single" w:sz="12" w:space="0" w:color="auto"/>
            </w:tcBorders>
          </w:tcPr>
          <w:p w:rsidR="00E96A0B" w:rsidRDefault="00E96A0B">
            <w:pPr>
              <w:spacing w:before="120" w:after="140"/>
              <w:jc w:val="both"/>
              <w:rPr>
                <w:rFonts w:hAnsi="SimSun" w:hint="eastAsia"/>
                <w:sz w:val="18"/>
              </w:rPr>
            </w:pPr>
            <w:r>
              <w:rPr>
                <w:rFonts w:hAnsi="SimSun" w:hint="eastAsia"/>
                <w:sz w:val="18"/>
              </w:rPr>
              <w:t>总理办公厅</w:t>
            </w:r>
          </w:p>
        </w:tc>
        <w:tc>
          <w:tcPr>
            <w:tcW w:w="1074" w:type="dxa"/>
            <w:tcBorders>
              <w:top w:val="single" w:sz="12" w:space="0" w:color="auto"/>
            </w:tcBorders>
          </w:tcPr>
          <w:p w:rsidR="00E96A0B" w:rsidRDefault="00E96A0B">
            <w:pPr>
              <w:spacing w:before="120" w:after="140"/>
              <w:jc w:val="right"/>
              <w:rPr>
                <w:rFonts w:hAnsi="SimSun" w:hint="eastAsia"/>
                <w:sz w:val="18"/>
              </w:rPr>
            </w:pPr>
            <w:r>
              <w:rPr>
                <w:rFonts w:hAnsi="SimSun" w:hint="eastAsia"/>
                <w:sz w:val="18"/>
              </w:rPr>
              <w:t>62％</w:t>
            </w:r>
          </w:p>
        </w:tc>
        <w:tc>
          <w:tcPr>
            <w:tcW w:w="2304" w:type="dxa"/>
            <w:tcBorders>
              <w:top w:val="single" w:sz="12" w:space="0" w:color="auto"/>
            </w:tcBorders>
          </w:tcPr>
          <w:p w:rsidR="00E96A0B" w:rsidRDefault="00E96A0B">
            <w:pPr>
              <w:spacing w:before="120" w:after="140"/>
              <w:jc w:val="right"/>
              <w:rPr>
                <w:rFonts w:hAnsi="SimSun" w:hint="eastAsia"/>
                <w:sz w:val="18"/>
              </w:rPr>
            </w:pPr>
            <w:r>
              <w:rPr>
                <w:rFonts w:hAnsi="SimSun" w:hint="eastAsia"/>
                <w:sz w:val="18"/>
              </w:rPr>
              <w:t>38％</w:t>
            </w:r>
          </w:p>
        </w:tc>
      </w:tr>
      <w:tr w:rsidR="00E96A0B">
        <w:tblPrEx>
          <w:tblCellMar>
            <w:top w:w="0" w:type="dxa"/>
            <w:bottom w:w="0" w:type="dxa"/>
          </w:tblCellMar>
        </w:tblPrEx>
        <w:trPr>
          <w:trHeight w:val="288"/>
        </w:trPr>
        <w:tc>
          <w:tcPr>
            <w:tcW w:w="3972" w:type="dxa"/>
          </w:tcPr>
          <w:p w:rsidR="00E96A0B" w:rsidRDefault="00E96A0B">
            <w:pPr>
              <w:spacing w:after="140"/>
              <w:jc w:val="both"/>
              <w:rPr>
                <w:rFonts w:hAnsi="SimSun" w:hint="eastAsia"/>
                <w:sz w:val="18"/>
              </w:rPr>
            </w:pPr>
            <w:r>
              <w:rPr>
                <w:rFonts w:hAnsi="SimSun" w:hint="eastAsia"/>
                <w:sz w:val="18"/>
              </w:rPr>
              <w:t>司法和宗教事务部</w:t>
            </w:r>
          </w:p>
        </w:tc>
        <w:tc>
          <w:tcPr>
            <w:tcW w:w="1074" w:type="dxa"/>
          </w:tcPr>
          <w:p w:rsidR="00E96A0B" w:rsidRDefault="00E96A0B">
            <w:pPr>
              <w:spacing w:after="140"/>
              <w:jc w:val="right"/>
              <w:rPr>
                <w:rFonts w:hAnsi="SimSun" w:hint="eastAsia"/>
                <w:sz w:val="18"/>
              </w:rPr>
            </w:pPr>
            <w:r>
              <w:rPr>
                <w:rFonts w:hAnsi="SimSun" w:hint="eastAsia"/>
                <w:sz w:val="18"/>
              </w:rPr>
              <w:t>65％</w:t>
            </w:r>
          </w:p>
        </w:tc>
        <w:tc>
          <w:tcPr>
            <w:tcW w:w="2304" w:type="dxa"/>
          </w:tcPr>
          <w:p w:rsidR="00E96A0B" w:rsidRDefault="00E96A0B">
            <w:pPr>
              <w:spacing w:after="140"/>
              <w:jc w:val="right"/>
              <w:rPr>
                <w:rFonts w:hAnsi="SimSun" w:hint="eastAsia"/>
                <w:sz w:val="18"/>
              </w:rPr>
            </w:pPr>
            <w:r>
              <w:rPr>
                <w:rFonts w:hAnsi="SimSun" w:hint="eastAsia"/>
                <w:sz w:val="18"/>
              </w:rPr>
              <w:t>35％</w:t>
            </w:r>
          </w:p>
        </w:tc>
      </w:tr>
      <w:tr w:rsidR="00E96A0B">
        <w:tblPrEx>
          <w:tblCellMar>
            <w:top w:w="0" w:type="dxa"/>
            <w:bottom w:w="0" w:type="dxa"/>
          </w:tblCellMar>
        </w:tblPrEx>
        <w:trPr>
          <w:trHeight w:val="276"/>
        </w:trPr>
        <w:tc>
          <w:tcPr>
            <w:tcW w:w="3972" w:type="dxa"/>
          </w:tcPr>
          <w:p w:rsidR="00E96A0B" w:rsidRDefault="00E96A0B">
            <w:pPr>
              <w:spacing w:after="140"/>
              <w:jc w:val="both"/>
              <w:rPr>
                <w:rFonts w:hAnsi="SimSun" w:hint="eastAsia"/>
                <w:sz w:val="18"/>
              </w:rPr>
            </w:pPr>
            <w:r>
              <w:rPr>
                <w:rFonts w:hAnsi="SimSun" w:hint="eastAsia"/>
                <w:sz w:val="18"/>
              </w:rPr>
              <w:t>社会事务部</w:t>
            </w:r>
          </w:p>
        </w:tc>
        <w:tc>
          <w:tcPr>
            <w:tcW w:w="1074" w:type="dxa"/>
          </w:tcPr>
          <w:p w:rsidR="00E96A0B" w:rsidRDefault="00E96A0B">
            <w:pPr>
              <w:spacing w:after="140"/>
              <w:jc w:val="right"/>
              <w:rPr>
                <w:rFonts w:hAnsi="SimSun" w:hint="eastAsia"/>
                <w:sz w:val="18"/>
              </w:rPr>
            </w:pPr>
            <w:r>
              <w:rPr>
                <w:rFonts w:hAnsi="SimSun" w:hint="eastAsia"/>
                <w:sz w:val="18"/>
              </w:rPr>
              <w:t>60％</w:t>
            </w:r>
          </w:p>
        </w:tc>
        <w:tc>
          <w:tcPr>
            <w:tcW w:w="2304" w:type="dxa"/>
          </w:tcPr>
          <w:p w:rsidR="00E96A0B" w:rsidRDefault="00E96A0B">
            <w:pPr>
              <w:spacing w:after="140"/>
              <w:jc w:val="right"/>
              <w:rPr>
                <w:rFonts w:hAnsi="SimSun" w:hint="eastAsia"/>
                <w:sz w:val="18"/>
              </w:rPr>
            </w:pPr>
            <w:r>
              <w:rPr>
                <w:rFonts w:hAnsi="SimSun" w:hint="eastAsia"/>
                <w:sz w:val="18"/>
              </w:rPr>
              <w:t>40％</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财政部</w:t>
            </w:r>
          </w:p>
        </w:tc>
        <w:tc>
          <w:tcPr>
            <w:tcW w:w="1074" w:type="dxa"/>
          </w:tcPr>
          <w:p w:rsidR="00E96A0B" w:rsidRDefault="00E96A0B">
            <w:pPr>
              <w:spacing w:after="140"/>
              <w:jc w:val="right"/>
              <w:rPr>
                <w:rFonts w:hAnsi="SimSun" w:hint="eastAsia"/>
                <w:sz w:val="18"/>
              </w:rPr>
            </w:pPr>
            <w:r>
              <w:rPr>
                <w:rFonts w:hAnsi="SimSun" w:hint="eastAsia"/>
                <w:sz w:val="18"/>
              </w:rPr>
              <w:t>77％</w:t>
            </w:r>
          </w:p>
        </w:tc>
        <w:tc>
          <w:tcPr>
            <w:tcW w:w="2304" w:type="dxa"/>
          </w:tcPr>
          <w:p w:rsidR="00E96A0B" w:rsidRDefault="00E96A0B">
            <w:pPr>
              <w:spacing w:after="140"/>
              <w:jc w:val="right"/>
              <w:rPr>
                <w:rFonts w:hAnsi="SimSun" w:hint="eastAsia"/>
                <w:sz w:val="18"/>
              </w:rPr>
            </w:pPr>
            <w:r>
              <w:rPr>
                <w:rFonts w:hAnsi="SimSun" w:hint="eastAsia"/>
                <w:sz w:val="18"/>
              </w:rPr>
              <w:t>23％</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冰岛统计局</w:t>
            </w:r>
          </w:p>
        </w:tc>
        <w:tc>
          <w:tcPr>
            <w:tcW w:w="1074" w:type="dxa"/>
          </w:tcPr>
          <w:p w:rsidR="00E96A0B" w:rsidRDefault="00E96A0B">
            <w:pPr>
              <w:spacing w:after="140"/>
              <w:jc w:val="right"/>
              <w:rPr>
                <w:rFonts w:hAnsi="SimSun" w:hint="eastAsia"/>
                <w:sz w:val="18"/>
              </w:rPr>
            </w:pPr>
            <w:r>
              <w:rPr>
                <w:rFonts w:hAnsi="SimSun" w:hint="eastAsia"/>
                <w:sz w:val="18"/>
              </w:rPr>
              <w:t>67％</w:t>
            </w:r>
          </w:p>
        </w:tc>
        <w:tc>
          <w:tcPr>
            <w:tcW w:w="2304" w:type="dxa"/>
          </w:tcPr>
          <w:p w:rsidR="00E96A0B" w:rsidRDefault="00E96A0B">
            <w:pPr>
              <w:spacing w:after="140"/>
              <w:jc w:val="right"/>
              <w:rPr>
                <w:rFonts w:hAnsi="SimSun" w:hint="eastAsia"/>
                <w:sz w:val="18"/>
              </w:rPr>
            </w:pPr>
            <w:r>
              <w:rPr>
                <w:rFonts w:hAnsi="SimSun" w:hint="eastAsia"/>
                <w:sz w:val="18"/>
              </w:rPr>
              <w:t>33％</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健康和社会保障部</w:t>
            </w:r>
          </w:p>
        </w:tc>
        <w:tc>
          <w:tcPr>
            <w:tcW w:w="1074" w:type="dxa"/>
          </w:tcPr>
          <w:p w:rsidR="00E96A0B" w:rsidRDefault="00E96A0B">
            <w:pPr>
              <w:spacing w:after="140"/>
              <w:jc w:val="right"/>
              <w:rPr>
                <w:rFonts w:hAnsi="SimSun" w:hint="eastAsia"/>
                <w:sz w:val="18"/>
              </w:rPr>
            </w:pPr>
            <w:r>
              <w:rPr>
                <w:rFonts w:hAnsi="SimSun" w:hint="eastAsia"/>
                <w:sz w:val="18"/>
              </w:rPr>
              <w:t>58％</w:t>
            </w:r>
          </w:p>
        </w:tc>
        <w:tc>
          <w:tcPr>
            <w:tcW w:w="2304" w:type="dxa"/>
          </w:tcPr>
          <w:p w:rsidR="00E96A0B" w:rsidRDefault="00E96A0B">
            <w:pPr>
              <w:spacing w:after="140"/>
              <w:jc w:val="right"/>
              <w:rPr>
                <w:rFonts w:hAnsi="SimSun" w:hint="eastAsia"/>
                <w:sz w:val="18"/>
              </w:rPr>
            </w:pPr>
            <w:r>
              <w:rPr>
                <w:rFonts w:hAnsi="SimSun" w:hint="eastAsia"/>
                <w:sz w:val="18"/>
              </w:rPr>
              <w:t>42％</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工商部</w:t>
            </w:r>
          </w:p>
        </w:tc>
        <w:tc>
          <w:tcPr>
            <w:tcW w:w="1074" w:type="dxa"/>
          </w:tcPr>
          <w:p w:rsidR="00E96A0B" w:rsidRDefault="00E96A0B">
            <w:pPr>
              <w:spacing w:after="140"/>
              <w:jc w:val="right"/>
              <w:rPr>
                <w:rFonts w:hAnsi="SimSun" w:hint="eastAsia"/>
                <w:sz w:val="18"/>
              </w:rPr>
            </w:pPr>
            <w:r>
              <w:rPr>
                <w:rFonts w:hAnsi="SimSun" w:hint="eastAsia"/>
                <w:sz w:val="18"/>
              </w:rPr>
              <w:t>80％</w:t>
            </w:r>
          </w:p>
        </w:tc>
        <w:tc>
          <w:tcPr>
            <w:tcW w:w="2304" w:type="dxa"/>
          </w:tcPr>
          <w:p w:rsidR="00E96A0B" w:rsidRDefault="00E96A0B">
            <w:pPr>
              <w:spacing w:after="140"/>
              <w:jc w:val="right"/>
              <w:rPr>
                <w:rFonts w:hAnsi="SimSun" w:hint="eastAsia"/>
                <w:sz w:val="18"/>
              </w:rPr>
            </w:pPr>
            <w:r>
              <w:rPr>
                <w:rFonts w:hAnsi="SimSun" w:hint="eastAsia"/>
                <w:sz w:val="18"/>
              </w:rPr>
              <w:t>20％</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农业部</w:t>
            </w:r>
          </w:p>
        </w:tc>
        <w:tc>
          <w:tcPr>
            <w:tcW w:w="1074" w:type="dxa"/>
          </w:tcPr>
          <w:p w:rsidR="00E96A0B" w:rsidRDefault="00E96A0B">
            <w:pPr>
              <w:spacing w:after="140"/>
              <w:jc w:val="right"/>
              <w:rPr>
                <w:rFonts w:hAnsi="SimSun" w:hint="eastAsia"/>
                <w:sz w:val="18"/>
              </w:rPr>
            </w:pPr>
            <w:r>
              <w:rPr>
                <w:rFonts w:hAnsi="SimSun" w:hint="eastAsia"/>
                <w:sz w:val="18"/>
              </w:rPr>
              <w:t>86％</w:t>
            </w:r>
          </w:p>
        </w:tc>
        <w:tc>
          <w:tcPr>
            <w:tcW w:w="2304" w:type="dxa"/>
          </w:tcPr>
          <w:p w:rsidR="00E96A0B" w:rsidRDefault="00E96A0B">
            <w:pPr>
              <w:spacing w:after="140"/>
              <w:jc w:val="right"/>
              <w:rPr>
                <w:rFonts w:hAnsi="SimSun" w:hint="eastAsia"/>
                <w:sz w:val="18"/>
              </w:rPr>
            </w:pPr>
            <w:r>
              <w:rPr>
                <w:rFonts w:hAnsi="SimSun" w:hint="eastAsia"/>
                <w:sz w:val="18"/>
              </w:rPr>
              <w:t>14％</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教育、科学和文化部</w:t>
            </w:r>
          </w:p>
        </w:tc>
        <w:tc>
          <w:tcPr>
            <w:tcW w:w="1074" w:type="dxa"/>
          </w:tcPr>
          <w:p w:rsidR="00E96A0B" w:rsidRDefault="00E96A0B">
            <w:pPr>
              <w:spacing w:after="140"/>
              <w:jc w:val="right"/>
              <w:rPr>
                <w:rFonts w:hAnsi="SimSun" w:hint="eastAsia"/>
                <w:sz w:val="18"/>
              </w:rPr>
            </w:pPr>
            <w:r>
              <w:rPr>
                <w:rFonts w:hAnsi="SimSun" w:hint="eastAsia"/>
                <w:sz w:val="18"/>
              </w:rPr>
              <w:t>66％</w:t>
            </w:r>
          </w:p>
        </w:tc>
        <w:tc>
          <w:tcPr>
            <w:tcW w:w="2304" w:type="dxa"/>
          </w:tcPr>
          <w:p w:rsidR="00E96A0B" w:rsidRDefault="00E96A0B">
            <w:pPr>
              <w:spacing w:after="140"/>
              <w:jc w:val="right"/>
              <w:rPr>
                <w:rFonts w:hAnsi="SimSun" w:hint="eastAsia"/>
                <w:sz w:val="18"/>
              </w:rPr>
            </w:pPr>
            <w:r>
              <w:rPr>
                <w:rFonts w:hAnsi="SimSun" w:hint="eastAsia"/>
                <w:sz w:val="18"/>
              </w:rPr>
              <w:t>34％</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交通部</w:t>
            </w:r>
          </w:p>
        </w:tc>
        <w:tc>
          <w:tcPr>
            <w:tcW w:w="1074" w:type="dxa"/>
          </w:tcPr>
          <w:p w:rsidR="00E96A0B" w:rsidRDefault="00E96A0B">
            <w:pPr>
              <w:spacing w:after="140"/>
              <w:jc w:val="right"/>
              <w:rPr>
                <w:rFonts w:hAnsi="SimSun" w:hint="eastAsia"/>
                <w:sz w:val="18"/>
              </w:rPr>
            </w:pPr>
            <w:r>
              <w:rPr>
                <w:rFonts w:hAnsi="SimSun" w:hint="eastAsia"/>
                <w:sz w:val="18"/>
              </w:rPr>
              <w:t>90％</w:t>
            </w:r>
          </w:p>
        </w:tc>
        <w:tc>
          <w:tcPr>
            <w:tcW w:w="2304" w:type="dxa"/>
          </w:tcPr>
          <w:p w:rsidR="00E96A0B" w:rsidRDefault="00E96A0B">
            <w:pPr>
              <w:spacing w:after="140"/>
              <w:jc w:val="right"/>
              <w:rPr>
                <w:rFonts w:hAnsi="SimSun" w:hint="eastAsia"/>
                <w:sz w:val="18"/>
              </w:rPr>
            </w:pPr>
            <w:r>
              <w:rPr>
                <w:rFonts w:hAnsi="SimSun" w:hint="eastAsia"/>
                <w:sz w:val="18"/>
              </w:rPr>
              <w:t>10％</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渔业部</w:t>
            </w:r>
          </w:p>
        </w:tc>
        <w:tc>
          <w:tcPr>
            <w:tcW w:w="1074" w:type="dxa"/>
          </w:tcPr>
          <w:p w:rsidR="00E96A0B" w:rsidRDefault="00E96A0B">
            <w:pPr>
              <w:spacing w:after="140"/>
              <w:jc w:val="right"/>
              <w:rPr>
                <w:rFonts w:hAnsi="SimSun" w:hint="eastAsia"/>
                <w:sz w:val="18"/>
              </w:rPr>
            </w:pPr>
            <w:r>
              <w:rPr>
                <w:rFonts w:hAnsi="SimSun" w:hint="eastAsia"/>
                <w:sz w:val="18"/>
              </w:rPr>
              <w:t>84％</w:t>
            </w:r>
          </w:p>
        </w:tc>
        <w:tc>
          <w:tcPr>
            <w:tcW w:w="2304" w:type="dxa"/>
          </w:tcPr>
          <w:p w:rsidR="00E96A0B" w:rsidRDefault="00E96A0B">
            <w:pPr>
              <w:spacing w:after="140"/>
              <w:jc w:val="right"/>
              <w:rPr>
                <w:rFonts w:hAnsi="SimSun" w:hint="eastAsia"/>
                <w:sz w:val="18"/>
              </w:rPr>
            </w:pPr>
            <w:r>
              <w:rPr>
                <w:rFonts w:hAnsi="SimSun" w:hint="eastAsia"/>
                <w:sz w:val="18"/>
              </w:rPr>
              <w:t>16％</w:t>
            </w:r>
          </w:p>
        </w:tc>
      </w:tr>
      <w:tr w:rsidR="00E96A0B">
        <w:tblPrEx>
          <w:tblCellMar>
            <w:top w:w="0" w:type="dxa"/>
            <w:bottom w:w="0" w:type="dxa"/>
          </w:tblCellMar>
        </w:tblPrEx>
        <w:trPr>
          <w:trHeight w:val="192"/>
        </w:trPr>
        <w:tc>
          <w:tcPr>
            <w:tcW w:w="3972" w:type="dxa"/>
          </w:tcPr>
          <w:p w:rsidR="00E96A0B" w:rsidRDefault="00E96A0B">
            <w:pPr>
              <w:spacing w:after="140"/>
              <w:jc w:val="both"/>
              <w:rPr>
                <w:rFonts w:hAnsi="SimSun" w:hint="eastAsia"/>
                <w:sz w:val="18"/>
              </w:rPr>
            </w:pPr>
            <w:r>
              <w:rPr>
                <w:rFonts w:hAnsi="SimSun" w:hint="eastAsia"/>
                <w:sz w:val="18"/>
              </w:rPr>
              <w:t>环境部</w:t>
            </w:r>
          </w:p>
        </w:tc>
        <w:tc>
          <w:tcPr>
            <w:tcW w:w="1074" w:type="dxa"/>
          </w:tcPr>
          <w:p w:rsidR="00E96A0B" w:rsidRDefault="00E96A0B">
            <w:pPr>
              <w:spacing w:after="140"/>
              <w:jc w:val="right"/>
              <w:rPr>
                <w:rFonts w:hAnsi="SimSun" w:hint="eastAsia"/>
                <w:sz w:val="18"/>
              </w:rPr>
            </w:pPr>
            <w:r>
              <w:rPr>
                <w:rFonts w:hAnsi="SimSun" w:hint="eastAsia"/>
                <w:sz w:val="18"/>
              </w:rPr>
              <w:t>74％</w:t>
            </w:r>
          </w:p>
        </w:tc>
        <w:tc>
          <w:tcPr>
            <w:tcW w:w="2304" w:type="dxa"/>
          </w:tcPr>
          <w:p w:rsidR="00E96A0B" w:rsidRDefault="00E96A0B">
            <w:pPr>
              <w:spacing w:after="140"/>
              <w:jc w:val="right"/>
              <w:rPr>
                <w:rFonts w:hAnsi="SimSun" w:hint="eastAsia"/>
                <w:sz w:val="18"/>
              </w:rPr>
            </w:pPr>
            <w:r>
              <w:rPr>
                <w:rFonts w:hAnsi="SimSun" w:hint="eastAsia"/>
                <w:sz w:val="18"/>
              </w:rPr>
              <w:t>26％</w:t>
            </w:r>
          </w:p>
        </w:tc>
      </w:tr>
      <w:tr w:rsidR="00E96A0B">
        <w:tblPrEx>
          <w:tblCellMar>
            <w:top w:w="0" w:type="dxa"/>
            <w:bottom w:w="0" w:type="dxa"/>
          </w:tblCellMar>
        </w:tblPrEx>
        <w:trPr>
          <w:trHeight w:val="192"/>
        </w:trPr>
        <w:tc>
          <w:tcPr>
            <w:tcW w:w="3972" w:type="dxa"/>
            <w:tcBorders>
              <w:bottom w:val="single" w:sz="4" w:space="0" w:color="auto"/>
            </w:tcBorders>
          </w:tcPr>
          <w:p w:rsidR="00E96A0B" w:rsidRDefault="00E96A0B">
            <w:pPr>
              <w:spacing w:after="140"/>
              <w:jc w:val="both"/>
              <w:rPr>
                <w:rFonts w:hAnsi="SimSun" w:hint="eastAsia"/>
                <w:sz w:val="18"/>
              </w:rPr>
            </w:pPr>
            <w:r>
              <w:rPr>
                <w:rFonts w:hAnsi="SimSun" w:hint="eastAsia"/>
                <w:sz w:val="18"/>
              </w:rPr>
              <w:t>外交部</w:t>
            </w:r>
          </w:p>
        </w:tc>
        <w:tc>
          <w:tcPr>
            <w:tcW w:w="1074" w:type="dxa"/>
            <w:tcBorders>
              <w:bottom w:val="single" w:sz="4" w:space="0" w:color="auto"/>
            </w:tcBorders>
          </w:tcPr>
          <w:p w:rsidR="00E96A0B" w:rsidRDefault="00E96A0B">
            <w:pPr>
              <w:spacing w:after="140"/>
              <w:jc w:val="right"/>
              <w:rPr>
                <w:rFonts w:hAnsi="SimSun" w:hint="eastAsia"/>
                <w:sz w:val="18"/>
              </w:rPr>
            </w:pPr>
            <w:r>
              <w:rPr>
                <w:rFonts w:hAnsi="SimSun" w:hint="eastAsia"/>
                <w:sz w:val="18"/>
              </w:rPr>
              <w:t>86％</w:t>
            </w:r>
          </w:p>
        </w:tc>
        <w:tc>
          <w:tcPr>
            <w:tcW w:w="2304" w:type="dxa"/>
            <w:tcBorders>
              <w:bottom w:val="single" w:sz="4" w:space="0" w:color="auto"/>
            </w:tcBorders>
          </w:tcPr>
          <w:p w:rsidR="00E96A0B" w:rsidRDefault="00E96A0B">
            <w:pPr>
              <w:spacing w:after="140"/>
              <w:jc w:val="right"/>
              <w:rPr>
                <w:rFonts w:hAnsi="SimSun" w:hint="eastAsia"/>
                <w:sz w:val="18"/>
              </w:rPr>
            </w:pPr>
            <w:r>
              <w:rPr>
                <w:rFonts w:hAnsi="SimSun" w:hint="eastAsia"/>
                <w:sz w:val="18"/>
              </w:rPr>
              <w:t>14％</w:t>
            </w:r>
          </w:p>
        </w:tc>
      </w:tr>
      <w:tr w:rsidR="00E96A0B">
        <w:tblPrEx>
          <w:tblCellMar>
            <w:top w:w="0" w:type="dxa"/>
            <w:bottom w:w="0" w:type="dxa"/>
          </w:tblCellMar>
        </w:tblPrEx>
        <w:trPr>
          <w:trHeight w:val="192"/>
        </w:trPr>
        <w:tc>
          <w:tcPr>
            <w:tcW w:w="3972" w:type="dxa"/>
            <w:tcBorders>
              <w:top w:val="single" w:sz="4" w:space="0" w:color="auto"/>
              <w:bottom w:val="single" w:sz="12" w:space="0" w:color="auto"/>
            </w:tcBorders>
          </w:tcPr>
          <w:p w:rsidR="00E96A0B" w:rsidRDefault="00E96A0B">
            <w:pPr>
              <w:spacing w:after="140"/>
              <w:rPr>
                <w:rFonts w:ascii="SimHei" w:eastAsia="SimHei" w:hAnsi="SimSun" w:hint="eastAsia"/>
                <w:color w:val="FF0000"/>
                <w:sz w:val="18"/>
              </w:rPr>
            </w:pPr>
            <w:r>
              <w:rPr>
                <w:rFonts w:ascii="SimHei" w:eastAsia="SimHei" w:hAnsi="SimSun"/>
                <w:color w:val="FF0000"/>
                <w:sz w:val="18"/>
              </w:rPr>
              <w:t xml:space="preserve">    </w:t>
            </w:r>
            <w:r>
              <w:rPr>
                <w:rFonts w:ascii="SimHei" w:eastAsia="SimHei" w:hAnsi="SimSun" w:hint="eastAsia"/>
                <w:color w:val="FF0000"/>
                <w:sz w:val="18"/>
              </w:rPr>
              <w:t>合计</w:t>
            </w:r>
          </w:p>
        </w:tc>
        <w:tc>
          <w:tcPr>
            <w:tcW w:w="1074" w:type="dxa"/>
            <w:tcBorders>
              <w:top w:val="single" w:sz="4" w:space="0" w:color="auto"/>
              <w:bottom w:val="single" w:sz="12" w:space="0" w:color="auto"/>
            </w:tcBorders>
          </w:tcPr>
          <w:p w:rsidR="00E96A0B" w:rsidRDefault="00E96A0B">
            <w:pPr>
              <w:spacing w:after="140"/>
              <w:jc w:val="right"/>
              <w:rPr>
                <w:rFonts w:ascii="SimHei" w:eastAsia="SimHei" w:hAnsi="SimSun" w:hint="eastAsia"/>
                <w:color w:val="FF0000"/>
                <w:sz w:val="18"/>
              </w:rPr>
            </w:pPr>
            <w:r>
              <w:rPr>
                <w:rFonts w:ascii="SimHei" w:eastAsia="SimHei" w:hAnsi="SimSun" w:hint="eastAsia"/>
                <w:color w:val="FF0000"/>
                <w:sz w:val="18"/>
              </w:rPr>
              <w:t>70％</w:t>
            </w:r>
          </w:p>
        </w:tc>
        <w:tc>
          <w:tcPr>
            <w:tcW w:w="2304" w:type="dxa"/>
            <w:tcBorders>
              <w:top w:val="single" w:sz="4" w:space="0" w:color="auto"/>
              <w:bottom w:val="single" w:sz="12" w:space="0" w:color="auto"/>
            </w:tcBorders>
          </w:tcPr>
          <w:p w:rsidR="00E96A0B" w:rsidRDefault="00E96A0B">
            <w:pPr>
              <w:spacing w:after="140"/>
              <w:jc w:val="right"/>
              <w:rPr>
                <w:rFonts w:ascii="SimHei" w:eastAsia="SimHei" w:hAnsi="SimSun" w:hint="eastAsia"/>
                <w:color w:val="FF0000"/>
                <w:sz w:val="18"/>
              </w:rPr>
            </w:pPr>
            <w:r>
              <w:rPr>
                <w:rFonts w:ascii="SimHei" w:eastAsia="SimHei" w:hAnsi="SimSun" w:hint="eastAsia"/>
                <w:color w:val="FF0000"/>
                <w:sz w:val="18"/>
              </w:rPr>
              <w:t>30％</w:t>
            </w:r>
          </w:p>
        </w:tc>
      </w:tr>
    </w:tbl>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hAnsi="SimSun" w:hint="eastAsia"/>
        </w:rPr>
      </w:pPr>
      <w:r>
        <w:rPr>
          <w:rFonts w:hAnsi="SimSun" w:hint="eastAsia"/>
        </w:rPr>
        <w:t>1998年的政府行动纲领中没有男女的数额限制。只在一份综述中提到，各部的目标是努力使各公共委员会和部门中的男女代表比例相同。根据第96/2000号《两性平等法》第20条的规定，只要可能，就应努力保证男女在政府和地方当局的委员会、部门和理事会中的比例大致相当。每次相关的委员会、部门和理事会进行任命时，都要考虑到这一点。在政府2002－2003年度的行动纲领中，相应比例还没有达到40/60％的部现在以此为目标。</w:t>
      </w:r>
    </w:p>
    <w:p w:rsidR="00E96A0B" w:rsidRDefault="00E96A0B" w:rsidP="004907F9">
      <w:pPr>
        <w:spacing w:after="140"/>
        <w:ind w:left="1264" w:right="1264" w:firstLineChars="200" w:firstLine="31680"/>
        <w:jc w:val="both"/>
        <w:rPr>
          <w:rFonts w:hAnsi="SimSun" w:hint="eastAsia"/>
        </w:rPr>
      </w:pPr>
      <w:r>
        <w:rPr>
          <w:rFonts w:hAnsi="SimSun" w:hint="eastAsia"/>
        </w:rPr>
        <w:t>2002年5月的地方政府选举后，19％的市政执行主任以及22％的市议会领导是妇女。</w:t>
      </w:r>
    </w:p>
    <w:p w:rsidR="00E96A0B" w:rsidRDefault="00E96A0B" w:rsidP="004907F9">
      <w:pPr>
        <w:spacing w:after="140"/>
        <w:ind w:left="1264" w:right="1264" w:firstLineChars="200" w:firstLine="31680"/>
        <w:jc w:val="both"/>
        <w:rPr>
          <w:rFonts w:hAnsi="SimSun" w:hint="eastAsia"/>
        </w:rPr>
      </w:pPr>
      <w:r>
        <w:rPr>
          <w:rFonts w:hAnsi="SimSun" w:hint="eastAsia"/>
        </w:rPr>
        <w:t>2003年1月，男女法官的比例为，在总计38名地区法院法官中，男法官为29名，女法官为9名。助理法官的总数为12，其中5名女性，7名男性。最高法院共有9名法官，其中2名女法官，7名男法官。</w:t>
      </w:r>
    </w:p>
    <w:p w:rsidR="00E96A0B" w:rsidRDefault="00E96A0B" w:rsidP="004907F9">
      <w:pPr>
        <w:spacing w:after="140"/>
        <w:ind w:left="1264" w:right="1264" w:firstLineChars="200" w:firstLine="31680"/>
        <w:jc w:val="both"/>
        <w:rPr>
          <w:rFonts w:hAnsi="SimSun" w:hint="eastAsia"/>
        </w:rPr>
      </w:pPr>
      <w:r>
        <w:rPr>
          <w:rFonts w:hAnsi="SimSun" w:hint="eastAsia"/>
        </w:rPr>
        <w:t>总理任命了一个委员会，以检查公共决策中的男女平等问题，该委员会于2001年初开始工作。该委员会发现，公共决策工作中开始越来越多地考虑男女平等问题，尽管有些例子证明还没有给予这种因素以足够的重视。按照该委员会的观点，对男女平等和“主流”的方法的知识是公共决策过程中所缺乏的众多因素之一。委员会强调对以各种形式参与决策的中央和地方公务员进行有关男女平等和主流化的进一步教育并提高其认识非常重要。此外，委员会还意识到各部的男女平等协调员在确保公共决策过程中实行男女平等发挥了积极作用。（另见第3条下的讨论。）</w:t>
      </w:r>
    </w:p>
    <w:p w:rsidR="00E96A0B" w:rsidRDefault="00E96A0B" w:rsidP="004907F9">
      <w:pPr>
        <w:spacing w:after="140"/>
        <w:ind w:left="1264" w:right="1264" w:firstLineChars="200" w:firstLine="31680"/>
        <w:jc w:val="both"/>
        <w:rPr>
          <w:rFonts w:hAnsi="SimSun" w:hint="eastAsia"/>
        </w:rPr>
      </w:pPr>
      <w:r>
        <w:rPr>
          <w:rFonts w:hAnsi="SimSun" w:hint="eastAsia"/>
        </w:rPr>
        <w:t>男女平等委员会和男女平等官员在最大的地方政府区域内非常活跃。在一些其他地区也建立了特别男女平等委员会；在较小的地方政府区域，委托社会事务委员会完成男女平等领域的工作。</w:t>
      </w:r>
    </w:p>
    <w:p w:rsidR="00E96A0B" w:rsidRDefault="00E96A0B" w:rsidP="004907F9">
      <w:pPr>
        <w:spacing w:after="140"/>
        <w:ind w:left="1264" w:right="1264" w:firstLineChars="200" w:firstLine="31680"/>
        <w:jc w:val="both"/>
        <w:rPr>
          <w:rFonts w:hAnsi="SimSun" w:hint="eastAsia"/>
        </w:rPr>
      </w:pPr>
      <w:r>
        <w:rPr>
          <w:rFonts w:hAnsi="SimSun" w:hint="eastAsia"/>
        </w:rPr>
        <w:t>委员会关于妇女经济权力的提案，请进一步参考第3条下的讨论。</w:t>
      </w:r>
    </w:p>
    <w:p w:rsidR="00E96A0B" w:rsidRDefault="00E96A0B" w:rsidP="004907F9">
      <w:pPr>
        <w:pStyle w:val="H1"/>
        <w:spacing w:afterLines="50" w:after="156"/>
        <w:ind w:leftChars="600" w:left="31680" w:rightChars="600" w:right="31680"/>
        <w:rPr>
          <w:rFonts w:hint="eastAsia"/>
        </w:rPr>
      </w:pPr>
      <w:r>
        <w:rPr>
          <w:rFonts w:hint="eastAsia"/>
        </w:rPr>
        <w:t>第8条</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各部和政府机构工作的妇女和男子在代表政府参与国际事务以及参加国际组织方面享有相同的机会。没有关于冰岛政府代表团男女比例的资料，可是由于冰岛的行政部门很小，因此冰岛代表团的规模通常很小，往往只有一两名成员。一个特定工作人员是否代表冰岛政府参加特定的海外合作机构取决于该人员所涉及的专业领域。</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外交和维持和平行动中的妇女</w:t>
      </w:r>
    </w:p>
    <w:p w:rsidR="00E96A0B" w:rsidRDefault="00E96A0B" w:rsidP="004907F9">
      <w:pPr>
        <w:spacing w:after="140"/>
        <w:ind w:left="1264" w:right="1264" w:firstLineChars="200" w:firstLine="31680"/>
        <w:jc w:val="both"/>
        <w:rPr>
          <w:rFonts w:hAnsi="SimSun" w:hint="eastAsia"/>
        </w:rPr>
      </w:pPr>
      <w:r>
        <w:rPr>
          <w:rFonts w:hAnsi="SimSun" w:hint="eastAsia"/>
        </w:rPr>
        <w:t>在外交界男女晋级的正式机会应是平等的。但是，1980年之前，冰岛外交界中担任高级职务的妇女人数有限，这是因为没有多少妇女提出申请。还应考虑到，人员在担任高级职位之前通常要在本领域工作一段时间。</w:t>
      </w:r>
    </w:p>
    <w:p w:rsidR="00E96A0B" w:rsidRDefault="00E96A0B">
      <w:pPr>
        <w:widowControl w:val="0"/>
        <w:spacing w:after="140"/>
        <w:ind w:left="1264" w:right="1264"/>
        <w:jc w:val="both"/>
        <w:rPr>
          <w:rFonts w:ascii="SimHei" w:eastAsia="SimHei" w:hint="eastAsia"/>
          <w:color w:val="FF0000"/>
          <w:kern w:val="2"/>
          <w:szCs w:val="24"/>
        </w:rPr>
      </w:pPr>
      <w:r>
        <w:rPr>
          <w:rFonts w:hint="eastAsia"/>
        </w:rPr>
        <w:t>表4</w:t>
      </w:r>
      <w:r>
        <w:rPr>
          <w:rFonts w:ascii="SimHei" w:eastAsia="SimHei" w:hint="eastAsia"/>
          <w:color w:val="FF0000"/>
          <w:kern w:val="2"/>
          <w:szCs w:val="24"/>
        </w:rPr>
        <w:t xml:space="preserve">  </w:t>
      </w:r>
      <w:r>
        <w:rPr>
          <w:rFonts w:ascii="SimHei" w:eastAsia="SimHei"/>
          <w:color w:val="FF0000"/>
          <w:kern w:val="2"/>
          <w:szCs w:val="24"/>
        </w:rPr>
        <w:br/>
      </w:r>
      <w:r>
        <w:rPr>
          <w:rFonts w:ascii="SimHei" w:eastAsia="SimHei" w:hint="eastAsia"/>
          <w:color w:val="FF0000"/>
          <w:kern w:val="2"/>
          <w:szCs w:val="24"/>
        </w:rPr>
        <w:t>2002年冰岛外交界的妇女和男子</w:t>
      </w:r>
    </w:p>
    <w:tbl>
      <w:tblPr>
        <w:tblW w:w="0" w:type="auto"/>
        <w:tblInd w:w="1368" w:type="dxa"/>
        <w:tblLook w:val="0000" w:firstRow="0" w:lastRow="0" w:firstColumn="0" w:lastColumn="0" w:noHBand="0" w:noVBand="0"/>
      </w:tblPr>
      <w:tblGrid>
        <w:gridCol w:w="1995"/>
        <w:gridCol w:w="1071"/>
        <w:gridCol w:w="1071"/>
        <w:gridCol w:w="1071"/>
        <w:gridCol w:w="1071"/>
        <w:gridCol w:w="1071"/>
      </w:tblGrid>
      <w:tr w:rsidR="00E96A0B">
        <w:tblPrEx>
          <w:tblCellMar>
            <w:top w:w="0" w:type="dxa"/>
            <w:bottom w:w="0" w:type="dxa"/>
          </w:tblCellMar>
        </w:tblPrEx>
        <w:trPr>
          <w:trHeight w:val="312"/>
        </w:trPr>
        <w:tc>
          <w:tcPr>
            <w:tcW w:w="1995" w:type="dxa"/>
            <w:tcBorders>
              <w:top w:val="single" w:sz="4" w:space="0" w:color="auto"/>
              <w:bottom w:val="single" w:sz="12" w:space="0" w:color="auto"/>
            </w:tcBorders>
          </w:tcPr>
          <w:p w:rsidR="00E96A0B" w:rsidRDefault="00E96A0B">
            <w:pPr>
              <w:spacing w:line="240" w:lineRule="exact"/>
              <w:jc w:val="both"/>
              <w:rPr>
                <w:rFonts w:ascii="KaiTi_GB2312" w:eastAsia="KaiTi_GB2312" w:hint="eastAsia"/>
                <w:color w:val="0000FF"/>
                <w:sz w:val="15"/>
              </w:rPr>
            </w:pPr>
            <w:r>
              <w:rPr>
                <w:rFonts w:ascii="KaiTi_GB2312" w:eastAsia="KaiTi_GB2312" w:hint="eastAsia"/>
                <w:color w:val="0000FF"/>
                <w:sz w:val="15"/>
              </w:rPr>
              <w:t>职务</w:t>
            </w:r>
          </w:p>
        </w:tc>
        <w:tc>
          <w:tcPr>
            <w:tcW w:w="1071" w:type="dxa"/>
            <w:tcBorders>
              <w:top w:val="single" w:sz="4" w:space="0" w:color="auto"/>
              <w:bottom w:val="single" w:sz="12" w:space="0" w:color="auto"/>
            </w:tcBorders>
          </w:tcPr>
          <w:p w:rsidR="00E96A0B" w:rsidRDefault="00E96A0B">
            <w:pPr>
              <w:spacing w:line="240" w:lineRule="exact"/>
              <w:jc w:val="center"/>
              <w:rPr>
                <w:rFonts w:ascii="KaiTi_GB2312" w:eastAsia="KaiTi_GB2312" w:hint="eastAsia"/>
                <w:color w:val="0000FF"/>
                <w:sz w:val="15"/>
              </w:rPr>
            </w:pPr>
            <w:r>
              <w:rPr>
                <w:rFonts w:ascii="KaiTi_GB2312" w:eastAsia="KaiTi_GB2312" w:hint="eastAsia"/>
                <w:color w:val="0000FF"/>
                <w:sz w:val="15"/>
              </w:rPr>
              <w:t>女</w:t>
            </w:r>
          </w:p>
        </w:tc>
        <w:tc>
          <w:tcPr>
            <w:tcW w:w="1071" w:type="dxa"/>
            <w:tcBorders>
              <w:top w:val="single" w:sz="4" w:space="0" w:color="auto"/>
              <w:bottom w:val="single" w:sz="12" w:space="0" w:color="auto"/>
            </w:tcBorders>
          </w:tcPr>
          <w:p w:rsidR="00E96A0B" w:rsidRDefault="00E96A0B">
            <w:pPr>
              <w:spacing w:line="240" w:lineRule="exact"/>
              <w:jc w:val="center"/>
              <w:rPr>
                <w:rFonts w:ascii="KaiTi_GB2312" w:eastAsia="KaiTi_GB2312" w:hint="eastAsia"/>
                <w:color w:val="0000FF"/>
                <w:sz w:val="15"/>
              </w:rPr>
            </w:pPr>
            <w:r>
              <w:rPr>
                <w:rFonts w:ascii="KaiTi_GB2312" w:eastAsia="KaiTi_GB2312" w:hint="eastAsia"/>
                <w:color w:val="0000FF"/>
                <w:sz w:val="15"/>
              </w:rPr>
              <w:t>男</w:t>
            </w:r>
          </w:p>
        </w:tc>
        <w:tc>
          <w:tcPr>
            <w:tcW w:w="1071" w:type="dxa"/>
            <w:tcBorders>
              <w:top w:val="single" w:sz="4" w:space="0" w:color="auto"/>
              <w:bottom w:val="single" w:sz="12" w:space="0" w:color="auto"/>
            </w:tcBorders>
          </w:tcPr>
          <w:p w:rsidR="00E96A0B" w:rsidRDefault="00E96A0B">
            <w:pPr>
              <w:spacing w:line="240" w:lineRule="exact"/>
              <w:jc w:val="center"/>
              <w:rPr>
                <w:rFonts w:ascii="KaiTi_GB2312" w:eastAsia="KaiTi_GB2312" w:hint="eastAsia"/>
                <w:color w:val="0000FF"/>
                <w:sz w:val="15"/>
              </w:rPr>
            </w:pPr>
            <w:r>
              <w:rPr>
                <w:rFonts w:ascii="KaiTi_GB2312" w:eastAsia="KaiTi_GB2312" w:hint="eastAsia"/>
                <w:color w:val="0000FF"/>
                <w:sz w:val="15"/>
              </w:rPr>
              <w:t>共计</w:t>
            </w:r>
          </w:p>
        </w:tc>
        <w:tc>
          <w:tcPr>
            <w:tcW w:w="1071" w:type="dxa"/>
            <w:tcBorders>
              <w:top w:val="single" w:sz="4" w:space="0" w:color="auto"/>
              <w:bottom w:val="single" w:sz="12" w:space="0" w:color="auto"/>
            </w:tcBorders>
          </w:tcPr>
          <w:p w:rsidR="00E96A0B" w:rsidRDefault="00E96A0B">
            <w:pPr>
              <w:spacing w:line="240" w:lineRule="exact"/>
              <w:jc w:val="center"/>
              <w:rPr>
                <w:rFonts w:ascii="KaiTi_GB2312" w:eastAsia="KaiTi_GB2312" w:hint="eastAsia"/>
                <w:color w:val="0000FF"/>
                <w:sz w:val="15"/>
              </w:rPr>
            </w:pPr>
            <w:r>
              <w:rPr>
                <w:rFonts w:ascii="KaiTi_GB2312" w:eastAsia="KaiTi_GB2312" w:hint="eastAsia"/>
                <w:color w:val="0000FF"/>
                <w:sz w:val="15"/>
              </w:rPr>
              <w:t>女</w:t>
            </w:r>
            <w:r>
              <w:rPr>
                <w:rFonts w:ascii="KaiTi_GB2312" w:eastAsia="KaiTi_GB2312"/>
                <w:color w:val="0000FF"/>
                <w:sz w:val="15"/>
              </w:rPr>
              <w:t xml:space="preserve"> </w:t>
            </w:r>
            <w:r>
              <w:rPr>
                <w:rFonts w:ascii="KaiTi_GB2312" w:eastAsia="KaiTi_GB2312" w:hint="eastAsia"/>
                <w:color w:val="0000FF"/>
                <w:sz w:val="15"/>
              </w:rPr>
              <w:t>％</w:t>
            </w:r>
          </w:p>
        </w:tc>
        <w:tc>
          <w:tcPr>
            <w:tcW w:w="1071" w:type="dxa"/>
            <w:tcBorders>
              <w:top w:val="single" w:sz="4" w:space="0" w:color="auto"/>
              <w:bottom w:val="single" w:sz="12" w:space="0" w:color="auto"/>
            </w:tcBorders>
          </w:tcPr>
          <w:p w:rsidR="00E96A0B" w:rsidRDefault="00E96A0B">
            <w:pPr>
              <w:spacing w:line="240" w:lineRule="exact"/>
              <w:jc w:val="center"/>
              <w:rPr>
                <w:rFonts w:ascii="KaiTi_GB2312" w:eastAsia="KaiTi_GB2312" w:hint="eastAsia"/>
                <w:color w:val="0000FF"/>
                <w:sz w:val="15"/>
              </w:rPr>
            </w:pPr>
            <w:r>
              <w:rPr>
                <w:rFonts w:ascii="KaiTi_GB2312" w:eastAsia="KaiTi_GB2312" w:hint="eastAsia"/>
                <w:color w:val="0000FF"/>
                <w:sz w:val="15"/>
              </w:rPr>
              <w:t>男</w:t>
            </w:r>
            <w:r>
              <w:rPr>
                <w:rFonts w:ascii="KaiTi_GB2312" w:eastAsia="KaiTi_GB2312"/>
                <w:color w:val="0000FF"/>
                <w:sz w:val="15"/>
              </w:rPr>
              <w:t xml:space="preserve"> </w:t>
            </w:r>
            <w:r>
              <w:rPr>
                <w:rFonts w:ascii="KaiTi_GB2312" w:eastAsia="KaiTi_GB2312" w:hint="eastAsia"/>
                <w:color w:val="0000FF"/>
                <w:sz w:val="15"/>
              </w:rPr>
              <w:t>％</w:t>
            </w:r>
          </w:p>
        </w:tc>
      </w:tr>
      <w:tr w:rsidR="00E96A0B">
        <w:tblPrEx>
          <w:tblCellMar>
            <w:top w:w="0" w:type="dxa"/>
            <w:bottom w:w="0" w:type="dxa"/>
          </w:tblCellMar>
        </w:tblPrEx>
        <w:trPr>
          <w:trHeight w:val="312"/>
        </w:trPr>
        <w:tc>
          <w:tcPr>
            <w:tcW w:w="1995" w:type="dxa"/>
            <w:tcBorders>
              <w:top w:val="single" w:sz="12" w:space="0" w:color="auto"/>
            </w:tcBorders>
          </w:tcPr>
          <w:p w:rsidR="00E96A0B" w:rsidRDefault="00E96A0B">
            <w:pPr>
              <w:spacing w:after="140"/>
              <w:jc w:val="both"/>
              <w:rPr>
                <w:rFonts w:ascii="Times New Roman" w:hint="eastAsia"/>
                <w:sz w:val="18"/>
              </w:rPr>
            </w:pPr>
            <w:r>
              <w:rPr>
                <w:rFonts w:ascii="Times New Roman" w:hint="eastAsia"/>
                <w:sz w:val="18"/>
              </w:rPr>
              <w:t>大使</w:t>
            </w:r>
          </w:p>
        </w:tc>
        <w:tc>
          <w:tcPr>
            <w:tcW w:w="1071" w:type="dxa"/>
            <w:tcBorders>
              <w:top w:val="single" w:sz="12" w:space="0" w:color="auto"/>
            </w:tcBorders>
          </w:tcPr>
          <w:p w:rsidR="00E96A0B" w:rsidRDefault="00E96A0B">
            <w:pPr>
              <w:spacing w:after="140"/>
              <w:jc w:val="center"/>
              <w:rPr>
                <w:rFonts w:ascii="Times New Roman" w:hint="eastAsia"/>
                <w:sz w:val="18"/>
              </w:rPr>
            </w:pPr>
            <w:r>
              <w:rPr>
                <w:rFonts w:ascii="Times New Roman" w:hint="eastAsia"/>
                <w:sz w:val="18"/>
              </w:rPr>
              <w:t>1</w:t>
            </w:r>
          </w:p>
        </w:tc>
        <w:tc>
          <w:tcPr>
            <w:tcW w:w="1071" w:type="dxa"/>
            <w:tcBorders>
              <w:top w:val="single" w:sz="12" w:space="0" w:color="auto"/>
            </w:tcBorders>
          </w:tcPr>
          <w:p w:rsidR="00E96A0B" w:rsidRDefault="00E96A0B">
            <w:pPr>
              <w:spacing w:after="140"/>
              <w:jc w:val="center"/>
              <w:rPr>
                <w:rFonts w:ascii="Times New Roman" w:hint="eastAsia"/>
                <w:sz w:val="18"/>
              </w:rPr>
            </w:pPr>
            <w:r>
              <w:rPr>
                <w:rFonts w:ascii="Times New Roman" w:hint="eastAsia"/>
                <w:sz w:val="18"/>
              </w:rPr>
              <w:t>29</w:t>
            </w:r>
          </w:p>
        </w:tc>
        <w:tc>
          <w:tcPr>
            <w:tcW w:w="1071" w:type="dxa"/>
            <w:tcBorders>
              <w:top w:val="single" w:sz="12" w:space="0" w:color="auto"/>
            </w:tcBorders>
          </w:tcPr>
          <w:p w:rsidR="00E96A0B" w:rsidRDefault="00E96A0B">
            <w:pPr>
              <w:spacing w:after="140"/>
              <w:jc w:val="center"/>
              <w:rPr>
                <w:rFonts w:ascii="Times New Roman" w:hint="eastAsia"/>
                <w:sz w:val="18"/>
              </w:rPr>
            </w:pPr>
            <w:r>
              <w:rPr>
                <w:rFonts w:ascii="Times New Roman" w:hint="eastAsia"/>
                <w:sz w:val="18"/>
              </w:rPr>
              <w:t>30</w:t>
            </w:r>
          </w:p>
        </w:tc>
        <w:tc>
          <w:tcPr>
            <w:tcW w:w="1071" w:type="dxa"/>
            <w:tcBorders>
              <w:top w:val="single" w:sz="12" w:space="0" w:color="auto"/>
            </w:tcBorders>
          </w:tcPr>
          <w:p w:rsidR="00E96A0B" w:rsidRDefault="00E96A0B">
            <w:pPr>
              <w:spacing w:after="140"/>
              <w:jc w:val="center"/>
              <w:rPr>
                <w:rFonts w:ascii="Times New Roman" w:hint="eastAsia"/>
                <w:sz w:val="18"/>
              </w:rPr>
            </w:pPr>
            <w:r>
              <w:rPr>
                <w:rFonts w:ascii="Times New Roman" w:hint="eastAsia"/>
                <w:sz w:val="18"/>
              </w:rPr>
              <w:t>3.3</w:t>
            </w:r>
          </w:p>
        </w:tc>
        <w:tc>
          <w:tcPr>
            <w:tcW w:w="1071" w:type="dxa"/>
            <w:tcBorders>
              <w:top w:val="single" w:sz="12" w:space="0" w:color="auto"/>
            </w:tcBorders>
          </w:tcPr>
          <w:p w:rsidR="00E96A0B" w:rsidRDefault="00E96A0B">
            <w:pPr>
              <w:spacing w:after="140"/>
              <w:jc w:val="center"/>
              <w:rPr>
                <w:rFonts w:ascii="Times New Roman" w:hint="eastAsia"/>
                <w:sz w:val="18"/>
              </w:rPr>
            </w:pPr>
            <w:r>
              <w:rPr>
                <w:rFonts w:ascii="Times New Roman" w:hint="eastAsia"/>
                <w:sz w:val="18"/>
              </w:rPr>
              <w:t>96.7</w:t>
            </w:r>
          </w:p>
        </w:tc>
      </w:tr>
      <w:tr w:rsidR="00E96A0B">
        <w:tblPrEx>
          <w:tblCellMar>
            <w:top w:w="0" w:type="dxa"/>
            <w:bottom w:w="0" w:type="dxa"/>
          </w:tblCellMar>
        </w:tblPrEx>
        <w:trPr>
          <w:trHeight w:val="312"/>
        </w:trPr>
        <w:tc>
          <w:tcPr>
            <w:tcW w:w="1995" w:type="dxa"/>
          </w:tcPr>
          <w:p w:rsidR="00E96A0B" w:rsidRDefault="00E96A0B">
            <w:pPr>
              <w:spacing w:after="140"/>
              <w:jc w:val="both"/>
              <w:rPr>
                <w:rFonts w:ascii="Times New Roman" w:hint="eastAsia"/>
                <w:sz w:val="18"/>
              </w:rPr>
            </w:pPr>
            <w:r>
              <w:rPr>
                <w:rFonts w:ascii="Times New Roman" w:hint="eastAsia"/>
                <w:sz w:val="18"/>
              </w:rPr>
              <w:t>公使衔参赞</w:t>
            </w:r>
          </w:p>
        </w:tc>
        <w:tc>
          <w:tcPr>
            <w:tcW w:w="1071" w:type="dxa"/>
          </w:tcPr>
          <w:p w:rsidR="00E96A0B" w:rsidRDefault="00E96A0B">
            <w:pPr>
              <w:spacing w:after="140"/>
              <w:jc w:val="center"/>
              <w:rPr>
                <w:rFonts w:ascii="Times New Roman" w:hint="eastAsia"/>
                <w:sz w:val="18"/>
              </w:rPr>
            </w:pPr>
            <w:r>
              <w:rPr>
                <w:rFonts w:ascii="Times New Roman" w:hint="eastAsia"/>
                <w:sz w:val="18"/>
              </w:rPr>
              <w:t>4</w:t>
            </w:r>
          </w:p>
        </w:tc>
        <w:tc>
          <w:tcPr>
            <w:tcW w:w="1071" w:type="dxa"/>
          </w:tcPr>
          <w:p w:rsidR="00E96A0B" w:rsidRDefault="00E96A0B">
            <w:pPr>
              <w:spacing w:after="140"/>
              <w:jc w:val="center"/>
              <w:rPr>
                <w:rFonts w:ascii="Times New Roman" w:hint="eastAsia"/>
                <w:sz w:val="18"/>
              </w:rPr>
            </w:pPr>
            <w:r>
              <w:rPr>
                <w:rFonts w:ascii="Times New Roman" w:hint="eastAsia"/>
                <w:sz w:val="18"/>
              </w:rPr>
              <w:t>19</w:t>
            </w:r>
          </w:p>
        </w:tc>
        <w:tc>
          <w:tcPr>
            <w:tcW w:w="1071" w:type="dxa"/>
          </w:tcPr>
          <w:p w:rsidR="00E96A0B" w:rsidRDefault="00E96A0B">
            <w:pPr>
              <w:spacing w:after="140"/>
              <w:jc w:val="center"/>
              <w:rPr>
                <w:rFonts w:ascii="Times New Roman" w:hint="eastAsia"/>
                <w:sz w:val="18"/>
              </w:rPr>
            </w:pPr>
            <w:r>
              <w:rPr>
                <w:rFonts w:ascii="Times New Roman" w:hint="eastAsia"/>
                <w:sz w:val="18"/>
              </w:rPr>
              <w:t>23</w:t>
            </w:r>
          </w:p>
        </w:tc>
        <w:tc>
          <w:tcPr>
            <w:tcW w:w="1071" w:type="dxa"/>
          </w:tcPr>
          <w:p w:rsidR="00E96A0B" w:rsidRDefault="00E96A0B">
            <w:pPr>
              <w:spacing w:after="140"/>
              <w:jc w:val="center"/>
              <w:rPr>
                <w:rFonts w:ascii="Times New Roman" w:hint="eastAsia"/>
                <w:sz w:val="18"/>
              </w:rPr>
            </w:pPr>
            <w:r>
              <w:rPr>
                <w:rFonts w:ascii="Times New Roman" w:hint="eastAsia"/>
                <w:sz w:val="18"/>
              </w:rPr>
              <w:t>17.4</w:t>
            </w:r>
          </w:p>
        </w:tc>
        <w:tc>
          <w:tcPr>
            <w:tcW w:w="1071" w:type="dxa"/>
          </w:tcPr>
          <w:p w:rsidR="00E96A0B" w:rsidRDefault="00E96A0B">
            <w:pPr>
              <w:spacing w:after="140"/>
              <w:jc w:val="center"/>
              <w:rPr>
                <w:rFonts w:ascii="Times New Roman" w:hint="eastAsia"/>
                <w:sz w:val="18"/>
              </w:rPr>
            </w:pPr>
            <w:r>
              <w:rPr>
                <w:rFonts w:ascii="Times New Roman" w:hint="eastAsia"/>
                <w:sz w:val="18"/>
              </w:rPr>
              <w:t>82.6</w:t>
            </w:r>
          </w:p>
        </w:tc>
      </w:tr>
      <w:tr w:rsidR="00E96A0B">
        <w:tblPrEx>
          <w:tblCellMar>
            <w:top w:w="0" w:type="dxa"/>
            <w:bottom w:w="0" w:type="dxa"/>
          </w:tblCellMar>
        </w:tblPrEx>
        <w:trPr>
          <w:trHeight w:val="312"/>
        </w:trPr>
        <w:tc>
          <w:tcPr>
            <w:tcW w:w="1995" w:type="dxa"/>
          </w:tcPr>
          <w:p w:rsidR="00E96A0B" w:rsidRDefault="00E96A0B">
            <w:pPr>
              <w:spacing w:after="140"/>
              <w:jc w:val="both"/>
              <w:rPr>
                <w:rFonts w:ascii="Times New Roman" w:hint="eastAsia"/>
                <w:sz w:val="18"/>
              </w:rPr>
            </w:pPr>
            <w:r>
              <w:rPr>
                <w:rFonts w:ascii="Times New Roman" w:hint="eastAsia"/>
                <w:sz w:val="18"/>
              </w:rPr>
              <w:t>参赞</w:t>
            </w:r>
          </w:p>
        </w:tc>
        <w:tc>
          <w:tcPr>
            <w:tcW w:w="1071" w:type="dxa"/>
          </w:tcPr>
          <w:p w:rsidR="00E96A0B" w:rsidRDefault="00E96A0B">
            <w:pPr>
              <w:spacing w:after="140"/>
              <w:jc w:val="center"/>
              <w:rPr>
                <w:rFonts w:ascii="Times New Roman" w:hint="eastAsia"/>
                <w:sz w:val="18"/>
              </w:rPr>
            </w:pPr>
            <w:r>
              <w:rPr>
                <w:rFonts w:ascii="Times New Roman" w:hint="eastAsia"/>
                <w:sz w:val="18"/>
              </w:rPr>
              <w:t>8</w:t>
            </w:r>
          </w:p>
        </w:tc>
        <w:tc>
          <w:tcPr>
            <w:tcW w:w="1071" w:type="dxa"/>
          </w:tcPr>
          <w:p w:rsidR="00E96A0B" w:rsidRDefault="00E96A0B">
            <w:pPr>
              <w:spacing w:after="140"/>
              <w:jc w:val="center"/>
              <w:rPr>
                <w:rFonts w:ascii="Times New Roman" w:hint="eastAsia"/>
                <w:sz w:val="18"/>
              </w:rPr>
            </w:pPr>
            <w:r>
              <w:rPr>
                <w:rFonts w:ascii="Times New Roman" w:hint="eastAsia"/>
                <w:sz w:val="18"/>
              </w:rPr>
              <w:t>14</w:t>
            </w:r>
          </w:p>
        </w:tc>
        <w:tc>
          <w:tcPr>
            <w:tcW w:w="1071" w:type="dxa"/>
          </w:tcPr>
          <w:p w:rsidR="00E96A0B" w:rsidRDefault="00E96A0B">
            <w:pPr>
              <w:spacing w:after="140"/>
              <w:jc w:val="center"/>
              <w:rPr>
                <w:rFonts w:ascii="Times New Roman" w:hint="eastAsia"/>
                <w:sz w:val="18"/>
              </w:rPr>
            </w:pPr>
            <w:r>
              <w:rPr>
                <w:rFonts w:ascii="Times New Roman" w:hint="eastAsia"/>
                <w:sz w:val="18"/>
              </w:rPr>
              <w:t>22</w:t>
            </w:r>
          </w:p>
        </w:tc>
        <w:tc>
          <w:tcPr>
            <w:tcW w:w="1071" w:type="dxa"/>
          </w:tcPr>
          <w:p w:rsidR="00E96A0B" w:rsidRDefault="00E96A0B">
            <w:pPr>
              <w:spacing w:after="140"/>
              <w:jc w:val="center"/>
              <w:rPr>
                <w:rFonts w:ascii="Times New Roman" w:hint="eastAsia"/>
                <w:sz w:val="18"/>
              </w:rPr>
            </w:pPr>
            <w:r>
              <w:rPr>
                <w:rFonts w:ascii="Times New Roman" w:hint="eastAsia"/>
                <w:sz w:val="18"/>
              </w:rPr>
              <w:t>36.4</w:t>
            </w:r>
          </w:p>
        </w:tc>
        <w:tc>
          <w:tcPr>
            <w:tcW w:w="1071" w:type="dxa"/>
          </w:tcPr>
          <w:p w:rsidR="00E96A0B" w:rsidRDefault="00E96A0B">
            <w:pPr>
              <w:spacing w:after="140"/>
              <w:jc w:val="center"/>
              <w:rPr>
                <w:rFonts w:ascii="Times New Roman" w:hint="eastAsia"/>
                <w:sz w:val="18"/>
              </w:rPr>
            </w:pPr>
            <w:r>
              <w:rPr>
                <w:rFonts w:ascii="Times New Roman" w:hint="eastAsia"/>
                <w:sz w:val="18"/>
              </w:rPr>
              <w:t>63.6</w:t>
            </w:r>
          </w:p>
        </w:tc>
      </w:tr>
      <w:tr w:rsidR="00E96A0B">
        <w:tblPrEx>
          <w:tblCellMar>
            <w:top w:w="0" w:type="dxa"/>
            <w:bottom w:w="0" w:type="dxa"/>
          </w:tblCellMar>
        </w:tblPrEx>
        <w:trPr>
          <w:trHeight w:val="312"/>
        </w:trPr>
        <w:tc>
          <w:tcPr>
            <w:tcW w:w="1995" w:type="dxa"/>
          </w:tcPr>
          <w:p w:rsidR="00E96A0B" w:rsidRDefault="00E96A0B">
            <w:pPr>
              <w:spacing w:after="140"/>
              <w:jc w:val="both"/>
              <w:rPr>
                <w:rFonts w:ascii="Times New Roman" w:hint="eastAsia"/>
                <w:sz w:val="18"/>
              </w:rPr>
            </w:pPr>
            <w:r>
              <w:rPr>
                <w:rFonts w:ascii="Times New Roman" w:hint="eastAsia"/>
                <w:sz w:val="18"/>
              </w:rPr>
              <w:t>一等秘书</w:t>
            </w:r>
          </w:p>
        </w:tc>
        <w:tc>
          <w:tcPr>
            <w:tcW w:w="1071" w:type="dxa"/>
          </w:tcPr>
          <w:p w:rsidR="00E96A0B" w:rsidRDefault="00E96A0B">
            <w:pPr>
              <w:spacing w:after="140"/>
              <w:jc w:val="center"/>
              <w:rPr>
                <w:rFonts w:ascii="Times New Roman" w:hint="eastAsia"/>
                <w:sz w:val="18"/>
              </w:rPr>
            </w:pPr>
            <w:r>
              <w:rPr>
                <w:rFonts w:ascii="Times New Roman" w:hint="eastAsia"/>
                <w:sz w:val="18"/>
              </w:rPr>
              <w:t>6</w:t>
            </w:r>
          </w:p>
        </w:tc>
        <w:tc>
          <w:tcPr>
            <w:tcW w:w="1071" w:type="dxa"/>
          </w:tcPr>
          <w:p w:rsidR="00E96A0B" w:rsidRDefault="00E96A0B">
            <w:pPr>
              <w:spacing w:after="140"/>
              <w:jc w:val="center"/>
              <w:rPr>
                <w:rFonts w:ascii="Times New Roman" w:hint="eastAsia"/>
                <w:sz w:val="18"/>
              </w:rPr>
            </w:pPr>
            <w:r>
              <w:rPr>
                <w:rFonts w:ascii="Times New Roman" w:hint="eastAsia"/>
                <w:sz w:val="18"/>
              </w:rPr>
              <w:t>5</w:t>
            </w:r>
          </w:p>
        </w:tc>
        <w:tc>
          <w:tcPr>
            <w:tcW w:w="1071" w:type="dxa"/>
          </w:tcPr>
          <w:p w:rsidR="00E96A0B" w:rsidRDefault="00E96A0B">
            <w:pPr>
              <w:spacing w:after="140"/>
              <w:jc w:val="center"/>
              <w:rPr>
                <w:rFonts w:ascii="Times New Roman" w:hint="eastAsia"/>
                <w:sz w:val="18"/>
              </w:rPr>
            </w:pPr>
            <w:r>
              <w:rPr>
                <w:rFonts w:ascii="Times New Roman" w:hint="eastAsia"/>
                <w:sz w:val="18"/>
              </w:rPr>
              <w:t>11</w:t>
            </w:r>
          </w:p>
        </w:tc>
        <w:tc>
          <w:tcPr>
            <w:tcW w:w="1071" w:type="dxa"/>
          </w:tcPr>
          <w:p w:rsidR="00E96A0B" w:rsidRDefault="00E96A0B">
            <w:pPr>
              <w:spacing w:after="140"/>
              <w:jc w:val="center"/>
              <w:rPr>
                <w:rFonts w:ascii="Times New Roman" w:hint="eastAsia"/>
                <w:sz w:val="18"/>
              </w:rPr>
            </w:pPr>
            <w:r>
              <w:rPr>
                <w:rFonts w:ascii="Times New Roman" w:hint="eastAsia"/>
                <w:sz w:val="18"/>
              </w:rPr>
              <w:t>54.5</w:t>
            </w:r>
          </w:p>
        </w:tc>
        <w:tc>
          <w:tcPr>
            <w:tcW w:w="1071" w:type="dxa"/>
          </w:tcPr>
          <w:p w:rsidR="00E96A0B" w:rsidRDefault="00E96A0B">
            <w:pPr>
              <w:spacing w:after="140"/>
              <w:jc w:val="center"/>
              <w:rPr>
                <w:rFonts w:ascii="Times New Roman" w:hint="eastAsia"/>
                <w:sz w:val="18"/>
              </w:rPr>
            </w:pPr>
            <w:r>
              <w:rPr>
                <w:rFonts w:ascii="Times New Roman" w:hint="eastAsia"/>
                <w:sz w:val="18"/>
              </w:rPr>
              <w:t>45.5</w:t>
            </w:r>
          </w:p>
        </w:tc>
      </w:tr>
      <w:tr w:rsidR="00E96A0B">
        <w:tblPrEx>
          <w:tblCellMar>
            <w:top w:w="0" w:type="dxa"/>
            <w:bottom w:w="0" w:type="dxa"/>
          </w:tblCellMar>
        </w:tblPrEx>
        <w:trPr>
          <w:trHeight w:val="312"/>
        </w:trPr>
        <w:tc>
          <w:tcPr>
            <w:tcW w:w="1995" w:type="dxa"/>
            <w:tcBorders>
              <w:bottom w:val="single" w:sz="12" w:space="0" w:color="auto"/>
            </w:tcBorders>
          </w:tcPr>
          <w:p w:rsidR="00E96A0B" w:rsidRDefault="00E96A0B">
            <w:pPr>
              <w:spacing w:after="140"/>
              <w:jc w:val="both"/>
              <w:rPr>
                <w:rFonts w:ascii="Times New Roman" w:hint="eastAsia"/>
                <w:sz w:val="18"/>
              </w:rPr>
            </w:pPr>
            <w:r>
              <w:rPr>
                <w:rFonts w:ascii="Times New Roman" w:hint="eastAsia"/>
                <w:sz w:val="18"/>
              </w:rPr>
              <w:t>随员</w:t>
            </w:r>
          </w:p>
        </w:tc>
        <w:tc>
          <w:tcPr>
            <w:tcW w:w="1071" w:type="dxa"/>
            <w:tcBorders>
              <w:bottom w:val="single" w:sz="12" w:space="0" w:color="auto"/>
            </w:tcBorders>
          </w:tcPr>
          <w:p w:rsidR="00E96A0B" w:rsidRDefault="00E96A0B">
            <w:pPr>
              <w:spacing w:after="140"/>
              <w:jc w:val="center"/>
              <w:rPr>
                <w:rFonts w:ascii="Times New Roman" w:hint="eastAsia"/>
                <w:sz w:val="18"/>
              </w:rPr>
            </w:pPr>
            <w:r>
              <w:rPr>
                <w:rFonts w:ascii="Times New Roman" w:hint="eastAsia"/>
                <w:sz w:val="18"/>
              </w:rPr>
              <w:t>14</w:t>
            </w:r>
          </w:p>
        </w:tc>
        <w:tc>
          <w:tcPr>
            <w:tcW w:w="1071" w:type="dxa"/>
            <w:tcBorders>
              <w:bottom w:val="single" w:sz="12" w:space="0" w:color="auto"/>
            </w:tcBorders>
          </w:tcPr>
          <w:p w:rsidR="00E96A0B" w:rsidRDefault="00E96A0B">
            <w:pPr>
              <w:spacing w:after="140"/>
              <w:jc w:val="center"/>
              <w:rPr>
                <w:rFonts w:ascii="Times New Roman" w:hint="eastAsia"/>
                <w:sz w:val="18"/>
              </w:rPr>
            </w:pPr>
            <w:r>
              <w:rPr>
                <w:rFonts w:ascii="Times New Roman" w:hint="eastAsia"/>
                <w:sz w:val="18"/>
              </w:rPr>
              <w:t>0</w:t>
            </w:r>
          </w:p>
        </w:tc>
        <w:tc>
          <w:tcPr>
            <w:tcW w:w="1071" w:type="dxa"/>
            <w:tcBorders>
              <w:bottom w:val="single" w:sz="12" w:space="0" w:color="auto"/>
            </w:tcBorders>
          </w:tcPr>
          <w:p w:rsidR="00E96A0B" w:rsidRDefault="00E96A0B">
            <w:pPr>
              <w:spacing w:after="140"/>
              <w:jc w:val="center"/>
              <w:rPr>
                <w:rFonts w:ascii="Times New Roman" w:hint="eastAsia"/>
                <w:sz w:val="18"/>
              </w:rPr>
            </w:pPr>
            <w:r>
              <w:rPr>
                <w:rFonts w:ascii="Times New Roman" w:hint="eastAsia"/>
                <w:sz w:val="18"/>
              </w:rPr>
              <w:t>14</w:t>
            </w:r>
          </w:p>
        </w:tc>
        <w:tc>
          <w:tcPr>
            <w:tcW w:w="1071" w:type="dxa"/>
            <w:tcBorders>
              <w:bottom w:val="single" w:sz="12" w:space="0" w:color="auto"/>
            </w:tcBorders>
          </w:tcPr>
          <w:p w:rsidR="00E96A0B" w:rsidRDefault="00E96A0B">
            <w:pPr>
              <w:spacing w:after="140"/>
              <w:jc w:val="center"/>
              <w:rPr>
                <w:rFonts w:ascii="Times New Roman" w:hint="eastAsia"/>
                <w:sz w:val="18"/>
              </w:rPr>
            </w:pPr>
            <w:r>
              <w:rPr>
                <w:rFonts w:ascii="Times New Roman" w:hint="eastAsia"/>
                <w:sz w:val="18"/>
              </w:rPr>
              <w:t>100</w:t>
            </w:r>
          </w:p>
        </w:tc>
        <w:tc>
          <w:tcPr>
            <w:tcW w:w="1071" w:type="dxa"/>
            <w:tcBorders>
              <w:bottom w:val="single" w:sz="12" w:space="0" w:color="auto"/>
            </w:tcBorders>
          </w:tcPr>
          <w:p w:rsidR="00E96A0B" w:rsidRDefault="00E96A0B">
            <w:pPr>
              <w:spacing w:after="140"/>
              <w:jc w:val="center"/>
              <w:rPr>
                <w:rFonts w:ascii="Times New Roman" w:hint="eastAsia"/>
                <w:sz w:val="18"/>
              </w:rPr>
            </w:pPr>
            <w:r>
              <w:rPr>
                <w:rFonts w:ascii="Times New Roman" w:hint="eastAsia"/>
                <w:sz w:val="18"/>
              </w:rPr>
              <w:t>0</w:t>
            </w:r>
          </w:p>
        </w:tc>
      </w:tr>
    </w:tbl>
    <w:p w:rsidR="00E96A0B" w:rsidRDefault="00E96A0B" w:rsidP="004907F9">
      <w:pPr>
        <w:spacing w:after="140"/>
        <w:ind w:left="1264" w:right="1264" w:firstLineChars="200" w:firstLine="31680"/>
        <w:jc w:val="both"/>
        <w:rPr>
          <w:rFonts w:ascii="Times New Roman" w:hint="eastAsia"/>
        </w:rPr>
      </w:pPr>
    </w:p>
    <w:p w:rsidR="00E96A0B" w:rsidRDefault="00E96A0B" w:rsidP="004907F9">
      <w:pPr>
        <w:spacing w:after="140"/>
        <w:ind w:left="1264" w:right="1264" w:firstLineChars="200" w:firstLine="31680"/>
        <w:jc w:val="both"/>
        <w:rPr>
          <w:rFonts w:hAnsi="SimSun" w:hint="eastAsia"/>
        </w:rPr>
      </w:pPr>
      <w:r>
        <w:rPr>
          <w:rFonts w:hAnsi="SimSun" w:hint="eastAsia"/>
        </w:rPr>
        <w:t>近些年来，为促进妇女进入外交界做出了特别的努力。1998－1999年，外交部要求具有大学文化程度的新职位中，50％由招聘的妇女担任。</w:t>
      </w:r>
    </w:p>
    <w:p w:rsidR="00E96A0B" w:rsidRDefault="00E96A0B" w:rsidP="004907F9">
      <w:pPr>
        <w:spacing w:after="140"/>
        <w:ind w:left="1264" w:right="1264" w:firstLineChars="200" w:firstLine="31680"/>
        <w:jc w:val="both"/>
        <w:rPr>
          <w:rFonts w:hAnsi="SimSun" w:hint="eastAsia"/>
        </w:rPr>
      </w:pPr>
      <w:r>
        <w:rPr>
          <w:rFonts w:hAnsi="SimSun" w:hint="eastAsia"/>
        </w:rPr>
        <w:t>1998年以来，外交部已经派遣55名（34名男子和21名妇女）维和人员代表国际组织在巴尔干地区开展工作。小组中的主要成员是警官；绝大部分是男子，因为冰岛警察部队中妇女所占的比重很低。不过，在宣布这些职位时，鼓励妇女申请。2001年，有23名冰岛维和人员在海外工作，其中有7名妇女。在特别发展项目中，例如在科索沃和非洲的特别发展项目中，该部想方设法为特遣部队招聘妇女，在科索沃已经与联合国妇女发展基金展开合作。</w:t>
      </w:r>
    </w:p>
    <w:p w:rsidR="00E96A0B" w:rsidRDefault="00E96A0B" w:rsidP="004907F9">
      <w:pPr>
        <w:pStyle w:val="H1"/>
        <w:spacing w:afterLines="50" w:after="156"/>
        <w:ind w:leftChars="600" w:left="31680" w:rightChars="600" w:right="31680"/>
        <w:rPr>
          <w:rFonts w:hint="eastAsia"/>
        </w:rPr>
      </w:pPr>
      <w:r>
        <w:rPr>
          <w:rFonts w:hint="eastAsia"/>
        </w:rPr>
        <w:t>第9条</w:t>
      </w:r>
    </w:p>
    <w:p w:rsidR="00E96A0B" w:rsidRDefault="00E96A0B" w:rsidP="004907F9">
      <w:pPr>
        <w:spacing w:after="140"/>
        <w:ind w:left="1264" w:right="1264" w:firstLineChars="200" w:firstLine="31680"/>
        <w:jc w:val="both"/>
        <w:rPr>
          <w:rFonts w:hAnsi="SimSun" w:hint="eastAsia"/>
        </w:rPr>
      </w:pPr>
      <w:r>
        <w:rPr>
          <w:rFonts w:hAnsi="SimSun" w:hint="eastAsia"/>
        </w:rPr>
        <w:t>根据第62/1998号法，1998年对《冰岛国籍法》进行了修改。以前，该法的一般原则是孩子通过亲生母亲获得国籍；对这一点进行了修改，从而使男子获得了相同的权利，在孩子母亲不是冰岛人的情况下，他们的孩子可以通过父亲获得冰岛国籍。因此，一名儿童在出生时如果父亲是冰岛公民，而母亲是外国人，现在也可以获得冰岛国籍。根据《儿童法》，此规定也适用于外国未婚妇女在冰岛与冰岛男子生育的孩子。如果一名外国未婚妇女在海外与冰岛公民生育孩子，则孩子的父亲可以在孩子18岁之前向冰岛司法部为该儿童申请冰岛国籍。</w:t>
      </w:r>
    </w:p>
    <w:p w:rsidR="00E96A0B" w:rsidRDefault="00E96A0B">
      <w:pPr>
        <w:spacing w:after="140"/>
        <w:ind w:left="1264" w:right="1264"/>
        <w:jc w:val="both"/>
        <w:rPr>
          <w:rFonts w:ascii="SimHei" w:eastAsia="SimHei"/>
          <w:color w:val="FF0000"/>
          <w:sz w:val="28"/>
        </w:rPr>
      </w:pPr>
    </w:p>
    <w:p w:rsidR="00E96A0B" w:rsidRDefault="00E96A0B">
      <w:pPr>
        <w:spacing w:after="140"/>
        <w:ind w:left="1264" w:right="1264"/>
        <w:jc w:val="both"/>
        <w:rPr>
          <w:rFonts w:ascii="SimHei" w:eastAsia="SimHei" w:hint="eastAsia"/>
          <w:color w:val="FF0000"/>
          <w:sz w:val="28"/>
        </w:rPr>
      </w:pPr>
      <w:r>
        <w:rPr>
          <w:rFonts w:ascii="SimHei" w:eastAsia="SimHei"/>
          <w:color w:val="FF0000"/>
          <w:sz w:val="28"/>
        </w:rPr>
        <w:br w:type="page"/>
      </w:r>
      <w:r>
        <w:rPr>
          <w:rFonts w:ascii="SimHei" w:eastAsia="SimHei" w:hint="eastAsia"/>
          <w:color w:val="FF0000"/>
          <w:sz w:val="28"/>
        </w:rPr>
        <w:t>第三部分</w:t>
      </w:r>
    </w:p>
    <w:p w:rsidR="00E96A0B" w:rsidRDefault="00E96A0B" w:rsidP="004907F9">
      <w:pPr>
        <w:pStyle w:val="H1"/>
        <w:spacing w:afterLines="50" w:after="156"/>
        <w:ind w:leftChars="600" w:left="31680" w:rightChars="600" w:right="31680"/>
        <w:rPr>
          <w:rFonts w:hint="eastAsia"/>
        </w:rPr>
      </w:pPr>
      <w:r>
        <w:rPr>
          <w:rFonts w:hint="eastAsia"/>
        </w:rPr>
        <w:t>第10条</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（a）项和（b）项</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教育</w:t>
      </w:r>
    </w:p>
    <w:p w:rsidR="00E96A0B" w:rsidRDefault="00E96A0B" w:rsidP="004907F9">
      <w:pPr>
        <w:spacing w:after="140"/>
        <w:ind w:left="1264" w:right="1264" w:firstLineChars="200" w:firstLine="31680"/>
        <w:jc w:val="both"/>
        <w:rPr>
          <w:rFonts w:hAnsi="SimSun" w:hint="eastAsia"/>
        </w:rPr>
      </w:pPr>
      <w:r>
        <w:rPr>
          <w:rFonts w:hAnsi="SimSun" w:hint="eastAsia"/>
        </w:rPr>
        <w:t>1998年3月初，教育、科学和文化部长宣布了一项教育倡议，提出了一项新的有关小学、初中以及高中的宏伟政策。这项新政策结合了教育标准的更新和国家课程的修订，无疑会对未来几年冰岛的整个教育体制产生深远的影响。为了贯彻这项新的学校政策，1999年印发了小学、初中和高中的新国家课程指南。</w:t>
      </w:r>
    </w:p>
    <w:p w:rsidR="00E96A0B" w:rsidRDefault="00E96A0B" w:rsidP="004907F9">
      <w:pPr>
        <w:spacing w:after="140"/>
        <w:ind w:left="1264" w:right="1264" w:firstLineChars="200" w:firstLine="31680"/>
        <w:jc w:val="both"/>
        <w:rPr>
          <w:rFonts w:hAnsi="SimSun" w:hint="eastAsia"/>
        </w:rPr>
      </w:pPr>
      <w:r>
        <w:rPr>
          <w:rFonts w:hAnsi="SimSun" w:hint="eastAsia"/>
        </w:rPr>
        <w:t>在起草国家课程指南的过程中，贯彻了有关男女平等的明确政策；部长任命的委员会以及教育部在对该领域的各种研究项目给予奖励时也都贯彻了这种政策。教育部出版了一本小册子《责任-自由-平等权利-选择》。这本小册子载有有关于义务教育学校毕业生所能得到的各种选择的指南和信息。这本小册子还强调选择的自由，以及随之而来的责任，同时指出，根据“新学校政策”，每个学生都可以根据她或他的能力找到合适的教育选择。</w:t>
      </w:r>
    </w:p>
    <w:p w:rsidR="00E96A0B" w:rsidRDefault="00E96A0B" w:rsidP="004907F9">
      <w:pPr>
        <w:pStyle w:val="BlockText"/>
        <w:spacing w:after="140" w:line="320" w:lineRule="exact"/>
        <w:ind w:firstLine="31680"/>
        <w:rPr>
          <w:rFonts w:ascii="SimSun" w:hAnsi="SimSun" w:hint="eastAsia"/>
        </w:rPr>
      </w:pPr>
      <w:r>
        <w:rPr>
          <w:rFonts w:ascii="SimSun" w:hAnsi="SimSun" w:hint="eastAsia"/>
        </w:rPr>
        <w:t>总之，新学校政策的实质就是努力创造一个高效而灵活的教育体制，一种关注每名学生需求的体制，扩大学生选择的范围。与此同时，又在学习过程中逐渐向学生灌输学科纪律、良好的工作技能、正常的竞争等观念，并加强学生的责任感。</w:t>
      </w:r>
    </w:p>
    <w:p w:rsidR="00E96A0B" w:rsidRDefault="00E96A0B" w:rsidP="004907F9">
      <w:pPr>
        <w:spacing w:after="140"/>
        <w:ind w:left="1264" w:right="1264" w:firstLineChars="200" w:firstLine="31680"/>
        <w:jc w:val="both"/>
        <w:rPr>
          <w:rFonts w:hAnsi="SimSun" w:hint="eastAsia"/>
        </w:rPr>
      </w:pPr>
      <w:r>
        <w:rPr>
          <w:rFonts w:hAnsi="SimSun" w:hint="eastAsia"/>
        </w:rPr>
        <w:t>新政策通过灵活的学校教育和多样化的教学方法来满足学生的不同需求。目的不是向所有的学生传授相同的东西，而是要让学生在他们选择的学术领域内打下坚实的基础。</w:t>
      </w:r>
    </w:p>
    <w:p w:rsidR="00E96A0B" w:rsidRDefault="00E96A0B" w:rsidP="004907F9">
      <w:pPr>
        <w:spacing w:after="140"/>
        <w:ind w:left="1264" w:right="1264" w:firstLineChars="200" w:firstLine="31680"/>
        <w:jc w:val="both"/>
        <w:rPr>
          <w:rFonts w:hAnsi="SimSun" w:hint="eastAsia"/>
        </w:rPr>
      </w:pPr>
      <w:r>
        <w:rPr>
          <w:rFonts w:hAnsi="SimSun" w:hint="eastAsia"/>
        </w:rPr>
        <w:t>教育平等权包括为学生提供合适的课程和教育，并为他们提供机会，使他们可以申请自己选择的学科。这不一定包含着适用于所有人的相同解决方案，而是相似和相等的有效机会。项目对男女学生具有相同的吸引力，而与各种形式的残疾、损伤或特殊需求无关。教育、科学和文化部强调，学校要培养男女学生，使他们为以后的个人生活以及参加社会生活做好准备。学校和学校当局在这方面的最大问题之一是想方设法满足学生们各不相同的能力和兴趣，即为他们每个人提供合适的教育。</w:t>
      </w:r>
    </w:p>
    <w:p w:rsidR="00E96A0B" w:rsidRDefault="00E96A0B" w:rsidP="004907F9">
      <w:pPr>
        <w:spacing w:after="140"/>
        <w:ind w:left="1264" w:right="1264" w:firstLineChars="200" w:firstLine="31680"/>
        <w:jc w:val="both"/>
        <w:rPr>
          <w:rFonts w:ascii="Times New Roman" w:hint="eastAsia"/>
        </w:rPr>
      </w:pPr>
      <w:r>
        <w:rPr>
          <w:rFonts w:hAnsi="SimSun" w:hint="eastAsia"/>
        </w:rPr>
        <w:t>2000年，54％的高中生为女生，46％为男生（见表5）。女生在高中的所有课程学习中都占多数，只有两门例外：工艺和技术贸易，女生所占的比例非常小（9％），在自然科学课程中，男女比例非常接近，49％为女生，51％为男生。</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kern w:val="2"/>
          <w:szCs w:val="24"/>
        </w:rPr>
        <w:br w:type="page"/>
      </w:r>
      <w:r>
        <w:rPr>
          <w:rFonts w:hint="eastAsia"/>
        </w:rPr>
        <w:t>表5</w:t>
      </w:r>
      <w:r>
        <w:rPr>
          <w:rFonts w:ascii="SimHei" w:eastAsia="SimHei" w:hint="eastAsia"/>
          <w:kern w:val="2"/>
          <w:szCs w:val="24"/>
        </w:rPr>
        <w:t xml:space="preserve"> </w:t>
      </w:r>
      <w:r>
        <w:rPr>
          <w:rFonts w:ascii="SimHei" w:eastAsia="SimHei"/>
          <w:kern w:val="2"/>
          <w:szCs w:val="24"/>
        </w:rPr>
        <w:br/>
      </w:r>
      <w:r>
        <w:rPr>
          <w:rFonts w:ascii="SimHei" w:eastAsia="SimHei" w:hint="eastAsia"/>
          <w:color w:val="FF0000"/>
          <w:kern w:val="2"/>
          <w:szCs w:val="24"/>
        </w:rPr>
        <w:t>按学科划分的男女比例</w:t>
      </w:r>
    </w:p>
    <w:tbl>
      <w:tblPr>
        <w:tblW w:w="0" w:type="auto"/>
        <w:tblInd w:w="1368" w:type="dxa"/>
        <w:tblLook w:val="0000" w:firstRow="0" w:lastRow="0" w:firstColumn="0" w:lastColumn="0" w:noHBand="0" w:noVBand="0"/>
      </w:tblPr>
      <w:tblGrid>
        <w:gridCol w:w="3255"/>
        <w:gridCol w:w="2205"/>
        <w:gridCol w:w="1890"/>
      </w:tblGrid>
      <w:tr w:rsidR="00E96A0B">
        <w:tblPrEx>
          <w:tblCellMar>
            <w:top w:w="0" w:type="dxa"/>
            <w:bottom w:w="0" w:type="dxa"/>
          </w:tblCellMar>
        </w:tblPrEx>
        <w:trPr>
          <w:trHeight w:val="312"/>
        </w:trPr>
        <w:tc>
          <w:tcPr>
            <w:tcW w:w="3255" w:type="dxa"/>
            <w:tcBorders>
              <w:top w:val="single" w:sz="4" w:space="0" w:color="auto"/>
              <w:bottom w:val="single" w:sz="12" w:space="0" w:color="auto"/>
            </w:tcBorders>
          </w:tcPr>
          <w:p w:rsidR="00E96A0B" w:rsidRDefault="00E96A0B">
            <w:pPr>
              <w:spacing w:after="140"/>
              <w:jc w:val="both"/>
              <w:rPr>
                <w:rFonts w:ascii="KaiTi_GB2312" w:eastAsia="KaiTi_GB2312" w:hAnsi="SimSun" w:hint="eastAsia"/>
                <w:color w:val="0000FF"/>
                <w:sz w:val="15"/>
              </w:rPr>
            </w:pPr>
          </w:p>
        </w:tc>
        <w:tc>
          <w:tcPr>
            <w:tcW w:w="2205"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女</w:t>
            </w:r>
          </w:p>
        </w:tc>
        <w:tc>
          <w:tcPr>
            <w:tcW w:w="1890"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男</w:t>
            </w:r>
          </w:p>
        </w:tc>
      </w:tr>
      <w:tr w:rsidR="00E96A0B">
        <w:tblPrEx>
          <w:tblCellMar>
            <w:top w:w="0" w:type="dxa"/>
            <w:bottom w:w="0" w:type="dxa"/>
          </w:tblCellMar>
        </w:tblPrEx>
        <w:trPr>
          <w:trHeight w:val="312"/>
        </w:trPr>
        <w:tc>
          <w:tcPr>
            <w:tcW w:w="3255" w:type="dxa"/>
            <w:tcBorders>
              <w:top w:val="single" w:sz="12" w:space="0" w:color="auto"/>
            </w:tcBorders>
          </w:tcPr>
          <w:p w:rsidR="00E96A0B" w:rsidRDefault="00E96A0B">
            <w:pPr>
              <w:spacing w:after="140"/>
              <w:jc w:val="both"/>
              <w:rPr>
                <w:rFonts w:ascii="SimHei" w:eastAsia="SimHei" w:hAnsi="SimSun" w:hint="eastAsia"/>
                <w:color w:val="FF0000"/>
                <w:sz w:val="18"/>
              </w:rPr>
            </w:pPr>
            <w:r>
              <w:rPr>
                <w:rFonts w:ascii="SimHei" w:eastAsia="SimHei" w:hAnsi="SimSun" w:hint="eastAsia"/>
                <w:color w:val="FF0000"/>
                <w:sz w:val="18"/>
              </w:rPr>
              <w:t>高中（2000年）</w:t>
            </w:r>
          </w:p>
        </w:tc>
        <w:tc>
          <w:tcPr>
            <w:tcW w:w="2205" w:type="dxa"/>
            <w:tcBorders>
              <w:top w:val="single" w:sz="12" w:space="0" w:color="auto"/>
            </w:tcBorders>
          </w:tcPr>
          <w:p w:rsidR="00E96A0B" w:rsidRDefault="00E96A0B">
            <w:pPr>
              <w:spacing w:after="140"/>
              <w:jc w:val="right"/>
              <w:rPr>
                <w:rFonts w:hAnsi="SimSun" w:hint="eastAsia"/>
                <w:sz w:val="18"/>
              </w:rPr>
            </w:pPr>
            <w:r>
              <w:rPr>
                <w:rFonts w:hAnsi="SimSun" w:hint="eastAsia"/>
                <w:sz w:val="18"/>
              </w:rPr>
              <w:t>54</w:t>
            </w:r>
          </w:p>
        </w:tc>
        <w:tc>
          <w:tcPr>
            <w:tcW w:w="1890" w:type="dxa"/>
            <w:tcBorders>
              <w:top w:val="single" w:sz="12" w:space="0" w:color="auto"/>
            </w:tcBorders>
          </w:tcPr>
          <w:p w:rsidR="00E96A0B" w:rsidRDefault="00E96A0B">
            <w:pPr>
              <w:spacing w:after="140"/>
              <w:jc w:val="right"/>
              <w:rPr>
                <w:rFonts w:hAnsi="SimSun" w:hint="eastAsia"/>
                <w:sz w:val="18"/>
              </w:rPr>
            </w:pPr>
            <w:r>
              <w:rPr>
                <w:rFonts w:hAnsi="SimSun" w:hint="eastAsia"/>
                <w:sz w:val="18"/>
              </w:rPr>
              <w:t>46</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普通学科</w:t>
            </w:r>
          </w:p>
        </w:tc>
        <w:tc>
          <w:tcPr>
            <w:tcW w:w="2205" w:type="dxa"/>
          </w:tcPr>
          <w:p w:rsidR="00E96A0B" w:rsidRDefault="00E96A0B">
            <w:pPr>
              <w:spacing w:after="140"/>
              <w:jc w:val="right"/>
              <w:rPr>
                <w:rFonts w:hAnsi="SimSun" w:hint="eastAsia"/>
                <w:sz w:val="18"/>
              </w:rPr>
            </w:pPr>
            <w:r>
              <w:rPr>
                <w:rFonts w:hAnsi="SimSun" w:hint="eastAsia"/>
                <w:sz w:val="18"/>
              </w:rPr>
              <w:t>54</w:t>
            </w:r>
          </w:p>
        </w:tc>
        <w:tc>
          <w:tcPr>
            <w:tcW w:w="1890" w:type="dxa"/>
          </w:tcPr>
          <w:p w:rsidR="00E96A0B" w:rsidRDefault="00E96A0B">
            <w:pPr>
              <w:spacing w:after="140"/>
              <w:jc w:val="right"/>
              <w:rPr>
                <w:rFonts w:hAnsi="SimSun" w:hint="eastAsia"/>
                <w:sz w:val="18"/>
              </w:rPr>
            </w:pPr>
            <w:r>
              <w:rPr>
                <w:rFonts w:hAnsi="SimSun" w:hint="eastAsia"/>
                <w:sz w:val="18"/>
              </w:rPr>
              <w:t>46</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语言</w:t>
            </w:r>
          </w:p>
        </w:tc>
        <w:tc>
          <w:tcPr>
            <w:tcW w:w="2205" w:type="dxa"/>
          </w:tcPr>
          <w:p w:rsidR="00E96A0B" w:rsidRDefault="00E96A0B">
            <w:pPr>
              <w:spacing w:after="140"/>
              <w:jc w:val="right"/>
              <w:rPr>
                <w:rFonts w:hAnsi="SimSun" w:hint="eastAsia"/>
                <w:sz w:val="18"/>
              </w:rPr>
            </w:pPr>
            <w:r>
              <w:rPr>
                <w:rFonts w:hAnsi="SimSun" w:hint="eastAsia"/>
                <w:sz w:val="18"/>
              </w:rPr>
              <w:t>79</w:t>
            </w:r>
          </w:p>
        </w:tc>
        <w:tc>
          <w:tcPr>
            <w:tcW w:w="1890" w:type="dxa"/>
          </w:tcPr>
          <w:p w:rsidR="00E96A0B" w:rsidRDefault="00E96A0B">
            <w:pPr>
              <w:spacing w:after="140"/>
              <w:jc w:val="right"/>
              <w:rPr>
                <w:rFonts w:hAnsi="SimSun" w:hint="eastAsia"/>
                <w:sz w:val="18"/>
              </w:rPr>
            </w:pPr>
            <w:r>
              <w:rPr>
                <w:rFonts w:hAnsi="SimSun" w:hint="eastAsia"/>
                <w:sz w:val="18"/>
              </w:rPr>
              <w:t>21</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美术和实用艺术</w:t>
            </w:r>
          </w:p>
        </w:tc>
        <w:tc>
          <w:tcPr>
            <w:tcW w:w="2205" w:type="dxa"/>
          </w:tcPr>
          <w:p w:rsidR="00E96A0B" w:rsidRDefault="00E96A0B">
            <w:pPr>
              <w:spacing w:after="140"/>
              <w:jc w:val="right"/>
              <w:rPr>
                <w:rFonts w:hAnsi="SimSun" w:hint="eastAsia"/>
                <w:sz w:val="18"/>
              </w:rPr>
            </w:pPr>
            <w:r>
              <w:rPr>
                <w:rFonts w:hAnsi="SimSun" w:hint="eastAsia"/>
                <w:sz w:val="18"/>
              </w:rPr>
              <w:t>79</w:t>
            </w:r>
          </w:p>
        </w:tc>
        <w:tc>
          <w:tcPr>
            <w:tcW w:w="1890" w:type="dxa"/>
          </w:tcPr>
          <w:p w:rsidR="00E96A0B" w:rsidRDefault="00E96A0B">
            <w:pPr>
              <w:spacing w:after="140"/>
              <w:jc w:val="right"/>
              <w:rPr>
                <w:rFonts w:hAnsi="SimSun" w:hint="eastAsia"/>
                <w:sz w:val="18"/>
              </w:rPr>
            </w:pPr>
            <w:r>
              <w:rPr>
                <w:rFonts w:hAnsi="SimSun" w:hint="eastAsia"/>
                <w:sz w:val="18"/>
              </w:rPr>
              <w:t>21</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教育和体育课程</w:t>
            </w:r>
          </w:p>
        </w:tc>
        <w:tc>
          <w:tcPr>
            <w:tcW w:w="2205" w:type="dxa"/>
          </w:tcPr>
          <w:p w:rsidR="00E96A0B" w:rsidRDefault="00E96A0B">
            <w:pPr>
              <w:spacing w:after="140"/>
              <w:jc w:val="right"/>
              <w:rPr>
                <w:rFonts w:hAnsi="SimSun" w:hint="eastAsia"/>
                <w:sz w:val="18"/>
              </w:rPr>
            </w:pPr>
            <w:r>
              <w:rPr>
                <w:rFonts w:hAnsi="SimSun" w:hint="eastAsia"/>
                <w:sz w:val="18"/>
              </w:rPr>
              <w:t>60</w:t>
            </w:r>
          </w:p>
        </w:tc>
        <w:tc>
          <w:tcPr>
            <w:tcW w:w="1890" w:type="dxa"/>
          </w:tcPr>
          <w:p w:rsidR="00E96A0B" w:rsidRDefault="00E96A0B">
            <w:pPr>
              <w:spacing w:after="140"/>
              <w:jc w:val="right"/>
              <w:rPr>
                <w:rFonts w:hAnsi="SimSun" w:hint="eastAsia"/>
                <w:sz w:val="18"/>
              </w:rPr>
            </w:pPr>
            <w:r>
              <w:rPr>
                <w:rFonts w:hAnsi="SimSun" w:hint="eastAsia"/>
                <w:sz w:val="18"/>
              </w:rPr>
              <w:t>40</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社会科学课程</w:t>
            </w:r>
          </w:p>
        </w:tc>
        <w:tc>
          <w:tcPr>
            <w:tcW w:w="2205" w:type="dxa"/>
          </w:tcPr>
          <w:p w:rsidR="00E96A0B" w:rsidRDefault="00E96A0B">
            <w:pPr>
              <w:spacing w:after="140"/>
              <w:jc w:val="right"/>
              <w:rPr>
                <w:rFonts w:hAnsi="SimSun" w:hint="eastAsia"/>
                <w:sz w:val="18"/>
              </w:rPr>
            </w:pPr>
            <w:r>
              <w:rPr>
                <w:rFonts w:hAnsi="SimSun" w:hint="eastAsia"/>
                <w:sz w:val="18"/>
              </w:rPr>
              <w:t>64</w:t>
            </w:r>
          </w:p>
        </w:tc>
        <w:tc>
          <w:tcPr>
            <w:tcW w:w="1890" w:type="dxa"/>
          </w:tcPr>
          <w:p w:rsidR="00E96A0B" w:rsidRDefault="00E96A0B">
            <w:pPr>
              <w:spacing w:after="140"/>
              <w:jc w:val="right"/>
              <w:rPr>
                <w:rFonts w:hAnsi="SimSun" w:hint="eastAsia"/>
                <w:sz w:val="18"/>
              </w:rPr>
            </w:pPr>
            <w:r>
              <w:rPr>
                <w:rFonts w:hAnsi="SimSun" w:hint="eastAsia"/>
                <w:sz w:val="18"/>
              </w:rPr>
              <w:t>36</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商业、经济学</w:t>
            </w:r>
          </w:p>
        </w:tc>
        <w:tc>
          <w:tcPr>
            <w:tcW w:w="2205" w:type="dxa"/>
          </w:tcPr>
          <w:p w:rsidR="00E96A0B" w:rsidRDefault="00E96A0B">
            <w:pPr>
              <w:spacing w:after="140"/>
              <w:jc w:val="right"/>
              <w:rPr>
                <w:rFonts w:hAnsi="SimSun" w:hint="eastAsia"/>
                <w:sz w:val="18"/>
              </w:rPr>
            </w:pPr>
            <w:r>
              <w:rPr>
                <w:rFonts w:hAnsi="SimSun" w:hint="eastAsia"/>
                <w:sz w:val="18"/>
              </w:rPr>
              <w:t>51</w:t>
            </w:r>
          </w:p>
        </w:tc>
        <w:tc>
          <w:tcPr>
            <w:tcW w:w="1890" w:type="dxa"/>
          </w:tcPr>
          <w:p w:rsidR="00E96A0B" w:rsidRDefault="00E96A0B">
            <w:pPr>
              <w:spacing w:after="140"/>
              <w:jc w:val="right"/>
              <w:rPr>
                <w:rFonts w:hAnsi="SimSun" w:hint="eastAsia"/>
                <w:sz w:val="18"/>
              </w:rPr>
            </w:pPr>
            <w:r>
              <w:rPr>
                <w:rFonts w:hAnsi="SimSun" w:hint="eastAsia"/>
                <w:sz w:val="18"/>
              </w:rPr>
              <w:t>49</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自然科学课程</w:t>
            </w:r>
          </w:p>
        </w:tc>
        <w:tc>
          <w:tcPr>
            <w:tcW w:w="2205" w:type="dxa"/>
          </w:tcPr>
          <w:p w:rsidR="00E96A0B" w:rsidRDefault="00E96A0B">
            <w:pPr>
              <w:spacing w:after="140"/>
              <w:jc w:val="right"/>
              <w:rPr>
                <w:rFonts w:hAnsi="SimSun" w:hint="eastAsia"/>
                <w:sz w:val="18"/>
              </w:rPr>
            </w:pPr>
            <w:r>
              <w:rPr>
                <w:rFonts w:hAnsi="SimSun" w:hint="eastAsia"/>
                <w:sz w:val="18"/>
              </w:rPr>
              <w:t>49</w:t>
            </w:r>
          </w:p>
        </w:tc>
        <w:tc>
          <w:tcPr>
            <w:tcW w:w="1890" w:type="dxa"/>
          </w:tcPr>
          <w:p w:rsidR="00E96A0B" w:rsidRDefault="00E96A0B">
            <w:pPr>
              <w:spacing w:after="140"/>
              <w:jc w:val="right"/>
              <w:rPr>
                <w:rFonts w:hAnsi="SimSun" w:hint="eastAsia"/>
                <w:sz w:val="18"/>
              </w:rPr>
            </w:pPr>
            <w:r>
              <w:rPr>
                <w:rFonts w:hAnsi="SimSun" w:hint="eastAsia"/>
                <w:sz w:val="18"/>
              </w:rPr>
              <w:t>51</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工艺和技术贸易</w:t>
            </w:r>
          </w:p>
        </w:tc>
        <w:tc>
          <w:tcPr>
            <w:tcW w:w="2205" w:type="dxa"/>
          </w:tcPr>
          <w:p w:rsidR="00E96A0B" w:rsidRDefault="00E96A0B">
            <w:pPr>
              <w:spacing w:after="140"/>
              <w:jc w:val="right"/>
              <w:rPr>
                <w:rFonts w:hAnsi="SimSun" w:hint="eastAsia"/>
                <w:sz w:val="18"/>
              </w:rPr>
            </w:pPr>
            <w:r>
              <w:rPr>
                <w:rFonts w:hAnsi="SimSun" w:hint="eastAsia"/>
                <w:sz w:val="18"/>
              </w:rPr>
              <w:t>9</w:t>
            </w:r>
          </w:p>
        </w:tc>
        <w:tc>
          <w:tcPr>
            <w:tcW w:w="1890" w:type="dxa"/>
          </w:tcPr>
          <w:p w:rsidR="00E96A0B" w:rsidRDefault="00E96A0B">
            <w:pPr>
              <w:spacing w:after="140"/>
              <w:jc w:val="right"/>
              <w:rPr>
                <w:rFonts w:hAnsi="SimSun" w:hint="eastAsia"/>
                <w:sz w:val="18"/>
              </w:rPr>
            </w:pPr>
            <w:r>
              <w:rPr>
                <w:rFonts w:hAnsi="SimSun" w:hint="eastAsia"/>
                <w:sz w:val="18"/>
              </w:rPr>
              <w:t>91</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农业、食品和服务贸易</w:t>
            </w:r>
          </w:p>
        </w:tc>
        <w:tc>
          <w:tcPr>
            <w:tcW w:w="2205" w:type="dxa"/>
          </w:tcPr>
          <w:p w:rsidR="00E96A0B" w:rsidRDefault="00E96A0B">
            <w:pPr>
              <w:spacing w:after="140"/>
              <w:jc w:val="right"/>
              <w:rPr>
                <w:rFonts w:hAnsi="SimSun" w:hint="eastAsia"/>
                <w:sz w:val="18"/>
              </w:rPr>
            </w:pPr>
            <w:r>
              <w:rPr>
                <w:rFonts w:hAnsi="SimSun" w:hint="eastAsia"/>
                <w:sz w:val="18"/>
              </w:rPr>
              <w:t>61</w:t>
            </w:r>
          </w:p>
        </w:tc>
        <w:tc>
          <w:tcPr>
            <w:tcW w:w="1890" w:type="dxa"/>
          </w:tcPr>
          <w:p w:rsidR="00E96A0B" w:rsidRDefault="00E96A0B">
            <w:pPr>
              <w:spacing w:after="140"/>
              <w:jc w:val="right"/>
              <w:rPr>
                <w:rFonts w:hAnsi="SimSun" w:hint="eastAsia"/>
                <w:sz w:val="18"/>
              </w:rPr>
            </w:pPr>
            <w:r>
              <w:rPr>
                <w:rFonts w:hAnsi="SimSun" w:hint="eastAsia"/>
                <w:sz w:val="18"/>
              </w:rPr>
              <w:t>39</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与健康有关的课程</w:t>
            </w:r>
          </w:p>
        </w:tc>
        <w:tc>
          <w:tcPr>
            <w:tcW w:w="2205" w:type="dxa"/>
          </w:tcPr>
          <w:p w:rsidR="00E96A0B" w:rsidRDefault="00E96A0B">
            <w:pPr>
              <w:spacing w:after="140"/>
              <w:jc w:val="right"/>
              <w:rPr>
                <w:rFonts w:hAnsi="SimSun" w:hint="eastAsia"/>
                <w:sz w:val="18"/>
              </w:rPr>
            </w:pPr>
            <w:r>
              <w:rPr>
                <w:rFonts w:hAnsi="SimSun" w:hint="eastAsia"/>
                <w:sz w:val="18"/>
              </w:rPr>
              <w:t>95</w:t>
            </w:r>
          </w:p>
        </w:tc>
        <w:tc>
          <w:tcPr>
            <w:tcW w:w="1890" w:type="dxa"/>
          </w:tcPr>
          <w:p w:rsidR="00E96A0B" w:rsidRDefault="00E96A0B">
            <w:pPr>
              <w:spacing w:after="140"/>
              <w:jc w:val="right"/>
              <w:rPr>
                <w:rFonts w:hAnsi="SimSun" w:hint="eastAsia"/>
                <w:sz w:val="18"/>
              </w:rPr>
            </w:pPr>
            <w:r>
              <w:rPr>
                <w:rFonts w:hAnsi="SimSun" w:hint="eastAsia"/>
                <w:sz w:val="18"/>
              </w:rPr>
              <w:t>5</w:t>
            </w:r>
          </w:p>
        </w:tc>
      </w:tr>
      <w:tr w:rsidR="00E96A0B">
        <w:tblPrEx>
          <w:tblCellMar>
            <w:top w:w="0" w:type="dxa"/>
            <w:bottom w:w="0" w:type="dxa"/>
          </w:tblCellMar>
        </w:tblPrEx>
        <w:trPr>
          <w:trHeight w:val="312"/>
        </w:trPr>
        <w:tc>
          <w:tcPr>
            <w:tcW w:w="3255" w:type="dxa"/>
          </w:tcPr>
          <w:p w:rsidR="00E96A0B" w:rsidRDefault="00E96A0B">
            <w:pPr>
              <w:spacing w:after="140"/>
              <w:jc w:val="both"/>
              <w:rPr>
                <w:rFonts w:ascii="SimHei" w:eastAsia="SimHei" w:hAnsi="SimSun" w:hint="eastAsia"/>
                <w:color w:val="FF0000"/>
                <w:sz w:val="18"/>
              </w:rPr>
            </w:pPr>
            <w:r>
              <w:rPr>
                <w:rFonts w:ascii="SimHei" w:eastAsia="SimHei" w:hAnsi="SimSun" w:hint="eastAsia"/>
                <w:color w:val="FF0000"/>
                <w:sz w:val="18"/>
              </w:rPr>
              <w:t>大学（2000）</w:t>
            </w:r>
          </w:p>
        </w:tc>
        <w:tc>
          <w:tcPr>
            <w:tcW w:w="2205" w:type="dxa"/>
          </w:tcPr>
          <w:p w:rsidR="00E96A0B" w:rsidRDefault="00E96A0B">
            <w:pPr>
              <w:spacing w:after="140"/>
              <w:jc w:val="right"/>
              <w:rPr>
                <w:rFonts w:hAnsi="SimSun" w:hint="eastAsia"/>
                <w:sz w:val="18"/>
              </w:rPr>
            </w:pPr>
            <w:r>
              <w:rPr>
                <w:rFonts w:hAnsi="SimSun" w:hint="eastAsia"/>
                <w:sz w:val="18"/>
              </w:rPr>
              <w:t>62</w:t>
            </w:r>
          </w:p>
        </w:tc>
        <w:tc>
          <w:tcPr>
            <w:tcW w:w="1890" w:type="dxa"/>
          </w:tcPr>
          <w:p w:rsidR="00E96A0B" w:rsidRDefault="00E96A0B">
            <w:pPr>
              <w:spacing w:after="140"/>
              <w:jc w:val="right"/>
              <w:rPr>
                <w:rFonts w:hAnsi="SimSun" w:hint="eastAsia"/>
                <w:sz w:val="18"/>
              </w:rPr>
            </w:pPr>
            <w:r>
              <w:rPr>
                <w:rFonts w:hAnsi="SimSun" w:hint="eastAsia"/>
                <w:sz w:val="18"/>
              </w:rPr>
              <w:t>38</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语言、人文</w:t>
            </w:r>
          </w:p>
        </w:tc>
        <w:tc>
          <w:tcPr>
            <w:tcW w:w="2205" w:type="dxa"/>
          </w:tcPr>
          <w:p w:rsidR="00E96A0B" w:rsidRDefault="00E96A0B">
            <w:pPr>
              <w:spacing w:after="140"/>
              <w:jc w:val="right"/>
              <w:rPr>
                <w:rFonts w:hAnsi="SimSun" w:hint="eastAsia"/>
                <w:sz w:val="18"/>
              </w:rPr>
            </w:pPr>
            <w:r>
              <w:rPr>
                <w:rFonts w:hAnsi="SimSun" w:hint="eastAsia"/>
                <w:sz w:val="18"/>
              </w:rPr>
              <w:t>69</w:t>
            </w:r>
          </w:p>
        </w:tc>
        <w:tc>
          <w:tcPr>
            <w:tcW w:w="1890" w:type="dxa"/>
          </w:tcPr>
          <w:p w:rsidR="00E96A0B" w:rsidRDefault="00E96A0B">
            <w:pPr>
              <w:spacing w:after="140"/>
              <w:jc w:val="right"/>
              <w:rPr>
                <w:rFonts w:hAnsi="SimSun" w:hint="eastAsia"/>
                <w:sz w:val="18"/>
              </w:rPr>
            </w:pPr>
            <w:r>
              <w:rPr>
                <w:rFonts w:hAnsi="SimSun" w:hint="eastAsia"/>
                <w:sz w:val="18"/>
              </w:rPr>
              <w:t>31</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美术和实用艺术</w:t>
            </w:r>
          </w:p>
        </w:tc>
        <w:tc>
          <w:tcPr>
            <w:tcW w:w="2205" w:type="dxa"/>
          </w:tcPr>
          <w:p w:rsidR="00E96A0B" w:rsidRDefault="00E96A0B">
            <w:pPr>
              <w:spacing w:after="140"/>
              <w:jc w:val="right"/>
              <w:rPr>
                <w:rFonts w:hAnsi="SimSun" w:hint="eastAsia"/>
                <w:sz w:val="18"/>
              </w:rPr>
            </w:pPr>
            <w:r>
              <w:rPr>
                <w:rFonts w:hAnsi="SimSun" w:hint="eastAsia"/>
                <w:sz w:val="18"/>
              </w:rPr>
              <w:t>63</w:t>
            </w:r>
          </w:p>
        </w:tc>
        <w:tc>
          <w:tcPr>
            <w:tcW w:w="1890" w:type="dxa"/>
          </w:tcPr>
          <w:p w:rsidR="00E96A0B" w:rsidRDefault="00E96A0B">
            <w:pPr>
              <w:spacing w:after="140"/>
              <w:jc w:val="right"/>
              <w:rPr>
                <w:rFonts w:hAnsi="SimSun" w:hint="eastAsia"/>
                <w:sz w:val="18"/>
              </w:rPr>
            </w:pPr>
            <w:r>
              <w:rPr>
                <w:rFonts w:hAnsi="SimSun" w:hint="eastAsia"/>
                <w:sz w:val="18"/>
              </w:rPr>
              <w:t>37</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教师培训、教育学</w:t>
            </w:r>
          </w:p>
        </w:tc>
        <w:tc>
          <w:tcPr>
            <w:tcW w:w="2205" w:type="dxa"/>
          </w:tcPr>
          <w:p w:rsidR="00E96A0B" w:rsidRDefault="00E96A0B">
            <w:pPr>
              <w:spacing w:after="140"/>
              <w:jc w:val="right"/>
              <w:rPr>
                <w:rFonts w:hAnsi="SimSun" w:hint="eastAsia"/>
                <w:sz w:val="18"/>
              </w:rPr>
            </w:pPr>
            <w:r>
              <w:rPr>
                <w:rFonts w:hAnsi="SimSun" w:hint="eastAsia"/>
                <w:sz w:val="18"/>
              </w:rPr>
              <w:t>86</w:t>
            </w:r>
          </w:p>
        </w:tc>
        <w:tc>
          <w:tcPr>
            <w:tcW w:w="1890" w:type="dxa"/>
          </w:tcPr>
          <w:p w:rsidR="00E96A0B" w:rsidRDefault="00E96A0B">
            <w:pPr>
              <w:spacing w:after="140"/>
              <w:jc w:val="right"/>
              <w:rPr>
                <w:rFonts w:hAnsi="SimSun" w:hint="eastAsia"/>
                <w:sz w:val="18"/>
              </w:rPr>
            </w:pPr>
            <w:r>
              <w:rPr>
                <w:rFonts w:hAnsi="SimSun" w:hint="eastAsia"/>
                <w:sz w:val="18"/>
              </w:rPr>
              <w:t>14</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社会科学、法学</w:t>
            </w:r>
          </w:p>
        </w:tc>
        <w:tc>
          <w:tcPr>
            <w:tcW w:w="2205" w:type="dxa"/>
          </w:tcPr>
          <w:p w:rsidR="00E96A0B" w:rsidRDefault="00E96A0B">
            <w:pPr>
              <w:spacing w:after="140"/>
              <w:jc w:val="right"/>
              <w:rPr>
                <w:rFonts w:hAnsi="SimSun" w:hint="eastAsia"/>
                <w:sz w:val="18"/>
              </w:rPr>
            </w:pPr>
            <w:r>
              <w:rPr>
                <w:rFonts w:hAnsi="SimSun" w:hint="eastAsia"/>
                <w:sz w:val="18"/>
              </w:rPr>
              <w:t>66</w:t>
            </w:r>
          </w:p>
        </w:tc>
        <w:tc>
          <w:tcPr>
            <w:tcW w:w="1890" w:type="dxa"/>
          </w:tcPr>
          <w:p w:rsidR="00E96A0B" w:rsidRDefault="00E96A0B">
            <w:pPr>
              <w:spacing w:after="140"/>
              <w:jc w:val="right"/>
              <w:rPr>
                <w:rFonts w:hAnsi="SimSun" w:hint="eastAsia"/>
                <w:sz w:val="18"/>
              </w:rPr>
            </w:pPr>
            <w:r>
              <w:rPr>
                <w:rFonts w:hAnsi="SimSun" w:hint="eastAsia"/>
                <w:sz w:val="18"/>
              </w:rPr>
              <w:t>34</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经济学、商业管理</w:t>
            </w:r>
          </w:p>
        </w:tc>
        <w:tc>
          <w:tcPr>
            <w:tcW w:w="2205" w:type="dxa"/>
          </w:tcPr>
          <w:p w:rsidR="00E96A0B" w:rsidRDefault="00E96A0B">
            <w:pPr>
              <w:spacing w:after="140"/>
              <w:jc w:val="right"/>
              <w:rPr>
                <w:rFonts w:hAnsi="SimSun" w:hint="eastAsia"/>
                <w:sz w:val="18"/>
              </w:rPr>
            </w:pPr>
            <w:r>
              <w:rPr>
                <w:rFonts w:hAnsi="SimSun" w:hint="eastAsia"/>
                <w:sz w:val="18"/>
              </w:rPr>
              <w:t>53</w:t>
            </w:r>
          </w:p>
        </w:tc>
        <w:tc>
          <w:tcPr>
            <w:tcW w:w="1890" w:type="dxa"/>
          </w:tcPr>
          <w:p w:rsidR="00E96A0B" w:rsidRDefault="00E96A0B">
            <w:pPr>
              <w:spacing w:after="140"/>
              <w:jc w:val="right"/>
              <w:rPr>
                <w:rFonts w:hAnsi="SimSun" w:hint="eastAsia"/>
                <w:sz w:val="18"/>
              </w:rPr>
            </w:pPr>
            <w:r>
              <w:rPr>
                <w:rFonts w:hAnsi="SimSun" w:hint="eastAsia"/>
                <w:sz w:val="18"/>
              </w:rPr>
              <w:t>47</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自然科学、数学</w:t>
            </w:r>
          </w:p>
        </w:tc>
        <w:tc>
          <w:tcPr>
            <w:tcW w:w="2205" w:type="dxa"/>
          </w:tcPr>
          <w:p w:rsidR="00E96A0B" w:rsidRDefault="00E96A0B">
            <w:pPr>
              <w:spacing w:after="140"/>
              <w:jc w:val="right"/>
              <w:rPr>
                <w:rFonts w:hAnsi="SimSun" w:hint="eastAsia"/>
                <w:sz w:val="18"/>
              </w:rPr>
            </w:pPr>
            <w:r>
              <w:rPr>
                <w:rFonts w:hAnsi="SimSun" w:hint="eastAsia"/>
                <w:sz w:val="18"/>
              </w:rPr>
              <w:t>43</w:t>
            </w:r>
          </w:p>
        </w:tc>
        <w:tc>
          <w:tcPr>
            <w:tcW w:w="1890" w:type="dxa"/>
          </w:tcPr>
          <w:p w:rsidR="00E96A0B" w:rsidRDefault="00E96A0B">
            <w:pPr>
              <w:spacing w:after="140"/>
              <w:jc w:val="right"/>
              <w:rPr>
                <w:rFonts w:hAnsi="SimSun" w:hint="eastAsia"/>
                <w:sz w:val="18"/>
              </w:rPr>
            </w:pPr>
            <w:r>
              <w:rPr>
                <w:rFonts w:hAnsi="SimSun" w:hint="eastAsia"/>
                <w:sz w:val="18"/>
              </w:rPr>
              <w:t>57</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工程学</w:t>
            </w:r>
          </w:p>
        </w:tc>
        <w:tc>
          <w:tcPr>
            <w:tcW w:w="2205" w:type="dxa"/>
          </w:tcPr>
          <w:p w:rsidR="00E96A0B" w:rsidRDefault="00E96A0B">
            <w:pPr>
              <w:spacing w:after="140"/>
              <w:jc w:val="right"/>
              <w:rPr>
                <w:rFonts w:hAnsi="SimSun" w:hint="eastAsia"/>
                <w:sz w:val="18"/>
              </w:rPr>
            </w:pPr>
            <w:r>
              <w:rPr>
                <w:rFonts w:hAnsi="SimSun" w:hint="eastAsia"/>
                <w:sz w:val="18"/>
              </w:rPr>
              <w:t>24</w:t>
            </w:r>
          </w:p>
        </w:tc>
        <w:tc>
          <w:tcPr>
            <w:tcW w:w="1890" w:type="dxa"/>
          </w:tcPr>
          <w:p w:rsidR="00E96A0B" w:rsidRDefault="00E96A0B">
            <w:pPr>
              <w:spacing w:after="140"/>
              <w:jc w:val="right"/>
              <w:rPr>
                <w:rFonts w:hAnsi="SimSun" w:hint="eastAsia"/>
                <w:sz w:val="18"/>
              </w:rPr>
            </w:pPr>
            <w:r>
              <w:rPr>
                <w:rFonts w:hAnsi="SimSun" w:hint="eastAsia"/>
                <w:sz w:val="18"/>
              </w:rPr>
              <w:t>76</w:t>
            </w:r>
          </w:p>
        </w:tc>
      </w:tr>
      <w:tr w:rsidR="00E96A0B">
        <w:tblPrEx>
          <w:tblCellMar>
            <w:top w:w="0" w:type="dxa"/>
            <w:bottom w:w="0" w:type="dxa"/>
          </w:tblCellMar>
        </w:tblPrEx>
        <w:trPr>
          <w:trHeight w:val="312"/>
        </w:trPr>
        <w:tc>
          <w:tcPr>
            <w:tcW w:w="3255" w:type="dxa"/>
          </w:tcPr>
          <w:p w:rsidR="00E96A0B" w:rsidRDefault="00E96A0B">
            <w:pPr>
              <w:spacing w:after="140"/>
              <w:jc w:val="both"/>
              <w:rPr>
                <w:rFonts w:hAnsi="SimSun" w:hint="eastAsia"/>
                <w:sz w:val="18"/>
              </w:rPr>
            </w:pPr>
            <w:r>
              <w:rPr>
                <w:rFonts w:hAnsi="SimSun" w:hint="eastAsia"/>
                <w:sz w:val="18"/>
              </w:rPr>
              <w:t>农业、食品科学、服务</w:t>
            </w:r>
          </w:p>
        </w:tc>
        <w:tc>
          <w:tcPr>
            <w:tcW w:w="2205" w:type="dxa"/>
          </w:tcPr>
          <w:p w:rsidR="00E96A0B" w:rsidRDefault="00E96A0B">
            <w:pPr>
              <w:spacing w:after="140"/>
              <w:jc w:val="right"/>
              <w:rPr>
                <w:rFonts w:hAnsi="SimSun" w:hint="eastAsia"/>
                <w:sz w:val="18"/>
              </w:rPr>
            </w:pPr>
            <w:r>
              <w:rPr>
                <w:rFonts w:hAnsi="SimSun" w:hint="eastAsia"/>
                <w:sz w:val="18"/>
              </w:rPr>
              <w:t>65</w:t>
            </w:r>
          </w:p>
        </w:tc>
        <w:tc>
          <w:tcPr>
            <w:tcW w:w="1890" w:type="dxa"/>
          </w:tcPr>
          <w:p w:rsidR="00E96A0B" w:rsidRDefault="00E96A0B">
            <w:pPr>
              <w:spacing w:after="140"/>
              <w:jc w:val="right"/>
              <w:rPr>
                <w:rFonts w:hAnsi="SimSun" w:hint="eastAsia"/>
                <w:sz w:val="18"/>
              </w:rPr>
            </w:pPr>
            <w:r>
              <w:rPr>
                <w:rFonts w:hAnsi="SimSun" w:hint="eastAsia"/>
                <w:sz w:val="18"/>
              </w:rPr>
              <w:t>35</w:t>
            </w:r>
          </w:p>
        </w:tc>
      </w:tr>
      <w:tr w:rsidR="00E96A0B">
        <w:tblPrEx>
          <w:tblCellMar>
            <w:top w:w="0" w:type="dxa"/>
            <w:bottom w:w="0" w:type="dxa"/>
          </w:tblCellMar>
        </w:tblPrEx>
        <w:trPr>
          <w:trHeight w:val="312"/>
        </w:trPr>
        <w:tc>
          <w:tcPr>
            <w:tcW w:w="3255" w:type="dxa"/>
            <w:tcBorders>
              <w:bottom w:val="single" w:sz="12" w:space="0" w:color="auto"/>
            </w:tcBorders>
          </w:tcPr>
          <w:p w:rsidR="00E96A0B" w:rsidRDefault="00E96A0B">
            <w:pPr>
              <w:spacing w:after="140"/>
              <w:jc w:val="both"/>
              <w:rPr>
                <w:rFonts w:hAnsi="SimSun" w:hint="eastAsia"/>
                <w:sz w:val="18"/>
              </w:rPr>
            </w:pPr>
            <w:r>
              <w:rPr>
                <w:rFonts w:hAnsi="SimSun" w:hint="eastAsia"/>
                <w:sz w:val="18"/>
              </w:rPr>
              <w:t>医护等</w:t>
            </w:r>
          </w:p>
        </w:tc>
        <w:tc>
          <w:tcPr>
            <w:tcW w:w="2205"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78</w:t>
            </w:r>
          </w:p>
        </w:tc>
        <w:tc>
          <w:tcPr>
            <w:tcW w:w="1890"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22</w:t>
            </w:r>
          </w:p>
        </w:tc>
      </w:tr>
    </w:tbl>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ascii="Times New Roman" w:hint="eastAsia"/>
        </w:rPr>
      </w:pPr>
      <w:r>
        <w:rPr>
          <w:rFonts w:hAnsi="SimSun" w:hint="eastAsia"/>
        </w:rPr>
        <w:t>大学生当中，女生继续占据大多数（62%），这些女生当中大多数（86％）是学习教师培训和教育学的。可是，在工程学专业，情况正好相反，男生占了大多数（76％）。2000年发起了包括各政府机构在内的一项特别合作计划，鼓励妇女</w:t>
      </w:r>
      <w:r>
        <w:rPr>
          <w:rFonts w:ascii="Times New Roman" w:hint="eastAsia"/>
        </w:rPr>
        <w:t>进入传统上由男性主导的部门，鼓励男性进入传统上由妇女主导的部门；下文在</w:t>
      </w:r>
      <w:r>
        <w:rPr>
          <w:rFonts w:ascii="Times New Roman" w:hint="eastAsia"/>
        </w:rPr>
        <w:t>c</w:t>
      </w:r>
      <w:r>
        <w:rPr>
          <w:rFonts w:ascii="Times New Roman" w:hint="eastAsia"/>
        </w:rPr>
        <w:t>项下对此作了说明。</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妇女问题研究</w:t>
      </w:r>
    </w:p>
    <w:p w:rsidR="00E96A0B" w:rsidRDefault="00E96A0B" w:rsidP="004907F9">
      <w:pPr>
        <w:spacing w:after="140"/>
        <w:ind w:left="1264" w:right="1264" w:firstLineChars="200" w:firstLine="31680"/>
        <w:jc w:val="both"/>
        <w:rPr>
          <w:rFonts w:hAnsi="SimSun" w:hint="eastAsia"/>
        </w:rPr>
      </w:pPr>
      <w:r>
        <w:rPr>
          <w:rFonts w:hAnsi="SimSun" w:hint="eastAsia"/>
        </w:rPr>
        <w:t>冰岛妇女问题研究可追溯到二十世纪七十年代初期，当时新的妇女运动在冰岛社会开始起了重要的影响作用。1975年，有三位妇女建立了冰岛妇女历史博物馆，自1980年以来，冰岛大学开始开设女性研究的特别课程，例如妇女文学和妇女历史方面的研究。妇女问题研究的第一次会议于1985年召开，随后成立了妇女问题研究兴趣小组，该小组包括大学界和大学以外的妇女。</w:t>
      </w:r>
    </w:p>
    <w:p w:rsidR="00E96A0B" w:rsidRDefault="00E96A0B" w:rsidP="004907F9">
      <w:pPr>
        <w:spacing w:after="140"/>
        <w:ind w:left="1264" w:right="1264" w:firstLineChars="200" w:firstLine="31680"/>
        <w:jc w:val="both"/>
        <w:rPr>
          <w:rFonts w:hAnsi="SimSun" w:hint="eastAsia"/>
        </w:rPr>
      </w:pPr>
      <w:r>
        <w:rPr>
          <w:rFonts w:hAnsi="SimSun" w:hint="eastAsia"/>
        </w:rPr>
        <w:t>1991年在冰岛大学的一群女性研究者的倡导下成立了妇女研究中心，该中心支持学术层面的妇女和性别研究，出版女性研究报告，每学年举办系列讲座和研讨会，提供信息咨询服务，在冰岛出版新闻简报。该中心批准的第一个课程于1996年秋天在冰岛大学开设，该课程是跨学科的，是学士学位的副修课程，占90个学分中的30个，该课程开设两个学期或一个学年。</w:t>
      </w:r>
    </w:p>
    <w:p w:rsidR="00E96A0B" w:rsidRDefault="00E96A0B" w:rsidP="004907F9">
      <w:pPr>
        <w:spacing w:after="140"/>
        <w:ind w:left="1264" w:right="1264" w:firstLineChars="200" w:firstLine="31680"/>
        <w:jc w:val="both"/>
        <w:rPr>
          <w:rFonts w:hAnsi="SimSun" w:hint="eastAsia"/>
        </w:rPr>
      </w:pPr>
      <w:r>
        <w:rPr>
          <w:rFonts w:hAnsi="SimSun" w:hint="eastAsia"/>
        </w:rPr>
        <w:t>该中心未来几年的工作重点之一就是在冰岛大学开设妇女研究的硕士学位课程。</w:t>
      </w:r>
    </w:p>
    <w:p w:rsidR="00E96A0B" w:rsidRDefault="00E96A0B" w:rsidP="004907F9">
      <w:pPr>
        <w:spacing w:after="140"/>
        <w:ind w:left="1264" w:right="1264" w:firstLineChars="200" w:firstLine="31680"/>
        <w:jc w:val="both"/>
        <w:rPr>
          <w:rFonts w:hAnsi="SimSun" w:hint="eastAsia"/>
        </w:rPr>
      </w:pPr>
      <w:r>
        <w:rPr>
          <w:rFonts w:hAnsi="SimSun" w:hint="eastAsia"/>
        </w:rPr>
        <w:t>阿库雷里大学也计划从2003年开始开设性别研究课程。</w:t>
      </w:r>
    </w:p>
    <w:p w:rsidR="00E96A0B" w:rsidRDefault="00E96A0B" w:rsidP="004907F9">
      <w:pPr>
        <w:spacing w:after="140"/>
        <w:ind w:left="1264" w:right="1264" w:firstLineChars="200" w:firstLine="31680"/>
        <w:jc w:val="both"/>
        <w:rPr>
          <w:rFonts w:hAnsi="SimSun" w:hint="eastAsia"/>
        </w:rPr>
      </w:pPr>
      <w:r>
        <w:rPr>
          <w:rFonts w:hAnsi="SimSun" w:hint="eastAsia"/>
        </w:rPr>
        <w:t>冰岛的女性研究已经成功地运用到文学批评、中古研究和妇女运动与政治研究，在社会科学和护理方面，对女性的关注正迅速增长，例如，性别和教育研究和护理的伦理学等方面。在政府资金的支助下，冰岛大学和独立研究人员都开展了研究。</w:t>
      </w:r>
    </w:p>
    <w:p w:rsidR="00E96A0B" w:rsidRDefault="00E96A0B" w:rsidP="004907F9">
      <w:pPr>
        <w:pStyle w:val="BodyTextIndent3"/>
        <w:spacing w:after="140" w:line="320" w:lineRule="exact"/>
        <w:ind w:left="1264" w:right="1264" w:firstLine="31680"/>
        <w:rPr>
          <w:rFonts w:ascii="SimSun" w:hAnsi="SimSun" w:hint="eastAsia"/>
          <w:sz w:val="21"/>
        </w:rPr>
      </w:pPr>
      <w:r>
        <w:rPr>
          <w:rFonts w:ascii="SimSun" w:hAnsi="SimSun" w:hint="eastAsia"/>
          <w:sz w:val="21"/>
        </w:rPr>
        <w:t>妇女研究中心正在建立冰岛该领域研究的数据库，数据库有冰岛语和英语的摘要。它将为这一迅速发展的领域提供概述。</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（c）项</w:t>
      </w:r>
    </w:p>
    <w:p w:rsidR="00E96A0B" w:rsidRDefault="00E96A0B" w:rsidP="004907F9">
      <w:pPr>
        <w:spacing w:after="140"/>
        <w:ind w:left="1264" w:right="1264" w:firstLineChars="200" w:firstLine="31680"/>
        <w:jc w:val="both"/>
        <w:rPr>
          <w:rFonts w:hAnsi="SimSun" w:hint="eastAsia"/>
        </w:rPr>
      </w:pPr>
      <w:r>
        <w:rPr>
          <w:rFonts w:hAnsi="SimSun" w:hint="eastAsia"/>
        </w:rPr>
        <w:t>1980年以来，一半以上的大学毕业生都是女性，1995-1998年间，从事教育行业的毕业生中，妇女占80-90％，但学校系统内领导岗位上妇女的比例还未反映出这一趋势，但可以说，义务教育学校和高中学校的女校长和女副校长的人数已经有所上升。</w:t>
      </w:r>
    </w:p>
    <w:p w:rsidR="00E96A0B" w:rsidRDefault="00E96A0B">
      <w:pPr>
        <w:widowControl w:val="0"/>
        <w:spacing w:after="140"/>
        <w:ind w:left="1264" w:right="1264"/>
        <w:jc w:val="both"/>
        <w:rPr>
          <w:rFonts w:ascii="SimHei" w:eastAsia="SimHei" w:hint="eastAsia"/>
          <w:kern w:val="2"/>
          <w:szCs w:val="24"/>
        </w:rPr>
      </w:pPr>
      <w:r>
        <w:br w:type="page"/>
      </w:r>
      <w:r>
        <w:rPr>
          <w:rFonts w:hint="eastAsia"/>
        </w:rPr>
        <w:t>表6</w:t>
      </w:r>
      <w:r>
        <w:rPr>
          <w:rFonts w:ascii="SimHei" w:eastAsia="SimHei" w:hint="eastAsia"/>
          <w:kern w:val="2"/>
          <w:szCs w:val="24"/>
        </w:rPr>
        <w:t xml:space="preserve"> </w:t>
      </w:r>
      <w:r>
        <w:rPr>
          <w:rFonts w:ascii="SimHei" w:eastAsia="SimHei"/>
          <w:kern w:val="2"/>
          <w:szCs w:val="24"/>
        </w:rPr>
        <w:br/>
      </w:r>
      <w:r>
        <w:rPr>
          <w:rFonts w:ascii="SimHei" w:eastAsia="SimHei" w:hint="eastAsia"/>
          <w:color w:val="FF0000"/>
          <w:kern w:val="2"/>
          <w:szCs w:val="24"/>
        </w:rPr>
        <w:t>教师的男女人数</w:t>
      </w:r>
    </w:p>
    <w:tbl>
      <w:tblPr>
        <w:tblW w:w="0" w:type="auto"/>
        <w:jc w:val="center"/>
        <w:tblInd w:w="-362" w:type="dxa"/>
        <w:tblLook w:val="0000" w:firstRow="0" w:lastRow="0" w:firstColumn="0" w:lastColumn="0" w:noHBand="0" w:noVBand="0"/>
      </w:tblPr>
      <w:tblGrid>
        <w:gridCol w:w="3248"/>
        <w:gridCol w:w="1994"/>
        <w:gridCol w:w="1995"/>
      </w:tblGrid>
      <w:tr w:rsidR="00E96A0B">
        <w:tblPrEx>
          <w:tblCellMar>
            <w:top w:w="0" w:type="dxa"/>
            <w:bottom w:w="0" w:type="dxa"/>
          </w:tblCellMar>
        </w:tblPrEx>
        <w:trPr>
          <w:trHeight w:val="313"/>
          <w:jc w:val="center"/>
        </w:trPr>
        <w:tc>
          <w:tcPr>
            <w:tcW w:w="3248" w:type="dxa"/>
            <w:tcBorders>
              <w:top w:val="single" w:sz="4" w:space="0" w:color="auto"/>
              <w:bottom w:val="single" w:sz="12" w:space="0" w:color="auto"/>
            </w:tcBorders>
          </w:tcPr>
          <w:p w:rsidR="00E96A0B" w:rsidRDefault="00E96A0B">
            <w:pPr>
              <w:spacing w:after="140"/>
              <w:jc w:val="both"/>
              <w:rPr>
                <w:rFonts w:ascii="KaiTi_GB2312" w:eastAsia="KaiTi_GB2312" w:hAnsi="SimSun" w:hint="eastAsia"/>
                <w:color w:val="0000FF"/>
                <w:sz w:val="18"/>
              </w:rPr>
            </w:pPr>
          </w:p>
        </w:tc>
        <w:tc>
          <w:tcPr>
            <w:tcW w:w="1994"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8"/>
              </w:rPr>
            </w:pPr>
            <w:r>
              <w:rPr>
                <w:rFonts w:ascii="KaiTi_GB2312" w:eastAsia="KaiTi_GB2312" w:hAnsi="SimSun" w:hint="eastAsia"/>
                <w:color w:val="0000FF"/>
                <w:sz w:val="18"/>
              </w:rPr>
              <w:t>妇女</w:t>
            </w:r>
          </w:p>
        </w:tc>
        <w:tc>
          <w:tcPr>
            <w:tcW w:w="1995" w:type="dxa"/>
            <w:tcBorders>
              <w:top w:val="single" w:sz="4" w:space="0" w:color="auto"/>
              <w:bottom w:val="single" w:sz="12" w:space="0" w:color="auto"/>
            </w:tcBorders>
          </w:tcPr>
          <w:p w:rsidR="00E96A0B" w:rsidRDefault="00E96A0B">
            <w:pPr>
              <w:spacing w:after="140"/>
              <w:jc w:val="right"/>
              <w:rPr>
                <w:rFonts w:ascii="KaiTi_GB2312" w:eastAsia="KaiTi_GB2312" w:hAnsi="SimSun" w:hint="eastAsia"/>
                <w:color w:val="0000FF"/>
                <w:sz w:val="18"/>
              </w:rPr>
            </w:pPr>
            <w:r>
              <w:rPr>
                <w:rFonts w:ascii="KaiTi_GB2312" w:eastAsia="KaiTi_GB2312" w:hAnsi="SimSun" w:hint="eastAsia"/>
                <w:color w:val="0000FF"/>
                <w:sz w:val="18"/>
              </w:rPr>
              <w:t>男子</w:t>
            </w:r>
          </w:p>
        </w:tc>
      </w:tr>
      <w:tr w:rsidR="00E96A0B">
        <w:tblPrEx>
          <w:tblCellMar>
            <w:top w:w="0" w:type="dxa"/>
            <w:bottom w:w="0" w:type="dxa"/>
          </w:tblCellMar>
        </w:tblPrEx>
        <w:trPr>
          <w:trHeight w:val="313"/>
          <w:jc w:val="center"/>
        </w:trPr>
        <w:tc>
          <w:tcPr>
            <w:tcW w:w="3248" w:type="dxa"/>
            <w:tcBorders>
              <w:top w:val="single" w:sz="12" w:space="0" w:color="auto"/>
            </w:tcBorders>
          </w:tcPr>
          <w:p w:rsidR="00E96A0B" w:rsidRDefault="00E96A0B">
            <w:pPr>
              <w:spacing w:after="140"/>
              <w:jc w:val="both"/>
              <w:rPr>
                <w:rFonts w:hAnsi="SimSun" w:hint="eastAsia"/>
                <w:sz w:val="18"/>
              </w:rPr>
            </w:pPr>
            <w:r>
              <w:rPr>
                <w:rFonts w:hAnsi="SimSun" w:hint="eastAsia"/>
                <w:sz w:val="18"/>
              </w:rPr>
              <w:t>义务教育学校（2000）</w:t>
            </w:r>
          </w:p>
        </w:tc>
        <w:tc>
          <w:tcPr>
            <w:tcW w:w="1994" w:type="dxa"/>
            <w:tcBorders>
              <w:top w:val="single" w:sz="12" w:space="0" w:color="auto"/>
            </w:tcBorders>
          </w:tcPr>
          <w:p w:rsidR="00E96A0B" w:rsidRDefault="00E96A0B">
            <w:pPr>
              <w:spacing w:after="140"/>
              <w:jc w:val="right"/>
              <w:rPr>
                <w:rFonts w:hAnsi="SimSun" w:hint="eastAsia"/>
                <w:sz w:val="18"/>
              </w:rPr>
            </w:pPr>
            <w:r>
              <w:rPr>
                <w:rFonts w:hAnsi="SimSun" w:hint="eastAsia"/>
                <w:sz w:val="18"/>
              </w:rPr>
              <w:t>76</w:t>
            </w:r>
          </w:p>
        </w:tc>
        <w:tc>
          <w:tcPr>
            <w:tcW w:w="1995" w:type="dxa"/>
            <w:tcBorders>
              <w:top w:val="single" w:sz="12" w:space="0" w:color="auto"/>
            </w:tcBorders>
          </w:tcPr>
          <w:p w:rsidR="00E96A0B" w:rsidRDefault="00E96A0B">
            <w:pPr>
              <w:spacing w:after="140"/>
              <w:jc w:val="right"/>
              <w:rPr>
                <w:rFonts w:hAnsi="SimSun" w:hint="eastAsia"/>
                <w:sz w:val="18"/>
              </w:rPr>
            </w:pPr>
            <w:r>
              <w:rPr>
                <w:rFonts w:hAnsi="SimSun" w:hint="eastAsia"/>
                <w:sz w:val="18"/>
              </w:rPr>
              <w:t>24</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校长</w:t>
            </w:r>
          </w:p>
        </w:tc>
        <w:tc>
          <w:tcPr>
            <w:tcW w:w="1994" w:type="dxa"/>
          </w:tcPr>
          <w:p w:rsidR="00E96A0B" w:rsidRDefault="00E96A0B">
            <w:pPr>
              <w:spacing w:after="140"/>
              <w:jc w:val="right"/>
              <w:rPr>
                <w:rFonts w:hAnsi="SimSun" w:hint="eastAsia"/>
                <w:sz w:val="18"/>
              </w:rPr>
            </w:pPr>
            <w:r>
              <w:rPr>
                <w:rFonts w:hAnsi="SimSun" w:hint="eastAsia"/>
                <w:sz w:val="18"/>
              </w:rPr>
              <w:t>39</w:t>
            </w:r>
          </w:p>
        </w:tc>
        <w:tc>
          <w:tcPr>
            <w:tcW w:w="1995" w:type="dxa"/>
          </w:tcPr>
          <w:p w:rsidR="00E96A0B" w:rsidRDefault="00E96A0B">
            <w:pPr>
              <w:spacing w:after="140"/>
              <w:jc w:val="right"/>
              <w:rPr>
                <w:rFonts w:hAnsi="SimSun" w:hint="eastAsia"/>
                <w:sz w:val="18"/>
              </w:rPr>
            </w:pPr>
            <w:r>
              <w:rPr>
                <w:rFonts w:hAnsi="SimSun" w:hint="eastAsia"/>
                <w:sz w:val="18"/>
              </w:rPr>
              <w:t>61</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校长助理</w:t>
            </w:r>
          </w:p>
        </w:tc>
        <w:tc>
          <w:tcPr>
            <w:tcW w:w="1994" w:type="dxa"/>
          </w:tcPr>
          <w:p w:rsidR="00E96A0B" w:rsidRDefault="00E96A0B">
            <w:pPr>
              <w:spacing w:after="140"/>
              <w:jc w:val="right"/>
              <w:rPr>
                <w:rFonts w:hAnsi="SimSun" w:hint="eastAsia"/>
                <w:sz w:val="18"/>
              </w:rPr>
            </w:pPr>
            <w:r>
              <w:rPr>
                <w:rFonts w:hAnsi="SimSun" w:hint="eastAsia"/>
                <w:sz w:val="18"/>
              </w:rPr>
              <w:t>59</w:t>
            </w:r>
          </w:p>
        </w:tc>
        <w:tc>
          <w:tcPr>
            <w:tcW w:w="1995" w:type="dxa"/>
          </w:tcPr>
          <w:p w:rsidR="00E96A0B" w:rsidRDefault="00E96A0B">
            <w:pPr>
              <w:spacing w:after="140"/>
              <w:jc w:val="right"/>
              <w:rPr>
                <w:rFonts w:hAnsi="SimSun" w:hint="eastAsia"/>
                <w:sz w:val="18"/>
              </w:rPr>
            </w:pPr>
            <w:r>
              <w:rPr>
                <w:rFonts w:hAnsi="SimSun" w:hint="eastAsia"/>
                <w:sz w:val="18"/>
              </w:rPr>
              <w:t>41</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教师</w:t>
            </w:r>
          </w:p>
        </w:tc>
        <w:tc>
          <w:tcPr>
            <w:tcW w:w="1994" w:type="dxa"/>
          </w:tcPr>
          <w:p w:rsidR="00E96A0B" w:rsidRDefault="00E96A0B">
            <w:pPr>
              <w:spacing w:after="140"/>
              <w:jc w:val="right"/>
              <w:rPr>
                <w:rFonts w:hAnsi="SimSun" w:hint="eastAsia"/>
                <w:sz w:val="18"/>
              </w:rPr>
            </w:pPr>
            <w:r>
              <w:rPr>
                <w:rFonts w:hAnsi="SimSun" w:hint="eastAsia"/>
                <w:sz w:val="18"/>
              </w:rPr>
              <w:t>78</w:t>
            </w:r>
          </w:p>
        </w:tc>
        <w:tc>
          <w:tcPr>
            <w:tcW w:w="1995" w:type="dxa"/>
          </w:tcPr>
          <w:p w:rsidR="00E96A0B" w:rsidRDefault="00E96A0B">
            <w:pPr>
              <w:spacing w:after="140"/>
              <w:jc w:val="right"/>
              <w:rPr>
                <w:rFonts w:hAnsi="SimSun" w:hint="eastAsia"/>
                <w:sz w:val="18"/>
              </w:rPr>
            </w:pPr>
            <w:r>
              <w:rPr>
                <w:rFonts w:hAnsi="SimSun" w:hint="eastAsia"/>
                <w:sz w:val="18"/>
              </w:rPr>
              <w:t>22</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特殊教育教师</w:t>
            </w:r>
          </w:p>
        </w:tc>
        <w:tc>
          <w:tcPr>
            <w:tcW w:w="1994" w:type="dxa"/>
          </w:tcPr>
          <w:p w:rsidR="00E96A0B" w:rsidRDefault="00E96A0B">
            <w:pPr>
              <w:spacing w:after="140"/>
              <w:jc w:val="right"/>
              <w:rPr>
                <w:rFonts w:hAnsi="SimSun" w:hint="eastAsia"/>
                <w:sz w:val="18"/>
              </w:rPr>
            </w:pPr>
            <w:r>
              <w:rPr>
                <w:rFonts w:hAnsi="SimSun" w:hint="eastAsia"/>
                <w:sz w:val="18"/>
              </w:rPr>
              <w:t>90</w:t>
            </w:r>
          </w:p>
        </w:tc>
        <w:tc>
          <w:tcPr>
            <w:tcW w:w="1995" w:type="dxa"/>
          </w:tcPr>
          <w:p w:rsidR="00E96A0B" w:rsidRDefault="00E96A0B">
            <w:pPr>
              <w:spacing w:after="140"/>
              <w:jc w:val="right"/>
              <w:rPr>
                <w:rFonts w:hAnsi="SimSun" w:hint="eastAsia"/>
                <w:sz w:val="18"/>
              </w:rPr>
            </w:pPr>
            <w:r>
              <w:rPr>
                <w:rFonts w:hAnsi="SimSun" w:hint="eastAsia"/>
                <w:sz w:val="18"/>
              </w:rPr>
              <w:t>10</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高中（1999）</w:t>
            </w:r>
          </w:p>
        </w:tc>
        <w:tc>
          <w:tcPr>
            <w:tcW w:w="1994" w:type="dxa"/>
          </w:tcPr>
          <w:p w:rsidR="00E96A0B" w:rsidRDefault="00E96A0B">
            <w:pPr>
              <w:spacing w:after="140"/>
              <w:jc w:val="right"/>
              <w:rPr>
                <w:rFonts w:hAnsi="SimSun" w:hint="eastAsia"/>
                <w:sz w:val="18"/>
              </w:rPr>
            </w:pPr>
            <w:r>
              <w:rPr>
                <w:rFonts w:hAnsi="SimSun" w:hint="eastAsia"/>
                <w:sz w:val="18"/>
              </w:rPr>
              <w:t>43</w:t>
            </w:r>
          </w:p>
        </w:tc>
        <w:tc>
          <w:tcPr>
            <w:tcW w:w="1995" w:type="dxa"/>
          </w:tcPr>
          <w:p w:rsidR="00E96A0B" w:rsidRDefault="00E96A0B">
            <w:pPr>
              <w:spacing w:after="140"/>
              <w:jc w:val="right"/>
              <w:rPr>
                <w:rFonts w:hAnsi="SimSun" w:hint="eastAsia"/>
                <w:sz w:val="18"/>
              </w:rPr>
            </w:pPr>
            <w:r>
              <w:rPr>
                <w:rFonts w:hAnsi="SimSun" w:hint="eastAsia"/>
                <w:sz w:val="18"/>
              </w:rPr>
              <w:t>57</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校长</w:t>
            </w:r>
          </w:p>
        </w:tc>
        <w:tc>
          <w:tcPr>
            <w:tcW w:w="1994" w:type="dxa"/>
          </w:tcPr>
          <w:p w:rsidR="00E96A0B" w:rsidRDefault="00E96A0B">
            <w:pPr>
              <w:spacing w:after="140"/>
              <w:jc w:val="right"/>
              <w:rPr>
                <w:rFonts w:hAnsi="SimSun" w:hint="eastAsia"/>
                <w:sz w:val="18"/>
              </w:rPr>
            </w:pPr>
            <w:r>
              <w:rPr>
                <w:rFonts w:hAnsi="SimSun" w:hint="eastAsia"/>
                <w:sz w:val="18"/>
              </w:rPr>
              <w:t>21</w:t>
            </w:r>
          </w:p>
        </w:tc>
        <w:tc>
          <w:tcPr>
            <w:tcW w:w="1995" w:type="dxa"/>
          </w:tcPr>
          <w:p w:rsidR="00E96A0B" w:rsidRDefault="00E96A0B">
            <w:pPr>
              <w:spacing w:after="140"/>
              <w:jc w:val="right"/>
              <w:rPr>
                <w:rFonts w:hAnsi="SimSun" w:hint="eastAsia"/>
                <w:sz w:val="18"/>
              </w:rPr>
            </w:pPr>
            <w:r>
              <w:rPr>
                <w:rFonts w:hAnsi="SimSun" w:hint="eastAsia"/>
                <w:sz w:val="18"/>
              </w:rPr>
              <w:t>79</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校长助理</w:t>
            </w:r>
          </w:p>
        </w:tc>
        <w:tc>
          <w:tcPr>
            <w:tcW w:w="1994" w:type="dxa"/>
          </w:tcPr>
          <w:p w:rsidR="00E96A0B" w:rsidRDefault="00E96A0B">
            <w:pPr>
              <w:spacing w:after="140"/>
              <w:jc w:val="right"/>
              <w:rPr>
                <w:rFonts w:hAnsi="SimSun" w:hint="eastAsia"/>
                <w:sz w:val="18"/>
              </w:rPr>
            </w:pPr>
            <w:r>
              <w:rPr>
                <w:rFonts w:hAnsi="SimSun" w:hint="eastAsia"/>
                <w:sz w:val="18"/>
              </w:rPr>
              <w:t>11</w:t>
            </w:r>
          </w:p>
        </w:tc>
        <w:tc>
          <w:tcPr>
            <w:tcW w:w="1995" w:type="dxa"/>
          </w:tcPr>
          <w:p w:rsidR="00E96A0B" w:rsidRDefault="00E96A0B">
            <w:pPr>
              <w:spacing w:after="140"/>
              <w:jc w:val="right"/>
              <w:rPr>
                <w:rFonts w:hAnsi="SimSun" w:hint="eastAsia"/>
                <w:sz w:val="18"/>
              </w:rPr>
            </w:pPr>
            <w:r>
              <w:rPr>
                <w:rFonts w:hAnsi="SimSun" w:hint="eastAsia"/>
                <w:sz w:val="18"/>
              </w:rPr>
              <w:t>89</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管理人员</w:t>
            </w:r>
          </w:p>
        </w:tc>
        <w:tc>
          <w:tcPr>
            <w:tcW w:w="1994" w:type="dxa"/>
          </w:tcPr>
          <w:p w:rsidR="00E96A0B" w:rsidRDefault="00E96A0B">
            <w:pPr>
              <w:spacing w:after="140"/>
              <w:jc w:val="right"/>
              <w:rPr>
                <w:rFonts w:hAnsi="SimSun" w:hint="eastAsia"/>
                <w:sz w:val="18"/>
              </w:rPr>
            </w:pPr>
            <w:r>
              <w:rPr>
                <w:rFonts w:hAnsi="SimSun" w:hint="eastAsia"/>
                <w:sz w:val="18"/>
              </w:rPr>
              <w:t>42</w:t>
            </w:r>
          </w:p>
        </w:tc>
        <w:tc>
          <w:tcPr>
            <w:tcW w:w="1995" w:type="dxa"/>
          </w:tcPr>
          <w:p w:rsidR="00E96A0B" w:rsidRDefault="00E96A0B">
            <w:pPr>
              <w:spacing w:after="140"/>
              <w:jc w:val="right"/>
              <w:rPr>
                <w:rFonts w:hAnsi="SimSun" w:hint="eastAsia"/>
                <w:sz w:val="18"/>
              </w:rPr>
            </w:pPr>
            <w:r>
              <w:rPr>
                <w:rFonts w:hAnsi="SimSun" w:hint="eastAsia"/>
                <w:sz w:val="18"/>
              </w:rPr>
              <w:t>58</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教师</w:t>
            </w:r>
          </w:p>
        </w:tc>
        <w:tc>
          <w:tcPr>
            <w:tcW w:w="1994" w:type="dxa"/>
          </w:tcPr>
          <w:p w:rsidR="00E96A0B" w:rsidRDefault="00E96A0B">
            <w:pPr>
              <w:spacing w:after="140"/>
              <w:jc w:val="right"/>
              <w:rPr>
                <w:rFonts w:hAnsi="SimSun" w:hint="eastAsia"/>
                <w:sz w:val="18"/>
              </w:rPr>
            </w:pPr>
            <w:r>
              <w:rPr>
                <w:rFonts w:hAnsi="SimSun" w:hint="eastAsia"/>
                <w:sz w:val="18"/>
              </w:rPr>
              <w:t>44</w:t>
            </w:r>
          </w:p>
        </w:tc>
        <w:tc>
          <w:tcPr>
            <w:tcW w:w="1995" w:type="dxa"/>
          </w:tcPr>
          <w:p w:rsidR="00E96A0B" w:rsidRDefault="00E96A0B">
            <w:pPr>
              <w:spacing w:after="140"/>
              <w:jc w:val="right"/>
              <w:rPr>
                <w:rFonts w:hAnsi="SimSun" w:hint="eastAsia"/>
                <w:sz w:val="18"/>
              </w:rPr>
            </w:pPr>
            <w:r>
              <w:rPr>
                <w:rFonts w:hAnsi="SimSun" w:hint="eastAsia"/>
                <w:sz w:val="18"/>
              </w:rPr>
              <w:t>56</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大学（1999）</w:t>
            </w:r>
          </w:p>
        </w:tc>
        <w:tc>
          <w:tcPr>
            <w:tcW w:w="1994" w:type="dxa"/>
          </w:tcPr>
          <w:p w:rsidR="00E96A0B" w:rsidRDefault="00E96A0B">
            <w:pPr>
              <w:spacing w:after="140"/>
              <w:jc w:val="right"/>
              <w:rPr>
                <w:rFonts w:hAnsi="SimSun" w:hint="eastAsia"/>
                <w:sz w:val="18"/>
              </w:rPr>
            </w:pPr>
            <w:r>
              <w:rPr>
                <w:rFonts w:hAnsi="SimSun" w:hint="eastAsia"/>
                <w:sz w:val="18"/>
              </w:rPr>
              <w:t>43</w:t>
            </w:r>
          </w:p>
        </w:tc>
        <w:tc>
          <w:tcPr>
            <w:tcW w:w="1995" w:type="dxa"/>
          </w:tcPr>
          <w:p w:rsidR="00E96A0B" w:rsidRDefault="00E96A0B">
            <w:pPr>
              <w:spacing w:after="140"/>
              <w:jc w:val="right"/>
              <w:rPr>
                <w:rFonts w:hAnsi="SimSun" w:hint="eastAsia"/>
                <w:sz w:val="18"/>
              </w:rPr>
            </w:pPr>
            <w:r>
              <w:rPr>
                <w:rFonts w:hAnsi="SimSun" w:hint="eastAsia"/>
                <w:sz w:val="18"/>
              </w:rPr>
              <w:t>57</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校长</w:t>
            </w:r>
          </w:p>
        </w:tc>
        <w:tc>
          <w:tcPr>
            <w:tcW w:w="1994" w:type="dxa"/>
          </w:tcPr>
          <w:p w:rsidR="00E96A0B" w:rsidRDefault="00E96A0B">
            <w:pPr>
              <w:spacing w:after="140"/>
              <w:jc w:val="right"/>
              <w:rPr>
                <w:rFonts w:hAnsi="SimSun" w:hint="eastAsia"/>
                <w:sz w:val="18"/>
              </w:rPr>
            </w:pPr>
            <w:r>
              <w:rPr>
                <w:rFonts w:hAnsi="SimSun" w:hint="eastAsia"/>
                <w:sz w:val="18"/>
              </w:rPr>
              <w:t>17</w:t>
            </w:r>
          </w:p>
        </w:tc>
        <w:tc>
          <w:tcPr>
            <w:tcW w:w="1995" w:type="dxa"/>
          </w:tcPr>
          <w:p w:rsidR="00E96A0B" w:rsidRDefault="00E96A0B">
            <w:pPr>
              <w:spacing w:after="140"/>
              <w:jc w:val="right"/>
              <w:rPr>
                <w:rFonts w:hAnsi="SimSun" w:hint="eastAsia"/>
                <w:sz w:val="18"/>
              </w:rPr>
            </w:pPr>
            <w:r>
              <w:rPr>
                <w:rFonts w:hAnsi="SimSun" w:hint="eastAsia"/>
                <w:sz w:val="18"/>
              </w:rPr>
              <w:t>83</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教授</w:t>
            </w:r>
          </w:p>
        </w:tc>
        <w:tc>
          <w:tcPr>
            <w:tcW w:w="1994" w:type="dxa"/>
          </w:tcPr>
          <w:p w:rsidR="00E96A0B" w:rsidRDefault="00E96A0B">
            <w:pPr>
              <w:spacing w:after="140"/>
              <w:jc w:val="right"/>
              <w:rPr>
                <w:rFonts w:hAnsi="SimSun" w:hint="eastAsia"/>
                <w:sz w:val="18"/>
              </w:rPr>
            </w:pPr>
            <w:r>
              <w:rPr>
                <w:rFonts w:hAnsi="SimSun" w:hint="eastAsia"/>
                <w:sz w:val="18"/>
              </w:rPr>
              <w:t>9</w:t>
            </w:r>
          </w:p>
        </w:tc>
        <w:tc>
          <w:tcPr>
            <w:tcW w:w="1995" w:type="dxa"/>
          </w:tcPr>
          <w:p w:rsidR="00E96A0B" w:rsidRDefault="00E96A0B">
            <w:pPr>
              <w:spacing w:after="140"/>
              <w:jc w:val="right"/>
              <w:rPr>
                <w:rFonts w:hAnsi="SimSun" w:hint="eastAsia"/>
                <w:sz w:val="18"/>
              </w:rPr>
            </w:pPr>
            <w:r>
              <w:rPr>
                <w:rFonts w:hAnsi="SimSun" w:hint="eastAsia"/>
                <w:sz w:val="18"/>
              </w:rPr>
              <w:t>91</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副教授</w:t>
            </w:r>
          </w:p>
        </w:tc>
        <w:tc>
          <w:tcPr>
            <w:tcW w:w="1994" w:type="dxa"/>
          </w:tcPr>
          <w:p w:rsidR="00E96A0B" w:rsidRDefault="00E96A0B">
            <w:pPr>
              <w:spacing w:after="140"/>
              <w:jc w:val="right"/>
              <w:rPr>
                <w:rFonts w:hAnsi="SimSun" w:hint="eastAsia"/>
                <w:sz w:val="18"/>
              </w:rPr>
            </w:pPr>
            <w:r>
              <w:rPr>
                <w:rFonts w:hAnsi="SimSun" w:hint="eastAsia"/>
                <w:sz w:val="18"/>
              </w:rPr>
              <w:t>26</w:t>
            </w:r>
          </w:p>
        </w:tc>
        <w:tc>
          <w:tcPr>
            <w:tcW w:w="1995" w:type="dxa"/>
          </w:tcPr>
          <w:p w:rsidR="00E96A0B" w:rsidRDefault="00E96A0B">
            <w:pPr>
              <w:spacing w:after="140"/>
              <w:jc w:val="right"/>
              <w:rPr>
                <w:rFonts w:hAnsi="SimSun" w:hint="eastAsia"/>
                <w:sz w:val="18"/>
              </w:rPr>
            </w:pPr>
            <w:r>
              <w:rPr>
                <w:rFonts w:hAnsi="SimSun" w:hint="eastAsia"/>
                <w:sz w:val="18"/>
              </w:rPr>
              <w:t>74</w:t>
            </w:r>
          </w:p>
        </w:tc>
      </w:tr>
      <w:tr w:rsidR="00E96A0B">
        <w:tblPrEx>
          <w:tblCellMar>
            <w:top w:w="0" w:type="dxa"/>
            <w:bottom w:w="0" w:type="dxa"/>
          </w:tblCellMar>
        </w:tblPrEx>
        <w:trPr>
          <w:trHeight w:val="313"/>
          <w:jc w:val="center"/>
        </w:trPr>
        <w:tc>
          <w:tcPr>
            <w:tcW w:w="3248" w:type="dxa"/>
          </w:tcPr>
          <w:p w:rsidR="00E96A0B" w:rsidRDefault="00E96A0B">
            <w:pPr>
              <w:spacing w:after="140"/>
              <w:jc w:val="both"/>
              <w:rPr>
                <w:rFonts w:hAnsi="SimSun" w:hint="eastAsia"/>
                <w:sz w:val="18"/>
              </w:rPr>
            </w:pPr>
            <w:r>
              <w:rPr>
                <w:rFonts w:hAnsi="SimSun" w:hint="eastAsia"/>
                <w:sz w:val="18"/>
              </w:rPr>
              <w:t>讲师</w:t>
            </w:r>
          </w:p>
        </w:tc>
        <w:tc>
          <w:tcPr>
            <w:tcW w:w="1994" w:type="dxa"/>
          </w:tcPr>
          <w:p w:rsidR="00E96A0B" w:rsidRDefault="00E96A0B">
            <w:pPr>
              <w:spacing w:after="140"/>
              <w:jc w:val="right"/>
              <w:rPr>
                <w:rFonts w:hAnsi="SimSun" w:hint="eastAsia"/>
                <w:sz w:val="18"/>
              </w:rPr>
            </w:pPr>
            <w:r>
              <w:rPr>
                <w:rFonts w:hAnsi="SimSun" w:hint="eastAsia"/>
                <w:sz w:val="18"/>
              </w:rPr>
              <w:t>50</w:t>
            </w:r>
          </w:p>
        </w:tc>
        <w:tc>
          <w:tcPr>
            <w:tcW w:w="1995" w:type="dxa"/>
          </w:tcPr>
          <w:p w:rsidR="00E96A0B" w:rsidRDefault="00E96A0B">
            <w:pPr>
              <w:spacing w:after="140"/>
              <w:jc w:val="right"/>
              <w:rPr>
                <w:rFonts w:hAnsi="SimSun" w:hint="eastAsia"/>
                <w:sz w:val="18"/>
              </w:rPr>
            </w:pPr>
            <w:r>
              <w:rPr>
                <w:rFonts w:hAnsi="SimSun" w:hint="eastAsia"/>
                <w:sz w:val="18"/>
              </w:rPr>
              <w:t>50</w:t>
            </w:r>
          </w:p>
        </w:tc>
      </w:tr>
      <w:tr w:rsidR="00E96A0B">
        <w:tblPrEx>
          <w:tblCellMar>
            <w:top w:w="0" w:type="dxa"/>
            <w:bottom w:w="0" w:type="dxa"/>
          </w:tblCellMar>
        </w:tblPrEx>
        <w:trPr>
          <w:trHeight w:val="314"/>
          <w:jc w:val="center"/>
        </w:trPr>
        <w:tc>
          <w:tcPr>
            <w:tcW w:w="3248" w:type="dxa"/>
            <w:tcBorders>
              <w:bottom w:val="single" w:sz="12" w:space="0" w:color="auto"/>
            </w:tcBorders>
          </w:tcPr>
          <w:p w:rsidR="00E96A0B" w:rsidRDefault="00E96A0B">
            <w:pPr>
              <w:spacing w:after="140"/>
              <w:jc w:val="both"/>
              <w:rPr>
                <w:rFonts w:hAnsi="SimSun" w:hint="eastAsia"/>
                <w:sz w:val="18"/>
              </w:rPr>
            </w:pPr>
            <w:r>
              <w:rPr>
                <w:rFonts w:hAnsi="SimSun" w:hint="eastAsia"/>
                <w:sz w:val="18"/>
              </w:rPr>
              <w:t>大学教育的其他教师</w:t>
            </w:r>
          </w:p>
        </w:tc>
        <w:tc>
          <w:tcPr>
            <w:tcW w:w="1994"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52</w:t>
            </w:r>
          </w:p>
        </w:tc>
        <w:tc>
          <w:tcPr>
            <w:tcW w:w="1995" w:type="dxa"/>
            <w:tcBorders>
              <w:bottom w:val="single" w:sz="12" w:space="0" w:color="auto"/>
            </w:tcBorders>
          </w:tcPr>
          <w:p w:rsidR="00E96A0B" w:rsidRDefault="00E96A0B">
            <w:pPr>
              <w:spacing w:after="140"/>
              <w:jc w:val="right"/>
              <w:rPr>
                <w:rFonts w:hAnsi="SimSun" w:hint="eastAsia"/>
                <w:sz w:val="18"/>
              </w:rPr>
            </w:pPr>
            <w:r>
              <w:rPr>
                <w:rFonts w:hAnsi="SimSun" w:hint="eastAsia"/>
                <w:sz w:val="18"/>
              </w:rPr>
              <w:t>48</w:t>
            </w:r>
          </w:p>
        </w:tc>
      </w:tr>
    </w:tbl>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hAnsi="SimSun" w:hint="eastAsia"/>
        </w:rPr>
      </w:pPr>
      <w:r>
        <w:rPr>
          <w:rFonts w:hAnsi="SimSun" w:hint="eastAsia"/>
        </w:rPr>
        <w:t>为了促进学校内部的男女平等，国家教材中心于2000年出版了《男女平等手册》，现已被全国的义务教育学校使用。教育部出版了一本小册子“教育-文化-未来的根基”，里面有一个关于保证男女平等的宣言，致力于改变传统角色，提高学生的自尊。</w:t>
      </w:r>
    </w:p>
    <w:p w:rsidR="00E96A0B" w:rsidRDefault="00E96A0B" w:rsidP="004907F9">
      <w:pPr>
        <w:spacing w:after="140"/>
        <w:ind w:left="1264" w:right="1264" w:firstLineChars="200" w:firstLine="31680"/>
        <w:jc w:val="both"/>
        <w:rPr>
          <w:rFonts w:hAnsi="SimSun" w:hint="eastAsia"/>
        </w:rPr>
      </w:pPr>
      <w:r>
        <w:rPr>
          <w:rFonts w:hAnsi="SimSun" w:hint="eastAsia"/>
        </w:rPr>
        <w:t>冰岛大学有一个由五人组成的平等权利委员会，该委员会成立于1998年，它的目标之一就是在大学内部宣传第96/2000号《两性平等法》中的各项建议。该委员会已经为冰岛大学制定了2000-2004年平等权利政策纲领，该纲领的主要目标是提高男女在工作条件和工资方面的平等，以保证男女平等参与冰岛大学的管理，保证平等的受教育机会。</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冰岛的其他大学也制定了男女平等计划，或正在制定此种计划。</w:t>
      </w:r>
    </w:p>
    <w:p w:rsidR="00E96A0B" w:rsidRDefault="00E96A0B">
      <w:pPr>
        <w:widowControl w:val="0"/>
        <w:spacing w:after="140"/>
        <w:ind w:left="1264" w:right="1264"/>
        <w:jc w:val="both"/>
        <w:rPr>
          <w:rFonts w:ascii="SimHei" w:eastAsia="SimHei" w:hint="eastAsia"/>
          <w:color w:val="FF0000"/>
          <w:kern w:val="2"/>
          <w:szCs w:val="24"/>
        </w:rPr>
      </w:pPr>
      <w:r>
        <w:rPr>
          <w:rFonts w:ascii="SimHei" w:eastAsia="SimHei" w:hint="eastAsia"/>
          <w:color w:val="FF0000"/>
          <w:kern w:val="2"/>
          <w:szCs w:val="24"/>
        </w:rPr>
        <w:t>激励妇女领导的试点计划</w:t>
      </w:r>
    </w:p>
    <w:p w:rsidR="00E96A0B" w:rsidRDefault="00E96A0B" w:rsidP="004907F9">
      <w:pPr>
        <w:spacing w:after="140"/>
        <w:ind w:left="1264" w:right="1264" w:firstLineChars="200" w:firstLine="31680"/>
        <w:jc w:val="both"/>
        <w:rPr>
          <w:rFonts w:hAnsi="SimSun" w:hint="eastAsia"/>
        </w:rPr>
      </w:pPr>
      <w:r>
        <w:rPr>
          <w:rFonts w:hAnsi="SimSun" w:hint="eastAsia"/>
        </w:rPr>
        <w:t>2000年4月，冰岛各界签署了一份两年的协议，目的是提高冰岛妇女在劳动力市场的地位，重点强调领导地位。签署各方为：冰岛大学、两性平等中心、总理办公厅、社会事务部、工商部、教育、科学和文化部以及一些私营公司。还指定了一个专门委员会来监督该计划的实施。</w:t>
      </w:r>
    </w:p>
    <w:p w:rsidR="00E96A0B" w:rsidRDefault="00E96A0B" w:rsidP="004907F9">
      <w:pPr>
        <w:spacing w:after="140"/>
        <w:ind w:left="1264" w:right="1264" w:firstLineChars="200" w:firstLine="31680"/>
        <w:jc w:val="both"/>
        <w:rPr>
          <w:rFonts w:hAnsi="SimSun" w:hint="eastAsia"/>
        </w:rPr>
      </w:pPr>
      <w:r>
        <w:rPr>
          <w:rFonts w:hAnsi="SimSun" w:hint="eastAsia"/>
        </w:rPr>
        <w:t>执行该试点计划旨在加强妇女在经济生活中的领导地位和鼓励妇女选择男性主导的高等教育研究领域，特别是信息技术和工程领域。也鼓励男学生参与或申请女性主导的研究领域，如护理和社会工作。该计划于2000年9月启动后，一直非常成功。通过这种方式，冰岛大学平等权利委员会正努力废除陈旧的性别角色，消除未来知识社会中男女之间的报酬差别。</w:t>
      </w:r>
    </w:p>
    <w:p w:rsidR="00E96A0B" w:rsidRDefault="00E96A0B" w:rsidP="004907F9">
      <w:pPr>
        <w:spacing w:after="140"/>
        <w:ind w:left="1264" w:right="1264" w:firstLineChars="200" w:firstLine="31680"/>
        <w:jc w:val="both"/>
        <w:rPr>
          <w:rFonts w:hAnsi="SimSun" w:hint="eastAsia"/>
        </w:rPr>
      </w:pPr>
      <w:r>
        <w:rPr>
          <w:rFonts w:hAnsi="SimSun" w:hint="eastAsia"/>
        </w:rPr>
        <w:t>2002年10月，作为男女平等运动的一部分，冰岛大学、两性平等中心和雷克雅未克商业工会与一个私营公司合作，出版了名为《就业市场成功的关键》的小册子，目的是为那些即将完成大学教育、进入就业市场的人提供关于找工作和迈入工作事业第一步的实践信息。该小册子被认为是为妇女对自己将来的事业做好准备的一种鼓励，并鼓励她们在选择研究生研究和工作上考虑未来的赚钱能力。</w:t>
      </w:r>
    </w:p>
    <w:p w:rsidR="00E96A0B" w:rsidRDefault="00E96A0B" w:rsidP="004907F9">
      <w:pPr>
        <w:spacing w:after="140"/>
        <w:ind w:left="1264" w:right="1264" w:firstLineChars="200" w:firstLine="31680"/>
        <w:jc w:val="both"/>
        <w:rPr>
          <w:rFonts w:hAnsi="SimSun" w:hint="eastAsia"/>
        </w:rPr>
      </w:pPr>
      <w:r>
        <w:rPr>
          <w:rFonts w:hAnsi="SimSun" w:hint="eastAsia"/>
        </w:rPr>
        <w:t>这与《两性平等法》是一致的，因为该法规定，要在各级学校中提供男女平等问题的教育，也就是说，强调要使男女都做好准备，积极参与社会、家庭生活和就业市场。有关教育和职业培训机会的介绍性材料和学校内部的咨询将为男女青年介绍那些一直以来传统上被认为是男性或女性的职业。要特别注意保证教材和课本的设计均没有性别歧视。</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还采取了很多其他措施提高教育系统内的男女平等，希望这些措施会对劳动力市场有所益处，改善已经进入该市场的妇女的地位。</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小学和中学已经采取了特别措施来鼓励更多的女学生报名高等教育中的自然科学、工程学和技术研究领域。在上述领域，与冰岛大学工程学和自然科学系、学校管理人员、学术联合会密切合作，还与公司密切合作。</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开展了一个项目，使女学生在开始她们的工程和计算机研究时更能感到自己是受欢迎的。制定了一个积极的合作方案，参与者包括相关各部门、高年级女学生和工程学和计算机专业女毕业生，以帮助新的女学生进入这些研究领域。</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与</w:t>
      </w:r>
      <w:r>
        <w:rPr>
          <w:rFonts w:ascii="Times New Roman" w:hint="eastAsia"/>
        </w:rPr>
        <w:t>Gallup</w:t>
      </w:r>
      <w:r>
        <w:rPr>
          <w:rFonts w:ascii="Times New Roman" w:hint="eastAsia"/>
        </w:rPr>
        <w:t>有限公司合作，为冰岛大学各系的女学生在最后学年开设一门管理、领导和职业规划课程。</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与Impra（另见第4条）合作，为人文和社会科学系的所有女学生，在最后一学年开设一门开办公司和制定企业计划入门的课程。</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为毕业于人文和社会科学的女学生开设艺术和文化学院管理课。第一门课于2001年6月由斯堪的纳维亚-波罗的海文化管理培训平台（NBP）和欧洲文化管理中心网（ENCATC）开设。以后的课程将由国内的老师讲授，该项目得到了Sj</w:t>
      </w:r>
      <w:r>
        <w:rPr>
          <w:rFonts w:hAnsi="SimSun"/>
        </w:rPr>
        <w:t>ó</w:t>
      </w:r>
      <w:r>
        <w:rPr>
          <w:rFonts w:hAnsi="SimSun" w:hint="eastAsia"/>
        </w:rPr>
        <w:t>v</w:t>
      </w:r>
      <w:r>
        <w:rPr>
          <w:rFonts w:hAnsi="SimSun"/>
        </w:rPr>
        <w:t>á</w:t>
      </w:r>
      <w:r>
        <w:rPr>
          <w:rFonts w:hAnsi="SimSun" w:hint="eastAsia"/>
        </w:rPr>
        <w:t>-Almennar保险公司的特别赞助。</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开设了一门科学理论和科学历史的课程，在这门课中，将在更广泛的文化和社会范围内关注科学。</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男性和护理研究。已经采取特别措施加强护理研究领域的男女人数的平衡，还采取措施在中小学最后一学年向男生传播冰岛大学护理系的信息，这也是改变该学科领域形象和地位的需要。</w:t>
      </w:r>
    </w:p>
    <w:p w:rsidR="00E96A0B" w:rsidRDefault="00E96A0B" w:rsidP="004907F9">
      <w:pPr>
        <w:spacing w:after="140"/>
        <w:ind w:left="1264" w:right="1264" w:firstLineChars="200" w:firstLine="31680"/>
        <w:jc w:val="both"/>
        <w:rPr>
          <w:rFonts w:hAnsi="SimSun" w:hint="eastAsia"/>
        </w:rPr>
      </w:pPr>
      <w:r>
        <w:rPr>
          <w:rFonts w:hAnsi="SimSun" w:hint="eastAsia"/>
        </w:rPr>
        <w:t>关于这一主题还举行了会议，并为特别研究提供了经费，例如：</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ascii="Times New Roman" w:hint="eastAsia"/>
        </w:rPr>
      </w:pPr>
      <w:r>
        <w:rPr>
          <w:rFonts w:ascii="Times New Roman" w:hint="eastAsia"/>
        </w:rPr>
        <w:t>在两性平等领域提供了研究经费，重点放在高等教育的两性平等上。</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教育、科学和文化部与该项目合作，于2002年举行了一次关于冰岛妇女在科学中的地位的特别会议，该部出版了有关这个问题的综合报告。</w:t>
      </w:r>
    </w:p>
    <w:p w:rsidR="00E96A0B" w:rsidRDefault="00E96A0B" w:rsidP="004907F9">
      <w:pPr>
        <w:numPr>
          <w:ilvl w:val="1"/>
          <w:numId w:val="11"/>
        </w:numPr>
        <w:tabs>
          <w:tab w:val="clear" w:pos="1260"/>
          <w:tab w:val="num" w:leader="none" w:pos="2100"/>
        </w:tabs>
        <w:spacing w:after="140"/>
        <w:ind w:leftChars="800" w:left="31680" w:right="1264" w:hangingChars="200" w:firstLine="31680"/>
        <w:jc w:val="both"/>
        <w:rPr>
          <w:rFonts w:hAnsi="SimSun" w:hint="eastAsia"/>
        </w:rPr>
      </w:pPr>
      <w:r>
        <w:rPr>
          <w:rFonts w:hAnsi="SimSun" w:hint="eastAsia"/>
        </w:rPr>
        <w:t>自然科学和工程学的教学法。将鼓励举行一次有关自然科学教学法的研讨会，重点放在两性差别上，也就是说，鼓励使用不同的自然科学教学方法，旨在吸引更多的女学生加入到该领域。增加各级学校自然科学、工程和技术领域的女教师人数的特别措施已经制定。为增加选择自然科学作为自己的主修课程的女师生人数，冰岛大学很关注自然科学的教学方法和潜在的行动，为此，冰岛大学将寻求与冰岛教育大学和国内外该领域的专家合作。</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（d）项</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参见冰岛以前的报告。</w:t>
      </w:r>
    </w:p>
    <w:p w:rsidR="00E96A0B" w:rsidRDefault="00E96A0B">
      <w:pPr>
        <w:spacing w:after="140"/>
        <w:ind w:left="1264" w:right="1264"/>
        <w:jc w:val="both"/>
        <w:rPr>
          <w:rFonts w:ascii="SimHei" w:eastAsia="SimHei" w:hint="eastAsia"/>
          <w:color w:val="FF0000"/>
        </w:rPr>
      </w:pPr>
      <w:r>
        <w:rPr>
          <w:rFonts w:ascii="SimHei" w:eastAsia="SimHei"/>
          <w:color w:val="FF0000"/>
        </w:rPr>
        <w:t>（</w:t>
      </w:r>
      <w:r>
        <w:rPr>
          <w:rFonts w:ascii="SimHei" w:eastAsia="SimHei" w:hint="eastAsia"/>
          <w:color w:val="FF0000"/>
        </w:rPr>
        <w:t>e）项</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在冰岛，已经在做了大量的工作，旨在为不同就业部门开展职业培训。社会合作组织大大增加了合作的力度，同时还经常有学校的参与。这方面的一个范例就是</w:t>
      </w:r>
      <w:r>
        <w:rPr>
          <w:rFonts w:ascii="Times New Roman" w:hint="eastAsia"/>
        </w:rPr>
        <w:t>MENNT</w:t>
      </w:r>
      <w:r>
        <w:rPr>
          <w:rFonts w:ascii="Times New Roman" w:hint="eastAsia"/>
        </w:rPr>
        <w:t>方案，该方案是企业界和学校的联合论坛，目的是为那些给企业部门制定教育政策的组织提供服务，这些组织包括政府当局、学校和企业。另外，许多职业部门成立了特别教育中心，这些教育中心已经证明是很有意义的。</w:t>
      </w:r>
    </w:p>
    <w:p w:rsidR="00E96A0B" w:rsidRDefault="00E96A0B" w:rsidP="004907F9">
      <w:pPr>
        <w:spacing w:after="140"/>
        <w:ind w:left="1264" w:right="1264" w:firstLineChars="200" w:firstLine="31680"/>
        <w:jc w:val="both"/>
        <w:rPr>
          <w:rFonts w:hAnsi="SimSun" w:hint="eastAsia"/>
        </w:rPr>
      </w:pPr>
      <w:r>
        <w:rPr>
          <w:rFonts w:hAnsi="SimSun" w:hint="eastAsia"/>
        </w:rPr>
        <w:t>2000年，为职业培训理事会的功能和政策作了新的部署，新的政策名为Starfsmennt 2000。理事会的政策和工作方法已经做了根本修改，旨在使其职能跟上企业界、公司和机构需求的变化以及未来的发展步伐。其中的一个目标是满足劳动力市场新的教育需求。该理事会提供的职业培训计划包括基础职业培训、继续教育和特别培训，如社交技能培训。定期对理事会的工作方法进行评估，这是一项工作重点，目的是使这些方法适应不断变化的条件。</w:t>
      </w:r>
    </w:p>
    <w:p w:rsidR="00E96A0B" w:rsidRDefault="00E96A0B" w:rsidP="004907F9">
      <w:pPr>
        <w:spacing w:after="140"/>
        <w:ind w:left="1264" w:right="1264" w:firstLineChars="200" w:firstLine="31680"/>
        <w:jc w:val="both"/>
        <w:rPr>
          <w:rFonts w:hAnsi="SimSun" w:hint="eastAsia"/>
        </w:rPr>
      </w:pPr>
      <w:r>
        <w:rPr>
          <w:rFonts w:hAnsi="SimSun" w:hint="eastAsia"/>
        </w:rPr>
        <w:t>2000年，社会事务部的职业培训基金提供了3000万冰岛克朗，分给34个单位，共计55个项目。另外，决定为特别开发项目提供1500万冰岛克朗，为职业培训的研究和发展提供500万冰岛克朗。职业培训理事会一方面重点支持那些推动农村地区职业培训的项目，另一方面支持推动新企业和提高效率之措施的项目。强调不同领域内各实体之间的合作，特别声明，教材的编写比开设课程更要优先考虑。资金接收单位包括建筑行业的教育理事会、冰岛技术学院（有各种不同的项目）、工会教育联合会和个别工会，单个工会的项目主要是针对以下职工的：老年人和儿童护理、食品业、医院、保洁服务等。以前从未有过这么多农村项目得到支助。</w:t>
      </w:r>
    </w:p>
    <w:p w:rsidR="00E96A0B" w:rsidRDefault="00E96A0B" w:rsidP="004907F9">
      <w:pPr>
        <w:spacing w:after="140"/>
        <w:ind w:left="1264" w:right="1264" w:firstLineChars="200" w:firstLine="31680"/>
        <w:jc w:val="both"/>
        <w:rPr>
          <w:rFonts w:hAnsi="SimSun" w:hint="eastAsia"/>
        </w:rPr>
      </w:pPr>
      <w:r>
        <w:rPr>
          <w:rFonts w:hAnsi="SimSun" w:hint="eastAsia"/>
        </w:rPr>
        <w:t>2001年，决定有三种项目可以从职业培训基金得到传统类型的资金：在职业培训中使用英特网的项目，致力于提高职业培训质量的项目和外籍工人的职业培训项目。共有33个项目获得了总计4 350万冰岛克朗的资金。</w:t>
      </w:r>
    </w:p>
    <w:p w:rsidR="00E96A0B" w:rsidRDefault="00E96A0B" w:rsidP="004907F9">
      <w:pPr>
        <w:spacing w:after="140"/>
        <w:ind w:left="1264" w:right="1264" w:firstLineChars="200" w:firstLine="31680"/>
        <w:jc w:val="both"/>
        <w:rPr>
          <w:rFonts w:hAnsi="SimSun" w:hint="eastAsia"/>
        </w:rPr>
      </w:pPr>
      <w:r>
        <w:rPr>
          <w:rFonts w:hAnsi="SimSun" w:hint="eastAsia"/>
        </w:rPr>
        <w:t>2002年，重点放在以下有关的项目上：职业培训和信息技术，提高职业培训的质量，特别是指导人员的培训质量，以及残疾人的职业培训。2002年共为38个项目提供了4 870万冰岛克朗的资金。</w:t>
      </w:r>
    </w:p>
    <w:p w:rsidR="00E96A0B" w:rsidRDefault="00E96A0B" w:rsidP="004907F9">
      <w:pPr>
        <w:spacing w:after="140"/>
        <w:ind w:left="1264" w:right="1264" w:firstLineChars="200" w:firstLine="31680"/>
        <w:jc w:val="both"/>
        <w:rPr>
          <w:rFonts w:hAnsi="SimSun" w:hint="eastAsia"/>
        </w:rPr>
      </w:pPr>
      <w:r>
        <w:rPr>
          <w:rFonts w:hAnsi="SimSun" w:hint="eastAsia"/>
        </w:rPr>
        <w:t>2000年完成了集体一总谈判之后，社会合作组织建立了三个基金，旨在支助发展职业培训和鼓励人们从事职业培训的项目和措施。其中两个基金被指定用于无一技之长的工人，第三个基金用于商店和办公部门的工人。这些基金都旨在提高工人的能力，改善企业的竞争地位。</w:t>
      </w:r>
    </w:p>
    <w:p w:rsidR="00E96A0B" w:rsidRDefault="00E96A0B" w:rsidP="004907F9">
      <w:pPr>
        <w:spacing w:after="140"/>
        <w:ind w:left="1264" w:right="1264" w:firstLineChars="200" w:firstLine="31680"/>
        <w:jc w:val="both"/>
        <w:rPr>
          <w:rFonts w:hAnsi="SimSun" w:hint="eastAsia"/>
        </w:rPr>
      </w:pPr>
      <w:r>
        <w:rPr>
          <w:rFonts w:hAnsi="SimSun" w:hint="eastAsia"/>
        </w:rPr>
        <w:t>针对无一技之长的工人的基金重点包括开始职业培训方面的开发项目、推动职业培训、鼓励人们参加职业培训以及确定企业部门对无一技之长的手工工人职业培训的要求。其他重点包括与政府就成人教育结构进行谈判，在教材中介绍新事业，审查教材，为职业培训的个人和企业提供资助。</w:t>
      </w:r>
    </w:p>
    <w:p w:rsidR="00E96A0B" w:rsidRDefault="00E96A0B" w:rsidP="004907F9">
      <w:pPr>
        <w:spacing w:after="140"/>
        <w:ind w:left="1264" w:right="1264" w:firstLineChars="200" w:firstLine="31680"/>
        <w:jc w:val="both"/>
        <w:rPr>
          <w:rFonts w:hAnsi="SimSun" w:hint="eastAsia"/>
        </w:rPr>
      </w:pPr>
      <w:r>
        <w:rPr>
          <w:rFonts w:hAnsi="SimSun" w:hint="eastAsia"/>
        </w:rPr>
        <w:t>计划在协议所涉期间为针对无技术的工人提供的职业培训提供2.6亿冰岛克朗。该基金的大部分（2亿冰岛克朗）来自公司的失业保险征税，工会还出资6 000万冰岛克朗。根据2001-2002年的变化，其中一个基金的资助达到2 600万冰岛克朗，另一个出资2 850万。</w:t>
      </w:r>
    </w:p>
    <w:p w:rsidR="00E96A0B" w:rsidRDefault="00E96A0B" w:rsidP="004907F9">
      <w:pPr>
        <w:spacing w:after="140"/>
        <w:ind w:left="1264" w:right="1264" w:firstLineChars="200" w:firstLine="31680"/>
        <w:jc w:val="both"/>
        <w:rPr>
          <w:rFonts w:hAnsi="SimSun" w:hint="eastAsia"/>
        </w:rPr>
      </w:pPr>
      <w:r>
        <w:rPr>
          <w:rFonts w:hAnsi="SimSun" w:hint="eastAsia"/>
        </w:rPr>
        <w:t>雇员和企业均可向商店和办公室工人职业培训基金提出申请，该基金的目的是提高能力和技术，扩大满足企业部门在特定时间的需求的教育机会和材料的范围。基金提供资助，帮助雇员参加教育课程，为举办课程和编写教材付费；还通过为职业培训和继续教育提供资助来为企业提供帮助。</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相信上述措施将会对男女都有益处。值得一提的是，冰岛劳动力市场上服务行业的大多数雇员都是妇女，不需技术的岗位上大多数也是妇女。</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（f）项</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在冰岛，没有女孩早早辍学的问题：她们与男孩相比往往能上到高年级。但是早早生育子女的妇女却往往结束学校学习，一些地方无政府通过提供资助的形式为这些人提供额外的支助，这些资助由社会服务部门管理。</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（g）项</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体育和娱乐部门的性别主流化</w:t>
      </w:r>
    </w:p>
    <w:p w:rsidR="00E96A0B" w:rsidRDefault="00E96A0B" w:rsidP="004907F9">
      <w:pPr>
        <w:spacing w:after="140"/>
        <w:ind w:left="1264" w:right="1264" w:firstLineChars="200" w:firstLine="31680"/>
        <w:jc w:val="both"/>
        <w:rPr>
          <w:rFonts w:hAnsi="SimSun" w:hint="eastAsia"/>
        </w:rPr>
      </w:pPr>
      <w:r>
        <w:rPr>
          <w:rFonts w:hAnsi="SimSun" w:hint="eastAsia"/>
        </w:rPr>
        <w:t>冰岛的两个城市与原平等地位局合作，参加了斯堪的纳维亚性别主流化项目，该项目已于2000年结束。这两个城市是首都雷克雅未克和首都以外最大的城市阿库雷里。这是两个城市体育和娱乐部门的项目。</w:t>
      </w:r>
    </w:p>
    <w:p w:rsidR="00E96A0B" w:rsidRDefault="00E96A0B" w:rsidP="004907F9">
      <w:pPr>
        <w:spacing w:after="140"/>
        <w:ind w:left="1264" w:right="1264" w:firstLineChars="200" w:firstLine="31680"/>
        <w:jc w:val="both"/>
        <w:rPr>
          <w:rFonts w:hAnsi="SimSun" w:hint="eastAsia"/>
        </w:rPr>
      </w:pPr>
      <w:r>
        <w:rPr>
          <w:rFonts w:hAnsi="SimSun" w:hint="eastAsia"/>
        </w:rPr>
        <w:t>这些项目的结论已经用于实施直接措施，旨在增加女青年在两市体育和娱乐活动中的人数。主要的结论是，各级雇员和机构的管理人员以及男女青年本人都更加清楚和关心男女平等问题，某些主要和次要的结构变化极大地改变了男女参加青年人俱乐部和体育活动的兴趣。</w:t>
      </w:r>
    </w:p>
    <w:p w:rsidR="00E96A0B" w:rsidRDefault="00E96A0B" w:rsidP="004907F9">
      <w:pPr>
        <w:spacing w:after="140"/>
        <w:ind w:left="1264" w:right="1264" w:firstLineChars="200" w:firstLine="31680"/>
        <w:jc w:val="both"/>
        <w:rPr>
          <w:rFonts w:hAnsi="SimSun" w:hint="eastAsia"/>
        </w:rPr>
      </w:pPr>
      <w:r>
        <w:rPr>
          <w:rFonts w:hAnsi="SimSun" w:hint="eastAsia"/>
        </w:rPr>
        <w:t>由于这一项目，阿库雷里市政府在资助本市的体育俱乐部的合同中要求，男女都应当得到相同的鼓励，使他们拥有相同的机会来参加体育俱乐部的体育活动。</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女青年参加体育活动</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冰岛体育运动联合会制定了教练员的培训课程计划，旨在对教练进行教育，努力增加女青年参加体育运动的人数。该联合会还制定了很多计划，进行了特别的努力，以使全国各地的妇女成为体育委员会和青年俱乐部的成员。</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体育运动中的性骚扰</w:t>
      </w:r>
    </w:p>
    <w:p w:rsidR="00E96A0B" w:rsidRDefault="00E96A0B" w:rsidP="004907F9">
      <w:pPr>
        <w:spacing w:after="140"/>
        <w:ind w:leftChars="602" w:left="31680" w:right="1264" w:firstLineChars="200" w:firstLine="31680"/>
        <w:jc w:val="both"/>
        <w:rPr>
          <w:rFonts w:hAnsi="SimSun" w:hint="eastAsia"/>
        </w:rPr>
      </w:pPr>
      <w:r>
        <w:rPr>
          <w:rFonts w:hAnsi="SimSun" w:hint="eastAsia"/>
        </w:rPr>
        <w:t>2002年，冰岛体育运动联合会出版了一本小册子，其中载有最近对在体育运动中对妇女性骚扰的调查情况。该小册子还提供如何对付这种现象的指导，在公共场所均可获得这本小册子。</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（h）项</w:t>
      </w:r>
    </w:p>
    <w:p w:rsidR="00E96A0B" w:rsidRDefault="00E96A0B" w:rsidP="004907F9">
      <w:pPr>
        <w:spacing w:after="140"/>
        <w:ind w:leftChars="602" w:left="31680" w:right="1264" w:firstLineChars="200" w:firstLine="31680"/>
        <w:jc w:val="both"/>
        <w:rPr>
          <w:rFonts w:hAnsi="SimSun" w:hint="eastAsia"/>
        </w:rPr>
      </w:pPr>
      <w:r>
        <w:rPr>
          <w:rFonts w:hAnsi="SimSun" w:hint="eastAsia"/>
        </w:rPr>
        <w:t>请参考第5条和第10条（a）项和（b）项下的教育计划。</w:t>
      </w:r>
    </w:p>
    <w:p w:rsidR="00E96A0B" w:rsidRDefault="00E96A0B" w:rsidP="004907F9">
      <w:pPr>
        <w:pStyle w:val="H1"/>
        <w:spacing w:afterLines="50" w:after="156"/>
        <w:ind w:leftChars="600" w:left="31680" w:rightChars="600" w:right="31680"/>
        <w:rPr>
          <w:rFonts w:hint="eastAsia"/>
        </w:rPr>
      </w:pPr>
      <w:r>
        <w:br w:type="page"/>
      </w:r>
      <w:r>
        <w:rPr>
          <w:rFonts w:hint="eastAsia"/>
        </w:rPr>
        <w:t>第11条</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第1款（a）、（b）、和（c）项</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妇女的就业情况</w:t>
      </w:r>
    </w:p>
    <w:p w:rsidR="00E96A0B" w:rsidRDefault="00E96A0B" w:rsidP="004907F9">
      <w:pPr>
        <w:spacing w:after="140"/>
        <w:ind w:leftChars="602" w:left="31680" w:right="1264" w:firstLineChars="200" w:firstLine="31680"/>
        <w:jc w:val="both"/>
        <w:rPr>
          <w:rFonts w:hAnsi="SimSun" w:hint="eastAsia"/>
        </w:rPr>
      </w:pPr>
      <w:r>
        <w:rPr>
          <w:rFonts w:hAnsi="SimSun" w:hint="eastAsia"/>
        </w:rPr>
        <w:t>正如冰岛政府的上一份报告所指出，冰岛妇女的就业情况一直保持在很高的水平（稍低于80％）。</w:t>
      </w:r>
    </w:p>
    <w:p w:rsidR="00E96A0B" w:rsidRDefault="00E96A0B" w:rsidP="004907F9">
      <w:pPr>
        <w:spacing w:after="140"/>
        <w:ind w:leftChars="602" w:left="31680" w:right="1264" w:firstLineChars="200" w:firstLine="31680"/>
        <w:jc w:val="both"/>
        <w:rPr>
          <w:rFonts w:ascii="Times New Roman" w:hint="eastAsia"/>
        </w:rPr>
      </w:pPr>
      <w:r>
        <w:rPr>
          <w:rFonts w:hAnsi="SimSun" w:hint="eastAsia"/>
        </w:rPr>
        <w:t>表7显示了1998-2001年间各年龄段男女的就业水平。</w:t>
      </w:r>
    </w:p>
    <w:p w:rsidR="00E96A0B" w:rsidRDefault="00E96A0B">
      <w:pPr>
        <w:spacing w:after="140"/>
        <w:ind w:left="1264" w:right="1264"/>
        <w:jc w:val="both"/>
        <w:rPr>
          <w:rFonts w:ascii="SimHei" w:eastAsia="SimHei" w:hint="eastAsia"/>
          <w:color w:val="FF0000"/>
        </w:rPr>
      </w:pPr>
      <w:r>
        <w:rPr>
          <w:rFonts w:hint="eastAsia"/>
        </w:rPr>
        <w:t>表7</w:t>
      </w:r>
      <w:r>
        <w:rPr>
          <w:rFonts w:ascii="SimHei" w:eastAsia="SimHei" w:hint="eastAsia"/>
        </w:rPr>
        <w:t xml:space="preserve"> </w:t>
      </w:r>
      <w:r>
        <w:rPr>
          <w:rFonts w:ascii="SimHei" w:eastAsia="SimHei"/>
        </w:rPr>
        <w:br/>
      </w:r>
      <w:r>
        <w:rPr>
          <w:rFonts w:ascii="SimHei" w:eastAsia="SimHei" w:hint="eastAsia"/>
          <w:color w:val="FF0000"/>
        </w:rPr>
        <w:t>按性别和年龄分列的就业情况（％）</w:t>
      </w:r>
    </w:p>
    <w:tbl>
      <w:tblPr>
        <w:tblW w:w="3650" w:type="pct"/>
        <w:tblInd w:w="1368" w:type="dxa"/>
        <w:tblLook w:val="0000" w:firstRow="0" w:lastRow="0" w:firstColumn="0" w:lastColumn="0" w:noHBand="0" w:noVBand="0"/>
      </w:tblPr>
      <w:tblGrid>
        <w:gridCol w:w="1365"/>
        <w:gridCol w:w="853"/>
        <w:gridCol w:w="856"/>
        <w:gridCol w:w="856"/>
        <w:gridCol w:w="854"/>
        <w:gridCol w:w="856"/>
        <w:gridCol w:w="856"/>
        <w:gridCol w:w="854"/>
      </w:tblGrid>
      <w:tr w:rsidR="00E96A0B">
        <w:tblPrEx>
          <w:tblCellMar>
            <w:top w:w="0" w:type="dxa"/>
            <w:bottom w:w="0" w:type="dxa"/>
          </w:tblCellMar>
        </w:tblPrEx>
        <w:trPr>
          <w:trHeight w:val="300"/>
        </w:trPr>
        <w:tc>
          <w:tcPr>
            <w:tcW w:w="929" w:type="pct"/>
            <w:tcBorders>
              <w:top w:val="single" w:sz="12" w:space="0" w:color="auto"/>
              <w:bottom w:val="single" w:sz="12" w:space="0" w:color="auto"/>
            </w:tcBorders>
          </w:tcPr>
          <w:p w:rsidR="00E96A0B" w:rsidRDefault="00E96A0B">
            <w:pPr>
              <w:spacing w:after="140"/>
              <w:jc w:val="both"/>
              <w:rPr>
                <w:rFonts w:ascii="KaiTi_GB2312" w:eastAsia="KaiTi_GB2312" w:hAnsi="SimSun" w:hint="eastAsia"/>
                <w:color w:val="0000FF"/>
                <w:sz w:val="15"/>
              </w:rPr>
            </w:pPr>
            <w:r>
              <w:rPr>
                <w:rFonts w:ascii="KaiTi_GB2312" w:eastAsia="KaiTi_GB2312" w:hAnsi="SimSun" w:hint="eastAsia"/>
                <w:color w:val="0000FF"/>
                <w:sz w:val="15"/>
              </w:rPr>
              <w:t>年份/性别</w:t>
            </w:r>
          </w:p>
        </w:tc>
        <w:tc>
          <w:tcPr>
            <w:tcW w:w="581" w:type="pct"/>
            <w:tcBorders>
              <w:top w:val="single" w:sz="12"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16-24</w:t>
            </w:r>
          </w:p>
        </w:tc>
        <w:tc>
          <w:tcPr>
            <w:tcW w:w="582" w:type="pct"/>
            <w:tcBorders>
              <w:top w:val="single" w:sz="12"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25-34</w:t>
            </w:r>
          </w:p>
        </w:tc>
        <w:tc>
          <w:tcPr>
            <w:tcW w:w="582" w:type="pct"/>
            <w:tcBorders>
              <w:top w:val="single" w:sz="12"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35-44</w:t>
            </w:r>
          </w:p>
        </w:tc>
        <w:tc>
          <w:tcPr>
            <w:tcW w:w="581" w:type="pct"/>
            <w:tcBorders>
              <w:top w:val="single" w:sz="12"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45-54</w:t>
            </w:r>
          </w:p>
        </w:tc>
        <w:tc>
          <w:tcPr>
            <w:tcW w:w="582" w:type="pct"/>
            <w:tcBorders>
              <w:top w:val="single" w:sz="12"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55-64</w:t>
            </w:r>
          </w:p>
        </w:tc>
        <w:tc>
          <w:tcPr>
            <w:tcW w:w="582" w:type="pct"/>
            <w:tcBorders>
              <w:top w:val="single" w:sz="12"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65-74</w:t>
            </w:r>
          </w:p>
        </w:tc>
        <w:tc>
          <w:tcPr>
            <w:tcW w:w="582" w:type="pct"/>
            <w:tcBorders>
              <w:top w:val="single" w:sz="12" w:space="0" w:color="auto"/>
              <w:bottom w:val="single" w:sz="12" w:space="0" w:color="auto"/>
            </w:tcBorders>
          </w:tcPr>
          <w:p w:rsidR="00E96A0B" w:rsidRDefault="00E96A0B">
            <w:pPr>
              <w:spacing w:after="140"/>
              <w:jc w:val="right"/>
              <w:rPr>
                <w:rFonts w:ascii="KaiTi_GB2312" w:eastAsia="KaiTi_GB2312" w:hAnsi="SimSun" w:hint="eastAsia"/>
                <w:color w:val="0000FF"/>
                <w:sz w:val="15"/>
              </w:rPr>
            </w:pPr>
            <w:r>
              <w:rPr>
                <w:rFonts w:ascii="KaiTi_GB2312" w:eastAsia="KaiTi_GB2312" w:hAnsi="SimSun" w:hint="eastAsia"/>
                <w:color w:val="0000FF"/>
                <w:sz w:val="15"/>
              </w:rPr>
              <w:t>总计</w:t>
            </w:r>
          </w:p>
        </w:tc>
      </w:tr>
      <w:tr w:rsidR="00E96A0B">
        <w:tblPrEx>
          <w:tblCellMar>
            <w:top w:w="0" w:type="dxa"/>
            <w:bottom w:w="0" w:type="dxa"/>
          </w:tblCellMar>
        </w:tblPrEx>
        <w:trPr>
          <w:trHeight w:val="301"/>
        </w:trPr>
        <w:tc>
          <w:tcPr>
            <w:tcW w:w="929" w:type="pct"/>
            <w:tcBorders>
              <w:top w:val="single" w:sz="12" w:space="0" w:color="auto"/>
            </w:tcBorders>
          </w:tcPr>
          <w:p w:rsidR="00E96A0B" w:rsidRDefault="00E96A0B">
            <w:pPr>
              <w:spacing w:after="140"/>
              <w:jc w:val="both"/>
              <w:rPr>
                <w:rFonts w:hAnsi="SimSun" w:hint="eastAsia"/>
                <w:sz w:val="18"/>
              </w:rPr>
            </w:pPr>
            <w:r>
              <w:rPr>
                <w:rFonts w:hAnsi="SimSun" w:hint="eastAsia"/>
                <w:sz w:val="18"/>
              </w:rPr>
              <w:t>1998/男性</w:t>
            </w:r>
          </w:p>
        </w:tc>
        <w:tc>
          <w:tcPr>
            <w:tcW w:w="581" w:type="pct"/>
            <w:tcBorders>
              <w:top w:val="single" w:sz="12" w:space="0" w:color="auto"/>
            </w:tcBorders>
          </w:tcPr>
          <w:p w:rsidR="00E96A0B" w:rsidRDefault="00E96A0B">
            <w:pPr>
              <w:spacing w:after="140"/>
              <w:jc w:val="right"/>
              <w:rPr>
                <w:rFonts w:hAnsi="SimSun" w:hint="eastAsia"/>
                <w:sz w:val="18"/>
              </w:rPr>
            </w:pPr>
            <w:r>
              <w:rPr>
                <w:rFonts w:hAnsi="SimSun" w:hint="eastAsia"/>
                <w:sz w:val="18"/>
              </w:rPr>
              <w:t>71.3</w:t>
            </w:r>
          </w:p>
        </w:tc>
        <w:tc>
          <w:tcPr>
            <w:tcW w:w="582" w:type="pct"/>
            <w:tcBorders>
              <w:top w:val="single" w:sz="12" w:space="0" w:color="auto"/>
            </w:tcBorders>
          </w:tcPr>
          <w:p w:rsidR="00E96A0B" w:rsidRDefault="00E96A0B">
            <w:pPr>
              <w:spacing w:after="140"/>
              <w:jc w:val="right"/>
              <w:rPr>
                <w:rFonts w:hAnsi="SimSun" w:hint="eastAsia"/>
                <w:sz w:val="18"/>
              </w:rPr>
            </w:pPr>
            <w:r>
              <w:rPr>
                <w:rFonts w:hAnsi="SimSun" w:hint="eastAsia"/>
                <w:sz w:val="18"/>
              </w:rPr>
              <w:t>93.2</w:t>
            </w:r>
          </w:p>
        </w:tc>
        <w:tc>
          <w:tcPr>
            <w:tcW w:w="582" w:type="pct"/>
            <w:tcBorders>
              <w:top w:val="single" w:sz="12" w:space="0" w:color="auto"/>
            </w:tcBorders>
          </w:tcPr>
          <w:p w:rsidR="00E96A0B" w:rsidRDefault="00E96A0B">
            <w:pPr>
              <w:spacing w:after="140"/>
              <w:jc w:val="right"/>
              <w:rPr>
                <w:rFonts w:hAnsi="SimSun" w:hint="eastAsia"/>
                <w:sz w:val="18"/>
              </w:rPr>
            </w:pPr>
            <w:r>
              <w:rPr>
                <w:rFonts w:hAnsi="SimSun" w:hint="eastAsia"/>
                <w:sz w:val="18"/>
              </w:rPr>
              <w:t>97.6</w:t>
            </w:r>
          </w:p>
        </w:tc>
        <w:tc>
          <w:tcPr>
            <w:tcW w:w="581" w:type="pct"/>
            <w:tcBorders>
              <w:top w:val="single" w:sz="12" w:space="0" w:color="auto"/>
            </w:tcBorders>
          </w:tcPr>
          <w:p w:rsidR="00E96A0B" w:rsidRDefault="00E96A0B">
            <w:pPr>
              <w:spacing w:after="140"/>
              <w:jc w:val="right"/>
              <w:rPr>
                <w:rFonts w:hAnsi="SimSun" w:hint="eastAsia"/>
                <w:sz w:val="18"/>
              </w:rPr>
            </w:pPr>
            <w:r>
              <w:rPr>
                <w:rFonts w:hAnsi="SimSun" w:hint="eastAsia"/>
                <w:sz w:val="18"/>
              </w:rPr>
              <w:t>97.5</w:t>
            </w:r>
          </w:p>
        </w:tc>
        <w:tc>
          <w:tcPr>
            <w:tcW w:w="582" w:type="pct"/>
            <w:tcBorders>
              <w:top w:val="single" w:sz="12" w:space="0" w:color="auto"/>
            </w:tcBorders>
          </w:tcPr>
          <w:p w:rsidR="00E96A0B" w:rsidRDefault="00E96A0B">
            <w:pPr>
              <w:spacing w:after="140"/>
              <w:jc w:val="right"/>
              <w:rPr>
                <w:rFonts w:hAnsi="SimSun" w:hint="eastAsia"/>
                <w:sz w:val="18"/>
              </w:rPr>
            </w:pPr>
            <w:r>
              <w:rPr>
                <w:rFonts w:hAnsi="SimSun" w:hint="eastAsia"/>
                <w:sz w:val="18"/>
              </w:rPr>
              <w:t>93.3</w:t>
            </w:r>
          </w:p>
        </w:tc>
        <w:tc>
          <w:tcPr>
            <w:tcW w:w="582" w:type="pct"/>
            <w:tcBorders>
              <w:top w:val="single" w:sz="12" w:space="0" w:color="auto"/>
            </w:tcBorders>
          </w:tcPr>
          <w:p w:rsidR="00E96A0B" w:rsidRDefault="00E96A0B">
            <w:pPr>
              <w:spacing w:after="140"/>
              <w:jc w:val="right"/>
              <w:rPr>
                <w:rFonts w:hAnsi="SimSun" w:hint="eastAsia"/>
                <w:sz w:val="18"/>
              </w:rPr>
            </w:pPr>
            <w:r>
              <w:rPr>
                <w:rFonts w:hAnsi="SimSun" w:hint="eastAsia"/>
                <w:sz w:val="18"/>
              </w:rPr>
              <w:t>55.5</w:t>
            </w:r>
          </w:p>
        </w:tc>
        <w:tc>
          <w:tcPr>
            <w:tcW w:w="582" w:type="pct"/>
            <w:tcBorders>
              <w:top w:val="single" w:sz="12" w:space="0" w:color="auto"/>
            </w:tcBorders>
          </w:tcPr>
          <w:p w:rsidR="00E96A0B" w:rsidRDefault="00E96A0B">
            <w:pPr>
              <w:spacing w:after="140"/>
              <w:jc w:val="right"/>
              <w:rPr>
                <w:rFonts w:hAnsi="SimSun" w:hint="eastAsia"/>
                <w:sz w:val="18"/>
              </w:rPr>
            </w:pPr>
            <w:r>
              <w:rPr>
                <w:rFonts w:hAnsi="SimSun" w:hint="eastAsia"/>
                <w:sz w:val="18"/>
              </w:rPr>
              <w:t>87.1</w:t>
            </w:r>
          </w:p>
        </w:tc>
      </w:tr>
      <w:tr w:rsidR="00E96A0B">
        <w:tblPrEx>
          <w:tblCellMar>
            <w:top w:w="0" w:type="dxa"/>
            <w:bottom w:w="0" w:type="dxa"/>
          </w:tblCellMar>
        </w:tblPrEx>
        <w:trPr>
          <w:trHeight w:val="288"/>
        </w:trPr>
        <w:tc>
          <w:tcPr>
            <w:tcW w:w="929" w:type="pct"/>
          </w:tcPr>
          <w:p w:rsidR="00E96A0B" w:rsidRDefault="00E96A0B">
            <w:pPr>
              <w:spacing w:after="140"/>
              <w:jc w:val="both"/>
              <w:rPr>
                <w:rFonts w:hAnsi="SimSun" w:hint="eastAsia"/>
                <w:sz w:val="18"/>
              </w:rPr>
            </w:pPr>
            <w:r>
              <w:rPr>
                <w:rFonts w:hAnsi="SimSun" w:hint="eastAsia"/>
                <w:sz w:val="18"/>
              </w:rPr>
              <w:t>1998/女性</w:t>
            </w:r>
          </w:p>
        </w:tc>
        <w:tc>
          <w:tcPr>
            <w:tcW w:w="581" w:type="pct"/>
          </w:tcPr>
          <w:p w:rsidR="00E96A0B" w:rsidRDefault="00E96A0B">
            <w:pPr>
              <w:spacing w:after="140"/>
              <w:jc w:val="right"/>
              <w:rPr>
                <w:rFonts w:hAnsi="SimSun" w:hint="eastAsia"/>
                <w:sz w:val="18"/>
              </w:rPr>
            </w:pPr>
            <w:r>
              <w:rPr>
                <w:rFonts w:hAnsi="SimSun" w:hint="eastAsia"/>
                <w:sz w:val="18"/>
              </w:rPr>
              <w:t>75.3</w:t>
            </w:r>
          </w:p>
        </w:tc>
        <w:tc>
          <w:tcPr>
            <w:tcW w:w="582" w:type="pct"/>
          </w:tcPr>
          <w:p w:rsidR="00E96A0B" w:rsidRDefault="00E96A0B">
            <w:pPr>
              <w:spacing w:after="140"/>
              <w:jc w:val="right"/>
              <w:rPr>
                <w:rFonts w:hAnsi="SimSun" w:hint="eastAsia"/>
                <w:sz w:val="18"/>
              </w:rPr>
            </w:pPr>
            <w:r>
              <w:rPr>
                <w:rFonts w:hAnsi="SimSun" w:hint="eastAsia"/>
                <w:sz w:val="18"/>
              </w:rPr>
              <w:t>78.8</w:t>
            </w:r>
          </w:p>
        </w:tc>
        <w:tc>
          <w:tcPr>
            <w:tcW w:w="582" w:type="pct"/>
          </w:tcPr>
          <w:p w:rsidR="00E96A0B" w:rsidRDefault="00E96A0B">
            <w:pPr>
              <w:spacing w:after="140"/>
              <w:jc w:val="right"/>
              <w:rPr>
                <w:rFonts w:hAnsi="SimSun" w:hint="eastAsia"/>
                <w:sz w:val="18"/>
              </w:rPr>
            </w:pPr>
            <w:r>
              <w:rPr>
                <w:rFonts w:hAnsi="SimSun" w:hint="eastAsia"/>
                <w:sz w:val="18"/>
              </w:rPr>
              <w:t>86.7</w:t>
            </w:r>
          </w:p>
        </w:tc>
        <w:tc>
          <w:tcPr>
            <w:tcW w:w="581" w:type="pct"/>
          </w:tcPr>
          <w:p w:rsidR="00E96A0B" w:rsidRDefault="00E96A0B">
            <w:pPr>
              <w:spacing w:after="140"/>
              <w:jc w:val="right"/>
              <w:rPr>
                <w:rFonts w:hAnsi="SimSun" w:hint="eastAsia"/>
                <w:sz w:val="18"/>
              </w:rPr>
            </w:pPr>
            <w:r>
              <w:rPr>
                <w:rFonts w:hAnsi="SimSun" w:hint="eastAsia"/>
                <w:sz w:val="18"/>
              </w:rPr>
              <w:t>91.8</w:t>
            </w:r>
          </w:p>
        </w:tc>
        <w:tc>
          <w:tcPr>
            <w:tcW w:w="582" w:type="pct"/>
          </w:tcPr>
          <w:p w:rsidR="00E96A0B" w:rsidRDefault="00E96A0B">
            <w:pPr>
              <w:spacing w:after="140"/>
              <w:jc w:val="right"/>
              <w:rPr>
                <w:rFonts w:hAnsi="SimSun" w:hint="eastAsia"/>
                <w:sz w:val="18"/>
              </w:rPr>
            </w:pPr>
            <w:r>
              <w:rPr>
                <w:rFonts w:hAnsi="SimSun" w:hint="eastAsia"/>
                <w:sz w:val="18"/>
              </w:rPr>
              <w:t>83.0</w:t>
            </w:r>
          </w:p>
        </w:tc>
        <w:tc>
          <w:tcPr>
            <w:tcW w:w="582" w:type="pct"/>
          </w:tcPr>
          <w:p w:rsidR="00E96A0B" w:rsidRDefault="00E96A0B">
            <w:pPr>
              <w:spacing w:after="140"/>
              <w:jc w:val="right"/>
              <w:rPr>
                <w:rFonts w:hAnsi="SimSun" w:hint="eastAsia"/>
                <w:sz w:val="18"/>
              </w:rPr>
            </w:pPr>
            <w:r>
              <w:rPr>
                <w:rFonts w:hAnsi="SimSun" w:hint="eastAsia"/>
                <w:sz w:val="18"/>
              </w:rPr>
              <w:t>28.3</w:t>
            </w:r>
          </w:p>
        </w:tc>
        <w:tc>
          <w:tcPr>
            <w:tcW w:w="582" w:type="pct"/>
          </w:tcPr>
          <w:p w:rsidR="00E96A0B" w:rsidRDefault="00E96A0B">
            <w:pPr>
              <w:spacing w:after="140"/>
              <w:jc w:val="right"/>
              <w:rPr>
                <w:rFonts w:hAnsi="SimSun" w:hint="eastAsia"/>
                <w:sz w:val="18"/>
              </w:rPr>
            </w:pPr>
            <w:r>
              <w:rPr>
                <w:rFonts w:hAnsi="SimSun" w:hint="eastAsia"/>
                <w:sz w:val="18"/>
              </w:rPr>
              <w:t>77.4</w:t>
            </w:r>
          </w:p>
        </w:tc>
      </w:tr>
      <w:tr w:rsidR="00E96A0B">
        <w:tblPrEx>
          <w:tblCellMar>
            <w:top w:w="0" w:type="dxa"/>
            <w:bottom w:w="0" w:type="dxa"/>
          </w:tblCellMar>
        </w:tblPrEx>
        <w:trPr>
          <w:trHeight w:val="112"/>
        </w:trPr>
        <w:tc>
          <w:tcPr>
            <w:tcW w:w="929" w:type="pct"/>
          </w:tcPr>
          <w:p w:rsidR="00E96A0B" w:rsidRDefault="00E96A0B">
            <w:pPr>
              <w:spacing w:after="140"/>
              <w:jc w:val="both"/>
              <w:rPr>
                <w:rFonts w:hAnsi="SimSun" w:hint="eastAsia"/>
                <w:sz w:val="18"/>
              </w:rPr>
            </w:pPr>
            <w:r>
              <w:rPr>
                <w:rFonts w:hAnsi="SimSun" w:hint="eastAsia"/>
                <w:sz w:val="18"/>
              </w:rPr>
              <w:t>1999/男性</w:t>
            </w:r>
          </w:p>
        </w:tc>
        <w:tc>
          <w:tcPr>
            <w:tcW w:w="581" w:type="pct"/>
          </w:tcPr>
          <w:p w:rsidR="00E96A0B" w:rsidRDefault="00E96A0B">
            <w:pPr>
              <w:spacing w:after="140"/>
              <w:jc w:val="right"/>
              <w:rPr>
                <w:rFonts w:hAnsi="SimSun" w:hint="eastAsia"/>
                <w:sz w:val="18"/>
              </w:rPr>
            </w:pPr>
            <w:r>
              <w:rPr>
                <w:rFonts w:hAnsi="SimSun" w:hint="eastAsia"/>
                <w:sz w:val="18"/>
              </w:rPr>
              <w:t>73.3</w:t>
            </w:r>
          </w:p>
        </w:tc>
        <w:tc>
          <w:tcPr>
            <w:tcW w:w="582" w:type="pct"/>
          </w:tcPr>
          <w:p w:rsidR="00E96A0B" w:rsidRDefault="00E96A0B">
            <w:pPr>
              <w:spacing w:after="140"/>
              <w:jc w:val="right"/>
              <w:rPr>
                <w:rFonts w:hAnsi="SimSun" w:hint="eastAsia"/>
                <w:sz w:val="18"/>
              </w:rPr>
            </w:pPr>
            <w:r>
              <w:rPr>
                <w:rFonts w:hAnsi="SimSun" w:hint="eastAsia"/>
                <w:sz w:val="18"/>
              </w:rPr>
              <w:t>94.6</w:t>
            </w:r>
          </w:p>
        </w:tc>
        <w:tc>
          <w:tcPr>
            <w:tcW w:w="582" w:type="pct"/>
          </w:tcPr>
          <w:p w:rsidR="00E96A0B" w:rsidRDefault="00E96A0B">
            <w:pPr>
              <w:spacing w:after="140"/>
              <w:jc w:val="right"/>
              <w:rPr>
                <w:rFonts w:hAnsi="SimSun" w:hint="eastAsia"/>
                <w:sz w:val="18"/>
              </w:rPr>
            </w:pPr>
            <w:r>
              <w:rPr>
                <w:rFonts w:hAnsi="SimSun" w:hint="eastAsia"/>
                <w:sz w:val="18"/>
              </w:rPr>
              <w:t>98.9</w:t>
            </w:r>
          </w:p>
        </w:tc>
        <w:tc>
          <w:tcPr>
            <w:tcW w:w="581" w:type="pct"/>
          </w:tcPr>
          <w:p w:rsidR="00E96A0B" w:rsidRDefault="00E96A0B">
            <w:pPr>
              <w:spacing w:after="140"/>
              <w:jc w:val="right"/>
              <w:rPr>
                <w:rFonts w:hAnsi="SimSun" w:hint="eastAsia"/>
                <w:sz w:val="18"/>
              </w:rPr>
            </w:pPr>
            <w:r>
              <w:rPr>
                <w:rFonts w:hAnsi="SimSun" w:hint="eastAsia"/>
                <w:sz w:val="18"/>
              </w:rPr>
              <w:t>97.8</w:t>
            </w:r>
          </w:p>
        </w:tc>
        <w:tc>
          <w:tcPr>
            <w:tcW w:w="582" w:type="pct"/>
          </w:tcPr>
          <w:p w:rsidR="00E96A0B" w:rsidRDefault="00E96A0B">
            <w:pPr>
              <w:spacing w:after="140"/>
              <w:jc w:val="right"/>
              <w:rPr>
                <w:rFonts w:hAnsi="SimSun" w:hint="eastAsia"/>
                <w:sz w:val="18"/>
              </w:rPr>
            </w:pPr>
            <w:r>
              <w:rPr>
                <w:rFonts w:hAnsi="SimSun" w:hint="eastAsia"/>
                <w:sz w:val="18"/>
              </w:rPr>
              <w:t>94.1</w:t>
            </w:r>
          </w:p>
        </w:tc>
        <w:tc>
          <w:tcPr>
            <w:tcW w:w="582" w:type="pct"/>
          </w:tcPr>
          <w:p w:rsidR="00E96A0B" w:rsidRDefault="00E96A0B">
            <w:pPr>
              <w:spacing w:after="140"/>
              <w:jc w:val="right"/>
              <w:rPr>
                <w:rFonts w:hAnsi="SimSun" w:hint="eastAsia"/>
                <w:sz w:val="18"/>
              </w:rPr>
            </w:pPr>
            <w:r>
              <w:rPr>
                <w:rFonts w:hAnsi="SimSun" w:hint="eastAsia"/>
                <w:sz w:val="18"/>
              </w:rPr>
              <w:t>50.1</w:t>
            </w:r>
          </w:p>
        </w:tc>
        <w:tc>
          <w:tcPr>
            <w:tcW w:w="582" w:type="pct"/>
          </w:tcPr>
          <w:p w:rsidR="00E96A0B" w:rsidRDefault="00E96A0B">
            <w:pPr>
              <w:spacing w:after="140"/>
              <w:jc w:val="right"/>
              <w:rPr>
                <w:rFonts w:hAnsi="SimSun" w:hint="eastAsia"/>
                <w:sz w:val="18"/>
              </w:rPr>
            </w:pPr>
            <w:r>
              <w:rPr>
                <w:rFonts w:hAnsi="SimSun" w:hint="eastAsia"/>
                <w:sz w:val="18"/>
              </w:rPr>
              <w:t>87.7</w:t>
            </w:r>
          </w:p>
        </w:tc>
      </w:tr>
      <w:tr w:rsidR="00E96A0B">
        <w:tblPrEx>
          <w:tblCellMar>
            <w:top w:w="0" w:type="dxa"/>
            <w:bottom w:w="0" w:type="dxa"/>
          </w:tblCellMar>
        </w:tblPrEx>
        <w:trPr>
          <w:trHeight w:val="301"/>
        </w:trPr>
        <w:tc>
          <w:tcPr>
            <w:tcW w:w="929" w:type="pct"/>
          </w:tcPr>
          <w:p w:rsidR="00E96A0B" w:rsidRDefault="00E96A0B">
            <w:pPr>
              <w:spacing w:after="140"/>
              <w:jc w:val="both"/>
              <w:rPr>
                <w:rFonts w:hAnsi="SimSun" w:hint="eastAsia"/>
                <w:sz w:val="18"/>
              </w:rPr>
            </w:pPr>
            <w:r>
              <w:rPr>
                <w:rFonts w:hAnsi="SimSun" w:hint="eastAsia"/>
                <w:sz w:val="18"/>
              </w:rPr>
              <w:t>1999/女性</w:t>
            </w:r>
          </w:p>
        </w:tc>
        <w:tc>
          <w:tcPr>
            <w:tcW w:w="581" w:type="pct"/>
          </w:tcPr>
          <w:p w:rsidR="00E96A0B" w:rsidRDefault="00E96A0B">
            <w:pPr>
              <w:spacing w:after="140"/>
              <w:jc w:val="right"/>
              <w:rPr>
                <w:rFonts w:hAnsi="SimSun" w:hint="eastAsia"/>
                <w:sz w:val="18"/>
              </w:rPr>
            </w:pPr>
            <w:r>
              <w:rPr>
                <w:rFonts w:hAnsi="SimSun" w:hint="eastAsia"/>
                <w:sz w:val="18"/>
              </w:rPr>
              <w:t>78.1</w:t>
            </w:r>
          </w:p>
        </w:tc>
        <w:tc>
          <w:tcPr>
            <w:tcW w:w="582" w:type="pct"/>
          </w:tcPr>
          <w:p w:rsidR="00E96A0B" w:rsidRDefault="00E96A0B">
            <w:pPr>
              <w:spacing w:after="140"/>
              <w:jc w:val="right"/>
              <w:rPr>
                <w:rFonts w:hAnsi="SimSun" w:hint="eastAsia"/>
                <w:sz w:val="18"/>
              </w:rPr>
            </w:pPr>
            <w:r>
              <w:rPr>
                <w:rFonts w:hAnsi="SimSun" w:hint="eastAsia"/>
                <w:sz w:val="18"/>
              </w:rPr>
              <w:t>83.1</w:t>
            </w:r>
          </w:p>
        </w:tc>
        <w:tc>
          <w:tcPr>
            <w:tcW w:w="582" w:type="pct"/>
          </w:tcPr>
          <w:p w:rsidR="00E96A0B" w:rsidRDefault="00E96A0B">
            <w:pPr>
              <w:spacing w:after="140"/>
              <w:jc w:val="right"/>
              <w:rPr>
                <w:rFonts w:hAnsi="SimSun" w:hint="eastAsia"/>
                <w:sz w:val="18"/>
              </w:rPr>
            </w:pPr>
            <w:r>
              <w:rPr>
                <w:rFonts w:hAnsi="SimSun" w:hint="eastAsia"/>
                <w:sz w:val="18"/>
              </w:rPr>
              <w:t>87.7</w:t>
            </w:r>
          </w:p>
        </w:tc>
        <w:tc>
          <w:tcPr>
            <w:tcW w:w="581" w:type="pct"/>
          </w:tcPr>
          <w:p w:rsidR="00E96A0B" w:rsidRDefault="00E96A0B">
            <w:pPr>
              <w:spacing w:after="140"/>
              <w:jc w:val="right"/>
              <w:rPr>
                <w:rFonts w:hAnsi="SimSun" w:hint="eastAsia"/>
                <w:sz w:val="18"/>
              </w:rPr>
            </w:pPr>
            <w:r>
              <w:rPr>
                <w:rFonts w:hAnsi="SimSun" w:hint="eastAsia"/>
                <w:sz w:val="18"/>
              </w:rPr>
              <w:t>90.6</w:t>
            </w:r>
          </w:p>
        </w:tc>
        <w:tc>
          <w:tcPr>
            <w:tcW w:w="582" w:type="pct"/>
          </w:tcPr>
          <w:p w:rsidR="00E96A0B" w:rsidRDefault="00E96A0B">
            <w:pPr>
              <w:spacing w:after="140"/>
              <w:jc w:val="right"/>
              <w:rPr>
                <w:rFonts w:hAnsi="SimSun" w:hint="eastAsia"/>
                <w:sz w:val="18"/>
              </w:rPr>
            </w:pPr>
            <w:r>
              <w:rPr>
                <w:rFonts w:hAnsi="SimSun" w:hint="eastAsia"/>
                <w:sz w:val="18"/>
              </w:rPr>
              <w:t>80.3</w:t>
            </w:r>
          </w:p>
        </w:tc>
        <w:tc>
          <w:tcPr>
            <w:tcW w:w="582" w:type="pct"/>
          </w:tcPr>
          <w:p w:rsidR="00E96A0B" w:rsidRDefault="00E96A0B">
            <w:pPr>
              <w:spacing w:after="140"/>
              <w:jc w:val="right"/>
              <w:rPr>
                <w:rFonts w:hAnsi="SimSun" w:hint="eastAsia"/>
                <w:sz w:val="18"/>
              </w:rPr>
            </w:pPr>
            <w:r>
              <w:rPr>
                <w:rFonts w:hAnsi="SimSun" w:hint="eastAsia"/>
                <w:sz w:val="18"/>
              </w:rPr>
              <w:t>27.3</w:t>
            </w:r>
          </w:p>
        </w:tc>
        <w:tc>
          <w:tcPr>
            <w:tcW w:w="582" w:type="pct"/>
          </w:tcPr>
          <w:p w:rsidR="00E96A0B" w:rsidRDefault="00E96A0B">
            <w:pPr>
              <w:spacing w:after="140"/>
              <w:jc w:val="right"/>
              <w:rPr>
                <w:rFonts w:hAnsi="SimSun" w:hint="eastAsia"/>
                <w:sz w:val="18"/>
              </w:rPr>
            </w:pPr>
            <w:r>
              <w:rPr>
                <w:rFonts w:hAnsi="SimSun" w:hint="eastAsia"/>
                <w:sz w:val="18"/>
              </w:rPr>
              <w:t>78.6</w:t>
            </w:r>
          </w:p>
        </w:tc>
      </w:tr>
      <w:tr w:rsidR="00E96A0B">
        <w:tblPrEx>
          <w:tblCellMar>
            <w:top w:w="0" w:type="dxa"/>
            <w:bottom w:w="0" w:type="dxa"/>
          </w:tblCellMar>
        </w:tblPrEx>
        <w:tc>
          <w:tcPr>
            <w:tcW w:w="929" w:type="pct"/>
          </w:tcPr>
          <w:p w:rsidR="00E96A0B" w:rsidRDefault="00E96A0B">
            <w:pPr>
              <w:spacing w:after="140"/>
              <w:jc w:val="both"/>
              <w:rPr>
                <w:rFonts w:hAnsi="SimSun" w:hint="eastAsia"/>
                <w:sz w:val="18"/>
              </w:rPr>
            </w:pPr>
            <w:r>
              <w:rPr>
                <w:rFonts w:hAnsi="SimSun" w:hint="eastAsia"/>
                <w:sz w:val="18"/>
              </w:rPr>
              <w:t>2000/男性</w:t>
            </w:r>
          </w:p>
        </w:tc>
        <w:tc>
          <w:tcPr>
            <w:tcW w:w="581" w:type="pct"/>
          </w:tcPr>
          <w:p w:rsidR="00E96A0B" w:rsidRDefault="00E96A0B">
            <w:pPr>
              <w:spacing w:after="140"/>
              <w:jc w:val="right"/>
              <w:rPr>
                <w:rFonts w:hAnsi="SimSun" w:hint="eastAsia"/>
                <w:sz w:val="18"/>
              </w:rPr>
            </w:pPr>
            <w:r>
              <w:rPr>
                <w:rFonts w:hAnsi="SimSun" w:hint="eastAsia"/>
                <w:sz w:val="18"/>
              </w:rPr>
              <w:t>77.4</w:t>
            </w:r>
          </w:p>
        </w:tc>
        <w:tc>
          <w:tcPr>
            <w:tcW w:w="582" w:type="pct"/>
          </w:tcPr>
          <w:p w:rsidR="00E96A0B" w:rsidRDefault="00E96A0B">
            <w:pPr>
              <w:spacing w:after="140"/>
              <w:jc w:val="right"/>
              <w:rPr>
                <w:rFonts w:hAnsi="SimSun" w:hint="eastAsia"/>
                <w:sz w:val="18"/>
              </w:rPr>
            </w:pPr>
            <w:r>
              <w:rPr>
                <w:rFonts w:hAnsi="SimSun" w:hint="eastAsia"/>
                <w:sz w:val="18"/>
              </w:rPr>
              <w:t>93.6</w:t>
            </w:r>
          </w:p>
        </w:tc>
        <w:tc>
          <w:tcPr>
            <w:tcW w:w="582" w:type="pct"/>
          </w:tcPr>
          <w:p w:rsidR="00E96A0B" w:rsidRDefault="00E96A0B">
            <w:pPr>
              <w:spacing w:after="140"/>
              <w:jc w:val="right"/>
              <w:rPr>
                <w:rFonts w:hAnsi="SimSun" w:hint="eastAsia"/>
                <w:sz w:val="18"/>
              </w:rPr>
            </w:pPr>
            <w:r>
              <w:rPr>
                <w:rFonts w:hAnsi="SimSun" w:hint="eastAsia"/>
                <w:sz w:val="18"/>
              </w:rPr>
              <w:t>98.6</w:t>
            </w:r>
          </w:p>
        </w:tc>
        <w:tc>
          <w:tcPr>
            <w:tcW w:w="581" w:type="pct"/>
          </w:tcPr>
          <w:p w:rsidR="00E96A0B" w:rsidRDefault="00E96A0B">
            <w:pPr>
              <w:spacing w:after="140"/>
              <w:jc w:val="right"/>
              <w:rPr>
                <w:rFonts w:hAnsi="SimSun" w:hint="eastAsia"/>
                <w:sz w:val="18"/>
              </w:rPr>
            </w:pPr>
            <w:r>
              <w:rPr>
                <w:rFonts w:hAnsi="SimSun" w:hint="eastAsia"/>
                <w:sz w:val="18"/>
              </w:rPr>
              <w:t>96.0</w:t>
            </w:r>
          </w:p>
        </w:tc>
        <w:tc>
          <w:tcPr>
            <w:tcW w:w="582" w:type="pct"/>
          </w:tcPr>
          <w:p w:rsidR="00E96A0B" w:rsidRDefault="00E96A0B">
            <w:pPr>
              <w:spacing w:after="140"/>
              <w:jc w:val="right"/>
              <w:rPr>
                <w:rFonts w:hAnsi="SimSun" w:hint="eastAsia"/>
                <w:sz w:val="18"/>
              </w:rPr>
            </w:pPr>
            <w:r>
              <w:rPr>
                <w:rFonts w:hAnsi="SimSun" w:hint="eastAsia"/>
                <w:sz w:val="18"/>
              </w:rPr>
              <w:t>94.7</w:t>
            </w:r>
          </w:p>
        </w:tc>
        <w:tc>
          <w:tcPr>
            <w:tcW w:w="582" w:type="pct"/>
          </w:tcPr>
          <w:p w:rsidR="00E96A0B" w:rsidRDefault="00E96A0B">
            <w:pPr>
              <w:spacing w:after="140"/>
              <w:jc w:val="right"/>
              <w:rPr>
                <w:rFonts w:hAnsi="SimSun" w:hint="eastAsia"/>
                <w:sz w:val="18"/>
              </w:rPr>
            </w:pPr>
            <w:r>
              <w:rPr>
                <w:rFonts w:hAnsi="SimSun" w:hint="eastAsia"/>
                <w:sz w:val="18"/>
              </w:rPr>
              <w:t>48.3</w:t>
            </w:r>
          </w:p>
        </w:tc>
        <w:tc>
          <w:tcPr>
            <w:tcW w:w="582" w:type="pct"/>
          </w:tcPr>
          <w:p w:rsidR="00E96A0B" w:rsidRDefault="00E96A0B">
            <w:pPr>
              <w:spacing w:after="140"/>
              <w:jc w:val="right"/>
              <w:rPr>
                <w:rFonts w:hAnsi="SimSun" w:hint="eastAsia"/>
                <w:sz w:val="18"/>
              </w:rPr>
            </w:pPr>
            <w:r>
              <w:rPr>
                <w:rFonts w:hAnsi="SimSun" w:hint="eastAsia"/>
                <w:sz w:val="18"/>
              </w:rPr>
              <w:t>87.9</w:t>
            </w:r>
          </w:p>
        </w:tc>
      </w:tr>
      <w:tr w:rsidR="00E96A0B">
        <w:tblPrEx>
          <w:tblCellMar>
            <w:top w:w="0" w:type="dxa"/>
            <w:bottom w:w="0" w:type="dxa"/>
          </w:tblCellMar>
        </w:tblPrEx>
        <w:trPr>
          <w:trHeight w:val="300"/>
        </w:trPr>
        <w:tc>
          <w:tcPr>
            <w:tcW w:w="929" w:type="pct"/>
          </w:tcPr>
          <w:p w:rsidR="00E96A0B" w:rsidRDefault="00E96A0B">
            <w:pPr>
              <w:spacing w:after="140"/>
              <w:jc w:val="both"/>
              <w:rPr>
                <w:rFonts w:hAnsi="SimSun" w:hint="eastAsia"/>
                <w:sz w:val="18"/>
              </w:rPr>
            </w:pPr>
            <w:r>
              <w:rPr>
                <w:rFonts w:hAnsi="SimSun" w:hint="eastAsia"/>
                <w:sz w:val="18"/>
              </w:rPr>
              <w:t>2000/女性</w:t>
            </w:r>
          </w:p>
        </w:tc>
        <w:tc>
          <w:tcPr>
            <w:tcW w:w="581" w:type="pct"/>
          </w:tcPr>
          <w:p w:rsidR="00E96A0B" w:rsidRDefault="00E96A0B">
            <w:pPr>
              <w:spacing w:after="140"/>
              <w:jc w:val="right"/>
              <w:rPr>
                <w:rFonts w:hAnsi="SimSun" w:hint="eastAsia"/>
                <w:sz w:val="18"/>
              </w:rPr>
            </w:pPr>
            <w:r>
              <w:rPr>
                <w:rFonts w:hAnsi="SimSun" w:hint="eastAsia"/>
                <w:sz w:val="18"/>
              </w:rPr>
              <w:t>81.1</w:t>
            </w:r>
          </w:p>
        </w:tc>
        <w:tc>
          <w:tcPr>
            <w:tcW w:w="582" w:type="pct"/>
          </w:tcPr>
          <w:p w:rsidR="00E96A0B" w:rsidRDefault="00E96A0B">
            <w:pPr>
              <w:spacing w:after="140"/>
              <w:jc w:val="right"/>
              <w:rPr>
                <w:rFonts w:hAnsi="SimSun" w:hint="eastAsia"/>
                <w:sz w:val="18"/>
              </w:rPr>
            </w:pPr>
            <w:r>
              <w:rPr>
                <w:rFonts w:hAnsi="SimSun" w:hint="eastAsia"/>
                <w:sz w:val="18"/>
              </w:rPr>
              <w:t>85.4</w:t>
            </w:r>
          </w:p>
        </w:tc>
        <w:tc>
          <w:tcPr>
            <w:tcW w:w="582" w:type="pct"/>
          </w:tcPr>
          <w:p w:rsidR="00E96A0B" w:rsidRDefault="00E96A0B">
            <w:pPr>
              <w:spacing w:after="140"/>
              <w:jc w:val="right"/>
              <w:rPr>
                <w:rFonts w:hAnsi="SimSun" w:hint="eastAsia"/>
                <w:sz w:val="18"/>
              </w:rPr>
            </w:pPr>
            <w:r>
              <w:rPr>
                <w:rFonts w:hAnsi="SimSun" w:hint="eastAsia"/>
                <w:sz w:val="18"/>
              </w:rPr>
              <w:t>87.7</w:t>
            </w:r>
          </w:p>
        </w:tc>
        <w:tc>
          <w:tcPr>
            <w:tcW w:w="581" w:type="pct"/>
          </w:tcPr>
          <w:p w:rsidR="00E96A0B" w:rsidRDefault="00E96A0B">
            <w:pPr>
              <w:spacing w:after="140"/>
              <w:jc w:val="right"/>
              <w:rPr>
                <w:rFonts w:hAnsi="SimSun" w:hint="eastAsia"/>
                <w:sz w:val="18"/>
              </w:rPr>
            </w:pPr>
            <w:r>
              <w:rPr>
                <w:rFonts w:hAnsi="SimSun" w:hint="eastAsia"/>
                <w:sz w:val="18"/>
              </w:rPr>
              <w:t>91.8</w:t>
            </w:r>
          </w:p>
        </w:tc>
        <w:tc>
          <w:tcPr>
            <w:tcW w:w="582" w:type="pct"/>
          </w:tcPr>
          <w:p w:rsidR="00E96A0B" w:rsidRDefault="00E96A0B">
            <w:pPr>
              <w:spacing w:after="140"/>
              <w:jc w:val="right"/>
              <w:rPr>
                <w:rFonts w:hAnsi="SimSun" w:hint="eastAsia"/>
                <w:sz w:val="18"/>
              </w:rPr>
            </w:pPr>
            <w:r>
              <w:rPr>
                <w:rFonts w:hAnsi="SimSun" w:hint="eastAsia"/>
                <w:sz w:val="18"/>
              </w:rPr>
              <w:t>76.8</w:t>
            </w:r>
          </w:p>
        </w:tc>
        <w:tc>
          <w:tcPr>
            <w:tcW w:w="582" w:type="pct"/>
          </w:tcPr>
          <w:p w:rsidR="00E96A0B" w:rsidRDefault="00E96A0B">
            <w:pPr>
              <w:spacing w:after="140"/>
              <w:jc w:val="right"/>
              <w:rPr>
                <w:rFonts w:hAnsi="SimSun" w:hint="eastAsia"/>
                <w:sz w:val="18"/>
              </w:rPr>
            </w:pPr>
            <w:r>
              <w:rPr>
                <w:rFonts w:hAnsi="SimSun" w:hint="eastAsia"/>
                <w:sz w:val="18"/>
              </w:rPr>
              <w:t>22.6</w:t>
            </w:r>
          </w:p>
        </w:tc>
        <w:tc>
          <w:tcPr>
            <w:tcW w:w="582" w:type="pct"/>
          </w:tcPr>
          <w:p w:rsidR="00E96A0B" w:rsidRDefault="00E96A0B">
            <w:pPr>
              <w:spacing w:after="140"/>
              <w:jc w:val="right"/>
              <w:rPr>
                <w:rFonts w:hAnsi="SimSun" w:hint="eastAsia"/>
                <w:sz w:val="18"/>
              </w:rPr>
            </w:pPr>
            <w:r>
              <w:rPr>
                <w:rFonts w:hAnsi="SimSun" w:hint="eastAsia"/>
                <w:sz w:val="18"/>
              </w:rPr>
              <w:t>79.0</w:t>
            </w:r>
          </w:p>
        </w:tc>
      </w:tr>
      <w:tr w:rsidR="00E96A0B">
        <w:tblPrEx>
          <w:tblCellMar>
            <w:top w:w="0" w:type="dxa"/>
            <w:bottom w:w="0" w:type="dxa"/>
          </w:tblCellMar>
        </w:tblPrEx>
        <w:trPr>
          <w:trHeight w:val="300"/>
        </w:trPr>
        <w:tc>
          <w:tcPr>
            <w:tcW w:w="929" w:type="pct"/>
          </w:tcPr>
          <w:p w:rsidR="00E96A0B" w:rsidRDefault="00E96A0B">
            <w:pPr>
              <w:spacing w:after="140"/>
              <w:jc w:val="both"/>
              <w:rPr>
                <w:rFonts w:hAnsi="SimSun" w:hint="eastAsia"/>
                <w:sz w:val="18"/>
              </w:rPr>
            </w:pPr>
            <w:r>
              <w:rPr>
                <w:rFonts w:hAnsi="SimSun" w:hint="eastAsia"/>
                <w:sz w:val="18"/>
              </w:rPr>
              <w:t>2001/男性</w:t>
            </w:r>
          </w:p>
        </w:tc>
        <w:tc>
          <w:tcPr>
            <w:tcW w:w="581" w:type="pct"/>
          </w:tcPr>
          <w:p w:rsidR="00E96A0B" w:rsidRDefault="00E96A0B">
            <w:pPr>
              <w:spacing w:after="140"/>
              <w:jc w:val="right"/>
              <w:rPr>
                <w:rFonts w:hAnsi="SimSun" w:hint="eastAsia"/>
                <w:sz w:val="18"/>
              </w:rPr>
            </w:pPr>
            <w:r>
              <w:rPr>
                <w:rFonts w:hAnsi="SimSun" w:hint="eastAsia"/>
                <w:sz w:val="18"/>
              </w:rPr>
              <w:t>77.6</w:t>
            </w:r>
          </w:p>
        </w:tc>
        <w:tc>
          <w:tcPr>
            <w:tcW w:w="582" w:type="pct"/>
          </w:tcPr>
          <w:p w:rsidR="00E96A0B" w:rsidRDefault="00E96A0B">
            <w:pPr>
              <w:spacing w:after="140"/>
              <w:jc w:val="right"/>
              <w:rPr>
                <w:rFonts w:hAnsi="SimSun" w:hint="eastAsia"/>
                <w:sz w:val="18"/>
              </w:rPr>
            </w:pPr>
            <w:r>
              <w:rPr>
                <w:rFonts w:hAnsi="SimSun" w:hint="eastAsia"/>
                <w:sz w:val="18"/>
              </w:rPr>
              <w:t>94.6</w:t>
            </w:r>
          </w:p>
        </w:tc>
        <w:tc>
          <w:tcPr>
            <w:tcW w:w="582" w:type="pct"/>
          </w:tcPr>
          <w:p w:rsidR="00E96A0B" w:rsidRDefault="00E96A0B">
            <w:pPr>
              <w:spacing w:after="140"/>
              <w:jc w:val="right"/>
              <w:rPr>
                <w:rFonts w:hAnsi="SimSun" w:hint="eastAsia"/>
                <w:sz w:val="18"/>
              </w:rPr>
            </w:pPr>
            <w:r>
              <w:rPr>
                <w:rFonts w:hAnsi="SimSun" w:hint="eastAsia"/>
                <w:sz w:val="18"/>
              </w:rPr>
              <w:t>98.1</w:t>
            </w:r>
          </w:p>
        </w:tc>
        <w:tc>
          <w:tcPr>
            <w:tcW w:w="581" w:type="pct"/>
          </w:tcPr>
          <w:p w:rsidR="00E96A0B" w:rsidRDefault="00E96A0B">
            <w:pPr>
              <w:spacing w:after="140"/>
              <w:jc w:val="right"/>
              <w:rPr>
                <w:rFonts w:hAnsi="SimSun" w:hint="eastAsia"/>
                <w:sz w:val="18"/>
              </w:rPr>
            </w:pPr>
            <w:r>
              <w:rPr>
                <w:rFonts w:hAnsi="SimSun" w:hint="eastAsia"/>
                <w:sz w:val="18"/>
              </w:rPr>
              <w:t>96.2</w:t>
            </w:r>
          </w:p>
        </w:tc>
        <w:tc>
          <w:tcPr>
            <w:tcW w:w="582" w:type="pct"/>
          </w:tcPr>
          <w:p w:rsidR="00E96A0B" w:rsidRDefault="00E96A0B">
            <w:pPr>
              <w:spacing w:after="140"/>
              <w:jc w:val="right"/>
              <w:rPr>
                <w:rFonts w:hAnsi="SimSun" w:hint="eastAsia"/>
                <w:sz w:val="18"/>
              </w:rPr>
            </w:pPr>
            <w:r>
              <w:rPr>
                <w:rFonts w:hAnsi="SimSun" w:hint="eastAsia"/>
                <w:sz w:val="18"/>
              </w:rPr>
              <w:t>92.8</w:t>
            </w:r>
          </w:p>
        </w:tc>
        <w:tc>
          <w:tcPr>
            <w:tcW w:w="582" w:type="pct"/>
          </w:tcPr>
          <w:p w:rsidR="00E96A0B" w:rsidRDefault="00E96A0B">
            <w:pPr>
              <w:spacing w:after="140"/>
              <w:jc w:val="right"/>
              <w:rPr>
                <w:rFonts w:hAnsi="SimSun" w:hint="eastAsia"/>
                <w:sz w:val="18"/>
              </w:rPr>
            </w:pPr>
            <w:r>
              <w:rPr>
                <w:rFonts w:hAnsi="SimSun" w:hint="eastAsia"/>
                <w:sz w:val="18"/>
              </w:rPr>
              <w:t>49.7</w:t>
            </w:r>
          </w:p>
        </w:tc>
        <w:tc>
          <w:tcPr>
            <w:tcW w:w="582" w:type="pct"/>
          </w:tcPr>
          <w:p w:rsidR="00E96A0B" w:rsidRDefault="00E96A0B">
            <w:pPr>
              <w:spacing w:after="140"/>
              <w:jc w:val="right"/>
              <w:rPr>
                <w:rFonts w:hAnsi="SimSun" w:hint="eastAsia"/>
                <w:sz w:val="18"/>
              </w:rPr>
            </w:pPr>
            <w:r>
              <w:rPr>
                <w:rFonts w:hAnsi="SimSun" w:hint="eastAsia"/>
                <w:sz w:val="18"/>
              </w:rPr>
              <w:t>88.2</w:t>
            </w:r>
          </w:p>
        </w:tc>
      </w:tr>
      <w:tr w:rsidR="00E96A0B">
        <w:tblPrEx>
          <w:tblCellMar>
            <w:top w:w="0" w:type="dxa"/>
            <w:bottom w:w="0" w:type="dxa"/>
          </w:tblCellMar>
        </w:tblPrEx>
        <w:trPr>
          <w:trHeight w:val="137"/>
        </w:trPr>
        <w:tc>
          <w:tcPr>
            <w:tcW w:w="929" w:type="pct"/>
            <w:tcBorders>
              <w:bottom w:val="single" w:sz="12" w:space="0" w:color="auto"/>
            </w:tcBorders>
          </w:tcPr>
          <w:p w:rsidR="00E96A0B" w:rsidRDefault="00E96A0B">
            <w:pPr>
              <w:spacing w:after="140"/>
              <w:jc w:val="both"/>
              <w:rPr>
                <w:rFonts w:hAnsi="SimSun" w:hint="eastAsia"/>
                <w:sz w:val="18"/>
              </w:rPr>
            </w:pPr>
            <w:r>
              <w:rPr>
                <w:rFonts w:hAnsi="SimSun" w:hint="eastAsia"/>
                <w:sz w:val="18"/>
              </w:rPr>
              <w:t>2001/女性</w:t>
            </w:r>
          </w:p>
        </w:tc>
        <w:tc>
          <w:tcPr>
            <w:tcW w:w="581"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77.6</w:t>
            </w:r>
          </w:p>
        </w:tc>
        <w:tc>
          <w:tcPr>
            <w:tcW w:w="582"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84.6</w:t>
            </w:r>
          </w:p>
        </w:tc>
        <w:tc>
          <w:tcPr>
            <w:tcW w:w="582"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88.5</w:t>
            </w:r>
          </w:p>
        </w:tc>
        <w:tc>
          <w:tcPr>
            <w:tcW w:w="581"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91.4</w:t>
            </w:r>
          </w:p>
        </w:tc>
        <w:tc>
          <w:tcPr>
            <w:tcW w:w="582"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81.7</w:t>
            </w:r>
          </w:p>
        </w:tc>
        <w:tc>
          <w:tcPr>
            <w:tcW w:w="582"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23.4</w:t>
            </w:r>
          </w:p>
        </w:tc>
        <w:tc>
          <w:tcPr>
            <w:tcW w:w="582"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78.9</w:t>
            </w:r>
          </w:p>
        </w:tc>
      </w:tr>
    </w:tbl>
    <w:p w:rsidR="00E96A0B" w:rsidRDefault="00E96A0B">
      <w:pPr>
        <w:spacing w:after="140"/>
        <w:ind w:left="1264" w:right="1264"/>
        <w:jc w:val="both"/>
        <w:rPr>
          <w:rFonts w:ascii="Times New Roman" w:hint="eastAsia"/>
          <w:sz w:val="18"/>
        </w:rPr>
      </w:pPr>
      <w:r>
        <w:rPr>
          <w:rFonts w:ascii="KaiTi_GB2312" w:eastAsia="KaiTi_GB2312" w:hint="eastAsia"/>
          <w:color w:val="0000FF"/>
          <w:sz w:val="18"/>
        </w:rPr>
        <w:t>资料来源</w:t>
      </w:r>
      <w:r>
        <w:rPr>
          <w:rFonts w:ascii="KaiTi_GB2312" w:hint="eastAsia"/>
          <w:color w:val="0000FF"/>
          <w:sz w:val="18"/>
        </w:rPr>
        <w:t>：</w:t>
      </w:r>
      <w:r>
        <w:rPr>
          <w:rFonts w:ascii="Times New Roman" w:hint="eastAsia"/>
          <w:sz w:val="18"/>
        </w:rPr>
        <w:t>冰岛统计局。</w:t>
      </w:r>
    </w:p>
    <w:p w:rsidR="00E96A0B" w:rsidRDefault="00E96A0B" w:rsidP="004907F9">
      <w:pPr>
        <w:spacing w:line="120" w:lineRule="exact"/>
        <w:ind w:left="1264" w:right="1264" w:firstLineChars="200" w:firstLine="31680"/>
        <w:jc w:val="both"/>
        <w:rPr>
          <w:rFonts w:ascii="Times New Roman" w:hint="eastAsia"/>
          <w:sz w:val="10"/>
        </w:rPr>
      </w:pPr>
    </w:p>
    <w:p w:rsidR="00E96A0B" w:rsidRDefault="00E96A0B" w:rsidP="004907F9">
      <w:pPr>
        <w:spacing w:after="140"/>
        <w:ind w:left="1264" w:right="1264" w:firstLineChars="200" w:firstLine="31680"/>
        <w:jc w:val="both"/>
        <w:rPr>
          <w:rFonts w:hAnsi="SimSun" w:hint="eastAsia"/>
        </w:rPr>
      </w:pPr>
      <w:r>
        <w:rPr>
          <w:rFonts w:hAnsi="SimSun" w:hint="eastAsia"/>
        </w:rPr>
        <w:t>2002年，冰岛16－74岁的妇女的就业率为78.4％，而相应的男性就业率为87.3%。2002年，冰岛整个就业水平普遍很高，而失业率相对较低。</w:t>
      </w:r>
    </w:p>
    <w:p w:rsidR="00E96A0B" w:rsidRDefault="00E96A0B" w:rsidP="004907F9">
      <w:pPr>
        <w:spacing w:after="140"/>
        <w:ind w:left="1264" w:right="1264" w:firstLineChars="200" w:firstLine="31680"/>
        <w:jc w:val="both"/>
        <w:rPr>
          <w:rFonts w:hAnsi="SimSun" w:hint="eastAsia"/>
        </w:rPr>
      </w:pPr>
      <w:r>
        <w:rPr>
          <w:rFonts w:hAnsi="SimSun" w:hint="eastAsia"/>
        </w:rPr>
        <w:t>1998年妇女的失业率为3.3%，1999年为2.6%，2000年为2.9%，2002年为3％；这些年中，男性失业率分别为2.3%，1.5%，1.9%和3.4%。近年来，对妇女的就业情况给予了特别关注，为开办企业的妇女提供特别资助，主要目的是扩大就业机会，刺激农村地区就业，使妇女有更多机会获得资本，特别是在当她们在向传统的信贷来源申请帮助时处于弱势地位的情况下。</w:t>
      </w:r>
    </w:p>
    <w:p w:rsidR="00E96A0B" w:rsidRDefault="00E96A0B" w:rsidP="004907F9">
      <w:pPr>
        <w:spacing w:after="140"/>
        <w:ind w:left="1264" w:right="1264" w:firstLineChars="200" w:firstLine="31680"/>
        <w:jc w:val="both"/>
        <w:rPr>
          <w:rFonts w:hAnsi="SimSun" w:hint="eastAsia"/>
        </w:rPr>
      </w:pPr>
      <w:r>
        <w:rPr>
          <w:rFonts w:hAnsi="SimSun" w:hint="eastAsia"/>
        </w:rPr>
        <w:t>不论是从不同职业中妇女的比例来看，还是从管理职位的男女比例来看，冰岛劳动力市场还是以性别来划分的。根据冰岛统计局1999年所做的一项调查，劳动力中大学毕业生中43％是妇女，57％是男性。2002年，妇女的比例上升至47.1％。表8显示了1998－2001年间各种职业中男女的比例情况。</w:t>
      </w:r>
    </w:p>
    <w:p w:rsidR="00E96A0B" w:rsidRDefault="00E96A0B">
      <w:pPr>
        <w:spacing w:after="140"/>
        <w:ind w:left="1264" w:right="1264"/>
        <w:jc w:val="both"/>
        <w:rPr>
          <w:rFonts w:ascii="SimHei" w:eastAsia="SimHei" w:hint="eastAsia"/>
          <w:color w:val="FF0000"/>
        </w:rPr>
      </w:pPr>
      <w:r>
        <w:rPr>
          <w:rFonts w:hint="eastAsia"/>
        </w:rPr>
        <w:t>表8</w:t>
      </w:r>
      <w:r>
        <w:rPr>
          <w:rFonts w:ascii="SimHei" w:eastAsia="SimHei" w:hint="eastAsia"/>
        </w:rPr>
        <w:t xml:space="preserve"> </w:t>
      </w:r>
      <w:r>
        <w:rPr>
          <w:rFonts w:ascii="SimHei" w:eastAsia="SimHei"/>
        </w:rPr>
        <w:br/>
      </w:r>
      <w:r>
        <w:rPr>
          <w:rFonts w:ascii="SimHei" w:eastAsia="SimHei" w:hint="eastAsia"/>
          <w:color w:val="FF0000"/>
        </w:rPr>
        <w:t>1998-2001年间的职业与性别（％）</w:t>
      </w:r>
    </w:p>
    <w:tbl>
      <w:tblPr>
        <w:tblW w:w="3650" w:type="pct"/>
        <w:tblInd w:w="1368" w:type="dxa"/>
        <w:tblLook w:val="0000" w:firstRow="0" w:lastRow="0" w:firstColumn="0" w:lastColumn="0" w:noHBand="0" w:noVBand="0"/>
      </w:tblPr>
      <w:tblGrid>
        <w:gridCol w:w="2310"/>
        <w:gridCol w:w="1260"/>
        <w:gridCol w:w="1260"/>
        <w:gridCol w:w="1260"/>
        <w:gridCol w:w="1260"/>
      </w:tblGrid>
      <w:tr w:rsidR="00E96A0B">
        <w:tblPrEx>
          <w:tblCellMar>
            <w:top w:w="0" w:type="dxa"/>
            <w:bottom w:w="0" w:type="dxa"/>
          </w:tblCellMar>
        </w:tblPrEx>
        <w:trPr>
          <w:trHeight w:val="200"/>
        </w:trPr>
        <w:tc>
          <w:tcPr>
            <w:tcW w:w="1572" w:type="pct"/>
            <w:tcBorders>
              <w:top w:val="single" w:sz="4" w:space="0" w:color="auto"/>
              <w:bottom w:val="single" w:sz="12" w:space="0" w:color="auto"/>
            </w:tcBorders>
          </w:tcPr>
          <w:p w:rsidR="00E96A0B" w:rsidRDefault="00E96A0B">
            <w:pPr>
              <w:spacing w:after="140"/>
              <w:jc w:val="both"/>
              <w:rPr>
                <w:rFonts w:hAnsi="SimSun" w:hint="eastAsia"/>
                <w:sz w:val="18"/>
              </w:rPr>
            </w:pPr>
          </w:p>
        </w:tc>
        <w:tc>
          <w:tcPr>
            <w:tcW w:w="857" w:type="pct"/>
            <w:tcBorders>
              <w:top w:val="single" w:sz="4"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1998</w:t>
            </w:r>
          </w:p>
        </w:tc>
        <w:tc>
          <w:tcPr>
            <w:tcW w:w="857" w:type="pct"/>
            <w:tcBorders>
              <w:top w:val="single" w:sz="4" w:space="0" w:color="auto"/>
              <w:bottom w:val="single" w:sz="12" w:space="0" w:color="auto"/>
            </w:tcBorders>
          </w:tcPr>
          <w:p w:rsidR="00E96A0B" w:rsidRDefault="00E96A0B">
            <w:pPr>
              <w:pStyle w:val="H56"/>
              <w:keepNext w:val="0"/>
              <w:keepLines w:val="0"/>
              <w:tabs>
                <w:tab w:val="clear" w:pos="360"/>
              </w:tabs>
              <w:suppressAutoHyphens w:val="0"/>
              <w:spacing w:after="140"/>
              <w:jc w:val="right"/>
              <w:outlineLvl w:val="9"/>
              <w:rPr>
                <w:rFonts w:hAnsi="SimSun" w:hint="eastAsia"/>
                <w:noProof w:val="0"/>
                <w:spacing w:val="0"/>
                <w:w w:val="100"/>
                <w:sz w:val="18"/>
              </w:rPr>
            </w:pPr>
            <w:r>
              <w:rPr>
                <w:rFonts w:hAnsi="SimSun" w:hint="eastAsia"/>
                <w:noProof w:val="0"/>
                <w:spacing w:val="0"/>
                <w:w w:val="100"/>
                <w:sz w:val="18"/>
              </w:rPr>
              <w:t>1999</w:t>
            </w:r>
          </w:p>
        </w:tc>
        <w:tc>
          <w:tcPr>
            <w:tcW w:w="857" w:type="pct"/>
            <w:tcBorders>
              <w:top w:val="single" w:sz="4"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2000</w:t>
            </w:r>
          </w:p>
        </w:tc>
        <w:tc>
          <w:tcPr>
            <w:tcW w:w="857" w:type="pct"/>
            <w:tcBorders>
              <w:top w:val="single" w:sz="4" w:space="0" w:color="auto"/>
              <w:bottom w:val="single" w:sz="12" w:space="0" w:color="auto"/>
            </w:tcBorders>
          </w:tcPr>
          <w:p w:rsidR="00E96A0B" w:rsidRDefault="00E96A0B">
            <w:pPr>
              <w:spacing w:after="140"/>
              <w:jc w:val="right"/>
              <w:rPr>
                <w:rFonts w:hAnsi="SimSun" w:hint="eastAsia"/>
                <w:sz w:val="18"/>
              </w:rPr>
            </w:pPr>
            <w:r>
              <w:rPr>
                <w:rFonts w:hAnsi="SimSun" w:hint="eastAsia"/>
                <w:sz w:val="18"/>
              </w:rPr>
              <w:t>2001</w:t>
            </w:r>
          </w:p>
        </w:tc>
      </w:tr>
      <w:tr w:rsidR="00E96A0B">
        <w:tblPrEx>
          <w:tblCellMar>
            <w:top w:w="0" w:type="dxa"/>
            <w:bottom w:w="0" w:type="dxa"/>
          </w:tblCellMar>
        </w:tblPrEx>
        <w:trPr>
          <w:trHeight w:val="200"/>
        </w:trPr>
        <w:tc>
          <w:tcPr>
            <w:tcW w:w="1572" w:type="pct"/>
            <w:tcBorders>
              <w:top w:val="single" w:sz="12" w:space="0" w:color="auto"/>
            </w:tcBorders>
          </w:tcPr>
          <w:p w:rsidR="00E96A0B" w:rsidRDefault="00E96A0B">
            <w:pPr>
              <w:spacing w:before="120" w:after="140"/>
              <w:jc w:val="both"/>
              <w:rPr>
                <w:rFonts w:hAnsi="SimSun" w:hint="eastAsia"/>
                <w:sz w:val="18"/>
              </w:rPr>
            </w:pPr>
            <w:r>
              <w:rPr>
                <w:rFonts w:hAnsi="SimSun" w:hint="eastAsia"/>
                <w:sz w:val="18"/>
              </w:rPr>
              <w:t>无技术</w:t>
            </w:r>
            <w:r>
              <w:rPr>
                <w:rFonts w:hAnsi="SimSun" w:hint="eastAsia"/>
                <w:sz w:val="18"/>
                <w:vertAlign w:val="superscript"/>
              </w:rPr>
              <w:t>*</w:t>
            </w:r>
          </w:p>
        </w:tc>
        <w:tc>
          <w:tcPr>
            <w:tcW w:w="857" w:type="pct"/>
            <w:tcBorders>
              <w:top w:val="single" w:sz="12" w:space="0" w:color="auto"/>
            </w:tcBorders>
          </w:tcPr>
          <w:p w:rsidR="00E96A0B" w:rsidRDefault="00E96A0B">
            <w:pPr>
              <w:spacing w:before="120" w:after="140"/>
              <w:jc w:val="right"/>
              <w:rPr>
                <w:rFonts w:hAnsi="SimSun" w:hint="eastAsia"/>
                <w:sz w:val="18"/>
              </w:rPr>
            </w:pPr>
          </w:p>
        </w:tc>
        <w:tc>
          <w:tcPr>
            <w:tcW w:w="857" w:type="pct"/>
            <w:tcBorders>
              <w:top w:val="single" w:sz="12" w:space="0" w:color="auto"/>
            </w:tcBorders>
          </w:tcPr>
          <w:p w:rsidR="00E96A0B" w:rsidRDefault="00E96A0B">
            <w:pPr>
              <w:spacing w:before="120" w:after="140"/>
              <w:jc w:val="right"/>
              <w:rPr>
                <w:rFonts w:hAnsi="SimSun" w:hint="eastAsia"/>
                <w:sz w:val="18"/>
              </w:rPr>
            </w:pPr>
          </w:p>
        </w:tc>
        <w:tc>
          <w:tcPr>
            <w:tcW w:w="857" w:type="pct"/>
            <w:tcBorders>
              <w:top w:val="single" w:sz="12" w:space="0" w:color="auto"/>
            </w:tcBorders>
          </w:tcPr>
          <w:p w:rsidR="00E96A0B" w:rsidRDefault="00E96A0B">
            <w:pPr>
              <w:spacing w:before="120" w:after="140"/>
              <w:jc w:val="right"/>
              <w:rPr>
                <w:rFonts w:hAnsi="SimSun" w:hint="eastAsia"/>
                <w:sz w:val="18"/>
              </w:rPr>
            </w:pPr>
          </w:p>
        </w:tc>
        <w:tc>
          <w:tcPr>
            <w:tcW w:w="857" w:type="pct"/>
            <w:tcBorders>
              <w:top w:val="single" w:sz="12" w:space="0" w:color="auto"/>
            </w:tcBorders>
          </w:tcPr>
          <w:p w:rsidR="00E96A0B" w:rsidRDefault="00E96A0B">
            <w:pPr>
              <w:spacing w:before="120" w:after="140"/>
              <w:jc w:val="right"/>
              <w:rPr>
                <w:rFonts w:hAnsi="SimSun" w:hint="eastAsia"/>
                <w:sz w:val="18"/>
              </w:rPr>
            </w:pPr>
          </w:p>
        </w:tc>
      </w:tr>
      <w:tr w:rsidR="00E96A0B">
        <w:tblPrEx>
          <w:tblCellMar>
            <w:top w:w="0" w:type="dxa"/>
            <w:bottom w:w="0" w:type="dxa"/>
          </w:tblCellMar>
        </w:tblPrEx>
        <w:trPr>
          <w:trHeight w:val="337"/>
        </w:trPr>
        <w:tc>
          <w:tcPr>
            <w:tcW w:w="1572" w:type="pct"/>
          </w:tcPr>
          <w:p w:rsidR="00E96A0B" w:rsidRDefault="00E96A0B">
            <w:pPr>
              <w:spacing w:after="140"/>
              <w:jc w:val="both"/>
              <w:rPr>
                <w:rFonts w:hAnsi="SimSun" w:hint="eastAsia"/>
                <w:sz w:val="18"/>
              </w:rPr>
            </w:pPr>
            <w:r>
              <w:rPr>
                <w:rFonts w:hAnsi="SimSun" w:hint="eastAsia"/>
                <w:sz w:val="18"/>
              </w:rPr>
              <w:t>男性</w:t>
            </w:r>
          </w:p>
        </w:tc>
        <w:tc>
          <w:tcPr>
            <w:tcW w:w="857" w:type="pct"/>
          </w:tcPr>
          <w:p w:rsidR="00E96A0B" w:rsidRDefault="00E96A0B">
            <w:pPr>
              <w:spacing w:after="140"/>
              <w:jc w:val="right"/>
              <w:rPr>
                <w:rFonts w:hAnsi="SimSun" w:hint="eastAsia"/>
                <w:sz w:val="18"/>
              </w:rPr>
            </w:pPr>
            <w:r>
              <w:rPr>
                <w:rFonts w:hAnsi="SimSun" w:hint="eastAsia"/>
                <w:sz w:val="18"/>
              </w:rPr>
              <w:t>45.5</w:t>
            </w:r>
          </w:p>
        </w:tc>
        <w:tc>
          <w:tcPr>
            <w:tcW w:w="857" w:type="pct"/>
          </w:tcPr>
          <w:p w:rsidR="00E96A0B" w:rsidRDefault="00E96A0B">
            <w:pPr>
              <w:spacing w:after="140"/>
              <w:jc w:val="right"/>
              <w:rPr>
                <w:rFonts w:hAnsi="SimSun" w:hint="eastAsia"/>
                <w:sz w:val="18"/>
              </w:rPr>
            </w:pPr>
            <w:r>
              <w:rPr>
                <w:rFonts w:hAnsi="SimSun" w:hint="eastAsia"/>
                <w:sz w:val="18"/>
              </w:rPr>
              <w:t>45.6</w:t>
            </w:r>
          </w:p>
        </w:tc>
        <w:tc>
          <w:tcPr>
            <w:tcW w:w="857" w:type="pct"/>
          </w:tcPr>
          <w:p w:rsidR="00E96A0B" w:rsidRDefault="00E96A0B">
            <w:pPr>
              <w:spacing w:after="140"/>
              <w:jc w:val="right"/>
              <w:rPr>
                <w:rFonts w:hAnsi="SimSun" w:hint="eastAsia"/>
                <w:sz w:val="18"/>
              </w:rPr>
            </w:pPr>
            <w:r>
              <w:rPr>
                <w:rFonts w:hAnsi="SimSun" w:hint="eastAsia"/>
                <w:sz w:val="18"/>
              </w:rPr>
              <w:t>47.6</w:t>
            </w:r>
          </w:p>
        </w:tc>
        <w:tc>
          <w:tcPr>
            <w:tcW w:w="857" w:type="pct"/>
          </w:tcPr>
          <w:p w:rsidR="00E96A0B" w:rsidRDefault="00E96A0B">
            <w:pPr>
              <w:spacing w:after="140"/>
              <w:jc w:val="right"/>
              <w:rPr>
                <w:rFonts w:hAnsi="SimSun" w:hint="eastAsia"/>
                <w:sz w:val="18"/>
              </w:rPr>
            </w:pPr>
            <w:r>
              <w:rPr>
                <w:rFonts w:hAnsi="SimSun" w:hint="eastAsia"/>
                <w:sz w:val="18"/>
              </w:rPr>
              <w:t>47.5</w:t>
            </w:r>
          </w:p>
        </w:tc>
      </w:tr>
      <w:tr w:rsidR="00E96A0B">
        <w:tblPrEx>
          <w:tblCellMar>
            <w:top w:w="0" w:type="dxa"/>
            <w:bottom w:w="0" w:type="dxa"/>
          </w:tblCellMar>
        </w:tblPrEx>
        <w:trPr>
          <w:trHeight w:val="376"/>
        </w:trPr>
        <w:tc>
          <w:tcPr>
            <w:tcW w:w="1572" w:type="pct"/>
            <w:tcBorders>
              <w:bottom w:val="single" w:sz="4" w:space="0" w:color="auto"/>
            </w:tcBorders>
          </w:tcPr>
          <w:p w:rsidR="00E96A0B" w:rsidRDefault="00E96A0B">
            <w:pPr>
              <w:spacing w:after="140"/>
              <w:jc w:val="both"/>
              <w:rPr>
                <w:rFonts w:hAnsi="SimSun" w:hint="eastAsia"/>
                <w:sz w:val="18"/>
              </w:rPr>
            </w:pPr>
            <w:r>
              <w:rPr>
                <w:rFonts w:hAnsi="SimSun" w:hint="eastAsia"/>
                <w:sz w:val="18"/>
              </w:rPr>
              <w:t>妇女</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54.5</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54.4</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52.4</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52.5</w:t>
            </w:r>
          </w:p>
        </w:tc>
      </w:tr>
      <w:tr w:rsidR="00E96A0B">
        <w:tblPrEx>
          <w:tblCellMar>
            <w:top w:w="0" w:type="dxa"/>
            <w:bottom w:w="0" w:type="dxa"/>
          </w:tblCellMar>
        </w:tblPrEx>
        <w:trPr>
          <w:trHeight w:val="225"/>
        </w:trPr>
        <w:tc>
          <w:tcPr>
            <w:tcW w:w="1572" w:type="pct"/>
            <w:tcBorders>
              <w:top w:val="single" w:sz="4" w:space="0" w:color="auto"/>
            </w:tcBorders>
          </w:tcPr>
          <w:p w:rsidR="00E96A0B" w:rsidRDefault="00E96A0B">
            <w:pPr>
              <w:spacing w:after="140"/>
              <w:jc w:val="both"/>
              <w:rPr>
                <w:rFonts w:hAnsi="SimSun" w:hint="eastAsia"/>
                <w:sz w:val="18"/>
              </w:rPr>
            </w:pPr>
            <w:r>
              <w:rPr>
                <w:rFonts w:hAnsi="SimSun" w:hint="eastAsia"/>
                <w:sz w:val="18"/>
              </w:rPr>
              <w:t>专业学院毕业生</w:t>
            </w: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r>
      <w:tr w:rsidR="00E96A0B">
        <w:tblPrEx>
          <w:tblCellMar>
            <w:top w:w="0" w:type="dxa"/>
            <w:bottom w:w="0" w:type="dxa"/>
          </w:tblCellMar>
        </w:tblPrEx>
        <w:trPr>
          <w:trHeight w:val="225"/>
        </w:trPr>
        <w:tc>
          <w:tcPr>
            <w:tcW w:w="1572" w:type="pct"/>
          </w:tcPr>
          <w:p w:rsidR="00E96A0B" w:rsidRDefault="00E96A0B">
            <w:pPr>
              <w:spacing w:after="140"/>
              <w:jc w:val="both"/>
              <w:rPr>
                <w:rFonts w:hAnsi="SimSun" w:hint="eastAsia"/>
                <w:sz w:val="18"/>
              </w:rPr>
            </w:pPr>
            <w:r>
              <w:rPr>
                <w:rFonts w:hAnsi="SimSun" w:hint="eastAsia"/>
                <w:sz w:val="18"/>
              </w:rPr>
              <w:t>男性</w:t>
            </w:r>
          </w:p>
        </w:tc>
        <w:tc>
          <w:tcPr>
            <w:tcW w:w="857" w:type="pct"/>
          </w:tcPr>
          <w:p w:rsidR="00E96A0B" w:rsidRDefault="00E96A0B">
            <w:pPr>
              <w:spacing w:after="140"/>
              <w:jc w:val="right"/>
              <w:rPr>
                <w:rFonts w:hAnsi="SimSun" w:hint="eastAsia"/>
                <w:sz w:val="18"/>
              </w:rPr>
            </w:pPr>
            <w:r>
              <w:rPr>
                <w:rFonts w:hAnsi="SimSun" w:hint="eastAsia"/>
                <w:sz w:val="18"/>
              </w:rPr>
              <w:t>73.7</w:t>
            </w:r>
          </w:p>
        </w:tc>
        <w:tc>
          <w:tcPr>
            <w:tcW w:w="857" w:type="pct"/>
          </w:tcPr>
          <w:p w:rsidR="00E96A0B" w:rsidRDefault="00E96A0B">
            <w:pPr>
              <w:spacing w:after="140"/>
              <w:jc w:val="right"/>
              <w:rPr>
                <w:rFonts w:hAnsi="SimSun" w:hint="eastAsia"/>
                <w:sz w:val="18"/>
              </w:rPr>
            </w:pPr>
            <w:r>
              <w:rPr>
                <w:rFonts w:hAnsi="SimSun" w:hint="eastAsia"/>
                <w:sz w:val="18"/>
              </w:rPr>
              <w:t>73.8</w:t>
            </w:r>
          </w:p>
        </w:tc>
        <w:tc>
          <w:tcPr>
            <w:tcW w:w="857" w:type="pct"/>
          </w:tcPr>
          <w:p w:rsidR="00E96A0B" w:rsidRDefault="00E96A0B">
            <w:pPr>
              <w:spacing w:after="140"/>
              <w:jc w:val="right"/>
              <w:rPr>
                <w:rFonts w:hAnsi="SimSun" w:hint="eastAsia"/>
                <w:sz w:val="18"/>
              </w:rPr>
            </w:pPr>
            <w:r>
              <w:rPr>
                <w:rFonts w:hAnsi="SimSun" w:hint="eastAsia"/>
                <w:sz w:val="18"/>
              </w:rPr>
              <w:t>70.9</w:t>
            </w:r>
          </w:p>
        </w:tc>
        <w:tc>
          <w:tcPr>
            <w:tcW w:w="857" w:type="pct"/>
          </w:tcPr>
          <w:p w:rsidR="00E96A0B" w:rsidRDefault="00E96A0B">
            <w:pPr>
              <w:spacing w:after="140"/>
              <w:jc w:val="right"/>
              <w:rPr>
                <w:rFonts w:hAnsi="SimSun" w:hint="eastAsia"/>
                <w:sz w:val="18"/>
              </w:rPr>
            </w:pPr>
            <w:r>
              <w:rPr>
                <w:rFonts w:hAnsi="SimSun" w:hint="eastAsia"/>
                <w:sz w:val="18"/>
              </w:rPr>
              <w:t>73.0</w:t>
            </w:r>
          </w:p>
        </w:tc>
      </w:tr>
      <w:tr w:rsidR="00E96A0B">
        <w:tblPrEx>
          <w:tblCellMar>
            <w:top w:w="0" w:type="dxa"/>
            <w:bottom w:w="0" w:type="dxa"/>
          </w:tblCellMar>
        </w:tblPrEx>
        <w:trPr>
          <w:trHeight w:val="300"/>
        </w:trPr>
        <w:tc>
          <w:tcPr>
            <w:tcW w:w="1572" w:type="pct"/>
            <w:tcBorders>
              <w:bottom w:val="single" w:sz="4" w:space="0" w:color="auto"/>
            </w:tcBorders>
          </w:tcPr>
          <w:p w:rsidR="00E96A0B" w:rsidRDefault="00E96A0B">
            <w:pPr>
              <w:spacing w:after="140"/>
              <w:jc w:val="both"/>
              <w:rPr>
                <w:rFonts w:hAnsi="SimSun" w:hint="eastAsia"/>
                <w:sz w:val="18"/>
              </w:rPr>
            </w:pPr>
            <w:r>
              <w:rPr>
                <w:rFonts w:hAnsi="SimSun" w:hint="eastAsia"/>
                <w:sz w:val="18"/>
              </w:rPr>
              <w:t>妇女</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26.3</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26.2</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29.1</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27.0</w:t>
            </w:r>
          </w:p>
        </w:tc>
      </w:tr>
      <w:tr w:rsidR="00E96A0B">
        <w:tblPrEx>
          <w:tblCellMar>
            <w:top w:w="0" w:type="dxa"/>
            <w:bottom w:w="0" w:type="dxa"/>
          </w:tblCellMar>
        </w:tblPrEx>
        <w:trPr>
          <w:trHeight w:val="300"/>
        </w:trPr>
        <w:tc>
          <w:tcPr>
            <w:tcW w:w="1572" w:type="pct"/>
            <w:tcBorders>
              <w:top w:val="single" w:sz="4" w:space="0" w:color="auto"/>
            </w:tcBorders>
          </w:tcPr>
          <w:p w:rsidR="00E96A0B" w:rsidRDefault="00E96A0B">
            <w:pPr>
              <w:spacing w:after="140"/>
              <w:jc w:val="both"/>
              <w:rPr>
                <w:rFonts w:hAnsi="SimSun" w:hint="eastAsia"/>
                <w:sz w:val="18"/>
              </w:rPr>
            </w:pPr>
            <w:r>
              <w:rPr>
                <w:rFonts w:hAnsi="SimSun" w:hint="eastAsia"/>
                <w:sz w:val="18"/>
              </w:rPr>
              <w:t>大学毕业生</w:t>
            </w: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r>
      <w:tr w:rsidR="00E96A0B">
        <w:tblPrEx>
          <w:tblCellMar>
            <w:top w:w="0" w:type="dxa"/>
            <w:bottom w:w="0" w:type="dxa"/>
          </w:tblCellMar>
        </w:tblPrEx>
        <w:trPr>
          <w:trHeight w:val="300"/>
        </w:trPr>
        <w:tc>
          <w:tcPr>
            <w:tcW w:w="1572" w:type="pct"/>
          </w:tcPr>
          <w:p w:rsidR="00E96A0B" w:rsidRDefault="00E96A0B">
            <w:pPr>
              <w:spacing w:after="140"/>
              <w:jc w:val="both"/>
              <w:rPr>
                <w:rFonts w:hAnsi="SimSun" w:hint="eastAsia"/>
                <w:sz w:val="18"/>
              </w:rPr>
            </w:pPr>
            <w:r>
              <w:rPr>
                <w:rFonts w:hAnsi="SimSun" w:hint="eastAsia"/>
                <w:sz w:val="18"/>
              </w:rPr>
              <w:t>男性</w:t>
            </w:r>
          </w:p>
        </w:tc>
        <w:tc>
          <w:tcPr>
            <w:tcW w:w="857" w:type="pct"/>
          </w:tcPr>
          <w:p w:rsidR="00E96A0B" w:rsidRDefault="00E96A0B">
            <w:pPr>
              <w:spacing w:after="140"/>
              <w:jc w:val="right"/>
              <w:rPr>
                <w:rFonts w:hAnsi="SimSun" w:hint="eastAsia"/>
                <w:sz w:val="18"/>
              </w:rPr>
            </w:pPr>
            <w:r>
              <w:rPr>
                <w:rFonts w:hAnsi="SimSun" w:hint="eastAsia"/>
                <w:sz w:val="18"/>
              </w:rPr>
              <w:t>55.3</w:t>
            </w:r>
          </w:p>
        </w:tc>
        <w:tc>
          <w:tcPr>
            <w:tcW w:w="857" w:type="pct"/>
          </w:tcPr>
          <w:p w:rsidR="00E96A0B" w:rsidRDefault="00E96A0B">
            <w:pPr>
              <w:spacing w:after="140"/>
              <w:jc w:val="right"/>
              <w:rPr>
                <w:rFonts w:hAnsi="SimSun" w:hint="eastAsia"/>
                <w:sz w:val="18"/>
              </w:rPr>
            </w:pPr>
            <w:r>
              <w:rPr>
                <w:rFonts w:hAnsi="SimSun" w:hint="eastAsia"/>
                <w:sz w:val="18"/>
              </w:rPr>
              <w:t>56.5</w:t>
            </w:r>
          </w:p>
        </w:tc>
        <w:tc>
          <w:tcPr>
            <w:tcW w:w="857" w:type="pct"/>
          </w:tcPr>
          <w:p w:rsidR="00E96A0B" w:rsidRDefault="00E96A0B">
            <w:pPr>
              <w:spacing w:after="140"/>
              <w:jc w:val="right"/>
              <w:rPr>
                <w:rFonts w:hAnsi="SimSun" w:hint="eastAsia"/>
                <w:sz w:val="18"/>
              </w:rPr>
            </w:pPr>
            <w:r>
              <w:rPr>
                <w:rFonts w:hAnsi="SimSun" w:hint="eastAsia"/>
                <w:sz w:val="18"/>
              </w:rPr>
              <w:t>56.5</w:t>
            </w:r>
          </w:p>
        </w:tc>
        <w:tc>
          <w:tcPr>
            <w:tcW w:w="857" w:type="pct"/>
          </w:tcPr>
          <w:p w:rsidR="00E96A0B" w:rsidRDefault="00E96A0B">
            <w:pPr>
              <w:spacing w:after="140"/>
              <w:jc w:val="right"/>
              <w:rPr>
                <w:rFonts w:hAnsi="SimSun" w:hint="eastAsia"/>
                <w:sz w:val="18"/>
              </w:rPr>
            </w:pPr>
            <w:r>
              <w:rPr>
                <w:rFonts w:hAnsi="SimSun" w:hint="eastAsia"/>
                <w:sz w:val="18"/>
              </w:rPr>
              <w:t>54.3</w:t>
            </w:r>
          </w:p>
        </w:tc>
      </w:tr>
      <w:tr w:rsidR="00E96A0B">
        <w:tblPrEx>
          <w:tblCellMar>
            <w:top w:w="0" w:type="dxa"/>
            <w:bottom w:w="0" w:type="dxa"/>
          </w:tblCellMar>
        </w:tblPrEx>
        <w:trPr>
          <w:trHeight w:val="288"/>
        </w:trPr>
        <w:tc>
          <w:tcPr>
            <w:tcW w:w="1572" w:type="pct"/>
            <w:tcBorders>
              <w:bottom w:val="single" w:sz="4" w:space="0" w:color="auto"/>
            </w:tcBorders>
          </w:tcPr>
          <w:p w:rsidR="00E96A0B" w:rsidRDefault="00E96A0B">
            <w:pPr>
              <w:spacing w:after="140"/>
              <w:jc w:val="both"/>
              <w:rPr>
                <w:rFonts w:hAnsi="SimSun" w:hint="eastAsia"/>
                <w:sz w:val="18"/>
              </w:rPr>
            </w:pPr>
            <w:r>
              <w:rPr>
                <w:rFonts w:hAnsi="SimSun" w:hint="eastAsia"/>
                <w:sz w:val="18"/>
              </w:rPr>
              <w:t>妇女</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44.7</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43.5</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43.5</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45.7</w:t>
            </w:r>
          </w:p>
        </w:tc>
      </w:tr>
      <w:tr w:rsidR="00E96A0B">
        <w:tblPrEx>
          <w:tblCellMar>
            <w:top w:w="0" w:type="dxa"/>
            <w:bottom w:w="0" w:type="dxa"/>
          </w:tblCellMar>
        </w:tblPrEx>
        <w:trPr>
          <w:trHeight w:val="288"/>
        </w:trPr>
        <w:tc>
          <w:tcPr>
            <w:tcW w:w="1572" w:type="pct"/>
            <w:tcBorders>
              <w:top w:val="single" w:sz="4" w:space="0" w:color="auto"/>
            </w:tcBorders>
          </w:tcPr>
          <w:p w:rsidR="00E96A0B" w:rsidRDefault="00E96A0B">
            <w:pPr>
              <w:spacing w:after="140"/>
              <w:jc w:val="both"/>
              <w:rPr>
                <w:rFonts w:hAnsi="SimSun" w:hint="eastAsia"/>
                <w:sz w:val="18"/>
              </w:rPr>
            </w:pPr>
            <w:r>
              <w:rPr>
                <w:rFonts w:hAnsi="SimSun" w:hint="eastAsia"/>
                <w:sz w:val="18"/>
              </w:rPr>
              <w:t>服务和商店工人</w:t>
            </w: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r>
      <w:tr w:rsidR="00E96A0B">
        <w:tblPrEx>
          <w:tblCellMar>
            <w:top w:w="0" w:type="dxa"/>
            <w:bottom w:w="0" w:type="dxa"/>
          </w:tblCellMar>
        </w:tblPrEx>
        <w:trPr>
          <w:trHeight w:val="213"/>
        </w:trPr>
        <w:tc>
          <w:tcPr>
            <w:tcW w:w="1572" w:type="pct"/>
          </w:tcPr>
          <w:p w:rsidR="00E96A0B" w:rsidRDefault="00E96A0B">
            <w:pPr>
              <w:spacing w:after="140"/>
              <w:jc w:val="both"/>
              <w:rPr>
                <w:rFonts w:hAnsi="SimSun" w:hint="eastAsia"/>
                <w:sz w:val="18"/>
              </w:rPr>
            </w:pPr>
            <w:r>
              <w:rPr>
                <w:rFonts w:hAnsi="SimSun" w:hint="eastAsia"/>
                <w:sz w:val="18"/>
              </w:rPr>
              <w:t>男性</w:t>
            </w:r>
          </w:p>
        </w:tc>
        <w:tc>
          <w:tcPr>
            <w:tcW w:w="857" w:type="pct"/>
          </w:tcPr>
          <w:p w:rsidR="00E96A0B" w:rsidRDefault="00E96A0B">
            <w:pPr>
              <w:spacing w:after="140"/>
              <w:jc w:val="right"/>
              <w:rPr>
                <w:rFonts w:hAnsi="SimSun" w:hint="eastAsia"/>
                <w:sz w:val="18"/>
              </w:rPr>
            </w:pPr>
            <w:r>
              <w:rPr>
                <w:rFonts w:hAnsi="SimSun" w:hint="eastAsia"/>
                <w:sz w:val="18"/>
              </w:rPr>
              <w:t>43.6</w:t>
            </w:r>
          </w:p>
        </w:tc>
        <w:tc>
          <w:tcPr>
            <w:tcW w:w="857" w:type="pct"/>
          </w:tcPr>
          <w:p w:rsidR="00E96A0B" w:rsidRDefault="00E96A0B">
            <w:pPr>
              <w:spacing w:after="140"/>
              <w:jc w:val="right"/>
              <w:rPr>
                <w:rFonts w:hAnsi="SimSun" w:hint="eastAsia"/>
                <w:sz w:val="18"/>
              </w:rPr>
            </w:pPr>
            <w:r>
              <w:rPr>
                <w:rFonts w:hAnsi="SimSun" w:hint="eastAsia"/>
                <w:sz w:val="18"/>
              </w:rPr>
              <w:t>42.9</w:t>
            </w:r>
          </w:p>
        </w:tc>
        <w:tc>
          <w:tcPr>
            <w:tcW w:w="857" w:type="pct"/>
          </w:tcPr>
          <w:p w:rsidR="00E96A0B" w:rsidRDefault="00E96A0B">
            <w:pPr>
              <w:spacing w:after="140"/>
              <w:jc w:val="right"/>
              <w:rPr>
                <w:rFonts w:hAnsi="SimSun" w:hint="eastAsia"/>
                <w:sz w:val="18"/>
              </w:rPr>
            </w:pPr>
            <w:r>
              <w:rPr>
                <w:rFonts w:hAnsi="SimSun" w:hint="eastAsia"/>
                <w:sz w:val="18"/>
              </w:rPr>
              <w:t>42.6</w:t>
            </w:r>
          </w:p>
        </w:tc>
        <w:tc>
          <w:tcPr>
            <w:tcW w:w="857" w:type="pct"/>
          </w:tcPr>
          <w:p w:rsidR="00E96A0B" w:rsidRDefault="00E96A0B">
            <w:pPr>
              <w:spacing w:after="140"/>
              <w:jc w:val="right"/>
              <w:rPr>
                <w:rFonts w:hAnsi="SimSun" w:hint="eastAsia"/>
                <w:sz w:val="18"/>
              </w:rPr>
            </w:pPr>
            <w:r>
              <w:rPr>
                <w:rFonts w:hAnsi="SimSun" w:hint="eastAsia"/>
                <w:sz w:val="18"/>
              </w:rPr>
              <w:t>42.5</w:t>
            </w:r>
          </w:p>
        </w:tc>
      </w:tr>
      <w:tr w:rsidR="00E96A0B">
        <w:tblPrEx>
          <w:tblCellMar>
            <w:top w:w="0" w:type="dxa"/>
            <w:bottom w:w="0" w:type="dxa"/>
          </w:tblCellMar>
        </w:tblPrEx>
        <w:trPr>
          <w:trHeight w:val="213"/>
        </w:trPr>
        <w:tc>
          <w:tcPr>
            <w:tcW w:w="1572" w:type="pct"/>
            <w:tcBorders>
              <w:bottom w:val="single" w:sz="4" w:space="0" w:color="auto"/>
            </w:tcBorders>
          </w:tcPr>
          <w:p w:rsidR="00E96A0B" w:rsidRDefault="00E96A0B">
            <w:pPr>
              <w:spacing w:after="140"/>
              <w:jc w:val="both"/>
              <w:rPr>
                <w:rFonts w:hAnsi="SimSun" w:hint="eastAsia"/>
                <w:sz w:val="18"/>
              </w:rPr>
            </w:pPr>
            <w:r>
              <w:rPr>
                <w:rFonts w:hAnsi="SimSun" w:hint="eastAsia"/>
                <w:sz w:val="18"/>
              </w:rPr>
              <w:t>妇女</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56.4</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57.1</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57.4</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57.5</w:t>
            </w:r>
          </w:p>
        </w:tc>
      </w:tr>
      <w:tr w:rsidR="00E96A0B">
        <w:tblPrEx>
          <w:tblCellMar>
            <w:top w:w="0" w:type="dxa"/>
            <w:bottom w:w="0" w:type="dxa"/>
          </w:tblCellMar>
        </w:tblPrEx>
        <w:trPr>
          <w:trHeight w:val="213"/>
        </w:trPr>
        <w:tc>
          <w:tcPr>
            <w:tcW w:w="1572" w:type="pct"/>
            <w:tcBorders>
              <w:top w:val="single" w:sz="4" w:space="0" w:color="auto"/>
            </w:tcBorders>
          </w:tcPr>
          <w:p w:rsidR="00E96A0B" w:rsidRDefault="00E96A0B">
            <w:pPr>
              <w:spacing w:after="140"/>
              <w:jc w:val="both"/>
              <w:rPr>
                <w:rFonts w:hAnsi="SimSun" w:hint="eastAsia"/>
                <w:sz w:val="18"/>
              </w:rPr>
            </w:pPr>
            <w:r>
              <w:rPr>
                <w:rFonts w:hAnsi="SimSun" w:hint="eastAsia"/>
                <w:sz w:val="18"/>
              </w:rPr>
              <w:t>农民和渔民</w:t>
            </w: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r>
      <w:tr w:rsidR="00E96A0B">
        <w:tblPrEx>
          <w:tblCellMar>
            <w:top w:w="0" w:type="dxa"/>
            <w:bottom w:w="0" w:type="dxa"/>
          </w:tblCellMar>
        </w:tblPrEx>
        <w:trPr>
          <w:trHeight w:val="213"/>
        </w:trPr>
        <w:tc>
          <w:tcPr>
            <w:tcW w:w="1572" w:type="pct"/>
          </w:tcPr>
          <w:p w:rsidR="00E96A0B" w:rsidRDefault="00E96A0B">
            <w:pPr>
              <w:spacing w:after="140"/>
              <w:jc w:val="both"/>
              <w:rPr>
                <w:rFonts w:hAnsi="SimSun" w:hint="eastAsia"/>
                <w:sz w:val="18"/>
              </w:rPr>
            </w:pPr>
            <w:r>
              <w:rPr>
                <w:rFonts w:hAnsi="SimSun" w:hint="eastAsia"/>
                <w:sz w:val="18"/>
              </w:rPr>
              <w:t>男性</w:t>
            </w:r>
          </w:p>
        </w:tc>
        <w:tc>
          <w:tcPr>
            <w:tcW w:w="857" w:type="pct"/>
          </w:tcPr>
          <w:p w:rsidR="00E96A0B" w:rsidRDefault="00E96A0B">
            <w:pPr>
              <w:spacing w:after="140"/>
              <w:jc w:val="right"/>
              <w:rPr>
                <w:rFonts w:hAnsi="SimSun" w:hint="eastAsia"/>
                <w:sz w:val="18"/>
              </w:rPr>
            </w:pPr>
            <w:r>
              <w:rPr>
                <w:rFonts w:hAnsi="SimSun" w:hint="eastAsia"/>
                <w:sz w:val="18"/>
              </w:rPr>
              <w:t>74.2</w:t>
            </w:r>
          </w:p>
        </w:tc>
        <w:tc>
          <w:tcPr>
            <w:tcW w:w="857" w:type="pct"/>
          </w:tcPr>
          <w:p w:rsidR="00E96A0B" w:rsidRDefault="00E96A0B">
            <w:pPr>
              <w:spacing w:after="140"/>
              <w:jc w:val="right"/>
              <w:rPr>
                <w:rFonts w:hAnsi="SimSun" w:hint="eastAsia"/>
                <w:sz w:val="18"/>
              </w:rPr>
            </w:pPr>
            <w:r>
              <w:rPr>
                <w:rFonts w:hAnsi="SimSun" w:hint="eastAsia"/>
                <w:sz w:val="18"/>
              </w:rPr>
              <w:t>76.6</w:t>
            </w:r>
          </w:p>
        </w:tc>
        <w:tc>
          <w:tcPr>
            <w:tcW w:w="857" w:type="pct"/>
          </w:tcPr>
          <w:p w:rsidR="00E96A0B" w:rsidRDefault="00E96A0B">
            <w:pPr>
              <w:spacing w:after="140"/>
              <w:jc w:val="right"/>
              <w:rPr>
                <w:rFonts w:hAnsi="SimSun" w:hint="eastAsia"/>
                <w:sz w:val="18"/>
              </w:rPr>
            </w:pPr>
            <w:r>
              <w:rPr>
                <w:rFonts w:hAnsi="SimSun" w:hint="eastAsia"/>
                <w:sz w:val="18"/>
              </w:rPr>
              <w:t>75.4</w:t>
            </w:r>
          </w:p>
        </w:tc>
        <w:tc>
          <w:tcPr>
            <w:tcW w:w="857" w:type="pct"/>
          </w:tcPr>
          <w:p w:rsidR="00E96A0B" w:rsidRDefault="00E96A0B">
            <w:pPr>
              <w:spacing w:after="140"/>
              <w:jc w:val="right"/>
              <w:rPr>
                <w:rFonts w:hAnsi="SimSun" w:hint="eastAsia"/>
                <w:sz w:val="18"/>
              </w:rPr>
            </w:pPr>
            <w:r>
              <w:rPr>
                <w:rFonts w:hAnsi="SimSun" w:hint="eastAsia"/>
                <w:sz w:val="18"/>
              </w:rPr>
              <w:t>79.0</w:t>
            </w:r>
          </w:p>
        </w:tc>
      </w:tr>
      <w:tr w:rsidR="00E96A0B">
        <w:tblPrEx>
          <w:tblCellMar>
            <w:top w:w="0" w:type="dxa"/>
            <w:bottom w:w="0" w:type="dxa"/>
          </w:tblCellMar>
        </w:tblPrEx>
        <w:trPr>
          <w:trHeight w:val="213"/>
        </w:trPr>
        <w:tc>
          <w:tcPr>
            <w:tcW w:w="1572" w:type="pct"/>
            <w:tcBorders>
              <w:bottom w:val="single" w:sz="4" w:space="0" w:color="auto"/>
            </w:tcBorders>
          </w:tcPr>
          <w:p w:rsidR="00E96A0B" w:rsidRDefault="00E96A0B">
            <w:pPr>
              <w:spacing w:after="140"/>
              <w:jc w:val="both"/>
              <w:rPr>
                <w:rFonts w:hAnsi="SimSun" w:hint="eastAsia"/>
                <w:sz w:val="18"/>
              </w:rPr>
            </w:pPr>
            <w:r>
              <w:rPr>
                <w:rFonts w:hAnsi="SimSun" w:hint="eastAsia"/>
                <w:sz w:val="18"/>
              </w:rPr>
              <w:t>妇女</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25.8</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23.4</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24.6</w:t>
            </w:r>
          </w:p>
        </w:tc>
        <w:tc>
          <w:tcPr>
            <w:tcW w:w="857" w:type="pct"/>
            <w:tcBorders>
              <w:bottom w:val="single" w:sz="4" w:space="0" w:color="auto"/>
            </w:tcBorders>
          </w:tcPr>
          <w:p w:rsidR="00E96A0B" w:rsidRDefault="00E96A0B">
            <w:pPr>
              <w:spacing w:after="140"/>
              <w:jc w:val="right"/>
              <w:rPr>
                <w:rFonts w:hAnsi="SimSun" w:hint="eastAsia"/>
                <w:sz w:val="18"/>
              </w:rPr>
            </w:pPr>
            <w:r>
              <w:rPr>
                <w:rFonts w:hAnsi="SimSun" w:hint="eastAsia"/>
                <w:sz w:val="18"/>
              </w:rPr>
              <w:t>21.0</w:t>
            </w:r>
          </w:p>
        </w:tc>
      </w:tr>
      <w:tr w:rsidR="00E96A0B">
        <w:tblPrEx>
          <w:tblCellMar>
            <w:top w:w="0" w:type="dxa"/>
            <w:bottom w:w="0" w:type="dxa"/>
          </w:tblCellMar>
        </w:tblPrEx>
        <w:trPr>
          <w:trHeight w:val="213"/>
        </w:trPr>
        <w:tc>
          <w:tcPr>
            <w:tcW w:w="1572" w:type="pct"/>
            <w:tcBorders>
              <w:top w:val="single" w:sz="4" w:space="0" w:color="auto"/>
            </w:tcBorders>
          </w:tcPr>
          <w:p w:rsidR="00E96A0B" w:rsidRDefault="00E96A0B">
            <w:pPr>
              <w:spacing w:after="140"/>
              <w:jc w:val="both"/>
              <w:rPr>
                <w:rFonts w:hAnsi="SimSun" w:hint="eastAsia"/>
                <w:sz w:val="18"/>
              </w:rPr>
            </w:pPr>
            <w:r>
              <w:rPr>
                <w:rFonts w:hAnsi="SimSun" w:hint="eastAsia"/>
                <w:sz w:val="18"/>
              </w:rPr>
              <w:t>专业工人</w:t>
            </w: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c>
          <w:tcPr>
            <w:tcW w:w="857" w:type="pct"/>
            <w:tcBorders>
              <w:top w:val="single" w:sz="4" w:space="0" w:color="auto"/>
            </w:tcBorders>
          </w:tcPr>
          <w:p w:rsidR="00E96A0B" w:rsidRDefault="00E96A0B">
            <w:pPr>
              <w:spacing w:after="140"/>
              <w:jc w:val="right"/>
              <w:rPr>
                <w:rFonts w:hAnsi="SimSun" w:hint="eastAsia"/>
                <w:sz w:val="18"/>
              </w:rPr>
            </w:pPr>
          </w:p>
        </w:tc>
      </w:tr>
      <w:tr w:rsidR="00E96A0B">
        <w:tblPrEx>
          <w:tblCellMar>
            <w:top w:w="0" w:type="dxa"/>
            <w:bottom w:w="0" w:type="dxa"/>
          </w:tblCellMar>
        </w:tblPrEx>
        <w:trPr>
          <w:trHeight w:val="213"/>
        </w:trPr>
        <w:tc>
          <w:tcPr>
            <w:tcW w:w="1572" w:type="pct"/>
          </w:tcPr>
          <w:p w:rsidR="00E96A0B" w:rsidRDefault="00E96A0B">
            <w:pPr>
              <w:spacing w:after="140"/>
              <w:jc w:val="both"/>
              <w:rPr>
                <w:rFonts w:hAnsi="SimSun" w:hint="eastAsia"/>
                <w:sz w:val="18"/>
              </w:rPr>
            </w:pPr>
            <w:r>
              <w:rPr>
                <w:rFonts w:hAnsi="SimSun" w:hint="eastAsia"/>
                <w:sz w:val="18"/>
              </w:rPr>
              <w:t>男性</w:t>
            </w:r>
          </w:p>
        </w:tc>
        <w:tc>
          <w:tcPr>
            <w:tcW w:w="857" w:type="pct"/>
          </w:tcPr>
          <w:p w:rsidR="00E96A0B" w:rsidRDefault="00E96A0B">
            <w:pPr>
              <w:spacing w:after="140"/>
              <w:jc w:val="right"/>
              <w:rPr>
                <w:rFonts w:hAnsi="SimSun" w:hint="eastAsia"/>
                <w:sz w:val="18"/>
              </w:rPr>
            </w:pPr>
            <w:r>
              <w:rPr>
                <w:rFonts w:hAnsi="SimSun" w:hint="eastAsia"/>
                <w:sz w:val="18"/>
              </w:rPr>
              <w:t>72.1</w:t>
            </w:r>
          </w:p>
        </w:tc>
        <w:tc>
          <w:tcPr>
            <w:tcW w:w="857" w:type="pct"/>
          </w:tcPr>
          <w:p w:rsidR="00E96A0B" w:rsidRDefault="00E96A0B">
            <w:pPr>
              <w:spacing w:after="140"/>
              <w:jc w:val="right"/>
              <w:rPr>
                <w:rFonts w:hAnsi="SimSun" w:hint="eastAsia"/>
                <w:sz w:val="18"/>
              </w:rPr>
            </w:pPr>
            <w:r>
              <w:rPr>
                <w:rFonts w:hAnsi="SimSun" w:hint="eastAsia"/>
                <w:sz w:val="18"/>
              </w:rPr>
              <w:t>76.3</w:t>
            </w:r>
          </w:p>
        </w:tc>
        <w:tc>
          <w:tcPr>
            <w:tcW w:w="857" w:type="pct"/>
          </w:tcPr>
          <w:p w:rsidR="00E96A0B" w:rsidRDefault="00E96A0B">
            <w:pPr>
              <w:spacing w:after="140"/>
              <w:jc w:val="right"/>
              <w:rPr>
                <w:rFonts w:hAnsi="SimSun" w:hint="eastAsia"/>
                <w:sz w:val="18"/>
              </w:rPr>
            </w:pPr>
            <w:r>
              <w:rPr>
                <w:rFonts w:hAnsi="SimSun" w:hint="eastAsia"/>
                <w:sz w:val="18"/>
              </w:rPr>
              <w:t>77.8</w:t>
            </w:r>
          </w:p>
        </w:tc>
        <w:tc>
          <w:tcPr>
            <w:tcW w:w="857" w:type="pct"/>
          </w:tcPr>
          <w:p w:rsidR="00E96A0B" w:rsidRDefault="00E96A0B">
            <w:pPr>
              <w:spacing w:after="140"/>
              <w:jc w:val="right"/>
              <w:rPr>
                <w:rFonts w:hAnsi="SimSun" w:hint="eastAsia"/>
                <w:sz w:val="18"/>
              </w:rPr>
            </w:pPr>
            <w:r>
              <w:rPr>
                <w:rFonts w:hAnsi="SimSun" w:hint="eastAsia"/>
                <w:sz w:val="18"/>
              </w:rPr>
              <w:t>78.0</w:t>
            </w:r>
          </w:p>
        </w:tc>
      </w:tr>
      <w:tr w:rsidR="00E96A0B">
        <w:tblPrEx>
          <w:tblCellMar>
            <w:top w:w="0" w:type="dxa"/>
            <w:bottom w:w="0" w:type="dxa"/>
          </w:tblCellMar>
        </w:tblPrEx>
        <w:trPr>
          <w:trHeight w:val="213"/>
        </w:trPr>
        <w:tc>
          <w:tcPr>
            <w:tcW w:w="1572" w:type="pct"/>
            <w:tcBorders>
              <w:bottom w:val="single" w:sz="12" w:space="0" w:color="auto"/>
            </w:tcBorders>
          </w:tcPr>
          <w:p w:rsidR="00E96A0B" w:rsidRDefault="00E96A0B">
            <w:pPr>
              <w:spacing w:after="140"/>
              <w:jc w:val="both"/>
              <w:rPr>
                <w:rFonts w:hAnsi="SimSun" w:hint="eastAsia"/>
                <w:sz w:val="18"/>
              </w:rPr>
            </w:pPr>
            <w:r>
              <w:rPr>
                <w:rFonts w:hAnsi="SimSun" w:hint="eastAsia"/>
                <w:sz w:val="18"/>
              </w:rPr>
              <w:t>妇女</w:t>
            </w:r>
          </w:p>
        </w:tc>
        <w:tc>
          <w:tcPr>
            <w:tcW w:w="857"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27.9</w:t>
            </w:r>
          </w:p>
        </w:tc>
        <w:tc>
          <w:tcPr>
            <w:tcW w:w="857"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23.7</w:t>
            </w:r>
          </w:p>
        </w:tc>
        <w:tc>
          <w:tcPr>
            <w:tcW w:w="857"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22.2</w:t>
            </w:r>
          </w:p>
        </w:tc>
        <w:tc>
          <w:tcPr>
            <w:tcW w:w="857" w:type="pct"/>
            <w:tcBorders>
              <w:bottom w:val="single" w:sz="12" w:space="0" w:color="auto"/>
            </w:tcBorders>
          </w:tcPr>
          <w:p w:rsidR="00E96A0B" w:rsidRDefault="00E96A0B">
            <w:pPr>
              <w:spacing w:after="140"/>
              <w:jc w:val="right"/>
              <w:rPr>
                <w:rFonts w:hAnsi="SimSun" w:hint="eastAsia"/>
                <w:sz w:val="18"/>
              </w:rPr>
            </w:pPr>
            <w:r>
              <w:rPr>
                <w:rFonts w:hAnsi="SimSun" w:hint="eastAsia"/>
                <w:sz w:val="18"/>
              </w:rPr>
              <w:t>22.0</w:t>
            </w:r>
          </w:p>
        </w:tc>
      </w:tr>
    </w:tbl>
    <w:p w:rsidR="00E96A0B" w:rsidRDefault="00E96A0B">
      <w:pPr>
        <w:spacing w:line="120" w:lineRule="exact"/>
        <w:ind w:left="1264" w:right="1264"/>
        <w:jc w:val="both"/>
        <w:rPr>
          <w:rFonts w:ascii="Times New Roman" w:hint="eastAsia"/>
          <w:sz w:val="10"/>
          <w:vertAlign w:val="superscript"/>
        </w:rPr>
      </w:pPr>
    </w:p>
    <w:p w:rsidR="00E96A0B" w:rsidRDefault="00E96A0B">
      <w:pPr>
        <w:ind w:left="1264" w:right="1264"/>
        <w:jc w:val="both"/>
        <w:rPr>
          <w:rFonts w:ascii="Times New Roman" w:hint="eastAsia"/>
          <w:sz w:val="18"/>
        </w:rPr>
      </w:pPr>
      <w:r>
        <w:rPr>
          <w:rFonts w:ascii="Times New Roman" w:hint="eastAsia"/>
          <w:sz w:val="18"/>
          <w:vertAlign w:val="superscript"/>
        </w:rPr>
        <w:t>*</w:t>
      </w:r>
      <w:r>
        <w:rPr>
          <w:rFonts w:ascii="Times New Roman" w:hint="eastAsia"/>
          <w:sz w:val="18"/>
        </w:rPr>
        <w:t xml:space="preserve">  </w:t>
      </w:r>
      <w:r>
        <w:rPr>
          <w:rFonts w:ascii="Times New Roman" w:hint="eastAsia"/>
          <w:sz w:val="18"/>
        </w:rPr>
        <w:t>有义务教育和初中毕业证。</w:t>
      </w:r>
    </w:p>
    <w:p w:rsidR="00E96A0B" w:rsidRDefault="00E96A0B">
      <w:pPr>
        <w:spacing w:after="140"/>
        <w:ind w:left="1264" w:right="1264"/>
        <w:jc w:val="both"/>
        <w:rPr>
          <w:rFonts w:ascii="Times New Roman" w:hint="eastAsia"/>
          <w:sz w:val="18"/>
        </w:rPr>
      </w:pPr>
      <w:r>
        <w:rPr>
          <w:rFonts w:ascii="KaiTi_GB2312" w:eastAsia="KaiTi_GB2312" w:hint="eastAsia"/>
          <w:color w:val="0000FF"/>
          <w:sz w:val="18"/>
        </w:rPr>
        <w:t>资料来源</w:t>
      </w:r>
      <w:r>
        <w:rPr>
          <w:rFonts w:ascii="Times New Roman" w:hint="eastAsia"/>
          <w:sz w:val="18"/>
        </w:rPr>
        <w:t>：冰岛统计局。</w:t>
      </w:r>
    </w:p>
    <w:p w:rsidR="00E96A0B" w:rsidRDefault="00E96A0B" w:rsidP="004907F9">
      <w:pPr>
        <w:spacing w:after="140"/>
        <w:ind w:left="1264" w:right="1264" w:firstLineChars="200" w:firstLine="31680"/>
        <w:jc w:val="both"/>
        <w:rPr>
          <w:rFonts w:ascii="Times New Roman" w:hint="eastAsia"/>
        </w:rPr>
      </w:pPr>
      <w:r>
        <w:rPr>
          <w:rFonts w:ascii="Times New Roman"/>
        </w:rPr>
        <w:br w:type="page"/>
      </w:r>
      <w:r>
        <w:rPr>
          <w:rFonts w:ascii="Times New Roman" w:hint="eastAsia"/>
        </w:rPr>
        <w:t>从表</w:t>
      </w:r>
      <w:r>
        <w:rPr>
          <w:rFonts w:ascii="Times New Roman" w:hint="eastAsia"/>
        </w:rPr>
        <w:t>8</w:t>
      </w:r>
      <w:r>
        <w:rPr>
          <w:rFonts w:ascii="Times New Roman" w:hint="eastAsia"/>
        </w:rPr>
        <w:t>中可以看出，在各个服务行业中，妇女的人数多于男性，但男性在农业、渔业和制造业仍占大多数。</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妇女教育中心</w:t>
      </w:r>
    </w:p>
    <w:p w:rsidR="00E96A0B" w:rsidRDefault="00E96A0B" w:rsidP="004907F9">
      <w:pPr>
        <w:spacing w:after="140"/>
        <w:ind w:left="1264" w:right="1264" w:firstLineChars="200" w:firstLine="31680"/>
        <w:jc w:val="both"/>
        <w:rPr>
          <w:rFonts w:hAnsi="SimSun" w:hint="eastAsia"/>
        </w:rPr>
      </w:pPr>
      <w:r>
        <w:rPr>
          <w:rFonts w:hAnsi="SimSun" w:hint="eastAsia"/>
        </w:rPr>
        <w:t>阿库雷里妇女教育中心已参加了三个国际项目（一个斯堪的纳维亚/波罗的海项目，两个欧洲项目），对妇女教育中心的教员进行培训。因此，在冰岛农村地区（西部和西北部）又建立了两个类似的教育中心，另外两个农村教育中心（位于冰岛东北部和东部）将这种理念应用于为男女提供的其它课程。所有的妇女中心都显示出相似的结果。位于冰岛西部的终身学习中心目前正领导一项有关妇女教育中心的欧洲Grundtvig项目。该项目始于2003年6月在冰岛举办的一期欧洲研讨会。</w:t>
      </w:r>
    </w:p>
    <w:p w:rsidR="00E96A0B" w:rsidRDefault="00E96A0B" w:rsidP="004907F9">
      <w:pPr>
        <w:spacing w:after="140"/>
        <w:ind w:left="1264" w:right="1264" w:firstLineChars="200" w:firstLine="31680"/>
        <w:jc w:val="both"/>
        <w:rPr>
          <w:rFonts w:hAnsi="SimSun" w:hint="eastAsia"/>
        </w:rPr>
      </w:pPr>
      <w:r>
        <w:rPr>
          <w:rFonts w:hAnsi="SimSun" w:hint="eastAsia"/>
        </w:rPr>
        <w:t>阿库雷里妇女教育中心发表了有关其1994-2000年工作的评估报告。该评估包括了1925年至1984年间出生的203名妇女。参加课程学习之前，42％的妇女登记失业，20％没有工作但未登记，19％依靠残疾抚恤金生活，3％登记患病，16％从事一些零星的工作。</w:t>
      </w:r>
    </w:p>
    <w:p w:rsidR="00E96A0B" w:rsidRDefault="00E96A0B" w:rsidP="004907F9">
      <w:pPr>
        <w:spacing w:after="140"/>
        <w:ind w:left="1264" w:right="1264" w:firstLineChars="200" w:firstLine="31680"/>
        <w:jc w:val="both"/>
        <w:rPr>
          <w:rFonts w:hAnsi="SimSun" w:hint="eastAsia"/>
        </w:rPr>
      </w:pPr>
      <w:r>
        <w:rPr>
          <w:rFonts w:hAnsi="SimSun" w:hint="eastAsia"/>
        </w:rPr>
        <w:t>在学习结束1-5年后，55％找到了工作，5％在其他教育机构（如大学）中继续学习，9％没有工作但未登记，3％登记失业，1％退休，1％登记患病，26％依靠残疾抚恤金生活。</w:t>
      </w:r>
    </w:p>
    <w:p w:rsidR="00E96A0B" w:rsidRDefault="00E96A0B">
      <w:pPr>
        <w:spacing w:after="140" w:line="240" w:lineRule="auto"/>
        <w:ind w:left="1264" w:right="1264"/>
        <w:jc w:val="center"/>
        <w:rPr>
          <w:rFonts w:ascii="Times New Roman" w:hint="eastAsia"/>
        </w:rPr>
      </w:pPr>
      <w:r>
        <w:object w:dxaOrig="6645" w:dyaOrig="3750">
          <v:shape id="_x0000_i1025" type="#_x0000_t75" style="width:332.25pt;height:187.5pt" o:ole="">
            <v:imagedata r:id="rId16" o:title=""/>
          </v:shape>
          <o:OLEObject Type="Embed" ProgID="Excel.Chart.8" ShapeID="_x0000_i1025" DrawAspect="Content" ObjectID="_1395455821" r:id="rId17">
            <o:FieldCodes>\s</o:FieldCodes>
          </o:OLEObject>
        </w:object>
      </w:r>
    </w:p>
    <w:p w:rsidR="00E96A0B" w:rsidRDefault="00E96A0B" w:rsidP="004907F9">
      <w:pPr>
        <w:spacing w:after="140"/>
        <w:ind w:left="1264" w:right="1264" w:firstLineChars="200" w:firstLine="31680"/>
        <w:jc w:val="both"/>
        <w:rPr>
          <w:rFonts w:hAnsi="SimSun" w:hint="eastAsia"/>
        </w:rPr>
      </w:pPr>
      <w:r>
        <w:rPr>
          <w:rFonts w:hAnsi="SimSun" w:hint="eastAsia"/>
        </w:rPr>
        <w:t>83％的人认为她们的自尊心有了相当程度或显著的提高，75％的人认为她们在交流方面的能力显著增强，49％的人感到她们在劳动力市场中处于更有利的地位，88％的人认为课程全面增强了她们的生活能力。</w:t>
      </w:r>
    </w:p>
    <w:p w:rsidR="00E96A0B" w:rsidRDefault="00E96A0B" w:rsidP="004907F9">
      <w:pPr>
        <w:spacing w:after="140"/>
        <w:ind w:left="1264" w:right="1264" w:firstLineChars="200" w:firstLine="31680"/>
        <w:jc w:val="both"/>
        <w:rPr>
          <w:rFonts w:hAnsi="SimSun" w:hint="eastAsia"/>
        </w:rPr>
      </w:pPr>
      <w:r>
        <w:rPr>
          <w:rFonts w:hAnsi="SimSun" w:hint="eastAsia"/>
        </w:rPr>
        <w:t>冰岛西北部的妇女教育中心是农村妇女计划的一部分（见第14条），这些计划与前面所述的阿库雷里的相似，也说明政府为妇女教育中心花费所做的预算不到一年全部收回，是用省下来的失业津贴偿还的。</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入门课程</w:t>
      </w:r>
    </w:p>
    <w:p w:rsidR="00E96A0B" w:rsidRDefault="00E96A0B" w:rsidP="004907F9">
      <w:pPr>
        <w:spacing w:after="140"/>
        <w:ind w:left="1264" w:right="1264" w:firstLineChars="200" w:firstLine="31680"/>
        <w:jc w:val="both"/>
        <w:rPr>
          <w:rFonts w:hAnsi="SimSun" w:hint="eastAsia"/>
        </w:rPr>
      </w:pPr>
      <w:r>
        <w:rPr>
          <w:rFonts w:hAnsi="SimSun" w:hint="eastAsia"/>
        </w:rPr>
        <w:t>请参考冰岛的第三和第四次定期报告。</w:t>
      </w:r>
    </w:p>
    <w:p w:rsidR="00E96A0B" w:rsidRDefault="00E96A0B" w:rsidP="004907F9">
      <w:pPr>
        <w:spacing w:after="140"/>
        <w:ind w:left="1264" w:right="1264" w:firstLineChars="200" w:firstLine="31680"/>
        <w:jc w:val="both"/>
        <w:rPr>
          <w:rFonts w:ascii="Times New Roman" w:hint="eastAsia"/>
        </w:rPr>
      </w:pPr>
      <w:r>
        <w:rPr>
          <w:rFonts w:hAnsi="SimSun" w:hint="eastAsia"/>
        </w:rPr>
        <w:t>还未对入门课程进行正式评估，但是总体印象是，入门课程是成功的。第一年的参加者是两个小组，每组24名妇女。2000年，参加者也是两个小组，每组23名妇女。该项目的间接成果之一就是成立了企业妇女联合会。</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工作评价</w:t>
      </w:r>
    </w:p>
    <w:p w:rsidR="00E96A0B" w:rsidRDefault="00E96A0B" w:rsidP="004907F9">
      <w:pPr>
        <w:spacing w:after="140"/>
        <w:ind w:leftChars="602" w:left="31680" w:right="1264" w:firstLineChars="200" w:firstLine="31680"/>
        <w:jc w:val="both"/>
        <w:rPr>
          <w:rFonts w:hAnsi="SimSun" w:hint="eastAsia"/>
        </w:rPr>
      </w:pPr>
      <w:r>
        <w:rPr>
          <w:rFonts w:hAnsi="SimSun" w:hint="eastAsia"/>
        </w:rPr>
        <w:t>社会事务部与一个工作组合作，开展了一项工作评价的试点项目。该项目的主要目标是，以男女平等的方式对工作进行分类，旨在缩小男女报酬的差距。雇佣了一个人主持该项目，原平等地位局和雷克雅未克市提供工作人员。该项目是在公共部门（即政府和市政部门）展开的。</w:t>
      </w:r>
    </w:p>
    <w:p w:rsidR="00E96A0B" w:rsidRDefault="00E96A0B" w:rsidP="004907F9">
      <w:pPr>
        <w:spacing w:after="140"/>
        <w:ind w:leftChars="602" w:left="31680" w:right="1264" w:firstLineChars="200" w:firstLine="31680"/>
        <w:jc w:val="both"/>
        <w:rPr>
          <w:rFonts w:hAnsi="SimSun" w:hint="eastAsia"/>
        </w:rPr>
      </w:pPr>
      <w:r>
        <w:rPr>
          <w:rFonts w:hAnsi="SimSun" w:hint="eastAsia"/>
        </w:rPr>
        <w:t>在工作期限结束之前，该工作组就解散了。组长的报告于1998年春出版，但整个工作组并没有参与。该报告分为三个部分。第一部分详细叙述了该实验项目、它的准备工作和执行情况以及根据工作评价得出的工作排序。第二部分是本报告的附录一，说明了主要的结果，并从试验项目中得出了结论。第三部分包括有关工作评价的指导以及工作评价体系必须满足的主要要求（见附录二）。</w:t>
      </w:r>
    </w:p>
    <w:p w:rsidR="00E96A0B" w:rsidRDefault="00E96A0B" w:rsidP="004907F9">
      <w:pPr>
        <w:spacing w:after="140"/>
        <w:ind w:leftChars="602" w:left="31680" w:right="1264" w:firstLineChars="200" w:firstLine="31680"/>
        <w:jc w:val="both"/>
        <w:rPr>
          <w:rFonts w:hAnsi="SimSun" w:hint="eastAsia"/>
        </w:rPr>
      </w:pPr>
      <w:r>
        <w:rPr>
          <w:rFonts w:hAnsi="SimSun" w:hint="eastAsia"/>
        </w:rPr>
        <w:t>该项目的目的是做一次调查，看工作评价是否是减少男女工资差距的一个有用工具。组长的结论是，工作评价是以更科学的方法为基础的，而不是以决定工资时所普遍采取的方法为依据。工作评价能使人们对不同工作的内容和价值进行比较，因此是应用《两性平等法》规定的一个重要手段，因为该法规定，对于相同的、具有同等价值的工作，男女应该得到同等的工资。但是，将工作评价用于消除男女工资差距的前提条件就是，在各个实施阶段都要把两性平等作为指导原则。</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上述实验项目的结果是，雷克雅未克和冰岛地方政府联盟一直致力于开发一种男女平等的工作评价方法，该方法参照了一个英国模式。已经与</w:t>
      </w:r>
      <w:r>
        <w:rPr>
          <w:rFonts w:ascii="Times New Roman" w:hint="eastAsia"/>
        </w:rPr>
        <w:t>50</w:t>
      </w:r>
      <w:r>
        <w:rPr>
          <w:rFonts w:ascii="Times New Roman" w:hint="eastAsia"/>
        </w:rPr>
        <w:t>多家各级工会就该方法的使用签订了合同，该工作评价方法从</w:t>
      </w:r>
      <w:r>
        <w:rPr>
          <w:rFonts w:ascii="Times New Roman" w:hint="eastAsia"/>
        </w:rPr>
        <w:t>2003</w:t>
      </w:r>
      <w:r>
        <w:rPr>
          <w:rFonts w:ascii="Times New Roman" w:hint="eastAsia"/>
        </w:rPr>
        <w:t>年起生效。</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非全日制工作</w:t>
      </w:r>
    </w:p>
    <w:p w:rsidR="00E96A0B" w:rsidRDefault="00E96A0B" w:rsidP="004907F9">
      <w:pPr>
        <w:spacing w:after="140"/>
        <w:ind w:left="1264" w:right="1264" w:firstLineChars="200" w:firstLine="31680"/>
        <w:jc w:val="both"/>
        <w:rPr>
          <w:rFonts w:hAnsi="SimSun"/>
        </w:rPr>
      </w:pPr>
      <w:r>
        <w:rPr>
          <w:rFonts w:ascii="Times New Roman" w:hint="eastAsia"/>
        </w:rPr>
        <w:t>在冰岛，与男性相比，更多的妇女从事非全日制工作。根据社会合作组织之间的集体协议，非全日制工人按工作比例来说，享有一切普通权利，如资历、晋升、社会保障和事故补贴等。实际上，这也是欧盟关于非全日制工作框架协议的</w:t>
      </w:r>
      <w:r>
        <w:rPr>
          <w:rFonts w:hAnsi="SimSun" w:hint="eastAsia"/>
        </w:rPr>
        <w:t>一项指示，即第97/81号指示，该指示是1998年10月30日欧洲经济区协定的一部分。</w:t>
      </w:r>
    </w:p>
    <w:p w:rsidR="00E96A0B" w:rsidRDefault="00E96A0B" w:rsidP="004907F9">
      <w:pPr>
        <w:spacing w:after="140"/>
        <w:ind w:left="1264" w:right="1264" w:firstLineChars="200" w:firstLine="31680"/>
        <w:jc w:val="both"/>
        <w:rPr>
          <w:rFonts w:hAnsi="SimSun" w:hint="eastAsia"/>
        </w:rPr>
      </w:pPr>
      <w:r>
        <w:rPr>
          <w:rFonts w:hAnsi="SimSun" w:hint="eastAsia"/>
        </w:rPr>
        <w:t>冰岛政府不完全清楚妇女比男性更愿意从事非全日制工作的原因，但很明显，冰岛的经济高度依赖于妇女的贡献，近年来失业率保持在很低的水平。另外，地方政府已经尽了很大努力为大多数2-5岁儿童提供托儿所，还有一些地方政府让更小的孩子入托。在大部分当地政府所在地区，有很多日间保育员；她们照看六个月到两岁的孩子，直到孩子能够入托。</w:t>
      </w:r>
    </w:p>
    <w:p w:rsidR="00E96A0B" w:rsidRDefault="00E96A0B" w:rsidP="004907F9">
      <w:pPr>
        <w:spacing w:after="140"/>
        <w:ind w:left="1264" w:right="1264" w:firstLineChars="200" w:firstLine="31680"/>
        <w:jc w:val="both"/>
        <w:rPr>
          <w:rFonts w:hAnsi="SimSun" w:hint="eastAsia"/>
        </w:rPr>
      </w:pPr>
      <w:r>
        <w:rPr>
          <w:rFonts w:hAnsi="SimSun" w:hint="eastAsia"/>
        </w:rPr>
        <w:t>另外，《两性平等法》载有兼顾家庭和职业义务的规定；这是为了满足妇女被接纳为劳动力中全职成员的需要，也是为了满足男性在家庭中发挥更大作用的需要（另见第2款（a）项和（b）项。</w:t>
      </w:r>
    </w:p>
    <w:p w:rsidR="00E96A0B" w:rsidRDefault="00E96A0B" w:rsidP="004907F9">
      <w:pPr>
        <w:spacing w:after="140"/>
        <w:ind w:left="1264" w:right="1264" w:firstLineChars="200" w:firstLine="31680"/>
        <w:jc w:val="both"/>
        <w:rPr>
          <w:rFonts w:ascii="Times New Roman" w:hint="eastAsia"/>
        </w:rPr>
      </w:pPr>
      <w:r>
        <w:rPr>
          <w:rFonts w:hAnsi="SimSun" w:hint="eastAsia"/>
        </w:rPr>
        <w:t>经修订的男女平等行动纲领的有效期至2004年，根据该行动纲领，劳工联合会被授权与冰岛统计局合作，对男女所从事非全日制就业和工作的重要性做一项调查，这些非全日制工作或职业没有长期的合同，也没有正式的工作场所。</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第1款（d）项</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相同的报酬</w:t>
      </w:r>
    </w:p>
    <w:p w:rsidR="00E96A0B" w:rsidRDefault="00E96A0B" w:rsidP="004907F9">
      <w:pPr>
        <w:spacing w:after="140"/>
        <w:ind w:left="1264" w:right="1264" w:firstLineChars="200" w:firstLine="31680"/>
        <w:jc w:val="both"/>
        <w:rPr>
          <w:rFonts w:hAnsi="SimSun" w:hint="eastAsia"/>
        </w:rPr>
      </w:pPr>
      <w:r>
        <w:rPr>
          <w:rFonts w:hAnsi="SimSun" w:hint="eastAsia"/>
        </w:rPr>
        <w:t>根据2000年的《两性平等法》第14条，为同一雇主工作的男女，如果工作性质和价值相当，就应该得到相同的报酬，享受同等的工作条件。该规定定义并解释了“相同的报酬”，并且声明，“条件”是指除工资外，还包括养恤金领取权、休假和病假权以及就业中的其他条件和可以用金钱评价的权利。</w:t>
      </w:r>
    </w:p>
    <w:p w:rsidR="00E96A0B" w:rsidRDefault="00E96A0B" w:rsidP="004907F9">
      <w:pPr>
        <w:spacing w:after="140"/>
        <w:ind w:leftChars="602" w:left="31680" w:right="1264" w:firstLineChars="200" w:firstLine="31680"/>
        <w:jc w:val="both"/>
        <w:rPr>
          <w:rFonts w:hAnsi="SimSun" w:hint="eastAsia"/>
        </w:rPr>
      </w:pPr>
      <w:r>
        <w:rPr>
          <w:rFonts w:hAnsi="SimSun" w:hint="eastAsia"/>
        </w:rPr>
        <w:t>根据该法的第23条，不允许工作条件上的歧视；雇主不得在所付报酬或其他条件方面有性别歧视。为同一雇主做相同而且价值相当工作的男女，如果得到的报酬不同，雇主须证明这种差别是因为其他因素，而不是雇员的性别造成的。</w:t>
      </w:r>
    </w:p>
    <w:p w:rsidR="00E96A0B" w:rsidRDefault="00E96A0B" w:rsidP="004907F9">
      <w:pPr>
        <w:spacing w:after="140"/>
        <w:ind w:leftChars="602" w:left="31680" w:right="1264" w:firstLineChars="200" w:firstLine="31680"/>
        <w:jc w:val="both"/>
        <w:rPr>
          <w:rFonts w:hAnsi="SimSun" w:hint="eastAsia"/>
        </w:rPr>
      </w:pPr>
      <w:r>
        <w:rPr>
          <w:rFonts w:hAnsi="SimSun" w:hint="eastAsia"/>
        </w:rPr>
        <w:t>1995年作了一项不同寻常的调查，调查了八家私营公司和公共机构内部的工资组成和男女报酬的差别。一些地方政府对它们的雇员作了相应的调查；这些调查证明男女之间存在7%-16％的报酬差距，这些数字只是指那些不能公正地进行解释的差别。</w:t>
      </w:r>
    </w:p>
    <w:p w:rsidR="00E96A0B" w:rsidRDefault="00E96A0B" w:rsidP="004907F9">
      <w:pPr>
        <w:spacing w:after="140"/>
        <w:ind w:leftChars="602" w:left="31680" w:right="1264" w:firstLineChars="200" w:firstLine="31680"/>
        <w:jc w:val="both"/>
        <w:rPr>
          <w:rFonts w:hAnsi="SimSun" w:hint="eastAsia"/>
        </w:rPr>
      </w:pPr>
      <w:r>
        <w:rPr>
          <w:rFonts w:hAnsi="SimSun" w:hint="eastAsia"/>
        </w:rPr>
        <w:t>1995年男女平等理事会的调查公布以来，报纸也开展了很多讨论和报道。1997年在协商集体协议时，男女报酬平等是讨论的主要问题之一。</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雷克雅未克商业工会的调查</w:t>
      </w:r>
    </w:p>
    <w:p w:rsidR="00E96A0B" w:rsidRDefault="00E96A0B" w:rsidP="004907F9">
      <w:pPr>
        <w:spacing w:after="140"/>
        <w:ind w:leftChars="602" w:left="31680" w:right="1264" w:firstLineChars="200" w:firstLine="31680"/>
        <w:jc w:val="both"/>
        <w:rPr>
          <w:rFonts w:hAnsi="SimSun" w:hint="eastAsia"/>
        </w:rPr>
      </w:pPr>
      <w:r>
        <w:rPr>
          <w:rFonts w:hAnsi="SimSun" w:hint="eastAsia"/>
        </w:rPr>
        <w:t>雷克雅未克商业工会是首都地区最大的工会之一，它的成员大部分是妇女。该工会对男女之间的工资差距进行定期调查，并对此问题进行激烈的讨论。1991年，该工会在媒体上开展了一项广泛的宣传运动，突出了男女之间的报酬歧视问题。</w:t>
      </w:r>
    </w:p>
    <w:p w:rsidR="00E96A0B" w:rsidRDefault="00E96A0B" w:rsidP="004907F9">
      <w:pPr>
        <w:spacing w:after="140"/>
        <w:ind w:leftChars="602" w:left="31680" w:right="1264" w:firstLineChars="200" w:firstLine="31680"/>
        <w:jc w:val="both"/>
        <w:rPr>
          <w:rFonts w:hAnsi="SimSun" w:hint="eastAsia"/>
        </w:rPr>
      </w:pPr>
      <w:r>
        <w:rPr>
          <w:rFonts w:hAnsi="SimSun" w:hint="eastAsia"/>
        </w:rPr>
        <w:t>2001年10月该工会的一项调查结果表明，男性的工资总体上比妇女的工资高24.5％，如果把不同的工作领域、不同的工作时间、资历和年龄考虑在内，仍然有16％的工资差距。根据此调查，男性的日工资高出18.3％。如果把一切都考虑在内，还是有16％的差距。2000年该工会的一项调查表明，男女工资差别为18％。</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男子平等理事会和妇女经济状况委员会的调查研究</w:t>
      </w:r>
    </w:p>
    <w:p w:rsidR="00E96A0B" w:rsidRDefault="00E96A0B" w:rsidP="004907F9">
      <w:pPr>
        <w:spacing w:after="140"/>
        <w:ind w:leftChars="602" w:left="31680" w:right="1264" w:firstLineChars="200" w:firstLine="31680"/>
        <w:jc w:val="both"/>
        <w:rPr>
          <w:rFonts w:hAnsi="SimSun" w:hint="eastAsia"/>
        </w:rPr>
      </w:pPr>
      <w:r>
        <w:rPr>
          <w:rFonts w:hAnsi="SimSun" w:hint="eastAsia"/>
        </w:rPr>
        <w:t>男女平等理事会和妇女经济状况委员会于2002年9月对男女工资差别进行了调查研究，该调查包括整个冰岛的劳动力市场，银行、国家政府和雷克雅未克市除外。该调查表明，妇女的工资是男性工资的70％。该工资差距的三分之二可以解释为工作领域、工作性质、教育程度和就业条件的不同。剩下的大约7.5-11%的工资差距是因为结婚、生孩子和其他因素，而这些因素对男女的工资产生了不同的影响。根据该调查，还有3％的差距无法解释。</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大学毕业生联合会所做的调查</w:t>
      </w:r>
    </w:p>
    <w:p w:rsidR="00E96A0B" w:rsidRDefault="00E96A0B" w:rsidP="004907F9">
      <w:pPr>
        <w:spacing w:after="140"/>
        <w:ind w:leftChars="602" w:left="31680" w:right="1264" w:firstLineChars="200" w:firstLine="31680"/>
        <w:jc w:val="both"/>
        <w:rPr>
          <w:rFonts w:hAnsi="SimSun" w:hint="eastAsia"/>
        </w:rPr>
      </w:pPr>
      <w:r>
        <w:rPr>
          <w:rFonts w:hAnsi="SimSun" w:hint="eastAsia"/>
        </w:rPr>
        <w:t>大学毕业生联合会（BHM）和其他工会已经公布了一些有关其会员的工资、工资趋势的数字，还试图评估集体协议对男女报酬差别的影响。联合会于2000年春天举行了一次有关工资和条件的会议，会上公布了日间工资率的调查结果，该结果显示，男性日间工资比妇女的日间工资高5.6％。</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努力消除男女工资差别</w:t>
      </w:r>
    </w:p>
    <w:p w:rsidR="00E96A0B" w:rsidRDefault="00E96A0B" w:rsidP="004907F9">
      <w:pPr>
        <w:spacing w:after="140"/>
        <w:ind w:leftChars="602" w:left="31680" w:right="1264" w:firstLineChars="200" w:firstLine="31680"/>
        <w:jc w:val="both"/>
        <w:rPr>
          <w:rFonts w:hAnsi="SimSun" w:hint="eastAsia"/>
        </w:rPr>
      </w:pPr>
      <w:r>
        <w:rPr>
          <w:rFonts w:hAnsi="SimSun" w:hint="eastAsia"/>
        </w:rPr>
        <w:t>冰岛大学妇女研究中心代表男妇平等理事会于2002年参加了欧洲的一个关于男女工资差别的项目，项目名称为“努力消除男女工资差别”。结果显示，根据公共部门劳动力市场研究所的信息，冰岛公共劳动力市场的男女工资差别为24%，而私营部门为27.4%。在该项目中，冰岛遇到的困难是缺少基本信息，所以很难获得关于冰岛公共和私营部门所有雇员的分工统计数字。</w:t>
      </w:r>
    </w:p>
    <w:p w:rsidR="00E96A0B" w:rsidRDefault="00E96A0B" w:rsidP="004907F9">
      <w:pPr>
        <w:spacing w:after="140"/>
        <w:ind w:leftChars="602" w:left="31680" w:right="1264" w:firstLineChars="200" w:firstLine="31680"/>
        <w:jc w:val="both"/>
        <w:rPr>
          <w:rFonts w:hAnsi="SimSun" w:hint="eastAsia"/>
        </w:rPr>
      </w:pPr>
      <w:r>
        <w:rPr>
          <w:rFonts w:hAnsi="SimSun" w:hint="eastAsia"/>
        </w:rPr>
        <w:t>2002年春天，雷克雅未克市公布了一项新的调查，调查显示，雇员中男女工资差距已经下降了50％，当时男性工资高出大约7％。</w:t>
      </w:r>
    </w:p>
    <w:p w:rsidR="00E96A0B" w:rsidRDefault="00E96A0B" w:rsidP="004907F9">
      <w:pPr>
        <w:spacing w:after="140"/>
        <w:ind w:leftChars="602" w:left="31680" w:right="1264" w:firstLineChars="200" w:firstLine="31680"/>
        <w:jc w:val="both"/>
        <w:rPr>
          <w:rFonts w:hAnsi="SimSun" w:hint="eastAsia"/>
        </w:rPr>
      </w:pPr>
      <w:r>
        <w:rPr>
          <w:rFonts w:hAnsi="SimSun" w:hint="eastAsia"/>
        </w:rPr>
        <w:t>冰岛政府的目标是找到避免工资问题上性别歧视的方法。对关于《产假、陪产假和育儿假法》，特别是改变劳动力市场与性别有关的分工状况的期望值，形成了普遍一致意见。如果认为，男女工资差别和妇女在企业管理的高层比例很少，至少部分是因为她们对家庭和子女的义务造成的，那么，该法就应该试图创造一种更平等的状况。统计数字显示，父亲也要休陪产假。另外，人们希望《两性平等法》能把男女的就业要求和家庭义务结合起来，该意见也得到了参考。</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平等地位理事会也被授权界定这一问题并向政府提出建议，以结束这样的状况。</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第1款（e）项</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消除对妇女歧视委员会已经对冰岛养恤金基金制度进行了批评，因为该委员会认为，该制度对妇女更为不利，下面是对养恤金基金制度的全面说明：</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冰岛有三种养恤金方案：国家养恤金方案，职业养恤金方案，即备有充分资金的方案，和补充养恤金方案。</w:t>
      </w:r>
    </w:p>
    <w:p w:rsidR="00E96A0B" w:rsidRDefault="00E96A0B" w:rsidP="004907F9">
      <w:pPr>
        <w:spacing w:after="140"/>
        <w:ind w:leftChars="602" w:left="31680" w:right="1264" w:firstLineChars="200" w:firstLine="31680"/>
        <w:jc w:val="both"/>
        <w:rPr>
          <w:rFonts w:hAnsi="SimSun" w:hint="eastAsia"/>
        </w:rPr>
      </w:pPr>
      <w:r>
        <w:rPr>
          <w:rFonts w:ascii="KaiTi_GB2312" w:eastAsia="KaiTi_GB2312" w:hint="eastAsia"/>
          <w:color w:val="0000FF"/>
        </w:rPr>
        <w:t>国家养恤金方案</w:t>
      </w:r>
      <w:r>
        <w:rPr>
          <w:rFonts w:ascii="Times New Roman" w:hint="eastAsia"/>
        </w:rPr>
        <w:t>包括养老金、病残养恤金和遗属养恤金即子女养恤金。有关</w:t>
      </w:r>
      <w:r>
        <w:rPr>
          <w:rFonts w:hAnsi="SimSun" w:hint="eastAsia"/>
        </w:rPr>
        <w:t>立法是第117/1993号《社会保障法》及以后的修正案。</w:t>
      </w:r>
    </w:p>
    <w:p w:rsidR="00E96A0B" w:rsidRDefault="00E96A0B" w:rsidP="004907F9">
      <w:pPr>
        <w:spacing w:after="140"/>
        <w:ind w:leftChars="602" w:left="31680" w:right="1264" w:firstLineChars="200" w:firstLine="31680"/>
        <w:jc w:val="both"/>
        <w:rPr>
          <w:rFonts w:hAnsi="SimSun" w:hint="eastAsia"/>
        </w:rPr>
      </w:pPr>
      <w:r>
        <w:rPr>
          <w:rFonts w:hAnsi="SimSun" w:hint="eastAsia"/>
        </w:rPr>
        <w:t>年满67岁的人，如果16-67岁之间至少在冰岛住过3年，有资格享受养老金。16-66岁期间在冰岛至少住了40年的人，可得到全额年养老金。居住时间越短，养老金也相应减少。</w:t>
      </w:r>
    </w:p>
    <w:p w:rsidR="00E96A0B" w:rsidRDefault="00E96A0B" w:rsidP="004907F9">
      <w:pPr>
        <w:spacing w:after="140"/>
        <w:ind w:leftChars="602" w:left="31680" w:right="1264" w:firstLineChars="200" w:firstLine="31680"/>
        <w:jc w:val="both"/>
        <w:rPr>
          <w:rFonts w:hAnsi="SimSun" w:hint="eastAsia"/>
        </w:rPr>
      </w:pPr>
      <w:r>
        <w:rPr>
          <w:rFonts w:hAnsi="SimSun" w:hint="eastAsia"/>
        </w:rPr>
        <w:t>居住在冰岛的人，如果年龄介于16-67岁之间，在申请之前至少已在冰岛居住了3年，而且因为医学公认的疾病或伤残而估定其永久残疾程度为75％者，有资格领取病残养恤金。</w:t>
      </w:r>
    </w:p>
    <w:p w:rsidR="00E96A0B" w:rsidRDefault="00E96A0B" w:rsidP="004907F9">
      <w:pPr>
        <w:spacing w:after="140"/>
        <w:ind w:leftChars="602" w:left="31680" w:right="1264" w:firstLineChars="200" w:firstLine="31680"/>
        <w:jc w:val="both"/>
        <w:rPr>
          <w:rFonts w:hAnsi="SimSun" w:hint="eastAsia"/>
        </w:rPr>
      </w:pPr>
      <w:r>
        <w:rPr>
          <w:rFonts w:hAnsi="SimSun" w:hint="eastAsia"/>
        </w:rPr>
        <w:t>未满18岁的子女，如果父母一方死亡或领取病残养恤金，则可以领受子女养恤金。</w:t>
      </w:r>
    </w:p>
    <w:p w:rsidR="00E96A0B" w:rsidRDefault="00E96A0B" w:rsidP="004907F9">
      <w:pPr>
        <w:spacing w:after="140"/>
        <w:ind w:leftChars="602" w:left="31680" w:right="1264" w:firstLineChars="200" w:firstLine="31680"/>
        <w:jc w:val="both"/>
        <w:rPr>
          <w:rFonts w:hAnsi="SimSun" w:hint="eastAsia"/>
        </w:rPr>
      </w:pPr>
      <w:r>
        <w:rPr>
          <w:rFonts w:hAnsi="SimSun" w:hint="eastAsia"/>
        </w:rPr>
        <w:t>追加养恤金保障对只有基本养恤金而没有或少有其他收入的领取养恤金者追加老年和病残养恤金。此外，根据第118/1993号《社会援助法》及以后的修正案，也向只有社会保障养恤金而没有或少有其他收入的领取养恤金的单身支付一种额外追加养恤金。再者，还可能有一种经过经济状况调查后发放的住户补贴，付给领取全额追加养恤金、独自生活而得不到他人经济支助的单身。</w:t>
      </w:r>
    </w:p>
    <w:p w:rsidR="00E96A0B" w:rsidRDefault="00E96A0B" w:rsidP="004907F9">
      <w:pPr>
        <w:spacing w:after="140"/>
        <w:ind w:leftChars="602" w:left="31680" w:right="1264" w:firstLineChars="200" w:firstLine="31680"/>
        <w:jc w:val="both"/>
        <w:rPr>
          <w:rFonts w:hAnsi="SimSun" w:hint="eastAsia"/>
        </w:rPr>
      </w:pPr>
      <w:r>
        <w:rPr>
          <w:rFonts w:ascii="KaiTi_GB2312" w:eastAsia="KaiTi_GB2312" w:hint="eastAsia"/>
          <w:color w:val="0000FF"/>
        </w:rPr>
        <w:t>职业养恤金方案</w:t>
      </w:r>
      <w:r>
        <w:rPr>
          <w:rFonts w:ascii="Times New Roman" w:hint="eastAsia"/>
        </w:rPr>
        <w:t>是备有充分</w:t>
      </w:r>
      <w:r>
        <w:rPr>
          <w:rFonts w:hAnsi="SimSun" w:hint="eastAsia"/>
        </w:rPr>
        <w:t>资金的方案，受第129/1997号《养恤金权利强制性保险和养恤金基金活动法》（《养恤金法》）的约束。根据该法，所有雇员和雇主以及自营职业者从16岁到70岁有义务通过加入职业养恤金基金保障自己的养恤金权利。所有的应征税的工资都要向该基金交纳保险费。交给基金的保险费不得少于工资总额的10％，雇主交6％，雇员交4％。养恤金基金成员身份取决于社会合作组织之间不同的集体协议。</w:t>
      </w:r>
    </w:p>
    <w:p w:rsidR="00E96A0B" w:rsidRDefault="00E96A0B" w:rsidP="004907F9">
      <w:pPr>
        <w:spacing w:after="140"/>
        <w:ind w:leftChars="602" w:left="31680" w:right="1264" w:firstLineChars="200" w:firstLine="31680"/>
        <w:jc w:val="both"/>
        <w:rPr>
          <w:rFonts w:hAnsi="SimSun" w:hint="eastAsia"/>
        </w:rPr>
      </w:pPr>
      <w:r>
        <w:rPr>
          <w:rFonts w:hAnsi="SimSun" w:hint="eastAsia"/>
        </w:rPr>
        <w:t>根据一般集体协议或法律必须加入的养恤金基金的委员会由雇主和雇员相同人数的代表组成。其他养恤金基金委员会则按有关基金的章程构成。</w:t>
      </w:r>
    </w:p>
    <w:p w:rsidR="00E96A0B" w:rsidRDefault="00E96A0B" w:rsidP="004907F9">
      <w:pPr>
        <w:spacing w:after="140"/>
        <w:ind w:leftChars="602" w:left="31680" w:right="1264" w:firstLineChars="200" w:firstLine="31680"/>
        <w:jc w:val="both"/>
        <w:rPr>
          <w:rFonts w:ascii="Times New Roman" w:hint="eastAsia"/>
        </w:rPr>
      </w:pPr>
      <w:r>
        <w:rPr>
          <w:rFonts w:hAnsi="SimSun" w:hint="eastAsia"/>
        </w:rPr>
        <w:t>作为交给基金的保险费的回报，职业养恤金方案中的成员根据情况有权领取养老金、病残养恤金和死者配偶和/或子女养恤金。这些权利与《养恤金法》一致。根据该法的第4条第1款，交纳了40年保险金的人，基金会支付的最低月养老金应该是支付保险费时月工资的56％，该养老金在70岁前开始支付，而且是终生的。支付的最低月病残养恤金也应该是支付保险费时月工资的56％，并有权根据养恤金调整而作相应的调整。另外，支付给死者配偶和子女的最低保险赔偿金在所有的基金成员中都是平等的。养恤金基金的章程将对权益获得做进一步的规定，可以领取养老金的成员年龄一般是65到67岁。</w:t>
      </w:r>
    </w:p>
    <w:p w:rsidR="00E96A0B" w:rsidRDefault="00E96A0B" w:rsidP="004907F9">
      <w:pPr>
        <w:spacing w:after="140"/>
        <w:ind w:left="1264" w:right="1264" w:firstLineChars="200" w:firstLine="31680"/>
        <w:jc w:val="both"/>
        <w:rPr>
          <w:rFonts w:ascii="Times New Roman" w:hint="eastAsia"/>
        </w:rPr>
      </w:pPr>
      <w:r>
        <w:rPr>
          <w:rFonts w:ascii="KaiTi_GB2312" w:eastAsia="KaiTi_GB2312" w:hint="eastAsia"/>
          <w:color w:val="0000FF"/>
        </w:rPr>
        <w:t>补充养恤金方案：</w:t>
      </w:r>
      <w:r>
        <w:rPr>
          <w:rFonts w:hAnsi="SimSun" w:hint="eastAsia"/>
        </w:rPr>
        <w:t>根据第129/1997号《养恤金法》，工资领取者和雇主或自营职业者可以与商业银行、人寿保险公司、证券经纪人或养恤金基金签订额外保险协议，以向集体或个人养恤金组织交付的保险金为基准。</w:t>
      </w:r>
    </w:p>
    <w:p w:rsidR="00E96A0B" w:rsidRDefault="00E96A0B" w:rsidP="004907F9">
      <w:pPr>
        <w:spacing w:after="140"/>
        <w:ind w:leftChars="602" w:left="31680" w:right="1264" w:firstLineChars="200" w:firstLine="31680"/>
        <w:jc w:val="both"/>
        <w:rPr>
          <w:rFonts w:hAnsi="SimSun" w:hint="eastAsia"/>
        </w:rPr>
      </w:pPr>
      <w:r>
        <w:rPr>
          <w:rFonts w:hAnsi="SimSun" w:hint="eastAsia"/>
        </w:rPr>
        <w:t>2000年私营部门的集体协议为工资领取者的特别私人和补充养恤金的储蓄奠定了基础。这些协议规定，如果工资领取者要求签订关于补充养恤金储蓄协议，雇主应该发放特别的补贴。领取工资者的补充养恤金储蓄是他们的私有财产，如何处理这些储蓄比起如何处理一般养恤金储蓄的规定要自由。雇主给付的钱数取决于领取工资者决定存入补充储蓄的金额。根据大多数集体协议，雇主交纳的钱数是工资的2％，而雇员本人也要付2％。另外，如果雇员决定交纳补充储蓄，那么雇主有义务给付一定的数额（根据第113/1990号《社会保障税法》可以从社会保障税中扣除）。强制性给付的数额是工资领取者整个保险金的10％，但不超过社会保障税计算底数，即雇主支付给雇员的全部工资的0.4％。这样，把工资的2％存入补充养恤金储蓄方案的工资领取者从雇主那儿获得2.2%补贴，存入3%的获得2.3%，存入4％的获得2.4%（最大数）。</w:t>
      </w:r>
    </w:p>
    <w:p w:rsidR="00E96A0B" w:rsidRDefault="00E96A0B" w:rsidP="004907F9">
      <w:pPr>
        <w:spacing w:after="140"/>
        <w:ind w:left="1264" w:right="1264" w:firstLineChars="200" w:firstLine="31680"/>
        <w:jc w:val="both"/>
        <w:rPr>
          <w:rFonts w:hAnsi="SimSun" w:hint="eastAsia"/>
        </w:rPr>
      </w:pPr>
      <w:r>
        <w:rPr>
          <w:rFonts w:hAnsi="SimSun" w:hint="eastAsia"/>
        </w:rPr>
        <w:t>第86/2000号法对第75/1981号《收入和财产税法》加以了修正，该法规定工资领取者从需纳税的收入中扣除4％的补充养恤金储蓄。该规定也适用于自营职业者和雇主。</w:t>
      </w:r>
    </w:p>
    <w:p w:rsidR="00E96A0B" w:rsidRDefault="00E96A0B" w:rsidP="004907F9">
      <w:pPr>
        <w:spacing w:after="140"/>
        <w:ind w:left="1264" w:right="1264" w:firstLineChars="200" w:firstLine="31680"/>
        <w:jc w:val="both"/>
        <w:rPr>
          <w:rFonts w:hAnsi="SimSun" w:hint="eastAsia"/>
        </w:rPr>
      </w:pPr>
      <w:r>
        <w:rPr>
          <w:rFonts w:hAnsi="SimSun" w:hint="eastAsia"/>
        </w:rPr>
        <w:t>该委员会大概指的是该制度一方面依赖于雇员交纳的金额，另一方面依赖于雇主交纳的金额，这要看雇员的工资和雇员工作的时间长短。该制度中，劳动力市场的每个人都有义务把自己工资的4％存入集体所有的养恤金基金，还从雇主那里得到6％的补贴。另外，工资领取者可以选择付一定的补充保险金，数额不限，而且这是他/她的私有财产。这样，男女都可以通过参与劳动力市场获得领取养老金的权利，方式是自己的保险金和雇主给付的保险金。</w:t>
      </w:r>
    </w:p>
    <w:p w:rsidR="00E96A0B" w:rsidRDefault="00E96A0B" w:rsidP="004907F9">
      <w:pPr>
        <w:spacing w:after="140"/>
        <w:ind w:left="1264" w:right="1264" w:firstLineChars="200" w:firstLine="31680"/>
        <w:jc w:val="both"/>
        <w:rPr>
          <w:rFonts w:hAnsi="SimSun" w:hint="eastAsia"/>
        </w:rPr>
      </w:pPr>
      <w:r>
        <w:rPr>
          <w:rFonts w:hAnsi="SimSun" w:hint="eastAsia"/>
        </w:rPr>
        <w:t>另一方面很明显，个人参与劳动力市场的情况不同，主要因素之一就是妇女在家庭中和育儿的传统角色。为弥补这一点，在社会保障体系中建立了养老金制度，保障人们养恤金和养恤补充金的最低限额，那些很少或没有一般养恤金的人们都可获得这一最低金额。也不应忘记，妇女参与劳动力市场的趋势发展迅速，因此已经采取措施平衡男女在家庭中的责任（比如，《产假、陪产假和育儿假法》），这是一个相对较新的制度，还未能获得广泛的经验，但越来越多的老年人在获得更好的养恤金权利。在这种情况下，也应参考一下判例法的一些先例。这些案例是关于离婚夫妇的养恤金领取权的，有些案例中，配偶一方在婚姻或同居过程中主要是呆在家中（见第2条下的讨论）。</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第1款（f）项</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性骚扰</w:t>
      </w:r>
    </w:p>
    <w:p w:rsidR="00E96A0B" w:rsidRDefault="00E96A0B" w:rsidP="004907F9">
      <w:pPr>
        <w:spacing w:after="140"/>
        <w:ind w:left="1264" w:right="1264" w:firstLineChars="200" w:firstLine="31680"/>
        <w:jc w:val="both"/>
        <w:rPr>
          <w:rFonts w:hAnsi="SimSun" w:hint="eastAsia"/>
        </w:rPr>
      </w:pPr>
      <w:r>
        <w:rPr>
          <w:rFonts w:hAnsi="SimSun" w:hint="eastAsia"/>
        </w:rPr>
        <w:t>1998年原平等地位局与职业安全和健康管理局就性骚扰进行了一项调查，并公布了该调查结果。调查证明，劳动力市场存在性骚扰问题。调查的结果之一是，36％的受调查者在工作场所遭遇过性骚扰；而这当中绝大多数（93％）是妇女。受害者多数都比较年轻，但平均年龄是41岁。根据这些结果，《两性平等法》界定并禁止性骚扰，参见第17条。该法认为，雇主和社会活动组织者有责任采取特别措施，避免在工作场所和学校等出现性骚扰。</w:t>
      </w:r>
    </w:p>
    <w:p w:rsidR="00E96A0B" w:rsidRDefault="00E96A0B" w:rsidP="004907F9">
      <w:pPr>
        <w:spacing w:after="140"/>
        <w:ind w:left="1264" w:right="1264" w:firstLineChars="200" w:firstLine="31680"/>
        <w:jc w:val="both"/>
        <w:rPr>
          <w:rFonts w:hAnsi="SimSun" w:hint="eastAsia"/>
        </w:rPr>
      </w:pPr>
      <w:r>
        <w:rPr>
          <w:rFonts w:hAnsi="SimSun" w:hint="eastAsia"/>
        </w:rPr>
        <w:t>两性平等中心2001年出版了一本关于性骚扰的小册子。该中心作为企业和机构内男女平等研讨会的一部分，还强调如何防止性骚扰和如何对付性骚扰的重要性。</w:t>
      </w:r>
    </w:p>
    <w:p w:rsidR="00E96A0B" w:rsidRDefault="00E96A0B" w:rsidP="004907F9">
      <w:pPr>
        <w:spacing w:after="140"/>
        <w:ind w:left="1264" w:right="1264" w:firstLineChars="200" w:firstLine="31680"/>
        <w:jc w:val="both"/>
        <w:rPr>
          <w:rFonts w:ascii="Times New Roman" w:hint="eastAsia"/>
        </w:rPr>
      </w:pPr>
      <w:r>
        <w:rPr>
          <w:rFonts w:hAnsi="SimSun" w:hint="eastAsia"/>
        </w:rPr>
        <w:t>还没有根据新的第96/2000号《两性平等法》提出的性骚扰案件，但有一个向男女平等投诉委员会提交的投诉，还有一个根据《刑法》向法院起诉的案件，是关于在工作场所对一妇女进行性骚扰的。</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工作场所怀孕妇女的安全与健康</w:t>
      </w:r>
    </w:p>
    <w:p w:rsidR="00E96A0B" w:rsidRDefault="00E96A0B" w:rsidP="004907F9">
      <w:pPr>
        <w:spacing w:after="140"/>
        <w:ind w:left="1264" w:right="1264" w:firstLineChars="200" w:firstLine="31680"/>
        <w:jc w:val="both"/>
        <w:rPr>
          <w:rFonts w:hAnsi="SimSun" w:hint="eastAsia"/>
        </w:rPr>
      </w:pPr>
      <w:r>
        <w:rPr>
          <w:rFonts w:hAnsi="SimSun" w:hint="eastAsia"/>
        </w:rPr>
        <w:t>第95/2000号《产假、陪产假和育儿假法》含有一条关于怀孕妇女、刚刚分娩妇女和哺乳妇女的健康和安全措施的特别规定。如果根据特别评价认为这些妇女的安全或健康处于危险状态，雇主有义务临时改变她们的工作条件和/或工作时间。如果因为技术或其他原因做不到这一点，那么雇主有义务另给该妇女分配任务或准许休假一定的时间，以保护她的健康与安全。该妇女工作条件和/或工作时间的改变不得影响其工资和其他与工作有关的权利。由于以上原因有必要允许该妇女休假，她的工资水平要与休产假时的工资一样。</w:t>
      </w:r>
    </w:p>
    <w:p w:rsidR="00E96A0B" w:rsidRDefault="00E96A0B" w:rsidP="004907F9">
      <w:pPr>
        <w:spacing w:after="140"/>
        <w:ind w:left="1264" w:right="1264" w:firstLineChars="200" w:firstLine="31680"/>
        <w:jc w:val="both"/>
        <w:rPr>
          <w:rFonts w:hAnsi="SimSun" w:hint="eastAsia"/>
        </w:rPr>
      </w:pPr>
      <w:r>
        <w:rPr>
          <w:rFonts w:hAnsi="SimSun" w:hint="eastAsia"/>
        </w:rPr>
        <w:t>另外，出台了第931/2000号特别条例，规定了提高怀孕妇女、刚刚分娩妇女和哺乳妇女在工作场所的健康和安全的措施，这些措施要求对雇员潜在危险的性质进行评估并在评估后采取措施。这也适用于那些根据评估被认为会为怀孕妇女、刚刚分娩妇女和哺乳妇女带来危险的工作。这些条例还包括关于如何确定是否有必要改变工作条件和/或工作时间或是否需要采取进一步的措施等问题的详细规定。重要的是，这些条例中的一些条款使雇主有权征求职业安全和健康管理局的意见，然后再决定是否要改变雇员的工作条件或准予雇员休假。国家社会保障研究所和（或）相关雇员也能要求职业安全和健康管理局审查雇主的决定。</w:t>
      </w:r>
    </w:p>
    <w:p w:rsidR="00E96A0B" w:rsidRDefault="00E96A0B" w:rsidP="004907F9">
      <w:pPr>
        <w:spacing w:after="140"/>
        <w:ind w:left="1264" w:right="1264" w:firstLineChars="200" w:firstLine="31680"/>
        <w:jc w:val="both"/>
        <w:rPr>
          <w:rFonts w:hAnsi="SimSun" w:hint="eastAsia"/>
        </w:rPr>
      </w:pPr>
      <w:r>
        <w:rPr>
          <w:rFonts w:hAnsi="SimSun" w:hint="eastAsia"/>
        </w:rPr>
        <w:t>另外，禁止让这类雇员在怀孕期或分娩后六个月内从事夜间工作，只要这种措施是为了雇员的健康和安全利益，而且该雇员提供了医学证明来确认。这些条例将欧共体委员会第92/85/EEC号指示纳入了冰岛法律。</w:t>
      </w:r>
    </w:p>
    <w:p w:rsidR="00E96A0B" w:rsidRDefault="00E96A0B">
      <w:pPr>
        <w:spacing w:after="140"/>
        <w:ind w:left="1264" w:right="1264"/>
        <w:jc w:val="both"/>
        <w:rPr>
          <w:rFonts w:ascii="SimHei" w:eastAsia="SimHei" w:hint="eastAsia"/>
          <w:color w:val="FF0000"/>
        </w:rPr>
      </w:pPr>
    </w:p>
    <w:p w:rsidR="00E96A0B" w:rsidRDefault="00E96A0B">
      <w:pPr>
        <w:spacing w:after="140"/>
        <w:ind w:left="1264" w:right="1264"/>
        <w:jc w:val="both"/>
        <w:rPr>
          <w:rFonts w:ascii="SimHei" w:eastAsia="SimHei" w:hint="eastAsia"/>
          <w:color w:val="FF0000"/>
        </w:rPr>
      </w:pPr>
      <w:r>
        <w:rPr>
          <w:rFonts w:ascii="SimHei" w:eastAsia="SimHei" w:hint="eastAsia"/>
          <w:color w:val="FF0000"/>
        </w:rPr>
        <w:t>第2款（a）项和（b）项</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产假、陪产假和育儿假法</w:t>
      </w:r>
    </w:p>
    <w:p w:rsidR="00E96A0B" w:rsidRDefault="00E96A0B" w:rsidP="004907F9">
      <w:pPr>
        <w:spacing w:after="140"/>
        <w:ind w:left="1264" w:right="1264" w:firstLineChars="200" w:firstLine="31680"/>
        <w:jc w:val="both"/>
        <w:rPr>
          <w:rFonts w:hAnsi="SimSun" w:hint="eastAsia"/>
        </w:rPr>
      </w:pPr>
      <w:r>
        <w:rPr>
          <w:rFonts w:hAnsi="SimSun" w:hint="eastAsia"/>
        </w:rPr>
        <w:t>第95/2000号《产假、陪产假和育儿假法》，于2000年通过，2003年1月1日正式生效。这是对旧制度的一项根本改革。该法的主要目的就是要创造条件，使男女能够平等参加有偿工作和家庭之外的其他工作，保证父母双方与子女在一起的时间。该法意在为在外工作的父母（父母双方）在他们的事业和家庭的需求之间谋求一种平衡。该法的另一个目的是，保证父母共同承担家庭责任，促进劳动力市场上的两性平等。</w:t>
      </w:r>
    </w:p>
    <w:p w:rsidR="00E96A0B" w:rsidRDefault="00E96A0B" w:rsidP="004907F9">
      <w:pPr>
        <w:spacing w:after="140"/>
        <w:ind w:left="1264" w:right="1264" w:firstLineChars="200" w:firstLine="31680"/>
        <w:jc w:val="both"/>
        <w:rPr>
          <w:rFonts w:hAnsi="SimSun" w:hint="eastAsia"/>
        </w:rPr>
      </w:pPr>
      <w:r>
        <w:rPr>
          <w:rFonts w:hAnsi="SimSun" w:hint="eastAsia"/>
        </w:rPr>
        <w:t>修改后，新制度的主要特点是，无论在私营企业、公共部门工作，还是自营职业者，在生育、首次收养或领养孩子时，男女均有相同的、不可转让的休息三个月的权利。如果愿意，他们还可以在双方之间分配另外三个月的休息时间。产假/陪产假开始之日前的六个月里在冰岛劳动力市场有工作的父母亲有权在休假期间获得报酬。报酬额为平均工资总额的80％或根据休假之日之前的两个月前连续十二个月的报酬计算。由社会保障税提供资金，建立了一个特别的产假/陪产假基金来支付这些报酬。</w:t>
      </w:r>
    </w:p>
    <w:p w:rsidR="00E96A0B" w:rsidRDefault="00E96A0B" w:rsidP="004907F9">
      <w:pPr>
        <w:spacing w:after="140"/>
        <w:ind w:left="1264" w:right="1264" w:firstLineChars="200" w:firstLine="31680"/>
        <w:jc w:val="both"/>
        <w:rPr>
          <w:rFonts w:hAnsi="SimSun" w:hint="eastAsia"/>
        </w:rPr>
      </w:pPr>
      <w:r>
        <w:rPr>
          <w:rFonts w:hAnsi="SimSun" w:hint="eastAsia"/>
        </w:rPr>
        <w:t>强调休假的灵活性：父母可以在连续的一段时间内休假，也可以分成几个较短的时期休假和/或通过减少工作时间来休假。雇主必须努力设法满足雇员在产假/陪产假方面的要求。在婴儿出生后，无论如何母亲都必须至少在前两周休产假。休产假/陪产假的权利在孩子满十八个月以后丧失。</w:t>
      </w:r>
    </w:p>
    <w:p w:rsidR="00E96A0B" w:rsidRDefault="00E96A0B" w:rsidP="004907F9">
      <w:pPr>
        <w:spacing w:after="140"/>
        <w:ind w:left="1264" w:right="1264" w:firstLineChars="200" w:firstLine="31680"/>
        <w:jc w:val="both"/>
        <w:rPr>
          <w:rFonts w:hAnsi="SimSun" w:hint="eastAsia"/>
        </w:rPr>
      </w:pPr>
      <w:r>
        <w:rPr>
          <w:rFonts w:hAnsi="SimSun" w:hint="eastAsia"/>
        </w:rPr>
        <w:t>政府和社会合作组织在介绍《产假、陪产假和育儿假法》新特点方面已经做出了巨大的努力，方法有小册子和动态信息，例如举办有保健服务部门和婴儿父母参加的研讨会和会议。</w:t>
      </w:r>
    </w:p>
    <w:p w:rsidR="00E96A0B" w:rsidRDefault="00E96A0B" w:rsidP="004907F9">
      <w:pPr>
        <w:spacing w:after="140"/>
        <w:ind w:left="1264" w:right="1264" w:firstLineChars="200" w:firstLine="31680"/>
        <w:jc w:val="both"/>
        <w:rPr>
          <w:rFonts w:hAnsi="SimSun" w:hint="eastAsia"/>
        </w:rPr>
      </w:pPr>
      <w:r>
        <w:rPr>
          <w:rFonts w:hAnsi="SimSun" w:hint="eastAsia"/>
        </w:rPr>
        <w:t>表9显示了在单一持续时期内休产假/陪产假的父母以及在法律规定的期限内分期休产假/陪产假的父母的比例。</w:t>
      </w:r>
    </w:p>
    <w:p w:rsidR="00E96A0B" w:rsidRDefault="00E96A0B">
      <w:pPr>
        <w:spacing w:after="140"/>
        <w:ind w:left="1264" w:right="1264"/>
        <w:jc w:val="both"/>
        <w:rPr>
          <w:rFonts w:ascii="SimHei" w:eastAsia="SimHei" w:hint="eastAsia"/>
        </w:rPr>
      </w:pPr>
      <w:r>
        <w:rPr>
          <w:rFonts w:hint="eastAsia"/>
        </w:rPr>
        <w:t>表9</w:t>
      </w:r>
      <w:r>
        <w:br/>
      </w:r>
      <w:r>
        <w:rPr>
          <w:rFonts w:ascii="SimHei" w:eastAsia="SimHei" w:hint="eastAsia"/>
          <w:color w:val="FF0000"/>
        </w:rPr>
        <w:t>2001年和2002年休产假/陪产假的方式，百分比（％）</w:t>
      </w:r>
    </w:p>
    <w:tbl>
      <w:tblPr>
        <w:tblW w:w="0" w:type="auto"/>
        <w:tblInd w:w="1368" w:type="dxa"/>
        <w:tblLook w:val="0000" w:firstRow="0" w:lastRow="0" w:firstColumn="0" w:lastColumn="0" w:noHBand="0" w:noVBand="0"/>
      </w:tblPr>
      <w:tblGrid>
        <w:gridCol w:w="3360"/>
        <w:gridCol w:w="1470"/>
        <w:gridCol w:w="2415"/>
      </w:tblGrid>
      <w:tr w:rsidR="00E96A0B">
        <w:tblPrEx>
          <w:tblCellMar>
            <w:top w:w="0" w:type="dxa"/>
            <w:bottom w:w="0" w:type="dxa"/>
          </w:tblCellMar>
        </w:tblPrEx>
        <w:trPr>
          <w:trHeight w:val="312"/>
        </w:trPr>
        <w:tc>
          <w:tcPr>
            <w:tcW w:w="3360" w:type="dxa"/>
            <w:tcBorders>
              <w:top w:val="single" w:sz="4" w:space="0" w:color="auto"/>
              <w:bottom w:val="single" w:sz="12" w:space="0" w:color="auto"/>
            </w:tcBorders>
          </w:tcPr>
          <w:p w:rsidR="00E96A0B" w:rsidRDefault="00E96A0B">
            <w:pPr>
              <w:spacing w:after="140"/>
              <w:jc w:val="both"/>
              <w:rPr>
                <w:rFonts w:ascii="KaiTi_GB2312" w:eastAsia="KaiTi_GB2312" w:hint="eastAsia"/>
                <w:color w:val="0000FF"/>
                <w:sz w:val="15"/>
              </w:rPr>
            </w:pPr>
          </w:p>
        </w:tc>
        <w:tc>
          <w:tcPr>
            <w:tcW w:w="1470" w:type="dxa"/>
            <w:tcBorders>
              <w:top w:val="single" w:sz="4" w:space="0" w:color="auto"/>
              <w:bottom w:val="single" w:sz="12" w:space="0" w:color="auto"/>
            </w:tcBorders>
          </w:tcPr>
          <w:p w:rsidR="00E96A0B" w:rsidRDefault="00E96A0B">
            <w:pPr>
              <w:spacing w:after="140"/>
              <w:jc w:val="center"/>
              <w:rPr>
                <w:rFonts w:ascii="KaiTi_GB2312" w:eastAsia="KaiTi_GB2312" w:hint="eastAsia"/>
                <w:color w:val="0000FF"/>
                <w:sz w:val="15"/>
              </w:rPr>
            </w:pPr>
            <w:r>
              <w:rPr>
                <w:rFonts w:ascii="KaiTi_GB2312" w:eastAsia="KaiTi_GB2312" w:hint="eastAsia"/>
                <w:color w:val="0000FF"/>
                <w:sz w:val="15"/>
              </w:rPr>
              <w:t>父亲</w:t>
            </w:r>
          </w:p>
        </w:tc>
        <w:tc>
          <w:tcPr>
            <w:tcW w:w="2415" w:type="dxa"/>
            <w:tcBorders>
              <w:top w:val="single" w:sz="4" w:space="0" w:color="auto"/>
              <w:bottom w:val="single" w:sz="12" w:space="0" w:color="auto"/>
            </w:tcBorders>
          </w:tcPr>
          <w:p w:rsidR="00E96A0B" w:rsidRDefault="00E96A0B">
            <w:pPr>
              <w:spacing w:after="140"/>
              <w:jc w:val="center"/>
              <w:rPr>
                <w:rFonts w:ascii="KaiTi_GB2312" w:eastAsia="KaiTi_GB2312" w:hint="eastAsia"/>
                <w:color w:val="0000FF"/>
                <w:sz w:val="15"/>
              </w:rPr>
            </w:pPr>
            <w:r>
              <w:rPr>
                <w:rFonts w:ascii="KaiTi_GB2312" w:eastAsia="KaiTi_GB2312" w:hint="eastAsia"/>
                <w:color w:val="0000FF"/>
                <w:sz w:val="15"/>
              </w:rPr>
              <w:t>母亲</w:t>
            </w:r>
          </w:p>
        </w:tc>
      </w:tr>
      <w:tr w:rsidR="00E96A0B">
        <w:tblPrEx>
          <w:tblCellMar>
            <w:top w:w="0" w:type="dxa"/>
            <w:bottom w:w="0" w:type="dxa"/>
          </w:tblCellMar>
        </w:tblPrEx>
        <w:trPr>
          <w:trHeight w:val="312"/>
        </w:trPr>
        <w:tc>
          <w:tcPr>
            <w:tcW w:w="3360" w:type="dxa"/>
            <w:tcBorders>
              <w:top w:val="single" w:sz="12" w:space="0" w:color="auto"/>
            </w:tcBorders>
          </w:tcPr>
          <w:p w:rsidR="00E96A0B" w:rsidRDefault="00E96A0B">
            <w:pPr>
              <w:spacing w:after="140"/>
              <w:jc w:val="both"/>
              <w:rPr>
                <w:rFonts w:ascii="Times New Roman" w:hint="eastAsia"/>
                <w:sz w:val="18"/>
              </w:rPr>
            </w:pPr>
            <w:r>
              <w:rPr>
                <w:rFonts w:ascii="Times New Roman" w:hint="eastAsia"/>
                <w:sz w:val="18"/>
              </w:rPr>
              <w:t>连续休假</w:t>
            </w:r>
          </w:p>
        </w:tc>
        <w:tc>
          <w:tcPr>
            <w:tcW w:w="1470" w:type="dxa"/>
            <w:tcBorders>
              <w:top w:val="single" w:sz="12" w:space="0" w:color="auto"/>
            </w:tcBorders>
          </w:tcPr>
          <w:p w:rsidR="00E96A0B" w:rsidRDefault="00E96A0B">
            <w:pPr>
              <w:spacing w:after="140"/>
              <w:jc w:val="center"/>
              <w:rPr>
                <w:rFonts w:ascii="Times New Roman" w:hint="eastAsia"/>
                <w:sz w:val="18"/>
              </w:rPr>
            </w:pPr>
            <w:r>
              <w:rPr>
                <w:rFonts w:ascii="Times New Roman" w:hint="eastAsia"/>
                <w:sz w:val="18"/>
              </w:rPr>
              <w:t>37.5</w:t>
            </w:r>
          </w:p>
        </w:tc>
        <w:tc>
          <w:tcPr>
            <w:tcW w:w="2415" w:type="dxa"/>
            <w:tcBorders>
              <w:top w:val="single" w:sz="12" w:space="0" w:color="auto"/>
            </w:tcBorders>
          </w:tcPr>
          <w:p w:rsidR="00E96A0B" w:rsidRDefault="00E96A0B">
            <w:pPr>
              <w:spacing w:after="140"/>
              <w:jc w:val="center"/>
              <w:rPr>
                <w:rFonts w:ascii="Times New Roman" w:hint="eastAsia"/>
                <w:sz w:val="18"/>
              </w:rPr>
            </w:pPr>
            <w:r>
              <w:rPr>
                <w:rFonts w:ascii="Times New Roman" w:hint="eastAsia"/>
                <w:sz w:val="18"/>
              </w:rPr>
              <w:t>68.1</w:t>
            </w:r>
          </w:p>
        </w:tc>
      </w:tr>
      <w:tr w:rsidR="00E96A0B">
        <w:tblPrEx>
          <w:tblCellMar>
            <w:top w:w="0" w:type="dxa"/>
            <w:bottom w:w="0" w:type="dxa"/>
          </w:tblCellMar>
        </w:tblPrEx>
        <w:trPr>
          <w:trHeight w:val="312"/>
        </w:trPr>
        <w:tc>
          <w:tcPr>
            <w:tcW w:w="3360" w:type="dxa"/>
            <w:tcBorders>
              <w:bottom w:val="single" w:sz="12" w:space="0" w:color="auto"/>
            </w:tcBorders>
          </w:tcPr>
          <w:p w:rsidR="00E96A0B" w:rsidRDefault="00E96A0B">
            <w:pPr>
              <w:spacing w:after="140"/>
              <w:jc w:val="both"/>
              <w:rPr>
                <w:rFonts w:ascii="Times New Roman" w:hint="eastAsia"/>
                <w:sz w:val="18"/>
              </w:rPr>
            </w:pPr>
            <w:r>
              <w:rPr>
                <w:rFonts w:ascii="Times New Roman" w:hint="eastAsia"/>
                <w:sz w:val="18"/>
              </w:rPr>
              <w:t>分期休假</w:t>
            </w:r>
          </w:p>
        </w:tc>
        <w:tc>
          <w:tcPr>
            <w:tcW w:w="1470" w:type="dxa"/>
            <w:tcBorders>
              <w:bottom w:val="single" w:sz="12" w:space="0" w:color="auto"/>
            </w:tcBorders>
          </w:tcPr>
          <w:p w:rsidR="00E96A0B" w:rsidRDefault="00E96A0B">
            <w:pPr>
              <w:spacing w:after="140"/>
              <w:jc w:val="center"/>
              <w:rPr>
                <w:rFonts w:ascii="Times New Roman" w:hint="eastAsia"/>
                <w:sz w:val="18"/>
              </w:rPr>
            </w:pPr>
            <w:r>
              <w:rPr>
                <w:rFonts w:ascii="Times New Roman" w:hint="eastAsia"/>
                <w:sz w:val="18"/>
              </w:rPr>
              <w:t>62.5</w:t>
            </w:r>
          </w:p>
        </w:tc>
        <w:tc>
          <w:tcPr>
            <w:tcW w:w="2415" w:type="dxa"/>
            <w:tcBorders>
              <w:bottom w:val="single" w:sz="12" w:space="0" w:color="auto"/>
            </w:tcBorders>
          </w:tcPr>
          <w:p w:rsidR="00E96A0B" w:rsidRDefault="00E96A0B">
            <w:pPr>
              <w:spacing w:after="140"/>
              <w:jc w:val="center"/>
              <w:rPr>
                <w:rFonts w:ascii="Times New Roman" w:hint="eastAsia"/>
                <w:sz w:val="18"/>
              </w:rPr>
            </w:pPr>
            <w:r>
              <w:rPr>
                <w:rFonts w:ascii="Times New Roman" w:hint="eastAsia"/>
                <w:sz w:val="18"/>
              </w:rPr>
              <w:t>31.9</w:t>
            </w:r>
          </w:p>
        </w:tc>
      </w:tr>
    </w:tbl>
    <w:p w:rsidR="00E96A0B" w:rsidRDefault="00E96A0B">
      <w:pPr>
        <w:spacing w:after="140"/>
        <w:ind w:left="1264" w:right="1264"/>
        <w:jc w:val="both"/>
        <w:rPr>
          <w:rFonts w:ascii="Times New Roman" w:hint="eastAsia"/>
          <w:sz w:val="18"/>
        </w:rPr>
      </w:pPr>
      <w:r>
        <w:rPr>
          <w:rFonts w:ascii="KaiTi_GB2312" w:eastAsia="KaiTi_GB2312" w:hint="eastAsia"/>
          <w:color w:val="0000FF"/>
          <w:sz w:val="18"/>
        </w:rPr>
        <w:t>资料来源</w:t>
      </w:r>
      <w:r>
        <w:rPr>
          <w:rFonts w:ascii="Times New Roman" w:hint="eastAsia"/>
          <w:sz w:val="18"/>
        </w:rPr>
        <w:t>：产假</w:t>
      </w:r>
      <w:r>
        <w:rPr>
          <w:rFonts w:ascii="Times New Roman" w:hint="eastAsia"/>
          <w:sz w:val="18"/>
        </w:rPr>
        <w:t>/</w:t>
      </w:r>
      <w:r>
        <w:rPr>
          <w:rFonts w:ascii="Times New Roman" w:hint="eastAsia"/>
          <w:sz w:val="18"/>
        </w:rPr>
        <w:t>陪产假基金。</w:t>
      </w:r>
    </w:p>
    <w:p w:rsidR="00E96A0B" w:rsidRDefault="00E96A0B" w:rsidP="004907F9">
      <w:pPr>
        <w:spacing w:after="140"/>
        <w:ind w:left="1264" w:right="1264" w:firstLineChars="200" w:firstLine="31680"/>
        <w:jc w:val="both"/>
        <w:rPr>
          <w:rFonts w:hAnsi="SimSun" w:hint="eastAsia"/>
        </w:rPr>
      </w:pPr>
      <w:r>
        <w:rPr>
          <w:rFonts w:hAnsi="SimSun" w:hint="eastAsia"/>
        </w:rPr>
        <w:t>值得注意的是，2001年1月，22.4％的母亲将她们的假期分为几个时期或者同时通过减少工作时间来休假，但是同年9月，有34.5％的母亲这样做。父亲也表现出同样的趋势；1月份，39.6％的父亲将他们的假期分为几个时期或者通过减少工作时间来休假，而到了9月份，这一比例增至61.5％。父母利用这种灵活休假的迅速增加可能是因为一开始对此缺乏认识。</w:t>
      </w:r>
    </w:p>
    <w:p w:rsidR="00E96A0B" w:rsidRDefault="00E96A0B" w:rsidP="004907F9">
      <w:pPr>
        <w:spacing w:after="140"/>
        <w:ind w:left="1264" w:right="1264" w:firstLineChars="200" w:firstLine="31680"/>
        <w:jc w:val="both"/>
        <w:rPr>
          <w:rFonts w:ascii="Times New Roman" w:hint="eastAsia"/>
        </w:rPr>
      </w:pPr>
      <w:r>
        <w:rPr>
          <w:rFonts w:hAnsi="SimSun" w:hint="eastAsia"/>
        </w:rPr>
        <w:t>表10显示了2001-2002年父亲休陪产假的方式以及他们的平均休假天数</w:t>
      </w:r>
      <w:r>
        <w:rPr>
          <w:rFonts w:ascii="Times New Roman" w:hint="eastAsia"/>
        </w:rPr>
        <w:t>。</w:t>
      </w:r>
    </w:p>
    <w:p w:rsidR="00E96A0B" w:rsidRDefault="00E96A0B">
      <w:pPr>
        <w:spacing w:after="140"/>
        <w:ind w:left="1264" w:right="1264"/>
        <w:jc w:val="both"/>
        <w:rPr>
          <w:rFonts w:ascii="SimHei" w:eastAsia="SimHei" w:hint="eastAsia"/>
        </w:rPr>
      </w:pPr>
      <w:r>
        <w:rPr>
          <w:rFonts w:hint="eastAsia"/>
        </w:rPr>
        <w:t>表10</w:t>
      </w:r>
      <w:r>
        <w:br/>
      </w:r>
      <w:r>
        <w:rPr>
          <w:rFonts w:ascii="SimHei" w:eastAsia="SimHei" w:hint="eastAsia"/>
          <w:color w:val="FF0000"/>
        </w:rPr>
        <w:t>2001年和2002年父亲休陪产假的方式以及平均休假天数</w:t>
      </w:r>
    </w:p>
    <w:tbl>
      <w:tblPr>
        <w:tblW w:w="7350" w:type="dxa"/>
        <w:tblInd w:w="1368" w:type="dxa"/>
        <w:tblLook w:val="0000" w:firstRow="0" w:lastRow="0" w:firstColumn="0" w:lastColumn="0" w:noHBand="0" w:noVBand="0"/>
      </w:tblPr>
      <w:tblGrid>
        <w:gridCol w:w="1575"/>
        <w:gridCol w:w="1443"/>
        <w:gridCol w:w="1444"/>
        <w:gridCol w:w="1444"/>
        <w:gridCol w:w="1444"/>
      </w:tblGrid>
      <w:tr w:rsidR="00E96A0B">
        <w:tblPrEx>
          <w:tblCellMar>
            <w:top w:w="0" w:type="dxa"/>
            <w:bottom w:w="0" w:type="dxa"/>
          </w:tblCellMar>
        </w:tblPrEx>
        <w:trPr>
          <w:trHeight w:val="312"/>
        </w:trPr>
        <w:tc>
          <w:tcPr>
            <w:tcW w:w="1575" w:type="dxa"/>
            <w:tcBorders>
              <w:top w:val="single" w:sz="4" w:space="0" w:color="auto"/>
              <w:bottom w:val="single" w:sz="12" w:space="0" w:color="auto"/>
            </w:tcBorders>
          </w:tcPr>
          <w:p w:rsidR="00E96A0B" w:rsidRDefault="00E96A0B">
            <w:pPr>
              <w:spacing w:line="260" w:lineRule="exact"/>
              <w:jc w:val="center"/>
              <w:rPr>
                <w:rFonts w:ascii="KaiTi_GB2312" w:eastAsia="KaiTi_GB2312" w:hint="eastAsia"/>
                <w:color w:val="0000FF"/>
                <w:sz w:val="15"/>
              </w:rPr>
            </w:pPr>
          </w:p>
        </w:tc>
        <w:tc>
          <w:tcPr>
            <w:tcW w:w="1443" w:type="dxa"/>
            <w:tcBorders>
              <w:top w:val="single" w:sz="4" w:space="0" w:color="auto"/>
              <w:bottom w:val="single" w:sz="12" w:space="0" w:color="auto"/>
            </w:tcBorders>
          </w:tcPr>
          <w:p w:rsidR="00E96A0B" w:rsidRDefault="00E96A0B">
            <w:pPr>
              <w:spacing w:line="260" w:lineRule="exact"/>
              <w:jc w:val="right"/>
              <w:rPr>
                <w:rFonts w:ascii="KaiTi_GB2312" w:eastAsia="KaiTi_GB2312" w:hint="eastAsia"/>
                <w:color w:val="0000FF"/>
                <w:sz w:val="15"/>
              </w:rPr>
            </w:pPr>
            <w:r>
              <w:rPr>
                <w:rFonts w:ascii="KaiTi_GB2312" w:eastAsia="KaiTi_GB2312" w:hint="eastAsia"/>
                <w:color w:val="0000FF"/>
                <w:sz w:val="15"/>
              </w:rPr>
              <w:t>休假10天</w:t>
            </w:r>
            <w:r>
              <w:rPr>
                <w:rFonts w:ascii="KaiTi_GB2312" w:eastAsia="KaiTi_GB2312"/>
                <w:color w:val="0000FF"/>
                <w:sz w:val="15"/>
              </w:rPr>
              <w:br/>
            </w:r>
            <w:r>
              <w:rPr>
                <w:rFonts w:ascii="KaiTi_GB2312" w:eastAsia="KaiTi_GB2312" w:hint="eastAsia"/>
                <w:color w:val="0000FF"/>
                <w:sz w:val="15"/>
              </w:rPr>
              <w:t>以下的％</w:t>
            </w:r>
          </w:p>
        </w:tc>
        <w:tc>
          <w:tcPr>
            <w:tcW w:w="1444" w:type="dxa"/>
            <w:tcBorders>
              <w:top w:val="single" w:sz="4" w:space="0" w:color="auto"/>
              <w:bottom w:val="single" w:sz="12" w:space="0" w:color="auto"/>
            </w:tcBorders>
          </w:tcPr>
          <w:p w:rsidR="00E96A0B" w:rsidRDefault="00E96A0B">
            <w:pPr>
              <w:spacing w:line="260" w:lineRule="exact"/>
              <w:jc w:val="right"/>
              <w:rPr>
                <w:rFonts w:ascii="KaiTi_GB2312" w:eastAsia="KaiTi_GB2312" w:hint="eastAsia"/>
                <w:color w:val="0000FF"/>
                <w:sz w:val="15"/>
              </w:rPr>
            </w:pPr>
            <w:r>
              <w:rPr>
                <w:rFonts w:ascii="KaiTi_GB2312" w:eastAsia="KaiTi_GB2312" w:hint="eastAsia"/>
                <w:color w:val="0000FF"/>
                <w:sz w:val="15"/>
              </w:rPr>
              <w:t>超过基本</w:t>
            </w:r>
            <w:r>
              <w:rPr>
                <w:rFonts w:ascii="KaiTi_GB2312" w:eastAsia="KaiTi_GB2312"/>
                <w:color w:val="0000FF"/>
                <w:sz w:val="15"/>
              </w:rPr>
              <w:br/>
            </w:r>
            <w:r>
              <w:rPr>
                <w:rFonts w:ascii="KaiTi_GB2312" w:eastAsia="KaiTi_GB2312" w:hint="eastAsia"/>
                <w:color w:val="0000FF"/>
                <w:sz w:val="15"/>
              </w:rPr>
              <w:t>权利的％</w:t>
            </w:r>
          </w:p>
        </w:tc>
        <w:tc>
          <w:tcPr>
            <w:tcW w:w="1444" w:type="dxa"/>
            <w:tcBorders>
              <w:top w:val="single" w:sz="4" w:space="0" w:color="auto"/>
              <w:bottom w:val="single" w:sz="12" w:space="0" w:color="auto"/>
            </w:tcBorders>
          </w:tcPr>
          <w:p w:rsidR="00E96A0B" w:rsidRDefault="00E96A0B">
            <w:pPr>
              <w:spacing w:line="260" w:lineRule="exact"/>
              <w:jc w:val="right"/>
              <w:rPr>
                <w:rFonts w:ascii="KaiTi_GB2312" w:eastAsia="KaiTi_GB2312" w:hint="eastAsia"/>
                <w:color w:val="0000FF"/>
                <w:sz w:val="15"/>
              </w:rPr>
            </w:pPr>
            <w:r>
              <w:rPr>
                <w:rFonts w:ascii="KaiTi_GB2312" w:eastAsia="KaiTi_GB2312" w:hint="eastAsia"/>
                <w:color w:val="0000FF"/>
                <w:sz w:val="15"/>
              </w:rPr>
              <w:t>低于基本</w:t>
            </w:r>
            <w:r>
              <w:rPr>
                <w:rFonts w:ascii="KaiTi_GB2312" w:eastAsia="KaiTi_GB2312"/>
                <w:color w:val="0000FF"/>
                <w:sz w:val="15"/>
              </w:rPr>
              <w:br/>
            </w:r>
            <w:r>
              <w:rPr>
                <w:rFonts w:ascii="KaiTi_GB2312" w:eastAsia="KaiTi_GB2312" w:hint="eastAsia"/>
                <w:color w:val="0000FF"/>
                <w:sz w:val="15"/>
              </w:rPr>
              <w:t>权利的％</w:t>
            </w:r>
          </w:p>
        </w:tc>
        <w:tc>
          <w:tcPr>
            <w:tcW w:w="1444" w:type="dxa"/>
            <w:tcBorders>
              <w:top w:val="single" w:sz="4" w:space="0" w:color="auto"/>
              <w:bottom w:val="single" w:sz="12" w:space="0" w:color="auto"/>
            </w:tcBorders>
          </w:tcPr>
          <w:p w:rsidR="00E96A0B" w:rsidRDefault="00E96A0B">
            <w:pPr>
              <w:spacing w:line="260" w:lineRule="exact"/>
              <w:jc w:val="right"/>
              <w:rPr>
                <w:rFonts w:ascii="KaiTi_GB2312" w:eastAsia="KaiTi_GB2312" w:hint="eastAsia"/>
                <w:color w:val="0000FF"/>
                <w:sz w:val="15"/>
              </w:rPr>
            </w:pPr>
            <w:r>
              <w:rPr>
                <w:rFonts w:ascii="KaiTi_GB2312" w:eastAsia="KaiTi_GB2312" w:hint="eastAsia"/>
                <w:color w:val="0000FF"/>
                <w:sz w:val="15"/>
              </w:rPr>
              <w:t>天数</w:t>
            </w:r>
            <w:r>
              <w:rPr>
                <w:rFonts w:ascii="KaiTi_GB2312" w:eastAsia="KaiTi_GB2312"/>
                <w:color w:val="0000FF"/>
                <w:sz w:val="15"/>
              </w:rPr>
              <w:br/>
            </w:r>
            <w:r>
              <w:rPr>
                <w:rFonts w:ascii="KaiTi_GB2312" w:eastAsia="KaiTi_GB2312" w:hint="eastAsia"/>
                <w:color w:val="0000FF"/>
                <w:sz w:val="15"/>
              </w:rPr>
              <w:t>（平均）</w:t>
            </w:r>
          </w:p>
        </w:tc>
      </w:tr>
      <w:tr w:rsidR="00E96A0B">
        <w:tblPrEx>
          <w:tblCellMar>
            <w:top w:w="0" w:type="dxa"/>
            <w:bottom w:w="0" w:type="dxa"/>
          </w:tblCellMar>
        </w:tblPrEx>
        <w:trPr>
          <w:trHeight w:val="312"/>
        </w:trPr>
        <w:tc>
          <w:tcPr>
            <w:tcW w:w="1575" w:type="dxa"/>
            <w:tcBorders>
              <w:top w:val="single" w:sz="12" w:space="0" w:color="auto"/>
            </w:tcBorders>
          </w:tcPr>
          <w:p w:rsidR="00E96A0B" w:rsidRDefault="00E96A0B">
            <w:pPr>
              <w:spacing w:after="140"/>
              <w:jc w:val="both"/>
              <w:rPr>
                <w:rFonts w:ascii="Times New Roman" w:hint="eastAsia"/>
                <w:sz w:val="18"/>
              </w:rPr>
            </w:pPr>
            <w:r>
              <w:rPr>
                <w:rFonts w:ascii="Times New Roman" w:hint="eastAsia"/>
                <w:sz w:val="18"/>
              </w:rPr>
              <w:t>连续休假</w:t>
            </w:r>
          </w:p>
        </w:tc>
        <w:tc>
          <w:tcPr>
            <w:tcW w:w="1443" w:type="dxa"/>
            <w:tcBorders>
              <w:top w:val="single" w:sz="12" w:space="0" w:color="auto"/>
            </w:tcBorders>
          </w:tcPr>
          <w:p w:rsidR="00E96A0B" w:rsidRDefault="00E96A0B">
            <w:pPr>
              <w:spacing w:after="140"/>
              <w:jc w:val="right"/>
              <w:rPr>
                <w:rFonts w:ascii="Times New Roman" w:hint="eastAsia"/>
                <w:sz w:val="18"/>
              </w:rPr>
            </w:pPr>
            <w:r>
              <w:rPr>
                <w:rFonts w:ascii="Times New Roman" w:hint="eastAsia"/>
                <w:sz w:val="18"/>
              </w:rPr>
              <w:t>34.8</w:t>
            </w:r>
          </w:p>
        </w:tc>
        <w:tc>
          <w:tcPr>
            <w:tcW w:w="1444" w:type="dxa"/>
            <w:tcBorders>
              <w:top w:val="single" w:sz="12" w:space="0" w:color="auto"/>
            </w:tcBorders>
          </w:tcPr>
          <w:p w:rsidR="00E96A0B" w:rsidRDefault="00E96A0B">
            <w:pPr>
              <w:spacing w:after="140"/>
              <w:jc w:val="right"/>
              <w:rPr>
                <w:rFonts w:ascii="Times New Roman" w:hint="eastAsia"/>
                <w:sz w:val="18"/>
              </w:rPr>
            </w:pPr>
            <w:r>
              <w:rPr>
                <w:rFonts w:ascii="Times New Roman" w:hint="eastAsia"/>
                <w:sz w:val="18"/>
              </w:rPr>
              <w:t>3.6</w:t>
            </w:r>
          </w:p>
        </w:tc>
        <w:tc>
          <w:tcPr>
            <w:tcW w:w="1444" w:type="dxa"/>
            <w:tcBorders>
              <w:top w:val="single" w:sz="12" w:space="0" w:color="auto"/>
            </w:tcBorders>
          </w:tcPr>
          <w:p w:rsidR="00E96A0B" w:rsidRDefault="00E96A0B">
            <w:pPr>
              <w:spacing w:after="140"/>
              <w:jc w:val="right"/>
              <w:rPr>
                <w:rFonts w:ascii="Times New Roman" w:hint="eastAsia"/>
                <w:sz w:val="18"/>
              </w:rPr>
            </w:pPr>
            <w:r>
              <w:rPr>
                <w:rFonts w:ascii="Times New Roman" w:hint="eastAsia"/>
                <w:sz w:val="18"/>
              </w:rPr>
              <w:t>4.5</w:t>
            </w:r>
          </w:p>
        </w:tc>
        <w:tc>
          <w:tcPr>
            <w:tcW w:w="1444" w:type="dxa"/>
            <w:tcBorders>
              <w:top w:val="single" w:sz="12" w:space="0" w:color="auto"/>
            </w:tcBorders>
          </w:tcPr>
          <w:p w:rsidR="00E96A0B" w:rsidRDefault="00E96A0B">
            <w:pPr>
              <w:spacing w:after="140"/>
              <w:jc w:val="right"/>
              <w:rPr>
                <w:rFonts w:ascii="Times New Roman" w:hint="eastAsia"/>
                <w:sz w:val="18"/>
              </w:rPr>
            </w:pPr>
            <w:r>
              <w:rPr>
                <w:rFonts w:ascii="Times New Roman" w:hint="eastAsia"/>
                <w:sz w:val="18"/>
              </w:rPr>
              <w:t>44</w:t>
            </w:r>
          </w:p>
        </w:tc>
      </w:tr>
      <w:tr w:rsidR="00E96A0B">
        <w:tblPrEx>
          <w:tblCellMar>
            <w:top w:w="0" w:type="dxa"/>
            <w:bottom w:w="0" w:type="dxa"/>
          </w:tblCellMar>
        </w:tblPrEx>
        <w:trPr>
          <w:trHeight w:val="312"/>
        </w:trPr>
        <w:tc>
          <w:tcPr>
            <w:tcW w:w="1575" w:type="dxa"/>
            <w:tcBorders>
              <w:bottom w:val="single" w:sz="12" w:space="0" w:color="auto"/>
            </w:tcBorders>
          </w:tcPr>
          <w:p w:rsidR="00E96A0B" w:rsidRDefault="00E96A0B">
            <w:pPr>
              <w:spacing w:after="140"/>
              <w:jc w:val="both"/>
              <w:rPr>
                <w:rFonts w:ascii="Times New Roman" w:hint="eastAsia"/>
                <w:sz w:val="18"/>
              </w:rPr>
            </w:pPr>
            <w:r>
              <w:rPr>
                <w:rFonts w:ascii="Times New Roman" w:hint="eastAsia"/>
                <w:sz w:val="18"/>
              </w:rPr>
              <w:t>分期休假</w:t>
            </w:r>
          </w:p>
        </w:tc>
        <w:tc>
          <w:tcPr>
            <w:tcW w:w="1443" w:type="dxa"/>
            <w:tcBorders>
              <w:bottom w:val="single" w:sz="12" w:space="0" w:color="auto"/>
            </w:tcBorders>
          </w:tcPr>
          <w:p w:rsidR="00E96A0B" w:rsidRDefault="00E96A0B">
            <w:pPr>
              <w:spacing w:after="140"/>
              <w:jc w:val="right"/>
              <w:rPr>
                <w:rFonts w:ascii="Times New Roman" w:hint="eastAsia"/>
                <w:sz w:val="18"/>
              </w:rPr>
            </w:pPr>
            <w:r>
              <w:rPr>
                <w:rFonts w:ascii="Times New Roman" w:hint="eastAsia"/>
                <w:sz w:val="18"/>
              </w:rPr>
              <w:t>61.6</w:t>
            </w:r>
          </w:p>
        </w:tc>
        <w:tc>
          <w:tcPr>
            <w:tcW w:w="1444" w:type="dxa"/>
            <w:tcBorders>
              <w:bottom w:val="single" w:sz="12" w:space="0" w:color="auto"/>
            </w:tcBorders>
          </w:tcPr>
          <w:p w:rsidR="00E96A0B" w:rsidRDefault="00E96A0B">
            <w:pPr>
              <w:spacing w:after="140"/>
              <w:jc w:val="right"/>
              <w:rPr>
                <w:rFonts w:ascii="Times New Roman" w:hint="eastAsia"/>
                <w:sz w:val="18"/>
              </w:rPr>
            </w:pPr>
            <w:r>
              <w:rPr>
                <w:rFonts w:ascii="Times New Roman" w:hint="eastAsia"/>
                <w:sz w:val="18"/>
              </w:rPr>
              <w:t>10.5</w:t>
            </w:r>
          </w:p>
        </w:tc>
        <w:tc>
          <w:tcPr>
            <w:tcW w:w="1444" w:type="dxa"/>
            <w:tcBorders>
              <w:bottom w:val="single" w:sz="12" w:space="0" w:color="auto"/>
            </w:tcBorders>
          </w:tcPr>
          <w:p w:rsidR="00E96A0B" w:rsidRDefault="00E96A0B">
            <w:pPr>
              <w:spacing w:after="140"/>
              <w:jc w:val="right"/>
              <w:rPr>
                <w:rFonts w:ascii="Times New Roman" w:hint="eastAsia"/>
                <w:sz w:val="18"/>
              </w:rPr>
            </w:pPr>
            <w:r>
              <w:rPr>
                <w:rFonts w:ascii="Times New Roman" w:hint="eastAsia"/>
                <w:sz w:val="18"/>
              </w:rPr>
              <w:t>5.5</w:t>
            </w:r>
          </w:p>
        </w:tc>
        <w:tc>
          <w:tcPr>
            <w:tcW w:w="1444" w:type="dxa"/>
            <w:tcBorders>
              <w:bottom w:val="single" w:sz="12" w:space="0" w:color="auto"/>
            </w:tcBorders>
          </w:tcPr>
          <w:p w:rsidR="00E96A0B" w:rsidRDefault="00E96A0B">
            <w:pPr>
              <w:spacing w:after="140"/>
              <w:jc w:val="right"/>
              <w:rPr>
                <w:rFonts w:ascii="Times New Roman" w:hint="eastAsia"/>
                <w:sz w:val="18"/>
              </w:rPr>
            </w:pPr>
            <w:r>
              <w:rPr>
                <w:rFonts w:ascii="Times New Roman" w:hint="eastAsia"/>
                <w:sz w:val="18"/>
              </w:rPr>
              <w:t>55</w:t>
            </w:r>
          </w:p>
        </w:tc>
      </w:tr>
    </w:tbl>
    <w:p w:rsidR="00E96A0B" w:rsidRDefault="00E96A0B">
      <w:pPr>
        <w:spacing w:after="140"/>
        <w:ind w:left="1264" w:right="1264"/>
        <w:jc w:val="both"/>
        <w:rPr>
          <w:rFonts w:ascii="Times New Roman" w:hint="eastAsia"/>
          <w:sz w:val="18"/>
        </w:rPr>
      </w:pPr>
      <w:r>
        <w:rPr>
          <w:rFonts w:ascii="KaiTi_GB2312" w:eastAsia="KaiTi_GB2312" w:hint="eastAsia"/>
          <w:color w:val="0000FF"/>
          <w:sz w:val="18"/>
        </w:rPr>
        <w:t>资料来源：</w:t>
      </w:r>
      <w:r>
        <w:rPr>
          <w:rFonts w:ascii="Times New Roman" w:hint="eastAsia"/>
          <w:sz w:val="18"/>
        </w:rPr>
        <w:t>产假</w:t>
      </w:r>
      <w:r>
        <w:rPr>
          <w:rFonts w:ascii="Times New Roman" w:hint="eastAsia"/>
          <w:sz w:val="18"/>
        </w:rPr>
        <w:t>/</w:t>
      </w:r>
      <w:r>
        <w:rPr>
          <w:rFonts w:ascii="Times New Roman" w:hint="eastAsia"/>
          <w:sz w:val="18"/>
        </w:rPr>
        <w:t>陪产假基金。</w:t>
      </w:r>
    </w:p>
    <w:p w:rsidR="00E96A0B" w:rsidRDefault="00E96A0B" w:rsidP="004907F9">
      <w:pPr>
        <w:spacing w:after="140"/>
        <w:ind w:left="1264" w:right="1264" w:firstLineChars="200" w:firstLine="31680"/>
        <w:jc w:val="both"/>
        <w:rPr>
          <w:rFonts w:hAnsi="SimSun" w:hint="eastAsia"/>
        </w:rPr>
      </w:pPr>
      <w:r>
        <w:rPr>
          <w:rFonts w:hAnsi="SimSun" w:hint="eastAsia"/>
        </w:rPr>
        <w:t>从表9和表10中可以看出，灵活休陪产假的父亲人数远远超过了在单一时期内休陪产假的人数。在此时期内，父亲平均休陪产假的天数为51天。关于这一点需要注意，父亲这一不受约束、不可转让的权利在2001年为30天，而在2002年又延长了一个月，成为60天。2001年的平均休假天数为39天，2002年为64天。两年中，由于父亲可以灵活休假和分期休假，父亲的平均休假时间都变长了。</w:t>
      </w:r>
    </w:p>
    <w:p w:rsidR="00E96A0B" w:rsidRDefault="00E96A0B" w:rsidP="004907F9">
      <w:pPr>
        <w:spacing w:after="140"/>
        <w:ind w:left="1264" w:right="1264" w:firstLineChars="200" w:firstLine="31680"/>
        <w:jc w:val="both"/>
        <w:rPr>
          <w:rFonts w:hAnsi="SimSun" w:hint="eastAsia"/>
        </w:rPr>
      </w:pPr>
      <w:r>
        <w:rPr>
          <w:rFonts w:hAnsi="SimSun" w:hint="eastAsia"/>
        </w:rPr>
        <w:t>2001年和2002年相比，休假时间超过个人该休时间的父亲人数高于2002年。这可能归结为2002年陪产假时间的延长。休假时间大约增加了25天。</w:t>
      </w:r>
    </w:p>
    <w:p w:rsidR="00E96A0B" w:rsidRDefault="00E96A0B" w:rsidP="004907F9">
      <w:pPr>
        <w:spacing w:after="140"/>
        <w:ind w:left="1264" w:right="1264" w:firstLineChars="200" w:firstLine="31680"/>
        <w:jc w:val="both"/>
        <w:rPr>
          <w:rFonts w:hAnsi="SimSun" w:hint="eastAsia"/>
        </w:rPr>
      </w:pPr>
      <w:r>
        <w:rPr>
          <w:rFonts w:hAnsi="SimSun" w:hint="eastAsia"/>
        </w:rPr>
        <w:t>如果一个新生婴儿出生后需要在医院停留的时间超过7天，则父母相应的产假/陪产假可以加上婴儿必须停留在医院到首次回家之间的天数，最长不超过4个月。如果婴儿患有严重疾病，需要父母精心的照顾，则允许延长父母相应的产假/陪产假权利，最长为3个月。因此，如果婴儿患病，则产假/陪产假最多可以延长总计7个月。如果母亲患有与生育孩子有关的严重疾病，则其产假可以延长，最长为两个月。</w:t>
      </w:r>
    </w:p>
    <w:p w:rsidR="00E96A0B" w:rsidRDefault="00E96A0B" w:rsidP="004907F9">
      <w:pPr>
        <w:pStyle w:val="BodyTextIndent3"/>
        <w:spacing w:after="140" w:line="320" w:lineRule="exact"/>
        <w:ind w:left="1264" w:right="1264" w:firstLine="31680"/>
        <w:rPr>
          <w:rFonts w:ascii="SimSun" w:hAnsi="SimSun" w:hint="eastAsia"/>
          <w:sz w:val="21"/>
        </w:rPr>
      </w:pPr>
      <w:r>
        <w:rPr>
          <w:rFonts w:ascii="SimSun" w:hAnsi="SimSun" w:hint="eastAsia"/>
          <w:sz w:val="21"/>
        </w:rPr>
        <w:t>根据该法所休的产假/陪产假被视为工作时间，以便计算与工作有关的权利，例如，度假的权利、与工作年限有关的权利、病假、合同终止的通知期限等。在产假/陪产假时期，父母继续支付养老保险，雇主方面的保险金由产假/陪产假基金支付。</w:t>
      </w:r>
    </w:p>
    <w:p w:rsidR="00E96A0B" w:rsidRDefault="00E96A0B" w:rsidP="004907F9">
      <w:pPr>
        <w:spacing w:after="140"/>
        <w:ind w:left="1264" w:right="1264" w:firstLineChars="200" w:firstLine="31680"/>
        <w:jc w:val="both"/>
        <w:rPr>
          <w:rFonts w:hAnsi="SimSun" w:hint="eastAsia"/>
        </w:rPr>
      </w:pPr>
      <w:r>
        <w:rPr>
          <w:rFonts w:hAnsi="SimSun" w:hint="eastAsia"/>
        </w:rPr>
        <w:t>该法保障那些在劳动力市场没找到工作的父母或正在正式学习的父母的独立权利，即他们在生育、首次收养或领养孩子时，可以享受最多3个月产假福利。该项权利不得在父母之间转移。而且，这样的父母还有申请另外三个月的产假福利的共同权利；这项福利可以支付给父母的任何一方或者双方进行分配。</w:t>
      </w:r>
    </w:p>
    <w:p w:rsidR="00E96A0B" w:rsidRDefault="00E96A0B" w:rsidP="004907F9">
      <w:pPr>
        <w:spacing w:after="140"/>
        <w:ind w:left="1264" w:right="1264" w:firstLineChars="200" w:firstLine="31680"/>
        <w:jc w:val="both"/>
        <w:rPr>
          <w:rFonts w:hAnsi="SimSun" w:hint="eastAsia"/>
        </w:rPr>
      </w:pPr>
      <w:r>
        <w:rPr>
          <w:rFonts w:hAnsi="SimSun" w:hint="eastAsia"/>
        </w:rPr>
        <w:t>除上述权利外，所有的父母现在有权享有13周的育儿假来照顾他们的孩子。这项权利不得在父母之间转移，他们可以在一段连续的时期内休育儿假，也可以将休假分为较短的时期，或者减少工作时间。当孩子满8岁以后，父母将丧失休育儿假的权利。育儿假是不带薪的。</w:t>
      </w:r>
    </w:p>
    <w:p w:rsidR="00E96A0B" w:rsidRDefault="00E96A0B" w:rsidP="004907F9">
      <w:pPr>
        <w:spacing w:after="140"/>
        <w:ind w:left="1264" w:right="1264" w:firstLineChars="200" w:firstLine="31680"/>
        <w:jc w:val="both"/>
        <w:rPr>
          <w:rFonts w:hAnsi="SimSun" w:hint="eastAsia"/>
        </w:rPr>
      </w:pPr>
      <w:r>
        <w:rPr>
          <w:rFonts w:hAnsi="SimSun" w:hint="eastAsia"/>
        </w:rPr>
        <w:t>在产假/陪产假和育儿假期间，雇员和雇主的雇佣关系不发生改变，雇员有权在休假结束后返回他们的工作岗位。如果不能返回原工作岗位，则他们有权根据雇佣合同获得相似的工作岗位。该法保护雇员不因产假/陪产假或育儿假而被裁减，这也适用于影响孕期妇女和新近生育婴儿的妇女的裁员措施。违反法律规定的雇员应根据一般规定赔偿损失。</w:t>
      </w:r>
    </w:p>
    <w:p w:rsidR="00E96A0B" w:rsidRDefault="00E96A0B" w:rsidP="004907F9">
      <w:pPr>
        <w:spacing w:after="140"/>
        <w:ind w:left="1264" w:right="1264" w:firstLineChars="200" w:firstLine="31680"/>
        <w:jc w:val="both"/>
        <w:rPr>
          <w:rFonts w:hAnsi="SimSun" w:hint="eastAsia"/>
        </w:rPr>
      </w:pPr>
      <w:r>
        <w:rPr>
          <w:rFonts w:hAnsi="SimSun" w:hint="eastAsia"/>
        </w:rPr>
        <w:t>此外，《两性平等法》中还有关于协调家庭和工作职责的规定；这是为了满足妇女被接纳为完全平等的劳动力成员的日益增长的需要，以及男子在家庭中起更大作用的要求。另请参考第5条下的讨论。</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第2款（c）项</w:t>
      </w:r>
    </w:p>
    <w:p w:rsidR="00E96A0B" w:rsidRDefault="00E96A0B" w:rsidP="004907F9">
      <w:pPr>
        <w:spacing w:after="140"/>
        <w:ind w:left="1264" w:right="1264" w:firstLineChars="200" w:firstLine="31680"/>
        <w:jc w:val="both"/>
        <w:rPr>
          <w:rFonts w:hAnsi="SimSun" w:hint="eastAsia"/>
        </w:rPr>
      </w:pPr>
      <w:r>
        <w:rPr>
          <w:rFonts w:hAnsi="SimSun" w:hint="eastAsia"/>
        </w:rPr>
        <w:t>儿童保育服务的责任主要归地方政府，服务分为两类：幼儿园和由注册的“日间保育员”在私人家中提供的日间保育服务。孩子通常先由日间保育员（他们看护6个月以上的孩子）看护，然后再上幼儿园。</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幼儿园</w:t>
      </w:r>
    </w:p>
    <w:p w:rsidR="00E96A0B" w:rsidRDefault="00E96A0B" w:rsidP="004907F9">
      <w:pPr>
        <w:spacing w:after="140"/>
        <w:ind w:left="1264" w:right="1264" w:firstLineChars="200" w:firstLine="31680"/>
        <w:jc w:val="both"/>
        <w:rPr>
          <w:rFonts w:hAnsi="SimSun" w:hint="eastAsia"/>
        </w:rPr>
      </w:pPr>
      <w:r>
        <w:rPr>
          <w:rFonts w:hAnsi="SimSun" w:hint="eastAsia"/>
        </w:rPr>
        <w:t>有关幼儿园的规定见第78/1994号《幼儿园法》，以及有关幼儿园的第225/1995号条例。该法规定，幼儿园的负责人和教师应为合格的学前教师。条例规定了幼儿园必须提供的建筑物和设施的最低要求，例如游戏室、用于休息和活动的设施、儿童使用的卫生间设施、衣厨和干衣设施、储藏间、一间接待室、用于员工与家长会面的公共区域、厨房等。设计新的室外活动区域时，还对每个孩子的最小活动空间（30平米-40平米）做了规定，无论何时，每个孩子的活动空间都不得小于20平米。还要优先考虑尽可能使游戏设施多样化，并确保这些设施易于保持干净、整洁。条例还规定了工作人员与儿童的比例，这一比例根据儿童的年龄而有所不同，每名员工所照顾的一岁儿童的人数与照顾的5岁儿童人数相比要减少一半。条例允许每名员工最多照顾的儿童人数为8名。</w:t>
      </w:r>
    </w:p>
    <w:p w:rsidR="00E96A0B" w:rsidRDefault="00E96A0B" w:rsidP="004907F9">
      <w:pPr>
        <w:spacing w:after="140"/>
        <w:ind w:left="1264" w:right="1264" w:firstLineChars="200" w:firstLine="31680"/>
        <w:jc w:val="both"/>
        <w:rPr>
          <w:rFonts w:ascii="Times New Roman" w:hint="eastAsia"/>
        </w:rPr>
      </w:pPr>
      <w:r>
        <w:rPr>
          <w:rFonts w:hAnsi="SimSun" w:hint="eastAsia"/>
        </w:rPr>
        <w:t>幼儿园被看作是冰岛学校系统的第一阶段，教育、科学和文化部已经颁布了一项全国幼儿园课程指南，包括一项以形成幼儿园阶段灵活教育活动框架为目标的指导计划。每家幼儿园各自组织自己的活动并依据国家课程计划中的目标起草一项计划。因残疾或感情或社会困难而</w:t>
      </w:r>
      <w:r>
        <w:rPr>
          <w:rFonts w:ascii="Times New Roman" w:hint="eastAsia"/>
        </w:rPr>
        <w:t>需要特别帮助和训练的幼龄儿童有权在专家的指导下在幼儿园中获得此类帮助。</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要求地方政府指定幼儿园特别委员会，来监督有关法律条例的规定的执行情况，保证幼儿园和小学校的运作符合幼儿园教育计划和普通小学课程指南。地方无政府还应该促进幼儿园和小学在教育问题上的相互联系。</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日间保育员</w:t>
      </w:r>
    </w:p>
    <w:p w:rsidR="00E96A0B" w:rsidRDefault="00E96A0B" w:rsidP="004907F9">
      <w:pPr>
        <w:spacing w:after="140"/>
        <w:ind w:left="1264" w:right="1264" w:firstLineChars="200" w:firstLine="31680"/>
        <w:jc w:val="both"/>
        <w:rPr>
          <w:rFonts w:hAnsi="SimSun" w:hint="eastAsia"/>
        </w:rPr>
      </w:pPr>
      <w:r>
        <w:rPr>
          <w:rFonts w:hAnsi="SimSun" w:hint="eastAsia"/>
        </w:rPr>
        <w:t>日间保育员根据关于在自己家里白天照顾孩子的第198/1992号条例，白天接收孩子，在自己家里照看。地方政府所在地的社会事务理事会或委员会一般对该地区的儿童福利负责，并为这些服务发放许可证。</w:t>
      </w:r>
    </w:p>
    <w:p w:rsidR="00E96A0B" w:rsidRDefault="00E96A0B" w:rsidP="004907F9">
      <w:pPr>
        <w:spacing w:after="140"/>
        <w:ind w:left="1264" w:right="1264" w:firstLineChars="200" w:firstLine="31680"/>
        <w:jc w:val="both"/>
        <w:rPr>
          <w:rFonts w:hAnsi="SimSun" w:hint="eastAsia"/>
        </w:rPr>
      </w:pPr>
      <w:r>
        <w:rPr>
          <w:rFonts w:hAnsi="SimSun" w:hint="eastAsia"/>
        </w:rPr>
        <w:t>根据该条例领取许可证的条件如下：申请人必须年满20岁，而且已经完成专门的课程学习，该课程包括孩子生病、急救和火灾救生技巧等的有关知识。申请人还须提供医疗证明和原来雇主或两个责任感强的人的推荐信，家里配备符合消防机关规定的合格消防设备。另外，家里的设施必须通过当地公共卫生委员会的检查，拥有合格的儿童玩耍场地。再者，禁止在儿童周围吸烟。</w:t>
      </w:r>
    </w:p>
    <w:p w:rsidR="00E96A0B" w:rsidRDefault="00E96A0B" w:rsidP="004907F9">
      <w:pPr>
        <w:spacing w:after="140"/>
        <w:ind w:left="1264" w:right="1264" w:firstLineChars="200" w:firstLine="31680"/>
        <w:jc w:val="both"/>
        <w:rPr>
          <w:rFonts w:ascii="Times New Roman" w:hint="eastAsia"/>
        </w:rPr>
      </w:pPr>
      <w:r>
        <w:rPr>
          <w:rFonts w:hAnsi="SimSun" w:hint="eastAsia"/>
        </w:rPr>
        <w:t>一个日间保育员最多只允许接收5名儿童。根据条例，日间保育员对孩子的身心健康负责，对有关儿童的情况以及其父母或监护人的信息保密。还要求日间保育员为她们所照管的儿童进行事故</w:t>
      </w:r>
      <w:r>
        <w:rPr>
          <w:rFonts w:ascii="Times New Roman" w:hint="eastAsia"/>
        </w:rPr>
        <w:t>保险，地方政府负责监督日间保育员的工作。</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幼儿园的数量——入托</w:t>
      </w:r>
    </w:p>
    <w:p w:rsidR="00E96A0B" w:rsidRDefault="00E96A0B" w:rsidP="004907F9">
      <w:pPr>
        <w:spacing w:after="140"/>
        <w:ind w:left="1264" w:right="1264" w:firstLineChars="200" w:firstLine="31680"/>
        <w:jc w:val="both"/>
        <w:rPr>
          <w:rFonts w:hAnsi="SimSun" w:hint="eastAsia"/>
        </w:rPr>
      </w:pPr>
      <w:r>
        <w:rPr>
          <w:rFonts w:hAnsi="SimSun" w:hint="eastAsia"/>
        </w:rPr>
        <w:t>根据《幼儿园法》，幼儿园的运作由地方政府管理，地方政府对于所提供的服务形式有相当大的自由度。可以说冰岛大多数儿童在上小学之前都要上幼儿园。市政府如何尽力满足人们对幼儿园的需求，各地不尽相同。官方的幼儿园入托年龄，即儿童几岁可以进幼儿园，不同的城市有不同的规定，但大多数地方是2－6岁。许多地方政府为一岁以上的儿童提供幼儿园，但不同的地方，情况不同，但这些地方大都适合不同年龄段的儿童。</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课后课程</w:t>
      </w:r>
    </w:p>
    <w:p w:rsidR="00E96A0B" w:rsidRDefault="00E96A0B" w:rsidP="004907F9">
      <w:pPr>
        <w:spacing w:after="140"/>
        <w:ind w:left="1264" w:right="1264" w:firstLineChars="200" w:firstLine="31680"/>
        <w:jc w:val="both"/>
        <w:rPr>
          <w:rFonts w:hAnsi="SimSun" w:hint="eastAsia"/>
        </w:rPr>
      </w:pPr>
      <w:r>
        <w:rPr>
          <w:rFonts w:hAnsi="SimSun" w:hint="eastAsia"/>
        </w:rPr>
        <w:t>在小学/义务制学校，许多城市为6-9岁学生提供课后课程。但是，农村地区的情况有很大不同，城市可以提供与上述相似的课程安排，而其他地区则没有可以提供该项服务的资源。</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第2款（d）项</w:t>
      </w:r>
    </w:p>
    <w:p w:rsidR="00E96A0B" w:rsidRDefault="00E96A0B" w:rsidP="004907F9">
      <w:pPr>
        <w:spacing w:after="140"/>
        <w:ind w:left="1264" w:right="1264" w:firstLineChars="100" w:firstLine="31680"/>
        <w:jc w:val="both"/>
        <w:rPr>
          <w:rFonts w:hAnsi="SimSun" w:hint="eastAsia"/>
        </w:rPr>
      </w:pPr>
      <w:r>
        <w:rPr>
          <w:rFonts w:hAnsi="SimSun" w:hint="eastAsia"/>
        </w:rPr>
        <w:t>请参考第1款（f）项下的讨论。</w:t>
      </w:r>
    </w:p>
    <w:p w:rsidR="00E96A0B" w:rsidRDefault="00E96A0B" w:rsidP="004907F9">
      <w:pPr>
        <w:pStyle w:val="H1"/>
        <w:spacing w:afterLines="50" w:after="156"/>
        <w:ind w:leftChars="600" w:left="31680" w:rightChars="600" w:right="31680"/>
        <w:rPr>
          <w:rFonts w:hint="eastAsia"/>
        </w:rPr>
      </w:pPr>
      <w:r>
        <w:br w:type="page"/>
      </w:r>
      <w:r>
        <w:rPr>
          <w:rFonts w:hint="eastAsia"/>
        </w:rPr>
        <w:t>第12条</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第1款</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获得保健服务</w:t>
      </w:r>
    </w:p>
    <w:p w:rsidR="00E96A0B" w:rsidRDefault="00E96A0B" w:rsidP="004907F9">
      <w:pPr>
        <w:spacing w:after="140"/>
        <w:ind w:left="1264" w:right="1264" w:firstLineChars="200" w:firstLine="31680"/>
        <w:jc w:val="both"/>
        <w:rPr>
          <w:rFonts w:hAnsi="SimSun" w:hint="eastAsia"/>
        </w:rPr>
      </w:pPr>
      <w:r>
        <w:rPr>
          <w:rFonts w:hAnsi="SimSun" w:hint="eastAsia"/>
        </w:rPr>
        <w:t>保健部门根据第97/1990号《保健服务法》进行管理。根据该法，不论男女都可在任何时间获得尽可能好的保健服务，以保护他们的身心健康和社交健康。第74/1997号《病人权利法》的主要目标是保证对病人没有性别、宗教、信仰、国籍、种族、肤色、经济状况、家庭关系或其他状况等方面的歧视。</w:t>
      </w:r>
    </w:p>
    <w:p w:rsidR="00E96A0B" w:rsidRDefault="00E96A0B" w:rsidP="004907F9">
      <w:pPr>
        <w:spacing w:after="140"/>
        <w:ind w:left="1264" w:right="1264" w:firstLineChars="200" w:firstLine="31680"/>
        <w:jc w:val="both"/>
        <w:rPr>
          <w:rFonts w:hAnsi="SimSun" w:hint="eastAsia"/>
        </w:rPr>
      </w:pPr>
      <w:r>
        <w:rPr>
          <w:rFonts w:hAnsi="SimSun" w:hint="eastAsia"/>
        </w:rPr>
        <w:t>冰岛保健服务主要由国家政府提供资金，资金主要或85％来自税收，而15%是服务费。</w:t>
      </w:r>
    </w:p>
    <w:p w:rsidR="00E96A0B" w:rsidRDefault="00E96A0B" w:rsidP="004907F9">
      <w:pPr>
        <w:spacing w:after="140"/>
        <w:ind w:left="1264" w:right="1264" w:firstLineChars="200" w:firstLine="31680"/>
        <w:jc w:val="both"/>
        <w:rPr>
          <w:rFonts w:hAnsi="SimSun" w:hint="eastAsia"/>
        </w:rPr>
      </w:pPr>
      <w:r>
        <w:rPr>
          <w:rFonts w:hAnsi="SimSun" w:hint="eastAsia"/>
        </w:rPr>
        <w:t>冰岛分为不同的保健区，每个区都有自己的保健中心，其中一部分是与当地社区医院合作。初级保健中心负责一般治疗和保健、体检、家庭护理和一些预防措施，如计划生育、妇女保健、儿童保健以及学生保健等。</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妇女健康报告</w:t>
      </w:r>
    </w:p>
    <w:p w:rsidR="00E96A0B" w:rsidRDefault="00E96A0B" w:rsidP="004907F9">
      <w:pPr>
        <w:spacing w:after="140"/>
        <w:ind w:left="1264" w:right="1264" w:firstLineChars="200" w:firstLine="31680"/>
        <w:jc w:val="both"/>
        <w:rPr>
          <w:rFonts w:hAnsi="SimSun" w:hint="eastAsia"/>
        </w:rPr>
      </w:pPr>
      <w:r>
        <w:rPr>
          <w:rFonts w:hAnsi="SimSun" w:hint="eastAsia"/>
        </w:rPr>
        <w:t>卫生部长于2000年发表了一份关于妇女健康的报告，该报告是1995年被任命的一个特别委员会的评估和建议，该委员会旨在调查妇女的健康状况变化情况。2001年8月，卫生部指定了一个项目委员会，其任务是优先实施该报告中的提议（见第3条）。</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妇女的健康</w:t>
      </w:r>
    </w:p>
    <w:p w:rsidR="00E96A0B" w:rsidRDefault="00E96A0B" w:rsidP="004907F9">
      <w:pPr>
        <w:spacing w:after="140"/>
        <w:ind w:left="1264" w:right="1264" w:firstLineChars="200" w:firstLine="31680"/>
        <w:jc w:val="both"/>
        <w:rPr>
          <w:rFonts w:hAnsi="SimSun" w:hint="eastAsia"/>
        </w:rPr>
      </w:pPr>
      <w:r>
        <w:rPr>
          <w:rFonts w:hAnsi="SimSun" w:hint="eastAsia"/>
        </w:rPr>
        <w:t>总体说来，妇女的寿命比男性寿命长，在大多数致死原因中，死亡率较低。但是，妇女发病率和保健服务利用率（特别是与生育有关的服务）较高，社会福利对她们的影响可能大于对男性的影响。冰岛（1997-1998年）人的平均预期寿命是世界上最高的，婴儿发病率是世界上最低的：5.5‰。冰岛的产妇死亡率很低，1991年以来只有一例。妇女的平均寿命是81.5岁，男性的平均寿命为77岁。</w:t>
      </w:r>
    </w:p>
    <w:p w:rsidR="00E96A0B" w:rsidRDefault="00E96A0B" w:rsidP="004907F9">
      <w:pPr>
        <w:spacing w:after="140"/>
        <w:ind w:left="1264" w:right="1264" w:firstLineChars="200" w:firstLine="31680"/>
        <w:jc w:val="both"/>
        <w:rPr>
          <w:rFonts w:hAnsi="SimSun" w:hint="eastAsia"/>
        </w:rPr>
      </w:pPr>
      <w:r>
        <w:rPr>
          <w:rFonts w:hAnsi="SimSun" w:hint="eastAsia"/>
        </w:rPr>
        <w:t>乳腺癌和肺癌是冰岛妇女中最常见的疾病，肺癌的死亡率相对较高，乳腺癌的死亡率在1955年到1985年间相对稳定，但自那以后，似乎有上升趋势。冰岛子宫颈癌死亡率呈下降趋势，死亡的绝对数很低，浮动很大。</w:t>
      </w:r>
    </w:p>
    <w:p w:rsidR="00E96A0B" w:rsidRDefault="00E96A0B" w:rsidP="004907F9">
      <w:pPr>
        <w:spacing w:after="140"/>
        <w:ind w:left="1264" w:right="1264" w:firstLineChars="200" w:firstLine="31680"/>
        <w:jc w:val="both"/>
        <w:rPr>
          <w:rFonts w:hAnsi="SimSun" w:hint="eastAsia"/>
        </w:rPr>
      </w:pPr>
      <w:r>
        <w:rPr>
          <w:rFonts w:hAnsi="SimSun" w:hint="eastAsia"/>
        </w:rPr>
        <w:t>自1964年以来，一直在实施调查子宫颈癌的计划。自1973年以来，实施了一个调查乳腺癌的计划。建议年龄在20-69岁之间的妇女每两年做一次有无子宫颈癌的检查，年龄在40-69岁的妇女每两年做一次乳房扫描和乳房X光照相。</w:t>
      </w:r>
    </w:p>
    <w:p w:rsidR="00E96A0B" w:rsidRDefault="00E96A0B" w:rsidP="004907F9">
      <w:pPr>
        <w:spacing w:after="140"/>
        <w:ind w:left="1264" w:right="1264" w:firstLineChars="200" w:firstLine="31680"/>
        <w:jc w:val="both"/>
        <w:rPr>
          <w:rFonts w:hAnsi="SimSun" w:hint="eastAsia"/>
          <w:spacing w:val="6"/>
        </w:rPr>
      </w:pPr>
      <w:r>
        <w:rPr>
          <w:rFonts w:hAnsi="SimSun" w:hint="eastAsia"/>
          <w:spacing w:val="6"/>
        </w:rPr>
        <w:t>2000年参加子宫颈癌检查的数字如下：20-39岁的妇女占34.7%，40-69岁的妇女占36％（都是占该年龄段妇女的％数）。2000年参加乳腺癌扫描的数字：20-39岁的妇女为2.9%，40-69岁的妇女为32.7％（都是占该年龄段妇女的％数）。</w:t>
      </w:r>
    </w:p>
    <w:p w:rsidR="00E96A0B" w:rsidRDefault="00E96A0B">
      <w:pPr>
        <w:spacing w:after="140" w:line="240" w:lineRule="auto"/>
        <w:ind w:left="1264" w:right="1264"/>
        <w:jc w:val="center"/>
        <w:rPr>
          <w:rFonts w:ascii="Times New Roman" w:hint="eastAsia"/>
        </w:rPr>
      </w:pPr>
      <w:r>
        <w:object w:dxaOrig="6255" w:dyaOrig="3225">
          <v:shape id="_x0000_i1026" type="#_x0000_t75" style="width:312.75pt;height:161.25pt" o:ole="">
            <v:imagedata r:id="rId18" o:title=""/>
          </v:shape>
          <o:OLEObject Type="Embed" ProgID="Excel.Chart.8" ShapeID="_x0000_i1026" DrawAspect="Content" ObjectID="_1395455822" r:id="rId19">
            <o:FieldCodes>\s</o:FieldCodes>
          </o:OLEObject>
        </w:object>
      </w:r>
    </w:p>
    <w:p w:rsidR="00E96A0B" w:rsidRDefault="00E96A0B" w:rsidP="004907F9">
      <w:pPr>
        <w:spacing w:after="140"/>
        <w:ind w:leftChars="602" w:left="31680" w:right="1264" w:firstLineChars="200" w:firstLine="31680"/>
        <w:jc w:val="both"/>
        <w:rPr>
          <w:rFonts w:hAnsi="SimSun" w:hint="eastAsia"/>
        </w:rPr>
      </w:pPr>
      <w:r>
        <w:rPr>
          <w:rFonts w:hAnsi="SimSun" w:hint="eastAsia"/>
        </w:rPr>
        <w:t>该统计图说明2000年20-69岁之间的所有妇女参加子宫颈癌检查的百分比。</w:t>
      </w:r>
    </w:p>
    <w:p w:rsidR="00E96A0B" w:rsidRDefault="00E96A0B">
      <w:pPr>
        <w:spacing w:after="140" w:line="240" w:lineRule="auto"/>
        <w:ind w:left="1264" w:right="1264"/>
        <w:jc w:val="center"/>
        <w:rPr>
          <w:rFonts w:ascii="Times New Roman" w:hint="eastAsia"/>
        </w:rPr>
      </w:pPr>
      <w:r>
        <w:object w:dxaOrig="6240" w:dyaOrig="3240">
          <v:shape id="_x0000_i1027" type="#_x0000_t75" style="width:312pt;height:162pt" o:ole="">
            <v:imagedata r:id="rId20" o:title=""/>
          </v:shape>
          <o:OLEObject Type="Embed" ProgID="Excel.Chart.8" ShapeID="_x0000_i1027" DrawAspect="Content" ObjectID="_1395455823" r:id="rId21">
            <o:FieldCodes>\s</o:FieldCodes>
          </o:OLEObject>
        </w:object>
      </w:r>
    </w:p>
    <w:p w:rsidR="00E96A0B" w:rsidRDefault="00E96A0B" w:rsidP="004907F9">
      <w:pPr>
        <w:spacing w:after="140"/>
        <w:ind w:leftChars="602" w:left="31680" w:right="1264" w:firstLineChars="200" w:firstLine="31680"/>
        <w:jc w:val="both"/>
        <w:rPr>
          <w:rFonts w:hAnsi="SimSun" w:hint="eastAsia"/>
        </w:rPr>
      </w:pPr>
      <w:r>
        <w:rPr>
          <w:rFonts w:hAnsi="SimSun" w:hint="eastAsia"/>
        </w:rPr>
        <w:t>该统计图说明2000年20-69岁之间的所有妇女参加乳腺癌扫描检查的百分比。</w:t>
      </w:r>
    </w:p>
    <w:p w:rsidR="00E96A0B" w:rsidRDefault="00E96A0B" w:rsidP="004907F9">
      <w:pPr>
        <w:spacing w:after="140"/>
        <w:ind w:left="1264" w:right="1264" w:firstLineChars="200" w:firstLine="31680"/>
        <w:jc w:val="both"/>
        <w:rPr>
          <w:rFonts w:hAnsi="SimSun" w:hint="eastAsia"/>
        </w:rPr>
      </w:pPr>
      <w:r>
        <w:rPr>
          <w:rFonts w:hAnsi="SimSun" w:hint="eastAsia"/>
        </w:rPr>
        <w:t>消除对妇女一切形式歧视委员会重视妇女中间的酗酒问题以及青年人包括女青年的喝酒和吸毒问题。政府对2010年之前的健康预测表明，冰岛20岁以上的人群中大约有90％的人喝酒，冰岛的酗酒率为3.5-6.3%；1998年，15岁及15岁以上人均消耗纯酒精5.56升，关于非法吸毒的消耗率数据有限。冰岛政府的目标是到2010年，把15岁及以上公民的纯酒精消耗率降到人均5.0升，同时，计划把未成年人的酒精消耗和非法吸毒减少25％。</w:t>
      </w:r>
    </w:p>
    <w:p w:rsidR="00E96A0B" w:rsidRDefault="00E96A0B">
      <w:pPr>
        <w:spacing w:after="140"/>
        <w:ind w:left="1264" w:right="1264"/>
        <w:jc w:val="both"/>
        <w:rPr>
          <w:rFonts w:ascii="SimHei" w:eastAsia="SimHei" w:hint="eastAsia"/>
          <w:color w:val="FF0000"/>
        </w:rPr>
      </w:pPr>
    </w:p>
    <w:p w:rsidR="00E96A0B" w:rsidRDefault="00E96A0B">
      <w:pPr>
        <w:spacing w:after="140"/>
        <w:ind w:left="1264" w:right="1264"/>
        <w:jc w:val="both"/>
        <w:rPr>
          <w:rFonts w:ascii="SimHei" w:eastAsia="SimHei" w:hint="eastAsia"/>
          <w:color w:val="FF0000"/>
        </w:rPr>
      </w:pPr>
    </w:p>
    <w:p w:rsidR="00E96A0B" w:rsidRDefault="00E96A0B">
      <w:pPr>
        <w:spacing w:after="140"/>
        <w:ind w:left="1264" w:right="1264"/>
        <w:jc w:val="both"/>
        <w:rPr>
          <w:rFonts w:ascii="SimHei" w:eastAsia="SimHei" w:hint="eastAsia"/>
          <w:color w:val="FF0000"/>
        </w:rPr>
      </w:pPr>
      <w:r>
        <w:rPr>
          <w:rFonts w:ascii="SimHei" w:eastAsia="SimHei" w:hint="eastAsia"/>
          <w:color w:val="FF0000"/>
        </w:rPr>
        <w:t>性教育</w:t>
      </w:r>
    </w:p>
    <w:p w:rsidR="00E96A0B" w:rsidRDefault="00E96A0B" w:rsidP="004907F9">
      <w:pPr>
        <w:spacing w:after="140"/>
        <w:ind w:left="1264" w:right="1264" w:firstLineChars="200" w:firstLine="31680"/>
        <w:jc w:val="both"/>
        <w:rPr>
          <w:rFonts w:hAnsi="SimSun" w:hint="eastAsia"/>
        </w:rPr>
      </w:pPr>
      <w:r>
        <w:rPr>
          <w:rFonts w:hAnsi="SimSun" w:hint="eastAsia"/>
        </w:rPr>
        <w:t>法律规定从小学起就要进行性教育，但实施情况各不相同。在冰岛，随处可获得避孕药具，冰岛性和生育健康联合会为青少年分发免费的避孕套。通过在学校和青年中心举办性教育讲座和讨论小组，该联合会一直积极致力于青年人的性教育，还为青少年提供咨询。女青少年可以通过家庭医生和保健中心获得避孕药片。虽然合法年龄为18岁，但无需征得女孩父母的同意就可以为14岁以上的女孩开避孕药片处方。</w:t>
      </w:r>
    </w:p>
    <w:p w:rsidR="00E96A0B" w:rsidRDefault="00E96A0B" w:rsidP="004907F9">
      <w:pPr>
        <w:spacing w:after="140"/>
        <w:ind w:left="1264" w:right="1264" w:firstLineChars="200" w:firstLine="31680"/>
        <w:jc w:val="both"/>
        <w:rPr>
          <w:rFonts w:hAnsi="SimSun" w:hint="eastAsia"/>
          <w:spacing w:val="4"/>
        </w:rPr>
      </w:pPr>
      <w:r>
        <w:rPr>
          <w:rFonts w:hAnsi="SimSun" w:hint="eastAsia"/>
          <w:spacing w:val="4"/>
        </w:rPr>
        <w:t>20岁以下的妈妈人数已经下降。1998年，分娩母亲中有6.3％年龄在20岁以下，这与1980年相比，情况已经得到很大改善，因为1980年的数字是13.9％。但是，与其他斯堪的纳维亚国家相比，冰岛年轻妈妈的生育率仍然很高。</w:t>
      </w:r>
    </w:p>
    <w:p w:rsidR="00E96A0B" w:rsidRDefault="00E96A0B">
      <w:pPr>
        <w:spacing w:after="140"/>
        <w:ind w:left="1264" w:right="1264"/>
        <w:jc w:val="both"/>
        <w:rPr>
          <w:rFonts w:ascii="SimHei" w:eastAsia="SimHei" w:hint="eastAsia"/>
          <w:color w:val="FF0000"/>
        </w:rPr>
      </w:pPr>
      <w:r>
        <w:rPr>
          <w:rFonts w:hint="eastAsia"/>
        </w:rPr>
        <w:t>表11</w:t>
      </w:r>
      <w:r>
        <w:rPr>
          <w:rFonts w:ascii="SimHei" w:eastAsia="SimHei"/>
        </w:rPr>
        <w:br/>
      </w:r>
      <w:r>
        <w:rPr>
          <w:rFonts w:ascii="SimHei" w:eastAsia="SimHei" w:hint="eastAsia"/>
          <w:color w:val="FF0000"/>
        </w:rPr>
        <w:t>1996-2001年妇女的生育率</w:t>
      </w:r>
      <w:r>
        <w:rPr>
          <w:rFonts w:ascii="SimHei" w:eastAsia="SimHei"/>
          <w:color w:val="FF0000"/>
        </w:rPr>
        <w:br/>
      </w:r>
      <w:r>
        <w:rPr>
          <w:rFonts w:ascii="SimHei" w:eastAsia="SimHei" w:hint="eastAsia"/>
          <w:color w:val="FF0000"/>
        </w:rPr>
        <w:t>1996-2001年每1000位妇女的生育率</w:t>
      </w:r>
    </w:p>
    <w:tbl>
      <w:tblPr>
        <w:tblW w:w="7350" w:type="dxa"/>
        <w:tblInd w:w="1368" w:type="dxa"/>
        <w:tblLook w:val="0000" w:firstRow="0" w:lastRow="0" w:firstColumn="0" w:lastColumn="0" w:noHBand="0" w:noVBand="0"/>
      </w:tblPr>
      <w:tblGrid>
        <w:gridCol w:w="4200"/>
        <w:gridCol w:w="3150"/>
      </w:tblGrid>
      <w:tr w:rsidR="00E96A0B">
        <w:tblPrEx>
          <w:tblCellMar>
            <w:top w:w="0" w:type="dxa"/>
            <w:bottom w:w="0" w:type="dxa"/>
          </w:tblCellMar>
        </w:tblPrEx>
        <w:trPr>
          <w:cantSplit/>
          <w:trHeight w:val="313"/>
        </w:trPr>
        <w:tc>
          <w:tcPr>
            <w:tcW w:w="7350" w:type="dxa"/>
            <w:gridSpan w:val="2"/>
            <w:tcBorders>
              <w:top w:val="single" w:sz="4" w:space="0" w:color="auto"/>
              <w:bottom w:val="single" w:sz="12" w:space="0" w:color="auto"/>
            </w:tcBorders>
          </w:tcPr>
          <w:p w:rsidR="00E96A0B" w:rsidRDefault="00E96A0B">
            <w:pPr>
              <w:spacing w:after="140"/>
              <w:jc w:val="center"/>
              <w:rPr>
                <w:rFonts w:ascii="KaiTi_GB2312" w:eastAsia="KaiTi_GB2312" w:hint="eastAsia"/>
                <w:color w:val="0000FF"/>
                <w:sz w:val="18"/>
              </w:rPr>
            </w:pPr>
            <w:r>
              <w:rPr>
                <w:rFonts w:ascii="KaiTi_GB2312" w:eastAsia="KaiTi_GB2312" w:hint="eastAsia"/>
                <w:color w:val="0000FF"/>
                <w:sz w:val="18"/>
              </w:rPr>
              <w:t>15-19岁</w:t>
            </w:r>
          </w:p>
        </w:tc>
      </w:tr>
      <w:tr w:rsidR="00E96A0B">
        <w:tblPrEx>
          <w:tblCellMar>
            <w:top w:w="0" w:type="dxa"/>
            <w:bottom w:w="0" w:type="dxa"/>
          </w:tblCellMar>
        </w:tblPrEx>
        <w:trPr>
          <w:trHeight w:val="288"/>
        </w:trPr>
        <w:tc>
          <w:tcPr>
            <w:tcW w:w="4200" w:type="dxa"/>
            <w:tcBorders>
              <w:top w:val="single" w:sz="12" w:space="0" w:color="auto"/>
            </w:tcBorders>
          </w:tcPr>
          <w:p w:rsidR="00E96A0B" w:rsidRDefault="00E96A0B">
            <w:pPr>
              <w:spacing w:after="140"/>
              <w:jc w:val="both"/>
              <w:rPr>
                <w:rFonts w:hAnsi="SimSun" w:hint="eastAsia"/>
                <w:noProof/>
                <w:sz w:val="18"/>
              </w:rPr>
            </w:pPr>
            <w:r>
              <w:rPr>
                <w:rFonts w:hAnsi="SimSun" w:hint="eastAsia"/>
                <w:noProof/>
                <w:sz w:val="18"/>
              </w:rPr>
              <w:t>1996年</w:t>
            </w:r>
          </w:p>
        </w:tc>
        <w:tc>
          <w:tcPr>
            <w:tcW w:w="3150" w:type="dxa"/>
            <w:tcBorders>
              <w:top w:val="single" w:sz="12" w:space="0" w:color="auto"/>
            </w:tcBorders>
          </w:tcPr>
          <w:p w:rsidR="00E96A0B" w:rsidRDefault="00E96A0B">
            <w:pPr>
              <w:spacing w:after="140"/>
              <w:jc w:val="right"/>
              <w:rPr>
                <w:rFonts w:hAnsi="SimSun" w:hint="eastAsia"/>
                <w:noProof/>
                <w:sz w:val="18"/>
              </w:rPr>
            </w:pPr>
            <w:r>
              <w:rPr>
                <w:rFonts w:hAnsi="SimSun" w:hint="eastAsia"/>
                <w:noProof/>
                <w:sz w:val="18"/>
              </w:rPr>
              <w:t>22.1</w:t>
            </w:r>
          </w:p>
        </w:tc>
      </w:tr>
      <w:tr w:rsidR="00E96A0B">
        <w:tblPrEx>
          <w:tblCellMar>
            <w:top w:w="0" w:type="dxa"/>
            <w:bottom w:w="0" w:type="dxa"/>
          </w:tblCellMar>
        </w:tblPrEx>
        <w:trPr>
          <w:trHeight w:val="275"/>
        </w:trPr>
        <w:tc>
          <w:tcPr>
            <w:tcW w:w="4200" w:type="dxa"/>
          </w:tcPr>
          <w:p w:rsidR="00E96A0B" w:rsidRDefault="00E96A0B">
            <w:pPr>
              <w:spacing w:after="140"/>
              <w:jc w:val="both"/>
              <w:rPr>
                <w:rFonts w:hAnsi="SimSun" w:hint="eastAsia"/>
                <w:noProof/>
                <w:sz w:val="18"/>
              </w:rPr>
            </w:pPr>
            <w:r>
              <w:rPr>
                <w:rFonts w:hAnsi="SimSun" w:hint="eastAsia"/>
                <w:noProof/>
                <w:sz w:val="18"/>
              </w:rPr>
              <w:t>1997年</w:t>
            </w:r>
          </w:p>
        </w:tc>
        <w:tc>
          <w:tcPr>
            <w:tcW w:w="3150" w:type="dxa"/>
          </w:tcPr>
          <w:p w:rsidR="00E96A0B" w:rsidRDefault="00E96A0B">
            <w:pPr>
              <w:spacing w:after="140"/>
              <w:jc w:val="right"/>
              <w:rPr>
                <w:rFonts w:hAnsi="SimSun" w:hint="eastAsia"/>
                <w:noProof/>
                <w:sz w:val="18"/>
              </w:rPr>
            </w:pPr>
            <w:r>
              <w:rPr>
                <w:rFonts w:hAnsi="SimSun" w:hint="eastAsia"/>
                <w:noProof/>
                <w:sz w:val="18"/>
              </w:rPr>
              <w:t>24.5</w:t>
            </w:r>
          </w:p>
        </w:tc>
      </w:tr>
      <w:tr w:rsidR="00E96A0B">
        <w:tblPrEx>
          <w:tblCellMar>
            <w:top w:w="0" w:type="dxa"/>
            <w:bottom w:w="0" w:type="dxa"/>
          </w:tblCellMar>
        </w:tblPrEx>
        <w:trPr>
          <w:trHeight w:val="275"/>
        </w:trPr>
        <w:tc>
          <w:tcPr>
            <w:tcW w:w="4200" w:type="dxa"/>
          </w:tcPr>
          <w:p w:rsidR="00E96A0B" w:rsidRDefault="00E96A0B">
            <w:pPr>
              <w:spacing w:after="140"/>
              <w:jc w:val="both"/>
              <w:rPr>
                <w:rFonts w:hAnsi="SimSun" w:hint="eastAsia"/>
                <w:noProof/>
                <w:sz w:val="18"/>
              </w:rPr>
            </w:pPr>
            <w:r>
              <w:rPr>
                <w:rFonts w:hAnsi="SimSun" w:hint="eastAsia"/>
                <w:noProof/>
                <w:sz w:val="18"/>
              </w:rPr>
              <w:t>1998年</w:t>
            </w:r>
          </w:p>
        </w:tc>
        <w:tc>
          <w:tcPr>
            <w:tcW w:w="3150" w:type="dxa"/>
          </w:tcPr>
          <w:p w:rsidR="00E96A0B" w:rsidRDefault="00E96A0B">
            <w:pPr>
              <w:spacing w:after="140"/>
              <w:jc w:val="right"/>
              <w:rPr>
                <w:rFonts w:hAnsi="SimSun" w:hint="eastAsia"/>
                <w:noProof/>
                <w:sz w:val="18"/>
              </w:rPr>
            </w:pPr>
            <w:r>
              <w:rPr>
                <w:rFonts w:hAnsi="SimSun" w:hint="eastAsia"/>
                <w:noProof/>
                <w:sz w:val="18"/>
              </w:rPr>
              <w:t>24.1</w:t>
            </w:r>
          </w:p>
        </w:tc>
      </w:tr>
      <w:tr w:rsidR="00E96A0B">
        <w:tblPrEx>
          <w:tblCellMar>
            <w:top w:w="0" w:type="dxa"/>
            <w:bottom w:w="0" w:type="dxa"/>
          </w:tblCellMar>
        </w:tblPrEx>
        <w:trPr>
          <w:trHeight w:val="263"/>
        </w:trPr>
        <w:tc>
          <w:tcPr>
            <w:tcW w:w="4200" w:type="dxa"/>
          </w:tcPr>
          <w:p w:rsidR="00E96A0B" w:rsidRDefault="00E96A0B">
            <w:pPr>
              <w:spacing w:after="140"/>
              <w:jc w:val="both"/>
              <w:rPr>
                <w:rFonts w:hAnsi="SimSun" w:hint="eastAsia"/>
                <w:noProof/>
                <w:sz w:val="18"/>
              </w:rPr>
            </w:pPr>
            <w:r>
              <w:rPr>
                <w:rFonts w:hAnsi="SimSun" w:hint="eastAsia"/>
                <w:noProof/>
                <w:sz w:val="18"/>
              </w:rPr>
              <w:t>1999年</w:t>
            </w:r>
          </w:p>
        </w:tc>
        <w:tc>
          <w:tcPr>
            <w:tcW w:w="3150" w:type="dxa"/>
          </w:tcPr>
          <w:p w:rsidR="00E96A0B" w:rsidRDefault="00E96A0B">
            <w:pPr>
              <w:spacing w:after="140"/>
              <w:jc w:val="right"/>
              <w:rPr>
                <w:rFonts w:hAnsi="SimSun" w:hint="eastAsia"/>
                <w:noProof/>
                <w:sz w:val="18"/>
              </w:rPr>
            </w:pPr>
            <w:r>
              <w:rPr>
                <w:rFonts w:hAnsi="SimSun" w:hint="eastAsia"/>
                <w:noProof/>
                <w:sz w:val="18"/>
              </w:rPr>
              <w:t>23.7</w:t>
            </w:r>
          </w:p>
        </w:tc>
      </w:tr>
      <w:tr w:rsidR="00E96A0B">
        <w:tblPrEx>
          <w:tblCellMar>
            <w:top w:w="0" w:type="dxa"/>
            <w:bottom w:w="0" w:type="dxa"/>
          </w:tblCellMar>
        </w:tblPrEx>
        <w:trPr>
          <w:trHeight w:val="250"/>
        </w:trPr>
        <w:tc>
          <w:tcPr>
            <w:tcW w:w="4200" w:type="dxa"/>
          </w:tcPr>
          <w:p w:rsidR="00E96A0B" w:rsidRDefault="00E96A0B">
            <w:pPr>
              <w:spacing w:after="140"/>
              <w:jc w:val="both"/>
              <w:rPr>
                <w:rFonts w:hAnsi="SimSun" w:hint="eastAsia"/>
                <w:noProof/>
                <w:sz w:val="18"/>
              </w:rPr>
            </w:pPr>
            <w:r>
              <w:rPr>
                <w:rFonts w:hAnsi="SimSun" w:hint="eastAsia"/>
                <w:noProof/>
                <w:sz w:val="18"/>
              </w:rPr>
              <w:t>2000年</w:t>
            </w:r>
          </w:p>
        </w:tc>
        <w:tc>
          <w:tcPr>
            <w:tcW w:w="3150" w:type="dxa"/>
          </w:tcPr>
          <w:p w:rsidR="00E96A0B" w:rsidRDefault="00E96A0B">
            <w:pPr>
              <w:spacing w:after="140"/>
              <w:jc w:val="right"/>
              <w:rPr>
                <w:rFonts w:hAnsi="SimSun" w:hint="eastAsia"/>
                <w:noProof/>
                <w:sz w:val="18"/>
              </w:rPr>
            </w:pPr>
            <w:r>
              <w:rPr>
                <w:rFonts w:hAnsi="SimSun" w:hint="eastAsia"/>
                <w:noProof/>
                <w:sz w:val="18"/>
              </w:rPr>
              <w:t>22.5</w:t>
            </w:r>
          </w:p>
        </w:tc>
      </w:tr>
      <w:tr w:rsidR="00E96A0B">
        <w:tblPrEx>
          <w:tblCellMar>
            <w:top w:w="0" w:type="dxa"/>
            <w:bottom w:w="0" w:type="dxa"/>
          </w:tblCellMar>
        </w:tblPrEx>
        <w:trPr>
          <w:trHeight w:val="175"/>
        </w:trPr>
        <w:tc>
          <w:tcPr>
            <w:tcW w:w="4200" w:type="dxa"/>
            <w:tcBorders>
              <w:bottom w:val="single" w:sz="12" w:space="0" w:color="auto"/>
            </w:tcBorders>
          </w:tcPr>
          <w:p w:rsidR="00E96A0B" w:rsidRDefault="00E96A0B">
            <w:pPr>
              <w:spacing w:after="140"/>
              <w:jc w:val="both"/>
              <w:rPr>
                <w:rFonts w:hAnsi="SimSun" w:hint="eastAsia"/>
                <w:noProof/>
                <w:sz w:val="18"/>
              </w:rPr>
            </w:pPr>
            <w:r>
              <w:rPr>
                <w:rFonts w:hAnsi="SimSun" w:hint="eastAsia"/>
                <w:noProof/>
                <w:sz w:val="18"/>
              </w:rPr>
              <w:t>2001年</w:t>
            </w:r>
          </w:p>
        </w:tc>
        <w:tc>
          <w:tcPr>
            <w:tcW w:w="3150" w:type="dxa"/>
            <w:tcBorders>
              <w:bottom w:val="single" w:sz="12" w:space="0" w:color="auto"/>
            </w:tcBorders>
          </w:tcPr>
          <w:p w:rsidR="00E96A0B" w:rsidRDefault="00E96A0B">
            <w:pPr>
              <w:spacing w:after="140"/>
              <w:jc w:val="right"/>
              <w:rPr>
                <w:rFonts w:hAnsi="SimSun" w:hint="eastAsia"/>
                <w:noProof/>
                <w:sz w:val="18"/>
              </w:rPr>
            </w:pPr>
            <w:r>
              <w:rPr>
                <w:rFonts w:hAnsi="SimSun" w:hint="eastAsia"/>
                <w:noProof/>
                <w:sz w:val="18"/>
              </w:rPr>
              <w:t>19.3</w:t>
            </w:r>
          </w:p>
        </w:tc>
      </w:tr>
    </w:tbl>
    <w:p w:rsidR="00E96A0B" w:rsidRDefault="00E96A0B">
      <w:pPr>
        <w:spacing w:after="140"/>
        <w:ind w:left="1264" w:right="1264"/>
        <w:jc w:val="both"/>
        <w:rPr>
          <w:rFonts w:ascii="Times New Roman" w:hint="eastAsia"/>
          <w:b/>
          <w:bCs/>
        </w:rPr>
      </w:pPr>
    </w:p>
    <w:p w:rsidR="00E96A0B" w:rsidRDefault="00E96A0B">
      <w:pPr>
        <w:spacing w:after="140"/>
        <w:ind w:left="1264" w:right="1264"/>
        <w:jc w:val="both"/>
        <w:rPr>
          <w:rFonts w:ascii="SimHei" w:eastAsia="SimHei" w:hint="eastAsia"/>
        </w:rPr>
      </w:pPr>
      <w:r>
        <w:rPr>
          <w:rFonts w:hint="eastAsia"/>
        </w:rPr>
        <w:t>表12</w:t>
      </w:r>
      <w:r>
        <w:rPr>
          <w:rFonts w:ascii="SimHei" w:eastAsia="SimHei"/>
        </w:rPr>
        <w:br/>
      </w:r>
      <w:r>
        <w:rPr>
          <w:rFonts w:ascii="SimHei" w:eastAsia="SimHei" w:hint="eastAsia"/>
          <w:color w:val="FF0000"/>
        </w:rPr>
        <w:t>1996－1998年的堕胎数</w:t>
      </w:r>
    </w:p>
    <w:tbl>
      <w:tblPr>
        <w:tblW w:w="3650" w:type="pct"/>
        <w:tblInd w:w="1368" w:type="dxa"/>
        <w:tblLook w:val="0000" w:firstRow="0" w:lastRow="0" w:firstColumn="0" w:lastColumn="0" w:noHBand="0" w:noVBand="0"/>
      </w:tblPr>
      <w:tblGrid>
        <w:gridCol w:w="2206"/>
        <w:gridCol w:w="1714"/>
        <w:gridCol w:w="1715"/>
        <w:gridCol w:w="1715"/>
      </w:tblGrid>
      <w:tr w:rsidR="00E96A0B">
        <w:tblPrEx>
          <w:tblCellMar>
            <w:top w:w="0" w:type="dxa"/>
            <w:bottom w:w="0" w:type="dxa"/>
          </w:tblCellMar>
        </w:tblPrEx>
        <w:trPr>
          <w:trHeight w:val="438"/>
        </w:trPr>
        <w:tc>
          <w:tcPr>
            <w:tcW w:w="1500" w:type="pct"/>
            <w:tcBorders>
              <w:top w:val="single" w:sz="4" w:space="0" w:color="auto"/>
              <w:bottom w:val="single" w:sz="12" w:space="0" w:color="auto"/>
            </w:tcBorders>
          </w:tcPr>
          <w:p w:rsidR="00E96A0B" w:rsidRDefault="00E96A0B">
            <w:pPr>
              <w:spacing w:after="140"/>
              <w:jc w:val="both"/>
              <w:rPr>
                <w:rFonts w:ascii="KaiTi_GB2312" w:eastAsia="KaiTi_GB2312" w:hint="eastAsia"/>
                <w:color w:val="0000FF"/>
                <w:sz w:val="15"/>
              </w:rPr>
            </w:pPr>
          </w:p>
        </w:tc>
        <w:tc>
          <w:tcPr>
            <w:tcW w:w="1166" w:type="pct"/>
            <w:tcBorders>
              <w:top w:val="single" w:sz="4" w:space="0" w:color="auto"/>
              <w:bottom w:val="single" w:sz="12" w:space="0" w:color="auto"/>
            </w:tcBorders>
          </w:tcPr>
          <w:p w:rsidR="00E96A0B" w:rsidRDefault="00E96A0B">
            <w:pPr>
              <w:spacing w:after="140"/>
              <w:jc w:val="right"/>
              <w:rPr>
                <w:rFonts w:ascii="KaiTi_GB2312" w:eastAsia="KaiTi_GB2312" w:hint="eastAsia"/>
                <w:color w:val="0000FF"/>
                <w:sz w:val="15"/>
              </w:rPr>
            </w:pPr>
            <w:r>
              <w:rPr>
                <w:rFonts w:ascii="KaiTi_GB2312" w:eastAsia="KaiTi_GB2312" w:hint="eastAsia"/>
                <w:color w:val="0000FF"/>
                <w:sz w:val="15"/>
              </w:rPr>
              <w:t>1996年</w:t>
            </w:r>
          </w:p>
        </w:tc>
        <w:tc>
          <w:tcPr>
            <w:tcW w:w="1167" w:type="pct"/>
            <w:tcBorders>
              <w:top w:val="single" w:sz="4" w:space="0" w:color="auto"/>
              <w:bottom w:val="single" w:sz="12" w:space="0" w:color="auto"/>
            </w:tcBorders>
          </w:tcPr>
          <w:p w:rsidR="00E96A0B" w:rsidRDefault="00E96A0B">
            <w:pPr>
              <w:spacing w:after="140"/>
              <w:jc w:val="right"/>
              <w:rPr>
                <w:rFonts w:ascii="KaiTi_GB2312" w:eastAsia="KaiTi_GB2312" w:hint="eastAsia"/>
                <w:color w:val="0000FF"/>
                <w:sz w:val="15"/>
              </w:rPr>
            </w:pPr>
            <w:r>
              <w:rPr>
                <w:rFonts w:ascii="KaiTi_GB2312" w:eastAsia="KaiTi_GB2312" w:hint="eastAsia"/>
                <w:color w:val="0000FF"/>
                <w:sz w:val="15"/>
              </w:rPr>
              <w:t>1997年</w:t>
            </w:r>
          </w:p>
        </w:tc>
        <w:tc>
          <w:tcPr>
            <w:tcW w:w="1167" w:type="pct"/>
            <w:tcBorders>
              <w:top w:val="single" w:sz="4" w:space="0" w:color="auto"/>
              <w:bottom w:val="single" w:sz="12" w:space="0" w:color="auto"/>
            </w:tcBorders>
          </w:tcPr>
          <w:p w:rsidR="00E96A0B" w:rsidRDefault="00E96A0B">
            <w:pPr>
              <w:spacing w:after="140"/>
              <w:jc w:val="right"/>
              <w:rPr>
                <w:rFonts w:ascii="KaiTi_GB2312" w:eastAsia="KaiTi_GB2312" w:hint="eastAsia"/>
                <w:color w:val="0000FF"/>
                <w:sz w:val="15"/>
              </w:rPr>
            </w:pPr>
            <w:r>
              <w:rPr>
                <w:rFonts w:ascii="KaiTi_GB2312" w:eastAsia="KaiTi_GB2312" w:hint="eastAsia"/>
                <w:color w:val="0000FF"/>
                <w:sz w:val="15"/>
              </w:rPr>
              <w:t>1998年</w:t>
            </w:r>
          </w:p>
        </w:tc>
      </w:tr>
      <w:tr w:rsidR="00E96A0B">
        <w:tblPrEx>
          <w:tblCellMar>
            <w:top w:w="0" w:type="dxa"/>
            <w:bottom w:w="0" w:type="dxa"/>
          </w:tblCellMar>
        </w:tblPrEx>
        <w:trPr>
          <w:trHeight w:val="300"/>
        </w:trPr>
        <w:tc>
          <w:tcPr>
            <w:tcW w:w="1500" w:type="pct"/>
            <w:tcBorders>
              <w:top w:val="single" w:sz="12" w:space="0" w:color="auto"/>
            </w:tcBorders>
          </w:tcPr>
          <w:p w:rsidR="00E96A0B" w:rsidRDefault="00E96A0B">
            <w:pPr>
              <w:spacing w:before="120" w:after="140"/>
              <w:jc w:val="both"/>
              <w:rPr>
                <w:rFonts w:ascii="SimHei" w:eastAsia="SimHei" w:hint="eastAsia"/>
                <w:sz w:val="18"/>
              </w:rPr>
            </w:pPr>
            <w:r>
              <w:rPr>
                <w:rFonts w:ascii="SimHei" w:eastAsia="SimHei" w:hint="eastAsia"/>
                <w:sz w:val="18"/>
              </w:rPr>
              <w:t>15岁以下</w:t>
            </w:r>
          </w:p>
        </w:tc>
        <w:tc>
          <w:tcPr>
            <w:tcW w:w="1166" w:type="pct"/>
            <w:tcBorders>
              <w:top w:val="single" w:sz="12" w:space="0" w:color="auto"/>
            </w:tcBorders>
          </w:tcPr>
          <w:p w:rsidR="00E96A0B" w:rsidRDefault="00E96A0B">
            <w:pPr>
              <w:spacing w:before="120" w:after="140"/>
              <w:jc w:val="right"/>
              <w:rPr>
                <w:rFonts w:ascii="Times New Roman" w:hint="eastAsia"/>
                <w:sz w:val="18"/>
              </w:rPr>
            </w:pPr>
            <w:r>
              <w:rPr>
                <w:rFonts w:ascii="Times New Roman" w:hint="eastAsia"/>
                <w:sz w:val="18"/>
              </w:rPr>
              <w:t>8</w:t>
            </w:r>
          </w:p>
        </w:tc>
        <w:tc>
          <w:tcPr>
            <w:tcW w:w="1167" w:type="pct"/>
            <w:tcBorders>
              <w:top w:val="single" w:sz="12" w:space="0" w:color="auto"/>
            </w:tcBorders>
          </w:tcPr>
          <w:p w:rsidR="00E96A0B" w:rsidRDefault="00E96A0B">
            <w:pPr>
              <w:spacing w:before="120" w:after="140"/>
              <w:jc w:val="right"/>
              <w:rPr>
                <w:rFonts w:ascii="Times New Roman" w:hint="eastAsia"/>
                <w:sz w:val="18"/>
              </w:rPr>
            </w:pPr>
            <w:r>
              <w:rPr>
                <w:rFonts w:ascii="Times New Roman" w:hint="eastAsia"/>
                <w:sz w:val="18"/>
              </w:rPr>
              <w:t>11</w:t>
            </w:r>
          </w:p>
        </w:tc>
        <w:tc>
          <w:tcPr>
            <w:tcW w:w="1167" w:type="pct"/>
            <w:tcBorders>
              <w:top w:val="single" w:sz="12" w:space="0" w:color="auto"/>
            </w:tcBorders>
          </w:tcPr>
          <w:p w:rsidR="00E96A0B" w:rsidRDefault="00E96A0B">
            <w:pPr>
              <w:spacing w:before="120" w:after="140"/>
              <w:jc w:val="right"/>
              <w:rPr>
                <w:rFonts w:ascii="Times New Roman" w:hint="eastAsia"/>
                <w:sz w:val="18"/>
              </w:rPr>
            </w:pPr>
            <w:r>
              <w:rPr>
                <w:rFonts w:ascii="Times New Roman" w:hint="eastAsia"/>
                <w:sz w:val="18"/>
              </w:rPr>
              <w:t>11</w:t>
            </w:r>
          </w:p>
        </w:tc>
      </w:tr>
      <w:tr w:rsidR="00E96A0B">
        <w:tblPrEx>
          <w:tblCellMar>
            <w:top w:w="0" w:type="dxa"/>
            <w:bottom w:w="0" w:type="dxa"/>
          </w:tblCellMar>
        </w:tblPrEx>
        <w:trPr>
          <w:trHeight w:val="326"/>
        </w:trPr>
        <w:tc>
          <w:tcPr>
            <w:tcW w:w="1500" w:type="pct"/>
            <w:tcBorders>
              <w:bottom w:val="single" w:sz="12" w:space="0" w:color="auto"/>
            </w:tcBorders>
          </w:tcPr>
          <w:p w:rsidR="00E96A0B" w:rsidRDefault="00E96A0B">
            <w:pPr>
              <w:spacing w:after="140"/>
              <w:jc w:val="both"/>
              <w:rPr>
                <w:rFonts w:ascii="SimHei" w:eastAsia="SimHei" w:hint="eastAsia"/>
                <w:sz w:val="18"/>
              </w:rPr>
            </w:pPr>
            <w:r>
              <w:rPr>
                <w:rFonts w:ascii="SimHei" w:eastAsia="SimHei" w:hint="eastAsia"/>
                <w:sz w:val="18"/>
              </w:rPr>
              <w:t>15－19岁</w:t>
            </w:r>
          </w:p>
        </w:tc>
        <w:tc>
          <w:tcPr>
            <w:tcW w:w="1166" w:type="pct"/>
            <w:tcBorders>
              <w:bottom w:val="single" w:sz="12" w:space="0" w:color="auto"/>
            </w:tcBorders>
          </w:tcPr>
          <w:p w:rsidR="00E96A0B" w:rsidRDefault="00E96A0B">
            <w:pPr>
              <w:spacing w:after="140"/>
              <w:jc w:val="right"/>
              <w:rPr>
                <w:rFonts w:ascii="Times New Roman" w:hint="eastAsia"/>
                <w:sz w:val="18"/>
              </w:rPr>
            </w:pPr>
            <w:r>
              <w:rPr>
                <w:rFonts w:ascii="Times New Roman" w:hint="eastAsia"/>
                <w:sz w:val="18"/>
              </w:rPr>
              <w:t>207</w:t>
            </w:r>
          </w:p>
        </w:tc>
        <w:tc>
          <w:tcPr>
            <w:tcW w:w="1167" w:type="pct"/>
            <w:tcBorders>
              <w:bottom w:val="single" w:sz="12" w:space="0" w:color="auto"/>
            </w:tcBorders>
          </w:tcPr>
          <w:p w:rsidR="00E96A0B" w:rsidRDefault="00E96A0B">
            <w:pPr>
              <w:spacing w:after="140"/>
              <w:jc w:val="right"/>
              <w:rPr>
                <w:rFonts w:ascii="Times New Roman" w:hint="eastAsia"/>
                <w:sz w:val="18"/>
              </w:rPr>
            </w:pPr>
            <w:r>
              <w:rPr>
                <w:rFonts w:ascii="Times New Roman" w:hint="eastAsia"/>
                <w:sz w:val="18"/>
              </w:rPr>
              <w:t>217</w:t>
            </w:r>
          </w:p>
        </w:tc>
        <w:tc>
          <w:tcPr>
            <w:tcW w:w="1167" w:type="pct"/>
            <w:tcBorders>
              <w:bottom w:val="single" w:sz="12" w:space="0" w:color="auto"/>
            </w:tcBorders>
          </w:tcPr>
          <w:p w:rsidR="00E96A0B" w:rsidRDefault="00E96A0B">
            <w:pPr>
              <w:spacing w:after="140"/>
              <w:jc w:val="right"/>
              <w:rPr>
                <w:rFonts w:ascii="Times New Roman" w:hint="eastAsia"/>
                <w:sz w:val="18"/>
              </w:rPr>
            </w:pPr>
            <w:r>
              <w:rPr>
                <w:rFonts w:ascii="Times New Roman" w:hint="eastAsia"/>
                <w:sz w:val="18"/>
              </w:rPr>
              <w:t>248</w:t>
            </w:r>
          </w:p>
        </w:tc>
      </w:tr>
    </w:tbl>
    <w:p w:rsidR="00E96A0B" w:rsidRDefault="00E96A0B">
      <w:pPr>
        <w:spacing w:after="140"/>
        <w:ind w:left="1264" w:right="1264"/>
        <w:jc w:val="both"/>
        <w:rPr>
          <w:rFonts w:ascii="Times New Roman" w:hint="eastAsia"/>
          <w:b/>
          <w:bCs/>
        </w:rPr>
      </w:pPr>
    </w:p>
    <w:p w:rsidR="00E96A0B" w:rsidRDefault="00E96A0B">
      <w:pPr>
        <w:spacing w:after="140"/>
        <w:ind w:left="1264" w:right="1264"/>
        <w:jc w:val="both"/>
        <w:rPr>
          <w:rFonts w:ascii="SimHei" w:eastAsia="SimHei" w:hint="eastAsia"/>
          <w:color w:val="FF0000"/>
        </w:rPr>
      </w:pPr>
      <w:r>
        <w:rPr>
          <w:rFonts w:ascii="Times New Roman" w:eastAsia="KaiTi_GB2312"/>
          <w:color w:val="FF0000"/>
        </w:rPr>
        <w:br w:type="page"/>
      </w:r>
      <w:r>
        <w:rPr>
          <w:rFonts w:ascii="SimHei" w:eastAsia="SimHei" w:hint="eastAsia"/>
          <w:color w:val="FF0000"/>
        </w:rPr>
        <w:t>艾滋病病毒/艾滋病以及（其他）性传播疾病</w:t>
      </w:r>
    </w:p>
    <w:p w:rsidR="00E96A0B" w:rsidRDefault="00E96A0B" w:rsidP="004907F9">
      <w:pPr>
        <w:spacing w:after="140"/>
        <w:ind w:left="1264" w:right="1264" w:firstLineChars="200" w:firstLine="31680"/>
        <w:jc w:val="both"/>
        <w:rPr>
          <w:rFonts w:hAnsi="SimSun" w:hint="eastAsia"/>
        </w:rPr>
      </w:pPr>
      <w:r>
        <w:rPr>
          <w:rFonts w:hAnsi="SimSun" w:hint="eastAsia"/>
        </w:rPr>
        <w:t>保健理事会下属的国家传染病中心制定计划和采取措施控制艾滋病病毒/艾滋病以及（其他）性传播疾病。该中心开展针对全民或特别群体的活动，主要根据宣传和教育的需要。目前，还没有专门针对妇女和女青年的计划。在保健理事会的网站上，最近对有关性传播疾病的信息进行了更新和增加，正在准备针对特殊群体的新宣传材料并开展有关活动。</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老年妇女</w:t>
      </w:r>
    </w:p>
    <w:p w:rsidR="00E96A0B" w:rsidRDefault="00E96A0B" w:rsidP="004907F9">
      <w:pPr>
        <w:spacing w:after="140"/>
        <w:ind w:left="1264" w:right="1264" w:firstLineChars="200" w:firstLine="31680"/>
        <w:jc w:val="both"/>
        <w:rPr>
          <w:rFonts w:hAnsi="SimSun" w:hint="eastAsia"/>
        </w:rPr>
      </w:pPr>
      <w:r>
        <w:rPr>
          <w:rFonts w:hAnsi="SimSun" w:hint="eastAsia"/>
        </w:rPr>
        <w:t>大多市政当局为老年妇女和老年男性提供社会家庭服务和保健服务，大多数大一点的城镇也有老年人社会中心。和男性相比，妇女更频繁地来这样的社会中心。对首都地区的小镇Mosfellsb</w:t>
      </w:r>
      <w:r>
        <w:rPr>
          <w:rFonts w:hAnsi="SimSun"/>
        </w:rPr>
        <w:t>æ</w:t>
      </w:r>
      <w:r>
        <w:rPr>
          <w:rFonts w:hAnsi="SimSun" w:hint="eastAsia"/>
        </w:rPr>
        <w:t>r的老年人对该小镇的社会中心的利用程度作了一项调查。调查显示，有80％的妇女和60％的男性了解该中心，70％的妇女来过该中心，其中44％参加过该中心的活动。另外，50％的男性来过该中心，只有22％参加过活动。</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第2款</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为怀孕提供的服务</w:t>
      </w:r>
    </w:p>
    <w:p w:rsidR="00E96A0B" w:rsidRDefault="00E96A0B" w:rsidP="004907F9">
      <w:pPr>
        <w:spacing w:after="140"/>
        <w:ind w:left="1264" w:right="1264" w:firstLineChars="200" w:firstLine="31680"/>
        <w:jc w:val="both"/>
        <w:rPr>
          <w:rFonts w:hAnsi="SimSun" w:hint="eastAsia"/>
        </w:rPr>
      </w:pPr>
      <w:r>
        <w:rPr>
          <w:rFonts w:hAnsi="SimSun" w:hint="eastAsia"/>
        </w:rPr>
        <w:t>为妇女怀孕、分娩和婴儿保健提供的服务是井然有序而有效的。准妈妈一般要看10-12次医生/助产士，每次都要对血压、重量和尿（蛋白）进行检查。妇女得到有关怀孕、分娩、哺乳和育儿的信息。对所有的妇女都提供超声波检查，为年龄在35岁以上的准妈妈进行羊水检查，以检测是否有染色体异常。还为准父母提供分娩前课程，大多数妇女都是在医疗机构分娩，主要是医院的产科病房。</w:t>
      </w:r>
    </w:p>
    <w:p w:rsidR="00E96A0B" w:rsidRDefault="00E96A0B" w:rsidP="004907F9">
      <w:pPr>
        <w:spacing w:after="140"/>
        <w:ind w:left="1264" w:right="1264" w:firstLineChars="200" w:firstLine="31680"/>
        <w:jc w:val="both"/>
        <w:rPr>
          <w:rFonts w:ascii="Times New Roman" w:hint="eastAsia"/>
        </w:rPr>
      </w:pPr>
      <w:r>
        <w:rPr>
          <w:rFonts w:hAnsi="SimSun" w:hint="eastAsia"/>
        </w:rPr>
        <w:t>前面所述的关于妇女健康的报告建议改进为产后妇女提供的服务；近几年来，已经越来越意识到，妇女在分娩以后会遇到严重的健康问题。最近，社会上对这个问题的讨论越来越多。根据上述报告，保健服务机构对哺乳期提供的帮助还不够。但是，兴趣小组和自助小组一直在提供建议和出版该问题的信息。</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新生儿</w:t>
      </w:r>
    </w:p>
    <w:p w:rsidR="00E96A0B" w:rsidRDefault="00E96A0B" w:rsidP="004907F9">
      <w:pPr>
        <w:spacing w:after="140"/>
        <w:ind w:leftChars="602" w:left="31680" w:right="1264" w:firstLineChars="200" w:firstLine="31680"/>
        <w:jc w:val="both"/>
        <w:rPr>
          <w:rFonts w:hAnsi="SimSun" w:hint="eastAsia"/>
        </w:rPr>
      </w:pPr>
      <w:r>
        <w:rPr>
          <w:rFonts w:hAnsi="SimSun" w:hint="eastAsia"/>
        </w:rPr>
        <w:t>阿库雷里初级保健中心的一个特别工作组于1992-1997年间开发了多种方式，以便通过家庭咨询和帮助，特别是使准父母和刚刚做了父母的人更好地利用现成的信息促进家庭的全面健康。</w:t>
      </w:r>
    </w:p>
    <w:p w:rsidR="00E96A0B" w:rsidRDefault="00E96A0B" w:rsidP="004907F9">
      <w:pPr>
        <w:spacing w:after="140"/>
        <w:ind w:leftChars="602" w:left="31680" w:right="1264" w:firstLineChars="200" w:firstLine="31680"/>
        <w:jc w:val="both"/>
        <w:rPr>
          <w:rFonts w:hAnsi="SimSun" w:hint="eastAsia"/>
        </w:rPr>
      </w:pPr>
      <w:r>
        <w:rPr>
          <w:rFonts w:hAnsi="SimSun" w:hint="eastAsia"/>
        </w:rPr>
        <w:t>名为“新生儿——加强家庭帮助和改善关系”的方案致力于为保健创造新的领域。母婴保健的传统工作得到了扩大，在计划中增加了家庭咨询。1997年，该项目得到了世界卫生组织欧洲区域办事处的认可。</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目标是进行预防工作，旨在不仅关注身体状况，还关注心理和社会危险因素，提供适合不同客户需要的预防形式。准则就是，良好的情感关系是良好的健康状况的基础。</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利用在母婴保健中心定期和经常性的会谈，检查和了解社会和情感危险因素，在确定解决方案时与家庭进行合作。</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家庭医生在母婴保健中心接见准妈妈。全国孕妇保健计划规定孕妇要来该中心数次，而这些面谈放在开始阶段的某一次中，为重点的变化打好基础。这些面谈用来评估在母婴保健方面应该给予的关注、同情和支持。除检查母亲的身体状况外，面谈还关注青春期以来的社会因素、情绪状态和条件。</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初级保健中心的工作人员在获得相关信息和在职业群体中间传播信息方面是经过训练的。通过教育和监督，初级保健中心的工作人员已经学会更好地利用自己和别人的经验来分析危险因素。更有目的性地去满足准父母和刚刚做了父母的人的情感需要，对那些最需要的人提供更多的帮助和治疗。</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已经显示，至少</w:t>
      </w:r>
      <w:r>
        <w:rPr>
          <w:rFonts w:ascii="Times New Roman" w:hint="eastAsia"/>
        </w:rPr>
        <w:t>30</w:t>
      </w:r>
      <w:r>
        <w:rPr>
          <w:rFonts w:ascii="Times New Roman" w:hint="eastAsia"/>
        </w:rPr>
        <w:t>％的孕妇需要更多的帮助、危机处理和某种特殊的治疗。该项目为妇女、儿童和其他家庭成员带来的健康效果没有用一般的健康指标进行衡量，但毫无疑问，所有的参加者都从这种工作方法中获益。</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全国各地一些其他保健中心正在使用或准备使用“新生儿”项目的理念。</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为准爸爸提供的教育</w:t>
      </w:r>
    </w:p>
    <w:p w:rsidR="00E96A0B" w:rsidRDefault="00E96A0B" w:rsidP="004907F9">
      <w:pPr>
        <w:spacing w:after="140"/>
        <w:ind w:left="1264" w:right="1264" w:firstLineChars="200" w:firstLine="31680"/>
        <w:jc w:val="both"/>
        <w:rPr>
          <w:rFonts w:ascii="Times New Roman" w:hint="eastAsia"/>
        </w:rPr>
      </w:pPr>
      <w:r>
        <w:rPr>
          <w:rFonts w:ascii="Times New Roman" w:hint="eastAsia"/>
        </w:rPr>
        <w:t>在首都地区的一些地方，在家长教育课程中能够为准爸爸开设一种特别的“父亲晚班”。涉及的问题有父亲身份、怀孕期和孩子出生后家庭的变化、孩子出生对家庭和工作中的男女的影响以及父亲与新生儿建立积极关系的方法。在大多数情况下，该计划由担任这些课程教师的助产士完成。</w:t>
      </w:r>
    </w:p>
    <w:p w:rsidR="00E96A0B" w:rsidRDefault="00E96A0B" w:rsidP="004907F9">
      <w:pPr>
        <w:pStyle w:val="H1"/>
        <w:spacing w:afterLines="50" w:after="156"/>
        <w:ind w:leftChars="600" w:left="31680" w:rightChars="600" w:right="31680"/>
        <w:rPr>
          <w:rFonts w:hint="eastAsia"/>
        </w:rPr>
      </w:pPr>
      <w:r>
        <w:rPr>
          <w:rFonts w:hint="eastAsia"/>
        </w:rPr>
        <w:t>第13条</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（a）项和（b）项</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请参考以前的报告。</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（c）项</w:t>
      </w:r>
    </w:p>
    <w:p w:rsidR="00E96A0B" w:rsidRDefault="00E96A0B" w:rsidP="004907F9">
      <w:pPr>
        <w:spacing w:after="140"/>
        <w:ind w:leftChars="602" w:left="31680" w:right="1264" w:firstLineChars="200" w:firstLine="31680"/>
        <w:jc w:val="both"/>
        <w:rPr>
          <w:rFonts w:hAnsi="SimSun" w:hint="eastAsia"/>
        </w:rPr>
      </w:pPr>
      <w:r>
        <w:rPr>
          <w:rFonts w:hAnsi="SimSun" w:hint="eastAsia"/>
        </w:rPr>
        <w:t>请参考第10条g项下的讨论。</w:t>
      </w:r>
    </w:p>
    <w:p w:rsidR="00E96A0B" w:rsidRDefault="00E96A0B" w:rsidP="004907F9">
      <w:pPr>
        <w:pStyle w:val="H1"/>
        <w:spacing w:afterLines="50" w:after="156"/>
        <w:ind w:leftChars="600" w:left="31680" w:rightChars="600" w:right="31680"/>
        <w:rPr>
          <w:rFonts w:hint="eastAsia"/>
        </w:rPr>
      </w:pPr>
      <w:r>
        <w:rPr>
          <w:rFonts w:hint="eastAsia"/>
        </w:rPr>
        <w:t>第14条</w:t>
      </w:r>
    </w:p>
    <w:p w:rsidR="00E96A0B" w:rsidRDefault="00E96A0B" w:rsidP="004907F9">
      <w:pPr>
        <w:spacing w:after="140"/>
        <w:ind w:left="1264" w:right="1264" w:firstLineChars="200" w:firstLine="31680"/>
        <w:jc w:val="both"/>
        <w:rPr>
          <w:rFonts w:hAnsi="SimSun" w:hint="eastAsia"/>
        </w:rPr>
      </w:pPr>
      <w:r>
        <w:rPr>
          <w:rFonts w:hAnsi="SimSun" w:hint="eastAsia"/>
        </w:rPr>
        <w:t>2002年，冰岛人口为28.625万，其中妇女为14.296万，男性为14.329万。首都之外的人口为10.825万，占37.8%，在这些人口中，男性占51.3%，女性占48.7％。首都之外的地区可以称之为农村地区。</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农村地区妇女地位的报告</w:t>
      </w:r>
    </w:p>
    <w:p w:rsidR="00E96A0B" w:rsidRDefault="00E96A0B" w:rsidP="004907F9">
      <w:pPr>
        <w:spacing w:after="140"/>
        <w:ind w:leftChars="602" w:left="31680" w:right="1264" w:firstLineChars="200" w:firstLine="31680"/>
        <w:jc w:val="both"/>
        <w:rPr>
          <w:rFonts w:hAnsi="SimSun" w:hint="eastAsia"/>
        </w:rPr>
      </w:pPr>
      <w:r>
        <w:rPr>
          <w:rFonts w:hAnsi="SimSun"/>
          <w:noProof/>
          <w:sz w:val="20"/>
        </w:rPr>
        <w:pict>
          <v:shape id="_x0000_s2051" type="#_x0000_t202" style="position:absolute;left:0;text-align:left;margin-left:52.5pt;margin-top:80pt;width:388.5pt;height:148.35pt;z-index:2" filled="f" stroked="f">
            <v:textbox style="mso-next-textbox:#_x0000_s2051">
              <w:txbxContent>
                <w:p w:rsidR="00E96A0B" w:rsidRDefault="00E96A0B">
                  <w:pPr>
                    <w:spacing w:line="240" w:lineRule="atLeast"/>
                  </w:pPr>
                  <w:r>
                    <w:pict>
                      <v:shape id="_x0000_i1030" type="#_x0000_t75" style="width:365.25pt;height:126.75pt">
                        <v:imagedata r:id="rId22" o:title=""/>
                      </v:shape>
                    </w:pict>
                  </w:r>
                </w:p>
                <w:p w:rsidR="00E96A0B" w:rsidRDefault="00E96A0B">
                  <w:pPr>
                    <w:pStyle w:val="H56"/>
                    <w:keepNext w:val="0"/>
                    <w:keepLines w:val="0"/>
                    <w:tabs>
                      <w:tab w:val="clear" w:pos="360"/>
                    </w:tabs>
                    <w:suppressAutoHyphens w:val="0"/>
                    <w:outlineLvl w:val="9"/>
                    <w:rPr>
                      <w:noProof w:val="0"/>
                      <w:spacing w:val="0"/>
                      <w:w w:val="100"/>
                    </w:rPr>
                  </w:pPr>
                </w:p>
              </w:txbxContent>
            </v:textbox>
          </v:shape>
        </w:pict>
      </w:r>
      <w:r>
        <w:rPr>
          <w:rFonts w:hAnsi="SimSun" w:hint="eastAsia"/>
        </w:rPr>
        <w:t>作为政府关于两性平等行动纲领的一部分，有关农村地区妇女地位的一份报告已于2000年6月出版。主要的结论是：从二十世纪九十年代迁移情况来看，男女相当。迁移频率最高的当属年龄在20－30之间的妇女，该年龄段的妇女有七分之一不断变化生活地区。这些年中，两性之间不同的迁移方式使得一些农村地区出现了男女失衡状况。</w:t>
      </w:r>
    </w:p>
    <w:p w:rsidR="00E96A0B" w:rsidRDefault="00E96A0B" w:rsidP="004907F9">
      <w:pPr>
        <w:spacing w:after="140"/>
        <w:ind w:leftChars="601" w:left="31680" w:right="1264" w:hangingChars="1" w:firstLine="31680"/>
        <w:jc w:val="both"/>
        <w:rPr>
          <w:rFonts w:ascii="Times New Roman"/>
        </w:rPr>
      </w:pPr>
    </w:p>
    <w:p w:rsidR="00E96A0B" w:rsidRDefault="00E96A0B" w:rsidP="004907F9">
      <w:pPr>
        <w:spacing w:after="140"/>
        <w:ind w:leftChars="601" w:left="31680" w:right="1264" w:hangingChars="1" w:firstLine="31680"/>
        <w:jc w:val="both"/>
        <w:rPr>
          <w:rFonts w:ascii="Times New Roman"/>
        </w:rPr>
      </w:pPr>
    </w:p>
    <w:p w:rsidR="00E96A0B" w:rsidRDefault="00E96A0B" w:rsidP="004907F9">
      <w:pPr>
        <w:spacing w:after="140"/>
        <w:ind w:leftChars="601" w:left="31680" w:right="1264" w:hangingChars="1" w:firstLine="31680"/>
        <w:jc w:val="both"/>
        <w:rPr>
          <w:rFonts w:ascii="Times New Roman"/>
        </w:rPr>
      </w:pPr>
    </w:p>
    <w:p w:rsidR="00E96A0B" w:rsidRDefault="00E96A0B" w:rsidP="004907F9">
      <w:pPr>
        <w:spacing w:after="140"/>
        <w:ind w:leftChars="601" w:left="31680" w:right="1264" w:hangingChars="1" w:firstLine="31680"/>
        <w:jc w:val="both"/>
        <w:rPr>
          <w:rFonts w:ascii="Times New Roman" w:hint="eastAsia"/>
          <w:sz w:val="18"/>
        </w:rPr>
      </w:pPr>
    </w:p>
    <w:p w:rsidR="00E96A0B" w:rsidRDefault="00E96A0B" w:rsidP="004907F9">
      <w:pPr>
        <w:spacing w:after="140"/>
        <w:ind w:leftChars="601" w:left="31680" w:right="1264" w:hangingChars="1" w:firstLine="31680"/>
        <w:jc w:val="both"/>
        <w:rPr>
          <w:rFonts w:ascii="Times New Roman" w:hint="eastAsia"/>
          <w:sz w:val="18"/>
        </w:rPr>
      </w:pPr>
      <w:r>
        <w:rPr>
          <w:rFonts w:ascii="Times New Roman"/>
          <w:noProof/>
          <w:sz w:val="20"/>
        </w:rPr>
        <w:pict>
          <v:shape id="_x0000_s2052" type="#_x0000_t202" style="position:absolute;left:0;text-align:left;margin-left:199.5pt;margin-top:19.15pt;width:99.75pt;height:19.2pt;z-index:3" filled="f" stroked="f">
            <v:textbox style="mso-next-textbox:#_x0000_s2052" inset="1.5mm,.5mm,1.5mm,.3mm">
              <w:txbxContent>
                <w:p w:rsidR="00E96A0B" w:rsidRDefault="00E96A0B" w:rsidP="004907F9">
                  <w:pPr>
                    <w:ind w:firstLineChars="200" w:firstLine="31680"/>
                    <w:rPr>
                      <w:rFonts w:hint="eastAsia"/>
                      <w:sz w:val="18"/>
                    </w:rPr>
                  </w:pPr>
                  <w:r>
                    <w:rPr>
                      <w:rFonts w:hint="eastAsia"/>
                      <w:sz w:val="18"/>
                    </w:rPr>
                    <w:t xml:space="preserve">  男      女</w:t>
                  </w:r>
                </w:p>
              </w:txbxContent>
            </v:textbox>
          </v:shape>
        </w:pict>
      </w:r>
    </w:p>
    <w:p w:rsidR="00E96A0B" w:rsidRDefault="00E96A0B" w:rsidP="004907F9">
      <w:pPr>
        <w:spacing w:after="140" w:line="120" w:lineRule="exact"/>
        <w:ind w:leftChars="601" w:left="31680" w:right="1264" w:hangingChars="1" w:firstLine="31680"/>
        <w:jc w:val="both"/>
        <w:rPr>
          <w:rFonts w:ascii="SimHei" w:eastAsia="SimHei"/>
          <w:sz w:val="10"/>
        </w:rPr>
      </w:pPr>
      <w:r>
        <w:rPr>
          <w:rFonts w:ascii="SimHei" w:eastAsia="SimHei" w:hint="eastAsia"/>
          <w:sz w:val="18"/>
        </w:rPr>
        <w:t>该图说明1998年每1000名居民中地区间迁移状况（紫色：妇女；红紫色：男性）。</w:t>
      </w:r>
      <w:r>
        <w:rPr>
          <w:rFonts w:ascii="SimHei" w:eastAsia="SimHei"/>
          <w:sz w:val="18"/>
        </w:rPr>
        <w:br/>
      </w:r>
    </w:p>
    <w:p w:rsidR="00E96A0B" w:rsidRDefault="00E96A0B" w:rsidP="004907F9">
      <w:pPr>
        <w:ind w:leftChars="601" w:left="31680" w:right="1264" w:hangingChars="1" w:firstLine="31680"/>
        <w:jc w:val="both"/>
        <w:rPr>
          <w:rFonts w:hAnsi="SimSun" w:hint="eastAsia"/>
          <w:sz w:val="18"/>
        </w:rPr>
      </w:pPr>
      <w:r>
        <w:rPr>
          <w:rFonts w:hAnsi="SimSun" w:hint="eastAsia"/>
          <w:sz w:val="18"/>
        </w:rPr>
        <w:t>该图说明1998年每1 000名居民中地区间迁移状况（紫色：妇女； 红紫色：男性）</w:t>
      </w:r>
    </w:p>
    <w:p w:rsidR="00E96A0B" w:rsidRDefault="00E96A0B" w:rsidP="004907F9">
      <w:pPr>
        <w:spacing w:after="140"/>
        <w:ind w:leftChars="601" w:left="31680" w:right="1264" w:hangingChars="1" w:firstLine="31680"/>
        <w:jc w:val="both"/>
        <w:rPr>
          <w:rFonts w:ascii="SimHei" w:eastAsia="SimHei" w:hint="eastAsia"/>
          <w:sz w:val="18"/>
        </w:rPr>
      </w:pPr>
      <w:r>
        <w:rPr>
          <w:rFonts w:ascii="KaiTi_GB2312" w:eastAsia="KaiTi_GB2312" w:hint="eastAsia"/>
          <w:color w:val="0000FF"/>
          <w:sz w:val="18"/>
        </w:rPr>
        <w:t>资料来源</w:t>
      </w:r>
      <w:r>
        <w:rPr>
          <w:rFonts w:ascii="SimHei" w:eastAsia="SimHei" w:hint="eastAsia"/>
          <w:sz w:val="18"/>
        </w:rPr>
        <w:t>：Bygg</w:t>
      </w:r>
      <w:r>
        <w:rPr>
          <w:rFonts w:ascii="SimHei" w:eastAsia="SimHei"/>
          <w:sz w:val="18"/>
        </w:rPr>
        <w:t>ð</w:t>
      </w:r>
      <w:r>
        <w:rPr>
          <w:rFonts w:ascii="SimHei" w:eastAsia="SimHei" w:hint="eastAsia"/>
          <w:sz w:val="18"/>
        </w:rPr>
        <w:t>abrunnur。</w:t>
      </w:r>
    </w:p>
    <w:p w:rsidR="00E96A0B" w:rsidRDefault="00E96A0B" w:rsidP="004907F9">
      <w:pPr>
        <w:spacing w:line="120" w:lineRule="exact"/>
        <w:ind w:leftChars="602" w:left="31680" w:right="1264" w:firstLineChars="200" w:firstLine="31680"/>
        <w:jc w:val="both"/>
        <w:rPr>
          <w:rFonts w:ascii="Times New Roman" w:hint="eastAsia"/>
          <w:sz w:val="10"/>
        </w:rPr>
      </w:pPr>
    </w:p>
    <w:p w:rsidR="00E96A0B" w:rsidRDefault="00E96A0B" w:rsidP="004907F9">
      <w:pPr>
        <w:spacing w:after="140"/>
        <w:ind w:leftChars="602" w:left="31680" w:right="1264" w:firstLineChars="200" w:firstLine="31680"/>
        <w:jc w:val="both"/>
        <w:rPr>
          <w:rFonts w:hAnsi="SimSun" w:hint="eastAsia"/>
        </w:rPr>
      </w:pPr>
      <w:r>
        <w:rPr>
          <w:rFonts w:hAnsi="SimSun" w:hint="eastAsia"/>
        </w:rPr>
        <w:t>生活在首都地区的妇女比生活在农村地区的妇女更多地出去工作。冬天，农村地区的妇女失业率高于首都地区的妇女失业率。1997年，43％的工作是由妇女完成的；其中，农村地区的比例是40％，首都地区是44％。</w:t>
      </w:r>
    </w:p>
    <w:p w:rsidR="00E96A0B" w:rsidRDefault="00E96A0B" w:rsidP="004907F9">
      <w:pPr>
        <w:spacing w:after="140"/>
        <w:ind w:leftChars="602" w:left="31680" w:right="1264" w:firstLineChars="200" w:firstLine="31680"/>
        <w:jc w:val="both"/>
        <w:rPr>
          <w:rFonts w:ascii="Times New Roman" w:hint="eastAsia"/>
        </w:rPr>
      </w:pPr>
      <w:r>
        <w:rPr>
          <w:rFonts w:ascii="Times New Roman" w:hint="eastAsia"/>
        </w:rPr>
        <w:t>该报告没有提高农村妇女地位措施的建议。</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两性平等顾问</w:t>
      </w:r>
    </w:p>
    <w:p w:rsidR="00E96A0B" w:rsidRDefault="00E96A0B" w:rsidP="004907F9">
      <w:pPr>
        <w:spacing w:after="140"/>
        <w:ind w:leftChars="602" w:left="31680" w:right="1264" w:firstLineChars="200" w:firstLine="31680"/>
        <w:jc w:val="both"/>
        <w:rPr>
          <w:rFonts w:hAnsi="SimSun" w:hint="eastAsia"/>
        </w:rPr>
      </w:pPr>
      <w:r>
        <w:rPr>
          <w:rFonts w:hAnsi="SimSun" w:hint="eastAsia"/>
        </w:rPr>
        <w:t>冰岛西北部的一位两性平等顾问一直在致力于改善该地区的妇女状况和增加妇女外出工作机会的计划。她的工作非常成功；她组织项目，开办课程，开展调查，提供个人咨询。与阿库雷里大学的研究学院合作，这位顾问于1998年对冰岛西北部的妇女地位进行了调查。得出的主要结论是，妇女对农场的拥有权有限：她们只是25％的农场的注册场主。而夫妻共同注册为场主的是60％。妇女似乎很少参与农村的政策制定：只有3％的妇女是委员会或理事会的成员，这与1989年所做的一项全国性调查中显示的比例相同。根据1998年的这项调查，五分之四的妇女没有积极参加农业政策制定，她们甚至不参加会议。这些结果已经报告给农民联合会。农业部正在与农民联合会合作制定一个项目，使男女农民都意识到他们的社会和经济权利。</w:t>
      </w:r>
    </w:p>
    <w:p w:rsidR="00E96A0B" w:rsidRDefault="00E96A0B" w:rsidP="004907F9">
      <w:pPr>
        <w:spacing w:after="140"/>
        <w:ind w:leftChars="602" w:left="31680" w:right="1264" w:firstLineChars="200" w:firstLine="31680"/>
        <w:jc w:val="both"/>
        <w:rPr>
          <w:rFonts w:hAnsi="SimSun" w:hint="eastAsia"/>
          <w:spacing w:val="-4"/>
        </w:rPr>
      </w:pPr>
      <w:r>
        <w:rPr>
          <w:rFonts w:hAnsi="SimSun" w:hint="eastAsia"/>
          <w:spacing w:val="-4"/>
        </w:rPr>
        <w:t>如前面所述（见第3条），社会事务部与地区发展研究所合作，在冰岛东北地区设立了一个两性平等顾问的职位，正打算在其他农村地区也设立这样的职位。西北和东北地区的两性平等顾问参加了一个有关农村妇女状况的北部边缘项目。</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妇女出去——男人留守</w:t>
      </w:r>
    </w:p>
    <w:p w:rsidR="00E96A0B" w:rsidRDefault="00E96A0B" w:rsidP="004907F9">
      <w:pPr>
        <w:spacing w:after="140"/>
        <w:ind w:left="1264" w:right="1264" w:firstLineChars="200" w:firstLine="31680"/>
        <w:jc w:val="both"/>
        <w:rPr>
          <w:rFonts w:hAnsi="SimSun" w:hint="eastAsia"/>
        </w:rPr>
      </w:pPr>
      <w:r>
        <w:rPr>
          <w:rFonts w:hAnsi="SimSun" w:hint="eastAsia"/>
        </w:rPr>
        <w:t>2002年，两性平等中心与冰岛地区研究所合作，开始了一项调查，名为“妇女出去——男人留守”，这是斯堪的纳维亚福利研究计划的一部分，由斯堪的纳维亚部长理事会领导。该调查的目标是寻找斯堪的纳维亚国家北部农村地区妇女迁移率高于男性的原因，期望调查结果能够说明北冰洋边缘地区男女不同的生活条件。</w:t>
      </w:r>
    </w:p>
    <w:p w:rsidR="00E96A0B" w:rsidRDefault="00E96A0B">
      <w:pPr>
        <w:spacing w:after="140"/>
        <w:ind w:left="1264" w:right="1264"/>
        <w:jc w:val="both"/>
        <w:rPr>
          <w:rFonts w:ascii="SimHei" w:eastAsia="SimHei" w:hint="eastAsia"/>
          <w:color w:val="FF0000"/>
        </w:rPr>
      </w:pPr>
      <w:r>
        <w:rPr>
          <w:rFonts w:ascii="SimHei" w:eastAsia="SimHei" w:hint="eastAsia"/>
          <w:color w:val="FF0000"/>
        </w:rPr>
        <w:t>农民联合会内的两性平等委员会</w:t>
      </w:r>
    </w:p>
    <w:p w:rsidR="00E96A0B" w:rsidRDefault="00E96A0B" w:rsidP="004907F9">
      <w:pPr>
        <w:spacing w:after="140"/>
        <w:ind w:left="1264" w:right="1264" w:firstLineChars="200" w:firstLine="31680"/>
        <w:jc w:val="both"/>
        <w:rPr>
          <w:rFonts w:hAnsi="SimSun" w:hint="eastAsia"/>
        </w:rPr>
      </w:pPr>
      <w:r>
        <w:rPr>
          <w:rFonts w:hAnsi="SimSun" w:hint="eastAsia"/>
        </w:rPr>
        <w:t>在2002年10月15日，也就是农业妇女的国际日，农民联合会的两性平等委员会举办了一次工作和庆祝日活动，妇女们提出了很多观点，如冰岛农村妇女如何成为新的消费者，如何使农村妇女和所有的农民拥有更多的权力，从而使农村更加强大和辉煌。农业部、社会事务部和工商业部决定给这些妇女以支助，使她们的观点发展成为一个为期三年的项目。</w:t>
      </w:r>
    </w:p>
    <w:p w:rsidR="00E96A0B" w:rsidRDefault="00E96A0B" w:rsidP="004907F9">
      <w:pPr>
        <w:pStyle w:val="H1"/>
        <w:spacing w:afterLines="50" w:after="156"/>
        <w:ind w:leftChars="600" w:left="31680" w:rightChars="600" w:right="31680"/>
        <w:rPr>
          <w:rFonts w:hint="eastAsia"/>
        </w:rPr>
      </w:pPr>
      <w:r>
        <w:rPr>
          <w:rFonts w:hint="eastAsia"/>
        </w:rPr>
        <w:t>第15条</w:t>
      </w:r>
    </w:p>
    <w:p w:rsidR="00E96A0B" w:rsidRDefault="00E96A0B" w:rsidP="004907F9">
      <w:pPr>
        <w:spacing w:after="140"/>
        <w:ind w:leftChars="602" w:left="31680" w:right="1264" w:firstLineChars="200" w:firstLine="31680"/>
        <w:jc w:val="both"/>
        <w:rPr>
          <w:rFonts w:hAnsi="SimSun" w:hint="eastAsia"/>
        </w:rPr>
      </w:pPr>
      <w:r>
        <w:rPr>
          <w:rFonts w:hAnsi="SimSun" w:hint="eastAsia"/>
        </w:rPr>
        <w:t>请参考以前的报告和第2条下的讨论。</w:t>
      </w:r>
    </w:p>
    <w:p w:rsidR="00E96A0B" w:rsidRDefault="00E96A0B" w:rsidP="004907F9">
      <w:pPr>
        <w:pStyle w:val="H1"/>
        <w:spacing w:afterLines="50" w:after="156"/>
        <w:ind w:leftChars="600" w:left="31680" w:rightChars="600" w:right="31680"/>
        <w:rPr>
          <w:rFonts w:hint="eastAsia"/>
        </w:rPr>
      </w:pPr>
      <w:r>
        <w:rPr>
          <w:rFonts w:hint="eastAsia"/>
        </w:rPr>
        <w:t>第16条</w:t>
      </w:r>
    </w:p>
    <w:p w:rsidR="00E96A0B" w:rsidRDefault="00E96A0B" w:rsidP="004907F9">
      <w:pPr>
        <w:spacing w:after="140"/>
        <w:ind w:leftChars="602" w:left="31680" w:right="1264" w:firstLineChars="200" w:firstLine="31680"/>
        <w:rPr>
          <w:rFonts w:ascii="Times New Roman" w:hint="eastAsia"/>
        </w:rPr>
      </w:pPr>
      <w:r>
        <w:rPr>
          <w:rFonts w:ascii="Times New Roman" w:hint="eastAsia"/>
        </w:rPr>
        <w:t>请参考以前的报告。</w:t>
      </w:r>
    </w:p>
    <w:p w:rsidR="00E96A0B" w:rsidRDefault="00E96A0B" w:rsidP="004907F9">
      <w:pPr>
        <w:spacing w:line="240" w:lineRule="auto"/>
        <w:ind w:leftChars="602" w:left="31680" w:right="1264" w:firstLineChars="200" w:firstLine="31680"/>
        <w:rPr>
          <w:rFonts w:ascii="Times New Roman" w:eastAsia="SimHei" w:hint="eastAsia"/>
        </w:rPr>
      </w:pPr>
      <w:r>
        <w:rPr>
          <w:rFonts w:ascii="Times New Roman" w:eastAsia="SimHei"/>
          <w:noProof/>
          <w:sz w:val="20"/>
        </w:rPr>
        <w:pict>
          <v:line id="_x0000_s2053" style="position:absolute;left:0;text-align:left;z-index:4" from="189pt,99.8pt" to="261pt,99.8pt" strokeweight=".25pt">
            <w10:anchorlock/>
          </v:line>
        </w:pict>
      </w:r>
    </w:p>
    <w:p w:rsidR="00E96A0B" w:rsidRDefault="00E96A0B" w:rsidP="004907F9">
      <w:pPr>
        <w:spacing w:after="140"/>
        <w:ind w:leftChars="602" w:left="31680" w:right="1264" w:firstLineChars="200" w:firstLine="31680"/>
        <w:rPr>
          <w:rFonts w:ascii="Times New Roman" w:eastAsia="SimHei" w:hint="eastAsia"/>
        </w:rPr>
      </w:pPr>
    </w:p>
    <w:p w:rsidR="00E96A0B" w:rsidRDefault="00E96A0B" w:rsidP="004907F9">
      <w:pPr>
        <w:spacing w:after="140"/>
        <w:ind w:leftChars="602" w:left="31680" w:right="1264" w:firstLineChars="200" w:firstLine="31680"/>
        <w:rPr>
          <w:rFonts w:eastAsia="SimHei"/>
          <w:sz w:val="24"/>
        </w:rPr>
      </w:pPr>
      <w:r>
        <w:rPr>
          <w:rFonts w:ascii="Times New Roman" w:eastAsia="SimHei" w:hint="eastAsia"/>
        </w:rPr>
        <w:t>本文件提及的附件将只以英文的形式提供给消除对妇女歧视委员会专家，供参考使用。</w:t>
      </w:r>
    </w:p>
    <w:p w:rsidR="00E96A0B" w:rsidRDefault="00E96A0B">
      <w:pPr>
        <w:pStyle w:val="SingleTxt"/>
      </w:pPr>
    </w:p>
    <w:sectPr w:rsidR="00E96A0B">
      <w:type w:val="continuous"/>
      <w:pgSz w:w="12242" w:h="15842" w:code="1"/>
      <w:pgMar w:top="1742" w:right="1195" w:bottom="1898" w:left="1195" w:header="576" w:footer="1030" w:gutter="0"/>
      <w:pgNumType w:start="1"/>
      <w:cols w:space="425"/>
      <w:noEndnote/>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E96A0B" w:rsidRDefault="00E96A0B">
      <w:pPr>
        <w:pStyle w:val="CommentText"/>
      </w:pPr>
      <w:r>
        <w:fldChar w:fldCharType="begin"/>
      </w:r>
      <w:r>
        <w:instrText>PAGE</w:instrText>
      </w:r>
      <w:r>
        <w:rPr>
          <w:rFonts w:hint="eastAsia"/>
        </w:rPr>
        <w:instrText xml:space="preserve"> \# "'页：'#'</w:instrText>
      </w:r>
      <w:r>
        <w:rPr>
          <w:rFonts w:hint="eastAsia"/>
        </w:rPr>
        <w:br/>
        <w:instrText>'"</w:instrText>
      </w:r>
      <w:r>
        <w:rPr>
          <w:rStyle w:val="CommentReference"/>
        </w:rPr>
        <w:instrText xml:space="preserve">  </w:instrText>
      </w:r>
      <w:r>
        <w:fldChar w:fldCharType="separate"/>
      </w:r>
      <w:r>
        <w:rPr>
          <w:rFonts w:hint="eastAsia"/>
          <w:noProof/>
        </w:rPr>
        <w:t>页：</w:t>
      </w:r>
      <w:r>
        <w:rPr>
          <w:noProof/>
        </w:rPr>
        <w:t>1</w:t>
      </w:r>
      <w:r>
        <w:rPr>
          <w:rFonts w:hint="eastAsia"/>
          <w:noProof/>
        </w:rPr>
        <w:br/>
      </w:r>
      <w:r>
        <w:fldChar w:fldCharType="end"/>
      </w:r>
      <w:r>
        <w:rPr>
          <w:rStyle w:val="CommentReference"/>
          <w:rFonts w:hint="eastAsia"/>
        </w:rPr>
        <w:annotationRef/>
      </w:r>
      <w:r>
        <w:t>&lt;&lt;ODS JOB NO&gt;&gt;N0363425C&lt;&lt;ODS JOB NO&gt;&gt;</w:t>
      </w:r>
    </w:p>
    <w:p w:rsidR="00E96A0B" w:rsidRDefault="00E96A0B">
      <w:pPr>
        <w:pStyle w:val="CommentText"/>
      </w:pPr>
      <w:r>
        <w:t>&lt;&lt;ODS DOC SYMBOL1&gt;&gt;CEDAW/C/ICE/5&lt;&lt;ODS DOC SYMBOL1&gt;&gt;</w:t>
      </w:r>
    </w:p>
    <w:p w:rsidR="00E96A0B" w:rsidRDefault="00E96A0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07F9">
      <w:pPr>
        <w:spacing w:line="240" w:lineRule="auto"/>
      </w:pPr>
      <w:r>
        <w:separator/>
      </w:r>
    </w:p>
  </w:endnote>
  <w:endnote w:type="continuationSeparator" w:id="0">
    <w:p w:rsidR="00000000" w:rsidRDefault="00490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altName w:val="Arial Unicode MS"/>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96A0B">
      <w:tblPrEx>
        <w:tblCellMar>
          <w:top w:w="0" w:type="dxa"/>
          <w:bottom w:w="0" w:type="dxa"/>
        </w:tblCellMar>
      </w:tblPrEx>
      <w:tc>
        <w:tcPr>
          <w:tcW w:w="5034" w:type="dxa"/>
          <w:vAlign w:val="bottom"/>
        </w:tcPr>
        <w:p w:rsidR="00E96A0B" w:rsidRDefault="00E96A0B">
          <w:pPr>
            <w:pStyle w:val="Footer"/>
          </w:pPr>
          <w:r>
            <w:fldChar w:fldCharType="begin"/>
          </w:r>
          <w:r>
            <w:instrText xml:space="preserve"> PAGE  \* MERGEFORMAT </w:instrText>
          </w:r>
          <w:r>
            <w:fldChar w:fldCharType="separate"/>
          </w:r>
          <w:r>
            <w:t>62</w:t>
          </w:r>
          <w:r>
            <w:fldChar w:fldCharType="end"/>
          </w:r>
        </w:p>
      </w:tc>
      <w:tc>
        <w:tcPr>
          <w:tcW w:w="5034" w:type="dxa"/>
          <w:vAlign w:val="bottom"/>
        </w:tcPr>
        <w:p w:rsidR="00E96A0B" w:rsidRDefault="00E96A0B">
          <w:pPr>
            <w:pStyle w:val="Footer"/>
            <w:jc w:val="right"/>
          </w:pPr>
        </w:p>
      </w:tc>
    </w:tr>
  </w:tbl>
  <w:p w:rsidR="00E96A0B" w:rsidRDefault="00E9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4"/>
      <w:gridCol w:w="5034"/>
    </w:tblGrid>
    <w:tr w:rsidR="00E96A0B">
      <w:tblPrEx>
        <w:tblCellMar>
          <w:top w:w="0" w:type="dxa"/>
          <w:bottom w:w="0" w:type="dxa"/>
        </w:tblCellMar>
      </w:tblPrEx>
      <w:tc>
        <w:tcPr>
          <w:tcW w:w="5034" w:type="dxa"/>
          <w:vAlign w:val="bottom"/>
        </w:tcPr>
        <w:p w:rsidR="00E96A0B" w:rsidRDefault="00E96A0B">
          <w:pPr>
            <w:pStyle w:val="Footer"/>
          </w:pPr>
        </w:p>
      </w:tc>
      <w:tc>
        <w:tcPr>
          <w:tcW w:w="5034" w:type="dxa"/>
          <w:vAlign w:val="bottom"/>
        </w:tcPr>
        <w:p w:rsidR="00E96A0B" w:rsidRDefault="00E96A0B">
          <w:pPr>
            <w:pStyle w:val="Footer"/>
            <w:jc w:val="right"/>
          </w:pPr>
          <w:r>
            <w:fldChar w:fldCharType="begin"/>
          </w:r>
          <w:r>
            <w:instrText xml:space="preserve"> PAGE  \* MERGEFORMAT </w:instrText>
          </w:r>
          <w:r>
            <w:fldChar w:fldCharType="separate"/>
          </w:r>
          <w:r>
            <w:t>61</w:t>
          </w:r>
          <w:r>
            <w:fldChar w:fldCharType="end"/>
          </w:r>
        </w:p>
      </w:tc>
    </w:tr>
  </w:tbl>
  <w:p w:rsidR="00E96A0B" w:rsidRDefault="00E9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0B" w:rsidRDefault="00E96A0B">
    <w:pPr>
      <w:pStyle w:val="Footer"/>
      <w:rPr>
        <w:b w:val="0"/>
        <w:sz w:val="21"/>
      </w:rPr>
    </w:pPr>
    <w:r>
      <w:rPr>
        <w:b w:val="0"/>
        <w:sz w:val="21"/>
      </w:rPr>
      <w:t>03-63425 (C)    120204    130204</w:t>
    </w:r>
  </w:p>
  <w:p w:rsidR="00E96A0B" w:rsidRDefault="00E96A0B">
    <w:pPr>
      <w:spacing w:before="60" w:line="200" w:lineRule="exact"/>
      <w:rPr>
        <w:rFonts w:ascii="Barcode 3 of 9 by request" w:hAnsi="Barcode 3 of 9 by request"/>
        <w:b/>
      </w:rPr>
    </w:pPr>
    <w:r>
      <w:rPr>
        <w:rFonts w:ascii="Barcode 3 of 9 by request" w:hAnsi="Barcode 3 of 9 by request"/>
        <w:b/>
      </w:rPr>
      <w:t>*0363425*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0B" w:rsidRDefault="00E96A0B">
      <w:pPr>
        <w:pStyle w:val="Footer"/>
        <w:spacing w:after="80"/>
        <w:ind w:left="792"/>
        <w:rPr>
          <w:sz w:val="16"/>
        </w:rPr>
      </w:pPr>
      <w:r>
        <w:rPr>
          <w:sz w:val="16"/>
        </w:rPr>
        <w:t>__________________</w:t>
      </w:r>
    </w:p>
  </w:footnote>
  <w:footnote w:type="continuationSeparator" w:id="0">
    <w:p w:rsidR="00E96A0B" w:rsidRDefault="00E96A0B">
      <w:pPr>
        <w:pStyle w:val="Footer"/>
        <w:spacing w:after="80"/>
        <w:ind w:left="792"/>
        <w:rPr>
          <w:sz w:val="16"/>
        </w:rPr>
      </w:pPr>
      <w:r>
        <w:rPr>
          <w:sz w:val="16"/>
        </w:rPr>
        <w:t>__________________</w:t>
      </w:r>
    </w:p>
  </w:footnote>
  <w:footnote w:id="1">
    <w:p w:rsidR="00E96A0B" w:rsidRDefault="00E96A0B">
      <w:pPr>
        <w:pStyle w:val="FootnoteText"/>
        <w:tabs>
          <w:tab w:val="clear" w:pos="418"/>
          <w:tab w:val="right" w:pos="1195"/>
          <w:tab w:val="left" w:pos="1264"/>
          <w:tab w:val="left" w:pos="1695"/>
          <w:tab w:val="left" w:pos="2126"/>
          <w:tab w:val="left" w:pos="2557"/>
        </w:tabs>
        <w:ind w:left="1264" w:right="1264" w:hanging="432"/>
        <w:jc w:val="both"/>
      </w:pPr>
      <w:r>
        <w:rPr>
          <w:rFonts w:ascii="Times New Roman"/>
          <w:vertAlign w:val="superscript"/>
        </w:rPr>
        <w:tab/>
        <w:t>*</w:t>
      </w:r>
      <w:r>
        <w:rPr>
          <w:rFonts w:ascii="Times New Roman"/>
        </w:rPr>
        <w:tab/>
      </w:r>
      <w:r>
        <w:rPr>
          <w:rFonts w:hint="eastAsia"/>
        </w:rPr>
        <w:t>关于冰岛政府提交的初次和第二次合并定期报告，见CEDAW/C/ICE/1-2，由委员会第十五届会议审议；关于冰岛政府提交的第三次和第四次合并定期报告，见CEDAW/C/ICE/3-4，由委员会第二十六届会议审议。本文件未经正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0B" w:rsidRDefault="00E96A0B">
    <w:pPr>
      <w:pStyle w:val="Header"/>
    </w:pPr>
    <w:r>
      <w:rPr>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8"/>
                </w:tblGrid>
                <w:tr w:rsidR="00E96A0B">
                  <w:tblPrEx>
                    <w:tblCellMar>
                      <w:top w:w="0" w:type="dxa"/>
                      <w:bottom w:w="0" w:type="dxa"/>
                    </w:tblCellMar>
                  </w:tblPrEx>
                  <w:trPr>
                    <w:trHeight w:hRule="exact" w:val="864"/>
                  </w:trPr>
                  <w:tc>
                    <w:tcPr>
                      <w:tcW w:w="4838" w:type="dxa"/>
                      <w:vAlign w:val="bottom"/>
                    </w:tcPr>
                    <w:p w:rsidR="00E96A0B" w:rsidRDefault="00E96A0B">
                      <w:pPr>
                        <w:pStyle w:val="Header"/>
                        <w:spacing w:after="80"/>
                        <w:rPr>
                          <w:b/>
                          <w:sz w:val="17"/>
                        </w:rPr>
                      </w:pPr>
                      <w:r>
                        <w:rPr>
                          <w:b/>
                          <w:sz w:val="17"/>
                        </w:rPr>
                        <w:t>CEDAW/C/ICE/5</w:t>
                      </w:r>
                    </w:p>
                  </w:tc>
                  <w:tc>
                    <w:tcPr>
                      <w:tcW w:w="5048" w:type="dxa"/>
                      <w:vAlign w:val="bottom"/>
                    </w:tcPr>
                    <w:p w:rsidR="00E96A0B" w:rsidRDefault="00E96A0B">
                      <w:pPr>
                        <w:pStyle w:val="Header"/>
                      </w:pPr>
                    </w:p>
                  </w:tc>
                </w:tr>
              </w:tbl>
              <w:p w:rsidR="00E96A0B" w:rsidRDefault="00E96A0B"/>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0B" w:rsidRDefault="00E96A0B">
    <w:pPr>
      <w:pStyle w:val="Header"/>
    </w:pPr>
    <w:r>
      <w:rPr>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8"/>
                </w:tblGrid>
                <w:tr w:rsidR="00E96A0B">
                  <w:tblPrEx>
                    <w:tblCellMar>
                      <w:top w:w="0" w:type="dxa"/>
                      <w:bottom w:w="0" w:type="dxa"/>
                    </w:tblCellMar>
                  </w:tblPrEx>
                  <w:trPr>
                    <w:trHeight w:hRule="exact" w:val="864"/>
                  </w:trPr>
                  <w:tc>
                    <w:tcPr>
                      <w:tcW w:w="4838" w:type="dxa"/>
                      <w:vAlign w:val="bottom"/>
                    </w:tcPr>
                    <w:p w:rsidR="00E96A0B" w:rsidRDefault="00E96A0B">
                      <w:pPr>
                        <w:pStyle w:val="Header"/>
                      </w:pPr>
                    </w:p>
                  </w:tc>
                  <w:tc>
                    <w:tcPr>
                      <w:tcW w:w="5048" w:type="dxa"/>
                      <w:vAlign w:val="bottom"/>
                    </w:tcPr>
                    <w:p w:rsidR="00E96A0B" w:rsidRDefault="00E96A0B">
                      <w:pPr>
                        <w:pStyle w:val="Header"/>
                        <w:spacing w:after="80"/>
                        <w:jc w:val="right"/>
                        <w:rPr>
                          <w:b/>
                          <w:sz w:val="17"/>
                        </w:rPr>
                      </w:pPr>
                      <w:r>
                        <w:rPr>
                          <w:b/>
                          <w:sz w:val="17"/>
                        </w:rPr>
                        <w:t>CEDAW/C/ICE/5</w:t>
                      </w:r>
                    </w:p>
                  </w:tc>
                </w:tr>
              </w:tbl>
              <w:p w:rsidR="00E96A0B" w:rsidRDefault="00E96A0B"/>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E96A0B">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E96A0B" w:rsidRDefault="00E96A0B">
          <w:pPr>
            <w:pStyle w:val="Header"/>
            <w:spacing w:after="120"/>
          </w:pPr>
        </w:p>
      </w:tc>
      <w:tc>
        <w:tcPr>
          <w:tcW w:w="1872" w:type="dxa"/>
          <w:tcBorders>
            <w:top w:val="nil"/>
            <w:left w:val="nil"/>
            <w:bottom w:val="single" w:sz="4" w:space="0" w:color="auto"/>
            <w:right w:val="nil"/>
          </w:tcBorders>
          <w:vAlign w:val="bottom"/>
        </w:tcPr>
        <w:p w:rsidR="00E96A0B" w:rsidRDefault="00E96A0B">
          <w:pPr>
            <w:pStyle w:val="HCh"/>
            <w:spacing w:after="80"/>
            <w:rPr>
              <w:rFonts w:eastAsia="SimSun"/>
              <w:spacing w:val="40"/>
              <w:w w:val="96"/>
            </w:rPr>
          </w:pPr>
          <w:r>
            <w:rPr>
              <w:rFonts w:eastAsia="SimSun" w:hint="eastAsia"/>
              <w:spacing w:val="40"/>
              <w:w w:val="96"/>
            </w:rPr>
            <w:t>联合国</w:t>
          </w:r>
        </w:p>
      </w:tc>
      <w:tc>
        <w:tcPr>
          <w:tcW w:w="245" w:type="dxa"/>
          <w:tcBorders>
            <w:top w:val="nil"/>
            <w:left w:val="nil"/>
            <w:bottom w:val="single" w:sz="4" w:space="0" w:color="auto"/>
            <w:right w:val="nil"/>
          </w:tcBorders>
          <w:vAlign w:val="bottom"/>
        </w:tcPr>
        <w:p w:rsidR="00E96A0B" w:rsidRDefault="00E96A0B">
          <w:pPr>
            <w:pStyle w:val="Header"/>
            <w:spacing w:after="120"/>
          </w:pPr>
        </w:p>
      </w:tc>
      <w:tc>
        <w:tcPr>
          <w:tcW w:w="6523" w:type="dxa"/>
          <w:gridSpan w:val="3"/>
          <w:tcBorders>
            <w:top w:val="nil"/>
            <w:left w:val="nil"/>
            <w:bottom w:val="single" w:sz="4" w:space="0" w:color="auto"/>
            <w:right w:val="nil"/>
          </w:tcBorders>
          <w:vAlign w:val="bottom"/>
        </w:tcPr>
        <w:p w:rsidR="00E96A0B" w:rsidRDefault="00E96A0B">
          <w:pPr>
            <w:spacing w:after="80" w:line="240" w:lineRule="auto"/>
            <w:jc w:val="right"/>
            <w:rPr>
              <w:rFonts w:ascii="Times New Roman"/>
              <w:position w:val="-4"/>
              <w:sz w:val="20"/>
            </w:rPr>
          </w:pPr>
          <w:r>
            <w:rPr>
              <w:rFonts w:ascii="Times New Roman"/>
              <w:position w:val="-4"/>
              <w:sz w:val="40"/>
            </w:rPr>
            <w:t>CEDAW</w:t>
          </w:r>
          <w:r>
            <w:rPr>
              <w:rFonts w:ascii="Times New Roman"/>
              <w:position w:val="-4"/>
              <w:sz w:val="20"/>
            </w:rPr>
            <w:t>/C/ICE/5</w:t>
          </w:r>
        </w:p>
      </w:tc>
    </w:tr>
    <w:tr w:rsidR="00E96A0B">
      <w:tblPrEx>
        <w:tblCellMar>
          <w:top w:w="0" w:type="dxa"/>
          <w:bottom w:w="0" w:type="dxa"/>
        </w:tblCellMar>
      </w:tblPrEx>
      <w:trPr>
        <w:trHeight w:hRule="exact" w:val="2880"/>
      </w:trPr>
      <w:tc>
        <w:tcPr>
          <w:tcW w:w="1267" w:type="dxa"/>
          <w:tcBorders>
            <w:left w:val="nil"/>
            <w:bottom w:val="single" w:sz="12" w:space="0" w:color="auto"/>
            <w:right w:val="nil"/>
          </w:tcBorders>
        </w:tcPr>
        <w:p w:rsidR="00E96A0B" w:rsidRDefault="00E96A0B">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7.25pt">
                <v:imagedata r:id="rId1" o:title="_unlogo"/>
              </v:shape>
            </w:pict>
          </w:r>
        </w:p>
        <w:p w:rsidR="00E96A0B" w:rsidRDefault="00E96A0B">
          <w:pPr>
            <w:pStyle w:val="Header"/>
            <w:spacing w:before="109"/>
            <w:ind w:left="-72"/>
          </w:pPr>
        </w:p>
      </w:tc>
      <w:tc>
        <w:tcPr>
          <w:tcW w:w="5227" w:type="dxa"/>
          <w:gridSpan w:val="3"/>
          <w:tcBorders>
            <w:left w:val="nil"/>
            <w:bottom w:val="single" w:sz="12" w:space="0" w:color="auto"/>
            <w:right w:val="nil"/>
          </w:tcBorders>
        </w:tcPr>
        <w:p w:rsidR="00E96A0B" w:rsidRDefault="00E96A0B">
          <w:pPr>
            <w:pStyle w:val="XLarge"/>
            <w:spacing w:before="109" w:after="140" w:line="400" w:lineRule="exact"/>
            <w:rPr>
              <w:sz w:val="34"/>
            </w:rPr>
          </w:pPr>
          <w:r>
            <w:rPr>
              <w:rFonts w:hint="eastAsia"/>
              <w:sz w:val="34"/>
            </w:rPr>
            <w:t>消除对妇女一切形式歧视公约</w:t>
          </w:r>
        </w:p>
      </w:tc>
      <w:tc>
        <w:tcPr>
          <w:tcW w:w="245" w:type="dxa"/>
          <w:tcBorders>
            <w:left w:val="nil"/>
            <w:bottom w:val="single" w:sz="12" w:space="0" w:color="auto"/>
            <w:right w:val="nil"/>
          </w:tcBorders>
        </w:tcPr>
        <w:p w:rsidR="00E96A0B" w:rsidRDefault="00E96A0B">
          <w:pPr>
            <w:pStyle w:val="Header"/>
            <w:spacing w:before="109"/>
          </w:pPr>
        </w:p>
      </w:tc>
      <w:tc>
        <w:tcPr>
          <w:tcW w:w="3180" w:type="dxa"/>
          <w:gridSpan w:val="2"/>
          <w:tcBorders>
            <w:left w:val="nil"/>
            <w:bottom w:val="single" w:sz="12" w:space="0" w:color="auto"/>
            <w:right w:val="nil"/>
          </w:tcBorders>
        </w:tcPr>
        <w:p w:rsidR="00E96A0B" w:rsidRDefault="00E96A0B">
          <w:pPr>
            <w:spacing w:before="240" w:line="240" w:lineRule="exact"/>
            <w:rPr>
              <w:rFonts w:ascii="Times New Roman"/>
            </w:rPr>
          </w:pPr>
          <w:r>
            <w:rPr>
              <w:rFonts w:ascii="Times New Roman"/>
            </w:rPr>
            <w:t>Distr.: General</w:t>
          </w:r>
        </w:p>
        <w:p w:rsidR="00E96A0B" w:rsidRDefault="00E96A0B">
          <w:pPr>
            <w:spacing w:line="240" w:lineRule="exact"/>
            <w:rPr>
              <w:rFonts w:ascii="Times New Roman"/>
            </w:rPr>
          </w:pPr>
          <w:r>
            <w:rPr>
              <w:rFonts w:ascii="Times New Roman"/>
            </w:rPr>
            <w:t>26 November 2003</w:t>
          </w:r>
        </w:p>
        <w:p w:rsidR="00E96A0B" w:rsidRDefault="00E96A0B">
          <w:pPr>
            <w:spacing w:line="240" w:lineRule="exact"/>
            <w:rPr>
              <w:rFonts w:ascii="Times New Roman"/>
            </w:rPr>
          </w:pPr>
          <w:r>
            <w:rPr>
              <w:rFonts w:ascii="Times New Roman"/>
            </w:rPr>
            <w:t>Chinese</w:t>
          </w:r>
        </w:p>
        <w:p w:rsidR="00E96A0B" w:rsidRDefault="00E96A0B">
          <w:pPr>
            <w:spacing w:line="240" w:lineRule="exact"/>
            <w:rPr>
              <w:rFonts w:ascii="Times New Roman"/>
            </w:rPr>
          </w:pPr>
          <w:r>
            <w:rPr>
              <w:rFonts w:ascii="Times New Roman"/>
            </w:rPr>
            <w:t>Original: English</w:t>
          </w:r>
        </w:p>
      </w:tc>
    </w:tr>
  </w:tbl>
  <w:p w:rsidR="00E96A0B" w:rsidRDefault="00E96A0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B64"/>
    <w:multiLevelType w:val="hybridMultilevel"/>
    <w:tmpl w:val="F3D00C2E"/>
    <w:lvl w:ilvl="0" w:tplc="98F69D2A">
      <w:start w:val="1"/>
      <w:numFmt w:val="bullet"/>
      <w:lvlText w:val=""/>
      <w:lvlJc w:val="left"/>
      <w:pPr>
        <w:tabs>
          <w:tab w:val="num" w:pos="1740"/>
        </w:tabs>
        <w:ind w:left="17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4903F82"/>
    <w:multiLevelType w:val="hybridMultilevel"/>
    <w:tmpl w:val="9A8EDEEC"/>
    <w:lvl w:ilvl="0" w:tplc="06ECC448">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CA5169"/>
    <w:multiLevelType w:val="hybridMultilevel"/>
    <w:tmpl w:val="BF0E0256"/>
    <w:lvl w:ilvl="0" w:tplc="740C7302">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75"/>
        </w:tabs>
        <w:ind w:left="1275" w:hanging="420"/>
      </w:pPr>
      <w:rPr>
        <w:rFonts w:ascii="Wingdings" w:hAnsi="Wingdings" w:hint="default"/>
      </w:rPr>
    </w:lvl>
    <w:lvl w:ilvl="2" w:tplc="04090005"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3" w:tentative="1">
      <w:start w:val="1"/>
      <w:numFmt w:val="bullet"/>
      <w:lvlText w:val=""/>
      <w:lvlJc w:val="left"/>
      <w:pPr>
        <w:tabs>
          <w:tab w:val="num" w:pos="2535"/>
        </w:tabs>
        <w:ind w:left="2535" w:hanging="420"/>
      </w:pPr>
      <w:rPr>
        <w:rFonts w:ascii="Wingdings" w:hAnsi="Wingdings" w:hint="default"/>
      </w:rPr>
    </w:lvl>
    <w:lvl w:ilvl="5" w:tplc="04090005"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3" w:tentative="1">
      <w:start w:val="1"/>
      <w:numFmt w:val="bullet"/>
      <w:lvlText w:val=""/>
      <w:lvlJc w:val="left"/>
      <w:pPr>
        <w:tabs>
          <w:tab w:val="num" w:pos="3795"/>
        </w:tabs>
        <w:ind w:left="3795" w:hanging="420"/>
      </w:pPr>
      <w:rPr>
        <w:rFonts w:ascii="Wingdings" w:hAnsi="Wingdings" w:hint="default"/>
      </w:rPr>
    </w:lvl>
    <w:lvl w:ilvl="8" w:tplc="04090005" w:tentative="1">
      <w:start w:val="1"/>
      <w:numFmt w:val="bullet"/>
      <w:lvlText w:val=""/>
      <w:lvlJc w:val="left"/>
      <w:pPr>
        <w:tabs>
          <w:tab w:val="num" w:pos="4215"/>
        </w:tabs>
        <w:ind w:left="4215" w:hanging="420"/>
      </w:pPr>
      <w:rPr>
        <w:rFonts w:ascii="Wingdings" w:hAnsi="Wingdings" w:hint="default"/>
      </w:rPr>
    </w:lvl>
  </w:abstractNum>
  <w:abstractNum w:abstractNumId="3">
    <w:nsid w:val="115D4B4A"/>
    <w:multiLevelType w:val="hybridMultilevel"/>
    <w:tmpl w:val="2402C94E"/>
    <w:lvl w:ilvl="0" w:tplc="4A8E9FCE">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773358"/>
    <w:multiLevelType w:val="hybridMultilevel"/>
    <w:tmpl w:val="F6829296"/>
    <w:lvl w:ilvl="0" w:tplc="740C7302">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EE04D5"/>
    <w:multiLevelType w:val="hybridMultilevel"/>
    <w:tmpl w:val="F3D00C2E"/>
    <w:lvl w:ilvl="0" w:tplc="98F69D2A">
      <w:start w:val="1"/>
      <w:numFmt w:val="bullet"/>
      <w:lvlText w:val=""/>
      <w:lvlJc w:val="left"/>
      <w:pPr>
        <w:tabs>
          <w:tab w:val="num" w:pos="1740"/>
        </w:tabs>
        <w:ind w:left="1740" w:hanging="420"/>
      </w:pPr>
      <w:rPr>
        <w:rFonts w:ascii="Wingdings" w:hAnsi="Wingdings" w:hint="default"/>
      </w:rPr>
    </w:lvl>
    <w:lvl w:ilvl="1" w:tplc="96EA2CAC">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166A2086"/>
    <w:multiLevelType w:val="hybridMultilevel"/>
    <w:tmpl w:val="BD5CE38E"/>
    <w:lvl w:ilvl="0" w:tplc="859C45C4">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86172CC"/>
    <w:multiLevelType w:val="hybridMultilevel"/>
    <w:tmpl w:val="A8321744"/>
    <w:lvl w:ilvl="0" w:tplc="96EA2CAC">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C3727F7"/>
    <w:multiLevelType w:val="hybridMultilevel"/>
    <w:tmpl w:val="CCE63F20"/>
    <w:lvl w:ilvl="0" w:tplc="052EF886">
      <w:start w:val="1"/>
      <w:numFmt w:val="decimal"/>
      <w:lvlText w:val="%1．"/>
      <w:lvlJc w:val="left"/>
      <w:pPr>
        <w:tabs>
          <w:tab w:val="num" w:pos="780"/>
        </w:tabs>
        <w:ind w:left="780" w:hanging="360"/>
      </w:pPr>
      <w:rPr>
        <w:rFonts w:hint="eastAsia"/>
      </w:rPr>
    </w:lvl>
    <w:lvl w:ilvl="1" w:tplc="740C7302">
      <w:start w:val="1"/>
      <w:numFmt w:val="bullet"/>
      <w:lvlText w:val=""/>
      <w:lvlJc w:val="left"/>
      <w:pPr>
        <w:tabs>
          <w:tab w:val="num" w:pos="1260"/>
        </w:tabs>
        <w:ind w:left="1260" w:hanging="420"/>
      </w:pPr>
      <w:rPr>
        <w:rFonts w:ascii="Wingdings" w:hAnsi="Wingding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DE04D7A"/>
    <w:multiLevelType w:val="hybridMultilevel"/>
    <w:tmpl w:val="E55CC1E2"/>
    <w:lvl w:ilvl="0" w:tplc="AEC8E1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E527255"/>
    <w:multiLevelType w:val="hybridMultilevel"/>
    <w:tmpl w:val="D7580AF0"/>
    <w:lvl w:ilvl="0" w:tplc="740C7302">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F036F20"/>
    <w:multiLevelType w:val="hybridMultilevel"/>
    <w:tmpl w:val="BF0E0256"/>
    <w:lvl w:ilvl="0" w:tplc="740C7302">
      <w:start w:val="1"/>
      <w:numFmt w:val="bullet"/>
      <w:lvlText w:val=""/>
      <w:lvlJc w:val="left"/>
      <w:pPr>
        <w:tabs>
          <w:tab w:val="num" w:pos="1695"/>
        </w:tabs>
        <w:ind w:left="1695" w:hanging="420"/>
      </w:pPr>
      <w:rPr>
        <w:rFonts w:ascii="Wingdings" w:hAnsi="Wingdings" w:hint="default"/>
      </w:rPr>
    </w:lvl>
    <w:lvl w:ilvl="1" w:tplc="04090003">
      <w:start w:val="1"/>
      <w:numFmt w:val="bullet"/>
      <w:lvlText w:val=""/>
      <w:lvlJc w:val="left"/>
      <w:pPr>
        <w:tabs>
          <w:tab w:val="num" w:pos="1275"/>
        </w:tabs>
        <w:ind w:left="1275" w:hanging="420"/>
      </w:pPr>
      <w:rPr>
        <w:rFonts w:ascii="Wingdings" w:hAnsi="Wingdings" w:hint="default"/>
      </w:rPr>
    </w:lvl>
    <w:lvl w:ilvl="2" w:tplc="04090005"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3" w:tentative="1">
      <w:start w:val="1"/>
      <w:numFmt w:val="bullet"/>
      <w:lvlText w:val=""/>
      <w:lvlJc w:val="left"/>
      <w:pPr>
        <w:tabs>
          <w:tab w:val="num" w:pos="2535"/>
        </w:tabs>
        <w:ind w:left="2535" w:hanging="420"/>
      </w:pPr>
      <w:rPr>
        <w:rFonts w:ascii="Wingdings" w:hAnsi="Wingdings" w:hint="default"/>
      </w:rPr>
    </w:lvl>
    <w:lvl w:ilvl="5" w:tplc="04090005"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3" w:tentative="1">
      <w:start w:val="1"/>
      <w:numFmt w:val="bullet"/>
      <w:lvlText w:val=""/>
      <w:lvlJc w:val="left"/>
      <w:pPr>
        <w:tabs>
          <w:tab w:val="num" w:pos="3795"/>
        </w:tabs>
        <w:ind w:left="3795" w:hanging="420"/>
      </w:pPr>
      <w:rPr>
        <w:rFonts w:ascii="Wingdings" w:hAnsi="Wingdings" w:hint="default"/>
      </w:rPr>
    </w:lvl>
    <w:lvl w:ilvl="8" w:tplc="04090005" w:tentative="1">
      <w:start w:val="1"/>
      <w:numFmt w:val="bullet"/>
      <w:lvlText w:val=""/>
      <w:lvlJc w:val="left"/>
      <w:pPr>
        <w:tabs>
          <w:tab w:val="num" w:pos="4215"/>
        </w:tabs>
        <w:ind w:left="4215" w:hanging="420"/>
      </w:pPr>
      <w:rPr>
        <w:rFonts w:ascii="Wingdings" w:hAnsi="Wingdings" w:hint="default"/>
      </w:rPr>
    </w:lvl>
  </w:abstractNum>
  <w:abstractNum w:abstractNumId="12">
    <w:nsid w:val="1F5F3A84"/>
    <w:multiLevelType w:val="hybridMultilevel"/>
    <w:tmpl w:val="4AD64050"/>
    <w:lvl w:ilvl="0" w:tplc="740C7302">
      <w:start w:val="1"/>
      <w:numFmt w:val="bullet"/>
      <w:lvlText w:val=""/>
      <w:lvlJc w:val="left"/>
      <w:pPr>
        <w:tabs>
          <w:tab w:val="num" w:pos="1680"/>
        </w:tabs>
        <w:ind w:left="168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
    <w:nsid w:val="2568457F"/>
    <w:multiLevelType w:val="hybridMultilevel"/>
    <w:tmpl w:val="D12AD544"/>
    <w:lvl w:ilvl="0" w:tplc="A112A9CE">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A95885"/>
    <w:multiLevelType w:val="hybridMultilevel"/>
    <w:tmpl w:val="4D3C4D20"/>
    <w:lvl w:ilvl="0" w:tplc="F8D6C5B6">
      <w:start w:val="1"/>
      <w:numFmt w:val="lowerLetter"/>
      <w:lvlText w:val="%1."/>
      <w:lvlJc w:val="left"/>
      <w:pPr>
        <w:tabs>
          <w:tab w:val="num" w:pos="348"/>
        </w:tabs>
        <w:ind w:left="348" w:hanging="360"/>
      </w:pPr>
      <w:rPr>
        <w:rFonts w:hint="eastAsia"/>
      </w:rPr>
    </w:lvl>
    <w:lvl w:ilvl="1" w:tplc="04090019" w:tentative="1">
      <w:start w:val="1"/>
      <w:numFmt w:val="lowerLetter"/>
      <w:lvlText w:val="%2)"/>
      <w:lvlJc w:val="left"/>
      <w:pPr>
        <w:tabs>
          <w:tab w:val="num" w:pos="828"/>
        </w:tabs>
        <w:ind w:left="828" w:hanging="420"/>
      </w:pPr>
    </w:lvl>
    <w:lvl w:ilvl="2" w:tplc="0409001B" w:tentative="1">
      <w:start w:val="1"/>
      <w:numFmt w:val="lowerRoman"/>
      <w:lvlText w:val="%3."/>
      <w:lvlJc w:val="righ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9" w:tentative="1">
      <w:start w:val="1"/>
      <w:numFmt w:val="lowerLetter"/>
      <w:lvlText w:val="%5)"/>
      <w:lvlJc w:val="left"/>
      <w:pPr>
        <w:tabs>
          <w:tab w:val="num" w:pos="2088"/>
        </w:tabs>
        <w:ind w:left="2088" w:hanging="420"/>
      </w:pPr>
    </w:lvl>
    <w:lvl w:ilvl="5" w:tplc="0409001B" w:tentative="1">
      <w:start w:val="1"/>
      <w:numFmt w:val="lowerRoman"/>
      <w:lvlText w:val="%6."/>
      <w:lvlJc w:val="righ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9" w:tentative="1">
      <w:start w:val="1"/>
      <w:numFmt w:val="lowerLetter"/>
      <w:lvlText w:val="%8)"/>
      <w:lvlJc w:val="left"/>
      <w:pPr>
        <w:tabs>
          <w:tab w:val="num" w:pos="3348"/>
        </w:tabs>
        <w:ind w:left="3348" w:hanging="420"/>
      </w:pPr>
    </w:lvl>
    <w:lvl w:ilvl="8" w:tplc="0409001B" w:tentative="1">
      <w:start w:val="1"/>
      <w:numFmt w:val="lowerRoman"/>
      <w:lvlText w:val="%9."/>
      <w:lvlJc w:val="right"/>
      <w:pPr>
        <w:tabs>
          <w:tab w:val="num" w:pos="3768"/>
        </w:tabs>
        <w:ind w:left="3768" w:hanging="420"/>
      </w:pPr>
    </w:lvl>
  </w:abstractNum>
  <w:abstractNum w:abstractNumId="15">
    <w:nsid w:val="447C14CF"/>
    <w:multiLevelType w:val="hybridMultilevel"/>
    <w:tmpl w:val="503A2AF2"/>
    <w:lvl w:ilvl="0" w:tplc="3796CEBA">
      <w:start w:val="1"/>
      <w:numFmt w:val="lowerLetter"/>
      <w:lvlText w:val="%1."/>
      <w:lvlJc w:val="left"/>
      <w:pPr>
        <w:tabs>
          <w:tab w:val="num" w:pos="-42"/>
        </w:tabs>
        <w:ind w:left="-42" w:hanging="360"/>
      </w:pPr>
      <w:rPr>
        <w:rFonts w:hint="eastAsia"/>
      </w:rPr>
    </w:lvl>
    <w:lvl w:ilvl="1" w:tplc="04090019" w:tentative="1">
      <w:start w:val="1"/>
      <w:numFmt w:val="lowerLetter"/>
      <w:lvlText w:val="%2)"/>
      <w:lvlJc w:val="left"/>
      <w:pPr>
        <w:tabs>
          <w:tab w:val="num" w:pos="438"/>
        </w:tabs>
        <w:ind w:left="438" w:hanging="420"/>
      </w:pPr>
    </w:lvl>
    <w:lvl w:ilvl="2" w:tplc="0409001B" w:tentative="1">
      <w:start w:val="1"/>
      <w:numFmt w:val="lowerRoman"/>
      <w:lvlText w:val="%3."/>
      <w:lvlJc w:val="right"/>
      <w:pPr>
        <w:tabs>
          <w:tab w:val="num" w:pos="858"/>
        </w:tabs>
        <w:ind w:left="858" w:hanging="420"/>
      </w:pPr>
    </w:lvl>
    <w:lvl w:ilvl="3" w:tplc="0409000F" w:tentative="1">
      <w:start w:val="1"/>
      <w:numFmt w:val="decimal"/>
      <w:lvlText w:val="%4."/>
      <w:lvlJc w:val="left"/>
      <w:pPr>
        <w:tabs>
          <w:tab w:val="num" w:pos="1278"/>
        </w:tabs>
        <w:ind w:left="1278" w:hanging="420"/>
      </w:pPr>
    </w:lvl>
    <w:lvl w:ilvl="4" w:tplc="04090019" w:tentative="1">
      <w:start w:val="1"/>
      <w:numFmt w:val="lowerLetter"/>
      <w:lvlText w:val="%5)"/>
      <w:lvlJc w:val="left"/>
      <w:pPr>
        <w:tabs>
          <w:tab w:val="num" w:pos="1698"/>
        </w:tabs>
        <w:ind w:left="1698" w:hanging="420"/>
      </w:pPr>
    </w:lvl>
    <w:lvl w:ilvl="5" w:tplc="0409001B" w:tentative="1">
      <w:start w:val="1"/>
      <w:numFmt w:val="lowerRoman"/>
      <w:lvlText w:val="%6."/>
      <w:lvlJc w:val="right"/>
      <w:pPr>
        <w:tabs>
          <w:tab w:val="num" w:pos="2118"/>
        </w:tabs>
        <w:ind w:left="2118" w:hanging="420"/>
      </w:pPr>
    </w:lvl>
    <w:lvl w:ilvl="6" w:tplc="0409000F" w:tentative="1">
      <w:start w:val="1"/>
      <w:numFmt w:val="decimal"/>
      <w:lvlText w:val="%7."/>
      <w:lvlJc w:val="left"/>
      <w:pPr>
        <w:tabs>
          <w:tab w:val="num" w:pos="2538"/>
        </w:tabs>
        <w:ind w:left="2538" w:hanging="420"/>
      </w:pPr>
    </w:lvl>
    <w:lvl w:ilvl="7" w:tplc="04090019" w:tentative="1">
      <w:start w:val="1"/>
      <w:numFmt w:val="lowerLetter"/>
      <w:lvlText w:val="%8)"/>
      <w:lvlJc w:val="left"/>
      <w:pPr>
        <w:tabs>
          <w:tab w:val="num" w:pos="2958"/>
        </w:tabs>
        <w:ind w:left="2958" w:hanging="420"/>
      </w:pPr>
    </w:lvl>
    <w:lvl w:ilvl="8" w:tplc="0409001B" w:tentative="1">
      <w:start w:val="1"/>
      <w:numFmt w:val="lowerRoman"/>
      <w:lvlText w:val="%9."/>
      <w:lvlJc w:val="right"/>
      <w:pPr>
        <w:tabs>
          <w:tab w:val="num" w:pos="3378"/>
        </w:tabs>
        <w:ind w:left="3378" w:hanging="420"/>
      </w:pPr>
    </w:lvl>
  </w:abstractNum>
  <w:abstractNum w:abstractNumId="16">
    <w:nsid w:val="4602780E"/>
    <w:multiLevelType w:val="hybridMultilevel"/>
    <w:tmpl w:val="C310E1F0"/>
    <w:lvl w:ilvl="0" w:tplc="358A5768">
      <w:start w:val="1"/>
      <w:numFmt w:val="decimal"/>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48DB50C7"/>
    <w:multiLevelType w:val="hybridMultilevel"/>
    <w:tmpl w:val="092E8A7A"/>
    <w:lvl w:ilvl="0" w:tplc="1C64970A">
      <w:start w:val="1"/>
      <w:numFmt w:val="lowerLetter"/>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49767FC1"/>
    <w:multiLevelType w:val="hybridMultilevel"/>
    <w:tmpl w:val="776AAFE0"/>
    <w:lvl w:ilvl="0" w:tplc="95BE09BA">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3AF372D"/>
    <w:multiLevelType w:val="hybridMultilevel"/>
    <w:tmpl w:val="A8F0A79A"/>
    <w:lvl w:ilvl="0" w:tplc="45FC35C2">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7DC4CBD"/>
    <w:multiLevelType w:val="multilevel"/>
    <w:tmpl w:val="77F44150"/>
    <w:lvl w:ilvl="0">
      <w:start w:val="1"/>
      <w:numFmt w:val="chineseCountingThousand"/>
      <w:pStyle w:val="Heading1"/>
      <w:suff w:val="nothing"/>
      <w:lvlText w:val="第%1章"/>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nsid w:val="5C3E0144"/>
    <w:multiLevelType w:val="hybridMultilevel"/>
    <w:tmpl w:val="ECE253B8"/>
    <w:lvl w:ilvl="0" w:tplc="3D86BD8A">
      <w:start w:val="1"/>
      <w:numFmt w:val="low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F1E5344"/>
    <w:multiLevelType w:val="hybridMultilevel"/>
    <w:tmpl w:val="DE5E433C"/>
    <w:lvl w:ilvl="0" w:tplc="740C7302">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963591F"/>
    <w:multiLevelType w:val="hybridMultilevel"/>
    <w:tmpl w:val="4AD64050"/>
    <w:lvl w:ilvl="0" w:tplc="740C7302">
      <w:start w:val="1"/>
      <w:numFmt w:val="bullet"/>
      <w:lvlText w:val=""/>
      <w:lvlJc w:val="left"/>
      <w:pPr>
        <w:tabs>
          <w:tab w:val="num" w:pos="840"/>
        </w:tabs>
        <w:ind w:left="840" w:hanging="420"/>
      </w:pPr>
      <w:rPr>
        <w:rFonts w:ascii="Wingdings" w:hAnsi="Wingdings" w:hint="default"/>
      </w:rPr>
    </w:lvl>
    <w:lvl w:ilvl="1" w:tplc="740C7302">
      <w:start w:val="1"/>
      <w:numFmt w:val="bullet"/>
      <w:lvlText w:val=""/>
      <w:lvlJc w:val="left"/>
      <w:pPr>
        <w:tabs>
          <w:tab w:val="num" w:pos="420"/>
        </w:tabs>
        <w:ind w:left="42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24">
    <w:nsid w:val="72F61E8E"/>
    <w:multiLevelType w:val="hybridMultilevel"/>
    <w:tmpl w:val="DE5E433C"/>
    <w:lvl w:ilvl="0" w:tplc="04090007">
      <w:start w:val="1"/>
      <w:numFmt w:val="bullet"/>
      <w:lvlText w:val=""/>
      <w:lvlJc w:val="left"/>
      <w:pPr>
        <w:tabs>
          <w:tab w:val="num" w:pos="840"/>
        </w:tabs>
        <w:ind w:left="840" w:hanging="420"/>
      </w:pPr>
      <w:rPr>
        <w:rFonts w:ascii="Wingdings" w:hAnsi="Wingdings" w:hint="default"/>
        <w:sz w:val="16"/>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5">
    <w:nsid w:val="7BCF0B57"/>
    <w:multiLevelType w:val="hybridMultilevel"/>
    <w:tmpl w:val="5D8E9F34"/>
    <w:lvl w:ilvl="0" w:tplc="F808D126">
      <w:start w:val="1"/>
      <w:numFmt w:val="decimal"/>
      <w:lvlText w:val="%1．"/>
      <w:lvlJc w:val="left"/>
      <w:pPr>
        <w:tabs>
          <w:tab w:val="num" w:pos="1545"/>
        </w:tabs>
        <w:ind w:left="1545" w:hanging="495"/>
      </w:pPr>
      <w:rPr>
        <w:rFonts w:hint="eastAsia"/>
      </w:rPr>
    </w:lvl>
    <w:lvl w:ilvl="1" w:tplc="740C7302">
      <w:start w:val="1"/>
      <w:numFmt w:val="bullet"/>
      <w:lvlText w:val=""/>
      <w:lvlJc w:val="left"/>
      <w:pPr>
        <w:tabs>
          <w:tab w:val="num" w:pos="1890"/>
        </w:tabs>
        <w:ind w:left="1890" w:hanging="420"/>
      </w:pPr>
      <w:rPr>
        <w:rFonts w:ascii="Wingdings" w:hAnsi="Wingdings" w:hint="default"/>
      </w:rPr>
    </w:lvl>
    <w:lvl w:ilvl="2" w:tplc="0409001B" w:tentative="1">
      <w:start w:val="1"/>
      <w:numFmt w:val="lowerRoman"/>
      <w:lvlText w:val="%3."/>
      <w:lvlJc w:val="righ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9" w:tentative="1">
      <w:start w:val="1"/>
      <w:numFmt w:val="lowerLetter"/>
      <w:lvlText w:val="%5)"/>
      <w:lvlJc w:val="left"/>
      <w:pPr>
        <w:tabs>
          <w:tab w:val="num" w:pos="3150"/>
        </w:tabs>
        <w:ind w:left="3150" w:hanging="420"/>
      </w:pPr>
    </w:lvl>
    <w:lvl w:ilvl="5" w:tplc="0409001B" w:tentative="1">
      <w:start w:val="1"/>
      <w:numFmt w:val="lowerRoman"/>
      <w:lvlText w:val="%6."/>
      <w:lvlJc w:val="righ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9" w:tentative="1">
      <w:start w:val="1"/>
      <w:numFmt w:val="lowerLetter"/>
      <w:lvlText w:val="%8)"/>
      <w:lvlJc w:val="left"/>
      <w:pPr>
        <w:tabs>
          <w:tab w:val="num" w:pos="4410"/>
        </w:tabs>
        <w:ind w:left="4410" w:hanging="420"/>
      </w:pPr>
    </w:lvl>
    <w:lvl w:ilvl="8" w:tplc="0409001B" w:tentative="1">
      <w:start w:val="1"/>
      <w:numFmt w:val="lowerRoman"/>
      <w:lvlText w:val="%9."/>
      <w:lvlJc w:val="right"/>
      <w:pPr>
        <w:tabs>
          <w:tab w:val="num" w:pos="4830"/>
        </w:tabs>
        <w:ind w:left="4830" w:hanging="42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0"/>
  </w:num>
  <w:num w:numId="11">
    <w:abstractNumId w:val="5"/>
  </w:num>
  <w:num w:numId="12">
    <w:abstractNumId w:val="8"/>
  </w:num>
  <w:num w:numId="13">
    <w:abstractNumId w:val="7"/>
  </w:num>
  <w:num w:numId="14">
    <w:abstractNumId w:val="17"/>
  </w:num>
  <w:num w:numId="15">
    <w:abstractNumId w:val="9"/>
  </w:num>
  <w:num w:numId="16">
    <w:abstractNumId w:val="15"/>
  </w:num>
  <w:num w:numId="17">
    <w:abstractNumId w:val="1"/>
  </w:num>
  <w:num w:numId="18">
    <w:abstractNumId w:val="19"/>
  </w:num>
  <w:num w:numId="19">
    <w:abstractNumId w:val="14"/>
  </w:num>
  <w:num w:numId="20">
    <w:abstractNumId w:val="18"/>
  </w:num>
  <w:num w:numId="21">
    <w:abstractNumId w:val="21"/>
  </w:num>
  <w:num w:numId="22">
    <w:abstractNumId w:val="6"/>
  </w:num>
  <w:num w:numId="23">
    <w:abstractNumId w:val="13"/>
  </w:num>
  <w:num w:numId="24">
    <w:abstractNumId w:val="3"/>
  </w:num>
  <w:num w:numId="25">
    <w:abstractNumId w:val="12"/>
  </w:num>
  <w:num w:numId="26">
    <w:abstractNumId w:val="23"/>
  </w:num>
  <w:num w:numId="27">
    <w:abstractNumId w:val="10"/>
  </w:num>
  <w:num w:numId="28">
    <w:abstractNumId w:val="25"/>
  </w:num>
  <w:num w:numId="29">
    <w:abstractNumId w:val="4"/>
  </w:num>
  <w:num w:numId="30">
    <w:abstractNumId w:val="16"/>
  </w:num>
  <w:num w:numId="31">
    <w:abstractNumId w:val="24"/>
  </w:num>
  <w:num w:numId="32">
    <w:abstractNumId w:val="22"/>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printColBlack/>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2/2004 2:35: PM"/>
    <w:docVar w:name="DocCategory" w:val="Doc"/>
    <w:docVar w:name="DocType" w:val="Final"/>
    <w:docVar w:name="JobNo" w:val="0363425C"/>
    <w:docVar w:name="OandT" w:val=" "/>
    <w:docVar w:name="Symbol1" w:val="CEDAW/C/ICE/5"/>
    <w:docVar w:name="Symbol2" w:val="-"/>
  </w:docVars>
  <w:rsids>
    <w:rsidRoot w:val="00E96A0B"/>
    <w:rsid w:val="004907F9"/>
    <w:rsid w:val="00E96A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SimSun"/>
      <w:kern w:val="14"/>
      <w:sz w:val="21"/>
      <w:lang w:val="en-US" w:eastAsia="zh-CN"/>
    </w:rPr>
  </w:style>
  <w:style w:type="paragraph" w:styleId="Heading1">
    <w:name w:val="heading 1"/>
    <w:basedOn w:val="Normal"/>
    <w:next w:val="Normal"/>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qFormat/>
    <w:pPr>
      <w:keepNext/>
      <w:keepLines/>
      <w:numPr>
        <w:ilvl w:val="1"/>
        <w:numId w:val="2"/>
      </w:numPr>
      <w:spacing w:before="260" w:after="260" w:line="416" w:lineRule="atLeast"/>
      <w:outlineLvl w:val="1"/>
    </w:pPr>
    <w:rPr>
      <w:rFonts w:ascii="Arial" w:eastAsia="SimHei" w:hAnsi="Arial"/>
      <w:b/>
      <w:bCs/>
      <w:sz w:val="32"/>
      <w:szCs w:val="32"/>
    </w:rPr>
  </w:style>
  <w:style w:type="paragraph" w:styleId="Heading3">
    <w:name w:val="heading 3"/>
    <w:basedOn w:val="Normal"/>
    <w:next w:val="Normal"/>
    <w:qFormat/>
    <w:pPr>
      <w:keepNext/>
      <w:keepLines/>
      <w:numPr>
        <w:ilvl w:val="2"/>
        <w:numId w:val="3"/>
      </w:numPr>
      <w:spacing w:before="260" w:after="260" w:line="416" w:lineRule="atLeast"/>
      <w:outlineLvl w:val="2"/>
    </w:pPr>
    <w:rPr>
      <w:b/>
      <w:bCs/>
      <w:sz w:val="32"/>
      <w:szCs w:val="32"/>
    </w:rPr>
  </w:style>
  <w:style w:type="paragraph" w:styleId="Heading4">
    <w:name w:val="heading 4"/>
    <w:basedOn w:val="Normal"/>
    <w:next w:val="Normal"/>
    <w:qFormat/>
    <w:pPr>
      <w:keepNext/>
      <w:keepLines/>
      <w:numPr>
        <w:ilvl w:val="3"/>
        <w:numId w:val="4"/>
      </w:numPr>
      <w:spacing w:before="280" w:after="290" w:line="376" w:lineRule="atLeast"/>
      <w:outlineLvl w:val="3"/>
    </w:pPr>
    <w:rPr>
      <w:rFonts w:ascii="Arial" w:eastAsia="SimHei" w:hAnsi="Arial"/>
      <w:b/>
      <w:bCs/>
      <w:sz w:val="28"/>
      <w:szCs w:val="28"/>
    </w:rPr>
  </w:style>
  <w:style w:type="paragraph" w:styleId="Heading5">
    <w:name w:val="heading 5"/>
    <w:basedOn w:val="Normal"/>
    <w:next w:val="Normal"/>
    <w:qFormat/>
    <w:pPr>
      <w:keepNext/>
      <w:keepLines/>
      <w:numPr>
        <w:ilvl w:val="4"/>
        <w:numId w:val="5"/>
      </w:numPr>
      <w:spacing w:before="280" w:after="290" w:line="376" w:lineRule="atLeast"/>
      <w:outlineLvl w:val="4"/>
    </w:pPr>
    <w:rPr>
      <w:b/>
      <w:bCs/>
      <w:sz w:val="28"/>
      <w:szCs w:val="28"/>
    </w:rPr>
  </w:style>
  <w:style w:type="paragraph" w:styleId="Heading6">
    <w:name w:val="heading 6"/>
    <w:basedOn w:val="Normal"/>
    <w:next w:val="Normal"/>
    <w:qFormat/>
    <w:pPr>
      <w:keepNext/>
      <w:keepLines/>
      <w:numPr>
        <w:ilvl w:val="5"/>
        <w:numId w:val="6"/>
      </w:numPr>
      <w:spacing w:before="240" w:after="64" w:line="320" w:lineRule="atLeast"/>
      <w:outlineLvl w:val="5"/>
    </w:pPr>
    <w:rPr>
      <w:rFonts w:ascii="Arial" w:eastAsia="SimHei" w:hAnsi="Arial"/>
      <w:b/>
      <w:bCs/>
      <w:sz w:val="24"/>
    </w:rPr>
  </w:style>
  <w:style w:type="paragraph" w:styleId="Heading7">
    <w:name w:val="heading 7"/>
    <w:basedOn w:val="Normal"/>
    <w:next w:val="Normal"/>
    <w:qFormat/>
    <w:pPr>
      <w:keepNext/>
      <w:keepLines/>
      <w:numPr>
        <w:ilvl w:val="6"/>
        <w:numId w:val="7"/>
      </w:numPr>
      <w:spacing w:before="240" w:after="64" w:line="320" w:lineRule="atLeast"/>
      <w:outlineLvl w:val="6"/>
    </w:pPr>
    <w:rPr>
      <w:b/>
      <w:bCs/>
      <w:sz w:val="24"/>
    </w:rPr>
  </w:style>
  <w:style w:type="paragraph" w:styleId="Heading8">
    <w:name w:val="heading 8"/>
    <w:basedOn w:val="Normal"/>
    <w:next w:val="Normal"/>
    <w:qFormat/>
    <w:pPr>
      <w:keepNext/>
      <w:keepLines/>
      <w:numPr>
        <w:ilvl w:val="7"/>
        <w:numId w:val="8"/>
      </w:numPr>
      <w:spacing w:before="240" w:after="64" w:line="320" w:lineRule="atLeast"/>
      <w:outlineLvl w:val="7"/>
    </w:pPr>
    <w:rPr>
      <w:rFonts w:ascii="Arial" w:eastAsia="SimHei" w:hAnsi="Arial"/>
      <w:sz w:val="24"/>
    </w:rPr>
  </w:style>
  <w:style w:type="paragraph" w:styleId="Heading9">
    <w:name w:val="heading 9"/>
    <w:basedOn w:val="Normal"/>
    <w:next w:val="Normal"/>
    <w:qFormat/>
    <w:pPr>
      <w:keepNext/>
      <w:keepLines/>
      <w:numPr>
        <w:ilvl w:val="8"/>
        <w:numId w:val="9"/>
      </w:numPr>
      <w:spacing w:before="240" w:after="64" w:line="320" w:lineRule="atLeast"/>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uppressAutoHyphens/>
      <w:outlineLvl w:val="0"/>
    </w:pPr>
    <w:rPr>
      <w:rFonts w:ascii="SimHei" w:eastAsia="SimHei"/>
      <w:color w:val="FF0000"/>
      <w:sz w:val="24"/>
    </w:rPr>
  </w:style>
  <w:style w:type="paragraph" w:customStyle="1" w:styleId="HCh">
    <w:name w:val="_ H _Ch"/>
    <w:basedOn w:val="H1"/>
    <w:next w:val="Normal"/>
    <w:pPr>
      <w:tabs>
        <w:tab w:val="left" w:pos="57"/>
      </w:tabs>
      <w:spacing w:line="400" w:lineRule="exact"/>
    </w:pPr>
    <w:rPr>
      <w:sz w:val="28"/>
    </w:rPr>
  </w:style>
  <w:style w:type="paragraph" w:customStyle="1" w:styleId="HM">
    <w:name w:val="_ H __M"/>
    <w:basedOn w:val="HCh"/>
    <w:next w:val="Normal"/>
    <w:rPr>
      <w:sz w:val="34"/>
    </w:rPr>
  </w:style>
  <w:style w:type="paragraph" w:customStyle="1" w:styleId="H23">
    <w:name w:val="_ H_2/3"/>
    <w:basedOn w:val="Normal"/>
    <w:next w:val="Normal"/>
    <w:pPr>
      <w:outlineLvl w:val="1"/>
    </w:pPr>
    <w:rPr>
      <w:rFonts w:ascii="SimHei" w:eastAsia="SimHei"/>
      <w:color w:val="FF0000"/>
      <w:spacing w:val="2"/>
    </w:rPr>
  </w:style>
  <w:style w:type="paragraph" w:customStyle="1" w:styleId="H4">
    <w:name w:val="_ H_4"/>
    <w:basedOn w:val="Normal"/>
    <w:next w:val="Normal"/>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pPr>
      <w:keepNext/>
      <w:keepLines/>
      <w:tabs>
        <w:tab w:val="right" w:pos="360"/>
      </w:tabs>
      <w:suppressAutoHyphens/>
      <w:outlineLvl w:val="4"/>
    </w:pPr>
    <w:rPr>
      <w:noProof/>
      <w:spacing w:val="4"/>
      <w:w w:val="103"/>
    </w:rPr>
  </w:style>
  <w:style w:type="paragraph" w:customStyle="1" w:styleId="DualTxt">
    <w:name w:val="__Dual Txt"/>
    <w:basedOn w:val="Normal"/>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pPr>
      <w:spacing w:line="640" w:lineRule="exact"/>
    </w:pPr>
    <w:rPr>
      <w:spacing w:val="-8"/>
      <w:w w:val="96"/>
      <w:sz w:val="57"/>
    </w:rPr>
  </w:style>
  <w:style w:type="paragraph" w:customStyle="1" w:styleId="SS">
    <w:name w:val="__S_S"/>
    <w:basedOn w:val="HCh"/>
    <w:next w:val="Normal"/>
    <w:pPr>
      <w:ind w:left="1264" w:right="1264"/>
    </w:pPr>
  </w:style>
  <w:style w:type="paragraph" w:customStyle="1" w:styleId="SingleTxt">
    <w:name w:val="__Single Txt"/>
    <w:basedOn w:val="Normal"/>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pPr>
      <w:tabs>
        <w:tab w:val="right" w:pos="9965"/>
      </w:tabs>
      <w:spacing w:line="210" w:lineRule="exact"/>
    </w:pPr>
    <w:rPr>
      <w:noProof/>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z w:val="40"/>
    </w:rPr>
  </w:style>
  <w:style w:type="character" w:styleId="FootnoteReference">
    <w:name w:val="footnote reference"/>
    <w:semiHidden/>
    <w:rPr>
      <w:color w:val="FF00FF"/>
      <w:spacing w:val="0"/>
      <w:w w:val="150"/>
      <w:position w:val="0"/>
      <w:vertAlign w:val="superscript"/>
    </w:rPr>
  </w:style>
  <w:style w:type="character" w:styleId="EndnoteReference">
    <w:name w:val="endnote reference"/>
    <w:basedOn w:val="FootnoteReference"/>
    <w:semiHidden/>
    <w:rPr>
      <w:color w:val="FF00FF"/>
      <w:spacing w:val="0"/>
      <w:w w:val="150"/>
      <w:position w:val="0"/>
      <w:vertAlign w:val="superscript"/>
    </w:rPr>
  </w:style>
  <w:style w:type="paragraph" w:styleId="FootnoteText">
    <w:name w:val="footnote text"/>
    <w:basedOn w:val="Normal"/>
    <w:semiHidden/>
    <w:pPr>
      <w:tabs>
        <w:tab w:val="right" w:pos="418"/>
      </w:tabs>
      <w:spacing w:after="120" w:line="240" w:lineRule="exact"/>
      <w:ind w:left="170" w:hanging="170"/>
    </w:pPr>
    <w:rPr>
      <w:noProof/>
      <w:sz w:val="18"/>
    </w:rPr>
  </w:style>
  <w:style w:type="paragraph" w:styleId="EndnoteText">
    <w:name w:val="endnote text"/>
    <w:basedOn w:val="FootnoteText"/>
    <w:semiHidden/>
  </w:style>
  <w:style w:type="character" w:styleId="CommentReference">
    <w:name w:val="annotation reference"/>
    <w:semiHidden/>
    <w:rPr>
      <w:sz w:val="6"/>
    </w:rPr>
  </w:style>
  <w:style w:type="paragraph" w:styleId="PlainText">
    <w:name w:val="Plain Text"/>
    <w:basedOn w:val="Normal"/>
    <w:pPr>
      <w:tabs>
        <w:tab w:val="left" w:pos="431"/>
      </w:tabs>
      <w:spacing w:after="140"/>
    </w:pPr>
    <w:rPr>
      <w:rFonts w:hAnsi="Courier New" w:cs="Courier New"/>
      <w:szCs w:val="21"/>
    </w:rPr>
  </w:style>
  <w:style w:type="paragraph" w:styleId="NormalIndent">
    <w:name w:val="Normal Indent"/>
    <w:basedOn w:val="Normal"/>
    <w:pPr>
      <w:ind w:firstLine="431"/>
    </w:pPr>
  </w:style>
  <w:style w:type="paragraph" w:styleId="BodyText">
    <w:name w:val="Body Text"/>
    <w:basedOn w:val="Normal"/>
  </w:style>
  <w:style w:type="paragraph" w:styleId="BodyText2">
    <w:name w:val="Body Text 2"/>
    <w:basedOn w:val="Normal"/>
  </w:style>
  <w:style w:type="character" w:styleId="LineNumber">
    <w:name w:val="line number"/>
    <w:rPr>
      <w:sz w:val="14"/>
    </w:rPr>
  </w:style>
  <w:style w:type="paragraph" w:styleId="Header">
    <w:name w:val="header"/>
    <w:pPr>
      <w:tabs>
        <w:tab w:val="center" w:pos="4320"/>
        <w:tab w:val="right" w:pos="8640"/>
      </w:tabs>
    </w:pPr>
    <w:rPr>
      <w:noProof/>
      <w:sz w:val="18"/>
      <w:lang w:val="en-US" w:eastAsia="zh-CN"/>
    </w:rPr>
  </w:style>
  <w:style w:type="paragraph" w:styleId="Footer">
    <w:name w:val="footer"/>
    <w:pPr>
      <w:tabs>
        <w:tab w:val="center" w:pos="4320"/>
        <w:tab w:val="right" w:pos="8640"/>
      </w:tabs>
    </w:pPr>
    <w:rPr>
      <w:b/>
      <w:noProof/>
      <w:sz w:val="17"/>
      <w:lang w:val="en-US" w:eastAsia="zh-CN"/>
    </w:rPr>
  </w:style>
  <w:style w:type="paragraph" w:styleId="CommentText">
    <w:name w:val="annotation text"/>
    <w:basedOn w:val="Normal"/>
    <w:semiHidden/>
  </w:style>
  <w:style w:type="paragraph" w:styleId="BlockText">
    <w:name w:val="Block Text"/>
    <w:basedOn w:val="Normal"/>
    <w:pPr>
      <w:spacing w:after="180" w:line="340" w:lineRule="exact"/>
      <w:ind w:left="1264" w:right="1264" w:firstLineChars="200" w:firstLine="404"/>
      <w:jc w:val="both"/>
    </w:pPr>
    <w:rPr>
      <w:rFonts w:ascii="Times New Roman"/>
      <w:spacing w:val="-4"/>
    </w:rPr>
  </w:style>
  <w:style w:type="paragraph" w:styleId="BodyTextIndent2">
    <w:name w:val="Body Text Indent 2"/>
    <w:basedOn w:val="Normal"/>
    <w:pPr>
      <w:widowControl w:val="0"/>
      <w:spacing w:line="240" w:lineRule="auto"/>
      <w:ind w:firstLineChars="349" w:firstLine="838"/>
      <w:jc w:val="both"/>
    </w:pPr>
    <w:rPr>
      <w:rFonts w:ascii="Times New Roman"/>
      <w:kern w:val="2"/>
      <w:sz w:val="24"/>
      <w:szCs w:val="24"/>
    </w:rPr>
  </w:style>
  <w:style w:type="paragraph" w:styleId="BodyTextIndent">
    <w:name w:val="Body Text Indent"/>
    <w:basedOn w:val="Normal"/>
    <w:pPr>
      <w:widowControl w:val="0"/>
      <w:spacing w:line="240" w:lineRule="auto"/>
      <w:ind w:firstLineChars="200" w:firstLine="420"/>
      <w:jc w:val="both"/>
    </w:pPr>
    <w:rPr>
      <w:rFonts w:ascii="Times New Roman"/>
      <w:kern w:val="2"/>
      <w:szCs w:val="24"/>
    </w:rPr>
  </w:style>
  <w:style w:type="paragraph" w:styleId="BodyTextIndent3">
    <w:name w:val="Body Text Indent 3"/>
    <w:basedOn w:val="Normal"/>
    <w:pPr>
      <w:widowControl w:val="0"/>
      <w:spacing w:line="240" w:lineRule="auto"/>
      <w:ind w:firstLineChars="200" w:firstLine="480"/>
      <w:jc w:val="both"/>
    </w:pPr>
    <w:rPr>
      <w:rFonts w:ascii="Times New Roman"/>
      <w:kern w:val="2"/>
      <w:sz w:val="24"/>
      <w:szCs w:val="24"/>
    </w:rPr>
  </w:style>
  <w:style w:type="character" w:styleId="Hyperlink">
    <w:name w:val="Hyperlink"/>
    <w:rPr>
      <w:color w:val="0000FF"/>
      <w:u w:val="none"/>
    </w:rPr>
  </w:style>
  <w:style w:type="paragraph" w:styleId="BalloonText">
    <w:name w:val="Balloon Text"/>
    <w:basedOn w:val="Normal"/>
    <w:semiHidden/>
    <w:rsid w:val="00E96A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oleObject" Target="embeddings/Microsoft_Excel_Chart3.xls"/><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1.xls"/><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gj.i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Microsoft_Excel_Chart2.xls"/><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62</Pages>
  <Words>7697</Words>
  <Characters>43876</Characters>
  <Application>Microsoft Office Word</Application>
  <DocSecurity>4</DocSecurity>
  <Lines>365</Lines>
  <Paragraphs>102</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 </vt:lpstr>
      <vt:lpstr> </vt:lpstr>
    </vt:vector>
  </TitlesOfParts>
  <Company>United Nations</Company>
  <LinksUpToDate>false</LinksUpToDate>
  <CharactersWithSpaces>51471</CharactersWithSpaces>
  <SharedDoc>false</SharedDoc>
  <HLinks>
    <vt:vector size="6" baseType="variant">
      <vt:variant>
        <vt:i4>7274602</vt:i4>
      </vt:variant>
      <vt:variant>
        <vt:i4>0</vt:i4>
      </vt:variant>
      <vt:variant>
        <vt:i4>0</vt:i4>
      </vt:variant>
      <vt:variant>
        <vt:i4>5</vt:i4>
      </vt:variant>
      <vt:variant>
        <vt:lpwstr>http://www.hgj.is/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dc:creator>
  <cp:keywords/>
  <dc:description/>
  <cp:lastModifiedBy>Dezuo CAO</cp:lastModifiedBy>
  <cp:revision>9</cp:revision>
  <cp:lastPrinted>2004-02-13T14:01:00Z</cp:lastPrinted>
  <dcterms:created xsi:type="dcterms:W3CDTF">2004-02-13T12:35:00Z</dcterms:created>
  <dcterms:modified xsi:type="dcterms:W3CDTF">2004-02-13T14:17:00Z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0363425</vt:lpwstr>
  </property>
  <property fmtid="{D5CDD505-2E9C-101B-9397-08002B2CF9AE}" pid="3" name="Symbol1">
    <vt:lpwstr>CEDAW/C/ICE/5</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