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F66E2" w14:textId="77777777" w:rsidR="0049444E" w:rsidRDefault="0049444E" w:rsidP="0049444E">
      <w:pPr>
        <w:spacing w:line="240" w:lineRule="auto"/>
        <w:jc w:val="left"/>
        <w:rPr>
          <w:szCs w:val="2"/>
          <w:rtl/>
        </w:rPr>
        <w:sectPr w:rsidR="0049444E" w:rsidSect="00CC27A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257A2E4A" w14:textId="2AA25644" w:rsidR="00CC27A7" w:rsidRDefault="00CC27A7" w:rsidP="00CC27A7">
      <w:pPr>
        <w:pStyle w:val="H1"/>
        <w:rPr>
          <w:rtl/>
        </w:rPr>
      </w:pPr>
      <w:r w:rsidRPr="00CC27A7">
        <w:rPr>
          <w:rtl/>
        </w:rPr>
        <w:t>اللجنة المعنية بالقضاء على التمييز ضد المرأة</w:t>
      </w:r>
    </w:p>
    <w:p w14:paraId="30D43DC1" w14:textId="5951E0CA" w:rsidR="00CC27A7" w:rsidRPr="00CC27A7" w:rsidRDefault="00CC27A7" w:rsidP="00CC27A7">
      <w:pPr>
        <w:pStyle w:val="SingleTxt"/>
        <w:spacing w:after="0" w:line="120" w:lineRule="exact"/>
        <w:rPr>
          <w:sz w:val="10"/>
          <w:rtl/>
        </w:rPr>
      </w:pPr>
    </w:p>
    <w:p w14:paraId="352990C2" w14:textId="16A3211F" w:rsidR="00CC27A7" w:rsidRPr="00CC27A7" w:rsidRDefault="00CC27A7" w:rsidP="00CC27A7">
      <w:pPr>
        <w:pStyle w:val="SingleTxt"/>
        <w:spacing w:after="0" w:line="120" w:lineRule="exact"/>
        <w:rPr>
          <w:sz w:val="10"/>
          <w:rtl/>
        </w:rPr>
      </w:pPr>
    </w:p>
    <w:p w14:paraId="4403B709" w14:textId="0786354B" w:rsidR="00CC27A7" w:rsidRPr="00CC27A7" w:rsidRDefault="00CC27A7" w:rsidP="00CC27A7">
      <w:pPr>
        <w:framePr w:w="9792" w:h="432" w:hSpace="180" w:wrap="notBeside" w:hAnchor="page" w:x="1196" w:yAlign="bottom"/>
        <w:spacing w:line="240" w:lineRule="auto"/>
        <w:rPr>
          <w:szCs w:val="6"/>
          <w:rtl/>
        </w:rPr>
      </w:pPr>
      <w:r w:rsidRPr="00CC27A7">
        <w:rPr>
          <w:noProof/>
          <w:szCs w:val="6"/>
        </w:rPr>
        <mc:AlternateContent>
          <mc:Choice Requires="wps">
            <w:drawing>
              <wp:anchor distT="0" distB="0" distL="114300" distR="114300" simplePos="0" relativeHeight="251662336" behindDoc="0" locked="0" layoutInCell="1" allowOverlap="1" wp14:anchorId="42B72D14" wp14:editId="785986E7">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EA37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56992938" w14:textId="075B7459" w:rsidR="00CC27A7" w:rsidRPr="00CC27A7" w:rsidRDefault="00CC27A7" w:rsidP="00CC27A7">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CC27A7">
        <w:rPr>
          <w:sz w:val="18"/>
          <w:szCs w:val="18"/>
          <w:rtl/>
        </w:rPr>
        <w:t>تصدر هذه الوثيقة من دون تحرير رسمي.</w:t>
      </w:r>
    </w:p>
    <w:p w14:paraId="578FCE05" w14:textId="1D912D02" w:rsidR="00CC27A7" w:rsidRPr="00CC27A7" w:rsidRDefault="00CC27A7" w:rsidP="00CC27A7">
      <w:pPr>
        <w:pStyle w:val="TitleHCH"/>
        <w:ind w:left="1267" w:right="1267"/>
      </w:pPr>
      <w:r w:rsidRPr="00CC27A7">
        <w:rPr>
          <w:rtl/>
        </w:rPr>
        <w:tab/>
      </w:r>
      <w:r w:rsidRPr="00CC27A7">
        <w:rPr>
          <w:rtl/>
        </w:rPr>
        <w:tab/>
        <w:t xml:space="preserve">المعلومات الواردة من </w:t>
      </w:r>
      <w:r w:rsidRPr="00CC27A7">
        <w:rPr>
          <w:rFonts w:hint="cs"/>
          <w:rtl/>
        </w:rPr>
        <w:t>العراق</w:t>
      </w:r>
      <w:r w:rsidRPr="00CC27A7">
        <w:rPr>
          <w:rtl/>
        </w:rPr>
        <w:t xml:space="preserve"> بشأن متابعة الملاحظات الختامية على تقريره الدوري </w:t>
      </w:r>
      <w:r w:rsidRPr="00CC27A7">
        <w:rPr>
          <w:rFonts w:hint="cs"/>
          <w:rtl/>
        </w:rPr>
        <w:t>السابع</w:t>
      </w:r>
      <w:r>
        <w:rPr>
          <w:rFonts w:hint="cs"/>
          <w:rtl/>
        </w:rPr>
        <w:t>*</w:t>
      </w:r>
    </w:p>
    <w:p w14:paraId="42DF768D" w14:textId="77777777" w:rsidR="00CC27A7" w:rsidRPr="00CC27A7" w:rsidRDefault="00CC27A7" w:rsidP="00CC27A7">
      <w:pPr>
        <w:pStyle w:val="SingleTxt"/>
        <w:jc w:val="right"/>
      </w:pPr>
      <w:r w:rsidRPr="00CC27A7">
        <w:rPr>
          <w:rtl/>
        </w:rPr>
        <w:t xml:space="preserve">[تاريخ الاستلام: </w:t>
      </w:r>
      <w:r w:rsidRPr="00CC27A7">
        <w:rPr>
          <w:rFonts w:hint="cs"/>
          <w:rtl/>
        </w:rPr>
        <w:t xml:space="preserve">23 كانون الأول/ديسمبر </w:t>
      </w:r>
      <w:r w:rsidRPr="00CC27A7">
        <w:rPr>
          <w:rtl/>
        </w:rPr>
        <w:t>2021]</w:t>
      </w:r>
    </w:p>
    <w:p w14:paraId="04584DBA" w14:textId="77777777" w:rsidR="00CC27A7" w:rsidRPr="00CC27A7" w:rsidRDefault="00CC27A7" w:rsidP="00CC27A7">
      <w:pPr>
        <w:pStyle w:val="SingleTxt"/>
        <w:rPr>
          <w:bCs/>
        </w:rPr>
      </w:pPr>
      <w:r w:rsidRPr="00CC27A7">
        <w:rPr>
          <w:bCs/>
          <w:rtl/>
        </w:rPr>
        <w:br w:type="page"/>
      </w:r>
    </w:p>
    <w:p w14:paraId="4AAA7C89" w14:textId="77777777" w:rsidR="00CC27A7" w:rsidRPr="00CC27A7" w:rsidRDefault="00CC27A7" w:rsidP="00CC27A7">
      <w:pPr>
        <w:pStyle w:val="HCh"/>
        <w:jc w:val="lowKashida"/>
        <w:rPr>
          <w:rtl/>
          <w:lang w:bidi="ar-EG"/>
        </w:rPr>
      </w:pPr>
      <w:r w:rsidRPr="00CC27A7">
        <w:rPr>
          <w:rtl/>
        </w:rPr>
        <w:lastRenderedPageBreak/>
        <w:tab/>
      </w:r>
      <w:r w:rsidRPr="00CC27A7">
        <w:rPr>
          <w:rtl/>
        </w:rPr>
        <w:tab/>
      </w:r>
      <w:r w:rsidRPr="00CC27A7">
        <w:rPr>
          <w:rFonts w:hint="cs"/>
          <w:rtl/>
        </w:rPr>
        <w:t>مقدمة</w:t>
      </w:r>
    </w:p>
    <w:p w14:paraId="097874CE" w14:textId="4C8C7778" w:rsidR="00CC27A7" w:rsidRPr="00CC27A7" w:rsidRDefault="00CC27A7" w:rsidP="00CC27A7">
      <w:pPr>
        <w:pStyle w:val="SingleTxt"/>
        <w:rPr>
          <w:rtl/>
          <w:lang w:bidi="ar-IQ"/>
        </w:rPr>
      </w:pPr>
      <w:r w:rsidRPr="00CC27A7">
        <w:rPr>
          <w:rtl/>
        </w:rPr>
        <w:tab/>
      </w:r>
      <w:r w:rsidRPr="00CC27A7">
        <w:rPr>
          <w:rFonts w:hint="cs"/>
          <w:rtl/>
        </w:rPr>
        <w:t xml:space="preserve">استناداً إلى الفقرة (48) من الملاحظات الختامية </w:t>
      </w:r>
      <w:r w:rsidRPr="00CC27A7">
        <w:rPr>
          <w:rtl/>
        </w:rPr>
        <w:t xml:space="preserve">المتعلقة بالتقرير الدوري </w:t>
      </w:r>
      <w:r w:rsidRPr="00CC27A7">
        <w:rPr>
          <w:rFonts w:hint="cs"/>
          <w:rtl/>
        </w:rPr>
        <w:t>السابع</w:t>
      </w:r>
      <w:r w:rsidRPr="00CC27A7">
        <w:rPr>
          <w:rtl/>
        </w:rPr>
        <w:t xml:space="preserve"> المقدم من </w:t>
      </w:r>
      <w:r w:rsidRPr="00CC27A7">
        <w:rPr>
          <w:rFonts w:hint="cs"/>
          <w:rtl/>
        </w:rPr>
        <w:t xml:space="preserve">جمهورية </w:t>
      </w:r>
      <w:r w:rsidRPr="00CC27A7">
        <w:rPr>
          <w:rtl/>
        </w:rPr>
        <w:t xml:space="preserve">العراق </w:t>
      </w:r>
      <w:r w:rsidRPr="00CC27A7">
        <w:rPr>
          <w:rFonts w:hint="cs"/>
          <w:rtl/>
        </w:rPr>
        <w:t xml:space="preserve">إلى لجنة القضاء على جميع أشكال التمييز ضد المرأة الواردة في الوثيقة </w:t>
      </w:r>
      <w:hyperlink r:id="rId18" w:history="1">
        <w:r w:rsidRPr="00CC27A7">
          <w:rPr>
            <w:rStyle w:val="Hyperlink"/>
          </w:rPr>
          <w:t>CEDAW/C/IQR/CO/7</w:t>
        </w:r>
      </w:hyperlink>
      <w:r w:rsidRPr="00CC27A7">
        <w:rPr>
          <w:rFonts w:hint="cs"/>
          <w:rtl/>
        </w:rPr>
        <w:t>،</w:t>
      </w:r>
      <w:r w:rsidRPr="00CC27A7">
        <w:rPr>
          <w:rFonts w:hint="cs"/>
          <w:rtl/>
          <w:lang w:bidi="ar-IQ"/>
        </w:rPr>
        <w:t xml:space="preserve"> </w:t>
      </w:r>
      <w:r w:rsidRPr="00CC27A7">
        <w:rPr>
          <w:rtl/>
        </w:rPr>
        <w:t>تقدم جمهورية العراق</w:t>
      </w:r>
      <w:r w:rsidRPr="00CC27A7">
        <w:rPr>
          <w:rFonts w:hint="cs"/>
          <w:rtl/>
        </w:rPr>
        <w:t xml:space="preserve"> </w:t>
      </w:r>
      <w:r w:rsidRPr="00CC27A7">
        <w:rPr>
          <w:rtl/>
        </w:rPr>
        <w:t xml:space="preserve">بموجب هذه الوثيقة </w:t>
      </w:r>
      <w:r w:rsidRPr="00CC27A7">
        <w:rPr>
          <w:rFonts w:hint="cs"/>
          <w:rtl/>
        </w:rPr>
        <w:t>المعلومات الخطية في إطار متابعة الملاحظات الختامية</w:t>
      </w:r>
      <w:r w:rsidRPr="00CC27A7">
        <w:rPr>
          <w:rtl/>
        </w:rPr>
        <w:t xml:space="preserve"> </w:t>
      </w:r>
      <w:r w:rsidRPr="00CC27A7">
        <w:rPr>
          <w:rFonts w:hint="cs"/>
          <w:rtl/>
        </w:rPr>
        <w:t>وكالآتي:</w:t>
      </w:r>
    </w:p>
    <w:p w14:paraId="6D25BEED" w14:textId="2D6BC0E2" w:rsidR="00CC27A7" w:rsidRPr="00CC27A7" w:rsidRDefault="00CC27A7" w:rsidP="00CC27A7">
      <w:pPr>
        <w:pStyle w:val="SingleTxt"/>
        <w:spacing w:after="0" w:line="120" w:lineRule="exact"/>
        <w:rPr>
          <w:b/>
          <w:bCs/>
          <w:sz w:val="10"/>
          <w:rtl/>
          <w:lang w:bidi="ar-IQ"/>
        </w:rPr>
      </w:pPr>
    </w:p>
    <w:p w14:paraId="5C1A7DDC" w14:textId="77777777" w:rsidR="00CC27A7" w:rsidRPr="00CC27A7" w:rsidRDefault="00CC27A7" w:rsidP="00CC27A7">
      <w:pPr>
        <w:pStyle w:val="H1"/>
        <w:rPr>
          <w:rtl/>
          <w:lang w:bidi="ar-IQ"/>
        </w:rPr>
      </w:pPr>
      <w:r w:rsidRPr="00CC27A7">
        <w:rPr>
          <w:rtl/>
          <w:lang w:bidi="ar-IQ"/>
        </w:rPr>
        <w:tab/>
      </w:r>
      <w:r w:rsidRPr="00CC27A7">
        <w:rPr>
          <w:rtl/>
          <w:lang w:bidi="ar-IQ"/>
        </w:rPr>
        <w:tab/>
        <w:t>الإطار الدستوري و</w:t>
      </w:r>
      <w:r w:rsidRPr="00CC27A7">
        <w:rPr>
          <w:rFonts w:hint="cs"/>
          <w:rtl/>
          <w:lang w:bidi="ar-IQ"/>
        </w:rPr>
        <w:t>التشريعي</w:t>
      </w:r>
    </w:p>
    <w:p w14:paraId="7F5B532F" w14:textId="77777777" w:rsidR="00CC27A7" w:rsidRPr="00CC27A7" w:rsidRDefault="00CC27A7" w:rsidP="00CC27A7">
      <w:pPr>
        <w:pStyle w:val="SingleTxt"/>
        <w:rPr>
          <w:b/>
          <w:bCs/>
          <w:rtl/>
          <w:lang w:bidi="ar-IQ"/>
        </w:rPr>
      </w:pPr>
      <w:r w:rsidRPr="00CC27A7">
        <w:rPr>
          <w:b/>
          <w:bCs/>
          <w:rtl/>
          <w:lang w:bidi="ar-IQ"/>
        </w:rPr>
        <w:tab/>
      </w:r>
      <w:r w:rsidRPr="00CC27A7">
        <w:rPr>
          <w:rFonts w:hint="cs"/>
          <w:b/>
          <w:bCs/>
          <w:rtl/>
          <w:lang w:bidi="ar-IQ"/>
        </w:rPr>
        <w:t>الفقرة (14-أ) إلغاء المادة 41 من الدستور التي تنص حالياً على أن العراقيين أحرار في الالتزام بأحوالهم الشخصية، حسب دياناتهم أو مذاهبهم أو معتقداتهم أو اختياراتهم، وينظم ذلك بقانون، وذلك بهدف ضمان المساواة بين المرأة والرجل بما يتفق مع الاتفاقية ومع المادة 14 من الدستور.</w:t>
      </w:r>
    </w:p>
    <w:p w14:paraId="6D933259" w14:textId="49B416B7" w:rsidR="00CC27A7" w:rsidRPr="00CC27A7" w:rsidRDefault="00CC27A7" w:rsidP="00CC27A7">
      <w:pPr>
        <w:pStyle w:val="SingleTxt"/>
      </w:pPr>
      <w:r>
        <w:rPr>
          <w:rtl/>
          <w:lang w:bidi="ar-IQ"/>
        </w:rPr>
        <w:tab/>
      </w:r>
      <w:r w:rsidRPr="00CC27A7">
        <w:rPr>
          <w:rFonts w:hint="cs"/>
          <w:rtl/>
          <w:lang w:bidi="ar-IQ"/>
        </w:rPr>
        <w:t>1 -</w:t>
      </w:r>
      <w:r w:rsidRPr="00CC27A7">
        <w:rPr>
          <w:rtl/>
          <w:lang w:bidi="ar-IQ"/>
        </w:rPr>
        <w:tab/>
      </w:r>
      <w:r w:rsidRPr="00CC27A7">
        <w:rPr>
          <w:rFonts w:hint="cs"/>
          <w:rtl/>
          <w:lang w:bidi="ar-IQ"/>
        </w:rPr>
        <w:t>شكل مجلس النواب العراقي لجنة خاصة للتعديلات الدستورية وكانت المادة (41) من بين المواد ذات الأهمية إذ قدمت العديد من المنظمات غير الحكومية وناشطي حقوق الانسان ملاحظات بشأنها، واجتمعت اللجنة العديد من الاجتماعات وما زالت في إطار المشاورات لتقديم رؤية موحدة لجميع التعديلات الدستورية لكي تقدم صفقة واحدة حيث تستمر المشاورات والاستماع إلى أصحاب العلاقة للوصول إلى تلك</w:t>
      </w:r>
      <w:r>
        <w:rPr>
          <w:rFonts w:hint="cs"/>
          <w:rtl/>
          <w:lang w:bidi="ar-IQ"/>
        </w:rPr>
        <w:t xml:space="preserve"> </w:t>
      </w:r>
      <w:r w:rsidRPr="00CC27A7">
        <w:rPr>
          <w:rFonts w:hint="cs"/>
          <w:rtl/>
          <w:lang w:bidi="ar-IQ"/>
        </w:rPr>
        <w:t>الرؤية.</w:t>
      </w:r>
    </w:p>
    <w:p w14:paraId="42FF7F56" w14:textId="4736EBF7" w:rsidR="00CC27A7" w:rsidRPr="00CC27A7" w:rsidRDefault="00CC27A7" w:rsidP="00CC27A7">
      <w:pPr>
        <w:pStyle w:val="SingleTxt"/>
        <w:rPr>
          <w:rtl/>
          <w:lang w:bidi="ar-IQ"/>
        </w:rPr>
      </w:pPr>
      <w:r>
        <w:rPr>
          <w:rtl/>
          <w:lang w:bidi="ar-IQ"/>
        </w:rPr>
        <w:tab/>
      </w:r>
      <w:r w:rsidRPr="00CC27A7">
        <w:rPr>
          <w:rFonts w:hint="cs"/>
          <w:rtl/>
          <w:lang w:bidi="ar-IQ"/>
        </w:rPr>
        <w:t>2 -</w:t>
      </w:r>
      <w:r w:rsidRPr="00CC27A7">
        <w:rPr>
          <w:rtl/>
          <w:lang w:bidi="ar-IQ"/>
        </w:rPr>
        <w:tab/>
      </w:r>
      <w:r w:rsidRPr="00CC27A7">
        <w:rPr>
          <w:rFonts w:hint="cs"/>
          <w:rtl/>
          <w:lang w:bidi="ar-IQ"/>
        </w:rPr>
        <w:t>وبشأن تعديل قانون الأحوال الشخصية فإن التعديل على التشريعات من اختصاص السلطة التشريعية المتمثلة بمجلس النواب وعند صدور التعديل المقترح فإن القضاء العراقي ملزم بتطبيق القانون ولغاية الآن لم يصدر أي تشريع أو تعديل في مواد قانون الأحوال الشخصية النافذ.</w:t>
      </w:r>
    </w:p>
    <w:p w14:paraId="5EC4DB95" w14:textId="210732C2" w:rsidR="00CC27A7" w:rsidRPr="00CC27A7" w:rsidRDefault="00CC27A7" w:rsidP="00CC27A7">
      <w:pPr>
        <w:pStyle w:val="SingleTxt"/>
        <w:spacing w:after="0" w:line="120" w:lineRule="exact"/>
        <w:rPr>
          <w:b/>
          <w:bCs/>
          <w:sz w:val="10"/>
          <w:rtl/>
          <w:lang w:bidi="ar-IQ"/>
        </w:rPr>
      </w:pPr>
    </w:p>
    <w:p w14:paraId="4128DF10" w14:textId="77777777" w:rsidR="00CC27A7" w:rsidRPr="00CC27A7" w:rsidRDefault="00CC27A7" w:rsidP="00CC27A7">
      <w:pPr>
        <w:pStyle w:val="H1"/>
        <w:rPr>
          <w:rtl/>
          <w:lang w:bidi="ar-IQ"/>
        </w:rPr>
      </w:pPr>
      <w:r w:rsidRPr="00CC27A7">
        <w:rPr>
          <w:rtl/>
          <w:lang w:bidi="ar-IQ"/>
        </w:rPr>
        <w:tab/>
      </w:r>
      <w:r w:rsidRPr="00CC27A7">
        <w:rPr>
          <w:rtl/>
          <w:lang w:bidi="ar-IQ"/>
        </w:rPr>
        <w:tab/>
      </w:r>
      <w:r w:rsidRPr="00CC27A7">
        <w:rPr>
          <w:rFonts w:hint="cs"/>
          <w:rtl/>
          <w:lang w:bidi="ar-IQ"/>
        </w:rPr>
        <w:t>الجهاز الوطني للنهوض بالمرأة</w:t>
      </w:r>
    </w:p>
    <w:p w14:paraId="58022CEC" w14:textId="77777777" w:rsidR="00CC27A7" w:rsidRPr="00CC27A7" w:rsidRDefault="00CC27A7" w:rsidP="00CC27A7">
      <w:pPr>
        <w:pStyle w:val="SingleTxt"/>
        <w:rPr>
          <w:b/>
          <w:bCs/>
          <w:rtl/>
          <w:lang w:bidi="ar-IQ"/>
        </w:rPr>
      </w:pPr>
      <w:r w:rsidRPr="00CC27A7">
        <w:rPr>
          <w:b/>
          <w:bCs/>
          <w:rtl/>
          <w:lang w:bidi="ar-IQ"/>
        </w:rPr>
        <w:tab/>
      </w:r>
      <w:r w:rsidRPr="00CC27A7">
        <w:rPr>
          <w:rFonts w:hint="cs"/>
          <w:b/>
          <w:bCs/>
          <w:rtl/>
          <w:lang w:bidi="ar-IQ"/>
        </w:rPr>
        <w:t xml:space="preserve">الفقرة (16-ب) أعادة وزارة شؤون المرأة واعطائها حقيبة وزارية وولاية واضحة من أجل تعزيز وحماية حقوق المرأة والنهوض بالمساواة بين الجنسين وتخصيص ما يكفي من الموارد البشرية والتقنية والمالية لذلك، وتعزيز قدراتها على التأثير في صياغة السياسات العامة المعنية بالمساواة بين الجنسين ووضعها وتنفيذها، وتعزيز دور هذه الوزارة في مجال التنسيق والإشراف على إعداد وتنفيذ التشريعات في ميدان المساواة بين الجنسين وفي تعميم مراعاة المنظور </w:t>
      </w:r>
      <w:proofErr w:type="spellStart"/>
      <w:r w:rsidRPr="00CC27A7">
        <w:rPr>
          <w:rFonts w:hint="cs"/>
          <w:b/>
          <w:bCs/>
          <w:rtl/>
          <w:lang w:bidi="ar-IQ"/>
        </w:rPr>
        <w:t>الجنساني</w:t>
      </w:r>
      <w:proofErr w:type="spellEnd"/>
      <w:r w:rsidRPr="00CC27A7">
        <w:rPr>
          <w:rFonts w:hint="cs"/>
          <w:b/>
          <w:bCs/>
          <w:rtl/>
          <w:lang w:bidi="ar-IQ"/>
        </w:rPr>
        <w:t xml:space="preserve"> في جميع القوانين والسياسات فقد تم اتخاذ الإجراءات الآتية:</w:t>
      </w:r>
    </w:p>
    <w:p w14:paraId="668237D8" w14:textId="3920B5D5" w:rsidR="00CC27A7" w:rsidRPr="00CC27A7" w:rsidRDefault="00CC27A7" w:rsidP="00CC27A7">
      <w:pPr>
        <w:pStyle w:val="SingleTxt"/>
        <w:rPr>
          <w:spacing w:val="-2"/>
          <w:rtl/>
          <w:lang w:bidi="ar-IQ"/>
        </w:rPr>
      </w:pPr>
      <w:r w:rsidRPr="00CC27A7">
        <w:rPr>
          <w:spacing w:val="-2"/>
          <w:rtl/>
          <w:lang w:bidi="ar-IQ"/>
        </w:rPr>
        <w:tab/>
      </w:r>
      <w:r w:rsidRPr="00CC27A7">
        <w:rPr>
          <w:rFonts w:hint="cs"/>
          <w:spacing w:val="-2"/>
          <w:rtl/>
          <w:lang w:bidi="ar-IQ"/>
        </w:rPr>
        <w:t>1 -</w:t>
      </w:r>
      <w:r w:rsidRPr="00CC27A7">
        <w:rPr>
          <w:spacing w:val="-2"/>
          <w:rtl/>
          <w:lang w:bidi="ar-IQ"/>
        </w:rPr>
        <w:tab/>
      </w:r>
      <w:r w:rsidRPr="00CC27A7">
        <w:rPr>
          <w:rFonts w:hint="cs"/>
          <w:spacing w:val="-2"/>
          <w:rtl/>
          <w:lang w:bidi="ar-IQ"/>
        </w:rPr>
        <w:t xml:space="preserve">استحدثت دائرة تمكين المرأة العراقية ضمن الهيكل التنظيمي للأمانة العامة لمجلس الوزراء وتولت ملفات وزارة الدولة لشؤون المرأة (المنحلة) جميعها، وتعد ضامناً لتعزيز وحماية حقوق المرأة والنهوض بالمساواة بين الجنسين، وتسعى من خلال المهمات الموكلة اليها إلى ((إدماج مفهوم النوع الاجتماعي في الخطط والسياسات الحكومية من أجل تحقيق مبدأ العدالة والإنصاف في عملية التنمية، والنهوض بواقع المرأة الريفية من خلال وضع الخطط والاستراتيجيات لتمكينها وتوعيتها سياسياً واجتماعياً واقتصادياً ومتابعة تنفيذ الخطط والاستراتيجيات الوطنية المقرة والمتعلقة بالنوع الاجتماعي، وتفعيل مهمة العراق في المحافل الدولية التي تسعى لدعم قضايا المرأة، إلى جنب مراجعة القوانين والتشريعات والقرارات والضوابط التي تكرس التمييز بين الجنسين والعمل على تقديم التوصيات اللازمة لتعديلها ومتابعة التنفيذ مع الجهات ذات العلاقة)) وإن استحداث </w:t>
      </w:r>
      <w:r w:rsidRPr="00CC27A7">
        <w:rPr>
          <w:rFonts w:hint="cs"/>
          <w:spacing w:val="-2"/>
          <w:rtl/>
          <w:lang w:bidi="ar-IQ"/>
        </w:rPr>
        <w:lastRenderedPageBreak/>
        <w:t>هذه الدائرة قد تجنب الجوانب السلبية التي رافقت عمل وزارة الدولة لشؤون المرأة إذ أصبحت هذه الدائرة تعمل في إطار الأمانة العامة لمجلس الوزراء ولها تخصيصات مالية مناسبة.</w:t>
      </w:r>
    </w:p>
    <w:p w14:paraId="2CA538B4" w14:textId="36EC6FE4" w:rsidR="00CC27A7" w:rsidRPr="00CC27A7" w:rsidRDefault="00CC27A7" w:rsidP="00CC27A7">
      <w:pPr>
        <w:pStyle w:val="SingleTxt"/>
        <w:rPr>
          <w:rtl/>
          <w:lang w:bidi="ar-IQ"/>
        </w:rPr>
      </w:pPr>
      <w:r>
        <w:rPr>
          <w:rtl/>
          <w:lang w:bidi="ar-IQ"/>
        </w:rPr>
        <w:tab/>
      </w:r>
      <w:r w:rsidRPr="00CC27A7">
        <w:rPr>
          <w:rFonts w:hint="cs"/>
          <w:rtl/>
          <w:lang w:bidi="ar-IQ"/>
        </w:rPr>
        <w:t>2 -</w:t>
      </w:r>
      <w:r w:rsidRPr="00CC27A7">
        <w:rPr>
          <w:rtl/>
          <w:lang w:bidi="ar-IQ"/>
        </w:rPr>
        <w:tab/>
      </w:r>
      <w:r w:rsidRPr="00CC27A7">
        <w:rPr>
          <w:rFonts w:hint="cs"/>
          <w:rtl/>
          <w:lang w:bidi="ar-IQ"/>
        </w:rPr>
        <w:t>أصدرت الحكومة العراقية أمراً ديوانياً بتشكيل (المجلس الوطني لشؤون المرأة) برئاسة السيد رئيس مجلس الوزراء وعضوية عدد من الأعضاء رفيعي المستوى في الحكومة العراقية ومنظمات المجتمع المدني، يتولى دعم دائرة تمكين في أداء مهماتها وجعلها الإدارة التنفيذية لهذا المجلس ومتابعة تنفيذ القرارات والتوجيهات الصادرة عنه، من خلال أذرعها التنفيذية الفنية (تشكيلات تمكين المرأة) في المؤسسات الحكومية والحكومات المحلية في المحافظات بالإضافة إلى مهماته في العمل على (وضع السياسات ومناقشة أوضاع المرأة وإصدار القرارات والتوصيات بشأنها وبما يضمن حقوق المرأة وحريتها التي كفلها الدستور والتشريعات النافذة، وتقويم واقع المرأة العراقية بالتنسيق مع المؤسسات الحكومية من خلال تقديم الحلول والمقترحات القائمة على منظور النوع الاجتماعي بغية النهوض بالمرأة وتنسيق العمل مع منظمة المرأة العربية ودوائر المرأة التابعة لها).</w:t>
      </w:r>
    </w:p>
    <w:p w14:paraId="597D260F" w14:textId="235A9E3C" w:rsidR="00CC27A7" w:rsidRPr="00CC27A7" w:rsidRDefault="00CC27A7" w:rsidP="00CC27A7">
      <w:pPr>
        <w:pStyle w:val="SingleTxt"/>
        <w:rPr>
          <w:b/>
        </w:rPr>
      </w:pPr>
      <w:r>
        <w:rPr>
          <w:rtl/>
        </w:rPr>
        <w:tab/>
      </w:r>
      <w:r w:rsidRPr="00CC27A7">
        <w:rPr>
          <w:rFonts w:hint="cs"/>
          <w:rtl/>
        </w:rPr>
        <w:t>3 -</w:t>
      </w:r>
      <w:r w:rsidRPr="00CC27A7">
        <w:rPr>
          <w:rtl/>
        </w:rPr>
        <w:tab/>
      </w:r>
      <w:r w:rsidRPr="00CC27A7">
        <w:rPr>
          <w:rFonts w:hint="cs"/>
          <w:rtl/>
        </w:rPr>
        <w:t xml:space="preserve">تتولى </w:t>
      </w:r>
      <w:r w:rsidRPr="00CC27A7">
        <w:rPr>
          <w:rtl/>
        </w:rPr>
        <w:t>دائرة تمكين المر</w:t>
      </w:r>
      <w:r w:rsidRPr="00CC27A7">
        <w:rPr>
          <w:rFonts w:hint="cs"/>
          <w:rtl/>
        </w:rPr>
        <w:t>أ</w:t>
      </w:r>
      <w:r w:rsidRPr="00CC27A7">
        <w:rPr>
          <w:rtl/>
        </w:rPr>
        <w:t xml:space="preserve">ة </w:t>
      </w:r>
      <w:r w:rsidRPr="00CC27A7">
        <w:rPr>
          <w:rFonts w:hint="cs"/>
          <w:rtl/>
        </w:rPr>
        <w:t>متابعة تنفيذ</w:t>
      </w:r>
      <w:r w:rsidRPr="00CC27A7">
        <w:rPr>
          <w:rtl/>
        </w:rPr>
        <w:t xml:space="preserve"> خطة تنفيذ </w:t>
      </w:r>
      <w:r w:rsidRPr="00CC27A7">
        <w:rPr>
          <w:rFonts w:hint="cs"/>
          <w:rtl/>
        </w:rPr>
        <w:t>ال</w:t>
      </w:r>
      <w:r w:rsidRPr="00CC27A7">
        <w:rPr>
          <w:rtl/>
        </w:rPr>
        <w:t xml:space="preserve">قرار </w:t>
      </w:r>
      <w:hyperlink r:id="rId19" w:history="1">
        <w:r w:rsidRPr="00CC27A7">
          <w:rPr>
            <w:rStyle w:val="Hyperlink"/>
            <w:rFonts w:hint="cs"/>
            <w:rtl/>
          </w:rPr>
          <w:t>1325 (2000)</w:t>
        </w:r>
      </w:hyperlink>
      <w:r w:rsidRPr="00CC27A7">
        <w:rPr>
          <w:rtl/>
        </w:rPr>
        <w:t xml:space="preserve"> </w:t>
      </w:r>
      <w:r w:rsidRPr="00CC27A7">
        <w:rPr>
          <w:rFonts w:hint="cs"/>
          <w:rtl/>
        </w:rPr>
        <w:t>ل</w:t>
      </w:r>
      <w:r w:rsidRPr="00CC27A7">
        <w:rPr>
          <w:rtl/>
        </w:rPr>
        <w:t>تعزيز مشاركة المر</w:t>
      </w:r>
      <w:r w:rsidRPr="00CC27A7">
        <w:rPr>
          <w:rFonts w:hint="cs"/>
          <w:rtl/>
        </w:rPr>
        <w:t>أ</w:t>
      </w:r>
      <w:r w:rsidRPr="00CC27A7">
        <w:rPr>
          <w:rtl/>
        </w:rPr>
        <w:t>ة في القيادة وصنع القرار بما يعزز حفظ الامن وبناء السلام.</w:t>
      </w:r>
      <w:r w:rsidRPr="00CC27A7">
        <w:rPr>
          <w:rFonts w:hint="cs"/>
          <w:rtl/>
        </w:rPr>
        <w:t xml:space="preserve"> وأطلقت الخطة الثانية للقرار </w:t>
      </w:r>
      <w:hyperlink r:id="rId20" w:history="1">
        <w:r w:rsidRPr="00CC27A7">
          <w:rPr>
            <w:rStyle w:val="Hyperlink"/>
            <w:rFonts w:hint="cs"/>
            <w:rtl/>
          </w:rPr>
          <w:t>1325</w:t>
        </w:r>
        <w:r>
          <w:rPr>
            <w:rStyle w:val="Hyperlink"/>
            <w:rFonts w:hint="eastAsia"/>
            <w:rtl/>
          </w:rPr>
          <w:t> </w:t>
        </w:r>
        <w:r w:rsidRPr="00CC27A7">
          <w:rPr>
            <w:rStyle w:val="Hyperlink"/>
            <w:rFonts w:hint="cs"/>
            <w:rtl/>
          </w:rPr>
          <w:t>(2000)</w:t>
        </w:r>
      </w:hyperlink>
      <w:r w:rsidRPr="00CC27A7">
        <w:rPr>
          <w:rFonts w:hint="cs"/>
          <w:rtl/>
        </w:rPr>
        <w:t xml:space="preserve"> بتاريخ 24 كانون الأول/ديسمبر 2020.</w:t>
      </w:r>
    </w:p>
    <w:p w14:paraId="3129F108" w14:textId="7272036C" w:rsidR="00CC27A7" w:rsidRPr="00CC27A7" w:rsidRDefault="00CC27A7" w:rsidP="00CC27A7">
      <w:pPr>
        <w:pStyle w:val="SingleTxt"/>
        <w:rPr>
          <w:b/>
          <w:rtl/>
        </w:rPr>
      </w:pPr>
      <w:r>
        <w:rPr>
          <w:b/>
          <w:rtl/>
        </w:rPr>
        <w:tab/>
      </w:r>
      <w:r w:rsidRPr="00CC27A7">
        <w:rPr>
          <w:rFonts w:hint="cs"/>
          <w:b/>
          <w:rtl/>
        </w:rPr>
        <w:t>4 -</w:t>
      </w:r>
      <w:r w:rsidRPr="00CC27A7">
        <w:rPr>
          <w:b/>
          <w:rtl/>
        </w:rPr>
        <w:tab/>
        <w:t xml:space="preserve">وضعت دائرة تمكين المرأة ضمن خطة عملها متابعة تعديل النصوص التشريعية مع </w:t>
      </w:r>
      <w:r w:rsidRPr="00CC27A7">
        <w:rPr>
          <w:rFonts w:hint="cs"/>
          <w:b/>
          <w:rtl/>
        </w:rPr>
        <w:t>إ</w:t>
      </w:r>
      <w:r w:rsidRPr="00CC27A7">
        <w:rPr>
          <w:b/>
          <w:rtl/>
        </w:rPr>
        <w:t>قامة ورش عمل توعوية بالتعاون مع المنظمات الدولية لمناقشة النصوص القانونية ذات الطابع التمييزي.</w:t>
      </w:r>
    </w:p>
    <w:p w14:paraId="311082BE" w14:textId="77777777" w:rsidR="00CC27A7" w:rsidRPr="00CC27A7" w:rsidRDefault="00CC27A7" w:rsidP="00CC27A7">
      <w:pPr>
        <w:pStyle w:val="SingleTxt"/>
        <w:rPr>
          <w:b/>
          <w:rtl/>
        </w:rPr>
      </w:pPr>
      <w:r w:rsidRPr="00CC27A7">
        <w:rPr>
          <w:bCs/>
          <w:rtl/>
        </w:rPr>
        <w:tab/>
      </w:r>
      <w:r w:rsidRPr="00CC27A7">
        <w:rPr>
          <w:rFonts w:hint="cs"/>
          <w:b/>
          <w:rtl/>
        </w:rPr>
        <w:t>وفي ضوء ما تقد</w:t>
      </w:r>
      <w:r w:rsidRPr="00CC27A7">
        <w:rPr>
          <w:rFonts w:hint="eastAsia"/>
          <w:b/>
          <w:rtl/>
        </w:rPr>
        <w:t>م</w:t>
      </w:r>
      <w:r w:rsidRPr="00CC27A7">
        <w:rPr>
          <w:rFonts w:hint="cs"/>
          <w:b/>
          <w:rtl/>
        </w:rPr>
        <w:t xml:space="preserve"> فإن الهياكل المؤسسية الحالية توفر ضمانة أساسية لاستمرار عمل وزارات الدولة لشؤون المرأة وتعزيزها (الملغاة).</w:t>
      </w:r>
    </w:p>
    <w:p w14:paraId="61748DC3" w14:textId="1AFA3E46" w:rsidR="00CC27A7" w:rsidRPr="00CC27A7" w:rsidRDefault="00CC27A7" w:rsidP="00CC27A7">
      <w:pPr>
        <w:pStyle w:val="SingleTxt"/>
        <w:spacing w:after="0" w:line="120" w:lineRule="exact"/>
        <w:rPr>
          <w:b/>
          <w:bCs/>
          <w:sz w:val="10"/>
          <w:rtl/>
        </w:rPr>
      </w:pPr>
    </w:p>
    <w:p w14:paraId="4F6F4A68" w14:textId="77777777" w:rsidR="00CC27A7" w:rsidRPr="00CC27A7" w:rsidRDefault="00CC27A7" w:rsidP="00CC27A7">
      <w:pPr>
        <w:pStyle w:val="H1"/>
        <w:rPr>
          <w:rtl/>
        </w:rPr>
      </w:pPr>
      <w:r w:rsidRPr="00CC27A7">
        <w:rPr>
          <w:rtl/>
        </w:rPr>
        <w:tab/>
      </w:r>
      <w:r w:rsidRPr="00CC27A7">
        <w:rPr>
          <w:rtl/>
        </w:rPr>
        <w:tab/>
      </w:r>
      <w:r w:rsidRPr="00CC27A7">
        <w:rPr>
          <w:rFonts w:hint="cs"/>
          <w:rtl/>
        </w:rPr>
        <w:t>النساء والفتيات اللاجئات والعائدات والمشردات داخليا</w:t>
      </w:r>
    </w:p>
    <w:p w14:paraId="7B864614" w14:textId="77777777" w:rsidR="00CC27A7" w:rsidRPr="00CC27A7" w:rsidRDefault="00CC27A7" w:rsidP="00CC27A7">
      <w:pPr>
        <w:pStyle w:val="SingleTxt"/>
        <w:rPr>
          <w:b/>
          <w:bCs/>
          <w:rtl/>
          <w:lang w:bidi="ar-IQ"/>
        </w:rPr>
      </w:pPr>
      <w:r w:rsidRPr="00CC27A7">
        <w:rPr>
          <w:b/>
          <w:bCs/>
          <w:rtl/>
          <w:lang w:bidi="ar-IQ"/>
        </w:rPr>
        <w:tab/>
      </w:r>
      <w:r w:rsidRPr="00CC27A7">
        <w:rPr>
          <w:rFonts w:hint="cs"/>
          <w:b/>
          <w:bCs/>
          <w:rtl/>
          <w:lang w:bidi="ar-IQ"/>
        </w:rPr>
        <w:t>الفقرة (40-أ) كفالة العودة الامنة للمشردات داخلياً واللاجئات إلى ديارهن ومشاركتهن في أعادة بناء مجتمعاتهن المحلية.</w:t>
      </w:r>
    </w:p>
    <w:p w14:paraId="693B6659" w14:textId="13F13479" w:rsidR="00CC27A7" w:rsidRPr="00CC27A7" w:rsidRDefault="00CC27A7" w:rsidP="00CC27A7">
      <w:pPr>
        <w:pStyle w:val="SingleTxt"/>
        <w:rPr>
          <w:rtl/>
          <w:lang w:bidi="ar-IQ"/>
        </w:rPr>
      </w:pPr>
      <w:r>
        <w:rPr>
          <w:rtl/>
          <w:lang w:bidi="ar-IQ"/>
        </w:rPr>
        <w:tab/>
      </w:r>
      <w:r w:rsidRPr="00CC27A7">
        <w:rPr>
          <w:rFonts w:hint="cs"/>
          <w:rtl/>
          <w:lang w:bidi="ar-IQ"/>
        </w:rPr>
        <w:t>1 -</w:t>
      </w:r>
      <w:r w:rsidRPr="00CC27A7">
        <w:rPr>
          <w:rtl/>
          <w:lang w:bidi="ar-IQ"/>
        </w:rPr>
        <w:tab/>
      </w:r>
      <w:r w:rsidRPr="00CC27A7">
        <w:rPr>
          <w:rFonts w:hint="cs"/>
          <w:rtl/>
          <w:lang w:bidi="ar-IQ"/>
        </w:rPr>
        <w:t>وفقاً لقانون وزارة الهجرة والمهجرين رقم (21 لسنة 2009) والتعليمات والضوابط الصادرة لتسهيل تنفيذ أحكام القانون وقد اهتمت وزارة الهجرة والمهجرين بـ (النازحات، المهاجرات) وذلك بشمولهن بالمساعدات المادية والعينية بعد تحقيق العودة الطوعية، علما أن الوزارة تعمل على تحديث التعليمات الوزارية بما يخدم هذه الشريحة من النساء، كما تم تنظيم دورات تثقيفية وتوعوية لتنفيذ بعض المشاريع المدرة للدخل بهدف تحسين الدخل المادي لهذه الفئة وفقاً لآلية عمل وزارة الهجرة والمهجرين.</w:t>
      </w:r>
    </w:p>
    <w:p w14:paraId="26D2528E" w14:textId="2D877439" w:rsidR="00CC27A7" w:rsidRPr="00CC27A7" w:rsidRDefault="00CC27A7" w:rsidP="00CC27A7">
      <w:pPr>
        <w:pStyle w:val="SingleTxt"/>
        <w:rPr>
          <w:spacing w:val="-2"/>
          <w:rtl/>
          <w:lang w:bidi="ar-IQ"/>
        </w:rPr>
      </w:pPr>
      <w:r w:rsidRPr="005E3818">
        <w:rPr>
          <w:spacing w:val="-2"/>
          <w:rtl/>
          <w:lang w:bidi="ar-IQ"/>
        </w:rPr>
        <w:tab/>
      </w:r>
      <w:r w:rsidRPr="00CC27A7">
        <w:rPr>
          <w:rFonts w:hint="cs"/>
          <w:spacing w:val="-2"/>
          <w:rtl/>
          <w:lang w:bidi="ar-IQ"/>
        </w:rPr>
        <w:t>2 -</w:t>
      </w:r>
      <w:r w:rsidRPr="00CC27A7">
        <w:rPr>
          <w:spacing w:val="-2"/>
          <w:rtl/>
          <w:lang w:bidi="ar-IQ"/>
        </w:rPr>
        <w:tab/>
      </w:r>
      <w:r w:rsidRPr="00CC27A7">
        <w:rPr>
          <w:rFonts w:hint="cs"/>
          <w:spacing w:val="-2"/>
          <w:rtl/>
          <w:lang w:bidi="ar-IQ"/>
        </w:rPr>
        <w:t xml:space="preserve">قانون الناجيات </w:t>
      </w:r>
      <w:proofErr w:type="spellStart"/>
      <w:r w:rsidRPr="00CC27A7">
        <w:rPr>
          <w:rFonts w:hint="cs"/>
          <w:spacing w:val="-2"/>
          <w:rtl/>
          <w:lang w:bidi="ar-IQ"/>
        </w:rPr>
        <w:t>الأزيديات</w:t>
      </w:r>
      <w:proofErr w:type="spellEnd"/>
      <w:r w:rsidRPr="00CC27A7">
        <w:rPr>
          <w:rFonts w:hint="cs"/>
          <w:spacing w:val="-2"/>
          <w:rtl/>
          <w:lang w:bidi="ar-IQ"/>
        </w:rPr>
        <w:t xml:space="preserve"> بالرقم (8) لسنة 2021 ويمثل هذا القانون إطارا قانونيا للسعي لتحرير المختطفات من كل المكونات في سهل نينوى حيث اعتبر القانون تلك الجرائم جرائم إبادة جماعية، ويؤمن القانون الحماية للناجيات والخدمات الخاصة بإعادة التأهيل لهن، كما يوفر القانون تعويضات مناسبة لهن ويلزم القانون المؤسسات العراقية على السعي لتدويل قضيتهن ومتابعة المجرمين في كل مكان، وتشكل بموجب القانون لجنة عليا ودائرة للناجيات في وزارة العمل والشؤون الاجتماعية لمتابعة الطلبات المقدمة من قبل الناجيات، كما يلزم القانون بتشكل محكمة بداءة في قضاء سنجار لمعالجة أوضاع المولودين من</w:t>
      </w:r>
      <w:r w:rsidR="005E3818" w:rsidRPr="005E3818">
        <w:rPr>
          <w:spacing w:val="-2"/>
          <w:lang w:bidi="ar-IQ"/>
        </w:rPr>
        <w:t xml:space="preserve"> </w:t>
      </w:r>
      <w:r w:rsidRPr="00CC27A7">
        <w:rPr>
          <w:rFonts w:hint="cs"/>
          <w:spacing w:val="-2"/>
          <w:rtl/>
          <w:lang w:bidi="ar-IQ"/>
        </w:rPr>
        <w:t>الناجيات.</w:t>
      </w:r>
    </w:p>
    <w:p w14:paraId="6DB5CC7A" w14:textId="131BCD53" w:rsidR="00CC27A7" w:rsidRPr="00CC27A7" w:rsidRDefault="00CC27A7" w:rsidP="00CC27A7">
      <w:pPr>
        <w:pStyle w:val="SingleTxt"/>
        <w:rPr>
          <w:rtl/>
          <w:lang w:bidi="ar-IQ"/>
        </w:rPr>
      </w:pPr>
      <w:r>
        <w:rPr>
          <w:rtl/>
          <w:lang w:bidi="ar-IQ"/>
        </w:rPr>
        <w:lastRenderedPageBreak/>
        <w:tab/>
      </w:r>
      <w:r w:rsidRPr="00CC27A7">
        <w:rPr>
          <w:rFonts w:hint="cs"/>
          <w:rtl/>
          <w:lang w:bidi="ar-IQ"/>
        </w:rPr>
        <w:t>3 -</w:t>
      </w:r>
      <w:r w:rsidRPr="00CC27A7">
        <w:rPr>
          <w:rtl/>
          <w:lang w:bidi="ar-IQ"/>
        </w:rPr>
        <w:tab/>
      </w:r>
      <w:r w:rsidRPr="00CC27A7">
        <w:rPr>
          <w:rFonts w:hint="cs"/>
          <w:rtl/>
          <w:lang w:bidi="ar-IQ"/>
        </w:rPr>
        <w:t>أقر مجلس الوزراء بتاريخ 16 آذار/مارس 2021 الخطة الوطنية لإعادة النازحين إلى مناطقهم الأصلية التي قدمتها وزارة الهجرة والمهجرين بالتعاون مع وزارة التخطيط وأخذت الخطة بنظر الاعتبار التحديات التي تواجه عودة النازحين إلى مناطقهم الأصلية التحديات السياسية والأمنية والاقتصادية والبنى التحتية والاجتماعية والنفسية ووضعت الخطة تحليلاً لواقع النزوح في العراق في ضوء ذلك مرتكزة على الاعتبارات والمتغيرات التي حصلت بعد تحرير المناطق من سيطرة داعش واقترحت برامج وأنشطة تنفيذية لذلك ومن بينها الدور الذي تلعبه المرأة في المجتمعات الأصلية الريفية والحضرية بما يضمن إعادة الاستقرار لتلك المناطق وممارسة المرأة لدورها الاجتماعي والسياسي في ذلك.</w:t>
      </w:r>
    </w:p>
    <w:p w14:paraId="6F6478EE" w14:textId="5755B200" w:rsidR="00CC27A7" w:rsidRPr="00CC27A7" w:rsidRDefault="00CC27A7" w:rsidP="00CC27A7">
      <w:pPr>
        <w:pStyle w:val="SingleTxt"/>
      </w:pPr>
      <w:r>
        <w:rPr>
          <w:rtl/>
          <w:lang w:bidi="ar-IQ"/>
        </w:rPr>
        <w:tab/>
      </w:r>
      <w:r w:rsidRPr="00CC27A7">
        <w:rPr>
          <w:rFonts w:hint="cs"/>
          <w:rtl/>
          <w:lang w:bidi="ar-IQ"/>
        </w:rPr>
        <w:t>4 -</w:t>
      </w:r>
      <w:r w:rsidRPr="00CC27A7">
        <w:rPr>
          <w:rtl/>
          <w:lang w:bidi="ar-IQ"/>
        </w:rPr>
        <w:tab/>
      </w:r>
      <w:r w:rsidRPr="00CC27A7">
        <w:rPr>
          <w:rFonts w:hint="cs"/>
          <w:rtl/>
          <w:lang w:bidi="ar-IQ"/>
        </w:rPr>
        <w:t>أصدرت وزارة الهجرة والمهجرين قراراً بإغلاق المخيمات التي تحت إداراتها في إطار خطة وطنية لإنهاء أزمة النزوح الداخلي من خلال تأهيل المناطق الأصلية وتسوية المنازعات العشائرية بما</w:t>
      </w:r>
      <w:r w:rsidR="005E3818">
        <w:rPr>
          <w:rFonts w:hint="eastAsia"/>
          <w:rtl/>
          <w:lang w:bidi="ar-IQ"/>
        </w:rPr>
        <w:t> </w:t>
      </w:r>
      <w:r w:rsidRPr="00CC27A7">
        <w:rPr>
          <w:rFonts w:hint="cs"/>
          <w:rtl/>
          <w:lang w:bidi="ar-IQ"/>
        </w:rPr>
        <w:t>يضمن الحفاظ على أمن النازحين بعد عودتهم إلى مناطقهم الأصلية في جوانب سلامتهم وأمنهم الاقتصادي وتوفر</w:t>
      </w:r>
      <w:r w:rsidR="005E3818">
        <w:rPr>
          <w:lang w:bidi="ar-IQ"/>
        </w:rPr>
        <w:t xml:space="preserve"> </w:t>
      </w:r>
      <w:r w:rsidRPr="00CC27A7">
        <w:rPr>
          <w:rFonts w:hint="cs"/>
          <w:rtl/>
          <w:lang w:bidi="ar-IQ"/>
        </w:rPr>
        <w:t>الخدمات.</w:t>
      </w:r>
    </w:p>
    <w:p w14:paraId="7781320D" w14:textId="5FBF3453" w:rsidR="00CC27A7" w:rsidRPr="00CC27A7" w:rsidRDefault="00CC27A7" w:rsidP="00CC27A7">
      <w:pPr>
        <w:framePr w:w="9792" w:h="432" w:hSpace="180" w:wrap="notBeside" w:hAnchor="page" w:x="1196" w:yAlign="bottom"/>
        <w:spacing w:line="240" w:lineRule="auto"/>
        <w:rPr>
          <w:szCs w:val="6"/>
          <w:rtl/>
        </w:rPr>
      </w:pPr>
      <w:r w:rsidRPr="00CC27A7">
        <w:rPr>
          <w:noProof/>
          <w:szCs w:val="6"/>
        </w:rPr>
        <mc:AlternateContent>
          <mc:Choice Requires="wps">
            <w:drawing>
              <wp:anchor distT="0" distB="0" distL="114300" distR="114300" simplePos="0" relativeHeight="251664384" behindDoc="0" locked="0" layoutInCell="1" allowOverlap="1" wp14:anchorId="454746B8" wp14:editId="34F2AF39">
                <wp:simplePos x="0" y="0"/>
                <wp:positionH relativeFrom="column">
                  <wp:posOffset>5029200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B34BC"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EQpqjPRAQAAAwQA&#10;AA4AAAAAAAAAAAAAAAAALgIAAGRycy9lMm9Eb2MueG1sUEsBAi0AFAAGAAgAAAAhAPIk/q3dAAAA&#10;CQEAAA8AAAAAAAAAAAAAAAAAKwQAAGRycy9kb3ducmV2LnhtbFBLBQYAAAAABAAEAPMAAAA1BQAA&#10;AAA=&#10;" strokecolor="#010000"/>
            </w:pict>
          </mc:Fallback>
        </mc:AlternateContent>
      </w:r>
    </w:p>
    <w:p w14:paraId="546112BE" w14:textId="51E94329" w:rsidR="00CC27A7" w:rsidRPr="00CC27A7" w:rsidRDefault="00CC27A7" w:rsidP="00CC27A7">
      <w:pPr>
        <w:framePr w:w="9792" w:h="432" w:hSpace="180" w:wrap="notBeside" w:hAnchor="page" w:x="1196" w:yAlign="bottom"/>
        <w:tabs>
          <w:tab w:val="right" w:pos="1150"/>
          <w:tab w:val="left" w:pos="1267"/>
        </w:tabs>
        <w:spacing w:after="80" w:line="280" w:lineRule="exact"/>
        <w:ind w:hanging="547"/>
        <w:rPr>
          <w:sz w:val="18"/>
          <w:szCs w:val="18"/>
        </w:rPr>
      </w:pPr>
      <w:r>
        <w:rPr>
          <w:sz w:val="18"/>
          <w:szCs w:val="18"/>
          <w:rtl/>
        </w:rPr>
        <w:tab/>
      </w:r>
      <w:r>
        <w:rPr>
          <w:sz w:val="18"/>
          <w:szCs w:val="18"/>
          <w:rtl/>
        </w:rPr>
        <w:tab/>
      </w:r>
      <w:r>
        <w:rPr>
          <w:rFonts w:hint="cs"/>
          <w:sz w:val="18"/>
          <w:szCs w:val="18"/>
          <w:rtl/>
        </w:rPr>
        <w:t>**</w:t>
      </w:r>
      <w:r>
        <w:rPr>
          <w:sz w:val="18"/>
          <w:szCs w:val="18"/>
          <w:rtl/>
        </w:rPr>
        <w:tab/>
      </w:r>
      <w:r w:rsidRPr="00CC27A7">
        <w:rPr>
          <w:rFonts w:hint="cs"/>
          <w:i/>
          <w:iCs/>
          <w:sz w:val="18"/>
          <w:szCs w:val="18"/>
          <w:rtl/>
        </w:rPr>
        <w:t>المصدر</w:t>
      </w:r>
      <w:r w:rsidRPr="00CC27A7">
        <w:rPr>
          <w:rFonts w:hint="cs"/>
          <w:sz w:val="18"/>
          <w:szCs w:val="18"/>
          <w:rtl/>
        </w:rPr>
        <w:t xml:space="preserve">: </w:t>
      </w:r>
      <w:r w:rsidRPr="00CC27A7">
        <w:rPr>
          <w:sz w:val="18"/>
          <w:szCs w:val="18"/>
          <w:rtl/>
          <w:lang w:bidi="ar-IQ"/>
        </w:rPr>
        <w:t>التقرير الفصلي ال</w:t>
      </w:r>
      <w:r w:rsidRPr="00CC27A7">
        <w:rPr>
          <w:rFonts w:hint="cs"/>
          <w:sz w:val="18"/>
          <w:szCs w:val="18"/>
          <w:rtl/>
          <w:lang w:bidi="ar-IQ"/>
        </w:rPr>
        <w:t>أ</w:t>
      </w:r>
      <w:r w:rsidRPr="00CC27A7">
        <w:rPr>
          <w:sz w:val="18"/>
          <w:szCs w:val="18"/>
          <w:rtl/>
          <w:lang w:bidi="ar-IQ"/>
        </w:rPr>
        <w:t xml:space="preserve">ول </w:t>
      </w:r>
      <w:r w:rsidRPr="00CC27A7">
        <w:rPr>
          <w:rFonts w:hint="cs"/>
          <w:sz w:val="18"/>
          <w:szCs w:val="18"/>
          <w:rtl/>
          <w:lang w:bidi="ar-IQ"/>
        </w:rPr>
        <w:t>لإنجازات</w:t>
      </w:r>
      <w:r w:rsidRPr="00CC27A7">
        <w:rPr>
          <w:sz w:val="18"/>
          <w:szCs w:val="18"/>
          <w:rtl/>
          <w:lang w:bidi="ar-IQ"/>
        </w:rPr>
        <w:t xml:space="preserve"> وزارة الهجرة والمهجرين تجاه </w:t>
      </w:r>
      <w:r w:rsidRPr="00CC27A7">
        <w:rPr>
          <w:rFonts w:hint="cs"/>
          <w:sz w:val="18"/>
          <w:szCs w:val="18"/>
          <w:rtl/>
          <w:lang w:bidi="ar-IQ"/>
        </w:rPr>
        <w:t>المرأة</w:t>
      </w:r>
      <w:r w:rsidRPr="00CC27A7">
        <w:rPr>
          <w:sz w:val="18"/>
          <w:szCs w:val="18"/>
          <w:rtl/>
          <w:lang w:bidi="ar-IQ"/>
        </w:rPr>
        <w:t xml:space="preserve"> لعام 2021</w:t>
      </w:r>
      <w:r w:rsidRPr="00CC27A7">
        <w:rPr>
          <w:rFonts w:hint="cs"/>
          <w:sz w:val="18"/>
          <w:szCs w:val="18"/>
          <w:rtl/>
          <w:lang w:bidi="ar-IQ"/>
        </w:rPr>
        <w:t>.</w:t>
      </w:r>
    </w:p>
    <w:p w14:paraId="77DC3B98" w14:textId="62CC9B4E" w:rsidR="0049444E" w:rsidRPr="00CC27A7" w:rsidRDefault="00CC27A7" w:rsidP="00CC27A7">
      <w:pPr>
        <w:pStyle w:val="SingleTxt"/>
        <w:spacing w:after="0" w:line="240" w:lineRule="auto"/>
        <w:rPr>
          <w:sz w:val="20"/>
        </w:rPr>
      </w:pPr>
      <w:r>
        <w:rPr>
          <w:rFonts w:hint="cs"/>
          <w:noProof/>
          <w:sz w:val="20"/>
        </w:rPr>
        <mc:AlternateContent>
          <mc:Choice Requires="wps">
            <w:drawing>
              <wp:anchor distT="0" distB="0" distL="114300" distR="114300" simplePos="0" relativeHeight="251665408" behindDoc="0" locked="0" layoutInCell="1" allowOverlap="1" wp14:anchorId="435A510E" wp14:editId="5E6EF3D9">
                <wp:simplePos x="0" y="0"/>
                <wp:positionH relativeFrom="margin">
                  <wp:align>center</wp:align>
                </wp:positionH>
                <wp:positionV relativeFrom="paragraph">
                  <wp:posOffset>1854530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00427" id="Straight Connector 8"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146.05pt" to="1in,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" strokecolor="#010000" strokeweight=".25pt">
                <w10:wrap anchorx="margin"/>
              </v:line>
            </w:pict>
          </mc:Fallback>
        </mc:AlternateContent>
      </w:r>
      <w:r w:rsidRPr="00CC27A7">
        <w:rPr>
          <w:rtl/>
          <w:lang w:bidi="ar-IQ"/>
        </w:rPr>
        <w:tab/>
      </w:r>
      <w:r w:rsidRPr="00CC27A7">
        <w:rPr>
          <w:rFonts w:hint="cs"/>
          <w:rtl/>
          <w:lang w:bidi="ar-IQ"/>
        </w:rPr>
        <w:t>وخلال العام 2020 سجلت وزارة الهجرة والمهجرين عودة أكثر من 66 ألف عائلة نازحة إلى مناطقهم الأصلية كما أغلقت الوزارة بشكل طوعي 59 مخيم عام 2020 وبلغ عدد الدور التي رممتها وزارة الهجرة والمهجرين مع المنظمات الدولية (600 1) دار في محافظتي الأنبار ونينوى ونصبت نحو 494</w:t>
      </w:r>
      <w:r w:rsidRPr="00CC27A7">
        <w:rPr>
          <w:rFonts w:hint="eastAsia"/>
          <w:rtl/>
          <w:lang w:bidi="ar-IQ"/>
        </w:rPr>
        <w:t> </w:t>
      </w:r>
      <w:r w:rsidRPr="00CC27A7">
        <w:rPr>
          <w:rFonts w:hint="cs"/>
          <w:rtl/>
          <w:lang w:bidi="ar-IQ"/>
        </w:rPr>
        <w:t>كرفان في محافظة صلاح الدين ونينوى والأنبار ووزعت منح للعوائل العائدة شملت (124 22) عائلة، كما عملت الوزارة على توزيع نحو مائة مشروع مدر للدخل للعوائل العائدة وركزت المشاريع والإجراءات التي نفذتها وزارة الهجرة على تمكين المرأة النازحة والمرأة العائدة من مخيمات النزوح من خلال ورش عمل نفذت بالتنسيق مع المجتمع المدني</w:t>
      </w:r>
      <w:r>
        <w:rPr>
          <w:rFonts w:hint="cs"/>
          <w:rtl/>
          <w:lang w:bidi="ar-IQ"/>
        </w:rPr>
        <w:t>**.</w:t>
      </w:r>
    </w:p>
    <w:sectPr w:rsidR="0049444E" w:rsidRPr="00CC27A7" w:rsidSect="00CC27A7">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1-10T10:51:00Z" w:initials="Start">
    <w:p w14:paraId="5D634703" w14:textId="77777777" w:rsidR="0049444E" w:rsidRDefault="0049444E">
      <w:pPr>
        <w:pStyle w:val="CommentText"/>
        <w:rPr>
          <w:rtl/>
        </w:rPr>
      </w:pPr>
      <w:r>
        <w:rPr>
          <w:rStyle w:val="CommentReference"/>
        </w:rPr>
        <w:annotationRef/>
      </w:r>
      <w:r>
        <w:rPr>
          <w:rtl/>
        </w:rPr>
        <w:t>&lt;&lt;</w:t>
      </w:r>
      <w:r>
        <w:t>ODS JOB NO&gt;&gt;N2142377A&lt;&lt;ODS JOB NO</w:t>
      </w:r>
      <w:r>
        <w:rPr>
          <w:rtl/>
        </w:rPr>
        <w:t>&gt;&gt;</w:t>
      </w:r>
    </w:p>
    <w:p w14:paraId="04901EC0" w14:textId="77777777" w:rsidR="0049444E" w:rsidRDefault="0049444E">
      <w:pPr>
        <w:pStyle w:val="CommentText"/>
        <w:rPr>
          <w:rtl/>
        </w:rPr>
      </w:pPr>
      <w:r>
        <w:rPr>
          <w:rtl/>
        </w:rPr>
        <w:t>&lt;&lt;</w:t>
      </w:r>
      <w:r>
        <w:t>ODS DOC SYMBOL1&gt;&gt;CEDAW/C/IRQ/FCO/7&lt;&lt;ODS DOC SYMBOL1</w:t>
      </w:r>
      <w:r>
        <w:rPr>
          <w:rtl/>
        </w:rPr>
        <w:t>&gt;&gt;</w:t>
      </w:r>
    </w:p>
    <w:p w14:paraId="3D1CAEEF" w14:textId="27F86512" w:rsidR="0049444E" w:rsidRDefault="0049444E">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1CAE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68E3C" w16cex:dateUtc="2022-01-10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CAEEF" w16cid:durableId="25868E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36451" w14:textId="77777777" w:rsidR="00D43B7A" w:rsidRDefault="00D43B7A" w:rsidP="00693CF9">
      <w:pPr>
        <w:spacing w:line="240" w:lineRule="auto"/>
      </w:pPr>
      <w:r>
        <w:separator/>
      </w:r>
    </w:p>
  </w:endnote>
  <w:endnote w:type="continuationSeparator" w:id="0">
    <w:p w14:paraId="5563AC5C" w14:textId="77777777" w:rsidR="00D43B7A" w:rsidRDefault="00D43B7A"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9444E" w14:paraId="490F544B" w14:textId="77777777" w:rsidTr="0049444E">
      <w:tc>
        <w:tcPr>
          <w:tcW w:w="4920" w:type="dxa"/>
          <w:shd w:val="clear" w:color="auto" w:fill="auto"/>
        </w:tcPr>
        <w:p w14:paraId="2C60A2F1" w14:textId="2D5855F5" w:rsidR="0049444E" w:rsidRPr="0049444E" w:rsidRDefault="0049444E" w:rsidP="0049444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257B033" w14:textId="33DF3D87" w:rsidR="0049444E" w:rsidRPr="0049444E" w:rsidRDefault="0049444E" w:rsidP="0049444E">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46D86">
            <w:rPr>
              <w:b w:val="0"/>
              <w:w w:val="103"/>
            </w:rPr>
            <w:t>21-19862</w:t>
          </w:r>
          <w:r>
            <w:rPr>
              <w:b w:val="0"/>
              <w:w w:val="103"/>
            </w:rPr>
            <w:fldChar w:fldCharType="end"/>
          </w:r>
        </w:p>
      </w:tc>
    </w:tr>
  </w:tbl>
  <w:p w14:paraId="2910BD02" w14:textId="77777777" w:rsidR="0049444E" w:rsidRPr="0049444E" w:rsidRDefault="0049444E" w:rsidP="0049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9444E" w14:paraId="3B48EC23" w14:textId="77777777" w:rsidTr="0049444E">
      <w:tc>
        <w:tcPr>
          <w:tcW w:w="4920" w:type="dxa"/>
          <w:shd w:val="clear" w:color="auto" w:fill="auto"/>
        </w:tcPr>
        <w:p w14:paraId="17592DB9" w14:textId="6B9AA2DC" w:rsidR="0049444E" w:rsidRPr="0049444E" w:rsidRDefault="0049444E" w:rsidP="0049444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46D86">
            <w:rPr>
              <w:b w:val="0"/>
              <w:w w:val="103"/>
            </w:rPr>
            <w:t>21-19862</w:t>
          </w:r>
          <w:r>
            <w:rPr>
              <w:b w:val="0"/>
              <w:w w:val="103"/>
            </w:rPr>
            <w:fldChar w:fldCharType="end"/>
          </w:r>
        </w:p>
      </w:tc>
      <w:tc>
        <w:tcPr>
          <w:tcW w:w="4920" w:type="dxa"/>
          <w:shd w:val="clear" w:color="auto" w:fill="auto"/>
        </w:tcPr>
        <w:p w14:paraId="533BE18E" w14:textId="420DD73B" w:rsidR="0049444E" w:rsidRPr="0049444E" w:rsidRDefault="0049444E" w:rsidP="0049444E">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76D21149" w14:textId="77777777" w:rsidR="0049444E" w:rsidRPr="0049444E" w:rsidRDefault="0049444E" w:rsidP="00494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3888"/>
      <w:gridCol w:w="4920"/>
    </w:tblGrid>
    <w:tr w:rsidR="0049444E" w14:paraId="32BECDEA" w14:textId="77777777" w:rsidTr="0049444E">
      <w:trPr>
        <w:jc w:val="right"/>
      </w:trPr>
      <w:tc>
        <w:tcPr>
          <w:tcW w:w="3888" w:type="dxa"/>
        </w:tcPr>
        <w:p w14:paraId="0F157581" w14:textId="519CDD4F" w:rsidR="0049444E" w:rsidRDefault="0049444E" w:rsidP="0049444E">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131A6A8A" wp14:editId="66F590E2">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694AC51F" wp14:editId="6B77418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10507344" w14:textId="4DF49146" w:rsidR="0049444E" w:rsidRDefault="0049444E" w:rsidP="0049444E">
          <w:pPr>
            <w:pStyle w:val="ReleaseDate"/>
          </w:pPr>
          <w:r>
            <w:t xml:space="preserve">100122    100122    </w:t>
          </w:r>
          <w:r w:rsidR="00D43B7A">
            <w:fldChar w:fldCharType="begin"/>
          </w:r>
          <w:r w:rsidR="00D43B7A">
            <w:instrText xml:space="preserve"> DOCVARIABLE "jobn" \* MERGEFORMAT </w:instrText>
          </w:r>
          <w:r w:rsidR="00D43B7A">
            <w:fldChar w:fldCharType="separate"/>
          </w:r>
          <w:r w:rsidR="00A46D86">
            <w:t>21-19862 (A)</w:t>
          </w:r>
          <w:r w:rsidR="00D43B7A">
            <w:fldChar w:fldCharType="end"/>
          </w:r>
        </w:p>
        <w:p w14:paraId="454993FB" w14:textId="5C693E6B" w:rsidR="0049444E" w:rsidRPr="0049444E" w:rsidRDefault="0049444E" w:rsidP="0049444E">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46D86">
            <w:rPr>
              <w:rFonts w:ascii="Barcode 3 of 9 by request" w:hAnsi="Barcode 3 of 9 by request"/>
              <w:sz w:val="24"/>
            </w:rPr>
            <w:t>*2119862*</w:t>
          </w:r>
          <w:r>
            <w:rPr>
              <w:rFonts w:ascii="Barcode 3 of 9 by request" w:hAnsi="Barcode 3 of 9 by request"/>
              <w:sz w:val="24"/>
            </w:rPr>
            <w:fldChar w:fldCharType="end"/>
          </w:r>
        </w:p>
      </w:tc>
    </w:tr>
  </w:tbl>
  <w:p w14:paraId="10B8B824" w14:textId="77777777" w:rsidR="0049444E" w:rsidRPr="0049444E" w:rsidRDefault="0049444E" w:rsidP="0049444E">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CB2FA" w14:textId="77777777" w:rsidR="00D43B7A" w:rsidRDefault="00D43B7A" w:rsidP="00693CF9">
      <w:pPr>
        <w:spacing w:line="240" w:lineRule="auto"/>
      </w:pPr>
      <w:r>
        <w:separator/>
      </w:r>
    </w:p>
  </w:footnote>
  <w:footnote w:type="continuationSeparator" w:id="0">
    <w:p w14:paraId="0B4E99E6" w14:textId="77777777" w:rsidR="00D43B7A" w:rsidRDefault="00D43B7A"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9444E" w14:paraId="38B566E5" w14:textId="77777777" w:rsidTr="0049444E">
      <w:trPr>
        <w:trHeight w:hRule="exact" w:val="864"/>
      </w:trPr>
      <w:tc>
        <w:tcPr>
          <w:tcW w:w="4920" w:type="dxa"/>
          <w:shd w:val="clear" w:color="auto" w:fill="auto"/>
          <w:vAlign w:val="bottom"/>
        </w:tcPr>
        <w:p w14:paraId="56458625" w14:textId="77777777" w:rsidR="0049444E" w:rsidRPr="0049444E" w:rsidRDefault="0049444E" w:rsidP="0049444E">
          <w:pPr>
            <w:pStyle w:val="Header"/>
            <w:spacing w:after="80" w:line="280" w:lineRule="exact"/>
            <w:jc w:val="left"/>
            <w:rPr>
              <w:rFonts w:cs="Simplified Arabic"/>
              <w:sz w:val="18"/>
              <w:szCs w:val="18"/>
            </w:rPr>
          </w:pPr>
        </w:p>
      </w:tc>
      <w:tc>
        <w:tcPr>
          <w:tcW w:w="4920" w:type="dxa"/>
          <w:shd w:val="clear" w:color="auto" w:fill="auto"/>
          <w:vAlign w:val="bottom"/>
        </w:tcPr>
        <w:p w14:paraId="44382377" w14:textId="71CD7DA6" w:rsidR="0049444E" w:rsidRPr="0049444E" w:rsidRDefault="0049444E" w:rsidP="0049444E">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A46D86">
            <w:rPr>
              <w:rFonts w:cs="Simplified Arabic"/>
              <w:sz w:val="18"/>
              <w:szCs w:val="18"/>
            </w:rPr>
            <w:t>CEDAW/C/IRQ/FCO/7</w:t>
          </w:r>
          <w:r>
            <w:rPr>
              <w:rFonts w:cs="Simplified Arabic"/>
              <w:sz w:val="18"/>
              <w:szCs w:val="18"/>
              <w:rtl/>
            </w:rPr>
            <w:fldChar w:fldCharType="end"/>
          </w:r>
        </w:p>
      </w:tc>
    </w:tr>
  </w:tbl>
  <w:p w14:paraId="3BBB24FD" w14:textId="77777777" w:rsidR="0049444E" w:rsidRPr="0049444E" w:rsidRDefault="0049444E" w:rsidP="0049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9444E" w14:paraId="170369A4" w14:textId="77777777" w:rsidTr="0049444E">
      <w:trPr>
        <w:trHeight w:hRule="exact" w:val="864"/>
      </w:trPr>
      <w:tc>
        <w:tcPr>
          <w:tcW w:w="4920" w:type="dxa"/>
          <w:shd w:val="clear" w:color="auto" w:fill="auto"/>
          <w:vAlign w:val="bottom"/>
        </w:tcPr>
        <w:p w14:paraId="76236D00" w14:textId="65CEFF7E" w:rsidR="0049444E" w:rsidRPr="0049444E" w:rsidRDefault="0049444E" w:rsidP="0049444E">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A46D86">
            <w:rPr>
              <w:rFonts w:cs="Simplified Arabic"/>
              <w:sz w:val="18"/>
              <w:szCs w:val="18"/>
            </w:rPr>
            <w:t>CEDAW/C/IRQ/FCO/7</w:t>
          </w:r>
          <w:r>
            <w:rPr>
              <w:rFonts w:cs="Simplified Arabic"/>
              <w:sz w:val="18"/>
              <w:szCs w:val="18"/>
            </w:rPr>
            <w:fldChar w:fldCharType="end"/>
          </w:r>
        </w:p>
      </w:tc>
      <w:tc>
        <w:tcPr>
          <w:tcW w:w="4920" w:type="dxa"/>
          <w:shd w:val="clear" w:color="auto" w:fill="auto"/>
          <w:vAlign w:val="bottom"/>
        </w:tcPr>
        <w:p w14:paraId="48198B57" w14:textId="77777777" w:rsidR="0049444E" w:rsidRPr="0049444E" w:rsidRDefault="0049444E" w:rsidP="0049444E">
          <w:pPr>
            <w:pStyle w:val="Header"/>
            <w:spacing w:after="80" w:line="280" w:lineRule="exact"/>
            <w:rPr>
              <w:rFonts w:cs="Simplified Arabic"/>
              <w:sz w:val="18"/>
              <w:szCs w:val="18"/>
            </w:rPr>
          </w:pPr>
        </w:p>
      </w:tc>
    </w:tr>
  </w:tbl>
  <w:p w14:paraId="223ED2CE" w14:textId="77777777" w:rsidR="0049444E" w:rsidRPr="0049444E" w:rsidRDefault="0049444E" w:rsidP="0049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9444E" w14:paraId="0F8557B5" w14:textId="77777777" w:rsidTr="0049444E">
      <w:trPr>
        <w:gridAfter w:val="1"/>
        <w:wAfter w:w="18" w:type="dxa"/>
        <w:trHeight w:hRule="exact" w:val="864"/>
      </w:trPr>
      <w:tc>
        <w:tcPr>
          <w:tcW w:w="1282" w:type="dxa"/>
          <w:tcBorders>
            <w:bottom w:val="single" w:sz="4" w:space="0" w:color="auto"/>
          </w:tcBorders>
          <w:shd w:val="clear" w:color="auto" w:fill="auto"/>
          <w:vAlign w:val="bottom"/>
        </w:tcPr>
        <w:p w14:paraId="73F5407A" w14:textId="77777777" w:rsidR="0049444E" w:rsidRDefault="0049444E" w:rsidP="0049444E">
          <w:pPr>
            <w:pStyle w:val="Header"/>
            <w:spacing w:after="120"/>
          </w:pPr>
        </w:p>
      </w:tc>
      <w:tc>
        <w:tcPr>
          <w:tcW w:w="1786" w:type="dxa"/>
          <w:tcBorders>
            <w:bottom w:val="single" w:sz="4" w:space="0" w:color="auto"/>
          </w:tcBorders>
          <w:shd w:val="clear" w:color="auto" w:fill="auto"/>
          <w:vAlign w:val="bottom"/>
        </w:tcPr>
        <w:p w14:paraId="22B7798A" w14:textId="3DDC3548" w:rsidR="0049444E" w:rsidRPr="0049444E" w:rsidRDefault="0049444E" w:rsidP="0049444E">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3BE684A" w14:textId="77777777" w:rsidR="0049444E" w:rsidRDefault="0049444E" w:rsidP="0049444E">
          <w:pPr>
            <w:pStyle w:val="Header"/>
            <w:spacing w:after="120"/>
          </w:pPr>
        </w:p>
      </w:tc>
      <w:tc>
        <w:tcPr>
          <w:tcW w:w="6523" w:type="dxa"/>
          <w:gridSpan w:val="3"/>
          <w:tcBorders>
            <w:bottom w:val="single" w:sz="4" w:space="0" w:color="auto"/>
          </w:tcBorders>
          <w:shd w:val="clear" w:color="auto" w:fill="auto"/>
          <w:vAlign w:val="bottom"/>
        </w:tcPr>
        <w:p w14:paraId="6AB3D1D2" w14:textId="232791A6" w:rsidR="0049444E" w:rsidRPr="0049444E" w:rsidRDefault="0049444E" w:rsidP="0049444E">
          <w:pPr>
            <w:spacing w:line="380" w:lineRule="exact"/>
            <w:jc w:val="right"/>
          </w:pPr>
          <w:r>
            <w:rPr>
              <w:sz w:val="40"/>
            </w:rPr>
            <w:t>CEDAW</w:t>
          </w:r>
          <w:r>
            <w:t>/C/IRQ/FCO/7</w:t>
          </w:r>
        </w:p>
      </w:tc>
    </w:tr>
    <w:tr w:rsidR="0049444E" w:rsidRPr="0049444E" w14:paraId="22875BDF" w14:textId="77777777" w:rsidTr="0049444E">
      <w:trPr>
        <w:trHeight w:hRule="exact" w:val="2880"/>
      </w:trPr>
      <w:tc>
        <w:tcPr>
          <w:tcW w:w="1282" w:type="dxa"/>
          <w:tcBorders>
            <w:top w:val="single" w:sz="4" w:space="0" w:color="auto"/>
            <w:bottom w:val="single" w:sz="12" w:space="0" w:color="auto"/>
          </w:tcBorders>
          <w:shd w:val="clear" w:color="auto" w:fill="auto"/>
        </w:tcPr>
        <w:p w14:paraId="383E50E9" w14:textId="77777777" w:rsidR="0049444E" w:rsidRDefault="0049444E" w:rsidP="0049444E">
          <w:pPr>
            <w:pStyle w:val="Header"/>
            <w:spacing w:before="120"/>
            <w:jc w:val="center"/>
          </w:pPr>
          <w:r>
            <w:t xml:space="preserve"> </w:t>
          </w:r>
          <w:r>
            <w:rPr>
              <w:noProof/>
            </w:rPr>
            <w:drawing>
              <wp:inline distT="0" distB="0" distL="0" distR="0" wp14:anchorId="59A81984" wp14:editId="0ABC890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09827C3F" w14:textId="7DE0E857" w:rsidR="0049444E" w:rsidRPr="0049444E" w:rsidRDefault="0049444E" w:rsidP="0049444E">
          <w:pPr>
            <w:pStyle w:val="Header"/>
            <w:spacing w:before="120"/>
            <w:jc w:val="center"/>
          </w:pPr>
        </w:p>
      </w:tc>
      <w:tc>
        <w:tcPr>
          <w:tcW w:w="5227" w:type="dxa"/>
          <w:gridSpan w:val="3"/>
          <w:tcBorders>
            <w:top w:val="single" w:sz="4" w:space="0" w:color="auto"/>
            <w:bottom w:val="single" w:sz="12" w:space="0" w:color="auto"/>
          </w:tcBorders>
          <w:shd w:val="clear" w:color="auto" w:fill="auto"/>
        </w:tcPr>
        <w:p w14:paraId="6DE526EB" w14:textId="49B2C57F" w:rsidR="0049444E" w:rsidRPr="0049444E" w:rsidRDefault="0049444E" w:rsidP="0049444E">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0B1301C1" w14:textId="77777777" w:rsidR="0049444E" w:rsidRPr="0049444E" w:rsidRDefault="0049444E" w:rsidP="0049444E">
          <w:pPr>
            <w:pStyle w:val="Header"/>
            <w:spacing w:before="109"/>
          </w:pPr>
        </w:p>
      </w:tc>
      <w:tc>
        <w:tcPr>
          <w:tcW w:w="3100" w:type="dxa"/>
          <w:gridSpan w:val="2"/>
          <w:tcBorders>
            <w:top w:val="single" w:sz="4" w:space="0" w:color="auto"/>
            <w:bottom w:val="single" w:sz="12" w:space="0" w:color="auto"/>
          </w:tcBorders>
          <w:shd w:val="clear" w:color="auto" w:fill="auto"/>
        </w:tcPr>
        <w:p w14:paraId="7EA96A21" w14:textId="77777777" w:rsidR="0049444E" w:rsidRDefault="0049444E" w:rsidP="0049444E">
          <w:pPr>
            <w:pStyle w:val="Distribution"/>
            <w:bidi w:val="0"/>
            <w:spacing w:before="240"/>
          </w:pPr>
          <w:r>
            <w:t>Distr.: General</w:t>
          </w:r>
        </w:p>
        <w:p w14:paraId="0AF486B4" w14:textId="77777777" w:rsidR="0049444E" w:rsidRDefault="0049444E" w:rsidP="0049444E">
          <w:pPr>
            <w:pStyle w:val="Publication"/>
            <w:bidi w:val="0"/>
          </w:pPr>
          <w:r>
            <w:t>30 December 2021</w:t>
          </w:r>
        </w:p>
        <w:p w14:paraId="11724B35" w14:textId="77777777" w:rsidR="0049444E" w:rsidRDefault="0049444E" w:rsidP="0049444E">
          <w:pPr>
            <w:bidi w:val="0"/>
            <w:spacing w:line="240" w:lineRule="exact"/>
            <w:jc w:val="left"/>
          </w:pPr>
          <w:r>
            <w:t>Arabic</w:t>
          </w:r>
        </w:p>
        <w:p w14:paraId="3004C6B6" w14:textId="77777777" w:rsidR="0049444E" w:rsidRDefault="0049444E" w:rsidP="0049444E">
          <w:pPr>
            <w:pStyle w:val="Original"/>
            <w:bidi w:val="0"/>
          </w:pPr>
          <w:r>
            <w:t>Original: Arabic/English/French/</w:t>
          </w:r>
        </w:p>
        <w:p w14:paraId="1278BF31" w14:textId="77777777" w:rsidR="0049444E" w:rsidRDefault="0049444E" w:rsidP="0049444E">
          <w:pPr>
            <w:pStyle w:val="Original"/>
            <w:bidi w:val="0"/>
          </w:pPr>
          <w:r>
            <w:t>Spanish</w:t>
          </w:r>
        </w:p>
        <w:p w14:paraId="733710AB" w14:textId="6046AD71" w:rsidR="0049444E" w:rsidRPr="0049444E" w:rsidRDefault="0049444E" w:rsidP="0049444E">
          <w:pPr>
            <w:bidi w:val="0"/>
            <w:spacing w:line="240" w:lineRule="exact"/>
            <w:jc w:val="left"/>
          </w:pPr>
        </w:p>
      </w:tc>
    </w:tr>
  </w:tbl>
  <w:p w14:paraId="62F53A5F" w14:textId="77777777" w:rsidR="0049444E" w:rsidRPr="0049444E" w:rsidRDefault="0049444E" w:rsidP="0049444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62*"/>
    <w:docVar w:name="CreationDt" w:val="10/01/2022 10:51 AM"/>
    <w:docVar w:name="DocCategory" w:val="Doc"/>
    <w:docVar w:name="DocType" w:val="Final"/>
    <w:docVar w:name="DutyStation" w:val="New York"/>
    <w:docVar w:name="FooterJN" w:val="21-19862"/>
    <w:docVar w:name="jobn" w:val="21-19862 (A)"/>
    <w:docVar w:name="jobnDT" w:val="21-19862 (A)   100122"/>
    <w:docVar w:name="jobnDTDT" w:val="21-19862 (A)   100122   100122"/>
    <w:docVar w:name="JobNo" w:val="2119862A"/>
    <w:docVar w:name="LocalDrive" w:val="0"/>
    <w:docVar w:name="OandT" w:val=" "/>
    <w:docVar w:name="sss1" w:val="CEDAW/C/IRQ/FCO/7"/>
    <w:docVar w:name="sss2" w:val="-"/>
    <w:docVar w:name="Symbol1" w:val="CEDAW/C/IRQ/FCO/7"/>
    <w:docVar w:name="Symbol2" w:val="-"/>
    <w:docVar w:name="Title1" w:val="_x0009__x0009_المعلومات الواردة من العراق بشأن متابعة الملاحظات الختامية على تقريره الدوري السابع*_x000d_"/>
  </w:docVars>
  <w:rsids>
    <w:rsidRoot w:val="004B1656"/>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6D51"/>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204D"/>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44E"/>
    <w:rsid w:val="00494EE2"/>
    <w:rsid w:val="00496E83"/>
    <w:rsid w:val="00497193"/>
    <w:rsid w:val="004A112A"/>
    <w:rsid w:val="004A2329"/>
    <w:rsid w:val="004A2886"/>
    <w:rsid w:val="004A694F"/>
    <w:rsid w:val="004B14A0"/>
    <w:rsid w:val="004B1656"/>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797"/>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0CB1"/>
    <w:rsid w:val="005E3818"/>
    <w:rsid w:val="005E46B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511B"/>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0BC5"/>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3F21"/>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6D86"/>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C27A7"/>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3B7A"/>
    <w:rsid w:val="00D44FE0"/>
    <w:rsid w:val="00D45275"/>
    <w:rsid w:val="00D4694F"/>
    <w:rsid w:val="00D50B56"/>
    <w:rsid w:val="00D51E19"/>
    <w:rsid w:val="00D52C87"/>
    <w:rsid w:val="00D5423E"/>
    <w:rsid w:val="00D56EDD"/>
    <w:rsid w:val="00D66413"/>
    <w:rsid w:val="00D810DB"/>
    <w:rsid w:val="00D84B95"/>
    <w:rsid w:val="00D851B1"/>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B9DBD"/>
  <w15:chartTrackingRefBased/>
  <w15:docId w15:val="{675124A9-0C49-4A78-9183-8A6654E7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D51"/>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296D51"/>
    <w:pPr>
      <w:keepNext/>
      <w:outlineLvl w:val="0"/>
    </w:pPr>
    <w:rPr>
      <w:sz w:val="24"/>
      <w:szCs w:val="24"/>
    </w:rPr>
  </w:style>
  <w:style w:type="paragraph" w:styleId="Heading2">
    <w:name w:val="heading 2"/>
    <w:basedOn w:val="Normal"/>
    <w:next w:val="Normal"/>
    <w:link w:val="Heading2Char"/>
    <w:qFormat/>
    <w:rsid w:val="00296D51"/>
    <w:pPr>
      <w:outlineLvl w:val="1"/>
    </w:pPr>
  </w:style>
  <w:style w:type="paragraph" w:styleId="Heading3">
    <w:name w:val="heading 3"/>
    <w:basedOn w:val="Normal"/>
    <w:next w:val="Normal"/>
    <w:link w:val="Heading3Char"/>
    <w:qFormat/>
    <w:rsid w:val="00296D51"/>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96D5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296D51"/>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296D51"/>
    <w:rPr>
      <w:sz w:val="6"/>
      <w:szCs w:val="9"/>
    </w:rPr>
  </w:style>
  <w:style w:type="paragraph" w:styleId="FootnoteText">
    <w:name w:val="footnote text"/>
    <w:basedOn w:val="Normal"/>
    <w:link w:val="FootnoteTextChar"/>
    <w:rsid w:val="00296D51"/>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296D51"/>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296D51"/>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296D51"/>
    <w:rPr>
      <w:rFonts w:ascii="Tahoma" w:hAnsi="Tahoma" w:cs="Tahoma"/>
      <w:sz w:val="16"/>
      <w:szCs w:val="16"/>
    </w:rPr>
  </w:style>
  <w:style w:type="paragraph" w:customStyle="1" w:styleId="HM">
    <w:name w:val="_ H __M"/>
    <w:basedOn w:val="HCh"/>
    <w:next w:val="Normal"/>
    <w:qFormat/>
    <w:rsid w:val="00296D51"/>
    <w:pPr>
      <w:suppressAutoHyphens/>
      <w:spacing w:line="520" w:lineRule="exact"/>
    </w:pPr>
    <w:rPr>
      <w:spacing w:val="-3"/>
      <w:sz w:val="48"/>
      <w:szCs w:val="48"/>
    </w:rPr>
  </w:style>
  <w:style w:type="paragraph" w:customStyle="1" w:styleId="SingleTxt">
    <w:name w:val="__Single Txt"/>
    <w:basedOn w:val="Normal"/>
    <w:qFormat/>
    <w:rsid w:val="00296D51"/>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296D51"/>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296D51"/>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296D51"/>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296D51"/>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296D51"/>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296D51"/>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296D51"/>
    <w:rPr>
      <w:rFonts w:eastAsiaTheme="minorHAnsi"/>
      <w:b/>
      <w:bCs/>
      <w:kern w:val="14"/>
      <w:sz w:val="17"/>
      <w:szCs w:val="25"/>
      <w:lang w:eastAsia="en-US"/>
    </w:rPr>
  </w:style>
  <w:style w:type="paragraph" w:styleId="Header">
    <w:name w:val="header"/>
    <w:link w:val="HeaderChar"/>
    <w:qFormat/>
    <w:rsid w:val="00296D51"/>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296D51"/>
    <w:rPr>
      <w:rFonts w:eastAsiaTheme="minorHAnsi"/>
      <w:b/>
      <w:bCs/>
      <w:w w:val="105"/>
      <w:kern w:val="14"/>
      <w:sz w:val="17"/>
      <w:szCs w:val="25"/>
      <w:lang w:eastAsia="en-US"/>
    </w:rPr>
  </w:style>
  <w:style w:type="character" w:customStyle="1" w:styleId="Heading3Char">
    <w:name w:val="Heading 3 Char"/>
    <w:basedOn w:val="DefaultParagraphFont"/>
    <w:link w:val="Heading3"/>
    <w:rsid w:val="00296D51"/>
    <w:rPr>
      <w:rFonts w:ascii="Arial" w:eastAsiaTheme="majorEastAsia" w:hAnsi="Arial" w:cs="Arial"/>
      <w:b/>
      <w:bCs/>
      <w:kern w:val="14"/>
      <w:sz w:val="26"/>
      <w:szCs w:val="26"/>
      <w:lang w:eastAsia="en-US"/>
    </w:rPr>
  </w:style>
  <w:style w:type="paragraph" w:customStyle="1" w:styleId="JSingleTxt">
    <w:name w:val="J__Single Txt"/>
    <w:basedOn w:val="Normal"/>
    <w:qFormat/>
    <w:rsid w:val="00296D51"/>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296D51"/>
    <w:pPr>
      <w:spacing w:after="120" w:line="440" w:lineRule="exact"/>
      <w:jc w:val="center"/>
    </w:pPr>
    <w:rPr>
      <w:b/>
      <w:bCs/>
      <w:sz w:val="25"/>
      <w:szCs w:val="38"/>
    </w:rPr>
  </w:style>
  <w:style w:type="paragraph" w:customStyle="1" w:styleId="JH1">
    <w:name w:val="J_H_1"/>
    <w:basedOn w:val="JCH"/>
    <w:qFormat/>
    <w:rsid w:val="00296D51"/>
    <w:pPr>
      <w:spacing w:line="420" w:lineRule="exact"/>
    </w:pPr>
    <w:rPr>
      <w:sz w:val="23"/>
      <w:szCs w:val="34"/>
    </w:rPr>
  </w:style>
  <w:style w:type="paragraph" w:customStyle="1" w:styleId="JH2">
    <w:name w:val="J_H_2"/>
    <w:basedOn w:val="JH1"/>
    <w:qFormat/>
    <w:rsid w:val="00296D51"/>
    <w:pPr>
      <w:spacing w:line="400" w:lineRule="exact"/>
    </w:pPr>
    <w:rPr>
      <w:sz w:val="20"/>
      <w:szCs w:val="30"/>
    </w:rPr>
  </w:style>
  <w:style w:type="paragraph" w:customStyle="1" w:styleId="JSmall">
    <w:name w:val="J_Small"/>
    <w:basedOn w:val="JSingleTxt"/>
    <w:next w:val="JSingleTxt"/>
    <w:qFormat/>
    <w:rsid w:val="00296D51"/>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96D51"/>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296D51"/>
    <w:rPr>
      <w:sz w:val="14"/>
      <w:szCs w:val="16"/>
    </w:rPr>
  </w:style>
  <w:style w:type="paragraph" w:customStyle="1" w:styleId="SmallX">
    <w:name w:val="SmallX"/>
    <w:basedOn w:val="Small"/>
    <w:next w:val="Normal"/>
    <w:qFormat/>
    <w:rsid w:val="00296D51"/>
    <w:pPr>
      <w:spacing w:line="240" w:lineRule="exact"/>
    </w:pPr>
    <w:rPr>
      <w:spacing w:val="6"/>
      <w:w w:val="106"/>
      <w:sz w:val="14"/>
      <w:szCs w:val="21"/>
    </w:rPr>
  </w:style>
  <w:style w:type="paragraph" w:customStyle="1" w:styleId="XLarge">
    <w:name w:val="XLarge"/>
    <w:basedOn w:val="HM"/>
    <w:qFormat/>
    <w:rsid w:val="00296D51"/>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296D51"/>
    <w:pPr>
      <w:spacing w:line="820" w:lineRule="exact"/>
    </w:pPr>
    <w:rPr>
      <w:spacing w:val="-8"/>
      <w:w w:val="96"/>
      <w:sz w:val="57"/>
      <w:szCs w:val="68"/>
    </w:rPr>
  </w:style>
  <w:style w:type="paragraph" w:customStyle="1" w:styleId="Distribution">
    <w:name w:val="Distribution"/>
    <w:basedOn w:val="Normal"/>
    <w:next w:val="Normal"/>
    <w:qFormat/>
    <w:rsid w:val="00296D51"/>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296D51"/>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296D51"/>
    <w:pPr>
      <w:tabs>
        <w:tab w:val="left" w:pos="662"/>
        <w:tab w:val="left" w:pos="1267"/>
        <w:tab w:val="left" w:pos="1987"/>
        <w:tab w:val="left" w:pos="2650"/>
      </w:tabs>
      <w:spacing w:line="240" w:lineRule="exact"/>
    </w:pPr>
  </w:style>
  <w:style w:type="paragraph" w:customStyle="1" w:styleId="ReleaseDate">
    <w:name w:val="Release Date"/>
    <w:next w:val="Footer"/>
    <w:qFormat/>
    <w:rsid w:val="00296D51"/>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296D51"/>
    <w:pPr>
      <w:tabs>
        <w:tab w:val="left" w:pos="662"/>
        <w:tab w:val="left" w:pos="1987"/>
        <w:tab w:val="left" w:pos="2650"/>
      </w:tabs>
      <w:spacing w:after="0"/>
      <w:ind w:left="663" w:hanging="663"/>
    </w:pPr>
  </w:style>
  <w:style w:type="paragraph" w:customStyle="1" w:styleId="Committee">
    <w:name w:val="Committee"/>
    <w:basedOn w:val="H1"/>
    <w:qFormat/>
    <w:rsid w:val="00296D51"/>
    <w:pPr>
      <w:tabs>
        <w:tab w:val="left" w:pos="662"/>
        <w:tab w:val="left" w:pos="1987"/>
        <w:tab w:val="left" w:pos="2650"/>
      </w:tabs>
      <w:ind w:right="1264"/>
    </w:pPr>
  </w:style>
  <w:style w:type="paragraph" w:customStyle="1" w:styleId="AgendaItemNormal">
    <w:name w:val="Agenda_Item_Normal"/>
    <w:next w:val="Normal"/>
    <w:qFormat/>
    <w:rsid w:val="00296D51"/>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296D51"/>
  </w:style>
  <w:style w:type="paragraph" w:customStyle="1" w:styleId="TitleHCH">
    <w:name w:val="Title_H_CH"/>
    <w:basedOn w:val="H1"/>
    <w:next w:val="SingleTxt"/>
    <w:qFormat/>
    <w:rsid w:val="00296D51"/>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296D5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296D51"/>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296D51"/>
    <w:rPr>
      <w:color w:val="0000FF"/>
      <w:u w:val="none"/>
    </w:rPr>
  </w:style>
  <w:style w:type="character" w:styleId="FollowedHyperlink">
    <w:name w:val="FollowedHyperlink"/>
    <w:basedOn w:val="DefaultParagraphFont"/>
    <w:rsid w:val="00296D51"/>
    <w:rPr>
      <w:i w:val="0"/>
      <w:color w:val="0000FF"/>
      <w:u w:val="none"/>
    </w:rPr>
  </w:style>
  <w:style w:type="paragraph" w:customStyle="1" w:styleId="Bullet1">
    <w:name w:val="Bullet 1"/>
    <w:basedOn w:val="Normal"/>
    <w:qFormat/>
    <w:rsid w:val="00296D51"/>
    <w:pPr>
      <w:numPr>
        <w:numId w:val="40"/>
      </w:numPr>
      <w:spacing w:after="120"/>
      <w:ind w:right="1264"/>
    </w:pPr>
  </w:style>
  <w:style w:type="paragraph" w:customStyle="1" w:styleId="Bullet2">
    <w:name w:val="Bullet 2"/>
    <w:basedOn w:val="Normal"/>
    <w:qFormat/>
    <w:rsid w:val="00296D51"/>
    <w:pPr>
      <w:numPr>
        <w:numId w:val="41"/>
      </w:numPr>
      <w:spacing w:after="120"/>
      <w:ind w:right="1264"/>
    </w:pPr>
  </w:style>
  <w:style w:type="character" w:styleId="EndnoteReference">
    <w:name w:val="endnote reference"/>
    <w:basedOn w:val="DefaultParagraphFont"/>
    <w:semiHidden/>
    <w:rsid w:val="00296D51"/>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296D51"/>
    <w:pPr>
      <w:numPr>
        <w:numId w:val="42"/>
      </w:numPr>
    </w:pPr>
  </w:style>
  <w:style w:type="paragraph" w:customStyle="1" w:styleId="AgendaTitleH2">
    <w:name w:val="Agenda_Title_H2"/>
    <w:basedOn w:val="H1"/>
    <w:next w:val="Normal"/>
    <w:qFormat/>
    <w:rsid w:val="00296D51"/>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296D51"/>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296D51"/>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296D51"/>
    <w:rPr>
      <w:rFonts w:eastAsiaTheme="minorHAnsi" w:cs="Simplified Arabic"/>
      <w:kern w:val="14"/>
      <w:sz w:val="17"/>
      <w:szCs w:val="18"/>
      <w:lang w:eastAsia="en-US"/>
    </w:rPr>
  </w:style>
  <w:style w:type="character" w:customStyle="1" w:styleId="Heading1Char">
    <w:name w:val="Heading 1 Char"/>
    <w:basedOn w:val="DefaultParagraphFont"/>
    <w:link w:val="Heading1"/>
    <w:rsid w:val="00296D51"/>
    <w:rPr>
      <w:rFonts w:eastAsiaTheme="minorHAnsi" w:cs="Simplified Arabic"/>
      <w:kern w:val="14"/>
      <w:sz w:val="24"/>
      <w:szCs w:val="24"/>
      <w:lang w:eastAsia="en-US"/>
    </w:rPr>
  </w:style>
  <w:style w:type="character" w:customStyle="1" w:styleId="Heading2Char">
    <w:name w:val="Heading 2 Char"/>
    <w:basedOn w:val="DefaultParagraphFont"/>
    <w:link w:val="Heading2"/>
    <w:rsid w:val="00296D51"/>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49444E"/>
    <w:pPr>
      <w:spacing w:line="240" w:lineRule="auto"/>
    </w:pPr>
    <w:rPr>
      <w:szCs w:val="20"/>
    </w:rPr>
  </w:style>
  <w:style w:type="character" w:customStyle="1" w:styleId="CommentTextChar">
    <w:name w:val="Comment Text Char"/>
    <w:basedOn w:val="DefaultParagraphFont"/>
    <w:link w:val="CommentText"/>
    <w:semiHidden/>
    <w:rsid w:val="0049444E"/>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49444E"/>
    <w:rPr>
      <w:b/>
      <w:bCs/>
    </w:rPr>
  </w:style>
  <w:style w:type="character" w:customStyle="1" w:styleId="CommentSubjectChar">
    <w:name w:val="Comment Subject Char"/>
    <w:basedOn w:val="CommentTextChar"/>
    <w:link w:val="CommentSubject"/>
    <w:semiHidden/>
    <w:rsid w:val="0049444E"/>
    <w:rPr>
      <w:rFonts w:eastAsiaTheme="minorHAnsi" w:cs="Simplified Arabic"/>
      <w:b/>
      <w:bCs/>
      <w:kern w:val="14"/>
      <w:lang w:eastAsia="en-US"/>
    </w:rPr>
  </w:style>
  <w:style w:type="character" w:styleId="UnresolvedMention">
    <w:name w:val="Unresolved Mention"/>
    <w:basedOn w:val="DefaultParagraphFont"/>
    <w:uiPriority w:val="99"/>
    <w:semiHidden/>
    <w:unhideWhenUsed/>
    <w:rsid w:val="00CC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IQR/CO/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S/RES/1325(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ar/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Julia Shriki</dc:creator>
  <cp:keywords/>
  <dc:description/>
  <cp:lastModifiedBy>Randa Alliddawi</cp:lastModifiedBy>
  <cp:revision>3</cp:revision>
  <cp:lastPrinted>2022-01-10T19:44:00Z</cp:lastPrinted>
  <dcterms:created xsi:type="dcterms:W3CDTF">2022-01-10T19:43:00Z</dcterms:created>
  <dcterms:modified xsi:type="dcterms:W3CDTF">2022-01-10T19:44:00Z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2119862</vt:lpwstr>
  </property>
  <property fmtid="{D5CDD505-2E9C-101B-9397-08002B2CF9AE}" pid="3" name="ODSRefJobNo">
    <vt:lpwstr>2142377A</vt:lpwstr>
  </property>
  <property fmtid="{D5CDD505-2E9C-101B-9397-08002B2CF9AE}" pid="4" name="Symbol1">
    <vt:lpwstr>CEDAW/C/IRQ/FCO/7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30 December 2021</vt:lpwstr>
  </property>
  <property fmtid="{D5CDD505-2E9C-101B-9397-08002B2CF9AE}" pid="14" name="Original">
    <vt:lpwstr>Arabic/English/French/</vt:lpwstr>
  </property>
  <property fmtid="{D5CDD505-2E9C-101B-9397-08002B2CF9AE}" pid="15" name="Release Date">
    <vt:lpwstr>100122</vt:lpwstr>
  </property>
  <property fmtid="{D5CDD505-2E9C-101B-9397-08002B2CF9AE}" pid="16" name="Title1">
    <vt:lpwstr>		المعلومات الواردة من العراق بشأن متابعة الملاحظات الختامية على تقريره الدوري السابع*_x000d_</vt:lpwstr>
  </property>
</Properties>
</file>